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1D286">
      <w:pPr>
        <w:spacing w:line="360" w:lineRule="auto"/>
        <w:jc w:val="center"/>
        <w:rPr>
          <w:rFonts w:cs="仿宋_GB2312" w:asciiTheme="majorEastAsia" w:hAnsiTheme="majorEastAsia" w:eastAsiaTheme="majorEastAsia"/>
          <w:sz w:val="48"/>
          <w:szCs w:val="48"/>
          <w:highlight w:val="none"/>
        </w:rPr>
      </w:pPr>
    </w:p>
    <w:p w14:paraId="731733D9">
      <w:pPr>
        <w:pStyle w:val="32"/>
        <w:ind w:firstLine="560"/>
        <w:rPr>
          <w:highlight w:val="none"/>
        </w:rPr>
      </w:pPr>
    </w:p>
    <w:p w14:paraId="1DAC8AC6">
      <w:pPr>
        <w:spacing w:line="480" w:lineRule="auto"/>
        <w:jc w:val="center"/>
        <w:rPr>
          <w:rFonts w:hint="eastAsia" w:ascii="宋体" w:hAnsi="宋体" w:cs="仿宋_GB2312"/>
          <w:sz w:val="52"/>
          <w:szCs w:val="52"/>
          <w:highlight w:val="none"/>
          <w:lang w:eastAsia="zh-CN"/>
        </w:rPr>
      </w:pPr>
      <w:r>
        <w:rPr>
          <w:rFonts w:hint="eastAsia" w:ascii="宋体" w:hAnsi="宋体" w:cs="仿宋_GB2312"/>
          <w:sz w:val="52"/>
          <w:szCs w:val="52"/>
          <w:highlight w:val="none"/>
          <w:lang w:eastAsia="zh-CN"/>
        </w:rPr>
        <w:t>滨海新区保障性租赁住房项目</w:t>
      </w:r>
    </w:p>
    <w:p w14:paraId="42625253">
      <w:pPr>
        <w:spacing w:line="480" w:lineRule="auto"/>
        <w:jc w:val="center"/>
        <w:rPr>
          <w:rFonts w:ascii="宋体" w:hAnsi="宋体" w:eastAsia="宋体" w:cs="仿宋_GB2312"/>
          <w:sz w:val="52"/>
          <w:szCs w:val="52"/>
          <w:highlight w:val="none"/>
        </w:rPr>
      </w:pPr>
      <w:r>
        <w:rPr>
          <w:rFonts w:hint="eastAsia" w:ascii="宋体" w:hAnsi="宋体" w:cs="仿宋_GB2312"/>
          <w:sz w:val="52"/>
          <w:szCs w:val="52"/>
          <w:highlight w:val="none"/>
          <w:lang w:eastAsia="zh-CN"/>
        </w:rPr>
        <w:t>电器采购项目</w:t>
      </w:r>
      <w:r>
        <w:rPr>
          <w:rFonts w:hint="eastAsia" w:ascii="宋体" w:hAnsi="宋体" w:eastAsia="宋体" w:cs="仿宋_GB2312"/>
          <w:sz w:val="52"/>
          <w:szCs w:val="52"/>
          <w:highlight w:val="none"/>
        </w:rPr>
        <w:t>招标文件</w:t>
      </w:r>
    </w:p>
    <w:p w14:paraId="10FA99EB">
      <w:pPr>
        <w:spacing w:line="360" w:lineRule="auto"/>
        <w:jc w:val="center"/>
        <w:rPr>
          <w:rFonts w:ascii="宋体" w:hAnsi="宋体" w:eastAsia="宋体" w:cs="仿宋_GB2312"/>
          <w:b/>
          <w:sz w:val="44"/>
          <w:szCs w:val="44"/>
          <w:highlight w:val="none"/>
        </w:rPr>
      </w:pPr>
      <w:r>
        <w:rPr>
          <w:rFonts w:ascii="宋体" w:hAnsi="宋体" w:eastAsia="宋体" w:cs="仿宋_GB2312"/>
          <w:b/>
          <w:sz w:val="44"/>
          <w:szCs w:val="44"/>
          <w:highlight w:val="none"/>
        </w:rPr>
        <w:t>（电子招投标）</w:t>
      </w:r>
    </w:p>
    <w:p w14:paraId="0793FD4B">
      <w:pPr>
        <w:spacing w:line="360" w:lineRule="auto"/>
        <w:jc w:val="center"/>
        <w:rPr>
          <w:rFonts w:hint="default" w:eastAsia="宋体" w:cs="仿宋_GB2312" w:asciiTheme="majorEastAsia" w:hAnsiTheme="majorEastAsia"/>
          <w:b/>
          <w:sz w:val="44"/>
          <w:szCs w:val="44"/>
          <w:highlight w:val="none"/>
          <w:lang w:val="en-US" w:eastAsia="zh-CN"/>
        </w:rPr>
      </w:pPr>
    </w:p>
    <w:p w14:paraId="6D3F0860">
      <w:pPr>
        <w:spacing w:line="360" w:lineRule="auto"/>
        <w:rPr>
          <w:rFonts w:cs="仿宋_GB2312" w:asciiTheme="majorEastAsia" w:hAnsiTheme="majorEastAsia" w:eastAsiaTheme="majorEastAsia"/>
          <w:sz w:val="28"/>
          <w:szCs w:val="20"/>
          <w:highlight w:val="none"/>
        </w:rPr>
      </w:pPr>
    </w:p>
    <w:p w14:paraId="11DEE9FF">
      <w:pPr>
        <w:spacing w:line="360" w:lineRule="auto"/>
        <w:jc w:val="both"/>
        <w:rPr>
          <w:rFonts w:cs="仿宋_GB2312" w:asciiTheme="majorEastAsia" w:hAnsiTheme="majorEastAsia" w:eastAsiaTheme="majorEastAsia"/>
          <w:b/>
          <w:sz w:val="44"/>
          <w:szCs w:val="44"/>
          <w:highlight w:val="none"/>
        </w:rPr>
      </w:pPr>
      <w:r>
        <w:rPr>
          <w:rFonts w:cs="仿宋_GB2312" w:asciiTheme="majorEastAsia" w:hAnsiTheme="majorEastAsia" w:eastAsiaTheme="majorEastAsia"/>
          <w:b/>
          <w:sz w:val="44"/>
          <w:szCs w:val="44"/>
          <w:highlight w:val="none"/>
        </w:rPr>
        <w:t xml:space="preserve"> </w:t>
      </w:r>
    </w:p>
    <w:p w14:paraId="5FB0FC05">
      <w:pPr>
        <w:spacing w:line="360" w:lineRule="auto"/>
        <w:jc w:val="both"/>
        <w:rPr>
          <w:rFonts w:cs="仿宋_GB2312" w:asciiTheme="majorEastAsia" w:hAnsiTheme="majorEastAsia" w:eastAsiaTheme="majorEastAsia"/>
          <w:b/>
          <w:sz w:val="44"/>
          <w:szCs w:val="44"/>
          <w:highlight w:val="none"/>
        </w:rPr>
      </w:pPr>
    </w:p>
    <w:p w14:paraId="381E56EB">
      <w:pPr>
        <w:pStyle w:val="9"/>
        <w:rPr>
          <w:rFonts w:cs="仿宋_GB2312" w:asciiTheme="majorEastAsia" w:hAnsiTheme="majorEastAsia" w:eastAsiaTheme="majorEastAsia"/>
          <w:b/>
          <w:sz w:val="44"/>
          <w:szCs w:val="44"/>
          <w:highlight w:val="none"/>
        </w:rPr>
      </w:pPr>
    </w:p>
    <w:p w14:paraId="397F32EE">
      <w:pPr>
        <w:rPr>
          <w:highlight w:val="none"/>
        </w:rPr>
      </w:pPr>
    </w:p>
    <w:p w14:paraId="3BEAB870">
      <w:pPr>
        <w:pStyle w:val="32"/>
        <w:ind w:firstLine="560"/>
        <w:rPr>
          <w:highlight w:val="none"/>
        </w:rPr>
      </w:pPr>
    </w:p>
    <w:p w14:paraId="212C6727">
      <w:pPr>
        <w:pStyle w:val="32"/>
        <w:ind w:left="0" w:leftChars="0" w:firstLine="0" w:firstLineChars="0"/>
        <w:rPr>
          <w:highlight w:val="none"/>
        </w:rPr>
      </w:pPr>
    </w:p>
    <w:p w14:paraId="3CF4876D">
      <w:pPr>
        <w:spacing w:line="360" w:lineRule="auto"/>
        <w:rPr>
          <w:rFonts w:cs="仿宋_GB2312" w:asciiTheme="majorEastAsia" w:hAnsiTheme="majorEastAsia" w:eastAsiaTheme="majorEastAsia"/>
          <w:sz w:val="24"/>
          <w:highlight w:val="none"/>
        </w:rPr>
      </w:pPr>
    </w:p>
    <w:p w14:paraId="48009AD6">
      <w:pPr>
        <w:spacing w:line="360" w:lineRule="auto"/>
        <w:rPr>
          <w:rFonts w:cs="仿宋_GB2312" w:asciiTheme="majorEastAsia" w:hAnsiTheme="majorEastAsia" w:eastAsiaTheme="majorEastAsia"/>
          <w:sz w:val="32"/>
          <w:szCs w:val="32"/>
          <w:highlight w:val="none"/>
        </w:rPr>
      </w:pPr>
    </w:p>
    <w:p w14:paraId="41FF8F80">
      <w:pPr>
        <w:spacing w:line="360" w:lineRule="auto"/>
        <w:ind w:firstLine="960" w:firstLineChars="300"/>
        <w:jc w:val="left"/>
        <w:rPr>
          <w:rFonts w:hint="eastAsia" w:ascii="宋体" w:hAnsi="宋体" w:eastAsia="宋体" w:cs="宋体"/>
          <w:sz w:val="32"/>
          <w:szCs w:val="32"/>
          <w:highlight w:val="none"/>
          <w:u w:val="single"/>
          <w:lang w:eastAsia="zh-CN"/>
        </w:rPr>
      </w:pPr>
      <w:r>
        <w:rPr>
          <w:rFonts w:hint="eastAsia" w:ascii="宋体" w:hAnsi="宋体" w:cs="宋体"/>
          <w:sz w:val="32"/>
          <w:szCs w:val="32"/>
          <w:highlight w:val="none"/>
        </w:rPr>
        <w:t>采购单位：</w:t>
      </w:r>
      <w:r>
        <w:rPr>
          <w:rFonts w:hint="eastAsia" w:ascii="宋体" w:hAnsi="宋体" w:eastAsia="宋体" w:cs="宋体"/>
          <w:sz w:val="32"/>
          <w:szCs w:val="32"/>
          <w:highlight w:val="none"/>
          <w:u w:val="single"/>
          <w:lang w:val="en-US" w:eastAsia="zh-CN"/>
        </w:rPr>
        <w:t>宁波市奉化区经开控股有限公司</w:t>
      </w:r>
    </w:p>
    <w:p w14:paraId="3B9EB303">
      <w:pPr>
        <w:spacing w:line="360" w:lineRule="auto"/>
        <w:ind w:firstLine="960" w:firstLineChars="300"/>
        <w:rPr>
          <w:rFonts w:cs="仿宋_GB2312" w:asciiTheme="majorEastAsia" w:hAnsiTheme="majorEastAsia" w:eastAsiaTheme="majorEastAsia"/>
          <w:bCs/>
          <w:sz w:val="32"/>
          <w:szCs w:val="32"/>
          <w:highlight w:val="none"/>
        </w:rPr>
      </w:pPr>
      <w:r>
        <w:rPr>
          <w:rFonts w:hint="eastAsia" w:ascii="宋体" w:hAnsi="宋体" w:cs="宋体"/>
          <w:sz w:val="32"/>
          <w:szCs w:val="32"/>
          <w:highlight w:val="none"/>
        </w:rPr>
        <w:t>代理机构：</w:t>
      </w:r>
      <w:r>
        <w:rPr>
          <w:rFonts w:hint="eastAsia" w:ascii="宋体" w:hAnsi="宋体" w:cs="宋体"/>
          <w:sz w:val="32"/>
          <w:szCs w:val="32"/>
          <w:highlight w:val="none"/>
          <w:u w:val="single"/>
          <w:lang w:eastAsia="zh-CN"/>
        </w:rPr>
        <w:t>宁波日月欣项目管理有限公司</w:t>
      </w:r>
      <w:r>
        <w:rPr>
          <w:rFonts w:cs="仿宋_GB2312" w:asciiTheme="majorEastAsia" w:hAnsiTheme="majorEastAsia" w:eastAsiaTheme="majorEastAsia"/>
          <w:bCs/>
          <w:sz w:val="32"/>
          <w:szCs w:val="32"/>
          <w:highlight w:val="none"/>
        </w:rPr>
        <w:t xml:space="preserve"> </w:t>
      </w:r>
    </w:p>
    <w:p w14:paraId="029ACA60">
      <w:pPr>
        <w:snapToGrid w:val="0"/>
        <w:spacing w:line="360" w:lineRule="auto"/>
        <w:jc w:val="center"/>
        <w:rPr>
          <w:rFonts w:cs="仿宋_GB2312" w:asciiTheme="majorEastAsia" w:hAnsiTheme="majorEastAsia" w:eastAsiaTheme="majorEastAsia"/>
          <w:bCs/>
          <w:sz w:val="32"/>
          <w:szCs w:val="32"/>
          <w:highlight w:val="none"/>
        </w:rPr>
      </w:pPr>
    </w:p>
    <w:p w14:paraId="1692C5B9">
      <w:pPr>
        <w:snapToGrid w:val="0"/>
        <w:spacing w:line="360" w:lineRule="auto"/>
        <w:jc w:val="center"/>
        <w:rPr>
          <w:rFonts w:cs="仿宋_GB2312" w:asciiTheme="majorEastAsia" w:hAnsiTheme="majorEastAsia" w:eastAsiaTheme="majorEastAsia"/>
          <w:bCs/>
          <w:sz w:val="32"/>
          <w:szCs w:val="32"/>
          <w:highlight w:val="none"/>
        </w:rPr>
      </w:pPr>
    </w:p>
    <w:p w14:paraId="47D2E71E">
      <w:pPr>
        <w:snapToGrid w:val="0"/>
        <w:spacing w:line="480" w:lineRule="exact"/>
        <w:jc w:val="center"/>
        <w:rPr>
          <w:rFonts w:ascii="宋体" w:hAnsi="宋体" w:cs="仿宋_GB2312"/>
          <w:bCs/>
          <w:sz w:val="32"/>
          <w:szCs w:val="32"/>
          <w:highlight w:val="none"/>
        </w:rPr>
      </w:pPr>
      <w:r>
        <w:rPr>
          <w:rFonts w:hint="eastAsia" w:ascii="宋体" w:hAnsi="宋体" w:cs="仿宋_GB2312"/>
          <w:bCs/>
          <w:sz w:val="32"/>
          <w:szCs w:val="32"/>
          <w:highlight w:val="none"/>
        </w:rPr>
        <w:t>二零二</w:t>
      </w:r>
      <w:r>
        <w:rPr>
          <w:rFonts w:hint="eastAsia" w:ascii="宋体" w:hAnsi="宋体" w:cs="仿宋_GB2312"/>
          <w:bCs/>
          <w:sz w:val="32"/>
          <w:szCs w:val="32"/>
          <w:highlight w:val="none"/>
          <w:lang w:val="en-US" w:eastAsia="zh-CN"/>
        </w:rPr>
        <w:t>五</w:t>
      </w:r>
      <w:r>
        <w:rPr>
          <w:rFonts w:hint="eastAsia" w:ascii="宋体" w:hAnsi="宋体" w:cs="仿宋_GB2312"/>
          <w:bCs/>
          <w:sz w:val="32"/>
          <w:szCs w:val="32"/>
          <w:highlight w:val="none"/>
        </w:rPr>
        <w:t>年</w:t>
      </w:r>
      <w:r>
        <w:rPr>
          <w:rFonts w:hint="eastAsia" w:ascii="宋体" w:hAnsi="宋体" w:cs="仿宋_GB2312"/>
          <w:bCs/>
          <w:sz w:val="32"/>
          <w:szCs w:val="32"/>
          <w:highlight w:val="none"/>
          <w:lang w:val="en-US" w:eastAsia="zh-CN"/>
        </w:rPr>
        <w:t>三</w:t>
      </w:r>
      <w:r>
        <w:rPr>
          <w:rFonts w:hint="eastAsia" w:ascii="宋体" w:hAnsi="宋体" w:cs="仿宋_GB2312"/>
          <w:bCs/>
          <w:sz w:val="32"/>
          <w:szCs w:val="32"/>
          <w:highlight w:val="none"/>
        </w:rPr>
        <w:t>月</w:t>
      </w:r>
    </w:p>
    <w:p w14:paraId="7B8BBFD3">
      <w:pPr>
        <w:pStyle w:val="32"/>
        <w:ind w:firstLine="560"/>
        <w:rPr>
          <w:highlight w:val="none"/>
        </w:rPr>
      </w:pPr>
    </w:p>
    <w:p w14:paraId="4689E22F">
      <w:pPr>
        <w:rPr>
          <w:rFonts w:hint="eastAsia" w:cs="仿宋_GB2312" w:asciiTheme="majorEastAsia" w:hAnsiTheme="majorEastAsia" w:eastAsiaTheme="majorEastAsia"/>
          <w:b/>
          <w:sz w:val="48"/>
          <w:szCs w:val="48"/>
          <w:highlight w:val="none"/>
        </w:rPr>
      </w:pPr>
      <w:r>
        <w:rPr>
          <w:rFonts w:hint="eastAsia" w:cs="仿宋_GB2312" w:asciiTheme="majorEastAsia" w:hAnsiTheme="majorEastAsia" w:eastAsiaTheme="majorEastAsia"/>
          <w:b/>
          <w:sz w:val="48"/>
          <w:szCs w:val="48"/>
          <w:highlight w:val="none"/>
        </w:rPr>
        <w:br w:type="page"/>
      </w:r>
    </w:p>
    <w:p w14:paraId="2E64BC0C">
      <w:pPr>
        <w:spacing w:line="360" w:lineRule="auto"/>
        <w:jc w:val="center"/>
        <w:rPr>
          <w:rFonts w:cs="仿宋_GB2312" w:asciiTheme="majorEastAsia" w:hAnsiTheme="majorEastAsia" w:eastAsiaTheme="majorEastAsia"/>
          <w:b/>
          <w:sz w:val="48"/>
          <w:szCs w:val="48"/>
          <w:highlight w:val="none"/>
        </w:rPr>
      </w:pPr>
      <w:r>
        <w:rPr>
          <w:rFonts w:hint="eastAsia" w:cs="仿宋_GB2312" w:asciiTheme="majorEastAsia" w:hAnsiTheme="majorEastAsia" w:eastAsiaTheme="majorEastAsia"/>
          <w:b/>
          <w:sz w:val="48"/>
          <w:szCs w:val="48"/>
          <w:highlight w:val="none"/>
        </w:rPr>
        <w:t>目</w:t>
      </w:r>
      <w:r>
        <w:rPr>
          <w:rFonts w:cs="仿宋_GB2312" w:asciiTheme="majorEastAsia" w:hAnsiTheme="majorEastAsia" w:eastAsiaTheme="majorEastAsia"/>
          <w:b/>
          <w:sz w:val="48"/>
          <w:szCs w:val="48"/>
          <w:highlight w:val="none"/>
        </w:rPr>
        <w:t xml:space="preserve">  </w:t>
      </w:r>
      <w:r>
        <w:rPr>
          <w:rFonts w:hint="eastAsia" w:cs="仿宋_GB2312" w:asciiTheme="majorEastAsia" w:hAnsiTheme="majorEastAsia" w:eastAsiaTheme="majorEastAsia"/>
          <w:b/>
          <w:sz w:val="48"/>
          <w:szCs w:val="48"/>
          <w:highlight w:val="none"/>
        </w:rPr>
        <w:t>录</w:t>
      </w:r>
    </w:p>
    <w:p w14:paraId="0313AA69">
      <w:pPr>
        <w:spacing w:line="360" w:lineRule="auto"/>
        <w:rPr>
          <w:rFonts w:cs="仿宋_GB2312" w:asciiTheme="majorEastAsia" w:hAnsiTheme="majorEastAsia" w:eastAsiaTheme="majorEastAsia"/>
          <w:sz w:val="32"/>
          <w:szCs w:val="32"/>
          <w:highlight w:val="none"/>
        </w:rPr>
      </w:pPr>
    </w:p>
    <w:p w14:paraId="67916DAB">
      <w:pPr>
        <w:spacing w:line="360" w:lineRule="auto"/>
        <w:rPr>
          <w:rFonts w:cs="仿宋_GB2312" w:asciiTheme="majorEastAsia" w:hAnsiTheme="majorEastAsia" w:eastAsiaTheme="majorEastAsia"/>
          <w:sz w:val="32"/>
          <w:szCs w:val="32"/>
          <w:highlight w:val="none"/>
        </w:rPr>
      </w:pPr>
    </w:p>
    <w:p w14:paraId="1928190E">
      <w:pPr>
        <w:spacing w:line="360" w:lineRule="auto"/>
        <w:ind w:firstLine="1280" w:firstLineChars="400"/>
        <w:rPr>
          <w:rFonts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第一部分      招标公告</w:t>
      </w:r>
    </w:p>
    <w:p w14:paraId="525BF2ED">
      <w:pPr>
        <w:spacing w:line="360" w:lineRule="auto"/>
        <w:ind w:firstLine="1280" w:firstLineChars="400"/>
        <w:rPr>
          <w:rFonts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第二部分      投标须知</w:t>
      </w:r>
    </w:p>
    <w:p w14:paraId="582142E2">
      <w:pPr>
        <w:spacing w:line="360" w:lineRule="auto"/>
        <w:ind w:firstLine="1280" w:firstLineChars="400"/>
        <w:rPr>
          <w:rFonts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第三部分      采购需求</w:t>
      </w:r>
    </w:p>
    <w:p w14:paraId="7E5D02CB">
      <w:pPr>
        <w:spacing w:line="360" w:lineRule="auto"/>
        <w:ind w:firstLine="1280" w:firstLineChars="400"/>
        <w:rPr>
          <w:rFonts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第四部分      评标办法</w:t>
      </w:r>
    </w:p>
    <w:p w14:paraId="5952BC8A">
      <w:pPr>
        <w:spacing w:line="360" w:lineRule="auto"/>
        <w:ind w:firstLine="1280" w:firstLineChars="400"/>
        <w:rPr>
          <w:rFonts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第五部分      拟签订的合同文本</w:t>
      </w:r>
    </w:p>
    <w:p w14:paraId="67912A9A">
      <w:pPr>
        <w:spacing w:line="360" w:lineRule="auto"/>
        <w:ind w:firstLine="1280" w:firstLineChars="400"/>
        <w:rPr>
          <w:rFonts w:cs="仿宋" w:asciiTheme="majorEastAsia" w:hAnsiTheme="majorEastAsia" w:eastAsiaTheme="majorEastAsia"/>
          <w:sz w:val="32"/>
          <w:szCs w:val="32"/>
          <w:highlight w:val="none"/>
        </w:rPr>
      </w:pPr>
      <w:r>
        <w:rPr>
          <w:rFonts w:hint="eastAsia" w:cs="仿宋" w:asciiTheme="majorEastAsia" w:hAnsiTheme="majorEastAsia" w:eastAsiaTheme="majorEastAsia"/>
          <w:sz w:val="32"/>
          <w:szCs w:val="32"/>
          <w:highlight w:val="none"/>
        </w:rPr>
        <w:t>第六部分      应提交的有关格式范例</w:t>
      </w:r>
    </w:p>
    <w:p w14:paraId="622E5345">
      <w:pPr>
        <w:spacing w:line="360" w:lineRule="auto"/>
        <w:ind w:firstLine="549" w:firstLineChars="229"/>
        <w:rPr>
          <w:rFonts w:cs="仿宋" w:asciiTheme="majorEastAsia" w:hAnsiTheme="majorEastAsia" w:eastAsiaTheme="majorEastAsia"/>
          <w:sz w:val="24"/>
          <w:highlight w:val="none"/>
        </w:rPr>
      </w:pPr>
      <w:bookmarkStart w:id="0" w:name="_Hlt91233176"/>
      <w:bookmarkEnd w:id="0"/>
      <w:bookmarkStart w:id="1" w:name="_Toc91899869"/>
    </w:p>
    <w:p w14:paraId="67F10FB5">
      <w:pPr>
        <w:spacing w:line="360" w:lineRule="auto"/>
        <w:ind w:firstLine="549" w:firstLineChars="229"/>
        <w:rPr>
          <w:rFonts w:cs="仿宋" w:asciiTheme="majorEastAsia" w:hAnsiTheme="majorEastAsia" w:eastAsiaTheme="majorEastAsia"/>
          <w:sz w:val="24"/>
          <w:highlight w:val="none"/>
        </w:rPr>
      </w:pPr>
    </w:p>
    <w:p w14:paraId="4D58D2D3">
      <w:pPr>
        <w:spacing w:line="360" w:lineRule="auto"/>
        <w:ind w:firstLine="549" w:firstLineChars="229"/>
        <w:rPr>
          <w:rFonts w:cs="仿宋" w:asciiTheme="majorEastAsia" w:hAnsiTheme="majorEastAsia" w:eastAsiaTheme="majorEastAsia"/>
          <w:sz w:val="24"/>
          <w:highlight w:val="none"/>
        </w:rPr>
      </w:pPr>
    </w:p>
    <w:p w14:paraId="4D2308CA">
      <w:pPr>
        <w:spacing w:line="360" w:lineRule="auto"/>
        <w:ind w:firstLine="549" w:firstLineChars="229"/>
        <w:rPr>
          <w:rFonts w:cs="仿宋" w:asciiTheme="majorEastAsia" w:hAnsiTheme="majorEastAsia" w:eastAsiaTheme="majorEastAsia"/>
          <w:sz w:val="24"/>
          <w:highlight w:val="none"/>
        </w:rPr>
      </w:pPr>
    </w:p>
    <w:p w14:paraId="66B96817">
      <w:pPr>
        <w:spacing w:line="360" w:lineRule="auto"/>
        <w:ind w:firstLine="549" w:firstLineChars="229"/>
        <w:rPr>
          <w:rFonts w:cs="仿宋" w:asciiTheme="majorEastAsia" w:hAnsiTheme="majorEastAsia" w:eastAsiaTheme="majorEastAsia"/>
          <w:sz w:val="24"/>
          <w:highlight w:val="none"/>
        </w:rPr>
      </w:pPr>
    </w:p>
    <w:p w14:paraId="05A76D3A">
      <w:pPr>
        <w:spacing w:line="360" w:lineRule="auto"/>
        <w:ind w:firstLine="549" w:firstLineChars="229"/>
        <w:rPr>
          <w:rFonts w:cs="仿宋" w:asciiTheme="majorEastAsia" w:hAnsiTheme="majorEastAsia" w:eastAsiaTheme="majorEastAsia"/>
          <w:sz w:val="24"/>
          <w:highlight w:val="none"/>
        </w:rPr>
      </w:pPr>
    </w:p>
    <w:p w14:paraId="631D77AC">
      <w:pPr>
        <w:spacing w:line="360" w:lineRule="auto"/>
        <w:ind w:firstLine="549" w:firstLineChars="229"/>
        <w:rPr>
          <w:rFonts w:cs="仿宋" w:asciiTheme="majorEastAsia" w:hAnsiTheme="majorEastAsia" w:eastAsiaTheme="majorEastAsia"/>
          <w:sz w:val="24"/>
          <w:highlight w:val="none"/>
        </w:rPr>
      </w:pPr>
    </w:p>
    <w:p w14:paraId="2455BCF6">
      <w:pPr>
        <w:spacing w:line="360" w:lineRule="auto"/>
        <w:ind w:firstLine="549" w:firstLineChars="229"/>
        <w:rPr>
          <w:rFonts w:cs="仿宋" w:asciiTheme="majorEastAsia" w:hAnsiTheme="majorEastAsia" w:eastAsiaTheme="majorEastAsia"/>
          <w:sz w:val="24"/>
          <w:highlight w:val="none"/>
        </w:rPr>
      </w:pPr>
    </w:p>
    <w:p w14:paraId="60FEDF39">
      <w:pPr>
        <w:spacing w:line="360" w:lineRule="auto"/>
        <w:ind w:firstLine="549" w:firstLineChars="229"/>
        <w:rPr>
          <w:rFonts w:cs="仿宋" w:asciiTheme="majorEastAsia" w:hAnsiTheme="majorEastAsia" w:eastAsiaTheme="majorEastAsia"/>
          <w:sz w:val="24"/>
          <w:highlight w:val="none"/>
        </w:rPr>
      </w:pPr>
    </w:p>
    <w:p w14:paraId="679F5B5D">
      <w:pPr>
        <w:spacing w:line="360" w:lineRule="auto"/>
        <w:ind w:firstLine="549" w:firstLineChars="229"/>
        <w:rPr>
          <w:rFonts w:cs="仿宋" w:asciiTheme="majorEastAsia" w:hAnsiTheme="majorEastAsia" w:eastAsiaTheme="majorEastAsia"/>
          <w:sz w:val="24"/>
          <w:highlight w:val="none"/>
        </w:rPr>
      </w:pPr>
    </w:p>
    <w:p w14:paraId="7D126C82">
      <w:pPr>
        <w:spacing w:line="360" w:lineRule="auto"/>
        <w:ind w:firstLine="549" w:firstLineChars="229"/>
        <w:rPr>
          <w:rFonts w:cs="仿宋" w:asciiTheme="majorEastAsia" w:hAnsiTheme="majorEastAsia" w:eastAsiaTheme="majorEastAsia"/>
          <w:sz w:val="24"/>
          <w:highlight w:val="none"/>
        </w:rPr>
      </w:pPr>
    </w:p>
    <w:p w14:paraId="7324A187">
      <w:pPr>
        <w:spacing w:line="360" w:lineRule="auto"/>
        <w:ind w:firstLine="549" w:firstLineChars="229"/>
        <w:rPr>
          <w:rFonts w:cs="仿宋" w:asciiTheme="majorEastAsia" w:hAnsiTheme="majorEastAsia" w:eastAsiaTheme="majorEastAsia"/>
          <w:sz w:val="24"/>
          <w:highlight w:val="none"/>
        </w:rPr>
      </w:pPr>
    </w:p>
    <w:p w14:paraId="19ED663C">
      <w:pPr>
        <w:spacing w:line="360" w:lineRule="auto"/>
        <w:rPr>
          <w:rFonts w:cs="仿宋" w:asciiTheme="majorEastAsia" w:hAnsiTheme="majorEastAsia" w:eastAsiaTheme="majorEastAsia"/>
          <w:sz w:val="24"/>
          <w:highlight w:val="none"/>
        </w:rPr>
      </w:pPr>
    </w:p>
    <w:p w14:paraId="46C954B6">
      <w:pPr>
        <w:spacing w:line="360" w:lineRule="auto"/>
        <w:jc w:val="center"/>
        <w:outlineLvl w:val="0"/>
        <w:rPr>
          <w:rFonts w:cs="仿宋" w:asciiTheme="majorEastAsia" w:hAnsiTheme="majorEastAsia" w:eastAsiaTheme="majorEastAsia"/>
          <w:b/>
          <w:sz w:val="36"/>
          <w:szCs w:val="20"/>
          <w:highlight w:val="none"/>
        </w:rPr>
      </w:pPr>
      <w:r>
        <w:rPr>
          <w:rFonts w:hint="eastAsia" w:cs="仿宋" w:asciiTheme="majorEastAsia" w:hAnsiTheme="majorEastAsia" w:eastAsiaTheme="majorEastAsia"/>
          <w:b/>
          <w:sz w:val="36"/>
          <w:szCs w:val="36"/>
          <w:highlight w:val="none"/>
        </w:rPr>
        <w:br w:type="page"/>
      </w:r>
      <w:bookmarkEnd w:id="1"/>
      <w:bookmarkStart w:id="2" w:name="_Hlt74649545"/>
      <w:bookmarkEnd w:id="2"/>
      <w:bookmarkStart w:id="3" w:name="_Hlt74728647"/>
      <w:bookmarkEnd w:id="3"/>
      <w:bookmarkStart w:id="4" w:name="_Hlt74707423"/>
      <w:bookmarkEnd w:id="4"/>
      <w:bookmarkStart w:id="5" w:name="_Hlt74729822"/>
      <w:bookmarkEnd w:id="5"/>
      <w:bookmarkStart w:id="6" w:name="_Toc91899870"/>
      <w:bookmarkStart w:id="7" w:name="_Toc91899871"/>
      <w:r>
        <w:rPr>
          <w:rFonts w:hint="eastAsia" w:cs="仿宋" w:asciiTheme="majorEastAsia" w:hAnsiTheme="majorEastAsia" w:eastAsiaTheme="majorEastAsia"/>
          <w:b/>
          <w:sz w:val="36"/>
          <w:szCs w:val="20"/>
          <w:highlight w:val="none"/>
        </w:rPr>
        <w:t>第一部分 招标公告</w:t>
      </w:r>
    </w:p>
    <w:p w14:paraId="2DDF978C">
      <w:pPr>
        <w:keepNext w:val="0"/>
        <w:keepLines w:val="0"/>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项目概况</w:t>
      </w:r>
    </w:p>
    <w:p w14:paraId="4B9731A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highlight w:val="none"/>
          <w:u w:val="single"/>
        </w:rPr>
      </w:pPr>
      <w:r>
        <w:rPr>
          <w:rFonts w:hint="eastAsia" w:cs="仿宋" w:asciiTheme="majorEastAsia" w:hAnsiTheme="majorEastAsia" w:eastAsiaTheme="majorEastAsia"/>
          <w:sz w:val="24"/>
          <w:highlight w:val="none"/>
          <w:u w:val="single"/>
          <w:lang w:eastAsia="zh-CN"/>
        </w:rPr>
        <w:t>滨海新区保障性租赁住房项目电器采购项目</w:t>
      </w:r>
      <w:r>
        <w:rPr>
          <w:rFonts w:hint="eastAsia" w:cs="仿宋" w:asciiTheme="majorEastAsia" w:hAnsiTheme="majorEastAsia" w:eastAsiaTheme="majorEastAsia"/>
          <w:sz w:val="24"/>
          <w:highlight w:val="none"/>
        </w:rPr>
        <w:t>的潜在供应商应在</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w:t>
      </w:r>
      <w:r>
        <w:rPr>
          <w:rStyle w:val="31"/>
          <w:rFonts w:hint="eastAsia" w:cs="仿宋" w:asciiTheme="majorEastAsia" w:hAnsiTheme="majorEastAsia" w:eastAsiaTheme="majorEastAsia"/>
          <w:color w:val="auto"/>
          <w:sz w:val="24"/>
          <w:szCs w:val="24"/>
          <w:highlight w:val="none"/>
        </w:rPr>
        <w:t xml:space="preserve">（ </w:t>
      </w:r>
      <w:r>
        <w:rPr>
          <w:highlight w:val="none"/>
        </w:rPr>
        <w:fldChar w:fldCharType="begin"/>
      </w:r>
      <w:r>
        <w:rPr>
          <w:highlight w:val="none"/>
        </w:rPr>
        <w:instrText xml:space="preserve"> HYPERLINK "https://www.zcygov.cn/）获取（下载）招标文件，并于2022年00月00日14点30分00秒" </w:instrText>
      </w:r>
      <w:r>
        <w:rPr>
          <w:highlight w:val="none"/>
        </w:rPr>
        <w:fldChar w:fldCharType="separate"/>
      </w:r>
      <w:r>
        <w:rPr>
          <w:rStyle w:val="31"/>
          <w:rFonts w:hint="eastAsia" w:cs="仿宋" w:asciiTheme="majorEastAsia" w:hAnsiTheme="majorEastAsia" w:eastAsiaTheme="majorEastAsia"/>
          <w:color w:val="auto"/>
          <w:sz w:val="24"/>
          <w:szCs w:val="24"/>
          <w:highlight w:val="none"/>
        </w:rPr>
        <w:t>https://</w:t>
      </w:r>
      <w:r>
        <w:rPr>
          <w:rStyle w:val="31"/>
          <w:rFonts w:hint="eastAsia" w:cs="仿宋" w:asciiTheme="majorEastAsia" w:hAnsiTheme="majorEastAsia" w:eastAsiaTheme="majorEastAsia"/>
          <w:sz w:val="24"/>
          <w:szCs w:val="24"/>
          <w:highlight w:val="none"/>
          <w:lang w:eastAsia="zh-CN"/>
        </w:rPr>
        <w:t>www.lecaiyun.com</w:t>
      </w:r>
      <w:r>
        <w:rPr>
          <w:rStyle w:val="31"/>
          <w:rFonts w:hint="eastAsia" w:cs="仿宋" w:asciiTheme="majorEastAsia" w:hAnsiTheme="majorEastAsia" w:eastAsiaTheme="majorEastAsia"/>
          <w:color w:val="auto"/>
          <w:sz w:val="24"/>
          <w:szCs w:val="24"/>
          <w:highlight w:val="none"/>
        </w:rPr>
        <w:t>/）获取（下载）招标文件，并于</w:t>
      </w:r>
      <w:r>
        <w:rPr>
          <w:rStyle w:val="31"/>
          <w:rFonts w:hint="eastAsia" w:cs="仿宋" w:asciiTheme="majorEastAsia" w:hAnsiTheme="majorEastAsia" w:eastAsiaTheme="majorEastAsia"/>
          <w:color w:val="auto"/>
          <w:sz w:val="24"/>
          <w:szCs w:val="24"/>
          <w:highlight w:val="none"/>
          <w:lang w:val="en-US" w:eastAsia="zh-CN"/>
        </w:rPr>
        <w:t>2025</w:t>
      </w:r>
      <w:r>
        <w:rPr>
          <w:rStyle w:val="31"/>
          <w:rFonts w:hint="eastAsia" w:cs="仿宋" w:asciiTheme="majorEastAsia" w:hAnsiTheme="majorEastAsia" w:eastAsiaTheme="majorEastAsia"/>
          <w:color w:val="auto"/>
          <w:sz w:val="24"/>
          <w:szCs w:val="24"/>
          <w:highlight w:val="none"/>
        </w:rPr>
        <w:t>年</w:t>
      </w:r>
      <w:r>
        <w:rPr>
          <w:rStyle w:val="31"/>
          <w:rFonts w:hint="eastAsia" w:cs="仿宋" w:asciiTheme="majorEastAsia" w:hAnsiTheme="majorEastAsia" w:eastAsiaTheme="majorEastAsia"/>
          <w:color w:val="auto"/>
          <w:sz w:val="24"/>
          <w:szCs w:val="24"/>
          <w:highlight w:val="none"/>
          <w:lang w:val="en-US" w:eastAsia="zh-CN"/>
        </w:rPr>
        <w:t>3</w:t>
      </w:r>
      <w:r>
        <w:rPr>
          <w:rStyle w:val="31"/>
          <w:rFonts w:hint="eastAsia" w:cs="仿宋" w:asciiTheme="majorEastAsia" w:hAnsiTheme="majorEastAsia" w:eastAsiaTheme="majorEastAsia"/>
          <w:color w:val="auto"/>
          <w:sz w:val="24"/>
          <w:szCs w:val="24"/>
          <w:highlight w:val="none"/>
        </w:rPr>
        <w:t>月</w:t>
      </w:r>
      <w:r>
        <w:rPr>
          <w:rStyle w:val="31"/>
          <w:rFonts w:hint="eastAsia" w:cs="仿宋" w:asciiTheme="majorEastAsia" w:hAnsiTheme="majorEastAsia" w:eastAsiaTheme="majorEastAsia"/>
          <w:color w:val="auto"/>
          <w:sz w:val="24"/>
          <w:szCs w:val="24"/>
          <w:highlight w:val="none"/>
          <w:lang w:val="en-US" w:eastAsia="zh-CN"/>
        </w:rPr>
        <w:t>24</w:t>
      </w:r>
      <w:r>
        <w:rPr>
          <w:rStyle w:val="31"/>
          <w:rFonts w:hint="eastAsia" w:cs="仿宋" w:asciiTheme="majorEastAsia" w:hAnsiTheme="majorEastAsia" w:eastAsiaTheme="majorEastAsia"/>
          <w:color w:val="auto"/>
          <w:sz w:val="24"/>
          <w:szCs w:val="24"/>
          <w:highlight w:val="none"/>
        </w:rPr>
        <w:t>日</w:t>
      </w:r>
      <w:r>
        <w:rPr>
          <w:rStyle w:val="31"/>
          <w:rFonts w:hint="eastAsia" w:cs="仿宋" w:asciiTheme="majorEastAsia" w:hAnsiTheme="majorEastAsia" w:eastAsiaTheme="majorEastAsia"/>
          <w:color w:val="auto"/>
          <w:sz w:val="24"/>
          <w:szCs w:val="24"/>
          <w:highlight w:val="none"/>
          <w:lang w:val="en-US" w:eastAsia="zh-CN"/>
        </w:rPr>
        <w:t>9</w:t>
      </w:r>
      <w:r>
        <w:rPr>
          <w:rStyle w:val="31"/>
          <w:rFonts w:hint="eastAsia" w:cs="仿宋" w:asciiTheme="majorEastAsia" w:hAnsiTheme="majorEastAsia" w:eastAsiaTheme="majorEastAsia"/>
          <w:color w:val="auto"/>
          <w:sz w:val="24"/>
          <w:szCs w:val="24"/>
          <w:highlight w:val="none"/>
        </w:rPr>
        <w:t>点</w:t>
      </w:r>
      <w:r>
        <w:rPr>
          <w:rStyle w:val="31"/>
          <w:rFonts w:hint="eastAsia" w:cs="仿宋" w:asciiTheme="majorEastAsia" w:hAnsiTheme="majorEastAsia" w:eastAsiaTheme="majorEastAsia"/>
          <w:color w:val="auto"/>
          <w:sz w:val="24"/>
          <w:szCs w:val="24"/>
          <w:highlight w:val="none"/>
          <w:lang w:val="en-US" w:eastAsia="zh-CN"/>
        </w:rPr>
        <w:t>0</w:t>
      </w:r>
      <w:r>
        <w:rPr>
          <w:rStyle w:val="31"/>
          <w:rFonts w:hint="eastAsia" w:cs="仿宋" w:asciiTheme="majorEastAsia" w:hAnsiTheme="majorEastAsia" w:eastAsiaTheme="majorEastAsia"/>
          <w:color w:val="auto"/>
          <w:sz w:val="24"/>
          <w:szCs w:val="24"/>
          <w:highlight w:val="none"/>
        </w:rPr>
        <w:t>0分00秒</w:t>
      </w:r>
      <w:r>
        <w:rPr>
          <w:rStyle w:val="31"/>
          <w:rFonts w:hint="eastAsia" w:cs="仿宋" w:asciiTheme="majorEastAsia" w:hAnsiTheme="majorEastAsia" w:eastAsiaTheme="majorEastAsia"/>
          <w:color w:val="auto"/>
          <w:sz w:val="24"/>
          <w:szCs w:val="24"/>
          <w:highlight w:val="none"/>
        </w:rPr>
        <w:fldChar w:fldCharType="end"/>
      </w:r>
      <w:r>
        <w:rPr>
          <w:rFonts w:hint="eastAsia" w:cs="仿宋" w:asciiTheme="majorEastAsia" w:hAnsiTheme="majorEastAsia" w:eastAsiaTheme="majorEastAsia"/>
          <w:bCs/>
          <w:sz w:val="24"/>
          <w:highlight w:val="none"/>
        </w:rPr>
        <w:t>（北京时间）前</w:t>
      </w:r>
      <w:r>
        <w:rPr>
          <w:rFonts w:hint="eastAsia" w:cs="仿宋" w:asciiTheme="majorEastAsia" w:hAnsiTheme="majorEastAsia" w:eastAsiaTheme="majorEastAsia"/>
          <w:sz w:val="24"/>
          <w:highlight w:val="none"/>
        </w:rPr>
        <w:t>递交（上传）投标文件。</w:t>
      </w:r>
    </w:p>
    <w:p w14:paraId="09B21F32">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 xml:space="preserve">一、项目基本情况                                            </w:t>
      </w:r>
    </w:p>
    <w:p w14:paraId="6A1E6AA1">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rPr>
        <w:t>项目编号：</w:t>
      </w:r>
      <w:r>
        <w:rPr>
          <w:rFonts w:hint="eastAsia" w:cs="仿宋" w:asciiTheme="majorEastAsia" w:hAnsiTheme="majorEastAsia" w:eastAsiaTheme="majorEastAsia"/>
          <w:b/>
          <w:color w:val="auto"/>
          <w:sz w:val="24"/>
          <w:highlight w:val="none"/>
          <w:lang w:val="en-US" w:eastAsia="zh-CN"/>
        </w:rPr>
        <w:t>FHGQZB（2025）058D</w:t>
      </w:r>
    </w:p>
    <w:p w14:paraId="49F5A926">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项目名称：</w:t>
      </w:r>
      <w:r>
        <w:rPr>
          <w:rFonts w:hint="eastAsia" w:cs="仿宋" w:asciiTheme="majorEastAsia" w:hAnsiTheme="majorEastAsia" w:eastAsiaTheme="majorEastAsia"/>
          <w:b/>
          <w:color w:val="auto"/>
          <w:sz w:val="24"/>
          <w:highlight w:val="none"/>
          <w:lang w:eastAsia="zh-CN"/>
        </w:rPr>
        <w:t xml:space="preserve">滨海新区保障性租赁住房项目电器采购项目 </w:t>
      </w:r>
    </w:p>
    <w:p w14:paraId="73B25A35">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cs="仿宋" w:asciiTheme="majorEastAsia" w:hAnsiTheme="majorEastAsia" w:eastAsiaTheme="majorEastAsia"/>
          <w:b/>
          <w:color w:val="auto"/>
          <w:sz w:val="24"/>
          <w:highlight w:val="none"/>
          <w:lang w:val="en-US" w:eastAsia="zh-CN"/>
        </w:rPr>
      </w:pPr>
      <w:r>
        <w:rPr>
          <w:rFonts w:hint="eastAsia" w:cs="仿宋" w:asciiTheme="majorEastAsia" w:hAnsiTheme="majorEastAsia" w:eastAsiaTheme="majorEastAsia"/>
          <w:b/>
          <w:color w:val="auto"/>
          <w:sz w:val="24"/>
          <w:highlight w:val="none"/>
        </w:rPr>
        <w:t>预算金额（元）：</w:t>
      </w:r>
      <w:r>
        <w:rPr>
          <w:rFonts w:hint="eastAsia" w:cs="仿宋" w:asciiTheme="majorEastAsia" w:hAnsiTheme="majorEastAsia" w:eastAsiaTheme="majorEastAsia"/>
          <w:b/>
          <w:color w:val="auto"/>
          <w:sz w:val="24"/>
          <w:highlight w:val="none"/>
          <w:lang w:val="en-US" w:eastAsia="zh-CN"/>
        </w:rPr>
        <w:t xml:space="preserve">15438780 </w:t>
      </w:r>
    </w:p>
    <w:p w14:paraId="4B1D1470">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hint="default" w:eastAsiaTheme="majorEastAsia"/>
          <w:highlight w:val="none"/>
          <w:lang w:val="en-US" w:eastAsia="zh-CN"/>
        </w:rPr>
      </w:pPr>
      <w:r>
        <w:rPr>
          <w:rFonts w:hint="eastAsia" w:cs="仿宋" w:asciiTheme="majorEastAsia" w:hAnsiTheme="majorEastAsia" w:eastAsiaTheme="majorEastAsia"/>
          <w:b/>
          <w:color w:val="auto"/>
          <w:sz w:val="24"/>
          <w:highlight w:val="none"/>
        </w:rPr>
        <w:t>最高限价（元）：</w:t>
      </w:r>
      <w:r>
        <w:rPr>
          <w:rFonts w:hint="eastAsia" w:cs="仿宋" w:asciiTheme="majorEastAsia" w:hAnsiTheme="majorEastAsia" w:eastAsiaTheme="majorEastAsia"/>
          <w:b/>
          <w:color w:val="auto"/>
          <w:sz w:val="24"/>
          <w:highlight w:val="none"/>
          <w:lang w:val="en-US" w:eastAsia="zh-CN"/>
        </w:rPr>
        <w:t>15438780</w:t>
      </w:r>
    </w:p>
    <w:p w14:paraId="464628E8">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宋体" w:hAnsi="宋体" w:eastAsia="宋体" w:cs="仿宋"/>
          <w:b w:val="0"/>
          <w:bCs/>
          <w:color w:val="auto"/>
          <w:sz w:val="24"/>
          <w:highlight w:val="none"/>
          <w:lang w:eastAsia="zh-CN"/>
        </w:rPr>
      </w:pPr>
      <w:r>
        <w:rPr>
          <w:rFonts w:hint="eastAsia" w:cs="仿宋" w:asciiTheme="majorEastAsia" w:hAnsiTheme="majorEastAsia" w:eastAsiaTheme="majorEastAsia"/>
          <w:b/>
          <w:color w:val="auto"/>
          <w:sz w:val="24"/>
          <w:highlight w:val="none"/>
        </w:rPr>
        <w:t>采购需求：</w:t>
      </w:r>
      <w:r>
        <w:rPr>
          <w:rFonts w:hint="eastAsia" w:hAnsi="宋体" w:cs="仿宋"/>
          <w:b w:val="0"/>
          <w:bCs/>
          <w:color w:val="auto"/>
          <w:sz w:val="24"/>
          <w:highlight w:val="none"/>
          <w:lang w:val="en-US" w:eastAsia="zh-CN"/>
        </w:rPr>
        <w:t>电器</w:t>
      </w:r>
      <w:r>
        <w:rPr>
          <w:rFonts w:hint="eastAsia" w:ascii="宋体" w:hAnsi="宋体" w:eastAsia="宋体" w:cs="仿宋"/>
          <w:b w:val="0"/>
          <w:bCs/>
          <w:color w:val="auto"/>
          <w:sz w:val="24"/>
          <w:highlight w:val="none"/>
          <w:lang w:eastAsia="zh-CN"/>
        </w:rPr>
        <w:t>采购及安装</w:t>
      </w:r>
    </w:p>
    <w:p w14:paraId="25608E3F">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合同履约期限：</w:t>
      </w:r>
      <w:r>
        <w:rPr>
          <w:rFonts w:hint="eastAsia" w:cs="仿宋" w:asciiTheme="majorEastAsia" w:hAnsiTheme="majorEastAsia" w:eastAsiaTheme="majorEastAsia"/>
          <w:snapToGrid w:val="0"/>
          <w:color w:val="auto"/>
          <w:kern w:val="28"/>
          <w:sz w:val="24"/>
          <w:szCs w:val="20"/>
          <w:highlight w:val="none"/>
          <w:lang w:val="en-US" w:eastAsia="zh-CN" w:bidi="ar-SA"/>
        </w:rPr>
        <w:t>详见采购文件第三部分</w:t>
      </w:r>
    </w:p>
    <w:p w14:paraId="480093DD">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本项目（否）接受联合体投标</w:t>
      </w:r>
    </w:p>
    <w:p w14:paraId="7CBE52B8">
      <w:pPr>
        <w:pStyle w:val="7"/>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sz w:val="24"/>
          <w:highlight w:val="none"/>
        </w:rPr>
        <w:t>二、申请人的资格要求：</w:t>
      </w:r>
    </w:p>
    <w:p w14:paraId="71DF2C42">
      <w:pPr>
        <w:keepNext w:val="0"/>
        <w:keepLines w:val="0"/>
        <w:pageBreakBefore w:val="0"/>
        <w:kinsoku/>
        <w:overflowPunct/>
        <w:topLinePunct w:val="0"/>
        <w:autoSpaceDE/>
        <w:autoSpaceDN/>
        <w:bidi w:val="0"/>
        <w:adjustRightInd/>
        <w:spacing w:line="360" w:lineRule="auto"/>
        <w:ind w:firstLine="480" w:firstLineChars="200"/>
        <w:textAlignment w:val="auto"/>
        <w:rPr>
          <w:rFonts w:hint="eastAsia" w:ascii="宋体" w:hAnsi="宋体" w:eastAsia="宋体" w:cs="宋体"/>
          <w:snapToGrid w:val="0"/>
          <w:kern w:val="28"/>
          <w:sz w:val="24"/>
          <w:szCs w:val="20"/>
          <w:highlight w:val="none"/>
        </w:rPr>
      </w:pPr>
      <w:r>
        <w:rPr>
          <w:rFonts w:hint="eastAsia" w:ascii="宋体" w:hAnsi="宋体" w:eastAsia="宋体" w:cs="宋体"/>
          <w:snapToGrid w:val="0"/>
          <w:kern w:val="28"/>
          <w:sz w:val="24"/>
          <w:szCs w:val="20"/>
          <w:highlight w:val="none"/>
        </w:rPr>
        <w:t>1. 满足《中华人民共和国政府采购法》第二十二条规定；未被“信用中国”（www.creditchina.gov.cn)、中国政府采购网（www.ccgp.gov.cn）列入失信被执行人、</w:t>
      </w:r>
      <w:r>
        <w:rPr>
          <w:rFonts w:hint="eastAsia" w:ascii="宋体" w:hAnsi="宋体" w:eastAsia="宋体" w:cs="宋体"/>
          <w:snapToGrid w:val="0"/>
          <w:kern w:val="28"/>
          <w:sz w:val="24"/>
          <w:szCs w:val="20"/>
          <w:highlight w:val="none"/>
          <w:lang w:eastAsia="zh-CN"/>
        </w:rPr>
        <w:t>重大税收违法失信主体</w:t>
      </w:r>
      <w:r>
        <w:rPr>
          <w:rFonts w:hint="eastAsia" w:ascii="宋体" w:hAnsi="宋体" w:eastAsia="宋体" w:cs="宋体"/>
          <w:snapToGrid w:val="0"/>
          <w:kern w:val="28"/>
          <w:sz w:val="24"/>
          <w:szCs w:val="20"/>
          <w:highlight w:val="none"/>
        </w:rPr>
        <w:t>、政府采购严重违法失信行为记录名单；</w:t>
      </w:r>
    </w:p>
    <w:p w14:paraId="11A49C5D">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2.落实政府采购政策需满足的资格要求：无；</w:t>
      </w:r>
    </w:p>
    <w:p w14:paraId="72B62C9E">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3.本项目的特定资格要求：</w:t>
      </w:r>
      <w:r>
        <w:rPr>
          <w:rFonts w:hint="eastAsia" w:cs="仿宋" w:asciiTheme="majorEastAsia" w:hAnsiTheme="majorEastAsia" w:eastAsiaTheme="majorEastAsia"/>
          <w:sz w:val="24"/>
          <w:highlight w:val="none"/>
          <w:lang w:val="en-US" w:eastAsia="zh-CN"/>
        </w:rPr>
        <w:t>无</w:t>
      </w:r>
    </w:p>
    <w:p w14:paraId="52FC4454">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EE69CDF">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 xml:space="preserve">三、获取招标文件 </w:t>
      </w:r>
    </w:p>
    <w:p w14:paraId="1575D55B">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时间：</w:t>
      </w:r>
      <w:r>
        <w:rPr>
          <w:rFonts w:hint="eastAsia" w:cs="仿宋" w:asciiTheme="majorEastAsia" w:hAnsiTheme="majorEastAsia" w:eastAsiaTheme="majorEastAsia"/>
          <w:sz w:val="24"/>
          <w:highlight w:val="none"/>
          <w:u w:val="single"/>
          <w:lang w:eastAsia="zh-CN"/>
        </w:rPr>
        <w:t>2025年</w:t>
      </w:r>
      <w:r>
        <w:rPr>
          <w:rFonts w:hint="eastAsia" w:cs="仿宋" w:asciiTheme="majorEastAsia" w:hAnsiTheme="majorEastAsia" w:eastAsiaTheme="majorEastAsia"/>
          <w:sz w:val="24"/>
          <w:highlight w:val="none"/>
          <w:u w:val="single"/>
          <w:lang w:val="en-US" w:eastAsia="zh-CN"/>
        </w:rPr>
        <w:t>2</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28</w:t>
      </w:r>
      <w:r>
        <w:rPr>
          <w:rFonts w:hint="eastAsia" w:cs="仿宋" w:asciiTheme="majorEastAsia" w:hAnsiTheme="majorEastAsia" w:eastAsiaTheme="majorEastAsia"/>
          <w:sz w:val="24"/>
          <w:highlight w:val="none"/>
          <w:u w:val="single"/>
        </w:rPr>
        <w:t>日</w:t>
      </w:r>
      <w:r>
        <w:rPr>
          <w:rFonts w:hint="eastAsia" w:cs="仿宋" w:asciiTheme="majorEastAsia" w:hAnsiTheme="majorEastAsia" w:eastAsiaTheme="majorEastAsia"/>
          <w:sz w:val="24"/>
          <w:highlight w:val="none"/>
        </w:rPr>
        <w:t>至</w:t>
      </w:r>
      <w:r>
        <w:rPr>
          <w:rFonts w:hint="eastAsia" w:cs="仿宋" w:asciiTheme="majorEastAsia" w:hAnsiTheme="majorEastAsia" w:eastAsiaTheme="majorEastAsia"/>
          <w:sz w:val="24"/>
          <w:highlight w:val="none"/>
          <w:u w:val="single"/>
          <w:lang w:eastAsia="zh-CN"/>
        </w:rPr>
        <w:t>2025年</w:t>
      </w:r>
      <w:r>
        <w:rPr>
          <w:rFonts w:hint="eastAsia" w:cs="仿宋" w:asciiTheme="majorEastAsia" w:hAnsiTheme="majorEastAsia" w:eastAsiaTheme="majorEastAsia"/>
          <w:sz w:val="24"/>
          <w:highlight w:val="none"/>
          <w:u w:val="single"/>
          <w:lang w:val="en-US" w:eastAsia="zh-CN"/>
        </w:rPr>
        <w:t>3</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6</w:t>
      </w:r>
      <w:r>
        <w:rPr>
          <w:rFonts w:hint="eastAsia" w:cs="仿宋" w:asciiTheme="majorEastAsia" w:hAnsiTheme="majorEastAsia" w:eastAsiaTheme="majorEastAsia"/>
          <w:sz w:val="24"/>
          <w:highlight w:val="none"/>
          <w:u w:val="single"/>
        </w:rPr>
        <w:t>日</w:t>
      </w:r>
      <w:r>
        <w:rPr>
          <w:rFonts w:hint="eastAsia" w:cs="仿宋" w:asciiTheme="majorEastAsia" w:hAnsiTheme="majorEastAsia" w:eastAsiaTheme="majorEastAsia"/>
          <w:sz w:val="24"/>
          <w:highlight w:val="none"/>
        </w:rPr>
        <w:t>，每天上午00:00至12:00 ，下午12:00至23:59（北京时间）。</w:t>
      </w:r>
    </w:p>
    <w:p w14:paraId="02CACC3E">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地点（网址）：</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平台（https://</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sz w:val="24"/>
          <w:highlight w:val="none"/>
        </w:rPr>
        <w:t>/）。</w:t>
      </w:r>
    </w:p>
    <w:p w14:paraId="1B0A41EF">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方式：</w:t>
      </w:r>
      <w:r>
        <w:rPr>
          <w:rFonts w:hint="eastAsia" w:cs="仿宋" w:asciiTheme="majorEastAsia" w:hAnsiTheme="majorEastAsia" w:eastAsiaTheme="majorEastAsia"/>
          <w:sz w:val="24"/>
          <w:highlight w:val="none"/>
        </w:rPr>
        <w:t>供应商登录</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平台https://</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sz w:val="24"/>
          <w:highlight w:val="none"/>
        </w:rPr>
        <w:t xml:space="preserve">/在线申请获取招标文件（进入“项目采购”应用，在获取采购文件菜单中选择项目，申请获取招标文件）。 </w:t>
      </w:r>
    </w:p>
    <w:p w14:paraId="03894E38">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售价（元）：</w:t>
      </w:r>
      <w:r>
        <w:rPr>
          <w:rFonts w:hint="eastAsia" w:cs="仿宋" w:asciiTheme="majorEastAsia" w:hAnsiTheme="majorEastAsia" w:eastAsiaTheme="majorEastAsia"/>
          <w:sz w:val="24"/>
          <w:highlight w:val="none"/>
        </w:rPr>
        <w:t xml:space="preserve">0 </w:t>
      </w:r>
      <w:r>
        <w:rPr>
          <w:rFonts w:hint="eastAsia" w:cs="仿宋" w:asciiTheme="majorEastAsia" w:hAnsiTheme="majorEastAsia" w:eastAsiaTheme="majorEastAsia"/>
          <w:sz w:val="24"/>
          <w:highlight w:val="none"/>
        </w:rPr>
        <w:tab/>
      </w:r>
    </w:p>
    <w:p w14:paraId="32F74DF4">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四、提交投标文件截止时间、开标时间和地点</w:t>
      </w:r>
    </w:p>
    <w:p w14:paraId="3DD41A9F">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提交投标文件截止时间：</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u w:val="single"/>
          <w:lang w:eastAsia="zh-CN"/>
        </w:rPr>
        <w:t>2025年</w:t>
      </w:r>
      <w:r>
        <w:rPr>
          <w:rFonts w:hint="eastAsia" w:cs="仿宋" w:asciiTheme="majorEastAsia" w:hAnsiTheme="majorEastAsia" w:eastAsiaTheme="majorEastAsia"/>
          <w:sz w:val="24"/>
          <w:highlight w:val="none"/>
          <w:u w:val="single"/>
          <w:lang w:val="en-US" w:eastAsia="zh-CN"/>
        </w:rPr>
        <w:t>3</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24</w:t>
      </w:r>
      <w:r>
        <w:rPr>
          <w:rFonts w:hint="eastAsia" w:cs="仿宋" w:asciiTheme="majorEastAsia" w:hAnsiTheme="majorEastAsia" w:eastAsiaTheme="majorEastAsia"/>
          <w:sz w:val="24"/>
          <w:highlight w:val="none"/>
          <w:u w:val="single"/>
        </w:rPr>
        <w:t>日</w:t>
      </w:r>
      <w:r>
        <w:rPr>
          <w:rFonts w:hint="eastAsia" w:cs="仿宋" w:asciiTheme="majorEastAsia" w:hAnsiTheme="majorEastAsia" w:eastAsiaTheme="majorEastAsia"/>
          <w:sz w:val="24"/>
          <w:highlight w:val="none"/>
          <w:u w:val="single"/>
          <w:lang w:val="en-US" w:eastAsia="zh-CN"/>
        </w:rPr>
        <w:t>9</w:t>
      </w:r>
      <w:r>
        <w:rPr>
          <w:rFonts w:hint="eastAsia" w:cs="仿宋" w:asciiTheme="majorEastAsia" w:hAnsiTheme="majorEastAsia" w:eastAsiaTheme="majorEastAsia"/>
          <w:sz w:val="24"/>
          <w:highlight w:val="none"/>
          <w:u w:val="single"/>
        </w:rPr>
        <w:t>点</w:t>
      </w:r>
      <w:r>
        <w:rPr>
          <w:rFonts w:hint="eastAsia" w:cs="仿宋" w:asciiTheme="majorEastAsia" w:hAnsiTheme="majorEastAsia" w:eastAsiaTheme="majorEastAsia"/>
          <w:sz w:val="24"/>
          <w:highlight w:val="none"/>
          <w:u w:val="single"/>
          <w:lang w:val="en-US" w:eastAsia="zh-CN"/>
        </w:rPr>
        <w:t>00</w:t>
      </w:r>
      <w:r>
        <w:rPr>
          <w:rFonts w:hint="eastAsia" w:cs="仿宋" w:asciiTheme="majorEastAsia" w:hAnsiTheme="majorEastAsia" w:eastAsiaTheme="majorEastAsia"/>
          <w:sz w:val="24"/>
          <w:highlight w:val="none"/>
          <w:u w:val="single"/>
        </w:rPr>
        <w:t>分</w:t>
      </w:r>
      <w:r>
        <w:rPr>
          <w:rFonts w:hint="eastAsia" w:cs="仿宋" w:asciiTheme="majorEastAsia" w:hAnsiTheme="majorEastAsia" w:eastAsiaTheme="majorEastAsia"/>
          <w:bCs/>
          <w:sz w:val="24"/>
          <w:highlight w:val="none"/>
          <w:u w:val="single"/>
        </w:rPr>
        <w:t xml:space="preserve"> </w:t>
      </w:r>
      <w:r>
        <w:rPr>
          <w:rFonts w:hint="eastAsia" w:cs="仿宋" w:asciiTheme="majorEastAsia" w:hAnsiTheme="majorEastAsia" w:eastAsiaTheme="majorEastAsia"/>
          <w:sz w:val="24"/>
          <w:highlight w:val="none"/>
        </w:rPr>
        <w:t>（北京时间）。</w:t>
      </w:r>
    </w:p>
    <w:p w14:paraId="199D2F89">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投标地点（网址）：</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平台（https://</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sz w:val="24"/>
          <w:highlight w:val="none"/>
        </w:rPr>
        <w:t>/）。</w:t>
      </w:r>
    </w:p>
    <w:p w14:paraId="18B05F21">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Cs/>
          <w:sz w:val="24"/>
          <w:highlight w:val="none"/>
          <w:u w:val="single"/>
        </w:rPr>
      </w:pPr>
      <w:r>
        <w:rPr>
          <w:rFonts w:hint="eastAsia" w:cs="仿宋" w:asciiTheme="majorEastAsia" w:hAnsiTheme="majorEastAsia" w:eastAsiaTheme="majorEastAsia"/>
          <w:b/>
          <w:sz w:val="24"/>
          <w:highlight w:val="none"/>
        </w:rPr>
        <w:t>开标时间：</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u w:val="single"/>
          <w:lang w:eastAsia="zh-CN"/>
        </w:rPr>
        <w:t>2025年</w:t>
      </w:r>
      <w:r>
        <w:rPr>
          <w:rFonts w:hint="eastAsia" w:cs="仿宋" w:asciiTheme="majorEastAsia" w:hAnsiTheme="majorEastAsia" w:eastAsiaTheme="majorEastAsia"/>
          <w:sz w:val="24"/>
          <w:highlight w:val="none"/>
          <w:u w:val="single"/>
          <w:lang w:val="en-US" w:eastAsia="zh-CN"/>
        </w:rPr>
        <w:t>3</w:t>
      </w:r>
      <w:r>
        <w:rPr>
          <w:rFonts w:hint="eastAsia" w:cs="仿宋" w:asciiTheme="majorEastAsia" w:hAnsiTheme="majorEastAsia" w:eastAsiaTheme="majorEastAsia"/>
          <w:sz w:val="24"/>
          <w:highlight w:val="none"/>
          <w:u w:val="single"/>
        </w:rPr>
        <w:t>月</w:t>
      </w:r>
      <w:r>
        <w:rPr>
          <w:rFonts w:hint="eastAsia" w:cs="仿宋" w:asciiTheme="majorEastAsia" w:hAnsiTheme="majorEastAsia" w:eastAsiaTheme="majorEastAsia"/>
          <w:sz w:val="24"/>
          <w:highlight w:val="none"/>
          <w:u w:val="single"/>
          <w:lang w:val="en-US" w:eastAsia="zh-CN"/>
        </w:rPr>
        <w:t>24</w:t>
      </w:r>
      <w:r>
        <w:rPr>
          <w:rFonts w:hint="eastAsia" w:cs="仿宋" w:asciiTheme="majorEastAsia" w:hAnsiTheme="majorEastAsia" w:eastAsiaTheme="majorEastAsia"/>
          <w:sz w:val="24"/>
          <w:highlight w:val="none"/>
          <w:u w:val="single"/>
        </w:rPr>
        <w:t>日</w:t>
      </w:r>
      <w:r>
        <w:rPr>
          <w:rFonts w:hint="eastAsia" w:cs="仿宋" w:asciiTheme="majorEastAsia" w:hAnsiTheme="majorEastAsia" w:eastAsiaTheme="majorEastAsia"/>
          <w:sz w:val="24"/>
          <w:highlight w:val="none"/>
          <w:u w:val="single"/>
          <w:lang w:val="en-US" w:eastAsia="zh-CN"/>
        </w:rPr>
        <w:t>9</w:t>
      </w:r>
      <w:r>
        <w:rPr>
          <w:rFonts w:hint="eastAsia" w:cs="仿宋" w:asciiTheme="majorEastAsia" w:hAnsiTheme="majorEastAsia" w:eastAsiaTheme="majorEastAsia"/>
          <w:sz w:val="24"/>
          <w:highlight w:val="none"/>
          <w:u w:val="single"/>
        </w:rPr>
        <w:t>点</w:t>
      </w:r>
      <w:r>
        <w:rPr>
          <w:rFonts w:hint="eastAsia" w:cs="仿宋" w:asciiTheme="majorEastAsia" w:hAnsiTheme="majorEastAsia" w:eastAsiaTheme="majorEastAsia"/>
          <w:sz w:val="24"/>
          <w:highlight w:val="none"/>
          <w:u w:val="single"/>
          <w:lang w:val="en-US" w:eastAsia="zh-CN"/>
        </w:rPr>
        <w:t>00</w:t>
      </w:r>
      <w:r>
        <w:rPr>
          <w:rFonts w:hint="eastAsia" w:cs="仿宋" w:asciiTheme="majorEastAsia" w:hAnsiTheme="majorEastAsia" w:eastAsiaTheme="majorEastAsia"/>
          <w:sz w:val="24"/>
          <w:highlight w:val="none"/>
          <w:u w:val="single"/>
        </w:rPr>
        <w:t>分</w:t>
      </w:r>
      <w:r>
        <w:rPr>
          <w:rFonts w:hint="eastAsia" w:cs="仿宋" w:asciiTheme="majorEastAsia" w:hAnsiTheme="majorEastAsia" w:eastAsiaTheme="majorEastAsia"/>
          <w:bCs/>
          <w:sz w:val="24"/>
          <w:highlight w:val="none"/>
          <w:u w:val="single"/>
        </w:rPr>
        <w:t xml:space="preserve"> </w:t>
      </w:r>
      <w:r>
        <w:rPr>
          <w:rFonts w:hint="eastAsia" w:cs="仿宋" w:asciiTheme="majorEastAsia" w:hAnsiTheme="majorEastAsia" w:eastAsiaTheme="majorEastAsia"/>
          <w:bCs/>
          <w:sz w:val="24"/>
          <w:highlight w:val="none"/>
        </w:rPr>
        <w:t>。</w:t>
      </w:r>
    </w:p>
    <w:p w14:paraId="3E630A4C">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开标地点（网址）：</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平台（https://</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sz w:val="24"/>
          <w:highlight w:val="none"/>
        </w:rPr>
        <w:t>/）。</w:t>
      </w:r>
    </w:p>
    <w:p w14:paraId="20EF7E41">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开标地点（线下）：</w:t>
      </w:r>
      <w:r>
        <w:rPr>
          <w:rFonts w:hint="eastAsia" w:cs="仿宋" w:asciiTheme="majorEastAsia" w:hAnsiTheme="majorEastAsia" w:eastAsiaTheme="majorEastAsia"/>
          <w:bCs/>
          <w:sz w:val="24"/>
          <w:highlight w:val="none"/>
        </w:rPr>
        <w:t>宁波市奉化区公共资源交易中心开标厅</w:t>
      </w:r>
      <w:r>
        <w:rPr>
          <w:rFonts w:hint="eastAsia" w:cs="仿宋" w:asciiTheme="majorEastAsia" w:hAnsiTheme="majorEastAsia" w:eastAsiaTheme="majorEastAsia"/>
          <w:bCs/>
          <w:color w:val="auto"/>
          <w:sz w:val="24"/>
          <w:highlight w:val="none"/>
          <w:u w:val="none"/>
          <w:lang w:val="en-US" w:eastAsia="zh-CN"/>
        </w:rPr>
        <w:t>三</w:t>
      </w:r>
      <w:r>
        <w:rPr>
          <w:rFonts w:hint="eastAsia" w:cs="仿宋" w:asciiTheme="majorEastAsia" w:hAnsiTheme="majorEastAsia" w:eastAsiaTheme="majorEastAsia"/>
          <w:bCs/>
          <w:sz w:val="24"/>
          <w:highlight w:val="none"/>
        </w:rPr>
        <w:t>（宁波市奉化区大成东路277号4楼）</w:t>
      </w:r>
    </w:p>
    <w:p w14:paraId="13ECA2AE">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 xml:space="preserve">五、公告期限 </w:t>
      </w:r>
    </w:p>
    <w:p w14:paraId="27609944">
      <w:pPr>
        <w:keepNext w:val="0"/>
        <w:keepLines w:val="0"/>
        <w:pageBreakBefore w:val="0"/>
        <w:kinsoku/>
        <w:wordWrap/>
        <w:overflowPunct/>
        <w:topLinePunct w:val="0"/>
        <w:autoSpaceDE/>
        <w:autoSpaceDN/>
        <w:bidi w:val="0"/>
        <w:adjustRightInd/>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自本公告发布之日起5个工作日。</w:t>
      </w:r>
    </w:p>
    <w:p w14:paraId="555B2A43">
      <w:pPr>
        <w:keepNext w:val="0"/>
        <w:keepLines w:val="0"/>
        <w:pageBreakBefore w:val="0"/>
        <w:kinsoku/>
        <w:wordWrap/>
        <w:overflowPunct/>
        <w:topLinePunct w:val="0"/>
        <w:autoSpaceDE/>
        <w:autoSpaceDN/>
        <w:bidi w:val="0"/>
        <w:adjustRightInd/>
        <w:spacing w:line="360" w:lineRule="auto"/>
        <w:ind w:firstLine="482"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六、其他补充事宜</w:t>
      </w:r>
    </w:p>
    <w:p w14:paraId="4378B1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18015F6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sz w:val="24"/>
          <w:highlight w:val="none"/>
        </w:rPr>
        <w:t>）”进行招投标活动，不接受纸质投标文件；②投标准备：注册账号--点击“商家入驻”，进行政府采购供应商资料填写；申领CA数字证书---申领流程详见“</w:t>
      </w:r>
      <w:r>
        <w:rPr>
          <w:rFonts w:hint="eastAsia" w:cs="仿宋" w:asciiTheme="majorEastAsia" w:hAnsiTheme="majorEastAsia" w:eastAsiaTheme="majorEastAsia"/>
          <w:sz w:val="24"/>
          <w:highlight w:val="none"/>
          <w:lang w:eastAsia="zh-CN"/>
        </w:rPr>
        <w:t>浙江企业采购信息服务网</w:t>
      </w:r>
      <w:r>
        <w:rPr>
          <w:rFonts w:hint="eastAsia" w:cs="仿宋" w:asciiTheme="majorEastAsia" w:hAnsiTheme="majorEastAsia" w:eastAsiaTheme="majorEastAsia"/>
          <w:sz w:val="24"/>
          <w:highlight w:val="none"/>
        </w:rPr>
        <w:t>-下载专区-电子交易客户端-CA驱动和申领流程”；安装“</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电子交易客户端”----前往“</w:t>
      </w:r>
      <w:r>
        <w:rPr>
          <w:rFonts w:hint="eastAsia" w:cs="仿宋" w:asciiTheme="majorEastAsia" w:hAnsiTheme="majorEastAsia" w:eastAsiaTheme="majorEastAsia"/>
          <w:sz w:val="24"/>
          <w:highlight w:val="none"/>
          <w:lang w:eastAsia="zh-CN"/>
        </w:rPr>
        <w:t>浙江企业采购信息服务网</w:t>
      </w:r>
      <w:r>
        <w:rPr>
          <w:rFonts w:hint="eastAsia" w:cs="仿宋" w:asciiTheme="majorEastAsia" w:hAnsiTheme="majorEastAsia" w:eastAsiaTheme="majorEastAsia"/>
          <w:sz w:val="24"/>
          <w:highlight w:val="none"/>
        </w:rPr>
        <w:t>-下载专区-电子交易客户端</w:t>
      </w:r>
      <w:r>
        <w:rPr>
          <w:rFonts w:hint="eastAsia" w:cs="仿宋" w:asciiTheme="majorEastAsia" w:hAnsiTheme="majorEastAsia" w:eastAsiaTheme="majorEastAsia"/>
          <w:sz w:val="24"/>
          <w:highlight w:val="none"/>
          <w:lang w:eastAsia="zh-CN"/>
        </w:rPr>
        <w:t>（https://b.zhengcaiyun.cn/luban/category?parentId=550045&amp;childrenCode=qicaiCategory17&amp;utm=luban.luban-PC-39026.959-pc-websitegroup-navBar-front.8.ebdec73052c711ef9ade896d008b9248）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sz w:val="24"/>
          <w:highlight w:val="none"/>
        </w:rPr>
        <w:t>”进行下载并安装；</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合理预估时间，及时办理。③招标文件的获取：使用账号登录或者使用CA登录</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平台；进入“项目采购”应用，在获取采购文件菜单中选择项目，获取招标文件；④投标文件的制作：在“</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按照平台提示和招标文件的规定在半小时内完成在线解密。⑨具体操作指南：详见</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平台“服务中心-帮助文档-项目采购-操作流程-电子招投标-政府采购项目电子交易管理操作指南-供应商”。</w:t>
      </w:r>
    </w:p>
    <w:p w14:paraId="272E37D6">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七、对本次采购提出询问、质疑、投诉，请按以下方式联系</w:t>
      </w:r>
      <w:r>
        <w:rPr>
          <w:rFonts w:hint="eastAsia" w:cs="仿宋" w:asciiTheme="majorEastAsia" w:hAnsiTheme="majorEastAsia" w:eastAsiaTheme="majorEastAsia"/>
          <w:sz w:val="24"/>
          <w:highlight w:val="none"/>
        </w:rPr>
        <w:t xml:space="preserve"> </w:t>
      </w:r>
    </w:p>
    <w:p w14:paraId="6C0FBE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1.采购人信息</w:t>
      </w:r>
    </w:p>
    <w:p w14:paraId="2A17AF5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名    称：</w:t>
      </w:r>
      <w:r>
        <w:rPr>
          <w:rFonts w:hint="eastAsia" w:ascii="宋体" w:hAnsi="宋体" w:eastAsia="宋体" w:cs="宋体"/>
          <w:i w:val="0"/>
          <w:iCs w:val="0"/>
          <w:caps w:val="0"/>
          <w:color w:val="000000"/>
          <w:spacing w:val="0"/>
          <w:sz w:val="24"/>
          <w:szCs w:val="24"/>
          <w:highlight w:val="none"/>
        </w:rPr>
        <w:t>宁波市奉化区经开控股有限公司</w:t>
      </w:r>
    </w:p>
    <w:p w14:paraId="0C6B94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s="仿宋" w:asciiTheme="majorEastAsia" w:hAnsiTheme="majorEastAsia"/>
          <w:sz w:val="24"/>
          <w:highlight w:val="none"/>
          <w:lang w:val="en-US" w:eastAsia="zh-CN"/>
        </w:rPr>
      </w:pPr>
      <w:r>
        <w:rPr>
          <w:rFonts w:hint="eastAsia" w:cs="仿宋" w:asciiTheme="majorEastAsia" w:hAnsiTheme="majorEastAsia" w:eastAsiaTheme="majorEastAsia"/>
          <w:sz w:val="24"/>
          <w:highlight w:val="none"/>
          <w:lang w:eastAsia="zh-CN"/>
        </w:rPr>
        <w:t>地    址：</w:t>
      </w:r>
      <w:r>
        <w:rPr>
          <w:rFonts w:hint="eastAsia" w:ascii="宋体" w:hAnsi="宋体" w:eastAsia="宋体" w:cs="宋体"/>
          <w:i w:val="0"/>
          <w:iCs w:val="0"/>
          <w:caps w:val="0"/>
          <w:color w:val="000000"/>
          <w:spacing w:val="0"/>
          <w:sz w:val="24"/>
          <w:szCs w:val="24"/>
          <w:highlight w:val="none"/>
        </w:rPr>
        <w:t>宁波市奉化区滨海新区星海路28号</w:t>
      </w:r>
      <w:r>
        <w:rPr>
          <w:rFonts w:hint="eastAsia" w:ascii="宋体" w:hAnsi="宋体" w:eastAsia="宋体" w:cs="宋体"/>
          <w:i w:val="0"/>
          <w:iCs w:val="0"/>
          <w:caps w:val="0"/>
          <w:color w:val="000000"/>
          <w:spacing w:val="0"/>
          <w:sz w:val="24"/>
          <w:szCs w:val="24"/>
          <w:highlight w:val="none"/>
          <w:lang w:val="en-US" w:eastAsia="zh-CN"/>
        </w:rPr>
        <w:tab/>
      </w:r>
    </w:p>
    <w:p w14:paraId="3FBA6C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lang w:eastAsia="zh-CN"/>
        </w:rPr>
        <w:t>项目联系人：</w:t>
      </w:r>
      <w:r>
        <w:rPr>
          <w:rFonts w:hint="eastAsia" w:ascii="宋体" w:hAnsi="宋体" w:eastAsia="宋体" w:cs="宋体"/>
          <w:i w:val="0"/>
          <w:iCs w:val="0"/>
          <w:caps w:val="0"/>
          <w:color w:val="000000"/>
          <w:spacing w:val="0"/>
          <w:sz w:val="24"/>
          <w:szCs w:val="24"/>
          <w:highlight w:val="none"/>
        </w:rPr>
        <w:t>刘先生</w:t>
      </w:r>
    </w:p>
    <w:p w14:paraId="72F197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仿宋" w:asciiTheme="majorEastAsia" w:hAnsiTheme="majorEastAsia" w:eastAsiaTheme="majorEastAsia"/>
          <w:sz w:val="24"/>
          <w:highlight w:val="none"/>
        </w:rPr>
      </w:pPr>
      <w:r>
        <w:rPr>
          <w:rFonts w:hint="eastAsia" w:ascii="宋体" w:hAnsi="宋体" w:cs="宋体"/>
          <w:sz w:val="24"/>
          <w:highlight w:val="none"/>
        </w:rPr>
        <w:t>项目联系方式：</w:t>
      </w:r>
      <w:r>
        <w:rPr>
          <w:rFonts w:hint="eastAsia" w:ascii="宋体" w:hAnsi="宋体" w:eastAsia="宋体" w:cs="宋体"/>
          <w:i w:val="0"/>
          <w:iCs w:val="0"/>
          <w:caps w:val="0"/>
          <w:color w:val="000000"/>
          <w:spacing w:val="0"/>
          <w:sz w:val="24"/>
          <w:szCs w:val="24"/>
          <w:highlight w:val="none"/>
        </w:rPr>
        <w:t>0574-88768003</w:t>
      </w:r>
    </w:p>
    <w:p w14:paraId="45A62E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仿宋"/>
          <w:sz w:val="24"/>
          <w:highlight w:val="none"/>
        </w:rPr>
      </w:pPr>
      <w:r>
        <w:rPr>
          <w:rFonts w:hint="eastAsia" w:cs="仿宋" w:asciiTheme="majorEastAsia" w:hAnsiTheme="majorEastAsia" w:eastAsiaTheme="majorEastAsia"/>
          <w:sz w:val="24"/>
          <w:highlight w:val="none"/>
        </w:rPr>
        <w:t>2.</w:t>
      </w:r>
      <w:r>
        <w:rPr>
          <w:rFonts w:hint="eastAsia" w:ascii="宋体" w:hAnsi="宋体" w:eastAsia="宋体" w:cs="仿宋"/>
          <w:sz w:val="24"/>
          <w:highlight w:val="none"/>
        </w:rPr>
        <w:t xml:space="preserve">采购代理机构信息            </w:t>
      </w:r>
    </w:p>
    <w:p w14:paraId="5E7F60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lang w:eastAsia="zh-CN"/>
        </w:rPr>
      </w:pPr>
      <w:r>
        <w:rPr>
          <w:rFonts w:hint="eastAsia" w:ascii="宋体" w:hAnsi="宋体" w:eastAsia="宋体" w:cs="仿宋"/>
          <w:sz w:val="24"/>
          <w:highlight w:val="none"/>
        </w:rPr>
        <w:t>名    称：</w:t>
      </w:r>
      <w:r>
        <w:rPr>
          <w:rFonts w:hint="eastAsia" w:ascii="宋体" w:hAnsi="宋体" w:cs="仿宋"/>
          <w:sz w:val="24"/>
          <w:highlight w:val="none"/>
          <w:lang w:eastAsia="zh-CN"/>
        </w:rPr>
        <w:t>宁波日月欣项目管理有限公司</w:t>
      </w:r>
    </w:p>
    <w:p w14:paraId="2AA444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 xml:space="preserve">地    址：宁波市奉化区岳林街道斗门路136号艾盛环球中心七楼      </w:t>
      </w:r>
    </w:p>
    <w:p w14:paraId="3B9738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项目联系人（询问）：</w:t>
      </w:r>
      <w:r>
        <w:rPr>
          <w:rFonts w:hint="eastAsia" w:ascii="宋体" w:hAnsi="宋体" w:cs="仿宋"/>
          <w:sz w:val="24"/>
          <w:highlight w:val="none"/>
          <w:lang w:val="en-US" w:eastAsia="zh-CN"/>
        </w:rPr>
        <w:t>陈先生</w:t>
      </w:r>
      <w:r>
        <w:rPr>
          <w:rFonts w:hint="eastAsia" w:ascii="宋体" w:hAnsi="宋体" w:eastAsia="宋体" w:cs="仿宋"/>
          <w:sz w:val="24"/>
          <w:highlight w:val="none"/>
        </w:rPr>
        <w:t xml:space="preserve">       </w:t>
      </w:r>
    </w:p>
    <w:p w14:paraId="25C836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
          <w:sz w:val="24"/>
          <w:highlight w:val="none"/>
          <w:lang w:val="en-US" w:eastAsia="zh-CN"/>
        </w:rPr>
      </w:pPr>
      <w:r>
        <w:rPr>
          <w:rFonts w:hint="eastAsia" w:ascii="宋体" w:hAnsi="宋体" w:eastAsia="宋体" w:cs="仿宋"/>
          <w:sz w:val="24"/>
          <w:highlight w:val="none"/>
        </w:rPr>
        <w:t>项目联系方式（询问）：</w:t>
      </w:r>
      <w:r>
        <w:rPr>
          <w:rFonts w:hint="eastAsia" w:ascii="宋体" w:hAnsi="宋体" w:eastAsia="宋体" w:cs="宋体"/>
          <w:sz w:val="24"/>
          <w:highlight w:val="none"/>
        </w:rPr>
        <w:t>0574-885</w:t>
      </w:r>
      <w:r>
        <w:rPr>
          <w:rFonts w:hint="eastAsia" w:ascii="宋体" w:hAnsi="宋体" w:cs="宋体"/>
          <w:sz w:val="24"/>
          <w:highlight w:val="none"/>
          <w:lang w:val="en-US" w:eastAsia="zh-CN"/>
        </w:rPr>
        <w:t>23198</w:t>
      </w:r>
    </w:p>
    <w:p w14:paraId="3945AF7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 xml:space="preserve">质疑联系人：邹先生             </w:t>
      </w:r>
    </w:p>
    <w:p w14:paraId="347E66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质疑联系方式：</w:t>
      </w:r>
      <w:r>
        <w:rPr>
          <w:rFonts w:hint="eastAsia" w:ascii="宋体" w:hAnsi="宋体" w:eastAsia="宋体" w:cs="宋体"/>
          <w:sz w:val="24"/>
          <w:highlight w:val="none"/>
        </w:rPr>
        <w:t>0574-885</w:t>
      </w:r>
      <w:r>
        <w:rPr>
          <w:rFonts w:hint="eastAsia" w:ascii="宋体" w:hAnsi="宋体" w:cs="宋体"/>
          <w:sz w:val="24"/>
          <w:highlight w:val="none"/>
          <w:lang w:val="en-US" w:eastAsia="zh-CN"/>
        </w:rPr>
        <w:t>23198</w:t>
      </w:r>
    </w:p>
    <w:p w14:paraId="0A26CB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 xml:space="preserve"> 3.同级监督管理部门            </w:t>
      </w:r>
    </w:p>
    <w:p w14:paraId="2DFF83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名称：</w:t>
      </w:r>
      <w:r>
        <w:rPr>
          <w:rFonts w:hint="eastAsia" w:ascii="宋体" w:hAnsi="宋体" w:eastAsia="宋体" w:cs="宋体"/>
          <w:i w:val="0"/>
          <w:iCs w:val="0"/>
          <w:caps w:val="0"/>
          <w:color w:val="000000"/>
          <w:spacing w:val="0"/>
          <w:sz w:val="24"/>
          <w:szCs w:val="24"/>
          <w:highlight w:val="none"/>
        </w:rPr>
        <w:t>奉化经济开发区管理委员会纪检部</w:t>
      </w:r>
    </w:p>
    <w:p w14:paraId="24B2A9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地址：</w:t>
      </w:r>
      <w:r>
        <w:rPr>
          <w:rFonts w:hint="eastAsia" w:ascii="宋体" w:hAnsi="宋体" w:eastAsia="宋体" w:cs="宋体"/>
          <w:i w:val="0"/>
          <w:iCs w:val="0"/>
          <w:caps w:val="0"/>
          <w:color w:val="000000"/>
          <w:spacing w:val="0"/>
          <w:sz w:val="24"/>
          <w:szCs w:val="24"/>
          <w:highlight w:val="none"/>
        </w:rPr>
        <w:t>宁波市奉化区滨海新区星海路28号</w:t>
      </w:r>
    </w:p>
    <w:p w14:paraId="4CBDCF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联系人：</w:t>
      </w:r>
      <w:r>
        <w:rPr>
          <w:rFonts w:hint="eastAsia" w:ascii="宋体" w:hAnsi="宋体" w:eastAsia="宋体" w:cs="宋体"/>
          <w:i w:val="0"/>
          <w:iCs w:val="0"/>
          <w:caps w:val="0"/>
          <w:color w:val="000000"/>
          <w:spacing w:val="0"/>
          <w:sz w:val="24"/>
          <w:szCs w:val="24"/>
          <w:highlight w:val="none"/>
        </w:rPr>
        <w:t>竺先生</w:t>
      </w:r>
      <w:r>
        <w:rPr>
          <w:rFonts w:hint="eastAsia" w:ascii="宋体" w:hAnsi="宋体" w:eastAsia="宋体" w:cs="仿宋"/>
          <w:sz w:val="24"/>
          <w:highlight w:val="none"/>
        </w:rPr>
        <w:t xml:space="preserve">     </w:t>
      </w:r>
    </w:p>
    <w:p w14:paraId="1501B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sz w:val="24"/>
          <w:highlight w:val="none"/>
        </w:rPr>
      </w:pPr>
      <w:r>
        <w:rPr>
          <w:rFonts w:hint="eastAsia" w:ascii="宋体" w:hAnsi="宋体" w:eastAsia="宋体" w:cs="仿宋"/>
          <w:sz w:val="24"/>
          <w:highlight w:val="none"/>
        </w:rPr>
        <w:t>联系方式：</w:t>
      </w:r>
      <w:r>
        <w:rPr>
          <w:rFonts w:hint="eastAsia" w:ascii="宋体" w:hAnsi="宋体" w:eastAsia="宋体" w:cs="宋体"/>
          <w:i w:val="0"/>
          <w:iCs w:val="0"/>
          <w:caps w:val="0"/>
          <w:color w:val="000000"/>
          <w:spacing w:val="0"/>
          <w:sz w:val="24"/>
          <w:szCs w:val="24"/>
          <w:highlight w:val="none"/>
        </w:rPr>
        <w:t>0574-59515537</w:t>
      </w:r>
    </w:p>
    <w:p w14:paraId="7099CC8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若对项目采购电子交易系统操作有疑问，可登录</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（https://</w:t>
      </w:r>
      <w:r>
        <w:rPr>
          <w:rFonts w:hint="eastAsia" w:cs="仿宋" w:asciiTheme="majorEastAsia" w:hAnsiTheme="majorEastAsia" w:eastAsiaTheme="majorEastAsia"/>
          <w:sz w:val="24"/>
          <w:highlight w:val="none"/>
          <w:lang w:eastAsia="zh-CN"/>
        </w:rPr>
        <w:t>www.lecaiyun.com</w:t>
      </w:r>
      <w:r>
        <w:rPr>
          <w:rFonts w:hint="eastAsia" w:cs="仿宋" w:asciiTheme="majorEastAsia" w:hAnsiTheme="majorEastAsia" w:eastAsiaTheme="majorEastAsia"/>
          <w:sz w:val="24"/>
          <w:highlight w:val="none"/>
        </w:rPr>
        <w:t>/），点击右侧咨询小采，获取采小蜜智能服务管家帮助，或拨打</w:t>
      </w:r>
      <w:r>
        <w:rPr>
          <w:rFonts w:hint="eastAsia" w:cs="仿宋" w:asciiTheme="majorEastAsia" w:hAnsiTheme="majorEastAsia" w:eastAsiaTheme="majorEastAsia"/>
          <w:sz w:val="24"/>
          <w:highlight w:val="none"/>
          <w:lang w:eastAsia="zh-CN"/>
        </w:rPr>
        <w:t>乐采云</w:t>
      </w:r>
      <w:r>
        <w:rPr>
          <w:rFonts w:hint="eastAsia" w:cs="仿宋" w:asciiTheme="majorEastAsia" w:hAnsiTheme="majorEastAsia" w:eastAsiaTheme="majorEastAsia"/>
          <w:sz w:val="24"/>
          <w:highlight w:val="none"/>
        </w:rPr>
        <w:t>服务热线</w:t>
      </w:r>
      <w:r>
        <w:rPr>
          <w:rFonts w:hint="eastAsia" w:cs="仿宋" w:asciiTheme="majorEastAsia" w:hAnsiTheme="majorEastAsia" w:eastAsiaTheme="majorEastAsia"/>
          <w:color w:val="7030A0"/>
          <w:sz w:val="24"/>
          <w:highlight w:val="none"/>
          <w:lang w:val="en-US" w:eastAsia="zh-CN"/>
        </w:rPr>
        <w:t>95763</w:t>
      </w:r>
      <w:r>
        <w:rPr>
          <w:rFonts w:hint="eastAsia" w:cs="仿宋" w:asciiTheme="majorEastAsia" w:hAnsiTheme="majorEastAsia" w:eastAsiaTheme="majorEastAsia"/>
          <w:sz w:val="24"/>
          <w:highlight w:val="none"/>
        </w:rPr>
        <w:t>获取热线服务帮助。</w:t>
      </w:r>
    </w:p>
    <w:p w14:paraId="6FE8B4D3">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CA问题联系电话（人工）：汇信CA 400-888-4636；天谷CA 400-087-8198。</w:t>
      </w:r>
    </w:p>
    <w:bookmarkEnd w:id="6"/>
    <w:bookmarkEnd w:id="7"/>
    <w:p w14:paraId="0CAAF76D">
      <w:pPr>
        <w:kinsoku/>
        <w:wordWrap/>
        <w:overflowPunct/>
        <w:topLinePunct w:val="0"/>
        <w:bidi w:val="0"/>
        <w:spacing w:line="360" w:lineRule="auto"/>
        <w:jc w:val="center"/>
        <w:outlineLvl w:val="0"/>
        <w:rPr>
          <w:rFonts w:hint="eastAsia" w:cs="仿宋" w:asciiTheme="majorEastAsia" w:hAnsiTheme="majorEastAsia" w:eastAsiaTheme="majorEastAsia"/>
          <w:b/>
          <w:sz w:val="36"/>
          <w:szCs w:val="20"/>
          <w:highlight w:val="none"/>
        </w:rPr>
        <w:sectPr>
          <w:headerReference r:id="rId3" w:type="default"/>
          <w:footerReference r:id="rId4" w:type="default"/>
          <w:pgSz w:w="11906" w:h="16838"/>
          <w:pgMar w:top="1440" w:right="1140" w:bottom="1440" w:left="1140" w:header="510" w:footer="992" w:gutter="0"/>
          <w:pgBorders>
            <w:top w:val="none" w:sz="0" w:space="0"/>
            <w:left w:val="none" w:sz="0" w:space="0"/>
            <w:bottom w:val="none" w:sz="0" w:space="0"/>
            <w:right w:val="none" w:sz="0" w:space="0"/>
          </w:pgBorders>
          <w:cols w:space="425" w:num="1"/>
          <w:docGrid w:type="lines" w:linePitch="312" w:charSpace="0"/>
        </w:sectPr>
      </w:pPr>
      <w:bookmarkStart w:id="8" w:name="_Toc164416483"/>
    </w:p>
    <w:p w14:paraId="1777D894">
      <w:pPr>
        <w:spacing w:line="380" w:lineRule="exact"/>
        <w:jc w:val="center"/>
        <w:outlineLvl w:val="0"/>
        <w:rPr>
          <w:rFonts w:ascii="宋体" w:hAnsi="宋体" w:cs="仿宋"/>
          <w:b/>
          <w:sz w:val="36"/>
          <w:szCs w:val="20"/>
          <w:highlight w:val="none"/>
        </w:rPr>
      </w:pPr>
      <w:r>
        <w:rPr>
          <w:rFonts w:hint="eastAsia" w:ascii="宋体" w:hAnsi="宋体" w:cs="仿宋"/>
          <w:b/>
          <w:sz w:val="36"/>
          <w:szCs w:val="20"/>
          <w:highlight w:val="none"/>
        </w:rPr>
        <w:t>第二部分 投标须知</w:t>
      </w:r>
    </w:p>
    <w:p w14:paraId="01F31C75">
      <w:pPr>
        <w:snapToGrid w:val="0"/>
        <w:spacing w:line="360" w:lineRule="auto"/>
        <w:jc w:val="center"/>
        <w:rPr>
          <w:rFonts w:ascii="宋体" w:hAnsi="宋体" w:cs="仿宋"/>
          <w:b/>
          <w:sz w:val="32"/>
          <w:szCs w:val="20"/>
          <w:highlight w:val="none"/>
        </w:rPr>
      </w:pPr>
      <w:r>
        <w:rPr>
          <w:rFonts w:hint="eastAsia" w:ascii="宋体" w:hAnsi="宋体" w:cs="仿宋"/>
          <w:b/>
          <w:sz w:val="32"/>
          <w:szCs w:val="20"/>
          <w:highlight w:val="none"/>
        </w:rPr>
        <w:t>前附表</w:t>
      </w:r>
    </w:p>
    <w:tbl>
      <w:tblPr>
        <w:tblStyle w:val="26"/>
        <w:tblW w:w="993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1"/>
        <w:gridCol w:w="1751"/>
        <w:gridCol w:w="7559"/>
      </w:tblGrid>
      <w:tr w14:paraId="1F11F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3"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14:paraId="4B154748">
            <w:pPr>
              <w:snapToGrid w:val="0"/>
              <w:spacing w:line="300" w:lineRule="exact"/>
              <w:jc w:val="center"/>
              <w:rPr>
                <w:rFonts w:ascii="宋体" w:hAnsi="宋体" w:cs="仿宋"/>
                <w:b/>
                <w:sz w:val="24"/>
                <w:highlight w:val="none"/>
              </w:rPr>
            </w:pPr>
            <w:r>
              <w:rPr>
                <w:rFonts w:hint="eastAsia" w:ascii="宋体" w:hAnsi="宋体" w:cs="仿宋"/>
                <w:b/>
                <w:sz w:val="24"/>
                <w:highlight w:val="none"/>
              </w:rPr>
              <w:t>序号</w:t>
            </w:r>
          </w:p>
        </w:tc>
        <w:tc>
          <w:tcPr>
            <w:tcW w:w="1751" w:type="dxa"/>
            <w:tcBorders>
              <w:top w:val="single" w:color="000000" w:sz="8" w:space="0"/>
              <w:left w:val="single" w:color="auto" w:sz="4" w:space="0"/>
              <w:bottom w:val="single" w:color="000000" w:sz="8" w:space="0"/>
              <w:right w:val="single" w:color="000000" w:sz="8" w:space="0"/>
            </w:tcBorders>
            <w:noWrap w:val="0"/>
            <w:vAlign w:val="center"/>
          </w:tcPr>
          <w:p w14:paraId="6B2044B1">
            <w:pPr>
              <w:snapToGrid w:val="0"/>
              <w:spacing w:line="300" w:lineRule="exact"/>
              <w:jc w:val="center"/>
              <w:rPr>
                <w:rFonts w:ascii="宋体" w:hAnsi="宋体" w:cs="仿宋"/>
                <w:b/>
                <w:sz w:val="24"/>
                <w:highlight w:val="none"/>
              </w:rPr>
            </w:pPr>
            <w:r>
              <w:rPr>
                <w:rFonts w:hint="eastAsia" w:ascii="宋体" w:hAnsi="宋体" w:cs="仿宋"/>
                <w:b/>
                <w:sz w:val="24"/>
                <w:highlight w:val="none"/>
              </w:rPr>
              <w:t>事项</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4C68F01A">
            <w:pPr>
              <w:snapToGrid w:val="0"/>
              <w:spacing w:line="300" w:lineRule="exact"/>
              <w:jc w:val="center"/>
              <w:rPr>
                <w:rFonts w:ascii="宋体" w:hAnsi="宋体" w:cs="仿宋"/>
                <w:b/>
                <w:sz w:val="24"/>
                <w:highlight w:val="none"/>
              </w:rPr>
            </w:pPr>
            <w:r>
              <w:rPr>
                <w:rFonts w:hint="eastAsia" w:ascii="宋体" w:hAnsi="宋体" w:cs="仿宋"/>
                <w:b/>
                <w:sz w:val="24"/>
                <w:highlight w:val="none"/>
              </w:rPr>
              <w:t>本项目的特别规定</w:t>
            </w:r>
          </w:p>
        </w:tc>
      </w:tr>
      <w:tr w14:paraId="099C06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397"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14:paraId="2E7F7B19">
            <w:pPr>
              <w:snapToGrid w:val="0"/>
              <w:spacing w:line="300" w:lineRule="exact"/>
              <w:jc w:val="center"/>
              <w:rPr>
                <w:rFonts w:ascii="宋体" w:hAnsi="宋体" w:cs="仿宋"/>
                <w:sz w:val="24"/>
                <w:highlight w:val="none"/>
              </w:rPr>
            </w:pPr>
          </w:p>
          <w:p w14:paraId="52A22555">
            <w:pPr>
              <w:snapToGrid w:val="0"/>
              <w:spacing w:line="300" w:lineRule="exact"/>
              <w:jc w:val="center"/>
              <w:rPr>
                <w:rFonts w:ascii="宋体" w:hAnsi="宋体" w:cs="仿宋"/>
                <w:sz w:val="24"/>
                <w:highlight w:val="none"/>
              </w:rPr>
            </w:pPr>
          </w:p>
          <w:p w14:paraId="70CD5A14">
            <w:pPr>
              <w:snapToGrid w:val="0"/>
              <w:spacing w:line="300" w:lineRule="exact"/>
              <w:jc w:val="center"/>
              <w:rPr>
                <w:rFonts w:ascii="宋体" w:hAnsi="宋体" w:cs="仿宋"/>
                <w:sz w:val="24"/>
                <w:highlight w:val="none"/>
              </w:rPr>
            </w:pPr>
          </w:p>
          <w:p w14:paraId="7FB62FB0">
            <w:pPr>
              <w:snapToGrid w:val="0"/>
              <w:spacing w:line="300" w:lineRule="exact"/>
              <w:jc w:val="center"/>
              <w:rPr>
                <w:rFonts w:ascii="宋体" w:hAnsi="宋体" w:cs="仿宋"/>
                <w:sz w:val="24"/>
                <w:highlight w:val="none"/>
              </w:rPr>
            </w:pPr>
          </w:p>
          <w:p w14:paraId="545E4DBA">
            <w:pPr>
              <w:snapToGrid w:val="0"/>
              <w:spacing w:line="300" w:lineRule="exact"/>
              <w:jc w:val="center"/>
              <w:rPr>
                <w:rFonts w:ascii="宋体" w:hAnsi="宋体" w:cs="仿宋"/>
                <w:sz w:val="24"/>
                <w:highlight w:val="none"/>
              </w:rPr>
            </w:pPr>
          </w:p>
          <w:p w14:paraId="5BEFDCB8">
            <w:pPr>
              <w:snapToGrid w:val="0"/>
              <w:spacing w:line="300" w:lineRule="exact"/>
              <w:jc w:val="center"/>
              <w:rPr>
                <w:rFonts w:ascii="宋体" w:hAnsi="宋体" w:cs="仿宋"/>
                <w:sz w:val="24"/>
                <w:highlight w:val="none"/>
              </w:rPr>
            </w:pPr>
          </w:p>
          <w:p w14:paraId="0B3EC69B">
            <w:pPr>
              <w:snapToGrid w:val="0"/>
              <w:spacing w:line="300" w:lineRule="exact"/>
              <w:jc w:val="center"/>
              <w:rPr>
                <w:rFonts w:ascii="宋体" w:hAnsi="宋体" w:cs="仿宋"/>
                <w:sz w:val="24"/>
                <w:highlight w:val="none"/>
              </w:rPr>
            </w:pPr>
          </w:p>
          <w:p w14:paraId="55A1F507">
            <w:pPr>
              <w:snapToGrid w:val="0"/>
              <w:spacing w:line="300" w:lineRule="exact"/>
              <w:jc w:val="center"/>
              <w:rPr>
                <w:rFonts w:ascii="宋体" w:hAnsi="宋体" w:cs="仿宋"/>
                <w:sz w:val="24"/>
                <w:highlight w:val="none"/>
              </w:rPr>
            </w:pPr>
            <w:r>
              <w:rPr>
                <w:rFonts w:hint="eastAsia" w:ascii="宋体" w:hAnsi="宋体" w:cs="仿宋"/>
                <w:sz w:val="24"/>
                <w:highlight w:val="none"/>
              </w:rPr>
              <w:t>1</w:t>
            </w:r>
          </w:p>
        </w:tc>
        <w:tc>
          <w:tcPr>
            <w:tcW w:w="1751" w:type="dxa"/>
            <w:tcBorders>
              <w:top w:val="single" w:color="000000" w:sz="8" w:space="0"/>
              <w:left w:val="single" w:color="auto" w:sz="4" w:space="0"/>
              <w:bottom w:val="single" w:color="000000" w:sz="8" w:space="0"/>
              <w:right w:val="single" w:color="000000" w:sz="8" w:space="0"/>
            </w:tcBorders>
            <w:noWrap w:val="0"/>
            <w:vAlign w:val="center"/>
          </w:tcPr>
          <w:p w14:paraId="6FEA4561">
            <w:pPr>
              <w:kinsoku/>
              <w:wordWrap/>
              <w:overflowPunct/>
              <w:topLinePunct w:val="0"/>
              <w:bidi w:val="0"/>
              <w:snapToGrid w:val="0"/>
              <w:spacing w:line="360" w:lineRule="auto"/>
              <w:jc w:val="center"/>
              <w:rPr>
                <w:rFonts w:ascii="宋体" w:hAnsi="宋体" w:cs="仿宋"/>
                <w:b/>
                <w:sz w:val="24"/>
                <w:highlight w:val="none"/>
              </w:rPr>
            </w:pPr>
            <w:r>
              <w:rPr>
                <w:rFonts w:hint="eastAsia" w:ascii="宋体" w:hAnsi="宋体" w:eastAsia="宋体" w:cs="仿宋"/>
                <w:b/>
                <w:color w:val="auto"/>
                <w:sz w:val="24"/>
                <w:highlight w:val="none"/>
              </w:rPr>
              <w:t>报价要求</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70B24AAE">
            <w:pPr>
              <w:snapToGrid w:val="0"/>
              <w:spacing w:line="360" w:lineRule="auto"/>
              <w:jc w:val="left"/>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开标一览表是报价的唯一载体</w:t>
            </w:r>
            <w:r>
              <w:rPr>
                <w:rFonts w:hint="eastAsia" w:ascii="宋体" w:hAnsi="宋体" w:eastAsia="宋体" w:cs="宋体"/>
                <w:color w:val="auto"/>
                <w:kern w:val="0"/>
                <w:sz w:val="24"/>
                <w:szCs w:val="24"/>
                <w:highlight w:val="none"/>
                <w:lang w:val="zh-CN"/>
              </w:rPr>
              <w:t>。投标文件中价格全部采用人民币报价。招标文件未列明，而供应商认为必需的费用也需列入报价。</w:t>
            </w:r>
          </w:p>
          <w:p w14:paraId="622C1E2B">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6BDD2100">
            <w:pPr>
              <w:snapToGrid w:val="0"/>
              <w:spacing w:line="360" w:lineRule="auto"/>
              <w:ind w:firstLine="241" w:firstLineChars="100"/>
              <w:jc w:val="left"/>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7145C299">
            <w:pPr>
              <w:shd w:val="clear" w:color="auto" w:fill="auto"/>
              <w:snapToGrid w:val="0"/>
              <w:spacing w:line="360" w:lineRule="auto"/>
              <w:ind w:firstLine="241" w:firstLineChars="100"/>
              <w:jc w:val="left"/>
              <w:rPr>
                <w:rFonts w:ascii="宋体" w:hAnsi="宋体" w:eastAsia="宋体" w:cs="仿宋"/>
                <w:color w:val="auto"/>
                <w:kern w:val="0"/>
                <w:sz w:val="24"/>
                <w:highlight w:val="none"/>
                <w:lang w:val="zh-CN"/>
              </w:rPr>
            </w:pPr>
            <w:r>
              <w:rPr>
                <w:rFonts w:hint="eastAsia" w:ascii="宋体" w:hAnsi="宋体" w:eastAsia="宋体" w:cs="仿宋"/>
                <w:b/>
                <w:color w:val="auto"/>
                <w:kern w:val="0"/>
                <w:sz w:val="24"/>
                <w:highlight w:val="none"/>
                <w:lang w:val="zh-CN"/>
              </w:rPr>
              <w:t>投标报价超过招标文件中规定的预算金额或者最高限价的;</w:t>
            </w:r>
          </w:p>
          <w:p w14:paraId="58AF847B">
            <w:pPr>
              <w:spacing w:line="360" w:lineRule="auto"/>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35EEAEFE">
            <w:pPr>
              <w:spacing w:line="312" w:lineRule="auto"/>
              <w:ind w:firstLine="241" w:firstLineChars="100"/>
              <w:rPr>
                <w:rFonts w:ascii="宋体" w:hAnsi="宋体" w:cs="仿宋"/>
                <w:sz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6A8DF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35"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14:paraId="7ED9829E">
            <w:pPr>
              <w:snapToGrid w:val="0"/>
              <w:spacing w:line="300" w:lineRule="exact"/>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2</w:t>
            </w:r>
          </w:p>
        </w:tc>
        <w:tc>
          <w:tcPr>
            <w:tcW w:w="1751" w:type="dxa"/>
            <w:tcBorders>
              <w:top w:val="single" w:color="000000" w:sz="8" w:space="0"/>
              <w:left w:val="single" w:color="auto" w:sz="4" w:space="0"/>
              <w:bottom w:val="single" w:color="000000" w:sz="8" w:space="0"/>
              <w:right w:val="single" w:color="000000" w:sz="8" w:space="0"/>
            </w:tcBorders>
            <w:noWrap w:val="0"/>
            <w:vAlign w:val="center"/>
          </w:tcPr>
          <w:p w14:paraId="2FD44B7F">
            <w:pPr>
              <w:snapToGrid w:val="0"/>
              <w:spacing w:line="300" w:lineRule="exact"/>
              <w:ind w:firstLine="241" w:firstLineChars="100"/>
              <w:jc w:val="left"/>
              <w:rPr>
                <w:rFonts w:ascii="宋体" w:hAnsi="宋体" w:cs="仿宋"/>
                <w:b/>
                <w:sz w:val="24"/>
                <w:highlight w:val="none"/>
              </w:rPr>
            </w:pPr>
            <w:r>
              <w:rPr>
                <w:rFonts w:hint="eastAsia" w:ascii="宋体" w:hAnsi="宋体" w:cs="仿宋"/>
                <w:b/>
                <w:sz w:val="24"/>
                <w:highlight w:val="none"/>
              </w:rPr>
              <w:t>分包</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7ABDAD3E">
            <w:pPr>
              <w:snapToGrid w:val="0"/>
              <w:spacing w:line="300" w:lineRule="exact"/>
              <w:jc w:val="left"/>
              <w:rPr>
                <w:rFonts w:ascii="宋体" w:hAnsi="宋体" w:cs="仿宋"/>
                <w:sz w:val="24"/>
                <w:highlight w:val="none"/>
              </w:rPr>
            </w:pPr>
            <w:r>
              <w:rPr>
                <w:rFonts w:hint="eastAsia" w:ascii="宋体" w:hAnsi="宋体" w:cs="仿宋"/>
                <w:kern w:val="0"/>
                <w:sz w:val="24"/>
                <w:highlight w:val="none"/>
                <w:lang w:val="zh-CN"/>
              </w:rPr>
              <w:t>不同意分包。</w:t>
            </w:r>
          </w:p>
        </w:tc>
      </w:tr>
      <w:tr w14:paraId="604B2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1"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14:paraId="0720A5B3">
            <w:pPr>
              <w:snapToGrid w:val="0"/>
              <w:spacing w:line="300" w:lineRule="exact"/>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3</w:t>
            </w:r>
          </w:p>
        </w:tc>
        <w:tc>
          <w:tcPr>
            <w:tcW w:w="1751" w:type="dxa"/>
            <w:tcBorders>
              <w:top w:val="single" w:color="000000" w:sz="8" w:space="0"/>
              <w:left w:val="single" w:color="auto" w:sz="4" w:space="0"/>
              <w:bottom w:val="single" w:color="000000" w:sz="8" w:space="0"/>
              <w:right w:val="single" w:color="000000" w:sz="8" w:space="0"/>
            </w:tcBorders>
            <w:noWrap w:val="0"/>
            <w:vAlign w:val="center"/>
          </w:tcPr>
          <w:p w14:paraId="64176786">
            <w:pPr>
              <w:snapToGrid w:val="0"/>
              <w:spacing w:line="360" w:lineRule="auto"/>
              <w:jc w:val="center"/>
              <w:rPr>
                <w:rFonts w:ascii="宋体" w:hAnsi="宋体" w:cs="仿宋"/>
                <w:b/>
                <w:sz w:val="24"/>
                <w:highlight w:val="none"/>
              </w:rPr>
            </w:pPr>
            <w:r>
              <w:rPr>
                <w:rFonts w:hint="eastAsia" w:ascii="宋体" w:hAnsi="宋体" w:cs="仿宋"/>
                <w:b/>
                <w:sz w:val="24"/>
                <w:highlight w:val="none"/>
              </w:rPr>
              <w:t>供应商应当提供的资格文件</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05369BD9">
            <w:pPr>
              <w:spacing w:line="360" w:lineRule="auto"/>
              <w:rPr>
                <w:rFonts w:ascii="宋体" w:hAnsi="宋体" w:cs="仿宋"/>
                <w:sz w:val="24"/>
                <w:highlight w:val="none"/>
              </w:rPr>
            </w:pPr>
            <w:r>
              <w:rPr>
                <w:rFonts w:hint="eastAsia" w:ascii="宋体" w:hAnsi="宋体" w:cs="仿宋"/>
                <w:sz w:val="24"/>
                <w:highlight w:val="none"/>
              </w:rPr>
              <w:t>资格证明文件：见招标文件第二部分9.1。</w:t>
            </w:r>
          </w:p>
          <w:p w14:paraId="04A5CDF0">
            <w:pPr>
              <w:spacing w:line="360" w:lineRule="auto"/>
              <w:rPr>
                <w:rFonts w:ascii="宋体" w:hAnsi="宋体" w:cs="仿宋"/>
                <w:kern w:val="0"/>
                <w:sz w:val="24"/>
                <w:highlight w:val="none"/>
              </w:rPr>
            </w:pPr>
            <w:r>
              <w:rPr>
                <w:rFonts w:hint="eastAsia" w:ascii="宋体" w:hAnsi="宋体" w:cs="仿宋"/>
                <w:sz w:val="24"/>
                <w:highlight w:val="none"/>
              </w:rPr>
              <w:t>资格证明文件不全的或者不符合招标文件标明的资格要求的</w:t>
            </w:r>
            <w:r>
              <w:rPr>
                <w:rFonts w:hint="eastAsia" w:ascii="宋体" w:hAnsi="宋体" w:cs="仿宋"/>
                <w:sz w:val="24"/>
                <w:highlight w:val="none"/>
                <w:lang w:val="zh-CN"/>
              </w:rPr>
              <w:t>，视为供应商不具备招标文件中规定的资格要求，投标无效。</w:t>
            </w:r>
          </w:p>
        </w:tc>
      </w:tr>
      <w:tr w14:paraId="340D3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noWrap w:val="0"/>
            <w:vAlign w:val="center"/>
          </w:tcPr>
          <w:p w14:paraId="5BB21B0B">
            <w:pPr>
              <w:snapToGrid w:val="0"/>
              <w:spacing w:line="300" w:lineRule="exact"/>
              <w:ind w:firstLine="240" w:firstLineChars="100"/>
              <w:rPr>
                <w:rFonts w:hint="eastAsia" w:ascii="宋体" w:hAnsi="宋体" w:eastAsia="宋体" w:cs="仿宋"/>
                <w:sz w:val="24"/>
                <w:highlight w:val="none"/>
                <w:lang w:eastAsia="zh-CN"/>
              </w:rPr>
            </w:pPr>
            <w:r>
              <w:rPr>
                <w:rFonts w:hint="eastAsia" w:ascii="宋体" w:hAnsi="宋体" w:cs="仿宋"/>
                <w:sz w:val="24"/>
                <w:highlight w:val="none"/>
                <w:lang w:val="en-US" w:eastAsia="zh-CN"/>
              </w:rPr>
              <w:t>4</w:t>
            </w:r>
          </w:p>
        </w:tc>
        <w:tc>
          <w:tcPr>
            <w:tcW w:w="1751" w:type="dxa"/>
            <w:tcBorders>
              <w:top w:val="single" w:color="000000" w:sz="8" w:space="0"/>
              <w:left w:val="single" w:color="auto" w:sz="4" w:space="0"/>
              <w:bottom w:val="single" w:color="000000" w:sz="8" w:space="0"/>
              <w:right w:val="single" w:color="000000" w:sz="8" w:space="0"/>
            </w:tcBorders>
            <w:noWrap w:val="0"/>
            <w:vAlign w:val="center"/>
          </w:tcPr>
          <w:p w14:paraId="70FE8D68">
            <w:pPr>
              <w:snapToGrid w:val="0"/>
              <w:spacing w:line="360" w:lineRule="auto"/>
              <w:jc w:val="center"/>
              <w:rPr>
                <w:rFonts w:ascii="宋体" w:hAnsi="宋体" w:cs="仿宋"/>
                <w:b/>
                <w:sz w:val="24"/>
                <w:highlight w:val="none"/>
              </w:rPr>
            </w:pPr>
            <w:r>
              <w:rPr>
                <w:rFonts w:hint="eastAsia" w:ascii="宋体" w:hAnsi="宋体" w:cs="仿宋"/>
                <w:b/>
                <w:sz w:val="24"/>
                <w:highlight w:val="none"/>
              </w:rPr>
              <w:t>现场考察</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46B69122">
            <w:pPr>
              <w:spacing w:line="360" w:lineRule="auto"/>
              <w:rPr>
                <w:rFonts w:ascii="仿宋" w:hAnsi="仿宋" w:eastAsia="仿宋" w:cs="仿宋"/>
                <w:sz w:val="24"/>
                <w:szCs w:val="20"/>
                <w:highlight w:val="none"/>
              </w:rPr>
            </w:pPr>
            <w:r>
              <w:rPr>
                <w:rFonts w:hint="eastAsia" w:ascii="宋体" w:hAnsi="宋体" w:cs="宋体"/>
                <w:sz w:val="24"/>
                <w:highlight w:val="none"/>
              </w:rPr>
              <w:t>不组织。</w:t>
            </w:r>
          </w:p>
        </w:tc>
      </w:tr>
      <w:tr w14:paraId="03B31B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87C10C">
            <w:pPr>
              <w:snapToGrid w:val="0"/>
              <w:spacing w:line="300" w:lineRule="exact"/>
              <w:jc w:val="center"/>
              <w:rPr>
                <w:rFonts w:hint="eastAsia" w:ascii="宋体" w:hAnsi="宋体" w:eastAsia="宋体" w:cs="仿宋"/>
                <w:kern w:val="2"/>
                <w:sz w:val="24"/>
                <w:szCs w:val="24"/>
                <w:highlight w:val="none"/>
                <w:lang w:val="en-US" w:eastAsia="zh-CN" w:bidi="ar-SA"/>
              </w:rPr>
            </w:pPr>
            <w:r>
              <w:rPr>
                <w:rFonts w:hint="eastAsia" w:ascii="宋体" w:hAnsi="宋体" w:cs="仿宋"/>
                <w:sz w:val="24"/>
                <w:highlight w:val="none"/>
                <w:lang w:val="en-US" w:eastAsia="zh-CN"/>
              </w:rPr>
              <w:t>5</w:t>
            </w:r>
          </w:p>
        </w:tc>
        <w:tc>
          <w:tcPr>
            <w:tcW w:w="1751" w:type="dxa"/>
            <w:tcBorders>
              <w:top w:val="single" w:color="000000" w:sz="8" w:space="0"/>
              <w:left w:val="single" w:color="auto" w:sz="4" w:space="0"/>
              <w:bottom w:val="single" w:color="000000" w:sz="8" w:space="0"/>
              <w:right w:val="single" w:color="000000" w:sz="8" w:space="0"/>
            </w:tcBorders>
            <w:shd w:val="clear" w:color="auto" w:fill="auto"/>
            <w:noWrap w:val="0"/>
            <w:vAlign w:val="center"/>
          </w:tcPr>
          <w:p w14:paraId="42A01983">
            <w:pPr>
              <w:snapToGrid w:val="0"/>
              <w:spacing w:line="360" w:lineRule="auto"/>
              <w:jc w:val="center"/>
              <w:rPr>
                <w:rFonts w:hint="eastAsia" w:ascii="宋体" w:hAnsi="宋体" w:eastAsia="宋体" w:cs="仿宋"/>
                <w:b/>
                <w:kern w:val="2"/>
                <w:sz w:val="24"/>
                <w:szCs w:val="24"/>
                <w:highlight w:val="none"/>
                <w:lang w:val="en-US" w:eastAsia="zh-CN" w:bidi="ar-SA"/>
              </w:rPr>
            </w:pPr>
            <w:r>
              <w:rPr>
                <w:rFonts w:hint="eastAsia" w:ascii="宋体" w:hAnsi="宋体" w:cs="仿宋"/>
                <w:b/>
                <w:sz w:val="24"/>
                <w:highlight w:val="none"/>
              </w:rPr>
              <w:t>样品提供</w:t>
            </w:r>
          </w:p>
        </w:tc>
        <w:tc>
          <w:tcPr>
            <w:tcW w:w="7559"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60C63265">
            <w:pPr>
              <w:spacing w:line="360" w:lineRule="auto"/>
              <w:rPr>
                <w:rFonts w:hint="eastAsia" w:ascii="宋体" w:hAnsi="宋体" w:cs="宋体"/>
                <w:kern w:val="0"/>
                <w:sz w:val="24"/>
                <w:highlight w:val="none"/>
              </w:rPr>
            </w:pPr>
            <w:r>
              <w:rPr>
                <w:rFonts w:hint="eastAsia" w:ascii="宋体" w:hAnsi="宋体" w:cs="宋体"/>
                <w:kern w:val="0"/>
                <w:sz w:val="24"/>
                <w:highlight w:val="none"/>
              </w:rPr>
              <w:t>要求提供</w:t>
            </w:r>
          </w:p>
          <w:p w14:paraId="1A93A6E5">
            <w:pPr>
              <w:numPr>
                <w:ilvl w:val="0"/>
                <w:numId w:val="1"/>
              </w:numPr>
              <w:spacing w:line="360" w:lineRule="auto"/>
              <w:rPr>
                <w:rFonts w:hint="eastAsia" w:ascii="宋体" w:hAnsi="宋体" w:cs="宋体"/>
                <w:kern w:val="0"/>
                <w:sz w:val="24"/>
                <w:highlight w:val="none"/>
              </w:rPr>
            </w:pPr>
            <w:r>
              <w:rPr>
                <w:rFonts w:hint="eastAsia" w:ascii="宋体" w:hAnsi="宋体" w:cs="宋体"/>
                <w:snapToGrid w:val="0"/>
                <w:kern w:val="28"/>
                <w:sz w:val="24"/>
                <w:highlight w:val="none"/>
              </w:rPr>
              <w:t>样品：</w:t>
            </w:r>
            <w:r>
              <w:rPr>
                <w:rFonts w:hint="eastAsia" w:ascii="宋体" w:hAnsi="宋体" w:cs="宋体"/>
                <w:snapToGrid w:val="0"/>
                <w:kern w:val="28"/>
                <w:sz w:val="24"/>
                <w:highlight w:val="none"/>
                <w:u w:val="single"/>
                <w:lang w:val="en-US" w:eastAsia="zh-CN"/>
              </w:rPr>
              <w:t xml:space="preserve"> 冰箱、洗衣机、油烟机、电磁炉</w:t>
            </w:r>
            <w:r>
              <w:rPr>
                <w:rFonts w:hint="eastAsia" w:ascii="宋体" w:hAnsi="宋体" w:cs="宋体"/>
                <w:snapToGrid w:val="0"/>
                <w:kern w:val="28"/>
                <w:sz w:val="24"/>
                <w:highlight w:val="none"/>
              </w:rPr>
              <w:t>；</w:t>
            </w:r>
          </w:p>
          <w:p w14:paraId="2E112D81">
            <w:pPr>
              <w:spacing w:line="360" w:lineRule="auto"/>
              <w:rPr>
                <w:rFonts w:hint="eastAsia" w:ascii="宋体" w:hAnsi="宋体" w:cs="宋体"/>
                <w:kern w:val="0"/>
                <w:sz w:val="24"/>
                <w:highlight w:val="none"/>
              </w:rPr>
            </w:pPr>
            <w:r>
              <w:rPr>
                <w:rFonts w:hint="eastAsia" w:ascii="宋体" w:hAnsi="宋体" w:cs="宋体"/>
                <w:kern w:val="0"/>
                <w:sz w:val="24"/>
                <w:highlight w:val="none"/>
              </w:rPr>
              <w:t>（2）</w:t>
            </w:r>
            <w:r>
              <w:rPr>
                <w:rFonts w:hint="eastAsia" w:ascii="宋体" w:hAnsi="宋体" w:cs="宋体"/>
                <w:snapToGrid w:val="0"/>
                <w:kern w:val="28"/>
                <w:sz w:val="24"/>
                <w:highlight w:val="none"/>
              </w:rPr>
              <w:t>样品制作的标准和要求：</w:t>
            </w:r>
            <w:r>
              <w:rPr>
                <w:rFonts w:hint="eastAsia" w:ascii="宋体" w:hAnsi="宋体" w:cs="宋体"/>
                <w:snapToGrid w:val="0"/>
                <w:kern w:val="28"/>
                <w:sz w:val="24"/>
                <w:highlight w:val="none"/>
                <w:lang w:val="zh-CN"/>
              </w:rPr>
              <w:t>详见</w:t>
            </w:r>
            <w:r>
              <w:rPr>
                <w:rFonts w:hint="eastAsia" w:ascii="宋体" w:hAnsi="宋体" w:cs="宋体"/>
                <w:snapToGrid w:val="0"/>
                <w:kern w:val="28"/>
                <w:sz w:val="24"/>
                <w:highlight w:val="none"/>
              </w:rPr>
              <w:t>采购文件；</w:t>
            </w:r>
          </w:p>
          <w:p w14:paraId="46769A1F">
            <w:pPr>
              <w:spacing w:line="360" w:lineRule="auto"/>
              <w:rPr>
                <w:rFonts w:hint="eastAsia" w:ascii="宋体" w:hAnsi="宋体" w:cs="宋体"/>
                <w:kern w:val="0"/>
                <w:sz w:val="24"/>
                <w:highlight w:val="none"/>
              </w:rPr>
            </w:pPr>
            <w:r>
              <w:rPr>
                <w:rFonts w:hint="eastAsia" w:ascii="宋体" w:hAnsi="宋体" w:cs="宋体"/>
                <w:kern w:val="0"/>
                <w:sz w:val="24"/>
                <w:highlight w:val="none"/>
              </w:rPr>
              <w:t>（3）样品的评审方法以及评审标准</w:t>
            </w:r>
            <w:r>
              <w:rPr>
                <w:rFonts w:hint="eastAsia" w:ascii="宋体" w:hAnsi="宋体" w:cs="宋体"/>
                <w:snapToGrid w:val="0"/>
                <w:kern w:val="28"/>
                <w:sz w:val="24"/>
                <w:highlight w:val="none"/>
              </w:rPr>
              <w:t>：详见</w:t>
            </w:r>
            <w:r>
              <w:rPr>
                <w:rFonts w:hint="eastAsia" w:ascii="宋体" w:hAnsi="宋体" w:cs="宋体"/>
                <w:sz w:val="24"/>
                <w:highlight w:val="none"/>
                <w:u w:val="single"/>
              </w:rPr>
              <w:t>评标办法</w:t>
            </w:r>
            <w:r>
              <w:rPr>
                <w:rFonts w:hint="eastAsia" w:ascii="宋体" w:hAnsi="宋体" w:cs="宋体"/>
                <w:kern w:val="0"/>
                <w:sz w:val="24"/>
                <w:highlight w:val="none"/>
              </w:rPr>
              <w:t>；</w:t>
            </w:r>
          </w:p>
          <w:p w14:paraId="37299627">
            <w:pPr>
              <w:spacing w:line="360" w:lineRule="auto"/>
              <w:rPr>
                <w:rFonts w:hint="eastAsia" w:ascii="宋体" w:hAnsi="宋体" w:cs="宋体"/>
                <w:kern w:val="0"/>
                <w:sz w:val="24"/>
                <w:highlight w:val="none"/>
              </w:rPr>
            </w:pPr>
            <w:r>
              <w:rPr>
                <w:rFonts w:hint="eastAsia" w:ascii="宋体" w:hAnsi="宋体" w:cs="宋体"/>
                <w:kern w:val="0"/>
                <w:sz w:val="24"/>
                <w:highlight w:val="none"/>
              </w:rPr>
              <w:t>（4）是否需要随样品提交第三方检测报告：</w:t>
            </w:r>
            <w:r>
              <w:rPr>
                <w:rFonts w:hint="eastAsia" w:ascii="宋体" w:hAnsi="宋体" w:cs="宋体"/>
                <w:kern w:val="0"/>
                <w:sz w:val="24"/>
                <w:highlight w:val="none"/>
              </w:rPr>
              <w:sym w:font="Wingdings" w:char="00FE"/>
            </w:r>
            <w:r>
              <w:rPr>
                <w:rFonts w:hint="eastAsia" w:ascii="宋体" w:hAnsi="宋体" w:cs="宋体"/>
                <w:kern w:val="0"/>
                <w:sz w:val="24"/>
                <w:highlight w:val="none"/>
              </w:rPr>
              <w:t>否；</w:t>
            </w:r>
            <w:r>
              <w:rPr>
                <w:rFonts w:hint="eastAsia" w:ascii="宋体" w:hAnsi="宋体" w:cs="宋体"/>
                <w:kern w:val="0"/>
                <w:sz w:val="24"/>
                <w:highlight w:val="none"/>
              </w:rPr>
              <w:sym w:font="Wingdings" w:char="00A8"/>
            </w:r>
            <w:r>
              <w:rPr>
                <w:rFonts w:hint="eastAsia" w:ascii="宋体" w:hAnsi="宋体" w:cs="宋体"/>
                <w:kern w:val="0"/>
                <w:sz w:val="24"/>
                <w:highlight w:val="none"/>
              </w:rPr>
              <w:t>是，检测机构的要求</w:t>
            </w:r>
            <w:r>
              <w:rPr>
                <w:rFonts w:hint="eastAsia" w:ascii="宋体" w:hAnsi="宋体" w:cs="宋体"/>
                <w:sz w:val="24"/>
                <w:highlight w:val="none"/>
              </w:rPr>
              <w:t>：</w:t>
            </w:r>
            <w:r>
              <w:rPr>
                <w:rFonts w:hint="eastAsia" w:ascii="宋体" w:hAnsi="宋体" w:cs="宋体"/>
                <w:sz w:val="24"/>
                <w:highlight w:val="none"/>
                <w:u w:val="single"/>
              </w:rPr>
              <w:t xml:space="preserve"> </w:t>
            </w:r>
            <w:r>
              <w:rPr>
                <w:rFonts w:hint="eastAsia" w:ascii="宋体" w:hAnsi="宋体" w:cs="宋体"/>
                <w:kern w:val="0"/>
                <w:sz w:val="24"/>
                <w:highlight w:val="none"/>
                <w:u w:val="single"/>
              </w:rPr>
              <w:t>/</w:t>
            </w:r>
            <w:r>
              <w:rPr>
                <w:rFonts w:hint="eastAsia" w:ascii="宋体" w:hAnsi="宋体" w:cs="宋体"/>
                <w:sz w:val="24"/>
                <w:highlight w:val="none"/>
                <w:u w:val="single"/>
              </w:rPr>
              <w:t xml:space="preserve"> </w:t>
            </w:r>
            <w:r>
              <w:rPr>
                <w:rFonts w:hint="eastAsia" w:ascii="宋体" w:hAnsi="宋体" w:cs="宋体"/>
                <w:kern w:val="0"/>
                <w:sz w:val="24"/>
                <w:highlight w:val="none"/>
              </w:rPr>
              <w:t>；检测内容</w:t>
            </w:r>
            <w:r>
              <w:rPr>
                <w:rFonts w:hint="eastAsia" w:ascii="宋体" w:hAnsi="宋体" w:cs="宋体"/>
                <w:sz w:val="24"/>
                <w:highlight w:val="none"/>
              </w:rPr>
              <w:t>：</w:t>
            </w:r>
            <w:r>
              <w:rPr>
                <w:rFonts w:hint="eastAsia" w:ascii="宋体" w:hAnsi="宋体" w:cs="宋体"/>
                <w:kern w:val="0"/>
                <w:sz w:val="24"/>
                <w:highlight w:val="none"/>
                <w:u w:val="single"/>
              </w:rPr>
              <w:t>/</w:t>
            </w:r>
            <w:r>
              <w:rPr>
                <w:rFonts w:hint="eastAsia" w:ascii="宋体" w:hAnsi="宋体" w:cs="宋体"/>
                <w:sz w:val="24"/>
                <w:highlight w:val="none"/>
                <w:u w:val="single"/>
              </w:rPr>
              <w:t xml:space="preserve"> </w:t>
            </w:r>
            <w:r>
              <w:rPr>
                <w:rFonts w:hint="eastAsia" w:ascii="宋体" w:hAnsi="宋体" w:cs="宋体"/>
                <w:kern w:val="0"/>
                <w:sz w:val="24"/>
                <w:highlight w:val="none"/>
              </w:rPr>
              <w:t>。</w:t>
            </w:r>
          </w:p>
          <w:p w14:paraId="05F355BF">
            <w:pPr>
              <w:spacing w:line="360" w:lineRule="auto"/>
              <w:rPr>
                <w:rFonts w:hint="eastAsia" w:ascii="宋体" w:hAnsi="宋体" w:cs="宋体"/>
                <w:sz w:val="24"/>
                <w:highlight w:val="none"/>
              </w:rPr>
            </w:pPr>
            <w:r>
              <w:rPr>
                <w:rFonts w:hint="eastAsia" w:ascii="宋体" w:hAnsi="宋体" w:cs="宋体"/>
                <w:sz w:val="24"/>
                <w:highlight w:val="none"/>
              </w:rPr>
              <w:t>（5</w:t>
            </w:r>
            <w:r>
              <w:rPr>
                <w:rFonts w:hint="eastAsia" w:ascii="宋体" w:hAnsi="宋体" w:cs="宋体"/>
                <w:color w:val="000000"/>
                <w:sz w:val="24"/>
                <w:highlight w:val="none"/>
              </w:rPr>
              <w:t>）提供样品的时间：</w:t>
            </w:r>
            <w:r>
              <w:rPr>
                <w:rFonts w:hint="eastAsia" w:ascii="宋体" w:hAnsi="宋体" w:cs="宋体"/>
                <w:color w:val="000000"/>
                <w:kern w:val="0"/>
                <w:sz w:val="24"/>
                <w:highlight w:val="none"/>
                <w:u w:val="single"/>
                <w:lang w:val="en-US" w:eastAsia="zh-CN"/>
              </w:rPr>
              <w:t>投标截止前</w:t>
            </w:r>
            <w:r>
              <w:rPr>
                <w:rFonts w:hint="eastAsia" w:ascii="宋体" w:hAnsi="宋体" w:cs="宋体"/>
                <w:color w:val="000000"/>
                <w:kern w:val="0"/>
                <w:sz w:val="24"/>
                <w:highlight w:val="none"/>
              </w:rPr>
              <w:t>。地点：</w:t>
            </w:r>
            <w:r>
              <w:rPr>
                <w:rFonts w:hint="eastAsia" w:ascii="宋体" w:hAnsi="宋体" w:cs="宋体"/>
                <w:color w:val="000000"/>
                <w:kern w:val="0"/>
                <w:sz w:val="24"/>
                <w:highlight w:val="none"/>
                <w:u w:val="single"/>
                <w:lang w:val="en-US" w:eastAsia="zh-CN"/>
              </w:rPr>
              <w:t xml:space="preserve"> </w:t>
            </w:r>
            <w:r>
              <w:rPr>
                <w:rFonts w:hint="eastAsia" w:ascii="宋体" w:hAnsi="宋体" w:eastAsia="宋体" w:cs="宋体"/>
                <w:color w:val="auto"/>
                <w:sz w:val="24"/>
                <w:highlight w:val="none"/>
                <w:u w:val="single"/>
              </w:rPr>
              <w:t>宁波市奉化区公共资源交易中心</w:t>
            </w:r>
            <w:r>
              <w:rPr>
                <w:rFonts w:hint="eastAsia" w:ascii="宋体" w:hAnsi="宋体" w:cs="宋体"/>
                <w:color w:val="auto"/>
                <w:sz w:val="24"/>
                <w:highlight w:val="none"/>
                <w:u w:val="single"/>
                <w:lang w:val="en-US" w:eastAsia="zh-CN"/>
              </w:rPr>
              <w:t>4楼（从北2门电梯进入）</w:t>
            </w:r>
            <w:r>
              <w:rPr>
                <w:rFonts w:hint="eastAsia" w:ascii="宋体" w:hAnsi="宋体" w:cs="宋体"/>
                <w:color w:val="000000"/>
                <w:kern w:val="0"/>
                <w:sz w:val="24"/>
                <w:highlight w:val="none"/>
                <w:u w:val="single"/>
                <w:lang w:val="en-US" w:eastAsia="zh-CN"/>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lang w:val="en-US" w:eastAsia="zh-CN"/>
              </w:rPr>
              <w:t>张女士</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lang w:val="en-US" w:eastAsia="zh-CN"/>
              </w:rPr>
              <w:t>13456174757</w:t>
            </w:r>
            <w:r>
              <w:rPr>
                <w:rFonts w:hint="eastAsia" w:ascii="宋体" w:hAnsi="宋体" w:cs="宋体"/>
                <w:color w:val="000000"/>
                <w:sz w:val="24"/>
                <w:highlight w:val="none"/>
              </w:rPr>
              <w:t>。请</w:t>
            </w:r>
            <w:bookmarkStart w:id="446" w:name="_GoBack"/>
            <w:bookmarkEnd w:id="446"/>
            <w:r>
              <w:rPr>
                <w:rFonts w:hint="eastAsia" w:ascii="宋体" w:hAnsi="宋体" w:cs="宋体"/>
                <w:color w:val="000000"/>
                <w:kern w:val="0"/>
                <w:sz w:val="24"/>
                <w:highlight w:val="none"/>
                <w:lang w:val="zh-CN"/>
              </w:rPr>
              <w:t>供应商</w:t>
            </w:r>
            <w:r>
              <w:rPr>
                <w:rFonts w:hint="eastAsia" w:ascii="宋体" w:hAnsi="宋体" w:cs="宋体"/>
                <w:color w:val="000000"/>
                <w:sz w:val="24"/>
                <w:highlight w:val="none"/>
              </w:rPr>
              <w:t>在提供样品的前一天联系</w:t>
            </w:r>
            <w:r>
              <w:rPr>
                <w:rFonts w:hint="eastAsia" w:ascii="宋体" w:hAnsi="宋体" w:cs="宋体"/>
                <w:color w:val="000000"/>
                <w:sz w:val="24"/>
                <w:highlight w:val="none"/>
                <w:u w:val="none"/>
                <w:lang w:val="en-US" w:eastAsia="zh-CN"/>
              </w:rPr>
              <w:t>张女士</w:t>
            </w:r>
            <w:r>
              <w:rPr>
                <w:rFonts w:hint="eastAsia" w:ascii="宋体" w:hAnsi="宋体" w:cs="宋体"/>
                <w:color w:val="000000"/>
                <w:sz w:val="24"/>
                <w:highlight w:val="none"/>
              </w:rPr>
              <w:t>并按上述时间内提供样品并按规定位置安装完毕。超过截止时间的，</w:t>
            </w:r>
            <w:r>
              <w:rPr>
                <w:rFonts w:hint="eastAsia" w:ascii="宋体" w:hAnsi="宋体" w:cs="宋体"/>
                <w:sz w:val="24"/>
                <w:highlight w:val="none"/>
              </w:rPr>
              <w:t>采购人或采购代理机构将不予接收，并将清场并封闭样品现场。</w:t>
            </w:r>
          </w:p>
          <w:p w14:paraId="48373BE0">
            <w:pPr>
              <w:spacing w:line="360" w:lineRule="auto"/>
              <w:rPr>
                <w:rFonts w:hint="eastAsia" w:ascii="宋体" w:hAnsi="宋体" w:cs="宋体"/>
                <w:sz w:val="24"/>
                <w:highlight w:val="none"/>
              </w:rPr>
            </w:pPr>
            <w:r>
              <w:rPr>
                <w:rFonts w:hint="eastAsia" w:ascii="宋体" w:hAnsi="宋体" w:cs="宋体"/>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5BE8FA2">
            <w:pPr>
              <w:spacing w:line="360" w:lineRule="auto"/>
              <w:rPr>
                <w:rFonts w:hint="eastAsia" w:ascii="仿宋" w:hAnsi="仿宋" w:eastAsia="仿宋" w:cs="仿宋"/>
                <w:b/>
                <w:kern w:val="2"/>
                <w:sz w:val="24"/>
                <w:szCs w:val="24"/>
                <w:highlight w:val="none"/>
                <w:lang w:val="en-US" w:eastAsia="zh-CN" w:bidi="ar-SA"/>
              </w:rPr>
            </w:pPr>
            <w:r>
              <w:rPr>
                <w:rFonts w:hint="eastAsia" w:ascii="宋体" w:hAnsi="宋体" w:cs="宋体"/>
                <w:sz w:val="24"/>
                <w:highlight w:val="none"/>
              </w:rPr>
              <w:t>（7）制作、运输、安装和保管样品所发生的一切费用由</w:t>
            </w:r>
            <w:r>
              <w:rPr>
                <w:rFonts w:hint="eastAsia" w:ascii="宋体" w:hAnsi="宋体" w:cs="宋体"/>
                <w:kern w:val="0"/>
                <w:sz w:val="24"/>
                <w:highlight w:val="none"/>
                <w:lang w:val="zh-CN"/>
              </w:rPr>
              <w:t>供应商</w:t>
            </w:r>
            <w:r>
              <w:rPr>
                <w:rFonts w:hint="eastAsia" w:ascii="宋体" w:hAnsi="宋体" w:cs="宋体"/>
                <w:kern w:val="0"/>
                <w:sz w:val="24"/>
                <w:highlight w:val="none"/>
              </w:rPr>
              <w:t>自行承担</w:t>
            </w:r>
            <w:r>
              <w:rPr>
                <w:rFonts w:hint="eastAsia" w:ascii="宋体" w:hAnsi="宋体" w:cs="宋体"/>
                <w:sz w:val="24"/>
                <w:highlight w:val="none"/>
              </w:rPr>
              <w:t>。</w:t>
            </w:r>
          </w:p>
        </w:tc>
      </w:tr>
      <w:tr w14:paraId="612CD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rPr>
        <w:tc>
          <w:tcPr>
            <w:tcW w:w="621" w:type="dxa"/>
            <w:tcBorders>
              <w:top w:val="single" w:color="auto" w:sz="4" w:space="0"/>
              <w:left w:val="single" w:color="000000" w:sz="8" w:space="0"/>
              <w:bottom w:val="single" w:color="auto" w:sz="4" w:space="0"/>
              <w:right w:val="single" w:color="000000" w:sz="2" w:space="0"/>
            </w:tcBorders>
            <w:noWrap w:val="0"/>
            <w:vAlign w:val="center"/>
          </w:tcPr>
          <w:p w14:paraId="5ED31A22">
            <w:pPr>
              <w:snapToGrid w:val="0"/>
              <w:spacing w:line="300" w:lineRule="exact"/>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6</w:t>
            </w:r>
          </w:p>
        </w:tc>
        <w:tc>
          <w:tcPr>
            <w:tcW w:w="1751" w:type="dxa"/>
            <w:tcBorders>
              <w:top w:val="single" w:color="000000" w:sz="8" w:space="0"/>
              <w:left w:val="single" w:color="000000" w:sz="2" w:space="0"/>
              <w:bottom w:val="single" w:color="000000" w:sz="8" w:space="0"/>
              <w:right w:val="single" w:color="000000" w:sz="8" w:space="0"/>
            </w:tcBorders>
            <w:noWrap w:val="0"/>
            <w:vAlign w:val="center"/>
          </w:tcPr>
          <w:p w14:paraId="44FB6DB3">
            <w:pPr>
              <w:snapToGrid w:val="0"/>
              <w:spacing w:line="360" w:lineRule="auto"/>
              <w:jc w:val="center"/>
              <w:rPr>
                <w:rFonts w:hint="eastAsia" w:ascii="宋体" w:hAnsi="宋体" w:cs="宋体"/>
                <w:bCs/>
                <w:sz w:val="24"/>
                <w:highlight w:val="none"/>
              </w:rPr>
            </w:pPr>
            <w:r>
              <w:rPr>
                <w:rFonts w:hint="eastAsia" w:ascii="宋体" w:hAnsi="宋体" w:cs="宋体"/>
                <w:b/>
                <w:sz w:val="24"/>
                <w:highlight w:val="none"/>
              </w:rPr>
              <w:t>方案讲解演示</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50530CB1">
            <w:pPr>
              <w:spacing w:line="360" w:lineRule="auto"/>
              <w:rPr>
                <w:rFonts w:hint="eastAsia" w:ascii="宋体" w:hAnsi="宋体" w:cs="宋体"/>
                <w:b/>
                <w:kern w:val="0"/>
                <w:sz w:val="24"/>
                <w:highlight w:val="none"/>
                <w:lang w:val="zh-CN"/>
              </w:rPr>
            </w:pPr>
            <w:r>
              <w:rPr>
                <w:rFonts w:hint="eastAsia" w:ascii="宋体" w:hAnsi="宋体" w:cs="宋体"/>
                <w:sz w:val="24"/>
                <w:highlight w:val="none"/>
              </w:rPr>
              <w:t>不组织。</w:t>
            </w:r>
          </w:p>
        </w:tc>
      </w:tr>
      <w:tr w14:paraId="21F25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0" w:hRule="atLeast"/>
        </w:trPr>
        <w:tc>
          <w:tcPr>
            <w:tcW w:w="621" w:type="dxa"/>
            <w:tcBorders>
              <w:top w:val="single" w:color="auto" w:sz="4" w:space="0"/>
              <w:left w:val="single" w:color="000000" w:sz="8" w:space="0"/>
              <w:bottom w:val="single" w:color="auto" w:sz="4" w:space="0"/>
              <w:right w:val="single" w:color="000000" w:sz="2" w:space="0"/>
            </w:tcBorders>
            <w:noWrap w:val="0"/>
            <w:vAlign w:val="center"/>
          </w:tcPr>
          <w:p w14:paraId="10E3674D">
            <w:pPr>
              <w:snapToGrid w:val="0"/>
              <w:spacing w:line="300" w:lineRule="exact"/>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7</w:t>
            </w:r>
          </w:p>
        </w:tc>
        <w:tc>
          <w:tcPr>
            <w:tcW w:w="1751" w:type="dxa"/>
            <w:tcBorders>
              <w:top w:val="single" w:color="000000" w:sz="8" w:space="0"/>
              <w:left w:val="single" w:color="000000" w:sz="2" w:space="0"/>
              <w:bottom w:val="single" w:color="000000" w:sz="8" w:space="0"/>
              <w:right w:val="single" w:color="000000" w:sz="8" w:space="0"/>
            </w:tcBorders>
            <w:noWrap w:val="0"/>
            <w:vAlign w:val="center"/>
          </w:tcPr>
          <w:p w14:paraId="493F8661">
            <w:pPr>
              <w:snapToGrid w:val="0"/>
              <w:spacing w:line="360" w:lineRule="auto"/>
              <w:jc w:val="center"/>
              <w:rPr>
                <w:rFonts w:ascii="宋体" w:hAnsi="宋体" w:cs="仿宋"/>
                <w:b/>
                <w:sz w:val="24"/>
                <w:highlight w:val="none"/>
              </w:rPr>
            </w:pPr>
            <w:r>
              <w:rPr>
                <w:rFonts w:hint="eastAsia" w:ascii="宋体" w:hAnsi="宋体" w:cs="仿宋"/>
                <w:b/>
                <w:sz w:val="24"/>
                <w:highlight w:val="none"/>
              </w:rPr>
              <w:t>是否允许采购进口产品</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57B42216">
            <w:pPr>
              <w:spacing w:line="360" w:lineRule="auto"/>
              <w:rPr>
                <w:rFonts w:ascii="宋体" w:hAnsi="宋体" w:cs="仿宋"/>
                <w:kern w:val="0"/>
                <w:sz w:val="24"/>
                <w:highlight w:val="none"/>
              </w:rPr>
            </w:pPr>
            <w:r>
              <w:rPr>
                <w:rFonts w:hint="eastAsia" w:ascii="宋体" w:hAnsi="宋体" w:cs="仿宋"/>
                <w:kern w:val="0"/>
                <w:sz w:val="24"/>
                <w:highlight w:val="none"/>
              </w:rPr>
              <w:t>本项目不允许采购进口产品。</w:t>
            </w:r>
          </w:p>
        </w:tc>
      </w:tr>
      <w:tr w14:paraId="1E2B5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1" w:hRule="atLeast"/>
        </w:trPr>
        <w:tc>
          <w:tcPr>
            <w:tcW w:w="621" w:type="dxa"/>
            <w:tcBorders>
              <w:top w:val="single" w:color="auto" w:sz="4" w:space="0"/>
              <w:left w:val="single" w:color="000000" w:sz="8" w:space="0"/>
              <w:bottom w:val="single" w:color="auto" w:sz="4" w:space="0"/>
              <w:right w:val="single" w:color="000000" w:sz="2" w:space="0"/>
            </w:tcBorders>
            <w:noWrap w:val="0"/>
            <w:vAlign w:val="center"/>
          </w:tcPr>
          <w:p w14:paraId="0AC22D6A">
            <w:pPr>
              <w:snapToGrid w:val="0"/>
              <w:spacing w:line="300" w:lineRule="exact"/>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8</w:t>
            </w:r>
          </w:p>
        </w:tc>
        <w:tc>
          <w:tcPr>
            <w:tcW w:w="1751" w:type="dxa"/>
            <w:tcBorders>
              <w:top w:val="single" w:color="000000" w:sz="8" w:space="0"/>
              <w:left w:val="single" w:color="000000" w:sz="2" w:space="0"/>
              <w:bottom w:val="single" w:color="000000" w:sz="8" w:space="0"/>
              <w:right w:val="single" w:color="000000" w:sz="8" w:space="0"/>
            </w:tcBorders>
            <w:noWrap w:val="0"/>
            <w:vAlign w:val="center"/>
          </w:tcPr>
          <w:p w14:paraId="5C065E9A">
            <w:pPr>
              <w:snapToGrid w:val="0"/>
              <w:spacing w:line="360" w:lineRule="auto"/>
              <w:jc w:val="center"/>
              <w:rPr>
                <w:rFonts w:ascii="宋体" w:hAnsi="宋体" w:cs="仿宋"/>
                <w:b/>
                <w:sz w:val="24"/>
                <w:highlight w:val="none"/>
              </w:rPr>
            </w:pPr>
            <w:r>
              <w:rPr>
                <w:rFonts w:hint="eastAsia" w:ascii="宋体" w:hAnsi="宋体" w:cs="仿宋"/>
                <w:b/>
                <w:sz w:val="24"/>
                <w:highlight w:val="none"/>
              </w:rPr>
              <w:t>项目属性与核心产品</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35F4D1BB">
            <w:pPr>
              <w:spacing w:line="360" w:lineRule="auto"/>
              <w:rPr>
                <w:rFonts w:ascii="宋体" w:hAnsi="宋体" w:cs="仿宋"/>
                <w:sz w:val="24"/>
                <w:highlight w:val="none"/>
              </w:rPr>
            </w:pPr>
            <w:r>
              <w:rPr>
                <w:rFonts w:ascii="宋体" w:hAnsi="宋体" w:cs="仿宋"/>
                <w:kern w:val="0"/>
                <w:sz w:val="24"/>
                <w:highlight w:val="none"/>
              </w:rPr>
              <w:t></w:t>
            </w:r>
            <w:r>
              <w:rPr>
                <w:rFonts w:hint="eastAsia" w:ascii="宋体" w:hAnsi="宋体" w:cs="仿宋"/>
                <w:color w:val="auto"/>
                <w:sz w:val="24"/>
                <w:highlight w:val="none"/>
              </w:rPr>
              <w:t>货物类，单一产品或</w:t>
            </w:r>
            <w:r>
              <w:rPr>
                <w:rFonts w:hint="eastAsia" w:ascii="宋体" w:hAnsi="宋体" w:cs="仿宋"/>
                <w:color w:val="auto"/>
                <w:kern w:val="0"/>
                <w:sz w:val="24"/>
                <w:highlight w:val="none"/>
              </w:rPr>
              <w:t>核心产品为</w:t>
            </w:r>
            <w:r>
              <w:rPr>
                <w:rFonts w:hint="eastAsia" w:ascii="宋体" w:hAnsi="宋体" w:cs="仿宋"/>
                <w:color w:val="auto"/>
                <w:kern w:val="0"/>
                <w:sz w:val="24"/>
                <w:highlight w:val="none"/>
                <w:u w:val="single"/>
                <w:lang w:val="en-US" w:eastAsia="zh-CN"/>
              </w:rPr>
              <w:t xml:space="preserve"> 2匹变频挂壁式空调、冰箱 </w:t>
            </w:r>
            <w:r>
              <w:rPr>
                <w:rFonts w:hint="eastAsia" w:ascii="宋体" w:hAnsi="宋体" w:cs="仿宋"/>
                <w:color w:val="auto"/>
                <w:sz w:val="24"/>
                <w:highlight w:val="none"/>
              </w:rPr>
              <w:t>。</w:t>
            </w:r>
          </w:p>
          <w:p w14:paraId="57680CF7">
            <w:pPr>
              <w:spacing w:line="360" w:lineRule="auto"/>
              <w:ind w:firstLine="240" w:firstLineChars="100"/>
              <w:rPr>
                <w:rFonts w:ascii="宋体" w:hAnsi="宋体" w:cs="仿宋"/>
                <w:sz w:val="24"/>
                <w:highlight w:val="none"/>
              </w:rPr>
            </w:pPr>
            <w:r>
              <w:rPr>
                <w:rFonts w:hint="eastAsia" w:ascii="宋体" w:hAnsi="宋体" w:cs="仿宋"/>
                <w:kern w:val="0"/>
                <w:sz w:val="24"/>
                <w:highlight w:val="none"/>
              </w:rPr>
              <w:t>多家</w:t>
            </w:r>
            <w:r>
              <w:rPr>
                <w:rFonts w:hint="eastAsia" w:ascii="宋体" w:hAnsi="宋体" w:cs="仿宋"/>
                <w:kern w:val="0"/>
                <w:sz w:val="24"/>
                <w:highlight w:val="none"/>
                <w:lang w:val="zh-CN"/>
              </w:rPr>
              <w:t>供应商</w:t>
            </w:r>
            <w:r>
              <w:rPr>
                <w:rFonts w:hint="eastAsia" w:ascii="宋体" w:hAnsi="宋体" w:cs="仿宋"/>
                <w:kern w:val="0"/>
                <w:sz w:val="24"/>
                <w:highlight w:val="none"/>
              </w:rPr>
              <w:t>提供相同品牌产品（单一产品采购项目中的该产品或者非单一产品采购项目的核心产品）且通过资格审查、符合性审查的不同</w:t>
            </w:r>
            <w:r>
              <w:rPr>
                <w:rFonts w:hint="eastAsia" w:ascii="宋体" w:hAnsi="宋体" w:cs="仿宋"/>
                <w:kern w:val="0"/>
                <w:sz w:val="24"/>
                <w:highlight w:val="none"/>
                <w:lang w:val="zh-CN"/>
              </w:rPr>
              <w:t>供应商</w:t>
            </w:r>
            <w:r>
              <w:rPr>
                <w:rFonts w:hint="eastAsia" w:ascii="宋体" w:hAnsi="宋体" w:cs="仿宋"/>
                <w:kern w:val="0"/>
                <w:sz w:val="24"/>
                <w:highlight w:val="none"/>
              </w:rPr>
              <w:t>参加同一合同项下投标的，按一家</w:t>
            </w:r>
            <w:r>
              <w:rPr>
                <w:rFonts w:hint="eastAsia" w:ascii="宋体" w:hAnsi="宋体" w:cs="仿宋"/>
                <w:kern w:val="0"/>
                <w:sz w:val="24"/>
                <w:highlight w:val="none"/>
                <w:lang w:val="zh-CN"/>
              </w:rPr>
              <w:t>供应商</w:t>
            </w:r>
            <w:r>
              <w:rPr>
                <w:rFonts w:hint="eastAsia" w:ascii="宋体" w:hAnsi="宋体" w:cs="仿宋"/>
                <w:kern w:val="0"/>
                <w:sz w:val="24"/>
                <w:highlight w:val="none"/>
              </w:rPr>
              <w:t>计算，评审后得分最高的同品牌</w:t>
            </w:r>
            <w:r>
              <w:rPr>
                <w:rFonts w:hint="eastAsia" w:ascii="宋体" w:hAnsi="宋体" w:cs="仿宋"/>
                <w:kern w:val="0"/>
                <w:sz w:val="24"/>
                <w:highlight w:val="none"/>
                <w:lang w:val="zh-CN"/>
              </w:rPr>
              <w:t>供应商</w:t>
            </w:r>
            <w:r>
              <w:rPr>
                <w:rFonts w:hint="eastAsia" w:ascii="宋体" w:hAnsi="宋体" w:cs="仿宋"/>
                <w:kern w:val="0"/>
                <w:sz w:val="24"/>
                <w:highlight w:val="none"/>
              </w:rPr>
              <w:t>获得中标人推荐资格；评审得分相同的，报价评审得分最高的同品牌</w:t>
            </w:r>
            <w:r>
              <w:rPr>
                <w:rFonts w:hint="eastAsia" w:ascii="宋体" w:hAnsi="宋体" w:cs="仿宋"/>
                <w:kern w:val="0"/>
                <w:sz w:val="24"/>
                <w:highlight w:val="none"/>
                <w:lang w:val="zh-CN"/>
              </w:rPr>
              <w:t>供应商</w:t>
            </w:r>
            <w:r>
              <w:rPr>
                <w:rFonts w:hint="eastAsia" w:ascii="宋体" w:hAnsi="宋体" w:cs="仿宋"/>
                <w:kern w:val="0"/>
                <w:sz w:val="24"/>
                <w:highlight w:val="none"/>
              </w:rPr>
              <w:t>获得中标人推荐资格；评审得分和报价评审得分均相同的，由采购人或评标委员会采取随机抽取方式确定，其他同品牌</w:t>
            </w:r>
            <w:r>
              <w:rPr>
                <w:rFonts w:hint="eastAsia" w:ascii="宋体" w:hAnsi="宋体" w:cs="仿宋"/>
                <w:kern w:val="0"/>
                <w:sz w:val="24"/>
                <w:highlight w:val="none"/>
                <w:lang w:val="zh-CN"/>
              </w:rPr>
              <w:t>供应商</w:t>
            </w:r>
            <w:r>
              <w:rPr>
                <w:rFonts w:hint="eastAsia" w:ascii="宋体" w:hAnsi="宋体" w:cs="仿宋"/>
                <w:kern w:val="0"/>
                <w:sz w:val="24"/>
                <w:highlight w:val="none"/>
              </w:rPr>
              <w:t>不作为中标候选人。</w:t>
            </w:r>
          </w:p>
        </w:tc>
      </w:tr>
      <w:tr w14:paraId="4DC659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6" w:hRule="atLeast"/>
        </w:trPr>
        <w:tc>
          <w:tcPr>
            <w:tcW w:w="621" w:type="dxa"/>
            <w:tcBorders>
              <w:top w:val="single" w:color="auto" w:sz="4" w:space="0"/>
              <w:left w:val="single" w:color="000000" w:sz="8" w:space="0"/>
              <w:bottom w:val="single" w:color="auto" w:sz="4" w:space="0"/>
              <w:right w:val="single" w:color="000000" w:sz="2" w:space="0"/>
            </w:tcBorders>
            <w:noWrap w:val="0"/>
            <w:vAlign w:val="center"/>
          </w:tcPr>
          <w:p w14:paraId="22C8CE9D">
            <w:pPr>
              <w:snapToGrid w:val="0"/>
              <w:spacing w:line="300" w:lineRule="exact"/>
              <w:jc w:val="center"/>
              <w:rPr>
                <w:rFonts w:hint="eastAsia" w:ascii="宋体" w:hAnsi="宋体" w:eastAsia="宋体" w:cs="仿宋"/>
                <w:sz w:val="24"/>
                <w:highlight w:val="none"/>
                <w:lang w:eastAsia="zh-CN"/>
              </w:rPr>
            </w:pPr>
            <w:r>
              <w:rPr>
                <w:rFonts w:hint="eastAsia" w:ascii="宋体" w:hAnsi="宋体" w:cs="仿宋"/>
                <w:sz w:val="24"/>
                <w:highlight w:val="none"/>
                <w:lang w:val="en-US" w:eastAsia="zh-CN"/>
              </w:rPr>
              <w:t>9</w:t>
            </w:r>
          </w:p>
        </w:tc>
        <w:tc>
          <w:tcPr>
            <w:tcW w:w="1751" w:type="dxa"/>
            <w:tcBorders>
              <w:top w:val="single" w:color="000000" w:sz="8" w:space="0"/>
              <w:left w:val="single" w:color="000000" w:sz="2" w:space="0"/>
              <w:bottom w:val="single" w:color="000000" w:sz="8" w:space="0"/>
              <w:right w:val="single" w:color="000000" w:sz="8" w:space="0"/>
            </w:tcBorders>
            <w:noWrap w:val="0"/>
            <w:vAlign w:val="center"/>
          </w:tcPr>
          <w:p w14:paraId="532834B1">
            <w:pPr>
              <w:snapToGrid w:val="0"/>
              <w:spacing w:line="360" w:lineRule="auto"/>
              <w:jc w:val="center"/>
              <w:rPr>
                <w:rFonts w:ascii="宋体" w:hAnsi="宋体" w:cs="仿宋"/>
                <w:b/>
                <w:sz w:val="24"/>
                <w:highlight w:val="none"/>
              </w:rPr>
            </w:pPr>
            <w:r>
              <w:rPr>
                <w:rFonts w:hint="eastAsia" w:ascii="宋体" w:hAnsi="宋体" w:cs="仿宋"/>
                <w:b/>
                <w:sz w:val="24"/>
                <w:highlight w:val="none"/>
              </w:rPr>
              <w:t>采购标的对应的中小企业划分标准所属行业</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7FDF2782">
            <w:pPr>
              <w:spacing w:line="312" w:lineRule="auto"/>
              <w:ind w:firstLine="240" w:firstLineChars="100"/>
              <w:rPr>
                <w:rFonts w:hint="eastAsia" w:ascii="宋体" w:hAnsi="宋体" w:eastAsia="宋体" w:cs="仿宋"/>
                <w:color w:val="auto"/>
                <w:kern w:val="0"/>
                <w:sz w:val="24"/>
                <w:highlight w:val="none"/>
              </w:rPr>
            </w:pPr>
            <w:r>
              <w:rPr>
                <w:rFonts w:hint="eastAsia" w:ascii="宋体" w:hAnsi="宋体" w:eastAsia="宋体" w:cs="仿宋"/>
                <w:color w:val="auto"/>
                <w:kern w:val="0"/>
                <w:sz w:val="24"/>
                <w:highlight w:val="none"/>
              </w:rPr>
              <w:t>标的：详见采购清单及中小企业声明函</w:t>
            </w:r>
          </w:p>
          <w:p w14:paraId="3238D100">
            <w:pPr>
              <w:snapToGrid w:val="0"/>
              <w:spacing w:line="360" w:lineRule="auto"/>
              <w:ind w:firstLine="240" w:firstLineChars="100"/>
              <w:rPr>
                <w:rFonts w:ascii="宋体" w:hAnsi="宋体" w:cs="仿宋"/>
                <w:kern w:val="0"/>
                <w:sz w:val="24"/>
                <w:highlight w:val="none"/>
              </w:rPr>
            </w:pPr>
            <w:r>
              <w:rPr>
                <w:rFonts w:hint="eastAsia" w:ascii="宋体" w:hAnsi="宋体" w:eastAsia="宋体" w:cs="仿宋"/>
                <w:color w:val="auto"/>
                <w:kern w:val="0"/>
                <w:sz w:val="24"/>
                <w:highlight w:val="none"/>
              </w:rPr>
              <w:t>属于</w:t>
            </w:r>
            <w:r>
              <w:rPr>
                <w:rFonts w:hint="eastAsia" w:ascii="宋体" w:hAnsi="宋体" w:eastAsia="宋体" w:cs="仿宋"/>
                <w:color w:val="auto"/>
                <w:kern w:val="0"/>
                <w:sz w:val="24"/>
                <w:highlight w:val="none"/>
                <w:u w:val="single"/>
              </w:rPr>
              <w:t>工业</w:t>
            </w:r>
            <w:r>
              <w:rPr>
                <w:rFonts w:hint="eastAsia" w:ascii="宋体" w:hAnsi="宋体" w:eastAsia="宋体" w:cs="仿宋"/>
                <w:color w:val="auto"/>
                <w:kern w:val="0"/>
                <w:sz w:val="24"/>
                <w:highlight w:val="none"/>
              </w:rPr>
              <w:t>行业</w:t>
            </w:r>
          </w:p>
        </w:tc>
      </w:tr>
      <w:tr w14:paraId="5EED3E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6" w:hRule="atLeast"/>
        </w:trPr>
        <w:tc>
          <w:tcPr>
            <w:tcW w:w="621" w:type="dxa"/>
            <w:tcBorders>
              <w:top w:val="single" w:color="auto" w:sz="4" w:space="0"/>
              <w:left w:val="single" w:color="000000" w:sz="8" w:space="0"/>
              <w:bottom w:val="single" w:color="auto" w:sz="4" w:space="0"/>
              <w:right w:val="single" w:color="000000" w:sz="2" w:space="0"/>
            </w:tcBorders>
            <w:noWrap w:val="0"/>
            <w:vAlign w:val="center"/>
          </w:tcPr>
          <w:p w14:paraId="1AD06EDB">
            <w:pPr>
              <w:snapToGrid w:val="0"/>
              <w:spacing w:line="300" w:lineRule="exact"/>
              <w:jc w:val="center"/>
              <w:rPr>
                <w:rFonts w:hint="default" w:ascii="宋体" w:hAnsi="宋体" w:cs="仿宋"/>
                <w:sz w:val="24"/>
                <w:highlight w:val="none"/>
                <w:lang w:val="en-US" w:eastAsia="zh-CN"/>
              </w:rPr>
            </w:pPr>
            <w:r>
              <w:rPr>
                <w:rFonts w:hint="eastAsia" w:ascii="宋体" w:hAnsi="宋体" w:cs="仿宋"/>
                <w:sz w:val="24"/>
                <w:highlight w:val="none"/>
                <w:lang w:val="en-US" w:eastAsia="zh-CN"/>
              </w:rPr>
              <w:t>10</w:t>
            </w:r>
          </w:p>
        </w:tc>
        <w:tc>
          <w:tcPr>
            <w:tcW w:w="1751"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6A9202CC">
            <w:pPr>
              <w:shd w:val="clear" w:color="auto" w:fill="auto"/>
              <w:snapToGrid w:val="0"/>
              <w:spacing w:line="360" w:lineRule="auto"/>
              <w:jc w:val="center"/>
              <w:rPr>
                <w:rFonts w:hint="eastAsia" w:ascii="宋体" w:hAnsi="宋体" w:eastAsia="宋体" w:cs="仿宋"/>
                <w:b/>
                <w:color w:val="auto"/>
                <w:kern w:val="2"/>
                <w:sz w:val="24"/>
                <w:szCs w:val="24"/>
                <w:highlight w:val="none"/>
                <w:lang w:val="en-US" w:eastAsia="zh-CN" w:bidi="ar-SA"/>
              </w:rPr>
            </w:pPr>
            <w:r>
              <w:rPr>
                <w:rFonts w:hint="eastAsia" w:ascii="宋体" w:hAnsi="宋体" w:eastAsia="宋体" w:cs="仿宋"/>
                <w:b/>
                <w:color w:val="auto"/>
                <w:sz w:val="24"/>
                <w:highlight w:val="none"/>
              </w:rPr>
              <w:t>节能产品</w:t>
            </w:r>
          </w:p>
        </w:tc>
        <w:tc>
          <w:tcPr>
            <w:tcW w:w="7559" w:type="dxa"/>
            <w:tcBorders>
              <w:top w:val="single" w:color="000000" w:sz="8" w:space="0"/>
              <w:left w:val="single" w:color="000000" w:sz="2" w:space="0"/>
              <w:bottom w:val="single" w:color="000000" w:sz="8" w:space="0"/>
              <w:right w:val="single" w:color="000000" w:sz="8" w:space="0"/>
            </w:tcBorders>
            <w:shd w:val="clear" w:color="auto" w:fill="auto"/>
            <w:noWrap w:val="0"/>
            <w:vAlign w:val="center"/>
          </w:tcPr>
          <w:p w14:paraId="33DB0CC0">
            <w:pPr>
              <w:shd w:val="clear" w:color="auto" w:fill="auto"/>
              <w:snapToGrid w:val="0"/>
              <w:spacing w:line="360" w:lineRule="auto"/>
              <w:ind w:firstLine="480" w:firstLineChars="200"/>
              <w:rPr>
                <w:rFonts w:hint="eastAsia" w:ascii="宋体" w:hAnsi="宋体" w:eastAsia="宋体" w:cs="仿宋"/>
                <w:color w:val="auto"/>
                <w:kern w:val="0"/>
                <w:sz w:val="24"/>
                <w:szCs w:val="24"/>
                <w:highlight w:val="none"/>
                <w:lang w:val="en-US" w:eastAsia="zh-CN" w:bidi="ar-SA"/>
              </w:rPr>
            </w:pPr>
            <w:r>
              <w:rPr>
                <w:rFonts w:hint="eastAsia" w:ascii="宋体" w:hAnsi="宋体" w:eastAsia="宋体" w:cs="仿宋"/>
                <w:color w:val="auto"/>
                <w:kern w:val="0"/>
                <w:sz w:val="24"/>
                <w:highlight w:val="none"/>
              </w:rPr>
              <w:t>采购人拟采购的产品属于品目清单范围的，采购人及其委托的采购代理机构将依据国家确定的认证机构出具的、处于有效期之内的节能产品认证证书，对获得证书的产品实施政府优先采购或强制采购。</w:t>
            </w:r>
          </w:p>
        </w:tc>
      </w:tr>
      <w:tr w14:paraId="63C830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43" w:hRule="atLeast"/>
        </w:trPr>
        <w:tc>
          <w:tcPr>
            <w:tcW w:w="621" w:type="dxa"/>
            <w:tcBorders>
              <w:top w:val="single" w:color="auto" w:sz="4" w:space="0"/>
              <w:left w:val="single" w:color="000000" w:sz="8" w:space="0"/>
              <w:right w:val="single" w:color="000000" w:sz="2" w:space="0"/>
            </w:tcBorders>
            <w:noWrap w:val="0"/>
            <w:vAlign w:val="center"/>
          </w:tcPr>
          <w:p w14:paraId="65715E78">
            <w:pPr>
              <w:snapToGrid w:val="0"/>
              <w:spacing w:line="300" w:lineRule="exact"/>
              <w:jc w:val="center"/>
              <w:rPr>
                <w:rFonts w:hint="default" w:ascii="宋体" w:hAnsi="宋体" w:eastAsia="宋体" w:cs="仿宋"/>
                <w:sz w:val="24"/>
                <w:highlight w:val="none"/>
                <w:lang w:val="en-US" w:eastAsia="zh-CN"/>
              </w:rPr>
            </w:pPr>
            <w:r>
              <w:rPr>
                <w:rFonts w:hint="eastAsia" w:ascii="宋体" w:hAnsi="宋体" w:eastAsia="宋体" w:cs="仿宋"/>
                <w:sz w:val="24"/>
                <w:highlight w:val="none"/>
                <w:lang w:val="en-US" w:eastAsia="zh-CN"/>
              </w:rPr>
              <w:t>11</w:t>
            </w:r>
          </w:p>
        </w:tc>
        <w:tc>
          <w:tcPr>
            <w:tcW w:w="1751" w:type="dxa"/>
            <w:tcBorders>
              <w:top w:val="single" w:color="000000" w:sz="8" w:space="0"/>
              <w:left w:val="single" w:color="000000" w:sz="2" w:space="0"/>
              <w:right w:val="single" w:color="000000" w:sz="8" w:space="0"/>
            </w:tcBorders>
            <w:noWrap w:val="0"/>
            <w:vAlign w:val="center"/>
          </w:tcPr>
          <w:p w14:paraId="07E77609">
            <w:pPr>
              <w:snapToGrid w:val="0"/>
              <w:spacing w:line="360" w:lineRule="auto"/>
              <w:jc w:val="center"/>
              <w:rPr>
                <w:rFonts w:ascii="宋体" w:hAnsi="宋体" w:cs="仿宋"/>
                <w:b/>
                <w:sz w:val="24"/>
                <w:highlight w:val="none"/>
              </w:rPr>
            </w:pPr>
            <w:r>
              <w:rPr>
                <w:rFonts w:hint="eastAsia" w:ascii="宋体" w:hAnsi="宋体" w:cs="仿宋"/>
                <w:b/>
                <w:sz w:val="24"/>
                <w:highlight w:val="none"/>
              </w:rPr>
              <w:t>中标服务费</w:t>
            </w:r>
          </w:p>
        </w:tc>
        <w:tc>
          <w:tcPr>
            <w:tcW w:w="7559" w:type="dxa"/>
            <w:tcBorders>
              <w:top w:val="single" w:color="000000" w:sz="8" w:space="0"/>
              <w:left w:val="single" w:color="000000" w:sz="2" w:space="0"/>
              <w:bottom w:val="single" w:color="000000" w:sz="8" w:space="0"/>
              <w:right w:val="single" w:color="000000" w:sz="8" w:space="0"/>
            </w:tcBorders>
            <w:noWrap w:val="0"/>
            <w:vAlign w:val="center"/>
          </w:tcPr>
          <w:p w14:paraId="5B60311D">
            <w:pPr>
              <w:spacing w:line="360" w:lineRule="auto"/>
              <w:ind w:firstLine="480" w:firstLineChars="200"/>
              <w:rPr>
                <w:rFonts w:ascii="宋体" w:hAnsi="宋体" w:cs="仿宋"/>
                <w:snapToGrid w:val="0"/>
                <w:kern w:val="28"/>
                <w:sz w:val="24"/>
                <w:highlight w:val="none"/>
              </w:rPr>
            </w:pPr>
            <w:r>
              <w:rPr>
                <w:rFonts w:hint="eastAsia" w:ascii="宋体" w:hAnsi="宋体" w:eastAsia="宋体" w:cs="仿宋"/>
                <w:color w:val="auto"/>
                <w:kern w:val="0"/>
                <w:sz w:val="24"/>
                <w:highlight w:val="none"/>
                <w:lang w:eastAsia="zh-CN"/>
              </w:rPr>
              <w:t>本招标公司根据国家发改委发改办价格[2003]857号通知和原国家计委计价格[2002]1980号文件规定的货物招标费率标准</w:t>
            </w:r>
            <w:r>
              <w:rPr>
                <w:rFonts w:hint="eastAsia" w:ascii="宋体" w:hAnsi="宋体" w:cs="宋体"/>
                <w:color w:val="auto"/>
                <w:sz w:val="24"/>
                <w:highlight w:val="none"/>
                <w:lang w:val="en-US" w:eastAsia="zh-CN"/>
              </w:rPr>
              <w:t>向中标人</w:t>
            </w:r>
            <w:r>
              <w:rPr>
                <w:rFonts w:hint="eastAsia" w:ascii="宋体" w:hAnsi="宋体" w:cs="宋体"/>
                <w:color w:val="auto"/>
                <w:sz w:val="24"/>
                <w:highlight w:val="none"/>
              </w:rPr>
              <w:t>收取中标服务费</w:t>
            </w:r>
            <w:r>
              <w:rPr>
                <w:rFonts w:hint="eastAsia" w:ascii="宋体" w:hAnsi="宋体" w:eastAsia="宋体" w:cs="仿宋"/>
                <w:color w:val="auto"/>
                <w:kern w:val="0"/>
                <w:sz w:val="24"/>
                <w:highlight w:val="none"/>
                <w:lang w:eastAsia="zh-CN"/>
              </w:rPr>
              <w:t>，中标人应在本公司发出中标通知书5个工作日内向本招标公司支付</w:t>
            </w:r>
            <w:r>
              <w:rPr>
                <w:rFonts w:hint="eastAsia" w:ascii="宋体" w:hAnsi="宋体" w:cs="宋体"/>
                <w:color w:val="auto"/>
                <w:sz w:val="24"/>
                <w:highlight w:val="none"/>
              </w:rPr>
              <w:t>中标服务费</w:t>
            </w:r>
            <w:r>
              <w:rPr>
                <w:rFonts w:hint="eastAsia" w:ascii="宋体" w:hAnsi="宋体" w:eastAsia="宋体" w:cs="仿宋"/>
                <w:color w:val="auto"/>
                <w:kern w:val="0"/>
                <w:sz w:val="24"/>
                <w:highlight w:val="none"/>
                <w:lang w:eastAsia="zh-CN"/>
              </w:rPr>
              <w:t>。招标服务费只收现金、银行票汇款、电汇款。</w:t>
            </w:r>
          </w:p>
        </w:tc>
      </w:tr>
    </w:tbl>
    <w:p w14:paraId="4945DBEC">
      <w:pPr>
        <w:rPr>
          <w:rFonts w:hint="eastAsia" w:cs="仿宋" w:asciiTheme="majorEastAsia" w:hAnsiTheme="majorEastAsia" w:eastAsiaTheme="majorEastAsia"/>
          <w:b/>
          <w:sz w:val="32"/>
          <w:szCs w:val="32"/>
          <w:highlight w:val="none"/>
        </w:rPr>
      </w:pPr>
      <w:r>
        <w:rPr>
          <w:rFonts w:hint="eastAsia" w:cs="仿宋" w:asciiTheme="majorEastAsia" w:hAnsiTheme="majorEastAsia" w:eastAsiaTheme="majorEastAsia"/>
          <w:b/>
          <w:sz w:val="32"/>
          <w:szCs w:val="32"/>
          <w:highlight w:val="none"/>
        </w:rPr>
        <w:br w:type="page"/>
      </w:r>
    </w:p>
    <w:p w14:paraId="731565FD">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szCs w:val="32"/>
          <w:highlight w:val="none"/>
        </w:rPr>
      </w:pPr>
      <w:r>
        <w:rPr>
          <w:rFonts w:hint="eastAsia" w:cs="仿宋" w:asciiTheme="majorEastAsia" w:hAnsiTheme="majorEastAsia" w:eastAsiaTheme="majorEastAsia"/>
          <w:b/>
          <w:sz w:val="32"/>
          <w:szCs w:val="32"/>
          <w:highlight w:val="none"/>
        </w:rPr>
        <w:t>一、总则</w:t>
      </w:r>
    </w:p>
    <w:p w14:paraId="4484E800">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适用范围</w:t>
      </w:r>
    </w:p>
    <w:p w14:paraId="50F12F5C">
      <w:pPr>
        <w:keepNext w:val="0"/>
        <w:keepLines w:val="0"/>
        <w:pageBreakBefore w:val="0"/>
        <w:kinsoku/>
        <w:wordWrap/>
        <w:overflowPunct/>
        <w:topLinePunct w:val="0"/>
        <w:autoSpaceDE/>
        <w:autoSpaceDN/>
        <w:bidi w:val="0"/>
        <w:snapToGrid w:val="0"/>
        <w:spacing w:line="360" w:lineRule="auto"/>
        <w:ind w:firstLine="480" w:firstLineChars="200"/>
        <w:jc w:val="left"/>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本招标文件适用于该项目的招标、投标、开标、资格审查及信用信息查询、评标、定标、合同、验收等行为（法律、法规另有规定的，从其规定）。</w:t>
      </w:r>
    </w:p>
    <w:p w14:paraId="5499F368">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定义</w:t>
      </w:r>
    </w:p>
    <w:p w14:paraId="0F065833">
      <w:pPr>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 “采购人”或“招标人”系指招标公告中载明的本项目的采购人。</w:t>
      </w:r>
    </w:p>
    <w:p w14:paraId="575B1EB3">
      <w:pPr>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2.2 “采购代理机构”系指招标公告中载明的本项目的采购代理机构。</w:t>
      </w:r>
    </w:p>
    <w:p w14:paraId="13EA1417">
      <w:pPr>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2.3 “</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”或“投标人”系指是指响应招标、参加投标竞争的法人、其他组织或者自然人。</w:t>
      </w:r>
    </w:p>
    <w:p w14:paraId="5BACE878">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2.4 “负责人”系指法人企业的法定负责人，或其他组织为法律、行政法规规定代表单位行使职权的主要负责人，或自然人本人。</w:t>
      </w:r>
    </w:p>
    <w:p w14:paraId="5C5A5077">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2.5“电子签名”系指数据电文中以电子形式所含、所附用于识别签名人身份并表明签名人认可其中内容的数据；“公章”系指单位法定名称章。</w:t>
      </w:r>
    </w:p>
    <w:p w14:paraId="677F0C9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2.6“电子交易平台”是指本项目采购活动所依托的采购云平台（https://</w:t>
      </w:r>
      <w:r>
        <w:rPr>
          <w:rFonts w:hint="eastAsia" w:cs="仿宋" w:asciiTheme="majorEastAsia" w:hAnsiTheme="majorEastAsia" w:eastAsiaTheme="majorEastAsia"/>
          <w:sz w:val="24"/>
          <w:highlight w:val="none"/>
          <w:lang w:eastAsia="zh-CN"/>
        </w:rPr>
        <w:t>www.lecaiyun.com</w:t>
      </w:r>
      <w:r>
        <w:rPr>
          <w:rFonts w:hint="eastAsia" w:ascii="宋体" w:hAnsi="宋体" w:eastAsia="宋体" w:cs="宋体"/>
          <w:sz w:val="24"/>
          <w:highlight w:val="none"/>
        </w:rPr>
        <w:t>/）。</w:t>
      </w:r>
    </w:p>
    <w:p w14:paraId="31FC0DF7">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2.7 “▲” 系指实质性要求条款，“</w:t>
      </w:r>
      <w:r>
        <w:rPr>
          <w:rFonts w:ascii="Wingdings" w:hAnsi="Wingdings" w:eastAsia="仿宋" w:cs="仿宋"/>
          <w:color w:val="auto"/>
          <w:kern w:val="0"/>
          <w:sz w:val="24"/>
          <w:highlight w:val="none"/>
        </w:rPr>
        <w:t></w:t>
      </w:r>
      <w:r>
        <w:rPr>
          <w:rFonts w:hint="eastAsia" w:ascii="仿宋" w:hAnsi="仿宋" w:eastAsia="仿宋" w:cs="仿宋"/>
          <w:color w:val="auto"/>
          <w:kern w:val="0"/>
          <w:sz w:val="24"/>
          <w:highlight w:val="none"/>
        </w:rPr>
        <w:t xml:space="preserve"> </w:t>
      </w:r>
      <w:r>
        <w:rPr>
          <w:rFonts w:hint="eastAsia" w:cs="仿宋" w:asciiTheme="majorEastAsia" w:hAnsiTheme="majorEastAsia" w:eastAsiaTheme="majorEastAsia"/>
          <w:sz w:val="24"/>
          <w:highlight w:val="none"/>
        </w:rPr>
        <w:t>”系指适用本项目的要求，“</w:t>
      </w:r>
      <w:r>
        <w:rPr>
          <w:rFonts w:hint="eastAsia" w:ascii="MS Gothic" w:hAnsi="MS Gothic" w:eastAsia="MS Gothic" w:cs="MS Gothic"/>
          <w:kern w:val="0"/>
          <w:sz w:val="24"/>
          <w:highlight w:val="none"/>
        </w:rPr>
        <w:t>☐</w:t>
      </w:r>
      <w:r>
        <w:rPr>
          <w:rFonts w:hint="eastAsia" w:cs="仿宋" w:asciiTheme="majorEastAsia" w:hAnsiTheme="majorEastAsia" w:eastAsiaTheme="majorEastAsia"/>
          <w:sz w:val="24"/>
          <w:highlight w:val="none"/>
        </w:rPr>
        <w:t>” 系指不适用本项目的要求。</w:t>
      </w:r>
    </w:p>
    <w:p w14:paraId="1725711A">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采购项目需要落实的政府采购政策</w:t>
      </w:r>
    </w:p>
    <w:p w14:paraId="4EB522C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0D9D719">
      <w:pPr>
        <w:keepNext w:val="0"/>
        <w:keepLines w:val="0"/>
        <w:pageBreakBefore w:val="0"/>
        <w:kinsoku/>
        <w:wordWrap/>
        <w:overflowPunct/>
        <w:topLinePunct w:val="0"/>
        <w:autoSpaceDE/>
        <w:autoSpaceDN/>
        <w:bidi w:val="0"/>
        <w:spacing w:line="360" w:lineRule="auto"/>
        <w:ind w:firstLine="480" w:firstLineChars="200"/>
        <w:textAlignment w:val="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3.2 支持绿色发展</w:t>
      </w:r>
    </w:p>
    <w:p w14:paraId="28CBEA05">
      <w:pPr>
        <w:keepNext w:val="0"/>
        <w:keepLines w:val="0"/>
        <w:pageBreakBefore w:val="0"/>
        <w:kinsoku/>
        <w:wordWrap/>
        <w:overflowPunct/>
        <w:topLinePunct w:val="0"/>
        <w:autoSpaceDE/>
        <w:autoSpaceDN/>
        <w:bidi w:val="0"/>
        <w:spacing w:line="360" w:lineRule="auto"/>
        <w:ind w:firstLine="480" w:firstLineChars="200"/>
        <w:textAlignment w:val="auto"/>
        <w:rPr>
          <w:rFonts w:hint="eastAsia" w:cs="仿宋" w:asciiTheme="majorEastAsia" w:hAnsiTheme="majorEastAsia" w:eastAsiaTheme="majorEastAsia"/>
          <w:sz w:val="24"/>
          <w:highlight w:val="none"/>
          <w:lang w:eastAsia="zh-CN"/>
        </w:rPr>
      </w:pPr>
      <w:r>
        <w:rPr>
          <w:rFonts w:hint="eastAsia" w:cs="仿宋" w:asciiTheme="majorEastAsia" w:hAnsiTheme="majorEastAsia" w:eastAsiaTheme="majorEastAsia"/>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须按招标文件要求提供相关产品认证证书。</w:t>
      </w:r>
      <w:r>
        <w:rPr>
          <w:rFonts w:hint="eastAsia" w:cs="仿宋" w:asciiTheme="majorEastAsia" w:hAnsiTheme="majorEastAsia" w:eastAsiaTheme="majorEastAsia"/>
          <w:b/>
          <w:bCs/>
          <w:sz w:val="24"/>
          <w:highlight w:val="none"/>
        </w:rPr>
        <w:t>▲采购人拟采购的产品属于政府强制采购的节能产品品目清单范围的，</w:t>
      </w:r>
      <w:r>
        <w:rPr>
          <w:rFonts w:hint="eastAsia" w:cs="仿宋" w:asciiTheme="majorEastAsia" w:hAnsiTheme="majorEastAsia" w:eastAsiaTheme="majorEastAsia"/>
          <w:b/>
          <w:bCs/>
          <w:sz w:val="24"/>
          <w:highlight w:val="none"/>
          <w:lang w:eastAsia="zh-CN"/>
        </w:rPr>
        <w:t>供应商</w:t>
      </w:r>
      <w:r>
        <w:rPr>
          <w:rFonts w:hint="eastAsia" w:cs="仿宋" w:asciiTheme="majorEastAsia" w:hAnsiTheme="majorEastAsia" w:eastAsiaTheme="majorEastAsia"/>
          <w:b/>
          <w:bCs/>
          <w:sz w:val="24"/>
          <w:highlight w:val="none"/>
        </w:rPr>
        <w:t>未按招标文件要求提供国家确定的认证机构出具的、处于有效期之内的节能产品认证证书的，投标无效。</w:t>
      </w:r>
    </w:p>
    <w:p w14:paraId="1D7C7154">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3.3支持中小企业发展</w:t>
      </w:r>
    </w:p>
    <w:p w14:paraId="2CB8A605">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D7400A3">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符合中小企业划分标准的个体工商户，在政府采购活动中视同中小企业。</w:t>
      </w:r>
    </w:p>
    <w:p w14:paraId="21538CD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bCs/>
          <w:sz w:val="24"/>
          <w:highlight w:val="none"/>
        </w:rPr>
        <w:t>3.3.2</w:t>
      </w:r>
      <w:r>
        <w:rPr>
          <w:rFonts w:hint="eastAsia" w:cs="仿宋" w:asciiTheme="majorEastAsia" w:hAnsiTheme="majorEastAsia" w:eastAsiaTheme="majorEastAsia"/>
          <w:kern w:val="0"/>
          <w:sz w:val="24"/>
          <w:highlight w:val="none"/>
        </w:rPr>
        <w:t>在政府采购活动中，</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提供的货物、工程或者服务符合下列情形的，享受中小企业扶持政策：</w:t>
      </w:r>
    </w:p>
    <w:p w14:paraId="7145F04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3.3.2.1在货物采购项目中，货物由中小企业制造，即货物由中小企业生产且使用该中小企业商号或者注册商标；</w:t>
      </w:r>
    </w:p>
    <w:p w14:paraId="22CE4E2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3.3.2.2在工程采购项目中，工程由中小企业承建，即工程施工单位为中小企业；</w:t>
      </w:r>
    </w:p>
    <w:p w14:paraId="28B94AD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3.3.2.3在服务采购项目中，服务由中小企业承接，即提供服务的人员为中小企业依照《中华人民共和国劳动合同法》订立劳动合同的从业人员。</w:t>
      </w:r>
    </w:p>
    <w:p w14:paraId="7DD898A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在货物采购项目中，</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提供的货物既有中小企业制造货物，也有大型企业制造货物的，不享受中小企业扶持政策。</w:t>
      </w:r>
    </w:p>
    <w:p w14:paraId="6371D9E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以联合体形式参加政府采购活动，联合体各方均为中小企业的，联合体视同中小企业。其中，联合体各方均为小微企业的，联合体视同小微企业。</w:t>
      </w:r>
    </w:p>
    <w:p w14:paraId="4EAE6AE7">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3.3.3对于未预留份额专门面向中小企业的政府采购货物或服务项目，以及预留份额政府采购货物或服务项目中的非预留部分标项，对小型和微型企业的投标报价给予</w:t>
      </w:r>
      <w:r>
        <w:rPr>
          <w:rFonts w:hint="eastAsia" w:cs="仿宋" w:asciiTheme="majorEastAsia" w:hAnsiTheme="majorEastAsia" w:eastAsiaTheme="majorEastAsia"/>
          <w:sz w:val="24"/>
          <w:highlight w:val="none"/>
          <w:lang w:val="en-US" w:eastAsia="zh-CN"/>
        </w:rPr>
        <w:t>1</w:t>
      </w:r>
      <w:r>
        <w:rPr>
          <w:rFonts w:hint="eastAsia" w:cs="仿宋" w:asciiTheme="majorEastAsia" w:hAnsiTheme="majorEastAsia" w:eastAsiaTheme="majorEastAsia"/>
          <w:sz w:val="24"/>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仿宋" w:asciiTheme="majorEastAsia" w:hAnsiTheme="majorEastAsia" w:eastAsiaTheme="majorEastAsia"/>
          <w:sz w:val="24"/>
          <w:highlight w:val="none"/>
          <w:lang w:val="en-US" w:eastAsia="zh-CN"/>
        </w:rPr>
        <w:t>4</w:t>
      </w:r>
      <w:r>
        <w:rPr>
          <w:rFonts w:hint="eastAsia" w:cs="仿宋" w:asciiTheme="majorEastAsia" w:hAnsiTheme="majorEastAsia" w:eastAsiaTheme="majorEastAsia"/>
          <w:sz w:val="24"/>
          <w:highlight w:val="none"/>
        </w:rPr>
        <w:t>%的扣除，用扣除后的价格参加评审。组成联合体或者接受分包的小微企业与联合体内其他企业、分包企业之间存在直接控股、管理关系的，不享受价格扣除优惠政策。</w:t>
      </w:r>
    </w:p>
    <w:p w14:paraId="02A66D4A">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3.3.4符合《关于促进残疾人就业政府采购政策的通知》（财库〔2017〕141号）规定的条件并提供《残疾人福利性单位声明函》的残疾人福利性单位视同小型、微型企业；</w:t>
      </w:r>
    </w:p>
    <w:p w14:paraId="106949A4">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0BDC71">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3.3.6可享受中小企业扶持政策的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应按照招标文件格式要求提供《中小企业声明函》，</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提供的《中小企业声明函》与实际情况不符的，不享受中小企业扶持政策。声明内容不实的，属于提供虚假材料谋取中标、成交的，依法承担法律责任。</w:t>
      </w:r>
    </w:p>
    <w:p w14:paraId="588C4DD7">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3.3.7中小企业享受扶持政策获得政府采购合同的，小微企业不得将合同分包给大中型企业，中型企业不得将合同分包给大型企业。</w:t>
      </w:r>
    </w:p>
    <w:p w14:paraId="343318F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3.4支持创新发展</w:t>
      </w:r>
    </w:p>
    <w:p w14:paraId="3F729568">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3.4.1 采购人优先采购被认定为首台套产品和“制造精品”的自主创新产品。</w:t>
      </w:r>
    </w:p>
    <w:p w14:paraId="0B102066">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61BCCC86">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特别说明</w:t>
      </w:r>
    </w:p>
    <w:p w14:paraId="237E6B20">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4.1关于分公司投标</w:t>
      </w:r>
    </w:p>
    <w:p w14:paraId="77C51945">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除银行、保险、石油石化、电力、电信等特殊行业外。法人的分支机构由于不能独立承担民事责任，不能以分支机构的身份参加政府采购，只能以法人身份参加。 </w:t>
      </w:r>
    </w:p>
    <w:p w14:paraId="646EF084">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4.2关于知识产权</w:t>
      </w:r>
    </w:p>
    <w:p w14:paraId="20B74114">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4.2.1 </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承担。</w:t>
      </w:r>
    </w:p>
    <w:p w14:paraId="2C7BB166">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4.2.2 投标报价应包含所有应向所有权人支付的专利权、商标权或其它知识产权的一切相关费用。</w:t>
      </w:r>
    </w:p>
    <w:p w14:paraId="1199994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承担所有责任及费用。</w:t>
      </w:r>
    </w:p>
    <w:p w14:paraId="500621D5">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4.3</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的风险</w:t>
      </w:r>
    </w:p>
    <w:p w14:paraId="58CD318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4.3.1 </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承担,并对所提供的全部资料的真实性承担法律责任。</w:t>
      </w:r>
    </w:p>
    <w:p w14:paraId="113873CF">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4.3.2 无论因何种原因导致本次采购活动终止致</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损失的，相关责任人均不承担任何责任。</w:t>
      </w:r>
    </w:p>
    <w:p w14:paraId="042BBDA6">
      <w:pPr>
        <w:keepNext w:val="0"/>
        <w:keepLines w:val="0"/>
        <w:pageBreakBefore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询问、质疑、投诉</w:t>
      </w:r>
    </w:p>
    <w:p w14:paraId="78FD96A2">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.1供应商询问</w:t>
      </w:r>
    </w:p>
    <w:p w14:paraId="760D55FA">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A39EFF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.2供应商质疑</w:t>
      </w:r>
    </w:p>
    <w:p w14:paraId="136DFE46">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.1提出质疑的供应商应当是参与所质疑项目采购活动的供应商。潜在供应商已依法获取其可质疑的招标文件的，可以对该文件提出质疑。</w:t>
      </w:r>
    </w:p>
    <w:p w14:paraId="6DD60D94">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D35D438">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5.2.2.1对招标文件提出质疑的，质疑期限为供应商获得招标文件之日或者招标文件公告期限届满之日起计算。</w:t>
      </w:r>
    </w:p>
    <w:p w14:paraId="0236E287">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5.2.2.2对采购过程提出质疑的，质疑期限为各采购程序环节结束之日起计算。</w:t>
      </w:r>
    </w:p>
    <w:p w14:paraId="3837EE71">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5.2.2.3对采购结果提出质疑的，质疑期限自采购结果公告期限届满之日起计算。</w:t>
      </w:r>
    </w:p>
    <w:p w14:paraId="1E17D98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5.2.2.4对同一采购程序环节的质疑，供应商须一次性提出。</w:t>
      </w:r>
    </w:p>
    <w:p w14:paraId="50FD937F">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w:t>
      </w:r>
      <w:r>
        <w:rPr>
          <w:rFonts w:hint="eastAsia" w:cs="仿宋" w:asciiTheme="majorEastAsia" w:hAnsiTheme="majorEastAsia" w:eastAsiaTheme="majorEastAsia"/>
          <w:sz w:val="24"/>
          <w:highlight w:val="none"/>
        </w:rPr>
        <w:t>供应商提出质疑应当提交质疑函和必要的证明材料。质疑函应当包括下列内容：</w:t>
      </w:r>
    </w:p>
    <w:p w14:paraId="7A083A2C">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.2.3.1供应商的姓名或者名称、地址、邮编、联系人及联系电话；</w:t>
      </w:r>
    </w:p>
    <w:p w14:paraId="5CC5FAB7">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.2.3.2质疑项目的名称、编号；</w:t>
      </w:r>
    </w:p>
    <w:p w14:paraId="38A881F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.2.3.3具体、明确的质疑事项和与质疑事项相关的请求；</w:t>
      </w:r>
    </w:p>
    <w:p w14:paraId="3F1E3BB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.2.3.4事实依据；</w:t>
      </w:r>
    </w:p>
    <w:p w14:paraId="283B5248">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.2.3.5必要的法律依据；</w:t>
      </w:r>
    </w:p>
    <w:p w14:paraId="30E77F39">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.2.3.6提出质疑的日期。</w:t>
      </w:r>
    </w:p>
    <w:p w14:paraId="47F7E809">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5.2.3.7对招标文件提出质疑的需要提供在</w:t>
      </w:r>
      <w:r>
        <w:rPr>
          <w:rFonts w:hint="eastAsia" w:cs="仿宋" w:asciiTheme="majorEastAsia" w:hAnsiTheme="majorEastAsia" w:eastAsiaTheme="majorEastAsia"/>
          <w:sz w:val="24"/>
          <w:highlight w:val="none"/>
          <w:lang w:val="en-US" w:eastAsia="zh-CN"/>
        </w:rPr>
        <w:t>乐采云</w:t>
      </w:r>
      <w:r>
        <w:rPr>
          <w:rFonts w:hint="eastAsia" w:cs="仿宋" w:asciiTheme="majorEastAsia" w:hAnsiTheme="majorEastAsia" w:eastAsiaTheme="majorEastAsia"/>
          <w:sz w:val="24"/>
          <w:highlight w:val="none"/>
        </w:rPr>
        <w:t>平台获取招标文件的截图。</w:t>
      </w:r>
    </w:p>
    <w:p w14:paraId="716B1124">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供应商提交的质疑函需一式三份。供应商为自然人的，应当由本人签字；供应商为法人或者其他组织的，应当由法定代表人、主要负责人，或者其授权代表签字或者盖章，并加盖公章。</w:t>
      </w:r>
    </w:p>
    <w:p w14:paraId="63EB4317">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质疑函范本请到</w:t>
      </w:r>
      <w:r>
        <w:rPr>
          <w:rFonts w:hint="eastAsia" w:cs="仿宋" w:asciiTheme="majorEastAsia" w:hAnsiTheme="majorEastAsia" w:eastAsiaTheme="majorEastAsia"/>
          <w:sz w:val="24"/>
          <w:highlight w:val="none"/>
          <w:lang w:eastAsia="zh-CN"/>
        </w:rPr>
        <w:t>浙江企业采购信息服务网</w:t>
      </w:r>
      <w:r>
        <w:rPr>
          <w:rFonts w:hint="eastAsia" w:cs="仿宋" w:asciiTheme="majorEastAsia" w:hAnsiTheme="majorEastAsia" w:eastAsiaTheme="majorEastAsia"/>
          <w:sz w:val="24"/>
          <w:highlight w:val="none"/>
        </w:rPr>
        <w:t>下载专区下载。</w:t>
      </w:r>
    </w:p>
    <w:p w14:paraId="525C703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1D17925E">
      <w:pPr>
        <w:keepNext w:val="0"/>
        <w:keepLines w:val="0"/>
        <w:pageBreakBefore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w:t>
      </w:r>
      <w:r>
        <w:rPr>
          <w:rFonts w:hint="eastAsia" w:cs="仿宋" w:asciiTheme="majorEastAsia" w:hAnsiTheme="majorEastAsia" w:eastAsiaTheme="majorEastAsia"/>
          <w:sz w:val="24"/>
          <w:highlight w:val="none"/>
          <w:lang w:val="zh-CN"/>
        </w:rPr>
        <w:t>.2</w:t>
      </w:r>
      <w:r>
        <w:rPr>
          <w:rFonts w:hint="eastAsia" w:cs="仿宋" w:asciiTheme="majorEastAsia" w:hAnsiTheme="majorEastAsia" w:eastAsiaTheme="majorEastAsia"/>
          <w:sz w:val="24"/>
          <w:highlight w:val="none"/>
        </w:rPr>
        <w:t>.5询问或者质疑事项可能影响采购结果的，采购人应当暂停签订合同，已经签订合同的，应当中止履行合同。</w:t>
      </w:r>
    </w:p>
    <w:p w14:paraId="6D289B44">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zh-CN"/>
        </w:rPr>
        <w:t>.3供应商投诉</w:t>
      </w:r>
    </w:p>
    <w:p w14:paraId="152E32B2">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1624F10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w:t>
      </w:r>
      <w:r>
        <w:rPr>
          <w:rFonts w:hint="eastAsia" w:ascii="宋体" w:hAnsi="宋体" w:eastAsia="宋体" w:cs="宋体"/>
          <w:sz w:val="24"/>
          <w:highlight w:val="none"/>
          <w:lang w:val="zh-CN"/>
        </w:rPr>
        <w:t>2</w:t>
      </w:r>
      <w:r>
        <w:rPr>
          <w:rFonts w:hint="eastAsia" w:ascii="宋体" w:hAnsi="宋体" w:eastAsia="宋体" w:cs="宋体"/>
          <w:sz w:val="24"/>
          <w:highlight w:val="none"/>
        </w:rPr>
        <w:t>供应商投诉的事项不得超出已质疑事项的范围，基于质疑答复内容提出的投诉事项除外。</w:t>
      </w:r>
    </w:p>
    <w:p w14:paraId="71953F6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5.3.3供应商投诉应当有明确的请求和必要的证明材料。</w:t>
      </w:r>
    </w:p>
    <w:p w14:paraId="7A45970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5.3.4以联合体形式参加政府采购活动的，其投诉应当由组成联合体的所有供应商共同提出。</w:t>
      </w:r>
    </w:p>
    <w:p w14:paraId="40FEDB4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5.3.5投诉人对集团纪检部门的投诉处理决定不服或集团纪检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38709F6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投诉书范本请到</w:t>
      </w:r>
      <w:r>
        <w:rPr>
          <w:rFonts w:hint="eastAsia" w:ascii="宋体" w:hAnsi="宋体" w:eastAsia="宋体" w:cs="宋体"/>
          <w:sz w:val="24"/>
          <w:highlight w:val="none"/>
          <w:lang w:eastAsia="zh-CN"/>
        </w:rPr>
        <w:t>浙江企业采购信息服务网</w:t>
      </w:r>
      <w:r>
        <w:rPr>
          <w:rFonts w:hint="eastAsia" w:ascii="宋体" w:hAnsi="宋体" w:eastAsia="宋体" w:cs="宋体"/>
          <w:sz w:val="24"/>
          <w:highlight w:val="none"/>
        </w:rPr>
        <w:t>下载专区下载。</w:t>
      </w:r>
    </w:p>
    <w:p w14:paraId="0FBDBFE8">
      <w:pPr>
        <w:kinsoku/>
        <w:wordWrap/>
        <w:overflowPunct/>
        <w:topLinePunct w:val="0"/>
        <w:bidi w:val="0"/>
        <w:spacing w:before="240" w:beforeLines="100" w:line="360" w:lineRule="auto"/>
        <w:jc w:val="center"/>
        <w:outlineLvl w:val="0"/>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二、招标文件的构成、澄清、修改</w:t>
      </w:r>
    </w:p>
    <w:p w14:paraId="72A381A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招标文件的构成</w:t>
      </w:r>
    </w:p>
    <w:p w14:paraId="17AB69A3">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 招标文件包括下列文件及附件：</w:t>
      </w:r>
    </w:p>
    <w:p w14:paraId="78797A1B">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6.1.1 招标公告；</w:t>
      </w:r>
    </w:p>
    <w:p w14:paraId="30E48786">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 xml:space="preserve">6.1.2 </w:t>
      </w:r>
      <w:r>
        <w:rPr>
          <w:rFonts w:hint="eastAsia" w:cs="仿宋" w:asciiTheme="majorEastAsia" w:hAnsiTheme="majorEastAsia" w:eastAsiaTheme="majorEastAsia"/>
          <w:sz w:val="24"/>
          <w:szCs w:val="24"/>
          <w:highlight w:val="none"/>
          <w:lang w:val="zh-CN"/>
        </w:rPr>
        <w:t>投标</w:t>
      </w:r>
      <w:r>
        <w:rPr>
          <w:rFonts w:hint="eastAsia" w:cs="仿宋" w:asciiTheme="majorEastAsia" w:hAnsiTheme="majorEastAsia" w:eastAsiaTheme="majorEastAsia"/>
          <w:sz w:val="24"/>
          <w:szCs w:val="24"/>
          <w:highlight w:val="none"/>
        </w:rPr>
        <w:t>须知；</w:t>
      </w:r>
    </w:p>
    <w:p w14:paraId="7AB8DE60">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6.1.3 采购需求；</w:t>
      </w:r>
    </w:p>
    <w:p w14:paraId="680DACBE">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6.1.4 评标办法；</w:t>
      </w:r>
    </w:p>
    <w:p w14:paraId="45BF1A57">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6.1.5 拟签订的合同文本；</w:t>
      </w:r>
    </w:p>
    <w:p w14:paraId="562B664F">
      <w:pPr>
        <w:pStyle w:val="15"/>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cs="仿宋" w:asciiTheme="majorEastAsia" w:hAnsiTheme="majorEastAsia" w:eastAsiaTheme="majorEastAsia"/>
          <w:sz w:val="24"/>
          <w:szCs w:val="24"/>
          <w:highlight w:val="none"/>
        </w:rPr>
      </w:pPr>
      <w:r>
        <w:rPr>
          <w:rFonts w:hint="eastAsia" w:cs="仿宋" w:asciiTheme="majorEastAsia" w:hAnsiTheme="majorEastAsia" w:eastAsiaTheme="majorEastAsia"/>
          <w:sz w:val="24"/>
          <w:szCs w:val="24"/>
          <w:highlight w:val="none"/>
        </w:rPr>
        <w:t>6.1.6 应提交的有关格式范例；</w:t>
      </w:r>
    </w:p>
    <w:p w14:paraId="4829611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6.2与本项目有关的</w:t>
      </w:r>
      <w:r>
        <w:rPr>
          <w:rFonts w:hint="eastAsia" w:cs="仿宋" w:asciiTheme="majorEastAsia" w:hAnsiTheme="majorEastAsia" w:eastAsiaTheme="majorEastAsia"/>
          <w:bCs/>
          <w:sz w:val="24"/>
          <w:highlight w:val="none"/>
        </w:rPr>
        <w:t>澄清或者修改的内容为招标文件的组成部分</w:t>
      </w:r>
      <w:r>
        <w:rPr>
          <w:rFonts w:hint="eastAsia" w:cs="仿宋" w:asciiTheme="majorEastAsia" w:hAnsiTheme="majorEastAsia" w:eastAsiaTheme="majorEastAsia"/>
          <w:sz w:val="24"/>
          <w:highlight w:val="none"/>
        </w:rPr>
        <w:t>。</w:t>
      </w:r>
    </w:p>
    <w:p w14:paraId="38317FD5">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招标文件的澄清、修改</w:t>
      </w:r>
    </w:p>
    <w:p w14:paraId="6058160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6E06AD5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446955DA">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7.3 如更正公告有重新发布电子招标文件的，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应下载最新发布的电子招标文件制作投标文件。</w:t>
      </w:r>
    </w:p>
    <w:p w14:paraId="22B387EC">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cs="仿宋" w:asciiTheme="majorEastAsia" w:hAnsiTheme="majorEastAsia" w:eastAsiaTheme="majorEastAsia"/>
          <w:b/>
          <w:sz w:val="30"/>
          <w:szCs w:val="20"/>
          <w:highlight w:val="none"/>
        </w:rPr>
      </w:pPr>
      <w:r>
        <w:rPr>
          <w:rFonts w:hint="eastAsia" w:cs="仿宋" w:asciiTheme="majorEastAsia" w:hAnsiTheme="majorEastAsia" w:eastAsiaTheme="majorEastAsia"/>
          <w:sz w:val="24"/>
          <w:highlight w:val="none"/>
        </w:rPr>
        <w:t>7.4 已获取招标文件的潜在</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，若有问题需要澄清，应于投标截止时间前，以书面形式向采购代理机构提出。</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sz w:val="24"/>
          <w:highlight w:val="none"/>
        </w:rPr>
        <w:t>。</w:t>
      </w:r>
    </w:p>
    <w:p w14:paraId="2726476A">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三、投标</w:t>
      </w:r>
    </w:p>
    <w:p w14:paraId="36221D73">
      <w:pPr>
        <w:keepNext w:val="0"/>
        <w:keepLines w:val="0"/>
        <w:pageBreakBefore w:val="0"/>
        <w:widowControl w:val="0"/>
        <w:numPr>
          <w:ilvl w:val="0"/>
          <w:numId w:val="2"/>
        </w:numPr>
        <w:kinsoku/>
        <w:wordWrap/>
        <w:overflowPunct/>
        <w:topLinePunct w:val="0"/>
        <w:bidi w:val="0"/>
        <w:adjustRightInd w:val="0"/>
        <w:snapToGrid w:val="0"/>
        <w:spacing w:line="360" w:lineRule="auto"/>
        <w:ind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投标文件的语言</w:t>
      </w:r>
    </w:p>
    <w:p w14:paraId="207A08DF">
      <w:pPr>
        <w:snapToGrid w:val="0"/>
        <w:spacing w:line="360" w:lineRule="auto"/>
        <w:ind w:firstLine="480" w:firstLineChars="200"/>
        <w:rPr>
          <w:rFonts w:hint="eastAsia" w:ascii="宋体" w:hAnsi="宋体" w:cs="仿宋"/>
          <w:sz w:val="24"/>
          <w:highlight w:val="none"/>
          <w:lang w:val="zh-CN"/>
        </w:rPr>
      </w:pPr>
      <w:r>
        <w:rPr>
          <w:rFonts w:hint="eastAsia" w:ascii="宋体" w:hAnsi="宋体" w:cs="仿宋"/>
          <w:sz w:val="24"/>
          <w:highlight w:val="none"/>
        </w:rPr>
        <w:t>投标文件及</w:t>
      </w:r>
      <w:r>
        <w:rPr>
          <w:rFonts w:hint="eastAsia" w:ascii="宋体" w:hAnsi="宋体" w:cs="仿宋"/>
          <w:sz w:val="24"/>
          <w:highlight w:val="none"/>
          <w:lang w:val="zh-CN"/>
        </w:rPr>
        <w:t>供应商</w:t>
      </w:r>
      <w:r>
        <w:rPr>
          <w:rFonts w:hint="eastAsia" w:ascii="宋体" w:hAnsi="宋体" w:cs="仿宋"/>
          <w:sz w:val="24"/>
          <w:highlight w:val="none"/>
        </w:rPr>
        <w:t>与采购有关的来往通知、函件和文件均应使用中文。</w:t>
      </w:r>
    </w:p>
    <w:p w14:paraId="679A33BE">
      <w:pPr>
        <w:snapToGrid w:val="0"/>
        <w:spacing w:line="360" w:lineRule="auto"/>
        <w:ind w:firstLine="482" w:firstLineChars="200"/>
        <w:rPr>
          <w:rFonts w:hint="eastAsia" w:ascii="宋体" w:hAnsi="宋体" w:cs="仿宋"/>
          <w:b/>
          <w:bCs/>
          <w:sz w:val="24"/>
          <w:highlight w:val="none"/>
        </w:rPr>
      </w:pPr>
      <w:r>
        <w:rPr>
          <w:rFonts w:hint="eastAsia" w:ascii="宋体" w:hAnsi="宋体" w:cs="仿宋"/>
          <w:b/>
          <w:bCs/>
          <w:sz w:val="24"/>
          <w:highlight w:val="none"/>
          <w:lang w:val="en-US" w:eastAsia="zh-CN"/>
        </w:rPr>
        <w:t>9.</w:t>
      </w:r>
      <w:r>
        <w:rPr>
          <w:rFonts w:hint="eastAsia" w:ascii="宋体" w:hAnsi="宋体" w:cs="仿宋"/>
          <w:b/>
          <w:bCs/>
          <w:sz w:val="24"/>
          <w:highlight w:val="none"/>
        </w:rPr>
        <w:t>投标文件的组成</w:t>
      </w:r>
    </w:p>
    <w:p w14:paraId="25ED1B0A">
      <w:pPr>
        <w:snapToGrid w:val="0"/>
        <w:spacing w:line="360" w:lineRule="auto"/>
        <w:ind w:firstLine="482" w:firstLineChars="200"/>
        <w:rPr>
          <w:rFonts w:hint="default" w:ascii="宋体" w:hAnsi="宋体" w:eastAsia="宋体" w:cs="仿宋"/>
          <w:b/>
          <w:bCs/>
          <w:sz w:val="24"/>
          <w:highlight w:val="none"/>
          <w:lang w:val="en-US" w:eastAsia="zh-CN"/>
        </w:rPr>
      </w:pPr>
      <w:r>
        <w:rPr>
          <w:rFonts w:hint="eastAsia" w:ascii="宋体" w:hAnsi="宋体" w:eastAsia="宋体" w:cs="仿宋"/>
          <w:b/>
          <w:bCs/>
          <w:sz w:val="24"/>
          <w:highlight w:val="none"/>
          <w:lang w:val="en-US" w:eastAsia="zh-CN"/>
        </w:rPr>
        <w:t>9.1资格条件</w:t>
      </w:r>
    </w:p>
    <w:p w14:paraId="20913E0E">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9.1.1有效的企业法人营业执照（或事业法人登记证）、其他组织（个体工商户）的营业执照或者民办非企业单位登记证书；</w:t>
      </w:r>
    </w:p>
    <w:p w14:paraId="61C121F2">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9.1.2符合参加政府采购活动应当具备的一般条件的承诺函(格式见第六部分)；</w:t>
      </w:r>
    </w:p>
    <w:p w14:paraId="5EC74BB9">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9.1.3落实政府采购政策需满足的资格要求（如适用）；</w:t>
      </w:r>
    </w:p>
    <w:p w14:paraId="081C4AD0">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9.1.4本项目的特定资格要求（如有）。</w:t>
      </w:r>
    </w:p>
    <w:p w14:paraId="04B47268">
      <w:pPr>
        <w:snapToGrid w:val="0"/>
        <w:spacing w:line="360" w:lineRule="auto"/>
        <w:ind w:firstLine="482" w:firstLineChars="200"/>
        <w:rPr>
          <w:rFonts w:hint="eastAsia" w:ascii="宋体" w:hAnsi="宋体" w:eastAsia="宋体" w:cs="仿宋"/>
          <w:b/>
          <w:bCs/>
          <w:sz w:val="24"/>
          <w:highlight w:val="none"/>
          <w:lang w:val="zh-CN"/>
        </w:rPr>
      </w:pPr>
      <w:r>
        <w:rPr>
          <w:rFonts w:hint="eastAsia" w:ascii="宋体" w:hAnsi="宋体" w:eastAsia="宋体" w:cs="仿宋"/>
          <w:b/>
          <w:bCs/>
          <w:sz w:val="24"/>
          <w:highlight w:val="none"/>
        </w:rPr>
        <w:t>9</w:t>
      </w:r>
      <w:r>
        <w:rPr>
          <w:rFonts w:hint="eastAsia" w:ascii="宋体" w:hAnsi="宋体" w:eastAsia="宋体" w:cs="仿宋"/>
          <w:b/>
          <w:bCs/>
          <w:sz w:val="24"/>
          <w:highlight w:val="none"/>
          <w:lang w:val="zh-CN"/>
        </w:rPr>
        <w:t>.</w:t>
      </w:r>
      <w:r>
        <w:rPr>
          <w:rFonts w:hint="eastAsia" w:ascii="宋体" w:hAnsi="宋体" w:eastAsia="宋体" w:cs="仿宋"/>
          <w:b/>
          <w:bCs/>
          <w:sz w:val="24"/>
          <w:highlight w:val="none"/>
        </w:rPr>
        <w:t>2</w:t>
      </w:r>
      <w:r>
        <w:rPr>
          <w:rFonts w:hint="eastAsia" w:ascii="宋体" w:hAnsi="宋体" w:eastAsia="宋体" w:cs="仿宋"/>
          <w:b/>
          <w:bCs/>
          <w:sz w:val="24"/>
          <w:highlight w:val="none"/>
          <w:lang w:val="zh-CN"/>
        </w:rPr>
        <w:t xml:space="preserve"> </w:t>
      </w:r>
      <w:r>
        <w:rPr>
          <w:rFonts w:hint="eastAsia" w:ascii="宋体" w:hAnsi="宋体" w:eastAsia="宋体" w:cs="仿宋"/>
          <w:b/>
          <w:bCs/>
          <w:sz w:val="24"/>
          <w:highlight w:val="none"/>
        </w:rPr>
        <w:t>商务技术</w:t>
      </w:r>
      <w:r>
        <w:rPr>
          <w:rFonts w:hint="eastAsia" w:ascii="宋体" w:hAnsi="宋体" w:eastAsia="宋体" w:cs="仿宋"/>
          <w:b/>
          <w:bCs/>
          <w:sz w:val="24"/>
          <w:highlight w:val="none"/>
          <w:lang w:val="zh-CN"/>
        </w:rPr>
        <w:t>文件：</w:t>
      </w:r>
    </w:p>
    <w:p w14:paraId="546454E1">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9.2.1 评分索引表</w:t>
      </w:r>
    </w:p>
    <w:p w14:paraId="40AFEC8A">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9.2.2 符合性自查表；</w:t>
      </w:r>
    </w:p>
    <w:p w14:paraId="059B0479">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9.2.3 投标函；</w:t>
      </w:r>
      <w:r>
        <w:rPr>
          <w:rFonts w:hint="eastAsia" w:ascii="宋体" w:hAnsi="宋体" w:eastAsia="宋体" w:cs="仿宋"/>
          <w:sz w:val="24"/>
          <w:highlight w:val="none"/>
          <w:lang w:val="zh-CN"/>
        </w:rPr>
        <w:t xml:space="preserve"> </w:t>
      </w:r>
    </w:p>
    <w:p w14:paraId="5C5A3513">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 xml:space="preserve">9.2.4 </w:t>
      </w:r>
      <w:r>
        <w:rPr>
          <w:rFonts w:hint="eastAsia" w:ascii="宋体" w:hAnsi="宋体" w:eastAsia="宋体" w:cs="仿宋"/>
          <w:sz w:val="24"/>
          <w:highlight w:val="none"/>
          <w:lang w:val="zh-CN"/>
        </w:rPr>
        <w:t>授权委托书或法定代表人（单位负责人）身份证明</w:t>
      </w:r>
      <w:r>
        <w:rPr>
          <w:rFonts w:hint="eastAsia" w:ascii="宋体" w:hAnsi="宋体" w:eastAsia="宋体" w:cs="仿宋"/>
          <w:sz w:val="24"/>
          <w:highlight w:val="none"/>
        </w:rPr>
        <w:t>；</w:t>
      </w:r>
    </w:p>
    <w:p w14:paraId="654A176B">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 xml:space="preserve">9.2.5 </w:t>
      </w:r>
      <w:r>
        <w:rPr>
          <w:rFonts w:hint="eastAsia" w:ascii="宋体" w:hAnsi="宋体" w:eastAsia="宋体" w:cs="仿宋"/>
          <w:sz w:val="24"/>
          <w:highlight w:val="none"/>
          <w:lang w:val="zh-CN"/>
        </w:rPr>
        <w:t>投标人基本情况表</w:t>
      </w:r>
      <w:r>
        <w:rPr>
          <w:rFonts w:hint="eastAsia" w:ascii="宋体" w:hAnsi="宋体" w:eastAsia="宋体" w:cs="仿宋"/>
          <w:sz w:val="24"/>
          <w:highlight w:val="none"/>
        </w:rPr>
        <w:t>；</w:t>
      </w:r>
    </w:p>
    <w:p w14:paraId="79EB2910">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w:t>
      </w:r>
      <w:r>
        <w:rPr>
          <w:rFonts w:hint="eastAsia" w:ascii="宋体" w:hAnsi="宋体" w:eastAsia="宋体" w:cs="仿宋"/>
          <w:sz w:val="24"/>
          <w:highlight w:val="none"/>
          <w:lang w:val="zh-CN"/>
        </w:rPr>
        <w:t>.</w:t>
      </w:r>
      <w:r>
        <w:rPr>
          <w:rFonts w:hint="eastAsia" w:ascii="宋体" w:hAnsi="宋体" w:eastAsia="宋体" w:cs="仿宋"/>
          <w:sz w:val="24"/>
          <w:highlight w:val="none"/>
        </w:rPr>
        <w:t>2</w:t>
      </w:r>
      <w:r>
        <w:rPr>
          <w:rFonts w:hint="eastAsia" w:ascii="宋体" w:hAnsi="宋体" w:eastAsia="宋体" w:cs="仿宋"/>
          <w:sz w:val="24"/>
          <w:highlight w:val="none"/>
          <w:lang w:val="zh-CN"/>
        </w:rPr>
        <w:t>.</w:t>
      </w:r>
      <w:r>
        <w:rPr>
          <w:rFonts w:hint="eastAsia" w:ascii="宋体" w:hAnsi="宋体" w:eastAsia="宋体" w:cs="仿宋"/>
          <w:sz w:val="24"/>
          <w:highlight w:val="none"/>
        </w:rPr>
        <w:t>6 距采购人最近或者能为本项目提供最优服务的网点情况表；</w:t>
      </w:r>
    </w:p>
    <w:p w14:paraId="23C684CE">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9.2.7 评标标准相应的商务技术资料；</w:t>
      </w:r>
    </w:p>
    <w:p w14:paraId="2E3E3E25">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9.2.8 商</w:t>
      </w:r>
      <w:r>
        <w:rPr>
          <w:rFonts w:hint="eastAsia" w:ascii="宋体" w:hAnsi="宋体" w:eastAsia="宋体" w:cs="仿宋"/>
          <w:sz w:val="24"/>
          <w:highlight w:val="none"/>
          <w:lang w:val="en-US" w:eastAsia="zh-CN"/>
        </w:rPr>
        <w:t>务响应</w:t>
      </w:r>
      <w:r>
        <w:rPr>
          <w:rFonts w:hint="eastAsia" w:ascii="宋体" w:hAnsi="宋体" w:eastAsia="宋体" w:cs="仿宋"/>
          <w:sz w:val="24"/>
          <w:highlight w:val="none"/>
        </w:rPr>
        <w:t>表；</w:t>
      </w:r>
    </w:p>
    <w:p w14:paraId="657AF45D">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 xml:space="preserve">9.2.9 </w:t>
      </w:r>
      <w:r>
        <w:rPr>
          <w:rFonts w:hint="eastAsia" w:ascii="宋体" w:hAnsi="宋体" w:eastAsia="宋体" w:cs="仿宋"/>
          <w:sz w:val="24"/>
          <w:highlight w:val="none"/>
          <w:lang w:val="zh-CN"/>
        </w:rPr>
        <w:t>技术</w:t>
      </w:r>
      <w:r>
        <w:rPr>
          <w:rFonts w:hint="eastAsia" w:ascii="宋体" w:hAnsi="宋体" w:eastAsia="宋体" w:cs="仿宋"/>
          <w:sz w:val="24"/>
          <w:highlight w:val="none"/>
          <w:lang w:val="en-US" w:eastAsia="zh-CN"/>
        </w:rPr>
        <w:t>响应</w:t>
      </w:r>
      <w:r>
        <w:rPr>
          <w:rFonts w:hint="eastAsia" w:ascii="宋体" w:hAnsi="宋体" w:eastAsia="宋体" w:cs="仿宋"/>
          <w:sz w:val="24"/>
          <w:highlight w:val="none"/>
          <w:lang w:val="zh-CN"/>
        </w:rPr>
        <w:t>表</w:t>
      </w:r>
      <w:r>
        <w:rPr>
          <w:rFonts w:hint="eastAsia" w:ascii="宋体" w:hAnsi="宋体" w:eastAsia="宋体" w:cs="仿宋"/>
          <w:sz w:val="24"/>
          <w:highlight w:val="none"/>
        </w:rPr>
        <w:t>；</w:t>
      </w:r>
    </w:p>
    <w:p w14:paraId="3EC20ED9">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9.2.10 项目实施人员一览表；</w:t>
      </w:r>
    </w:p>
    <w:p w14:paraId="74A60676">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9.2.11</w:t>
      </w:r>
      <w:r>
        <w:rPr>
          <w:rFonts w:hint="eastAsia" w:ascii="宋体" w:hAnsi="宋体" w:eastAsia="宋体" w:cs="仿宋"/>
          <w:sz w:val="24"/>
          <w:highlight w:val="none"/>
          <w:lang w:val="en-US" w:eastAsia="zh-CN"/>
        </w:rPr>
        <w:t xml:space="preserve"> </w:t>
      </w:r>
      <w:r>
        <w:rPr>
          <w:rFonts w:hint="eastAsia" w:ascii="宋体" w:hAnsi="宋体" w:eastAsia="宋体" w:cs="仿宋"/>
          <w:sz w:val="24"/>
          <w:highlight w:val="none"/>
          <w:lang w:val="zh-CN"/>
        </w:rPr>
        <w:t>政府采购供应商廉洁自律承诺书；</w:t>
      </w:r>
    </w:p>
    <w:p w14:paraId="1D05D6D3">
      <w:pPr>
        <w:snapToGrid w:val="0"/>
        <w:spacing w:line="360" w:lineRule="auto"/>
        <w:ind w:firstLine="480" w:firstLineChars="200"/>
        <w:rPr>
          <w:rFonts w:hint="eastAsia" w:ascii="宋体" w:hAnsi="宋体" w:eastAsia="宋体" w:cs="仿宋"/>
          <w:sz w:val="24"/>
          <w:highlight w:val="none"/>
          <w:lang w:eastAsia="zh-CN"/>
        </w:rPr>
      </w:pPr>
      <w:r>
        <w:rPr>
          <w:rFonts w:hint="eastAsia" w:ascii="宋体" w:hAnsi="宋体" w:eastAsia="宋体" w:cs="仿宋"/>
          <w:sz w:val="24"/>
          <w:highlight w:val="none"/>
        </w:rPr>
        <w:t>9.2.1</w:t>
      </w:r>
      <w:r>
        <w:rPr>
          <w:rFonts w:hint="eastAsia" w:ascii="宋体" w:hAnsi="宋体" w:eastAsia="宋体" w:cs="仿宋"/>
          <w:sz w:val="24"/>
          <w:highlight w:val="none"/>
          <w:lang w:val="en-US" w:eastAsia="zh-CN"/>
        </w:rPr>
        <w:t xml:space="preserve">2 </w:t>
      </w:r>
      <w:r>
        <w:rPr>
          <w:rFonts w:hint="eastAsia" w:ascii="宋体" w:hAnsi="宋体" w:eastAsia="宋体" w:cs="仿宋"/>
          <w:sz w:val="24"/>
          <w:highlight w:val="none"/>
        </w:rPr>
        <w:t>其他资料（如有）</w:t>
      </w:r>
      <w:r>
        <w:rPr>
          <w:rFonts w:hint="eastAsia" w:ascii="宋体" w:hAnsi="宋体" w:cs="仿宋"/>
          <w:sz w:val="24"/>
          <w:highlight w:val="none"/>
          <w:lang w:eastAsia="zh-CN"/>
        </w:rPr>
        <w:t>。</w:t>
      </w:r>
    </w:p>
    <w:p w14:paraId="4E9DA2C3">
      <w:pPr>
        <w:snapToGrid w:val="0"/>
        <w:spacing w:line="360" w:lineRule="auto"/>
        <w:ind w:firstLine="482" w:firstLineChars="200"/>
        <w:rPr>
          <w:rFonts w:hint="eastAsia" w:ascii="宋体" w:hAnsi="宋体" w:eastAsia="宋体" w:cs="仿宋"/>
          <w:b/>
          <w:bCs/>
          <w:sz w:val="24"/>
          <w:highlight w:val="none"/>
          <w:lang w:val="zh-CN"/>
        </w:rPr>
      </w:pPr>
      <w:r>
        <w:rPr>
          <w:rFonts w:hint="eastAsia" w:ascii="宋体" w:hAnsi="宋体" w:eastAsia="宋体" w:cs="仿宋"/>
          <w:b/>
          <w:bCs/>
          <w:sz w:val="24"/>
          <w:highlight w:val="none"/>
        </w:rPr>
        <w:t>9</w:t>
      </w:r>
      <w:r>
        <w:rPr>
          <w:rFonts w:hint="eastAsia" w:ascii="宋体" w:hAnsi="宋体" w:eastAsia="宋体" w:cs="仿宋"/>
          <w:b/>
          <w:bCs/>
          <w:sz w:val="24"/>
          <w:highlight w:val="none"/>
          <w:lang w:val="zh-CN"/>
        </w:rPr>
        <w:t>.</w:t>
      </w:r>
      <w:r>
        <w:rPr>
          <w:rFonts w:hint="eastAsia" w:ascii="宋体" w:hAnsi="宋体" w:eastAsia="宋体" w:cs="仿宋"/>
          <w:b/>
          <w:bCs/>
          <w:sz w:val="24"/>
          <w:highlight w:val="none"/>
        </w:rPr>
        <w:t xml:space="preserve">3 报价文件： </w:t>
      </w:r>
    </w:p>
    <w:p w14:paraId="4F7529F4">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9.3.1 开标一览表；</w:t>
      </w:r>
    </w:p>
    <w:p w14:paraId="12C3F0A4">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9.3.2 投标报价明细表；</w:t>
      </w:r>
    </w:p>
    <w:p w14:paraId="5F723BFC">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9.3.3 中小企业声明函（如有）；</w:t>
      </w:r>
    </w:p>
    <w:p w14:paraId="15378D14">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9.3.4 残疾人福利性单位声明函（如有）；</w:t>
      </w:r>
    </w:p>
    <w:p w14:paraId="343EEBE0">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9.3.5 监狱企业的证明文件（如有）；</w:t>
      </w:r>
    </w:p>
    <w:p w14:paraId="72AD050B">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9.3.6 政府采购统计基础信息表；</w:t>
      </w:r>
    </w:p>
    <w:p w14:paraId="23D17F38">
      <w:pPr>
        <w:snapToGrid w:val="0"/>
        <w:spacing w:line="360" w:lineRule="auto"/>
        <w:ind w:firstLine="480" w:firstLineChars="200"/>
        <w:rPr>
          <w:rFonts w:hint="eastAsia" w:ascii="宋体" w:hAnsi="宋体" w:eastAsia="宋体" w:cs="仿宋"/>
          <w:sz w:val="24"/>
          <w:highlight w:val="none"/>
        </w:rPr>
      </w:pPr>
      <w:r>
        <w:rPr>
          <w:rFonts w:hint="eastAsia" w:ascii="宋体" w:hAnsi="宋体" w:eastAsia="宋体" w:cs="仿宋"/>
          <w:sz w:val="24"/>
          <w:highlight w:val="none"/>
        </w:rPr>
        <w:t>9.3.7其他资料（如有）。</w:t>
      </w:r>
    </w:p>
    <w:p w14:paraId="27FAEC32">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default" w:cs="仿宋" w:asciiTheme="majorEastAsia" w:hAnsiTheme="majorEastAsia" w:eastAsiaTheme="majorEastAsia"/>
          <w:b/>
          <w:kern w:val="2"/>
          <w:sz w:val="24"/>
          <w:szCs w:val="24"/>
          <w:highlight w:val="none"/>
          <w:lang w:val="en-US" w:eastAsia="zh-CN" w:bidi="ar-SA"/>
        </w:rPr>
        <w:t>1</w:t>
      </w:r>
      <w:r>
        <w:rPr>
          <w:rFonts w:hint="eastAsia" w:cs="仿宋" w:asciiTheme="majorEastAsia" w:hAnsiTheme="majorEastAsia" w:eastAsiaTheme="majorEastAsia"/>
          <w:b/>
          <w:kern w:val="2"/>
          <w:sz w:val="24"/>
          <w:szCs w:val="24"/>
          <w:highlight w:val="none"/>
          <w:lang w:val="en-US" w:eastAsia="zh-CN" w:bidi="ar-SA"/>
        </w:rPr>
        <w:t>0</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投标文件的编制</w:t>
      </w:r>
    </w:p>
    <w:p w14:paraId="318FC5C5">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sz w:val="24"/>
          <w:highlight w:val="none"/>
        </w:rPr>
      </w:pPr>
      <w:r>
        <w:rPr>
          <w:rFonts w:hint="eastAsia" w:cs="仿宋" w:asciiTheme="majorEastAsia" w:hAnsiTheme="majorEastAsia" w:eastAsiaTheme="majorEastAsia"/>
          <w:kern w:val="0"/>
          <w:sz w:val="24"/>
          <w:highlight w:val="none"/>
          <w:lang w:val="zh-CN"/>
        </w:rPr>
        <w:t>1</w:t>
      </w:r>
      <w:r>
        <w:rPr>
          <w:rFonts w:hint="eastAsia" w:cs="仿宋" w:asciiTheme="majorEastAsia" w:hAnsiTheme="majorEastAsia" w:eastAsiaTheme="majorEastAsia"/>
          <w:kern w:val="0"/>
          <w:sz w:val="24"/>
          <w:highlight w:val="none"/>
        </w:rPr>
        <w:t>0</w:t>
      </w:r>
      <w:r>
        <w:rPr>
          <w:rFonts w:hint="eastAsia" w:cs="仿宋" w:asciiTheme="majorEastAsia" w:hAnsiTheme="majorEastAsia" w:eastAsiaTheme="majorEastAsia"/>
          <w:kern w:val="0"/>
          <w:sz w:val="24"/>
          <w:highlight w:val="none"/>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highlight w:val="none"/>
        </w:rPr>
        <w:t>未有规定格式的资料，</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应自行编制，但至少须包含9.投标文件组成中的内容。</w:t>
      </w:r>
      <w:r>
        <w:rPr>
          <w:rFonts w:hint="eastAsia" w:cs="仿宋" w:asciiTheme="majorEastAsia" w:hAnsiTheme="majorEastAsia" w:eastAsiaTheme="majorEastAsia"/>
          <w:kern w:val="0"/>
          <w:sz w:val="24"/>
          <w:highlight w:val="none"/>
          <w:lang w:val="zh-CN"/>
        </w:rPr>
        <w:t>混乱的编排导致投标文件被误读或评标委员会查找不到有效文件是供应商的风险。</w:t>
      </w:r>
    </w:p>
    <w:p w14:paraId="19DCF5D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1</w:t>
      </w:r>
      <w:r>
        <w:rPr>
          <w:rFonts w:hint="eastAsia" w:cs="仿宋" w:asciiTheme="majorEastAsia" w:hAnsiTheme="majorEastAsia" w:eastAsiaTheme="majorEastAsia"/>
          <w:kern w:val="0"/>
          <w:sz w:val="24"/>
          <w:highlight w:val="none"/>
        </w:rPr>
        <w:t>0</w:t>
      </w:r>
      <w:r>
        <w:rPr>
          <w:rFonts w:hint="eastAsia" w:cs="仿宋" w:asciiTheme="majorEastAsia" w:hAnsiTheme="majorEastAsia" w:eastAsiaTheme="majorEastAsia"/>
          <w:kern w:val="0"/>
          <w:sz w:val="24"/>
          <w:highlight w:val="none"/>
          <w:lang w:val="zh-CN"/>
        </w:rPr>
        <w:t>.2供应商进行电子投标应安装客户端软件—“乐采云电子交易客户端”（</w:t>
      </w:r>
      <w:r>
        <w:rPr>
          <w:rFonts w:hint="eastAsia" w:cs="仿宋" w:asciiTheme="majorEastAsia" w:hAnsiTheme="majorEastAsia" w:eastAsiaTheme="majorEastAsia"/>
          <w:kern w:val="0"/>
          <w:sz w:val="24"/>
          <w:highlight w:val="none"/>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kern w:val="0"/>
          <w:sz w:val="24"/>
          <w:highlight w:val="none"/>
          <w:lang w:val="zh-CN"/>
        </w:rPr>
        <w:t>），并按照招标文件和电子交易平台的要求编制并加密投标文件。供应商未按规定加密的投标文件，电子交易平台将拒收并提示。</w:t>
      </w:r>
    </w:p>
    <w:p w14:paraId="1DEB58E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1</w:t>
      </w:r>
      <w:r>
        <w:rPr>
          <w:rFonts w:hint="eastAsia" w:cs="仿宋" w:asciiTheme="majorEastAsia" w:hAnsiTheme="majorEastAsia" w:eastAsiaTheme="majorEastAsia"/>
          <w:kern w:val="0"/>
          <w:sz w:val="24"/>
          <w:highlight w:val="none"/>
        </w:rPr>
        <w:t>0</w:t>
      </w:r>
      <w:r>
        <w:rPr>
          <w:rFonts w:hint="eastAsia" w:cs="仿宋" w:asciiTheme="majorEastAsia" w:hAnsiTheme="majorEastAsia" w:eastAsiaTheme="majorEastAsia"/>
          <w:kern w:val="0"/>
          <w:sz w:val="24"/>
          <w:highlight w:val="none"/>
          <w:lang w:val="zh-CN"/>
        </w:rPr>
        <w:t>.3使用“乐采云电子交易客户端”需要提前申领CA数字证书，申领流程请自行前往“浙江企业采购信息服务网-下载专区-电子交易客户端-CA驱动和申领流程”进行查阅。</w:t>
      </w:r>
    </w:p>
    <w:p w14:paraId="7932FBA0">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11</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投标文件的签署、盖章</w:t>
      </w:r>
    </w:p>
    <w:p w14:paraId="741191F7">
      <w:pPr>
        <w:pStyle w:val="49"/>
        <w:keepNext w:val="0"/>
        <w:keepLines w:val="0"/>
        <w:pageBreakBefore w:val="0"/>
        <w:widowControl w:val="0"/>
        <w:kinsoku/>
        <w:wordWrap/>
        <w:overflowPunct/>
        <w:topLinePunct w:val="0"/>
        <w:bidi w:val="0"/>
        <w:snapToGrid w:val="0"/>
        <w:spacing w:before="0" w:line="360" w:lineRule="auto"/>
        <w:ind w:firstLine="480"/>
        <w:textAlignment w:val="auto"/>
        <w:rPr>
          <w:rFonts w:cs="仿宋" w:asciiTheme="majorEastAsia" w:hAnsiTheme="majorEastAsia" w:eastAsiaTheme="majorEastAsia"/>
          <w:b/>
          <w:highlight w:val="none"/>
        </w:rPr>
      </w:pPr>
      <w:r>
        <w:rPr>
          <w:rFonts w:hint="eastAsia" w:cs="仿宋" w:asciiTheme="majorEastAsia" w:hAnsiTheme="majorEastAsia" w:eastAsiaTheme="majorEastAsia"/>
          <w:szCs w:val="24"/>
          <w:highlight w:val="none"/>
        </w:rPr>
        <w:t>11.1投标文件按照招标文件第六部分格式要</w:t>
      </w:r>
      <w:r>
        <w:rPr>
          <w:rFonts w:hint="eastAsia" w:cs="仿宋" w:asciiTheme="majorEastAsia" w:hAnsiTheme="majorEastAsia" w:eastAsiaTheme="majorEastAsia"/>
          <w:highlight w:val="none"/>
        </w:rPr>
        <w:t>求进行签署、盖章。</w:t>
      </w:r>
      <w:r>
        <w:rPr>
          <w:rFonts w:hint="eastAsia" w:cs="仿宋" w:asciiTheme="majorEastAsia" w:hAnsiTheme="majorEastAsia" w:eastAsiaTheme="majorEastAsia"/>
          <w:b/>
          <w:highlight w:val="none"/>
        </w:rPr>
        <w:t>▲供应商的投标文件未按照招标文件要求签署、盖章的，其投标无效</w:t>
      </w:r>
      <w:r>
        <w:rPr>
          <w:rFonts w:hint="eastAsia" w:cs="仿宋" w:asciiTheme="majorEastAsia" w:hAnsiTheme="majorEastAsia" w:eastAsiaTheme="majorEastAsia"/>
          <w:szCs w:val="24"/>
          <w:highlight w:val="none"/>
        </w:rPr>
        <w:t>。</w:t>
      </w:r>
    </w:p>
    <w:p w14:paraId="71CC5E71">
      <w:pPr>
        <w:pStyle w:val="49"/>
        <w:keepNext w:val="0"/>
        <w:keepLines w:val="0"/>
        <w:pageBreakBefore w:val="0"/>
        <w:widowControl w:val="0"/>
        <w:kinsoku/>
        <w:wordWrap/>
        <w:overflowPunct/>
        <w:topLinePunct w:val="0"/>
        <w:bidi w:val="0"/>
        <w:snapToGrid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11.2为确保网上操作合法、有效和安全，</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highlight w:val="none"/>
        </w:rPr>
        <w:t>应当在投标截止时间前完成在“政府采购云平台”的身份认证，确保在电子投标过程中能够对相关数据电文进行加密和使用电子签名。</w:t>
      </w:r>
    </w:p>
    <w:p w14:paraId="1A4C5B7E">
      <w:pPr>
        <w:pStyle w:val="49"/>
        <w:keepNext w:val="0"/>
        <w:keepLines w:val="0"/>
        <w:pageBreakBefore w:val="0"/>
        <w:widowControl w:val="0"/>
        <w:kinsoku/>
        <w:wordWrap/>
        <w:overflowPunct/>
        <w:topLinePunct w:val="0"/>
        <w:bidi w:val="0"/>
        <w:snapToGrid w:val="0"/>
        <w:spacing w:before="0" w:line="360" w:lineRule="auto"/>
        <w:ind w:firstLine="480"/>
        <w:textAlignment w:val="auto"/>
        <w:rPr>
          <w:rFonts w:cs="仿宋" w:asciiTheme="majorEastAsia" w:hAnsiTheme="majorEastAsia" w:eastAsiaTheme="majorEastAsia"/>
          <w:szCs w:val="24"/>
          <w:highlight w:val="none"/>
        </w:rPr>
      </w:pPr>
      <w:r>
        <w:rPr>
          <w:rFonts w:hint="eastAsia" w:cs="仿宋" w:asciiTheme="majorEastAsia" w:hAnsiTheme="majorEastAsia" w:eastAsiaTheme="majorEastAsia"/>
          <w:highlight w:val="none"/>
        </w:rPr>
        <w:t>11.3招标文件对投标文件签署、盖章的要求适用于电子签名。</w:t>
      </w:r>
    </w:p>
    <w:p w14:paraId="28644654">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12</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投标文件的提交、补充、修改、撤回</w:t>
      </w:r>
    </w:p>
    <w:p w14:paraId="16C4829D">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szCs w:val="24"/>
          <w:highlight w:val="none"/>
        </w:rPr>
      </w:pPr>
      <w:r>
        <w:rPr>
          <w:rFonts w:hint="eastAsia" w:cs="仿宋" w:asciiTheme="majorEastAsia" w:hAnsiTheme="majorEastAsia" w:eastAsiaTheme="majorEastAsia"/>
          <w:szCs w:val="24"/>
          <w:highlight w:val="none"/>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6901CB2A">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szCs w:val="24"/>
          <w:highlight w:val="none"/>
        </w:rPr>
      </w:pPr>
      <w:r>
        <w:rPr>
          <w:rFonts w:hint="eastAsia" w:cs="仿宋" w:asciiTheme="majorEastAsia" w:hAnsiTheme="majorEastAsia" w:eastAsiaTheme="majorEastAsia"/>
          <w:szCs w:val="24"/>
          <w:highlight w:val="none"/>
        </w:rPr>
        <w:t>12.2电子交易平台收到投标文件，将妥善保存并即时向供应商发出确认回执通知。在投标截止时间前，除供应商补充、修改或者撤回投标文件外，任何单位和个人不得解密或提取投标文件。</w:t>
      </w:r>
    </w:p>
    <w:p w14:paraId="50EC296F">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szCs w:val="24"/>
          <w:highlight w:val="none"/>
        </w:rPr>
      </w:pPr>
      <w:r>
        <w:rPr>
          <w:rFonts w:hint="eastAsia" w:cs="仿宋" w:asciiTheme="majorEastAsia" w:hAnsiTheme="majorEastAsia" w:eastAsiaTheme="majorEastAsia"/>
          <w:szCs w:val="24"/>
          <w:highlight w:val="none"/>
        </w:rPr>
        <w:t>12.3采购人、采购代理机构可以视情况延长投标文件提交的截止时间。在上述情况下，采购代理机构与</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szCs w:val="24"/>
          <w:highlight w:val="none"/>
        </w:rPr>
        <w:t>以前在投标截止期方面的全部权利、责任和义务，将适用于延长至新的投标截止期。</w:t>
      </w:r>
    </w:p>
    <w:p w14:paraId="703CE7CA">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13</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投标有效期</w:t>
      </w:r>
    </w:p>
    <w:p w14:paraId="433EC3DC">
      <w:pPr>
        <w:keepNext w:val="0"/>
        <w:keepLines w:val="0"/>
        <w:pageBreakBefore w:val="0"/>
        <w:widowControl w:val="0"/>
        <w:kinsoku/>
        <w:wordWrap/>
        <w:overflowPunct/>
        <w:topLinePunct w:val="0"/>
        <w:bidi w:val="0"/>
        <w:spacing w:line="360" w:lineRule="auto"/>
        <w:ind w:firstLine="480" w:firstLineChars="200"/>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sz w:val="24"/>
          <w:szCs w:val="20"/>
          <w:highlight w:val="none"/>
        </w:rPr>
        <w:t>投标有效期为从提交投标文件的截止之日起90天。▲</w:t>
      </w:r>
      <w:r>
        <w:rPr>
          <w:rFonts w:hint="eastAsia" w:cs="仿宋" w:asciiTheme="majorEastAsia" w:hAnsiTheme="majorEastAsia" w:eastAsiaTheme="majorEastAsia"/>
          <w:b/>
          <w:sz w:val="24"/>
          <w:szCs w:val="20"/>
          <w:highlight w:val="none"/>
        </w:rPr>
        <w:t>供应商的投标文件中承</w:t>
      </w:r>
      <w:r>
        <w:rPr>
          <w:rFonts w:hint="eastAsia" w:cs="仿宋" w:asciiTheme="majorEastAsia" w:hAnsiTheme="majorEastAsia" w:eastAsiaTheme="majorEastAsia"/>
          <w:b/>
          <w:sz w:val="24"/>
          <w:szCs w:val="21"/>
          <w:highlight w:val="none"/>
        </w:rPr>
        <w:t>诺的投标有效期少于招标文件中载明的投标有效期的，投标无效。</w:t>
      </w:r>
    </w:p>
    <w:p w14:paraId="37D0FA5F">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四、开标、资格审查与信用信息查询</w:t>
      </w:r>
    </w:p>
    <w:p w14:paraId="11435313">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14</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 xml:space="preserve">开标 </w:t>
      </w:r>
    </w:p>
    <w:p w14:paraId="70CC9398">
      <w:pPr>
        <w:pStyle w:val="44"/>
        <w:keepNext w:val="0"/>
        <w:keepLines w:val="0"/>
        <w:pageBreakBefore w:val="0"/>
        <w:widowControl w:val="0"/>
        <w:kinsoku/>
        <w:wordWrap/>
        <w:overflowPunct/>
        <w:topLinePunct w:val="0"/>
        <w:bidi w:val="0"/>
        <w:spacing w:before="0" w:line="360" w:lineRule="auto"/>
        <w:ind w:left="0" w:firstLine="480" w:firstLineChars="200"/>
        <w:contextualSpacing/>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14.1采购代理机构按照招标文件规定的时间通过电子交易平台组织开标，所有</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均应当准时在线参加。</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不足3家的，不得开标。</w:t>
      </w:r>
    </w:p>
    <w:p w14:paraId="306C2314">
      <w:pPr>
        <w:pStyle w:val="44"/>
        <w:keepNext w:val="0"/>
        <w:keepLines w:val="0"/>
        <w:pageBreakBefore w:val="0"/>
        <w:widowControl w:val="0"/>
        <w:kinsoku/>
        <w:wordWrap/>
        <w:overflowPunct/>
        <w:topLinePunct w:val="0"/>
        <w:bidi w:val="0"/>
        <w:spacing w:before="0" w:line="360" w:lineRule="auto"/>
        <w:ind w:left="0" w:firstLine="240" w:firstLineChars="100"/>
        <w:contextualSpacing/>
        <w:textAlignment w:val="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highlight w:val="none"/>
          <w:lang w:val="zh-CN"/>
        </w:rPr>
        <w:t>供应商</w:t>
      </w:r>
      <w:r>
        <w:rPr>
          <w:rFonts w:hint="eastAsia" w:cs="仿宋" w:asciiTheme="majorEastAsia" w:hAnsiTheme="majorEastAsia" w:eastAsiaTheme="majorEastAsia"/>
          <w:sz w:val="24"/>
          <w:highlight w:val="none"/>
        </w:rPr>
        <w:t>按照平台提示和招标文件的规定在半小时内完成在线解密。</w:t>
      </w:r>
    </w:p>
    <w:p w14:paraId="7794B62F">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15</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资格审查</w:t>
      </w:r>
    </w:p>
    <w:p w14:paraId="17FAA0CD">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15.1开标后，采购人或采购代理机构依据法律法规和招标文件的规定，对供应商的资格条件进行审查。</w:t>
      </w:r>
    </w:p>
    <w:p w14:paraId="19455859">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kern w:val="0"/>
          <w:szCs w:val="24"/>
          <w:highlight w:val="none"/>
        </w:rPr>
        <w:t>15.</w:t>
      </w:r>
      <w:r>
        <w:rPr>
          <w:rFonts w:hint="eastAsia" w:cs="仿宋" w:asciiTheme="majorEastAsia" w:hAnsiTheme="majorEastAsia" w:eastAsiaTheme="majorEastAsia"/>
          <w:highlight w:val="none"/>
        </w:rPr>
        <w:t>2对未通过资格审查的供应商，采购人或采购代理机构告知其未通过的原因。</w:t>
      </w:r>
    </w:p>
    <w:p w14:paraId="06947243">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kern w:val="0"/>
          <w:szCs w:val="24"/>
          <w:highlight w:val="none"/>
        </w:rPr>
        <w:t>15.</w:t>
      </w:r>
      <w:r>
        <w:rPr>
          <w:rFonts w:hint="eastAsia" w:cs="仿宋" w:asciiTheme="majorEastAsia" w:hAnsiTheme="majorEastAsia" w:eastAsiaTheme="majorEastAsia"/>
          <w:highlight w:val="none"/>
        </w:rPr>
        <w:t>3合格供应商不足3家的，不再评标。</w:t>
      </w:r>
    </w:p>
    <w:p w14:paraId="19229CCC">
      <w:pPr>
        <w:keepNext w:val="0"/>
        <w:keepLines w:val="0"/>
        <w:pageBreakBefore w:val="0"/>
        <w:widowControl w:val="0"/>
        <w:numPr>
          <w:ilvl w:val="0"/>
          <w:numId w:val="0"/>
        </w:numPr>
        <w:kinsoku/>
        <w:wordWrap/>
        <w:overflowPunct/>
        <w:topLinePunct w:val="0"/>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16</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信用信息查询</w:t>
      </w:r>
    </w:p>
    <w:p w14:paraId="0AE10D9F">
      <w:pPr>
        <w:pStyle w:val="49"/>
        <w:spacing w:before="0" w:line="360" w:lineRule="auto"/>
        <w:ind w:firstLine="495" w:firstLineChars="0"/>
        <w:rPr>
          <w:rFonts w:ascii="宋体" w:hAnsi="宋体" w:eastAsia="宋体" w:cs="仿宋"/>
          <w:kern w:val="0"/>
          <w:szCs w:val="24"/>
          <w:highlight w:val="none"/>
        </w:rPr>
      </w:pPr>
      <w:r>
        <w:rPr>
          <w:rFonts w:hint="eastAsia" w:ascii="宋体" w:hAnsi="宋体" w:eastAsia="宋体" w:cs="仿宋"/>
          <w:kern w:val="0"/>
          <w:szCs w:val="24"/>
          <w:highlight w:val="none"/>
        </w:rPr>
        <w:t>16.1信用信息查询渠道及截止时间：采购代理机构将通过“信用中国”网站(www.creditchina.gov.cn)、中国政府采购网(www.ccgp.gov.cn)渠道查询供应商投标截止时间当天的信用记录。</w:t>
      </w:r>
    </w:p>
    <w:p w14:paraId="3FAAC7CC">
      <w:pPr>
        <w:pStyle w:val="49"/>
        <w:keepNext w:val="0"/>
        <w:keepLines w:val="0"/>
        <w:pageBreakBefore w:val="0"/>
        <w:widowControl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16.2信用信息的使用规则：经查询列入失信被执行人名单、</w:t>
      </w:r>
      <w:r>
        <w:rPr>
          <w:rFonts w:hint="eastAsia" w:ascii="宋体" w:hAnsi="宋体" w:eastAsia="宋体" w:cs="宋体"/>
          <w:snapToGrid w:val="0"/>
          <w:kern w:val="28"/>
          <w:highlight w:val="none"/>
        </w:rPr>
        <w:t>重大税收违法失信主体</w:t>
      </w:r>
      <w:r>
        <w:rPr>
          <w:rFonts w:hint="eastAsia" w:ascii="宋体" w:hAnsi="宋体" w:eastAsia="宋体" w:cs="宋体"/>
          <w:kern w:val="0"/>
          <w:szCs w:val="24"/>
          <w:highlight w:val="none"/>
        </w:rPr>
        <w:t>、政府采购严重违法失信行为记录名单的</w:t>
      </w:r>
      <w:r>
        <w:rPr>
          <w:rFonts w:hint="eastAsia" w:ascii="宋体" w:hAnsi="宋体" w:eastAsia="宋体" w:cs="宋体"/>
          <w:kern w:val="0"/>
          <w:highlight w:val="none"/>
          <w:lang w:val="zh-CN"/>
        </w:rPr>
        <w:t>供应商</w:t>
      </w:r>
      <w:r>
        <w:rPr>
          <w:rFonts w:hint="eastAsia" w:ascii="宋体" w:hAnsi="宋体" w:eastAsia="宋体" w:cs="宋体"/>
          <w:kern w:val="0"/>
          <w:szCs w:val="24"/>
          <w:highlight w:val="none"/>
        </w:rPr>
        <w:t>将被拒绝参与政府采购活动。</w:t>
      </w:r>
    </w:p>
    <w:p w14:paraId="4AA1D327">
      <w:pPr>
        <w:pStyle w:val="49"/>
        <w:keepNext w:val="0"/>
        <w:keepLines w:val="0"/>
        <w:pageBreakBefore w:val="0"/>
        <w:widowControl w:val="0"/>
        <w:kinsoku/>
        <w:wordWrap/>
        <w:overflowPunct/>
        <w:topLinePunct w:val="0"/>
        <w:bidi w:val="0"/>
        <w:spacing w:before="0" w:line="360" w:lineRule="auto"/>
        <w:ind w:firstLine="480"/>
        <w:textAlignment w:val="auto"/>
        <w:rPr>
          <w:rFonts w:cs="仿宋" w:asciiTheme="majorEastAsia" w:hAnsiTheme="majorEastAsia" w:eastAsiaTheme="majorEastAsia"/>
          <w:b/>
          <w:sz w:val="36"/>
          <w:szCs w:val="36"/>
          <w:highlight w:val="none"/>
        </w:rPr>
      </w:pPr>
      <w:r>
        <w:rPr>
          <w:rFonts w:hint="eastAsia" w:cs="仿宋" w:asciiTheme="majorEastAsia" w:hAnsiTheme="majorEastAsia" w:eastAsiaTheme="majorEastAsia"/>
          <w:kern w:val="0"/>
          <w:szCs w:val="24"/>
          <w:highlight w:val="none"/>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highlight w:val="none"/>
        </w:rPr>
        <w:t>。</w:t>
      </w:r>
    </w:p>
    <w:p w14:paraId="1CD31790">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五、评标</w:t>
      </w:r>
    </w:p>
    <w:p w14:paraId="455D57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bookmarkStart w:id="9" w:name="_Toc91899903"/>
      <w:r>
        <w:rPr>
          <w:rFonts w:hint="eastAsia" w:cs="仿宋" w:asciiTheme="majorEastAsia" w:hAnsiTheme="majorEastAsia" w:eastAsiaTheme="majorEastAsia"/>
          <w:b/>
          <w:kern w:val="2"/>
          <w:sz w:val="24"/>
          <w:szCs w:val="24"/>
          <w:highlight w:val="none"/>
          <w:lang w:val="en-US" w:eastAsia="zh-CN" w:bidi="ar-SA"/>
        </w:rPr>
        <w:t>17</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评标委员会</w:t>
      </w:r>
    </w:p>
    <w:p w14:paraId="5AF03406">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17.1 本次招标依法组建评标委员会。评标委员会由采购人代表和评审专家组成，评审专家从专家库随机抽取。</w:t>
      </w:r>
    </w:p>
    <w:p w14:paraId="7EA6753F">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1F48ECA1">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17.3 评审专家有下列情形之一的，受到邀请应主动提出回避，采购当事人也可以要求该评审专家回避：</w:t>
      </w:r>
    </w:p>
    <w:p w14:paraId="42F6D659">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17.3.1 参加采购活动前三年内，与供应商存在劳动关系，或者担任过供应商的董事、监事，或者是供应商的控股股东或实际控制人；</w:t>
      </w:r>
    </w:p>
    <w:p w14:paraId="4DCC8A42">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17.3.2 与供应商的法定代表人或者负责人有夫妻、直系血亲、三代以内旁系血亲或者近姻亲关系；</w:t>
      </w:r>
    </w:p>
    <w:p w14:paraId="6CCF9958">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17.3.3 任职单位与参加该采购项目供应商存在行政隶属关系；</w:t>
      </w:r>
    </w:p>
    <w:p w14:paraId="7B94C97E">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17.3.4 曾经参加过该采购项目的进口产品或招标文件、采购需求、采购方式的论证和咨询服务工作；</w:t>
      </w:r>
    </w:p>
    <w:p w14:paraId="3FBFCC5C">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17.3.5 是参加该采购项目供应商的上级主管部门、控股或参股单位的工作人员，或与该供应商存在其他经济利益关系；</w:t>
      </w:r>
    </w:p>
    <w:p w14:paraId="319E72C9">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17.3.6 评标委员会成员之间具有配偶、近亲属关系等；</w:t>
      </w:r>
    </w:p>
    <w:p w14:paraId="70AB0638">
      <w:pPr>
        <w:pStyle w:val="49"/>
        <w:keepNext w:val="0"/>
        <w:keepLines w:val="0"/>
        <w:pageBreakBefore w:val="0"/>
        <w:kinsoku/>
        <w:wordWrap/>
        <w:overflowPunct/>
        <w:topLinePunct w:val="0"/>
        <w:bidi w:val="0"/>
        <w:spacing w:before="0" w:line="360" w:lineRule="auto"/>
        <w:ind w:firstLine="480"/>
        <w:textAlignment w:val="auto"/>
        <w:rPr>
          <w:rFonts w:hint="eastAsia" w:ascii="宋体" w:hAnsi="宋体" w:eastAsia="宋体" w:cs="宋体"/>
          <w:kern w:val="0"/>
          <w:szCs w:val="24"/>
          <w:highlight w:val="none"/>
        </w:rPr>
      </w:pPr>
      <w:r>
        <w:rPr>
          <w:rFonts w:hint="eastAsia" w:ascii="宋体" w:hAnsi="宋体" w:eastAsia="宋体" w:cs="宋体"/>
          <w:kern w:val="0"/>
          <w:szCs w:val="24"/>
          <w:highlight w:val="none"/>
        </w:rPr>
        <w:t>17.3.7 法律、法规、规章规定应当回避以及其他可能影响政府采购活动公平、公正进行的关系。</w:t>
      </w:r>
    </w:p>
    <w:p w14:paraId="418DA9FD">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17.4 评标委员会判断投标文件的有效性、合格性和响应情况，仅依据投标人所递交一切文件的真实表述，不受与本项目无直接关联的外部信息、传言而影响自身的专业判断。</w:t>
      </w:r>
    </w:p>
    <w:p w14:paraId="00255710">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asciiTheme="majorEastAsia" w:hAnsiTheme="majorEastAsia" w:eastAsiaTheme="majorEastAsia"/>
          <w:highlight w:val="none"/>
        </w:rPr>
      </w:pPr>
      <w:r>
        <w:rPr>
          <w:rFonts w:hint="eastAsia" w:cs="仿宋" w:asciiTheme="majorEastAsia" w:hAnsiTheme="majorEastAsia" w:eastAsiaTheme="majorEastAsia"/>
          <w:kern w:val="0"/>
          <w:szCs w:val="24"/>
          <w:highlight w:val="none"/>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4FDAAC6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18</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评标</w:t>
      </w:r>
    </w:p>
    <w:p w14:paraId="7D24C332">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评标委员会将根据招标文件和有关规定，履行评标工作职责，并按照评标方法及评分标准，全面衡量各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对招标文件的响应情况。对实质上响应招标文件的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，按照评审因素的量化指标推荐综合得分排名第一的为中标候选人。</w:t>
      </w:r>
    </w:p>
    <w:p w14:paraId="52EB8FE7">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为排名第一的中标候选人。</w:t>
      </w:r>
    </w:p>
    <w:p w14:paraId="1B0FF507">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b/>
          <w:highlight w:val="none"/>
        </w:rPr>
      </w:pPr>
      <w:r>
        <w:rPr>
          <w:rFonts w:hint="eastAsia" w:cs="仿宋" w:asciiTheme="majorEastAsia" w:hAnsiTheme="majorEastAsia" w:eastAsiaTheme="majorEastAsia"/>
          <w:kern w:val="0"/>
          <w:szCs w:val="24"/>
          <w:highlight w:val="none"/>
        </w:rPr>
        <w:t>详见招标文件第四部分评标办法。</w:t>
      </w:r>
    </w:p>
    <w:p w14:paraId="737E9DE4">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六、定 标</w:t>
      </w:r>
    </w:p>
    <w:p w14:paraId="5B11549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19</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确定中标供应商</w:t>
      </w:r>
    </w:p>
    <w:p w14:paraId="5552463A">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本项目由评标委员会推荐一个中标候选人，采购人不得在评标委员会推荐的中标候选人以外确定中标候选人。</w:t>
      </w:r>
    </w:p>
    <w:p w14:paraId="4F1BB1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20</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中标通知与中标结果公告</w:t>
      </w:r>
    </w:p>
    <w:p w14:paraId="411BF8C6">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20.1自中标人确定之日起2个工作日内，采购代理机构通过电子交易平台向中标人发出中标通知书，同时编制发布采购结果公告。采购代理机构也可以以纸质形式进行中标通知。</w:t>
      </w:r>
    </w:p>
    <w:p w14:paraId="7E03FEE8">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63701ABA">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kern w:val="0"/>
          <w:szCs w:val="24"/>
          <w:highlight w:val="none"/>
        </w:rPr>
        <w:t>20.3公告期限为1个工作日。</w:t>
      </w:r>
    </w:p>
    <w:p w14:paraId="648102F6">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七、合同授予</w:t>
      </w:r>
    </w:p>
    <w:p w14:paraId="0C850B7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21</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合同授予</w:t>
      </w:r>
    </w:p>
    <w:p w14:paraId="1EA4371B">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合同主要条款详见第五部分拟签订的合同文本。</w:t>
      </w:r>
    </w:p>
    <w:p w14:paraId="673716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22</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合同的签订</w:t>
      </w:r>
    </w:p>
    <w:p w14:paraId="1781336B">
      <w:pPr>
        <w:pStyle w:val="49"/>
        <w:shd w:val="clear"/>
        <w:spacing w:before="0" w:line="360" w:lineRule="auto"/>
        <w:ind w:firstLine="480"/>
        <w:rPr>
          <w:rFonts w:cs="仿宋" w:asciiTheme="majorEastAsia" w:hAnsiTheme="majorEastAsia" w:eastAsiaTheme="majorEastAsia"/>
          <w:color w:val="auto"/>
          <w:kern w:val="0"/>
          <w:szCs w:val="24"/>
          <w:highlight w:val="none"/>
        </w:rPr>
      </w:pPr>
      <w:r>
        <w:rPr>
          <w:rFonts w:hint="eastAsia" w:cs="仿宋" w:asciiTheme="majorEastAsia" w:hAnsiTheme="majorEastAsia" w:eastAsiaTheme="majorEastAsia"/>
          <w:color w:val="auto"/>
          <w:kern w:val="0"/>
          <w:szCs w:val="24"/>
          <w:highlight w:val="none"/>
        </w:rPr>
        <w:t>22.1 采购人与中标供应商应当通过电子交易平台在中标通知书发出之日起十日内，按照招标文件及中标供应商的投标文件确定的事项签订采购合同，并在合同签订之日起2个工作日内依法发布合同公告。</w:t>
      </w:r>
    </w:p>
    <w:p w14:paraId="4625B960">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lang w:val="zh-CN"/>
        </w:rPr>
        <w:t>2</w:t>
      </w:r>
      <w:r>
        <w:rPr>
          <w:rFonts w:hint="eastAsia" w:cs="仿宋" w:asciiTheme="majorEastAsia" w:hAnsiTheme="majorEastAsia" w:eastAsiaTheme="majorEastAsia"/>
          <w:kern w:val="0"/>
          <w:szCs w:val="24"/>
          <w:highlight w:val="none"/>
        </w:rPr>
        <w:t>2</w:t>
      </w:r>
      <w:r>
        <w:rPr>
          <w:rFonts w:hint="eastAsia" w:cs="仿宋" w:asciiTheme="majorEastAsia" w:hAnsiTheme="majorEastAsia" w:eastAsiaTheme="majorEastAsia"/>
          <w:kern w:val="0"/>
          <w:szCs w:val="24"/>
          <w:highlight w:val="none"/>
          <w:lang w:val="zh-CN"/>
        </w:rPr>
        <w:t>.2中标供应商按规定的日期、时间、地点，由法定代表人或其授权代表与采购人代表签订合同。如中标人为联合体的，由联合体成员各方法定代表人或其授权代表与采购人代表签订合同。</w:t>
      </w:r>
    </w:p>
    <w:p w14:paraId="72B43D16">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22.3如签订合同并生效后，供应商无故拒绝或延期，除按照合同条款处理外，列入不良行为记录名单，并给予通报。</w:t>
      </w:r>
    </w:p>
    <w:p w14:paraId="35FD329C">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22.4中标供应商拒绝与采购人签订合同的，列入不良行为记录名单，采购人、采购代理机构重新开展政府采购活动。</w:t>
      </w:r>
    </w:p>
    <w:p w14:paraId="23DFDBC1">
      <w:pPr>
        <w:numPr>
          <w:ilvl w:val="0"/>
          <w:numId w:val="0"/>
        </w:numPr>
        <w:shd w:val="clear"/>
        <w:kinsoku/>
        <w:wordWrap/>
        <w:overflowPunct/>
        <w:topLinePunct w:val="0"/>
        <w:bidi w:val="0"/>
        <w:adjustRightInd w:val="0"/>
        <w:snapToGrid w:val="0"/>
        <w:spacing w:beforeLines="50" w:line="360" w:lineRule="auto"/>
        <w:ind w:left="0" w:leftChars="0" w:firstLine="482" w:firstLineChars="200"/>
        <w:jc w:val="left"/>
        <w:outlineLvl w:val="1"/>
        <w:rPr>
          <w:rFonts w:cs="仿宋" w:asciiTheme="majorEastAsia" w:hAnsiTheme="majorEastAsia" w:eastAsiaTheme="majorEastAsia"/>
          <w:b/>
          <w:color w:val="auto"/>
          <w:sz w:val="24"/>
          <w:highlight w:val="none"/>
        </w:rPr>
      </w:pPr>
      <w:r>
        <w:rPr>
          <w:rFonts w:hint="eastAsia" w:cs="仿宋" w:asciiTheme="majorEastAsia" w:hAnsiTheme="majorEastAsia" w:eastAsiaTheme="majorEastAsia"/>
          <w:b/>
          <w:color w:val="auto"/>
          <w:kern w:val="2"/>
          <w:sz w:val="24"/>
          <w:szCs w:val="24"/>
          <w:highlight w:val="none"/>
          <w:lang w:val="en-US" w:eastAsia="zh-CN" w:bidi="ar-SA"/>
        </w:rPr>
        <w:t>23</w:t>
      </w:r>
      <w:r>
        <w:rPr>
          <w:rFonts w:hint="default" w:cs="仿宋" w:asciiTheme="majorEastAsia" w:hAnsiTheme="majorEastAsia" w:eastAsiaTheme="majorEastAsia"/>
          <w:b/>
          <w:color w:val="auto"/>
          <w:kern w:val="2"/>
          <w:sz w:val="24"/>
          <w:szCs w:val="24"/>
          <w:highlight w:val="none"/>
          <w:lang w:val="en-US" w:eastAsia="zh-CN" w:bidi="ar-SA"/>
        </w:rPr>
        <w:t>．</w:t>
      </w:r>
      <w:r>
        <w:rPr>
          <w:rFonts w:hint="eastAsia" w:cs="仿宋" w:asciiTheme="majorEastAsia" w:hAnsiTheme="majorEastAsia" w:eastAsiaTheme="majorEastAsia"/>
          <w:b/>
          <w:color w:val="auto"/>
          <w:sz w:val="24"/>
          <w:highlight w:val="none"/>
        </w:rPr>
        <w:t>履约保证金</w:t>
      </w:r>
    </w:p>
    <w:p w14:paraId="5C3FCA39">
      <w:pPr>
        <w:pStyle w:val="49"/>
        <w:keepNext w:val="0"/>
        <w:keepLines w:val="0"/>
        <w:pageBreakBefore w:val="0"/>
        <w:widowControl w:val="0"/>
        <w:kinsoku/>
        <w:wordWrap/>
        <w:overflowPunct/>
        <w:topLinePunct w:val="0"/>
        <w:autoSpaceDE/>
        <w:autoSpaceDN/>
        <w:bidi w:val="0"/>
        <w:spacing w:before="0" w:line="360" w:lineRule="auto"/>
        <w:ind w:firstLine="480"/>
        <w:textAlignment w:val="auto"/>
        <w:rPr>
          <w:rFonts w:hint="eastAsia" w:cs="仿宋" w:asciiTheme="majorEastAsia" w:hAnsiTheme="majorEastAsia" w:eastAsiaTheme="majorEastAsia"/>
          <w:b/>
          <w:color w:val="auto"/>
          <w:sz w:val="32"/>
          <w:highlight w:val="none"/>
        </w:rPr>
      </w:pPr>
      <w:r>
        <w:rPr>
          <w:rFonts w:hint="eastAsia" w:cs="仿宋" w:asciiTheme="majorEastAsia" w:hAnsiTheme="majorEastAsia" w:eastAsiaTheme="majorEastAsia"/>
          <w:color w:val="auto"/>
          <w:kern w:val="0"/>
          <w:sz w:val="24"/>
          <w:highlight w:val="none"/>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color w:val="auto"/>
          <w:sz w:val="24"/>
          <w:highlight w:val="none"/>
        </w:rPr>
        <w:t>。履约保证金的数额不得超过政府采购合同金额的</w:t>
      </w:r>
      <w:r>
        <w:rPr>
          <w:rFonts w:hint="eastAsia" w:cs="仿宋" w:asciiTheme="majorEastAsia" w:hAnsiTheme="majorEastAsia" w:eastAsiaTheme="majorEastAsia"/>
          <w:color w:val="auto"/>
          <w:sz w:val="24"/>
          <w:highlight w:val="none"/>
          <w:lang w:val="en-US" w:eastAsia="zh-CN"/>
        </w:rPr>
        <w:t>2.5</w:t>
      </w:r>
      <w:r>
        <w:rPr>
          <w:rFonts w:hint="eastAsia" w:cs="仿宋" w:asciiTheme="majorEastAsia" w:hAnsiTheme="majorEastAsia" w:eastAsiaTheme="majorEastAsia"/>
          <w:color w:val="auto"/>
          <w:sz w:val="24"/>
          <w:highlight w:val="none"/>
        </w:rPr>
        <w:t>%。鼓励和支持供应商以银行、保险公司出具的保函形式提供履约保证金。</w:t>
      </w:r>
      <w:r>
        <w:rPr>
          <w:rFonts w:hint="eastAsia" w:cs="仿宋" w:asciiTheme="majorEastAsia" w:hAnsiTheme="majorEastAsia" w:eastAsiaTheme="majorEastAsia"/>
          <w:b/>
          <w:color w:val="auto"/>
          <w:sz w:val="24"/>
          <w:highlight w:val="none"/>
        </w:rPr>
        <w:t>采购人不得拒收履约保函。</w:t>
      </w:r>
    </w:p>
    <w:p w14:paraId="0BFC3FD7">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八、电子交易活动的中止</w:t>
      </w:r>
    </w:p>
    <w:p w14:paraId="48E47C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24</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电子交易活动的中止</w:t>
      </w:r>
    </w:p>
    <w:p w14:paraId="40381E7B">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采购过程中出现以下情形，导致电子交易平台无法正常运行，或者无法保证电子交易的公平、公正和安全时，采购代理机构可中止电子交易活动：</w:t>
      </w:r>
    </w:p>
    <w:p w14:paraId="6D872EFD">
      <w:pPr>
        <w:pStyle w:val="49"/>
        <w:keepNext w:val="0"/>
        <w:keepLines w:val="0"/>
        <w:pageBreakBefore w:val="0"/>
        <w:widowControl w:val="0"/>
        <w:kinsoku/>
        <w:wordWrap/>
        <w:overflowPunct/>
        <w:topLinePunct w:val="0"/>
        <w:autoSpaceDE/>
        <w:autoSpaceDN/>
        <w:bidi w:val="0"/>
        <w:snapToGrid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 xml:space="preserve">24.1电子交易平台发生故障而无法登录访问的； </w:t>
      </w:r>
    </w:p>
    <w:p w14:paraId="3317E32A">
      <w:pPr>
        <w:pStyle w:val="49"/>
        <w:keepNext w:val="0"/>
        <w:keepLines w:val="0"/>
        <w:pageBreakBefore w:val="0"/>
        <w:widowControl w:val="0"/>
        <w:kinsoku/>
        <w:wordWrap/>
        <w:overflowPunct/>
        <w:topLinePunct w:val="0"/>
        <w:autoSpaceDE/>
        <w:autoSpaceDN/>
        <w:bidi w:val="0"/>
        <w:snapToGrid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24.2电子交易平台应用或数据库出现错误，不能进行正常操作的；</w:t>
      </w:r>
    </w:p>
    <w:p w14:paraId="3C453CC1">
      <w:pPr>
        <w:pStyle w:val="49"/>
        <w:keepNext w:val="0"/>
        <w:keepLines w:val="0"/>
        <w:pageBreakBefore w:val="0"/>
        <w:widowControl w:val="0"/>
        <w:kinsoku/>
        <w:wordWrap/>
        <w:overflowPunct/>
        <w:topLinePunct w:val="0"/>
        <w:autoSpaceDE/>
        <w:autoSpaceDN/>
        <w:bidi w:val="0"/>
        <w:snapToGrid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24.3电子交易平台发现严重安全漏洞，有潜在泄密危险的；</w:t>
      </w:r>
    </w:p>
    <w:p w14:paraId="221F0237">
      <w:pPr>
        <w:pStyle w:val="49"/>
        <w:keepNext w:val="0"/>
        <w:keepLines w:val="0"/>
        <w:pageBreakBefore w:val="0"/>
        <w:widowControl w:val="0"/>
        <w:kinsoku/>
        <w:wordWrap/>
        <w:overflowPunct/>
        <w:topLinePunct w:val="0"/>
        <w:autoSpaceDE/>
        <w:autoSpaceDN/>
        <w:bidi w:val="0"/>
        <w:snapToGrid w:val="0"/>
        <w:spacing w:before="0" w:line="360" w:lineRule="auto"/>
        <w:ind w:firstLine="480"/>
        <w:textAlignment w:val="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 xml:space="preserve">24.4病毒发作导致不能进行正常操作的； </w:t>
      </w:r>
    </w:p>
    <w:p w14:paraId="65E875BC">
      <w:pPr>
        <w:pStyle w:val="49"/>
        <w:keepNext w:val="0"/>
        <w:keepLines w:val="0"/>
        <w:pageBreakBefore w:val="0"/>
        <w:widowControl w:val="0"/>
        <w:kinsoku/>
        <w:wordWrap/>
        <w:overflowPunct/>
        <w:topLinePunct w:val="0"/>
        <w:autoSpaceDE/>
        <w:autoSpaceDN/>
        <w:bidi w:val="0"/>
        <w:snapToGrid w:val="0"/>
        <w:spacing w:before="0" w:line="360" w:lineRule="auto"/>
        <w:ind w:firstLine="480"/>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highlight w:val="none"/>
        </w:rPr>
        <w:t>24.5其他无法保证电子交易的公平、公正和安全的情况。</w:t>
      </w:r>
    </w:p>
    <w:p w14:paraId="3943A336">
      <w:pPr>
        <w:kinsoku/>
        <w:wordWrap/>
        <w:overflowPunct/>
        <w:topLinePunct w:val="0"/>
        <w:bidi w:val="0"/>
        <w:snapToGrid w:val="0"/>
        <w:spacing w:before="240" w:beforeLines="100" w:line="360" w:lineRule="auto"/>
        <w:jc w:val="center"/>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九、验收</w:t>
      </w:r>
    </w:p>
    <w:p w14:paraId="5B9EDE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2" w:firstLineChars="200"/>
        <w:jc w:val="left"/>
        <w:textAlignment w:val="auto"/>
        <w:outlineLvl w:val="1"/>
        <w:rPr>
          <w:rFonts w:cs="仿宋" w:asciiTheme="majorEastAsia" w:hAnsiTheme="majorEastAsia" w:eastAsiaTheme="majorEastAsia"/>
          <w:b/>
          <w:sz w:val="24"/>
          <w:highlight w:val="none"/>
        </w:rPr>
      </w:pPr>
      <w:r>
        <w:rPr>
          <w:rFonts w:hint="eastAsia" w:cs="仿宋" w:asciiTheme="majorEastAsia" w:hAnsiTheme="majorEastAsia" w:eastAsiaTheme="majorEastAsia"/>
          <w:b/>
          <w:kern w:val="2"/>
          <w:sz w:val="24"/>
          <w:szCs w:val="24"/>
          <w:highlight w:val="none"/>
          <w:lang w:val="en-US" w:eastAsia="zh-CN" w:bidi="ar-SA"/>
        </w:rPr>
        <w:t>25</w:t>
      </w:r>
      <w:r>
        <w:rPr>
          <w:rFonts w:hint="default" w:cs="仿宋" w:asciiTheme="majorEastAsia" w:hAnsiTheme="majorEastAsia" w:eastAsiaTheme="majorEastAsia"/>
          <w:b/>
          <w:kern w:val="2"/>
          <w:sz w:val="24"/>
          <w:szCs w:val="24"/>
          <w:highlight w:val="none"/>
          <w:lang w:val="en-US" w:eastAsia="zh-CN" w:bidi="ar-SA"/>
        </w:rPr>
        <w:t>．</w:t>
      </w:r>
      <w:r>
        <w:rPr>
          <w:rFonts w:hint="eastAsia" w:cs="仿宋" w:asciiTheme="majorEastAsia" w:hAnsiTheme="majorEastAsia" w:eastAsiaTheme="majorEastAsia"/>
          <w:b/>
          <w:sz w:val="24"/>
          <w:highlight w:val="none"/>
        </w:rPr>
        <w:t>验收</w:t>
      </w:r>
    </w:p>
    <w:p w14:paraId="699C88CB">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kern w:val="0"/>
          <w:sz w:val="24"/>
          <w:highlight w:val="none"/>
        </w:rPr>
      </w:pPr>
      <w:r>
        <w:rPr>
          <w:rFonts w:hint="eastAsia" w:ascii="宋体" w:hAnsi="宋体" w:cs="宋体"/>
          <w:kern w:val="0"/>
          <w:sz w:val="24"/>
          <w:highlight w:val="none"/>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71AAE1">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kern w:val="0"/>
          <w:sz w:val="24"/>
          <w:highlight w:val="none"/>
        </w:rPr>
      </w:pPr>
      <w:r>
        <w:rPr>
          <w:rFonts w:hint="eastAsia" w:ascii="宋体" w:hAnsi="宋体" w:cs="宋体"/>
          <w:kern w:val="0"/>
          <w:sz w:val="24"/>
          <w:highlight w:val="none"/>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EA97B6">
      <w:pPr>
        <w:keepNext w:val="0"/>
        <w:keepLines w:val="0"/>
        <w:pageBreakBefore w:val="0"/>
        <w:widowControl w:val="0"/>
        <w:tabs>
          <w:tab w:val="left" w:pos="0"/>
        </w:tabs>
        <w:kinsoku/>
        <w:wordWrap/>
        <w:overflowPunct/>
        <w:topLinePunct w:val="0"/>
        <w:autoSpaceDE/>
        <w:autoSpaceDN/>
        <w:bidi w:val="0"/>
        <w:spacing w:line="360" w:lineRule="auto"/>
        <w:ind w:firstLine="480"/>
        <w:textAlignment w:val="auto"/>
        <w:rPr>
          <w:rFonts w:ascii="宋体" w:hAnsi="宋体" w:cs="宋体"/>
          <w:kern w:val="0"/>
          <w:sz w:val="24"/>
          <w:highlight w:val="none"/>
        </w:rPr>
      </w:pPr>
      <w:r>
        <w:rPr>
          <w:rFonts w:hint="eastAsia" w:ascii="宋体" w:hAnsi="宋体" w:cs="宋体"/>
          <w:kern w:val="0"/>
          <w:sz w:val="24"/>
          <w:highlight w:val="none"/>
        </w:rPr>
        <w:t>25.3验收合格的项目，采购人将根据采购合同的</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8"/>
      <w:bookmarkEnd w:id="9"/>
      <w:bookmarkStart w:id="10" w:name="_Hlt68057669"/>
      <w:bookmarkEnd w:id="10"/>
      <w:bookmarkStart w:id="11" w:name="_Hlt74730295"/>
      <w:bookmarkEnd w:id="11"/>
      <w:bookmarkStart w:id="12" w:name="_Hlt68072990"/>
      <w:bookmarkEnd w:id="12"/>
      <w:bookmarkStart w:id="13" w:name="_Hlt75236101"/>
      <w:bookmarkEnd w:id="13"/>
      <w:bookmarkStart w:id="14" w:name="_Hlt74707468"/>
      <w:bookmarkEnd w:id="14"/>
      <w:bookmarkStart w:id="15" w:name="_Hlt75236290"/>
      <w:bookmarkEnd w:id="15"/>
      <w:bookmarkStart w:id="16" w:name="_Hlt68073093"/>
      <w:bookmarkEnd w:id="16"/>
      <w:bookmarkStart w:id="17" w:name="_Hlt68403820"/>
      <w:bookmarkEnd w:id="17"/>
      <w:bookmarkStart w:id="18" w:name="_Hlt74729768"/>
      <w:bookmarkEnd w:id="18"/>
      <w:bookmarkStart w:id="19" w:name="_Hlt75236011"/>
      <w:bookmarkEnd w:id="19"/>
      <w:bookmarkStart w:id="20" w:name="_Hlt74714665"/>
      <w:bookmarkEnd w:id="20"/>
      <w:bookmarkStart w:id="21" w:name="_Hlt68072998"/>
      <w:bookmarkEnd w:id="21"/>
    </w:p>
    <w:p w14:paraId="41FDB009">
      <w:pPr>
        <w:kinsoku/>
        <w:wordWrap/>
        <w:overflowPunct/>
        <w:topLinePunct w:val="0"/>
        <w:bidi w:val="0"/>
        <w:spacing w:line="360" w:lineRule="auto"/>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br w:type="page"/>
      </w:r>
    </w:p>
    <w:p w14:paraId="256BB6E9">
      <w:pPr>
        <w:keepNext w:val="0"/>
        <w:keepLines w:val="0"/>
        <w:pageBreakBefore w:val="0"/>
        <w:numPr>
          <w:ilvl w:val="0"/>
          <w:numId w:val="3"/>
        </w:numPr>
        <w:tabs>
          <w:tab w:val="left" w:pos="0"/>
        </w:tabs>
        <w:kinsoku/>
        <w:wordWrap/>
        <w:overflowPunct/>
        <w:topLinePunct w:val="0"/>
        <w:autoSpaceDE/>
        <w:autoSpaceDN/>
        <w:bidi w:val="0"/>
        <w:adjustRightInd/>
        <w:snapToGrid/>
        <w:spacing w:line="360" w:lineRule="auto"/>
        <w:jc w:val="center"/>
        <w:outlineLvl w:val="0"/>
        <w:rPr>
          <w:rFonts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t xml:space="preserve">  采购需求</w:t>
      </w:r>
      <w:bookmarkStart w:id="22" w:name="_Toc500353170"/>
    </w:p>
    <w:bookmarkEnd w:id="22"/>
    <w:p w14:paraId="07397BFE">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lang w:val="en-US" w:eastAsia="zh-CN"/>
        </w:rPr>
      </w:pPr>
      <w:bookmarkStart w:id="23" w:name="_Toc505959567"/>
      <w:bookmarkStart w:id="24" w:name="_Toc324346910"/>
      <w:bookmarkStart w:id="25" w:name="_Toc2268"/>
      <w:bookmarkStart w:id="26" w:name="_Toc475899181"/>
      <w:bookmarkStart w:id="27" w:name="_Toc2871"/>
      <w:bookmarkStart w:id="28" w:name="_Toc471938839"/>
      <w:bookmarkStart w:id="29" w:name="_Toc6322"/>
      <w:bookmarkStart w:id="30" w:name="_Toc31928"/>
      <w:r>
        <w:rPr>
          <w:rFonts w:hint="eastAsia" w:ascii="仿宋" w:hAnsi="仿宋" w:eastAsia="仿宋" w:cs="仿宋"/>
          <w:b/>
          <w:bCs/>
          <w:sz w:val="28"/>
          <w:szCs w:val="28"/>
          <w:highlight w:val="none"/>
          <w:lang w:val="en-US" w:eastAsia="zh-CN"/>
        </w:rPr>
        <w:t>一、采购</w:t>
      </w:r>
      <w:bookmarkEnd w:id="23"/>
      <w:bookmarkEnd w:id="24"/>
      <w:bookmarkEnd w:id="25"/>
      <w:bookmarkEnd w:id="26"/>
      <w:bookmarkEnd w:id="27"/>
      <w:bookmarkEnd w:id="28"/>
      <w:r>
        <w:rPr>
          <w:rFonts w:hint="eastAsia" w:ascii="仿宋" w:hAnsi="仿宋" w:eastAsia="仿宋" w:cs="仿宋"/>
          <w:b/>
          <w:bCs/>
          <w:sz w:val="28"/>
          <w:szCs w:val="28"/>
          <w:highlight w:val="none"/>
          <w:lang w:val="en-US" w:eastAsia="zh-CN"/>
        </w:rPr>
        <w:t>清单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97"/>
        <w:gridCol w:w="5065"/>
        <w:gridCol w:w="754"/>
        <w:gridCol w:w="547"/>
        <w:gridCol w:w="1349"/>
      </w:tblGrid>
      <w:tr w14:paraId="57D8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14:paraId="228106A9">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1"/>
                <w:szCs w:val="21"/>
                <w:highlight w:val="none"/>
                <w:lang w:val="en-US" w:eastAsia="zh-CN" w:bidi="ar-SA"/>
              </w:rPr>
            </w:pPr>
            <w:bookmarkStart w:id="31" w:name="_Toc18703"/>
            <w:bookmarkStart w:id="32" w:name="_Toc26968"/>
            <w:bookmarkStart w:id="33" w:name="_Toc462044165"/>
            <w:bookmarkStart w:id="34" w:name="_Toc475899200"/>
            <w:bookmarkStart w:id="35" w:name="_Toc321054104"/>
            <w:bookmarkStart w:id="36" w:name="_Toc462044159"/>
            <w:bookmarkStart w:id="37" w:name="_Toc324346919"/>
            <w:bookmarkStart w:id="38" w:name="_Toc319915171"/>
            <w:bookmarkStart w:id="39" w:name="_Toc7787"/>
            <w:r>
              <w:rPr>
                <w:rFonts w:hint="eastAsia" w:ascii="宋体" w:hAnsi="宋体" w:eastAsia="宋体" w:cs="宋体"/>
                <w:b/>
                <w:bCs/>
                <w:kern w:val="0"/>
                <w:sz w:val="21"/>
                <w:szCs w:val="21"/>
                <w:highlight w:val="none"/>
                <w:lang w:bidi="ar"/>
              </w:rPr>
              <w:t>序号</w:t>
            </w:r>
          </w:p>
        </w:tc>
        <w:tc>
          <w:tcPr>
            <w:tcW w:w="1497" w:type="dxa"/>
            <w:shd w:val="clear" w:color="auto" w:fill="auto"/>
            <w:vAlign w:val="center"/>
          </w:tcPr>
          <w:p w14:paraId="785293C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0"/>
                <w:sz w:val="21"/>
                <w:szCs w:val="21"/>
                <w:highlight w:val="none"/>
                <w:lang w:bidi="ar"/>
              </w:rPr>
              <w:t>名称</w:t>
            </w:r>
          </w:p>
        </w:tc>
        <w:tc>
          <w:tcPr>
            <w:tcW w:w="5065" w:type="dxa"/>
            <w:shd w:val="clear" w:color="auto" w:fill="auto"/>
            <w:vAlign w:val="center"/>
          </w:tcPr>
          <w:p w14:paraId="2A2C8404">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default" w:ascii="宋体" w:hAnsi="宋体" w:eastAsia="宋体" w:cs="宋体"/>
                <w:b/>
                <w:bCs/>
                <w:kern w:val="2"/>
                <w:sz w:val="21"/>
                <w:szCs w:val="21"/>
                <w:highlight w:val="none"/>
                <w:lang w:val="en-US" w:eastAsia="zh-CN" w:bidi="ar-SA"/>
              </w:rPr>
            </w:pPr>
            <w:r>
              <w:rPr>
                <w:rFonts w:hint="eastAsia" w:ascii="宋体" w:hAnsi="宋体" w:cs="宋体"/>
                <w:b/>
                <w:bCs/>
                <w:kern w:val="0"/>
                <w:sz w:val="21"/>
                <w:szCs w:val="21"/>
                <w:highlight w:val="none"/>
                <w:lang w:val="en-US" w:eastAsia="zh-CN" w:bidi="ar"/>
              </w:rPr>
              <w:t>主要技术参数</w:t>
            </w:r>
          </w:p>
        </w:tc>
        <w:tc>
          <w:tcPr>
            <w:tcW w:w="754" w:type="dxa"/>
            <w:shd w:val="clear" w:color="auto" w:fill="auto"/>
            <w:vAlign w:val="center"/>
          </w:tcPr>
          <w:p w14:paraId="1B9C058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0"/>
                <w:sz w:val="21"/>
                <w:szCs w:val="21"/>
                <w:highlight w:val="none"/>
                <w:lang w:bidi="ar"/>
              </w:rPr>
              <w:t>数量</w:t>
            </w:r>
          </w:p>
        </w:tc>
        <w:tc>
          <w:tcPr>
            <w:tcW w:w="547" w:type="dxa"/>
            <w:shd w:val="clear" w:color="auto" w:fill="auto"/>
            <w:vAlign w:val="center"/>
          </w:tcPr>
          <w:p w14:paraId="22C67E02">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0"/>
                <w:sz w:val="21"/>
                <w:szCs w:val="21"/>
                <w:highlight w:val="none"/>
                <w:lang w:bidi="ar"/>
              </w:rPr>
              <w:t>单位</w:t>
            </w:r>
          </w:p>
        </w:tc>
        <w:tc>
          <w:tcPr>
            <w:tcW w:w="1349" w:type="dxa"/>
            <w:shd w:val="clear" w:color="auto" w:fill="auto"/>
            <w:vAlign w:val="center"/>
          </w:tcPr>
          <w:p w14:paraId="3EDCF2F0">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sz w:val="21"/>
                <w:szCs w:val="21"/>
                <w:highlight w:val="none"/>
                <w:lang w:val="en-US" w:eastAsia="zh-CN"/>
              </w:rPr>
              <w:t>推荐品牌</w:t>
            </w:r>
          </w:p>
        </w:tc>
      </w:tr>
      <w:tr w14:paraId="2AB6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6" w:hRule="atLeast"/>
        </w:trPr>
        <w:tc>
          <w:tcPr>
            <w:tcW w:w="680" w:type="dxa"/>
            <w:vAlign w:val="center"/>
          </w:tcPr>
          <w:p w14:paraId="394133E5">
            <w:pPr>
              <w:keepNext w:val="0"/>
              <w:keepLines w:val="0"/>
              <w:pageBreakBefore w:val="0"/>
              <w:widowControl w:val="0"/>
              <w:tabs>
                <w:tab w:val="left" w:pos="851"/>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497" w:type="dxa"/>
            <w:vAlign w:val="center"/>
          </w:tcPr>
          <w:p w14:paraId="6F23E85A">
            <w:pPr>
              <w:keepNext w:val="0"/>
              <w:keepLines w:val="0"/>
              <w:pageBreakBefore w:val="0"/>
              <w:widowControl w:val="0"/>
              <w:tabs>
                <w:tab w:val="left" w:pos="851"/>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1.5匹</w:t>
            </w:r>
            <w:r>
              <w:rPr>
                <w:rFonts w:hint="eastAsia" w:ascii="宋体" w:hAnsi="宋体" w:eastAsia="宋体" w:cs="宋体"/>
                <w:color w:val="auto"/>
                <w:sz w:val="21"/>
                <w:szCs w:val="21"/>
                <w:highlight w:val="none"/>
                <w:lang w:val="en-US" w:eastAsia="zh-CN"/>
              </w:rPr>
              <w:t>变频</w:t>
            </w:r>
          </w:p>
          <w:p w14:paraId="3DDB57D3">
            <w:pPr>
              <w:keepNext w:val="0"/>
              <w:keepLines w:val="0"/>
              <w:pageBreakBefore w:val="0"/>
              <w:widowControl w:val="0"/>
              <w:tabs>
                <w:tab w:val="left" w:pos="851"/>
              </w:tabs>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挂壁</w:t>
            </w:r>
            <w:r>
              <w:rPr>
                <w:rFonts w:hint="eastAsia" w:ascii="宋体" w:hAnsi="宋体" w:eastAsia="宋体" w:cs="宋体"/>
                <w:color w:val="auto"/>
                <w:kern w:val="0"/>
                <w:sz w:val="21"/>
                <w:szCs w:val="21"/>
                <w:highlight w:val="none"/>
              </w:rPr>
              <w:t>式空调</w:t>
            </w:r>
          </w:p>
          <w:p w14:paraId="68B9C0E2">
            <w:pPr>
              <w:keepNext w:val="0"/>
              <w:keepLines w:val="0"/>
              <w:pageBreakBefore w:val="0"/>
              <w:widowControl w:val="0"/>
              <w:tabs>
                <w:tab w:val="left" w:pos="851"/>
              </w:tabs>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强制节能</w:t>
            </w:r>
          </w:p>
          <w:p w14:paraId="1FD8F1CB">
            <w:pPr>
              <w:keepNext w:val="0"/>
              <w:keepLines w:val="0"/>
              <w:pageBreakBefore w:val="0"/>
              <w:widowControl w:val="0"/>
              <w:tabs>
                <w:tab w:val="left" w:pos="851"/>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vertAlign w:val="baseline"/>
              </w:rPr>
            </w:pPr>
            <w:r>
              <w:rPr>
                <w:rFonts w:hint="eastAsia" w:ascii="宋体" w:hAnsi="宋体" w:cs="宋体"/>
                <w:color w:val="auto"/>
                <w:kern w:val="0"/>
                <w:szCs w:val="21"/>
                <w:highlight w:val="none"/>
                <w:lang w:val="en-US" w:eastAsia="zh-CN"/>
              </w:rPr>
              <w:t>产品</w:t>
            </w:r>
            <w:r>
              <w:rPr>
                <w:rFonts w:hint="eastAsia" w:ascii="宋体" w:hAnsi="宋体" w:cs="宋体"/>
                <w:color w:val="auto"/>
                <w:kern w:val="0"/>
                <w:szCs w:val="21"/>
                <w:highlight w:val="none"/>
                <w:lang w:eastAsia="zh-CN"/>
              </w:rPr>
              <w:t>）</w:t>
            </w:r>
          </w:p>
        </w:tc>
        <w:tc>
          <w:tcPr>
            <w:tcW w:w="5065" w:type="dxa"/>
          </w:tcPr>
          <w:p w14:paraId="17E2F88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1、额定制冷量（W）≥3500</w:t>
            </w:r>
          </w:p>
          <w:p w14:paraId="34A17F2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2、额定制热量（W）≥5000</w:t>
            </w:r>
          </w:p>
          <w:p w14:paraId="40FB19B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▲3、能效等级：1级（提供中国能效标识网相对应产品截图）</w:t>
            </w:r>
          </w:p>
          <w:p w14:paraId="66EE151E">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额定制冷功率（W）≤</w:t>
            </w:r>
            <w:r>
              <w:rPr>
                <w:rFonts w:hint="eastAsia" w:ascii="宋体" w:hAnsi="宋体" w:cs="宋体"/>
                <w:i w:val="0"/>
                <w:iCs w:val="0"/>
                <w:color w:val="000000"/>
                <w:kern w:val="0"/>
                <w:sz w:val="21"/>
                <w:szCs w:val="21"/>
                <w:highlight w:val="none"/>
                <w:u w:val="none"/>
                <w:lang w:val="en-US" w:eastAsia="zh-CN" w:bidi="ar"/>
              </w:rPr>
              <w:t>860</w:t>
            </w:r>
          </w:p>
          <w:p w14:paraId="07445B46">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额定制热功率（W）≤125</w:t>
            </w:r>
            <w:r>
              <w:rPr>
                <w:rFonts w:hint="eastAsia" w:ascii="宋体" w:hAnsi="宋体" w:cs="宋体"/>
                <w:i w:val="0"/>
                <w:iCs w:val="0"/>
                <w:color w:val="000000"/>
                <w:kern w:val="0"/>
                <w:sz w:val="21"/>
                <w:szCs w:val="21"/>
                <w:highlight w:val="none"/>
                <w:u w:val="none"/>
                <w:lang w:val="en-US" w:eastAsia="zh-CN" w:bidi="ar"/>
              </w:rPr>
              <w:t>0</w:t>
            </w:r>
          </w:p>
          <w:p w14:paraId="5740D2A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6、电辅热功率（W）≥750</w:t>
            </w:r>
          </w:p>
          <w:p w14:paraId="3DC52FC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7、循环风量（m³/h）≥640</w:t>
            </w:r>
          </w:p>
          <w:p w14:paraId="559952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8、最大室内机噪音（dB(A)）≤41</w:t>
            </w:r>
          </w:p>
          <w:p w14:paraId="2CB8299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b/>
                <w:bCs/>
                <w:color w:val="auto"/>
                <w:sz w:val="24"/>
                <w:szCs w:val="24"/>
                <w:highlight w:val="none"/>
                <w:vertAlign w:val="baseline"/>
              </w:rPr>
            </w:pPr>
            <w:r>
              <w:rPr>
                <w:rFonts w:hint="eastAsia" w:ascii="宋体" w:hAnsi="宋体" w:eastAsia="宋体" w:cs="宋体"/>
                <w:i w:val="0"/>
                <w:iCs w:val="0"/>
                <w:color w:val="000000"/>
                <w:kern w:val="0"/>
                <w:sz w:val="21"/>
                <w:szCs w:val="21"/>
                <w:highlight w:val="none"/>
                <w:u w:val="none"/>
                <w:lang w:val="en-US" w:eastAsia="zh-CN" w:bidi="ar"/>
              </w:rPr>
              <w:t xml:space="preserve">9、最大室外机噪音（dB(A)）≤52 </w:t>
            </w:r>
          </w:p>
        </w:tc>
        <w:tc>
          <w:tcPr>
            <w:tcW w:w="754" w:type="dxa"/>
            <w:vAlign w:val="center"/>
          </w:tcPr>
          <w:p w14:paraId="18E6DCB6">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vertAlign w:val="baseline"/>
              </w:rPr>
            </w:pPr>
            <w:r>
              <w:rPr>
                <w:rFonts w:hint="eastAsia" w:ascii="宋体" w:hAnsi="宋体" w:eastAsia="宋体" w:cs="宋体"/>
                <w:sz w:val="21"/>
                <w:szCs w:val="21"/>
                <w:highlight w:val="none"/>
                <w:lang w:val="en-US" w:eastAsia="zh-CN"/>
              </w:rPr>
              <w:t>554</w:t>
            </w:r>
          </w:p>
        </w:tc>
        <w:tc>
          <w:tcPr>
            <w:tcW w:w="547" w:type="dxa"/>
            <w:vAlign w:val="center"/>
          </w:tcPr>
          <w:p w14:paraId="1E96F7F5">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b/>
                <w:bCs/>
                <w:color w:val="auto"/>
                <w:sz w:val="24"/>
                <w:szCs w:val="24"/>
                <w:highlight w:val="none"/>
                <w:vertAlign w:val="baseline"/>
              </w:rPr>
            </w:pPr>
            <w:r>
              <w:rPr>
                <w:rFonts w:hint="eastAsia" w:ascii="宋体" w:hAnsi="宋体" w:eastAsia="宋体" w:cs="宋体"/>
                <w:kern w:val="0"/>
                <w:sz w:val="21"/>
                <w:szCs w:val="21"/>
                <w:highlight w:val="none"/>
                <w:lang w:bidi="ar"/>
              </w:rPr>
              <w:t>台</w:t>
            </w:r>
          </w:p>
        </w:tc>
        <w:tc>
          <w:tcPr>
            <w:tcW w:w="1349" w:type="dxa"/>
            <w:vAlign w:val="center"/>
          </w:tcPr>
          <w:p w14:paraId="55BA7F9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格力</w:t>
            </w:r>
          </w:p>
          <w:p w14:paraId="4968ADA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美的</w:t>
            </w:r>
          </w:p>
          <w:p w14:paraId="5CFC6CB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海尔</w:t>
            </w:r>
          </w:p>
          <w:p w14:paraId="1F52A27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4"/>
                <w:szCs w:val="24"/>
                <w:highlight w:val="none"/>
                <w:vertAlign w:val="baseline"/>
              </w:rPr>
            </w:pPr>
            <w:r>
              <w:rPr>
                <w:rFonts w:hint="eastAsia" w:ascii="宋体" w:hAnsi="宋体" w:eastAsia="宋体" w:cs="宋体"/>
                <w:sz w:val="21"/>
                <w:szCs w:val="21"/>
                <w:highlight w:val="none"/>
                <w:lang w:val="en-US" w:eastAsia="zh-CN"/>
              </w:rPr>
              <w:t>海信</w:t>
            </w:r>
          </w:p>
        </w:tc>
      </w:tr>
      <w:tr w14:paraId="6AE2C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680" w:type="dxa"/>
            <w:shd w:val="clear" w:color="auto" w:fill="auto"/>
            <w:vAlign w:val="center"/>
          </w:tcPr>
          <w:p w14:paraId="66B2B2A0">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1497" w:type="dxa"/>
            <w:shd w:val="clear" w:color="auto" w:fill="auto"/>
            <w:vAlign w:val="center"/>
          </w:tcPr>
          <w:p w14:paraId="7E6EC97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匹</w:t>
            </w:r>
            <w:r>
              <w:rPr>
                <w:rFonts w:hint="eastAsia" w:ascii="宋体" w:hAnsi="宋体" w:eastAsia="宋体" w:cs="宋体"/>
                <w:color w:val="auto"/>
                <w:sz w:val="21"/>
                <w:szCs w:val="21"/>
                <w:highlight w:val="none"/>
                <w:lang w:val="en-US" w:eastAsia="zh-CN"/>
              </w:rPr>
              <w:t>变频</w:t>
            </w:r>
          </w:p>
          <w:p w14:paraId="297A4203">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挂壁</w:t>
            </w:r>
            <w:r>
              <w:rPr>
                <w:rFonts w:hint="eastAsia" w:ascii="宋体" w:hAnsi="宋体" w:eastAsia="宋体" w:cs="宋体"/>
                <w:color w:val="auto"/>
                <w:kern w:val="0"/>
                <w:sz w:val="21"/>
                <w:szCs w:val="21"/>
                <w:highlight w:val="none"/>
              </w:rPr>
              <w:t>式空调</w:t>
            </w:r>
          </w:p>
          <w:p w14:paraId="28A144A2">
            <w:pPr>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强制节能</w:t>
            </w:r>
          </w:p>
          <w:p w14:paraId="00BFA8F8">
            <w:pPr>
              <w:spacing w:line="360" w:lineRule="auto"/>
              <w:jc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cs="宋体"/>
                <w:color w:val="auto"/>
                <w:kern w:val="0"/>
                <w:szCs w:val="21"/>
                <w:highlight w:val="none"/>
                <w:lang w:val="en-US" w:eastAsia="zh-CN"/>
              </w:rPr>
              <w:t>产品</w:t>
            </w:r>
            <w:r>
              <w:rPr>
                <w:rFonts w:hint="eastAsia" w:ascii="宋体" w:hAnsi="宋体" w:cs="宋体"/>
                <w:color w:val="auto"/>
                <w:kern w:val="0"/>
                <w:szCs w:val="21"/>
                <w:highlight w:val="none"/>
                <w:lang w:eastAsia="zh-CN"/>
              </w:rPr>
              <w:t>）</w:t>
            </w:r>
          </w:p>
        </w:tc>
        <w:tc>
          <w:tcPr>
            <w:tcW w:w="5065" w:type="dxa"/>
            <w:shd w:val="clear" w:color="auto" w:fill="auto"/>
            <w:vAlign w:val="center"/>
          </w:tcPr>
          <w:p w14:paraId="2EAFD62F">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1、额定制冷量（W）≥5020</w:t>
            </w:r>
          </w:p>
          <w:p w14:paraId="484EAE11">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2、额定制热量（W）≥6500</w:t>
            </w:r>
          </w:p>
          <w:p w14:paraId="5D07C980">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▲3、能效等级：1级（提供中国能效标识网相对应产品截图）</w:t>
            </w:r>
          </w:p>
          <w:p w14:paraId="26B40745">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4、额定制冷功率（W）≤1300</w:t>
            </w:r>
          </w:p>
          <w:p w14:paraId="485419A8">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5、额定制热功率（W）≤1980</w:t>
            </w:r>
          </w:p>
          <w:p w14:paraId="77C3036A">
            <w:pPr>
              <w:keepNext w:val="0"/>
              <w:keepLines w:val="0"/>
              <w:widowControl/>
              <w:suppressLineNumbers w:val="0"/>
              <w:spacing w:line="360" w:lineRule="auto"/>
              <w:jc w:val="left"/>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6、电辅热功率（W）≥1100</w:t>
            </w:r>
          </w:p>
          <w:p w14:paraId="040932B7">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7、循环风量（m³/h）≥900</w:t>
            </w:r>
          </w:p>
          <w:p w14:paraId="44651D52">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8、最大室内机噪音（dB(A)）≤43</w:t>
            </w:r>
          </w:p>
          <w:p w14:paraId="7A9888C3">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9、最大室外机噪音（dB(A)）≤55</w:t>
            </w:r>
          </w:p>
        </w:tc>
        <w:tc>
          <w:tcPr>
            <w:tcW w:w="754" w:type="dxa"/>
            <w:shd w:val="clear" w:color="auto" w:fill="auto"/>
            <w:vAlign w:val="center"/>
          </w:tcPr>
          <w:p w14:paraId="2E3C81D9">
            <w:pPr>
              <w:widowControl/>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1088</w:t>
            </w:r>
          </w:p>
        </w:tc>
        <w:tc>
          <w:tcPr>
            <w:tcW w:w="547" w:type="dxa"/>
            <w:shd w:val="clear" w:color="auto" w:fill="auto"/>
            <w:vAlign w:val="center"/>
          </w:tcPr>
          <w:p w14:paraId="767DF479">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台</w:t>
            </w:r>
          </w:p>
        </w:tc>
        <w:tc>
          <w:tcPr>
            <w:tcW w:w="1349" w:type="dxa"/>
            <w:shd w:val="clear" w:color="auto" w:fill="auto"/>
            <w:vAlign w:val="center"/>
          </w:tcPr>
          <w:p w14:paraId="31A2B0A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格力</w:t>
            </w:r>
          </w:p>
          <w:p w14:paraId="727EA601">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美的</w:t>
            </w:r>
          </w:p>
          <w:p w14:paraId="276299A7">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海尔</w:t>
            </w:r>
          </w:p>
          <w:p w14:paraId="0EFF2951">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海信</w:t>
            </w:r>
          </w:p>
        </w:tc>
      </w:tr>
      <w:tr w14:paraId="68CD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trPr>
        <w:tc>
          <w:tcPr>
            <w:tcW w:w="680" w:type="dxa"/>
            <w:shd w:val="clear" w:color="auto" w:fill="auto"/>
            <w:vAlign w:val="center"/>
          </w:tcPr>
          <w:p w14:paraId="5F7D6EF7">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3</w:t>
            </w:r>
          </w:p>
        </w:tc>
        <w:tc>
          <w:tcPr>
            <w:tcW w:w="1497" w:type="dxa"/>
            <w:shd w:val="clear" w:color="auto" w:fill="auto"/>
            <w:vAlign w:val="center"/>
          </w:tcPr>
          <w:p w14:paraId="3B1CE1DD">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匹</w:t>
            </w:r>
            <w:r>
              <w:rPr>
                <w:rFonts w:hint="eastAsia" w:ascii="宋体" w:hAnsi="宋体" w:eastAsia="宋体" w:cs="宋体"/>
                <w:color w:val="auto"/>
                <w:sz w:val="21"/>
                <w:szCs w:val="21"/>
                <w:highlight w:val="none"/>
                <w:lang w:val="en-US" w:eastAsia="zh-CN"/>
              </w:rPr>
              <w:t>变频</w:t>
            </w:r>
          </w:p>
          <w:p w14:paraId="53E7AEBB">
            <w:pPr>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柜</w:t>
            </w:r>
            <w:r>
              <w:rPr>
                <w:rFonts w:hint="eastAsia" w:ascii="宋体" w:hAnsi="宋体" w:eastAsia="宋体" w:cs="宋体"/>
                <w:color w:val="auto"/>
                <w:kern w:val="0"/>
                <w:sz w:val="21"/>
                <w:szCs w:val="21"/>
                <w:highlight w:val="none"/>
              </w:rPr>
              <w:t>式空调</w:t>
            </w:r>
          </w:p>
          <w:p w14:paraId="5B2A1704">
            <w:pPr>
              <w:spacing w:line="360" w:lineRule="auto"/>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强制节能</w:t>
            </w:r>
          </w:p>
          <w:p w14:paraId="0D514027">
            <w:pPr>
              <w:spacing w:line="360" w:lineRule="auto"/>
              <w:jc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color w:val="auto"/>
                <w:kern w:val="0"/>
                <w:szCs w:val="21"/>
                <w:highlight w:val="none"/>
                <w:lang w:val="en-US" w:eastAsia="zh-CN"/>
              </w:rPr>
              <w:t>产品</w:t>
            </w:r>
            <w:r>
              <w:rPr>
                <w:rFonts w:hint="eastAsia" w:ascii="宋体" w:hAnsi="宋体" w:cs="宋体"/>
                <w:color w:val="auto"/>
                <w:kern w:val="0"/>
                <w:szCs w:val="21"/>
                <w:highlight w:val="none"/>
                <w:lang w:eastAsia="zh-CN"/>
              </w:rPr>
              <w:t>）</w:t>
            </w:r>
          </w:p>
          <w:p w14:paraId="4EE89685">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p>
        </w:tc>
        <w:tc>
          <w:tcPr>
            <w:tcW w:w="5065" w:type="dxa"/>
            <w:shd w:val="clear" w:color="auto" w:fill="auto"/>
            <w:vAlign w:val="center"/>
          </w:tcPr>
          <w:p w14:paraId="5733B56B">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1、额定制冷量（W）≥5100</w:t>
            </w:r>
          </w:p>
          <w:p w14:paraId="6AFE8D67">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2、额定制热量（W）≥7230</w:t>
            </w:r>
          </w:p>
          <w:p w14:paraId="4A91AF55">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▲3、能效等级：1级（提供提供中国能效标识网相对应产品截图）</w:t>
            </w:r>
          </w:p>
          <w:p w14:paraId="5701E308">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4、额定制冷功率（W）≤</w:t>
            </w:r>
            <w:r>
              <w:rPr>
                <w:rFonts w:hint="eastAsia" w:ascii="宋体" w:hAnsi="宋体" w:cs="宋体"/>
                <w:i w:val="0"/>
                <w:iCs w:val="0"/>
                <w:color w:val="000000"/>
                <w:kern w:val="0"/>
                <w:sz w:val="21"/>
                <w:szCs w:val="21"/>
                <w:highlight w:val="none"/>
                <w:u w:val="none"/>
                <w:lang w:val="en-US" w:eastAsia="zh-CN" w:bidi="ar"/>
              </w:rPr>
              <w:t>1320</w:t>
            </w:r>
          </w:p>
          <w:p w14:paraId="3FB5CBC2">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5、额定制热功率（W）≤</w:t>
            </w:r>
            <w:r>
              <w:rPr>
                <w:rFonts w:hint="eastAsia" w:ascii="宋体" w:hAnsi="宋体" w:cs="宋体"/>
                <w:i w:val="0"/>
                <w:iCs w:val="0"/>
                <w:color w:val="000000"/>
                <w:kern w:val="0"/>
                <w:sz w:val="21"/>
                <w:szCs w:val="21"/>
                <w:highlight w:val="none"/>
                <w:u w:val="none"/>
                <w:lang w:val="en-US" w:eastAsia="zh-CN" w:bidi="ar"/>
              </w:rPr>
              <w:t>1990</w:t>
            </w:r>
          </w:p>
          <w:p w14:paraId="035BEAB3">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6、电辅热功率（W）≥1800</w:t>
            </w:r>
          </w:p>
          <w:p w14:paraId="1557E8AB">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7、循环风量（m³/h）≥1210</w:t>
            </w:r>
          </w:p>
          <w:p w14:paraId="003DE9B7">
            <w:pPr>
              <w:keepNext w:val="0"/>
              <w:keepLines w:val="0"/>
              <w:widowControl/>
              <w:suppressLineNumbers w:val="0"/>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8、最大室内机噪音（dB(A)）≤43</w:t>
            </w:r>
          </w:p>
          <w:p w14:paraId="72A13B19">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9、最大室外机噪音（dB(A)）≤54</w:t>
            </w:r>
          </w:p>
        </w:tc>
        <w:tc>
          <w:tcPr>
            <w:tcW w:w="754" w:type="dxa"/>
            <w:shd w:val="clear" w:color="auto" w:fill="auto"/>
            <w:vAlign w:val="center"/>
          </w:tcPr>
          <w:p w14:paraId="21E0955F">
            <w:pPr>
              <w:widowControl/>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182</w:t>
            </w:r>
          </w:p>
        </w:tc>
        <w:tc>
          <w:tcPr>
            <w:tcW w:w="547" w:type="dxa"/>
            <w:shd w:val="clear" w:color="auto" w:fill="auto"/>
            <w:vAlign w:val="center"/>
          </w:tcPr>
          <w:p w14:paraId="54FE4E25">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台</w:t>
            </w:r>
          </w:p>
        </w:tc>
        <w:tc>
          <w:tcPr>
            <w:tcW w:w="1349" w:type="dxa"/>
            <w:shd w:val="clear" w:color="auto" w:fill="auto"/>
            <w:vAlign w:val="center"/>
          </w:tcPr>
          <w:p w14:paraId="4801468E">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格力</w:t>
            </w:r>
          </w:p>
          <w:p w14:paraId="4F1A9057">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美的</w:t>
            </w:r>
          </w:p>
          <w:p w14:paraId="6294115F">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海尔</w:t>
            </w:r>
          </w:p>
          <w:p w14:paraId="171D1EE6">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海信</w:t>
            </w:r>
          </w:p>
        </w:tc>
      </w:tr>
      <w:tr w14:paraId="13837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14:paraId="791F0CCF">
            <w:pPr>
              <w:widowControl/>
              <w:spacing w:line="360" w:lineRule="auto"/>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4</w:t>
            </w:r>
          </w:p>
        </w:tc>
        <w:tc>
          <w:tcPr>
            <w:tcW w:w="1497" w:type="dxa"/>
            <w:shd w:val="clear" w:color="auto" w:fill="auto"/>
            <w:vAlign w:val="center"/>
          </w:tcPr>
          <w:p w14:paraId="403314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冰箱</w:t>
            </w:r>
          </w:p>
        </w:tc>
        <w:tc>
          <w:tcPr>
            <w:tcW w:w="5065" w:type="dxa"/>
            <w:shd w:val="clear" w:color="auto" w:fill="auto"/>
            <w:vAlign w:val="center"/>
          </w:tcPr>
          <w:p w14:paraId="6EFE1AC4">
            <w:pPr>
              <w:numPr>
                <w:ilvl w:val="0"/>
                <w:numId w:val="0"/>
              </w:numPr>
              <w:spacing w:line="360" w:lineRule="auto"/>
              <w:jc w:val="left"/>
              <w:outlineLvl w:val="9"/>
              <w:rPr>
                <w:rFonts w:hint="eastAsia" w:ascii="宋体" w:hAnsi="宋体" w:eastAsia="宋体" w:cs="宋体"/>
                <w:sz w:val="21"/>
                <w:szCs w:val="21"/>
                <w:highlight w:val="none"/>
              </w:rPr>
            </w:pPr>
            <w:r>
              <w:rPr>
                <w:rFonts w:hint="eastAsia" w:ascii="宋体" w:hAnsi="宋体" w:eastAsia="宋体" w:cs="宋体"/>
                <w:b w:val="0"/>
                <w:bCs/>
                <w:sz w:val="21"/>
                <w:szCs w:val="21"/>
                <w:highlight w:val="none"/>
                <w:lang w:val="en-US" w:eastAsia="zh-CN"/>
              </w:rPr>
              <w:t>▲</w:t>
            </w:r>
            <w:r>
              <w:rPr>
                <w:rFonts w:hint="eastAsia" w:ascii="宋体" w:hAnsi="宋体" w:cs="宋体"/>
                <w:b w:val="0"/>
                <w:bCs/>
                <w:sz w:val="21"/>
                <w:szCs w:val="21"/>
                <w:highlight w:val="none"/>
                <w:lang w:val="en-US" w:eastAsia="zh-CN"/>
              </w:rPr>
              <w:t>1</w:t>
            </w:r>
            <w:r>
              <w:rPr>
                <w:rFonts w:hint="eastAsia" w:ascii="宋体" w:hAnsi="宋体" w:eastAsia="宋体" w:cs="宋体"/>
                <w:sz w:val="21"/>
                <w:szCs w:val="21"/>
                <w:highlight w:val="none"/>
              </w:rPr>
              <w:t>、能效等级：</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级</w:t>
            </w:r>
            <w:r>
              <w:rPr>
                <w:rFonts w:hint="eastAsia" w:ascii="宋体" w:hAnsi="宋体" w:eastAsia="宋体" w:cs="宋体"/>
                <w:i w:val="0"/>
                <w:iCs w:val="0"/>
                <w:color w:val="000000"/>
                <w:kern w:val="0"/>
                <w:sz w:val="21"/>
                <w:szCs w:val="21"/>
                <w:highlight w:val="none"/>
                <w:u w:val="none"/>
                <w:lang w:val="en-US" w:eastAsia="zh-CN" w:bidi="ar"/>
              </w:rPr>
              <w:t>（提供中国能效标识网相对应产品截图）</w:t>
            </w:r>
          </w:p>
          <w:p w14:paraId="1CA72344">
            <w:pPr>
              <w:numPr>
                <w:ilvl w:val="0"/>
                <w:numId w:val="0"/>
              </w:numPr>
              <w:spacing w:line="360" w:lineRule="auto"/>
              <w:jc w:val="left"/>
              <w:outlineLvl w:val="9"/>
              <w:rPr>
                <w:rFonts w:hint="default" w:ascii="宋体" w:hAnsi="宋体" w:eastAsia="宋体" w:cs="宋体"/>
                <w:sz w:val="21"/>
                <w:szCs w:val="21"/>
                <w:highlight w:val="none"/>
                <w:lang w:val="en-US" w:eastAsia="zh-CN"/>
              </w:rPr>
            </w:pPr>
            <w:r>
              <w:rPr>
                <w:rFonts w:hint="eastAsia" w:ascii="宋体" w:hAnsi="宋体" w:eastAsia="宋体" w:cs="宋体"/>
                <w:b w:val="0"/>
                <w:bCs/>
                <w:sz w:val="21"/>
                <w:szCs w:val="21"/>
                <w:highlight w:val="none"/>
                <w:lang w:val="en-US" w:eastAsia="zh-CN"/>
              </w:rPr>
              <w:t>▲</w:t>
            </w:r>
            <w:r>
              <w:rPr>
                <w:rFonts w:hint="eastAsia" w:ascii="宋体" w:hAnsi="宋体" w:cs="宋体"/>
                <w:kern w:val="2"/>
                <w:sz w:val="21"/>
                <w:szCs w:val="21"/>
                <w:highlight w:val="none"/>
                <w:lang w:val="en-US" w:eastAsia="zh-CN" w:bidi="ar-SA"/>
              </w:rPr>
              <w:t>2</w:t>
            </w:r>
            <w:r>
              <w:rPr>
                <w:rFonts w:hint="eastAsia" w:ascii="宋体" w:hAnsi="宋体" w:eastAsia="宋体" w:cs="宋体"/>
                <w:kern w:val="2"/>
                <w:sz w:val="21"/>
                <w:szCs w:val="21"/>
                <w:highlight w:val="none"/>
                <w:lang w:val="en-US" w:eastAsia="zh-CN" w:bidi="ar-SA"/>
              </w:rPr>
              <w:t>、</w:t>
            </w:r>
            <w:r>
              <w:rPr>
                <w:rFonts w:hint="eastAsia" w:ascii="宋体" w:hAnsi="宋体" w:eastAsia="宋体" w:cs="宋体"/>
                <w:sz w:val="21"/>
                <w:szCs w:val="21"/>
                <w:highlight w:val="none"/>
              </w:rPr>
              <w:t>产品尺寸mm</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宽*深</w:t>
            </w:r>
            <w:r>
              <w:rPr>
                <w:rFonts w:hint="eastAsia" w:ascii="宋体" w:hAnsi="宋体" w:cs="宋体"/>
                <w:sz w:val="21"/>
                <w:szCs w:val="21"/>
                <w:highlight w:val="none"/>
                <w:lang w:val="en-US" w:eastAsia="zh-CN"/>
              </w:rPr>
              <w:t>*高</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val="en-US" w:eastAsia="zh-CN"/>
              </w:rPr>
              <w:t>≤650</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65</w:t>
            </w:r>
            <w:r>
              <w:rPr>
                <w:rFonts w:hint="eastAsia" w:ascii="宋体" w:hAnsi="宋体" w:eastAsia="宋体" w:cs="宋体"/>
                <w:sz w:val="21"/>
                <w:szCs w:val="21"/>
                <w:highlight w:val="none"/>
                <w:lang w:val="en-US" w:eastAsia="zh-CN"/>
              </w:rPr>
              <w:t>0</w:t>
            </w:r>
            <w:r>
              <w:rPr>
                <w:rFonts w:hint="eastAsia" w:ascii="宋体" w:hAnsi="宋体" w:cs="宋体"/>
                <w:sz w:val="21"/>
                <w:szCs w:val="21"/>
                <w:highlight w:val="none"/>
                <w:lang w:val="en-US" w:eastAsia="zh-CN"/>
              </w:rPr>
              <w:t>*1650（提供相关证明材料）</w:t>
            </w:r>
          </w:p>
          <w:p w14:paraId="371229A7">
            <w:pPr>
              <w:numPr>
                <w:ilvl w:val="0"/>
                <w:numId w:val="0"/>
              </w:numPr>
              <w:spacing w:line="360" w:lineRule="auto"/>
              <w:jc w:val="left"/>
              <w:outlineLvl w:val="9"/>
              <w:rPr>
                <w:rFonts w:hint="eastAsia" w:ascii="宋体" w:hAnsi="宋体" w:eastAsia="宋体" w:cs="宋体"/>
                <w:kern w:val="2"/>
                <w:sz w:val="21"/>
                <w:szCs w:val="21"/>
                <w:highlight w:val="none"/>
                <w:lang w:val="en-US" w:eastAsia="zh-CN" w:bidi="ar-SA"/>
              </w:rPr>
            </w:pPr>
            <w:r>
              <w:rPr>
                <w:rFonts w:hint="eastAsia" w:ascii="宋体" w:hAnsi="宋体" w:eastAsia="宋体" w:cs="宋体"/>
                <w:b w:val="0"/>
                <w:bCs/>
                <w:sz w:val="21"/>
                <w:szCs w:val="21"/>
                <w:highlight w:val="none"/>
                <w:lang w:val="en-US" w:eastAsia="zh-CN"/>
              </w:rPr>
              <w:t>▲</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rPr>
              <w:t>总容积</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90</w:t>
            </w:r>
            <w:r>
              <w:rPr>
                <w:rFonts w:hint="eastAsia" w:ascii="宋体" w:hAnsi="宋体" w:eastAsia="宋体" w:cs="宋体"/>
                <w:sz w:val="21"/>
                <w:szCs w:val="21"/>
                <w:highlight w:val="none"/>
              </w:rPr>
              <w:t>L</w:t>
            </w:r>
            <w:r>
              <w:rPr>
                <w:rFonts w:hint="eastAsia" w:ascii="宋体" w:hAnsi="宋体" w:cs="宋体"/>
                <w:sz w:val="21"/>
                <w:szCs w:val="21"/>
                <w:highlight w:val="none"/>
                <w:lang w:val="en-US" w:eastAsia="zh-CN"/>
              </w:rPr>
              <w:t>（提供相关证明材料）</w:t>
            </w:r>
          </w:p>
          <w:p w14:paraId="693E6AE6">
            <w:pPr>
              <w:numPr>
                <w:ilvl w:val="0"/>
                <w:numId w:val="0"/>
              </w:numPr>
              <w:spacing w:line="360" w:lineRule="auto"/>
              <w:jc w:val="left"/>
              <w:outlineLvl w:val="9"/>
              <w:rPr>
                <w:rFonts w:hint="default"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冷冻容积：≥</w:t>
            </w:r>
            <w:r>
              <w:rPr>
                <w:rFonts w:hint="eastAsia" w:ascii="宋体" w:hAnsi="宋体" w:cs="宋体"/>
                <w:sz w:val="21"/>
                <w:szCs w:val="21"/>
                <w:highlight w:val="none"/>
                <w:lang w:val="en-US" w:eastAsia="zh-CN"/>
              </w:rPr>
              <w:t>70</w:t>
            </w:r>
            <w:r>
              <w:rPr>
                <w:rFonts w:hint="eastAsia" w:ascii="宋体" w:hAnsi="宋体" w:eastAsia="宋体" w:cs="宋体"/>
                <w:sz w:val="21"/>
                <w:szCs w:val="21"/>
                <w:highlight w:val="none"/>
              </w:rPr>
              <w:t xml:space="preserve">L </w:t>
            </w:r>
          </w:p>
          <w:p w14:paraId="40055391">
            <w:pPr>
              <w:numPr>
                <w:ilvl w:val="0"/>
                <w:numId w:val="0"/>
              </w:numPr>
              <w:spacing w:line="360" w:lineRule="auto"/>
              <w:jc w:val="left"/>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冷藏容积：≥</w:t>
            </w:r>
            <w:r>
              <w:rPr>
                <w:rFonts w:hint="eastAsia" w:ascii="宋体" w:hAnsi="宋体" w:eastAsia="宋体" w:cs="宋体"/>
                <w:sz w:val="21"/>
                <w:szCs w:val="21"/>
                <w:highlight w:val="none"/>
                <w:lang w:val="en-US" w:eastAsia="zh-CN"/>
              </w:rPr>
              <w:t>99</w:t>
            </w:r>
            <w:r>
              <w:rPr>
                <w:rFonts w:hint="eastAsia" w:ascii="宋体" w:hAnsi="宋体" w:eastAsia="宋体" w:cs="宋体"/>
                <w:sz w:val="21"/>
                <w:szCs w:val="21"/>
                <w:highlight w:val="none"/>
              </w:rPr>
              <w:t xml:space="preserve">L                               </w:t>
            </w:r>
          </w:p>
          <w:p w14:paraId="38D175F0">
            <w:pPr>
              <w:numPr>
                <w:ilvl w:val="0"/>
                <w:numId w:val="0"/>
              </w:numPr>
              <w:spacing w:line="360" w:lineRule="auto"/>
              <w:jc w:val="left"/>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w:t>
            </w:r>
            <w:r>
              <w:rPr>
                <w:rFonts w:hint="eastAsia" w:ascii="宋体" w:hAnsi="宋体" w:cs="宋体"/>
                <w:b w:val="0"/>
                <w:bCs/>
                <w:sz w:val="21"/>
                <w:szCs w:val="21"/>
                <w:highlight w:val="none"/>
                <w:lang w:val="en-US" w:eastAsia="zh-CN"/>
              </w:rPr>
              <w:t>门款式</w:t>
            </w:r>
            <w:r>
              <w:rPr>
                <w:rFonts w:hint="eastAsia" w:ascii="宋体" w:hAnsi="宋体" w:eastAsia="宋体" w:cs="宋体"/>
                <w:b w:val="0"/>
                <w:bCs/>
                <w:sz w:val="21"/>
                <w:szCs w:val="21"/>
                <w:highlight w:val="none"/>
                <w:lang w:val="en-US" w:eastAsia="zh-CN"/>
              </w:rPr>
              <w:t>：</w:t>
            </w:r>
            <w:r>
              <w:rPr>
                <w:rFonts w:hint="eastAsia" w:ascii="宋体" w:hAnsi="宋体" w:cs="宋体"/>
                <w:b w:val="0"/>
                <w:bCs/>
                <w:sz w:val="21"/>
                <w:szCs w:val="21"/>
                <w:highlight w:val="none"/>
                <w:lang w:val="en-US" w:eastAsia="zh-CN"/>
              </w:rPr>
              <w:t>双门式</w:t>
            </w:r>
            <w:r>
              <w:rPr>
                <w:rFonts w:hint="eastAsia" w:ascii="宋体" w:hAnsi="宋体" w:eastAsia="宋体" w:cs="宋体"/>
                <w:sz w:val="21"/>
                <w:szCs w:val="21"/>
                <w:highlight w:val="none"/>
              </w:rPr>
              <w:t xml:space="preserve">制冷                          </w:t>
            </w:r>
          </w:p>
          <w:p w14:paraId="52FE6D2F">
            <w:pPr>
              <w:numPr>
                <w:ilvl w:val="0"/>
                <w:numId w:val="0"/>
              </w:numPr>
              <w:spacing w:line="360" w:lineRule="auto"/>
              <w:jc w:val="left"/>
              <w:outlineLvl w:val="9"/>
              <w:rPr>
                <w:rFonts w:hint="eastAsia" w:ascii="宋体" w:hAnsi="宋体" w:eastAsia="宋体" w:cs="宋体"/>
                <w:sz w:val="21"/>
                <w:szCs w:val="21"/>
                <w:highlight w:val="none"/>
              </w:rPr>
            </w:pPr>
            <w:r>
              <w:rPr>
                <w:rFonts w:hint="eastAsia" w:ascii="宋体" w:hAnsi="宋体" w:cs="宋体"/>
                <w:b w:val="0"/>
                <w:bCs/>
                <w:sz w:val="21"/>
                <w:szCs w:val="21"/>
                <w:highlight w:val="none"/>
                <w:lang w:val="en-US" w:eastAsia="zh-CN"/>
              </w:rPr>
              <w:t>7</w:t>
            </w:r>
            <w:r>
              <w:rPr>
                <w:rFonts w:hint="eastAsia" w:ascii="宋体" w:hAnsi="宋体" w:eastAsia="宋体" w:cs="宋体"/>
                <w:sz w:val="21"/>
                <w:szCs w:val="21"/>
                <w:highlight w:val="none"/>
              </w:rPr>
              <w:t>、方式：</w:t>
            </w:r>
            <w:r>
              <w:rPr>
                <w:rFonts w:hint="eastAsia" w:ascii="宋体" w:hAnsi="宋体" w:eastAsia="宋体" w:cs="宋体"/>
                <w:sz w:val="21"/>
                <w:szCs w:val="21"/>
                <w:highlight w:val="none"/>
                <w:lang w:val="en-US" w:eastAsia="zh-CN"/>
              </w:rPr>
              <w:t>风</w:t>
            </w:r>
            <w:r>
              <w:rPr>
                <w:rFonts w:hint="eastAsia" w:ascii="宋体" w:hAnsi="宋体" w:eastAsia="宋体" w:cs="宋体"/>
                <w:sz w:val="21"/>
                <w:szCs w:val="21"/>
                <w:highlight w:val="none"/>
              </w:rPr>
              <w:t xml:space="preserve">冷                           </w:t>
            </w:r>
          </w:p>
          <w:p w14:paraId="2392BA17">
            <w:pPr>
              <w:numPr>
                <w:ilvl w:val="0"/>
                <w:numId w:val="0"/>
              </w:numPr>
              <w:spacing w:line="360" w:lineRule="auto"/>
              <w:jc w:val="left"/>
              <w:outlineLvl w:val="9"/>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8、</w:t>
            </w:r>
            <w:r>
              <w:rPr>
                <w:rFonts w:hint="eastAsia" w:ascii="宋体" w:hAnsi="宋体" w:eastAsia="宋体" w:cs="宋体"/>
                <w:sz w:val="21"/>
                <w:szCs w:val="21"/>
                <w:highlight w:val="none"/>
              </w:rPr>
              <w:t>耗电量（KW/24h):≤0.</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w:t>
            </w:r>
          </w:p>
          <w:p w14:paraId="5D0E9B79">
            <w:pPr>
              <w:numPr>
                <w:ilvl w:val="0"/>
                <w:numId w:val="5"/>
              </w:numPr>
              <w:spacing w:line="360" w:lineRule="auto"/>
              <w:jc w:val="left"/>
              <w:outlineLvl w:val="9"/>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sz w:val="21"/>
                <w:szCs w:val="21"/>
                <w:highlight w:val="none"/>
              </w:rPr>
              <w:t>冷冻能力（kg/12h）：</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1.</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 xml:space="preserve">                  </w:t>
            </w:r>
            <w:r>
              <w:rPr>
                <w:rFonts w:hint="eastAsia" w:ascii="宋体" w:hAnsi="宋体" w:cs="宋体"/>
                <w:sz w:val="21"/>
                <w:szCs w:val="21"/>
                <w:highlight w:val="none"/>
                <w:lang w:val="en-US" w:eastAsia="zh-CN"/>
              </w:rPr>
              <w:t>10</w:t>
            </w:r>
            <w:r>
              <w:rPr>
                <w:rFonts w:hint="eastAsia" w:ascii="宋体" w:hAnsi="宋体" w:eastAsia="宋体" w:cs="宋体"/>
                <w:sz w:val="21"/>
                <w:szCs w:val="21"/>
                <w:highlight w:val="none"/>
              </w:rPr>
              <w:t xml:space="preserve">、噪音（dB（A)）：≤38                  </w:t>
            </w:r>
          </w:p>
        </w:tc>
        <w:tc>
          <w:tcPr>
            <w:tcW w:w="754" w:type="dxa"/>
            <w:shd w:val="clear" w:color="auto" w:fill="auto"/>
            <w:vAlign w:val="center"/>
          </w:tcPr>
          <w:p w14:paraId="508CED81">
            <w:pPr>
              <w:widowControl/>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1914</w:t>
            </w:r>
          </w:p>
        </w:tc>
        <w:tc>
          <w:tcPr>
            <w:tcW w:w="547" w:type="dxa"/>
            <w:shd w:val="clear" w:color="auto" w:fill="auto"/>
            <w:vAlign w:val="center"/>
          </w:tcPr>
          <w:p w14:paraId="1E44BE0A">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台</w:t>
            </w:r>
          </w:p>
        </w:tc>
        <w:tc>
          <w:tcPr>
            <w:tcW w:w="1349" w:type="dxa"/>
            <w:shd w:val="clear" w:color="auto" w:fill="auto"/>
            <w:vAlign w:val="center"/>
          </w:tcPr>
          <w:p w14:paraId="45CB7CF1">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容声</w:t>
            </w:r>
          </w:p>
          <w:p w14:paraId="2DE51151">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新飞</w:t>
            </w:r>
          </w:p>
          <w:p w14:paraId="41B4DC46">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海尔</w:t>
            </w:r>
          </w:p>
          <w:p w14:paraId="254000A2">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海信</w:t>
            </w:r>
          </w:p>
        </w:tc>
      </w:tr>
      <w:tr w14:paraId="7C6B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14:paraId="742EFF15">
            <w:pPr>
              <w:widowControl/>
              <w:spacing w:line="360" w:lineRule="auto"/>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5</w:t>
            </w:r>
          </w:p>
        </w:tc>
        <w:tc>
          <w:tcPr>
            <w:tcW w:w="1497" w:type="dxa"/>
            <w:shd w:val="clear" w:color="auto" w:fill="auto"/>
            <w:vAlign w:val="center"/>
          </w:tcPr>
          <w:p w14:paraId="62C06C84">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洗衣机</w:t>
            </w:r>
          </w:p>
        </w:tc>
        <w:tc>
          <w:tcPr>
            <w:tcW w:w="5065" w:type="dxa"/>
            <w:shd w:val="clear" w:color="auto" w:fill="auto"/>
            <w:vAlign w:val="center"/>
          </w:tcPr>
          <w:p w14:paraId="2B97BE9D">
            <w:pPr>
              <w:numPr>
                <w:ilvl w:val="0"/>
                <w:numId w:val="0"/>
              </w:numPr>
              <w:spacing w:line="360" w:lineRule="auto"/>
              <w:jc w:val="left"/>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w:t>
            </w:r>
            <w:r>
              <w:rPr>
                <w:rFonts w:hint="eastAsia" w:ascii="宋体" w:hAnsi="宋体" w:cs="宋体"/>
                <w:b w:val="0"/>
                <w:bCs/>
                <w:sz w:val="21"/>
                <w:szCs w:val="21"/>
                <w:highlight w:val="none"/>
                <w:lang w:val="en-US" w:eastAsia="zh-CN"/>
              </w:rPr>
              <w:t>1</w:t>
            </w:r>
            <w:r>
              <w:rPr>
                <w:rFonts w:hint="eastAsia" w:ascii="宋体" w:hAnsi="宋体" w:eastAsia="宋体" w:cs="宋体"/>
                <w:b w:val="0"/>
                <w:bCs/>
                <w:sz w:val="21"/>
                <w:szCs w:val="21"/>
                <w:highlight w:val="none"/>
                <w:lang w:val="en-US" w:eastAsia="zh-CN"/>
              </w:rPr>
              <w:t>、</w:t>
            </w:r>
            <w:r>
              <w:rPr>
                <w:rFonts w:hint="eastAsia" w:ascii="宋体" w:hAnsi="宋体" w:cs="宋体"/>
                <w:b w:val="0"/>
                <w:bCs/>
                <w:sz w:val="21"/>
                <w:szCs w:val="21"/>
                <w:highlight w:val="none"/>
                <w:lang w:val="en-US" w:eastAsia="zh-CN"/>
              </w:rPr>
              <w:t>能效等级</w:t>
            </w:r>
            <w:r>
              <w:rPr>
                <w:rFonts w:hint="eastAsia" w:ascii="宋体" w:hAnsi="宋体" w:eastAsia="宋体" w:cs="宋体"/>
                <w:b w:val="0"/>
                <w:bCs/>
                <w:sz w:val="21"/>
                <w:szCs w:val="21"/>
                <w:highlight w:val="none"/>
                <w:lang w:val="en-US" w:eastAsia="zh-CN"/>
              </w:rPr>
              <w:t>：≥2级</w:t>
            </w:r>
            <w:r>
              <w:rPr>
                <w:rFonts w:hint="eastAsia" w:ascii="宋体" w:hAnsi="宋体" w:eastAsia="宋体" w:cs="宋体"/>
                <w:i w:val="0"/>
                <w:iCs w:val="0"/>
                <w:color w:val="000000"/>
                <w:kern w:val="0"/>
                <w:sz w:val="21"/>
                <w:szCs w:val="21"/>
                <w:highlight w:val="none"/>
                <w:u w:val="none"/>
                <w:lang w:val="en-US" w:eastAsia="zh-CN" w:bidi="ar"/>
              </w:rPr>
              <w:t>（提供中国能效标识网相对应产品截图）</w:t>
            </w:r>
          </w:p>
          <w:p w14:paraId="179B209A">
            <w:pPr>
              <w:numPr>
                <w:ilvl w:val="0"/>
                <w:numId w:val="0"/>
              </w:numPr>
              <w:spacing w:line="360" w:lineRule="auto"/>
              <w:jc w:val="left"/>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w:t>
            </w:r>
            <w:r>
              <w:rPr>
                <w:rFonts w:hint="eastAsia" w:ascii="宋体" w:hAnsi="宋体" w:cs="宋体"/>
                <w:b w:val="0"/>
                <w:bCs/>
                <w:sz w:val="21"/>
                <w:szCs w:val="21"/>
                <w:highlight w:val="none"/>
                <w:lang w:val="en-US" w:eastAsia="zh-CN"/>
              </w:rPr>
              <w:t>2</w:t>
            </w:r>
            <w:r>
              <w:rPr>
                <w:rFonts w:hint="eastAsia" w:ascii="宋体" w:hAnsi="宋体" w:eastAsia="宋体" w:cs="宋体"/>
                <w:b w:val="0"/>
                <w:bCs/>
                <w:sz w:val="21"/>
                <w:szCs w:val="21"/>
                <w:highlight w:val="none"/>
                <w:lang w:val="en-US" w:eastAsia="zh-CN"/>
              </w:rPr>
              <w:t>、产品尺寸mm（宽*深</w:t>
            </w:r>
            <w:r>
              <w:rPr>
                <w:rFonts w:hint="eastAsia" w:ascii="宋体" w:hAnsi="宋体" w:cs="宋体"/>
                <w:b w:val="0"/>
                <w:bCs/>
                <w:sz w:val="21"/>
                <w:szCs w:val="21"/>
                <w:highlight w:val="none"/>
                <w:lang w:val="en-US" w:eastAsia="zh-CN"/>
              </w:rPr>
              <w:t>*高</w:t>
            </w:r>
            <w:r>
              <w:rPr>
                <w:rFonts w:hint="eastAsia" w:ascii="宋体" w:hAnsi="宋体" w:eastAsia="宋体" w:cs="宋体"/>
                <w:b w:val="0"/>
                <w:bCs/>
                <w:sz w:val="21"/>
                <w:szCs w:val="21"/>
                <w:highlight w:val="none"/>
                <w:lang w:val="en-US" w:eastAsia="zh-CN"/>
              </w:rPr>
              <w:t>)</w:t>
            </w:r>
            <w:r>
              <w:rPr>
                <w:rFonts w:hint="eastAsia" w:ascii="宋体" w:hAnsi="宋体" w:eastAsia="宋体" w:cs="宋体"/>
                <w:sz w:val="21"/>
                <w:szCs w:val="21"/>
                <w:highlight w:val="none"/>
              </w:rPr>
              <w:t>：</w:t>
            </w:r>
            <w:r>
              <w:rPr>
                <w:rFonts w:hint="eastAsia" w:ascii="宋体" w:hAnsi="宋体" w:eastAsia="宋体" w:cs="宋体"/>
                <w:b w:val="0"/>
                <w:bCs/>
                <w:sz w:val="21"/>
                <w:szCs w:val="21"/>
                <w:highlight w:val="none"/>
                <w:lang w:val="en-US" w:eastAsia="zh-CN"/>
              </w:rPr>
              <w:t>≤550*550</w:t>
            </w:r>
            <w:r>
              <w:rPr>
                <w:rFonts w:hint="eastAsia" w:ascii="宋体" w:hAnsi="宋体" w:cs="宋体"/>
                <w:b w:val="0"/>
                <w:bCs/>
                <w:sz w:val="21"/>
                <w:szCs w:val="21"/>
                <w:highlight w:val="none"/>
                <w:lang w:val="en-US" w:eastAsia="zh-CN"/>
              </w:rPr>
              <w:t>*910</w:t>
            </w:r>
            <w:r>
              <w:rPr>
                <w:rFonts w:hint="eastAsia" w:ascii="宋体" w:hAnsi="宋体" w:cs="宋体"/>
                <w:sz w:val="21"/>
                <w:szCs w:val="21"/>
                <w:highlight w:val="none"/>
                <w:lang w:val="en-US" w:eastAsia="zh-CN"/>
              </w:rPr>
              <w:t>（提供相关证明材料）</w:t>
            </w:r>
          </w:p>
          <w:p w14:paraId="2CF9E0D6">
            <w:pPr>
              <w:spacing w:line="360" w:lineRule="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3</w:t>
            </w:r>
            <w:r>
              <w:rPr>
                <w:rFonts w:hint="eastAsia" w:ascii="宋体" w:hAnsi="宋体" w:eastAsia="宋体" w:cs="宋体"/>
                <w:b w:val="0"/>
                <w:bCs/>
                <w:sz w:val="21"/>
                <w:szCs w:val="21"/>
                <w:highlight w:val="none"/>
                <w:lang w:val="en-US" w:eastAsia="zh-CN"/>
              </w:rPr>
              <w:t>、洗涤容量≥8kg</w:t>
            </w:r>
          </w:p>
          <w:p w14:paraId="0A1CED17">
            <w:pPr>
              <w:spacing w:line="360" w:lineRule="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4</w:t>
            </w:r>
            <w:r>
              <w:rPr>
                <w:rFonts w:hint="eastAsia" w:ascii="宋体" w:hAnsi="宋体" w:eastAsia="宋体" w:cs="宋体"/>
                <w:b w:val="0"/>
                <w:bCs/>
                <w:sz w:val="21"/>
                <w:szCs w:val="21"/>
                <w:highlight w:val="none"/>
                <w:lang w:val="en-US" w:eastAsia="zh-CN"/>
              </w:rPr>
              <w:t>、类型：波轮</w:t>
            </w:r>
          </w:p>
          <w:p w14:paraId="5BFED8E7">
            <w:pPr>
              <w:spacing w:line="360" w:lineRule="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5、</w:t>
            </w:r>
            <w:r>
              <w:rPr>
                <w:rFonts w:hint="eastAsia" w:ascii="宋体" w:hAnsi="宋体" w:eastAsia="宋体" w:cs="宋体"/>
                <w:b w:val="0"/>
                <w:bCs/>
                <w:sz w:val="21"/>
                <w:szCs w:val="21"/>
                <w:highlight w:val="none"/>
                <w:lang w:val="en-US" w:eastAsia="zh-CN"/>
              </w:rPr>
              <w:t>排水方式：下排水，</w:t>
            </w:r>
          </w:p>
          <w:p w14:paraId="65DAE47C">
            <w:pPr>
              <w:spacing w:line="360" w:lineRule="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6</w:t>
            </w:r>
            <w:r>
              <w:rPr>
                <w:rFonts w:hint="eastAsia" w:ascii="宋体" w:hAnsi="宋体" w:eastAsia="宋体" w:cs="宋体"/>
                <w:b w:val="0"/>
                <w:bCs/>
                <w:sz w:val="21"/>
                <w:szCs w:val="21"/>
                <w:highlight w:val="none"/>
                <w:lang w:val="en-US" w:eastAsia="zh-CN"/>
              </w:rPr>
              <w:t xml:space="preserve">、开门方式：顶开式 </w:t>
            </w:r>
          </w:p>
          <w:p w14:paraId="2C325532">
            <w:pPr>
              <w:spacing w:line="360" w:lineRule="auto"/>
              <w:rPr>
                <w:rFonts w:hint="eastAsia" w:ascii="宋体" w:hAnsi="宋体" w:eastAsia="宋体" w:cs="宋体"/>
                <w:b w:val="0"/>
                <w:bCs/>
                <w:sz w:val="21"/>
                <w:szCs w:val="21"/>
                <w:highlight w:val="none"/>
                <w:lang w:val="en-US" w:eastAsia="zh-CN"/>
              </w:rPr>
            </w:pPr>
            <w:r>
              <w:rPr>
                <w:rFonts w:hint="eastAsia" w:ascii="宋体" w:hAnsi="宋体" w:cs="宋体"/>
                <w:b w:val="0"/>
                <w:bCs/>
                <w:sz w:val="21"/>
                <w:szCs w:val="21"/>
                <w:highlight w:val="none"/>
                <w:lang w:val="en-US" w:eastAsia="zh-CN"/>
              </w:rPr>
              <w:t>7</w:t>
            </w:r>
            <w:r>
              <w:rPr>
                <w:rFonts w:hint="eastAsia" w:ascii="宋体" w:hAnsi="宋体" w:eastAsia="宋体" w:cs="宋体"/>
                <w:b w:val="0"/>
                <w:bCs/>
                <w:sz w:val="21"/>
                <w:szCs w:val="21"/>
                <w:highlight w:val="none"/>
                <w:lang w:val="en-US" w:eastAsia="zh-CN"/>
              </w:rPr>
              <w:t>、洗净比：≥0.8</w:t>
            </w:r>
          </w:p>
          <w:p w14:paraId="3E14CD47">
            <w:pPr>
              <w:spacing w:line="360" w:lineRule="auto"/>
              <w:rPr>
                <w:rFonts w:hint="eastAsia" w:ascii="宋体" w:hAnsi="宋体" w:eastAsia="宋体" w:cs="宋体"/>
                <w:kern w:val="2"/>
                <w:sz w:val="21"/>
                <w:szCs w:val="21"/>
                <w:highlight w:val="none"/>
                <w:lang w:val="en-US" w:eastAsia="zh-CN" w:bidi="ar-SA"/>
              </w:rPr>
            </w:pPr>
            <w:r>
              <w:rPr>
                <w:rFonts w:hint="eastAsia" w:ascii="宋体" w:hAnsi="宋体" w:cs="宋体"/>
                <w:b w:val="0"/>
                <w:bCs/>
                <w:sz w:val="21"/>
                <w:szCs w:val="21"/>
                <w:highlight w:val="none"/>
                <w:lang w:val="en-US" w:eastAsia="zh-CN"/>
              </w:rPr>
              <w:t>8</w:t>
            </w:r>
            <w:r>
              <w:rPr>
                <w:rFonts w:hint="eastAsia" w:ascii="宋体" w:hAnsi="宋体" w:eastAsia="宋体" w:cs="宋体"/>
                <w:b w:val="0"/>
                <w:bCs/>
                <w:sz w:val="21"/>
                <w:szCs w:val="21"/>
                <w:highlight w:val="none"/>
                <w:lang w:val="en-US" w:eastAsia="zh-CN"/>
              </w:rPr>
              <w:t xml:space="preserve">、防水等级：IPX4                        </w:t>
            </w:r>
          </w:p>
        </w:tc>
        <w:tc>
          <w:tcPr>
            <w:tcW w:w="754" w:type="dxa"/>
            <w:shd w:val="clear" w:color="auto" w:fill="auto"/>
            <w:vAlign w:val="center"/>
          </w:tcPr>
          <w:p w14:paraId="77086DA7">
            <w:pPr>
              <w:widowControl/>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1914</w:t>
            </w:r>
          </w:p>
        </w:tc>
        <w:tc>
          <w:tcPr>
            <w:tcW w:w="547" w:type="dxa"/>
            <w:shd w:val="clear" w:color="auto" w:fill="auto"/>
            <w:vAlign w:val="center"/>
          </w:tcPr>
          <w:p w14:paraId="2C1995DF">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bidi="ar"/>
              </w:rPr>
              <w:t>台</w:t>
            </w:r>
          </w:p>
        </w:tc>
        <w:tc>
          <w:tcPr>
            <w:tcW w:w="1349" w:type="dxa"/>
            <w:shd w:val="clear" w:color="auto" w:fill="auto"/>
            <w:vAlign w:val="center"/>
          </w:tcPr>
          <w:p w14:paraId="1EDA721E">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小天鹅</w:t>
            </w:r>
          </w:p>
          <w:p w14:paraId="288181E2">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美的</w:t>
            </w:r>
          </w:p>
          <w:p w14:paraId="5D8CF43F">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格力</w:t>
            </w:r>
          </w:p>
          <w:p w14:paraId="7C4481AA">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海信</w:t>
            </w:r>
          </w:p>
        </w:tc>
      </w:tr>
      <w:tr w14:paraId="3D043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14:paraId="51B004F0">
            <w:pPr>
              <w:widowControl/>
              <w:spacing w:line="360" w:lineRule="auto"/>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6</w:t>
            </w:r>
          </w:p>
        </w:tc>
        <w:tc>
          <w:tcPr>
            <w:tcW w:w="1497" w:type="dxa"/>
            <w:shd w:val="clear" w:color="auto" w:fill="auto"/>
            <w:vAlign w:val="center"/>
          </w:tcPr>
          <w:p w14:paraId="40B48810">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油烟机</w:t>
            </w:r>
          </w:p>
        </w:tc>
        <w:tc>
          <w:tcPr>
            <w:tcW w:w="5065" w:type="dxa"/>
            <w:shd w:val="clear" w:color="auto" w:fill="auto"/>
            <w:vAlign w:val="center"/>
          </w:tcPr>
          <w:p w14:paraId="35AA27F2">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▲1、能效等级：一级（提供中国能效标识网相对应产品截图）</w:t>
            </w:r>
          </w:p>
          <w:p w14:paraId="1E05F126">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▲2、烟机安装尺寸（mm)：750±50（提供相关证明材料）</w:t>
            </w:r>
          </w:p>
          <w:p w14:paraId="4CD99002">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▲3、款式：侧吸，含照明（提供相关证明材料）</w:t>
            </w:r>
          </w:p>
          <w:p w14:paraId="1AE75A2B">
            <w:pPr>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4、爆炒风量（m³/min) ：≥17</w:t>
            </w:r>
          </w:p>
          <w:p w14:paraId="71E560F6">
            <w:pPr>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w:t>
            </w:r>
            <w:r>
              <w:rPr>
                <w:rFonts w:hint="default" w:ascii="宋体" w:hAnsi="宋体" w:eastAsia="宋体" w:cs="宋体"/>
                <w:sz w:val="21"/>
                <w:szCs w:val="21"/>
                <w:highlight w:val="none"/>
                <w:lang w:val="en-US" w:eastAsia="zh-CN"/>
              </w:rPr>
              <w:t>最大静压(Pa）：</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lang w:val="en-US" w:eastAsia="zh-CN"/>
              </w:rPr>
              <w:t>380</w:t>
            </w:r>
          </w:p>
          <w:p w14:paraId="58254E9E">
            <w:pPr>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半消声室噪音</w:t>
            </w:r>
            <w:r>
              <w:rPr>
                <w:rFonts w:hint="default" w:ascii="宋体" w:hAnsi="宋体" w:eastAsia="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default" w:ascii="宋体" w:hAnsi="宋体" w:eastAsia="宋体" w:cs="宋体"/>
                <w:sz w:val="21"/>
                <w:szCs w:val="21"/>
                <w:highlight w:val="none"/>
                <w:lang w:val="en-US" w:eastAsia="zh-CN"/>
              </w:rPr>
              <w:t>7</w:t>
            </w:r>
            <w:r>
              <w:rPr>
                <w:rFonts w:hint="eastAsia" w:ascii="宋体" w:hAnsi="宋体" w:eastAsia="宋体" w:cs="宋体"/>
                <w:sz w:val="21"/>
                <w:szCs w:val="21"/>
                <w:highlight w:val="none"/>
                <w:lang w:val="en-US" w:eastAsia="zh-CN"/>
              </w:rPr>
              <w:t>0</w:t>
            </w:r>
            <w:r>
              <w:rPr>
                <w:rFonts w:hint="default" w:ascii="宋体" w:hAnsi="宋体" w:eastAsia="宋体" w:cs="宋体"/>
                <w:sz w:val="21"/>
                <w:szCs w:val="21"/>
                <w:highlight w:val="none"/>
                <w:lang w:val="en-US" w:eastAsia="zh-CN"/>
              </w:rPr>
              <w:t>dB（A）</w:t>
            </w:r>
          </w:p>
          <w:p w14:paraId="4FC56578">
            <w:pPr>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r>
              <w:rPr>
                <w:rFonts w:hint="default" w:ascii="宋体" w:hAnsi="宋体" w:eastAsia="宋体" w:cs="宋体"/>
                <w:sz w:val="21"/>
                <w:szCs w:val="21"/>
                <w:highlight w:val="none"/>
                <w:lang w:val="en-US" w:eastAsia="zh-CN"/>
              </w:rPr>
              <w:t>油脂分离度(%) ：≥</w:t>
            </w:r>
            <w:r>
              <w:rPr>
                <w:rFonts w:hint="eastAsia" w:ascii="宋体" w:hAnsi="宋体" w:eastAsia="宋体" w:cs="宋体"/>
                <w:sz w:val="21"/>
                <w:szCs w:val="21"/>
                <w:highlight w:val="none"/>
                <w:lang w:val="en-US" w:eastAsia="zh-CN"/>
              </w:rPr>
              <w:t>85</w:t>
            </w:r>
            <w:r>
              <w:rPr>
                <w:rFonts w:hint="default" w:ascii="宋体" w:hAnsi="宋体" w:eastAsia="宋体" w:cs="宋体"/>
                <w:sz w:val="21"/>
                <w:szCs w:val="21"/>
                <w:highlight w:val="none"/>
                <w:lang w:val="en-US" w:eastAsia="zh-CN"/>
              </w:rPr>
              <w:t>%</w:t>
            </w:r>
          </w:p>
          <w:p w14:paraId="06FFB1A1">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default" w:ascii="宋体" w:hAnsi="宋体" w:eastAsia="宋体" w:cs="宋体"/>
                <w:sz w:val="21"/>
                <w:szCs w:val="21"/>
                <w:highlight w:val="none"/>
                <w:lang w:val="en-US" w:eastAsia="zh-CN"/>
              </w:rPr>
              <w:t>常态气味降低度(%)：≥95%</w:t>
            </w:r>
          </w:p>
        </w:tc>
        <w:tc>
          <w:tcPr>
            <w:tcW w:w="754" w:type="dxa"/>
            <w:shd w:val="clear" w:color="auto" w:fill="auto"/>
            <w:vAlign w:val="center"/>
          </w:tcPr>
          <w:p w14:paraId="11957852">
            <w:pPr>
              <w:widowControl/>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1914</w:t>
            </w:r>
          </w:p>
        </w:tc>
        <w:tc>
          <w:tcPr>
            <w:tcW w:w="547" w:type="dxa"/>
            <w:shd w:val="clear" w:color="auto" w:fill="auto"/>
            <w:vAlign w:val="center"/>
          </w:tcPr>
          <w:p w14:paraId="4DF553F3">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台</w:t>
            </w:r>
          </w:p>
        </w:tc>
        <w:tc>
          <w:tcPr>
            <w:tcW w:w="1349" w:type="dxa"/>
            <w:shd w:val="clear" w:color="auto" w:fill="auto"/>
            <w:vAlign w:val="center"/>
          </w:tcPr>
          <w:p w14:paraId="3C309D49">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方太</w:t>
            </w:r>
          </w:p>
          <w:p w14:paraId="3C1412E4">
            <w:pPr>
              <w:spacing w:line="360" w:lineRule="auto"/>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华凌</w:t>
            </w:r>
          </w:p>
          <w:p w14:paraId="5D3DB741">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海尔</w:t>
            </w:r>
          </w:p>
          <w:p w14:paraId="552415F1">
            <w:pPr>
              <w:spacing w:line="360" w:lineRule="auto"/>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海信</w:t>
            </w:r>
          </w:p>
        </w:tc>
      </w:tr>
      <w:tr w14:paraId="329B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680" w:type="dxa"/>
            <w:shd w:val="clear" w:color="auto" w:fill="auto"/>
            <w:vAlign w:val="center"/>
          </w:tcPr>
          <w:p w14:paraId="76508304">
            <w:pPr>
              <w:widowControl/>
              <w:spacing w:line="360" w:lineRule="auto"/>
              <w:jc w:val="center"/>
              <w:textAlignment w:val="center"/>
              <w:rPr>
                <w:rFonts w:hint="default"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7</w:t>
            </w:r>
          </w:p>
        </w:tc>
        <w:tc>
          <w:tcPr>
            <w:tcW w:w="1497" w:type="dxa"/>
            <w:shd w:val="clear" w:color="auto" w:fill="auto"/>
            <w:vAlign w:val="center"/>
          </w:tcPr>
          <w:p w14:paraId="391F3BC2">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cs="宋体"/>
                <w:i w:val="0"/>
                <w:iCs w:val="0"/>
                <w:color w:val="000000"/>
                <w:kern w:val="0"/>
                <w:sz w:val="21"/>
                <w:szCs w:val="21"/>
                <w:highlight w:val="none"/>
                <w:u w:val="none"/>
                <w:lang w:val="en-US" w:eastAsia="zh-CN" w:bidi="ar"/>
              </w:rPr>
              <w:t>电磁炉</w:t>
            </w:r>
          </w:p>
        </w:tc>
        <w:tc>
          <w:tcPr>
            <w:tcW w:w="5065" w:type="dxa"/>
            <w:shd w:val="clear" w:color="auto" w:fill="auto"/>
            <w:vAlign w:val="center"/>
          </w:tcPr>
          <w:p w14:paraId="6F7EB351">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▲1、额定功率（W）≥2200（提供相关证明材料）                               </w:t>
            </w:r>
          </w:p>
          <w:p w14:paraId="35625CC5">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2、能效等级≥3级</w:t>
            </w:r>
          </w:p>
          <w:p w14:paraId="71269271">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、八档加热模式</w:t>
            </w:r>
          </w:p>
        </w:tc>
        <w:tc>
          <w:tcPr>
            <w:tcW w:w="754" w:type="dxa"/>
            <w:shd w:val="clear" w:color="auto" w:fill="auto"/>
            <w:vAlign w:val="center"/>
          </w:tcPr>
          <w:p w14:paraId="0EB1E10E">
            <w:pPr>
              <w:widowControl/>
              <w:spacing w:line="360" w:lineRule="auto"/>
              <w:jc w:val="center"/>
              <w:textAlignment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1914</w:t>
            </w:r>
          </w:p>
        </w:tc>
        <w:tc>
          <w:tcPr>
            <w:tcW w:w="547" w:type="dxa"/>
            <w:shd w:val="clear" w:color="auto" w:fill="auto"/>
            <w:vAlign w:val="center"/>
          </w:tcPr>
          <w:p w14:paraId="66642318">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台</w:t>
            </w:r>
          </w:p>
        </w:tc>
        <w:tc>
          <w:tcPr>
            <w:tcW w:w="1349" w:type="dxa"/>
            <w:shd w:val="clear" w:color="auto" w:fill="auto"/>
            <w:vAlign w:val="center"/>
          </w:tcPr>
          <w:p w14:paraId="429661AF">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九阳</w:t>
            </w:r>
          </w:p>
          <w:p w14:paraId="61F32E6C">
            <w:pPr>
              <w:spacing w:line="360" w:lineRule="auto"/>
              <w:jc w:val="center"/>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美的</w:t>
            </w:r>
          </w:p>
          <w:p w14:paraId="16600160">
            <w:pPr>
              <w:spacing w:line="36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海尔</w:t>
            </w:r>
          </w:p>
          <w:p w14:paraId="02A5F827">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苏泊尔</w:t>
            </w:r>
          </w:p>
        </w:tc>
      </w:tr>
      <w:tr w14:paraId="3241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shd w:val="clear" w:color="auto" w:fill="auto"/>
            <w:vAlign w:val="center"/>
          </w:tcPr>
          <w:p w14:paraId="1CDA6CA1">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8</w:t>
            </w:r>
          </w:p>
        </w:tc>
        <w:tc>
          <w:tcPr>
            <w:tcW w:w="1497" w:type="dxa"/>
            <w:shd w:val="clear" w:color="auto" w:fill="auto"/>
            <w:vAlign w:val="center"/>
          </w:tcPr>
          <w:p w14:paraId="0ED38FD6">
            <w:pPr>
              <w:keepNext w:val="0"/>
              <w:keepLines w:val="0"/>
              <w:widowControl/>
              <w:suppressLineNumbers w:val="0"/>
              <w:spacing w:line="360" w:lineRule="auto"/>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冷媒管</w:t>
            </w:r>
          </w:p>
          <w:p w14:paraId="3EB09E1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color w:val="000000"/>
                <w:kern w:val="0"/>
                <w:sz w:val="21"/>
                <w:szCs w:val="21"/>
                <w:highlight w:val="none"/>
                <w:lang w:val="en-US" w:eastAsia="zh-CN" w:bidi="ar"/>
              </w:rPr>
              <w:t>加长</w:t>
            </w:r>
          </w:p>
        </w:tc>
        <w:tc>
          <w:tcPr>
            <w:tcW w:w="5065" w:type="dxa"/>
            <w:shd w:val="clear" w:color="auto" w:fill="auto"/>
            <w:vAlign w:val="center"/>
          </w:tcPr>
          <w:p w14:paraId="5E5FF377">
            <w:pPr>
              <w:numPr>
                <w:ilvl w:val="0"/>
                <w:numId w:val="0"/>
              </w:numPr>
              <w:spacing w:line="360" w:lineRule="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1、数量约200米，由供应商自行考虑</w:t>
            </w:r>
          </w:p>
          <w:p w14:paraId="600941B9">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2、规格</w:t>
            </w:r>
            <w:r>
              <w:rPr>
                <w:rFonts w:hint="eastAsia" w:ascii="宋体" w:hAnsi="宋体" w:cs="宋体"/>
                <w:sz w:val="21"/>
                <w:szCs w:val="21"/>
                <w:highlight w:val="none"/>
                <w:lang w:val="en-US" w:eastAsia="zh-CN"/>
              </w:rPr>
              <w:t>（mm）</w:t>
            </w:r>
            <w:r>
              <w:rPr>
                <w:rFonts w:hint="eastAsia" w:ascii="宋体" w:hAnsi="宋体" w:eastAsia="宋体" w:cs="宋体"/>
                <w:sz w:val="21"/>
                <w:szCs w:val="21"/>
                <w:highlight w:val="none"/>
                <w:lang w:val="en-US" w:eastAsia="zh-CN"/>
              </w:rPr>
              <w:t>：φ6.4+φ9.6</w:t>
            </w:r>
          </w:p>
          <w:p w14:paraId="375CEE26">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3、材质要求：R32 制冷剂专用磷化脱氧无缝纯紫铜管</w:t>
            </w:r>
          </w:p>
          <w:p w14:paraId="68DFCD9B">
            <w:pPr>
              <w:numPr>
                <w:ilvl w:val="0"/>
                <w:numId w:val="0"/>
              </w:numPr>
              <w:spacing w:line="360" w:lineRule="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4、保温材料采用B1级橡塑保温材料。制冷剂管道保温层厚度≥15mm</w:t>
            </w:r>
          </w:p>
        </w:tc>
        <w:tc>
          <w:tcPr>
            <w:tcW w:w="754" w:type="dxa"/>
            <w:shd w:val="clear" w:color="auto" w:fill="auto"/>
            <w:vAlign w:val="center"/>
          </w:tcPr>
          <w:p w14:paraId="5E9625AF">
            <w:pPr>
              <w:widowControl/>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1</w:t>
            </w:r>
          </w:p>
        </w:tc>
        <w:tc>
          <w:tcPr>
            <w:tcW w:w="547" w:type="dxa"/>
            <w:shd w:val="clear" w:color="auto" w:fill="auto"/>
            <w:vAlign w:val="center"/>
          </w:tcPr>
          <w:p w14:paraId="28013E11">
            <w:pPr>
              <w:widowControl/>
              <w:spacing w:line="360" w:lineRule="auto"/>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cs="宋体"/>
                <w:kern w:val="0"/>
                <w:sz w:val="21"/>
                <w:szCs w:val="21"/>
                <w:highlight w:val="none"/>
                <w:lang w:val="en-US" w:eastAsia="zh-CN" w:bidi="ar"/>
              </w:rPr>
              <w:t>项</w:t>
            </w:r>
          </w:p>
        </w:tc>
        <w:tc>
          <w:tcPr>
            <w:tcW w:w="1349" w:type="dxa"/>
            <w:shd w:val="clear" w:color="auto" w:fill="auto"/>
            <w:vAlign w:val="center"/>
          </w:tcPr>
          <w:p w14:paraId="7E43F604">
            <w:pPr>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国产优质</w:t>
            </w:r>
          </w:p>
        </w:tc>
      </w:tr>
      <w:bookmarkEnd w:id="31"/>
      <w:bookmarkEnd w:id="32"/>
      <w:bookmarkEnd w:id="33"/>
      <w:bookmarkEnd w:id="34"/>
      <w:bookmarkEnd w:id="35"/>
      <w:bookmarkEnd w:id="36"/>
      <w:bookmarkEnd w:id="37"/>
      <w:bookmarkEnd w:id="38"/>
      <w:bookmarkEnd w:id="39"/>
    </w:tbl>
    <w:p w14:paraId="68EF17E2">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注：</w:t>
      </w:r>
    </w:p>
    <w:p w14:paraId="451305D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1.参考品牌仅供投标参考，不具限制性，投标产品非参考品牌的，必须在产品质量和性能上与参考品牌同档次或优于参考品牌，欢迎其他能满足本项目技术需求且性能与参考品牌相当的产品参与投标。</w:t>
      </w:r>
    </w:p>
    <w:p w14:paraId="2CEB4631">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2.对于1.5匹变频挂壁式空调、2 匹变频挂壁式空调以及 2 匹变频柜式空调，供应商须提供主要技术参数的有效铭牌截图；冰箱、洗衣机、油烟机、电磁炉的主要技术参数，则需提供相关证明材料。</w:t>
      </w:r>
    </w:p>
    <w:p w14:paraId="1671EE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sz w:val="21"/>
          <w:szCs w:val="21"/>
          <w:highlight w:val="none"/>
          <w:lang w:val="en-US" w:eastAsia="zh-CN"/>
        </w:rPr>
      </w:pPr>
      <w:r>
        <w:rPr>
          <w:rFonts w:hint="eastAsia" w:ascii="宋体" w:hAnsi="宋体" w:eastAsia="宋体" w:cs="宋体"/>
          <w:kern w:val="2"/>
          <w:sz w:val="22"/>
          <w:szCs w:val="22"/>
          <w:highlight w:val="none"/>
          <w:lang w:val="en-US" w:eastAsia="zh-CN" w:bidi="ar-SA"/>
        </w:rPr>
        <w:t>3. 能效等级认定以中国能效标识网对应产品截图为依据。供应商需提供清晰、有效的中国能效标识网截图，截图中应明确显示产品型号与对应的能效等级。</w:t>
      </w:r>
    </w:p>
    <w:p w14:paraId="781B989B">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1"/>
          <w:szCs w:val="21"/>
          <w:highlight w:val="none"/>
          <w:lang w:val="en-US" w:eastAsia="zh-CN"/>
        </w:rPr>
        <w:t>▲</w:t>
      </w:r>
      <w:r>
        <w:rPr>
          <w:rFonts w:hint="eastAsia" w:cs="宋体"/>
          <w:kern w:val="2"/>
          <w:sz w:val="22"/>
          <w:szCs w:val="22"/>
          <w:highlight w:val="none"/>
          <w:lang w:val="en-US" w:eastAsia="zh-CN" w:bidi="ar-SA"/>
        </w:rPr>
        <w:t>4</w:t>
      </w:r>
      <w:r>
        <w:rPr>
          <w:rFonts w:hint="eastAsia" w:ascii="宋体" w:hAnsi="宋体" w:eastAsia="宋体" w:cs="宋体"/>
          <w:kern w:val="2"/>
          <w:sz w:val="22"/>
          <w:szCs w:val="22"/>
          <w:highlight w:val="none"/>
          <w:lang w:val="en-US" w:eastAsia="zh-CN" w:bidi="ar-SA"/>
        </w:rPr>
        <w:t>.供应商需对所投产品尺寸</w:t>
      </w:r>
      <w:r>
        <w:rPr>
          <w:rFonts w:hint="eastAsia" w:cs="宋体"/>
          <w:kern w:val="2"/>
          <w:sz w:val="22"/>
          <w:szCs w:val="22"/>
          <w:highlight w:val="none"/>
          <w:lang w:val="en-US" w:eastAsia="zh-CN" w:bidi="ar-SA"/>
        </w:rPr>
        <w:t>或安装尺寸</w:t>
      </w:r>
      <w:r>
        <w:rPr>
          <w:rFonts w:hint="eastAsia" w:ascii="宋体" w:hAnsi="宋体" w:eastAsia="宋体" w:cs="宋体"/>
          <w:kern w:val="2"/>
          <w:sz w:val="22"/>
          <w:szCs w:val="22"/>
          <w:highlight w:val="none"/>
          <w:lang w:val="en-US" w:eastAsia="zh-CN" w:bidi="ar-SA"/>
        </w:rPr>
        <w:t>进行认真核对。若在后续环节中，因产品尺寸问题致使无法顺利进行安装，那么由此衍生的一切责任，包括但不限于工期延误、额外施工成本、设备适配性问题等，以及给采购人造成的直接与间接损失，均由供应商无条件承担。</w:t>
      </w:r>
    </w:p>
    <w:p w14:paraId="7D93FD3A">
      <w:pPr>
        <w:pStyle w:val="25"/>
        <w:keepNext w:val="0"/>
        <w:keepLines w:val="0"/>
        <w:pageBreakBefore w:val="0"/>
        <w:widowControl w:val="0"/>
        <w:kinsoku/>
        <w:wordWrap/>
        <w:overflowPunct/>
        <w:topLinePunct w:val="0"/>
        <w:autoSpaceDE/>
        <w:autoSpaceDN/>
        <w:bidi w:val="0"/>
        <w:adjustRightInd/>
        <w:snapToGrid/>
        <w:spacing w:line="360" w:lineRule="auto"/>
        <w:ind w:left="0" w:leftChars="0" w:firstLine="440" w:firstLineChars="200"/>
        <w:textAlignment w:val="auto"/>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5.冷媒加长管以项为单位总价包干，结算时不予调整。</w:t>
      </w:r>
    </w:p>
    <w:p w14:paraId="0FCB5CA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szCs w:val="28"/>
          <w:highlight w:val="none"/>
          <w:lang w:val="en-US" w:eastAsia="zh-CN"/>
        </w:rPr>
      </w:pPr>
      <w:r>
        <w:rPr>
          <w:rFonts w:hint="eastAsia" w:asciiTheme="majorEastAsia" w:hAnsiTheme="majorEastAsia" w:eastAsiaTheme="majorEastAsia" w:cstheme="majorEastAsia"/>
          <w:b/>
          <w:bCs/>
          <w:sz w:val="24"/>
          <w:szCs w:val="24"/>
          <w:highlight w:val="none"/>
          <w:lang w:val="en-US" w:eastAsia="zh-CN"/>
        </w:rPr>
        <w:t>二、</w:t>
      </w:r>
      <w:r>
        <w:rPr>
          <w:rFonts w:hint="eastAsia" w:ascii="仿宋" w:hAnsi="仿宋" w:eastAsia="仿宋" w:cs="仿宋"/>
          <w:b/>
          <w:szCs w:val="28"/>
          <w:highlight w:val="none"/>
          <w:lang w:val="en-US" w:eastAsia="zh-CN"/>
        </w:rPr>
        <w:t>样品要求</w:t>
      </w:r>
    </w:p>
    <w:p w14:paraId="0192B7A2">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因家电产品的整体工艺水平、外观设计美学、操作体验及使用稳定性等内容，需通过整机实物直观评估其实际表现，书面描述难以全面还原产品细节。样品作为评审核心依据之一，供应商可基于企业技术实力与产品特性自主决定是否提供整机样品，供采购人及评标委员会对产品进行综合研判。样品提交遵循自愿原则，并不作为强制要求。</w:t>
      </w:r>
    </w:p>
    <w:p w14:paraId="3C8DA691">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2、样品清单</w:t>
      </w:r>
    </w:p>
    <w:tbl>
      <w:tblPr>
        <w:tblStyle w:val="27"/>
        <w:tblW w:w="9398"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3157"/>
        <w:gridCol w:w="3047"/>
      </w:tblGrid>
      <w:tr w14:paraId="606E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94" w:type="dxa"/>
            <w:vAlign w:val="center"/>
          </w:tcPr>
          <w:p w14:paraId="430E485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color w:val="000000"/>
                <w:kern w:val="0"/>
                <w:sz w:val="22"/>
                <w:szCs w:val="22"/>
                <w:highlight w:val="none"/>
                <w:lang w:val="en-US" w:eastAsia="zh-CN" w:bidi="ar"/>
              </w:rPr>
              <w:t>名称</w:t>
            </w:r>
          </w:p>
        </w:tc>
        <w:tc>
          <w:tcPr>
            <w:tcW w:w="3157" w:type="dxa"/>
            <w:vAlign w:val="center"/>
          </w:tcPr>
          <w:p w14:paraId="2F941CF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color w:val="000000"/>
                <w:kern w:val="0"/>
                <w:sz w:val="22"/>
                <w:szCs w:val="22"/>
                <w:highlight w:val="none"/>
                <w:lang w:val="en-US" w:eastAsia="zh-CN" w:bidi="ar"/>
              </w:rPr>
              <w:t>对应序号</w:t>
            </w:r>
          </w:p>
        </w:tc>
        <w:tc>
          <w:tcPr>
            <w:tcW w:w="3047" w:type="dxa"/>
            <w:vAlign w:val="center"/>
          </w:tcPr>
          <w:p w14:paraId="55035F6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2"/>
                <w:szCs w:val="22"/>
                <w:highlight w:val="none"/>
                <w:vertAlign w:val="baseline"/>
                <w:lang w:val="en-US" w:eastAsia="zh-CN" w:bidi="ar-SA"/>
              </w:rPr>
            </w:pPr>
            <w:r>
              <w:rPr>
                <w:rFonts w:hint="eastAsia" w:ascii="宋体" w:hAnsi="宋体" w:eastAsia="宋体" w:cs="宋体"/>
                <w:color w:val="000000"/>
                <w:kern w:val="0"/>
                <w:sz w:val="22"/>
                <w:szCs w:val="22"/>
                <w:highlight w:val="none"/>
                <w:lang w:val="en-US" w:eastAsia="zh-CN" w:bidi="ar"/>
              </w:rPr>
              <w:t>数量</w:t>
            </w:r>
          </w:p>
        </w:tc>
      </w:tr>
      <w:tr w14:paraId="6BD1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94" w:type="dxa"/>
            <w:vAlign w:val="center"/>
          </w:tcPr>
          <w:p w14:paraId="2ED92B05">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冰箱</w:t>
            </w:r>
          </w:p>
        </w:tc>
        <w:tc>
          <w:tcPr>
            <w:tcW w:w="3157" w:type="dxa"/>
          </w:tcPr>
          <w:p w14:paraId="49BFB550">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w:t>
            </w:r>
          </w:p>
        </w:tc>
        <w:tc>
          <w:tcPr>
            <w:tcW w:w="3047" w:type="dxa"/>
          </w:tcPr>
          <w:p w14:paraId="0F1EEC7B">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1台</w:t>
            </w:r>
          </w:p>
        </w:tc>
      </w:tr>
      <w:tr w14:paraId="488F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94" w:type="dxa"/>
            <w:vAlign w:val="center"/>
          </w:tcPr>
          <w:p w14:paraId="1D1A6F81">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洗衣机</w:t>
            </w:r>
          </w:p>
        </w:tc>
        <w:tc>
          <w:tcPr>
            <w:tcW w:w="3157" w:type="dxa"/>
          </w:tcPr>
          <w:p w14:paraId="2647CD22">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w:t>
            </w:r>
          </w:p>
        </w:tc>
        <w:tc>
          <w:tcPr>
            <w:tcW w:w="3047" w:type="dxa"/>
          </w:tcPr>
          <w:p w14:paraId="16E2DA17">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1台</w:t>
            </w:r>
          </w:p>
        </w:tc>
      </w:tr>
      <w:tr w14:paraId="1BE3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3194" w:type="dxa"/>
            <w:vAlign w:val="center"/>
          </w:tcPr>
          <w:p w14:paraId="1A35C219">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油烟机</w:t>
            </w:r>
          </w:p>
        </w:tc>
        <w:tc>
          <w:tcPr>
            <w:tcW w:w="3157" w:type="dxa"/>
          </w:tcPr>
          <w:p w14:paraId="289F74F2">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w:t>
            </w:r>
          </w:p>
        </w:tc>
        <w:tc>
          <w:tcPr>
            <w:tcW w:w="3047" w:type="dxa"/>
          </w:tcPr>
          <w:p w14:paraId="2DB6058C">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1台</w:t>
            </w:r>
          </w:p>
        </w:tc>
      </w:tr>
      <w:tr w14:paraId="6864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3194" w:type="dxa"/>
            <w:vAlign w:val="center"/>
          </w:tcPr>
          <w:p w14:paraId="562DC1F8">
            <w:pPr>
              <w:keepNext w:val="0"/>
              <w:keepLines w:val="0"/>
              <w:widowControl/>
              <w:suppressLineNumbers w:val="0"/>
              <w:spacing w:line="360" w:lineRule="auto"/>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电磁炉</w:t>
            </w:r>
          </w:p>
        </w:tc>
        <w:tc>
          <w:tcPr>
            <w:tcW w:w="3157" w:type="dxa"/>
          </w:tcPr>
          <w:p w14:paraId="7DA92933">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w:t>
            </w:r>
          </w:p>
        </w:tc>
        <w:tc>
          <w:tcPr>
            <w:tcW w:w="3047" w:type="dxa"/>
          </w:tcPr>
          <w:p w14:paraId="4377872B">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1台</w:t>
            </w:r>
          </w:p>
        </w:tc>
      </w:tr>
    </w:tbl>
    <w:p w14:paraId="06AF5B28">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3、中标人的样品不退还，由采购人保管、封存，并作为履约验收的参考；未中标的样品由各供应商在收到可以退回电话后48小时内领回，逾期视为放弃所有权，代理机构有权直接处理。</w:t>
      </w:r>
    </w:p>
    <w:p w14:paraId="270F3EE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4、所有供应商提交的样品及伴随发生的运输、装卸、安装等费用均为自理。</w:t>
      </w:r>
    </w:p>
    <w:p w14:paraId="51A1D943">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5、考虑到保证样品质量及责任明确，不接收邮寄样品，请各位供应商在指定的时间内将样品送到指定的地点，并自行负责样品的送货、搬运和安装、保护等事宜。</w:t>
      </w:r>
    </w:p>
    <w:p w14:paraId="6441EE03">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6、样品外表面上须牢固地粘贴一张写有“供应商名称、样品取回联系人及联系方式”的标识，请供应商在提供样品的前一天联系代理机构并在规定时间内提供样品并按指定位置安装完毕。超过截止时间的将不予接收。</w:t>
      </w:r>
    </w:p>
    <w:p w14:paraId="1EAA9A20">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7、关于样品其他要求详见采购文件“第二部分 投标须知前附表”序号5“样品提供”。</w:t>
      </w:r>
    </w:p>
    <w:p w14:paraId="41857F10">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三、项目要求</w:t>
      </w:r>
    </w:p>
    <w:p w14:paraId="2EF768DA">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（1）</w:t>
      </w:r>
      <w:r>
        <w:rPr>
          <w:rFonts w:hint="default" w:ascii="宋体" w:hAnsi="宋体" w:eastAsia="宋体" w:cs="宋体"/>
          <w:kern w:val="2"/>
          <w:sz w:val="22"/>
          <w:szCs w:val="22"/>
          <w:highlight w:val="none"/>
          <w:lang w:val="en-US" w:eastAsia="zh-CN" w:bidi="ar-SA"/>
        </w:rPr>
        <w:t>项目基本要求</w:t>
      </w:r>
    </w:p>
    <w:p w14:paraId="25FF9A91">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bookmarkStart w:id="40" w:name="_Toc309921101"/>
      <w:bookmarkStart w:id="41" w:name="_Toc309922654"/>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本</w:t>
      </w:r>
      <w:r>
        <w:rPr>
          <w:rFonts w:hint="eastAsia" w:ascii="宋体" w:hAnsi="宋体" w:cs="宋体"/>
          <w:color w:val="auto"/>
          <w:sz w:val="22"/>
          <w:szCs w:val="22"/>
          <w:highlight w:val="none"/>
          <w:lang w:val="en-US" w:eastAsia="zh-CN"/>
        </w:rPr>
        <w:t>项目</w:t>
      </w:r>
      <w:r>
        <w:rPr>
          <w:rFonts w:hint="eastAsia" w:ascii="宋体" w:hAnsi="宋体" w:eastAsia="宋体" w:cs="宋体"/>
          <w:color w:val="auto"/>
          <w:sz w:val="22"/>
          <w:szCs w:val="22"/>
          <w:highlight w:val="none"/>
        </w:rPr>
        <w:t>所有</w:t>
      </w:r>
      <w:r>
        <w:rPr>
          <w:rFonts w:hint="eastAsia" w:ascii="宋体" w:hAnsi="宋体" w:cs="宋体"/>
          <w:color w:val="auto"/>
          <w:sz w:val="22"/>
          <w:szCs w:val="22"/>
          <w:highlight w:val="none"/>
          <w:lang w:val="en-US" w:eastAsia="zh-CN"/>
        </w:rPr>
        <w:t>设备</w:t>
      </w:r>
      <w:r>
        <w:rPr>
          <w:rFonts w:hint="eastAsia" w:ascii="宋体" w:hAnsi="宋体" w:eastAsia="宋体" w:cs="宋体"/>
          <w:color w:val="auto"/>
          <w:sz w:val="22"/>
          <w:szCs w:val="22"/>
          <w:highlight w:val="none"/>
        </w:rPr>
        <w:t>和材料均应选用专业制造商生产的产品。</w:t>
      </w:r>
      <w:bookmarkEnd w:id="40"/>
      <w:bookmarkEnd w:id="41"/>
    </w:p>
    <w:p w14:paraId="0773670C">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bookmarkStart w:id="42" w:name="_Toc309922655"/>
      <w:bookmarkStart w:id="43" w:name="_Toc309921102"/>
      <w:r>
        <w:rPr>
          <w:rFonts w:hint="eastAsia" w:ascii="宋体" w:hAnsi="宋体" w:eastAsia="宋体" w:cs="宋体"/>
          <w:color w:val="auto"/>
          <w:sz w:val="22"/>
          <w:szCs w:val="22"/>
          <w:highlight w:val="none"/>
        </w:rPr>
        <w:t>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设备和材料的质量必须符合国家要求。</w:t>
      </w:r>
      <w:bookmarkEnd w:id="42"/>
      <w:bookmarkEnd w:id="43"/>
    </w:p>
    <w:p w14:paraId="7345DCA0">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rPr>
      </w:pPr>
      <w:bookmarkStart w:id="44" w:name="_Toc309922664"/>
      <w:bookmarkStart w:id="45" w:name="_Toc309921111"/>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中标人对</w:t>
      </w:r>
      <w:r>
        <w:rPr>
          <w:rFonts w:hint="eastAsia" w:ascii="宋体" w:hAnsi="宋体" w:cs="宋体"/>
          <w:color w:val="auto"/>
          <w:sz w:val="22"/>
          <w:szCs w:val="22"/>
          <w:highlight w:val="none"/>
          <w:lang w:val="en-US" w:eastAsia="zh-CN"/>
        </w:rPr>
        <w:t>本项目</w:t>
      </w:r>
      <w:r>
        <w:rPr>
          <w:rFonts w:hint="eastAsia" w:ascii="宋体" w:hAnsi="宋体" w:eastAsia="宋体" w:cs="宋体"/>
          <w:color w:val="auto"/>
          <w:sz w:val="22"/>
          <w:szCs w:val="22"/>
          <w:highlight w:val="none"/>
        </w:rPr>
        <w:t>提供的设备和材料负总责任。</w:t>
      </w:r>
      <w:bookmarkEnd w:id="44"/>
      <w:bookmarkEnd w:id="45"/>
    </w:p>
    <w:p w14:paraId="2635F745">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总承包配合要求。</w:t>
      </w:r>
    </w:p>
    <w:p w14:paraId="7D0E226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46" w:name="_Toc462044160"/>
      <w:r>
        <w:rPr>
          <w:rFonts w:hint="eastAsia" w:ascii="宋体" w:hAnsi="宋体" w:eastAsia="宋体" w:cs="宋体"/>
          <w:color w:val="auto"/>
          <w:sz w:val="22"/>
          <w:szCs w:val="22"/>
          <w:highlight w:val="none"/>
          <w:lang w:val="en-US" w:eastAsia="zh-CN"/>
        </w:rPr>
        <w:t>（2）项目实施</w:t>
      </w:r>
      <w:bookmarkEnd w:id="46"/>
      <w:r>
        <w:rPr>
          <w:rFonts w:hint="eastAsia" w:ascii="宋体" w:hAnsi="宋体" w:cs="宋体"/>
          <w:color w:val="auto"/>
          <w:sz w:val="22"/>
          <w:szCs w:val="22"/>
          <w:highlight w:val="none"/>
          <w:lang w:val="en-US" w:eastAsia="zh-CN"/>
        </w:rPr>
        <w:t>要求</w:t>
      </w:r>
    </w:p>
    <w:p w14:paraId="77756FD3">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47" w:name="_Toc309922668"/>
      <w:bookmarkStart w:id="48" w:name="_Toc309921115"/>
      <w:r>
        <w:rPr>
          <w:rFonts w:hint="eastAsia" w:ascii="宋体" w:hAnsi="宋体" w:eastAsia="宋体" w:cs="宋体"/>
          <w:color w:val="auto"/>
          <w:sz w:val="22"/>
          <w:szCs w:val="22"/>
          <w:highlight w:val="none"/>
          <w:lang w:val="en-US" w:eastAsia="zh-CN"/>
        </w:rPr>
        <w:t>1、供应商应编制项目管理机构的配置情况，填写“项目实施人员一览表”并放入投标文件中。</w:t>
      </w:r>
      <w:bookmarkEnd w:id="47"/>
      <w:bookmarkEnd w:id="48"/>
      <w:bookmarkStart w:id="49" w:name="_Toc309921116"/>
      <w:bookmarkStart w:id="50" w:name="_Toc309922669"/>
    </w:p>
    <w:p w14:paraId="43EA4BA6">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2、供应商一旦中标，没有经采购人允许，不得对</w:t>
      </w:r>
      <w:r>
        <w:rPr>
          <w:rFonts w:hint="eastAsia" w:ascii="宋体" w:hAnsi="宋体" w:cs="宋体"/>
          <w:color w:val="auto"/>
          <w:sz w:val="22"/>
          <w:szCs w:val="22"/>
          <w:highlight w:val="none"/>
          <w:lang w:val="en-US" w:eastAsia="zh-CN"/>
        </w:rPr>
        <w:t>项目管理人员</w:t>
      </w:r>
      <w:r>
        <w:rPr>
          <w:rFonts w:hint="eastAsia" w:ascii="宋体" w:hAnsi="宋体" w:eastAsia="宋体" w:cs="宋体"/>
          <w:color w:val="auto"/>
          <w:sz w:val="22"/>
          <w:szCs w:val="22"/>
          <w:highlight w:val="none"/>
          <w:lang w:val="en-US" w:eastAsia="zh-CN"/>
        </w:rPr>
        <w:t>进行变更。</w:t>
      </w:r>
      <w:bookmarkEnd w:id="49"/>
      <w:bookmarkEnd w:id="50"/>
    </w:p>
    <w:p w14:paraId="5F90DC9C">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bookmarkStart w:id="51" w:name="_Toc309921118"/>
      <w:bookmarkStart w:id="52" w:name="_Toc309922671"/>
      <w:r>
        <w:rPr>
          <w:rFonts w:hint="eastAsia" w:ascii="宋体" w:hAnsi="宋体" w:eastAsia="宋体" w:cs="宋体"/>
          <w:color w:val="auto"/>
          <w:sz w:val="22"/>
          <w:szCs w:val="22"/>
          <w:highlight w:val="none"/>
          <w:lang w:val="en-US" w:eastAsia="zh-CN"/>
        </w:rPr>
        <w:t>3、供应商应在投标文件中编制施工组织设计，内容需涵盖施工进度计划、劳动力资源配置计划（明确工种人数及进场时序、项目质量保障措施、工期控制措施以及施工现场突发事件应急处理预案。施工组织设计建议采用文字并结合图表形式予以说明，内容简洁明了。</w:t>
      </w:r>
    </w:p>
    <w:bookmarkEnd w:id="51"/>
    <w:bookmarkEnd w:id="52"/>
    <w:p w14:paraId="04B9ECF9">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4、项目验收要求。项目安装、调试完成后，需通过采购人验收。系统验收合格的条件需满足以下三个要求：</w:t>
      </w:r>
    </w:p>
    <w:p w14:paraId="72E975F4">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①按合同交付全部家电设备，并提供产品说明书、保修卡、合格证等资料。</w:t>
      </w:r>
    </w:p>
    <w:p w14:paraId="36ADA3DC">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②家电试运行时性能均达标；</w:t>
      </w:r>
    </w:p>
    <w:p w14:paraId="4C2458AE">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③性能测试和试运行验收时出现的问题已被解决。</w:t>
      </w:r>
    </w:p>
    <w:p w14:paraId="5D86C9A9">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（3）安全要求</w:t>
      </w:r>
    </w:p>
    <w:p w14:paraId="12D93045">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1、</w:t>
      </w:r>
      <w:r>
        <w:rPr>
          <w:rFonts w:hint="default" w:ascii="宋体" w:hAnsi="宋体" w:eastAsia="宋体" w:cs="宋体"/>
          <w:color w:val="auto"/>
          <w:sz w:val="22"/>
          <w:szCs w:val="22"/>
          <w:highlight w:val="none"/>
          <w:lang w:val="en-US" w:eastAsia="zh-CN"/>
        </w:rPr>
        <w:t>供应商须全权负责所供家电的安装实施，包括但不限于安装安全、技术规范及现场操作合规性，确保符合国家相关安全标准及采购方要求。</w:t>
      </w:r>
    </w:p>
    <w:p w14:paraId="104AE19F">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安装过程须落实防触电、防坠落、设备固定等安全防护措施，空调外机安装需符合高空作业标准；</w:t>
      </w:r>
    </w:p>
    <w:p w14:paraId="143E2307">
      <w:pPr>
        <w:keepNext w:val="0"/>
        <w:keepLines w:val="0"/>
        <w:pageBreakBefore w:val="0"/>
        <w:widowControl w:val="0"/>
        <w:tabs>
          <w:tab w:val="left" w:pos="851"/>
        </w:tabs>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3、</w:t>
      </w:r>
      <w:r>
        <w:rPr>
          <w:rFonts w:hint="eastAsia" w:ascii="宋体" w:hAnsi="宋体" w:eastAsia="宋体" w:cs="宋体"/>
          <w:color w:val="auto"/>
          <w:sz w:val="22"/>
          <w:szCs w:val="22"/>
          <w:highlight w:val="none"/>
          <w:lang w:val="en-US" w:eastAsia="zh-CN"/>
        </w:rPr>
        <w:t>如因安装不当导致设备损坏、人身伤害或财产损失，供应商须承担全部责任及赔偿；因安装不符要求引发的二次整改费用由供应商承担。</w:t>
      </w:r>
    </w:p>
    <w:p w14:paraId="21041DBF">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kern w:val="2"/>
          <w:sz w:val="22"/>
          <w:szCs w:val="22"/>
          <w:highlight w:val="none"/>
          <w:lang w:val="en-US" w:eastAsia="zh-CN" w:bidi="ar-SA"/>
        </w:rPr>
      </w:pPr>
      <w:r>
        <w:rPr>
          <w:rFonts w:hint="eastAsia" w:ascii="宋体" w:hAnsi="宋体" w:eastAsia="宋体" w:cs="宋体"/>
          <w:sz w:val="21"/>
          <w:szCs w:val="21"/>
          <w:highlight w:val="none"/>
          <w:lang w:val="en-US" w:eastAsia="zh-CN"/>
        </w:rPr>
        <w:t>▲</w:t>
      </w:r>
      <w:r>
        <w:rPr>
          <w:rFonts w:hint="eastAsia" w:ascii="宋体" w:hAnsi="宋体" w:eastAsia="宋体" w:cs="宋体"/>
          <w:kern w:val="2"/>
          <w:sz w:val="22"/>
          <w:szCs w:val="22"/>
          <w:highlight w:val="none"/>
          <w:lang w:val="en-US" w:eastAsia="zh-CN" w:bidi="ar-SA"/>
        </w:rPr>
        <w:t>（4）其他要求</w:t>
      </w:r>
    </w:p>
    <w:p w14:paraId="30F8F4C6">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textAlignment w:val="auto"/>
        <w:rPr>
          <w:rFonts w:hint="default" w:ascii="宋体" w:hAnsi="宋体" w:eastAsia="宋体" w:cs="宋体"/>
          <w:kern w:val="2"/>
          <w:sz w:val="22"/>
          <w:szCs w:val="22"/>
          <w:highlight w:val="none"/>
          <w:lang w:val="en-US" w:eastAsia="zh-CN" w:bidi="ar-SA"/>
        </w:rPr>
      </w:pPr>
      <w:r>
        <w:rPr>
          <w:rFonts w:hint="eastAsia" w:ascii="宋体" w:hAnsi="宋体" w:eastAsia="宋体" w:cs="宋体"/>
          <w:kern w:val="2"/>
          <w:sz w:val="22"/>
          <w:szCs w:val="22"/>
          <w:highlight w:val="none"/>
          <w:lang w:val="en-US" w:eastAsia="zh-CN" w:bidi="ar-SA"/>
        </w:rPr>
        <w:t>因本项目工期紧张，供应商须严格按照合同约定时间完成供货及安装。若未按期完成，每逾期一日按人民币5万元标准计收违约金，累计不超过合同总价20%。违约金自逾期首日起自动生效从合同款项中直接扣除。因供应商责任导致的延期，不因任何事由免除违约金责任，且供应商须承担由此产生的全部风险及损失。</w:t>
      </w:r>
    </w:p>
    <w:p w14:paraId="6D4BF09B">
      <w:pPr>
        <w:pStyle w:val="3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四、商务要求</w:t>
      </w:r>
    </w:p>
    <w:tbl>
      <w:tblPr>
        <w:tblStyle w:val="26"/>
        <w:tblW w:w="9930" w:type="dxa"/>
        <w:jc w:val="center"/>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9"/>
        <w:gridCol w:w="8031"/>
      </w:tblGrid>
      <w:tr w14:paraId="174DEEA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tcBorders>
              <w:top w:val="single" w:color="auto" w:sz="4" w:space="0"/>
              <w:bottom w:val="single" w:color="auto" w:sz="4" w:space="0"/>
            </w:tcBorders>
            <w:noWrap w:val="0"/>
            <w:vAlign w:val="center"/>
          </w:tcPr>
          <w:p w14:paraId="3D5B61C6">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ascii="宋体" w:hAnsi="宋体" w:cs="宋体"/>
                <w:color w:val="auto"/>
                <w:sz w:val="22"/>
                <w:szCs w:val="22"/>
                <w:highlight w:val="none"/>
              </w:rPr>
            </w:pPr>
            <w:r>
              <w:rPr>
                <w:rFonts w:ascii="宋体" w:hAnsi="宋体" w:cs="宋体"/>
                <w:color w:val="auto"/>
                <w:sz w:val="22"/>
                <w:szCs w:val="22"/>
                <w:highlight w:val="none"/>
              </w:rPr>
              <w:t>商务要求项目</w:t>
            </w:r>
          </w:p>
        </w:tc>
        <w:tc>
          <w:tcPr>
            <w:tcW w:w="8031" w:type="dxa"/>
            <w:tcBorders>
              <w:top w:val="single" w:color="auto" w:sz="4" w:space="0"/>
              <w:bottom w:val="single" w:color="auto" w:sz="4" w:space="0"/>
            </w:tcBorders>
            <w:noWrap w:val="0"/>
            <w:vAlign w:val="center"/>
          </w:tcPr>
          <w:p w14:paraId="09BC7B1E">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ascii="宋体" w:hAnsi="宋体" w:cs="宋体"/>
                <w:color w:val="auto"/>
                <w:sz w:val="22"/>
                <w:szCs w:val="22"/>
                <w:highlight w:val="none"/>
              </w:rPr>
            </w:pPr>
            <w:r>
              <w:rPr>
                <w:rFonts w:ascii="宋体" w:hAnsi="宋体" w:cs="宋体"/>
                <w:color w:val="auto"/>
                <w:sz w:val="22"/>
                <w:szCs w:val="22"/>
                <w:highlight w:val="none"/>
              </w:rPr>
              <w:t>采购文件要求</w:t>
            </w:r>
          </w:p>
        </w:tc>
      </w:tr>
      <w:tr w14:paraId="0D93E4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tcBorders>
              <w:top w:val="single" w:color="auto" w:sz="4" w:space="0"/>
              <w:bottom w:val="single" w:color="auto" w:sz="4" w:space="0"/>
            </w:tcBorders>
            <w:noWrap w:val="0"/>
            <w:vAlign w:val="center"/>
          </w:tcPr>
          <w:p w14:paraId="0C67B36B">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ascii="宋体" w:hAnsi="宋体" w:cs="宋体"/>
                <w:color w:val="auto"/>
                <w:sz w:val="22"/>
                <w:szCs w:val="22"/>
                <w:highlight w:val="none"/>
              </w:rPr>
            </w:pPr>
            <w:r>
              <w:rPr>
                <w:rFonts w:ascii="宋体" w:hAnsi="宋体" w:cs="宋体"/>
                <w:color w:val="auto"/>
                <w:sz w:val="22"/>
                <w:szCs w:val="22"/>
                <w:highlight w:val="none"/>
              </w:rPr>
              <w:t>报价组成</w:t>
            </w:r>
          </w:p>
        </w:tc>
        <w:tc>
          <w:tcPr>
            <w:tcW w:w="8031" w:type="dxa"/>
            <w:tcBorders>
              <w:top w:val="single" w:color="auto" w:sz="4" w:space="0"/>
              <w:bottom w:val="single" w:color="auto" w:sz="4" w:space="0"/>
            </w:tcBorders>
            <w:noWrap w:val="0"/>
            <w:vAlign w:val="center"/>
          </w:tcPr>
          <w:p w14:paraId="533B8BCE">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1、</w:t>
            </w:r>
            <w:r>
              <w:rPr>
                <w:rFonts w:hint="eastAsia" w:ascii="宋体" w:hAnsi="宋体" w:cs="宋体"/>
                <w:color w:val="auto"/>
                <w:sz w:val="22"/>
                <w:szCs w:val="22"/>
                <w:highlight w:val="none"/>
              </w:rPr>
              <w:t>投标报价应包括货款、标准附件、备品备件、专用工具、包装、运输、装卸、保险、税金、水电费、</w:t>
            </w:r>
            <w:r>
              <w:rPr>
                <w:rFonts w:hint="eastAsia" w:ascii="宋体" w:hAnsi="宋体" w:eastAsia="宋体" w:cs="仿宋"/>
                <w:color w:val="auto"/>
                <w:kern w:val="0"/>
                <w:sz w:val="22"/>
                <w:szCs w:val="22"/>
                <w:highlight w:val="none"/>
              </w:rPr>
              <w:t>开孔及修补费、</w:t>
            </w:r>
            <w:r>
              <w:rPr>
                <w:rFonts w:hint="eastAsia" w:ascii="宋体" w:hAnsi="宋体" w:cs="宋体"/>
                <w:color w:val="auto"/>
                <w:sz w:val="22"/>
                <w:szCs w:val="22"/>
                <w:highlight w:val="none"/>
              </w:rPr>
              <w:t>总包配合费（投标总价的</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%）、货到就位以及保管、安装、调试、培训、保修</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中标服务费</w:t>
            </w:r>
            <w:r>
              <w:rPr>
                <w:rFonts w:hint="eastAsia" w:ascii="宋体" w:hAnsi="宋体" w:cs="宋体"/>
                <w:color w:val="auto"/>
                <w:sz w:val="22"/>
                <w:szCs w:val="22"/>
                <w:highlight w:val="none"/>
              </w:rPr>
              <w:t>等一切税金和费用。（总包配合内容包括垂直运输、配合城建档案归档、场地内机械设备、货物堆放场地等。具体事宜中标单位需与总包单位协商确定。）</w:t>
            </w:r>
          </w:p>
          <w:p w14:paraId="1F525D6E">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中标人应考虑交货期间内材料等价格上涨因素，中标后的价格将不予调整。</w:t>
            </w:r>
          </w:p>
          <w:p w14:paraId="38622A78">
            <w:pPr>
              <w:keepNext w:val="0"/>
              <w:keepLines w:val="0"/>
              <w:pageBreakBefore w:val="0"/>
              <w:widowControl/>
              <w:shd w:val="clear" w:color="auto" w:fill="auto"/>
              <w:kinsoku/>
              <w:wordWrap/>
              <w:overflowPunct/>
              <w:topLinePunct w:val="0"/>
              <w:autoSpaceDE/>
              <w:autoSpaceDN/>
              <w:bidi w:val="0"/>
              <w:adjustRightInd/>
              <w:spacing w:line="360" w:lineRule="auto"/>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3、供应商</w:t>
            </w:r>
            <w:r>
              <w:rPr>
                <w:rFonts w:hint="eastAsia" w:ascii="宋体" w:hAnsi="宋体" w:cs="宋体"/>
                <w:color w:val="auto"/>
                <w:sz w:val="22"/>
                <w:szCs w:val="22"/>
                <w:highlight w:val="none"/>
              </w:rPr>
              <w:t>须提供保证货物在验收合格后保修期内正常使用所必需的辅助材料、人员服务费用和检查、维护、保养费用等，其价格含在总价中。</w:t>
            </w:r>
          </w:p>
        </w:tc>
      </w:tr>
      <w:tr w14:paraId="07CF9D1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tcBorders>
              <w:top w:val="single" w:color="auto" w:sz="4" w:space="0"/>
            </w:tcBorders>
            <w:noWrap w:val="0"/>
            <w:vAlign w:val="center"/>
          </w:tcPr>
          <w:p w14:paraId="5F742464">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ascii="宋体" w:hAnsi="宋体" w:cs="宋体"/>
                <w:color w:val="auto"/>
                <w:sz w:val="22"/>
                <w:szCs w:val="22"/>
                <w:highlight w:val="none"/>
              </w:rPr>
            </w:pPr>
            <w:r>
              <w:rPr>
                <w:rFonts w:ascii="宋体" w:hAnsi="宋体" w:cs="宋体"/>
                <w:color w:val="auto"/>
                <w:sz w:val="22"/>
                <w:szCs w:val="22"/>
                <w:highlight w:val="none"/>
              </w:rPr>
              <w:t>质保期</w:t>
            </w:r>
          </w:p>
        </w:tc>
        <w:tc>
          <w:tcPr>
            <w:tcW w:w="8031" w:type="dxa"/>
            <w:tcBorders>
              <w:top w:val="single" w:color="auto" w:sz="4" w:space="0"/>
            </w:tcBorders>
            <w:noWrap w:val="0"/>
            <w:vAlign w:val="center"/>
          </w:tcPr>
          <w:p w14:paraId="01DE53CF">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ascii="宋体" w:hAnsi="宋体" w:cs="宋体"/>
                <w:color w:val="auto"/>
                <w:sz w:val="22"/>
                <w:szCs w:val="22"/>
                <w:highlight w:val="none"/>
              </w:rPr>
            </w:pPr>
            <w:r>
              <w:rPr>
                <w:rFonts w:hint="eastAsia" w:ascii="宋体" w:hAnsi="宋体" w:cs="宋体"/>
                <w:color w:val="auto"/>
                <w:sz w:val="22"/>
                <w:szCs w:val="22"/>
                <w:highlight w:val="none"/>
              </w:rPr>
              <w:t>通过验收并完成移交之日起24</w:t>
            </w:r>
            <w:r>
              <w:rPr>
                <w:rFonts w:ascii="宋体" w:hAnsi="宋体" w:cs="宋体"/>
                <w:color w:val="auto"/>
                <w:sz w:val="22"/>
                <w:szCs w:val="22"/>
                <w:highlight w:val="none"/>
              </w:rPr>
              <w:t>个月</w:t>
            </w:r>
            <w:r>
              <w:rPr>
                <w:rFonts w:hint="eastAsia" w:ascii="宋体" w:hAnsi="宋体" w:cs="宋体"/>
                <w:color w:val="auto"/>
                <w:sz w:val="22"/>
                <w:szCs w:val="22"/>
                <w:highlight w:val="none"/>
              </w:rPr>
              <w:t>。</w:t>
            </w:r>
          </w:p>
          <w:p w14:paraId="497E83E6">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ascii="宋体" w:hAnsi="宋体" w:cs="宋体"/>
                <w:color w:val="auto"/>
                <w:sz w:val="22"/>
                <w:szCs w:val="22"/>
                <w:highlight w:val="none"/>
              </w:rPr>
            </w:pPr>
            <w:r>
              <w:rPr>
                <w:rFonts w:ascii="宋体" w:hAnsi="宋体" w:cs="宋体"/>
                <w:color w:val="auto"/>
                <w:sz w:val="22"/>
                <w:szCs w:val="22"/>
                <w:highlight w:val="none"/>
              </w:rPr>
              <w:t>质保期内被免费更换的零部件质量保证：自更换之日起计</w:t>
            </w:r>
            <w:r>
              <w:rPr>
                <w:rFonts w:hint="eastAsia" w:ascii="宋体" w:hAnsi="宋体" w:cs="宋体"/>
                <w:color w:val="auto"/>
                <w:sz w:val="22"/>
                <w:szCs w:val="22"/>
                <w:highlight w:val="none"/>
              </w:rPr>
              <w:t>24</w:t>
            </w:r>
            <w:r>
              <w:rPr>
                <w:rFonts w:ascii="宋体" w:hAnsi="宋体" w:cs="宋体"/>
                <w:color w:val="auto"/>
                <w:sz w:val="22"/>
                <w:szCs w:val="22"/>
                <w:highlight w:val="none"/>
              </w:rPr>
              <w:t>个月</w:t>
            </w:r>
            <w:r>
              <w:rPr>
                <w:rFonts w:hint="eastAsia" w:ascii="宋体" w:hAnsi="宋体" w:cs="宋体"/>
                <w:color w:val="auto"/>
                <w:sz w:val="22"/>
                <w:szCs w:val="22"/>
                <w:highlight w:val="none"/>
              </w:rPr>
              <w:t>。</w:t>
            </w:r>
          </w:p>
        </w:tc>
      </w:tr>
      <w:tr w14:paraId="6E0D334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tcBorders>
              <w:top w:val="single" w:color="auto" w:sz="4" w:space="0"/>
            </w:tcBorders>
            <w:noWrap w:val="0"/>
            <w:vAlign w:val="center"/>
          </w:tcPr>
          <w:p w14:paraId="08D5DC22">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hint="eastAsia" w:ascii="宋体" w:hAnsi="宋体" w:eastAsia="宋体" w:cs="宋体"/>
                <w:color w:val="auto"/>
                <w:sz w:val="22"/>
                <w:szCs w:val="22"/>
                <w:highlight w:val="none"/>
                <w:lang w:eastAsia="zh-CN"/>
              </w:rPr>
            </w:pPr>
            <w:r>
              <w:rPr>
                <w:rFonts w:ascii="宋体" w:hAnsi="宋体" w:cs="宋体"/>
                <w:color w:val="auto"/>
                <w:sz w:val="22"/>
                <w:szCs w:val="22"/>
                <w:highlight w:val="none"/>
              </w:rPr>
              <w:t>售后技术</w:t>
            </w:r>
          </w:p>
          <w:p w14:paraId="2F4DC7E2">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ascii="宋体" w:hAnsi="宋体" w:cs="宋体"/>
                <w:color w:val="auto"/>
                <w:sz w:val="22"/>
                <w:szCs w:val="22"/>
                <w:highlight w:val="none"/>
              </w:rPr>
            </w:pPr>
            <w:r>
              <w:rPr>
                <w:rFonts w:ascii="宋体" w:hAnsi="宋体" w:cs="宋体"/>
                <w:color w:val="auto"/>
                <w:sz w:val="22"/>
                <w:szCs w:val="22"/>
                <w:highlight w:val="none"/>
              </w:rPr>
              <w:t>服务要求</w:t>
            </w:r>
          </w:p>
        </w:tc>
        <w:tc>
          <w:tcPr>
            <w:tcW w:w="8031" w:type="dxa"/>
            <w:tcBorders>
              <w:top w:val="single" w:color="auto" w:sz="4" w:space="0"/>
            </w:tcBorders>
            <w:noWrap w:val="0"/>
            <w:vAlign w:val="center"/>
          </w:tcPr>
          <w:p w14:paraId="2BB30EC2">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故障响应时间≤30分钟，60分钟内派出合格的服务人员到达业主设备使用现场。一般故障修复时间≤4小时，重大故障修复时间≤12小时。规定时间内不能修复的免费提供同档次产品供采购人使用。</w:t>
            </w:r>
          </w:p>
        </w:tc>
      </w:tr>
      <w:tr w14:paraId="350212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noWrap w:val="0"/>
            <w:vAlign w:val="center"/>
          </w:tcPr>
          <w:p w14:paraId="1A1AE54B">
            <w:pPr>
              <w:keepNext w:val="0"/>
              <w:keepLines w:val="0"/>
              <w:pageBreakBefore w:val="0"/>
              <w:widowControl/>
              <w:shd w:val="clear" w:color="auto" w:fill="auto"/>
              <w:kinsoku/>
              <w:wordWrap/>
              <w:overflowPunct/>
              <w:topLinePunct w:val="0"/>
              <w:autoSpaceDE/>
              <w:autoSpaceDN/>
              <w:bidi w:val="0"/>
              <w:adjustRightInd/>
              <w:spacing w:line="360" w:lineRule="auto"/>
              <w:ind w:left="-108" w:right="-120"/>
              <w:jc w:val="center"/>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供货方式及工期要求</w:t>
            </w:r>
          </w:p>
        </w:tc>
        <w:tc>
          <w:tcPr>
            <w:tcW w:w="8031" w:type="dxa"/>
            <w:noWrap w:val="0"/>
            <w:vAlign w:val="center"/>
          </w:tcPr>
          <w:p w14:paraId="424A9F25">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1、供货方式：一次性供货；</w:t>
            </w:r>
          </w:p>
          <w:p w14:paraId="1BD683C6">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2、工期要求：合同签订之日起15日历天内完成供货、安装；</w:t>
            </w:r>
          </w:p>
        </w:tc>
      </w:tr>
      <w:tr w14:paraId="726904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noWrap w:val="0"/>
            <w:vAlign w:val="center"/>
          </w:tcPr>
          <w:p w14:paraId="1B876A9D">
            <w:pPr>
              <w:keepNext w:val="0"/>
              <w:keepLines w:val="0"/>
              <w:pageBreakBefore w:val="0"/>
              <w:widowControl/>
              <w:shd w:val="clear" w:color="auto" w:fill="auto"/>
              <w:kinsoku/>
              <w:wordWrap/>
              <w:overflowPunct/>
              <w:topLinePunct w:val="0"/>
              <w:autoSpaceDE/>
              <w:autoSpaceDN/>
              <w:bidi w:val="0"/>
              <w:adjustRightInd/>
              <w:spacing w:line="360" w:lineRule="auto"/>
              <w:ind w:left="-108" w:right="-120"/>
              <w:jc w:val="center"/>
              <w:textAlignment w:val="auto"/>
              <w:rPr>
                <w:rFonts w:ascii="宋体" w:hAnsi="宋体" w:cs="宋体"/>
                <w:color w:val="auto"/>
                <w:sz w:val="22"/>
                <w:szCs w:val="22"/>
                <w:highlight w:val="none"/>
              </w:rPr>
            </w:pPr>
            <w:r>
              <w:rPr>
                <w:rFonts w:hint="eastAsia" w:ascii="宋体" w:hAnsi="宋体" w:cs="宋体"/>
                <w:color w:val="auto"/>
                <w:sz w:val="22"/>
                <w:szCs w:val="22"/>
                <w:highlight w:val="none"/>
              </w:rPr>
              <w:t>履约担保</w:t>
            </w:r>
          </w:p>
        </w:tc>
        <w:tc>
          <w:tcPr>
            <w:tcW w:w="8031" w:type="dxa"/>
            <w:noWrap w:val="0"/>
            <w:vAlign w:val="center"/>
          </w:tcPr>
          <w:p w14:paraId="29A7C31C">
            <w:pPr>
              <w:keepNext w:val="0"/>
              <w:keepLines w:val="0"/>
              <w:pageBreakBefore w:val="0"/>
              <w:widowControl/>
              <w:shd w:val="clear" w:color="auto" w:fill="auto"/>
              <w:kinsoku/>
              <w:wordWrap/>
              <w:overflowPunct/>
              <w:topLinePunct w:val="0"/>
              <w:autoSpaceDE/>
              <w:autoSpaceDN/>
              <w:bidi w:val="0"/>
              <w:adjustRightInd/>
              <w:spacing w:line="360" w:lineRule="auto"/>
              <w:ind w:left="-108" w:right="-12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1、</w:t>
            </w:r>
            <w:r>
              <w:rPr>
                <w:rFonts w:hint="eastAsia" w:ascii="宋体" w:hAnsi="宋体" w:cs="宋体"/>
                <w:color w:val="auto"/>
                <w:sz w:val="22"/>
                <w:szCs w:val="22"/>
                <w:highlight w:val="none"/>
              </w:rPr>
              <w:t>履约担保</w:t>
            </w:r>
            <w:r>
              <w:rPr>
                <w:rFonts w:ascii="宋体" w:hAnsi="宋体" w:cs="宋体"/>
                <w:color w:val="auto"/>
                <w:sz w:val="22"/>
                <w:szCs w:val="22"/>
                <w:highlight w:val="none"/>
              </w:rPr>
              <w:t>形式：</w:t>
            </w:r>
            <w:r>
              <w:rPr>
                <w:rFonts w:hint="eastAsia" w:ascii="宋体" w:hAnsi="宋体" w:cs="宋体"/>
                <w:color w:val="auto"/>
                <w:sz w:val="22"/>
                <w:szCs w:val="22"/>
                <w:highlight w:val="none"/>
              </w:rPr>
              <w:t>电汇、银行保函、保险公司保函。</w:t>
            </w:r>
          </w:p>
          <w:p w14:paraId="3AFF9555">
            <w:pPr>
              <w:keepNext w:val="0"/>
              <w:keepLines w:val="0"/>
              <w:pageBreakBefore w:val="0"/>
              <w:widowControl/>
              <w:shd w:val="clear" w:color="auto" w:fill="auto"/>
              <w:kinsoku/>
              <w:wordWrap/>
              <w:overflowPunct/>
              <w:topLinePunct w:val="0"/>
              <w:autoSpaceDE/>
              <w:autoSpaceDN/>
              <w:bidi w:val="0"/>
              <w:adjustRightInd/>
              <w:spacing w:line="360" w:lineRule="auto"/>
              <w:ind w:left="-108" w:right="-12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履约担保</w:t>
            </w:r>
            <w:r>
              <w:rPr>
                <w:rFonts w:ascii="宋体" w:hAnsi="宋体" w:cs="宋体"/>
                <w:color w:val="auto"/>
                <w:sz w:val="22"/>
                <w:szCs w:val="22"/>
                <w:highlight w:val="none"/>
              </w:rPr>
              <w:t>的收取及退还：</w:t>
            </w:r>
            <w:r>
              <w:rPr>
                <w:rFonts w:hint="eastAsia" w:ascii="宋体" w:hAnsi="宋体" w:cs="宋体"/>
                <w:color w:val="auto"/>
                <w:sz w:val="22"/>
                <w:szCs w:val="22"/>
                <w:highlight w:val="none"/>
              </w:rPr>
              <w:t>按合同总金额的</w:t>
            </w:r>
            <w:r>
              <w:rPr>
                <w:rFonts w:hint="eastAsia" w:ascii="宋体" w:hAnsi="宋体" w:cs="宋体"/>
                <w:color w:val="auto"/>
                <w:sz w:val="22"/>
                <w:szCs w:val="22"/>
                <w:highlight w:val="none"/>
                <w:lang w:val="en-US" w:eastAsia="zh-CN"/>
              </w:rPr>
              <w:t>2.5</w:t>
            </w:r>
            <w:r>
              <w:rPr>
                <w:rFonts w:hint="eastAsia" w:ascii="宋体" w:hAnsi="宋体" w:cs="宋体"/>
                <w:color w:val="auto"/>
                <w:sz w:val="22"/>
                <w:szCs w:val="22"/>
                <w:highlight w:val="none"/>
              </w:rPr>
              <w:t>%计收</w:t>
            </w:r>
            <w:r>
              <w:rPr>
                <w:rFonts w:ascii="宋体" w:hAnsi="宋体" w:cs="宋体"/>
                <w:color w:val="auto"/>
                <w:sz w:val="22"/>
                <w:szCs w:val="22"/>
                <w:highlight w:val="none"/>
              </w:rPr>
              <w:t>，合同履行完毕（</w:t>
            </w:r>
            <w:r>
              <w:rPr>
                <w:rFonts w:ascii="宋体" w:hAnsi="宋体" w:cs="宋体"/>
                <w:sz w:val="22"/>
                <w:szCs w:val="22"/>
                <w:highlight w:val="none"/>
              </w:rPr>
              <w:t>项目</w:t>
            </w:r>
            <w:r>
              <w:rPr>
                <w:rFonts w:hint="eastAsia" w:ascii="宋体" w:hAnsi="宋体" w:cs="宋体"/>
                <w:sz w:val="22"/>
                <w:szCs w:val="22"/>
                <w:highlight w:val="none"/>
                <w:lang w:val="en-US" w:eastAsia="zh-CN"/>
              </w:rPr>
              <w:t>安装</w:t>
            </w:r>
            <w:r>
              <w:rPr>
                <w:rFonts w:ascii="宋体" w:hAnsi="宋体" w:cs="宋体"/>
                <w:sz w:val="22"/>
                <w:szCs w:val="22"/>
                <w:highlight w:val="none"/>
              </w:rPr>
              <w:t>完毕且验收合格并交付使用</w:t>
            </w:r>
            <w:r>
              <w:rPr>
                <w:rFonts w:ascii="宋体" w:hAnsi="宋体" w:cs="宋体"/>
                <w:color w:val="auto"/>
                <w:sz w:val="22"/>
                <w:szCs w:val="22"/>
                <w:highlight w:val="none"/>
              </w:rPr>
              <w:t>）后</w:t>
            </w:r>
            <w:r>
              <w:rPr>
                <w:rFonts w:hint="eastAsia" w:ascii="宋体" w:hAnsi="宋体" w:cs="宋体"/>
                <w:color w:val="auto"/>
                <w:sz w:val="22"/>
                <w:szCs w:val="22"/>
                <w:highlight w:val="none"/>
                <w:lang w:val="en-US" w:eastAsia="zh-CN"/>
              </w:rPr>
              <w:t>10</w:t>
            </w:r>
            <w:r>
              <w:rPr>
                <w:rFonts w:ascii="宋体" w:hAnsi="宋体" w:cs="宋体"/>
                <w:color w:val="auto"/>
                <w:sz w:val="22"/>
                <w:szCs w:val="22"/>
                <w:highlight w:val="none"/>
              </w:rPr>
              <w:t>日内退还。</w:t>
            </w:r>
          </w:p>
        </w:tc>
      </w:tr>
      <w:tr w14:paraId="03CA1D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shd w:val="clear" w:color="auto" w:fill="auto"/>
            <w:noWrap w:val="0"/>
            <w:vAlign w:val="center"/>
          </w:tcPr>
          <w:p w14:paraId="46CB04B2">
            <w:pPr>
              <w:pStyle w:val="32"/>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default" w:ascii="宋体" w:hAnsi="宋体" w:eastAsia="宋体" w:cs="仿宋"/>
                <w:kern w:val="0"/>
                <w:sz w:val="22"/>
                <w:szCs w:val="22"/>
                <w:highlight w:val="none"/>
                <w:lang w:val="en-US" w:eastAsia="zh-CN" w:bidi="ar-SA"/>
              </w:rPr>
            </w:pPr>
            <w:r>
              <w:rPr>
                <w:rFonts w:hint="eastAsia" w:ascii="宋体" w:hAnsi="宋体" w:eastAsia="宋体" w:cs="仿宋"/>
                <w:kern w:val="0"/>
                <w:sz w:val="22"/>
                <w:szCs w:val="22"/>
                <w:highlight w:val="none"/>
                <w:lang w:val="en-US" w:eastAsia="zh-CN"/>
              </w:rPr>
              <w:t>合同签订</w:t>
            </w:r>
          </w:p>
        </w:tc>
        <w:tc>
          <w:tcPr>
            <w:tcW w:w="8031" w:type="dxa"/>
            <w:shd w:val="clear" w:color="auto" w:fill="auto"/>
            <w:noWrap w:val="0"/>
            <w:vAlign w:val="center"/>
          </w:tcPr>
          <w:p w14:paraId="483EB577">
            <w:pPr>
              <w:pStyle w:val="32"/>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仿宋"/>
                <w:kern w:val="0"/>
                <w:sz w:val="22"/>
                <w:szCs w:val="22"/>
                <w:highlight w:val="none"/>
                <w:lang w:val="en-US" w:eastAsia="zh-CN" w:bidi="ar-SA"/>
              </w:rPr>
            </w:pPr>
            <w:r>
              <w:rPr>
                <w:rFonts w:hint="eastAsia" w:ascii="宋体" w:hAnsi="宋体" w:eastAsia="宋体" w:cs="仿宋"/>
                <w:kern w:val="0"/>
                <w:sz w:val="22"/>
                <w:szCs w:val="22"/>
                <w:highlight w:val="none"/>
                <w:lang w:val="en-US" w:eastAsia="zh-CN"/>
              </w:rPr>
              <w:t>本项目于中标通知书发出之日起10天内签订合同，</w:t>
            </w:r>
            <w:r>
              <w:rPr>
                <w:rFonts w:hint="eastAsia" w:ascii="宋体" w:hAnsi="宋体" w:eastAsia="宋体" w:cs="仿宋"/>
                <w:kern w:val="0"/>
                <w:sz w:val="22"/>
                <w:szCs w:val="22"/>
                <w:highlight w:val="none"/>
              </w:rPr>
              <w:t>签订合同前</w:t>
            </w:r>
            <w:r>
              <w:rPr>
                <w:rFonts w:hint="eastAsia" w:ascii="宋体" w:hAnsi="宋体" w:eastAsia="宋体" w:cs="仿宋"/>
                <w:kern w:val="0"/>
                <w:sz w:val="22"/>
                <w:szCs w:val="22"/>
                <w:highlight w:val="none"/>
                <w:lang w:val="en-US" w:eastAsia="zh-CN"/>
              </w:rPr>
              <w:t>需</w:t>
            </w:r>
            <w:r>
              <w:rPr>
                <w:rFonts w:hint="eastAsia" w:ascii="宋体" w:hAnsi="宋体" w:eastAsia="宋体" w:cs="仿宋"/>
                <w:kern w:val="0"/>
                <w:sz w:val="22"/>
                <w:szCs w:val="22"/>
                <w:highlight w:val="none"/>
              </w:rPr>
              <w:t>提供产品制造商针对本项目授权书</w:t>
            </w:r>
            <w:r>
              <w:rPr>
                <w:rFonts w:hint="eastAsia" w:ascii="宋体" w:hAnsi="宋体" w:eastAsia="宋体" w:cs="仿宋"/>
                <w:kern w:val="0"/>
                <w:sz w:val="22"/>
                <w:szCs w:val="22"/>
                <w:highlight w:val="none"/>
                <w:lang w:eastAsia="zh-CN"/>
              </w:rPr>
              <w:t>。</w:t>
            </w:r>
          </w:p>
        </w:tc>
      </w:tr>
      <w:tr w14:paraId="52B9A42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noWrap w:val="0"/>
            <w:vAlign w:val="center"/>
          </w:tcPr>
          <w:p w14:paraId="5C7B7A7D">
            <w:pPr>
              <w:keepNext w:val="0"/>
              <w:keepLines w:val="0"/>
              <w:pageBreakBefore w:val="0"/>
              <w:widowControl/>
              <w:shd w:val="clear" w:color="auto" w:fill="auto"/>
              <w:kinsoku/>
              <w:wordWrap/>
              <w:overflowPunct/>
              <w:topLinePunct w:val="0"/>
              <w:autoSpaceDE/>
              <w:autoSpaceDN/>
              <w:bidi w:val="0"/>
              <w:adjustRightInd/>
              <w:spacing w:line="360" w:lineRule="auto"/>
              <w:jc w:val="center"/>
              <w:textAlignment w:val="auto"/>
              <w:rPr>
                <w:rFonts w:ascii="宋体" w:hAnsi="宋体" w:cs="宋体"/>
                <w:color w:val="auto"/>
                <w:sz w:val="22"/>
                <w:szCs w:val="22"/>
                <w:highlight w:val="none"/>
              </w:rPr>
            </w:pPr>
            <w:r>
              <w:rPr>
                <w:rFonts w:ascii="宋体" w:hAnsi="宋体" w:cs="宋体"/>
                <w:color w:val="auto"/>
                <w:sz w:val="22"/>
                <w:szCs w:val="22"/>
                <w:highlight w:val="none"/>
              </w:rPr>
              <w:t>付款条件</w:t>
            </w:r>
          </w:p>
        </w:tc>
        <w:tc>
          <w:tcPr>
            <w:tcW w:w="8031" w:type="dxa"/>
            <w:noWrap w:val="0"/>
            <w:vAlign w:val="center"/>
          </w:tcPr>
          <w:p w14:paraId="2F6442BE">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1、所有设备货到项目现场后并通过采购人确认后15日内支付至合同价的60%；</w:t>
            </w:r>
          </w:p>
          <w:p w14:paraId="48F3A5F7">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2、全部设备安装完成、调试合格并通过验收后15日内支付至合同价的80%；</w:t>
            </w:r>
          </w:p>
          <w:p w14:paraId="44910F84">
            <w:pPr>
              <w:keepNext w:val="0"/>
              <w:keepLines w:val="0"/>
              <w:pageBreakBefore w:val="0"/>
              <w:shd w:val="clear" w:color="auto" w:fill="auto"/>
              <w:kinsoku/>
              <w:wordWrap/>
              <w:overflowPunct/>
              <w:topLinePunct w:val="0"/>
              <w:autoSpaceDE/>
              <w:autoSpaceDN/>
              <w:bidi w:val="0"/>
              <w:adjustRightInd/>
              <w:snapToGrid w:val="0"/>
              <w:spacing w:line="360" w:lineRule="auto"/>
              <w:ind w:right="-108"/>
              <w:textAlignment w:val="auto"/>
              <w:rPr>
                <w:rFonts w:hint="eastAsia" w:eastAsia="宋体"/>
                <w:color w:val="auto"/>
                <w:sz w:val="20"/>
                <w:szCs w:val="22"/>
                <w:highlight w:val="none"/>
                <w:lang w:eastAsia="zh-CN"/>
              </w:rPr>
            </w:pPr>
            <w:r>
              <w:rPr>
                <w:rFonts w:hint="eastAsia" w:ascii="宋体" w:hAnsi="宋体" w:cs="宋体"/>
                <w:color w:val="auto"/>
                <w:sz w:val="22"/>
                <w:szCs w:val="22"/>
                <w:highlight w:val="none"/>
                <w:lang w:val="en-US" w:eastAsia="zh-CN"/>
              </w:rPr>
              <w:t>3、结算经审核后15日内支付至结算价款的97.5%，无质量问题后余款在质保期满后付清。（如结算需要奉化区政府投资项目评审中心审核的以评审中心审核为准）。</w:t>
            </w:r>
            <w:r>
              <w:rPr>
                <w:rFonts w:hint="eastAsia" w:ascii="宋体" w:hAnsi="宋体" w:eastAsia="宋体" w:cs="宋体"/>
                <w:sz w:val="22"/>
                <w:szCs w:val="20"/>
                <w:highlight w:val="none"/>
                <w:lang w:val="en-US" w:eastAsia="zh-CN"/>
              </w:rPr>
              <w:t>注：支付合同价款前中标人应向采购人开具等额的增值税专用发票。</w:t>
            </w:r>
          </w:p>
        </w:tc>
      </w:tr>
      <w:tr w14:paraId="7863B2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noWrap w:val="0"/>
            <w:vAlign w:val="center"/>
          </w:tcPr>
          <w:p w14:paraId="53E185EC">
            <w:pPr>
              <w:pStyle w:val="32"/>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仿宋"/>
                <w:kern w:val="0"/>
                <w:sz w:val="22"/>
                <w:szCs w:val="22"/>
                <w:highlight w:val="none"/>
                <w:lang w:val="en-US" w:eastAsia="zh-CN" w:bidi="ar-SA"/>
              </w:rPr>
            </w:pPr>
            <w:r>
              <w:rPr>
                <w:rFonts w:hint="eastAsia" w:ascii="宋体" w:hAnsi="宋体" w:eastAsia="宋体" w:cs="仿宋"/>
                <w:kern w:val="0"/>
                <w:sz w:val="22"/>
                <w:szCs w:val="22"/>
                <w:highlight w:val="none"/>
              </w:rPr>
              <w:t>产品及服务质量保证</w:t>
            </w:r>
          </w:p>
        </w:tc>
        <w:tc>
          <w:tcPr>
            <w:tcW w:w="8031" w:type="dxa"/>
            <w:noWrap w:val="0"/>
            <w:vAlign w:val="center"/>
          </w:tcPr>
          <w:p w14:paraId="4605A978">
            <w:pPr>
              <w:pStyle w:val="32"/>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仿宋"/>
                <w:kern w:val="0"/>
                <w:sz w:val="22"/>
                <w:szCs w:val="22"/>
                <w:highlight w:val="none"/>
              </w:rPr>
            </w:pPr>
            <w:r>
              <w:rPr>
                <w:rFonts w:hint="eastAsia" w:ascii="宋体" w:hAnsi="宋体" w:eastAsia="宋体" w:cs="仿宋"/>
                <w:kern w:val="0"/>
                <w:sz w:val="22"/>
                <w:szCs w:val="22"/>
                <w:highlight w:val="none"/>
                <w:lang w:val="en-US" w:eastAsia="zh-CN"/>
              </w:rPr>
              <w:t>1、</w:t>
            </w:r>
            <w:r>
              <w:rPr>
                <w:rFonts w:hint="eastAsia" w:ascii="宋体" w:hAnsi="宋体" w:eastAsia="宋体" w:cs="仿宋"/>
                <w:kern w:val="0"/>
                <w:sz w:val="22"/>
                <w:szCs w:val="22"/>
                <w:highlight w:val="none"/>
              </w:rPr>
              <w:t>供应商保证所供的商品必须是出厂原装合格产品,如发生所供的商品与合同不符,采购人有权拒收或退货,由此产生的一切责任和后果由供应商承担。质保期自货物验收合格之日起计。</w:t>
            </w:r>
          </w:p>
          <w:p w14:paraId="62B97FAF">
            <w:pPr>
              <w:pStyle w:val="32"/>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仿宋"/>
                <w:kern w:val="0"/>
                <w:sz w:val="22"/>
                <w:szCs w:val="22"/>
                <w:highlight w:val="none"/>
                <w:lang w:val="en-US" w:eastAsia="zh-CN" w:bidi="ar-SA"/>
              </w:rPr>
            </w:pPr>
            <w:r>
              <w:rPr>
                <w:rFonts w:hint="eastAsia" w:ascii="宋体" w:hAnsi="宋体" w:eastAsia="宋体" w:cs="仿宋"/>
                <w:kern w:val="0"/>
                <w:sz w:val="22"/>
                <w:szCs w:val="22"/>
                <w:highlight w:val="none"/>
                <w:lang w:val="en-US" w:eastAsia="zh-CN"/>
              </w:rPr>
              <w:t>2、</w:t>
            </w:r>
            <w:r>
              <w:rPr>
                <w:rFonts w:hint="eastAsia" w:ascii="宋体" w:hAnsi="宋体" w:eastAsia="宋体" w:cs="仿宋"/>
                <w:kern w:val="0"/>
                <w:sz w:val="22"/>
                <w:szCs w:val="22"/>
                <w:highlight w:val="none"/>
              </w:rPr>
              <w:t>在所供商品交付时，供应商必须向采购人提供产品说明书、质量保证书、保修卡等必须具备的相关资料和必备附件。</w:t>
            </w:r>
          </w:p>
        </w:tc>
      </w:tr>
      <w:tr w14:paraId="08EFB7A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899" w:type="dxa"/>
            <w:noWrap w:val="0"/>
            <w:vAlign w:val="center"/>
          </w:tcPr>
          <w:p w14:paraId="7C0014E1">
            <w:pPr>
              <w:pStyle w:val="32"/>
              <w:keepNext w:val="0"/>
              <w:keepLines w:val="0"/>
              <w:pageBreakBefore w:val="0"/>
              <w:kinsoku/>
              <w:wordWrap/>
              <w:overflowPunct/>
              <w:topLinePunct w:val="0"/>
              <w:autoSpaceDE/>
              <w:autoSpaceDN/>
              <w:bidi w:val="0"/>
              <w:adjustRightInd/>
              <w:spacing w:line="360" w:lineRule="auto"/>
              <w:ind w:firstLine="0" w:firstLineChars="0"/>
              <w:jc w:val="center"/>
              <w:textAlignment w:val="auto"/>
              <w:rPr>
                <w:rFonts w:hint="eastAsia" w:ascii="宋体" w:hAnsi="宋体" w:eastAsia="宋体" w:cs="仿宋"/>
                <w:kern w:val="0"/>
                <w:sz w:val="22"/>
                <w:szCs w:val="22"/>
                <w:highlight w:val="none"/>
                <w:lang w:val="en-US" w:eastAsia="zh-CN"/>
              </w:rPr>
            </w:pPr>
            <w:r>
              <w:rPr>
                <w:rFonts w:hint="eastAsia" w:ascii="宋体" w:hAnsi="宋体" w:eastAsia="宋体" w:cs="仿宋"/>
                <w:kern w:val="0"/>
                <w:sz w:val="22"/>
                <w:szCs w:val="22"/>
                <w:highlight w:val="none"/>
              </w:rPr>
              <w:t>合同终止</w:t>
            </w:r>
          </w:p>
        </w:tc>
        <w:tc>
          <w:tcPr>
            <w:tcW w:w="8031" w:type="dxa"/>
            <w:noWrap w:val="0"/>
            <w:vAlign w:val="center"/>
          </w:tcPr>
          <w:p w14:paraId="5941611E">
            <w:pPr>
              <w:pStyle w:val="32"/>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仿宋"/>
                <w:kern w:val="0"/>
                <w:sz w:val="22"/>
                <w:szCs w:val="22"/>
                <w:highlight w:val="none"/>
              </w:rPr>
            </w:pPr>
            <w:r>
              <w:rPr>
                <w:rFonts w:hint="eastAsia" w:ascii="宋体" w:hAnsi="宋体" w:eastAsia="宋体" w:cs="仿宋"/>
                <w:kern w:val="0"/>
                <w:sz w:val="22"/>
                <w:szCs w:val="22"/>
                <w:highlight w:val="none"/>
              </w:rPr>
              <w:t>1、未能使合同货物达到合同附件规定的技术性能和指标的；</w:t>
            </w:r>
          </w:p>
          <w:p w14:paraId="1E76B0F1">
            <w:pPr>
              <w:pStyle w:val="32"/>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仿宋"/>
                <w:kern w:val="0"/>
                <w:sz w:val="22"/>
                <w:szCs w:val="22"/>
                <w:highlight w:val="none"/>
              </w:rPr>
            </w:pPr>
            <w:r>
              <w:rPr>
                <w:rFonts w:hint="eastAsia" w:ascii="宋体" w:hAnsi="宋体" w:eastAsia="宋体" w:cs="仿宋"/>
                <w:kern w:val="0"/>
                <w:sz w:val="22"/>
                <w:szCs w:val="22"/>
                <w:highlight w:val="none"/>
              </w:rPr>
              <w:t>2、未能在合同规定的期限（或采购人同意延长的最终期限）内提供全部或部分货物的；</w:t>
            </w:r>
          </w:p>
          <w:p w14:paraId="3DF675CB">
            <w:pPr>
              <w:pStyle w:val="32"/>
              <w:keepNext w:val="0"/>
              <w:keepLines w:val="0"/>
              <w:pageBreakBefore w:val="0"/>
              <w:kinsoku/>
              <w:wordWrap/>
              <w:overflowPunct/>
              <w:topLinePunct w:val="0"/>
              <w:autoSpaceDE/>
              <w:autoSpaceDN/>
              <w:bidi w:val="0"/>
              <w:adjustRightInd/>
              <w:spacing w:line="360" w:lineRule="auto"/>
              <w:ind w:firstLine="0" w:firstLineChars="0"/>
              <w:jc w:val="left"/>
              <w:textAlignment w:val="auto"/>
              <w:rPr>
                <w:rFonts w:hint="eastAsia" w:ascii="宋体" w:hAnsi="宋体" w:eastAsia="宋体" w:cs="仿宋"/>
                <w:kern w:val="0"/>
                <w:sz w:val="22"/>
                <w:szCs w:val="22"/>
                <w:highlight w:val="none"/>
                <w:lang w:val="en-US" w:eastAsia="zh-CN"/>
              </w:rPr>
            </w:pPr>
            <w:r>
              <w:rPr>
                <w:rFonts w:hint="eastAsia" w:ascii="宋体" w:hAnsi="宋体" w:eastAsia="宋体" w:cs="仿宋"/>
                <w:kern w:val="0"/>
                <w:sz w:val="22"/>
                <w:szCs w:val="22"/>
                <w:highlight w:val="none"/>
              </w:rPr>
              <w:t>3、未能履行合同规定的其它义务。</w:t>
            </w:r>
          </w:p>
        </w:tc>
      </w:tr>
      <w:bookmarkEnd w:id="29"/>
      <w:bookmarkEnd w:id="30"/>
    </w:tbl>
    <w:p w14:paraId="36E3A1F8">
      <w:pPr>
        <w:pageBreakBefore/>
        <w:kinsoku/>
        <w:wordWrap/>
        <w:overflowPunct/>
        <w:topLinePunct w:val="0"/>
        <w:bidi w:val="0"/>
        <w:snapToGrid w:val="0"/>
        <w:spacing w:line="360" w:lineRule="auto"/>
        <w:jc w:val="center"/>
        <w:outlineLvl w:val="0"/>
        <w:rPr>
          <w:rFonts w:cs="仿宋" w:asciiTheme="majorEastAsia" w:hAnsiTheme="majorEastAsia" w:eastAsiaTheme="majorEastAsia"/>
          <w:b/>
          <w:sz w:val="36"/>
          <w:szCs w:val="36"/>
          <w:highlight w:val="none"/>
        </w:rPr>
      </w:pPr>
      <w:r>
        <w:rPr>
          <w:rFonts w:hint="eastAsia" w:cs="仿宋" w:asciiTheme="majorEastAsia" w:hAnsiTheme="majorEastAsia" w:eastAsiaTheme="majorEastAsia"/>
          <w:b/>
          <w:sz w:val="36"/>
          <w:szCs w:val="36"/>
          <w:highlight w:val="none"/>
        </w:rPr>
        <w:t xml:space="preserve">第四部分   </w:t>
      </w:r>
      <w:bookmarkStart w:id="53" w:name="_Toc184312128"/>
      <w:bookmarkEnd w:id="53"/>
      <w:bookmarkStart w:id="54" w:name="_Toc184310284"/>
      <w:bookmarkEnd w:id="54"/>
      <w:bookmarkStart w:id="55" w:name="_Toc184313260"/>
      <w:bookmarkEnd w:id="55"/>
      <w:bookmarkStart w:id="56" w:name="_Toc184312138"/>
      <w:bookmarkEnd w:id="56"/>
      <w:bookmarkStart w:id="57" w:name="_Toc184313261"/>
      <w:bookmarkEnd w:id="57"/>
      <w:bookmarkStart w:id="58" w:name="_Toc184310296"/>
      <w:bookmarkEnd w:id="58"/>
      <w:bookmarkStart w:id="59" w:name="_Toc184308084"/>
      <w:bookmarkEnd w:id="59"/>
      <w:bookmarkStart w:id="60" w:name="_Toc184312084"/>
      <w:bookmarkEnd w:id="60"/>
      <w:bookmarkStart w:id="61" w:name="_Toc184312112"/>
      <w:bookmarkEnd w:id="61"/>
      <w:bookmarkStart w:id="62" w:name="_Toc184312139"/>
      <w:bookmarkEnd w:id="62"/>
      <w:bookmarkStart w:id="63" w:name="_Toc184310281"/>
      <w:bookmarkEnd w:id="63"/>
      <w:bookmarkStart w:id="64" w:name="_Toc184312119"/>
      <w:bookmarkEnd w:id="64"/>
      <w:bookmarkStart w:id="65" w:name="_Toc184313270"/>
      <w:bookmarkEnd w:id="65"/>
      <w:bookmarkStart w:id="66" w:name="_Toc184312105"/>
      <w:bookmarkEnd w:id="66"/>
      <w:bookmarkStart w:id="67" w:name="_Toc184313280"/>
      <w:bookmarkEnd w:id="67"/>
      <w:bookmarkStart w:id="68" w:name="_Toc184314410"/>
      <w:bookmarkEnd w:id="68"/>
      <w:bookmarkStart w:id="69" w:name="_Toc184313310"/>
      <w:bookmarkEnd w:id="69"/>
      <w:bookmarkStart w:id="70" w:name="_Toc184310282"/>
      <w:bookmarkEnd w:id="70"/>
      <w:bookmarkStart w:id="71" w:name="_Toc184312088"/>
      <w:bookmarkEnd w:id="71"/>
      <w:bookmarkStart w:id="72" w:name="_Toc184313250"/>
      <w:bookmarkEnd w:id="72"/>
      <w:bookmarkStart w:id="73" w:name="_Toc184310330"/>
      <w:bookmarkEnd w:id="73"/>
      <w:bookmarkStart w:id="74" w:name="_Toc184310302"/>
      <w:bookmarkEnd w:id="74"/>
      <w:bookmarkStart w:id="75" w:name="_Toc184313291"/>
      <w:bookmarkEnd w:id="75"/>
      <w:bookmarkStart w:id="76" w:name="_Toc184314462"/>
      <w:bookmarkEnd w:id="76"/>
      <w:bookmarkStart w:id="77" w:name="_Toc184312074"/>
      <w:bookmarkEnd w:id="77"/>
      <w:bookmarkStart w:id="78" w:name="_Toc184312109"/>
      <w:bookmarkEnd w:id="78"/>
      <w:bookmarkStart w:id="79" w:name="_Toc184312101"/>
      <w:bookmarkEnd w:id="79"/>
      <w:bookmarkStart w:id="80" w:name="_Toc184310290"/>
      <w:bookmarkEnd w:id="80"/>
      <w:bookmarkStart w:id="81" w:name="_Toc184310319"/>
      <w:bookmarkEnd w:id="81"/>
      <w:bookmarkStart w:id="82" w:name="_Toc184310286"/>
      <w:bookmarkEnd w:id="82"/>
      <w:bookmarkStart w:id="83" w:name="_Toc184308086"/>
      <w:bookmarkEnd w:id="83"/>
      <w:bookmarkStart w:id="84" w:name="_Toc184308108"/>
      <w:bookmarkEnd w:id="84"/>
      <w:bookmarkStart w:id="85" w:name="_Toc184314411"/>
      <w:bookmarkEnd w:id="85"/>
      <w:bookmarkStart w:id="86" w:name="_Toc184314471"/>
      <w:bookmarkEnd w:id="86"/>
      <w:bookmarkStart w:id="87" w:name="_Toc184308104"/>
      <w:bookmarkEnd w:id="87"/>
      <w:bookmarkStart w:id="88" w:name="_Toc184310273"/>
      <w:bookmarkEnd w:id="88"/>
      <w:bookmarkStart w:id="89" w:name="_Toc184308081"/>
      <w:bookmarkEnd w:id="89"/>
      <w:bookmarkStart w:id="90" w:name="_Toc184310304"/>
      <w:bookmarkEnd w:id="90"/>
      <w:bookmarkStart w:id="91" w:name="_Toc184308068"/>
      <w:bookmarkEnd w:id="91"/>
      <w:bookmarkStart w:id="92" w:name="_Toc184314467"/>
      <w:bookmarkEnd w:id="92"/>
      <w:bookmarkStart w:id="93" w:name="_Toc184312110"/>
      <w:bookmarkEnd w:id="93"/>
      <w:bookmarkStart w:id="94" w:name="_Toc184312137"/>
      <w:bookmarkEnd w:id="94"/>
      <w:bookmarkStart w:id="95" w:name="_Toc184308093"/>
      <w:bookmarkEnd w:id="95"/>
      <w:bookmarkStart w:id="96" w:name="_Toc184312132"/>
      <w:bookmarkEnd w:id="96"/>
      <w:bookmarkStart w:id="97" w:name="_Toc184312135"/>
      <w:bookmarkEnd w:id="97"/>
      <w:bookmarkStart w:id="98" w:name="_Toc184313283"/>
      <w:bookmarkEnd w:id="98"/>
      <w:bookmarkStart w:id="99" w:name="_Toc184313269"/>
      <w:bookmarkEnd w:id="99"/>
      <w:bookmarkStart w:id="100" w:name="_Toc184312095"/>
      <w:bookmarkEnd w:id="100"/>
      <w:bookmarkStart w:id="101" w:name="_Toc184314481"/>
      <w:bookmarkEnd w:id="101"/>
      <w:bookmarkStart w:id="102" w:name="_Toc184312111"/>
      <w:bookmarkEnd w:id="102"/>
      <w:bookmarkStart w:id="103" w:name="_Toc184314433"/>
      <w:bookmarkEnd w:id="103"/>
      <w:bookmarkStart w:id="104" w:name="_Toc184312120"/>
      <w:bookmarkEnd w:id="104"/>
      <w:bookmarkStart w:id="105" w:name="_Toc184310338"/>
      <w:bookmarkEnd w:id="105"/>
      <w:bookmarkStart w:id="106" w:name="_Toc184314417"/>
      <w:bookmarkEnd w:id="106"/>
      <w:bookmarkStart w:id="107" w:name="_Toc184310343"/>
      <w:bookmarkEnd w:id="107"/>
      <w:bookmarkStart w:id="108" w:name="_Toc184308058"/>
      <w:bookmarkEnd w:id="108"/>
      <w:bookmarkStart w:id="109" w:name="_Toc184308063"/>
      <w:bookmarkEnd w:id="109"/>
      <w:bookmarkStart w:id="110" w:name="_Toc184310308"/>
      <w:bookmarkEnd w:id="110"/>
      <w:bookmarkStart w:id="111" w:name="_Toc184312082"/>
      <w:bookmarkEnd w:id="111"/>
      <w:bookmarkStart w:id="112" w:name="_Toc184312075"/>
      <w:bookmarkEnd w:id="112"/>
      <w:bookmarkStart w:id="113" w:name="_Toc184310295"/>
      <w:bookmarkEnd w:id="113"/>
      <w:bookmarkStart w:id="114" w:name="_Toc184314450"/>
      <w:bookmarkEnd w:id="114"/>
      <w:bookmarkStart w:id="115" w:name="_Toc184308061"/>
      <w:bookmarkEnd w:id="115"/>
      <w:bookmarkStart w:id="116" w:name="_Toc184313287"/>
      <w:bookmarkEnd w:id="116"/>
      <w:bookmarkStart w:id="117" w:name="_Toc184314412"/>
      <w:bookmarkEnd w:id="117"/>
      <w:bookmarkStart w:id="118" w:name="_Toc184314479"/>
      <w:bookmarkEnd w:id="118"/>
      <w:bookmarkStart w:id="119" w:name="_Toc184314438"/>
      <w:bookmarkEnd w:id="119"/>
      <w:bookmarkStart w:id="120" w:name="_Toc184308091"/>
      <w:bookmarkEnd w:id="120"/>
      <w:bookmarkStart w:id="121" w:name="_Toc184313286"/>
      <w:bookmarkEnd w:id="121"/>
      <w:bookmarkStart w:id="122" w:name="_Toc184313284"/>
      <w:bookmarkEnd w:id="122"/>
      <w:bookmarkStart w:id="123" w:name="_Toc184314430"/>
      <w:bookmarkEnd w:id="123"/>
      <w:bookmarkStart w:id="124" w:name="_Toc184312106"/>
      <w:bookmarkEnd w:id="124"/>
      <w:bookmarkStart w:id="125" w:name="_Toc184312131"/>
      <w:bookmarkEnd w:id="125"/>
      <w:bookmarkStart w:id="126" w:name="_Toc184312099"/>
      <w:bookmarkEnd w:id="126"/>
      <w:bookmarkStart w:id="127" w:name="_Toc184310326"/>
      <w:bookmarkEnd w:id="127"/>
      <w:bookmarkStart w:id="128" w:name="_Toc184308090"/>
      <w:bookmarkEnd w:id="128"/>
      <w:bookmarkStart w:id="129" w:name="_Toc184308036"/>
      <w:bookmarkEnd w:id="129"/>
      <w:bookmarkStart w:id="130" w:name="_Toc184312123"/>
      <w:bookmarkEnd w:id="130"/>
      <w:bookmarkStart w:id="131" w:name="_Toc184312068"/>
      <w:bookmarkEnd w:id="131"/>
      <w:bookmarkStart w:id="132" w:name="_Toc184313281"/>
      <w:bookmarkEnd w:id="132"/>
      <w:bookmarkStart w:id="133" w:name="_Toc184310332"/>
      <w:bookmarkEnd w:id="133"/>
      <w:bookmarkStart w:id="134" w:name="_Toc184308051"/>
      <w:bookmarkEnd w:id="134"/>
      <w:bookmarkStart w:id="135" w:name="_Toc184310336"/>
      <w:bookmarkEnd w:id="135"/>
      <w:bookmarkStart w:id="136" w:name="_Toc184314447"/>
      <w:bookmarkEnd w:id="136"/>
      <w:bookmarkStart w:id="137" w:name="_Toc184314439"/>
      <w:bookmarkEnd w:id="137"/>
      <w:bookmarkStart w:id="138" w:name="_Toc184308067"/>
      <w:bookmarkEnd w:id="138"/>
      <w:bookmarkStart w:id="139" w:name="_Toc184308048"/>
      <w:bookmarkEnd w:id="139"/>
      <w:bookmarkStart w:id="140" w:name="_Toc184312093"/>
      <w:bookmarkEnd w:id="140"/>
      <w:bookmarkStart w:id="141" w:name="_Toc184313257"/>
      <w:bookmarkEnd w:id="141"/>
      <w:bookmarkStart w:id="142" w:name="_Toc184312092"/>
      <w:bookmarkEnd w:id="142"/>
      <w:bookmarkStart w:id="143" w:name="_Toc184313255"/>
      <w:bookmarkEnd w:id="143"/>
      <w:bookmarkStart w:id="144" w:name="_Toc184313258"/>
      <w:bookmarkEnd w:id="144"/>
      <w:bookmarkStart w:id="145" w:name="_Toc184313253"/>
      <w:bookmarkEnd w:id="145"/>
      <w:bookmarkStart w:id="146" w:name="_Toc184314475"/>
      <w:bookmarkEnd w:id="146"/>
      <w:bookmarkStart w:id="147" w:name="_Toc184308095"/>
      <w:bookmarkEnd w:id="147"/>
      <w:bookmarkStart w:id="148" w:name="_Toc184313242"/>
      <w:bookmarkEnd w:id="148"/>
      <w:bookmarkStart w:id="149" w:name="_Toc184308040"/>
      <w:bookmarkEnd w:id="149"/>
      <w:bookmarkStart w:id="150" w:name="_Toc184310316"/>
      <w:bookmarkEnd w:id="150"/>
      <w:bookmarkStart w:id="151" w:name="_Toc184314425"/>
      <w:bookmarkEnd w:id="151"/>
      <w:bookmarkStart w:id="152" w:name="_Toc184312127"/>
      <w:bookmarkEnd w:id="152"/>
      <w:bookmarkStart w:id="153" w:name="_Toc184308069"/>
      <w:bookmarkEnd w:id="153"/>
      <w:bookmarkStart w:id="154" w:name="_Toc184308065"/>
      <w:bookmarkEnd w:id="154"/>
      <w:bookmarkStart w:id="155" w:name="_Toc184312136"/>
      <w:bookmarkEnd w:id="155"/>
      <w:bookmarkStart w:id="156" w:name="_Toc184313288"/>
      <w:bookmarkEnd w:id="156"/>
      <w:bookmarkStart w:id="157" w:name="_Toc184310315"/>
      <w:bookmarkEnd w:id="157"/>
      <w:bookmarkStart w:id="158" w:name="_Toc184313308"/>
      <w:bookmarkEnd w:id="158"/>
      <w:bookmarkStart w:id="159" w:name="_Toc184312097"/>
      <w:bookmarkEnd w:id="159"/>
      <w:bookmarkStart w:id="160" w:name="_Toc184312134"/>
      <w:bookmarkEnd w:id="160"/>
      <w:bookmarkStart w:id="161" w:name="_Toc184310276"/>
      <w:bookmarkEnd w:id="161"/>
      <w:bookmarkStart w:id="162" w:name="_Toc184308052"/>
      <w:bookmarkEnd w:id="162"/>
      <w:bookmarkStart w:id="163" w:name="_Toc184313262"/>
      <w:bookmarkEnd w:id="163"/>
      <w:bookmarkStart w:id="164" w:name="_Toc184310317"/>
      <w:bookmarkEnd w:id="164"/>
      <w:bookmarkStart w:id="165" w:name="_Toc184314416"/>
      <w:bookmarkEnd w:id="165"/>
      <w:bookmarkStart w:id="166" w:name="_Toc184308087"/>
      <w:bookmarkEnd w:id="166"/>
      <w:bookmarkStart w:id="167" w:name="_Toc184314415"/>
      <w:bookmarkEnd w:id="167"/>
      <w:bookmarkStart w:id="168" w:name="_Toc184310324"/>
      <w:bookmarkEnd w:id="168"/>
      <w:bookmarkStart w:id="169" w:name="_Toc184314440"/>
      <w:bookmarkEnd w:id="169"/>
      <w:bookmarkStart w:id="170" w:name="_Toc184310307"/>
      <w:bookmarkEnd w:id="170"/>
      <w:bookmarkStart w:id="171" w:name="_Toc184308074"/>
      <w:bookmarkEnd w:id="171"/>
      <w:bookmarkStart w:id="172" w:name="_Toc184308106"/>
      <w:bookmarkEnd w:id="172"/>
      <w:bookmarkStart w:id="173" w:name="_Toc184312072"/>
      <w:bookmarkEnd w:id="173"/>
      <w:bookmarkStart w:id="174" w:name="_Toc184314453"/>
      <w:bookmarkEnd w:id="174"/>
      <w:bookmarkStart w:id="175" w:name="_Toc184312076"/>
      <w:bookmarkEnd w:id="175"/>
      <w:bookmarkStart w:id="176" w:name="_Toc184313272"/>
      <w:bookmarkEnd w:id="176"/>
      <w:bookmarkStart w:id="177" w:name="_Toc184312073"/>
      <w:bookmarkEnd w:id="177"/>
      <w:bookmarkStart w:id="178" w:name="_Toc184314414"/>
      <w:bookmarkEnd w:id="178"/>
      <w:bookmarkStart w:id="179" w:name="_Toc184314457"/>
      <w:bookmarkEnd w:id="179"/>
      <w:bookmarkStart w:id="180" w:name="_Toc184314424"/>
      <w:bookmarkEnd w:id="180"/>
      <w:bookmarkStart w:id="181" w:name="_Toc184308100"/>
      <w:bookmarkEnd w:id="181"/>
      <w:bookmarkStart w:id="182" w:name="_Toc184308045"/>
      <w:bookmarkEnd w:id="182"/>
      <w:bookmarkStart w:id="183" w:name="_Toc184308053"/>
      <w:bookmarkEnd w:id="183"/>
      <w:bookmarkStart w:id="184" w:name="_Toc184310297"/>
      <w:bookmarkEnd w:id="184"/>
      <w:bookmarkStart w:id="185" w:name="_Toc184312089"/>
      <w:bookmarkEnd w:id="185"/>
      <w:bookmarkStart w:id="186" w:name="_Toc184308047"/>
      <w:bookmarkEnd w:id="186"/>
      <w:bookmarkStart w:id="187" w:name="_Toc184312086"/>
      <w:bookmarkEnd w:id="187"/>
      <w:bookmarkStart w:id="188" w:name="_Toc184314468"/>
      <w:bookmarkEnd w:id="188"/>
      <w:bookmarkStart w:id="189" w:name="_Toc184310320"/>
      <w:bookmarkEnd w:id="189"/>
      <w:bookmarkStart w:id="190" w:name="_Toc184310306"/>
      <w:bookmarkEnd w:id="190"/>
      <w:bookmarkStart w:id="191" w:name="_Toc184313301"/>
      <w:bookmarkEnd w:id="191"/>
      <w:bookmarkStart w:id="192" w:name="_Toc184314473"/>
      <w:bookmarkEnd w:id="192"/>
      <w:bookmarkStart w:id="193" w:name="_Toc184308105"/>
      <w:bookmarkEnd w:id="193"/>
      <w:bookmarkStart w:id="194" w:name="_Toc184313300"/>
      <w:bookmarkEnd w:id="194"/>
      <w:bookmarkStart w:id="195" w:name="_Toc184312133"/>
      <w:bookmarkEnd w:id="195"/>
      <w:bookmarkStart w:id="196" w:name="_Toc184308085"/>
      <w:bookmarkEnd w:id="196"/>
      <w:bookmarkStart w:id="197" w:name="_Toc184313276"/>
      <w:bookmarkEnd w:id="197"/>
      <w:bookmarkStart w:id="198" w:name="_Toc184310331"/>
      <w:bookmarkEnd w:id="198"/>
      <w:bookmarkStart w:id="199" w:name="_Toc184314478"/>
      <w:bookmarkEnd w:id="199"/>
      <w:bookmarkStart w:id="200" w:name="_Toc184314448"/>
      <w:bookmarkEnd w:id="200"/>
      <w:bookmarkStart w:id="201" w:name="_Toc184314472"/>
      <w:bookmarkEnd w:id="201"/>
      <w:bookmarkStart w:id="202" w:name="_Toc184313279"/>
      <w:bookmarkEnd w:id="202"/>
      <w:bookmarkStart w:id="203" w:name="_Toc184312114"/>
      <w:bookmarkEnd w:id="203"/>
      <w:bookmarkStart w:id="204" w:name="_Toc184310337"/>
      <w:bookmarkEnd w:id="204"/>
      <w:bookmarkStart w:id="205" w:name="_Toc184310299"/>
      <w:bookmarkEnd w:id="205"/>
      <w:bookmarkStart w:id="206" w:name="_Toc184313251"/>
      <w:bookmarkEnd w:id="206"/>
      <w:bookmarkStart w:id="207" w:name="_Toc184314474"/>
      <w:bookmarkEnd w:id="207"/>
      <w:bookmarkStart w:id="208" w:name="_Toc184314436"/>
      <w:bookmarkEnd w:id="208"/>
      <w:bookmarkStart w:id="209" w:name="_Toc184314419"/>
      <w:bookmarkEnd w:id="209"/>
      <w:bookmarkStart w:id="210" w:name="_Toc184314455"/>
      <w:bookmarkEnd w:id="210"/>
      <w:bookmarkStart w:id="211" w:name="_Toc184312121"/>
      <w:bookmarkEnd w:id="211"/>
      <w:bookmarkStart w:id="212" w:name="_Toc184310294"/>
      <w:bookmarkEnd w:id="212"/>
      <w:bookmarkStart w:id="213" w:name="_Toc184308055"/>
      <w:bookmarkEnd w:id="213"/>
      <w:bookmarkStart w:id="214" w:name="_Toc184313297"/>
      <w:bookmarkEnd w:id="214"/>
      <w:bookmarkStart w:id="215" w:name="_Toc184313259"/>
      <w:bookmarkEnd w:id="215"/>
      <w:bookmarkStart w:id="216" w:name="_Toc184313282"/>
      <w:bookmarkEnd w:id="216"/>
      <w:bookmarkStart w:id="217" w:name="_Toc184314413"/>
      <w:bookmarkEnd w:id="217"/>
      <w:bookmarkStart w:id="218" w:name="_Toc184308082"/>
      <w:bookmarkEnd w:id="218"/>
      <w:bookmarkStart w:id="219" w:name="_Toc184313274"/>
      <w:bookmarkEnd w:id="219"/>
      <w:bookmarkStart w:id="220" w:name="_Toc184308046"/>
      <w:bookmarkEnd w:id="220"/>
      <w:bookmarkStart w:id="221" w:name="_Toc184313268"/>
      <w:bookmarkEnd w:id="221"/>
      <w:bookmarkStart w:id="222" w:name="_Toc184313299"/>
      <w:bookmarkEnd w:id="222"/>
      <w:bookmarkStart w:id="223" w:name="_Toc184308072"/>
      <w:bookmarkEnd w:id="223"/>
      <w:bookmarkStart w:id="224" w:name="_Toc184313243"/>
      <w:bookmarkEnd w:id="224"/>
      <w:bookmarkStart w:id="225" w:name="_Toc184314460"/>
      <w:bookmarkEnd w:id="225"/>
      <w:bookmarkStart w:id="226" w:name="_Toc184312069"/>
      <w:bookmarkEnd w:id="226"/>
      <w:bookmarkStart w:id="227" w:name="_Toc184313285"/>
      <w:bookmarkEnd w:id="227"/>
      <w:bookmarkStart w:id="228" w:name="_Toc184310318"/>
      <w:bookmarkEnd w:id="228"/>
      <w:bookmarkStart w:id="229" w:name="_Toc184310293"/>
      <w:bookmarkEnd w:id="229"/>
      <w:bookmarkStart w:id="230" w:name="_Toc184312094"/>
      <w:bookmarkEnd w:id="230"/>
      <w:bookmarkStart w:id="231" w:name="_Toc184314426"/>
      <w:bookmarkEnd w:id="231"/>
      <w:bookmarkStart w:id="232" w:name="_Toc184312113"/>
      <w:bookmarkEnd w:id="232"/>
      <w:bookmarkStart w:id="233" w:name="_Toc184308060"/>
      <w:bookmarkEnd w:id="233"/>
      <w:bookmarkStart w:id="234" w:name="_Toc184308103"/>
      <w:bookmarkEnd w:id="234"/>
      <w:bookmarkStart w:id="235" w:name="_Toc184308066"/>
      <w:bookmarkEnd w:id="235"/>
      <w:bookmarkStart w:id="236" w:name="_Toc184314456"/>
      <w:bookmarkEnd w:id="236"/>
      <w:bookmarkStart w:id="237" w:name="_Toc184314465"/>
      <w:bookmarkEnd w:id="237"/>
      <w:bookmarkStart w:id="238" w:name="_Toc184312079"/>
      <w:bookmarkEnd w:id="238"/>
      <w:bookmarkStart w:id="239" w:name="_Toc184308088"/>
      <w:bookmarkEnd w:id="239"/>
      <w:bookmarkStart w:id="240" w:name="_Toc184310328"/>
      <w:bookmarkEnd w:id="240"/>
      <w:bookmarkStart w:id="241" w:name="_Toc184314422"/>
      <w:bookmarkEnd w:id="241"/>
      <w:bookmarkStart w:id="242" w:name="_Toc184310333"/>
      <w:bookmarkEnd w:id="242"/>
      <w:bookmarkStart w:id="243" w:name="_Toc184310300"/>
      <w:bookmarkEnd w:id="243"/>
      <w:bookmarkStart w:id="244" w:name="_Toc184312116"/>
      <w:bookmarkEnd w:id="244"/>
      <w:bookmarkStart w:id="245" w:name="_Toc184310279"/>
      <w:bookmarkEnd w:id="245"/>
      <w:bookmarkStart w:id="246" w:name="_Toc184313295"/>
      <w:bookmarkEnd w:id="246"/>
      <w:bookmarkStart w:id="247" w:name="_Toc184310275"/>
      <w:bookmarkEnd w:id="247"/>
      <w:bookmarkStart w:id="248" w:name="_Toc184308107"/>
      <w:bookmarkEnd w:id="248"/>
      <w:bookmarkStart w:id="249" w:name="_Toc184313240"/>
      <w:bookmarkEnd w:id="249"/>
      <w:bookmarkStart w:id="250" w:name="_Toc184314459"/>
      <w:bookmarkEnd w:id="250"/>
      <w:bookmarkStart w:id="251" w:name="_Toc184312096"/>
      <w:bookmarkEnd w:id="251"/>
      <w:bookmarkStart w:id="252" w:name="_Toc184310301"/>
      <w:bookmarkEnd w:id="252"/>
      <w:bookmarkStart w:id="253" w:name="_Toc184313294"/>
      <w:bookmarkEnd w:id="253"/>
      <w:bookmarkStart w:id="254" w:name="_Toc184314441"/>
      <w:bookmarkEnd w:id="254"/>
      <w:bookmarkStart w:id="255" w:name="_Toc184313265"/>
      <w:bookmarkEnd w:id="255"/>
      <w:bookmarkStart w:id="256" w:name="_Toc184308070"/>
      <w:bookmarkEnd w:id="256"/>
      <w:bookmarkStart w:id="257" w:name="_Toc184314461"/>
      <w:bookmarkEnd w:id="257"/>
      <w:bookmarkStart w:id="258" w:name="_Toc184314451"/>
      <w:bookmarkEnd w:id="258"/>
      <w:bookmarkStart w:id="259" w:name="_Toc184313275"/>
      <w:bookmarkEnd w:id="259"/>
      <w:bookmarkStart w:id="260" w:name="_Toc184308073"/>
      <w:bookmarkEnd w:id="260"/>
      <w:bookmarkStart w:id="261" w:name="_Toc184314476"/>
      <w:bookmarkEnd w:id="261"/>
      <w:bookmarkStart w:id="262" w:name="_Toc184312070"/>
      <w:bookmarkEnd w:id="262"/>
      <w:bookmarkStart w:id="263" w:name="_Toc184313305"/>
      <w:bookmarkEnd w:id="263"/>
      <w:bookmarkStart w:id="264" w:name="_Toc184308062"/>
      <w:bookmarkEnd w:id="264"/>
      <w:bookmarkStart w:id="265" w:name="_Toc184313244"/>
      <w:bookmarkEnd w:id="265"/>
      <w:bookmarkStart w:id="266" w:name="_Toc184310340"/>
      <w:bookmarkEnd w:id="266"/>
      <w:bookmarkStart w:id="267" w:name="_Toc184308064"/>
      <w:bookmarkEnd w:id="267"/>
      <w:bookmarkStart w:id="268" w:name="_Toc184308044"/>
      <w:bookmarkEnd w:id="268"/>
      <w:bookmarkStart w:id="269" w:name="_Toc184308057"/>
      <w:bookmarkEnd w:id="269"/>
      <w:bookmarkStart w:id="270" w:name="_Toc184312104"/>
      <w:bookmarkEnd w:id="270"/>
      <w:bookmarkStart w:id="271" w:name="_Toc184308097"/>
      <w:bookmarkEnd w:id="271"/>
      <w:bookmarkStart w:id="272" w:name="_Toc184313239"/>
      <w:bookmarkEnd w:id="272"/>
      <w:bookmarkStart w:id="273" w:name="_Toc184313290"/>
      <w:bookmarkEnd w:id="273"/>
      <w:bookmarkStart w:id="274" w:name="_Toc184310292"/>
      <w:bookmarkEnd w:id="274"/>
      <w:bookmarkStart w:id="275" w:name="_Toc184310329"/>
      <w:bookmarkEnd w:id="275"/>
      <w:bookmarkStart w:id="276" w:name="_Toc184310287"/>
      <w:bookmarkEnd w:id="276"/>
      <w:bookmarkStart w:id="277" w:name="_Toc184314445"/>
      <w:bookmarkEnd w:id="277"/>
      <w:bookmarkStart w:id="278" w:name="_Toc184313293"/>
      <w:bookmarkEnd w:id="278"/>
      <w:bookmarkStart w:id="279" w:name="_Toc184314418"/>
      <w:bookmarkEnd w:id="279"/>
      <w:bookmarkStart w:id="280" w:name="_Toc184313249"/>
      <w:bookmarkEnd w:id="280"/>
      <w:bookmarkStart w:id="281" w:name="_Toc184313278"/>
      <w:bookmarkEnd w:id="281"/>
      <w:bookmarkStart w:id="282" w:name="_Toc184312080"/>
      <w:bookmarkEnd w:id="282"/>
      <w:bookmarkStart w:id="283" w:name="_Toc184314421"/>
      <w:bookmarkEnd w:id="283"/>
      <w:bookmarkStart w:id="284" w:name="_Toc184308076"/>
      <w:bookmarkEnd w:id="284"/>
      <w:bookmarkStart w:id="285" w:name="_Toc184308038"/>
      <w:bookmarkEnd w:id="285"/>
      <w:bookmarkStart w:id="286" w:name="_Toc184312108"/>
      <w:bookmarkEnd w:id="286"/>
      <w:bookmarkStart w:id="287" w:name="_Toc184310341"/>
      <w:bookmarkEnd w:id="287"/>
      <w:bookmarkStart w:id="288" w:name="_Toc184314434"/>
      <w:bookmarkEnd w:id="288"/>
      <w:bookmarkStart w:id="289" w:name="_Toc184312122"/>
      <w:bookmarkEnd w:id="289"/>
      <w:bookmarkStart w:id="290" w:name="_Toc184310313"/>
      <w:bookmarkEnd w:id="290"/>
      <w:bookmarkStart w:id="291" w:name="_Toc184312103"/>
      <w:bookmarkEnd w:id="291"/>
      <w:bookmarkStart w:id="292" w:name="_Toc184314464"/>
      <w:bookmarkEnd w:id="292"/>
      <w:bookmarkStart w:id="293" w:name="_Toc184310305"/>
      <w:bookmarkEnd w:id="293"/>
      <w:bookmarkStart w:id="294" w:name="_Toc184308042"/>
      <w:bookmarkEnd w:id="294"/>
      <w:bookmarkStart w:id="295" w:name="_Toc184313267"/>
      <w:bookmarkEnd w:id="295"/>
      <w:bookmarkStart w:id="296" w:name="_Toc184312098"/>
      <w:bookmarkEnd w:id="296"/>
      <w:bookmarkStart w:id="297" w:name="_Toc184314458"/>
      <w:bookmarkEnd w:id="297"/>
      <w:bookmarkStart w:id="298" w:name="_Toc184308083"/>
      <w:bookmarkEnd w:id="298"/>
      <w:bookmarkStart w:id="299" w:name="_Toc184313238"/>
      <w:bookmarkEnd w:id="299"/>
      <w:bookmarkStart w:id="300" w:name="_Toc184313256"/>
      <w:bookmarkEnd w:id="300"/>
      <w:bookmarkStart w:id="301" w:name="_Toc184312067"/>
      <w:bookmarkEnd w:id="301"/>
      <w:bookmarkStart w:id="302" w:name="_Toc184308094"/>
      <w:bookmarkEnd w:id="302"/>
      <w:bookmarkStart w:id="303" w:name="_Toc184312078"/>
      <w:bookmarkEnd w:id="303"/>
      <w:bookmarkStart w:id="304" w:name="_Toc184314429"/>
      <w:bookmarkEnd w:id="304"/>
      <w:bookmarkStart w:id="305" w:name="_Toc184308101"/>
      <w:bookmarkEnd w:id="305"/>
      <w:bookmarkStart w:id="306" w:name="_Toc184310335"/>
      <w:bookmarkEnd w:id="306"/>
      <w:bookmarkStart w:id="307" w:name="_Toc184314423"/>
      <w:bookmarkEnd w:id="307"/>
      <w:bookmarkStart w:id="308" w:name="_Toc184310280"/>
      <w:bookmarkEnd w:id="308"/>
      <w:bookmarkStart w:id="309" w:name="_Toc184314466"/>
      <w:bookmarkEnd w:id="309"/>
      <w:bookmarkStart w:id="310" w:name="_Toc184312124"/>
      <w:bookmarkEnd w:id="310"/>
      <w:bookmarkStart w:id="311" w:name="_Toc184312130"/>
      <w:bookmarkEnd w:id="311"/>
      <w:bookmarkStart w:id="312" w:name="_Toc184308096"/>
      <w:bookmarkEnd w:id="312"/>
      <w:bookmarkStart w:id="313" w:name="_Toc184308077"/>
      <w:bookmarkEnd w:id="313"/>
      <w:bookmarkStart w:id="314" w:name="_Toc184314480"/>
      <w:bookmarkEnd w:id="314"/>
      <w:bookmarkStart w:id="315" w:name="_Toc184314463"/>
      <w:bookmarkEnd w:id="315"/>
      <w:bookmarkStart w:id="316" w:name="_Toc184310311"/>
      <w:bookmarkEnd w:id="316"/>
      <w:bookmarkStart w:id="317" w:name="_Toc184310274"/>
      <w:bookmarkEnd w:id="317"/>
      <w:bookmarkStart w:id="318" w:name="_Toc184314469"/>
      <w:bookmarkEnd w:id="318"/>
      <w:bookmarkStart w:id="319" w:name="_Toc184314432"/>
      <w:bookmarkEnd w:id="319"/>
      <w:bookmarkStart w:id="320" w:name="_Toc184312100"/>
      <w:bookmarkEnd w:id="320"/>
      <w:bookmarkStart w:id="321" w:name="_Toc184310303"/>
      <w:bookmarkEnd w:id="321"/>
      <w:bookmarkStart w:id="322" w:name="_Toc184312071"/>
      <w:bookmarkEnd w:id="322"/>
      <w:bookmarkStart w:id="323" w:name="_Toc184310298"/>
      <w:bookmarkEnd w:id="323"/>
      <w:bookmarkStart w:id="324" w:name="_Toc184313273"/>
      <w:bookmarkEnd w:id="324"/>
      <w:bookmarkStart w:id="325" w:name="_Toc184310309"/>
      <w:bookmarkEnd w:id="325"/>
      <w:bookmarkStart w:id="326" w:name="_Toc184312083"/>
      <w:bookmarkEnd w:id="326"/>
      <w:bookmarkStart w:id="327" w:name="_Toc184310344"/>
      <w:bookmarkEnd w:id="327"/>
      <w:bookmarkStart w:id="328" w:name="_Toc184308080"/>
      <w:bookmarkEnd w:id="328"/>
      <w:bookmarkStart w:id="329" w:name="_Toc184314427"/>
      <w:bookmarkEnd w:id="329"/>
      <w:bookmarkStart w:id="330" w:name="_Toc184313298"/>
      <w:bookmarkEnd w:id="330"/>
      <w:bookmarkStart w:id="331" w:name="_Toc184313264"/>
      <w:bookmarkEnd w:id="331"/>
      <w:bookmarkStart w:id="332" w:name="_Toc184314482"/>
      <w:bookmarkEnd w:id="332"/>
      <w:bookmarkStart w:id="333" w:name="_Toc184314452"/>
      <w:bookmarkEnd w:id="333"/>
      <w:bookmarkStart w:id="334" w:name="_Toc184314477"/>
      <w:bookmarkEnd w:id="334"/>
      <w:bookmarkStart w:id="335" w:name="_Toc184313296"/>
      <w:bookmarkEnd w:id="335"/>
      <w:bookmarkStart w:id="336" w:name="_Toc184310325"/>
      <w:bookmarkEnd w:id="336"/>
      <w:bookmarkStart w:id="337" w:name="_Toc184314443"/>
      <w:bookmarkEnd w:id="337"/>
      <w:bookmarkStart w:id="338" w:name="_Toc184312077"/>
      <w:bookmarkEnd w:id="338"/>
      <w:bookmarkStart w:id="339" w:name="_Toc184313254"/>
      <w:bookmarkEnd w:id="339"/>
      <w:bookmarkStart w:id="340" w:name="_Toc184314444"/>
      <w:bookmarkEnd w:id="340"/>
      <w:bookmarkStart w:id="341" w:name="_Toc184308041"/>
      <w:bookmarkEnd w:id="341"/>
      <w:bookmarkStart w:id="342" w:name="_Toc184314428"/>
      <w:bookmarkEnd w:id="342"/>
      <w:bookmarkStart w:id="343" w:name="_Toc184308054"/>
      <w:bookmarkEnd w:id="343"/>
      <w:bookmarkStart w:id="344" w:name="_Toc184310310"/>
      <w:bookmarkEnd w:id="344"/>
      <w:bookmarkStart w:id="345" w:name="_Toc184313245"/>
      <w:bookmarkEnd w:id="345"/>
      <w:bookmarkStart w:id="346" w:name="_Toc184308075"/>
      <w:bookmarkEnd w:id="346"/>
      <w:bookmarkStart w:id="347" w:name="_Toc184310327"/>
      <w:bookmarkEnd w:id="347"/>
      <w:bookmarkStart w:id="348" w:name="_Toc184310339"/>
      <w:bookmarkEnd w:id="348"/>
      <w:bookmarkStart w:id="349" w:name="_Toc184310278"/>
      <w:bookmarkEnd w:id="349"/>
      <w:bookmarkStart w:id="350" w:name="_Toc184313248"/>
      <w:bookmarkEnd w:id="350"/>
      <w:bookmarkStart w:id="351" w:name="_Toc184314446"/>
      <w:bookmarkEnd w:id="351"/>
      <w:bookmarkStart w:id="352" w:name="_Toc184313271"/>
      <w:bookmarkEnd w:id="352"/>
      <w:bookmarkStart w:id="353" w:name="_Toc184308079"/>
      <w:bookmarkEnd w:id="353"/>
      <w:bookmarkStart w:id="354" w:name="_Toc184314449"/>
      <w:bookmarkEnd w:id="354"/>
      <w:bookmarkStart w:id="355" w:name="_Toc184312087"/>
      <w:bookmarkEnd w:id="355"/>
      <w:bookmarkStart w:id="356" w:name="_Toc184314437"/>
      <w:bookmarkEnd w:id="356"/>
      <w:bookmarkStart w:id="357" w:name="_Toc184310314"/>
      <w:bookmarkEnd w:id="357"/>
      <w:bookmarkStart w:id="358" w:name="_Toc184312126"/>
      <w:bookmarkEnd w:id="358"/>
      <w:bookmarkStart w:id="359" w:name="_Toc184310312"/>
      <w:bookmarkEnd w:id="359"/>
      <w:bookmarkStart w:id="360" w:name="_Toc184312091"/>
      <w:bookmarkEnd w:id="360"/>
      <w:bookmarkStart w:id="361" w:name="_Toc184310289"/>
      <w:bookmarkEnd w:id="361"/>
      <w:bookmarkStart w:id="362" w:name="_Toc184313309"/>
      <w:bookmarkEnd w:id="362"/>
      <w:bookmarkStart w:id="363" w:name="_Toc184313246"/>
      <w:bookmarkEnd w:id="363"/>
      <w:bookmarkStart w:id="364" w:name="_Toc184313303"/>
      <w:bookmarkEnd w:id="364"/>
      <w:bookmarkStart w:id="365" w:name="_Toc184308092"/>
      <w:bookmarkEnd w:id="365"/>
      <w:bookmarkStart w:id="366" w:name="_Toc184314435"/>
      <w:bookmarkEnd w:id="366"/>
      <w:bookmarkStart w:id="367" w:name="_Toc184313306"/>
      <w:bookmarkEnd w:id="367"/>
      <w:bookmarkStart w:id="368" w:name="_Toc184310272"/>
      <w:bookmarkEnd w:id="368"/>
      <w:bookmarkStart w:id="369" w:name="_Toc184310334"/>
      <w:bookmarkEnd w:id="369"/>
      <w:bookmarkStart w:id="370" w:name="_Toc184313252"/>
      <w:bookmarkEnd w:id="370"/>
      <w:bookmarkStart w:id="371" w:name="_Toc184314420"/>
      <w:bookmarkEnd w:id="371"/>
      <w:bookmarkStart w:id="372" w:name="_Toc184310283"/>
      <w:bookmarkEnd w:id="372"/>
      <w:bookmarkStart w:id="373" w:name="_Toc184312118"/>
      <w:bookmarkEnd w:id="373"/>
      <w:bookmarkStart w:id="374" w:name="_Toc184312115"/>
      <w:bookmarkEnd w:id="374"/>
      <w:bookmarkStart w:id="375" w:name="_Toc184310288"/>
      <w:bookmarkEnd w:id="375"/>
      <w:bookmarkStart w:id="376" w:name="_Toc184312117"/>
      <w:bookmarkEnd w:id="376"/>
      <w:bookmarkStart w:id="377" w:name="_Toc184313277"/>
      <w:bookmarkEnd w:id="377"/>
      <w:bookmarkStart w:id="378" w:name="_Toc184313247"/>
      <w:bookmarkEnd w:id="378"/>
      <w:bookmarkStart w:id="379" w:name="_Toc184313263"/>
      <w:bookmarkEnd w:id="379"/>
      <w:bookmarkStart w:id="380" w:name="_Toc184308102"/>
      <w:bookmarkEnd w:id="380"/>
      <w:bookmarkStart w:id="381" w:name="_Toc184308078"/>
      <w:bookmarkEnd w:id="381"/>
      <w:bookmarkStart w:id="382" w:name="_Toc184312125"/>
      <w:bookmarkEnd w:id="382"/>
      <w:bookmarkStart w:id="383" w:name="_Toc184312085"/>
      <w:bookmarkEnd w:id="383"/>
      <w:bookmarkStart w:id="384" w:name="_Toc184308043"/>
      <w:bookmarkEnd w:id="384"/>
      <w:bookmarkStart w:id="385" w:name="_Toc184313241"/>
      <w:bookmarkEnd w:id="385"/>
      <w:bookmarkStart w:id="386" w:name="_Toc184310291"/>
      <w:bookmarkEnd w:id="386"/>
      <w:bookmarkStart w:id="387" w:name="_Toc184313302"/>
      <w:bookmarkEnd w:id="387"/>
      <w:bookmarkStart w:id="388" w:name="_Toc184310321"/>
      <w:bookmarkEnd w:id="388"/>
      <w:bookmarkStart w:id="389" w:name="_Toc184312102"/>
      <w:bookmarkEnd w:id="389"/>
      <w:bookmarkStart w:id="390" w:name="_Toc184310322"/>
      <w:bookmarkEnd w:id="390"/>
      <w:bookmarkStart w:id="391" w:name="_Toc184314470"/>
      <w:bookmarkEnd w:id="391"/>
      <w:bookmarkStart w:id="392" w:name="_Toc184310342"/>
      <w:bookmarkEnd w:id="392"/>
      <w:bookmarkStart w:id="393" w:name="_Toc184312107"/>
      <w:bookmarkEnd w:id="393"/>
      <w:bookmarkStart w:id="394" w:name="_Toc184308049"/>
      <w:bookmarkEnd w:id="394"/>
      <w:bookmarkStart w:id="395" w:name="_Toc184308037"/>
      <w:bookmarkEnd w:id="395"/>
      <w:bookmarkStart w:id="396" w:name="_Toc184312081"/>
      <w:bookmarkEnd w:id="396"/>
      <w:bookmarkStart w:id="397" w:name="_Toc184312090"/>
      <w:bookmarkEnd w:id="397"/>
      <w:bookmarkStart w:id="398" w:name="_Toc184308098"/>
      <w:bookmarkEnd w:id="398"/>
      <w:bookmarkStart w:id="399" w:name="_Toc184314442"/>
      <w:bookmarkEnd w:id="399"/>
      <w:bookmarkStart w:id="400" w:name="_Toc184313304"/>
      <w:bookmarkEnd w:id="400"/>
      <w:bookmarkStart w:id="401" w:name="_Toc184308099"/>
      <w:bookmarkEnd w:id="401"/>
      <w:bookmarkStart w:id="402" w:name="_Toc184313266"/>
      <w:bookmarkEnd w:id="402"/>
      <w:bookmarkStart w:id="403" w:name="_Toc184308056"/>
      <w:bookmarkEnd w:id="403"/>
      <w:bookmarkStart w:id="404" w:name="_Toc184308059"/>
      <w:bookmarkEnd w:id="404"/>
      <w:bookmarkStart w:id="405" w:name="_Toc184308039"/>
      <w:bookmarkEnd w:id="405"/>
      <w:bookmarkStart w:id="406" w:name="_Toc184308071"/>
      <w:bookmarkEnd w:id="406"/>
      <w:bookmarkStart w:id="407" w:name="_Toc184310323"/>
      <w:bookmarkEnd w:id="407"/>
      <w:bookmarkStart w:id="408" w:name="_Toc184314454"/>
      <w:bookmarkEnd w:id="408"/>
      <w:bookmarkStart w:id="409" w:name="_Toc184312129"/>
      <w:bookmarkEnd w:id="409"/>
      <w:bookmarkStart w:id="410" w:name="_Toc184313307"/>
      <w:bookmarkEnd w:id="410"/>
      <w:bookmarkStart w:id="411" w:name="_Toc184308089"/>
      <w:bookmarkEnd w:id="411"/>
      <w:bookmarkStart w:id="412" w:name="_Toc184314431"/>
      <w:bookmarkEnd w:id="412"/>
      <w:bookmarkStart w:id="413" w:name="_Toc184310285"/>
      <w:bookmarkEnd w:id="413"/>
      <w:bookmarkStart w:id="414" w:name="_Toc184308050"/>
      <w:bookmarkEnd w:id="414"/>
      <w:bookmarkStart w:id="415" w:name="_Toc184313289"/>
      <w:bookmarkEnd w:id="415"/>
      <w:bookmarkStart w:id="416" w:name="_Toc184313292"/>
      <w:bookmarkEnd w:id="416"/>
      <w:bookmarkStart w:id="417" w:name="_Toc184310277"/>
      <w:bookmarkEnd w:id="417"/>
      <w:r>
        <w:rPr>
          <w:rFonts w:hint="eastAsia" w:cs="仿宋" w:asciiTheme="majorEastAsia" w:hAnsiTheme="majorEastAsia" w:eastAsiaTheme="majorEastAsia"/>
          <w:b/>
          <w:sz w:val="36"/>
          <w:szCs w:val="36"/>
          <w:highlight w:val="none"/>
        </w:rPr>
        <w:t>评标办法</w:t>
      </w:r>
    </w:p>
    <w:p w14:paraId="5D34C741">
      <w:pPr>
        <w:kinsoku/>
        <w:wordWrap/>
        <w:overflowPunct/>
        <w:topLinePunct w:val="0"/>
        <w:bidi w:val="0"/>
        <w:snapToGrid w:val="0"/>
        <w:spacing w:line="360" w:lineRule="auto"/>
        <w:jc w:val="center"/>
        <w:rPr>
          <w:rFonts w:hint="eastAsia" w:cs="仿宋" w:asciiTheme="majorEastAsia" w:hAnsiTheme="majorEastAsia" w:eastAsiaTheme="majorEastAsia"/>
          <w:b/>
          <w:sz w:val="32"/>
          <w:szCs w:val="20"/>
          <w:highlight w:val="none"/>
        </w:rPr>
      </w:pPr>
      <w:r>
        <w:rPr>
          <w:rFonts w:hint="eastAsia" w:cs="仿宋" w:asciiTheme="majorEastAsia" w:hAnsiTheme="majorEastAsia" w:eastAsiaTheme="majorEastAsia"/>
          <w:b/>
          <w:sz w:val="32"/>
          <w:szCs w:val="20"/>
          <w:highlight w:val="none"/>
        </w:rPr>
        <w:t>评标办法前附表</w:t>
      </w:r>
    </w:p>
    <w:tbl>
      <w:tblPr>
        <w:tblStyle w:val="26"/>
        <w:tblW w:w="9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8094"/>
      </w:tblGrid>
      <w:tr w14:paraId="43E5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00" w:type="dxa"/>
            <w:noWrap/>
            <w:vAlign w:val="center"/>
          </w:tcPr>
          <w:p w14:paraId="783AC3F2">
            <w:pPr>
              <w:kinsoku w:val="0"/>
              <w:spacing w:line="360" w:lineRule="auto"/>
              <w:ind w:left="-88" w:leftChars="-42" w:right="-113" w:rightChars="-54"/>
              <w:jc w:val="center"/>
              <w:rPr>
                <w:rFonts w:hint="eastAsia" w:ascii="宋体" w:hAnsi="宋体" w:cs="宋体"/>
                <w:sz w:val="22"/>
                <w:szCs w:val="22"/>
                <w:highlight w:val="none"/>
              </w:rPr>
            </w:pPr>
            <w:r>
              <w:rPr>
                <w:rFonts w:hint="eastAsia" w:ascii="宋体" w:hAnsi="宋体" w:cs="宋体"/>
                <w:sz w:val="22"/>
                <w:szCs w:val="22"/>
                <w:highlight w:val="none"/>
              </w:rPr>
              <w:t>评审指标</w:t>
            </w:r>
          </w:p>
        </w:tc>
        <w:tc>
          <w:tcPr>
            <w:tcW w:w="8094" w:type="dxa"/>
            <w:noWrap/>
            <w:vAlign w:val="center"/>
          </w:tcPr>
          <w:p w14:paraId="25266CA9">
            <w:pPr>
              <w:kinsoku w:val="0"/>
              <w:spacing w:line="360" w:lineRule="auto"/>
              <w:ind w:left="-88" w:leftChars="-42" w:right="-113" w:rightChars="-54"/>
              <w:jc w:val="center"/>
              <w:rPr>
                <w:rFonts w:hint="eastAsia" w:ascii="宋体" w:hAnsi="宋体" w:cs="宋体"/>
                <w:sz w:val="22"/>
                <w:szCs w:val="22"/>
                <w:highlight w:val="none"/>
              </w:rPr>
            </w:pPr>
            <w:r>
              <w:rPr>
                <w:rFonts w:hint="eastAsia" w:ascii="宋体" w:hAnsi="宋体" w:cs="宋体"/>
                <w:sz w:val="22"/>
                <w:szCs w:val="22"/>
                <w:highlight w:val="none"/>
              </w:rPr>
              <w:t>评分描述</w:t>
            </w:r>
          </w:p>
        </w:tc>
      </w:tr>
      <w:tr w14:paraId="560E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1700" w:type="dxa"/>
            <w:noWrap/>
            <w:vAlign w:val="center"/>
          </w:tcPr>
          <w:p w14:paraId="00E566FB">
            <w:pPr>
              <w:spacing w:line="360" w:lineRule="auto"/>
              <w:jc w:val="center"/>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技术响应情况</w:t>
            </w:r>
          </w:p>
          <w:p w14:paraId="26007ABF">
            <w:pPr>
              <w:spacing w:line="360" w:lineRule="auto"/>
              <w:jc w:val="center"/>
              <w:rPr>
                <w:rFonts w:hint="eastAsia" w:ascii="宋体" w:hAnsi="宋体" w:cs="宋体"/>
                <w:b/>
                <w:bCs/>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11</w:t>
            </w:r>
            <w:r>
              <w:rPr>
                <w:rFonts w:hint="eastAsia" w:ascii="宋体" w:hAnsi="宋体" w:cs="宋体"/>
                <w:sz w:val="22"/>
                <w:szCs w:val="22"/>
                <w:highlight w:val="none"/>
              </w:rPr>
              <w:t>分）</w:t>
            </w:r>
          </w:p>
        </w:tc>
        <w:tc>
          <w:tcPr>
            <w:tcW w:w="8094" w:type="dxa"/>
            <w:noWrap/>
            <w:vAlign w:val="center"/>
          </w:tcPr>
          <w:p w14:paraId="17F717DE">
            <w:pPr>
              <w:pStyle w:val="7"/>
              <w:widowControl w:val="0"/>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技术响应情况（</w:t>
            </w:r>
            <w:r>
              <w:rPr>
                <w:rFonts w:hint="eastAsia" w:hAnsi="宋体" w:cs="宋体"/>
                <w:snapToGrid/>
                <w:color w:val="auto"/>
                <w:kern w:val="2"/>
                <w:sz w:val="22"/>
                <w:szCs w:val="22"/>
                <w:highlight w:val="none"/>
                <w:lang w:val="en-US" w:eastAsia="zh-CN" w:bidi="ar-SA"/>
              </w:rPr>
              <w:t>11</w:t>
            </w:r>
            <w:r>
              <w:rPr>
                <w:rFonts w:hint="eastAsia" w:ascii="宋体" w:hAnsi="宋体" w:eastAsia="宋体" w:cs="宋体"/>
                <w:snapToGrid/>
                <w:color w:val="auto"/>
                <w:kern w:val="2"/>
                <w:sz w:val="22"/>
                <w:szCs w:val="22"/>
                <w:highlight w:val="none"/>
                <w:lang w:val="en-US" w:eastAsia="zh-CN" w:bidi="ar-SA"/>
              </w:rPr>
              <w:t>分）</w:t>
            </w:r>
          </w:p>
          <w:p w14:paraId="699247CC">
            <w:pPr>
              <w:pStyle w:val="7"/>
              <w:widowControl w:val="0"/>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根据供应商针对本采购文件“第三部分 采购需求”的响应情况进行评审：完全满足要求的得</w:t>
            </w:r>
            <w:r>
              <w:rPr>
                <w:rFonts w:hint="eastAsia" w:hAnsi="宋体" w:cs="宋体"/>
                <w:snapToGrid/>
                <w:color w:val="auto"/>
                <w:kern w:val="2"/>
                <w:sz w:val="22"/>
                <w:szCs w:val="22"/>
                <w:highlight w:val="none"/>
                <w:lang w:val="en-US" w:eastAsia="zh-CN" w:bidi="ar-SA"/>
              </w:rPr>
              <w:t>11</w:t>
            </w:r>
            <w:r>
              <w:rPr>
                <w:rFonts w:hint="eastAsia" w:ascii="宋体" w:hAnsi="宋体" w:eastAsia="宋体" w:cs="宋体"/>
                <w:snapToGrid/>
                <w:color w:val="auto"/>
                <w:kern w:val="2"/>
                <w:sz w:val="22"/>
                <w:szCs w:val="22"/>
                <w:highlight w:val="none"/>
                <w:lang w:val="en-US" w:eastAsia="zh-CN" w:bidi="ar-SA"/>
              </w:rPr>
              <w:t>分。一般技术参数每负偏离一项扣1分，扣完为止。负偏离任一项（带“▲”）技术参数的作无效标处理。采购文件中如要求提供铭牌参数、相关证明资料、中国能效标识网截图，未提供或提供不满足的视为负偏离。</w:t>
            </w:r>
          </w:p>
          <w:p w14:paraId="2F68B99E">
            <w:pPr>
              <w:pStyle w:val="7"/>
              <w:widowControl w:val="0"/>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注：其中1项是指采购需求中的最小序号。采购需求内有不同项，但参数要求一样的，投标响应文件不满足、未提供或者负偏离的，按1项扣分，不重复扣分。</w:t>
            </w:r>
          </w:p>
        </w:tc>
      </w:tr>
      <w:tr w14:paraId="47DB2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1700" w:type="dxa"/>
            <w:vMerge w:val="restart"/>
            <w:noWrap/>
            <w:vAlign w:val="center"/>
          </w:tcPr>
          <w:p w14:paraId="227D7DAB">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样品</w:t>
            </w:r>
          </w:p>
          <w:p w14:paraId="70294039">
            <w:pPr>
              <w:spacing w:line="360" w:lineRule="auto"/>
              <w:jc w:val="center"/>
              <w:rPr>
                <w:rFonts w:hint="eastAsia" w:ascii="宋体" w:hAnsi="宋体" w:cs="宋体"/>
                <w:sz w:val="22"/>
                <w:szCs w:val="22"/>
                <w:highlight w:val="none"/>
              </w:rPr>
            </w:pPr>
            <w:r>
              <w:rPr>
                <w:rFonts w:hint="eastAsia" w:ascii="宋体" w:hAnsi="宋体" w:cs="宋体"/>
                <w:sz w:val="22"/>
                <w:szCs w:val="22"/>
                <w:highlight w:val="none"/>
              </w:rPr>
              <w:t>（</w:t>
            </w:r>
            <w:r>
              <w:rPr>
                <w:rFonts w:hint="eastAsia" w:ascii="宋体" w:hAnsi="宋体" w:cs="宋体"/>
                <w:sz w:val="22"/>
                <w:szCs w:val="22"/>
                <w:highlight w:val="none"/>
                <w:lang w:val="en-US" w:eastAsia="zh-CN"/>
              </w:rPr>
              <w:t>16</w:t>
            </w:r>
            <w:r>
              <w:rPr>
                <w:rFonts w:hint="eastAsia" w:ascii="宋体" w:hAnsi="宋体" w:cs="宋体"/>
                <w:sz w:val="22"/>
                <w:szCs w:val="22"/>
                <w:highlight w:val="none"/>
              </w:rPr>
              <w:t>分）</w:t>
            </w:r>
          </w:p>
          <w:p w14:paraId="6E44FF60">
            <w:pPr>
              <w:spacing w:line="360" w:lineRule="auto"/>
              <w:jc w:val="center"/>
              <w:rPr>
                <w:rFonts w:hint="eastAsia" w:ascii="宋体" w:hAnsi="宋体" w:cs="宋体"/>
                <w:sz w:val="22"/>
                <w:szCs w:val="22"/>
                <w:highlight w:val="none"/>
              </w:rPr>
            </w:pPr>
            <w:r>
              <w:rPr>
                <w:rFonts w:hint="eastAsia"/>
                <w:b/>
                <w:bCs/>
                <w:sz w:val="22"/>
                <w:szCs w:val="22"/>
                <w:highlight w:val="none"/>
              </w:rPr>
              <w:t>（未提供实物样品的、错送</w:t>
            </w:r>
            <w:r>
              <w:rPr>
                <w:rFonts w:hint="eastAsia"/>
                <w:b/>
                <w:bCs/>
                <w:sz w:val="22"/>
                <w:szCs w:val="22"/>
                <w:highlight w:val="none"/>
                <w:lang w:val="en-US" w:eastAsia="zh-CN"/>
              </w:rPr>
              <w:t>或漏送</w:t>
            </w:r>
            <w:r>
              <w:rPr>
                <w:rFonts w:hint="eastAsia"/>
                <w:b/>
                <w:bCs/>
                <w:sz w:val="22"/>
                <w:szCs w:val="22"/>
                <w:highlight w:val="none"/>
              </w:rPr>
              <w:t>样品</w:t>
            </w:r>
            <w:r>
              <w:rPr>
                <w:rFonts w:hint="eastAsia"/>
                <w:b/>
                <w:bCs/>
                <w:sz w:val="22"/>
                <w:szCs w:val="22"/>
                <w:highlight w:val="none"/>
                <w:lang w:val="en-US" w:eastAsia="zh-CN"/>
              </w:rPr>
              <w:t>的全部样品分直接按0分计</w:t>
            </w:r>
            <w:r>
              <w:rPr>
                <w:rFonts w:hint="eastAsia"/>
                <w:b/>
                <w:bCs/>
                <w:sz w:val="22"/>
                <w:szCs w:val="22"/>
                <w:highlight w:val="none"/>
              </w:rPr>
              <w:t>）</w:t>
            </w:r>
          </w:p>
          <w:p w14:paraId="5C1568F5">
            <w:pPr>
              <w:spacing w:line="360" w:lineRule="auto"/>
              <w:jc w:val="center"/>
              <w:rPr>
                <w:rFonts w:ascii="宋体" w:hAnsi="宋体" w:cs="宋体"/>
                <w:sz w:val="22"/>
                <w:szCs w:val="22"/>
                <w:highlight w:val="none"/>
              </w:rPr>
            </w:pPr>
          </w:p>
        </w:tc>
        <w:tc>
          <w:tcPr>
            <w:tcW w:w="8094" w:type="dxa"/>
            <w:noWrap/>
            <w:vAlign w:val="top"/>
          </w:tcPr>
          <w:p w14:paraId="49A99F38">
            <w:pPr>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冰箱（4分）</w:t>
            </w:r>
          </w:p>
          <w:p w14:paraId="78CD602C">
            <w:pPr>
              <w:numPr>
                <w:ilvl w:val="0"/>
                <w:numId w:val="0"/>
              </w:numPr>
              <w:spacing w:line="360" w:lineRule="auto"/>
              <w:ind w:leftChars="0"/>
              <w:jc w:val="both"/>
              <w:rPr>
                <w:rFonts w:hint="default"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根据供应商提供的产品进行评议：</w:t>
            </w:r>
            <w:r>
              <w:rPr>
                <w:rFonts w:hint="default" w:ascii="宋体" w:hAnsi="宋体" w:eastAsia="宋体" w:cs="宋体"/>
                <w:snapToGrid/>
                <w:color w:val="auto"/>
                <w:kern w:val="2"/>
                <w:sz w:val="22"/>
                <w:szCs w:val="22"/>
                <w:highlight w:val="none"/>
                <w:lang w:val="en-US" w:eastAsia="zh-CN" w:bidi="ar-SA"/>
              </w:rPr>
              <w:t>①</w:t>
            </w:r>
            <w:r>
              <w:rPr>
                <w:rFonts w:hint="eastAsia" w:ascii="宋体" w:hAnsi="宋体" w:eastAsia="宋体" w:cs="宋体"/>
                <w:snapToGrid/>
                <w:color w:val="auto"/>
                <w:kern w:val="2"/>
                <w:sz w:val="22"/>
                <w:szCs w:val="22"/>
                <w:highlight w:val="none"/>
                <w:lang w:val="en-US" w:eastAsia="zh-CN" w:bidi="ar-SA"/>
              </w:rPr>
              <w:t>款式新颖，外观时尚线条流畅自然；②产品表面触感舒适，工艺精湛；③产品功能丰富且覆盖日常常见需求；④操作流程简便，标识清晰；⑤产品结构设计合理，易于清洗、保养；全部满足得4分，满足3-4点得2分，满足1-2点得1分</w:t>
            </w:r>
            <w:r>
              <w:rPr>
                <w:rFonts w:hint="eastAsia" w:ascii="宋体" w:hAnsi="宋体" w:cs="宋体"/>
                <w:snapToGrid/>
                <w:color w:val="auto"/>
                <w:kern w:val="2"/>
                <w:sz w:val="22"/>
                <w:szCs w:val="22"/>
                <w:highlight w:val="none"/>
                <w:lang w:val="en-US" w:eastAsia="zh-CN" w:bidi="ar-SA"/>
              </w:rPr>
              <w:t>，全都不满足得0分</w:t>
            </w:r>
            <w:r>
              <w:rPr>
                <w:rFonts w:hint="eastAsia" w:ascii="宋体" w:hAnsi="宋体" w:eastAsia="宋体" w:cs="宋体"/>
                <w:snapToGrid/>
                <w:color w:val="auto"/>
                <w:kern w:val="2"/>
                <w:sz w:val="22"/>
                <w:szCs w:val="22"/>
                <w:highlight w:val="none"/>
                <w:lang w:val="en-US" w:eastAsia="zh-CN" w:bidi="ar-SA"/>
              </w:rPr>
              <w:t>。</w:t>
            </w:r>
          </w:p>
        </w:tc>
      </w:tr>
      <w:tr w14:paraId="23CD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1700" w:type="dxa"/>
            <w:vMerge w:val="continue"/>
            <w:noWrap/>
            <w:vAlign w:val="center"/>
          </w:tcPr>
          <w:p w14:paraId="4C23754A">
            <w:pPr>
              <w:spacing w:line="360" w:lineRule="auto"/>
              <w:jc w:val="left"/>
              <w:rPr>
                <w:sz w:val="22"/>
                <w:szCs w:val="22"/>
                <w:highlight w:val="none"/>
              </w:rPr>
            </w:pPr>
          </w:p>
        </w:tc>
        <w:tc>
          <w:tcPr>
            <w:tcW w:w="8094" w:type="dxa"/>
            <w:noWrap/>
            <w:vAlign w:val="top"/>
          </w:tcPr>
          <w:p w14:paraId="46DC4210">
            <w:pPr>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洗衣机（4分）</w:t>
            </w:r>
          </w:p>
          <w:p w14:paraId="29D8F541">
            <w:pPr>
              <w:numPr>
                <w:ilvl w:val="0"/>
                <w:numId w:val="0"/>
              </w:numPr>
              <w:spacing w:line="360" w:lineRule="auto"/>
              <w:ind w:leftChars="0"/>
              <w:jc w:val="both"/>
              <w:rPr>
                <w:rFonts w:hint="default"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根据供应商提供的产品进行评议：</w:t>
            </w:r>
            <w:r>
              <w:rPr>
                <w:rFonts w:hint="default" w:ascii="宋体" w:hAnsi="宋体" w:eastAsia="宋体" w:cs="宋体"/>
                <w:snapToGrid/>
                <w:color w:val="auto"/>
                <w:kern w:val="2"/>
                <w:sz w:val="22"/>
                <w:szCs w:val="22"/>
                <w:highlight w:val="none"/>
                <w:lang w:val="en-US" w:eastAsia="zh-CN" w:bidi="ar-SA"/>
              </w:rPr>
              <w:t>①</w:t>
            </w:r>
            <w:r>
              <w:rPr>
                <w:rFonts w:hint="eastAsia" w:ascii="宋体" w:hAnsi="宋体" w:eastAsia="宋体" w:cs="宋体"/>
                <w:snapToGrid/>
                <w:color w:val="auto"/>
                <w:kern w:val="2"/>
                <w:sz w:val="22"/>
                <w:szCs w:val="22"/>
                <w:highlight w:val="none"/>
                <w:lang w:val="en-US" w:eastAsia="zh-CN" w:bidi="ar-SA"/>
              </w:rPr>
              <w:t>款式新颖，外观时尚线条流畅自然；②产品表面触感舒适，工艺精湛；③产品功能丰富且覆盖日常常见需求；④操作流程简便，标识清晰；⑤产品结构设计合理，易于清洗、保养；全部满足得4分，满足3-4点得2分，满足1-2点得1分</w:t>
            </w:r>
            <w:r>
              <w:rPr>
                <w:rFonts w:hint="eastAsia" w:ascii="宋体" w:hAnsi="宋体" w:cs="宋体"/>
                <w:snapToGrid/>
                <w:color w:val="auto"/>
                <w:kern w:val="2"/>
                <w:sz w:val="22"/>
                <w:szCs w:val="22"/>
                <w:highlight w:val="none"/>
                <w:lang w:val="en-US" w:eastAsia="zh-CN" w:bidi="ar-SA"/>
              </w:rPr>
              <w:t>，全都不满足得0分</w:t>
            </w:r>
            <w:r>
              <w:rPr>
                <w:rFonts w:hint="eastAsia" w:ascii="宋体" w:hAnsi="宋体" w:eastAsia="宋体" w:cs="宋体"/>
                <w:snapToGrid/>
                <w:color w:val="auto"/>
                <w:kern w:val="2"/>
                <w:sz w:val="22"/>
                <w:szCs w:val="22"/>
                <w:highlight w:val="none"/>
                <w:lang w:val="en-US" w:eastAsia="zh-CN" w:bidi="ar-SA"/>
              </w:rPr>
              <w:t>。</w:t>
            </w:r>
          </w:p>
        </w:tc>
      </w:tr>
      <w:tr w14:paraId="7B3F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700" w:type="dxa"/>
            <w:vMerge w:val="continue"/>
            <w:noWrap/>
            <w:vAlign w:val="center"/>
          </w:tcPr>
          <w:p w14:paraId="30EFB967">
            <w:pPr>
              <w:spacing w:line="360" w:lineRule="auto"/>
              <w:jc w:val="left"/>
              <w:rPr>
                <w:rFonts w:hint="eastAsia"/>
                <w:b/>
                <w:bCs/>
                <w:sz w:val="22"/>
                <w:szCs w:val="22"/>
                <w:highlight w:val="none"/>
              </w:rPr>
            </w:pPr>
          </w:p>
        </w:tc>
        <w:tc>
          <w:tcPr>
            <w:tcW w:w="8094" w:type="dxa"/>
            <w:shd w:val="clear" w:color="auto" w:fill="auto"/>
            <w:noWrap/>
            <w:vAlign w:val="top"/>
          </w:tcPr>
          <w:p w14:paraId="6C35BA73">
            <w:pPr>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油烟机（4分）</w:t>
            </w:r>
          </w:p>
          <w:p w14:paraId="3D59E7A4">
            <w:pPr>
              <w:numPr>
                <w:ilvl w:val="0"/>
                <w:numId w:val="0"/>
              </w:numPr>
              <w:spacing w:line="360" w:lineRule="auto"/>
              <w:ind w:leftChars="0"/>
              <w:jc w:val="both"/>
              <w:rPr>
                <w:rFonts w:hint="default"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根据供应商提供的产品进行评议：</w:t>
            </w:r>
            <w:r>
              <w:rPr>
                <w:rFonts w:hint="default" w:ascii="宋体" w:hAnsi="宋体" w:eastAsia="宋体" w:cs="宋体"/>
                <w:snapToGrid/>
                <w:color w:val="auto"/>
                <w:kern w:val="2"/>
                <w:sz w:val="22"/>
                <w:szCs w:val="22"/>
                <w:highlight w:val="none"/>
                <w:lang w:val="en-US" w:eastAsia="zh-CN" w:bidi="ar-SA"/>
              </w:rPr>
              <w:t>①</w:t>
            </w:r>
            <w:r>
              <w:rPr>
                <w:rFonts w:hint="eastAsia" w:ascii="宋体" w:hAnsi="宋体" w:eastAsia="宋体" w:cs="宋体"/>
                <w:snapToGrid/>
                <w:color w:val="auto"/>
                <w:kern w:val="2"/>
                <w:sz w:val="22"/>
                <w:szCs w:val="22"/>
                <w:highlight w:val="none"/>
                <w:lang w:val="en-US" w:eastAsia="zh-CN" w:bidi="ar-SA"/>
              </w:rPr>
              <w:t>款式新颖，外观时尚线条流畅自然；②产品表面触感舒适，工艺精湛；③产品功能丰富且覆盖日常常见需求；④操作流程简便，标识清晰；⑤产品结构设计合理，易于清洗、保养；全部满足得4分，满足3-4点得2分，满足1-2点得1分</w:t>
            </w:r>
            <w:r>
              <w:rPr>
                <w:rFonts w:hint="eastAsia" w:ascii="宋体" w:hAnsi="宋体" w:cs="宋体"/>
                <w:snapToGrid/>
                <w:color w:val="auto"/>
                <w:kern w:val="2"/>
                <w:sz w:val="22"/>
                <w:szCs w:val="22"/>
                <w:highlight w:val="none"/>
                <w:lang w:val="en-US" w:eastAsia="zh-CN" w:bidi="ar-SA"/>
              </w:rPr>
              <w:t>，全都不满足得0分</w:t>
            </w:r>
            <w:r>
              <w:rPr>
                <w:rFonts w:hint="eastAsia" w:ascii="宋体" w:hAnsi="宋体" w:eastAsia="宋体" w:cs="宋体"/>
                <w:snapToGrid/>
                <w:color w:val="auto"/>
                <w:kern w:val="2"/>
                <w:sz w:val="22"/>
                <w:szCs w:val="22"/>
                <w:highlight w:val="none"/>
                <w:lang w:val="en-US" w:eastAsia="zh-CN" w:bidi="ar-SA"/>
              </w:rPr>
              <w:t>。</w:t>
            </w:r>
          </w:p>
        </w:tc>
      </w:tr>
      <w:tr w14:paraId="4B82F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700" w:type="dxa"/>
            <w:vMerge w:val="continue"/>
            <w:noWrap/>
            <w:vAlign w:val="center"/>
          </w:tcPr>
          <w:p w14:paraId="0528CA65">
            <w:pPr>
              <w:spacing w:line="360" w:lineRule="auto"/>
              <w:jc w:val="left"/>
              <w:rPr>
                <w:rFonts w:hint="eastAsia"/>
                <w:b/>
                <w:bCs/>
                <w:sz w:val="22"/>
                <w:szCs w:val="22"/>
                <w:highlight w:val="none"/>
              </w:rPr>
            </w:pPr>
          </w:p>
        </w:tc>
        <w:tc>
          <w:tcPr>
            <w:tcW w:w="8094" w:type="dxa"/>
            <w:shd w:val="clear" w:color="auto" w:fill="auto"/>
            <w:noWrap/>
            <w:vAlign w:val="top"/>
          </w:tcPr>
          <w:p w14:paraId="50275B2B">
            <w:pPr>
              <w:numPr>
                <w:ilvl w:val="0"/>
                <w:numId w:val="0"/>
              </w:numPr>
              <w:spacing w:line="360" w:lineRule="auto"/>
              <w:ind w:leftChars="0"/>
              <w:jc w:val="both"/>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电磁炉（4分）</w:t>
            </w:r>
          </w:p>
          <w:p w14:paraId="25BA9FAC">
            <w:pPr>
              <w:pStyle w:val="70"/>
              <w:spacing w:before="34" w:line="360" w:lineRule="auto"/>
              <w:rPr>
                <w:rFonts w:hint="default"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根据供应商提供的产品进行评议：</w:t>
            </w:r>
            <w:r>
              <w:rPr>
                <w:rFonts w:hint="default" w:ascii="宋体" w:hAnsi="宋体" w:eastAsia="宋体" w:cs="宋体"/>
                <w:snapToGrid/>
                <w:color w:val="auto"/>
                <w:kern w:val="2"/>
                <w:sz w:val="22"/>
                <w:szCs w:val="22"/>
                <w:highlight w:val="none"/>
                <w:lang w:val="en-US" w:eastAsia="zh-CN" w:bidi="ar-SA"/>
              </w:rPr>
              <w:t>①</w:t>
            </w:r>
            <w:r>
              <w:rPr>
                <w:rFonts w:hint="eastAsia" w:ascii="宋体" w:hAnsi="宋体" w:eastAsia="宋体" w:cs="宋体"/>
                <w:snapToGrid/>
                <w:color w:val="auto"/>
                <w:kern w:val="2"/>
                <w:sz w:val="22"/>
                <w:szCs w:val="22"/>
                <w:highlight w:val="none"/>
                <w:lang w:val="en-US" w:eastAsia="zh-CN" w:bidi="ar-SA"/>
              </w:rPr>
              <w:t>款式新颖，外观时尚线条流畅自然；②产品表面触感舒适，工艺精湛；③产品功能丰富且覆盖日常常见需求；④操作流程简便，标识清晰；⑤产品结构设计合理，易于清洗、保养；全部满足得4分，满足3-4点得2分，满足1-2点得1分</w:t>
            </w:r>
            <w:r>
              <w:rPr>
                <w:rFonts w:hint="eastAsia" w:ascii="宋体" w:hAnsi="宋体" w:cs="宋体"/>
                <w:snapToGrid/>
                <w:color w:val="auto"/>
                <w:kern w:val="2"/>
                <w:sz w:val="22"/>
                <w:szCs w:val="22"/>
                <w:highlight w:val="none"/>
                <w:lang w:val="en-US" w:eastAsia="zh-CN" w:bidi="ar-SA"/>
              </w:rPr>
              <w:t>，全都不满足得0分</w:t>
            </w:r>
            <w:r>
              <w:rPr>
                <w:rFonts w:hint="eastAsia" w:ascii="宋体" w:hAnsi="宋体" w:eastAsia="宋体" w:cs="宋体"/>
                <w:snapToGrid/>
                <w:color w:val="auto"/>
                <w:kern w:val="2"/>
                <w:sz w:val="22"/>
                <w:szCs w:val="22"/>
                <w:highlight w:val="none"/>
                <w:lang w:val="en-US" w:eastAsia="zh-CN" w:bidi="ar-SA"/>
              </w:rPr>
              <w:t>。</w:t>
            </w:r>
          </w:p>
        </w:tc>
      </w:tr>
      <w:tr w14:paraId="546FF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00" w:type="dxa"/>
            <w:noWrap/>
            <w:vAlign w:val="center"/>
          </w:tcPr>
          <w:p w14:paraId="39EFA869">
            <w:pPr>
              <w:spacing w:line="360" w:lineRule="auto"/>
              <w:jc w:val="center"/>
              <w:rPr>
                <w:rFonts w:hint="eastAsia" w:ascii="宋体" w:hAnsi="宋体" w:cs="宋体"/>
                <w:color w:val="auto"/>
                <w:spacing w:val="9"/>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产品</w:t>
            </w:r>
            <w:r>
              <w:rPr>
                <w:rFonts w:hint="eastAsia" w:ascii="宋体" w:hAnsi="宋体" w:cs="宋体"/>
                <w:color w:val="auto"/>
                <w:spacing w:val="9"/>
                <w:sz w:val="22"/>
                <w:szCs w:val="22"/>
                <w:highlight w:val="none"/>
                <w:lang w:val="en-US" w:eastAsia="zh-CN"/>
              </w:rPr>
              <w:t>性能</w:t>
            </w:r>
          </w:p>
          <w:p w14:paraId="5E0F5F66">
            <w:pPr>
              <w:spacing w:line="360" w:lineRule="auto"/>
              <w:jc w:val="center"/>
              <w:rPr>
                <w:rFonts w:hint="eastAsia" w:ascii="宋体" w:hAnsi="宋体" w:cs="宋体"/>
                <w:sz w:val="22"/>
                <w:szCs w:val="22"/>
                <w:highlight w:val="none"/>
              </w:rPr>
            </w:pPr>
            <w:r>
              <w:rPr>
                <w:rFonts w:hint="eastAsia" w:ascii="宋体" w:hAnsi="宋体" w:cs="宋体"/>
                <w:color w:val="auto"/>
                <w:spacing w:val="9"/>
                <w:sz w:val="22"/>
                <w:szCs w:val="22"/>
                <w:highlight w:val="none"/>
                <w:lang w:val="en-US" w:eastAsia="zh-CN"/>
              </w:rPr>
              <w:t>优异性</w:t>
            </w:r>
            <w:r>
              <w:rPr>
                <w:rFonts w:hint="eastAsia" w:ascii="宋体" w:hAnsi="宋体" w:cs="宋体"/>
                <w:b w:val="0"/>
                <w:bCs w:val="0"/>
                <w:color w:val="auto"/>
                <w:sz w:val="22"/>
                <w:szCs w:val="22"/>
                <w:highlight w:val="none"/>
                <w:lang w:val="en-US" w:eastAsia="zh-CN"/>
              </w:rPr>
              <w:t>（12分）</w:t>
            </w:r>
          </w:p>
        </w:tc>
        <w:tc>
          <w:tcPr>
            <w:tcW w:w="8094" w:type="dxa"/>
            <w:noWrap/>
            <w:vAlign w:val="center"/>
          </w:tcPr>
          <w:p w14:paraId="3E03ACB7">
            <w:pPr>
              <w:numPr>
                <w:ilvl w:val="0"/>
                <w:numId w:val="0"/>
              </w:numPr>
              <w:spacing w:line="360" w:lineRule="auto"/>
              <w:ind w:leftChars="0"/>
              <w:jc w:val="both"/>
              <w:rPr>
                <w:rFonts w:hint="eastAsia" w:ascii="宋体" w:hAnsi="宋体" w:cs="宋体"/>
                <w:color w:val="auto"/>
                <w:spacing w:val="9"/>
                <w:sz w:val="22"/>
                <w:szCs w:val="22"/>
                <w:highlight w:val="none"/>
                <w:lang w:val="en-US" w:eastAsia="zh-CN"/>
              </w:rPr>
            </w:pPr>
            <w:r>
              <w:rPr>
                <w:rFonts w:hint="eastAsia" w:ascii="宋体" w:hAnsi="宋体" w:cs="宋体"/>
                <w:color w:val="auto"/>
                <w:spacing w:val="9"/>
                <w:sz w:val="22"/>
                <w:szCs w:val="22"/>
                <w:highlight w:val="none"/>
                <w:lang w:val="en-US" w:eastAsia="zh-CN"/>
              </w:rPr>
              <w:t>产品性能优异性（12分）</w:t>
            </w:r>
          </w:p>
          <w:p w14:paraId="774A3775">
            <w:pPr>
              <w:numPr>
                <w:ilvl w:val="0"/>
                <w:numId w:val="0"/>
              </w:numPr>
              <w:spacing w:line="360" w:lineRule="auto"/>
              <w:ind w:leftChars="0"/>
              <w:jc w:val="both"/>
              <w:rPr>
                <w:rFonts w:hint="default" w:ascii="宋体" w:hAnsi="宋体" w:cs="宋体"/>
                <w:color w:val="auto"/>
                <w:spacing w:val="9"/>
                <w:sz w:val="22"/>
                <w:szCs w:val="22"/>
                <w:highlight w:val="none"/>
                <w:lang w:val="en-US" w:eastAsia="zh-CN"/>
              </w:rPr>
            </w:pPr>
            <w:r>
              <w:rPr>
                <w:rFonts w:hint="eastAsia" w:ascii="宋体" w:hAnsi="宋体" w:eastAsia="宋体" w:cs="宋体"/>
                <w:snapToGrid/>
                <w:color w:val="auto"/>
                <w:kern w:val="2"/>
                <w:sz w:val="22"/>
                <w:szCs w:val="22"/>
                <w:highlight w:val="none"/>
                <w:lang w:val="en-US" w:eastAsia="zh-CN" w:bidi="ar-SA"/>
              </w:rPr>
              <w:t>根据供应商提供的</w:t>
            </w:r>
            <w:r>
              <w:rPr>
                <w:rFonts w:hint="eastAsia" w:ascii="宋体" w:hAnsi="宋体" w:cs="宋体"/>
                <w:color w:val="auto"/>
                <w:spacing w:val="9"/>
                <w:sz w:val="22"/>
                <w:szCs w:val="22"/>
                <w:highlight w:val="none"/>
                <w:lang w:val="en-US" w:eastAsia="zh-CN"/>
              </w:rPr>
              <w:t>产品性能优异性进行评议：</w:t>
            </w:r>
          </w:p>
          <w:p w14:paraId="03BC8C7E">
            <w:pPr>
              <w:numPr>
                <w:ilvl w:val="0"/>
                <w:numId w:val="0"/>
              </w:numPr>
              <w:spacing w:line="360" w:lineRule="auto"/>
              <w:ind w:leftChars="0"/>
              <w:jc w:val="both"/>
              <w:rPr>
                <w:rFonts w:hint="eastAsia" w:ascii="宋体" w:hAnsi="宋体" w:eastAsia="宋体" w:cs="宋体"/>
                <w:color w:val="auto"/>
                <w:kern w:val="0"/>
                <w:sz w:val="22"/>
                <w:szCs w:val="22"/>
                <w:highlight w:val="none"/>
                <w:lang w:eastAsia="zh-CN"/>
              </w:rPr>
            </w:pPr>
            <w:r>
              <w:rPr>
                <w:rFonts w:hint="eastAsia" w:ascii="宋体" w:hAnsi="宋体" w:cs="宋体"/>
                <w:color w:val="auto"/>
                <w:spacing w:val="9"/>
                <w:sz w:val="22"/>
                <w:szCs w:val="22"/>
                <w:highlight w:val="none"/>
                <w:lang w:val="en-US" w:eastAsia="zh-CN"/>
              </w:rPr>
              <w:t>1、</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匹</w:t>
            </w:r>
            <w:r>
              <w:rPr>
                <w:rFonts w:hint="eastAsia" w:ascii="宋体" w:hAnsi="宋体" w:eastAsia="宋体" w:cs="宋体"/>
                <w:color w:val="auto"/>
                <w:sz w:val="22"/>
                <w:szCs w:val="22"/>
                <w:highlight w:val="none"/>
                <w:lang w:val="en-US" w:eastAsia="zh-CN"/>
              </w:rPr>
              <w:t>变频</w:t>
            </w:r>
            <w:r>
              <w:rPr>
                <w:rFonts w:hint="eastAsia" w:ascii="宋体" w:hAnsi="宋体" w:eastAsia="宋体" w:cs="宋体"/>
                <w:color w:val="auto"/>
                <w:sz w:val="22"/>
                <w:szCs w:val="22"/>
                <w:highlight w:val="none"/>
              </w:rPr>
              <w:t>挂壁</w:t>
            </w:r>
            <w:r>
              <w:rPr>
                <w:rFonts w:hint="eastAsia" w:ascii="宋体" w:hAnsi="宋体" w:eastAsia="宋体" w:cs="宋体"/>
                <w:color w:val="auto"/>
                <w:kern w:val="0"/>
                <w:sz w:val="22"/>
                <w:szCs w:val="22"/>
                <w:highlight w:val="none"/>
              </w:rPr>
              <w:t>式空调</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5分</w:t>
            </w:r>
            <w:r>
              <w:rPr>
                <w:rFonts w:hint="eastAsia" w:ascii="宋体" w:hAnsi="宋体" w:cs="宋体"/>
                <w:color w:val="auto"/>
                <w:kern w:val="0"/>
                <w:sz w:val="22"/>
                <w:szCs w:val="22"/>
                <w:highlight w:val="none"/>
                <w:lang w:eastAsia="zh-CN"/>
              </w:rPr>
              <w:t>）</w:t>
            </w:r>
          </w:p>
          <w:p w14:paraId="7D6BBE5B">
            <w:pPr>
              <w:numPr>
                <w:ilvl w:val="0"/>
                <w:numId w:val="6"/>
              </w:numPr>
              <w:spacing w:line="360" w:lineRule="auto"/>
              <w:ind w:leftChars="0"/>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供应商</w:t>
            </w:r>
            <w:r>
              <w:rPr>
                <w:rFonts w:hint="eastAsia" w:ascii="宋体" w:hAnsi="宋体" w:cs="宋体"/>
                <w:b w:val="0"/>
                <w:bCs w:val="0"/>
                <w:color w:val="auto"/>
                <w:sz w:val="22"/>
                <w:szCs w:val="22"/>
                <w:highlight w:val="none"/>
                <w:lang w:val="en-US" w:eastAsia="zh-CN"/>
              </w:rPr>
              <w:t>提供的</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匹</w:t>
            </w:r>
            <w:r>
              <w:rPr>
                <w:rFonts w:hint="eastAsia" w:ascii="宋体" w:hAnsi="宋体" w:eastAsia="宋体" w:cs="宋体"/>
                <w:color w:val="auto"/>
                <w:sz w:val="22"/>
                <w:szCs w:val="22"/>
                <w:highlight w:val="none"/>
                <w:lang w:val="en-US" w:eastAsia="zh-CN"/>
              </w:rPr>
              <w:t>变频</w:t>
            </w:r>
            <w:r>
              <w:rPr>
                <w:rFonts w:hint="eastAsia" w:ascii="宋体" w:hAnsi="宋体" w:eastAsia="宋体" w:cs="宋体"/>
                <w:color w:val="auto"/>
                <w:sz w:val="22"/>
                <w:szCs w:val="22"/>
                <w:highlight w:val="none"/>
              </w:rPr>
              <w:t>挂壁</w:t>
            </w:r>
            <w:r>
              <w:rPr>
                <w:rFonts w:hint="eastAsia" w:ascii="宋体" w:hAnsi="宋体" w:eastAsia="宋体" w:cs="宋体"/>
                <w:color w:val="auto"/>
                <w:kern w:val="0"/>
                <w:sz w:val="22"/>
                <w:szCs w:val="22"/>
                <w:highlight w:val="none"/>
              </w:rPr>
              <w:t>式空调</w:t>
            </w:r>
            <w:r>
              <w:rPr>
                <w:rFonts w:hint="eastAsia" w:ascii="宋体" w:hAnsi="宋体" w:cs="宋体"/>
                <w:b w:val="0"/>
                <w:bCs w:val="0"/>
                <w:color w:val="auto"/>
                <w:sz w:val="22"/>
                <w:szCs w:val="22"/>
                <w:highlight w:val="none"/>
                <w:lang w:val="en-US" w:eastAsia="zh-CN"/>
              </w:rPr>
              <w:t>额定制冷功率（2.5分）：</w:t>
            </w:r>
          </w:p>
          <w:p w14:paraId="46156D0D">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1280≤额定制冷功率（W）＜1300的得0.5分；</w:t>
            </w:r>
          </w:p>
          <w:p w14:paraId="0C7D72A6">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1260≤额定制冷功率（W）＜1280的得1分；</w:t>
            </w:r>
          </w:p>
          <w:p w14:paraId="69D8C23A">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1240≤额定制冷功率（W）＜1260的得1.5</w:t>
            </w:r>
            <w:r>
              <w:rPr>
                <w:rFonts w:hint="eastAsia" w:ascii="宋体" w:hAnsi="宋体" w:cs="宋体"/>
                <w:b w:val="0"/>
                <w:bCs w:val="0"/>
                <w:color w:val="auto"/>
                <w:sz w:val="22"/>
                <w:szCs w:val="22"/>
                <w:highlight w:val="none"/>
                <w:lang w:val="en-US" w:eastAsia="zh-CN"/>
              </w:rPr>
              <w:t>分；</w:t>
            </w:r>
          </w:p>
          <w:p w14:paraId="65160CB2">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1220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1240的得2分；</w:t>
            </w:r>
          </w:p>
          <w:p w14:paraId="3733721B">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额定制冷功率（W）＜1220的得2.5分。</w:t>
            </w:r>
          </w:p>
          <w:p w14:paraId="004D7A20">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注：提供有效铭牌截图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未提供</w:t>
            </w:r>
            <w:r>
              <w:rPr>
                <w:rFonts w:hint="eastAsia" w:ascii="宋体" w:hAnsi="宋体" w:cs="宋体"/>
                <w:b w:val="0"/>
                <w:bCs w:val="0"/>
                <w:color w:val="auto"/>
                <w:sz w:val="22"/>
                <w:szCs w:val="22"/>
                <w:highlight w:val="none"/>
                <w:lang w:val="en-US" w:eastAsia="zh-CN"/>
              </w:rPr>
              <w:t>或提供不全的</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p w14:paraId="64A6CA39">
            <w:pPr>
              <w:numPr>
                <w:ilvl w:val="0"/>
                <w:numId w:val="6"/>
              </w:numPr>
              <w:spacing w:line="360" w:lineRule="auto"/>
              <w:ind w:leftChars="0"/>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供应商</w:t>
            </w:r>
            <w:r>
              <w:rPr>
                <w:rFonts w:hint="eastAsia" w:ascii="宋体" w:hAnsi="宋体" w:cs="宋体"/>
                <w:b w:val="0"/>
                <w:bCs w:val="0"/>
                <w:color w:val="auto"/>
                <w:sz w:val="22"/>
                <w:szCs w:val="22"/>
                <w:highlight w:val="none"/>
                <w:lang w:val="en-US" w:eastAsia="zh-CN"/>
              </w:rPr>
              <w:t>提供的</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匹</w:t>
            </w:r>
            <w:r>
              <w:rPr>
                <w:rFonts w:hint="eastAsia" w:ascii="宋体" w:hAnsi="宋体" w:eastAsia="宋体" w:cs="宋体"/>
                <w:color w:val="auto"/>
                <w:sz w:val="22"/>
                <w:szCs w:val="22"/>
                <w:highlight w:val="none"/>
                <w:lang w:val="en-US" w:eastAsia="zh-CN"/>
              </w:rPr>
              <w:t>变频</w:t>
            </w:r>
            <w:r>
              <w:rPr>
                <w:rFonts w:hint="eastAsia" w:ascii="宋体" w:hAnsi="宋体" w:eastAsia="宋体" w:cs="宋体"/>
                <w:color w:val="auto"/>
                <w:sz w:val="22"/>
                <w:szCs w:val="22"/>
                <w:highlight w:val="none"/>
              </w:rPr>
              <w:t>挂壁</w:t>
            </w:r>
            <w:r>
              <w:rPr>
                <w:rFonts w:hint="eastAsia" w:ascii="宋体" w:hAnsi="宋体" w:eastAsia="宋体" w:cs="宋体"/>
                <w:color w:val="auto"/>
                <w:kern w:val="0"/>
                <w:sz w:val="22"/>
                <w:szCs w:val="22"/>
                <w:highlight w:val="none"/>
              </w:rPr>
              <w:t>式空调</w:t>
            </w:r>
            <w:r>
              <w:rPr>
                <w:rFonts w:hint="eastAsia" w:ascii="宋体" w:hAnsi="宋体" w:cs="宋体"/>
                <w:b w:val="0"/>
                <w:bCs w:val="0"/>
                <w:color w:val="auto"/>
                <w:sz w:val="22"/>
                <w:szCs w:val="22"/>
                <w:highlight w:val="none"/>
                <w:lang w:val="en-US" w:eastAsia="zh-CN"/>
              </w:rPr>
              <w:t>额定制热功率（2.5分）：</w:t>
            </w:r>
          </w:p>
          <w:p w14:paraId="5DBDAF65">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1960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1980的得0.5分；</w:t>
            </w:r>
          </w:p>
          <w:p w14:paraId="6DB36921">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1940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1960的得1分；</w:t>
            </w:r>
          </w:p>
          <w:p w14:paraId="1EEE6D05">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1920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1940的得1.5分；</w:t>
            </w:r>
          </w:p>
          <w:p w14:paraId="6695303E">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1900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1920的得2分；</w:t>
            </w:r>
          </w:p>
          <w:p w14:paraId="29DF2965">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额定制冷功率（W）＜1900的得2.5分。</w:t>
            </w:r>
          </w:p>
          <w:p w14:paraId="777BA971">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注：提供有效铭牌截图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未提供</w:t>
            </w:r>
            <w:r>
              <w:rPr>
                <w:rFonts w:hint="eastAsia" w:ascii="宋体" w:hAnsi="宋体" w:cs="宋体"/>
                <w:b w:val="0"/>
                <w:bCs w:val="0"/>
                <w:color w:val="auto"/>
                <w:sz w:val="22"/>
                <w:szCs w:val="22"/>
                <w:highlight w:val="none"/>
                <w:lang w:val="en-US" w:eastAsia="zh-CN"/>
              </w:rPr>
              <w:t>或提供不全的</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p w14:paraId="3676C250">
            <w:pPr>
              <w:numPr>
                <w:ilvl w:val="0"/>
                <w:numId w:val="0"/>
              </w:numPr>
              <w:spacing w:line="360" w:lineRule="auto"/>
              <w:ind w:leftChars="0"/>
              <w:jc w:val="left"/>
              <w:rPr>
                <w:rFonts w:hint="eastAsia" w:ascii="宋体" w:hAnsi="宋体" w:eastAsia="宋体" w:cs="宋体"/>
                <w:color w:val="auto"/>
                <w:kern w:val="0"/>
                <w:sz w:val="22"/>
                <w:szCs w:val="22"/>
                <w:highlight w:val="none"/>
                <w:lang w:eastAsia="zh-CN"/>
              </w:rPr>
            </w:pPr>
            <w:r>
              <w:rPr>
                <w:rFonts w:hint="eastAsia" w:ascii="宋体" w:hAnsi="宋体" w:cs="宋体"/>
                <w:b w:val="0"/>
                <w:bCs w:val="0"/>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匹</w:t>
            </w:r>
            <w:r>
              <w:rPr>
                <w:rFonts w:hint="eastAsia" w:ascii="宋体" w:hAnsi="宋体" w:eastAsia="宋体" w:cs="宋体"/>
                <w:color w:val="auto"/>
                <w:sz w:val="22"/>
                <w:szCs w:val="22"/>
                <w:highlight w:val="none"/>
                <w:lang w:val="en-US" w:eastAsia="zh-CN"/>
              </w:rPr>
              <w:t>变频柜</w:t>
            </w:r>
            <w:r>
              <w:rPr>
                <w:rFonts w:hint="eastAsia" w:ascii="宋体" w:hAnsi="宋体" w:eastAsia="宋体" w:cs="宋体"/>
                <w:color w:val="auto"/>
                <w:kern w:val="0"/>
                <w:sz w:val="22"/>
                <w:szCs w:val="22"/>
                <w:highlight w:val="none"/>
              </w:rPr>
              <w:t>式空调</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3分</w:t>
            </w:r>
            <w:r>
              <w:rPr>
                <w:rFonts w:hint="eastAsia" w:ascii="宋体" w:hAnsi="宋体" w:cs="宋体"/>
                <w:color w:val="auto"/>
                <w:kern w:val="0"/>
                <w:sz w:val="22"/>
                <w:szCs w:val="22"/>
                <w:highlight w:val="none"/>
                <w:lang w:eastAsia="zh-CN"/>
              </w:rPr>
              <w:t>）</w:t>
            </w:r>
          </w:p>
          <w:p w14:paraId="64F8DECE">
            <w:pPr>
              <w:numPr>
                <w:ilvl w:val="0"/>
                <w:numId w:val="7"/>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供应商</w:t>
            </w:r>
            <w:r>
              <w:rPr>
                <w:rFonts w:hint="eastAsia" w:ascii="宋体" w:hAnsi="宋体" w:cs="宋体"/>
                <w:b w:val="0"/>
                <w:bCs w:val="0"/>
                <w:color w:val="auto"/>
                <w:sz w:val="22"/>
                <w:szCs w:val="22"/>
                <w:highlight w:val="none"/>
                <w:lang w:val="en-US" w:eastAsia="zh-CN"/>
              </w:rPr>
              <w:t>提供的</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匹</w:t>
            </w:r>
            <w:r>
              <w:rPr>
                <w:rFonts w:hint="eastAsia" w:ascii="宋体" w:hAnsi="宋体" w:eastAsia="宋体" w:cs="宋体"/>
                <w:color w:val="auto"/>
                <w:sz w:val="22"/>
                <w:szCs w:val="22"/>
                <w:highlight w:val="none"/>
                <w:lang w:val="en-US" w:eastAsia="zh-CN"/>
              </w:rPr>
              <w:t>变频柜</w:t>
            </w:r>
            <w:r>
              <w:rPr>
                <w:rFonts w:hint="eastAsia" w:ascii="宋体" w:hAnsi="宋体" w:eastAsia="宋体" w:cs="宋体"/>
                <w:color w:val="auto"/>
                <w:kern w:val="0"/>
                <w:sz w:val="22"/>
                <w:szCs w:val="22"/>
                <w:highlight w:val="none"/>
              </w:rPr>
              <w:t>式空调</w:t>
            </w:r>
            <w:r>
              <w:rPr>
                <w:rFonts w:hint="eastAsia" w:ascii="宋体" w:hAnsi="宋体" w:cs="宋体"/>
                <w:b w:val="0"/>
                <w:bCs w:val="0"/>
                <w:color w:val="auto"/>
                <w:sz w:val="22"/>
                <w:szCs w:val="22"/>
                <w:highlight w:val="none"/>
                <w:lang w:val="en-US" w:eastAsia="zh-CN"/>
              </w:rPr>
              <w:t>额定制冷功率进行评分（1.5分）：</w:t>
            </w:r>
          </w:p>
          <w:p w14:paraId="2321DD94">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1300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1320的得0.3分；</w:t>
            </w:r>
          </w:p>
          <w:p w14:paraId="04D06ABE">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1280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1300的得0.6分；</w:t>
            </w:r>
          </w:p>
          <w:p w14:paraId="5C4BDBB9">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1260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1280的得0.9分；</w:t>
            </w:r>
          </w:p>
          <w:p w14:paraId="06C4A620">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1240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额定制冷功率（W）</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1260的得1.2分；</w:t>
            </w:r>
          </w:p>
          <w:p w14:paraId="674E7A67">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额定制冷功率（W）＜1240的得1.5分。</w:t>
            </w:r>
          </w:p>
          <w:p w14:paraId="13C061BC">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注：提供有效铭牌截图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未提供</w:t>
            </w:r>
            <w:r>
              <w:rPr>
                <w:rFonts w:hint="eastAsia" w:ascii="宋体" w:hAnsi="宋体" w:cs="宋体"/>
                <w:b w:val="0"/>
                <w:bCs w:val="0"/>
                <w:color w:val="auto"/>
                <w:sz w:val="22"/>
                <w:szCs w:val="22"/>
                <w:highlight w:val="none"/>
                <w:lang w:val="en-US" w:eastAsia="zh-CN"/>
              </w:rPr>
              <w:t>或提供不全的</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p w14:paraId="45362CD1">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（2）根据</w:t>
            </w:r>
            <w:r>
              <w:rPr>
                <w:rFonts w:hint="eastAsia" w:ascii="宋体" w:hAnsi="宋体" w:eastAsia="宋体" w:cs="宋体"/>
                <w:snapToGrid/>
                <w:color w:val="auto"/>
                <w:kern w:val="2"/>
                <w:sz w:val="22"/>
                <w:szCs w:val="22"/>
                <w:highlight w:val="none"/>
                <w:lang w:val="en-US" w:eastAsia="zh-CN" w:bidi="ar-SA"/>
              </w:rPr>
              <w:t>供应商</w:t>
            </w:r>
            <w:r>
              <w:rPr>
                <w:rFonts w:hint="eastAsia" w:ascii="宋体" w:hAnsi="宋体" w:cs="宋体"/>
                <w:b w:val="0"/>
                <w:bCs w:val="0"/>
                <w:color w:val="auto"/>
                <w:sz w:val="22"/>
                <w:szCs w:val="22"/>
                <w:highlight w:val="none"/>
                <w:lang w:val="en-US" w:eastAsia="zh-CN"/>
              </w:rPr>
              <w:t>提供的</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rPr>
              <w:t>匹</w:t>
            </w:r>
            <w:r>
              <w:rPr>
                <w:rFonts w:hint="eastAsia" w:ascii="宋体" w:hAnsi="宋体" w:eastAsia="宋体" w:cs="宋体"/>
                <w:color w:val="auto"/>
                <w:sz w:val="22"/>
                <w:szCs w:val="22"/>
                <w:highlight w:val="none"/>
                <w:lang w:val="en-US" w:eastAsia="zh-CN"/>
              </w:rPr>
              <w:t>变频柜</w:t>
            </w:r>
            <w:r>
              <w:rPr>
                <w:rFonts w:hint="eastAsia" w:ascii="宋体" w:hAnsi="宋体" w:eastAsia="宋体" w:cs="宋体"/>
                <w:color w:val="auto"/>
                <w:kern w:val="0"/>
                <w:sz w:val="22"/>
                <w:szCs w:val="22"/>
                <w:highlight w:val="none"/>
              </w:rPr>
              <w:t>式空调</w:t>
            </w:r>
            <w:r>
              <w:rPr>
                <w:rFonts w:hint="eastAsia" w:ascii="宋体" w:hAnsi="宋体" w:cs="宋体"/>
                <w:b w:val="0"/>
                <w:bCs w:val="0"/>
                <w:color w:val="auto"/>
                <w:sz w:val="22"/>
                <w:szCs w:val="22"/>
                <w:highlight w:val="none"/>
                <w:lang w:val="en-US" w:eastAsia="zh-CN"/>
              </w:rPr>
              <w:t>额定制热功率进行评分（1.5分）：</w:t>
            </w:r>
          </w:p>
          <w:p w14:paraId="1A3A2960">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1970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额定制热功率（W）＜1990的得0.3分；</w:t>
            </w:r>
          </w:p>
          <w:p w14:paraId="6FE0BCF1">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1950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额定制热功率（W）＜1970的得0.6分；</w:t>
            </w:r>
          </w:p>
          <w:p w14:paraId="1DCD8F20">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1930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额定制热功率（W）＜1950的得0.9分；</w:t>
            </w:r>
          </w:p>
          <w:p w14:paraId="2A01BFAE">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1910</w:t>
            </w:r>
            <w:r>
              <w:rPr>
                <w:rFonts w:hint="eastAsia" w:ascii="宋体" w:hAnsi="宋体" w:eastAsia="宋体" w:cs="宋体"/>
                <w:b w:val="0"/>
                <w:bCs w:val="0"/>
                <w:color w:val="auto"/>
                <w:sz w:val="22"/>
                <w:szCs w:val="22"/>
                <w:highlight w:val="none"/>
                <w:lang w:val="en-US" w:eastAsia="zh-CN"/>
              </w:rPr>
              <w:t>≤</w:t>
            </w:r>
            <w:r>
              <w:rPr>
                <w:rFonts w:hint="eastAsia" w:ascii="宋体" w:hAnsi="宋体" w:cs="宋体"/>
                <w:b w:val="0"/>
                <w:bCs w:val="0"/>
                <w:color w:val="auto"/>
                <w:sz w:val="22"/>
                <w:szCs w:val="22"/>
                <w:highlight w:val="none"/>
                <w:lang w:val="en-US" w:eastAsia="zh-CN"/>
              </w:rPr>
              <w:t>额定制热功率（W）＜1930的得1.2分；</w:t>
            </w:r>
          </w:p>
          <w:p w14:paraId="39BDD76F">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额定制热功率（W）＜1890的得1.5分。</w:t>
            </w:r>
          </w:p>
          <w:p w14:paraId="771C1A00">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注：提供有效铭牌截图</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未提供</w:t>
            </w:r>
            <w:r>
              <w:rPr>
                <w:rFonts w:hint="eastAsia" w:ascii="宋体" w:hAnsi="宋体" w:cs="宋体"/>
                <w:b w:val="0"/>
                <w:bCs w:val="0"/>
                <w:color w:val="auto"/>
                <w:sz w:val="22"/>
                <w:szCs w:val="22"/>
                <w:highlight w:val="none"/>
                <w:lang w:val="en-US" w:eastAsia="zh-CN"/>
              </w:rPr>
              <w:t>或提供不全的</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p w14:paraId="3ACE009A">
            <w:pPr>
              <w:numPr>
                <w:ilvl w:val="0"/>
                <w:numId w:val="0"/>
              </w:numPr>
              <w:spacing w:line="360" w:lineRule="auto"/>
              <w:jc w:val="left"/>
              <w:rPr>
                <w:rFonts w:hint="eastAsia" w:ascii="宋体" w:hAnsi="宋体" w:eastAsia="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lang w:val="en-US" w:eastAsia="zh-CN"/>
              </w:rPr>
              <w:t>冰箱（1分）</w:t>
            </w:r>
          </w:p>
          <w:p w14:paraId="1B9E43B6">
            <w:pPr>
              <w:numPr>
                <w:ilvl w:val="0"/>
                <w:numId w:val="0"/>
              </w:numPr>
              <w:spacing w:line="360" w:lineRule="auto"/>
              <w:jc w:val="left"/>
              <w:rPr>
                <w:rFonts w:hint="eastAsia" w:ascii="宋体" w:hAnsi="宋体" w:cs="宋体"/>
                <w:b w:val="0"/>
                <w:bCs/>
                <w:sz w:val="22"/>
                <w:szCs w:val="22"/>
                <w:highlight w:val="none"/>
                <w:lang w:val="en-US" w:eastAsia="zh-CN"/>
              </w:rPr>
            </w:pPr>
            <w:r>
              <w:rPr>
                <w:rFonts w:hint="eastAsia" w:ascii="宋体" w:hAnsi="宋体" w:cs="宋体"/>
                <w:b w:val="0"/>
                <w:bCs/>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供应商提供的</w:t>
            </w:r>
            <w:r>
              <w:rPr>
                <w:rFonts w:hint="eastAsia" w:ascii="宋体" w:hAnsi="宋体" w:cs="宋体"/>
                <w:b w:val="0"/>
                <w:bCs/>
                <w:sz w:val="22"/>
                <w:szCs w:val="22"/>
                <w:highlight w:val="none"/>
                <w:lang w:val="en-US" w:eastAsia="zh-CN"/>
              </w:rPr>
              <w:t>冰箱具有变温区（保鲜区）的得1分</w:t>
            </w:r>
          </w:p>
          <w:p w14:paraId="60EFF22F">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注：提供相关证明文件</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未提供</w:t>
            </w:r>
            <w:r>
              <w:rPr>
                <w:rFonts w:hint="eastAsia" w:ascii="宋体" w:hAnsi="宋体" w:cs="宋体"/>
                <w:b w:val="0"/>
                <w:bCs w:val="0"/>
                <w:color w:val="auto"/>
                <w:sz w:val="22"/>
                <w:szCs w:val="22"/>
                <w:highlight w:val="none"/>
                <w:lang w:val="en-US" w:eastAsia="zh-CN"/>
              </w:rPr>
              <w:t>或提供不全的</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p w14:paraId="09877293">
            <w:pPr>
              <w:widowControl w:val="0"/>
              <w:numPr>
                <w:ilvl w:val="0"/>
                <w:numId w:val="0"/>
              </w:numPr>
              <w:spacing w:line="360" w:lineRule="auto"/>
              <w:ind w:leftChars="0"/>
              <w:jc w:val="left"/>
              <w:rPr>
                <w:rFonts w:hint="eastAsia"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洗衣机（</w:t>
            </w:r>
            <w:r>
              <w:rPr>
                <w:rFonts w:hint="eastAsia" w:ascii="宋体" w:hAnsi="宋体" w:cs="宋体"/>
                <w:color w:val="auto"/>
                <w:sz w:val="22"/>
                <w:szCs w:val="22"/>
                <w:highlight w:val="none"/>
                <w:lang w:val="en-US" w:eastAsia="zh-CN"/>
              </w:rPr>
              <w:t>1</w:t>
            </w:r>
            <w:r>
              <w:rPr>
                <w:rFonts w:hint="eastAsia" w:ascii="宋体" w:hAnsi="宋体" w:eastAsia="宋体" w:cs="宋体"/>
                <w:color w:val="auto"/>
                <w:sz w:val="22"/>
                <w:szCs w:val="22"/>
                <w:highlight w:val="none"/>
                <w:lang w:val="en-US" w:eastAsia="zh-CN"/>
              </w:rPr>
              <w:t>分）</w:t>
            </w:r>
          </w:p>
          <w:p w14:paraId="09E37973">
            <w:pPr>
              <w:widowControl w:val="0"/>
              <w:numPr>
                <w:ilvl w:val="0"/>
                <w:numId w:val="0"/>
              </w:numPr>
              <w:spacing w:line="360" w:lineRule="auto"/>
              <w:jc w:val="left"/>
              <w:rPr>
                <w:rFonts w:hint="eastAsia" w:ascii="宋体" w:hAnsi="宋体" w:cs="宋体"/>
                <w:b w:val="0"/>
                <w:bCs/>
                <w:sz w:val="22"/>
                <w:szCs w:val="22"/>
                <w:highlight w:val="none"/>
                <w:lang w:val="en-US" w:eastAsia="zh-CN"/>
              </w:rPr>
            </w:pPr>
            <w:r>
              <w:rPr>
                <w:rFonts w:hint="eastAsia" w:ascii="宋体" w:hAnsi="宋体" w:cs="宋体"/>
                <w:b w:val="0"/>
                <w:bCs/>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供应商提供的</w:t>
            </w:r>
            <w:r>
              <w:rPr>
                <w:rFonts w:hint="eastAsia" w:ascii="宋体" w:hAnsi="宋体" w:cs="宋体"/>
                <w:b w:val="0"/>
                <w:bCs/>
                <w:sz w:val="22"/>
                <w:szCs w:val="22"/>
                <w:highlight w:val="none"/>
                <w:lang w:val="en-US" w:eastAsia="zh-CN"/>
              </w:rPr>
              <w:t>洗衣机具备桶</w:t>
            </w:r>
            <w:r>
              <w:rPr>
                <w:rFonts w:hint="eastAsia" w:ascii="宋体" w:hAnsi="宋体" w:eastAsia="宋体" w:cs="宋体"/>
                <w:b w:val="0"/>
                <w:bCs/>
                <w:sz w:val="22"/>
                <w:szCs w:val="22"/>
                <w:highlight w:val="none"/>
                <w:lang w:val="en-US" w:eastAsia="zh-CN"/>
              </w:rPr>
              <w:t>自洁、脱水、除菌洗、除螨</w:t>
            </w:r>
            <w:r>
              <w:rPr>
                <w:rFonts w:hint="eastAsia" w:ascii="宋体" w:hAnsi="宋体" w:cs="宋体"/>
                <w:b w:val="0"/>
                <w:bCs/>
                <w:sz w:val="22"/>
                <w:szCs w:val="22"/>
                <w:highlight w:val="none"/>
                <w:lang w:val="en-US" w:eastAsia="zh-CN"/>
              </w:rPr>
              <w:t>功能的得1分</w:t>
            </w:r>
          </w:p>
          <w:p w14:paraId="3AB0C77C">
            <w:pPr>
              <w:numPr>
                <w:ilvl w:val="0"/>
                <w:numId w:val="0"/>
              </w:numPr>
              <w:spacing w:line="360" w:lineRule="auto"/>
              <w:jc w:val="left"/>
              <w:rPr>
                <w:rFonts w:hint="eastAsia" w:ascii="宋体" w:hAnsi="宋体" w:cs="宋体"/>
                <w:b w:val="0"/>
                <w:bCs w:val="0"/>
                <w:color w:val="auto"/>
                <w:sz w:val="22"/>
                <w:szCs w:val="22"/>
                <w:highlight w:val="none"/>
                <w:lang w:val="en-US" w:eastAsia="zh-CN"/>
              </w:rPr>
            </w:pPr>
            <w:r>
              <w:rPr>
                <w:rFonts w:hint="eastAsia" w:ascii="宋体" w:hAnsi="宋体" w:cs="宋体"/>
                <w:b w:val="0"/>
                <w:bCs w:val="0"/>
                <w:color w:val="auto"/>
                <w:sz w:val="22"/>
                <w:szCs w:val="22"/>
                <w:highlight w:val="none"/>
                <w:lang w:val="en-US" w:eastAsia="zh-CN"/>
              </w:rPr>
              <w:t>注：提供相关证明文件</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rPr>
              <w:t>未提供</w:t>
            </w:r>
            <w:r>
              <w:rPr>
                <w:rFonts w:hint="eastAsia" w:ascii="宋体" w:hAnsi="宋体" w:cs="宋体"/>
                <w:b w:val="0"/>
                <w:bCs w:val="0"/>
                <w:color w:val="auto"/>
                <w:sz w:val="22"/>
                <w:szCs w:val="22"/>
                <w:highlight w:val="none"/>
                <w:lang w:val="en-US" w:eastAsia="zh-CN"/>
              </w:rPr>
              <w:t>或提供不全的</w:t>
            </w:r>
            <w:r>
              <w:rPr>
                <w:rFonts w:hint="eastAsia" w:ascii="宋体" w:hAnsi="宋体" w:eastAsia="宋体" w:cs="宋体"/>
                <w:b w:val="0"/>
                <w:bCs w:val="0"/>
                <w:color w:val="auto"/>
                <w:sz w:val="22"/>
                <w:szCs w:val="22"/>
                <w:highlight w:val="none"/>
              </w:rPr>
              <w:t>不得分</w:t>
            </w:r>
            <w:r>
              <w:rPr>
                <w:rFonts w:hint="eastAsia" w:ascii="宋体" w:hAnsi="宋体" w:eastAsia="宋体" w:cs="宋体"/>
                <w:b w:val="0"/>
                <w:bCs w:val="0"/>
                <w:color w:val="auto"/>
                <w:sz w:val="22"/>
                <w:szCs w:val="22"/>
                <w:highlight w:val="none"/>
                <w:lang w:eastAsia="zh-CN"/>
              </w:rPr>
              <w:t>。</w:t>
            </w:r>
          </w:p>
          <w:p w14:paraId="72CE0CD6">
            <w:pPr>
              <w:widowControl w:val="0"/>
              <w:numPr>
                <w:ilvl w:val="0"/>
                <w:numId w:val="0"/>
              </w:numPr>
              <w:spacing w:line="360" w:lineRule="auto"/>
              <w:jc w:val="left"/>
              <w:rPr>
                <w:rFonts w:hint="default"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5、油烟机（</w:t>
            </w:r>
            <w:r>
              <w:rPr>
                <w:rFonts w:hint="eastAsia" w:ascii="宋体" w:hAnsi="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lang w:val="en-US" w:eastAsia="zh-CN"/>
              </w:rPr>
              <w:t>分）</w:t>
            </w:r>
          </w:p>
          <w:p w14:paraId="10040125">
            <w:pPr>
              <w:widowControl w:val="0"/>
              <w:numPr>
                <w:ilvl w:val="0"/>
                <w:numId w:val="0"/>
              </w:numPr>
              <w:spacing w:line="360" w:lineRule="auto"/>
              <w:jc w:val="left"/>
              <w:rPr>
                <w:rFonts w:hint="default" w:ascii="宋体" w:hAnsi="宋体" w:eastAsia="宋体" w:cs="宋体"/>
                <w:snapToGrid/>
                <w:color w:val="auto"/>
                <w:kern w:val="2"/>
                <w:sz w:val="22"/>
                <w:szCs w:val="22"/>
                <w:highlight w:val="none"/>
                <w:lang w:val="en-US" w:eastAsia="zh-CN" w:bidi="ar-SA"/>
              </w:rPr>
            </w:pPr>
            <w:r>
              <w:rPr>
                <w:rFonts w:hint="eastAsia" w:ascii="宋体" w:hAnsi="宋体" w:cs="宋体"/>
                <w:sz w:val="22"/>
                <w:szCs w:val="22"/>
                <w:highlight w:val="none"/>
                <w:lang w:val="en-US" w:eastAsia="zh-CN"/>
              </w:rPr>
              <w:t>根据</w:t>
            </w:r>
            <w:r>
              <w:rPr>
                <w:rFonts w:hint="eastAsia" w:ascii="宋体" w:hAnsi="宋体" w:cs="宋体"/>
                <w:b w:val="0"/>
                <w:bCs/>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 xml:space="preserve">供应商提供的油烟机爆炒风量（m³/min) </w:t>
            </w:r>
            <w:r>
              <w:rPr>
                <w:rFonts w:hint="eastAsia" w:ascii="宋体" w:hAnsi="宋体" w:cs="宋体"/>
                <w:b w:val="0"/>
                <w:bCs w:val="0"/>
                <w:color w:val="auto"/>
                <w:sz w:val="22"/>
                <w:szCs w:val="22"/>
                <w:highlight w:val="none"/>
                <w:lang w:val="en-US" w:eastAsia="zh-CN"/>
              </w:rPr>
              <w:t>进行评分（2分）</w:t>
            </w:r>
          </w:p>
          <w:p w14:paraId="2298004B">
            <w:pPr>
              <w:widowControl w:val="0"/>
              <w:numPr>
                <w:ilvl w:val="0"/>
                <w:numId w:val="0"/>
              </w:numPr>
              <w:spacing w:line="360" w:lineRule="auto"/>
              <w:jc w:val="left"/>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17＜</w:t>
            </w:r>
            <w:r>
              <w:rPr>
                <w:rFonts w:hint="default" w:ascii="宋体" w:hAnsi="宋体" w:eastAsia="宋体" w:cs="宋体"/>
                <w:snapToGrid/>
                <w:color w:val="auto"/>
                <w:kern w:val="2"/>
                <w:sz w:val="22"/>
                <w:szCs w:val="22"/>
                <w:highlight w:val="none"/>
                <w:lang w:val="en-US" w:eastAsia="zh-CN" w:bidi="ar-SA"/>
              </w:rPr>
              <w:t>爆炒风量</w:t>
            </w:r>
            <w:r>
              <w:rPr>
                <w:rFonts w:hint="eastAsia" w:ascii="宋体" w:hAnsi="宋体" w:eastAsia="宋体" w:cs="宋体"/>
                <w:snapToGrid/>
                <w:color w:val="auto"/>
                <w:kern w:val="2"/>
                <w:sz w:val="22"/>
                <w:szCs w:val="22"/>
                <w:highlight w:val="none"/>
                <w:lang w:val="en-US" w:eastAsia="zh-CN" w:bidi="ar-SA"/>
              </w:rPr>
              <w:t>（m³/min) ≤18的得0.5分；</w:t>
            </w:r>
          </w:p>
          <w:p w14:paraId="35AD54C6">
            <w:pPr>
              <w:widowControl w:val="0"/>
              <w:numPr>
                <w:ilvl w:val="0"/>
                <w:numId w:val="0"/>
              </w:numPr>
              <w:spacing w:line="360" w:lineRule="auto"/>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18＜</w:t>
            </w:r>
            <w:r>
              <w:rPr>
                <w:rFonts w:hint="default" w:ascii="宋体" w:hAnsi="宋体" w:eastAsia="宋体" w:cs="宋体"/>
                <w:sz w:val="22"/>
                <w:szCs w:val="22"/>
                <w:highlight w:val="none"/>
                <w:lang w:val="en-US" w:eastAsia="zh-CN"/>
              </w:rPr>
              <w:t>爆炒风量</w:t>
            </w:r>
            <w:r>
              <w:rPr>
                <w:rFonts w:hint="eastAsia" w:ascii="宋体" w:hAnsi="宋体" w:eastAsia="宋体" w:cs="宋体"/>
                <w:sz w:val="22"/>
                <w:szCs w:val="22"/>
                <w:highlight w:val="none"/>
                <w:lang w:val="en-US" w:eastAsia="zh-CN"/>
              </w:rPr>
              <w:t xml:space="preserve">（m³/min) </w:t>
            </w:r>
            <w:r>
              <w:rPr>
                <w:rFonts w:hint="eastAsia" w:ascii="宋体" w:hAnsi="宋体" w:cs="宋体"/>
                <w:sz w:val="22"/>
                <w:szCs w:val="22"/>
                <w:highlight w:val="none"/>
                <w:lang w:val="en-US" w:eastAsia="zh-CN"/>
              </w:rPr>
              <w:t>≤19</w:t>
            </w:r>
            <w:r>
              <w:rPr>
                <w:rFonts w:hint="eastAsia" w:ascii="宋体" w:hAnsi="宋体" w:cs="宋体"/>
                <w:b w:val="0"/>
                <w:bCs w:val="0"/>
                <w:color w:val="auto"/>
                <w:sz w:val="22"/>
                <w:szCs w:val="22"/>
                <w:highlight w:val="none"/>
                <w:lang w:val="en-US" w:eastAsia="zh-CN"/>
              </w:rPr>
              <w:t>的</w:t>
            </w:r>
            <w:r>
              <w:rPr>
                <w:rFonts w:hint="eastAsia" w:ascii="宋体" w:hAnsi="宋体" w:eastAsia="宋体" w:cs="宋体"/>
                <w:sz w:val="22"/>
                <w:szCs w:val="22"/>
                <w:highlight w:val="none"/>
                <w:lang w:val="en-US" w:eastAsia="zh-CN"/>
              </w:rPr>
              <w:t>得</w:t>
            </w:r>
            <w:r>
              <w:rPr>
                <w:rFonts w:hint="eastAsia" w:ascii="宋体" w:hAnsi="宋体" w:cs="宋体"/>
                <w:sz w:val="22"/>
                <w:szCs w:val="22"/>
                <w:highlight w:val="none"/>
                <w:lang w:val="en-US" w:eastAsia="zh-CN"/>
              </w:rPr>
              <w:t>1</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p>
          <w:p w14:paraId="086CB2F7">
            <w:pPr>
              <w:widowControl w:val="0"/>
              <w:numPr>
                <w:ilvl w:val="0"/>
                <w:numId w:val="0"/>
              </w:numPr>
              <w:spacing w:line="360" w:lineRule="auto"/>
              <w:jc w:val="left"/>
              <w:rPr>
                <w:rFonts w:hint="eastAsia"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19＜</w:t>
            </w:r>
            <w:r>
              <w:rPr>
                <w:rFonts w:hint="default" w:ascii="宋体" w:hAnsi="宋体" w:eastAsia="宋体" w:cs="宋体"/>
                <w:sz w:val="22"/>
                <w:szCs w:val="22"/>
                <w:highlight w:val="none"/>
                <w:lang w:val="en-US" w:eastAsia="zh-CN"/>
              </w:rPr>
              <w:t>爆炒风量</w:t>
            </w:r>
            <w:r>
              <w:rPr>
                <w:rFonts w:hint="eastAsia" w:ascii="宋体" w:hAnsi="宋体" w:eastAsia="宋体" w:cs="宋体"/>
                <w:sz w:val="22"/>
                <w:szCs w:val="22"/>
                <w:highlight w:val="none"/>
                <w:lang w:val="en-US" w:eastAsia="zh-CN"/>
              </w:rPr>
              <w:t xml:space="preserve">（m³/min) </w:t>
            </w:r>
            <w:r>
              <w:rPr>
                <w:rFonts w:hint="eastAsia" w:ascii="宋体" w:hAnsi="宋体" w:cs="宋体"/>
                <w:sz w:val="22"/>
                <w:szCs w:val="22"/>
                <w:highlight w:val="none"/>
                <w:lang w:val="en-US" w:eastAsia="zh-CN"/>
              </w:rPr>
              <w:t>≤20</w:t>
            </w:r>
            <w:r>
              <w:rPr>
                <w:rFonts w:hint="eastAsia" w:ascii="宋体" w:hAnsi="宋体" w:cs="宋体"/>
                <w:b w:val="0"/>
                <w:bCs w:val="0"/>
                <w:color w:val="auto"/>
                <w:sz w:val="22"/>
                <w:szCs w:val="22"/>
                <w:highlight w:val="none"/>
                <w:lang w:val="en-US" w:eastAsia="zh-CN"/>
              </w:rPr>
              <w:t>的</w:t>
            </w:r>
            <w:r>
              <w:rPr>
                <w:rFonts w:hint="eastAsia" w:ascii="宋体" w:hAnsi="宋体" w:eastAsia="宋体" w:cs="宋体"/>
                <w:sz w:val="22"/>
                <w:szCs w:val="22"/>
                <w:highlight w:val="none"/>
                <w:lang w:val="en-US" w:eastAsia="zh-CN"/>
              </w:rPr>
              <w:t>得</w:t>
            </w:r>
            <w:r>
              <w:rPr>
                <w:rFonts w:hint="eastAsia" w:ascii="宋体" w:hAnsi="宋体" w:cs="宋体"/>
                <w:sz w:val="22"/>
                <w:szCs w:val="22"/>
                <w:highlight w:val="none"/>
                <w:lang w:val="en-US" w:eastAsia="zh-CN"/>
              </w:rPr>
              <w:t>1.5</w:t>
            </w:r>
            <w:r>
              <w:rPr>
                <w:rFonts w:hint="eastAsia" w:ascii="宋体" w:hAnsi="宋体" w:eastAsia="宋体" w:cs="宋体"/>
                <w:sz w:val="22"/>
                <w:szCs w:val="22"/>
                <w:highlight w:val="none"/>
                <w:lang w:val="en-US" w:eastAsia="zh-CN"/>
              </w:rPr>
              <w:t>分</w:t>
            </w:r>
            <w:r>
              <w:rPr>
                <w:rFonts w:hint="eastAsia" w:ascii="宋体" w:hAnsi="宋体" w:cs="宋体"/>
                <w:sz w:val="22"/>
                <w:szCs w:val="22"/>
                <w:highlight w:val="none"/>
                <w:lang w:val="en-US" w:eastAsia="zh-CN"/>
              </w:rPr>
              <w:t>；</w:t>
            </w:r>
          </w:p>
          <w:p w14:paraId="11732A43">
            <w:pPr>
              <w:widowControl w:val="0"/>
              <w:numPr>
                <w:ilvl w:val="0"/>
                <w:numId w:val="0"/>
              </w:numPr>
              <w:spacing w:line="360" w:lineRule="auto"/>
              <w:jc w:val="left"/>
              <w:rPr>
                <w:rFonts w:hint="eastAsia" w:ascii="宋体" w:hAnsi="宋体" w:eastAsia="宋体" w:cs="宋体"/>
                <w:sz w:val="22"/>
                <w:szCs w:val="22"/>
                <w:highlight w:val="none"/>
                <w:lang w:val="en-US" w:eastAsia="zh-CN"/>
              </w:rPr>
            </w:pPr>
            <w:r>
              <w:rPr>
                <w:rFonts w:hint="default" w:ascii="宋体" w:hAnsi="宋体" w:eastAsia="宋体" w:cs="宋体"/>
                <w:sz w:val="22"/>
                <w:szCs w:val="22"/>
                <w:highlight w:val="none"/>
                <w:lang w:val="en-US" w:eastAsia="zh-CN"/>
              </w:rPr>
              <w:t>爆炒风量</w:t>
            </w:r>
            <w:r>
              <w:rPr>
                <w:rFonts w:hint="eastAsia" w:ascii="宋体" w:hAnsi="宋体" w:eastAsia="宋体" w:cs="宋体"/>
                <w:sz w:val="22"/>
                <w:szCs w:val="22"/>
                <w:highlight w:val="none"/>
                <w:lang w:val="en-US" w:eastAsia="zh-CN"/>
              </w:rPr>
              <w:t>（m³/min)＞20的得2分。</w:t>
            </w:r>
          </w:p>
          <w:p w14:paraId="45413966">
            <w:pPr>
              <w:widowControl w:val="0"/>
              <w:numPr>
                <w:ilvl w:val="0"/>
                <w:numId w:val="0"/>
              </w:numPr>
              <w:spacing w:line="360" w:lineRule="auto"/>
              <w:jc w:val="left"/>
              <w:rPr>
                <w:rFonts w:hint="default" w:ascii="宋体" w:hAnsi="宋体" w:eastAsia="宋体" w:cs="宋体"/>
                <w:sz w:val="22"/>
                <w:szCs w:val="22"/>
                <w:highlight w:val="none"/>
                <w:lang w:val="en-US" w:eastAsia="zh-CN"/>
              </w:rPr>
            </w:pPr>
            <w:r>
              <w:rPr>
                <w:rFonts w:hint="eastAsia" w:ascii="宋体" w:hAnsi="宋体" w:eastAsia="宋体" w:cs="宋体"/>
                <w:sz w:val="22"/>
                <w:szCs w:val="22"/>
                <w:highlight w:val="none"/>
                <w:lang w:val="en-US" w:eastAsia="zh-CN"/>
              </w:rPr>
              <w:t>注：提供相关证明文件，未提供或提供不全的不得分。</w:t>
            </w:r>
          </w:p>
        </w:tc>
      </w:tr>
      <w:tr w14:paraId="2C6D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700" w:type="dxa"/>
            <w:shd w:val="clear" w:color="auto" w:fill="auto"/>
            <w:noWrap/>
            <w:vAlign w:val="center"/>
          </w:tcPr>
          <w:p w14:paraId="2E6460E2">
            <w:pPr>
              <w:tabs>
                <w:tab w:val="left" w:pos="5468"/>
              </w:tabs>
              <w:kinsoku/>
              <w:wordWrap/>
              <w:overflowPunct/>
              <w:topLinePunct w:val="0"/>
              <w:bidi w:val="0"/>
              <w:spacing w:line="360" w:lineRule="auto"/>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项目实施方案</w:t>
            </w:r>
          </w:p>
          <w:p w14:paraId="26F27485">
            <w:pPr>
              <w:tabs>
                <w:tab w:val="left" w:pos="5468"/>
              </w:tabs>
              <w:kinsoku/>
              <w:wordWrap/>
              <w:overflowPunct/>
              <w:topLinePunct w:val="0"/>
              <w:bidi w:val="0"/>
              <w:spacing w:line="360" w:lineRule="auto"/>
              <w:jc w:val="center"/>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w:t>
            </w:r>
            <w:r>
              <w:rPr>
                <w:rFonts w:hint="eastAsia" w:ascii="宋体" w:hAnsi="宋体" w:cs="Times New Roman"/>
                <w:color w:val="auto"/>
                <w:sz w:val="22"/>
                <w:szCs w:val="22"/>
                <w:highlight w:val="none"/>
                <w:lang w:val="en-US" w:eastAsia="zh-CN"/>
              </w:rPr>
              <w:t>8</w:t>
            </w:r>
            <w:r>
              <w:rPr>
                <w:rFonts w:hint="eastAsia" w:ascii="宋体" w:hAnsi="宋体" w:eastAsia="宋体" w:cs="Times New Roman"/>
                <w:color w:val="auto"/>
                <w:sz w:val="22"/>
                <w:szCs w:val="22"/>
                <w:highlight w:val="none"/>
              </w:rPr>
              <w:t>分）</w:t>
            </w:r>
          </w:p>
          <w:p w14:paraId="2FFCC42F">
            <w:pPr>
              <w:spacing w:line="360" w:lineRule="auto"/>
              <w:jc w:val="center"/>
              <w:rPr>
                <w:rFonts w:hint="eastAsia" w:ascii="宋体" w:hAnsi="宋体" w:eastAsia="宋体" w:cs="宋体"/>
                <w:kern w:val="2"/>
                <w:sz w:val="22"/>
                <w:szCs w:val="22"/>
                <w:highlight w:val="none"/>
                <w:lang w:val="en-US" w:eastAsia="zh-CN" w:bidi="ar-SA"/>
              </w:rPr>
            </w:pPr>
          </w:p>
        </w:tc>
        <w:tc>
          <w:tcPr>
            <w:tcW w:w="8094" w:type="dxa"/>
            <w:shd w:val="clear" w:color="auto" w:fill="auto"/>
            <w:noWrap/>
            <w:vAlign w:val="center"/>
          </w:tcPr>
          <w:p w14:paraId="47F298FF">
            <w:pPr>
              <w:tabs>
                <w:tab w:val="left" w:pos="5468"/>
              </w:tabs>
              <w:kinsoku/>
              <w:wordWrap/>
              <w:overflowPunct/>
              <w:topLinePunct w:val="0"/>
              <w:bidi w:val="0"/>
              <w:spacing w:line="360" w:lineRule="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项目实施方案（8分）</w:t>
            </w:r>
          </w:p>
          <w:p w14:paraId="3E713C2B">
            <w:pPr>
              <w:tabs>
                <w:tab w:val="left" w:pos="5468"/>
              </w:tabs>
              <w:kinsoku/>
              <w:wordWrap/>
              <w:overflowPunct/>
              <w:topLinePunct w:val="0"/>
              <w:bidi w:val="0"/>
              <w:spacing w:line="360" w:lineRule="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根据供应商提供项目实施方案进行评议：</w:t>
            </w:r>
            <w:r>
              <w:rPr>
                <w:rFonts w:hint="eastAsia" w:ascii="宋体" w:hAnsi="宋体" w:eastAsia="宋体" w:cs="宋体"/>
                <w:snapToGrid/>
                <w:color w:val="auto"/>
                <w:kern w:val="2"/>
                <w:sz w:val="22"/>
                <w:szCs w:val="22"/>
                <w:highlight w:val="none"/>
                <w:lang w:val="en-US" w:eastAsia="zh-CN" w:bidi="ar-SA"/>
              </w:rPr>
              <w:fldChar w:fldCharType="begin"/>
            </w:r>
            <w:r>
              <w:rPr>
                <w:rFonts w:hint="eastAsia" w:ascii="宋体" w:hAnsi="宋体" w:eastAsia="宋体" w:cs="宋体"/>
                <w:snapToGrid/>
                <w:color w:val="auto"/>
                <w:kern w:val="2"/>
                <w:sz w:val="22"/>
                <w:szCs w:val="22"/>
                <w:highlight w:val="none"/>
                <w:lang w:val="en-US" w:eastAsia="zh-CN" w:bidi="ar-SA"/>
              </w:rPr>
              <w:instrText xml:space="preserve"> = 1 \* GB3 </w:instrText>
            </w:r>
            <w:r>
              <w:rPr>
                <w:rFonts w:hint="eastAsia" w:ascii="宋体" w:hAnsi="宋体" w:eastAsia="宋体" w:cs="宋体"/>
                <w:snapToGrid/>
                <w:color w:val="auto"/>
                <w:kern w:val="2"/>
                <w:sz w:val="22"/>
                <w:szCs w:val="22"/>
                <w:highlight w:val="none"/>
                <w:lang w:val="en-US" w:eastAsia="zh-CN" w:bidi="ar-SA"/>
              </w:rPr>
              <w:fldChar w:fldCharType="separate"/>
            </w:r>
            <w:r>
              <w:rPr>
                <w:rFonts w:hint="eastAsia" w:ascii="宋体" w:hAnsi="宋体" w:eastAsia="宋体" w:cs="宋体"/>
                <w:snapToGrid/>
                <w:color w:val="auto"/>
                <w:kern w:val="2"/>
                <w:sz w:val="22"/>
                <w:szCs w:val="22"/>
                <w:highlight w:val="none"/>
                <w:lang w:val="en-US" w:eastAsia="zh-CN" w:bidi="ar-SA"/>
              </w:rPr>
              <w:t>①</w:t>
            </w:r>
            <w:r>
              <w:rPr>
                <w:rFonts w:hint="eastAsia" w:ascii="宋体" w:hAnsi="宋体" w:eastAsia="宋体" w:cs="宋体"/>
                <w:snapToGrid/>
                <w:color w:val="auto"/>
                <w:kern w:val="2"/>
                <w:sz w:val="22"/>
                <w:szCs w:val="22"/>
                <w:highlight w:val="none"/>
                <w:lang w:val="en-US" w:eastAsia="zh-CN" w:bidi="ar-SA"/>
              </w:rPr>
              <w:fldChar w:fldCharType="end"/>
            </w:r>
            <w:r>
              <w:rPr>
                <w:rFonts w:hint="eastAsia" w:ascii="宋体" w:hAnsi="宋体" w:eastAsia="宋体" w:cs="宋体"/>
                <w:snapToGrid/>
                <w:color w:val="auto"/>
                <w:kern w:val="2"/>
                <w:sz w:val="22"/>
                <w:szCs w:val="22"/>
                <w:highlight w:val="none"/>
                <w:lang w:val="en-US" w:eastAsia="zh-CN" w:bidi="ar-SA"/>
              </w:rPr>
              <w:t>实施方案条理清晰且切实可行；</w:t>
            </w:r>
            <w:r>
              <w:rPr>
                <w:rFonts w:hint="eastAsia" w:ascii="宋体" w:hAnsi="宋体" w:eastAsia="宋体" w:cs="宋体"/>
                <w:snapToGrid/>
                <w:color w:val="auto"/>
                <w:kern w:val="2"/>
                <w:sz w:val="22"/>
                <w:szCs w:val="22"/>
                <w:highlight w:val="none"/>
                <w:lang w:val="en-US" w:eastAsia="zh-CN" w:bidi="ar-SA"/>
              </w:rPr>
              <w:fldChar w:fldCharType="begin"/>
            </w:r>
            <w:r>
              <w:rPr>
                <w:rFonts w:hint="eastAsia" w:ascii="宋体" w:hAnsi="宋体" w:eastAsia="宋体" w:cs="宋体"/>
                <w:snapToGrid/>
                <w:color w:val="auto"/>
                <w:kern w:val="2"/>
                <w:sz w:val="22"/>
                <w:szCs w:val="22"/>
                <w:highlight w:val="none"/>
                <w:lang w:val="en-US" w:eastAsia="zh-CN" w:bidi="ar-SA"/>
              </w:rPr>
              <w:instrText xml:space="preserve"> = 2 \* GB3 </w:instrText>
            </w:r>
            <w:r>
              <w:rPr>
                <w:rFonts w:hint="eastAsia" w:ascii="宋体" w:hAnsi="宋体" w:eastAsia="宋体" w:cs="宋体"/>
                <w:snapToGrid/>
                <w:color w:val="auto"/>
                <w:kern w:val="2"/>
                <w:sz w:val="22"/>
                <w:szCs w:val="22"/>
                <w:highlight w:val="none"/>
                <w:lang w:val="en-US" w:eastAsia="zh-CN" w:bidi="ar-SA"/>
              </w:rPr>
              <w:fldChar w:fldCharType="separate"/>
            </w:r>
            <w:r>
              <w:rPr>
                <w:rFonts w:hint="eastAsia" w:ascii="宋体" w:hAnsi="宋体" w:eastAsia="宋体" w:cs="宋体"/>
                <w:snapToGrid/>
                <w:color w:val="auto"/>
                <w:kern w:val="2"/>
                <w:sz w:val="22"/>
                <w:szCs w:val="22"/>
                <w:highlight w:val="none"/>
                <w:lang w:val="en-US" w:eastAsia="zh-CN" w:bidi="ar-SA"/>
              </w:rPr>
              <w:t>②</w:t>
            </w:r>
            <w:r>
              <w:rPr>
                <w:rFonts w:hint="eastAsia" w:ascii="宋体" w:hAnsi="宋体" w:eastAsia="宋体" w:cs="宋体"/>
                <w:snapToGrid/>
                <w:color w:val="auto"/>
                <w:kern w:val="2"/>
                <w:sz w:val="22"/>
                <w:szCs w:val="22"/>
                <w:highlight w:val="none"/>
                <w:lang w:val="en-US" w:eastAsia="zh-CN" w:bidi="ar-SA"/>
              </w:rPr>
              <w:fldChar w:fldCharType="end"/>
            </w:r>
            <w:r>
              <w:rPr>
                <w:rFonts w:hint="eastAsia" w:ascii="宋体" w:hAnsi="宋体" w:eastAsia="宋体" w:cs="宋体"/>
                <w:snapToGrid/>
                <w:color w:val="auto"/>
                <w:kern w:val="2"/>
                <w:sz w:val="22"/>
                <w:szCs w:val="22"/>
                <w:highlight w:val="none"/>
                <w:lang w:val="en-US" w:eastAsia="zh-CN" w:bidi="ar-SA"/>
              </w:rPr>
              <w:t>重难点把握精准且针对性强；</w:t>
            </w:r>
            <w:r>
              <w:rPr>
                <w:rFonts w:hint="eastAsia" w:ascii="宋体" w:hAnsi="宋体" w:eastAsia="宋体" w:cs="宋体"/>
                <w:snapToGrid/>
                <w:color w:val="auto"/>
                <w:kern w:val="2"/>
                <w:sz w:val="22"/>
                <w:szCs w:val="22"/>
                <w:highlight w:val="none"/>
                <w:lang w:val="en-US" w:eastAsia="zh-CN" w:bidi="ar-SA"/>
              </w:rPr>
              <w:fldChar w:fldCharType="begin"/>
            </w:r>
            <w:r>
              <w:rPr>
                <w:rFonts w:hint="eastAsia" w:ascii="宋体" w:hAnsi="宋体" w:eastAsia="宋体" w:cs="宋体"/>
                <w:snapToGrid/>
                <w:color w:val="auto"/>
                <w:kern w:val="2"/>
                <w:sz w:val="22"/>
                <w:szCs w:val="22"/>
                <w:highlight w:val="none"/>
                <w:lang w:val="en-US" w:eastAsia="zh-CN" w:bidi="ar-SA"/>
              </w:rPr>
              <w:instrText xml:space="preserve"> = 3 \* GB3 </w:instrText>
            </w:r>
            <w:r>
              <w:rPr>
                <w:rFonts w:hint="eastAsia" w:ascii="宋体" w:hAnsi="宋体" w:eastAsia="宋体" w:cs="宋体"/>
                <w:snapToGrid/>
                <w:color w:val="auto"/>
                <w:kern w:val="2"/>
                <w:sz w:val="22"/>
                <w:szCs w:val="22"/>
                <w:highlight w:val="none"/>
                <w:lang w:val="en-US" w:eastAsia="zh-CN" w:bidi="ar-SA"/>
              </w:rPr>
              <w:fldChar w:fldCharType="separate"/>
            </w:r>
            <w:r>
              <w:rPr>
                <w:rFonts w:hint="eastAsia" w:ascii="宋体" w:hAnsi="宋体" w:eastAsia="宋体" w:cs="宋体"/>
                <w:snapToGrid/>
                <w:color w:val="auto"/>
                <w:kern w:val="2"/>
                <w:sz w:val="22"/>
                <w:szCs w:val="22"/>
                <w:highlight w:val="none"/>
                <w:lang w:val="en-US" w:eastAsia="zh-CN" w:bidi="ar-SA"/>
              </w:rPr>
              <w:t>③</w:t>
            </w:r>
            <w:r>
              <w:rPr>
                <w:rFonts w:hint="eastAsia" w:ascii="宋体" w:hAnsi="宋体" w:eastAsia="宋体" w:cs="宋体"/>
                <w:snapToGrid/>
                <w:color w:val="auto"/>
                <w:kern w:val="2"/>
                <w:sz w:val="22"/>
                <w:szCs w:val="22"/>
                <w:highlight w:val="none"/>
                <w:lang w:val="en-US" w:eastAsia="zh-CN" w:bidi="ar-SA"/>
              </w:rPr>
              <w:fldChar w:fldCharType="end"/>
            </w:r>
            <w:r>
              <w:rPr>
                <w:rFonts w:hint="eastAsia" w:ascii="宋体" w:hAnsi="宋体" w:eastAsia="宋体" w:cs="宋体"/>
                <w:snapToGrid/>
                <w:color w:val="auto"/>
                <w:kern w:val="2"/>
                <w:sz w:val="22"/>
                <w:szCs w:val="22"/>
                <w:highlight w:val="none"/>
                <w:lang w:val="en-US" w:eastAsia="zh-CN" w:bidi="ar-SA"/>
              </w:rPr>
              <w:t>安全文明作业措施和环保措施全面有力；</w:t>
            </w:r>
            <w:r>
              <w:rPr>
                <w:rFonts w:hint="eastAsia" w:ascii="宋体" w:hAnsi="宋体" w:eastAsia="宋体" w:cs="宋体"/>
                <w:snapToGrid/>
                <w:color w:val="auto"/>
                <w:kern w:val="2"/>
                <w:sz w:val="22"/>
                <w:szCs w:val="22"/>
                <w:highlight w:val="none"/>
                <w:lang w:val="en-US" w:eastAsia="zh-CN" w:bidi="ar-SA"/>
              </w:rPr>
              <w:fldChar w:fldCharType="begin"/>
            </w:r>
            <w:r>
              <w:rPr>
                <w:rFonts w:hint="eastAsia" w:ascii="宋体" w:hAnsi="宋体" w:eastAsia="宋体" w:cs="宋体"/>
                <w:snapToGrid/>
                <w:color w:val="auto"/>
                <w:kern w:val="2"/>
                <w:sz w:val="22"/>
                <w:szCs w:val="22"/>
                <w:highlight w:val="none"/>
                <w:lang w:val="en-US" w:eastAsia="zh-CN" w:bidi="ar-SA"/>
              </w:rPr>
              <w:instrText xml:space="preserve"> = 4 \* GB3 </w:instrText>
            </w:r>
            <w:r>
              <w:rPr>
                <w:rFonts w:hint="eastAsia" w:ascii="宋体" w:hAnsi="宋体" w:eastAsia="宋体" w:cs="宋体"/>
                <w:snapToGrid/>
                <w:color w:val="auto"/>
                <w:kern w:val="2"/>
                <w:sz w:val="22"/>
                <w:szCs w:val="22"/>
                <w:highlight w:val="none"/>
                <w:lang w:val="en-US" w:eastAsia="zh-CN" w:bidi="ar-SA"/>
              </w:rPr>
              <w:fldChar w:fldCharType="separate"/>
            </w:r>
            <w:r>
              <w:rPr>
                <w:rFonts w:hint="eastAsia" w:ascii="宋体" w:hAnsi="宋体" w:eastAsia="宋体" w:cs="宋体"/>
                <w:snapToGrid/>
                <w:color w:val="auto"/>
                <w:kern w:val="2"/>
                <w:sz w:val="22"/>
                <w:szCs w:val="22"/>
                <w:highlight w:val="none"/>
                <w:lang w:val="en-US" w:eastAsia="zh-CN" w:bidi="ar-SA"/>
              </w:rPr>
              <w:t>④</w:t>
            </w:r>
            <w:r>
              <w:rPr>
                <w:rFonts w:hint="eastAsia" w:ascii="宋体" w:hAnsi="宋体" w:eastAsia="宋体" w:cs="宋体"/>
                <w:snapToGrid/>
                <w:color w:val="auto"/>
                <w:kern w:val="2"/>
                <w:sz w:val="22"/>
                <w:szCs w:val="22"/>
                <w:highlight w:val="none"/>
                <w:lang w:val="en-US" w:eastAsia="zh-CN" w:bidi="ar-SA"/>
              </w:rPr>
              <w:fldChar w:fldCharType="end"/>
            </w:r>
            <w:r>
              <w:rPr>
                <w:rFonts w:hint="eastAsia" w:ascii="宋体" w:hAnsi="宋体" w:eastAsia="宋体" w:cs="宋体"/>
                <w:snapToGrid/>
                <w:color w:val="auto"/>
                <w:kern w:val="2"/>
                <w:sz w:val="22"/>
                <w:szCs w:val="22"/>
                <w:highlight w:val="none"/>
                <w:lang w:val="en-US" w:eastAsia="zh-CN" w:bidi="ar-SA"/>
              </w:rPr>
              <w:t>应急处理方案完善且具有执行性；完全符合要求的每项得2分，基本符合要求的每项得1分，本项最高得8分，不符合、提供不全的或未提供均不得分。</w:t>
            </w:r>
          </w:p>
        </w:tc>
      </w:tr>
      <w:tr w14:paraId="48E3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00" w:type="dxa"/>
            <w:noWrap/>
            <w:vAlign w:val="center"/>
          </w:tcPr>
          <w:p w14:paraId="5A0F04EB">
            <w:pPr>
              <w:tabs>
                <w:tab w:val="left" w:pos="5468"/>
              </w:tabs>
              <w:kinsoku/>
              <w:wordWrap/>
              <w:overflowPunct/>
              <w:topLinePunct w:val="0"/>
              <w:bidi w:val="0"/>
              <w:spacing w:line="360" w:lineRule="auto"/>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rPr>
              <w:t>供货计划、</w:t>
            </w:r>
            <w:r>
              <w:rPr>
                <w:rFonts w:hint="eastAsia" w:ascii="宋体" w:hAnsi="宋体" w:cs="Times New Roman"/>
                <w:color w:val="auto"/>
                <w:sz w:val="22"/>
                <w:szCs w:val="22"/>
                <w:highlight w:val="none"/>
                <w:lang w:val="en-US" w:eastAsia="zh-CN"/>
              </w:rPr>
              <w:t>进度</w:t>
            </w:r>
            <w:r>
              <w:rPr>
                <w:rFonts w:hint="eastAsia" w:ascii="宋体" w:hAnsi="宋体" w:eastAsia="宋体" w:cs="Times New Roman"/>
                <w:color w:val="auto"/>
                <w:sz w:val="22"/>
                <w:szCs w:val="22"/>
                <w:highlight w:val="none"/>
              </w:rPr>
              <w:t>保障方案</w:t>
            </w:r>
          </w:p>
          <w:p w14:paraId="356F24D5">
            <w:pPr>
              <w:tabs>
                <w:tab w:val="left" w:pos="5468"/>
              </w:tabs>
              <w:kinsoku/>
              <w:wordWrap/>
              <w:overflowPunct/>
              <w:topLinePunct w:val="0"/>
              <w:bidi w:val="0"/>
              <w:spacing w:line="360" w:lineRule="auto"/>
              <w:jc w:val="center"/>
              <w:rPr>
                <w:rFonts w:hint="eastAsia" w:ascii="宋体" w:hAnsi="宋体" w:eastAsia="宋体" w:cs="Times New Roman"/>
                <w:color w:val="auto"/>
                <w:sz w:val="22"/>
                <w:szCs w:val="22"/>
                <w:highlight w:val="none"/>
              </w:rPr>
            </w:pPr>
            <w:r>
              <w:rPr>
                <w:rFonts w:hint="eastAsia" w:ascii="宋体" w:hAnsi="宋体" w:cs="Times New Roman"/>
                <w:color w:val="auto"/>
                <w:sz w:val="22"/>
                <w:szCs w:val="22"/>
                <w:highlight w:val="none"/>
                <w:lang w:val="en-US" w:eastAsia="zh-CN"/>
              </w:rPr>
              <w:t>（</w:t>
            </w:r>
            <w:r>
              <w:rPr>
                <w:rFonts w:hint="eastAsia" w:ascii="宋体" w:hAnsi="宋体" w:eastAsia="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分)</w:t>
            </w:r>
          </w:p>
          <w:p w14:paraId="18BA9584">
            <w:pPr>
              <w:spacing w:line="360" w:lineRule="auto"/>
              <w:jc w:val="center"/>
              <w:rPr>
                <w:rFonts w:hint="eastAsia" w:ascii="宋体" w:hAnsi="宋体" w:cs="宋体"/>
                <w:sz w:val="22"/>
                <w:szCs w:val="22"/>
                <w:highlight w:val="none"/>
              </w:rPr>
            </w:pPr>
          </w:p>
        </w:tc>
        <w:tc>
          <w:tcPr>
            <w:tcW w:w="8094" w:type="dxa"/>
            <w:noWrap/>
            <w:vAlign w:val="center"/>
          </w:tcPr>
          <w:p w14:paraId="18255B08">
            <w:pPr>
              <w:tabs>
                <w:tab w:val="left" w:pos="5468"/>
              </w:tabs>
              <w:kinsoku/>
              <w:wordWrap/>
              <w:overflowPunct/>
              <w:topLinePunct w:val="0"/>
              <w:bidi w:val="0"/>
              <w:spacing w:line="360" w:lineRule="auto"/>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供货计划、</w:t>
            </w:r>
            <w:r>
              <w:rPr>
                <w:rFonts w:hint="eastAsia" w:ascii="宋体" w:hAnsi="宋体" w:cs="Times New Roman"/>
                <w:color w:val="auto"/>
                <w:sz w:val="22"/>
                <w:szCs w:val="22"/>
                <w:highlight w:val="none"/>
                <w:lang w:val="en-US" w:eastAsia="zh-CN"/>
              </w:rPr>
              <w:t>进度</w:t>
            </w:r>
            <w:r>
              <w:rPr>
                <w:rFonts w:hint="eastAsia" w:ascii="宋体" w:hAnsi="宋体" w:eastAsia="宋体" w:cs="Times New Roman"/>
                <w:color w:val="auto"/>
                <w:sz w:val="22"/>
                <w:szCs w:val="22"/>
                <w:highlight w:val="none"/>
              </w:rPr>
              <w:t>保障方案(</w:t>
            </w:r>
            <w:r>
              <w:rPr>
                <w:rFonts w:hint="eastAsia" w:ascii="宋体" w:hAnsi="宋体" w:eastAsia="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分)</w:t>
            </w:r>
          </w:p>
          <w:p w14:paraId="11B4DD32">
            <w:pPr>
              <w:tabs>
                <w:tab w:val="left" w:pos="5468"/>
              </w:tabs>
              <w:kinsoku/>
              <w:wordWrap/>
              <w:overflowPunct/>
              <w:topLinePunct w:val="0"/>
              <w:bidi w:val="0"/>
              <w:spacing w:line="360" w:lineRule="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根据供应商提供的供货计划及保障方案进行评议：①供货计划安排得当且易于调配和把控；②工期进度安排紧凑，各环节衔接紧密，以最快速度推动项目实施；</w:t>
            </w:r>
            <w:r>
              <w:rPr>
                <w:rFonts w:hint="eastAsia" w:ascii="宋体" w:hAnsi="宋体" w:eastAsia="宋体" w:cs="宋体"/>
                <w:snapToGrid/>
                <w:color w:val="auto"/>
                <w:kern w:val="2"/>
                <w:sz w:val="22"/>
                <w:szCs w:val="22"/>
                <w:highlight w:val="none"/>
                <w:lang w:val="en-US" w:eastAsia="zh-CN" w:bidi="ar-SA"/>
              </w:rPr>
              <w:fldChar w:fldCharType="begin"/>
            </w:r>
            <w:r>
              <w:rPr>
                <w:rFonts w:hint="eastAsia" w:ascii="宋体" w:hAnsi="宋体" w:eastAsia="宋体" w:cs="宋体"/>
                <w:snapToGrid/>
                <w:color w:val="auto"/>
                <w:kern w:val="2"/>
                <w:sz w:val="22"/>
                <w:szCs w:val="22"/>
                <w:highlight w:val="none"/>
                <w:lang w:val="en-US" w:eastAsia="zh-CN" w:bidi="ar-SA"/>
              </w:rPr>
              <w:instrText xml:space="preserve"> = 3 \* GB3 </w:instrText>
            </w:r>
            <w:r>
              <w:rPr>
                <w:rFonts w:hint="eastAsia" w:ascii="宋体" w:hAnsi="宋体" w:eastAsia="宋体" w:cs="宋体"/>
                <w:snapToGrid/>
                <w:color w:val="auto"/>
                <w:kern w:val="2"/>
                <w:sz w:val="22"/>
                <w:szCs w:val="22"/>
                <w:highlight w:val="none"/>
                <w:lang w:val="en-US" w:eastAsia="zh-CN" w:bidi="ar-SA"/>
              </w:rPr>
              <w:fldChar w:fldCharType="separate"/>
            </w:r>
            <w:r>
              <w:rPr>
                <w:rFonts w:hint="eastAsia" w:ascii="宋体" w:hAnsi="宋体" w:eastAsia="宋体" w:cs="宋体"/>
                <w:snapToGrid/>
                <w:color w:val="auto"/>
                <w:kern w:val="2"/>
                <w:sz w:val="22"/>
                <w:szCs w:val="22"/>
                <w:highlight w:val="none"/>
                <w:lang w:val="en-US" w:eastAsia="zh-CN" w:bidi="ar-SA"/>
              </w:rPr>
              <w:t>③</w:t>
            </w:r>
            <w:r>
              <w:rPr>
                <w:rFonts w:hint="eastAsia" w:ascii="宋体" w:hAnsi="宋体" w:eastAsia="宋体" w:cs="宋体"/>
                <w:snapToGrid/>
                <w:color w:val="auto"/>
                <w:kern w:val="2"/>
                <w:sz w:val="22"/>
                <w:szCs w:val="22"/>
                <w:highlight w:val="none"/>
                <w:lang w:val="en-US" w:eastAsia="zh-CN" w:bidi="ar-SA"/>
              </w:rPr>
              <w:fldChar w:fldCharType="end"/>
            </w:r>
            <w:r>
              <w:rPr>
                <w:rFonts w:hint="eastAsia" w:ascii="宋体" w:hAnsi="宋体" w:eastAsia="宋体" w:cs="宋体"/>
                <w:snapToGrid/>
                <w:color w:val="auto"/>
                <w:kern w:val="2"/>
                <w:sz w:val="22"/>
                <w:szCs w:val="22"/>
                <w:highlight w:val="none"/>
                <w:lang w:val="en-US" w:eastAsia="zh-CN" w:bidi="ar-SA"/>
              </w:rPr>
              <w:t>保障措施（包括但不限于生产设备数量、安装人员数量、应急措施等）完善且具有执行性；完全符合要求的每项得2分，基本符合要求的每项得1分，不符合、提供不全的或未提供均不得分。</w:t>
            </w:r>
          </w:p>
        </w:tc>
      </w:tr>
      <w:tr w14:paraId="2B6E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1700" w:type="dxa"/>
            <w:noWrap/>
            <w:vAlign w:val="center"/>
          </w:tcPr>
          <w:p w14:paraId="35947E5E">
            <w:pPr>
              <w:pStyle w:val="8"/>
              <w:shd w:val="clear" w:color="auto" w:fill="auto"/>
              <w:spacing w:line="360" w:lineRule="auto"/>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现场实施人员配备情况</w:t>
            </w:r>
          </w:p>
          <w:p w14:paraId="12F1036A">
            <w:pPr>
              <w:pStyle w:val="8"/>
              <w:shd w:val="clear" w:color="auto" w:fill="auto"/>
              <w:spacing w:line="360" w:lineRule="auto"/>
              <w:jc w:val="center"/>
              <w:rPr>
                <w:rFonts w:ascii="宋体" w:hAnsi="宋体" w:cs="宋体"/>
                <w:color w:val="auto"/>
                <w:sz w:val="22"/>
                <w:szCs w:val="22"/>
                <w:highlight w:val="none"/>
              </w:rPr>
            </w:pP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2</w:t>
            </w:r>
            <w:r>
              <w:rPr>
                <w:rFonts w:hint="eastAsia" w:ascii="宋体" w:hAnsi="宋体" w:cs="宋体"/>
                <w:color w:val="auto"/>
                <w:sz w:val="22"/>
                <w:szCs w:val="22"/>
                <w:highlight w:val="none"/>
              </w:rPr>
              <w:t>分）</w:t>
            </w:r>
          </w:p>
          <w:p w14:paraId="70843067">
            <w:pPr>
              <w:spacing w:line="360" w:lineRule="auto"/>
              <w:jc w:val="center"/>
              <w:rPr>
                <w:rFonts w:hint="eastAsia" w:ascii="宋体" w:hAnsi="宋体" w:cs="宋体"/>
                <w:sz w:val="22"/>
                <w:szCs w:val="22"/>
                <w:highlight w:val="none"/>
                <w:lang w:val="zh-CN"/>
              </w:rPr>
            </w:pPr>
          </w:p>
        </w:tc>
        <w:tc>
          <w:tcPr>
            <w:tcW w:w="8094" w:type="dxa"/>
            <w:noWrap/>
            <w:vAlign w:val="center"/>
          </w:tcPr>
          <w:p w14:paraId="77889163">
            <w:pPr>
              <w:pStyle w:val="8"/>
              <w:shd w:val="clear" w:color="auto" w:fill="auto"/>
              <w:spacing w:line="360" w:lineRule="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现场实施人员配备情况（</w:t>
            </w:r>
            <w:r>
              <w:rPr>
                <w:rFonts w:hint="eastAsia" w:ascii="宋体" w:hAnsi="宋体" w:cs="宋体"/>
                <w:snapToGrid/>
                <w:color w:val="auto"/>
                <w:kern w:val="2"/>
                <w:sz w:val="22"/>
                <w:szCs w:val="22"/>
                <w:highlight w:val="none"/>
                <w:lang w:val="en-US" w:eastAsia="zh-CN" w:bidi="ar-SA"/>
              </w:rPr>
              <w:t>2</w:t>
            </w:r>
            <w:r>
              <w:rPr>
                <w:rFonts w:hint="eastAsia" w:ascii="宋体" w:hAnsi="宋体" w:eastAsia="宋体" w:cs="宋体"/>
                <w:snapToGrid/>
                <w:color w:val="auto"/>
                <w:kern w:val="2"/>
                <w:sz w:val="22"/>
                <w:szCs w:val="22"/>
                <w:highlight w:val="none"/>
                <w:lang w:val="en-US" w:eastAsia="zh-CN" w:bidi="ar-SA"/>
              </w:rPr>
              <w:t>分）</w:t>
            </w:r>
          </w:p>
          <w:p w14:paraId="06ED2D3A">
            <w:pPr>
              <w:pStyle w:val="8"/>
              <w:shd w:val="clear" w:color="auto" w:fill="auto"/>
              <w:spacing w:line="360" w:lineRule="auto"/>
              <w:rPr>
                <w:rFonts w:hint="eastAsia" w:ascii="宋体" w:hAnsi="宋体" w:eastAsia="宋体" w:cs="宋体"/>
                <w:b w:val="0"/>
                <w:bCs/>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根据供应商实施人员配备情况进行评议：①项目</w:t>
            </w:r>
            <w:r>
              <w:rPr>
                <w:rFonts w:hint="eastAsia" w:ascii="宋体" w:hAnsi="宋体" w:cs="宋体"/>
                <w:snapToGrid/>
                <w:color w:val="auto"/>
                <w:kern w:val="2"/>
                <w:sz w:val="22"/>
                <w:szCs w:val="22"/>
                <w:highlight w:val="none"/>
                <w:lang w:val="en-US" w:eastAsia="zh-CN" w:bidi="ar-SA"/>
              </w:rPr>
              <w:t>组织机构安排合理的</w:t>
            </w:r>
            <w:r>
              <w:rPr>
                <w:rFonts w:hint="eastAsia" w:ascii="宋体" w:hAnsi="宋体" w:eastAsia="宋体" w:cs="宋体"/>
                <w:snapToGrid/>
                <w:color w:val="auto"/>
                <w:kern w:val="2"/>
                <w:sz w:val="22"/>
                <w:szCs w:val="22"/>
                <w:highlight w:val="none"/>
                <w:lang w:val="en-US" w:eastAsia="zh-CN" w:bidi="ar-SA"/>
              </w:rPr>
              <w:t>；②</w:t>
            </w:r>
            <w:r>
              <w:rPr>
                <w:rFonts w:hint="eastAsia" w:ascii="宋体" w:hAnsi="宋体" w:cs="宋体"/>
                <w:snapToGrid/>
                <w:color w:val="auto"/>
                <w:kern w:val="2"/>
                <w:sz w:val="22"/>
                <w:szCs w:val="22"/>
                <w:highlight w:val="none"/>
                <w:lang w:val="en-US" w:eastAsia="zh-CN" w:bidi="ar-SA"/>
              </w:rPr>
              <w:t>项目组成人员工作经验丰富的</w:t>
            </w:r>
            <w:r>
              <w:rPr>
                <w:rFonts w:hint="eastAsia" w:ascii="宋体" w:hAnsi="宋体" w:eastAsia="宋体" w:cs="宋体"/>
                <w:b w:val="0"/>
                <w:bCs/>
                <w:color w:val="auto"/>
                <w:kern w:val="2"/>
                <w:sz w:val="22"/>
                <w:szCs w:val="22"/>
                <w:highlight w:val="none"/>
                <w:lang w:val="en-US" w:eastAsia="zh-CN" w:bidi="ar-SA"/>
              </w:rPr>
              <w:t>；完全符合要求的每项得1分，基本符合要求的每项得0.5分，本项最高得</w:t>
            </w:r>
            <w:r>
              <w:rPr>
                <w:rFonts w:hint="eastAsia" w:ascii="宋体" w:hAnsi="宋体" w:cs="宋体"/>
                <w:b w:val="0"/>
                <w:bCs/>
                <w:color w:val="auto"/>
                <w:kern w:val="2"/>
                <w:sz w:val="22"/>
                <w:szCs w:val="22"/>
                <w:highlight w:val="none"/>
                <w:lang w:val="en-US" w:eastAsia="zh-CN" w:bidi="ar-SA"/>
              </w:rPr>
              <w:t>2</w:t>
            </w:r>
            <w:r>
              <w:rPr>
                <w:rFonts w:hint="eastAsia" w:ascii="宋体" w:hAnsi="宋体" w:eastAsia="宋体" w:cs="宋体"/>
                <w:b w:val="0"/>
                <w:bCs/>
                <w:color w:val="auto"/>
                <w:kern w:val="2"/>
                <w:sz w:val="22"/>
                <w:szCs w:val="22"/>
                <w:highlight w:val="none"/>
                <w:lang w:val="en-US" w:eastAsia="zh-CN" w:bidi="ar-SA"/>
              </w:rPr>
              <w:t>分，不符合、提供不全的或未提供均不得分。</w:t>
            </w:r>
          </w:p>
          <w:p w14:paraId="187C97FE">
            <w:pPr>
              <w:tabs>
                <w:tab w:val="left" w:pos="5468"/>
              </w:tabs>
              <w:kinsoku/>
              <w:wordWrap/>
              <w:overflowPunct/>
              <w:topLinePunct w:val="0"/>
              <w:bidi w:val="0"/>
              <w:spacing w:line="360" w:lineRule="auto"/>
              <w:rPr>
                <w:rFonts w:hint="default" w:ascii="宋体" w:hAnsi="宋体" w:eastAsia="宋体" w:cs="宋体"/>
                <w:snapToGrid/>
                <w:color w:val="auto"/>
                <w:kern w:val="2"/>
                <w:sz w:val="22"/>
                <w:szCs w:val="22"/>
                <w:highlight w:val="none"/>
                <w:lang w:val="en-US" w:eastAsia="zh-CN" w:bidi="ar-SA"/>
              </w:rPr>
            </w:pPr>
            <w:r>
              <w:rPr>
                <w:rFonts w:hint="eastAsia" w:ascii="宋体" w:hAnsi="宋体" w:eastAsia="宋体" w:cs="宋体"/>
                <w:b w:val="0"/>
                <w:bCs/>
                <w:color w:val="auto"/>
                <w:kern w:val="2"/>
                <w:sz w:val="22"/>
                <w:szCs w:val="22"/>
                <w:highlight w:val="none"/>
                <w:lang w:val="en-US" w:eastAsia="zh-CN" w:bidi="ar-SA"/>
              </w:rPr>
              <w:t>注：投标文件中提供上述人员的相关证明资料，未提供或提供不全的不得分。</w:t>
            </w:r>
          </w:p>
        </w:tc>
      </w:tr>
      <w:tr w14:paraId="442FB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1" w:hRule="atLeast"/>
          <w:jc w:val="center"/>
        </w:trPr>
        <w:tc>
          <w:tcPr>
            <w:tcW w:w="1700" w:type="dxa"/>
            <w:noWrap/>
            <w:vAlign w:val="center"/>
          </w:tcPr>
          <w:p w14:paraId="47E6AD48">
            <w:pPr>
              <w:spacing w:line="360" w:lineRule="auto"/>
              <w:jc w:val="center"/>
              <w:rPr>
                <w:rFonts w:hint="eastAsia" w:ascii="宋体" w:hAnsi="宋体" w:cs="宋体"/>
                <w:kern w:val="1"/>
                <w:sz w:val="22"/>
                <w:szCs w:val="22"/>
                <w:highlight w:val="none"/>
              </w:rPr>
            </w:pPr>
            <w:r>
              <w:rPr>
                <w:rFonts w:hint="eastAsia" w:ascii="宋体" w:hAnsi="宋体" w:eastAsia="宋体" w:cs="宋体"/>
                <w:color w:val="auto"/>
                <w:spacing w:val="12"/>
                <w:sz w:val="22"/>
                <w:szCs w:val="22"/>
                <w:highlight w:val="none"/>
              </w:rPr>
              <w:t>售后服务方案</w:t>
            </w:r>
            <w:r>
              <w:rPr>
                <w:rFonts w:hint="eastAsia" w:ascii="宋体" w:hAnsi="宋体" w:eastAsia="宋体" w:cs="宋体"/>
                <w:b w:val="0"/>
                <w:bCs/>
                <w:color w:val="auto"/>
                <w:sz w:val="22"/>
                <w:szCs w:val="22"/>
                <w:highlight w:val="none"/>
                <w:lang w:val="en-US" w:eastAsia="zh-CN"/>
              </w:rPr>
              <w:t>（</w:t>
            </w:r>
            <w:r>
              <w:rPr>
                <w:rFonts w:hint="eastAsia" w:ascii="宋体" w:hAnsi="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lang w:val="en-US" w:eastAsia="zh-CN"/>
              </w:rPr>
              <w:t>分）</w:t>
            </w:r>
          </w:p>
        </w:tc>
        <w:tc>
          <w:tcPr>
            <w:tcW w:w="8094" w:type="dxa"/>
            <w:noWrap/>
            <w:vAlign w:val="center"/>
          </w:tcPr>
          <w:p w14:paraId="0914BD5C">
            <w:pPr>
              <w:keepNext w:val="0"/>
              <w:keepLines w:val="0"/>
              <w:widowControl/>
              <w:suppressLineNumbers w:val="0"/>
              <w:spacing w:line="240" w:lineRule="auto"/>
              <w:jc w:val="left"/>
              <w:rPr>
                <w:rFonts w:hint="default" w:ascii="宋体" w:hAnsi="宋体" w:eastAsia="宋体" w:cs="宋体"/>
                <w:b w:val="0"/>
                <w:bCs/>
                <w:color w:val="auto"/>
                <w:sz w:val="22"/>
                <w:szCs w:val="22"/>
                <w:highlight w:val="none"/>
                <w:lang w:val="en-US" w:eastAsia="zh-CN"/>
              </w:rPr>
            </w:pPr>
            <w:r>
              <w:rPr>
                <w:rFonts w:hint="eastAsia" w:ascii="宋体" w:hAnsi="宋体" w:eastAsia="宋体" w:cs="宋体"/>
                <w:b w:val="0"/>
                <w:bCs/>
                <w:color w:val="auto"/>
                <w:sz w:val="22"/>
                <w:szCs w:val="22"/>
                <w:highlight w:val="none"/>
                <w:lang w:val="en-US" w:eastAsia="zh-CN"/>
              </w:rPr>
              <w:t>售后服务方案（</w:t>
            </w:r>
            <w:r>
              <w:rPr>
                <w:rFonts w:hint="eastAsia" w:ascii="宋体" w:hAnsi="宋体" w:cs="宋体"/>
                <w:b w:val="0"/>
                <w:bCs/>
                <w:color w:val="auto"/>
                <w:sz w:val="22"/>
                <w:szCs w:val="22"/>
                <w:highlight w:val="none"/>
                <w:lang w:val="en-US" w:eastAsia="zh-CN"/>
              </w:rPr>
              <w:t>8</w:t>
            </w:r>
            <w:r>
              <w:rPr>
                <w:rFonts w:hint="eastAsia" w:ascii="宋体" w:hAnsi="宋体" w:eastAsia="宋体" w:cs="宋体"/>
                <w:b w:val="0"/>
                <w:bCs/>
                <w:color w:val="auto"/>
                <w:sz w:val="22"/>
                <w:szCs w:val="22"/>
                <w:highlight w:val="none"/>
                <w:lang w:val="en-US" w:eastAsia="zh-CN"/>
              </w:rPr>
              <w:t>分）</w:t>
            </w:r>
          </w:p>
          <w:p w14:paraId="774302DA">
            <w:pPr>
              <w:pStyle w:val="8"/>
              <w:shd w:val="clear" w:color="auto" w:fill="auto"/>
              <w:spacing w:line="360" w:lineRule="auto"/>
              <w:rPr>
                <w:rFonts w:hint="eastAsia" w:ascii="宋体" w:hAnsi="宋体" w:cs="宋体"/>
                <w:b w:val="0"/>
                <w:bCs/>
                <w:color w:val="auto"/>
                <w:kern w:val="2"/>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rPr>
              <w:t>根据</w:t>
            </w:r>
            <w:r>
              <w:rPr>
                <w:rFonts w:hint="eastAsia" w:ascii="宋体" w:hAnsi="宋体" w:eastAsia="宋体" w:cs="宋体"/>
                <w:snapToGrid/>
                <w:color w:val="auto"/>
                <w:kern w:val="2"/>
                <w:sz w:val="22"/>
                <w:szCs w:val="22"/>
                <w:highlight w:val="none"/>
                <w:lang w:val="en-US" w:eastAsia="zh-CN" w:bidi="ar-SA"/>
              </w:rPr>
              <w:t>供应商</w:t>
            </w:r>
            <w:r>
              <w:rPr>
                <w:rFonts w:hint="eastAsia" w:ascii="宋体" w:hAnsi="宋体" w:eastAsia="宋体" w:cs="宋体"/>
                <w:b w:val="0"/>
                <w:bCs/>
                <w:color w:val="auto"/>
                <w:sz w:val="22"/>
                <w:szCs w:val="22"/>
                <w:highlight w:val="none"/>
                <w:lang w:val="en-US" w:eastAsia="zh-CN"/>
              </w:rPr>
              <w:t>针对本项目提供的售后服务方案进行评议，①售后服务承诺有利于项目实施的</w:t>
            </w:r>
            <w:r>
              <w:rPr>
                <w:rFonts w:hint="eastAsia" w:ascii="宋体" w:hAnsi="宋体" w:cs="宋体"/>
                <w:b w:val="0"/>
                <w:bCs/>
                <w:color w:val="auto"/>
                <w:sz w:val="22"/>
                <w:szCs w:val="22"/>
                <w:highlight w:val="none"/>
                <w:lang w:val="en-US" w:eastAsia="zh-CN"/>
              </w:rPr>
              <w:t>；</w:t>
            </w:r>
            <w:r>
              <w:rPr>
                <w:rFonts w:hint="eastAsia" w:ascii="宋体" w:hAnsi="宋体" w:eastAsia="宋体" w:cs="宋体"/>
                <w:b w:val="0"/>
                <w:bCs/>
                <w:color w:val="auto"/>
                <w:sz w:val="22"/>
                <w:szCs w:val="22"/>
                <w:highlight w:val="none"/>
                <w:lang w:val="en-US" w:eastAsia="zh-CN"/>
              </w:rPr>
              <w:t>②售后服务机构及售后服务人员配置完善</w:t>
            </w:r>
            <w:r>
              <w:rPr>
                <w:rFonts w:hint="default" w:ascii="宋体" w:hAnsi="宋体" w:eastAsia="宋体" w:cs="宋体"/>
                <w:b w:val="0"/>
                <w:bCs/>
                <w:color w:val="auto"/>
                <w:sz w:val="22"/>
                <w:szCs w:val="22"/>
                <w:highlight w:val="none"/>
                <w:lang w:eastAsia="zh-CN"/>
              </w:rPr>
              <w:t>的</w:t>
            </w:r>
            <w:r>
              <w:rPr>
                <w:rFonts w:hint="eastAsia" w:ascii="宋体" w:hAnsi="宋体" w:cs="宋体"/>
                <w:b w:val="0"/>
                <w:bCs/>
                <w:color w:val="auto"/>
                <w:sz w:val="22"/>
                <w:szCs w:val="22"/>
                <w:highlight w:val="none"/>
                <w:lang w:eastAsia="zh-CN"/>
              </w:rPr>
              <w:t>；</w:t>
            </w:r>
            <w:r>
              <w:rPr>
                <w:rFonts w:hint="default" w:ascii="宋体" w:hAnsi="宋体" w:eastAsia="宋体" w:cs="宋体"/>
                <w:b w:val="0"/>
                <w:bCs/>
                <w:color w:val="auto"/>
                <w:sz w:val="22"/>
                <w:szCs w:val="22"/>
                <w:highlight w:val="none"/>
                <w:lang w:eastAsia="zh-CN"/>
              </w:rPr>
              <w:fldChar w:fldCharType="begin"/>
            </w:r>
            <w:r>
              <w:rPr>
                <w:rFonts w:hint="default" w:ascii="宋体" w:hAnsi="宋体" w:eastAsia="宋体" w:cs="宋体"/>
                <w:b w:val="0"/>
                <w:bCs/>
                <w:color w:val="auto"/>
                <w:sz w:val="22"/>
                <w:szCs w:val="22"/>
                <w:highlight w:val="none"/>
                <w:lang w:eastAsia="zh-CN"/>
              </w:rPr>
              <w:instrText xml:space="preserve"> = 3 \* GB3 \* MERGEFORMAT </w:instrText>
            </w:r>
            <w:r>
              <w:rPr>
                <w:rFonts w:hint="default" w:ascii="宋体" w:hAnsi="宋体" w:eastAsia="宋体" w:cs="宋体"/>
                <w:b w:val="0"/>
                <w:bCs/>
                <w:color w:val="auto"/>
                <w:sz w:val="22"/>
                <w:szCs w:val="22"/>
                <w:highlight w:val="none"/>
                <w:lang w:eastAsia="zh-CN"/>
              </w:rPr>
              <w:fldChar w:fldCharType="separate"/>
            </w:r>
            <w:r>
              <w:rPr>
                <w:rFonts w:hint="eastAsia" w:ascii="宋体" w:hAnsi="宋体" w:eastAsia="宋体" w:cs="宋体"/>
                <w:b w:val="0"/>
                <w:bCs/>
                <w:color w:val="auto"/>
                <w:sz w:val="22"/>
                <w:szCs w:val="22"/>
                <w:highlight w:val="none"/>
                <w:lang w:val="en-US" w:eastAsia="zh-CN"/>
              </w:rPr>
              <w:t>③</w:t>
            </w:r>
            <w:r>
              <w:rPr>
                <w:rFonts w:hint="default" w:ascii="宋体" w:hAnsi="宋体" w:eastAsia="宋体" w:cs="宋体"/>
                <w:b w:val="0"/>
                <w:bCs/>
                <w:color w:val="auto"/>
                <w:sz w:val="22"/>
                <w:szCs w:val="22"/>
                <w:highlight w:val="none"/>
                <w:lang w:eastAsia="zh-CN"/>
              </w:rPr>
              <w:fldChar w:fldCharType="end"/>
            </w:r>
            <w:r>
              <w:rPr>
                <w:rFonts w:hint="eastAsia" w:ascii="宋体" w:hAnsi="宋体" w:eastAsia="宋体" w:cs="宋体"/>
                <w:b w:val="0"/>
                <w:bCs/>
                <w:color w:val="auto"/>
                <w:sz w:val="22"/>
                <w:szCs w:val="22"/>
                <w:highlight w:val="none"/>
                <w:lang w:val="en-US" w:eastAsia="zh-CN"/>
              </w:rPr>
              <w:t>应急保障措施切合实际全面完整的；</w:t>
            </w:r>
            <w:r>
              <w:rPr>
                <w:rFonts w:hint="default" w:ascii="宋体" w:hAnsi="宋体" w:eastAsia="宋体" w:cs="宋体"/>
                <w:b w:val="0"/>
                <w:bCs/>
                <w:color w:val="auto"/>
                <w:sz w:val="22"/>
                <w:szCs w:val="22"/>
                <w:highlight w:val="none"/>
                <w:lang w:eastAsia="zh-CN"/>
              </w:rPr>
              <w:fldChar w:fldCharType="begin"/>
            </w:r>
            <w:r>
              <w:rPr>
                <w:rFonts w:hint="default" w:ascii="宋体" w:hAnsi="宋体" w:eastAsia="宋体" w:cs="宋体"/>
                <w:b w:val="0"/>
                <w:bCs/>
                <w:color w:val="auto"/>
                <w:sz w:val="22"/>
                <w:szCs w:val="22"/>
                <w:highlight w:val="none"/>
                <w:lang w:eastAsia="zh-CN"/>
              </w:rPr>
              <w:instrText xml:space="preserve"> = 4 \* GB3 \* MERGEFORMAT </w:instrText>
            </w:r>
            <w:r>
              <w:rPr>
                <w:rFonts w:hint="default" w:ascii="宋体" w:hAnsi="宋体" w:eastAsia="宋体" w:cs="宋体"/>
                <w:b w:val="0"/>
                <w:bCs/>
                <w:color w:val="auto"/>
                <w:sz w:val="22"/>
                <w:szCs w:val="22"/>
                <w:highlight w:val="none"/>
                <w:lang w:eastAsia="zh-CN"/>
              </w:rPr>
              <w:fldChar w:fldCharType="separate"/>
            </w:r>
            <w:r>
              <w:rPr>
                <w:rFonts w:hint="eastAsia" w:ascii="宋体" w:hAnsi="宋体" w:eastAsia="宋体" w:cs="宋体"/>
                <w:b w:val="0"/>
                <w:bCs/>
                <w:color w:val="auto"/>
                <w:sz w:val="22"/>
                <w:szCs w:val="22"/>
                <w:highlight w:val="none"/>
                <w:lang w:val="en-US" w:eastAsia="zh-CN"/>
              </w:rPr>
              <w:t>④</w:t>
            </w:r>
            <w:r>
              <w:rPr>
                <w:rFonts w:hint="default" w:ascii="宋体" w:hAnsi="宋体" w:eastAsia="宋体" w:cs="宋体"/>
                <w:b w:val="0"/>
                <w:bCs/>
                <w:color w:val="auto"/>
                <w:sz w:val="22"/>
                <w:szCs w:val="22"/>
                <w:highlight w:val="none"/>
                <w:lang w:eastAsia="zh-CN"/>
              </w:rPr>
              <w:fldChar w:fldCharType="end"/>
            </w:r>
            <w:r>
              <w:rPr>
                <w:rFonts w:hint="eastAsia" w:ascii="宋体" w:hAnsi="宋体" w:eastAsia="宋体" w:cs="宋体"/>
                <w:b w:val="0"/>
                <w:bCs/>
                <w:color w:val="auto"/>
                <w:sz w:val="22"/>
                <w:szCs w:val="22"/>
                <w:highlight w:val="none"/>
                <w:lang w:val="en-US" w:eastAsia="zh-CN"/>
              </w:rPr>
              <w:t>仓库及备品备件品种齐全且数量充足的。</w:t>
            </w:r>
            <w:r>
              <w:rPr>
                <w:rFonts w:hint="eastAsia" w:ascii="宋体" w:hAnsi="宋体" w:eastAsia="宋体" w:cs="宋体"/>
                <w:b w:val="0"/>
                <w:bCs/>
                <w:color w:val="auto"/>
                <w:kern w:val="2"/>
                <w:sz w:val="22"/>
                <w:szCs w:val="22"/>
                <w:highlight w:val="none"/>
                <w:lang w:val="en-US" w:eastAsia="zh-CN" w:bidi="ar-SA"/>
              </w:rPr>
              <w:t>完全符合要求的每项得2分，基本符合要求的每项得1分，本项最高得</w:t>
            </w:r>
            <w:r>
              <w:rPr>
                <w:rFonts w:hint="eastAsia" w:ascii="宋体" w:hAnsi="宋体" w:cs="宋体"/>
                <w:b w:val="0"/>
                <w:bCs/>
                <w:color w:val="auto"/>
                <w:kern w:val="2"/>
                <w:sz w:val="22"/>
                <w:szCs w:val="22"/>
                <w:highlight w:val="none"/>
                <w:lang w:val="en-US" w:eastAsia="zh-CN" w:bidi="ar-SA"/>
              </w:rPr>
              <w:t>8</w:t>
            </w:r>
            <w:r>
              <w:rPr>
                <w:rFonts w:hint="eastAsia" w:ascii="宋体" w:hAnsi="宋体" w:eastAsia="宋体" w:cs="宋体"/>
                <w:b w:val="0"/>
                <w:bCs/>
                <w:color w:val="auto"/>
                <w:kern w:val="2"/>
                <w:sz w:val="22"/>
                <w:szCs w:val="22"/>
                <w:highlight w:val="none"/>
                <w:lang w:val="en-US" w:eastAsia="zh-CN" w:bidi="ar-SA"/>
              </w:rPr>
              <w:t>分</w:t>
            </w:r>
            <w:r>
              <w:rPr>
                <w:rFonts w:hint="eastAsia" w:ascii="宋体" w:hAnsi="宋体" w:cs="宋体"/>
                <w:b w:val="0"/>
                <w:bCs/>
                <w:color w:val="auto"/>
                <w:kern w:val="2"/>
                <w:sz w:val="22"/>
                <w:szCs w:val="22"/>
                <w:highlight w:val="none"/>
                <w:lang w:val="en-US" w:eastAsia="zh-CN" w:bidi="ar-SA"/>
              </w:rPr>
              <w:t>。</w:t>
            </w:r>
          </w:p>
          <w:p w14:paraId="260368B4">
            <w:pPr>
              <w:pStyle w:val="8"/>
              <w:shd w:val="clear" w:color="auto" w:fill="auto"/>
              <w:spacing w:line="360" w:lineRule="auto"/>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注：投标文件内提供仓库备品备件照片、售后服务点证明等相关证明材料，未提供不得分。</w:t>
            </w:r>
          </w:p>
        </w:tc>
      </w:tr>
      <w:tr w14:paraId="1C91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1700" w:type="dxa"/>
            <w:noWrap/>
            <w:vAlign w:val="center"/>
          </w:tcPr>
          <w:p w14:paraId="7B54E1A8">
            <w:pPr>
              <w:spacing w:line="360" w:lineRule="auto"/>
              <w:jc w:val="center"/>
              <w:rPr>
                <w:rFonts w:hint="eastAsia" w:ascii="宋体" w:hAnsi="宋体" w:cs="宋体"/>
                <w:kern w:val="1"/>
                <w:sz w:val="22"/>
                <w:szCs w:val="22"/>
                <w:highlight w:val="none"/>
              </w:rPr>
            </w:pPr>
            <w:r>
              <w:rPr>
                <w:rFonts w:hint="eastAsia" w:ascii="宋体" w:hAnsi="宋体" w:cs="宋体"/>
                <w:kern w:val="1"/>
                <w:sz w:val="22"/>
                <w:szCs w:val="22"/>
                <w:highlight w:val="none"/>
              </w:rPr>
              <w:t>政策加分</w:t>
            </w:r>
          </w:p>
          <w:p w14:paraId="4AD540C8">
            <w:pPr>
              <w:spacing w:line="360" w:lineRule="auto"/>
              <w:jc w:val="center"/>
              <w:rPr>
                <w:rFonts w:hint="eastAsia" w:ascii="宋体" w:hAnsi="宋体" w:cs="宋体"/>
                <w:sz w:val="22"/>
                <w:szCs w:val="22"/>
                <w:highlight w:val="none"/>
              </w:rPr>
            </w:pPr>
            <w:r>
              <w:rPr>
                <w:rFonts w:hint="eastAsia" w:ascii="宋体" w:hAnsi="宋体" w:cs="宋体"/>
                <w:kern w:val="1"/>
                <w:sz w:val="22"/>
                <w:szCs w:val="22"/>
                <w:highlight w:val="none"/>
              </w:rPr>
              <w:t>（</w:t>
            </w:r>
            <w:r>
              <w:rPr>
                <w:rFonts w:hint="eastAsia" w:ascii="宋体" w:hAnsi="宋体" w:cs="宋体"/>
                <w:kern w:val="1"/>
                <w:sz w:val="22"/>
                <w:szCs w:val="22"/>
                <w:highlight w:val="none"/>
                <w:lang w:val="en-US" w:eastAsia="zh-CN"/>
              </w:rPr>
              <w:t>2</w:t>
            </w:r>
            <w:r>
              <w:rPr>
                <w:rFonts w:hint="eastAsia" w:ascii="宋体" w:hAnsi="宋体" w:cs="宋体"/>
                <w:kern w:val="1"/>
                <w:sz w:val="22"/>
                <w:szCs w:val="22"/>
                <w:highlight w:val="none"/>
              </w:rPr>
              <w:t>分）</w:t>
            </w:r>
          </w:p>
        </w:tc>
        <w:tc>
          <w:tcPr>
            <w:tcW w:w="8094" w:type="dxa"/>
            <w:noWrap/>
            <w:vAlign w:val="center"/>
          </w:tcPr>
          <w:p w14:paraId="0E84DC59">
            <w:pPr>
              <w:tabs>
                <w:tab w:val="left" w:pos="5468"/>
              </w:tabs>
              <w:kinsoku/>
              <w:wordWrap/>
              <w:overflowPunct/>
              <w:topLinePunct w:val="0"/>
              <w:bidi w:val="0"/>
              <w:spacing w:line="360" w:lineRule="auto"/>
              <w:rPr>
                <w:rFonts w:hint="eastAsia" w:ascii="宋体" w:hAnsi="宋体" w:eastAsia="宋体" w:cs="宋体"/>
                <w:snapToGrid/>
                <w:color w:val="auto"/>
                <w:kern w:val="2"/>
                <w:sz w:val="22"/>
                <w:szCs w:val="22"/>
                <w:highlight w:val="none"/>
                <w:lang w:val="zh-CN" w:eastAsia="zh-CN" w:bidi="ar-SA"/>
              </w:rPr>
            </w:pPr>
            <w:r>
              <w:rPr>
                <w:rFonts w:hint="eastAsia" w:ascii="宋体" w:hAnsi="宋体" w:eastAsia="宋体" w:cs="宋体"/>
                <w:snapToGrid/>
                <w:color w:val="auto"/>
                <w:kern w:val="2"/>
                <w:sz w:val="22"/>
                <w:szCs w:val="22"/>
                <w:highlight w:val="none"/>
                <w:lang w:val="zh-CN" w:eastAsia="zh-CN" w:bidi="ar-SA"/>
              </w:rPr>
              <w:t>政府采购政策(</w:t>
            </w:r>
            <w:r>
              <w:rPr>
                <w:rFonts w:hint="eastAsia" w:ascii="宋体" w:hAnsi="宋体" w:cs="宋体"/>
                <w:snapToGrid/>
                <w:color w:val="auto"/>
                <w:kern w:val="2"/>
                <w:sz w:val="22"/>
                <w:szCs w:val="22"/>
                <w:highlight w:val="none"/>
                <w:lang w:val="en-US" w:eastAsia="zh-CN" w:bidi="ar-SA"/>
              </w:rPr>
              <w:t>2</w:t>
            </w:r>
            <w:r>
              <w:rPr>
                <w:rFonts w:hint="eastAsia" w:ascii="宋体" w:hAnsi="宋体" w:eastAsia="宋体" w:cs="宋体"/>
                <w:snapToGrid/>
                <w:color w:val="auto"/>
                <w:kern w:val="2"/>
                <w:sz w:val="22"/>
                <w:szCs w:val="22"/>
                <w:highlight w:val="none"/>
                <w:lang w:val="zh-CN" w:eastAsia="zh-CN" w:bidi="ar-SA"/>
              </w:rPr>
              <w:t>分)</w:t>
            </w:r>
          </w:p>
          <w:p w14:paraId="3F627215">
            <w:pPr>
              <w:tabs>
                <w:tab w:val="left" w:pos="5468"/>
              </w:tabs>
              <w:kinsoku/>
              <w:wordWrap/>
              <w:overflowPunct/>
              <w:topLinePunct w:val="0"/>
              <w:bidi w:val="0"/>
              <w:spacing w:line="360" w:lineRule="auto"/>
              <w:rPr>
                <w:rFonts w:hint="eastAsia" w:ascii="宋体" w:hAnsi="宋体" w:eastAsia="宋体" w:cs="宋体"/>
                <w:snapToGrid/>
                <w:color w:val="auto"/>
                <w:kern w:val="2"/>
                <w:sz w:val="22"/>
                <w:szCs w:val="22"/>
                <w:highlight w:val="none"/>
                <w:lang w:val="zh-CN" w:eastAsia="zh-CN" w:bidi="ar-SA"/>
              </w:rPr>
            </w:pPr>
            <w:r>
              <w:rPr>
                <w:rFonts w:hint="eastAsia" w:ascii="宋体" w:hAnsi="宋体" w:eastAsia="宋体" w:cs="宋体"/>
                <w:snapToGrid/>
                <w:color w:val="auto"/>
                <w:kern w:val="2"/>
                <w:sz w:val="22"/>
                <w:szCs w:val="22"/>
                <w:highlight w:val="none"/>
                <w:lang w:val="zh-CN" w:eastAsia="zh-CN" w:bidi="ar-SA"/>
              </w:rPr>
              <w:t>①</w:t>
            </w:r>
            <w:r>
              <w:rPr>
                <w:rFonts w:hint="eastAsia" w:ascii="宋体" w:hAnsi="宋体" w:eastAsia="宋体" w:cs="宋体"/>
                <w:snapToGrid/>
                <w:color w:val="auto"/>
                <w:kern w:val="2"/>
                <w:sz w:val="22"/>
                <w:szCs w:val="22"/>
                <w:highlight w:val="none"/>
                <w:lang w:val="en-US" w:eastAsia="zh-CN" w:bidi="ar-SA"/>
              </w:rPr>
              <w:t>供应商</w:t>
            </w:r>
            <w:r>
              <w:rPr>
                <w:rFonts w:hint="eastAsia" w:ascii="宋体" w:hAnsi="宋体" w:eastAsia="宋体" w:cs="宋体"/>
                <w:snapToGrid/>
                <w:color w:val="auto"/>
                <w:kern w:val="2"/>
                <w:sz w:val="22"/>
                <w:szCs w:val="22"/>
                <w:highlight w:val="none"/>
                <w:lang w:val="zh-CN" w:eastAsia="zh-CN" w:bidi="ar-SA"/>
              </w:rPr>
              <w:t>是国家认定的少数民族地区企业的加</w:t>
            </w:r>
            <w:r>
              <w:rPr>
                <w:rFonts w:hint="eastAsia" w:ascii="宋体" w:hAnsi="宋体" w:cs="宋体"/>
                <w:snapToGrid/>
                <w:color w:val="auto"/>
                <w:kern w:val="2"/>
                <w:sz w:val="22"/>
                <w:szCs w:val="22"/>
                <w:highlight w:val="none"/>
                <w:lang w:val="en-US" w:eastAsia="zh-CN" w:bidi="ar-SA"/>
              </w:rPr>
              <w:t>1</w:t>
            </w:r>
            <w:r>
              <w:rPr>
                <w:rFonts w:hint="eastAsia" w:ascii="宋体" w:hAnsi="宋体" w:eastAsia="宋体" w:cs="宋体"/>
                <w:snapToGrid/>
                <w:color w:val="auto"/>
                <w:kern w:val="2"/>
                <w:sz w:val="22"/>
                <w:szCs w:val="22"/>
                <w:highlight w:val="none"/>
                <w:lang w:val="zh-CN" w:eastAsia="zh-CN" w:bidi="ar-SA"/>
              </w:rPr>
              <w:t>分。</w:t>
            </w:r>
          </w:p>
          <w:p w14:paraId="1D010D95">
            <w:pPr>
              <w:keepNext w:val="0"/>
              <w:keepLines w:val="0"/>
              <w:widowControl/>
              <w:suppressLineNumbers w:val="0"/>
              <w:spacing w:line="360" w:lineRule="auto"/>
              <w:jc w:val="left"/>
              <w:rPr>
                <w:rFonts w:hint="eastAsia" w:asciiTheme="minorEastAsia" w:hAnsiTheme="minorEastAsia" w:eastAsiaTheme="minorEastAsia" w:cstheme="minorEastAsia"/>
                <w:color w:val="auto"/>
                <w:kern w:val="0"/>
                <w:sz w:val="22"/>
                <w:szCs w:val="22"/>
                <w:highlight w:val="none"/>
                <w:lang w:val="en-US" w:eastAsia="zh-CN" w:bidi="ar"/>
              </w:rPr>
            </w:pPr>
            <w:r>
              <w:rPr>
                <w:rFonts w:hint="eastAsia" w:ascii="宋体" w:hAnsi="宋体" w:eastAsia="宋体" w:cs="宋体"/>
                <w:snapToGrid/>
                <w:color w:val="auto"/>
                <w:kern w:val="2"/>
                <w:sz w:val="22"/>
                <w:szCs w:val="22"/>
                <w:highlight w:val="none"/>
                <w:lang w:val="en-US" w:eastAsia="zh-CN" w:bidi="ar-SA"/>
              </w:rPr>
              <w:t>②节能产</w:t>
            </w:r>
            <w:r>
              <w:rPr>
                <w:rFonts w:hint="eastAsia" w:ascii="宋体" w:hAnsi="宋体" w:eastAsia="宋体" w:cs="宋体"/>
                <w:b w:val="0"/>
                <w:bCs/>
                <w:color w:val="auto"/>
                <w:kern w:val="2"/>
                <w:sz w:val="22"/>
                <w:szCs w:val="22"/>
                <w:highlight w:val="none"/>
                <w:lang w:val="en-US" w:eastAsia="zh-CN" w:bidi="ar-SA"/>
              </w:rPr>
              <w:t>品、环境标志产品政策性因素得分（</w:t>
            </w:r>
            <w:r>
              <w:rPr>
                <w:rFonts w:hint="eastAsia" w:ascii="宋体" w:hAnsi="宋体" w:cs="宋体"/>
                <w:b w:val="0"/>
                <w:bCs/>
                <w:color w:val="auto"/>
                <w:kern w:val="2"/>
                <w:sz w:val="22"/>
                <w:szCs w:val="22"/>
                <w:highlight w:val="none"/>
                <w:lang w:val="en-US" w:eastAsia="zh-CN" w:bidi="ar-SA"/>
              </w:rPr>
              <w:t>1</w:t>
            </w:r>
            <w:r>
              <w:rPr>
                <w:rFonts w:hint="eastAsia" w:ascii="宋体" w:hAnsi="宋体" w:eastAsia="宋体" w:cs="宋体"/>
                <w:b w:val="0"/>
                <w:bCs/>
                <w:color w:val="auto"/>
                <w:kern w:val="2"/>
                <w:sz w:val="22"/>
                <w:szCs w:val="22"/>
                <w:highlight w:val="none"/>
                <w:lang w:val="en-US" w:eastAsia="zh-CN" w:bidi="ar-SA"/>
              </w:rPr>
              <w:t>分）。投标产品如属于节能产品（强制节能产品除外）的得0.</w:t>
            </w:r>
            <w:r>
              <w:rPr>
                <w:rFonts w:hint="eastAsia" w:ascii="宋体" w:hAnsi="宋体" w:cs="宋体"/>
                <w:b w:val="0"/>
                <w:bCs/>
                <w:color w:val="auto"/>
                <w:kern w:val="2"/>
                <w:sz w:val="22"/>
                <w:szCs w:val="22"/>
                <w:highlight w:val="none"/>
                <w:lang w:val="en-US" w:eastAsia="zh-CN" w:bidi="ar-SA"/>
              </w:rPr>
              <w:t>5</w:t>
            </w:r>
            <w:r>
              <w:rPr>
                <w:rFonts w:hint="eastAsia" w:ascii="宋体" w:hAnsi="宋体" w:eastAsia="宋体" w:cs="宋体"/>
                <w:b w:val="0"/>
                <w:bCs/>
                <w:color w:val="auto"/>
                <w:kern w:val="2"/>
                <w:sz w:val="22"/>
                <w:szCs w:val="22"/>
                <w:highlight w:val="none"/>
                <w:lang w:val="en-US" w:eastAsia="zh-CN" w:bidi="ar-SA"/>
              </w:rPr>
              <w:t>分，投标产品如属于环境标志产品的得0.5分。供应商须提供由国家确定的认证机构出具的、处于有效期之内的节能产品、环境标志产品认证证书</w:t>
            </w:r>
            <w:r>
              <w:rPr>
                <w:rFonts w:hint="eastAsia" w:ascii="宋体" w:hAnsi="宋体" w:cs="宋体"/>
                <w:b w:val="0"/>
                <w:bCs/>
                <w:color w:val="auto"/>
                <w:kern w:val="2"/>
                <w:sz w:val="22"/>
                <w:szCs w:val="22"/>
                <w:highlight w:val="none"/>
                <w:lang w:val="en-US" w:eastAsia="zh-CN" w:bidi="ar-SA"/>
              </w:rPr>
              <w:t>。</w:t>
            </w:r>
            <w:r>
              <w:rPr>
                <w:rFonts w:hint="eastAsia" w:ascii="宋体" w:hAnsi="宋体" w:eastAsia="宋体" w:cs="宋体"/>
                <w:b w:val="0"/>
                <w:bCs/>
                <w:color w:val="auto"/>
                <w:kern w:val="2"/>
                <w:sz w:val="22"/>
                <w:szCs w:val="22"/>
                <w:highlight w:val="none"/>
                <w:lang w:val="en-US" w:eastAsia="zh-CN" w:bidi="ar-SA"/>
              </w:rPr>
              <w:t>未按要求提供或提供不全的评标委员会将不予认可。</w:t>
            </w:r>
          </w:p>
        </w:tc>
      </w:tr>
      <w:tr w14:paraId="2CD71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700" w:type="dxa"/>
            <w:noWrap/>
            <w:vAlign w:val="center"/>
          </w:tcPr>
          <w:p w14:paraId="6CA5FFF0">
            <w:pPr>
              <w:spacing w:line="360" w:lineRule="auto"/>
              <w:jc w:val="center"/>
              <w:rPr>
                <w:rFonts w:hint="eastAsia" w:ascii="宋体" w:hAnsi="宋体" w:cs="宋体"/>
                <w:kern w:val="1"/>
                <w:sz w:val="22"/>
                <w:szCs w:val="22"/>
                <w:highlight w:val="none"/>
              </w:rPr>
            </w:pPr>
            <w:r>
              <w:rPr>
                <w:rFonts w:hint="eastAsia" w:ascii="宋体" w:hAnsi="宋体" w:cs="宋体"/>
                <w:kern w:val="1"/>
                <w:sz w:val="22"/>
                <w:szCs w:val="22"/>
                <w:highlight w:val="none"/>
              </w:rPr>
              <w:t>价格分</w:t>
            </w:r>
          </w:p>
          <w:p w14:paraId="7396AF5A">
            <w:pPr>
              <w:spacing w:line="360" w:lineRule="auto"/>
              <w:jc w:val="center"/>
              <w:rPr>
                <w:rFonts w:ascii="宋体" w:hAnsi="宋体" w:cs="宋体"/>
                <w:kern w:val="1"/>
                <w:sz w:val="22"/>
                <w:szCs w:val="22"/>
                <w:highlight w:val="none"/>
              </w:rPr>
            </w:pPr>
            <w:r>
              <w:rPr>
                <w:rFonts w:hint="eastAsia" w:ascii="宋体" w:hAnsi="宋体" w:cs="宋体"/>
                <w:kern w:val="1"/>
                <w:sz w:val="22"/>
                <w:szCs w:val="22"/>
                <w:highlight w:val="none"/>
                <w:lang w:val="en-US" w:eastAsia="zh-CN"/>
              </w:rPr>
              <w:t>35</w:t>
            </w:r>
            <w:r>
              <w:rPr>
                <w:rFonts w:hint="eastAsia" w:ascii="宋体" w:hAnsi="宋体" w:cs="宋体"/>
                <w:kern w:val="1"/>
                <w:sz w:val="22"/>
                <w:szCs w:val="22"/>
                <w:highlight w:val="none"/>
              </w:rPr>
              <w:t>分</w:t>
            </w:r>
          </w:p>
        </w:tc>
        <w:tc>
          <w:tcPr>
            <w:tcW w:w="8094" w:type="dxa"/>
            <w:noWrap/>
            <w:vAlign w:val="center"/>
          </w:tcPr>
          <w:p w14:paraId="4AE9FF16">
            <w:pPr>
              <w:spacing w:line="360" w:lineRule="auto"/>
              <w:jc w:val="left"/>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满足采购文件要求且参与评审价格最低为评标基准价，其价格分为满分，其余供应商的价格分以下列公式计算：</w:t>
            </w:r>
          </w:p>
          <w:p w14:paraId="3D1A8928">
            <w:pPr>
              <w:spacing w:line="360" w:lineRule="auto"/>
              <w:jc w:val="left"/>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投标报价得分=（评标基准价/参与评审的价格）×价格权值×100</w:t>
            </w:r>
          </w:p>
          <w:p w14:paraId="65C90B2E">
            <w:pPr>
              <w:spacing w:line="360" w:lineRule="auto"/>
              <w:jc w:val="left"/>
              <w:rPr>
                <w:rFonts w:hint="eastAsia" w:ascii="宋体" w:hAnsi="宋体" w:cs="宋体"/>
                <w:sz w:val="22"/>
                <w:szCs w:val="22"/>
                <w:highlight w:val="none"/>
              </w:rPr>
            </w:pPr>
            <w:r>
              <w:rPr>
                <w:rFonts w:hint="eastAsia" w:ascii="宋体" w:hAnsi="宋体" w:eastAsia="宋体" w:cs="宋体"/>
                <w:snapToGrid/>
                <w:color w:val="auto"/>
                <w:kern w:val="2"/>
                <w:sz w:val="22"/>
                <w:szCs w:val="22"/>
                <w:highlight w:val="none"/>
                <w:lang w:val="en-US" w:eastAsia="zh-CN" w:bidi="ar-SA"/>
              </w:rPr>
              <w:t>参与评审的价格=投标价格*（1-价格折扣率）</w:t>
            </w:r>
          </w:p>
        </w:tc>
      </w:tr>
    </w:tbl>
    <w:p w14:paraId="4C2F9F19">
      <w:pPr>
        <w:kinsoku/>
        <w:wordWrap/>
        <w:overflowPunct/>
        <w:topLinePunct w:val="0"/>
        <w:bidi w:val="0"/>
        <w:spacing w:line="360" w:lineRule="auto"/>
        <w:ind w:firstLine="720" w:firstLineChars="300"/>
        <w:rPr>
          <w:rFonts w:cs="仿宋" w:asciiTheme="majorEastAsia" w:hAnsiTheme="majorEastAsia" w:eastAsiaTheme="majorEastAsia"/>
          <w:b/>
          <w:sz w:val="32"/>
          <w:highlight w:val="none"/>
        </w:rPr>
      </w:pPr>
      <w:r>
        <w:rPr>
          <w:rFonts w:hint="eastAsia" w:cs="仿宋" w:asciiTheme="majorEastAsia" w:hAnsiTheme="majorEastAsia" w:eastAsiaTheme="majorEastAsia"/>
          <w:bCs/>
          <w:sz w:val="24"/>
          <w:highlight w:val="none"/>
          <w:lang w:val="en-US" w:eastAsia="zh-CN"/>
        </w:rPr>
        <w:t>1</w:t>
      </w:r>
      <w:r>
        <w:rPr>
          <w:rFonts w:hint="eastAsia" w:cs="仿宋" w:asciiTheme="majorEastAsia" w:hAnsiTheme="majorEastAsia" w:eastAsiaTheme="majorEastAsia"/>
          <w:bCs/>
          <w:sz w:val="24"/>
          <w:highlight w:val="none"/>
        </w:rPr>
        <w:t>、</w:t>
      </w:r>
      <w:r>
        <w:rPr>
          <w:rFonts w:hint="eastAsia" w:cs="仿宋" w:asciiTheme="majorEastAsia" w:hAnsiTheme="majorEastAsia" w:eastAsiaTheme="majorEastAsia"/>
          <w:bCs/>
          <w:kern w:val="0"/>
          <w:sz w:val="24"/>
          <w:highlight w:val="none"/>
          <w:lang w:val="zh-CN"/>
        </w:rPr>
        <w:t>供应商</w:t>
      </w:r>
      <w:r>
        <w:rPr>
          <w:rFonts w:hint="eastAsia" w:cs="仿宋" w:asciiTheme="majorEastAsia" w:hAnsiTheme="majorEastAsia" w:eastAsiaTheme="majorEastAsia"/>
          <w:bCs/>
          <w:sz w:val="24"/>
          <w:highlight w:val="none"/>
        </w:rPr>
        <w:t>编制投标文件（商务技术文件部分）时，建议按此目录（序号和内容）提供评标标准相应的商务技术资料。</w:t>
      </w:r>
      <w:r>
        <w:rPr>
          <w:rFonts w:hint="eastAsia" w:cs="仿宋" w:asciiTheme="majorEastAsia" w:hAnsiTheme="majorEastAsia" w:eastAsiaTheme="majorEastAsia"/>
          <w:sz w:val="24"/>
          <w:highlight w:val="none"/>
        </w:rPr>
        <w:t> </w:t>
      </w:r>
    </w:p>
    <w:p w14:paraId="46EC7CD9">
      <w:pPr>
        <w:keepNext w:val="0"/>
        <w:keepLines w:val="0"/>
        <w:pageBreakBefore w:val="0"/>
        <w:widowControl w:val="0"/>
        <w:kinsoku/>
        <w:wordWrap/>
        <w:overflowPunct/>
        <w:topLinePunct w:val="0"/>
        <w:autoSpaceDE/>
        <w:autoSpaceDN/>
        <w:bidi w:val="0"/>
        <w:adjustRightInd/>
        <w:snapToGrid w:val="0"/>
        <w:spacing w:before="240" w:beforeLines="100" w:line="360" w:lineRule="auto"/>
        <w:jc w:val="center"/>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一、评标方法</w:t>
      </w:r>
    </w:p>
    <w:p w14:paraId="4625AC31">
      <w:pPr>
        <w:kinsoku/>
        <w:wordWrap/>
        <w:overflowPunct/>
        <w:topLinePunct w:val="0"/>
        <w:bidi w:val="0"/>
        <w:spacing w:line="360" w:lineRule="auto"/>
        <w:ind w:firstLine="472" w:firstLineChars="196"/>
        <w:rPr>
          <w:rFonts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1.本项目采用综合评分法。</w:t>
      </w:r>
      <w:r>
        <w:rPr>
          <w:rFonts w:hint="eastAsia" w:cs="仿宋" w:asciiTheme="majorEastAsia" w:hAnsiTheme="majorEastAsia" w:eastAsiaTheme="majorEastAsia"/>
          <w:kern w:val="0"/>
          <w:sz w:val="24"/>
          <w:highlight w:val="none"/>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为中标候选人的评标方法。</w:t>
      </w:r>
    </w:p>
    <w:p w14:paraId="2B7B62FD">
      <w:pPr>
        <w:keepNext w:val="0"/>
        <w:keepLines w:val="0"/>
        <w:pageBreakBefore w:val="0"/>
        <w:widowControl w:val="0"/>
        <w:kinsoku/>
        <w:wordWrap/>
        <w:overflowPunct/>
        <w:topLinePunct w:val="0"/>
        <w:autoSpaceDE/>
        <w:autoSpaceDN/>
        <w:bidi w:val="0"/>
        <w:adjustRightInd/>
        <w:snapToGrid w:val="0"/>
        <w:spacing w:before="240" w:beforeLines="100" w:line="360" w:lineRule="auto"/>
        <w:jc w:val="center"/>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二、评标标准</w:t>
      </w:r>
    </w:p>
    <w:p w14:paraId="369C892E">
      <w:pPr>
        <w:kinsoku/>
        <w:wordWrap/>
        <w:overflowPunct/>
        <w:topLinePunct w:val="0"/>
        <w:bidi w:val="0"/>
        <w:spacing w:line="360" w:lineRule="auto"/>
        <w:ind w:firstLine="472" w:firstLineChars="196"/>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2.</w:t>
      </w:r>
      <w:r>
        <w:rPr>
          <w:rFonts w:hint="eastAsia" w:cs="仿宋" w:asciiTheme="majorEastAsia" w:hAnsiTheme="majorEastAsia" w:eastAsiaTheme="majorEastAsia"/>
          <w:highlight w:val="none"/>
        </w:rPr>
        <w:t xml:space="preserve"> </w:t>
      </w:r>
      <w:r>
        <w:rPr>
          <w:rFonts w:hint="eastAsia" w:cs="仿宋" w:asciiTheme="majorEastAsia" w:hAnsiTheme="majorEastAsia" w:eastAsiaTheme="majorEastAsia"/>
          <w:b/>
          <w:sz w:val="24"/>
          <w:highlight w:val="none"/>
        </w:rPr>
        <w:t>评标标准：</w:t>
      </w:r>
      <w:r>
        <w:rPr>
          <w:rFonts w:hint="eastAsia" w:cs="仿宋" w:asciiTheme="majorEastAsia" w:hAnsiTheme="majorEastAsia" w:eastAsiaTheme="majorEastAsia"/>
          <w:kern w:val="0"/>
          <w:sz w:val="24"/>
          <w:highlight w:val="none"/>
        </w:rPr>
        <w:t>见评标办法前附表。</w:t>
      </w:r>
    </w:p>
    <w:p w14:paraId="6E800323">
      <w:pPr>
        <w:keepNext w:val="0"/>
        <w:keepLines w:val="0"/>
        <w:pageBreakBefore w:val="0"/>
        <w:widowControl w:val="0"/>
        <w:kinsoku/>
        <w:wordWrap/>
        <w:overflowPunct/>
        <w:topLinePunct w:val="0"/>
        <w:autoSpaceDE/>
        <w:autoSpaceDN/>
        <w:bidi w:val="0"/>
        <w:adjustRightInd/>
        <w:snapToGrid w:val="0"/>
        <w:spacing w:before="240" w:beforeLines="100" w:line="360" w:lineRule="auto"/>
        <w:jc w:val="center"/>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三、评标程序</w:t>
      </w:r>
    </w:p>
    <w:p w14:paraId="2A0A02D1">
      <w:pPr>
        <w:kinsoku/>
        <w:wordWrap/>
        <w:overflowPunct/>
        <w:topLinePunct w:val="0"/>
        <w:bidi w:val="0"/>
        <w:spacing w:line="360" w:lineRule="auto"/>
        <w:ind w:firstLine="482"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3.1 符合性审查。</w:t>
      </w:r>
      <w:r>
        <w:rPr>
          <w:rFonts w:hint="eastAsia" w:cs="仿宋" w:asciiTheme="majorEastAsia" w:hAnsiTheme="majorEastAsia" w:eastAsiaTheme="majorEastAsia"/>
          <w:kern w:val="0"/>
          <w:sz w:val="24"/>
          <w:highlight w:val="none"/>
        </w:rPr>
        <w:t>评标委员会应当对符合资格的</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的投标文件进行符合性审查，以确定其是否满足招标文件的实质性要求。不满足招标文件的实质性要求的，投标无效。</w:t>
      </w:r>
    </w:p>
    <w:p w14:paraId="41DAA93F">
      <w:pPr>
        <w:kinsoku/>
        <w:wordWrap/>
        <w:overflowPunct/>
        <w:topLinePunct w:val="0"/>
        <w:bidi w:val="0"/>
        <w:spacing w:line="360" w:lineRule="auto"/>
        <w:ind w:firstLine="482"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3.2 商务技术评审。</w:t>
      </w:r>
      <w:r>
        <w:rPr>
          <w:rFonts w:hint="eastAsia" w:cs="仿宋" w:asciiTheme="majorEastAsia" w:hAnsiTheme="majorEastAsia" w:eastAsiaTheme="majorEastAsia"/>
          <w:kern w:val="0"/>
          <w:sz w:val="24"/>
          <w:highlight w:val="none"/>
        </w:rPr>
        <w:t>评标委员会应当按照招标文件中规定的评标方法和标准，对符合性审查合格的投标文件进行商务和技术评估。</w:t>
      </w:r>
    </w:p>
    <w:p w14:paraId="728B4AB8">
      <w:pPr>
        <w:kinsoku/>
        <w:wordWrap/>
        <w:overflowPunct/>
        <w:topLinePunct w:val="0"/>
        <w:bidi w:val="0"/>
        <w:spacing w:line="360" w:lineRule="auto"/>
        <w:ind w:firstLine="482"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3.3 汇总商务技术得分。</w:t>
      </w:r>
      <w:r>
        <w:rPr>
          <w:rFonts w:hint="eastAsia" w:cs="仿宋" w:asciiTheme="majorEastAsia" w:hAnsiTheme="majorEastAsia" w:eastAsiaTheme="majorEastAsia"/>
          <w:kern w:val="0"/>
          <w:sz w:val="24"/>
          <w:highlight w:val="none"/>
        </w:rPr>
        <w:t>评标委员会各成员应当独立对每个</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的商务和技术文件进行评价，并汇总商务技术得分情况。</w:t>
      </w:r>
    </w:p>
    <w:p w14:paraId="2064F150">
      <w:pPr>
        <w:kinsoku/>
        <w:wordWrap/>
        <w:overflowPunct/>
        <w:topLinePunct w:val="0"/>
        <w:bidi w:val="0"/>
        <w:spacing w:line="360" w:lineRule="auto"/>
        <w:ind w:firstLine="482" w:firstLineChars="200"/>
        <w:rPr>
          <w:rFonts w:cs="仿宋" w:asciiTheme="majorEastAsia" w:hAnsiTheme="majorEastAsia" w:eastAsiaTheme="majorEastAsia"/>
          <w:b/>
          <w:kern w:val="0"/>
          <w:sz w:val="24"/>
          <w:highlight w:val="none"/>
        </w:rPr>
      </w:pPr>
      <w:r>
        <w:rPr>
          <w:rFonts w:hint="eastAsia" w:cs="仿宋" w:asciiTheme="majorEastAsia" w:hAnsiTheme="majorEastAsia" w:eastAsiaTheme="majorEastAsia"/>
          <w:b/>
          <w:kern w:val="0"/>
          <w:sz w:val="24"/>
          <w:highlight w:val="none"/>
        </w:rPr>
        <w:t>3.4 报价评审。</w:t>
      </w:r>
    </w:p>
    <w:p w14:paraId="38D1E6D9">
      <w:pPr>
        <w:pStyle w:val="49"/>
        <w:kinsoku/>
        <w:wordWrap/>
        <w:overflowPunct/>
        <w:topLinePunct w:val="0"/>
        <w:bidi w:val="0"/>
        <w:spacing w:before="0" w:line="360" w:lineRule="auto"/>
        <w:ind w:firstLine="480"/>
        <w:rPr>
          <w:rFonts w:cs="仿宋" w:asciiTheme="majorEastAsia" w:hAnsiTheme="majorEastAsia" w:eastAsiaTheme="majorEastAsia"/>
          <w:kern w:val="0"/>
          <w:highlight w:val="none"/>
        </w:rPr>
      </w:pPr>
      <w:r>
        <w:rPr>
          <w:rFonts w:hint="eastAsia" w:cs="仿宋" w:asciiTheme="majorEastAsia" w:hAnsiTheme="majorEastAsia" w:eastAsiaTheme="majorEastAsia"/>
          <w:kern w:val="0"/>
          <w:highlight w:val="none"/>
        </w:rPr>
        <w:t>3.4.1投标文件报价出现前后不一致的，按照下列规定修正：</w:t>
      </w:r>
    </w:p>
    <w:p w14:paraId="11696EC6">
      <w:pPr>
        <w:pStyle w:val="49"/>
        <w:kinsoku/>
        <w:wordWrap/>
        <w:overflowPunct/>
        <w:topLinePunct w:val="0"/>
        <w:bidi w:val="0"/>
        <w:spacing w:before="0" w:line="360" w:lineRule="auto"/>
        <w:ind w:firstLine="480"/>
        <w:rPr>
          <w:rFonts w:cs="仿宋" w:asciiTheme="majorEastAsia" w:hAnsiTheme="majorEastAsia" w:eastAsiaTheme="majorEastAsia"/>
          <w:kern w:val="0"/>
          <w:highlight w:val="none"/>
        </w:rPr>
      </w:pPr>
      <w:r>
        <w:rPr>
          <w:rFonts w:hint="eastAsia" w:cs="仿宋" w:asciiTheme="majorEastAsia" w:hAnsiTheme="majorEastAsia" w:eastAsiaTheme="majorEastAsia"/>
          <w:kern w:val="0"/>
          <w:highlight w:val="none"/>
        </w:rPr>
        <w:t>3.4.1.1电子交易平台生成的开标记录表(报价表)内容与投标文件中开标一览表(报价表)不一致的，以投标文件中开标一览表(报价表)为准；</w:t>
      </w:r>
    </w:p>
    <w:p w14:paraId="6A24F299">
      <w:pPr>
        <w:pStyle w:val="49"/>
        <w:kinsoku/>
        <w:wordWrap/>
        <w:overflowPunct/>
        <w:topLinePunct w:val="0"/>
        <w:bidi w:val="0"/>
        <w:spacing w:before="0" w:line="360" w:lineRule="auto"/>
        <w:ind w:firstLine="480"/>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3.4.1.2</w:t>
      </w:r>
      <w:r>
        <w:rPr>
          <w:rFonts w:hint="eastAsia" w:cs="仿宋" w:asciiTheme="majorEastAsia" w:hAnsiTheme="majorEastAsia" w:eastAsiaTheme="majorEastAsia"/>
          <w:kern w:val="0"/>
          <w:highlight w:val="none"/>
        </w:rPr>
        <w:t>投标文件中开标一览表(报价表)内容与投标文件中相应内容不一致的，以开标一览表(报价表)为准；</w:t>
      </w:r>
    </w:p>
    <w:p w14:paraId="2E18505B">
      <w:pPr>
        <w:pStyle w:val="49"/>
        <w:kinsoku/>
        <w:wordWrap/>
        <w:overflowPunct/>
        <w:topLinePunct w:val="0"/>
        <w:bidi w:val="0"/>
        <w:spacing w:before="0" w:line="360" w:lineRule="auto"/>
        <w:ind w:firstLine="480"/>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3.4.1.3 大写金额和小写金额不一致的，以大写金额为准;</w:t>
      </w:r>
    </w:p>
    <w:p w14:paraId="6413B0D3">
      <w:pPr>
        <w:pStyle w:val="49"/>
        <w:kinsoku/>
        <w:wordWrap/>
        <w:overflowPunct/>
        <w:topLinePunct w:val="0"/>
        <w:bidi w:val="0"/>
        <w:spacing w:before="0" w:line="360" w:lineRule="auto"/>
        <w:ind w:firstLine="480"/>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3.4.1.4 单价金额小数点或者百分比有明显错位的，以开标一览表的总价为准，并修改单价;</w:t>
      </w:r>
    </w:p>
    <w:p w14:paraId="605D2A5C">
      <w:pPr>
        <w:pStyle w:val="49"/>
        <w:kinsoku/>
        <w:wordWrap/>
        <w:overflowPunct/>
        <w:topLinePunct w:val="0"/>
        <w:bidi w:val="0"/>
        <w:spacing w:before="0" w:line="360" w:lineRule="auto"/>
        <w:ind w:firstLine="480"/>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3.4.1.5 总价金额与按单价汇总金额不一致的，以单价金额计算结果为准；</w:t>
      </w:r>
    </w:p>
    <w:p w14:paraId="0F53C309">
      <w:pPr>
        <w:pStyle w:val="49"/>
        <w:kinsoku/>
        <w:wordWrap/>
        <w:overflowPunct/>
        <w:topLinePunct w:val="0"/>
        <w:bidi w:val="0"/>
        <w:spacing w:before="0" w:line="360" w:lineRule="auto"/>
        <w:ind w:firstLine="480"/>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确认后产生约束力。</w:t>
      </w:r>
    </w:p>
    <w:p w14:paraId="4B97FE74">
      <w:pPr>
        <w:kinsoku/>
        <w:wordWrap/>
        <w:overflowPunct/>
        <w:topLinePunct w:val="0"/>
        <w:bidi w:val="0"/>
        <w:snapToGrid w:val="0"/>
        <w:spacing w:line="360" w:lineRule="auto"/>
        <w:ind w:firstLine="480" w:firstLineChars="200"/>
        <w:jc w:val="left"/>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3.4.2投标文件出现不是唯一的、有选择性投标报价的，投标无效。</w:t>
      </w:r>
    </w:p>
    <w:p w14:paraId="0D93CE32">
      <w:pPr>
        <w:kinsoku/>
        <w:wordWrap/>
        <w:overflowPunct/>
        <w:topLinePunct w:val="0"/>
        <w:bidi w:val="0"/>
        <w:snapToGrid w:val="0"/>
        <w:spacing w:line="360" w:lineRule="auto"/>
        <w:ind w:firstLine="480" w:firstLineChars="200"/>
        <w:jc w:val="left"/>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3.4.3投标报价超过招标文件中规定的预算金额或者最高限价的，投标无效。</w:t>
      </w:r>
    </w:p>
    <w:p w14:paraId="09A4402A">
      <w:pPr>
        <w:pStyle w:val="49"/>
        <w:kinsoku/>
        <w:wordWrap/>
        <w:overflowPunct/>
        <w:topLinePunct w:val="0"/>
        <w:bidi w:val="0"/>
        <w:spacing w:before="0" w:line="360" w:lineRule="auto"/>
        <w:ind w:firstLine="480"/>
        <w:rPr>
          <w:rFonts w:cs="仿宋" w:asciiTheme="majorEastAsia" w:hAnsiTheme="majorEastAsia" w:eastAsiaTheme="majorEastAsia"/>
          <w:kern w:val="0"/>
          <w:szCs w:val="24"/>
          <w:highlight w:val="none"/>
        </w:rPr>
      </w:pPr>
      <w:r>
        <w:rPr>
          <w:rFonts w:hint="eastAsia" w:cs="仿宋" w:asciiTheme="majorEastAsia" w:hAnsiTheme="majorEastAsia" w:eastAsiaTheme="majorEastAsia"/>
          <w:kern w:val="0"/>
          <w:szCs w:val="24"/>
          <w:highlight w:val="none"/>
        </w:rPr>
        <w:t>3.4.4评标委员会认为</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的报价明显低于其他通过符合性审查</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不能证明其报价合理性的，评标委员会应当将其作为无效投标处理。</w:t>
      </w:r>
    </w:p>
    <w:p w14:paraId="5860F251">
      <w:pPr>
        <w:kinsoku/>
        <w:wordWrap/>
        <w:overflowPunct/>
        <w:topLinePunct w:val="0"/>
        <w:bidi w:val="0"/>
        <w:spacing w:line="360" w:lineRule="auto"/>
        <w:ind w:firstLine="482"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b/>
          <w:kern w:val="0"/>
          <w:sz w:val="24"/>
          <w:highlight w:val="none"/>
        </w:rPr>
        <w:t>3.5编写评标报告。</w:t>
      </w:r>
      <w:r>
        <w:rPr>
          <w:rFonts w:hint="eastAsia" w:cs="仿宋" w:asciiTheme="majorEastAsia" w:hAnsiTheme="majorEastAsia" w:eastAsiaTheme="majorEastAsia"/>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3108BF7">
      <w:pPr>
        <w:keepNext w:val="0"/>
        <w:keepLines w:val="0"/>
        <w:pageBreakBefore w:val="0"/>
        <w:widowControl w:val="0"/>
        <w:kinsoku/>
        <w:wordWrap/>
        <w:overflowPunct/>
        <w:topLinePunct w:val="0"/>
        <w:autoSpaceDE/>
        <w:autoSpaceDN/>
        <w:bidi w:val="0"/>
        <w:adjustRightInd/>
        <w:snapToGrid w:val="0"/>
        <w:spacing w:before="240" w:beforeLines="100" w:line="360" w:lineRule="auto"/>
        <w:jc w:val="center"/>
        <w:textAlignment w:val="auto"/>
        <w:rPr>
          <w:rFonts w:cs="仿宋" w:asciiTheme="majorEastAsia" w:hAnsiTheme="majorEastAsia" w:eastAsiaTheme="majorEastAsia"/>
          <w:b/>
          <w:sz w:val="32"/>
          <w:highlight w:val="none"/>
        </w:rPr>
      </w:pPr>
      <w:r>
        <w:rPr>
          <w:rFonts w:hint="eastAsia" w:cs="仿宋" w:asciiTheme="majorEastAsia" w:hAnsiTheme="majorEastAsia" w:eastAsiaTheme="majorEastAsia"/>
          <w:b/>
          <w:sz w:val="32"/>
          <w:highlight w:val="none"/>
        </w:rPr>
        <w:t>四、评标中的其他事项</w:t>
      </w:r>
    </w:p>
    <w:p w14:paraId="2CA85AF6">
      <w:pPr>
        <w:pStyle w:val="49"/>
        <w:kinsoku/>
        <w:wordWrap/>
        <w:overflowPunct/>
        <w:topLinePunct w:val="0"/>
        <w:bidi w:val="0"/>
        <w:spacing w:before="0" w:line="360" w:lineRule="auto"/>
        <w:ind w:firstLine="482"/>
        <w:rPr>
          <w:rFonts w:cs="仿宋" w:asciiTheme="majorEastAsia" w:hAnsiTheme="majorEastAsia" w:eastAsiaTheme="majorEastAsia"/>
          <w:kern w:val="0"/>
          <w:szCs w:val="24"/>
          <w:highlight w:val="none"/>
        </w:rPr>
      </w:pPr>
      <w:r>
        <w:rPr>
          <w:rFonts w:hint="eastAsia" w:cs="仿宋" w:asciiTheme="majorEastAsia" w:hAnsiTheme="majorEastAsia" w:eastAsiaTheme="majorEastAsia"/>
          <w:b/>
          <w:kern w:val="0"/>
          <w:szCs w:val="24"/>
          <w:highlight w:val="none"/>
        </w:rPr>
        <w:t>4.1投标澄清、说明或者补正。</w:t>
      </w:r>
      <w:r>
        <w:rPr>
          <w:rFonts w:hint="eastAsia" w:cs="仿宋" w:asciiTheme="majorEastAsia" w:hAnsiTheme="majorEastAsia" w:eastAsiaTheme="majorEastAsia"/>
          <w:kern w:val="0"/>
          <w:szCs w:val="24"/>
          <w:highlight w:val="none"/>
        </w:rPr>
        <w:t>对于投标文件中含义不明确、同类问题表述不一致或者有明显文字和计算错误的内容需要</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作出必要的澄清、说明或者补正的，评标委员会和</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通过电子交易平台交换数据电文，</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提交使用电子签名的相关数据电文或通过平台上传加盖公章的扫描件。给予</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提交澄清、说明或补正的时间不得少于半小时，</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已经明确表示澄清说明或补正完毕的除外。</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kern w:val="0"/>
          <w:szCs w:val="24"/>
          <w:highlight w:val="none"/>
        </w:rPr>
        <w:t>的澄清、说明或者补正不得超出投标文件的范围或者改变投标文件的实质性内容。</w:t>
      </w:r>
    </w:p>
    <w:p w14:paraId="658D77A7">
      <w:pPr>
        <w:pStyle w:val="12"/>
        <w:kinsoku/>
        <w:wordWrap/>
        <w:overflowPunct/>
        <w:topLinePunct w:val="0"/>
        <w:bidi w:val="0"/>
        <w:spacing w:line="360" w:lineRule="auto"/>
        <w:ind w:firstLine="482"/>
        <w:rPr>
          <w:rFonts w:cs="仿宋" w:asciiTheme="majorEastAsia" w:hAnsiTheme="majorEastAsia" w:eastAsiaTheme="majorEastAsia"/>
          <w:szCs w:val="21"/>
          <w:highlight w:val="none"/>
        </w:rPr>
      </w:pPr>
      <w:r>
        <w:rPr>
          <w:rFonts w:hint="eastAsia" w:cs="仿宋" w:asciiTheme="majorEastAsia" w:hAnsiTheme="majorEastAsia" w:eastAsiaTheme="majorEastAsia"/>
          <w:b/>
          <w:kern w:val="0"/>
          <w:highlight w:val="none"/>
        </w:rPr>
        <w:t>4.2投标无效的情形。</w:t>
      </w:r>
    </w:p>
    <w:p w14:paraId="0386D2ED">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4.2.1 没有响应招标文件实质性要求的投标将被视为无效投标。</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不得通过修正或撤消不合要求的偏离或保留从而使其投标成为实质上响应的投标，但经评标委员会认定属于</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修改、补正投标文件后，不影响评标委员会对其投标文件所作的评价和评分结果。</w:t>
      </w:r>
    </w:p>
    <w:p w14:paraId="577B9DDA">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4.2.2 在电子开评标时，如发现下列情形之一的，将被视为无效投标文件：</w:t>
      </w:r>
    </w:p>
    <w:p w14:paraId="6C3E71FD">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4.2.2.1电子投标文件解密失败的；</w:t>
      </w:r>
    </w:p>
    <w:p w14:paraId="3BE6FDC7">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4.2.2.2投标文件未按招标文件要求加密、签字、盖章的；</w:t>
      </w:r>
    </w:p>
    <w:p w14:paraId="3F673EB6">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 在资格审查、符合性审查和商务评审时，如发现下列情形之一的，将被视为无效投标文件：</w:t>
      </w:r>
    </w:p>
    <w:p w14:paraId="013980AE">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4.2.3.1 资格证明文件不全的或者不符合招标文件标明的资格要求的；</w:t>
      </w:r>
    </w:p>
    <w:p w14:paraId="356AB375">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4.2.3.2 投标文件未按招标文件要求签署、盖章的；</w:t>
      </w:r>
    </w:p>
    <w:p w14:paraId="4676B16F">
      <w:pPr>
        <w:kinsoku/>
        <w:wordWrap/>
        <w:overflowPunct/>
        <w:topLinePunct w:val="0"/>
        <w:bidi w:val="0"/>
        <w:spacing w:line="360" w:lineRule="auto"/>
        <w:ind w:firstLine="480" w:firstLineChars="200"/>
        <w:rPr>
          <w:rFonts w:eastAsia="仿宋_GB2312"/>
          <w:highlight w:val="none"/>
        </w:rPr>
      </w:pPr>
      <w:r>
        <w:rPr>
          <w:rFonts w:hint="eastAsia" w:cs="仿宋" w:asciiTheme="majorEastAsia" w:hAnsiTheme="majorEastAsia" w:eastAsiaTheme="majorEastAsia"/>
          <w:kern w:val="0"/>
          <w:sz w:val="24"/>
          <w:highlight w:val="none"/>
        </w:rPr>
        <w:t>4.2.3.3 投标代表人未能出具身份证明或身份证明与法定代表授权委托书不符的；</w:t>
      </w:r>
    </w:p>
    <w:p w14:paraId="18E0849B">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4.2.3.4 投标文件格式不规范、项目不齐全或者内容虚假的；</w:t>
      </w:r>
    </w:p>
    <w:p w14:paraId="6DCABC6B">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4.2.3.5 投标文件的实质性内容未使用中文表述、意思表述不明确、前后矛盾或者使用计量单位不符合招标文件要求的（经评标委员会认定并允许其当场更正的笔误除外）；</w:t>
      </w:r>
    </w:p>
    <w:p w14:paraId="669CC721">
      <w:pPr>
        <w:kinsoku/>
        <w:wordWrap/>
        <w:overflowPunct/>
        <w:topLinePunct w:val="0"/>
        <w:bidi w:val="0"/>
        <w:spacing w:line="360" w:lineRule="auto"/>
        <w:ind w:left="479" w:leftChars="228"/>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4.2.3.6 投标有效期、交货时间、质保期等商务条款不能满足招标文件要求；</w:t>
      </w:r>
    </w:p>
    <w:p w14:paraId="19556760">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4.2.3.7 带“▲”的条款不能满足招标文件要求、未实质性响应招标文件要求或者投标文件有采购人不能接受的附加条件的；</w:t>
      </w:r>
    </w:p>
    <w:p w14:paraId="4ABC0BC3">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4.2.3.8 单位负责人为同一人或者存在直接控股、管理关系的不同供应商参加同一合同项下的政府采购活动的；</w:t>
      </w:r>
    </w:p>
    <w:p w14:paraId="073EF72E">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4.2.3.9 为采购项目提供整体设计、规范编制或者项目管理、监理、检测等服务的供应商参加该采购项目的其他采购活动的；</w:t>
      </w:r>
    </w:p>
    <w:p w14:paraId="3DCF59B5">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4.2.3.10 商务技术文件中出现本项目投标报价或单价的。</w:t>
      </w:r>
    </w:p>
    <w:p w14:paraId="543CC315">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4.3.在技术评审时，如发现下列情形之一的，将被视为无效投标文件：</w:t>
      </w:r>
    </w:p>
    <w:p w14:paraId="7D94F340">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4.3.1未提供或未如实提供投标货物的技术参数，或者投标文件标明的响应或偏离与事实不符或虚假投标的；</w:t>
      </w:r>
    </w:p>
    <w:p w14:paraId="23FB3210">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4.3.2 明显不符合招标文件要求的规格型号、质量标准，或者与招标文件中标“▲”的技术指标、主要功能项目发生实质性偏离的；</w:t>
      </w:r>
    </w:p>
    <w:p w14:paraId="1D8B504C">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4.3.3 允许偏离的技术、性能指标或辅助功能项目发生负偏离达/项（含）以上的；</w:t>
      </w:r>
    </w:p>
    <w:p w14:paraId="502FD231">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4.3.4 投标技术方案不明确，存在一个或一个以上备选（替代）投标方案的；</w:t>
      </w:r>
    </w:p>
    <w:p w14:paraId="6F69D063">
      <w:pPr>
        <w:kinsoku/>
        <w:wordWrap/>
        <w:overflowPunct/>
        <w:topLinePunct w:val="0"/>
        <w:bidi w:val="0"/>
        <w:spacing w:line="360" w:lineRule="auto"/>
        <w:ind w:firstLine="480" w:firstLineChars="200"/>
        <w:rPr>
          <w:rFonts w:hint="eastAsia"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4.3.5 与其他参加本次投标</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的投标文件（技术文件）的文字表述内容差错相同2处以上的；</w:t>
      </w:r>
    </w:p>
    <w:p w14:paraId="76A8FCC5">
      <w:pPr>
        <w:kinsoku/>
        <w:wordWrap/>
        <w:overflowPunct/>
        <w:topLinePunct w:val="0"/>
        <w:bidi w:val="0"/>
        <w:spacing w:line="360" w:lineRule="auto"/>
        <w:ind w:firstLine="480" w:firstLineChars="200"/>
        <w:rPr>
          <w:highlight w:val="none"/>
        </w:rPr>
      </w:pPr>
      <w:r>
        <w:rPr>
          <w:rFonts w:hint="eastAsia" w:cs="仿宋" w:asciiTheme="majorEastAsia" w:hAnsiTheme="majorEastAsia" w:eastAsiaTheme="majorEastAsia"/>
          <w:color w:val="auto"/>
          <w:kern w:val="0"/>
          <w:sz w:val="24"/>
          <w:highlight w:val="none"/>
          <w:lang w:val="en-US" w:eastAsia="zh-CN"/>
        </w:rPr>
        <w:t>4.3.6 采购人拟采购的产品属于政府强制采购的节能产品品目清单范围的，</w:t>
      </w:r>
      <w:r>
        <w:rPr>
          <w:rFonts w:hint="eastAsia" w:cs="仿宋" w:asciiTheme="majorEastAsia" w:hAnsiTheme="majorEastAsia" w:eastAsiaTheme="majorEastAsia"/>
          <w:color w:val="auto"/>
          <w:kern w:val="0"/>
          <w:sz w:val="24"/>
          <w:highlight w:val="none"/>
          <w:lang w:val="zh-CN"/>
        </w:rPr>
        <w:t>供应商</w:t>
      </w:r>
      <w:r>
        <w:rPr>
          <w:rFonts w:hint="eastAsia" w:cs="仿宋" w:asciiTheme="majorEastAsia" w:hAnsiTheme="majorEastAsia" w:eastAsiaTheme="majorEastAsia"/>
          <w:color w:val="auto"/>
          <w:kern w:val="0"/>
          <w:sz w:val="24"/>
          <w:highlight w:val="none"/>
          <w:lang w:val="en-US" w:eastAsia="zh-CN"/>
        </w:rPr>
        <w:t>未按招标文件要求提供国家确定的认证机构出具的、处于有效期之内的节能产品认证证书的。</w:t>
      </w:r>
    </w:p>
    <w:p w14:paraId="621664FE">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 在报价评审时，如发现下列情形之一的，投标文件将被视为无效：</w:t>
      </w:r>
    </w:p>
    <w:p w14:paraId="0E0667B2">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4.4.1 未采用人民币报价或者未按照招标文件标明的币种报价的；</w:t>
      </w:r>
    </w:p>
    <w:p w14:paraId="7E4968F4">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4.4.2 报价超出最高限价，或者超出采购预算金额的；</w:t>
      </w:r>
    </w:p>
    <w:p w14:paraId="1F70A816">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4.4.3 投标报价具有选择性的；</w:t>
      </w:r>
    </w:p>
    <w:p w14:paraId="1DEA5642">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4.4.4 投标报价中出现缺项、漏项或被评标委员会认定为有可能影响产品质量或者不能诚信履约的且不能在合理的时间内证明其报价合理性的；</w:t>
      </w:r>
    </w:p>
    <w:p w14:paraId="61A26050">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4.4.5供应商对根据修正原则修正后的报价不确认的。</w:t>
      </w:r>
    </w:p>
    <w:p w14:paraId="3362A8D6">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4.5其他无效情形：</w:t>
      </w:r>
    </w:p>
    <w:p w14:paraId="7C97F80A">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4.5.1 不同</w:t>
      </w:r>
      <w:r>
        <w:rPr>
          <w:rFonts w:hint="eastAsia" w:cs="仿宋" w:asciiTheme="majorEastAsia" w:hAnsiTheme="majorEastAsia" w:eastAsiaTheme="majorEastAsia"/>
          <w:kern w:val="0"/>
          <w:sz w:val="24"/>
          <w:highlight w:val="none"/>
          <w:lang w:val="zh-CN"/>
        </w:rPr>
        <w:t>供应商</w:t>
      </w:r>
      <w:r>
        <w:rPr>
          <w:rFonts w:hint="eastAsia" w:cs="仿宋" w:asciiTheme="majorEastAsia" w:hAnsiTheme="majorEastAsia" w:eastAsiaTheme="majorEastAsia"/>
          <w:kern w:val="0"/>
          <w:sz w:val="24"/>
          <w:highlight w:val="none"/>
        </w:rPr>
        <w:t>的投标文件出自同一终端设备或在相同Internet主机分配地址（相同IP地址）进行网上报名、投标的；</w:t>
      </w:r>
    </w:p>
    <w:p w14:paraId="76BA4ED2">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rPr>
      </w:pPr>
      <w:r>
        <w:rPr>
          <w:rFonts w:hint="eastAsia" w:cs="仿宋" w:asciiTheme="majorEastAsia" w:hAnsiTheme="majorEastAsia" w:eastAsiaTheme="majorEastAsia"/>
          <w:kern w:val="0"/>
          <w:sz w:val="24"/>
          <w:highlight w:val="none"/>
        </w:rPr>
        <w:t>4.5.2 法律、法规、规章（适用本市的）及省级以上规范性文件（适用本市的）规定的其他无效情形。</w:t>
      </w:r>
    </w:p>
    <w:p w14:paraId="0784B569">
      <w:pPr>
        <w:pStyle w:val="12"/>
        <w:kinsoku/>
        <w:wordWrap/>
        <w:overflowPunct/>
        <w:topLinePunct w:val="0"/>
        <w:bidi w:val="0"/>
        <w:snapToGrid w:val="0"/>
        <w:spacing w:line="360" w:lineRule="auto"/>
        <w:ind w:firstLine="482"/>
        <w:rPr>
          <w:rFonts w:cs="仿宋" w:asciiTheme="majorEastAsia" w:hAnsiTheme="majorEastAsia" w:eastAsiaTheme="majorEastAsia"/>
          <w:highlight w:val="none"/>
        </w:rPr>
      </w:pPr>
      <w:r>
        <w:rPr>
          <w:rFonts w:hint="eastAsia" w:cs="仿宋" w:asciiTheme="majorEastAsia" w:hAnsiTheme="majorEastAsia" w:eastAsiaTheme="majorEastAsia"/>
          <w:b/>
          <w:highlight w:val="none"/>
        </w:rPr>
        <w:t>5.废标。</w:t>
      </w:r>
      <w:r>
        <w:rPr>
          <w:rFonts w:hint="eastAsia" w:cs="仿宋" w:asciiTheme="majorEastAsia" w:hAnsiTheme="majorEastAsia" w:eastAsiaTheme="majorEastAsia"/>
          <w:highlight w:val="none"/>
        </w:rPr>
        <w:t>根据《中华人民共和国政府采购法》第三十六条之规定，在采购中，出现下列情形之一的，应予废标：</w:t>
      </w:r>
    </w:p>
    <w:p w14:paraId="2B8D5B88">
      <w:pPr>
        <w:pStyle w:val="12"/>
        <w:kinsoku/>
        <w:wordWrap/>
        <w:overflowPunct/>
        <w:topLinePunct w:val="0"/>
        <w:bidi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5.1符合专业条件的供应商或者对招标文件作实质响应的供应商不足3家的；</w:t>
      </w:r>
    </w:p>
    <w:p w14:paraId="73B04C80">
      <w:pPr>
        <w:pStyle w:val="12"/>
        <w:kinsoku/>
        <w:wordWrap/>
        <w:overflowPunct/>
        <w:topLinePunct w:val="0"/>
        <w:bidi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5.2出现影响采购公正的违法、违规行为的；</w:t>
      </w:r>
    </w:p>
    <w:p w14:paraId="3C14FDA1">
      <w:pPr>
        <w:pStyle w:val="12"/>
        <w:kinsoku/>
        <w:wordWrap/>
        <w:overflowPunct/>
        <w:topLinePunct w:val="0"/>
        <w:bidi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5.3</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highlight w:val="none"/>
        </w:rPr>
        <w:t>的报价均超过了采购预算，采购人不能支付的；</w:t>
      </w:r>
    </w:p>
    <w:p w14:paraId="1C3DD90C">
      <w:pPr>
        <w:pStyle w:val="12"/>
        <w:kinsoku/>
        <w:wordWrap/>
        <w:overflowPunct/>
        <w:topLinePunct w:val="0"/>
        <w:bidi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5.4因重大变故，采购任务取消的。</w:t>
      </w:r>
    </w:p>
    <w:p w14:paraId="3C7E651F">
      <w:pPr>
        <w:pStyle w:val="12"/>
        <w:kinsoku/>
        <w:wordWrap/>
        <w:overflowPunct/>
        <w:topLinePunct w:val="0"/>
        <w:bidi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废标后，采购代理机构应当将废标理由通知所有</w:t>
      </w:r>
      <w:r>
        <w:rPr>
          <w:rFonts w:hint="eastAsia" w:cs="仿宋" w:asciiTheme="majorEastAsia" w:hAnsiTheme="majorEastAsia" w:eastAsiaTheme="majorEastAsia"/>
          <w:kern w:val="0"/>
          <w:highlight w:val="none"/>
          <w:lang w:val="zh-CN"/>
        </w:rPr>
        <w:t>供应商</w:t>
      </w:r>
      <w:r>
        <w:rPr>
          <w:rFonts w:hint="eastAsia" w:cs="仿宋" w:asciiTheme="majorEastAsia" w:hAnsiTheme="majorEastAsia" w:eastAsiaTheme="majorEastAsia"/>
          <w:highlight w:val="none"/>
        </w:rPr>
        <w:t>。</w:t>
      </w:r>
    </w:p>
    <w:p w14:paraId="2408E8F6">
      <w:pPr>
        <w:pStyle w:val="12"/>
        <w:kinsoku/>
        <w:wordWrap/>
        <w:overflowPunct/>
        <w:topLinePunct w:val="0"/>
        <w:bidi w:val="0"/>
        <w:snapToGrid w:val="0"/>
        <w:spacing w:line="360" w:lineRule="auto"/>
        <w:ind w:firstLine="482"/>
        <w:rPr>
          <w:rFonts w:cs="仿宋" w:asciiTheme="majorEastAsia" w:hAnsiTheme="majorEastAsia" w:eastAsiaTheme="majorEastAsia"/>
          <w:highlight w:val="none"/>
        </w:rPr>
      </w:pPr>
      <w:r>
        <w:rPr>
          <w:rFonts w:hint="eastAsia" w:cs="仿宋" w:asciiTheme="majorEastAsia" w:hAnsiTheme="majorEastAsia" w:eastAsiaTheme="majorEastAsia"/>
          <w:b/>
          <w:highlight w:val="none"/>
        </w:rPr>
        <w:t>6.修改招标文件，重新组织采购活动。</w:t>
      </w:r>
      <w:r>
        <w:rPr>
          <w:rFonts w:hint="eastAsia" w:cs="仿宋" w:asciiTheme="majorEastAsia" w:hAnsiTheme="majorEastAsia" w:eastAsiaTheme="majorEastAsia"/>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4F09EC4">
      <w:pPr>
        <w:pStyle w:val="12"/>
        <w:kinsoku/>
        <w:wordWrap/>
        <w:overflowPunct/>
        <w:topLinePunct w:val="0"/>
        <w:bidi w:val="0"/>
        <w:adjustRightInd w:val="0"/>
        <w:snapToGrid w:val="0"/>
        <w:spacing w:line="360" w:lineRule="auto"/>
        <w:ind w:firstLine="482"/>
        <w:rPr>
          <w:rFonts w:cs="仿宋" w:asciiTheme="majorEastAsia" w:hAnsiTheme="majorEastAsia" w:eastAsiaTheme="majorEastAsia"/>
          <w:highlight w:val="none"/>
        </w:rPr>
      </w:pPr>
      <w:r>
        <w:rPr>
          <w:rFonts w:hint="eastAsia" w:cs="仿宋" w:asciiTheme="majorEastAsia" w:hAnsiTheme="majorEastAsia" w:eastAsiaTheme="majorEastAsia"/>
          <w:b/>
          <w:kern w:val="0"/>
          <w:highlight w:val="none"/>
        </w:rPr>
        <w:t>7.重新开展采购。</w:t>
      </w:r>
      <w:r>
        <w:rPr>
          <w:rFonts w:hint="eastAsia" w:cs="仿宋" w:asciiTheme="majorEastAsia" w:hAnsiTheme="majorEastAsia" w:eastAsiaTheme="majorEastAsia"/>
          <w:highlight w:val="none"/>
        </w:rPr>
        <w:t>有政府采购法第七十一条、第七十二条规定的违法行为之一，影响或者可能影响中标、成交结果的，依照下列规定处理：</w:t>
      </w:r>
    </w:p>
    <w:p w14:paraId="3BBC442A">
      <w:pPr>
        <w:pStyle w:val="12"/>
        <w:kinsoku/>
        <w:wordWrap/>
        <w:overflowPunct/>
        <w:topLinePunct w:val="0"/>
        <w:bidi w:val="0"/>
        <w:adjustRightInd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7.1未确定中标或者中标人的，终止本次政府采购活动，重新开展政府采购活动。</w:t>
      </w:r>
    </w:p>
    <w:p w14:paraId="6B015450">
      <w:pPr>
        <w:pStyle w:val="12"/>
        <w:kinsoku/>
        <w:wordWrap/>
        <w:overflowPunct/>
        <w:topLinePunct w:val="0"/>
        <w:bidi w:val="0"/>
        <w:adjustRightInd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7.2已确定中标或者中标人但尚未签订政府采购合同的，中标或者成交结果无效，重新开展政府采购活动。</w:t>
      </w:r>
    </w:p>
    <w:p w14:paraId="3EF546CE">
      <w:pPr>
        <w:pStyle w:val="12"/>
        <w:kinsoku/>
        <w:wordWrap/>
        <w:overflowPunct/>
        <w:topLinePunct w:val="0"/>
        <w:bidi w:val="0"/>
        <w:adjustRightInd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7.3政府采购合同已签订但尚未履行的，撤销合同，重新开展政府采购活动。</w:t>
      </w:r>
    </w:p>
    <w:p w14:paraId="637A0AFD">
      <w:pPr>
        <w:pStyle w:val="12"/>
        <w:kinsoku/>
        <w:wordWrap/>
        <w:overflowPunct/>
        <w:topLinePunct w:val="0"/>
        <w:bidi w:val="0"/>
        <w:adjustRightInd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7.4政府采购合同已经履行，给采购人、供应商造成损失的，由责任人承担赔偿责任。</w:t>
      </w:r>
    </w:p>
    <w:p w14:paraId="0E9641BD">
      <w:pPr>
        <w:pStyle w:val="12"/>
        <w:kinsoku/>
        <w:wordWrap/>
        <w:overflowPunct/>
        <w:topLinePunct w:val="0"/>
        <w:bidi w:val="0"/>
        <w:adjustRightInd w:val="0"/>
        <w:snapToGrid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highlight w:val="none"/>
        </w:rPr>
        <w:t>7.5政府采购当事人有其他违反政府采购法</w:t>
      </w:r>
      <w:r>
        <w:rPr>
          <w:rFonts w:hint="eastAsia" w:cs="仿宋" w:asciiTheme="majorEastAsia" w:hAnsiTheme="majorEastAsia" w:eastAsiaTheme="majorEastAsia"/>
          <w:kern w:val="0"/>
          <w:highlight w:val="none"/>
        </w:rPr>
        <w:t>或者政府采购法实施条例等法律法规规定</w:t>
      </w:r>
      <w:r>
        <w:rPr>
          <w:rFonts w:hint="eastAsia" w:cs="仿宋" w:asciiTheme="majorEastAsia" w:hAnsiTheme="majorEastAsia" w:eastAsiaTheme="majorEastAsia"/>
          <w:highlight w:val="none"/>
        </w:rPr>
        <w:t>的行为，经改正后仍然影响或者可能影响中标、成交结果或者依法被认定为中标、成交无效的，依照7.1-7.4规定处理。</w:t>
      </w:r>
      <w:bookmarkStart w:id="418" w:name="_Toc86217003"/>
    </w:p>
    <w:p w14:paraId="5DBD3ACC">
      <w:pPr>
        <w:pStyle w:val="12"/>
        <w:numPr>
          <w:ilvl w:val="0"/>
          <w:numId w:val="8"/>
        </w:numPr>
        <w:adjustRightInd w:val="0"/>
        <w:snapToGrid w:val="0"/>
        <w:spacing w:line="360" w:lineRule="auto"/>
        <w:ind w:firstLine="0" w:firstLineChars="0"/>
        <w:jc w:val="center"/>
        <w:rPr>
          <w:rFonts w:hint="eastAsia" w:ascii="宋体" w:hAnsi="宋体" w:eastAsia="宋体" w:cs="宋体"/>
          <w:b/>
          <w:sz w:val="36"/>
          <w:szCs w:val="36"/>
          <w:highlight w:val="none"/>
        </w:rPr>
      </w:pPr>
      <w:r>
        <w:rPr>
          <w:rFonts w:hint="eastAsia" w:cs="仿宋" w:asciiTheme="majorEastAsia" w:hAnsiTheme="majorEastAsia" w:eastAsiaTheme="majorEastAsia"/>
          <w:b/>
          <w:sz w:val="36"/>
          <w:szCs w:val="36"/>
          <w:highlight w:val="none"/>
        </w:rPr>
        <w:br w:type="page"/>
      </w:r>
      <w:r>
        <w:rPr>
          <w:rFonts w:hint="eastAsia" w:ascii="宋体" w:hAnsi="宋体" w:eastAsia="宋体" w:cs="宋体"/>
          <w:b/>
          <w:sz w:val="36"/>
          <w:szCs w:val="36"/>
          <w:highlight w:val="none"/>
        </w:rPr>
        <w:t>拟签订的合同文本</w:t>
      </w:r>
    </w:p>
    <w:p w14:paraId="6E6AFCC0">
      <w:pPr>
        <w:pStyle w:val="12"/>
        <w:adjustRightInd w:val="0"/>
        <w:snapToGrid w:val="0"/>
        <w:spacing w:line="360" w:lineRule="auto"/>
        <w:ind w:firstLine="0" w:firstLineChars="0"/>
        <w:rPr>
          <w:rFonts w:hint="eastAsia" w:ascii="宋体" w:hAnsi="宋体" w:eastAsia="宋体" w:cs="宋体"/>
          <w:b/>
          <w:sz w:val="36"/>
          <w:szCs w:val="36"/>
          <w:highlight w:val="none"/>
        </w:rPr>
      </w:pPr>
    </w:p>
    <w:p w14:paraId="6A7E0966">
      <w:pPr>
        <w:spacing w:line="360" w:lineRule="auto"/>
        <w:rPr>
          <w:rFonts w:hint="eastAsia" w:ascii="宋体" w:hAnsi="宋体" w:eastAsia="宋体" w:cs="宋体"/>
          <w:b/>
          <w:sz w:val="36"/>
          <w:szCs w:val="36"/>
          <w:highlight w:val="none"/>
        </w:rPr>
      </w:pPr>
      <w:r>
        <w:rPr>
          <w:rFonts w:hint="eastAsia" w:ascii="宋体" w:hAnsi="宋体" w:eastAsia="宋体" w:cs="宋体"/>
          <w:sz w:val="24"/>
          <w:highlight w:val="none"/>
        </w:rPr>
        <w:t>（此合同仅供参考。以最终采购人与中标人签定的合同条款为准进行公示，最终签定合同的主要条款不能与招标文件冲突）</w:t>
      </w:r>
    </w:p>
    <w:p w14:paraId="57D30250">
      <w:pPr>
        <w:spacing w:line="360" w:lineRule="auto"/>
        <w:rPr>
          <w:rFonts w:hint="eastAsia" w:ascii="宋体" w:hAnsi="宋体" w:eastAsia="宋体" w:cs="宋体"/>
          <w:sz w:val="24"/>
          <w:highlight w:val="none"/>
          <w:u w:val="single"/>
        </w:rPr>
      </w:pPr>
      <w:r>
        <w:rPr>
          <w:rFonts w:hint="eastAsia" w:ascii="宋体" w:hAnsi="宋体" w:eastAsia="宋体" w:cs="宋体"/>
          <w:sz w:val="24"/>
          <w:highlight w:val="none"/>
        </w:rPr>
        <w:t>合同编号：</w:t>
      </w:r>
      <w:r>
        <w:rPr>
          <w:rFonts w:hint="eastAsia" w:ascii="宋体" w:hAnsi="宋体" w:eastAsia="宋体" w:cs="宋体"/>
          <w:sz w:val="24"/>
          <w:highlight w:val="none"/>
          <w:u w:val="single"/>
        </w:rPr>
        <w:t xml:space="preserve">           </w:t>
      </w:r>
    </w:p>
    <w:p w14:paraId="31173AE2">
      <w:pPr>
        <w:spacing w:line="360" w:lineRule="auto"/>
        <w:rPr>
          <w:rFonts w:hint="eastAsia" w:ascii="宋体" w:hAnsi="宋体" w:eastAsia="宋体" w:cs="宋体"/>
          <w:b/>
          <w:sz w:val="24"/>
          <w:highlight w:val="none"/>
        </w:rPr>
      </w:pPr>
    </w:p>
    <w:p w14:paraId="6F478DC2">
      <w:pPr>
        <w:spacing w:line="360" w:lineRule="auto"/>
        <w:jc w:val="center"/>
        <w:rPr>
          <w:rFonts w:hint="eastAsia" w:ascii="宋体" w:hAnsi="宋体" w:eastAsia="宋体" w:cs="宋体"/>
          <w:b/>
          <w:sz w:val="24"/>
          <w:highlight w:val="none"/>
        </w:rPr>
      </w:pPr>
    </w:p>
    <w:p w14:paraId="45EECBD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采购合同参考范本</w:t>
      </w:r>
    </w:p>
    <w:p w14:paraId="21A56334">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（货物类）</w:t>
      </w:r>
    </w:p>
    <w:p w14:paraId="3334A338">
      <w:pPr>
        <w:pStyle w:val="50"/>
        <w:ind w:left="0" w:leftChars="0" w:firstLine="0" w:firstLineChars="0"/>
        <w:rPr>
          <w:rFonts w:hint="eastAsia" w:ascii="宋体" w:hAnsi="宋体" w:eastAsia="宋体" w:cs="宋体"/>
          <w:szCs w:val="24"/>
          <w:highlight w:val="none"/>
        </w:rPr>
      </w:pPr>
    </w:p>
    <w:p w14:paraId="33E23C0C">
      <w:pPr>
        <w:spacing w:before="120" w:line="360" w:lineRule="auto"/>
        <w:rPr>
          <w:rFonts w:hint="eastAsia" w:ascii="宋体" w:hAnsi="宋体" w:eastAsia="宋体" w:cs="宋体"/>
          <w:sz w:val="24"/>
          <w:highlight w:val="none"/>
        </w:rPr>
      </w:pPr>
    </w:p>
    <w:p w14:paraId="2F1AC4A7">
      <w:pPr>
        <w:spacing w:before="120" w:line="360" w:lineRule="auto"/>
        <w:ind w:left="960" w:firstLine="720" w:firstLineChars="300"/>
        <w:rPr>
          <w:rFonts w:hint="eastAsia" w:ascii="宋体" w:hAnsi="宋体" w:eastAsia="宋体" w:cs="宋体"/>
          <w:sz w:val="24"/>
          <w:highlight w:val="none"/>
        </w:rPr>
      </w:pP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p>
    <w:p w14:paraId="5A418835">
      <w:pPr>
        <w:pStyle w:val="42"/>
        <w:spacing w:before="120"/>
        <w:rPr>
          <w:rFonts w:hint="eastAsia" w:ascii="宋体" w:hAnsi="宋体" w:eastAsia="宋体" w:cs="宋体"/>
          <w:szCs w:val="24"/>
          <w:highlight w:val="none"/>
        </w:rPr>
      </w:pPr>
    </w:p>
    <w:p w14:paraId="6A0BD49E">
      <w:pPr>
        <w:spacing w:line="360" w:lineRule="auto"/>
        <w:rPr>
          <w:rFonts w:hint="eastAsia" w:ascii="宋体" w:hAnsi="宋体" w:eastAsia="宋体" w:cs="宋体"/>
          <w:sz w:val="24"/>
          <w:highlight w:val="none"/>
        </w:rPr>
      </w:pPr>
    </w:p>
    <w:p w14:paraId="51B32AFC">
      <w:pPr>
        <w:spacing w:before="120" w:line="480" w:lineRule="auto"/>
        <w:ind w:left="960" w:firstLine="720" w:firstLineChars="300"/>
        <w:rPr>
          <w:rFonts w:hint="eastAsia" w:ascii="宋体" w:hAnsi="宋体" w:eastAsia="宋体" w:cs="宋体"/>
          <w:sz w:val="24"/>
          <w:highlight w:val="none"/>
        </w:rPr>
      </w:pPr>
      <w:r>
        <w:rPr>
          <w:rFonts w:hint="eastAsia" w:ascii="宋体" w:hAnsi="宋体" w:eastAsia="宋体" w:cs="宋体"/>
          <w:sz w:val="24"/>
          <w:highlight w:val="none"/>
        </w:rPr>
        <w:t>甲方：</w:t>
      </w:r>
      <w:r>
        <w:rPr>
          <w:rFonts w:hint="eastAsia" w:ascii="宋体" w:hAnsi="宋体" w:eastAsia="宋体" w:cs="宋体"/>
          <w:sz w:val="24"/>
          <w:highlight w:val="none"/>
          <w:u w:val="single"/>
        </w:rPr>
        <w:t xml:space="preserve">                                       </w:t>
      </w:r>
    </w:p>
    <w:p w14:paraId="08E3D0CC">
      <w:pPr>
        <w:spacing w:before="120" w:line="480" w:lineRule="auto"/>
        <w:ind w:left="960" w:firstLine="720" w:firstLineChars="300"/>
        <w:rPr>
          <w:rFonts w:hint="eastAsia"/>
          <w:highlight w:val="none"/>
        </w:rPr>
      </w:pPr>
      <w:r>
        <w:rPr>
          <w:rFonts w:hint="eastAsia" w:ascii="宋体" w:hAnsi="宋体" w:eastAsia="宋体" w:cs="宋体"/>
          <w:sz w:val="24"/>
          <w:highlight w:val="none"/>
        </w:rPr>
        <w:t>乙方：</w:t>
      </w:r>
      <w:r>
        <w:rPr>
          <w:rFonts w:hint="eastAsia" w:ascii="宋体" w:hAnsi="宋体" w:eastAsia="宋体" w:cs="宋体"/>
          <w:sz w:val="24"/>
          <w:highlight w:val="none"/>
          <w:u w:val="single"/>
        </w:rPr>
        <w:t xml:space="preserve">                                       </w:t>
      </w:r>
    </w:p>
    <w:p w14:paraId="40D545FE">
      <w:pPr>
        <w:spacing w:before="120" w:line="480" w:lineRule="auto"/>
        <w:ind w:firstLine="1680" w:firstLineChars="700"/>
        <w:rPr>
          <w:rFonts w:hint="eastAsia" w:ascii="宋体" w:hAnsi="宋体" w:eastAsia="宋体" w:cs="宋体"/>
          <w:sz w:val="24"/>
          <w:highlight w:val="none"/>
        </w:rPr>
      </w:pPr>
      <w:r>
        <w:rPr>
          <w:rFonts w:hint="eastAsia" w:ascii="宋体" w:hAnsi="宋体" w:eastAsia="宋体" w:cs="宋体"/>
          <w:sz w:val="24"/>
          <w:highlight w:val="none"/>
        </w:rPr>
        <w:t>签订地：</w:t>
      </w:r>
      <w:r>
        <w:rPr>
          <w:rFonts w:hint="eastAsia" w:ascii="宋体" w:hAnsi="宋体" w:eastAsia="宋体" w:cs="宋体"/>
          <w:sz w:val="24"/>
          <w:highlight w:val="none"/>
          <w:u w:val="single"/>
        </w:rPr>
        <w:t xml:space="preserve">                                     </w:t>
      </w:r>
    </w:p>
    <w:p w14:paraId="0B99648E">
      <w:pPr>
        <w:spacing w:before="120" w:line="480" w:lineRule="auto"/>
        <w:ind w:firstLine="1680" w:firstLineChars="700"/>
        <w:rPr>
          <w:rFonts w:hint="eastAsia" w:ascii="宋体" w:hAnsi="宋体" w:eastAsia="宋体" w:cs="宋体"/>
          <w:sz w:val="24"/>
          <w:highlight w:val="none"/>
          <w:lang w:val="zh-CN"/>
        </w:rPr>
      </w:pPr>
      <w:r>
        <w:rPr>
          <w:rFonts w:hint="eastAsia" w:ascii="宋体" w:hAnsi="宋体" w:eastAsia="宋体" w:cs="宋体"/>
          <w:sz w:val="24"/>
          <w:highlight w:val="none"/>
        </w:rPr>
        <w:t>签订日期：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lang w:val="zh-CN"/>
        </w:rPr>
        <w:br w:type="page"/>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年</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月</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lang w:val="zh-CN"/>
        </w:rPr>
        <w:t>日，</w:t>
      </w:r>
      <w:r>
        <w:rPr>
          <w:rFonts w:hint="eastAsia" w:ascii="宋体" w:hAnsi="宋体" w:eastAsia="宋体" w:cs="宋体"/>
          <w:sz w:val="24"/>
          <w:highlight w:val="none"/>
          <w:u w:val="single"/>
          <w:lang w:val="zh-CN"/>
        </w:rPr>
        <w:t xml:space="preserve">   （采购人）   </w:t>
      </w:r>
      <w:r>
        <w:rPr>
          <w:rFonts w:hint="eastAsia" w:ascii="宋体" w:hAnsi="宋体" w:eastAsia="宋体" w:cs="宋体"/>
          <w:sz w:val="24"/>
          <w:highlight w:val="none"/>
          <w:lang w:val="zh-CN"/>
        </w:rPr>
        <w:t>以</w:t>
      </w:r>
      <w:r>
        <w:rPr>
          <w:rFonts w:hint="eastAsia" w:ascii="宋体" w:hAnsi="宋体" w:eastAsia="宋体" w:cs="宋体"/>
          <w:sz w:val="24"/>
          <w:highlight w:val="none"/>
          <w:u w:val="single"/>
          <w:lang w:val="zh-CN"/>
        </w:rPr>
        <w:t xml:space="preserve">   （政府采购方式）  </w:t>
      </w:r>
      <w:r>
        <w:rPr>
          <w:rFonts w:hint="eastAsia" w:ascii="宋体" w:hAnsi="宋体" w:eastAsia="宋体" w:cs="宋体"/>
          <w:sz w:val="24"/>
          <w:highlight w:val="none"/>
          <w:lang w:val="zh-CN"/>
        </w:rPr>
        <w:t>对</w:t>
      </w:r>
      <w:r>
        <w:rPr>
          <w:rFonts w:hint="eastAsia" w:ascii="宋体" w:hAnsi="宋体" w:eastAsia="宋体" w:cs="宋体"/>
          <w:sz w:val="24"/>
          <w:highlight w:val="none"/>
          <w:u w:val="single"/>
          <w:lang w:val="zh-CN"/>
        </w:rPr>
        <w:t xml:space="preserve">   （同前页项目名称）   </w:t>
      </w:r>
      <w:r>
        <w:rPr>
          <w:rFonts w:hint="eastAsia" w:ascii="宋体" w:hAnsi="宋体" w:eastAsia="宋体" w:cs="宋体"/>
          <w:sz w:val="24"/>
          <w:highlight w:val="none"/>
          <w:lang w:val="zh-CN"/>
        </w:rPr>
        <w:t>项目进行了采购。经</w:t>
      </w:r>
      <w:r>
        <w:rPr>
          <w:rFonts w:hint="eastAsia" w:ascii="宋体" w:hAnsi="宋体" w:eastAsia="宋体" w:cs="宋体"/>
          <w:sz w:val="24"/>
          <w:highlight w:val="none"/>
          <w:u w:val="single"/>
          <w:lang w:val="zh-CN"/>
        </w:rPr>
        <w:t xml:space="preserve">   （相关评定主体名称）   </w:t>
      </w:r>
      <w:r>
        <w:rPr>
          <w:rFonts w:hint="eastAsia" w:ascii="宋体" w:hAnsi="宋体" w:eastAsia="宋体" w:cs="宋体"/>
          <w:sz w:val="24"/>
          <w:highlight w:val="none"/>
          <w:lang w:val="zh-CN"/>
        </w:rPr>
        <w:t>评定，</w:t>
      </w:r>
      <w:r>
        <w:rPr>
          <w:rFonts w:hint="eastAsia" w:ascii="宋体" w:hAnsi="宋体" w:eastAsia="宋体" w:cs="宋体"/>
          <w:sz w:val="24"/>
          <w:highlight w:val="none"/>
          <w:u w:val="single"/>
          <w:lang w:val="zh-CN"/>
        </w:rPr>
        <w:t xml:space="preserve">   （中标供应商名称）</w:t>
      </w:r>
      <w:r>
        <w:rPr>
          <w:rFonts w:hint="eastAsia" w:ascii="宋体" w:hAnsi="宋体" w:eastAsia="宋体" w:cs="宋体"/>
          <w:sz w:val="24"/>
          <w:highlight w:val="none"/>
          <w:lang w:val="zh-CN"/>
        </w:rPr>
        <w:t>为该项目中标供应商。现于中标通知书发出之日起</w:t>
      </w:r>
      <w:r>
        <w:rPr>
          <w:rFonts w:hint="eastAsia" w:ascii="宋体" w:hAnsi="宋体" w:cs="宋体"/>
          <w:sz w:val="24"/>
          <w:highlight w:val="none"/>
          <w:u w:val="single"/>
          <w:lang w:val="en-US" w:eastAsia="zh-CN"/>
        </w:rPr>
        <w:t xml:space="preserve">     </w:t>
      </w:r>
      <w:r>
        <w:rPr>
          <w:rFonts w:hint="eastAsia" w:ascii="宋体" w:hAnsi="宋体" w:eastAsia="宋体" w:cs="宋体"/>
          <w:sz w:val="24"/>
          <w:highlight w:val="none"/>
          <w:lang w:val="zh-CN"/>
        </w:rPr>
        <w:t>日内，按照采购文件确定的事项签订本合同。</w:t>
      </w:r>
    </w:p>
    <w:p w14:paraId="0ACE92A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lang w:val="zh-CN"/>
        </w:rPr>
        <w:t>根据《中华人民共和国民法典》、《中华人民共和国政府采购法》等相关法律法规之规定，按照平等、自愿、公平、诚实信用和绿色的原则，</w:t>
      </w:r>
      <w:r>
        <w:rPr>
          <w:rFonts w:hint="eastAsia" w:ascii="宋体" w:hAnsi="宋体" w:eastAsia="宋体" w:cs="宋体"/>
          <w:sz w:val="24"/>
          <w:highlight w:val="none"/>
          <w:u w:val="single"/>
        </w:rPr>
        <w:t xml:space="preserve">   （采购人）   </w:t>
      </w:r>
      <w:r>
        <w:rPr>
          <w:rFonts w:hint="eastAsia" w:ascii="宋体" w:hAnsi="宋体" w:eastAsia="宋体" w:cs="宋体"/>
          <w:sz w:val="24"/>
          <w:highlight w:val="none"/>
          <w:lang w:val="zh-CN"/>
        </w:rPr>
        <w:t>(以下简称：甲方)</w:t>
      </w:r>
      <w:r>
        <w:rPr>
          <w:rFonts w:hint="eastAsia" w:ascii="宋体" w:hAnsi="宋体" w:cs="宋体"/>
          <w:sz w:val="24"/>
          <w:highlight w:val="none"/>
          <w:lang w:val="en-US" w:eastAsia="zh-CN"/>
        </w:rPr>
        <w:t>同</w:t>
      </w:r>
      <w:r>
        <w:rPr>
          <w:rFonts w:hint="eastAsia" w:ascii="宋体" w:hAnsi="宋体" w:eastAsia="宋体" w:cs="宋体"/>
          <w:sz w:val="24"/>
          <w:highlight w:val="none"/>
          <w:u w:val="single"/>
        </w:rPr>
        <w:t xml:space="preserve">   （中标供应商名称）   </w:t>
      </w:r>
      <w:r>
        <w:rPr>
          <w:rFonts w:hint="eastAsia" w:ascii="宋体" w:hAnsi="宋体" w:eastAsia="宋体" w:cs="宋体"/>
          <w:sz w:val="24"/>
          <w:highlight w:val="none"/>
          <w:lang w:val="zh-CN"/>
        </w:rPr>
        <w:t>(以下简称：</w:t>
      </w:r>
      <w:r>
        <w:rPr>
          <w:rFonts w:hint="eastAsia" w:ascii="宋体" w:hAnsi="宋体" w:cs="宋体"/>
          <w:sz w:val="24"/>
          <w:highlight w:val="none"/>
          <w:lang w:val="en-US" w:eastAsia="zh-CN"/>
        </w:rPr>
        <w:t>乙</w:t>
      </w:r>
      <w:r>
        <w:rPr>
          <w:rFonts w:hint="eastAsia" w:ascii="宋体" w:hAnsi="宋体" w:eastAsia="宋体" w:cs="宋体"/>
          <w:sz w:val="24"/>
          <w:highlight w:val="none"/>
          <w:lang w:val="zh-CN"/>
        </w:rPr>
        <w:t>方)协商一致约定以下合同</w:t>
      </w:r>
      <w:r>
        <w:rPr>
          <w:rFonts w:hint="eastAsia" w:ascii="宋体" w:hAnsi="宋体" w:eastAsia="宋体" w:cs="宋体"/>
          <w:sz w:val="24"/>
          <w:highlight w:val="none"/>
        </w:rPr>
        <w:t>条款，以兹共同遵守、全面履行。</w:t>
      </w:r>
    </w:p>
    <w:p w14:paraId="78341822">
      <w:pPr>
        <w:adjustRightInd w:val="0"/>
        <w:spacing w:line="360" w:lineRule="auto"/>
        <w:ind w:firstLine="482" w:firstLineChars="200"/>
        <w:outlineLvl w:val="0"/>
        <w:rPr>
          <w:rFonts w:hint="eastAsia" w:ascii="宋体" w:hAnsi="宋体" w:eastAsia="宋体" w:cs="宋体"/>
          <w:b/>
          <w:sz w:val="24"/>
          <w:highlight w:val="none"/>
        </w:rPr>
      </w:pPr>
      <w:bookmarkStart w:id="419" w:name="_Toc3029"/>
      <w:bookmarkStart w:id="420" w:name="_Toc24059"/>
      <w:bookmarkStart w:id="421" w:name="_Toc2232"/>
      <w:r>
        <w:rPr>
          <w:rFonts w:hint="eastAsia" w:ascii="宋体" w:hAnsi="宋体" w:eastAsia="宋体" w:cs="宋体"/>
          <w:b/>
          <w:sz w:val="24"/>
          <w:highlight w:val="none"/>
        </w:rPr>
        <w:t>1 定义</w:t>
      </w:r>
    </w:p>
    <w:p w14:paraId="2E1F21B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本合同中的下列词语应按以下内容进行解释：</w:t>
      </w:r>
    </w:p>
    <w:p w14:paraId="21F825E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 “合同”系指采购人和中标供应商签订的载明双方当事人所达成的协议，并包括所有的附件、附录和构成合同的其他文件。</w:t>
      </w:r>
    </w:p>
    <w:p w14:paraId="6A9CDCB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 “合同价”系指根据合同约定，中标供应商在完全履行合同义务后，采购人应支付给中标供应商的价格。</w:t>
      </w:r>
    </w:p>
    <w:p w14:paraId="0E409FF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 “货物”系指中标供应商根据合同约定应向采购人交付的一切各种形态和种类的物品，包括原材料、燃料、设备、机械、仪表、备件、计算机软件、产品等，并包括工具、手册等其他相关资料。</w:t>
      </w:r>
    </w:p>
    <w:p w14:paraId="574DFDE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 “甲方”系指与中标供应商签署合同的采购人；采购人委托采购代理机构代表其与乙方签订合同的，采购人的授权委托书作为合同附件。</w:t>
      </w:r>
    </w:p>
    <w:p w14:paraId="4C8D549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w:t>
      </w:r>
      <w:r>
        <w:rPr>
          <w:rFonts w:hint="eastAsia" w:ascii="宋体" w:hAnsi="宋体" w:cs="宋体"/>
          <w:color w:val="auto"/>
          <w:sz w:val="24"/>
          <w:highlight w:val="none"/>
          <w:lang w:val="en-US" w:eastAsia="zh-CN"/>
        </w:rPr>
        <w:t>乙</w:t>
      </w:r>
      <w:r>
        <w:rPr>
          <w:rFonts w:hint="eastAsia" w:ascii="宋体" w:hAnsi="宋体" w:eastAsia="宋体" w:cs="宋体"/>
          <w:color w:val="auto"/>
          <w:sz w:val="24"/>
          <w:highlight w:val="none"/>
        </w:rPr>
        <w:t>方”系指根据合同约定交付货物的中标供应商；两个以上的自然人、法人或者其他组织组成一个联合体，以一个供应商的身份共同参加政府采购的，联合体各方均应为</w:t>
      </w:r>
      <w:r>
        <w:rPr>
          <w:rFonts w:hint="eastAsia" w:ascii="宋体" w:hAnsi="宋体" w:cs="宋体"/>
          <w:color w:val="auto"/>
          <w:sz w:val="24"/>
          <w:highlight w:val="none"/>
          <w:lang w:val="en-US" w:eastAsia="zh-CN"/>
        </w:rPr>
        <w:t>乙</w:t>
      </w:r>
      <w:r>
        <w:rPr>
          <w:rFonts w:hint="eastAsia" w:ascii="宋体" w:hAnsi="宋体" w:eastAsia="宋体" w:cs="宋体"/>
          <w:color w:val="auto"/>
          <w:sz w:val="24"/>
          <w:highlight w:val="none"/>
        </w:rPr>
        <w:t>方或者与</w:t>
      </w:r>
      <w:r>
        <w:rPr>
          <w:rFonts w:hint="eastAsia" w:ascii="宋体" w:hAnsi="宋体" w:cs="宋体"/>
          <w:color w:val="auto"/>
          <w:sz w:val="24"/>
          <w:highlight w:val="none"/>
          <w:lang w:val="en-US" w:eastAsia="zh-CN"/>
        </w:rPr>
        <w:t>乙</w:t>
      </w:r>
      <w:r>
        <w:rPr>
          <w:rFonts w:hint="eastAsia" w:ascii="宋体" w:hAnsi="宋体" w:eastAsia="宋体" w:cs="宋体"/>
          <w:color w:val="auto"/>
          <w:sz w:val="24"/>
          <w:highlight w:val="none"/>
        </w:rPr>
        <w:t>方相同地位的合同当事人，并就合同约定的事项对甲方承担连带责任。</w:t>
      </w:r>
    </w:p>
    <w:p w14:paraId="42DC3577">
      <w:pPr>
        <w:spacing w:line="360" w:lineRule="auto"/>
        <w:ind w:firstLine="480" w:firstLineChars="200"/>
        <w:rPr>
          <w:rFonts w:hint="eastAsia" w:ascii="宋体" w:hAnsi="宋体" w:eastAsia="宋体" w:cs="宋体"/>
          <w:b/>
          <w:sz w:val="24"/>
          <w:highlight w:val="none"/>
        </w:rPr>
      </w:pPr>
      <w:r>
        <w:rPr>
          <w:rFonts w:hint="eastAsia" w:ascii="宋体" w:hAnsi="宋体" w:cs="宋体"/>
          <w:color w:val="auto"/>
          <w:sz w:val="24"/>
          <w:highlight w:val="none"/>
          <w:lang w:val="en-US" w:eastAsia="zh-CN"/>
        </w:rPr>
        <w:t>1.6</w:t>
      </w:r>
      <w:r>
        <w:rPr>
          <w:rFonts w:hint="eastAsia" w:ascii="宋体" w:hAnsi="宋体" w:eastAsia="宋体" w:cs="宋体"/>
          <w:sz w:val="24"/>
          <w:highlight w:val="none"/>
        </w:rPr>
        <w:t>“现场”系指合同约定货物将要运至或者安装的地点。</w:t>
      </w:r>
    </w:p>
    <w:p w14:paraId="1F742974">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 合同组成部分</w:t>
      </w:r>
      <w:bookmarkEnd w:id="419"/>
      <w:bookmarkEnd w:id="420"/>
      <w:bookmarkEnd w:id="421"/>
    </w:p>
    <w:p w14:paraId="6CFDC76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B424D9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 本合同及其补充合同、变更协议；</w:t>
      </w:r>
    </w:p>
    <w:p w14:paraId="390E254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 中标通知书；</w:t>
      </w:r>
    </w:p>
    <w:p w14:paraId="07267CF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 投标文件（含澄清或者说明文件）；</w:t>
      </w:r>
    </w:p>
    <w:p w14:paraId="55ABE4A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 招标文件（含澄清或者修改文件）；</w:t>
      </w:r>
    </w:p>
    <w:p w14:paraId="68E321BD">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 其他相关采购文件。</w:t>
      </w:r>
    </w:p>
    <w:p w14:paraId="57FAC4C5">
      <w:pPr>
        <w:adjustRightInd w:val="0"/>
        <w:spacing w:line="360" w:lineRule="auto"/>
        <w:ind w:firstLine="482" w:firstLineChars="200"/>
        <w:outlineLvl w:val="0"/>
        <w:rPr>
          <w:rFonts w:hint="eastAsia" w:ascii="宋体" w:hAnsi="宋体" w:eastAsia="宋体" w:cs="宋体"/>
          <w:b/>
          <w:sz w:val="24"/>
          <w:highlight w:val="none"/>
        </w:rPr>
      </w:pPr>
      <w:bookmarkStart w:id="422" w:name="_Toc24300"/>
      <w:bookmarkStart w:id="423" w:name="_Toc21295"/>
      <w:bookmarkStart w:id="424" w:name="_Toc27126"/>
      <w:r>
        <w:rPr>
          <w:rFonts w:hint="eastAsia" w:ascii="宋体" w:hAnsi="宋体" w:eastAsia="宋体" w:cs="宋体"/>
          <w:b/>
          <w:sz w:val="24"/>
          <w:highlight w:val="none"/>
        </w:rPr>
        <w:t>3 货物</w:t>
      </w:r>
      <w:bookmarkEnd w:id="422"/>
      <w:bookmarkEnd w:id="423"/>
      <w:bookmarkEnd w:id="424"/>
    </w:p>
    <w:tbl>
      <w:tblPr>
        <w:tblStyle w:val="26"/>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620"/>
        <w:gridCol w:w="925"/>
        <w:gridCol w:w="1245"/>
        <w:gridCol w:w="3461"/>
        <w:gridCol w:w="1186"/>
      </w:tblGrid>
      <w:tr w14:paraId="1870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55A10578">
            <w:pPr>
              <w:pStyle w:val="4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14:paraId="0B36D42F">
            <w:pPr>
              <w:pStyle w:val="4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货物名称</w:t>
            </w:r>
          </w:p>
        </w:tc>
        <w:tc>
          <w:tcPr>
            <w:tcW w:w="925" w:type="dxa"/>
            <w:tcBorders>
              <w:top w:val="single" w:color="auto" w:sz="4" w:space="0"/>
              <w:left w:val="single" w:color="auto" w:sz="4" w:space="0"/>
              <w:bottom w:val="single" w:color="auto" w:sz="4" w:space="0"/>
              <w:right w:val="single" w:color="auto" w:sz="4" w:space="0"/>
            </w:tcBorders>
            <w:noWrap w:val="0"/>
            <w:vAlign w:val="center"/>
          </w:tcPr>
          <w:p w14:paraId="09584168">
            <w:pPr>
              <w:pStyle w:val="4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5FE228A">
            <w:pPr>
              <w:pStyle w:val="4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品牌名称</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4587F56A">
            <w:pPr>
              <w:pStyle w:val="46"/>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规格型号/技术要求/质量要求</w:t>
            </w:r>
          </w:p>
        </w:tc>
        <w:tc>
          <w:tcPr>
            <w:tcW w:w="1186" w:type="dxa"/>
            <w:tcBorders>
              <w:top w:val="single" w:color="auto" w:sz="4" w:space="0"/>
              <w:left w:val="single" w:color="auto" w:sz="4" w:space="0"/>
              <w:bottom w:val="single" w:color="auto" w:sz="4" w:space="0"/>
              <w:right w:val="single" w:color="auto" w:sz="4" w:space="0"/>
            </w:tcBorders>
            <w:noWrap w:val="0"/>
            <w:vAlign w:val="center"/>
          </w:tcPr>
          <w:p w14:paraId="59815AA1">
            <w:pPr>
              <w:pStyle w:val="46"/>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原产地</w:t>
            </w:r>
          </w:p>
        </w:tc>
      </w:tr>
      <w:tr w14:paraId="4F0A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3DE67278">
            <w:pPr>
              <w:pStyle w:val="46"/>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7EA5F17D">
            <w:pPr>
              <w:pStyle w:val="46"/>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3B90A76C">
            <w:pPr>
              <w:pStyle w:val="46"/>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3167970">
            <w:pPr>
              <w:pStyle w:val="46"/>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31C8FAD2">
            <w:pPr>
              <w:pStyle w:val="46"/>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4809162">
            <w:pPr>
              <w:pStyle w:val="46"/>
              <w:spacing w:line="360" w:lineRule="auto"/>
              <w:ind w:firstLine="200"/>
              <w:jc w:val="center"/>
              <w:rPr>
                <w:rFonts w:hint="eastAsia" w:ascii="宋体" w:hAnsi="宋体" w:eastAsia="宋体" w:cs="宋体"/>
                <w:sz w:val="24"/>
                <w:szCs w:val="24"/>
                <w:highlight w:val="none"/>
              </w:rPr>
            </w:pPr>
          </w:p>
        </w:tc>
      </w:tr>
      <w:tr w14:paraId="31D5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1BE91B37">
            <w:pPr>
              <w:pStyle w:val="46"/>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4EBB5584">
            <w:pPr>
              <w:pStyle w:val="46"/>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279BBBCF">
            <w:pPr>
              <w:pStyle w:val="46"/>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DD08A54">
            <w:pPr>
              <w:pStyle w:val="46"/>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69814516">
            <w:pPr>
              <w:pStyle w:val="46"/>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414A6726">
            <w:pPr>
              <w:pStyle w:val="46"/>
              <w:spacing w:line="360" w:lineRule="auto"/>
              <w:ind w:firstLine="200"/>
              <w:jc w:val="center"/>
              <w:rPr>
                <w:rFonts w:hint="eastAsia" w:ascii="宋体" w:hAnsi="宋体" w:eastAsia="宋体" w:cs="宋体"/>
                <w:sz w:val="24"/>
                <w:szCs w:val="24"/>
                <w:highlight w:val="none"/>
              </w:rPr>
            </w:pPr>
          </w:p>
        </w:tc>
      </w:tr>
      <w:tr w14:paraId="39933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67AA40CF">
            <w:pPr>
              <w:pStyle w:val="46"/>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35C0781E">
            <w:pPr>
              <w:pStyle w:val="46"/>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5E63427E">
            <w:pPr>
              <w:pStyle w:val="46"/>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2C9C8361">
            <w:pPr>
              <w:pStyle w:val="46"/>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3CB52226">
            <w:pPr>
              <w:pStyle w:val="46"/>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3E9E5F77">
            <w:pPr>
              <w:pStyle w:val="46"/>
              <w:spacing w:line="360" w:lineRule="auto"/>
              <w:ind w:firstLine="200"/>
              <w:jc w:val="center"/>
              <w:rPr>
                <w:rFonts w:hint="eastAsia" w:ascii="宋体" w:hAnsi="宋体" w:eastAsia="宋体" w:cs="宋体"/>
                <w:sz w:val="24"/>
                <w:szCs w:val="24"/>
                <w:highlight w:val="none"/>
              </w:rPr>
            </w:pPr>
          </w:p>
        </w:tc>
      </w:tr>
      <w:tr w14:paraId="0B172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74CD1AA5">
            <w:pPr>
              <w:pStyle w:val="46"/>
              <w:spacing w:line="360" w:lineRule="auto"/>
              <w:ind w:firstLine="200"/>
              <w:jc w:val="center"/>
              <w:rPr>
                <w:rFonts w:hint="eastAsia" w:ascii="宋体" w:hAnsi="宋体" w:eastAsia="宋体" w:cs="宋体"/>
                <w:sz w:val="24"/>
                <w:szCs w:val="24"/>
                <w:highlight w:val="none"/>
              </w:rPr>
            </w:pPr>
          </w:p>
        </w:tc>
        <w:tc>
          <w:tcPr>
            <w:tcW w:w="1620" w:type="dxa"/>
            <w:tcBorders>
              <w:top w:val="single" w:color="auto" w:sz="4" w:space="0"/>
              <w:left w:val="single" w:color="auto" w:sz="4" w:space="0"/>
              <w:bottom w:val="single" w:color="auto" w:sz="4" w:space="0"/>
              <w:right w:val="single" w:color="auto" w:sz="4" w:space="0"/>
            </w:tcBorders>
            <w:noWrap w:val="0"/>
            <w:vAlign w:val="center"/>
          </w:tcPr>
          <w:p w14:paraId="66A056DC">
            <w:pPr>
              <w:pStyle w:val="46"/>
              <w:spacing w:line="360" w:lineRule="auto"/>
              <w:ind w:firstLine="200"/>
              <w:jc w:val="center"/>
              <w:rPr>
                <w:rFonts w:hint="eastAsia" w:ascii="宋体" w:hAnsi="宋体" w:eastAsia="宋体" w:cs="宋体"/>
                <w:sz w:val="24"/>
                <w:szCs w:val="24"/>
                <w:highlight w:val="none"/>
              </w:rPr>
            </w:pPr>
          </w:p>
        </w:tc>
        <w:tc>
          <w:tcPr>
            <w:tcW w:w="925" w:type="dxa"/>
            <w:tcBorders>
              <w:top w:val="single" w:color="auto" w:sz="4" w:space="0"/>
              <w:left w:val="single" w:color="auto" w:sz="4" w:space="0"/>
              <w:bottom w:val="single" w:color="auto" w:sz="4" w:space="0"/>
              <w:right w:val="single" w:color="auto" w:sz="4" w:space="0"/>
            </w:tcBorders>
            <w:noWrap w:val="0"/>
            <w:vAlign w:val="center"/>
          </w:tcPr>
          <w:p w14:paraId="78DADFED">
            <w:pPr>
              <w:pStyle w:val="46"/>
              <w:spacing w:line="360" w:lineRule="auto"/>
              <w:ind w:firstLine="200"/>
              <w:jc w:val="center"/>
              <w:rPr>
                <w:rFonts w:hint="eastAsia" w:ascii="宋体" w:hAnsi="宋体" w:eastAsia="宋体" w:cs="宋体"/>
                <w:sz w:val="24"/>
                <w:szCs w:val="24"/>
                <w:highlight w:val="none"/>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3036891A">
            <w:pPr>
              <w:pStyle w:val="46"/>
              <w:spacing w:line="360" w:lineRule="auto"/>
              <w:ind w:firstLine="200"/>
              <w:jc w:val="center"/>
              <w:rPr>
                <w:rFonts w:hint="eastAsia" w:ascii="宋体" w:hAnsi="宋体" w:eastAsia="宋体" w:cs="宋体"/>
                <w:sz w:val="24"/>
                <w:szCs w:val="24"/>
                <w:highlight w:val="none"/>
              </w:rPr>
            </w:pPr>
          </w:p>
        </w:tc>
        <w:tc>
          <w:tcPr>
            <w:tcW w:w="3461" w:type="dxa"/>
            <w:tcBorders>
              <w:top w:val="single" w:color="auto" w:sz="4" w:space="0"/>
              <w:left w:val="single" w:color="auto" w:sz="4" w:space="0"/>
              <w:bottom w:val="single" w:color="auto" w:sz="4" w:space="0"/>
              <w:right w:val="single" w:color="auto" w:sz="4" w:space="0"/>
            </w:tcBorders>
            <w:noWrap w:val="0"/>
            <w:vAlign w:val="center"/>
          </w:tcPr>
          <w:p w14:paraId="342C9943">
            <w:pPr>
              <w:pStyle w:val="46"/>
              <w:spacing w:line="360" w:lineRule="auto"/>
              <w:ind w:firstLine="200"/>
              <w:jc w:val="center"/>
              <w:rPr>
                <w:rFonts w:hint="eastAsia" w:ascii="宋体" w:hAnsi="宋体" w:eastAsia="宋体" w:cs="宋体"/>
                <w:sz w:val="24"/>
                <w:szCs w:val="24"/>
                <w:highlight w:val="none"/>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14:paraId="7C7627E2">
            <w:pPr>
              <w:pStyle w:val="46"/>
              <w:spacing w:line="360" w:lineRule="auto"/>
              <w:ind w:firstLine="200"/>
              <w:jc w:val="center"/>
              <w:rPr>
                <w:rFonts w:hint="eastAsia" w:ascii="宋体" w:hAnsi="宋体" w:eastAsia="宋体" w:cs="宋体"/>
                <w:sz w:val="24"/>
                <w:szCs w:val="24"/>
                <w:highlight w:val="none"/>
              </w:rPr>
            </w:pPr>
          </w:p>
        </w:tc>
      </w:tr>
    </w:tbl>
    <w:p w14:paraId="454858F6">
      <w:pPr>
        <w:pStyle w:val="32"/>
        <w:ind w:firstLine="480"/>
        <w:rPr>
          <w:rFonts w:hint="eastAsia" w:ascii="宋体" w:hAnsi="宋体" w:eastAsia="宋体" w:cs="宋体"/>
          <w:sz w:val="24"/>
          <w:highlight w:val="none"/>
        </w:rPr>
      </w:pPr>
    </w:p>
    <w:p w14:paraId="461B4EF6">
      <w:pPr>
        <w:adjustRightInd w:val="0"/>
        <w:spacing w:line="360" w:lineRule="auto"/>
        <w:ind w:firstLine="482" w:firstLineChars="200"/>
        <w:outlineLvl w:val="0"/>
        <w:rPr>
          <w:rFonts w:hint="eastAsia" w:ascii="宋体" w:hAnsi="宋体" w:eastAsia="宋体" w:cs="宋体"/>
          <w:b/>
          <w:sz w:val="24"/>
          <w:highlight w:val="none"/>
        </w:rPr>
      </w:pPr>
      <w:bookmarkStart w:id="425" w:name="_Toc23292"/>
      <w:bookmarkStart w:id="426" w:name="_Toc21631"/>
      <w:bookmarkStart w:id="427" w:name="_Toc21551"/>
      <w:r>
        <w:rPr>
          <w:rFonts w:hint="eastAsia" w:ascii="宋体" w:hAnsi="宋体" w:eastAsia="宋体" w:cs="宋体"/>
          <w:b/>
          <w:sz w:val="24"/>
          <w:highlight w:val="none"/>
        </w:rPr>
        <w:t>4 价款</w:t>
      </w:r>
      <w:bookmarkEnd w:id="425"/>
      <w:bookmarkEnd w:id="426"/>
      <w:bookmarkEnd w:id="427"/>
    </w:p>
    <w:p w14:paraId="446BC74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w:t>
      </w:r>
      <w:r>
        <w:rPr>
          <w:rFonts w:hint="eastAsia" w:ascii="宋体" w:hAnsi="宋体" w:cs="宋体"/>
          <w:sz w:val="24"/>
          <w:highlight w:val="none"/>
          <w:lang w:val="en-US" w:eastAsia="zh-CN"/>
        </w:rPr>
        <w:t>含税</w:t>
      </w:r>
      <w:r>
        <w:rPr>
          <w:rFonts w:hint="eastAsia" w:ascii="宋体" w:hAnsi="宋体" w:eastAsia="宋体" w:cs="宋体"/>
          <w:sz w:val="24"/>
          <w:highlight w:val="none"/>
        </w:rPr>
        <w:t>总价为：￥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元人民币）。</w:t>
      </w:r>
    </w:p>
    <w:p w14:paraId="2325BFD0">
      <w:pPr>
        <w:spacing w:line="360" w:lineRule="auto"/>
        <w:ind w:firstLine="480" w:firstLineChars="200"/>
        <w:rPr>
          <w:rFonts w:hint="eastAsia" w:ascii="宋体" w:hAnsi="宋体" w:eastAsia="宋体" w:cs="宋体"/>
          <w:sz w:val="24"/>
          <w:highlight w:val="none"/>
        </w:rPr>
      </w:pPr>
      <w:bookmarkStart w:id="428" w:name="_Toc22618"/>
      <w:bookmarkStart w:id="429" w:name="_Toc10340"/>
      <w:bookmarkStart w:id="430" w:name="_Toc1814"/>
      <w:r>
        <w:rPr>
          <w:rFonts w:hint="eastAsia" w:ascii="宋体" w:hAnsi="宋体" w:eastAsia="宋体" w:cs="宋体"/>
          <w:sz w:val="24"/>
          <w:highlight w:val="none"/>
          <w:lang w:val="en-US" w:eastAsia="zh-CN"/>
        </w:rPr>
        <w:t>合同价格为完成本项目的所有费用，</w:t>
      </w:r>
      <w:r>
        <w:rPr>
          <w:rFonts w:hint="eastAsia" w:ascii="宋体" w:hAnsi="宋体" w:eastAsia="宋体" w:cs="宋体"/>
          <w:sz w:val="24"/>
          <w:highlight w:val="none"/>
        </w:rPr>
        <w:t>应包括货款、标准附件、备品备件、专用工具、包装、运输、装卸、保险、税金、水电费、开孔及修补费、总包配合费（投标总价的</w:t>
      </w:r>
      <w:r>
        <w:rPr>
          <w:rFonts w:hint="eastAsia" w:ascii="宋体" w:hAnsi="宋体" w:eastAsia="宋体" w:cs="宋体"/>
          <w:sz w:val="24"/>
          <w:highlight w:val="none"/>
          <w:lang w:val="en-US" w:eastAsia="zh-CN"/>
        </w:rPr>
        <w:t>2</w:t>
      </w:r>
      <w:r>
        <w:rPr>
          <w:rFonts w:hint="eastAsia" w:ascii="宋体" w:hAnsi="宋体" w:eastAsia="宋体" w:cs="宋体"/>
          <w:sz w:val="24"/>
          <w:highlight w:val="none"/>
        </w:rPr>
        <w:t>%）、货到就位以及保管、安装、调试、培训、保修</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中标服务费</w:t>
      </w:r>
      <w:r>
        <w:rPr>
          <w:rFonts w:hint="eastAsia" w:ascii="宋体" w:hAnsi="宋体" w:eastAsia="宋体" w:cs="宋体"/>
          <w:sz w:val="24"/>
          <w:highlight w:val="none"/>
        </w:rPr>
        <w:t>等一切税金和费用。（总包配合内容包括垂直运输、配合城建档案归档、场地内机械设备、货物堆放场地等。具体事宜中标单位需与总包单位协商确定。）</w:t>
      </w:r>
    </w:p>
    <w:p w14:paraId="340CCDFA">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5 付款</w:t>
      </w:r>
      <w:bookmarkEnd w:id="428"/>
      <w:bookmarkEnd w:id="429"/>
      <w:bookmarkEnd w:id="430"/>
      <w:r>
        <w:rPr>
          <w:rFonts w:hint="eastAsia" w:ascii="宋体" w:hAnsi="宋体" w:eastAsia="宋体" w:cs="宋体"/>
          <w:b/>
          <w:sz w:val="24"/>
          <w:highlight w:val="none"/>
        </w:rPr>
        <w:t>方式、时间和条件</w:t>
      </w:r>
    </w:p>
    <w:p w14:paraId="542E2E21">
      <w:pPr>
        <w:pStyle w:val="45"/>
        <w:spacing w:before="0" w:beforeAutospacing="0" w:after="0" w:afterAutospacing="0" w:line="360" w:lineRule="auto"/>
        <w:ind w:firstLine="480"/>
        <w:rPr>
          <w:rFonts w:hint="eastAsia" w:ascii="宋体" w:hAnsi="宋体" w:eastAsia="宋体" w:cs="宋体"/>
          <w:b/>
          <w:bCs/>
          <w:i/>
          <w:iCs/>
          <w:kern w:val="2"/>
          <w:highlight w:val="none"/>
          <w:u w:val="single"/>
        </w:rPr>
      </w:pPr>
      <w:bookmarkStart w:id="431" w:name="_Toc19304"/>
      <w:bookmarkStart w:id="432" w:name="_Toc32071"/>
      <w:bookmarkStart w:id="433" w:name="_Toc2846"/>
      <w:r>
        <w:rPr>
          <w:rFonts w:hint="eastAsia" w:ascii="宋体" w:hAnsi="宋体" w:eastAsia="宋体" w:cs="宋体"/>
          <w:kern w:val="2"/>
          <w:highlight w:val="none"/>
        </w:rPr>
        <w:t>5.1 资金支付的方式、时间和条件：</w:t>
      </w:r>
      <w:r>
        <w:rPr>
          <w:rFonts w:hint="eastAsia" w:ascii="宋体" w:hAnsi="宋体" w:eastAsia="宋体" w:cs="宋体"/>
          <w:b/>
          <w:bCs/>
          <w:i/>
          <w:iCs/>
          <w:kern w:val="2"/>
          <w:highlight w:val="none"/>
          <w:u w:val="single"/>
        </w:rPr>
        <w:t xml:space="preserve">                       </w:t>
      </w:r>
    </w:p>
    <w:p w14:paraId="76662855">
      <w:pPr>
        <w:pStyle w:val="45"/>
        <w:spacing w:before="0" w:beforeAutospacing="0" w:after="0" w:afterAutospacing="0" w:line="360" w:lineRule="auto"/>
        <w:ind w:firstLine="480"/>
        <w:rPr>
          <w:rFonts w:hint="eastAsia" w:ascii="宋体" w:hAnsi="宋体" w:eastAsia="宋体" w:cs="宋体"/>
          <w:kern w:val="2"/>
          <w:highlight w:val="none"/>
        </w:rPr>
      </w:pPr>
      <w:r>
        <w:rPr>
          <w:rFonts w:hint="eastAsia" w:ascii="宋体" w:hAnsi="宋体" w:eastAsia="宋体" w:cs="宋体"/>
          <w:kern w:val="2"/>
          <w:highlight w:val="none"/>
        </w:rPr>
        <w:t>5.</w:t>
      </w:r>
      <w:r>
        <w:rPr>
          <w:rFonts w:hint="eastAsia" w:cs="宋体"/>
          <w:kern w:val="2"/>
          <w:highlight w:val="none"/>
          <w:lang w:val="en-US" w:eastAsia="zh-CN"/>
        </w:rPr>
        <w:t>2</w:t>
      </w:r>
      <w:r>
        <w:rPr>
          <w:rFonts w:hint="eastAsia" w:ascii="宋体" w:hAnsi="宋体" w:eastAsia="宋体" w:cs="宋体"/>
          <w:kern w:val="2"/>
          <w:highlight w:val="none"/>
        </w:rPr>
        <w:t xml:space="preserve"> 收款账户：</w:t>
      </w:r>
    </w:p>
    <w:p w14:paraId="3891A9B9">
      <w:pPr>
        <w:autoSpaceDE w:val="0"/>
        <w:autoSpaceDN w:val="0"/>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5.2.1乙方收款账户</w:t>
      </w:r>
    </w:p>
    <w:p w14:paraId="41636BEC">
      <w:pPr>
        <w:autoSpaceDE w:val="0"/>
        <w:autoSpaceDN w:val="0"/>
        <w:spacing w:line="360" w:lineRule="auto"/>
        <w:ind w:left="1470" w:leftChars="700"/>
        <w:rPr>
          <w:rFonts w:hint="eastAsia" w:ascii="宋体" w:hAnsi="宋体" w:eastAsia="宋体" w:cs="宋体"/>
          <w:sz w:val="24"/>
          <w:highlight w:val="none"/>
        </w:rPr>
      </w:pPr>
      <w:r>
        <w:rPr>
          <w:rFonts w:hint="eastAsia" w:ascii="宋体" w:hAnsi="宋体" w:eastAsia="宋体" w:cs="宋体"/>
          <w:sz w:val="24"/>
          <w:highlight w:val="none"/>
        </w:rPr>
        <w:t>开户银行：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33AC18BF">
      <w:pPr>
        <w:autoSpaceDE w:val="0"/>
        <w:autoSpaceDN w:val="0"/>
        <w:spacing w:line="360" w:lineRule="auto"/>
        <w:ind w:left="1470" w:leftChars="700"/>
        <w:rPr>
          <w:rFonts w:hint="eastAsia" w:ascii="宋体" w:hAnsi="宋体" w:eastAsia="宋体" w:cs="宋体"/>
          <w:sz w:val="24"/>
          <w:highlight w:val="none"/>
        </w:rPr>
      </w:pPr>
      <w:r>
        <w:rPr>
          <w:rFonts w:hint="eastAsia" w:ascii="宋体" w:hAnsi="宋体" w:eastAsia="宋体" w:cs="宋体"/>
          <w:sz w:val="24"/>
          <w:highlight w:val="none"/>
        </w:rPr>
        <w:t>开户名称：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14:paraId="05ADDC0C">
      <w:pPr>
        <w:autoSpaceDE w:val="0"/>
        <w:autoSpaceDN w:val="0"/>
        <w:spacing w:line="360" w:lineRule="auto"/>
        <w:ind w:left="1470" w:leftChars="700"/>
        <w:rPr>
          <w:rFonts w:hint="eastAsia" w:ascii="宋体" w:hAnsi="宋体" w:eastAsia="宋体" w:cs="宋体"/>
          <w:sz w:val="24"/>
          <w:highlight w:val="none"/>
          <w:lang w:val="zh-CN"/>
        </w:rPr>
      </w:pPr>
      <w:r>
        <w:rPr>
          <w:rFonts w:hint="eastAsia" w:ascii="宋体" w:hAnsi="宋体" w:eastAsia="宋体" w:cs="宋体"/>
          <w:sz w:val="24"/>
          <w:highlight w:val="none"/>
        </w:rPr>
        <w:t>开户账号：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zh-CN"/>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lang w:val="zh-CN"/>
        </w:rPr>
        <w:t xml:space="preserve">      </w:t>
      </w:r>
    </w:p>
    <w:p w14:paraId="1837F648">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6 货物交付期限、地点和方式</w:t>
      </w:r>
      <w:bookmarkEnd w:id="431"/>
      <w:bookmarkEnd w:id="432"/>
      <w:bookmarkEnd w:id="433"/>
    </w:p>
    <w:p w14:paraId="44B7AC6C">
      <w:pPr>
        <w:adjustRightInd w:val="0"/>
        <w:spacing w:line="360" w:lineRule="auto"/>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6.1 交付期限：</w:t>
      </w:r>
      <w:r>
        <w:rPr>
          <w:rFonts w:hint="eastAsia" w:ascii="宋体" w:hAnsi="宋体" w:eastAsia="宋体" w:cs="宋体"/>
          <w:b/>
          <w:i/>
          <w:sz w:val="24"/>
          <w:highlight w:val="none"/>
          <w:u w:val="single"/>
        </w:rPr>
        <w:t xml:space="preserve">                   </w:t>
      </w:r>
    </w:p>
    <w:p w14:paraId="4938F231">
      <w:p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6.2 交付地点：</w:t>
      </w:r>
      <w:r>
        <w:rPr>
          <w:rFonts w:hint="eastAsia" w:ascii="宋体" w:hAnsi="宋体" w:eastAsia="宋体" w:cs="宋体"/>
          <w:b/>
          <w:i/>
          <w:sz w:val="24"/>
          <w:highlight w:val="none"/>
          <w:u w:val="single"/>
        </w:rPr>
        <w:t xml:space="preserve">                   </w:t>
      </w:r>
    </w:p>
    <w:p w14:paraId="52FDC2AE">
      <w:p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 交付方式：</w:t>
      </w:r>
      <w:r>
        <w:rPr>
          <w:rFonts w:hint="eastAsia" w:ascii="宋体" w:hAnsi="宋体" w:eastAsia="宋体" w:cs="宋体"/>
          <w:b/>
          <w:i/>
          <w:sz w:val="24"/>
          <w:highlight w:val="none"/>
          <w:u w:val="single"/>
        </w:rPr>
        <w:t xml:space="preserve">                   </w:t>
      </w:r>
    </w:p>
    <w:p w14:paraId="0B9ED4DE">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7 技术规范</w:t>
      </w:r>
    </w:p>
    <w:p w14:paraId="047432D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3C4FC4C5">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8 知识产权</w:t>
      </w:r>
    </w:p>
    <w:p w14:paraId="287E865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8.1 </w:t>
      </w:r>
      <w:r>
        <w:rPr>
          <w:rFonts w:hint="eastAsia" w:ascii="宋体" w:hAnsi="宋体" w:cs="宋体"/>
          <w:sz w:val="24"/>
          <w:highlight w:val="none"/>
          <w:lang w:val="en-US" w:eastAsia="zh-CN"/>
        </w:rPr>
        <w:t>乙</w:t>
      </w:r>
      <w:r>
        <w:rPr>
          <w:rFonts w:hint="eastAsia" w:ascii="宋体" w:hAnsi="宋体" w:eastAsia="宋体" w:cs="宋体"/>
          <w:sz w:val="24"/>
          <w:highlight w:val="none"/>
        </w:rPr>
        <w:t>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6D5950B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8.2具有知识产权的计算机软件等货物的知识产权归属，除合同另有规定外，归甲方所有。</w:t>
      </w:r>
    </w:p>
    <w:p w14:paraId="315CF7C3">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9 包装和装运</w:t>
      </w:r>
    </w:p>
    <w:p w14:paraId="111EDEF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9.1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284754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9.2乙方提供产品及相关快递服务的具体包装要求应符合《商品包装政府采购需求标准（试行）》《快递包装政府采购需求标准（试行）》，并作为履约验收的内容，必要时甲方可以要求乙方在履约验收环节出具检测报告。 </w:t>
      </w:r>
    </w:p>
    <w:p w14:paraId="1ADCA785">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10 履约保证金</w:t>
      </w:r>
    </w:p>
    <w:p w14:paraId="39B6F4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10.1 招标文件要求乙方提交履约保证金的，乙方应按</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方式（可以支票、汇票、本票或者银行保函等非现金形式），在合同签订并生效后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日内提交合同金额2.5%的履约保证金。</w:t>
      </w:r>
    </w:p>
    <w:p w14:paraId="3392382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10.2  履约保证金在</w:t>
      </w:r>
      <w:r>
        <w:rPr>
          <w:rFonts w:hint="eastAsia" w:ascii="宋体" w:hAnsi="宋体" w:eastAsia="宋体" w:cs="宋体"/>
          <w:b/>
          <w:i/>
          <w:sz w:val="24"/>
          <w:highlight w:val="none"/>
          <w:u w:val="single"/>
        </w:rPr>
        <w:t xml:space="preserve">              </w:t>
      </w:r>
      <w:r>
        <w:rPr>
          <w:rFonts w:hint="eastAsia" w:ascii="宋体" w:hAnsi="宋体" w:eastAsia="宋体" w:cs="宋体"/>
          <w:sz w:val="24"/>
          <w:highlight w:val="none"/>
        </w:rPr>
        <w:t>（合同规定的履约时间）内不予退还。乙方在前述约定期间届满前能履行完合同约定义务事项的，甲方在前述约定期间届满之日起</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日内，将履约保证金退还乙方。</w:t>
      </w:r>
    </w:p>
    <w:p w14:paraId="3DA698E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A88198C">
      <w:pPr>
        <w:adjustRightInd w:val="0"/>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11 履约检查和问题反馈</w:t>
      </w:r>
    </w:p>
    <w:p w14:paraId="2BC4082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11.1甲方有权在其认为必要时，对乙方是否能够按照合同约定交付货物进行履约检查，以确保乙方所交付的货物能够依约满足甲方之项目需求，但不得因履约检查妨碍乙方的正常工作，乙方应予积极配合；</w:t>
      </w:r>
    </w:p>
    <w:p w14:paraId="77DA40D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合同履行期间，甲方有权将履行过程中出现的问题反馈给乙方，双方当事人应以书面形式约定需要完善和改进的内容。</w:t>
      </w:r>
    </w:p>
    <w:p w14:paraId="25059FA1">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12 检验和验收</w:t>
      </w:r>
    </w:p>
    <w:p w14:paraId="598241CA">
      <w:pPr>
        <w:tabs>
          <w:tab w:val="left" w:pos="360"/>
          <w:tab w:val="left" w:pos="540"/>
          <w:tab w:val="left" w:pos="108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12.1货物交付前，乙方应对货物的质量、数量等方面进行详细、全面的检验，并向甲方出具证明货物符合合同约定的文件；货物交付时，乙方在交付后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个工作日内组织验收，并可依法邀请相关方参加，验收应出具验收书。</w:t>
      </w:r>
    </w:p>
    <w:p w14:paraId="11E11C61">
      <w:pPr>
        <w:tabs>
          <w:tab w:val="left" w:pos="360"/>
          <w:tab w:val="left" w:pos="540"/>
          <w:tab w:val="left" w:pos="1080"/>
        </w:tabs>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0CC9DFA8">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13 技术资料和保密义务</w:t>
      </w:r>
    </w:p>
    <w:p w14:paraId="677AC73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乙方有权依据合同约定和项目需要，向甲方了解有关情况，调阅有关资料等，甲方应予积极配合；</w:t>
      </w:r>
    </w:p>
    <w:p w14:paraId="56475CD3">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乙方有义务妥善保管和保护由甲方提供的前款信息和资料等；</w:t>
      </w:r>
    </w:p>
    <w:p w14:paraId="5B720A7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A61E9EA">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14 质量保证</w:t>
      </w:r>
    </w:p>
    <w:p w14:paraId="21CFA13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乙方应建立和完善履行合同的内部质量保证体系，并提供相关内部规章制度给甲方，以便甲方进行监督检查；</w:t>
      </w:r>
    </w:p>
    <w:p w14:paraId="137926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乙方应保证履行合同的人员数量和素质、软件和硬件设备的配置、场地、环境和设施等满足全面履行合同的要求，并应接受甲方的监督检查。</w:t>
      </w:r>
    </w:p>
    <w:p w14:paraId="74677E7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 通过验收并完成移交之日起24个月。</w:t>
      </w:r>
    </w:p>
    <w:p w14:paraId="01D7C626">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eastAsia="宋体" w:cs="宋体"/>
          <w:sz w:val="24"/>
          <w:highlight w:val="none"/>
        </w:rPr>
        <w:t>质保期内被免费更换的零部件质量保证：自更换之日起计24个月。</w:t>
      </w:r>
    </w:p>
    <w:p w14:paraId="7B00E3FE">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15 货物的风险负担</w:t>
      </w:r>
    </w:p>
    <w:p w14:paraId="1E078F8D">
      <w:pPr>
        <w:spacing w:line="360" w:lineRule="auto"/>
        <w:ind w:firstLine="480" w:firstLineChars="200"/>
        <w:rPr>
          <w:rFonts w:hint="eastAsia" w:ascii="宋体" w:hAnsi="宋体" w:eastAsia="宋体" w:cs="宋体"/>
          <w:b/>
          <w:sz w:val="24"/>
          <w:highlight w:val="none"/>
        </w:rPr>
      </w:pPr>
      <w:r>
        <w:rPr>
          <w:rFonts w:hint="eastAsia" w:ascii="宋体" w:hAnsi="宋体" w:eastAsia="宋体" w:cs="宋体"/>
          <w:sz w:val="24"/>
          <w:highlight w:val="none"/>
        </w:rPr>
        <w:t>货物在甲方未收货前出现的货物毁损、灭失的风险均由乙方承担。</w:t>
      </w:r>
    </w:p>
    <w:p w14:paraId="0D336505">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16 延迟交货</w:t>
      </w:r>
    </w:p>
    <w:p w14:paraId="2B96E567">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因本项目工期紧张，</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须严格按照合同约定时间完成供货及安装。若未按期完成，每逾期一日按人民币5万元标准计收违约金，累计不超过合同总价20%。违约金自逾期首日起自动生效从合同款项中直接扣除。因</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责任导致的延期，不因任何事由免除违约金责任，且</w:t>
      </w:r>
      <w:r>
        <w:rPr>
          <w:rFonts w:hint="eastAsia" w:ascii="宋体" w:hAnsi="宋体" w:cs="宋体"/>
          <w:sz w:val="24"/>
          <w:highlight w:val="none"/>
          <w:lang w:val="en-US" w:eastAsia="zh-CN"/>
        </w:rPr>
        <w:t>乙方</w:t>
      </w:r>
      <w:r>
        <w:rPr>
          <w:rFonts w:hint="eastAsia" w:ascii="宋体" w:hAnsi="宋体" w:eastAsia="宋体" w:cs="宋体"/>
          <w:sz w:val="24"/>
          <w:highlight w:val="none"/>
          <w:lang w:val="en-US" w:eastAsia="zh-CN"/>
        </w:rPr>
        <w:t>须承担由此产生的全部风险及损失。</w:t>
      </w:r>
    </w:p>
    <w:p w14:paraId="539E0F26">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17 合同变更</w:t>
      </w:r>
    </w:p>
    <w:p w14:paraId="43C9C6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合同继续履行将损害国家利益和社会公共利益的，双方当事人应当以书面形式变更合同。有过错的一方应当承担赔偿责任，双方当事人都有过错的，各自承担相应的责任。</w:t>
      </w:r>
    </w:p>
    <w:p w14:paraId="322A5C20">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18 合同转让和分包</w:t>
      </w:r>
    </w:p>
    <w:p w14:paraId="0CA9FDB9">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43F461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18.2乙方采取分包方式履行合同的，甲方可直接向分包供应商支付款项。</w:t>
      </w:r>
    </w:p>
    <w:p w14:paraId="3880584E">
      <w:pPr>
        <w:spacing w:line="360" w:lineRule="auto"/>
        <w:ind w:firstLine="482" w:firstLineChars="200"/>
        <w:outlineLvl w:val="0"/>
        <w:rPr>
          <w:rFonts w:hint="eastAsia" w:ascii="宋体" w:hAnsi="宋体" w:eastAsia="宋体" w:cs="宋体"/>
          <w:b/>
          <w:sz w:val="24"/>
          <w:highlight w:val="none"/>
        </w:rPr>
      </w:pPr>
      <w:bookmarkStart w:id="434" w:name="_Toc27250"/>
      <w:bookmarkStart w:id="435" w:name="_Toc19554"/>
      <w:bookmarkStart w:id="436" w:name="_Toc21423"/>
      <w:r>
        <w:rPr>
          <w:rFonts w:hint="eastAsia" w:ascii="宋体" w:hAnsi="宋体" w:eastAsia="宋体" w:cs="宋体"/>
          <w:b/>
          <w:sz w:val="24"/>
          <w:highlight w:val="none"/>
        </w:rPr>
        <w:t>19 违约责任</w:t>
      </w:r>
      <w:bookmarkEnd w:id="434"/>
      <w:bookmarkEnd w:id="435"/>
      <w:bookmarkEnd w:id="436"/>
    </w:p>
    <w:p w14:paraId="013EAC1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 除不可抗力外，如果乙方拒绝履行合同，或没有按照本合同约定的期限、地点和方式交付货物，那么甲方可要求乙方支付违约金，违约金按每日计合同总价的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%，最高限额为本合同总价的</w:t>
      </w:r>
      <w:r>
        <w:rPr>
          <w:rFonts w:hint="eastAsia" w:ascii="宋体" w:hAnsi="宋体" w:eastAsia="宋体" w:cs="宋体"/>
          <w:sz w:val="24"/>
          <w:highlight w:val="none"/>
          <w:u w:val="single"/>
        </w:rPr>
        <w:t xml:space="preserve"> 10  </w:t>
      </w:r>
      <w:r>
        <w:rPr>
          <w:rFonts w:hint="eastAsia" w:ascii="宋体" w:hAnsi="宋体" w:eastAsia="宋体" w:cs="宋体"/>
          <w:sz w:val="24"/>
          <w:highlight w:val="none"/>
        </w:rPr>
        <w:t>%；迟延交付货物的违约金计算数额达到前述最高限额之日起，甲方有权在要求乙方支付违约金的同时，书面通知乙方解除本合同；</w:t>
      </w:r>
    </w:p>
    <w:p w14:paraId="45150DA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除不可抗力外，如果甲方没有按照本合同约定的付款方式付款，那么乙方可要求甲方支付违约金，违约金按每迟延付款一日的应付而未付款的</w:t>
      </w:r>
      <w:r>
        <w:rPr>
          <w:rFonts w:hint="eastAsia" w:ascii="宋体" w:hAnsi="宋体" w:eastAsia="宋体" w:cs="宋体"/>
          <w:sz w:val="24"/>
          <w:highlight w:val="none"/>
          <w:u w:val="single"/>
        </w:rPr>
        <w:t xml:space="preserve">  0.05  </w:t>
      </w:r>
      <w:r>
        <w:rPr>
          <w:rFonts w:hint="eastAsia" w:ascii="宋体" w:hAnsi="宋体" w:eastAsia="宋体" w:cs="宋体"/>
          <w:sz w:val="24"/>
          <w:highlight w:val="none"/>
        </w:rPr>
        <w:t>%计算，最高限额为本合同总价的</w:t>
      </w:r>
      <w:r>
        <w:rPr>
          <w:rFonts w:hint="eastAsia" w:ascii="宋体" w:hAnsi="宋体" w:eastAsia="宋体" w:cs="宋体"/>
          <w:sz w:val="24"/>
          <w:highlight w:val="none"/>
          <w:u w:val="single"/>
        </w:rPr>
        <w:t xml:space="preserve">  10   </w:t>
      </w:r>
      <w:r>
        <w:rPr>
          <w:rFonts w:hint="eastAsia" w:ascii="宋体" w:hAnsi="宋体" w:eastAsia="宋体" w:cs="宋体"/>
          <w:sz w:val="24"/>
          <w:highlight w:val="none"/>
        </w:rPr>
        <w:t>%；迟延付款的违约金计算数额达到前述最高限额之日起，乙方有权在要求甲方支付违约金的同时，书面通知甲方解除本合同；</w:t>
      </w:r>
    </w:p>
    <w:p w14:paraId="06187BB5">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BF9308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1F2513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61A1F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19.6 如果出现政府采购监督管理部门在处理投诉事项期间，书面通知甲方暂停采购活动的情形，或者询问或质疑事项可能影响中标结果的，导致甲方中止履行合同的情形，均不视为甲方违约。</w:t>
      </w:r>
    </w:p>
    <w:p w14:paraId="2BC2931F">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20 不可抗力</w:t>
      </w:r>
    </w:p>
    <w:p w14:paraId="5F994D7E">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20.1如果任何一方遭遇法律规定的不可抗力，致使合同履行受阻时，履行合同的期限应予延长，延长的期限应相当于不可抗力所影响的时间；</w:t>
      </w:r>
    </w:p>
    <w:p w14:paraId="1E31BCB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20.2 因不可抗力致使不能实现合同目的的，当事人可以解除合同；</w:t>
      </w:r>
    </w:p>
    <w:p w14:paraId="6F016357">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20.3 因不可抗力致使合同有变更必要的，双方当事人应在不可抗力发生后</w:t>
      </w:r>
      <w:r>
        <w:rPr>
          <w:rFonts w:hint="eastAsia" w:ascii="宋体" w:hAnsi="宋体" w:eastAsia="宋体" w:cs="宋体"/>
          <w:sz w:val="24"/>
          <w:highlight w:val="none"/>
          <w:u w:val="single"/>
        </w:rPr>
        <w:t xml:space="preserve"> 10 </w:t>
      </w:r>
      <w:r>
        <w:rPr>
          <w:rFonts w:hint="eastAsia" w:ascii="宋体" w:hAnsi="宋体" w:eastAsia="宋体" w:cs="宋体"/>
          <w:sz w:val="24"/>
          <w:highlight w:val="none"/>
        </w:rPr>
        <w:t>日内以书面形式变更合同；</w:t>
      </w:r>
    </w:p>
    <w:p w14:paraId="07478C9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20.4受不可抗力影响的一方在不可抗力发生后，应在</w:t>
      </w:r>
      <w:r>
        <w:rPr>
          <w:rFonts w:hint="eastAsia" w:ascii="宋体" w:hAnsi="宋体" w:eastAsia="宋体" w:cs="宋体"/>
          <w:sz w:val="24"/>
          <w:highlight w:val="none"/>
          <w:u w:val="single"/>
        </w:rPr>
        <w:t xml:space="preserve">  5  </w:t>
      </w:r>
      <w:r>
        <w:rPr>
          <w:rFonts w:hint="eastAsia" w:ascii="宋体" w:hAnsi="宋体" w:eastAsia="宋体" w:cs="宋体"/>
          <w:sz w:val="24"/>
          <w:highlight w:val="none"/>
        </w:rPr>
        <w:t>日内以书面形式通知对方当事人，并在</w:t>
      </w:r>
      <w:r>
        <w:rPr>
          <w:rFonts w:hint="eastAsia" w:ascii="宋体" w:hAnsi="宋体" w:eastAsia="宋体" w:cs="宋体"/>
          <w:sz w:val="24"/>
          <w:highlight w:val="none"/>
          <w:u w:val="single"/>
        </w:rPr>
        <w:t xml:space="preserve">  15  </w:t>
      </w:r>
      <w:r>
        <w:rPr>
          <w:rFonts w:hint="eastAsia" w:ascii="宋体" w:hAnsi="宋体" w:eastAsia="宋体" w:cs="宋体"/>
          <w:sz w:val="24"/>
          <w:highlight w:val="none"/>
        </w:rPr>
        <w:t>日内，将有关部门出具的证明文件送达对方当事人。</w:t>
      </w:r>
    </w:p>
    <w:p w14:paraId="0DFA8C94">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21 税费</w:t>
      </w:r>
    </w:p>
    <w:p w14:paraId="04C9EA5A">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与合同有关的一切税费，均按照中华人民共和国法律的相关规定。</w:t>
      </w:r>
    </w:p>
    <w:p w14:paraId="73CD5F8A">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22 乙方破产</w:t>
      </w:r>
    </w:p>
    <w:p w14:paraId="457FBA4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F9E86FF">
      <w:pPr>
        <w:spacing w:line="360" w:lineRule="auto"/>
        <w:ind w:firstLine="482" w:firstLineChars="200"/>
        <w:outlineLvl w:val="0"/>
        <w:rPr>
          <w:rFonts w:hint="eastAsia" w:ascii="宋体" w:hAnsi="宋体" w:eastAsia="宋体" w:cs="宋体"/>
          <w:b/>
          <w:sz w:val="24"/>
          <w:highlight w:val="none"/>
        </w:rPr>
      </w:pPr>
      <w:bookmarkStart w:id="437" w:name="_Toc15583"/>
      <w:bookmarkStart w:id="438" w:name="_Toc28375"/>
      <w:bookmarkStart w:id="439" w:name="_Toc16021"/>
      <w:r>
        <w:rPr>
          <w:rFonts w:hint="eastAsia" w:ascii="宋体" w:hAnsi="宋体" w:eastAsia="宋体" w:cs="宋体"/>
          <w:b/>
          <w:sz w:val="24"/>
          <w:highlight w:val="none"/>
        </w:rPr>
        <w:t>23 合同争议的解决</w:t>
      </w:r>
      <w:bookmarkEnd w:id="437"/>
      <w:bookmarkEnd w:id="438"/>
      <w:bookmarkEnd w:id="439"/>
    </w:p>
    <w:p w14:paraId="541727A6">
      <w:pPr>
        <w:adjustRightIn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本合同履行过程中发生的任何争议，双方当事人均可通过和解或者调解解决；不愿和解、调解或者和解、调解不成的，可以向宁波市奉化区人民法院提起诉讼。</w:t>
      </w:r>
    </w:p>
    <w:p w14:paraId="558393F2">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24 合同中止、终止</w:t>
      </w:r>
    </w:p>
    <w:p w14:paraId="5DF6351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24.1 双方当事人不得擅自中止或者终止合同；</w:t>
      </w:r>
    </w:p>
    <w:p w14:paraId="2B90008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24.2合同继续履行将损害国家利益和社会公共利益的，双方当事人应当中止或者终止合同。有过错的一方应当承担赔偿责任，双方当事人都有过错的，各自承担相应的责任。</w:t>
      </w:r>
    </w:p>
    <w:p w14:paraId="3646E5BD">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25 通知和送达</w:t>
      </w:r>
    </w:p>
    <w:p w14:paraId="3C4F368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25.1任何一方因履行合同而以合同第一部分尾部所列明的传真或电子邮件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发出的所有通知、文件、材料，均视为已向对方当事人送达；任何一方变更上述送达方式或者地址的，应于</w:t>
      </w:r>
      <w:r>
        <w:rPr>
          <w:rFonts w:hint="eastAsia" w:ascii="宋体" w:hAnsi="宋体" w:eastAsia="宋体" w:cs="宋体"/>
          <w:sz w:val="24"/>
          <w:highlight w:val="none"/>
          <w:u w:val="single"/>
        </w:rPr>
        <w:t>3</w:t>
      </w:r>
      <w:r>
        <w:rPr>
          <w:rFonts w:hint="eastAsia" w:ascii="宋体" w:hAnsi="宋体" w:eastAsia="宋体" w:cs="宋体"/>
          <w:sz w:val="24"/>
          <w:highlight w:val="none"/>
        </w:rPr>
        <w:t>个工作日内书面通知对方当事人，在对方当事人收到有关变更通知之前，变更前的约定送达方式或者地址仍视为有效。</w:t>
      </w:r>
    </w:p>
    <w:p w14:paraId="29B6883C">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25.2以当面交付方式送达的，交付之时视为送达；以电子邮件方式送达的，发出电子邮件之时视为送达；以传真方式送达的，发出传真之时视为送达；以邮寄方式送达的，邮件挂号寄出或者交邮之日之次日视为送达。</w:t>
      </w:r>
    </w:p>
    <w:p w14:paraId="0B0E0CE8">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26 计量单位</w:t>
      </w:r>
    </w:p>
    <w:p w14:paraId="1D44AB4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除技术规范中另有规定外,合同的计量单位均使用国家法定计量单位。</w:t>
      </w:r>
    </w:p>
    <w:p w14:paraId="198CD349">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27合同使用的文字和适用的法律</w:t>
      </w:r>
    </w:p>
    <w:p w14:paraId="475AE52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27.1 合同使用汉语书就、变更和解释；</w:t>
      </w:r>
    </w:p>
    <w:p w14:paraId="2ACEDF96">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27.2 合同适用中华人民共和国法律。</w:t>
      </w:r>
    </w:p>
    <w:p w14:paraId="7AE46D64">
      <w:pPr>
        <w:spacing w:line="360" w:lineRule="auto"/>
        <w:ind w:firstLine="482" w:firstLineChars="200"/>
        <w:outlineLvl w:val="0"/>
        <w:rPr>
          <w:rFonts w:hint="eastAsia" w:ascii="宋体" w:hAnsi="宋体" w:eastAsia="宋体" w:cs="宋体"/>
          <w:b/>
          <w:sz w:val="24"/>
          <w:highlight w:val="none"/>
        </w:rPr>
      </w:pPr>
      <w:r>
        <w:rPr>
          <w:rFonts w:hint="eastAsia" w:ascii="宋体" w:hAnsi="宋体" w:eastAsia="宋体" w:cs="宋体"/>
          <w:b/>
          <w:sz w:val="24"/>
          <w:highlight w:val="none"/>
        </w:rPr>
        <w:t>28合同效力</w:t>
      </w:r>
    </w:p>
    <w:p w14:paraId="079A62D1">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本合同一式</w:t>
      </w:r>
      <w:r>
        <w:rPr>
          <w:rFonts w:hint="eastAsia" w:ascii="宋体" w:hAnsi="宋体" w:cs="宋体"/>
          <w:sz w:val="24"/>
          <w:highlight w:val="none"/>
          <w:lang w:val="en-US" w:eastAsia="zh-CN"/>
        </w:rPr>
        <w:t>六</w:t>
      </w:r>
      <w:r>
        <w:rPr>
          <w:rFonts w:hint="eastAsia" w:ascii="宋体" w:hAnsi="宋体" w:eastAsia="宋体" w:cs="宋体"/>
          <w:sz w:val="24"/>
          <w:highlight w:val="none"/>
        </w:rPr>
        <w:t>份，甲乙</w:t>
      </w:r>
      <w:r>
        <w:rPr>
          <w:rFonts w:hint="eastAsia" w:ascii="宋体" w:hAnsi="宋体" w:cs="宋体"/>
          <w:sz w:val="24"/>
          <w:highlight w:val="none"/>
          <w:lang w:val="en-US" w:eastAsia="zh-CN"/>
        </w:rPr>
        <w:t>双</w:t>
      </w:r>
      <w:r>
        <w:rPr>
          <w:rFonts w:hint="eastAsia" w:ascii="宋体" w:hAnsi="宋体" w:eastAsia="宋体" w:cs="宋体"/>
          <w:sz w:val="24"/>
          <w:highlight w:val="none"/>
        </w:rPr>
        <w:t>方各两份，每份均具有同等法律效力。本合同自</w:t>
      </w:r>
      <w:r>
        <w:rPr>
          <w:rFonts w:hint="eastAsia" w:ascii="宋体" w:hAnsi="宋体" w:cs="宋体"/>
          <w:sz w:val="24"/>
          <w:highlight w:val="none"/>
          <w:lang w:val="en-US" w:eastAsia="zh-CN"/>
        </w:rPr>
        <w:t>三</w:t>
      </w:r>
      <w:r>
        <w:rPr>
          <w:rFonts w:hint="eastAsia" w:ascii="宋体" w:hAnsi="宋体" w:eastAsia="宋体" w:cs="宋体"/>
          <w:sz w:val="24"/>
          <w:highlight w:val="none"/>
        </w:rPr>
        <w:t>方当事人盖章或者签字时生效。</w:t>
      </w:r>
    </w:p>
    <w:p w14:paraId="0F6282B5">
      <w:pPr>
        <w:pStyle w:val="32"/>
        <w:ind w:left="0" w:leftChars="0" w:firstLine="0" w:firstLineChars="0"/>
        <w:rPr>
          <w:rFonts w:hint="eastAsia" w:ascii="宋体" w:hAnsi="宋体" w:eastAsia="宋体" w:cs="宋体"/>
          <w:sz w:val="24"/>
          <w:highlight w:val="none"/>
          <w:lang w:val="zh-CN"/>
        </w:rPr>
      </w:pPr>
    </w:p>
    <w:p w14:paraId="25965FCF">
      <w:pPr>
        <w:pStyle w:val="32"/>
        <w:rPr>
          <w:rFonts w:hint="eastAsia" w:ascii="宋体" w:hAnsi="宋体" w:eastAsia="宋体" w:cs="宋体"/>
          <w:sz w:val="24"/>
          <w:highlight w:val="none"/>
          <w:lang w:val="zh-CN"/>
        </w:rPr>
      </w:pPr>
    </w:p>
    <w:p w14:paraId="79EE2819">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b/>
          <w:sz w:val="24"/>
          <w:highlight w:val="none"/>
          <w:lang w:val="zh-CN"/>
        </w:rPr>
        <w:t>甲方名称（公章）</w:t>
      </w:r>
      <w:r>
        <w:rPr>
          <w:rFonts w:hint="eastAsia" w:ascii="宋体" w:hAnsi="宋体" w:eastAsia="宋体" w:cs="宋体"/>
          <w:sz w:val="24"/>
          <w:highlight w:val="none"/>
          <w:lang w:val="zh-CN"/>
        </w:rPr>
        <w:t xml:space="preserve">：                       </w:t>
      </w:r>
      <w:r>
        <w:rPr>
          <w:rFonts w:hint="eastAsia" w:ascii="宋体" w:hAnsi="宋体" w:eastAsia="宋体" w:cs="宋体"/>
          <w:b/>
          <w:sz w:val="24"/>
          <w:highlight w:val="none"/>
          <w:lang w:val="zh-CN"/>
        </w:rPr>
        <w:t>乙方名称（公章）</w:t>
      </w:r>
      <w:r>
        <w:rPr>
          <w:rFonts w:hint="eastAsia" w:ascii="宋体" w:hAnsi="宋体" w:eastAsia="宋体" w:cs="宋体"/>
          <w:sz w:val="24"/>
          <w:highlight w:val="none"/>
          <w:lang w:val="zh-CN"/>
        </w:rPr>
        <w:t>：</w:t>
      </w:r>
    </w:p>
    <w:p w14:paraId="68DA3BDE">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统一社会信用代码：                       统一社会信用代码或身份证号码：</w:t>
      </w:r>
    </w:p>
    <w:p w14:paraId="2881FA11">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住所：                                   住所：</w:t>
      </w:r>
    </w:p>
    <w:p w14:paraId="01B2156F">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法定代表人或授权代表（签字）：       </w:t>
      </w:r>
      <w:r>
        <w:rPr>
          <w:rFonts w:hint="eastAsia" w:ascii="宋体" w:hAnsi="宋体" w:eastAsia="宋体" w:cs="宋体"/>
          <w:sz w:val="24"/>
          <w:highlight w:val="none"/>
        </w:rPr>
        <w:t xml:space="preserve">    </w:t>
      </w:r>
      <w:r>
        <w:rPr>
          <w:rFonts w:hint="eastAsia" w:ascii="宋体" w:hAnsi="宋体" w:eastAsia="宋体" w:cs="宋体"/>
          <w:sz w:val="24"/>
          <w:highlight w:val="none"/>
          <w:lang w:val="zh-CN"/>
        </w:rPr>
        <w:t xml:space="preserve"> 法定代表人或授权代表（签字）: </w:t>
      </w:r>
    </w:p>
    <w:p w14:paraId="2472E90C">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联系人：                                 联系人：</w:t>
      </w:r>
    </w:p>
    <w:p w14:paraId="696BA644">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约定送达地址：                           约定送达地址：</w:t>
      </w:r>
    </w:p>
    <w:p w14:paraId="30CCE50C">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邮政编码：                               邮政编码：</w:t>
      </w:r>
    </w:p>
    <w:p w14:paraId="5DC93862">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电话:                                    电话: </w:t>
      </w:r>
    </w:p>
    <w:p w14:paraId="1ED9048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传真:                                    传真:</w:t>
      </w:r>
    </w:p>
    <w:p w14:paraId="5C25ACE7">
      <w:pPr>
        <w:autoSpaceDE w:val="0"/>
        <w:autoSpaceDN w:val="0"/>
        <w:spacing w:line="360" w:lineRule="auto"/>
        <w:rPr>
          <w:rFonts w:hint="eastAsia" w:ascii="宋体" w:hAnsi="宋体" w:eastAsia="宋体" w:cs="宋体"/>
          <w:sz w:val="24"/>
          <w:highlight w:val="none"/>
          <w:lang w:val="zh-CN"/>
        </w:rPr>
      </w:pPr>
      <w:r>
        <w:rPr>
          <w:rFonts w:hint="eastAsia" w:ascii="宋体" w:hAnsi="宋体" w:eastAsia="宋体" w:cs="宋体"/>
          <w:sz w:val="24"/>
          <w:highlight w:val="none"/>
          <w:lang w:val="zh-CN"/>
        </w:rPr>
        <w:t xml:space="preserve">                              </w:t>
      </w:r>
    </w:p>
    <w:p w14:paraId="09DC97A3">
      <w:pPr>
        <w:rPr>
          <w:rFonts w:hint="eastAsia" w:ascii="宋体" w:hAnsi="宋体" w:eastAsia="宋体" w:cs="宋体"/>
          <w:sz w:val="24"/>
          <w:highlight w:val="none"/>
        </w:rPr>
      </w:pPr>
      <w:r>
        <w:rPr>
          <w:rFonts w:hint="eastAsia" w:ascii="宋体" w:hAnsi="宋体" w:eastAsia="宋体" w:cs="宋体"/>
          <w:sz w:val="24"/>
          <w:highlight w:val="none"/>
        </w:rPr>
        <w:br w:type="page"/>
      </w:r>
    </w:p>
    <w:p w14:paraId="19C8D49F">
      <w:pPr>
        <w:kinsoku/>
        <w:wordWrap/>
        <w:overflowPunct/>
        <w:topLinePunct w:val="0"/>
        <w:bidi w:val="0"/>
        <w:spacing w:line="360" w:lineRule="auto"/>
        <w:rPr>
          <w:rFonts w:hint="eastAsia" w:cs="仿宋" w:asciiTheme="majorEastAsia" w:hAnsiTheme="majorEastAsia" w:eastAsiaTheme="majorEastAsia"/>
          <w:b/>
          <w:sz w:val="36"/>
          <w:szCs w:val="20"/>
          <w:highlight w:val="none"/>
        </w:rPr>
      </w:pPr>
    </w:p>
    <w:p w14:paraId="7B764BC6">
      <w:pPr>
        <w:kinsoku/>
        <w:wordWrap/>
        <w:overflowPunct/>
        <w:topLinePunct w:val="0"/>
        <w:bidi w:val="0"/>
        <w:spacing w:line="360" w:lineRule="auto"/>
        <w:jc w:val="center"/>
        <w:rPr>
          <w:rFonts w:cs="仿宋" w:asciiTheme="majorEastAsia" w:hAnsiTheme="majorEastAsia" w:eastAsiaTheme="majorEastAsia"/>
          <w:b/>
          <w:sz w:val="36"/>
          <w:szCs w:val="20"/>
          <w:highlight w:val="none"/>
        </w:rPr>
      </w:pPr>
      <w:r>
        <w:rPr>
          <w:rFonts w:hint="eastAsia" w:cs="仿宋" w:asciiTheme="majorEastAsia" w:hAnsiTheme="majorEastAsia" w:eastAsiaTheme="majorEastAsia"/>
          <w:b/>
          <w:sz w:val="36"/>
          <w:szCs w:val="20"/>
          <w:highlight w:val="none"/>
        </w:rPr>
        <w:t xml:space="preserve">第六部分 </w:t>
      </w:r>
      <w:bookmarkEnd w:id="418"/>
      <w:r>
        <w:rPr>
          <w:rFonts w:hint="eastAsia" w:cs="仿宋" w:asciiTheme="majorEastAsia" w:hAnsiTheme="majorEastAsia" w:eastAsiaTheme="majorEastAsia"/>
          <w:b/>
          <w:sz w:val="36"/>
          <w:szCs w:val="20"/>
          <w:highlight w:val="none"/>
        </w:rPr>
        <w:t>应提交的有关格式范例</w:t>
      </w:r>
    </w:p>
    <w:p w14:paraId="16264824">
      <w:pPr>
        <w:kinsoku/>
        <w:wordWrap/>
        <w:overflowPunct/>
        <w:topLinePunct w:val="0"/>
        <w:bidi w:val="0"/>
        <w:spacing w:line="360" w:lineRule="auto"/>
        <w:jc w:val="center"/>
        <w:outlineLvl w:val="0"/>
        <w:rPr>
          <w:rFonts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资格文件部分</w:t>
      </w:r>
    </w:p>
    <w:p w14:paraId="30EC4FEF">
      <w:pPr>
        <w:kinsoku/>
        <w:wordWrap/>
        <w:overflowPunct/>
        <w:topLinePunct w:val="0"/>
        <w:bidi w:val="0"/>
        <w:spacing w:line="360" w:lineRule="auto"/>
        <w:jc w:val="center"/>
        <w:outlineLvl w:val="9"/>
        <w:rPr>
          <w:rFonts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目录</w:t>
      </w:r>
    </w:p>
    <w:p w14:paraId="4F2DC1CC">
      <w:pPr>
        <w:kinsoku/>
        <w:wordWrap/>
        <w:overflowPunct/>
        <w:topLinePunct w:val="0"/>
        <w:bidi w:val="0"/>
        <w:adjustRightInd w:val="0"/>
        <w:snapToGrid w:val="0"/>
        <w:spacing w:line="360" w:lineRule="auto"/>
        <w:ind w:left="420" w:leftChars="200" w:firstLine="560" w:firstLineChars="200"/>
        <w:rPr>
          <w:rFonts w:cs="仿宋" w:asciiTheme="majorEastAsia" w:hAnsiTheme="majorEastAsia" w:eastAsiaTheme="majorEastAsia"/>
          <w:sz w:val="28"/>
          <w:szCs w:val="28"/>
          <w:highlight w:val="none"/>
        </w:rPr>
      </w:pPr>
    </w:p>
    <w:p w14:paraId="6B8E59CB">
      <w:pPr>
        <w:kinsoku/>
        <w:wordWrap/>
        <w:overflowPunct/>
        <w:topLinePunct w:val="0"/>
        <w:bidi w:val="0"/>
        <w:adjustRightInd w:val="0"/>
        <w:snapToGrid w:val="0"/>
        <w:spacing w:line="360" w:lineRule="auto"/>
        <w:ind w:left="420" w:leftChars="200"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 有效的企业法人营业执照（或事业法人登记证）、其他组织（个体工商户）的营业执照或者民办非企业单位登记证书；</w:t>
      </w:r>
    </w:p>
    <w:p w14:paraId="1EE3DC98">
      <w:pPr>
        <w:kinsoku/>
        <w:wordWrap/>
        <w:overflowPunct/>
        <w:topLinePunct w:val="0"/>
        <w:bidi w:val="0"/>
        <w:adjustRightInd w:val="0"/>
        <w:snapToGrid w:val="0"/>
        <w:spacing w:line="360" w:lineRule="auto"/>
        <w:ind w:left="420" w:leftChars="200" w:firstLine="560" w:firstLineChars="200"/>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2 符合参加政府采购活动应当具备的一般条件的承诺函；</w:t>
      </w:r>
    </w:p>
    <w:p w14:paraId="3229CE56">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47AB431F">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本项目的特定资格要求（如有）。</w:t>
      </w:r>
    </w:p>
    <w:p w14:paraId="1C81990E">
      <w:pPr>
        <w:pStyle w:val="32"/>
        <w:kinsoku/>
        <w:wordWrap/>
        <w:overflowPunct/>
        <w:topLinePunct w:val="0"/>
        <w:bidi w:val="0"/>
        <w:spacing w:line="360" w:lineRule="auto"/>
        <w:ind w:firstLine="480"/>
        <w:rPr>
          <w:rFonts w:cs="仿宋" w:asciiTheme="majorEastAsia" w:hAnsiTheme="majorEastAsia" w:eastAsiaTheme="majorEastAsia"/>
          <w:sz w:val="24"/>
          <w:highlight w:val="none"/>
        </w:rPr>
      </w:pPr>
    </w:p>
    <w:p w14:paraId="1C57F246">
      <w:pPr>
        <w:kinsoku/>
        <w:wordWrap/>
        <w:overflowPunct/>
        <w:topLinePunct w:val="0"/>
        <w:bidi w:val="0"/>
        <w:spacing w:line="360" w:lineRule="auto"/>
        <w:rPr>
          <w:rFonts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br w:type="page"/>
      </w:r>
    </w:p>
    <w:p w14:paraId="652FAFD7">
      <w:pPr>
        <w:numPr>
          <w:ilvl w:val="0"/>
          <w:numId w:val="9"/>
        </w:numPr>
        <w:kinsoku/>
        <w:wordWrap/>
        <w:overflowPunct/>
        <w:topLinePunct w:val="0"/>
        <w:bidi w:val="0"/>
        <w:snapToGrid w:val="0"/>
        <w:spacing w:line="360" w:lineRule="auto"/>
        <w:ind w:right="480"/>
        <w:jc w:val="center"/>
        <w:rPr>
          <w:rFonts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t>符合参加政府采购活动应当具备的一般条件的承诺函</w:t>
      </w:r>
    </w:p>
    <w:p w14:paraId="1F3A4321">
      <w:pPr>
        <w:kinsoku/>
        <w:wordWrap/>
        <w:overflowPunct/>
        <w:topLinePunct w:val="0"/>
        <w:bidi w:val="0"/>
        <w:snapToGrid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（采购人）、（采购代理机构）：</w:t>
      </w:r>
    </w:p>
    <w:p w14:paraId="7C09FF1D">
      <w:pPr>
        <w:kinsoku/>
        <w:wordWrap/>
        <w:overflowPunct/>
        <w:topLinePunct w:val="0"/>
        <w:bidi w:val="0"/>
        <w:snapToGrid w:val="0"/>
        <w:spacing w:line="360" w:lineRule="auto"/>
        <w:ind w:firstLine="360" w:firstLineChars="150"/>
        <w:rPr>
          <w:rFonts w:hint="eastAsia" w:ascii="宋体" w:hAnsi="宋体" w:eastAsia="宋体" w:cs="宋体"/>
          <w:sz w:val="24"/>
          <w:highlight w:val="none"/>
        </w:rPr>
      </w:pPr>
      <w:r>
        <w:rPr>
          <w:rFonts w:hint="eastAsia" w:ascii="宋体" w:hAnsi="宋体" w:eastAsia="宋体" w:cs="宋体"/>
          <w:sz w:val="24"/>
          <w:highlight w:val="none"/>
        </w:rPr>
        <w:t>我方参与（项目名称）【项目编号：        】政府采购活动，郑重承诺：</w:t>
      </w:r>
    </w:p>
    <w:p w14:paraId="04667902">
      <w:pPr>
        <w:kinsoku/>
        <w:wordWrap/>
        <w:overflowPunct/>
        <w:topLinePunct w:val="0"/>
        <w:bidi w:val="0"/>
        <w:snapToGrid w:val="0"/>
        <w:spacing w:line="360" w:lineRule="auto"/>
        <w:ind w:firstLine="360" w:firstLineChars="15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（一）具备《中华人民共和国政府采购法》第二十二条第一款规定的条件：</w:t>
      </w:r>
    </w:p>
    <w:p w14:paraId="285EC6AD">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1、具有独立承担民事责任的能力；</w:t>
      </w:r>
    </w:p>
    <w:p w14:paraId="76C259D1">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2、具有良好的商业信誉和健全的财务会计制度； </w:t>
      </w:r>
    </w:p>
    <w:p w14:paraId="12417FB2">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3、具有履行合同所必需的设备和专业技术能力；</w:t>
      </w:r>
    </w:p>
    <w:p w14:paraId="7BD6DB45">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4、有依法缴纳税收和社会保障资金的良好记录；</w:t>
      </w:r>
    </w:p>
    <w:p w14:paraId="5B2E5A11">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5、参加政府采购活动前三年内，在经营活动中没有重大违法记录；</w:t>
      </w:r>
    </w:p>
    <w:p w14:paraId="26BAFC49">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6、具有法律、行政法规规定的其他条件。</w:t>
      </w:r>
    </w:p>
    <w:p w14:paraId="52381D1A">
      <w:pPr>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（二）未被信用中国（www.creditchina.gov.cn)、中国政府采购网（www.ccgp.gov.cn）列入失信被执行人、</w:t>
      </w:r>
      <w:r>
        <w:rPr>
          <w:rFonts w:hint="eastAsia" w:ascii="宋体" w:hAnsi="宋体" w:eastAsia="宋体" w:cs="宋体"/>
          <w:sz w:val="24"/>
          <w:highlight w:val="none"/>
          <w:lang w:eastAsia="zh-CN"/>
        </w:rPr>
        <w:t>重大税收违法失信主体</w:t>
      </w:r>
      <w:r>
        <w:rPr>
          <w:rFonts w:hint="eastAsia" w:ascii="宋体" w:hAnsi="宋体" w:eastAsia="宋体" w:cs="宋体"/>
          <w:sz w:val="24"/>
          <w:highlight w:val="none"/>
        </w:rPr>
        <w:t>、政府采购严重违法失信行为记录名单。</w:t>
      </w:r>
    </w:p>
    <w:p w14:paraId="0111BECD">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（三）不存在以下情况：</w:t>
      </w:r>
    </w:p>
    <w:p w14:paraId="21DDA7AA">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1、单位负责人为同一人或者存在直接控股、管理关系的不同供应商参加同一合同项下的政府采购活动的；</w:t>
      </w:r>
    </w:p>
    <w:p w14:paraId="35452C00">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2、为采购项目提供整体设计、规范编制或者项目管理、监理、检测等服务后再参加该采购项目的其他采购活动的。</w:t>
      </w:r>
    </w:p>
    <w:p w14:paraId="3C68A0B2">
      <w:pPr>
        <w:kinsoku/>
        <w:wordWrap/>
        <w:overflowPunct/>
        <w:topLinePunct w:val="0"/>
        <w:bidi w:val="0"/>
        <w:snapToGrid w:val="0"/>
        <w:spacing w:line="360" w:lineRule="auto"/>
        <w:ind w:firstLine="5520" w:firstLineChars="2300"/>
        <w:rPr>
          <w:rFonts w:cs="仿宋" w:asciiTheme="majorEastAsia" w:hAnsiTheme="majorEastAsia" w:eastAsiaTheme="majorEastAsia"/>
          <w:kern w:val="0"/>
          <w:sz w:val="24"/>
          <w:highlight w:val="none"/>
          <w:lang w:val="zh-CN"/>
        </w:rPr>
      </w:pPr>
    </w:p>
    <w:p w14:paraId="77EAE728">
      <w:pPr>
        <w:pStyle w:val="33"/>
        <w:rPr>
          <w:rFonts w:cs="仿宋" w:asciiTheme="majorEastAsia" w:hAnsiTheme="majorEastAsia" w:eastAsiaTheme="majorEastAsia"/>
          <w:kern w:val="0"/>
          <w:sz w:val="24"/>
          <w:highlight w:val="none"/>
          <w:lang w:val="zh-CN"/>
        </w:rPr>
      </w:pPr>
    </w:p>
    <w:p w14:paraId="2416267C">
      <w:pPr>
        <w:rPr>
          <w:rFonts w:cs="仿宋" w:asciiTheme="majorEastAsia" w:hAnsiTheme="majorEastAsia" w:eastAsiaTheme="majorEastAsia"/>
          <w:kern w:val="0"/>
          <w:sz w:val="24"/>
          <w:highlight w:val="none"/>
          <w:lang w:val="zh-CN"/>
        </w:rPr>
      </w:pPr>
    </w:p>
    <w:p w14:paraId="1DEE8D42">
      <w:pPr>
        <w:pStyle w:val="33"/>
        <w:rPr>
          <w:highlight w:val="none"/>
          <w:lang w:val="zh-CN"/>
        </w:rPr>
      </w:pPr>
    </w:p>
    <w:p w14:paraId="1F63F17E">
      <w:pPr>
        <w:kinsoku/>
        <w:wordWrap/>
        <w:overflowPunct/>
        <w:topLinePunct w:val="0"/>
        <w:bidi w:val="0"/>
        <w:adjustRightInd w:val="0"/>
        <w:snapToGrid w:val="0"/>
        <w:spacing w:line="360" w:lineRule="auto"/>
        <w:ind w:firstLine="2880" w:firstLineChars="1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法定代表人或其授权委托人（签名或印章）：</w:t>
      </w:r>
    </w:p>
    <w:p w14:paraId="17308408">
      <w:pPr>
        <w:kinsoku/>
        <w:wordWrap/>
        <w:overflowPunct/>
        <w:topLinePunct w:val="0"/>
        <w:bidi w:val="0"/>
        <w:adjustRightInd w:val="0"/>
        <w:snapToGrid w:val="0"/>
        <w:spacing w:line="360" w:lineRule="auto"/>
        <w:ind w:firstLine="4080" w:firstLineChars="17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投标人（盖章）：</w:t>
      </w:r>
    </w:p>
    <w:p w14:paraId="791C9BC7">
      <w:pPr>
        <w:kinsoku/>
        <w:wordWrap/>
        <w:overflowPunct/>
        <w:topLinePunct w:val="0"/>
        <w:bidi w:val="0"/>
        <w:adjustRightInd w:val="0"/>
        <w:snapToGrid w:val="0"/>
        <w:spacing w:line="360" w:lineRule="auto"/>
        <w:rPr>
          <w:rFonts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w:t>
      </w:r>
    </w:p>
    <w:p w14:paraId="61A0682F">
      <w:pPr>
        <w:pStyle w:val="9"/>
        <w:kinsoku/>
        <w:wordWrap/>
        <w:overflowPunct/>
        <w:topLinePunct w:val="0"/>
        <w:bidi w:val="0"/>
        <w:spacing w:line="360" w:lineRule="auto"/>
        <w:rPr>
          <w:rFonts w:hAnsi="宋体" w:cs="宋体"/>
          <w:highlight w:val="none"/>
        </w:rPr>
      </w:pPr>
    </w:p>
    <w:p w14:paraId="21EB27D7">
      <w:pPr>
        <w:pStyle w:val="23"/>
        <w:kinsoku/>
        <w:wordWrap/>
        <w:overflowPunct/>
        <w:topLinePunct w:val="0"/>
        <w:bidi w:val="0"/>
        <w:spacing w:line="360" w:lineRule="auto"/>
        <w:ind w:left="420"/>
        <w:rPr>
          <w:rFonts w:ascii="宋体" w:hAnsi="宋体" w:cs="宋体"/>
          <w:highlight w:val="none"/>
        </w:rPr>
      </w:pPr>
    </w:p>
    <w:p w14:paraId="5A0F7168">
      <w:pPr>
        <w:kinsoku/>
        <w:wordWrap/>
        <w:overflowPunct/>
        <w:topLinePunct w:val="0"/>
        <w:bidi w:val="0"/>
        <w:spacing w:line="360" w:lineRule="auto"/>
        <w:jc w:val="center"/>
        <w:rPr>
          <w:rFonts w:asciiTheme="minorEastAsia" w:hAnsiTheme="minorEastAsia" w:eastAsiaTheme="minorEastAsia" w:cstheme="minorEastAsia"/>
          <w:b/>
          <w:color w:val="auto"/>
          <w:kern w:val="0"/>
          <w:sz w:val="32"/>
          <w:szCs w:val="32"/>
          <w:highlight w:val="none"/>
        </w:rPr>
      </w:pPr>
      <w:r>
        <w:rPr>
          <w:rFonts w:hint="eastAsia" w:cs="仿宋" w:asciiTheme="majorEastAsia" w:hAnsiTheme="majorEastAsia" w:eastAsiaTheme="majorEastAsia"/>
          <w:b/>
          <w:kern w:val="0"/>
          <w:sz w:val="36"/>
          <w:szCs w:val="36"/>
          <w:highlight w:val="none"/>
        </w:rPr>
        <w:br w:type="page"/>
      </w: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6B4B3523">
      <w:pPr>
        <w:shd w:val="clear" w:color="auto" w:fill="auto"/>
        <w:spacing w:line="360" w:lineRule="auto"/>
        <w:rPr>
          <w:rFonts w:ascii="宋体" w:hAnsi="宋体" w:eastAsia="宋体" w:cs="仿宋"/>
          <w:color w:val="auto"/>
          <w:sz w:val="24"/>
          <w:highlight w:val="none"/>
        </w:rPr>
      </w:pPr>
      <w:r>
        <w:rPr>
          <w:rFonts w:hint="eastAsia" w:ascii="宋体" w:hAnsi="宋体" w:eastAsia="宋体" w:cs="仿宋"/>
          <w:color w:val="auto"/>
          <w:sz w:val="24"/>
          <w:highlight w:val="none"/>
        </w:rPr>
        <w:t>（根据招标公告落实政府采购政策需满足的资格要求选择提供相应的材料；未要求的，无需提供）</w:t>
      </w:r>
    </w:p>
    <w:p w14:paraId="20C61940">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7BE42B4A">
      <w:pPr>
        <w:widowControl/>
        <w:spacing w:line="360" w:lineRule="auto"/>
        <w:ind w:firstLine="480"/>
        <w:jc w:val="left"/>
        <w:rPr>
          <w:rFonts w:hint="eastAsia" w:ascii="宋体" w:hAnsi="宋体" w:eastAsia="宋体" w:cs="宋体"/>
          <w:sz w:val="24"/>
          <w:highlight w:val="none"/>
        </w:rPr>
      </w:pPr>
    </w:p>
    <w:p w14:paraId="38E85BD3">
      <w:pPr>
        <w:widowControl/>
        <w:spacing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B.</w:t>
      </w:r>
      <w:r>
        <w:rPr>
          <w:rFonts w:hint="eastAsia" w:ascii="宋体" w:hAnsi="宋体" w:eastAsia="宋体" w:cs="宋体"/>
          <w:sz w:val="24"/>
          <w:highlight w:val="none"/>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57565D76">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4A173EDB">
      <w:pPr>
        <w:shd w:val="clear" w:color="auto" w:fill="auto"/>
        <w:spacing w:line="360" w:lineRule="auto"/>
        <w:jc w:val="center"/>
        <w:rPr>
          <w:rFonts w:ascii="宋体" w:hAnsi="宋体" w:eastAsia="宋体" w:cs="仿宋"/>
          <w:color w:val="auto"/>
          <w:sz w:val="24"/>
          <w:highlight w:val="none"/>
        </w:rPr>
      </w:pPr>
      <w:r>
        <w:rPr>
          <w:rFonts w:hint="eastAsia" w:ascii="宋体" w:hAnsi="宋体" w:eastAsia="宋体" w:cs="仿宋"/>
          <w:color w:val="auto"/>
          <w:sz w:val="24"/>
          <w:highlight w:val="none"/>
        </w:rPr>
        <w:t>（根据招标公告本项目的特定资格要求提供相应的材料；未要求的，无需提供）</w:t>
      </w:r>
    </w:p>
    <w:p w14:paraId="5EAD96C1">
      <w:pPr>
        <w:rPr>
          <w:rFonts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br w:type="page"/>
      </w:r>
    </w:p>
    <w:p w14:paraId="71AB559F">
      <w:pPr>
        <w:pStyle w:val="34"/>
        <w:rPr>
          <w:highlight w:val="none"/>
        </w:rPr>
      </w:pPr>
    </w:p>
    <w:p w14:paraId="0E36CAA4">
      <w:pPr>
        <w:kinsoku/>
        <w:wordWrap/>
        <w:overflowPunct/>
        <w:topLinePunct w:val="0"/>
        <w:bidi w:val="0"/>
        <w:spacing w:line="360" w:lineRule="auto"/>
        <w:ind w:right="420"/>
        <w:jc w:val="center"/>
        <w:rPr>
          <w:rFonts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商务技术文件部分</w:t>
      </w:r>
    </w:p>
    <w:p w14:paraId="1873DBD8">
      <w:pPr>
        <w:kinsoku/>
        <w:wordWrap/>
        <w:overflowPunct/>
        <w:topLinePunct w:val="0"/>
        <w:bidi w:val="0"/>
        <w:spacing w:line="360" w:lineRule="auto"/>
        <w:outlineLvl w:val="9"/>
        <w:rPr>
          <w:rFonts w:hint="eastAsia" w:cs="仿宋" w:asciiTheme="majorEastAsia" w:hAnsiTheme="majorEastAsia" w:eastAsiaTheme="majorEastAsia"/>
          <w:b/>
          <w:kern w:val="0"/>
          <w:sz w:val="28"/>
          <w:szCs w:val="28"/>
          <w:highlight w:val="none"/>
        </w:rPr>
      </w:pPr>
    </w:p>
    <w:p w14:paraId="20373571">
      <w:pPr>
        <w:kinsoku/>
        <w:wordWrap/>
        <w:overflowPunct/>
        <w:topLinePunct w:val="0"/>
        <w:bidi w:val="0"/>
        <w:spacing w:line="360" w:lineRule="auto"/>
        <w:jc w:val="center"/>
        <w:outlineLvl w:val="9"/>
        <w:rPr>
          <w:rFonts w:cs="仿宋" w:asciiTheme="majorEastAsia" w:hAnsiTheme="majorEastAsia" w:eastAsiaTheme="majorEastAsia"/>
          <w:b/>
          <w:kern w:val="0"/>
          <w:sz w:val="28"/>
          <w:szCs w:val="28"/>
          <w:highlight w:val="none"/>
        </w:rPr>
      </w:pPr>
      <w:r>
        <w:rPr>
          <w:rFonts w:hint="eastAsia" w:cs="仿宋" w:asciiTheme="majorEastAsia" w:hAnsiTheme="majorEastAsia" w:eastAsiaTheme="majorEastAsia"/>
          <w:b/>
          <w:kern w:val="0"/>
          <w:sz w:val="28"/>
          <w:szCs w:val="28"/>
          <w:highlight w:val="none"/>
        </w:rPr>
        <w:t>目</w:t>
      </w:r>
      <w:r>
        <w:rPr>
          <w:rFonts w:hint="eastAsia" w:cs="仿宋" w:asciiTheme="majorEastAsia" w:hAnsiTheme="majorEastAsia" w:eastAsiaTheme="majorEastAsia"/>
          <w:b/>
          <w:kern w:val="0"/>
          <w:sz w:val="28"/>
          <w:szCs w:val="28"/>
          <w:highlight w:val="none"/>
          <w:lang w:val="en-US" w:eastAsia="zh-CN"/>
        </w:rPr>
        <w:t xml:space="preserve"> </w:t>
      </w:r>
      <w:r>
        <w:rPr>
          <w:rFonts w:hint="eastAsia" w:cs="仿宋" w:asciiTheme="majorEastAsia" w:hAnsiTheme="majorEastAsia" w:eastAsiaTheme="majorEastAsia"/>
          <w:b/>
          <w:kern w:val="0"/>
          <w:sz w:val="28"/>
          <w:szCs w:val="28"/>
          <w:highlight w:val="none"/>
        </w:rPr>
        <w:t xml:space="preserve"> 录</w:t>
      </w:r>
    </w:p>
    <w:p w14:paraId="0297D05A">
      <w:pPr>
        <w:kinsoku/>
        <w:wordWrap/>
        <w:overflowPunct/>
        <w:topLinePunct w:val="0"/>
        <w:bidi w:val="0"/>
        <w:snapToGrid w:val="0"/>
        <w:spacing w:line="360" w:lineRule="auto"/>
        <w:ind w:firstLine="960" w:firstLineChars="400"/>
        <w:rPr>
          <w:rFonts w:cs="仿宋" w:asciiTheme="majorEastAsia" w:hAnsiTheme="majorEastAsia" w:eastAsiaTheme="majorEastAsia"/>
          <w:sz w:val="24"/>
          <w:highlight w:val="none"/>
        </w:rPr>
      </w:pPr>
    </w:p>
    <w:p w14:paraId="3833AA1B">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1 评分索引表</w:t>
      </w:r>
    </w:p>
    <w:p w14:paraId="2F4FDB8A">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2 符合性自查表；</w:t>
      </w:r>
    </w:p>
    <w:p w14:paraId="5555CFBB">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3 投标函；</w:t>
      </w:r>
      <w:r>
        <w:rPr>
          <w:rFonts w:hint="eastAsia" w:cs="仿宋" w:asciiTheme="majorEastAsia" w:hAnsiTheme="majorEastAsia" w:eastAsiaTheme="majorEastAsia"/>
          <w:sz w:val="28"/>
          <w:szCs w:val="28"/>
          <w:highlight w:val="none"/>
          <w:lang w:val="zh-CN"/>
        </w:rPr>
        <w:t xml:space="preserve"> </w:t>
      </w:r>
    </w:p>
    <w:p w14:paraId="3E149145">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 xml:space="preserve">4 </w:t>
      </w:r>
      <w:r>
        <w:rPr>
          <w:rFonts w:hint="eastAsia" w:cs="仿宋" w:asciiTheme="majorEastAsia" w:hAnsiTheme="majorEastAsia" w:eastAsiaTheme="majorEastAsia"/>
          <w:sz w:val="28"/>
          <w:szCs w:val="28"/>
          <w:highlight w:val="none"/>
          <w:lang w:val="zh-CN"/>
        </w:rPr>
        <w:t>授权委托书或法定代表人（单位负责人）身份证明</w:t>
      </w:r>
      <w:r>
        <w:rPr>
          <w:rFonts w:hint="eastAsia" w:cs="仿宋" w:asciiTheme="majorEastAsia" w:hAnsiTheme="majorEastAsia" w:eastAsiaTheme="majorEastAsia"/>
          <w:sz w:val="28"/>
          <w:szCs w:val="28"/>
          <w:highlight w:val="none"/>
        </w:rPr>
        <w:t>；</w:t>
      </w:r>
    </w:p>
    <w:p w14:paraId="73F6C89E">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 xml:space="preserve">5 </w:t>
      </w:r>
      <w:r>
        <w:rPr>
          <w:rFonts w:hint="eastAsia" w:cs="仿宋" w:asciiTheme="majorEastAsia" w:hAnsiTheme="majorEastAsia" w:eastAsiaTheme="majorEastAsia"/>
          <w:sz w:val="28"/>
          <w:szCs w:val="28"/>
          <w:highlight w:val="none"/>
          <w:lang w:val="zh-CN"/>
        </w:rPr>
        <w:t>投标人基本情况表</w:t>
      </w:r>
      <w:r>
        <w:rPr>
          <w:rFonts w:hint="eastAsia" w:cs="仿宋" w:asciiTheme="majorEastAsia" w:hAnsiTheme="majorEastAsia" w:eastAsiaTheme="majorEastAsia"/>
          <w:sz w:val="28"/>
          <w:szCs w:val="28"/>
          <w:highlight w:val="none"/>
        </w:rPr>
        <w:t>；</w:t>
      </w:r>
    </w:p>
    <w:p w14:paraId="561C2858">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6 距采购人最近或者能为本项目提供最优服务的网点情况表；</w:t>
      </w:r>
    </w:p>
    <w:p w14:paraId="1119E287">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7 评标标准相应的商务技术资料；</w:t>
      </w:r>
    </w:p>
    <w:p w14:paraId="2951CFEB">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8 商务</w:t>
      </w:r>
      <w:r>
        <w:rPr>
          <w:rFonts w:hint="eastAsia" w:cs="仿宋" w:asciiTheme="majorEastAsia" w:hAnsiTheme="majorEastAsia" w:eastAsiaTheme="majorEastAsia"/>
          <w:sz w:val="28"/>
          <w:szCs w:val="28"/>
          <w:highlight w:val="none"/>
          <w:lang w:val="en-US" w:eastAsia="zh-CN"/>
        </w:rPr>
        <w:t>响应</w:t>
      </w:r>
      <w:r>
        <w:rPr>
          <w:rFonts w:hint="eastAsia" w:cs="仿宋" w:asciiTheme="majorEastAsia" w:hAnsiTheme="majorEastAsia" w:eastAsiaTheme="majorEastAsia"/>
          <w:sz w:val="28"/>
          <w:szCs w:val="28"/>
          <w:highlight w:val="none"/>
        </w:rPr>
        <w:t>表；</w:t>
      </w:r>
    </w:p>
    <w:p w14:paraId="0DF318D7">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9 技术</w:t>
      </w:r>
      <w:r>
        <w:rPr>
          <w:rFonts w:hint="eastAsia" w:cs="仿宋" w:asciiTheme="majorEastAsia" w:hAnsiTheme="majorEastAsia" w:eastAsiaTheme="majorEastAsia"/>
          <w:sz w:val="28"/>
          <w:szCs w:val="28"/>
          <w:highlight w:val="none"/>
          <w:lang w:val="en-US" w:eastAsia="zh-CN"/>
        </w:rPr>
        <w:t>响应</w:t>
      </w:r>
      <w:r>
        <w:rPr>
          <w:rFonts w:hint="eastAsia" w:cs="仿宋" w:asciiTheme="majorEastAsia" w:hAnsiTheme="majorEastAsia" w:eastAsiaTheme="majorEastAsia"/>
          <w:sz w:val="28"/>
          <w:szCs w:val="28"/>
          <w:highlight w:val="none"/>
        </w:rPr>
        <w:t>表；</w:t>
      </w:r>
    </w:p>
    <w:p w14:paraId="26C18659">
      <w:pPr>
        <w:kinsoku/>
        <w:wordWrap/>
        <w:overflowPunct/>
        <w:topLinePunct w:val="0"/>
        <w:bidi w:val="0"/>
        <w:adjustRightInd w:val="0"/>
        <w:snapToGrid w:val="0"/>
        <w:spacing w:line="360" w:lineRule="auto"/>
        <w:ind w:left="0" w:leftChars="0" w:firstLine="638" w:firstLineChars="228"/>
        <w:rPr>
          <w:rFonts w:hint="eastAsia" w:cs="仿宋" w:asciiTheme="majorEastAsia" w:hAnsiTheme="majorEastAsia" w:eastAsiaTheme="majorEastAsia"/>
          <w:sz w:val="28"/>
          <w:szCs w:val="28"/>
          <w:highlight w:val="none"/>
          <w:lang w:eastAsia="zh-CN"/>
        </w:rPr>
      </w:pPr>
      <w:r>
        <w:rPr>
          <w:rFonts w:hint="eastAsia" w:cs="仿宋" w:asciiTheme="majorEastAsia" w:hAnsiTheme="majorEastAsia" w:eastAsiaTheme="majorEastAsia"/>
          <w:sz w:val="28"/>
          <w:szCs w:val="28"/>
          <w:highlight w:val="none"/>
        </w:rPr>
        <w:t>10项目实施人员一览表</w:t>
      </w:r>
      <w:r>
        <w:rPr>
          <w:rFonts w:hint="eastAsia" w:cs="仿宋" w:asciiTheme="majorEastAsia" w:hAnsiTheme="majorEastAsia" w:eastAsiaTheme="majorEastAsia"/>
          <w:sz w:val="28"/>
          <w:szCs w:val="28"/>
          <w:highlight w:val="none"/>
          <w:lang w:eastAsia="zh-CN"/>
        </w:rPr>
        <w:t>；</w:t>
      </w:r>
    </w:p>
    <w:p w14:paraId="4C764A7D">
      <w:pPr>
        <w:kinsoku/>
        <w:wordWrap/>
        <w:overflowPunct/>
        <w:topLinePunct w:val="0"/>
        <w:bidi w:val="0"/>
        <w:adjustRightInd w:val="0"/>
        <w:snapToGrid w:val="0"/>
        <w:spacing w:line="360" w:lineRule="auto"/>
        <w:ind w:left="0" w:leftChars="0" w:firstLine="638" w:firstLineChars="228"/>
        <w:rPr>
          <w:rFonts w:hint="eastAsia" w:cs="仿宋" w:asciiTheme="majorEastAsia" w:hAnsiTheme="majorEastAsia" w:eastAsiaTheme="majorEastAsia"/>
          <w:sz w:val="28"/>
          <w:szCs w:val="28"/>
          <w:highlight w:val="none"/>
        </w:rPr>
      </w:pPr>
      <w:r>
        <w:rPr>
          <w:rFonts w:hint="eastAsia" w:cs="仿宋" w:asciiTheme="majorEastAsia" w:hAnsiTheme="majorEastAsia" w:eastAsiaTheme="majorEastAsia"/>
          <w:sz w:val="28"/>
          <w:szCs w:val="28"/>
          <w:highlight w:val="none"/>
        </w:rPr>
        <w:t xml:space="preserve">11 </w:t>
      </w:r>
      <w:r>
        <w:rPr>
          <w:rFonts w:hint="eastAsia" w:cs="仿宋" w:asciiTheme="majorEastAsia" w:hAnsiTheme="majorEastAsia" w:eastAsiaTheme="majorEastAsia"/>
          <w:sz w:val="28"/>
          <w:szCs w:val="28"/>
          <w:highlight w:val="none"/>
          <w:lang w:val="zh-CN"/>
        </w:rPr>
        <w:t>政府采购供应商廉洁自律承诺书；</w:t>
      </w:r>
    </w:p>
    <w:p w14:paraId="5EF0C47E">
      <w:pPr>
        <w:kinsoku/>
        <w:wordWrap/>
        <w:overflowPunct/>
        <w:topLinePunct w:val="0"/>
        <w:bidi w:val="0"/>
        <w:adjustRightInd w:val="0"/>
        <w:snapToGrid w:val="0"/>
        <w:spacing w:line="360" w:lineRule="auto"/>
        <w:ind w:left="0" w:leftChars="0" w:firstLine="638" w:firstLineChars="228"/>
        <w:rPr>
          <w:rFonts w:cs="仿宋" w:asciiTheme="majorEastAsia" w:hAnsiTheme="majorEastAsia" w:eastAsiaTheme="majorEastAsia"/>
          <w:sz w:val="28"/>
          <w:szCs w:val="28"/>
          <w:highlight w:val="none"/>
          <w:lang w:val="zh-CN"/>
        </w:rPr>
      </w:pPr>
      <w:r>
        <w:rPr>
          <w:rFonts w:hint="eastAsia" w:cs="仿宋" w:asciiTheme="majorEastAsia" w:hAnsiTheme="majorEastAsia" w:eastAsiaTheme="majorEastAsia"/>
          <w:sz w:val="28"/>
          <w:szCs w:val="28"/>
          <w:highlight w:val="none"/>
          <w:lang w:val="en-US" w:eastAsia="zh-CN"/>
        </w:rPr>
        <w:t xml:space="preserve">12 </w:t>
      </w:r>
      <w:r>
        <w:rPr>
          <w:rFonts w:hint="eastAsia" w:cs="仿宋" w:asciiTheme="majorEastAsia" w:hAnsiTheme="majorEastAsia" w:eastAsiaTheme="majorEastAsia"/>
          <w:sz w:val="28"/>
          <w:szCs w:val="28"/>
          <w:highlight w:val="none"/>
        </w:rPr>
        <w:t>其他资料。</w:t>
      </w:r>
    </w:p>
    <w:p w14:paraId="403E1173">
      <w:pPr>
        <w:pageBreakBefore/>
        <w:numPr>
          <w:ilvl w:val="0"/>
          <w:numId w:val="10"/>
        </w:numPr>
        <w:kinsoku/>
        <w:wordWrap/>
        <w:overflowPunct/>
        <w:topLinePunct w:val="0"/>
        <w:bidi w:val="0"/>
        <w:snapToGrid w:val="0"/>
        <w:spacing w:line="360" w:lineRule="auto"/>
        <w:jc w:val="center"/>
        <w:outlineLvl w:val="0"/>
        <w:rPr>
          <w:rFonts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t>评分索引表</w:t>
      </w:r>
    </w:p>
    <w:p w14:paraId="3C8AF09A">
      <w:pPr>
        <w:kinsoku/>
        <w:wordWrap/>
        <w:overflowPunct/>
        <w:topLinePunct w:val="0"/>
        <w:bidi w:val="0"/>
        <w:snapToGrid w:val="0"/>
        <w:spacing w:before="50" w:after="50" w:line="360" w:lineRule="auto"/>
        <w:rPr>
          <w:rFonts w:ascii="宋体" w:hAnsi="宋体"/>
          <w:b/>
          <w:sz w:val="24"/>
          <w:highlight w:val="none"/>
        </w:rPr>
      </w:pPr>
    </w:p>
    <w:p w14:paraId="104ECF2B">
      <w:pPr>
        <w:kinsoku/>
        <w:wordWrap/>
        <w:overflowPunct/>
        <w:topLinePunct w:val="0"/>
        <w:bidi w:val="0"/>
        <w:snapToGrid w:val="0"/>
        <w:spacing w:before="50" w:after="50" w:line="360" w:lineRule="auto"/>
        <w:rPr>
          <w:rFonts w:ascii="宋体" w:hAnsi="宋体"/>
          <w:b/>
          <w:sz w:val="24"/>
          <w:highlight w:val="none"/>
          <w:u w:val="single"/>
        </w:rPr>
      </w:pPr>
      <w:r>
        <w:rPr>
          <w:rFonts w:hint="eastAsia" w:ascii="宋体" w:hAnsi="宋体"/>
          <w:b/>
          <w:sz w:val="24"/>
          <w:highlight w:val="none"/>
        </w:rPr>
        <w:t>投标单位名称：</w:t>
      </w:r>
    </w:p>
    <w:tbl>
      <w:tblPr>
        <w:tblStyle w:val="26"/>
        <w:tblW w:w="87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5819"/>
        <w:gridCol w:w="1627"/>
      </w:tblGrid>
      <w:tr w14:paraId="31B20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0CB2E7E8">
            <w:pPr>
              <w:pStyle w:val="22"/>
              <w:kinsoku/>
              <w:wordWrap/>
              <w:overflowPunct/>
              <w:topLinePunct w:val="0"/>
              <w:bidi w:val="0"/>
              <w:spacing w:after="0" w:line="360" w:lineRule="auto"/>
              <w:ind w:left="0" w:leftChars="0" w:firstLine="0" w:firstLineChars="0"/>
              <w:jc w:val="center"/>
              <w:rPr>
                <w:rFonts w:ascii="宋体"/>
                <w:b/>
                <w:bCs/>
                <w:sz w:val="24"/>
                <w:szCs w:val="24"/>
                <w:highlight w:val="none"/>
              </w:rPr>
            </w:pPr>
            <w:r>
              <w:rPr>
                <w:rFonts w:hint="eastAsia" w:ascii="宋体"/>
                <w:b/>
                <w:bCs/>
                <w:sz w:val="24"/>
                <w:szCs w:val="24"/>
                <w:highlight w:val="none"/>
              </w:rPr>
              <w:t>序号</w:t>
            </w:r>
          </w:p>
        </w:tc>
        <w:tc>
          <w:tcPr>
            <w:tcW w:w="5819" w:type="dxa"/>
            <w:tcBorders>
              <w:top w:val="single" w:color="auto" w:sz="4" w:space="0"/>
              <w:left w:val="single" w:color="auto" w:sz="4" w:space="0"/>
              <w:bottom w:val="single" w:color="auto" w:sz="4" w:space="0"/>
              <w:right w:val="single" w:color="auto" w:sz="4" w:space="0"/>
            </w:tcBorders>
            <w:vAlign w:val="center"/>
          </w:tcPr>
          <w:p w14:paraId="710C4699">
            <w:pPr>
              <w:pStyle w:val="22"/>
              <w:kinsoku/>
              <w:wordWrap/>
              <w:overflowPunct/>
              <w:topLinePunct w:val="0"/>
              <w:bidi w:val="0"/>
              <w:spacing w:after="0" w:line="360" w:lineRule="auto"/>
              <w:ind w:left="0" w:leftChars="0" w:firstLine="0" w:firstLineChars="0"/>
              <w:jc w:val="center"/>
              <w:rPr>
                <w:rFonts w:ascii="宋体"/>
                <w:b/>
                <w:bCs/>
                <w:sz w:val="24"/>
                <w:szCs w:val="24"/>
                <w:highlight w:val="none"/>
              </w:rPr>
            </w:pPr>
            <w:r>
              <w:rPr>
                <w:rFonts w:hint="eastAsia" w:ascii="宋体"/>
                <w:b/>
                <w:bCs/>
                <w:sz w:val="24"/>
                <w:szCs w:val="24"/>
                <w:highlight w:val="none"/>
              </w:rPr>
              <w:t>评分标准</w:t>
            </w:r>
          </w:p>
        </w:tc>
        <w:tc>
          <w:tcPr>
            <w:tcW w:w="1627" w:type="dxa"/>
            <w:tcBorders>
              <w:top w:val="single" w:color="auto" w:sz="4" w:space="0"/>
              <w:left w:val="single" w:color="auto" w:sz="4" w:space="0"/>
              <w:bottom w:val="single" w:color="auto" w:sz="4" w:space="0"/>
              <w:right w:val="single" w:color="auto" w:sz="4" w:space="0"/>
            </w:tcBorders>
            <w:vAlign w:val="center"/>
          </w:tcPr>
          <w:p w14:paraId="07D40EDD">
            <w:pPr>
              <w:pStyle w:val="22"/>
              <w:kinsoku/>
              <w:wordWrap/>
              <w:overflowPunct/>
              <w:topLinePunct w:val="0"/>
              <w:bidi w:val="0"/>
              <w:spacing w:after="0" w:line="360" w:lineRule="auto"/>
              <w:ind w:left="0" w:leftChars="0" w:firstLine="0" w:firstLineChars="0"/>
              <w:jc w:val="center"/>
              <w:rPr>
                <w:rFonts w:ascii="宋体"/>
                <w:b/>
                <w:bCs/>
                <w:sz w:val="24"/>
                <w:szCs w:val="24"/>
                <w:highlight w:val="none"/>
              </w:rPr>
            </w:pPr>
            <w:r>
              <w:rPr>
                <w:rFonts w:hint="eastAsia" w:ascii="宋体"/>
                <w:b/>
                <w:bCs/>
                <w:sz w:val="24"/>
                <w:szCs w:val="24"/>
                <w:highlight w:val="none"/>
              </w:rPr>
              <w:t>页码</w:t>
            </w:r>
          </w:p>
        </w:tc>
      </w:tr>
      <w:tr w14:paraId="0ED27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61E3B334">
            <w:pPr>
              <w:widowControl/>
              <w:kinsoku/>
              <w:wordWrap/>
              <w:overflowPunct/>
              <w:topLinePunct w:val="0"/>
              <w:bidi w:val="0"/>
              <w:spacing w:line="360" w:lineRule="auto"/>
              <w:jc w:val="center"/>
              <w:rPr>
                <w:rFonts w:ascii="宋体" w:hAnsi="宋体"/>
                <w:sz w:val="24"/>
                <w:highlight w:val="none"/>
              </w:rPr>
            </w:pPr>
            <w:r>
              <w:rPr>
                <w:rFonts w:hint="eastAsia" w:ascii="宋体" w:hAnsi="宋体"/>
                <w:sz w:val="24"/>
                <w:highlight w:val="none"/>
              </w:rPr>
              <w:t>1</w:t>
            </w:r>
          </w:p>
        </w:tc>
        <w:tc>
          <w:tcPr>
            <w:tcW w:w="5819" w:type="dxa"/>
            <w:tcBorders>
              <w:top w:val="single" w:color="auto" w:sz="4" w:space="0"/>
              <w:left w:val="single" w:color="auto" w:sz="4" w:space="0"/>
              <w:right w:val="single" w:color="auto" w:sz="4" w:space="0"/>
            </w:tcBorders>
            <w:vAlign w:val="center"/>
          </w:tcPr>
          <w:p w14:paraId="1B1F731B">
            <w:pPr>
              <w:kinsoku/>
              <w:wordWrap/>
              <w:overflowPunct/>
              <w:topLinePunct w:val="0"/>
              <w:bidi w:val="0"/>
              <w:spacing w:line="360" w:lineRule="auto"/>
              <w:jc w:val="center"/>
              <w:rPr>
                <w:rFonts w:ascii="宋体" w:hAnsi="宋体"/>
                <w:sz w:val="24"/>
                <w:highlight w:val="none"/>
              </w:rPr>
            </w:pPr>
            <w:r>
              <w:rPr>
                <w:rFonts w:hint="eastAsia" w:ascii="宋体" w:hAnsi="宋体"/>
                <w:sz w:val="24"/>
                <w:highlight w:val="none"/>
              </w:rPr>
              <w:t>（报价除外）</w:t>
            </w:r>
          </w:p>
        </w:tc>
        <w:tc>
          <w:tcPr>
            <w:tcW w:w="1627" w:type="dxa"/>
            <w:tcBorders>
              <w:top w:val="single" w:color="auto" w:sz="4" w:space="0"/>
              <w:left w:val="single" w:color="auto" w:sz="4" w:space="0"/>
              <w:right w:val="single" w:color="auto" w:sz="4" w:space="0"/>
            </w:tcBorders>
            <w:vAlign w:val="center"/>
          </w:tcPr>
          <w:p w14:paraId="0E3ABEF9">
            <w:pPr>
              <w:kinsoku/>
              <w:wordWrap/>
              <w:overflowPunct/>
              <w:topLinePunct w:val="0"/>
              <w:bidi w:val="0"/>
              <w:spacing w:line="360" w:lineRule="auto"/>
              <w:jc w:val="center"/>
              <w:rPr>
                <w:rFonts w:ascii="宋体" w:hAnsi="宋体"/>
                <w:bCs/>
                <w:sz w:val="24"/>
                <w:highlight w:val="none"/>
              </w:rPr>
            </w:pPr>
          </w:p>
        </w:tc>
      </w:tr>
      <w:tr w14:paraId="2C0211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BC10C2D">
            <w:pPr>
              <w:widowControl/>
              <w:kinsoku/>
              <w:wordWrap/>
              <w:overflowPunct/>
              <w:topLinePunct w:val="0"/>
              <w:bidi w:val="0"/>
              <w:spacing w:line="360" w:lineRule="auto"/>
              <w:jc w:val="center"/>
              <w:rPr>
                <w:rFonts w:ascii="宋体" w:hAnsi="宋体"/>
                <w:sz w:val="24"/>
                <w:highlight w:val="none"/>
              </w:rPr>
            </w:pPr>
            <w:r>
              <w:rPr>
                <w:rFonts w:hint="eastAsia" w:ascii="宋体" w:hAnsi="宋体"/>
                <w:sz w:val="24"/>
                <w:highlight w:val="none"/>
              </w:rPr>
              <w:t>2</w:t>
            </w:r>
          </w:p>
        </w:tc>
        <w:tc>
          <w:tcPr>
            <w:tcW w:w="5819" w:type="dxa"/>
            <w:tcBorders>
              <w:top w:val="single" w:color="auto" w:sz="4" w:space="0"/>
              <w:left w:val="single" w:color="auto" w:sz="4" w:space="0"/>
              <w:right w:val="single" w:color="auto" w:sz="4" w:space="0"/>
            </w:tcBorders>
            <w:vAlign w:val="center"/>
          </w:tcPr>
          <w:p w14:paraId="019FEBA8">
            <w:pPr>
              <w:widowControl/>
              <w:kinsoku/>
              <w:wordWrap/>
              <w:overflowPunct/>
              <w:topLinePunct w:val="0"/>
              <w:bidi w:val="0"/>
              <w:spacing w:line="360" w:lineRule="auto"/>
              <w:jc w:val="center"/>
              <w:rPr>
                <w:rFonts w:ascii="宋体" w:hAnsi="宋体" w:cs="宋体"/>
                <w:kern w:val="0"/>
                <w:sz w:val="24"/>
                <w:highlight w:val="none"/>
              </w:rPr>
            </w:pPr>
          </w:p>
        </w:tc>
        <w:tc>
          <w:tcPr>
            <w:tcW w:w="1627" w:type="dxa"/>
            <w:tcBorders>
              <w:top w:val="single" w:color="auto" w:sz="4" w:space="0"/>
              <w:left w:val="single" w:color="auto" w:sz="4" w:space="0"/>
              <w:right w:val="single" w:color="auto" w:sz="4" w:space="0"/>
            </w:tcBorders>
            <w:vAlign w:val="center"/>
          </w:tcPr>
          <w:p w14:paraId="40173150">
            <w:pPr>
              <w:kinsoku/>
              <w:wordWrap/>
              <w:overflowPunct/>
              <w:topLinePunct w:val="0"/>
              <w:bidi w:val="0"/>
              <w:spacing w:line="360" w:lineRule="auto"/>
              <w:jc w:val="center"/>
              <w:rPr>
                <w:rFonts w:ascii="宋体" w:hAnsi="宋体"/>
                <w:bCs/>
                <w:sz w:val="24"/>
                <w:highlight w:val="none"/>
              </w:rPr>
            </w:pPr>
          </w:p>
        </w:tc>
      </w:tr>
      <w:tr w14:paraId="6FAB37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27E2E19D">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79F05AAA">
            <w:pPr>
              <w:kinsoku/>
              <w:wordWrap/>
              <w:overflowPunct/>
              <w:topLinePunct w:val="0"/>
              <w:bidi w:val="0"/>
              <w:spacing w:line="360" w:lineRule="auto"/>
              <w:ind w:left="55" w:leftChars="26"/>
              <w:rPr>
                <w:rFonts w:ascii="宋体" w:hAnsi="宋体" w:cs="宋体"/>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B07C929">
            <w:pPr>
              <w:kinsoku/>
              <w:wordWrap/>
              <w:overflowPunct/>
              <w:topLinePunct w:val="0"/>
              <w:bidi w:val="0"/>
              <w:spacing w:line="360" w:lineRule="auto"/>
              <w:jc w:val="center"/>
              <w:rPr>
                <w:rFonts w:ascii="宋体" w:hAnsi="宋体"/>
                <w:bCs/>
                <w:sz w:val="24"/>
                <w:highlight w:val="none"/>
              </w:rPr>
            </w:pPr>
          </w:p>
        </w:tc>
      </w:tr>
      <w:tr w14:paraId="00F842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377C020">
            <w:pPr>
              <w:widowControl/>
              <w:kinsoku/>
              <w:wordWrap/>
              <w:overflowPunct/>
              <w:topLinePunct w:val="0"/>
              <w:bidi w:val="0"/>
              <w:spacing w:line="360" w:lineRule="auto"/>
              <w:rPr>
                <w:rFonts w:ascii="宋体" w:hAnsi="宋体"/>
                <w:b/>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63DAB27B">
            <w:pPr>
              <w:pStyle w:val="22"/>
              <w:kinsoku/>
              <w:wordWrap/>
              <w:overflowPunct/>
              <w:topLinePunct w:val="0"/>
              <w:bidi w:val="0"/>
              <w:spacing w:line="360" w:lineRule="auto"/>
              <w:ind w:firstLine="562"/>
              <w:rPr>
                <w:rFonts w:ascii="宋体"/>
                <w:b/>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86B8F93">
            <w:pPr>
              <w:pStyle w:val="22"/>
              <w:kinsoku/>
              <w:wordWrap/>
              <w:overflowPunct/>
              <w:topLinePunct w:val="0"/>
              <w:bidi w:val="0"/>
              <w:spacing w:line="360" w:lineRule="auto"/>
              <w:ind w:firstLine="562"/>
              <w:jc w:val="center"/>
              <w:rPr>
                <w:rFonts w:ascii="宋体"/>
                <w:b/>
                <w:highlight w:val="none"/>
              </w:rPr>
            </w:pPr>
          </w:p>
        </w:tc>
      </w:tr>
      <w:tr w14:paraId="31D69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447CCA71">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34106E8">
            <w:pPr>
              <w:kinsoku/>
              <w:wordWrap/>
              <w:overflowPunct/>
              <w:topLinePunct w:val="0"/>
              <w:bidi w:val="0"/>
              <w:spacing w:line="360" w:lineRule="auto"/>
              <w:rPr>
                <w:rFonts w:ascii="宋体" w:hAnsi="宋体"/>
                <w:kern w:val="0"/>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9B9C87E">
            <w:pPr>
              <w:kinsoku/>
              <w:wordWrap/>
              <w:overflowPunct/>
              <w:topLinePunct w:val="0"/>
              <w:bidi w:val="0"/>
              <w:spacing w:line="360" w:lineRule="auto"/>
              <w:jc w:val="center"/>
              <w:rPr>
                <w:rFonts w:ascii="宋体" w:hAnsi="宋体"/>
                <w:bCs/>
                <w:sz w:val="24"/>
                <w:highlight w:val="none"/>
              </w:rPr>
            </w:pPr>
          </w:p>
        </w:tc>
      </w:tr>
      <w:tr w14:paraId="03209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35BFDBC2">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2A0A71E">
            <w:pPr>
              <w:kinsoku/>
              <w:wordWrap/>
              <w:overflowPunct/>
              <w:topLinePunct w:val="0"/>
              <w:bidi w:val="0"/>
              <w:spacing w:line="360" w:lineRule="auto"/>
              <w:rPr>
                <w:rFonts w:ascii="宋体" w:hAnsi="宋体"/>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7E874685">
            <w:pPr>
              <w:pStyle w:val="22"/>
              <w:kinsoku/>
              <w:wordWrap/>
              <w:overflowPunct/>
              <w:topLinePunct w:val="0"/>
              <w:bidi w:val="0"/>
              <w:spacing w:line="360" w:lineRule="auto"/>
              <w:ind w:firstLine="560"/>
              <w:jc w:val="center"/>
              <w:rPr>
                <w:rFonts w:ascii="宋体"/>
                <w:highlight w:val="none"/>
              </w:rPr>
            </w:pPr>
          </w:p>
        </w:tc>
      </w:tr>
      <w:tr w14:paraId="5E6C4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5D1E0369">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06116206">
            <w:pPr>
              <w:kinsoku/>
              <w:wordWrap/>
              <w:overflowPunct/>
              <w:topLinePunct w:val="0"/>
              <w:bidi w:val="0"/>
              <w:spacing w:line="360" w:lineRule="auto"/>
              <w:rPr>
                <w:rFonts w:ascii="宋体" w:hAnsi="宋体"/>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7CFD4DD">
            <w:pPr>
              <w:pStyle w:val="22"/>
              <w:kinsoku/>
              <w:wordWrap/>
              <w:overflowPunct/>
              <w:topLinePunct w:val="0"/>
              <w:bidi w:val="0"/>
              <w:spacing w:line="360" w:lineRule="auto"/>
              <w:ind w:firstLine="560"/>
              <w:jc w:val="center"/>
              <w:rPr>
                <w:rFonts w:ascii="宋体"/>
                <w:highlight w:val="none"/>
              </w:rPr>
            </w:pPr>
          </w:p>
        </w:tc>
      </w:tr>
      <w:tr w14:paraId="0877B7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131209F3">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2B5750BD">
            <w:pPr>
              <w:pStyle w:val="22"/>
              <w:kinsoku/>
              <w:wordWrap/>
              <w:overflowPunct/>
              <w:topLinePunct w:val="0"/>
              <w:bidi w:val="0"/>
              <w:spacing w:line="360" w:lineRule="auto"/>
              <w:ind w:firstLine="560"/>
              <w:rPr>
                <w:rFonts w:ascii="宋体"/>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1B8C6694">
            <w:pPr>
              <w:widowControl/>
              <w:kinsoku/>
              <w:wordWrap/>
              <w:overflowPunct/>
              <w:topLinePunct w:val="0"/>
              <w:bidi w:val="0"/>
              <w:spacing w:line="360" w:lineRule="auto"/>
              <w:jc w:val="center"/>
              <w:rPr>
                <w:rFonts w:ascii="宋体" w:hAnsi="宋体"/>
                <w:b/>
                <w:sz w:val="24"/>
                <w:highlight w:val="none"/>
              </w:rPr>
            </w:pPr>
          </w:p>
        </w:tc>
      </w:tr>
      <w:tr w14:paraId="63508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left w:val="single" w:color="auto" w:sz="4" w:space="0"/>
              <w:bottom w:val="single" w:color="auto" w:sz="4" w:space="0"/>
              <w:right w:val="single" w:color="auto" w:sz="4" w:space="0"/>
            </w:tcBorders>
            <w:vAlign w:val="center"/>
          </w:tcPr>
          <w:p w14:paraId="479C51F4">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A8B5D0F">
            <w:pPr>
              <w:kinsoku/>
              <w:wordWrap/>
              <w:overflowPunct/>
              <w:topLinePunct w:val="0"/>
              <w:bidi w:val="0"/>
              <w:spacing w:line="360" w:lineRule="auto"/>
              <w:rPr>
                <w:rFonts w:ascii="宋体" w:hAnsi="宋体"/>
                <w:bCs/>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08FC68F">
            <w:pPr>
              <w:kinsoku/>
              <w:wordWrap/>
              <w:overflowPunct/>
              <w:topLinePunct w:val="0"/>
              <w:bidi w:val="0"/>
              <w:spacing w:line="360" w:lineRule="auto"/>
              <w:jc w:val="center"/>
              <w:rPr>
                <w:rFonts w:ascii="宋体" w:hAnsi="宋体"/>
                <w:bCs/>
                <w:sz w:val="24"/>
                <w:highlight w:val="none"/>
              </w:rPr>
            </w:pPr>
          </w:p>
        </w:tc>
      </w:tr>
      <w:tr w14:paraId="6EEBE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BB3E835">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3A840ECF">
            <w:pPr>
              <w:kinsoku/>
              <w:wordWrap/>
              <w:overflowPunct/>
              <w:topLinePunct w:val="0"/>
              <w:bidi w:val="0"/>
              <w:spacing w:line="360" w:lineRule="auto"/>
              <w:rPr>
                <w:rFonts w:ascii="宋体" w:hAnsi="宋体"/>
                <w:bCs/>
                <w:sz w:val="24"/>
                <w:highlight w:val="none"/>
              </w:rPr>
            </w:pPr>
          </w:p>
        </w:tc>
        <w:tc>
          <w:tcPr>
            <w:tcW w:w="1627" w:type="dxa"/>
            <w:tcBorders>
              <w:top w:val="single" w:color="auto" w:sz="4" w:space="0"/>
              <w:left w:val="single" w:color="auto" w:sz="4" w:space="0"/>
              <w:bottom w:val="single" w:color="auto" w:sz="4" w:space="0"/>
              <w:right w:val="single" w:color="auto" w:sz="4" w:space="0"/>
            </w:tcBorders>
            <w:vAlign w:val="center"/>
          </w:tcPr>
          <w:p w14:paraId="5DBAA5A0">
            <w:pPr>
              <w:kinsoku/>
              <w:wordWrap/>
              <w:overflowPunct/>
              <w:topLinePunct w:val="0"/>
              <w:bidi w:val="0"/>
              <w:spacing w:line="360" w:lineRule="auto"/>
              <w:jc w:val="center"/>
              <w:rPr>
                <w:rFonts w:ascii="宋体" w:hAnsi="宋体"/>
                <w:bCs/>
                <w:sz w:val="24"/>
                <w:highlight w:val="none"/>
              </w:rPr>
            </w:pPr>
          </w:p>
        </w:tc>
      </w:tr>
      <w:tr w14:paraId="00570C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308" w:type="dxa"/>
            <w:tcBorders>
              <w:top w:val="single" w:color="auto" w:sz="4" w:space="0"/>
              <w:left w:val="single" w:color="auto" w:sz="4" w:space="0"/>
              <w:bottom w:val="single" w:color="auto" w:sz="4" w:space="0"/>
              <w:right w:val="single" w:color="auto" w:sz="4" w:space="0"/>
            </w:tcBorders>
            <w:vAlign w:val="center"/>
          </w:tcPr>
          <w:p w14:paraId="1F40FA81">
            <w:pPr>
              <w:widowControl/>
              <w:kinsoku/>
              <w:wordWrap/>
              <w:overflowPunct/>
              <w:topLinePunct w:val="0"/>
              <w:bidi w:val="0"/>
              <w:spacing w:line="360" w:lineRule="auto"/>
              <w:rPr>
                <w:rFonts w:ascii="宋体" w:hAnsi="宋体"/>
                <w:sz w:val="24"/>
                <w:highlight w:val="none"/>
              </w:rPr>
            </w:pPr>
          </w:p>
        </w:tc>
        <w:tc>
          <w:tcPr>
            <w:tcW w:w="5819" w:type="dxa"/>
            <w:tcBorders>
              <w:top w:val="single" w:color="auto" w:sz="4" w:space="0"/>
              <w:left w:val="single" w:color="auto" w:sz="4" w:space="0"/>
              <w:bottom w:val="single" w:color="auto" w:sz="4" w:space="0"/>
              <w:right w:val="single" w:color="auto" w:sz="4" w:space="0"/>
            </w:tcBorders>
            <w:vAlign w:val="center"/>
          </w:tcPr>
          <w:p w14:paraId="51986A40">
            <w:pPr>
              <w:kinsoku/>
              <w:wordWrap/>
              <w:overflowPunct/>
              <w:topLinePunct w:val="0"/>
              <w:bidi w:val="0"/>
              <w:spacing w:line="360" w:lineRule="auto"/>
              <w:rPr>
                <w:rFonts w:ascii="宋体" w:hAnsi="宋体"/>
                <w:bCs/>
                <w:sz w:val="24"/>
                <w:highlight w:val="none"/>
              </w:rPr>
            </w:pPr>
          </w:p>
        </w:tc>
        <w:tc>
          <w:tcPr>
            <w:tcW w:w="1627" w:type="dxa"/>
            <w:tcBorders>
              <w:top w:val="single" w:color="auto" w:sz="4" w:space="0"/>
              <w:left w:val="single" w:color="auto" w:sz="4" w:space="0"/>
              <w:right w:val="single" w:color="auto" w:sz="4" w:space="0"/>
            </w:tcBorders>
            <w:vAlign w:val="center"/>
          </w:tcPr>
          <w:p w14:paraId="13B21941">
            <w:pPr>
              <w:kinsoku/>
              <w:wordWrap/>
              <w:overflowPunct/>
              <w:topLinePunct w:val="0"/>
              <w:bidi w:val="0"/>
              <w:spacing w:line="360" w:lineRule="auto"/>
              <w:jc w:val="center"/>
              <w:rPr>
                <w:rFonts w:ascii="宋体" w:hAnsi="宋体"/>
                <w:bCs/>
                <w:sz w:val="24"/>
                <w:highlight w:val="none"/>
              </w:rPr>
            </w:pPr>
          </w:p>
        </w:tc>
      </w:tr>
    </w:tbl>
    <w:p w14:paraId="283535F9">
      <w:pPr>
        <w:pageBreakBefore/>
        <w:numPr>
          <w:ilvl w:val="0"/>
          <w:numId w:val="10"/>
        </w:numPr>
        <w:kinsoku/>
        <w:wordWrap/>
        <w:overflowPunct/>
        <w:topLinePunct w:val="0"/>
        <w:bidi w:val="0"/>
        <w:snapToGrid w:val="0"/>
        <w:spacing w:line="360" w:lineRule="auto"/>
        <w:jc w:val="center"/>
        <w:outlineLvl w:val="0"/>
        <w:rPr>
          <w:rFonts w:cs="仿宋" w:asciiTheme="majorEastAsia" w:hAnsiTheme="majorEastAsia" w:eastAsiaTheme="majorEastAsia"/>
          <w:b/>
          <w:kern w:val="0"/>
          <w:sz w:val="32"/>
          <w:szCs w:val="32"/>
          <w:highlight w:val="none"/>
        </w:rPr>
      </w:pPr>
      <w:r>
        <w:rPr>
          <w:rFonts w:hint="eastAsia" w:cs="仿宋" w:asciiTheme="majorEastAsia" w:hAnsiTheme="majorEastAsia" w:eastAsiaTheme="majorEastAsia"/>
          <w:b/>
          <w:kern w:val="0"/>
          <w:sz w:val="32"/>
          <w:szCs w:val="32"/>
          <w:highlight w:val="none"/>
        </w:rPr>
        <w:t>符合性自查表</w:t>
      </w:r>
    </w:p>
    <w:tbl>
      <w:tblPr>
        <w:tblStyle w:val="26"/>
        <w:tblW w:w="10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4000"/>
        <w:gridCol w:w="2453"/>
        <w:gridCol w:w="1292"/>
        <w:gridCol w:w="1792"/>
      </w:tblGrid>
      <w:tr w14:paraId="66262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592" w:type="dxa"/>
            <w:vAlign w:val="center"/>
          </w:tcPr>
          <w:p w14:paraId="107701EB">
            <w:pPr>
              <w:kinsoku/>
              <w:wordWrap/>
              <w:overflowPunct/>
              <w:topLinePunct w:val="0"/>
              <w:bidi w:val="0"/>
              <w:snapToGrid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序号</w:t>
            </w:r>
          </w:p>
        </w:tc>
        <w:tc>
          <w:tcPr>
            <w:tcW w:w="4000" w:type="dxa"/>
            <w:vAlign w:val="center"/>
          </w:tcPr>
          <w:p w14:paraId="2E85618D">
            <w:pPr>
              <w:kinsoku/>
              <w:wordWrap/>
              <w:overflowPunct/>
              <w:topLinePunct w:val="0"/>
              <w:bidi w:val="0"/>
              <w:snapToGrid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实质性要求</w:t>
            </w:r>
          </w:p>
        </w:tc>
        <w:tc>
          <w:tcPr>
            <w:tcW w:w="2453" w:type="dxa"/>
            <w:vAlign w:val="center"/>
          </w:tcPr>
          <w:p w14:paraId="69033A5E">
            <w:pPr>
              <w:kinsoku/>
              <w:wordWrap/>
              <w:overflowPunct/>
              <w:topLinePunct w:val="0"/>
              <w:bidi w:val="0"/>
              <w:snapToGrid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需要提供的符合性审查资料</w:t>
            </w:r>
          </w:p>
        </w:tc>
        <w:tc>
          <w:tcPr>
            <w:tcW w:w="1292" w:type="dxa"/>
            <w:vAlign w:val="center"/>
          </w:tcPr>
          <w:p w14:paraId="08E57278">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b/>
                <w:sz w:val="24"/>
                <w:highlight w:val="none"/>
              </w:rPr>
              <w:t>自查结论</w:t>
            </w:r>
          </w:p>
        </w:tc>
        <w:tc>
          <w:tcPr>
            <w:tcW w:w="1792" w:type="dxa"/>
            <w:vAlign w:val="center"/>
          </w:tcPr>
          <w:p w14:paraId="3CD97AC3">
            <w:pPr>
              <w:kinsoku/>
              <w:wordWrap/>
              <w:overflowPunct/>
              <w:topLinePunct w:val="0"/>
              <w:bidi w:val="0"/>
              <w:snapToGrid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投标文件中的</w:t>
            </w:r>
          </w:p>
          <w:p w14:paraId="66E8AF21">
            <w:pPr>
              <w:kinsoku/>
              <w:wordWrap/>
              <w:overflowPunct/>
              <w:topLinePunct w:val="0"/>
              <w:bidi w:val="0"/>
              <w:snapToGrid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页码位置</w:t>
            </w:r>
          </w:p>
        </w:tc>
      </w:tr>
      <w:tr w14:paraId="7871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592" w:type="dxa"/>
            <w:vAlign w:val="center"/>
          </w:tcPr>
          <w:p w14:paraId="4D672BB4">
            <w:pPr>
              <w:kinsoku/>
              <w:wordWrap/>
              <w:overflowPunct/>
              <w:topLinePunct w:val="0"/>
              <w:bidi w:val="0"/>
              <w:spacing w:line="360" w:lineRule="auto"/>
              <w:jc w:val="center"/>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w:t>
            </w:r>
          </w:p>
        </w:tc>
        <w:tc>
          <w:tcPr>
            <w:tcW w:w="4000" w:type="dxa"/>
            <w:vAlign w:val="center"/>
          </w:tcPr>
          <w:p w14:paraId="5E848942">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投标文件按照招标文件要求签署、盖章。</w:t>
            </w:r>
          </w:p>
        </w:tc>
        <w:tc>
          <w:tcPr>
            <w:tcW w:w="2453" w:type="dxa"/>
            <w:vAlign w:val="center"/>
          </w:tcPr>
          <w:p w14:paraId="1B18E941">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需要使用电子签名或者签字盖章的投标文件的组成部分</w:t>
            </w:r>
          </w:p>
        </w:tc>
        <w:tc>
          <w:tcPr>
            <w:tcW w:w="1292" w:type="dxa"/>
            <w:vAlign w:val="center"/>
          </w:tcPr>
          <w:p w14:paraId="23014F48">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67CF2DE3">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□不通过</w:t>
            </w:r>
          </w:p>
        </w:tc>
        <w:tc>
          <w:tcPr>
            <w:tcW w:w="1792" w:type="dxa"/>
            <w:vAlign w:val="center"/>
          </w:tcPr>
          <w:p w14:paraId="630EFED2">
            <w:pPr>
              <w:kinsoku/>
              <w:wordWrap/>
              <w:overflowPunct/>
              <w:topLinePunct w:val="0"/>
              <w:bidi w:val="0"/>
              <w:spacing w:line="360" w:lineRule="auto"/>
              <w:rPr>
                <w:rFonts w:cs="仿宋" w:asciiTheme="majorEastAsia" w:hAnsiTheme="majorEastAsia" w:eastAsiaTheme="majorEastAsia"/>
                <w:sz w:val="24"/>
                <w:highlight w:val="none"/>
              </w:rPr>
            </w:pPr>
          </w:p>
          <w:p w14:paraId="0AFA61F9">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见投标文件</w:t>
            </w:r>
          </w:p>
          <w:p w14:paraId="35FCC6DC">
            <w:pPr>
              <w:kinsoku/>
              <w:wordWrap/>
              <w:overflowPunct/>
              <w:topLinePunct w:val="0"/>
              <w:bidi w:val="0"/>
              <w:spacing w:line="360" w:lineRule="auto"/>
              <w:rPr>
                <w:rFonts w:cs="仿宋" w:asciiTheme="majorEastAsia" w:hAnsiTheme="majorEastAsia" w:eastAsiaTheme="majorEastAsia"/>
                <w:highlight w:val="none"/>
              </w:rPr>
            </w:pPr>
            <w:r>
              <w:rPr>
                <w:rFonts w:hint="eastAsia" w:cs="仿宋" w:asciiTheme="majorEastAsia" w:hAnsiTheme="majorEastAsia" w:eastAsiaTheme="majorEastAsia"/>
                <w:sz w:val="24"/>
                <w:highlight w:val="none"/>
              </w:rPr>
              <w:t>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12BA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92" w:type="dxa"/>
            <w:vAlign w:val="center"/>
          </w:tcPr>
          <w:p w14:paraId="1358AA04">
            <w:pPr>
              <w:kinsoku/>
              <w:wordWrap/>
              <w:overflowPunct/>
              <w:topLinePunct w:val="0"/>
              <w:bidi w:val="0"/>
              <w:spacing w:line="360" w:lineRule="auto"/>
              <w:jc w:val="center"/>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w:t>
            </w:r>
          </w:p>
        </w:tc>
        <w:tc>
          <w:tcPr>
            <w:tcW w:w="4000" w:type="dxa"/>
            <w:vAlign w:val="center"/>
          </w:tcPr>
          <w:p w14:paraId="43BC1EB9">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sz w:val="24"/>
                <w:highlight w:val="none"/>
              </w:rPr>
              <w:t>投标文件中承诺的投标有效期不少于招标文件中载明的投标有效期。</w:t>
            </w:r>
          </w:p>
        </w:tc>
        <w:tc>
          <w:tcPr>
            <w:tcW w:w="2453" w:type="dxa"/>
            <w:vAlign w:val="center"/>
          </w:tcPr>
          <w:p w14:paraId="6810A690">
            <w:pPr>
              <w:kinsoku/>
              <w:wordWrap/>
              <w:overflowPunct/>
              <w:topLinePunct w:val="0"/>
              <w:bidi w:val="0"/>
              <w:spacing w:line="360" w:lineRule="auto"/>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rPr>
              <w:t>投标函</w:t>
            </w:r>
          </w:p>
        </w:tc>
        <w:tc>
          <w:tcPr>
            <w:tcW w:w="1292" w:type="dxa"/>
            <w:vAlign w:val="center"/>
          </w:tcPr>
          <w:p w14:paraId="32BA5062">
            <w:pPr>
              <w:kinsoku/>
              <w:wordWrap/>
              <w:overflowPunct/>
              <w:topLinePunct w:val="0"/>
              <w:bidi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□通过 </w:t>
            </w:r>
          </w:p>
          <w:p w14:paraId="532E16C9">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sz w:val="24"/>
                <w:highlight w:val="none"/>
              </w:rPr>
              <w:t>□不通过</w:t>
            </w:r>
          </w:p>
        </w:tc>
        <w:tc>
          <w:tcPr>
            <w:tcW w:w="1792" w:type="dxa"/>
            <w:vAlign w:val="center"/>
          </w:tcPr>
          <w:p w14:paraId="72D31906">
            <w:pPr>
              <w:kinsoku/>
              <w:wordWrap/>
              <w:overflowPunct/>
              <w:topLinePunct w:val="0"/>
              <w:bidi w:val="0"/>
              <w:spacing w:line="360" w:lineRule="auto"/>
              <w:rPr>
                <w:rFonts w:cs="仿宋" w:asciiTheme="majorEastAsia" w:hAnsiTheme="majorEastAsia" w:eastAsiaTheme="majorEastAsia"/>
                <w:kern w:val="2"/>
                <w:sz w:val="21"/>
                <w:szCs w:val="24"/>
                <w:highlight w:val="none"/>
                <w:lang w:val="en-US" w:eastAsia="zh-CN" w:bidi="ar-SA"/>
              </w:rPr>
            </w:pPr>
            <w:r>
              <w:rPr>
                <w:rFonts w:hint="eastAsia" w:cs="仿宋" w:asciiTheme="majorEastAsia" w:hAnsiTheme="majorEastAsia" w:eastAsiaTheme="majorEastAsia"/>
                <w:sz w:val="24"/>
                <w:highlight w:val="none"/>
              </w:rPr>
              <w:t>见投标文件第</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页</w:t>
            </w:r>
          </w:p>
        </w:tc>
      </w:tr>
      <w:tr w14:paraId="0189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592" w:type="dxa"/>
            <w:vAlign w:val="center"/>
          </w:tcPr>
          <w:p w14:paraId="09206AA3">
            <w:pPr>
              <w:kinsoku/>
              <w:wordWrap/>
              <w:overflowPunct/>
              <w:topLinePunct w:val="0"/>
              <w:bidi w:val="0"/>
              <w:spacing w:line="360" w:lineRule="auto"/>
              <w:jc w:val="center"/>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color w:val="auto"/>
                <w:sz w:val="24"/>
                <w:highlight w:val="none"/>
                <w:lang w:val="en-US" w:eastAsia="zh-CN"/>
              </w:rPr>
              <w:t>3</w:t>
            </w:r>
          </w:p>
        </w:tc>
        <w:tc>
          <w:tcPr>
            <w:tcW w:w="4000" w:type="dxa"/>
            <w:vAlign w:val="center"/>
          </w:tcPr>
          <w:p w14:paraId="5A60DC26">
            <w:pPr>
              <w:shd w:val="clear" w:color="auto" w:fill="auto"/>
              <w:spacing w:line="360" w:lineRule="auto"/>
              <w:rPr>
                <w:rFonts w:hint="eastAsia" w:cs="仿宋" w:asciiTheme="majorEastAsia" w:hAnsiTheme="majorEastAsia" w:eastAsiaTheme="majorEastAsia"/>
                <w:sz w:val="24"/>
                <w:highlight w:val="none"/>
              </w:rPr>
            </w:pPr>
            <w:r>
              <w:rPr>
                <w:rFonts w:hint="eastAsia" w:ascii="宋体" w:hAnsi="宋体" w:eastAsia="宋体"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453" w:type="dxa"/>
            <w:vAlign w:val="center"/>
          </w:tcPr>
          <w:p w14:paraId="6C79F0DE">
            <w:pPr>
              <w:shd w:val="clear" w:color="auto" w:fill="auto"/>
              <w:spacing w:line="360" w:lineRule="auto"/>
              <w:rPr>
                <w:rFonts w:hint="eastAsia" w:cs="仿宋" w:asciiTheme="majorEastAsia" w:hAnsiTheme="majorEastAsia" w:eastAsiaTheme="majorEastAsia"/>
                <w:kern w:val="0"/>
                <w:sz w:val="24"/>
                <w:highlight w:val="none"/>
              </w:rPr>
            </w:pPr>
            <w:r>
              <w:rPr>
                <w:rFonts w:hint="eastAsia" w:ascii="宋体" w:hAnsi="宋体" w:eastAsia="宋体" w:cs="仿宋"/>
                <w:color w:val="auto"/>
                <w:sz w:val="24"/>
                <w:highlight w:val="none"/>
              </w:rPr>
              <w:t>节能产品认证证书（本项目拟采购的产品属于政府强制采购的节能产品品目清单范围的）</w:t>
            </w:r>
          </w:p>
        </w:tc>
        <w:tc>
          <w:tcPr>
            <w:tcW w:w="1292" w:type="dxa"/>
            <w:vAlign w:val="center"/>
          </w:tcPr>
          <w:p w14:paraId="276A965F">
            <w:pPr>
              <w:kinsoku/>
              <w:wordWrap/>
              <w:overflowPunct/>
              <w:topLinePunct w:val="0"/>
              <w:bidi w:val="0"/>
              <w:spacing w:line="360" w:lineRule="auto"/>
              <w:rPr>
                <w:rFonts w:hint="eastAsia" w:cs="仿宋" w:asciiTheme="majorEastAsia" w:hAnsiTheme="majorEastAsia" w:eastAsiaTheme="majorEastAsia"/>
                <w:color w:val="auto"/>
                <w:sz w:val="24"/>
                <w:highlight w:val="none"/>
                <w:lang w:val="en-US" w:eastAsia="zh-CN"/>
              </w:rPr>
            </w:pPr>
            <w:r>
              <w:rPr>
                <w:rFonts w:hint="eastAsia" w:cs="仿宋" w:asciiTheme="majorEastAsia" w:hAnsiTheme="majorEastAsia" w:eastAsiaTheme="majorEastAsia"/>
                <w:color w:val="auto"/>
                <w:sz w:val="24"/>
                <w:highlight w:val="none"/>
                <w:lang w:val="en-US" w:eastAsia="zh-CN"/>
              </w:rPr>
              <w:t xml:space="preserve">□通过 </w:t>
            </w:r>
          </w:p>
          <w:p w14:paraId="501D02A7">
            <w:pPr>
              <w:kinsoku/>
              <w:wordWrap/>
              <w:overflowPunct/>
              <w:topLinePunct w:val="0"/>
              <w:bidi w:val="0"/>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color w:val="auto"/>
                <w:sz w:val="24"/>
                <w:highlight w:val="none"/>
                <w:lang w:val="en-US" w:eastAsia="zh-CN"/>
              </w:rPr>
              <w:t>□不通过</w:t>
            </w:r>
          </w:p>
        </w:tc>
        <w:tc>
          <w:tcPr>
            <w:tcW w:w="1792" w:type="dxa"/>
            <w:vAlign w:val="center"/>
          </w:tcPr>
          <w:p w14:paraId="6CF978FC">
            <w:pPr>
              <w:kinsoku/>
              <w:wordWrap/>
              <w:overflowPunct/>
              <w:topLinePunct w:val="0"/>
              <w:bidi w:val="0"/>
              <w:spacing w:line="360" w:lineRule="auto"/>
              <w:rPr>
                <w:rFonts w:hint="eastAsia"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见投标文件</w:t>
            </w:r>
          </w:p>
          <w:p w14:paraId="713F95B3">
            <w:pPr>
              <w:kinsoku/>
              <w:wordWrap/>
              <w:overflowPunct/>
              <w:topLinePunct w:val="0"/>
              <w:bidi w:val="0"/>
              <w:spacing w:line="360" w:lineRule="auto"/>
              <w:rPr>
                <w:rFonts w:hint="eastAsia" w:cs="仿宋" w:asciiTheme="majorEastAsia" w:hAnsiTheme="majorEastAsia" w:eastAsiaTheme="majorEastAsia"/>
                <w:sz w:val="24"/>
                <w:highlight w:val="none"/>
              </w:rPr>
            </w:pPr>
            <w:r>
              <w:rPr>
                <w:rFonts w:hint="eastAsia" w:cs="仿宋" w:asciiTheme="majorEastAsia" w:hAnsiTheme="majorEastAsia" w:eastAsiaTheme="majorEastAsia"/>
                <w:color w:val="auto"/>
                <w:sz w:val="24"/>
                <w:highlight w:val="none"/>
                <w:lang w:val="en-US"/>
              </w:rPr>
              <w:t>第  页</w:t>
            </w:r>
          </w:p>
        </w:tc>
      </w:tr>
      <w:tr w14:paraId="67E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592" w:type="dxa"/>
            <w:vAlign w:val="center"/>
          </w:tcPr>
          <w:p w14:paraId="6F0117BB">
            <w:pPr>
              <w:kinsoku/>
              <w:wordWrap/>
              <w:overflowPunct/>
              <w:topLinePunct w:val="0"/>
              <w:bidi w:val="0"/>
              <w:spacing w:line="360" w:lineRule="auto"/>
              <w:jc w:val="center"/>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color w:val="auto"/>
                <w:sz w:val="24"/>
                <w:highlight w:val="none"/>
                <w:lang w:val="en-US" w:eastAsia="zh-CN"/>
              </w:rPr>
              <w:t>4</w:t>
            </w:r>
          </w:p>
        </w:tc>
        <w:tc>
          <w:tcPr>
            <w:tcW w:w="4000" w:type="dxa"/>
            <w:vAlign w:val="center"/>
          </w:tcPr>
          <w:p w14:paraId="335398A4">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color w:val="auto"/>
                <w:sz w:val="24"/>
                <w:highlight w:val="none"/>
              </w:rPr>
              <w:t>投标文件满足招标文件的其它实质性要求。</w:t>
            </w:r>
          </w:p>
        </w:tc>
        <w:tc>
          <w:tcPr>
            <w:tcW w:w="2453" w:type="dxa"/>
            <w:vAlign w:val="center"/>
          </w:tcPr>
          <w:p w14:paraId="46D86006">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color w:val="auto"/>
                <w:kern w:val="0"/>
                <w:sz w:val="24"/>
                <w:highlight w:val="none"/>
              </w:rPr>
              <w:t>招标文件其它实质性要求相应的材料（“▲” 系指实质性要求条款，招标文件无其它实质性要求的，无需提供）</w:t>
            </w:r>
          </w:p>
        </w:tc>
        <w:tc>
          <w:tcPr>
            <w:tcW w:w="1292" w:type="dxa"/>
            <w:vAlign w:val="center"/>
          </w:tcPr>
          <w:p w14:paraId="2F3D2C30">
            <w:pPr>
              <w:kinsoku/>
              <w:wordWrap/>
              <w:overflowPunct/>
              <w:topLinePunct w:val="0"/>
              <w:bidi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6D889E6D">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92" w:type="dxa"/>
            <w:vAlign w:val="center"/>
          </w:tcPr>
          <w:p w14:paraId="0D7A30BA">
            <w:pPr>
              <w:kinsoku/>
              <w:wordWrap/>
              <w:overflowPunct/>
              <w:topLinePunct w:val="0"/>
              <w:bidi w:val="0"/>
              <w:spacing w:line="360" w:lineRule="auto"/>
              <w:rPr>
                <w:rFonts w:cs="仿宋" w:asciiTheme="majorEastAsia" w:hAnsiTheme="majorEastAsia" w:eastAsiaTheme="majorEastAsia"/>
                <w:kern w:val="2"/>
                <w:sz w:val="21"/>
                <w:szCs w:val="24"/>
                <w:highlight w:val="none"/>
                <w:lang w:val="en-US" w:eastAsia="zh-CN" w:bidi="ar-SA"/>
              </w:rPr>
            </w:pPr>
            <w:r>
              <w:rPr>
                <w:rFonts w:hint="eastAsia" w:cs="仿宋" w:asciiTheme="majorEastAsia" w:hAnsiTheme="majorEastAsia" w:eastAsiaTheme="majorEastAsia"/>
                <w:color w:val="auto"/>
                <w:sz w:val="24"/>
                <w:highlight w:val="none"/>
              </w:rPr>
              <w:t>见投标文件第</w:t>
            </w:r>
            <w:r>
              <w:rPr>
                <w:rFonts w:hint="eastAsia" w:cs="仿宋" w:asciiTheme="majorEastAsia" w:hAnsiTheme="majorEastAsia" w:eastAsiaTheme="majorEastAsia"/>
                <w:color w:val="auto"/>
                <w:sz w:val="24"/>
                <w:highlight w:val="none"/>
                <w:u w:val="single"/>
              </w:rPr>
              <w:t xml:space="preserve">  </w:t>
            </w:r>
            <w:r>
              <w:rPr>
                <w:rFonts w:hint="eastAsia" w:cs="仿宋" w:asciiTheme="majorEastAsia" w:hAnsiTheme="majorEastAsia" w:eastAsiaTheme="majorEastAsia"/>
                <w:color w:val="auto"/>
                <w:sz w:val="24"/>
                <w:highlight w:val="none"/>
              </w:rPr>
              <w:t>页</w:t>
            </w:r>
          </w:p>
        </w:tc>
      </w:tr>
      <w:tr w14:paraId="5EDF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592" w:type="dxa"/>
            <w:vAlign w:val="center"/>
          </w:tcPr>
          <w:p w14:paraId="2F63695B">
            <w:pPr>
              <w:kinsoku/>
              <w:wordWrap/>
              <w:overflowPunct/>
              <w:topLinePunct w:val="0"/>
              <w:bidi w:val="0"/>
              <w:spacing w:line="360" w:lineRule="auto"/>
              <w:jc w:val="center"/>
              <w:rPr>
                <w:rFonts w:hint="default" w:cs="仿宋" w:asciiTheme="majorEastAsia" w:hAnsiTheme="majorEastAsia" w:eastAsiaTheme="majorEastAsia"/>
                <w:sz w:val="24"/>
                <w:highlight w:val="none"/>
                <w:lang w:val="en-US" w:eastAsia="zh-CN"/>
              </w:rPr>
            </w:pPr>
            <w:r>
              <w:rPr>
                <w:rFonts w:hint="eastAsia" w:cs="仿宋" w:asciiTheme="majorEastAsia" w:hAnsiTheme="majorEastAsia" w:eastAsiaTheme="majorEastAsia"/>
                <w:color w:val="auto"/>
                <w:sz w:val="24"/>
                <w:highlight w:val="none"/>
                <w:lang w:val="en-US" w:eastAsia="zh-CN"/>
              </w:rPr>
              <w:t>5</w:t>
            </w:r>
          </w:p>
        </w:tc>
        <w:tc>
          <w:tcPr>
            <w:tcW w:w="4000" w:type="dxa"/>
            <w:vAlign w:val="center"/>
          </w:tcPr>
          <w:p w14:paraId="363F36D7">
            <w:pPr>
              <w:kinsoku/>
              <w:wordWrap/>
              <w:overflowPunct/>
              <w:topLinePunct w:val="0"/>
              <w:bidi w:val="0"/>
              <w:snapToGrid w:val="0"/>
              <w:spacing w:line="360" w:lineRule="auto"/>
              <w:jc w:val="left"/>
              <w:rPr>
                <w:rFonts w:cs="仿宋" w:asciiTheme="majorEastAsia" w:hAnsiTheme="majorEastAsia" w:eastAsiaTheme="majorEastAsia"/>
                <w:bCs/>
                <w:kern w:val="2"/>
                <w:sz w:val="24"/>
                <w:szCs w:val="24"/>
                <w:highlight w:val="none"/>
                <w:lang w:val="en-US" w:eastAsia="zh-CN" w:bidi="ar-SA"/>
              </w:rPr>
            </w:pPr>
            <w:r>
              <w:rPr>
                <w:rFonts w:hint="eastAsia" w:cs="仿宋" w:asciiTheme="majorEastAsia" w:hAnsiTheme="majorEastAsia" w:eastAsiaTheme="majorEastAsia"/>
                <w:bCs/>
                <w:color w:val="auto"/>
                <w:sz w:val="24"/>
                <w:highlight w:val="none"/>
              </w:rPr>
              <w:t>投标文件没有招标文件中规定的其它无效投标条款的。</w:t>
            </w:r>
          </w:p>
        </w:tc>
        <w:tc>
          <w:tcPr>
            <w:tcW w:w="2453" w:type="dxa"/>
            <w:vAlign w:val="center"/>
          </w:tcPr>
          <w:p w14:paraId="30EEF580">
            <w:pPr>
              <w:kinsoku/>
              <w:wordWrap/>
              <w:overflowPunct/>
              <w:topLinePunct w:val="0"/>
              <w:bidi w:val="0"/>
              <w:spacing w:line="360" w:lineRule="auto"/>
              <w:rPr>
                <w:rFonts w:cs="仿宋" w:asciiTheme="majorEastAsia" w:hAnsiTheme="majorEastAsia" w:eastAsiaTheme="majorEastAsia"/>
                <w:kern w:val="0"/>
                <w:sz w:val="24"/>
                <w:szCs w:val="24"/>
                <w:highlight w:val="none"/>
                <w:lang w:val="en-US" w:eastAsia="zh-CN" w:bidi="ar-SA"/>
              </w:rPr>
            </w:pPr>
          </w:p>
        </w:tc>
        <w:tc>
          <w:tcPr>
            <w:tcW w:w="1292" w:type="dxa"/>
            <w:vAlign w:val="center"/>
          </w:tcPr>
          <w:p w14:paraId="726E863D">
            <w:pPr>
              <w:kinsoku/>
              <w:wordWrap/>
              <w:overflowPunct/>
              <w:topLinePunct w:val="0"/>
              <w:bidi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0D3B66EE">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92" w:type="dxa"/>
            <w:vAlign w:val="center"/>
          </w:tcPr>
          <w:p w14:paraId="271ECF29">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p>
        </w:tc>
      </w:tr>
      <w:tr w14:paraId="3163C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592" w:type="dxa"/>
            <w:vAlign w:val="center"/>
          </w:tcPr>
          <w:p w14:paraId="42F39781">
            <w:pPr>
              <w:kinsoku/>
              <w:wordWrap/>
              <w:overflowPunct/>
              <w:topLinePunct w:val="0"/>
              <w:bidi w:val="0"/>
              <w:spacing w:line="360" w:lineRule="auto"/>
              <w:jc w:val="center"/>
              <w:rPr>
                <w:rFonts w:hint="default"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color w:val="auto"/>
                <w:kern w:val="2"/>
                <w:sz w:val="24"/>
                <w:szCs w:val="24"/>
                <w:highlight w:val="none"/>
                <w:lang w:val="en-US" w:eastAsia="zh-CN" w:bidi="ar-SA"/>
              </w:rPr>
              <w:t>6</w:t>
            </w:r>
          </w:p>
        </w:tc>
        <w:tc>
          <w:tcPr>
            <w:tcW w:w="4000" w:type="dxa"/>
            <w:vAlign w:val="center"/>
          </w:tcPr>
          <w:p w14:paraId="11948A7A">
            <w:pPr>
              <w:kinsoku/>
              <w:wordWrap/>
              <w:overflowPunct/>
              <w:topLinePunct w:val="0"/>
              <w:bidi w:val="0"/>
              <w:snapToGrid w:val="0"/>
              <w:spacing w:line="360" w:lineRule="auto"/>
              <w:jc w:val="left"/>
              <w:rPr>
                <w:rFonts w:cs="仿宋" w:asciiTheme="majorEastAsia" w:hAnsiTheme="majorEastAsia" w:eastAsiaTheme="majorEastAsia"/>
                <w:bCs/>
                <w:kern w:val="2"/>
                <w:sz w:val="24"/>
                <w:szCs w:val="24"/>
                <w:highlight w:val="none"/>
                <w:lang w:val="en-US" w:eastAsia="zh-CN" w:bidi="ar-SA"/>
              </w:rPr>
            </w:pPr>
            <w:r>
              <w:rPr>
                <w:rFonts w:hint="eastAsia" w:cs="仿宋" w:asciiTheme="majorEastAsia" w:hAnsiTheme="majorEastAsia" w:eastAsiaTheme="majorEastAsia"/>
                <w:bCs/>
                <w:color w:val="auto"/>
                <w:sz w:val="24"/>
                <w:highlight w:val="none"/>
              </w:rPr>
              <w:t>按有关法律、法规、规章不属于投标无效的。</w:t>
            </w:r>
          </w:p>
        </w:tc>
        <w:tc>
          <w:tcPr>
            <w:tcW w:w="2453" w:type="dxa"/>
            <w:vAlign w:val="center"/>
          </w:tcPr>
          <w:p w14:paraId="7EE09D91">
            <w:pPr>
              <w:kinsoku/>
              <w:wordWrap/>
              <w:overflowPunct/>
              <w:topLinePunct w:val="0"/>
              <w:bidi w:val="0"/>
              <w:spacing w:line="360" w:lineRule="auto"/>
              <w:rPr>
                <w:rFonts w:cs="仿宋" w:asciiTheme="majorEastAsia" w:hAnsiTheme="majorEastAsia" w:eastAsiaTheme="majorEastAsia"/>
                <w:kern w:val="0"/>
                <w:sz w:val="24"/>
                <w:szCs w:val="24"/>
                <w:highlight w:val="none"/>
                <w:lang w:val="en-US" w:eastAsia="zh-CN" w:bidi="ar-SA"/>
              </w:rPr>
            </w:pPr>
          </w:p>
        </w:tc>
        <w:tc>
          <w:tcPr>
            <w:tcW w:w="1292" w:type="dxa"/>
            <w:vAlign w:val="center"/>
          </w:tcPr>
          <w:p w14:paraId="28C4A41C">
            <w:pPr>
              <w:kinsoku/>
              <w:wordWrap/>
              <w:overflowPunct/>
              <w:topLinePunct w:val="0"/>
              <w:bidi w:val="0"/>
              <w:spacing w:line="360" w:lineRule="auto"/>
              <w:rPr>
                <w:rFonts w:cs="仿宋" w:asciiTheme="majorEastAsia" w:hAnsiTheme="majorEastAsia" w:eastAsiaTheme="majorEastAsia"/>
                <w:color w:val="auto"/>
                <w:sz w:val="24"/>
                <w:highlight w:val="none"/>
              </w:rPr>
            </w:pPr>
            <w:r>
              <w:rPr>
                <w:rFonts w:hint="eastAsia" w:cs="仿宋" w:asciiTheme="majorEastAsia" w:hAnsiTheme="majorEastAsia" w:eastAsiaTheme="majorEastAsia"/>
                <w:color w:val="auto"/>
                <w:sz w:val="24"/>
                <w:highlight w:val="none"/>
              </w:rPr>
              <w:t xml:space="preserve">□通过 </w:t>
            </w:r>
          </w:p>
          <w:p w14:paraId="3884C7AB">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r>
              <w:rPr>
                <w:rFonts w:hint="eastAsia" w:cs="仿宋" w:asciiTheme="majorEastAsia" w:hAnsiTheme="majorEastAsia" w:eastAsiaTheme="majorEastAsia"/>
                <w:color w:val="auto"/>
                <w:sz w:val="24"/>
                <w:highlight w:val="none"/>
              </w:rPr>
              <w:t>□不通过</w:t>
            </w:r>
          </w:p>
        </w:tc>
        <w:tc>
          <w:tcPr>
            <w:tcW w:w="1792" w:type="dxa"/>
            <w:vAlign w:val="center"/>
          </w:tcPr>
          <w:p w14:paraId="6D4A93A7">
            <w:pPr>
              <w:kinsoku/>
              <w:wordWrap/>
              <w:overflowPunct/>
              <w:topLinePunct w:val="0"/>
              <w:bidi w:val="0"/>
              <w:spacing w:line="360" w:lineRule="auto"/>
              <w:rPr>
                <w:rFonts w:cs="仿宋" w:asciiTheme="majorEastAsia" w:hAnsiTheme="majorEastAsia" w:eastAsiaTheme="majorEastAsia"/>
                <w:kern w:val="2"/>
                <w:sz w:val="24"/>
                <w:szCs w:val="24"/>
                <w:highlight w:val="none"/>
                <w:lang w:val="en-US" w:eastAsia="zh-CN" w:bidi="ar-SA"/>
              </w:rPr>
            </w:pPr>
          </w:p>
        </w:tc>
      </w:tr>
      <w:tr w14:paraId="6597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2" w:type="dxa"/>
            <w:vAlign w:val="center"/>
          </w:tcPr>
          <w:p w14:paraId="3597C568">
            <w:pPr>
              <w:kinsoku/>
              <w:wordWrap/>
              <w:overflowPunct/>
              <w:topLinePunct w:val="0"/>
              <w:bidi w:val="0"/>
              <w:spacing w:line="360" w:lineRule="auto"/>
              <w:jc w:val="center"/>
              <w:rPr>
                <w:rFonts w:cs="仿宋" w:asciiTheme="majorEastAsia" w:hAnsiTheme="majorEastAsia" w:eastAsiaTheme="majorEastAsia"/>
                <w:sz w:val="24"/>
                <w:highlight w:val="none"/>
              </w:rPr>
            </w:pPr>
          </w:p>
        </w:tc>
        <w:tc>
          <w:tcPr>
            <w:tcW w:w="4000" w:type="dxa"/>
            <w:vAlign w:val="center"/>
          </w:tcPr>
          <w:p w14:paraId="3361B8A2">
            <w:pPr>
              <w:kinsoku/>
              <w:wordWrap/>
              <w:overflowPunct/>
              <w:topLinePunct w:val="0"/>
              <w:bidi w:val="0"/>
              <w:spacing w:line="360" w:lineRule="auto"/>
              <w:rPr>
                <w:rFonts w:hint="default" w:cs="仿宋" w:asciiTheme="majorEastAsia" w:hAnsiTheme="majorEastAsia" w:eastAsiaTheme="majorEastAsia"/>
                <w:sz w:val="24"/>
                <w:highlight w:val="none"/>
                <w:lang w:val="en-US" w:eastAsia="zh-CN"/>
              </w:rPr>
            </w:pPr>
            <w:r>
              <w:rPr>
                <w:rFonts w:hint="eastAsia" w:cs="仿宋" w:asciiTheme="majorEastAsia" w:hAnsiTheme="majorEastAsia" w:eastAsiaTheme="majorEastAsia"/>
                <w:color w:val="auto"/>
                <w:sz w:val="24"/>
                <w:highlight w:val="none"/>
                <w:lang w:val="en-US" w:eastAsia="zh-CN"/>
              </w:rPr>
              <w:t>..........</w:t>
            </w:r>
          </w:p>
        </w:tc>
        <w:tc>
          <w:tcPr>
            <w:tcW w:w="2453" w:type="dxa"/>
            <w:vAlign w:val="center"/>
          </w:tcPr>
          <w:p w14:paraId="43065AEB">
            <w:pPr>
              <w:kinsoku/>
              <w:wordWrap/>
              <w:overflowPunct/>
              <w:topLinePunct w:val="0"/>
              <w:bidi w:val="0"/>
              <w:spacing w:line="360" w:lineRule="auto"/>
              <w:rPr>
                <w:rFonts w:cs="仿宋" w:asciiTheme="majorEastAsia" w:hAnsiTheme="majorEastAsia" w:eastAsiaTheme="majorEastAsia"/>
                <w:kern w:val="0"/>
                <w:sz w:val="24"/>
                <w:highlight w:val="none"/>
              </w:rPr>
            </w:pPr>
          </w:p>
        </w:tc>
        <w:tc>
          <w:tcPr>
            <w:tcW w:w="1292" w:type="dxa"/>
            <w:vAlign w:val="top"/>
          </w:tcPr>
          <w:p w14:paraId="58838E3A">
            <w:pPr>
              <w:kinsoku/>
              <w:wordWrap/>
              <w:overflowPunct/>
              <w:topLinePunct w:val="0"/>
              <w:bidi w:val="0"/>
              <w:spacing w:line="360" w:lineRule="auto"/>
              <w:rPr>
                <w:rFonts w:cs="仿宋" w:asciiTheme="majorEastAsia" w:hAnsiTheme="majorEastAsia" w:eastAsiaTheme="majorEastAsia"/>
                <w:sz w:val="24"/>
                <w:highlight w:val="none"/>
              </w:rPr>
            </w:pPr>
          </w:p>
        </w:tc>
        <w:tc>
          <w:tcPr>
            <w:tcW w:w="1792" w:type="dxa"/>
            <w:vAlign w:val="center"/>
          </w:tcPr>
          <w:p w14:paraId="1E99E6C3">
            <w:pPr>
              <w:kinsoku/>
              <w:wordWrap/>
              <w:overflowPunct/>
              <w:topLinePunct w:val="0"/>
              <w:bidi w:val="0"/>
              <w:spacing w:line="360" w:lineRule="auto"/>
              <w:rPr>
                <w:rFonts w:cs="仿宋" w:asciiTheme="majorEastAsia" w:hAnsiTheme="majorEastAsia" w:eastAsiaTheme="majorEastAsia"/>
                <w:sz w:val="24"/>
                <w:highlight w:val="none"/>
              </w:rPr>
            </w:pPr>
          </w:p>
        </w:tc>
      </w:tr>
    </w:tbl>
    <w:p w14:paraId="2F9C68AD">
      <w:pPr>
        <w:kinsoku/>
        <w:wordWrap/>
        <w:overflowPunct/>
        <w:topLinePunct w:val="0"/>
        <w:bidi w:val="0"/>
        <w:snapToGrid w:val="0"/>
        <w:spacing w:line="360" w:lineRule="auto"/>
        <w:jc w:val="left"/>
        <w:rPr>
          <w:rFonts w:cs="仿宋" w:asciiTheme="majorEastAsia" w:hAnsiTheme="majorEastAsia" w:eastAsiaTheme="majorEastAsia"/>
          <w:b/>
          <w:sz w:val="32"/>
          <w:szCs w:val="32"/>
          <w:highlight w:val="none"/>
        </w:rPr>
      </w:pPr>
      <w:r>
        <w:rPr>
          <w:rFonts w:hint="eastAsia" w:cs="仿宋" w:asciiTheme="majorEastAsia" w:hAnsiTheme="majorEastAsia" w:eastAsiaTheme="majorEastAsia"/>
          <w:b/>
          <w:sz w:val="24"/>
          <w:highlight w:val="none"/>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5B0C036D">
      <w:pPr>
        <w:numPr>
          <w:ilvl w:val="0"/>
          <w:numId w:val="10"/>
        </w:numPr>
        <w:kinsoku/>
        <w:wordWrap/>
        <w:overflowPunct/>
        <w:topLinePunct w:val="0"/>
        <w:bidi w:val="0"/>
        <w:snapToGrid w:val="0"/>
        <w:spacing w:line="360" w:lineRule="auto"/>
        <w:jc w:val="center"/>
        <w:outlineLvl w:val="0"/>
        <w:rPr>
          <w:rFonts w:cs="仿宋" w:asciiTheme="majorEastAsia" w:hAnsiTheme="majorEastAsia" w:eastAsiaTheme="majorEastAsia"/>
          <w:b/>
          <w:sz w:val="32"/>
          <w:szCs w:val="32"/>
          <w:highlight w:val="none"/>
        </w:rPr>
      </w:pPr>
      <w:r>
        <w:rPr>
          <w:rFonts w:hint="eastAsia" w:cs="仿宋" w:asciiTheme="majorEastAsia" w:hAnsiTheme="majorEastAsia" w:eastAsiaTheme="majorEastAsia"/>
          <w:b/>
          <w:kern w:val="0"/>
          <w:sz w:val="32"/>
          <w:szCs w:val="32"/>
          <w:highlight w:val="none"/>
        </w:rPr>
        <w:br w:type="page"/>
      </w:r>
      <w:r>
        <w:rPr>
          <w:rFonts w:hint="eastAsia" w:cs="仿宋" w:asciiTheme="majorEastAsia" w:hAnsiTheme="majorEastAsia" w:eastAsiaTheme="majorEastAsia"/>
          <w:b/>
          <w:kern w:val="0"/>
          <w:sz w:val="32"/>
          <w:szCs w:val="32"/>
          <w:highlight w:val="none"/>
        </w:rPr>
        <w:t>投标</w:t>
      </w:r>
      <w:r>
        <w:rPr>
          <w:rFonts w:hint="eastAsia" w:cs="仿宋" w:asciiTheme="majorEastAsia" w:hAnsiTheme="majorEastAsia" w:eastAsiaTheme="majorEastAsia"/>
          <w:b/>
          <w:sz w:val="32"/>
          <w:szCs w:val="32"/>
          <w:highlight w:val="none"/>
        </w:rPr>
        <w:t>函</w:t>
      </w:r>
    </w:p>
    <w:p w14:paraId="45D2414A">
      <w:pPr>
        <w:kinsoku/>
        <w:wordWrap/>
        <w:overflowPunct/>
        <w:topLinePunct w:val="0"/>
        <w:bidi w:val="0"/>
        <w:snapToGrid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（采购人）、（采购代理机构）：</w:t>
      </w:r>
    </w:p>
    <w:p w14:paraId="00C3058E">
      <w:pPr>
        <w:kinsoku/>
        <w:wordWrap/>
        <w:overflowPunct/>
        <w:topLinePunct w:val="0"/>
        <w:bidi w:val="0"/>
        <w:snapToGrid w:val="0"/>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我方参加你方组织的（项目名称）【项目编号：        】招标的有关活动，并对此项目进行投标。为此：</w:t>
      </w:r>
    </w:p>
    <w:p w14:paraId="58364824">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1、我方承诺投标有效期从提交投标文件的截止之日起</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天（不少于90天）</w:t>
      </w:r>
      <w:r>
        <w:rPr>
          <w:rFonts w:hint="eastAsia" w:cs="仿宋" w:asciiTheme="majorEastAsia" w:hAnsiTheme="majorEastAsia" w:eastAsiaTheme="majorEastAsia"/>
          <w:highlight w:val="none"/>
        </w:rPr>
        <w:t>，</w:t>
      </w:r>
      <w:r>
        <w:rPr>
          <w:rFonts w:hint="eastAsia" w:cs="仿宋" w:asciiTheme="majorEastAsia" w:hAnsiTheme="majorEastAsia" w:eastAsiaTheme="majorEastAsia"/>
          <w:sz w:val="24"/>
          <w:highlight w:val="none"/>
        </w:rPr>
        <w:t>本投标文件在投标有效期满之前均具有约束力。</w:t>
      </w:r>
    </w:p>
    <w:p w14:paraId="29ADC749">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2、我方的投标文件包括以下内容：</w:t>
      </w:r>
    </w:p>
    <w:p w14:paraId="239C7154">
      <w:pPr>
        <w:kinsoku/>
        <w:wordWrap/>
        <w:overflowPunct/>
        <w:topLinePunct w:val="0"/>
        <w:bidi w:val="0"/>
        <w:snapToGrid w:val="0"/>
        <w:spacing w:line="360" w:lineRule="auto"/>
        <w:ind w:left="210" w:leftChars="100"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2.1资格文件：</w:t>
      </w:r>
    </w:p>
    <w:p w14:paraId="70DD9034">
      <w:pPr>
        <w:kinsoku/>
        <w:wordWrap/>
        <w:overflowPunct/>
        <w:topLinePunct w:val="0"/>
        <w:bidi w:val="0"/>
        <w:snapToGrid w:val="0"/>
        <w:spacing w:line="360" w:lineRule="auto"/>
        <w:ind w:left="210" w:leftChars="100" w:firstLine="480" w:firstLineChars="200"/>
        <w:rPr>
          <w:rFonts w:cs="仿宋" w:asciiTheme="majorEastAsia" w:hAnsiTheme="majorEastAsia" w:eastAsiaTheme="majorEastAsia"/>
          <w:sz w:val="24"/>
          <w:highlight w:val="none"/>
          <w:lang w:val="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zh-CN"/>
        </w:rPr>
        <w:t>.</w:t>
      </w:r>
      <w:r>
        <w:rPr>
          <w:rFonts w:hint="eastAsia" w:cs="仿宋" w:asciiTheme="majorEastAsia" w:hAnsiTheme="majorEastAsia" w:eastAsiaTheme="majorEastAsia"/>
          <w:sz w:val="24"/>
          <w:highlight w:val="none"/>
        </w:rPr>
        <w:t>2商务技术</w:t>
      </w:r>
      <w:r>
        <w:rPr>
          <w:rFonts w:hint="eastAsia" w:cs="仿宋" w:asciiTheme="majorEastAsia" w:hAnsiTheme="majorEastAsia" w:eastAsiaTheme="majorEastAsia"/>
          <w:sz w:val="24"/>
          <w:highlight w:val="none"/>
          <w:lang w:val="zh-CN"/>
        </w:rPr>
        <w:t>文件：</w:t>
      </w:r>
    </w:p>
    <w:p w14:paraId="076B19A5">
      <w:pPr>
        <w:kinsoku/>
        <w:wordWrap/>
        <w:overflowPunct/>
        <w:topLinePunct w:val="0"/>
        <w:bidi w:val="0"/>
        <w:snapToGrid w:val="0"/>
        <w:spacing w:line="360" w:lineRule="auto"/>
        <w:ind w:left="210" w:leftChars="100" w:firstLine="480" w:firstLineChars="200"/>
        <w:rPr>
          <w:rFonts w:hint="eastAsia" w:eastAsiaTheme="majorEastAsia"/>
          <w:highlight w:val="none"/>
          <w:lang w:val="en-US" w:eastAsia="zh-CN"/>
        </w:rPr>
      </w:pPr>
      <w:r>
        <w:rPr>
          <w:rFonts w:hint="eastAsia" w:cs="仿宋" w:asciiTheme="majorEastAsia" w:hAnsiTheme="majorEastAsia" w:eastAsiaTheme="majorEastAsia"/>
          <w:sz w:val="24"/>
          <w:highlight w:val="none"/>
        </w:rPr>
        <w:t>2</w:t>
      </w:r>
      <w:r>
        <w:rPr>
          <w:rFonts w:hint="eastAsia" w:cs="仿宋" w:asciiTheme="majorEastAsia" w:hAnsiTheme="majorEastAsia" w:eastAsiaTheme="majorEastAsia"/>
          <w:sz w:val="24"/>
          <w:highlight w:val="none"/>
          <w:lang w:val="zh-CN"/>
        </w:rPr>
        <w:t>.</w:t>
      </w:r>
      <w:r>
        <w:rPr>
          <w:rFonts w:hint="eastAsia" w:cs="仿宋" w:asciiTheme="majorEastAsia" w:hAnsiTheme="majorEastAsia" w:eastAsiaTheme="majorEastAsia"/>
          <w:sz w:val="24"/>
          <w:highlight w:val="none"/>
        </w:rPr>
        <w:t>3报价文件</w:t>
      </w:r>
      <w:r>
        <w:rPr>
          <w:rFonts w:hint="eastAsia" w:cs="仿宋" w:asciiTheme="majorEastAsia" w:hAnsiTheme="majorEastAsia" w:eastAsiaTheme="majorEastAsia"/>
          <w:sz w:val="24"/>
          <w:highlight w:val="none"/>
          <w:lang w:eastAsia="zh-CN"/>
        </w:rPr>
        <w:t>。</w:t>
      </w:r>
    </w:p>
    <w:p w14:paraId="76CFA18B">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3、我方承诺除商务响应表、技术或服务偏离表列出的偏离外，我方响应招标文件的全部要求。</w:t>
      </w:r>
    </w:p>
    <w:p w14:paraId="2AD2F8B5">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4、如我方中标，我方承诺：</w:t>
      </w:r>
    </w:p>
    <w:p w14:paraId="39F281B5">
      <w:pPr>
        <w:kinsoku/>
        <w:wordWrap/>
        <w:overflowPunct/>
        <w:topLinePunct w:val="0"/>
        <w:bidi w:val="0"/>
        <w:snapToGrid w:val="0"/>
        <w:spacing w:line="360" w:lineRule="auto"/>
        <w:ind w:left="210" w:leftChars="100"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4.1在收到中标通知书后，在中标通知书规定的期限内与你方签订合同； </w:t>
      </w:r>
    </w:p>
    <w:p w14:paraId="30F39899">
      <w:pPr>
        <w:kinsoku/>
        <w:wordWrap/>
        <w:overflowPunct/>
        <w:topLinePunct w:val="0"/>
        <w:bidi w:val="0"/>
        <w:snapToGrid w:val="0"/>
        <w:spacing w:line="360" w:lineRule="auto"/>
        <w:ind w:left="210" w:leftChars="100"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4.2在签订合同时不向你方提出附加条件； </w:t>
      </w:r>
    </w:p>
    <w:p w14:paraId="2617302A">
      <w:pPr>
        <w:kinsoku/>
        <w:wordWrap/>
        <w:overflowPunct/>
        <w:topLinePunct w:val="0"/>
        <w:bidi w:val="0"/>
        <w:snapToGrid w:val="0"/>
        <w:spacing w:line="360" w:lineRule="auto"/>
        <w:ind w:left="210" w:leftChars="100"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4.3按照招标文件要求提交履约保证金； </w:t>
      </w:r>
    </w:p>
    <w:p w14:paraId="67F71D14">
      <w:pPr>
        <w:kinsoku/>
        <w:wordWrap/>
        <w:overflowPunct/>
        <w:topLinePunct w:val="0"/>
        <w:bidi w:val="0"/>
        <w:snapToGrid w:val="0"/>
        <w:spacing w:line="360" w:lineRule="auto"/>
        <w:ind w:left="210" w:leftChars="100"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4.4在合同约定的期限内完成合同规定的全部义务。 </w:t>
      </w:r>
    </w:p>
    <w:p w14:paraId="74F5FD47">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5、其他补充说明: </w:t>
      </w:r>
      <w:r>
        <w:rPr>
          <w:rFonts w:hint="eastAsia" w:cs="仿宋" w:asciiTheme="majorEastAsia" w:hAnsiTheme="majorEastAsia" w:eastAsiaTheme="majorEastAsia"/>
          <w:sz w:val="24"/>
          <w:highlight w:val="none"/>
          <w:u w:val="single"/>
        </w:rPr>
        <w:t xml:space="preserve">                                      </w:t>
      </w:r>
      <w:r>
        <w:rPr>
          <w:rFonts w:hint="eastAsia" w:cs="仿宋" w:asciiTheme="majorEastAsia" w:hAnsiTheme="majorEastAsia" w:eastAsiaTheme="majorEastAsia"/>
          <w:sz w:val="24"/>
          <w:highlight w:val="none"/>
        </w:rPr>
        <w:t xml:space="preserve"> 。</w:t>
      </w:r>
    </w:p>
    <w:p w14:paraId="353845F7">
      <w:pPr>
        <w:kinsoku/>
        <w:wordWrap/>
        <w:overflowPunct/>
        <w:topLinePunct w:val="0"/>
        <w:bidi w:val="0"/>
        <w:spacing w:line="360" w:lineRule="auto"/>
        <w:ind w:firstLine="3600" w:firstLineChars="1500"/>
        <w:rPr>
          <w:rFonts w:cs="仿宋" w:asciiTheme="majorEastAsia" w:hAnsiTheme="majorEastAsia" w:eastAsiaTheme="majorEastAsia"/>
          <w:sz w:val="24"/>
          <w:highlight w:val="none"/>
        </w:rPr>
      </w:pPr>
    </w:p>
    <w:p w14:paraId="5437D6F1">
      <w:pPr>
        <w:kinsoku/>
        <w:wordWrap/>
        <w:overflowPunct/>
        <w:topLinePunct w:val="0"/>
        <w:bidi w:val="0"/>
        <w:spacing w:line="360" w:lineRule="auto"/>
        <w:ind w:firstLine="3600" w:firstLineChars="1500"/>
        <w:rPr>
          <w:rFonts w:cs="仿宋" w:asciiTheme="majorEastAsia" w:hAnsiTheme="majorEastAsia" w:eastAsiaTheme="majorEastAsia"/>
          <w:sz w:val="24"/>
          <w:highlight w:val="none"/>
        </w:rPr>
      </w:pPr>
    </w:p>
    <w:p w14:paraId="5684DA86">
      <w:pPr>
        <w:kinsoku/>
        <w:wordWrap/>
        <w:overflowPunct/>
        <w:topLinePunct w:val="0"/>
        <w:bidi w:val="0"/>
        <w:adjustRightInd w:val="0"/>
        <w:snapToGrid w:val="0"/>
        <w:spacing w:line="360" w:lineRule="auto"/>
        <w:ind w:firstLine="2880" w:firstLineChars="12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法定代表人或其授权委托人（签名或印章）：</w:t>
      </w:r>
    </w:p>
    <w:p w14:paraId="18D71B9A">
      <w:pPr>
        <w:kinsoku/>
        <w:wordWrap/>
        <w:overflowPunct/>
        <w:topLinePunct w:val="0"/>
        <w:bidi w:val="0"/>
        <w:adjustRightInd w:val="0"/>
        <w:snapToGrid w:val="0"/>
        <w:spacing w:line="360" w:lineRule="auto"/>
        <w:ind w:firstLine="4080" w:firstLineChars="17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投标人（盖章）：</w:t>
      </w:r>
    </w:p>
    <w:p w14:paraId="23416F8F">
      <w:pPr>
        <w:kinsoku/>
        <w:wordWrap/>
        <w:overflowPunct/>
        <w:topLinePunct w:val="0"/>
        <w:bidi w:val="0"/>
        <w:adjustRightInd w:val="0"/>
        <w:snapToGrid w:val="0"/>
        <w:spacing w:line="360" w:lineRule="auto"/>
        <w:rPr>
          <w:rFonts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w:t>
      </w:r>
    </w:p>
    <w:p w14:paraId="76B7C676">
      <w:pPr>
        <w:kinsoku/>
        <w:wordWrap/>
        <w:overflowPunct/>
        <w:topLinePunct w:val="0"/>
        <w:bidi w:val="0"/>
        <w:spacing w:line="360" w:lineRule="auto"/>
        <w:jc w:val="center"/>
        <w:rPr>
          <w:rFonts w:cs="仿宋" w:asciiTheme="majorEastAsia" w:hAnsiTheme="majorEastAsia" w:eastAsiaTheme="majorEastAsia"/>
          <w:b/>
          <w:kern w:val="0"/>
          <w:sz w:val="32"/>
          <w:szCs w:val="32"/>
          <w:highlight w:val="none"/>
        </w:rPr>
      </w:pPr>
    </w:p>
    <w:p w14:paraId="549278B5">
      <w:pPr>
        <w:kinsoku/>
        <w:wordWrap/>
        <w:overflowPunct/>
        <w:topLinePunct w:val="0"/>
        <w:bidi w:val="0"/>
        <w:spacing w:line="360" w:lineRule="auto"/>
        <w:jc w:val="center"/>
        <w:rPr>
          <w:rFonts w:cs="仿宋" w:asciiTheme="majorEastAsia" w:hAnsiTheme="majorEastAsia" w:eastAsiaTheme="majorEastAsia"/>
          <w:b/>
          <w:kern w:val="0"/>
          <w:sz w:val="32"/>
          <w:szCs w:val="32"/>
          <w:highlight w:val="none"/>
          <w:lang w:val="zh-CN"/>
        </w:rPr>
      </w:pPr>
    </w:p>
    <w:p w14:paraId="26ADDA9A">
      <w:pPr>
        <w:kinsoku/>
        <w:wordWrap/>
        <w:overflowPunct/>
        <w:topLinePunct w:val="0"/>
        <w:bidi w:val="0"/>
        <w:spacing w:line="360" w:lineRule="auto"/>
        <w:rPr>
          <w:rFonts w:cs="仿宋" w:asciiTheme="majorEastAsia" w:hAnsiTheme="majorEastAsia" w:eastAsiaTheme="majorEastAsia"/>
          <w:b/>
          <w:sz w:val="32"/>
          <w:szCs w:val="32"/>
          <w:highlight w:val="none"/>
        </w:rPr>
      </w:pPr>
      <w:bookmarkStart w:id="440" w:name="_Toc483379796"/>
      <w:bookmarkStart w:id="441" w:name="_Toc225223761"/>
      <w:bookmarkStart w:id="442" w:name="_Toc479927873"/>
      <w:bookmarkStart w:id="443" w:name="_Toc14746861"/>
      <w:bookmarkStart w:id="444" w:name="_Toc488936100"/>
      <w:bookmarkStart w:id="445" w:name="_Toc110393361"/>
    </w:p>
    <w:p w14:paraId="06E96CB5">
      <w:pPr>
        <w:numPr>
          <w:ilvl w:val="0"/>
          <w:numId w:val="10"/>
        </w:numPr>
        <w:snapToGrid w:val="0"/>
        <w:spacing w:line="360" w:lineRule="auto"/>
        <w:jc w:val="center"/>
        <w:outlineLvl w:val="0"/>
        <w:rPr>
          <w:rFonts w:ascii="宋体" w:hAnsi="宋体" w:eastAsia="宋体" w:cs="仿宋"/>
          <w:b/>
          <w:kern w:val="0"/>
          <w:sz w:val="32"/>
          <w:szCs w:val="32"/>
          <w:highlight w:val="none"/>
          <w:lang w:val="zh-CN"/>
        </w:rPr>
      </w:pPr>
      <w:r>
        <w:rPr>
          <w:rFonts w:hint="eastAsia" w:cs="仿宋" w:asciiTheme="majorEastAsia" w:hAnsiTheme="majorEastAsia" w:eastAsiaTheme="majorEastAsia"/>
          <w:b/>
          <w:kern w:val="0"/>
          <w:sz w:val="32"/>
          <w:szCs w:val="32"/>
          <w:highlight w:val="none"/>
          <w:lang w:val="zh-CN"/>
        </w:rPr>
        <w:br w:type="page"/>
      </w:r>
      <w:bookmarkEnd w:id="440"/>
      <w:bookmarkEnd w:id="441"/>
      <w:bookmarkEnd w:id="442"/>
      <w:bookmarkEnd w:id="443"/>
      <w:bookmarkEnd w:id="444"/>
      <w:bookmarkEnd w:id="445"/>
      <w:r>
        <w:rPr>
          <w:rFonts w:hint="eastAsia" w:ascii="宋体" w:hAnsi="宋体" w:eastAsia="宋体" w:cs="仿宋"/>
          <w:b/>
          <w:kern w:val="0"/>
          <w:sz w:val="32"/>
          <w:szCs w:val="32"/>
          <w:highlight w:val="none"/>
          <w:lang w:val="zh-CN"/>
        </w:rPr>
        <w:t>授权委托书</w:t>
      </w:r>
    </w:p>
    <w:p w14:paraId="282F0C24">
      <w:pPr>
        <w:jc w:val="center"/>
        <w:rPr>
          <w:rFonts w:ascii="宋体" w:hAnsi="宋体" w:cs="宋体"/>
          <w:b/>
          <w:sz w:val="32"/>
          <w:szCs w:val="32"/>
          <w:highlight w:val="none"/>
        </w:rPr>
      </w:pPr>
      <w:r>
        <w:rPr>
          <w:rFonts w:hint="eastAsia" w:ascii="宋体" w:hAnsi="宋体" w:cs="宋体"/>
          <w:b/>
          <w:sz w:val="32"/>
          <w:szCs w:val="32"/>
          <w:highlight w:val="none"/>
        </w:rPr>
        <w:t>法定代表人授权委托书</w:t>
      </w:r>
    </w:p>
    <w:p w14:paraId="3C3125ED">
      <w:pPr>
        <w:jc w:val="center"/>
        <w:rPr>
          <w:rFonts w:ascii="宋体" w:hAnsi="宋体" w:cs="宋体"/>
          <w:b/>
          <w:sz w:val="32"/>
          <w:szCs w:val="32"/>
          <w:highlight w:val="none"/>
        </w:rPr>
      </w:pPr>
      <w:r>
        <w:rPr>
          <w:rFonts w:hint="eastAsia" w:ascii="宋体" w:hAnsi="宋体" w:cs="宋体"/>
          <w:bCs/>
          <w:sz w:val="24"/>
          <w:highlight w:val="none"/>
          <w:lang w:val="en-US" w:eastAsia="zh-CN"/>
        </w:rPr>
        <w:t xml:space="preserve">   </w:t>
      </w:r>
      <w:r>
        <w:rPr>
          <w:rFonts w:hint="eastAsia" w:ascii="宋体" w:hAnsi="宋体" w:cs="宋体"/>
          <w:bCs/>
          <w:sz w:val="24"/>
          <w:highlight w:val="none"/>
        </w:rPr>
        <w:t>（法定代表人来投标的，此表不用）</w:t>
      </w:r>
    </w:p>
    <w:p w14:paraId="37BC88B6">
      <w:pPr>
        <w:snapToGrid w:val="0"/>
        <w:spacing w:line="360" w:lineRule="auto"/>
        <w:rPr>
          <w:rFonts w:ascii="宋体" w:hAnsi="宋体" w:cs="宋体"/>
          <w:bCs/>
          <w:sz w:val="24"/>
          <w:highlight w:val="none"/>
        </w:rPr>
      </w:pPr>
    </w:p>
    <w:p w14:paraId="72C2533F">
      <w:pPr>
        <w:snapToGrid w:val="0"/>
        <w:spacing w:line="360" w:lineRule="auto"/>
        <w:rPr>
          <w:rFonts w:ascii="宋体" w:hAnsi="宋体" w:cs="宋体"/>
          <w:szCs w:val="21"/>
          <w:highlight w:val="none"/>
        </w:rPr>
      </w:pPr>
      <w:r>
        <w:rPr>
          <w:rFonts w:hint="eastAsia" w:ascii="宋体" w:hAnsi="宋体" w:cs="宋体"/>
          <w:bCs/>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（采购单位名称）</w:t>
      </w:r>
      <w:r>
        <w:rPr>
          <w:rFonts w:hint="eastAsia" w:ascii="宋体" w:hAnsi="宋体" w:cs="宋体"/>
          <w:b/>
          <w:bCs/>
          <w:szCs w:val="21"/>
          <w:highlight w:val="none"/>
        </w:rPr>
        <w:t xml:space="preserve"> </w:t>
      </w:r>
      <w:r>
        <w:rPr>
          <w:rFonts w:hint="eastAsia" w:ascii="宋体" w:hAnsi="宋体" w:cs="宋体"/>
          <w:szCs w:val="21"/>
          <w:highlight w:val="none"/>
        </w:rPr>
        <w:t>：</w:t>
      </w:r>
    </w:p>
    <w:p w14:paraId="6D6E4900">
      <w:pPr>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我</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 xml:space="preserve">（投标人名称）的法定代表人，现授权委托本单位在职职工 </w:t>
      </w:r>
      <w:r>
        <w:rPr>
          <w:rFonts w:hint="eastAsia" w:ascii="宋体" w:hAnsi="宋体" w:cs="宋体"/>
          <w:szCs w:val="21"/>
          <w:highlight w:val="none"/>
          <w:u w:val="single"/>
        </w:rPr>
        <w:t xml:space="preserve">           </w:t>
      </w:r>
      <w:r>
        <w:rPr>
          <w:rFonts w:hint="eastAsia" w:ascii="宋体" w:hAnsi="宋体" w:cs="宋体"/>
          <w:szCs w:val="21"/>
          <w:highlight w:val="none"/>
        </w:rPr>
        <w:t>（姓名）以我方的名义参加</w:t>
      </w:r>
      <w:r>
        <w:rPr>
          <w:rFonts w:hint="eastAsia" w:ascii="宋体" w:hAnsi="宋体" w:cs="宋体"/>
          <w:szCs w:val="21"/>
          <w:highlight w:val="none"/>
          <w:u w:val="single"/>
        </w:rPr>
        <w:t xml:space="preserve">                       政府采购 </w:t>
      </w:r>
      <w:r>
        <w:rPr>
          <w:rFonts w:hint="eastAsia" w:ascii="宋体" w:hAnsi="宋体" w:cs="宋体"/>
          <w:szCs w:val="21"/>
          <w:highlight w:val="none"/>
        </w:rPr>
        <w:t>项目的投标活动，并代表我方全权办理针对上述项目的投标、开标、评标、签约等具体事务和签署相关文件。</w:t>
      </w:r>
    </w:p>
    <w:p w14:paraId="4A735F46">
      <w:pPr>
        <w:snapToGrid w:val="0"/>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我方对被授权人的签名事项负全部责任。</w:t>
      </w:r>
    </w:p>
    <w:p w14:paraId="0317C1A9">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在撤销授权的书面通知以前，本授权书一直有效。被授权人在授权书有效期内签署的所有文件不因授权的撤销而失效。</w:t>
      </w:r>
    </w:p>
    <w:p w14:paraId="4D35E861">
      <w:pPr>
        <w:snapToGrid w:val="0"/>
        <w:spacing w:line="360" w:lineRule="auto"/>
        <w:ind w:firstLine="480"/>
        <w:rPr>
          <w:rFonts w:ascii="宋体" w:hAnsi="宋体" w:cs="宋体"/>
          <w:szCs w:val="21"/>
          <w:highlight w:val="none"/>
        </w:rPr>
      </w:pPr>
      <w:r>
        <w:rPr>
          <w:rFonts w:hint="eastAsia" w:ascii="宋体" w:hAnsi="宋体" w:cs="宋体"/>
          <w:szCs w:val="21"/>
          <w:highlight w:val="none"/>
        </w:rPr>
        <w:t>被授权人无转委托权，特此委托。</w:t>
      </w:r>
    </w:p>
    <w:p w14:paraId="6939D074">
      <w:pPr>
        <w:snapToGrid w:val="0"/>
        <w:spacing w:line="360" w:lineRule="auto"/>
        <w:rPr>
          <w:rFonts w:ascii="宋体" w:hAnsi="宋体" w:cs="宋体"/>
          <w:szCs w:val="21"/>
          <w:highlight w:val="none"/>
        </w:rPr>
      </w:pPr>
    </w:p>
    <w:p w14:paraId="104D28C8">
      <w:pPr>
        <w:snapToGrid w:val="0"/>
        <w:spacing w:line="360" w:lineRule="auto"/>
        <w:rPr>
          <w:rFonts w:ascii="宋体" w:hAnsi="宋体" w:cs="宋体"/>
          <w:szCs w:val="21"/>
          <w:highlight w:val="none"/>
        </w:rPr>
      </w:pPr>
    </w:p>
    <w:p w14:paraId="0D559075">
      <w:pPr>
        <w:snapToGrid w:val="0"/>
        <w:spacing w:line="360" w:lineRule="auto"/>
        <w:rPr>
          <w:rFonts w:ascii="宋体" w:hAnsi="宋体" w:cs="宋体"/>
          <w:szCs w:val="21"/>
          <w:highlight w:val="none"/>
          <w:u w:val="single"/>
        </w:rPr>
      </w:pPr>
      <w:r>
        <w:rPr>
          <w:rFonts w:hint="eastAsia" w:ascii="宋体" w:hAnsi="宋体" w:cs="宋体"/>
          <w:szCs w:val="21"/>
          <w:highlight w:val="none"/>
        </w:rPr>
        <w:t>被授权人签名：</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法定代表人签名：</w:t>
      </w:r>
      <w:r>
        <w:rPr>
          <w:rFonts w:hint="eastAsia" w:ascii="宋体" w:hAnsi="宋体" w:cs="宋体"/>
          <w:szCs w:val="21"/>
          <w:highlight w:val="none"/>
          <w:u w:val="single"/>
        </w:rPr>
        <w:t xml:space="preserve">          </w:t>
      </w:r>
    </w:p>
    <w:p w14:paraId="276378A6">
      <w:pPr>
        <w:snapToGrid w:val="0"/>
        <w:spacing w:line="360" w:lineRule="auto"/>
        <w:ind w:firstLine="840" w:firstLineChars="400"/>
        <w:rPr>
          <w:rFonts w:ascii="宋体" w:hAnsi="宋体" w:cs="宋体"/>
          <w:szCs w:val="21"/>
          <w:highlight w:val="none"/>
        </w:rPr>
      </w:pP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70736F6B">
      <w:pPr>
        <w:snapToGrid w:val="0"/>
        <w:spacing w:line="360" w:lineRule="auto"/>
        <w:rPr>
          <w:rFonts w:ascii="宋体" w:hAnsi="宋体" w:cs="宋体"/>
          <w:szCs w:val="21"/>
          <w:highlight w:val="none"/>
        </w:rPr>
      </w:pPr>
      <w:r>
        <w:rPr>
          <w:rFonts w:hint="eastAsia" w:ascii="宋体" w:hAnsi="宋体" w:cs="宋体"/>
          <w:szCs w:val="21"/>
          <w:highlight w:val="none"/>
        </w:rPr>
        <w:t>被授权人身份证号码：</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465DF385">
      <w:pPr>
        <w:snapToGrid w:val="0"/>
        <w:spacing w:line="360" w:lineRule="auto"/>
        <w:rPr>
          <w:rFonts w:ascii="宋体" w:hAnsi="宋体" w:cs="宋体"/>
          <w:szCs w:val="21"/>
          <w:highlight w:val="none"/>
        </w:rPr>
      </w:pPr>
      <w:r>
        <w:rPr>
          <w:rFonts w:hint="eastAsia" w:ascii="宋体" w:hAnsi="宋体" w:cs="宋体"/>
          <w:szCs w:val="21"/>
          <w:highlight w:val="none"/>
        </w:rPr>
        <w:t xml:space="preserve">                                    </w:t>
      </w:r>
    </w:p>
    <w:p w14:paraId="7687BF90">
      <w:pPr>
        <w:snapToGrid w:val="0"/>
        <w:spacing w:line="360" w:lineRule="auto"/>
        <w:rPr>
          <w:rFonts w:ascii="宋体" w:hAnsi="宋体" w:cs="宋体"/>
          <w:szCs w:val="21"/>
          <w:highlight w:val="none"/>
        </w:rPr>
      </w:pPr>
    </w:p>
    <w:p w14:paraId="17F74190">
      <w:pPr>
        <w:spacing w:line="360" w:lineRule="auto"/>
        <w:ind w:firstLine="4830" w:firstLineChars="2300"/>
        <w:rPr>
          <w:rFonts w:ascii="宋体" w:hAnsi="宋体" w:cs="宋体"/>
          <w:highlight w:val="none"/>
        </w:rPr>
      </w:pPr>
      <w:r>
        <w:rPr>
          <w:rFonts w:hint="eastAsia" w:ascii="宋体" w:hAnsi="宋体" w:cs="宋体"/>
          <w:highlight w:val="none"/>
        </w:rPr>
        <w:t>投标人（盖章）：</w:t>
      </w:r>
    </w:p>
    <w:p w14:paraId="44955F92">
      <w:pPr>
        <w:spacing w:line="360" w:lineRule="auto"/>
        <w:ind w:firstLine="1260" w:firstLineChars="600"/>
        <w:rPr>
          <w:rFonts w:ascii="宋体" w:hAnsi="宋体" w:cs="宋体"/>
          <w:highlight w:val="none"/>
        </w:rPr>
      </w:pPr>
      <w:r>
        <w:rPr>
          <w:rFonts w:hint="eastAsia" w:ascii="宋体" w:hAnsi="宋体" w:cs="宋体"/>
          <w:highlight w:val="none"/>
        </w:rPr>
        <w:t xml:space="preserve">                                  日期：</w:t>
      </w:r>
    </w:p>
    <w:p w14:paraId="069DB025">
      <w:pPr>
        <w:spacing w:line="360" w:lineRule="auto"/>
        <w:rPr>
          <w:rFonts w:ascii="宋体" w:hAnsi="宋体" w:cs="宋体"/>
          <w:b/>
          <w:szCs w:val="21"/>
          <w:highlight w:val="none"/>
        </w:rPr>
      </w:pPr>
    </w:p>
    <w:p w14:paraId="12B9936A">
      <w:pPr>
        <w:spacing w:line="360" w:lineRule="auto"/>
        <w:rPr>
          <w:rFonts w:ascii="宋体" w:hAnsi="宋体" w:cs="宋体"/>
          <w:b/>
          <w:szCs w:val="21"/>
          <w:highlight w:val="none"/>
        </w:rPr>
      </w:pPr>
    </w:p>
    <w:p w14:paraId="240D6E21">
      <w:pPr>
        <w:spacing w:line="360" w:lineRule="auto"/>
        <w:rPr>
          <w:rFonts w:ascii="宋体" w:hAnsi="宋体" w:cs="宋体"/>
          <w:b/>
          <w:szCs w:val="21"/>
          <w:highlight w:val="none"/>
        </w:rPr>
      </w:pPr>
      <w:r>
        <w:rPr>
          <w:rFonts w:hint="eastAsia" w:ascii="宋体" w:hAnsi="宋体" w:cs="宋体"/>
          <w:b/>
          <w:szCs w:val="21"/>
          <w:highlight w:val="none"/>
        </w:rPr>
        <w:t>附：法定代表人身份证复印件（正反面）、授权代表身份证复印件（正反面）：</w:t>
      </w:r>
    </w:p>
    <w:p w14:paraId="06140715">
      <w:pPr>
        <w:snapToGrid w:val="0"/>
        <w:spacing w:line="360" w:lineRule="auto"/>
        <w:rPr>
          <w:rFonts w:ascii="宋体" w:hAnsi="宋体" w:eastAsia="宋体" w:cs="仿宋"/>
          <w:sz w:val="24"/>
          <w:highlight w:val="none"/>
        </w:rPr>
      </w:pPr>
    </w:p>
    <w:p w14:paraId="567C3448">
      <w:pPr>
        <w:spacing w:line="360" w:lineRule="auto"/>
        <w:jc w:val="center"/>
        <w:rPr>
          <w:rFonts w:ascii="宋体" w:hAnsi="宋体" w:eastAsia="宋体" w:cs="仿宋"/>
          <w:kern w:val="0"/>
          <w:sz w:val="24"/>
          <w:highlight w:val="none"/>
          <w:lang w:val="zh-CN"/>
        </w:rPr>
      </w:pPr>
      <w:r>
        <w:rPr>
          <w:rFonts w:hint="eastAsia" w:ascii="宋体" w:hAnsi="宋体" w:eastAsia="宋体" w:cs="仿宋"/>
          <w:b/>
          <w:kern w:val="0"/>
          <w:sz w:val="32"/>
          <w:szCs w:val="32"/>
          <w:highlight w:val="none"/>
          <w:lang w:val="zh-CN"/>
        </w:rPr>
        <w:t xml:space="preserve">      </w:t>
      </w:r>
      <w:r>
        <w:rPr>
          <w:rFonts w:hint="eastAsia" w:ascii="宋体" w:hAnsi="宋体" w:eastAsia="宋体" w:cs="仿宋"/>
          <w:b/>
          <w:kern w:val="0"/>
          <w:sz w:val="32"/>
          <w:szCs w:val="32"/>
          <w:highlight w:val="none"/>
        </w:rPr>
        <w:t xml:space="preserve"> </w:t>
      </w:r>
    </w:p>
    <w:p w14:paraId="61E84264">
      <w:pPr>
        <w:jc w:val="center"/>
        <w:rPr>
          <w:rFonts w:ascii="宋体" w:hAnsi="宋体" w:cs="宋体"/>
          <w:b/>
          <w:sz w:val="32"/>
          <w:szCs w:val="32"/>
          <w:highlight w:val="none"/>
        </w:rPr>
      </w:pPr>
      <w:r>
        <w:rPr>
          <w:rFonts w:hint="eastAsia" w:ascii="宋体" w:hAnsi="宋体" w:eastAsia="宋体" w:cs="仿宋"/>
          <w:b/>
          <w:kern w:val="0"/>
          <w:sz w:val="32"/>
          <w:szCs w:val="32"/>
          <w:highlight w:val="none"/>
          <w:lang w:val="zh-CN"/>
        </w:rPr>
        <w:br w:type="page"/>
      </w:r>
      <w:r>
        <w:rPr>
          <w:rFonts w:hint="eastAsia" w:ascii="宋体" w:hAnsi="宋体" w:cs="宋体"/>
          <w:b/>
          <w:sz w:val="32"/>
          <w:szCs w:val="32"/>
          <w:highlight w:val="none"/>
        </w:rPr>
        <w:t>法定代表人身份证明</w:t>
      </w:r>
    </w:p>
    <w:p w14:paraId="28306166">
      <w:pPr>
        <w:spacing w:line="480" w:lineRule="auto"/>
        <w:jc w:val="center"/>
        <w:rPr>
          <w:rFonts w:ascii="宋体" w:hAnsi="宋体" w:cs="宋体"/>
          <w:bCs/>
          <w:sz w:val="24"/>
          <w:highlight w:val="none"/>
        </w:rPr>
      </w:pPr>
    </w:p>
    <w:p w14:paraId="5E16775D">
      <w:pPr>
        <w:spacing w:line="480" w:lineRule="auto"/>
        <w:jc w:val="center"/>
        <w:rPr>
          <w:rFonts w:ascii="宋体" w:hAnsi="宋体" w:cs="宋体"/>
          <w:b/>
          <w:sz w:val="24"/>
          <w:highlight w:val="none"/>
        </w:rPr>
      </w:pPr>
      <w:r>
        <w:rPr>
          <w:rFonts w:hint="eastAsia" w:ascii="宋体" w:hAnsi="宋体" w:cs="宋体"/>
          <w:bCs/>
          <w:sz w:val="24"/>
          <w:highlight w:val="none"/>
        </w:rPr>
        <w:t>（法定代表人不来投标的，此表不用）</w:t>
      </w:r>
    </w:p>
    <w:p w14:paraId="01642FD0">
      <w:pPr>
        <w:spacing w:line="480" w:lineRule="auto"/>
        <w:ind w:firstLine="420" w:firstLineChars="200"/>
        <w:rPr>
          <w:rFonts w:ascii="宋体" w:hAnsi="宋体" w:cs="宋体"/>
          <w:szCs w:val="21"/>
          <w:highlight w:val="none"/>
        </w:rPr>
      </w:pPr>
      <w:r>
        <w:rPr>
          <w:rFonts w:hint="eastAsia" w:ascii="宋体" w:hAnsi="宋体" w:cs="宋体"/>
          <w:szCs w:val="21"/>
          <w:highlight w:val="none"/>
        </w:rPr>
        <w:t>投标人名称：</w:t>
      </w:r>
      <w:r>
        <w:rPr>
          <w:rFonts w:hint="eastAsia" w:ascii="宋体" w:hAnsi="宋体" w:cs="宋体"/>
          <w:szCs w:val="21"/>
          <w:highlight w:val="none"/>
          <w:u w:val="single"/>
        </w:rPr>
        <w:t xml:space="preserve">                                      </w:t>
      </w:r>
    </w:p>
    <w:p w14:paraId="4A3BA776">
      <w:pPr>
        <w:spacing w:line="48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6A683808">
      <w:pPr>
        <w:spacing w:line="48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58794043">
      <w:pPr>
        <w:spacing w:line="48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A44D64B">
      <w:pPr>
        <w:spacing w:line="48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7E45AB7">
      <w:pPr>
        <w:spacing w:line="48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周岁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_</w:t>
      </w:r>
    </w:p>
    <w:p w14:paraId="5F595CB5">
      <w:pPr>
        <w:spacing w:line="480" w:lineRule="auto"/>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14:paraId="26E823E8">
      <w:pPr>
        <w:spacing w:line="48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（投标人名称）的法定代表人。</w:t>
      </w:r>
    </w:p>
    <w:p w14:paraId="3F8386E4">
      <w:pPr>
        <w:spacing w:line="480" w:lineRule="auto"/>
        <w:ind w:firstLine="840" w:firstLineChars="400"/>
        <w:rPr>
          <w:rFonts w:ascii="宋体" w:hAnsi="宋体" w:cs="宋体"/>
          <w:szCs w:val="21"/>
          <w:highlight w:val="none"/>
        </w:rPr>
      </w:pPr>
      <w:r>
        <w:rPr>
          <w:rFonts w:hint="eastAsia" w:ascii="宋体" w:hAnsi="宋体" w:cs="宋体"/>
          <w:szCs w:val="21"/>
          <w:highlight w:val="none"/>
        </w:rPr>
        <w:t>特此证明。</w:t>
      </w:r>
    </w:p>
    <w:p w14:paraId="2CF59941">
      <w:pPr>
        <w:spacing w:line="360" w:lineRule="auto"/>
        <w:ind w:firstLine="420" w:firstLineChars="200"/>
        <w:rPr>
          <w:rFonts w:ascii="宋体" w:hAnsi="宋体" w:cs="宋体"/>
          <w:szCs w:val="21"/>
          <w:highlight w:val="none"/>
        </w:rPr>
      </w:pPr>
    </w:p>
    <w:p w14:paraId="5203EB27">
      <w:pPr>
        <w:spacing w:line="360" w:lineRule="auto"/>
        <w:ind w:firstLine="420" w:firstLineChars="200"/>
        <w:rPr>
          <w:rFonts w:ascii="宋体" w:hAnsi="宋体" w:cs="宋体"/>
          <w:szCs w:val="21"/>
          <w:highlight w:val="none"/>
        </w:rPr>
      </w:pPr>
    </w:p>
    <w:p w14:paraId="69A9A988">
      <w:pPr>
        <w:wordWrap w:val="0"/>
        <w:spacing w:line="360" w:lineRule="auto"/>
        <w:jc w:val="right"/>
        <w:rPr>
          <w:rFonts w:ascii="宋体" w:hAnsi="宋体" w:cs="宋体"/>
          <w:szCs w:val="21"/>
          <w:highlight w:val="none"/>
        </w:rPr>
      </w:pPr>
      <w:r>
        <w:rPr>
          <w:rFonts w:hint="eastAsia" w:ascii="宋体" w:hAnsi="宋体" w:cs="宋体"/>
          <w:szCs w:val="21"/>
          <w:highlight w:val="none"/>
        </w:rPr>
        <w:t>投标人：</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30C0C7F8">
      <w:pPr>
        <w:spacing w:line="360" w:lineRule="auto"/>
        <w:ind w:firstLine="4515" w:firstLineChars="2150"/>
        <w:rPr>
          <w:rFonts w:ascii="宋体" w:hAnsi="宋体" w:cs="宋体"/>
          <w:szCs w:val="21"/>
          <w:highlight w:val="none"/>
          <w:u w:val="single"/>
        </w:rPr>
      </w:pPr>
    </w:p>
    <w:p w14:paraId="4C6FAE93">
      <w:pPr>
        <w:spacing w:line="360" w:lineRule="auto"/>
        <w:ind w:firstLine="3675" w:firstLineChars="17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19D3A2EE">
      <w:pPr>
        <w:spacing w:line="360" w:lineRule="auto"/>
        <w:rPr>
          <w:rFonts w:ascii="宋体" w:hAnsi="宋体" w:cs="宋体"/>
          <w:sz w:val="24"/>
          <w:highlight w:val="none"/>
        </w:rPr>
      </w:pPr>
    </w:p>
    <w:p w14:paraId="02651C50">
      <w:pPr>
        <w:spacing w:line="360" w:lineRule="auto"/>
        <w:rPr>
          <w:rFonts w:ascii="宋体" w:hAnsi="宋体" w:cs="宋体"/>
          <w:b/>
          <w:szCs w:val="21"/>
          <w:highlight w:val="none"/>
        </w:rPr>
      </w:pPr>
    </w:p>
    <w:p w14:paraId="612E41B8">
      <w:pPr>
        <w:spacing w:line="360" w:lineRule="auto"/>
        <w:rPr>
          <w:rFonts w:ascii="宋体" w:hAnsi="宋体" w:cs="宋体"/>
          <w:b/>
          <w:szCs w:val="21"/>
          <w:highlight w:val="none"/>
        </w:rPr>
      </w:pPr>
    </w:p>
    <w:p w14:paraId="4FD4006E">
      <w:pPr>
        <w:spacing w:line="360" w:lineRule="auto"/>
        <w:jc w:val="center"/>
        <w:rPr>
          <w:rFonts w:ascii="宋体" w:hAnsi="宋体" w:eastAsia="宋体" w:cs="仿宋"/>
          <w:b/>
          <w:kern w:val="0"/>
          <w:sz w:val="32"/>
          <w:szCs w:val="32"/>
          <w:highlight w:val="none"/>
          <w:lang w:val="zh-CN"/>
        </w:rPr>
      </w:pPr>
      <w:r>
        <w:rPr>
          <w:rFonts w:hint="eastAsia" w:ascii="宋体" w:hAnsi="宋体" w:cs="宋体"/>
          <w:b/>
          <w:szCs w:val="21"/>
          <w:highlight w:val="none"/>
        </w:rPr>
        <w:t>附法定代表人身份证复印件（正反面）：</w:t>
      </w:r>
      <w:r>
        <w:rPr>
          <w:rFonts w:hint="eastAsia" w:ascii="宋体" w:hAnsi="宋体" w:eastAsia="宋体" w:cs="仿宋"/>
          <w:sz w:val="24"/>
          <w:highlight w:val="none"/>
        </w:rPr>
        <w:t xml:space="preserve"> </w:t>
      </w:r>
      <w:r>
        <w:rPr>
          <w:rFonts w:hint="eastAsia" w:ascii="宋体" w:hAnsi="宋体" w:eastAsia="宋体" w:cs="仿宋"/>
          <w:b/>
          <w:kern w:val="0"/>
          <w:sz w:val="32"/>
          <w:szCs w:val="32"/>
          <w:highlight w:val="none"/>
          <w:lang w:val="zh-CN"/>
        </w:rPr>
        <w:br w:type="page"/>
      </w:r>
      <w:r>
        <w:rPr>
          <w:rFonts w:hint="eastAsia" w:ascii="宋体" w:hAnsi="宋体" w:eastAsia="宋体" w:cs="仿宋"/>
          <w:b/>
          <w:kern w:val="0"/>
          <w:sz w:val="32"/>
          <w:szCs w:val="32"/>
          <w:highlight w:val="none"/>
          <w:lang w:val="en-US" w:eastAsia="zh-CN"/>
        </w:rPr>
        <w:t>五、</w:t>
      </w:r>
      <w:r>
        <w:rPr>
          <w:rFonts w:hint="eastAsia" w:ascii="宋体" w:hAnsi="宋体" w:eastAsia="宋体" w:cs="仿宋"/>
          <w:b/>
          <w:kern w:val="0"/>
          <w:sz w:val="32"/>
          <w:szCs w:val="32"/>
          <w:highlight w:val="none"/>
          <w:lang w:val="zh-CN"/>
        </w:rPr>
        <w:t>投标人基本情况表</w:t>
      </w:r>
    </w:p>
    <w:tbl>
      <w:tblPr>
        <w:tblStyle w:val="26"/>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2255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232C0350">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投标人名称</w:t>
            </w:r>
          </w:p>
        </w:tc>
        <w:tc>
          <w:tcPr>
            <w:tcW w:w="7647" w:type="dxa"/>
            <w:gridSpan w:val="5"/>
            <w:noWrap w:val="0"/>
            <w:vAlign w:val="center"/>
          </w:tcPr>
          <w:p w14:paraId="0AFF5312">
            <w:pPr>
              <w:adjustRightInd w:val="0"/>
              <w:snapToGrid w:val="0"/>
              <w:spacing w:line="360" w:lineRule="auto"/>
              <w:rPr>
                <w:rFonts w:ascii="宋体" w:hAnsi="宋体" w:eastAsia="宋体" w:cs="仿宋"/>
                <w:kern w:val="0"/>
                <w:sz w:val="24"/>
                <w:highlight w:val="none"/>
                <w:lang w:val="zh-CN"/>
              </w:rPr>
            </w:pPr>
          </w:p>
        </w:tc>
      </w:tr>
      <w:tr w14:paraId="3BEC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1D479FF">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注册地址</w:t>
            </w:r>
          </w:p>
        </w:tc>
        <w:tc>
          <w:tcPr>
            <w:tcW w:w="2809" w:type="dxa"/>
            <w:gridSpan w:val="2"/>
            <w:noWrap w:val="0"/>
            <w:vAlign w:val="center"/>
          </w:tcPr>
          <w:p w14:paraId="22720CAC">
            <w:pPr>
              <w:adjustRightInd w:val="0"/>
              <w:snapToGrid w:val="0"/>
              <w:spacing w:line="360" w:lineRule="auto"/>
              <w:rPr>
                <w:rFonts w:ascii="宋体" w:hAnsi="宋体" w:eastAsia="宋体" w:cs="仿宋"/>
                <w:kern w:val="0"/>
                <w:sz w:val="24"/>
                <w:highlight w:val="none"/>
                <w:lang w:val="zh-CN"/>
              </w:rPr>
            </w:pPr>
          </w:p>
        </w:tc>
        <w:tc>
          <w:tcPr>
            <w:tcW w:w="1786" w:type="dxa"/>
            <w:noWrap w:val="0"/>
            <w:vAlign w:val="center"/>
          </w:tcPr>
          <w:p w14:paraId="34D552F3">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成立时间</w:t>
            </w:r>
          </w:p>
        </w:tc>
        <w:tc>
          <w:tcPr>
            <w:tcW w:w="3052" w:type="dxa"/>
            <w:gridSpan w:val="2"/>
            <w:noWrap w:val="0"/>
            <w:vAlign w:val="center"/>
          </w:tcPr>
          <w:p w14:paraId="0CB168E1">
            <w:pPr>
              <w:adjustRightInd w:val="0"/>
              <w:snapToGrid w:val="0"/>
              <w:spacing w:line="360" w:lineRule="auto"/>
              <w:rPr>
                <w:rFonts w:ascii="宋体" w:hAnsi="宋体" w:eastAsia="宋体" w:cs="仿宋"/>
                <w:kern w:val="0"/>
                <w:sz w:val="24"/>
                <w:highlight w:val="none"/>
                <w:lang w:val="zh-CN"/>
              </w:rPr>
            </w:pPr>
          </w:p>
        </w:tc>
      </w:tr>
      <w:tr w14:paraId="4105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BF0087D">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统一信用代码</w:t>
            </w:r>
          </w:p>
        </w:tc>
        <w:tc>
          <w:tcPr>
            <w:tcW w:w="2809" w:type="dxa"/>
            <w:gridSpan w:val="2"/>
            <w:noWrap w:val="0"/>
            <w:vAlign w:val="center"/>
          </w:tcPr>
          <w:p w14:paraId="52981E29">
            <w:pPr>
              <w:adjustRightInd w:val="0"/>
              <w:snapToGrid w:val="0"/>
              <w:spacing w:line="360" w:lineRule="auto"/>
              <w:rPr>
                <w:rFonts w:ascii="宋体" w:hAnsi="宋体" w:eastAsia="宋体" w:cs="仿宋"/>
                <w:kern w:val="0"/>
                <w:sz w:val="24"/>
                <w:highlight w:val="none"/>
                <w:lang w:val="zh-CN"/>
              </w:rPr>
            </w:pPr>
          </w:p>
        </w:tc>
        <w:tc>
          <w:tcPr>
            <w:tcW w:w="1786" w:type="dxa"/>
            <w:noWrap w:val="0"/>
            <w:vAlign w:val="center"/>
          </w:tcPr>
          <w:p w14:paraId="6C7EBACD">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注册资金</w:t>
            </w:r>
          </w:p>
        </w:tc>
        <w:tc>
          <w:tcPr>
            <w:tcW w:w="3052" w:type="dxa"/>
            <w:gridSpan w:val="2"/>
            <w:noWrap w:val="0"/>
            <w:vAlign w:val="center"/>
          </w:tcPr>
          <w:p w14:paraId="0AEFCC0C">
            <w:pPr>
              <w:adjustRightInd w:val="0"/>
              <w:snapToGrid w:val="0"/>
              <w:spacing w:line="360" w:lineRule="auto"/>
              <w:rPr>
                <w:rFonts w:ascii="宋体" w:hAnsi="宋体" w:eastAsia="宋体" w:cs="仿宋"/>
                <w:kern w:val="0"/>
                <w:sz w:val="24"/>
                <w:highlight w:val="none"/>
                <w:lang w:val="zh-CN"/>
              </w:rPr>
            </w:pPr>
          </w:p>
        </w:tc>
      </w:tr>
      <w:tr w14:paraId="0F13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0D96C04">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投标联系人姓名</w:t>
            </w:r>
          </w:p>
        </w:tc>
        <w:tc>
          <w:tcPr>
            <w:tcW w:w="1936" w:type="dxa"/>
            <w:noWrap w:val="0"/>
            <w:vAlign w:val="center"/>
          </w:tcPr>
          <w:p w14:paraId="0C788B8F">
            <w:pPr>
              <w:adjustRightInd w:val="0"/>
              <w:snapToGrid w:val="0"/>
              <w:spacing w:line="360" w:lineRule="auto"/>
              <w:rPr>
                <w:rFonts w:ascii="宋体" w:hAnsi="宋体" w:eastAsia="宋体" w:cs="仿宋"/>
                <w:kern w:val="0"/>
                <w:sz w:val="24"/>
                <w:highlight w:val="none"/>
                <w:lang w:val="zh-CN"/>
              </w:rPr>
            </w:pPr>
          </w:p>
        </w:tc>
        <w:tc>
          <w:tcPr>
            <w:tcW w:w="873" w:type="dxa"/>
            <w:noWrap w:val="0"/>
            <w:vAlign w:val="center"/>
          </w:tcPr>
          <w:p w14:paraId="6D543D9C">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电话</w:t>
            </w:r>
          </w:p>
        </w:tc>
        <w:tc>
          <w:tcPr>
            <w:tcW w:w="1786" w:type="dxa"/>
            <w:noWrap w:val="0"/>
            <w:vAlign w:val="center"/>
          </w:tcPr>
          <w:p w14:paraId="446983EF">
            <w:pPr>
              <w:adjustRightInd w:val="0"/>
              <w:snapToGrid w:val="0"/>
              <w:spacing w:line="360" w:lineRule="auto"/>
              <w:rPr>
                <w:rFonts w:ascii="宋体" w:hAnsi="宋体" w:eastAsia="宋体" w:cs="仿宋"/>
                <w:kern w:val="0"/>
                <w:sz w:val="24"/>
                <w:highlight w:val="none"/>
                <w:lang w:val="zh-CN"/>
              </w:rPr>
            </w:pPr>
          </w:p>
        </w:tc>
        <w:tc>
          <w:tcPr>
            <w:tcW w:w="1200" w:type="dxa"/>
            <w:noWrap w:val="0"/>
            <w:vAlign w:val="center"/>
          </w:tcPr>
          <w:p w14:paraId="3E66389A">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手机</w:t>
            </w:r>
          </w:p>
        </w:tc>
        <w:tc>
          <w:tcPr>
            <w:tcW w:w="1852" w:type="dxa"/>
            <w:noWrap w:val="0"/>
            <w:vAlign w:val="center"/>
          </w:tcPr>
          <w:p w14:paraId="419283C2">
            <w:pPr>
              <w:adjustRightInd w:val="0"/>
              <w:snapToGrid w:val="0"/>
              <w:spacing w:line="360" w:lineRule="auto"/>
              <w:rPr>
                <w:rFonts w:ascii="宋体" w:hAnsi="宋体" w:eastAsia="宋体" w:cs="仿宋"/>
                <w:kern w:val="0"/>
                <w:sz w:val="24"/>
                <w:highlight w:val="none"/>
                <w:lang w:val="zh-CN"/>
              </w:rPr>
            </w:pPr>
          </w:p>
        </w:tc>
      </w:tr>
      <w:tr w14:paraId="2446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4348AAF5">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法定代表人姓名</w:t>
            </w:r>
          </w:p>
        </w:tc>
        <w:tc>
          <w:tcPr>
            <w:tcW w:w="1936" w:type="dxa"/>
            <w:noWrap w:val="0"/>
            <w:vAlign w:val="center"/>
          </w:tcPr>
          <w:p w14:paraId="28770A60">
            <w:pPr>
              <w:adjustRightInd w:val="0"/>
              <w:snapToGrid w:val="0"/>
              <w:spacing w:line="360" w:lineRule="auto"/>
              <w:rPr>
                <w:rFonts w:ascii="宋体" w:hAnsi="宋体" w:eastAsia="宋体" w:cs="仿宋"/>
                <w:kern w:val="0"/>
                <w:sz w:val="24"/>
                <w:highlight w:val="none"/>
                <w:lang w:val="zh-CN"/>
              </w:rPr>
            </w:pPr>
          </w:p>
        </w:tc>
        <w:tc>
          <w:tcPr>
            <w:tcW w:w="873" w:type="dxa"/>
            <w:noWrap w:val="0"/>
            <w:vAlign w:val="center"/>
          </w:tcPr>
          <w:p w14:paraId="171E0B05">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电话</w:t>
            </w:r>
          </w:p>
        </w:tc>
        <w:tc>
          <w:tcPr>
            <w:tcW w:w="1786" w:type="dxa"/>
            <w:noWrap w:val="0"/>
            <w:vAlign w:val="center"/>
          </w:tcPr>
          <w:p w14:paraId="07FCC4C0">
            <w:pPr>
              <w:adjustRightInd w:val="0"/>
              <w:snapToGrid w:val="0"/>
              <w:spacing w:line="360" w:lineRule="auto"/>
              <w:rPr>
                <w:rFonts w:ascii="宋体" w:hAnsi="宋体" w:eastAsia="宋体" w:cs="仿宋"/>
                <w:kern w:val="0"/>
                <w:sz w:val="24"/>
                <w:highlight w:val="none"/>
                <w:lang w:val="zh-CN"/>
              </w:rPr>
            </w:pPr>
          </w:p>
        </w:tc>
        <w:tc>
          <w:tcPr>
            <w:tcW w:w="1200" w:type="dxa"/>
            <w:noWrap w:val="0"/>
            <w:vAlign w:val="center"/>
          </w:tcPr>
          <w:p w14:paraId="6B0A7792">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手机</w:t>
            </w:r>
          </w:p>
        </w:tc>
        <w:tc>
          <w:tcPr>
            <w:tcW w:w="1852" w:type="dxa"/>
            <w:noWrap w:val="0"/>
            <w:vAlign w:val="center"/>
          </w:tcPr>
          <w:p w14:paraId="49AB4E1F">
            <w:pPr>
              <w:adjustRightInd w:val="0"/>
              <w:snapToGrid w:val="0"/>
              <w:spacing w:line="360" w:lineRule="auto"/>
              <w:rPr>
                <w:rFonts w:ascii="宋体" w:hAnsi="宋体" w:eastAsia="宋体" w:cs="仿宋"/>
                <w:kern w:val="0"/>
                <w:sz w:val="24"/>
                <w:highlight w:val="none"/>
                <w:lang w:val="zh-CN"/>
              </w:rPr>
            </w:pPr>
          </w:p>
        </w:tc>
      </w:tr>
      <w:tr w14:paraId="7926AFD7">
        <w:tblPrEx>
          <w:tblCellMar>
            <w:top w:w="0" w:type="dxa"/>
            <w:left w:w="108" w:type="dxa"/>
            <w:bottom w:w="0" w:type="dxa"/>
            <w:right w:w="108" w:type="dxa"/>
          </w:tblCellMar>
        </w:tblPrEx>
        <w:trPr>
          <w:trHeight w:val="522" w:hRule="atLeast"/>
          <w:jc w:val="center"/>
        </w:trPr>
        <w:tc>
          <w:tcPr>
            <w:tcW w:w="2180" w:type="dxa"/>
            <w:noWrap w:val="0"/>
            <w:vAlign w:val="center"/>
          </w:tcPr>
          <w:p w14:paraId="16A4C9B2">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项目负责人姓名</w:t>
            </w:r>
          </w:p>
        </w:tc>
        <w:tc>
          <w:tcPr>
            <w:tcW w:w="1936" w:type="dxa"/>
            <w:noWrap w:val="0"/>
            <w:vAlign w:val="center"/>
          </w:tcPr>
          <w:p w14:paraId="49F62A74">
            <w:pPr>
              <w:adjustRightInd w:val="0"/>
              <w:snapToGrid w:val="0"/>
              <w:spacing w:line="360" w:lineRule="auto"/>
              <w:rPr>
                <w:rFonts w:ascii="宋体" w:hAnsi="宋体" w:eastAsia="宋体" w:cs="仿宋"/>
                <w:kern w:val="0"/>
                <w:sz w:val="24"/>
                <w:highlight w:val="none"/>
                <w:lang w:val="zh-CN"/>
              </w:rPr>
            </w:pPr>
          </w:p>
        </w:tc>
        <w:tc>
          <w:tcPr>
            <w:tcW w:w="873" w:type="dxa"/>
            <w:noWrap w:val="0"/>
            <w:vAlign w:val="center"/>
          </w:tcPr>
          <w:p w14:paraId="53972C0A">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电话</w:t>
            </w:r>
          </w:p>
        </w:tc>
        <w:tc>
          <w:tcPr>
            <w:tcW w:w="1786" w:type="dxa"/>
            <w:noWrap w:val="0"/>
            <w:vAlign w:val="center"/>
          </w:tcPr>
          <w:p w14:paraId="28A36617">
            <w:pPr>
              <w:adjustRightInd w:val="0"/>
              <w:snapToGrid w:val="0"/>
              <w:spacing w:line="360" w:lineRule="auto"/>
              <w:rPr>
                <w:rFonts w:ascii="宋体" w:hAnsi="宋体" w:eastAsia="宋体" w:cs="仿宋"/>
                <w:kern w:val="0"/>
                <w:sz w:val="24"/>
                <w:highlight w:val="none"/>
                <w:lang w:val="zh-CN"/>
              </w:rPr>
            </w:pPr>
          </w:p>
        </w:tc>
        <w:tc>
          <w:tcPr>
            <w:tcW w:w="1200" w:type="dxa"/>
            <w:noWrap w:val="0"/>
            <w:vAlign w:val="center"/>
          </w:tcPr>
          <w:p w14:paraId="53A26B20">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技术职称</w:t>
            </w:r>
          </w:p>
        </w:tc>
        <w:tc>
          <w:tcPr>
            <w:tcW w:w="1852" w:type="dxa"/>
            <w:noWrap w:val="0"/>
            <w:vAlign w:val="center"/>
          </w:tcPr>
          <w:p w14:paraId="4BAAE6B5">
            <w:pPr>
              <w:adjustRightInd w:val="0"/>
              <w:snapToGrid w:val="0"/>
              <w:spacing w:line="360" w:lineRule="auto"/>
              <w:rPr>
                <w:rFonts w:ascii="宋体" w:hAnsi="宋体" w:eastAsia="宋体" w:cs="仿宋"/>
                <w:kern w:val="0"/>
                <w:sz w:val="24"/>
                <w:highlight w:val="none"/>
                <w:lang w:val="zh-CN"/>
              </w:rPr>
            </w:pPr>
          </w:p>
        </w:tc>
      </w:tr>
      <w:tr w14:paraId="5438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noWrap w:val="0"/>
            <w:vAlign w:val="center"/>
          </w:tcPr>
          <w:p w14:paraId="1B82B3CC">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员工总人数：</w:t>
            </w:r>
          </w:p>
        </w:tc>
        <w:tc>
          <w:tcPr>
            <w:tcW w:w="1936" w:type="dxa"/>
            <w:vMerge w:val="restart"/>
            <w:noWrap w:val="0"/>
            <w:vAlign w:val="center"/>
          </w:tcPr>
          <w:p w14:paraId="4C0CDF8E">
            <w:pPr>
              <w:adjustRightInd w:val="0"/>
              <w:snapToGrid w:val="0"/>
              <w:spacing w:line="360" w:lineRule="auto"/>
              <w:rPr>
                <w:rFonts w:ascii="宋体" w:hAnsi="宋体" w:eastAsia="宋体" w:cs="仿宋"/>
                <w:kern w:val="0"/>
                <w:sz w:val="24"/>
                <w:highlight w:val="none"/>
                <w:lang w:val="zh-CN"/>
              </w:rPr>
            </w:pPr>
          </w:p>
        </w:tc>
        <w:tc>
          <w:tcPr>
            <w:tcW w:w="873" w:type="dxa"/>
            <w:vMerge w:val="restart"/>
            <w:noWrap w:val="0"/>
            <w:vAlign w:val="center"/>
          </w:tcPr>
          <w:p w14:paraId="547A1106">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其中</w:t>
            </w:r>
          </w:p>
        </w:tc>
        <w:tc>
          <w:tcPr>
            <w:tcW w:w="1786" w:type="dxa"/>
            <w:noWrap w:val="0"/>
            <w:vAlign w:val="center"/>
          </w:tcPr>
          <w:p w14:paraId="4DAE9380">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高级职称</w:t>
            </w:r>
          </w:p>
        </w:tc>
        <w:tc>
          <w:tcPr>
            <w:tcW w:w="3052" w:type="dxa"/>
            <w:gridSpan w:val="2"/>
            <w:noWrap w:val="0"/>
            <w:vAlign w:val="center"/>
          </w:tcPr>
          <w:p w14:paraId="34B96F21">
            <w:pPr>
              <w:adjustRightInd w:val="0"/>
              <w:snapToGrid w:val="0"/>
              <w:spacing w:line="360" w:lineRule="auto"/>
              <w:rPr>
                <w:rFonts w:ascii="宋体" w:hAnsi="宋体" w:eastAsia="宋体" w:cs="仿宋"/>
                <w:kern w:val="0"/>
                <w:sz w:val="24"/>
                <w:highlight w:val="none"/>
                <w:lang w:val="zh-CN"/>
              </w:rPr>
            </w:pPr>
          </w:p>
        </w:tc>
      </w:tr>
      <w:tr w14:paraId="0E695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7B057D4C">
            <w:pPr>
              <w:adjustRightInd w:val="0"/>
              <w:snapToGrid w:val="0"/>
              <w:spacing w:line="360" w:lineRule="auto"/>
              <w:rPr>
                <w:rFonts w:ascii="宋体" w:hAnsi="宋体" w:eastAsia="宋体" w:cs="仿宋"/>
                <w:kern w:val="0"/>
                <w:sz w:val="24"/>
                <w:highlight w:val="none"/>
                <w:lang w:val="zh-CN"/>
              </w:rPr>
            </w:pPr>
          </w:p>
        </w:tc>
        <w:tc>
          <w:tcPr>
            <w:tcW w:w="1936" w:type="dxa"/>
            <w:vMerge w:val="continue"/>
            <w:noWrap w:val="0"/>
            <w:vAlign w:val="center"/>
          </w:tcPr>
          <w:p w14:paraId="77C3EC9E">
            <w:pPr>
              <w:adjustRightInd w:val="0"/>
              <w:snapToGrid w:val="0"/>
              <w:spacing w:line="360" w:lineRule="auto"/>
              <w:rPr>
                <w:rFonts w:ascii="宋体" w:hAnsi="宋体" w:eastAsia="宋体" w:cs="仿宋"/>
                <w:kern w:val="0"/>
                <w:sz w:val="24"/>
                <w:highlight w:val="none"/>
                <w:lang w:val="zh-CN"/>
              </w:rPr>
            </w:pPr>
          </w:p>
        </w:tc>
        <w:tc>
          <w:tcPr>
            <w:tcW w:w="873" w:type="dxa"/>
            <w:vMerge w:val="continue"/>
            <w:noWrap w:val="0"/>
            <w:vAlign w:val="center"/>
          </w:tcPr>
          <w:p w14:paraId="50EF629C">
            <w:pPr>
              <w:adjustRightInd w:val="0"/>
              <w:snapToGrid w:val="0"/>
              <w:spacing w:line="360" w:lineRule="auto"/>
              <w:rPr>
                <w:rFonts w:ascii="宋体" w:hAnsi="宋体" w:eastAsia="宋体" w:cs="仿宋"/>
                <w:kern w:val="0"/>
                <w:sz w:val="24"/>
                <w:highlight w:val="none"/>
                <w:lang w:val="zh-CN"/>
              </w:rPr>
            </w:pPr>
          </w:p>
        </w:tc>
        <w:tc>
          <w:tcPr>
            <w:tcW w:w="1786" w:type="dxa"/>
            <w:noWrap w:val="0"/>
            <w:vAlign w:val="center"/>
          </w:tcPr>
          <w:p w14:paraId="0661ED16">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中级职称</w:t>
            </w:r>
          </w:p>
        </w:tc>
        <w:tc>
          <w:tcPr>
            <w:tcW w:w="3052" w:type="dxa"/>
            <w:gridSpan w:val="2"/>
            <w:noWrap w:val="0"/>
            <w:vAlign w:val="center"/>
          </w:tcPr>
          <w:p w14:paraId="0570F069">
            <w:pPr>
              <w:adjustRightInd w:val="0"/>
              <w:snapToGrid w:val="0"/>
              <w:spacing w:line="360" w:lineRule="auto"/>
              <w:rPr>
                <w:rFonts w:ascii="宋体" w:hAnsi="宋体" w:eastAsia="宋体" w:cs="仿宋"/>
                <w:kern w:val="0"/>
                <w:sz w:val="24"/>
                <w:highlight w:val="none"/>
                <w:lang w:val="zh-CN"/>
              </w:rPr>
            </w:pPr>
          </w:p>
        </w:tc>
      </w:tr>
      <w:tr w14:paraId="6CE5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noWrap w:val="0"/>
            <w:vAlign w:val="center"/>
          </w:tcPr>
          <w:p w14:paraId="0C4A6510">
            <w:pPr>
              <w:adjustRightInd w:val="0"/>
              <w:snapToGrid w:val="0"/>
              <w:spacing w:line="360" w:lineRule="auto"/>
              <w:rPr>
                <w:rFonts w:ascii="宋体" w:hAnsi="宋体" w:eastAsia="宋体" w:cs="仿宋"/>
                <w:kern w:val="0"/>
                <w:sz w:val="24"/>
                <w:highlight w:val="none"/>
                <w:lang w:val="zh-CN"/>
              </w:rPr>
            </w:pPr>
          </w:p>
        </w:tc>
        <w:tc>
          <w:tcPr>
            <w:tcW w:w="1936" w:type="dxa"/>
            <w:vMerge w:val="continue"/>
            <w:noWrap w:val="0"/>
            <w:vAlign w:val="center"/>
          </w:tcPr>
          <w:p w14:paraId="68978AE8">
            <w:pPr>
              <w:adjustRightInd w:val="0"/>
              <w:snapToGrid w:val="0"/>
              <w:spacing w:line="360" w:lineRule="auto"/>
              <w:rPr>
                <w:rFonts w:ascii="宋体" w:hAnsi="宋体" w:eastAsia="宋体" w:cs="仿宋"/>
                <w:kern w:val="0"/>
                <w:sz w:val="24"/>
                <w:highlight w:val="none"/>
                <w:lang w:val="zh-CN"/>
              </w:rPr>
            </w:pPr>
          </w:p>
        </w:tc>
        <w:tc>
          <w:tcPr>
            <w:tcW w:w="873" w:type="dxa"/>
            <w:vMerge w:val="continue"/>
            <w:noWrap w:val="0"/>
            <w:vAlign w:val="center"/>
          </w:tcPr>
          <w:p w14:paraId="25EC2DC1">
            <w:pPr>
              <w:adjustRightInd w:val="0"/>
              <w:snapToGrid w:val="0"/>
              <w:spacing w:line="360" w:lineRule="auto"/>
              <w:rPr>
                <w:rFonts w:ascii="宋体" w:hAnsi="宋体" w:eastAsia="宋体" w:cs="仿宋"/>
                <w:kern w:val="0"/>
                <w:sz w:val="24"/>
                <w:highlight w:val="none"/>
                <w:lang w:val="zh-CN"/>
              </w:rPr>
            </w:pPr>
          </w:p>
        </w:tc>
        <w:tc>
          <w:tcPr>
            <w:tcW w:w="1786" w:type="dxa"/>
            <w:noWrap w:val="0"/>
            <w:vAlign w:val="center"/>
          </w:tcPr>
          <w:p w14:paraId="189C02B0">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各类注册人员</w:t>
            </w:r>
          </w:p>
        </w:tc>
        <w:tc>
          <w:tcPr>
            <w:tcW w:w="3052" w:type="dxa"/>
            <w:gridSpan w:val="2"/>
            <w:noWrap w:val="0"/>
            <w:vAlign w:val="center"/>
          </w:tcPr>
          <w:p w14:paraId="12F259C3">
            <w:pPr>
              <w:adjustRightInd w:val="0"/>
              <w:snapToGrid w:val="0"/>
              <w:spacing w:line="360" w:lineRule="auto"/>
              <w:rPr>
                <w:rFonts w:ascii="宋体" w:hAnsi="宋体" w:eastAsia="宋体" w:cs="仿宋"/>
                <w:kern w:val="0"/>
                <w:sz w:val="24"/>
                <w:highlight w:val="none"/>
                <w:lang w:val="zh-CN"/>
              </w:rPr>
            </w:pPr>
          </w:p>
        </w:tc>
      </w:tr>
      <w:tr w14:paraId="02ED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02CCBF3B">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基本账户开户银行</w:t>
            </w:r>
          </w:p>
        </w:tc>
        <w:tc>
          <w:tcPr>
            <w:tcW w:w="7647" w:type="dxa"/>
            <w:gridSpan w:val="5"/>
            <w:noWrap w:val="0"/>
            <w:vAlign w:val="center"/>
          </w:tcPr>
          <w:p w14:paraId="699AA91A">
            <w:pPr>
              <w:adjustRightInd w:val="0"/>
              <w:snapToGrid w:val="0"/>
              <w:spacing w:line="360" w:lineRule="auto"/>
              <w:rPr>
                <w:rFonts w:ascii="宋体" w:hAnsi="宋体" w:eastAsia="宋体" w:cs="仿宋"/>
                <w:kern w:val="0"/>
                <w:sz w:val="24"/>
                <w:highlight w:val="none"/>
                <w:lang w:val="zh-CN"/>
              </w:rPr>
            </w:pPr>
          </w:p>
        </w:tc>
      </w:tr>
      <w:tr w14:paraId="6D9E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noWrap w:val="0"/>
            <w:vAlign w:val="center"/>
          </w:tcPr>
          <w:p w14:paraId="105D81DD">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基本账户账号</w:t>
            </w:r>
          </w:p>
        </w:tc>
        <w:tc>
          <w:tcPr>
            <w:tcW w:w="7647" w:type="dxa"/>
            <w:gridSpan w:val="5"/>
            <w:noWrap w:val="0"/>
            <w:vAlign w:val="center"/>
          </w:tcPr>
          <w:p w14:paraId="0517A862">
            <w:pPr>
              <w:adjustRightInd w:val="0"/>
              <w:snapToGrid w:val="0"/>
              <w:spacing w:line="360" w:lineRule="auto"/>
              <w:rPr>
                <w:rFonts w:ascii="宋体" w:hAnsi="宋体" w:eastAsia="宋体" w:cs="仿宋"/>
                <w:kern w:val="0"/>
                <w:sz w:val="24"/>
                <w:highlight w:val="none"/>
                <w:lang w:val="zh-CN"/>
              </w:rPr>
            </w:pPr>
          </w:p>
        </w:tc>
      </w:tr>
      <w:tr w14:paraId="116C2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noWrap w:val="0"/>
            <w:vAlign w:val="center"/>
          </w:tcPr>
          <w:p w14:paraId="63823CC0">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经营范围</w:t>
            </w:r>
          </w:p>
        </w:tc>
        <w:tc>
          <w:tcPr>
            <w:tcW w:w="7647" w:type="dxa"/>
            <w:gridSpan w:val="5"/>
            <w:noWrap w:val="0"/>
            <w:vAlign w:val="center"/>
          </w:tcPr>
          <w:p w14:paraId="7F4BC3CB">
            <w:pPr>
              <w:adjustRightInd w:val="0"/>
              <w:snapToGrid w:val="0"/>
              <w:spacing w:line="360" w:lineRule="auto"/>
              <w:rPr>
                <w:rFonts w:ascii="宋体" w:hAnsi="宋体" w:eastAsia="宋体" w:cs="仿宋"/>
                <w:kern w:val="0"/>
                <w:sz w:val="24"/>
                <w:highlight w:val="none"/>
                <w:lang w:val="zh-CN"/>
              </w:rPr>
            </w:pPr>
          </w:p>
        </w:tc>
      </w:tr>
      <w:tr w14:paraId="45A3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noWrap w:val="0"/>
            <w:vAlign w:val="center"/>
          </w:tcPr>
          <w:p w14:paraId="4B318E86">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备注</w:t>
            </w:r>
          </w:p>
        </w:tc>
        <w:tc>
          <w:tcPr>
            <w:tcW w:w="7647" w:type="dxa"/>
            <w:gridSpan w:val="5"/>
            <w:noWrap w:val="0"/>
            <w:vAlign w:val="center"/>
          </w:tcPr>
          <w:p w14:paraId="23BE5F70">
            <w:pPr>
              <w:adjustRightInd w:val="0"/>
              <w:snapToGrid w:val="0"/>
              <w:spacing w:line="360" w:lineRule="auto"/>
              <w:rPr>
                <w:rFonts w:ascii="宋体" w:hAnsi="宋体" w:eastAsia="宋体" w:cs="仿宋"/>
                <w:kern w:val="0"/>
                <w:sz w:val="24"/>
                <w:highlight w:val="none"/>
                <w:lang w:val="zh-CN"/>
              </w:rPr>
            </w:pPr>
          </w:p>
        </w:tc>
      </w:tr>
    </w:tbl>
    <w:p w14:paraId="3623DB3D">
      <w:pPr>
        <w:adjustRightInd w:val="0"/>
        <w:snapToGrid w:val="0"/>
        <w:spacing w:line="360" w:lineRule="auto"/>
        <w:ind w:firstLine="482" w:firstLineChars="200"/>
        <w:rPr>
          <w:rFonts w:ascii="宋体" w:hAnsi="宋体" w:eastAsia="宋体" w:cs="仿宋"/>
          <w:b/>
          <w:bCs/>
          <w:kern w:val="0"/>
          <w:sz w:val="24"/>
          <w:highlight w:val="none"/>
          <w:lang w:val="zh-CN"/>
        </w:rPr>
      </w:pPr>
      <w:r>
        <w:rPr>
          <w:rFonts w:hint="eastAsia" w:ascii="宋体" w:hAnsi="宋体" w:eastAsia="宋体" w:cs="仿宋"/>
          <w:b/>
          <w:bCs/>
          <w:kern w:val="0"/>
          <w:sz w:val="24"/>
          <w:highlight w:val="none"/>
          <w:lang w:val="zh-CN"/>
        </w:rPr>
        <w:t>兹证明上述声明是真实、正确的，并提供了全部能提供的资料和数据，我们同意遵照贵方要求出示有关证明文件。</w:t>
      </w:r>
    </w:p>
    <w:p w14:paraId="2F22362E">
      <w:pPr>
        <w:adjustRightInd w:val="0"/>
        <w:snapToGrid w:val="0"/>
        <w:spacing w:line="360" w:lineRule="auto"/>
        <w:rPr>
          <w:rFonts w:ascii="宋体" w:hAnsi="宋体" w:eastAsia="宋体" w:cs="仿宋"/>
          <w:kern w:val="0"/>
          <w:sz w:val="24"/>
          <w:highlight w:val="none"/>
          <w:lang w:val="zh-CN"/>
        </w:rPr>
      </w:pPr>
    </w:p>
    <w:p w14:paraId="6649C515">
      <w:pPr>
        <w:pStyle w:val="32"/>
        <w:spacing w:line="360" w:lineRule="auto"/>
        <w:ind w:firstLine="560"/>
        <w:rPr>
          <w:rFonts w:ascii="宋体" w:hAnsi="宋体" w:eastAsia="宋体" w:cs="仿宋"/>
          <w:highlight w:val="none"/>
          <w:lang w:val="zh-CN"/>
        </w:rPr>
      </w:pPr>
    </w:p>
    <w:p w14:paraId="7603ED1C">
      <w:pPr>
        <w:adjustRightInd w:val="0"/>
        <w:snapToGrid w:val="0"/>
        <w:spacing w:line="360" w:lineRule="auto"/>
        <w:jc w:val="right"/>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法定代表人或其授权委托人（签名或印章）：</w:t>
      </w:r>
    </w:p>
    <w:p w14:paraId="6302AFC1">
      <w:pPr>
        <w:adjustRightInd w:val="0"/>
        <w:snapToGrid w:val="0"/>
        <w:spacing w:line="360" w:lineRule="auto"/>
        <w:ind w:firstLine="4080" w:firstLineChars="1700"/>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投标人（盖章）：</w:t>
      </w:r>
    </w:p>
    <w:p w14:paraId="54C1E886">
      <w:pPr>
        <w:adjustRightInd w:val="0"/>
        <w:snapToGrid w:val="0"/>
        <w:spacing w:line="360" w:lineRule="auto"/>
        <w:rPr>
          <w:rFonts w:ascii="宋体" w:hAnsi="宋体" w:eastAsia="宋体" w:cs="仿宋"/>
          <w:b/>
          <w:kern w:val="0"/>
          <w:sz w:val="32"/>
          <w:szCs w:val="32"/>
          <w:highlight w:val="none"/>
          <w:lang w:val="zh-CN"/>
        </w:rPr>
      </w:pPr>
      <w:r>
        <w:rPr>
          <w:rFonts w:hint="eastAsia" w:ascii="宋体" w:hAnsi="宋体" w:eastAsia="宋体" w:cs="仿宋"/>
          <w:kern w:val="0"/>
          <w:sz w:val="24"/>
          <w:highlight w:val="none"/>
          <w:lang w:val="zh-CN"/>
        </w:rPr>
        <w:t xml:space="preserve">                                  日期：</w:t>
      </w:r>
    </w:p>
    <w:p w14:paraId="057CBB22">
      <w:pPr>
        <w:numPr>
          <w:ilvl w:val="0"/>
          <w:numId w:val="0"/>
        </w:numPr>
        <w:snapToGrid w:val="0"/>
        <w:spacing w:line="360" w:lineRule="auto"/>
        <w:jc w:val="center"/>
        <w:outlineLvl w:val="0"/>
        <w:rPr>
          <w:rFonts w:ascii="宋体" w:hAnsi="宋体" w:eastAsia="宋体" w:cs="仿宋"/>
          <w:b/>
          <w:kern w:val="0"/>
          <w:sz w:val="32"/>
          <w:szCs w:val="32"/>
          <w:highlight w:val="none"/>
          <w:lang w:val="zh-CN"/>
        </w:rPr>
      </w:pPr>
      <w:r>
        <w:rPr>
          <w:rFonts w:hint="eastAsia" w:ascii="宋体" w:hAnsi="宋体" w:eastAsia="宋体" w:cs="仿宋"/>
          <w:b/>
          <w:kern w:val="0"/>
          <w:sz w:val="32"/>
          <w:szCs w:val="32"/>
          <w:highlight w:val="none"/>
          <w:lang w:val="zh-CN"/>
        </w:rPr>
        <w:br w:type="page"/>
      </w:r>
      <w:r>
        <w:rPr>
          <w:rFonts w:hint="eastAsia" w:ascii="宋体" w:hAnsi="宋体" w:eastAsia="宋体" w:cs="仿宋"/>
          <w:b/>
          <w:kern w:val="0"/>
          <w:sz w:val="32"/>
          <w:szCs w:val="32"/>
          <w:highlight w:val="none"/>
          <w:lang w:val="en-US" w:eastAsia="zh-CN"/>
        </w:rPr>
        <w:t xml:space="preserve"> 六、</w:t>
      </w:r>
      <w:r>
        <w:rPr>
          <w:rFonts w:hint="eastAsia" w:ascii="宋体" w:hAnsi="宋体" w:eastAsia="宋体" w:cs="仿宋"/>
          <w:b/>
          <w:kern w:val="0"/>
          <w:sz w:val="32"/>
          <w:szCs w:val="32"/>
          <w:highlight w:val="none"/>
          <w:lang w:val="zh-CN"/>
        </w:rPr>
        <w:t>距采购人最近或者能为本项目提供最优服务的网点情况表</w:t>
      </w:r>
    </w:p>
    <w:p w14:paraId="353790C3">
      <w:pPr>
        <w:spacing w:line="360" w:lineRule="auto"/>
        <w:rPr>
          <w:rFonts w:ascii="宋体" w:hAnsi="宋体" w:eastAsia="宋体" w:cs="仿宋"/>
          <w:highlight w:val="none"/>
        </w:rPr>
      </w:pPr>
    </w:p>
    <w:tbl>
      <w:tblPr>
        <w:tblStyle w:val="26"/>
        <w:tblW w:w="84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5B185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62E90DEC">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CC96766">
            <w:pPr>
              <w:adjustRightInd w:val="0"/>
              <w:snapToGrid w:val="0"/>
              <w:spacing w:line="360" w:lineRule="auto"/>
              <w:rPr>
                <w:rFonts w:ascii="宋体" w:hAnsi="宋体" w:eastAsia="宋体" w:cs="仿宋"/>
                <w:kern w:val="0"/>
                <w:sz w:val="24"/>
                <w:highlight w:val="none"/>
                <w:lang w:val="zh-CN"/>
              </w:rPr>
            </w:pPr>
          </w:p>
        </w:tc>
      </w:tr>
      <w:tr w14:paraId="71AA3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C3145CB">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地址</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1DAFE76F">
            <w:pPr>
              <w:adjustRightInd w:val="0"/>
              <w:snapToGrid w:val="0"/>
              <w:spacing w:line="360" w:lineRule="auto"/>
              <w:rPr>
                <w:rFonts w:ascii="宋体" w:hAnsi="宋体" w:eastAsia="宋体" w:cs="仿宋"/>
                <w:kern w:val="0"/>
                <w:sz w:val="24"/>
                <w:highlight w:val="none"/>
                <w:lang w:val="zh-CN"/>
              </w:rPr>
            </w:pPr>
          </w:p>
        </w:tc>
      </w:tr>
      <w:tr w14:paraId="35CAC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FAAEB13">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注册资本金</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1BDD14AA">
            <w:pPr>
              <w:adjustRightInd w:val="0"/>
              <w:snapToGrid w:val="0"/>
              <w:spacing w:line="360" w:lineRule="auto"/>
              <w:rPr>
                <w:rFonts w:ascii="宋体" w:hAnsi="宋体" w:eastAsia="宋体" w:cs="仿宋"/>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13F54EA8">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1B2D7421">
            <w:pPr>
              <w:adjustRightInd w:val="0"/>
              <w:snapToGrid w:val="0"/>
              <w:spacing w:line="360" w:lineRule="auto"/>
              <w:rPr>
                <w:rFonts w:ascii="宋体" w:hAnsi="宋体" w:eastAsia="宋体" w:cs="仿宋"/>
                <w:kern w:val="0"/>
                <w:sz w:val="24"/>
                <w:highlight w:val="none"/>
                <w:lang w:val="zh-CN"/>
              </w:rPr>
            </w:pPr>
          </w:p>
        </w:tc>
      </w:tr>
      <w:tr w14:paraId="1BC57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8BF6D3B">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员工总人数</w:t>
            </w:r>
          </w:p>
        </w:tc>
        <w:tc>
          <w:tcPr>
            <w:tcW w:w="1624" w:type="dxa"/>
            <w:tcBorders>
              <w:top w:val="single" w:color="auto" w:sz="4" w:space="0"/>
              <w:left w:val="single" w:color="auto" w:sz="4" w:space="0"/>
              <w:bottom w:val="single" w:color="auto" w:sz="4" w:space="0"/>
              <w:right w:val="single" w:color="auto" w:sz="4" w:space="0"/>
            </w:tcBorders>
            <w:noWrap w:val="0"/>
            <w:vAlign w:val="center"/>
          </w:tcPr>
          <w:p w14:paraId="28EA629A">
            <w:pPr>
              <w:adjustRightInd w:val="0"/>
              <w:snapToGrid w:val="0"/>
              <w:spacing w:line="360" w:lineRule="auto"/>
              <w:rPr>
                <w:rFonts w:ascii="宋体" w:hAnsi="宋体" w:eastAsia="宋体" w:cs="仿宋"/>
                <w:kern w:val="0"/>
                <w:sz w:val="24"/>
                <w:highlight w:val="none"/>
                <w:lang w:val="zh-CN"/>
              </w:rPr>
            </w:pPr>
          </w:p>
        </w:tc>
        <w:tc>
          <w:tcPr>
            <w:tcW w:w="2520" w:type="dxa"/>
            <w:gridSpan w:val="3"/>
            <w:tcBorders>
              <w:top w:val="single" w:color="auto" w:sz="4" w:space="0"/>
              <w:left w:val="single" w:color="auto" w:sz="4" w:space="0"/>
              <w:bottom w:val="single" w:color="auto" w:sz="4" w:space="0"/>
              <w:right w:val="single" w:color="auto" w:sz="4" w:space="0"/>
            </w:tcBorders>
            <w:noWrap w:val="0"/>
            <w:vAlign w:val="center"/>
          </w:tcPr>
          <w:p w14:paraId="60E3751F">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其中：技术人员数</w:t>
            </w:r>
          </w:p>
        </w:tc>
        <w:tc>
          <w:tcPr>
            <w:tcW w:w="2600" w:type="dxa"/>
            <w:tcBorders>
              <w:top w:val="single" w:color="auto" w:sz="4" w:space="0"/>
              <w:left w:val="single" w:color="auto" w:sz="4" w:space="0"/>
              <w:bottom w:val="single" w:color="auto" w:sz="4" w:space="0"/>
              <w:right w:val="single" w:color="auto" w:sz="4" w:space="0"/>
            </w:tcBorders>
            <w:noWrap w:val="0"/>
            <w:vAlign w:val="center"/>
          </w:tcPr>
          <w:p w14:paraId="295665FA">
            <w:pPr>
              <w:adjustRightInd w:val="0"/>
              <w:snapToGrid w:val="0"/>
              <w:spacing w:line="360" w:lineRule="auto"/>
              <w:rPr>
                <w:rFonts w:ascii="宋体" w:hAnsi="宋体" w:eastAsia="宋体" w:cs="仿宋"/>
                <w:kern w:val="0"/>
                <w:sz w:val="24"/>
                <w:highlight w:val="none"/>
                <w:lang w:val="zh-CN"/>
              </w:rPr>
            </w:pPr>
          </w:p>
        </w:tc>
      </w:tr>
      <w:tr w14:paraId="3EA64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4CA080F4">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3C7A34C3">
            <w:pPr>
              <w:adjustRightInd w:val="0"/>
              <w:snapToGrid w:val="0"/>
              <w:spacing w:line="360" w:lineRule="auto"/>
              <w:rPr>
                <w:rFonts w:ascii="宋体" w:hAnsi="宋体" w:eastAsia="宋体" w:cs="仿宋"/>
                <w:kern w:val="0"/>
                <w:sz w:val="24"/>
                <w:highlight w:val="none"/>
                <w:lang w:val="zh-CN"/>
              </w:rPr>
            </w:pPr>
          </w:p>
        </w:tc>
      </w:tr>
      <w:tr w14:paraId="24413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8F6E8A4">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09AC9675">
            <w:pPr>
              <w:adjustRightInd w:val="0"/>
              <w:snapToGrid w:val="0"/>
              <w:spacing w:line="360" w:lineRule="auto"/>
              <w:rPr>
                <w:rFonts w:ascii="宋体" w:hAnsi="宋体" w:eastAsia="宋体" w:cs="仿宋"/>
                <w:kern w:val="0"/>
                <w:sz w:val="24"/>
                <w:highlight w:val="none"/>
                <w:lang w:val="zh-CN"/>
              </w:rPr>
            </w:pPr>
          </w:p>
        </w:tc>
      </w:tr>
      <w:tr w14:paraId="55320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DA588DD">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2E94C6F">
            <w:pPr>
              <w:adjustRightInd w:val="0"/>
              <w:snapToGrid w:val="0"/>
              <w:spacing w:line="360" w:lineRule="auto"/>
              <w:rPr>
                <w:rFonts w:ascii="宋体" w:hAnsi="宋体" w:eastAsia="宋体" w:cs="仿宋"/>
                <w:kern w:val="0"/>
                <w:sz w:val="24"/>
                <w:highlight w:val="none"/>
                <w:lang w:val="zh-CN"/>
              </w:rPr>
            </w:pPr>
          </w:p>
        </w:tc>
      </w:tr>
      <w:tr w14:paraId="0205D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50A5EAD1">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5B47C243">
            <w:pPr>
              <w:adjustRightInd w:val="0"/>
              <w:snapToGrid w:val="0"/>
              <w:spacing w:line="360" w:lineRule="auto"/>
              <w:rPr>
                <w:rFonts w:ascii="宋体" w:hAnsi="宋体" w:eastAsia="宋体" w:cs="仿宋"/>
                <w:kern w:val="0"/>
                <w:sz w:val="24"/>
                <w:highlight w:val="none"/>
                <w:lang w:val="zh-CN"/>
              </w:rPr>
            </w:pPr>
          </w:p>
        </w:tc>
      </w:tr>
      <w:tr w14:paraId="0DF443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2CFF6DDF">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noWrap w:val="0"/>
            <w:vAlign w:val="center"/>
          </w:tcPr>
          <w:p w14:paraId="4A5ABDC1">
            <w:pPr>
              <w:adjustRightInd w:val="0"/>
              <w:snapToGrid w:val="0"/>
              <w:spacing w:line="360" w:lineRule="auto"/>
              <w:rPr>
                <w:rFonts w:ascii="宋体" w:hAnsi="宋体" w:eastAsia="宋体" w:cs="仿宋"/>
                <w:kern w:val="0"/>
                <w:sz w:val="24"/>
                <w:highlight w:val="none"/>
                <w:lang w:val="zh-CN"/>
              </w:rPr>
            </w:pPr>
          </w:p>
        </w:tc>
      </w:tr>
      <w:tr w14:paraId="6DF6E3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3BB3E8AD">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49E58DD9">
            <w:pPr>
              <w:adjustRightInd w:val="0"/>
              <w:snapToGrid w:val="0"/>
              <w:spacing w:line="360" w:lineRule="auto"/>
              <w:rPr>
                <w:rFonts w:ascii="宋体" w:hAnsi="宋体" w:eastAsia="宋体" w:cs="仿宋"/>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507F3C4F">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传 真</w:t>
            </w:r>
          </w:p>
        </w:tc>
        <w:tc>
          <w:tcPr>
            <w:tcW w:w="3489" w:type="dxa"/>
            <w:gridSpan w:val="2"/>
            <w:tcBorders>
              <w:top w:val="single" w:color="auto" w:sz="4" w:space="0"/>
              <w:left w:val="single" w:color="auto" w:sz="2" w:space="0"/>
              <w:bottom w:val="single" w:color="auto" w:sz="4" w:space="0"/>
              <w:right w:val="single" w:color="auto" w:sz="2" w:space="0"/>
            </w:tcBorders>
            <w:noWrap w:val="0"/>
            <w:vAlign w:val="center"/>
          </w:tcPr>
          <w:p w14:paraId="3A9F2771">
            <w:pPr>
              <w:adjustRightInd w:val="0"/>
              <w:snapToGrid w:val="0"/>
              <w:spacing w:line="360" w:lineRule="auto"/>
              <w:rPr>
                <w:rFonts w:ascii="宋体" w:hAnsi="宋体" w:eastAsia="宋体" w:cs="仿宋"/>
                <w:kern w:val="0"/>
                <w:sz w:val="24"/>
                <w:highlight w:val="none"/>
                <w:lang w:val="zh-CN"/>
              </w:rPr>
            </w:pPr>
          </w:p>
        </w:tc>
      </w:tr>
      <w:tr w14:paraId="16E35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noWrap w:val="0"/>
            <w:vAlign w:val="center"/>
          </w:tcPr>
          <w:p w14:paraId="0C5378A0">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noWrap w:val="0"/>
            <w:vAlign w:val="center"/>
          </w:tcPr>
          <w:p w14:paraId="2AB0E6B3">
            <w:pPr>
              <w:adjustRightInd w:val="0"/>
              <w:snapToGrid w:val="0"/>
              <w:spacing w:line="360" w:lineRule="auto"/>
              <w:rPr>
                <w:rFonts w:ascii="宋体" w:hAnsi="宋体" w:eastAsia="宋体" w:cs="仿宋"/>
                <w:kern w:val="0"/>
                <w:sz w:val="24"/>
                <w:highlight w:val="none"/>
                <w:lang w:val="zh-CN"/>
              </w:rPr>
            </w:pPr>
          </w:p>
        </w:tc>
        <w:tc>
          <w:tcPr>
            <w:tcW w:w="1440" w:type="dxa"/>
            <w:tcBorders>
              <w:top w:val="single" w:color="auto" w:sz="4" w:space="0"/>
              <w:left w:val="single" w:color="auto" w:sz="2" w:space="0"/>
              <w:bottom w:val="single" w:color="auto" w:sz="4" w:space="0"/>
              <w:right w:val="single" w:color="auto" w:sz="2" w:space="0"/>
            </w:tcBorders>
            <w:noWrap w:val="0"/>
            <w:vAlign w:val="center"/>
          </w:tcPr>
          <w:p w14:paraId="0C1D38E1">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noWrap w:val="0"/>
            <w:vAlign w:val="center"/>
          </w:tcPr>
          <w:p w14:paraId="1010BB0D">
            <w:pPr>
              <w:adjustRightInd w:val="0"/>
              <w:snapToGrid w:val="0"/>
              <w:spacing w:line="360" w:lineRule="auto"/>
              <w:rPr>
                <w:rFonts w:ascii="宋体" w:hAnsi="宋体" w:eastAsia="宋体" w:cs="仿宋"/>
                <w:kern w:val="0"/>
                <w:sz w:val="24"/>
                <w:highlight w:val="none"/>
                <w:lang w:val="zh-CN"/>
              </w:rPr>
            </w:pPr>
          </w:p>
        </w:tc>
      </w:tr>
    </w:tbl>
    <w:p w14:paraId="6C4BD58E">
      <w:pPr>
        <w:spacing w:line="360" w:lineRule="auto"/>
        <w:rPr>
          <w:rFonts w:ascii="宋体" w:hAnsi="宋体" w:eastAsia="宋体" w:cs="仿宋"/>
          <w:highlight w:val="none"/>
        </w:rPr>
      </w:pPr>
    </w:p>
    <w:p w14:paraId="23EFC766">
      <w:pPr>
        <w:spacing w:line="360" w:lineRule="auto"/>
        <w:rPr>
          <w:rFonts w:ascii="宋体" w:hAnsi="宋体" w:eastAsia="宋体" w:cs="仿宋"/>
          <w:highlight w:val="none"/>
        </w:rPr>
      </w:pPr>
    </w:p>
    <w:p w14:paraId="0F9122DF">
      <w:pPr>
        <w:adjustRightInd w:val="0"/>
        <w:snapToGrid w:val="0"/>
        <w:spacing w:line="360" w:lineRule="auto"/>
        <w:rPr>
          <w:rFonts w:ascii="宋体" w:hAnsi="宋体" w:eastAsia="宋体" w:cs="仿宋"/>
          <w:kern w:val="0"/>
          <w:sz w:val="24"/>
          <w:highlight w:val="none"/>
          <w:lang w:val="zh-CN"/>
        </w:rPr>
      </w:pPr>
      <w:r>
        <w:rPr>
          <w:rFonts w:hint="eastAsia" w:ascii="宋体" w:hAnsi="宋体" w:eastAsia="宋体" w:cs="仿宋"/>
          <w:highlight w:val="none"/>
        </w:rPr>
        <w:t xml:space="preserve">       </w:t>
      </w:r>
    </w:p>
    <w:p w14:paraId="4AA712E2">
      <w:pPr>
        <w:adjustRightInd w:val="0"/>
        <w:snapToGrid w:val="0"/>
        <w:spacing w:line="360" w:lineRule="auto"/>
        <w:ind w:left="3990" w:leftChars="1900"/>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法定代表人或其授权委托人（签名或印章）：</w:t>
      </w:r>
    </w:p>
    <w:p w14:paraId="1A4D37B9">
      <w:pPr>
        <w:adjustRightInd w:val="0"/>
        <w:snapToGrid w:val="0"/>
        <w:spacing w:line="360" w:lineRule="auto"/>
        <w:ind w:left="3990" w:leftChars="1900"/>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投标人（盖章）：</w:t>
      </w:r>
    </w:p>
    <w:p w14:paraId="0892CAFC">
      <w:pPr>
        <w:adjustRightInd w:val="0"/>
        <w:snapToGrid w:val="0"/>
        <w:spacing w:line="360" w:lineRule="auto"/>
        <w:rPr>
          <w:rFonts w:ascii="宋体" w:hAnsi="宋体" w:eastAsia="宋体" w:cs="仿宋"/>
          <w:b/>
          <w:kern w:val="0"/>
          <w:sz w:val="32"/>
          <w:szCs w:val="32"/>
          <w:highlight w:val="none"/>
          <w:lang w:val="zh-CN"/>
        </w:rPr>
      </w:pPr>
      <w:r>
        <w:rPr>
          <w:rFonts w:hint="eastAsia" w:ascii="宋体" w:hAnsi="宋体" w:eastAsia="宋体" w:cs="仿宋"/>
          <w:kern w:val="0"/>
          <w:sz w:val="24"/>
          <w:highlight w:val="none"/>
          <w:lang w:val="zh-CN"/>
        </w:rPr>
        <w:t xml:space="preserve">                                 日期</w:t>
      </w:r>
      <w:r>
        <w:rPr>
          <w:rFonts w:hint="eastAsia" w:ascii="宋体" w:hAnsi="宋体" w:eastAsia="宋体" w:cs="仿宋"/>
          <w:kern w:val="0"/>
          <w:sz w:val="24"/>
          <w:highlight w:val="none"/>
        </w:rPr>
        <w:t>:</w:t>
      </w:r>
    </w:p>
    <w:p w14:paraId="380C1663">
      <w:pPr>
        <w:numPr>
          <w:ilvl w:val="0"/>
          <w:numId w:val="0"/>
        </w:numPr>
        <w:snapToGrid w:val="0"/>
        <w:spacing w:line="360" w:lineRule="auto"/>
        <w:jc w:val="center"/>
        <w:outlineLvl w:val="0"/>
        <w:rPr>
          <w:rFonts w:ascii="宋体" w:hAnsi="宋体" w:eastAsia="宋体" w:cs="仿宋"/>
          <w:b/>
          <w:kern w:val="0"/>
          <w:sz w:val="32"/>
          <w:szCs w:val="32"/>
          <w:highlight w:val="none"/>
          <w:lang w:val="zh-CN"/>
        </w:rPr>
      </w:pPr>
      <w:r>
        <w:rPr>
          <w:rFonts w:hint="eastAsia" w:ascii="宋体" w:hAnsi="宋体" w:eastAsia="宋体" w:cs="仿宋"/>
          <w:b/>
          <w:kern w:val="0"/>
          <w:sz w:val="32"/>
          <w:szCs w:val="32"/>
          <w:highlight w:val="none"/>
          <w:lang w:val="zh-CN"/>
        </w:rPr>
        <w:br w:type="page"/>
      </w:r>
      <w:r>
        <w:rPr>
          <w:rFonts w:hint="eastAsia" w:ascii="宋体" w:hAnsi="宋体" w:eastAsia="宋体" w:cs="仿宋"/>
          <w:b/>
          <w:kern w:val="0"/>
          <w:sz w:val="32"/>
          <w:szCs w:val="32"/>
          <w:highlight w:val="none"/>
          <w:lang w:val="en-US" w:eastAsia="zh-CN"/>
        </w:rPr>
        <w:t xml:space="preserve">          七、</w:t>
      </w:r>
      <w:r>
        <w:rPr>
          <w:rFonts w:hint="eastAsia" w:ascii="宋体" w:hAnsi="宋体" w:eastAsia="宋体" w:cs="仿宋"/>
          <w:b/>
          <w:kern w:val="0"/>
          <w:sz w:val="32"/>
          <w:szCs w:val="32"/>
          <w:highlight w:val="none"/>
          <w:lang w:val="zh-CN"/>
        </w:rPr>
        <w:t>评标标准相应的商务技术资料</w:t>
      </w:r>
    </w:p>
    <w:p w14:paraId="7A71EE5F">
      <w:pPr>
        <w:snapToGrid w:val="0"/>
        <w:spacing w:line="360" w:lineRule="auto"/>
        <w:jc w:val="left"/>
        <w:rPr>
          <w:rFonts w:ascii="宋体" w:hAnsi="宋体" w:eastAsia="宋体" w:cs="仿宋"/>
          <w:b/>
          <w:sz w:val="24"/>
          <w:highlight w:val="none"/>
        </w:rPr>
      </w:pPr>
      <w:r>
        <w:rPr>
          <w:rFonts w:hint="eastAsia" w:ascii="宋体" w:hAnsi="宋体" w:eastAsia="宋体" w:cs="仿宋"/>
          <w:b/>
          <w:sz w:val="24"/>
          <w:highlight w:val="none"/>
        </w:rPr>
        <w:t>（按招标文件第四部分评标办法前附表中“投标文件中评标标准相应的商务技术资料目录”提供资料）</w:t>
      </w:r>
    </w:p>
    <w:p w14:paraId="7C4BF8B9">
      <w:pPr>
        <w:pStyle w:val="32"/>
        <w:ind w:firstLine="560"/>
        <w:rPr>
          <w:rFonts w:ascii="宋体" w:hAnsi="宋体" w:eastAsia="宋体"/>
          <w:highlight w:val="none"/>
          <w:lang w:val="zh-CN"/>
        </w:rPr>
      </w:pPr>
    </w:p>
    <w:p w14:paraId="4FBF8DBC">
      <w:pPr>
        <w:numPr>
          <w:ilvl w:val="0"/>
          <w:numId w:val="0"/>
        </w:numPr>
        <w:snapToGrid w:val="0"/>
        <w:spacing w:line="360" w:lineRule="auto"/>
        <w:jc w:val="center"/>
        <w:outlineLvl w:val="0"/>
        <w:rPr>
          <w:rFonts w:ascii="宋体" w:hAnsi="宋体" w:eastAsia="宋体" w:cs="仿宋"/>
          <w:b/>
          <w:kern w:val="0"/>
          <w:sz w:val="32"/>
          <w:szCs w:val="32"/>
          <w:highlight w:val="none"/>
          <w:lang w:val="zh-CN"/>
        </w:rPr>
      </w:pPr>
      <w:r>
        <w:rPr>
          <w:rFonts w:hint="eastAsia" w:ascii="宋体" w:hAnsi="宋体" w:eastAsia="宋体" w:cs="仿宋"/>
          <w:b/>
          <w:kern w:val="0"/>
          <w:sz w:val="32"/>
          <w:szCs w:val="32"/>
          <w:highlight w:val="none"/>
          <w:lang w:val="en-US" w:eastAsia="zh-CN"/>
        </w:rPr>
        <w:t>八、</w:t>
      </w:r>
      <w:r>
        <w:rPr>
          <w:rFonts w:hint="eastAsia" w:ascii="宋体" w:hAnsi="宋体" w:eastAsia="宋体" w:cs="仿宋"/>
          <w:b/>
          <w:kern w:val="0"/>
          <w:sz w:val="32"/>
          <w:szCs w:val="32"/>
          <w:highlight w:val="none"/>
          <w:lang w:val="zh-CN"/>
        </w:rPr>
        <w:t>商务</w:t>
      </w:r>
      <w:r>
        <w:rPr>
          <w:rFonts w:hint="eastAsia" w:ascii="宋体" w:hAnsi="宋体" w:eastAsia="宋体" w:cs="仿宋"/>
          <w:b/>
          <w:kern w:val="0"/>
          <w:sz w:val="32"/>
          <w:szCs w:val="32"/>
          <w:highlight w:val="none"/>
          <w:lang w:val="en-US" w:eastAsia="zh-CN"/>
        </w:rPr>
        <w:t>响应</w:t>
      </w:r>
      <w:r>
        <w:rPr>
          <w:rFonts w:hint="eastAsia" w:ascii="宋体" w:hAnsi="宋体" w:eastAsia="宋体" w:cs="仿宋"/>
          <w:b/>
          <w:kern w:val="0"/>
          <w:sz w:val="32"/>
          <w:szCs w:val="32"/>
          <w:highlight w:val="none"/>
          <w:lang w:val="zh-CN"/>
        </w:rPr>
        <w:t>表</w:t>
      </w:r>
    </w:p>
    <w:tbl>
      <w:tblPr>
        <w:tblStyle w:val="2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272"/>
        <w:gridCol w:w="2096"/>
        <w:gridCol w:w="3137"/>
      </w:tblGrid>
      <w:tr w14:paraId="7EFC9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59" w:type="dxa"/>
            <w:noWrap w:val="0"/>
            <w:vAlign w:val="top"/>
          </w:tcPr>
          <w:p w14:paraId="3AB91DF5">
            <w:pPr>
              <w:shd w:val="clear" w:color="auto" w:fill="auto"/>
              <w:spacing w:beforeLines="50" w:line="360" w:lineRule="auto"/>
              <w:jc w:val="center"/>
              <w:rPr>
                <w:rFonts w:ascii="仿宋" w:hAnsi="仿宋" w:eastAsia="仿宋" w:cs="仿宋"/>
                <w:b/>
                <w:bCs/>
                <w:sz w:val="24"/>
                <w:highlight w:val="none"/>
              </w:rPr>
            </w:pPr>
            <w:r>
              <w:rPr>
                <w:rFonts w:hint="eastAsia" w:ascii="宋体" w:hAnsi="宋体" w:cs="宋体"/>
                <w:bCs/>
                <w:color w:val="auto"/>
                <w:sz w:val="24"/>
                <w:szCs w:val="24"/>
                <w:highlight w:val="none"/>
              </w:rPr>
              <w:t>序号</w:t>
            </w:r>
          </w:p>
        </w:tc>
        <w:tc>
          <w:tcPr>
            <w:tcW w:w="3272" w:type="dxa"/>
            <w:noWrap w:val="0"/>
            <w:vAlign w:val="top"/>
          </w:tcPr>
          <w:p w14:paraId="479B734F">
            <w:pPr>
              <w:shd w:val="clear" w:color="auto" w:fill="auto"/>
              <w:spacing w:beforeLines="50" w:line="360" w:lineRule="auto"/>
              <w:jc w:val="center"/>
              <w:rPr>
                <w:rFonts w:ascii="仿宋" w:hAnsi="仿宋" w:eastAsia="仿宋" w:cs="仿宋"/>
                <w:b/>
                <w:bCs/>
                <w:sz w:val="24"/>
                <w:highlight w:val="none"/>
              </w:rPr>
            </w:pPr>
            <w:r>
              <w:rPr>
                <w:rFonts w:hint="eastAsia" w:ascii="宋体" w:hAnsi="宋体" w:cs="宋体"/>
                <w:bCs/>
                <w:color w:val="auto"/>
                <w:sz w:val="24"/>
                <w:szCs w:val="24"/>
                <w:highlight w:val="none"/>
              </w:rPr>
              <w:t>商务条款要求</w:t>
            </w:r>
          </w:p>
        </w:tc>
        <w:tc>
          <w:tcPr>
            <w:tcW w:w="2096" w:type="dxa"/>
            <w:noWrap w:val="0"/>
            <w:vAlign w:val="top"/>
          </w:tcPr>
          <w:p w14:paraId="62226C57">
            <w:pPr>
              <w:shd w:val="clear" w:color="auto" w:fill="auto"/>
              <w:spacing w:beforeLines="50" w:line="360" w:lineRule="auto"/>
              <w:jc w:val="center"/>
              <w:rPr>
                <w:rFonts w:ascii="仿宋" w:hAnsi="仿宋" w:eastAsia="仿宋" w:cs="仿宋"/>
                <w:b/>
                <w:bCs/>
                <w:sz w:val="24"/>
                <w:highlight w:val="none"/>
              </w:rPr>
            </w:pPr>
            <w:r>
              <w:rPr>
                <w:rFonts w:hint="eastAsia" w:ascii="宋体" w:hAnsi="宋体" w:cs="宋体"/>
                <w:bCs/>
                <w:color w:val="auto"/>
                <w:sz w:val="24"/>
                <w:szCs w:val="24"/>
                <w:highlight w:val="none"/>
              </w:rPr>
              <w:t>响应情况</w:t>
            </w:r>
          </w:p>
        </w:tc>
        <w:tc>
          <w:tcPr>
            <w:tcW w:w="3137" w:type="dxa"/>
            <w:noWrap w:val="0"/>
            <w:vAlign w:val="top"/>
          </w:tcPr>
          <w:p w14:paraId="29FD2F60">
            <w:pPr>
              <w:shd w:val="clear" w:color="auto" w:fill="auto"/>
              <w:spacing w:beforeLines="50" w:line="360" w:lineRule="auto"/>
              <w:jc w:val="center"/>
              <w:rPr>
                <w:rFonts w:ascii="仿宋" w:hAnsi="仿宋" w:eastAsia="仿宋" w:cs="仿宋"/>
                <w:b/>
                <w:bCs/>
                <w:sz w:val="24"/>
                <w:highlight w:val="none"/>
              </w:rPr>
            </w:pPr>
            <w:r>
              <w:rPr>
                <w:rFonts w:hint="eastAsia" w:ascii="宋体" w:hAnsi="宋体" w:cs="宋体"/>
                <w:bCs/>
                <w:color w:val="auto"/>
                <w:sz w:val="24"/>
                <w:szCs w:val="24"/>
                <w:highlight w:val="none"/>
              </w:rPr>
              <w:t>优于</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rPr>
              <w:t>偏离情况说明（如有）</w:t>
            </w:r>
          </w:p>
        </w:tc>
      </w:tr>
      <w:tr w14:paraId="0B1F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A91A35">
            <w:pPr>
              <w:spacing w:line="360" w:lineRule="auto"/>
              <w:jc w:val="center"/>
              <w:rPr>
                <w:rFonts w:ascii="仿宋" w:hAnsi="仿宋" w:eastAsia="仿宋" w:cs="仿宋"/>
                <w:kern w:val="0"/>
                <w:sz w:val="24"/>
                <w:highlight w:val="none"/>
              </w:rPr>
            </w:pPr>
          </w:p>
        </w:tc>
        <w:tc>
          <w:tcPr>
            <w:tcW w:w="3272" w:type="dxa"/>
            <w:noWrap w:val="0"/>
            <w:vAlign w:val="top"/>
          </w:tcPr>
          <w:p w14:paraId="1D28D7FA">
            <w:pPr>
              <w:spacing w:line="360" w:lineRule="auto"/>
              <w:jc w:val="center"/>
              <w:rPr>
                <w:rFonts w:ascii="仿宋" w:hAnsi="仿宋" w:eastAsia="仿宋" w:cs="仿宋"/>
                <w:b/>
                <w:kern w:val="0"/>
                <w:sz w:val="32"/>
                <w:szCs w:val="32"/>
                <w:highlight w:val="none"/>
              </w:rPr>
            </w:pPr>
          </w:p>
        </w:tc>
        <w:tc>
          <w:tcPr>
            <w:tcW w:w="2096" w:type="dxa"/>
            <w:noWrap w:val="0"/>
            <w:vAlign w:val="top"/>
          </w:tcPr>
          <w:p w14:paraId="18757692">
            <w:pPr>
              <w:spacing w:line="360" w:lineRule="auto"/>
              <w:jc w:val="center"/>
              <w:rPr>
                <w:rFonts w:ascii="仿宋" w:hAnsi="仿宋" w:eastAsia="仿宋" w:cs="仿宋"/>
                <w:b/>
                <w:kern w:val="0"/>
                <w:sz w:val="32"/>
                <w:szCs w:val="32"/>
                <w:highlight w:val="none"/>
              </w:rPr>
            </w:pPr>
          </w:p>
        </w:tc>
        <w:tc>
          <w:tcPr>
            <w:tcW w:w="3137" w:type="dxa"/>
            <w:noWrap w:val="0"/>
            <w:vAlign w:val="top"/>
          </w:tcPr>
          <w:p w14:paraId="555D18BF">
            <w:pPr>
              <w:spacing w:line="360" w:lineRule="auto"/>
              <w:jc w:val="center"/>
              <w:rPr>
                <w:rFonts w:ascii="仿宋" w:hAnsi="仿宋" w:eastAsia="仿宋" w:cs="仿宋"/>
                <w:b/>
                <w:kern w:val="0"/>
                <w:sz w:val="32"/>
                <w:szCs w:val="32"/>
                <w:highlight w:val="none"/>
              </w:rPr>
            </w:pPr>
          </w:p>
        </w:tc>
      </w:tr>
      <w:tr w14:paraId="13F3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208CA92">
            <w:pPr>
              <w:spacing w:line="360" w:lineRule="auto"/>
              <w:jc w:val="center"/>
              <w:rPr>
                <w:rFonts w:ascii="仿宋" w:hAnsi="仿宋" w:eastAsia="仿宋" w:cs="仿宋"/>
                <w:kern w:val="0"/>
                <w:sz w:val="24"/>
                <w:highlight w:val="none"/>
              </w:rPr>
            </w:pPr>
          </w:p>
        </w:tc>
        <w:tc>
          <w:tcPr>
            <w:tcW w:w="3272" w:type="dxa"/>
            <w:noWrap w:val="0"/>
            <w:vAlign w:val="top"/>
          </w:tcPr>
          <w:p w14:paraId="5496BD0A">
            <w:pPr>
              <w:spacing w:line="360" w:lineRule="auto"/>
              <w:jc w:val="center"/>
              <w:rPr>
                <w:rFonts w:ascii="仿宋" w:hAnsi="仿宋" w:eastAsia="仿宋" w:cs="仿宋"/>
                <w:b/>
                <w:kern w:val="0"/>
                <w:sz w:val="32"/>
                <w:szCs w:val="32"/>
                <w:highlight w:val="none"/>
              </w:rPr>
            </w:pPr>
          </w:p>
        </w:tc>
        <w:tc>
          <w:tcPr>
            <w:tcW w:w="2096" w:type="dxa"/>
            <w:noWrap w:val="0"/>
            <w:vAlign w:val="top"/>
          </w:tcPr>
          <w:p w14:paraId="66DEA761">
            <w:pPr>
              <w:spacing w:line="360" w:lineRule="auto"/>
              <w:jc w:val="center"/>
              <w:rPr>
                <w:rFonts w:ascii="仿宋" w:hAnsi="仿宋" w:eastAsia="仿宋" w:cs="仿宋"/>
                <w:b/>
                <w:kern w:val="0"/>
                <w:sz w:val="32"/>
                <w:szCs w:val="32"/>
                <w:highlight w:val="none"/>
              </w:rPr>
            </w:pPr>
          </w:p>
        </w:tc>
        <w:tc>
          <w:tcPr>
            <w:tcW w:w="3137" w:type="dxa"/>
            <w:noWrap w:val="0"/>
            <w:vAlign w:val="top"/>
          </w:tcPr>
          <w:p w14:paraId="77E78CCD">
            <w:pPr>
              <w:spacing w:line="360" w:lineRule="auto"/>
              <w:jc w:val="center"/>
              <w:rPr>
                <w:rFonts w:ascii="仿宋" w:hAnsi="仿宋" w:eastAsia="仿宋" w:cs="仿宋"/>
                <w:b/>
                <w:kern w:val="0"/>
                <w:sz w:val="32"/>
                <w:szCs w:val="32"/>
                <w:highlight w:val="none"/>
              </w:rPr>
            </w:pPr>
          </w:p>
        </w:tc>
      </w:tr>
      <w:tr w14:paraId="1B0E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BEFD1E7">
            <w:pPr>
              <w:spacing w:line="360" w:lineRule="auto"/>
              <w:jc w:val="center"/>
              <w:rPr>
                <w:rFonts w:ascii="仿宋" w:hAnsi="仿宋" w:eastAsia="仿宋" w:cs="仿宋"/>
                <w:kern w:val="0"/>
                <w:sz w:val="24"/>
                <w:highlight w:val="none"/>
              </w:rPr>
            </w:pPr>
          </w:p>
        </w:tc>
        <w:tc>
          <w:tcPr>
            <w:tcW w:w="3272" w:type="dxa"/>
            <w:noWrap w:val="0"/>
            <w:vAlign w:val="top"/>
          </w:tcPr>
          <w:p w14:paraId="06C42ED3">
            <w:pPr>
              <w:spacing w:line="360" w:lineRule="auto"/>
              <w:jc w:val="center"/>
              <w:rPr>
                <w:rFonts w:ascii="仿宋" w:hAnsi="仿宋" w:eastAsia="仿宋" w:cs="仿宋"/>
                <w:b/>
                <w:kern w:val="0"/>
                <w:sz w:val="32"/>
                <w:szCs w:val="32"/>
                <w:highlight w:val="none"/>
              </w:rPr>
            </w:pPr>
          </w:p>
        </w:tc>
        <w:tc>
          <w:tcPr>
            <w:tcW w:w="2096" w:type="dxa"/>
            <w:noWrap w:val="0"/>
            <w:vAlign w:val="top"/>
          </w:tcPr>
          <w:p w14:paraId="59ED0DA8">
            <w:pPr>
              <w:spacing w:line="360" w:lineRule="auto"/>
              <w:jc w:val="center"/>
              <w:rPr>
                <w:rFonts w:ascii="仿宋" w:hAnsi="仿宋" w:eastAsia="仿宋" w:cs="仿宋"/>
                <w:b/>
                <w:kern w:val="0"/>
                <w:sz w:val="32"/>
                <w:szCs w:val="32"/>
                <w:highlight w:val="none"/>
              </w:rPr>
            </w:pPr>
          </w:p>
        </w:tc>
        <w:tc>
          <w:tcPr>
            <w:tcW w:w="3137" w:type="dxa"/>
            <w:noWrap w:val="0"/>
            <w:vAlign w:val="top"/>
          </w:tcPr>
          <w:p w14:paraId="55C4FACE">
            <w:pPr>
              <w:spacing w:line="360" w:lineRule="auto"/>
              <w:jc w:val="center"/>
              <w:rPr>
                <w:rFonts w:ascii="仿宋" w:hAnsi="仿宋" w:eastAsia="仿宋" w:cs="仿宋"/>
                <w:b/>
                <w:kern w:val="0"/>
                <w:sz w:val="32"/>
                <w:szCs w:val="32"/>
                <w:highlight w:val="none"/>
              </w:rPr>
            </w:pPr>
          </w:p>
        </w:tc>
      </w:tr>
      <w:tr w14:paraId="1F2CE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A6ACE61">
            <w:pPr>
              <w:spacing w:line="360" w:lineRule="auto"/>
              <w:jc w:val="center"/>
              <w:rPr>
                <w:rFonts w:hint="eastAsia" w:ascii="仿宋" w:hAnsi="仿宋" w:eastAsia="仿宋" w:cs="仿宋"/>
                <w:kern w:val="0"/>
                <w:sz w:val="24"/>
                <w:highlight w:val="none"/>
              </w:rPr>
            </w:pPr>
          </w:p>
        </w:tc>
        <w:tc>
          <w:tcPr>
            <w:tcW w:w="3272" w:type="dxa"/>
            <w:noWrap w:val="0"/>
            <w:vAlign w:val="top"/>
          </w:tcPr>
          <w:p w14:paraId="6DA4D1D7">
            <w:pPr>
              <w:spacing w:line="360" w:lineRule="auto"/>
              <w:jc w:val="center"/>
              <w:rPr>
                <w:rFonts w:ascii="仿宋" w:hAnsi="仿宋" w:eastAsia="仿宋" w:cs="仿宋"/>
                <w:b/>
                <w:kern w:val="0"/>
                <w:sz w:val="32"/>
                <w:szCs w:val="32"/>
                <w:highlight w:val="none"/>
              </w:rPr>
            </w:pPr>
          </w:p>
        </w:tc>
        <w:tc>
          <w:tcPr>
            <w:tcW w:w="2096" w:type="dxa"/>
            <w:noWrap w:val="0"/>
            <w:vAlign w:val="top"/>
          </w:tcPr>
          <w:p w14:paraId="6E888440">
            <w:pPr>
              <w:spacing w:line="360" w:lineRule="auto"/>
              <w:jc w:val="center"/>
              <w:rPr>
                <w:rFonts w:ascii="仿宋" w:hAnsi="仿宋" w:eastAsia="仿宋" w:cs="仿宋"/>
                <w:b/>
                <w:kern w:val="0"/>
                <w:sz w:val="32"/>
                <w:szCs w:val="32"/>
                <w:highlight w:val="none"/>
              </w:rPr>
            </w:pPr>
          </w:p>
        </w:tc>
        <w:tc>
          <w:tcPr>
            <w:tcW w:w="3137" w:type="dxa"/>
            <w:noWrap w:val="0"/>
            <w:vAlign w:val="top"/>
          </w:tcPr>
          <w:p w14:paraId="29DDD74D">
            <w:pPr>
              <w:spacing w:line="360" w:lineRule="auto"/>
              <w:jc w:val="center"/>
              <w:rPr>
                <w:rFonts w:ascii="仿宋" w:hAnsi="仿宋" w:eastAsia="仿宋" w:cs="仿宋"/>
                <w:b/>
                <w:kern w:val="0"/>
                <w:sz w:val="32"/>
                <w:szCs w:val="32"/>
                <w:highlight w:val="none"/>
              </w:rPr>
            </w:pPr>
          </w:p>
        </w:tc>
      </w:tr>
      <w:tr w14:paraId="79BA3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000C5C5F">
            <w:pPr>
              <w:spacing w:line="360" w:lineRule="auto"/>
              <w:jc w:val="center"/>
              <w:rPr>
                <w:rFonts w:hint="eastAsia" w:ascii="仿宋" w:hAnsi="仿宋" w:eastAsia="仿宋" w:cs="仿宋"/>
                <w:kern w:val="0"/>
                <w:sz w:val="24"/>
                <w:highlight w:val="none"/>
              </w:rPr>
            </w:pPr>
          </w:p>
        </w:tc>
        <w:tc>
          <w:tcPr>
            <w:tcW w:w="3272" w:type="dxa"/>
            <w:noWrap w:val="0"/>
            <w:vAlign w:val="top"/>
          </w:tcPr>
          <w:p w14:paraId="1152680A">
            <w:pPr>
              <w:spacing w:line="360" w:lineRule="auto"/>
              <w:jc w:val="center"/>
              <w:rPr>
                <w:rFonts w:ascii="仿宋" w:hAnsi="仿宋" w:eastAsia="仿宋" w:cs="仿宋"/>
                <w:b/>
                <w:kern w:val="0"/>
                <w:sz w:val="32"/>
                <w:szCs w:val="32"/>
                <w:highlight w:val="none"/>
              </w:rPr>
            </w:pPr>
          </w:p>
        </w:tc>
        <w:tc>
          <w:tcPr>
            <w:tcW w:w="2096" w:type="dxa"/>
            <w:noWrap w:val="0"/>
            <w:vAlign w:val="top"/>
          </w:tcPr>
          <w:p w14:paraId="5313F083">
            <w:pPr>
              <w:spacing w:line="360" w:lineRule="auto"/>
              <w:jc w:val="center"/>
              <w:rPr>
                <w:rFonts w:ascii="仿宋" w:hAnsi="仿宋" w:eastAsia="仿宋" w:cs="仿宋"/>
                <w:b/>
                <w:kern w:val="0"/>
                <w:sz w:val="32"/>
                <w:szCs w:val="32"/>
                <w:highlight w:val="none"/>
              </w:rPr>
            </w:pPr>
          </w:p>
        </w:tc>
        <w:tc>
          <w:tcPr>
            <w:tcW w:w="3137" w:type="dxa"/>
            <w:noWrap w:val="0"/>
            <w:vAlign w:val="top"/>
          </w:tcPr>
          <w:p w14:paraId="0BB852B8">
            <w:pPr>
              <w:spacing w:line="360" w:lineRule="auto"/>
              <w:jc w:val="center"/>
              <w:rPr>
                <w:rFonts w:ascii="仿宋" w:hAnsi="仿宋" w:eastAsia="仿宋" w:cs="仿宋"/>
                <w:b/>
                <w:kern w:val="0"/>
                <w:sz w:val="32"/>
                <w:szCs w:val="32"/>
                <w:highlight w:val="none"/>
              </w:rPr>
            </w:pPr>
          </w:p>
        </w:tc>
      </w:tr>
      <w:tr w14:paraId="5B100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2435C42A">
            <w:pPr>
              <w:spacing w:line="360" w:lineRule="auto"/>
              <w:jc w:val="center"/>
              <w:rPr>
                <w:rFonts w:hint="eastAsia" w:ascii="仿宋" w:hAnsi="仿宋" w:eastAsia="仿宋" w:cs="仿宋"/>
                <w:kern w:val="0"/>
                <w:sz w:val="24"/>
                <w:highlight w:val="none"/>
              </w:rPr>
            </w:pPr>
          </w:p>
        </w:tc>
        <w:tc>
          <w:tcPr>
            <w:tcW w:w="3272" w:type="dxa"/>
            <w:noWrap w:val="0"/>
            <w:vAlign w:val="top"/>
          </w:tcPr>
          <w:p w14:paraId="509349E7">
            <w:pPr>
              <w:spacing w:line="360" w:lineRule="auto"/>
              <w:jc w:val="center"/>
              <w:rPr>
                <w:rFonts w:ascii="仿宋" w:hAnsi="仿宋" w:eastAsia="仿宋" w:cs="仿宋"/>
                <w:b/>
                <w:kern w:val="0"/>
                <w:sz w:val="32"/>
                <w:szCs w:val="32"/>
                <w:highlight w:val="none"/>
              </w:rPr>
            </w:pPr>
          </w:p>
        </w:tc>
        <w:tc>
          <w:tcPr>
            <w:tcW w:w="2096" w:type="dxa"/>
            <w:noWrap w:val="0"/>
            <w:vAlign w:val="top"/>
          </w:tcPr>
          <w:p w14:paraId="1653AA29">
            <w:pPr>
              <w:spacing w:line="360" w:lineRule="auto"/>
              <w:jc w:val="center"/>
              <w:rPr>
                <w:rFonts w:ascii="仿宋" w:hAnsi="仿宋" w:eastAsia="仿宋" w:cs="仿宋"/>
                <w:b/>
                <w:kern w:val="0"/>
                <w:sz w:val="32"/>
                <w:szCs w:val="32"/>
                <w:highlight w:val="none"/>
              </w:rPr>
            </w:pPr>
          </w:p>
        </w:tc>
        <w:tc>
          <w:tcPr>
            <w:tcW w:w="3137" w:type="dxa"/>
            <w:noWrap w:val="0"/>
            <w:vAlign w:val="top"/>
          </w:tcPr>
          <w:p w14:paraId="776CFDCB">
            <w:pPr>
              <w:spacing w:line="360" w:lineRule="auto"/>
              <w:jc w:val="center"/>
              <w:rPr>
                <w:rFonts w:ascii="仿宋" w:hAnsi="仿宋" w:eastAsia="仿宋" w:cs="仿宋"/>
                <w:b/>
                <w:kern w:val="0"/>
                <w:sz w:val="32"/>
                <w:szCs w:val="32"/>
                <w:highlight w:val="none"/>
              </w:rPr>
            </w:pPr>
          </w:p>
        </w:tc>
      </w:tr>
      <w:tr w14:paraId="1761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830C331">
            <w:pPr>
              <w:spacing w:line="360" w:lineRule="auto"/>
              <w:jc w:val="center"/>
              <w:rPr>
                <w:rFonts w:hint="eastAsia" w:ascii="仿宋" w:hAnsi="仿宋" w:eastAsia="仿宋" w:cs="仿宋"/>
                <w:kern w:val="0"/>
                <w:sz w:val="24"/>
                <w:highlight w:val="none"/>
              </w:rPr>
            </w:pPr>
          </w:p>
        </w:tc>
        <w:tc>
          <w:tcPr>
            <w:tcW w:w="3272" w:type="dxa"/>
            <w:noWrap w:val="0"/>
            <w:vAlign w:val="top"/>
          </w:tcPr>
          <w:p w14:paraId="4B43595C">
            <w:pPr>
              <w:spacing w:line="360" w:lineRule="auto"/>
              <w:jc w:val="center"/>
              <w:rPr>
                <w:rFonts w:ascii="仿宋" w:hAnsi="仿宋" w:eastAsia="仿宋" w:cs="仿宋"/>
                <w:b/>
                <w:kern w:val="0"/>
                <w:sz w:val="32"/>
                <w:szCs w:val="32"/>
                <w:highlight w:val="none"/>
              </w:rPr>
            </w:pPr>
          </w:p>
        </w:tc>
        <w:tc>
          <w:tcPr>
            <w:tcW w:w="2096" w:type="dxa"/>
            <w:noWrap w:val="0"/>
            <w:vAlign w:val="top"/>
          </w:tcPr>
          <w:p w14:paraId="7B3A84B0">
            <w:pPr>
              <w:spacing w:line="360" w:lineRule="auto"/>
              <w:jc w:val="center"/>
              <w:rPr>
                <w:rFonts w:ascii="仿宋" w:hAnsi="仿宋" w:eastAsia="仿宋" w:cs="仿宋"/>
                <w:b/>
                <w:kern w:val="0"/>
                <w:sz w:val="32"/>
                <w:szCs w:val="32"/>
                <w:highlight w:val="none"/>
              </w:rPr>
            </w:pPr>
          </w:p>
        </w:tc>
        <w:tc>
          <w:tcPr>
            <w:tcW w:w="3137" w:type="dxa"/>
            <w:noWrap w:val="0"/>
            <w:vAlign w:val="top"/>
          </w:tcPr>
          <w:p w14:paraId="2A47E9D8">
            <w:pPr>
              <w:spacing w:line="360" w:lineRule="auto"/>
              <w:jc w:val="center"/>
              <w:rPr>
                <w:rFonts w:ascii="仿宋" w:hAnsi="仿宋" w:eastAsia="仿宋" w:cs="仿宋"/>
                <w:b/>
                <w:kern w:val="0"/>
                <w:sz w:val="32"/>
                <w:szCs w:val="32"/>
                <w:highlight w:val="none"/>
              </w:rPr>
            </w:pPr>
          </w:p>
        </w:tc>
      </w:tr>
      <w:tr w14:paraId="21712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366CE3C">
            <w:pPr>
              <w:spacing w:line="360" w:lineRule="auto"/>
              <w:jc w:val="center"/>
              <w:rPr>
                <w:rFonts w:hint="eastAsia" w:ascii="仿宋" w:hAnsi="仿宋" w:eastAsia="仿宋" w:cs="仿宋"/>
                <w:kern w:val="0"/>
                <w:sz w:val="24"/>
                <w:highlight w:val="none"/>
              </w:rPr>
            </w:pPr>
          </w:p>
        </w:tc>
        <w:tc>
          <w:tcPr>
            <w:tcW w:w="3272" w:type="dxa"/>
            <w:noWrap w:val="0"/>
            <w:vAlign w:val="top"/>
          </w:tcPr>
          <w:p w14:paraId="738ADBE4">
            <w:pPr>
              <w:spacing w:line="360" w:lineRule="auto"/>
              <w:jc w:val="center"/>
              <w:rPr>
                <w:rFonts w:ascii="仿宋" w:hAnsi="仿宋" w:eastAsia="仿宋" w:cs="仿宋"/>
                <w:b/>
                <w:kern w:val="0"/>
                <w:sz w:val="32"/>
                <w:szCs w:val="32"/>
                <w:highlight w:val="none"/>
              </w:rPr>
            </w:pPr>
          </w:p>
        </w:tc>
        <w:tc>
          <w:tcPr>
            <w:tcW w:w="2096" w:type="dxa"/>
            <w:noWrap w:val="0"/>
            <w:vAlign w:val="top"/>
          </w:tcPr>
          <w:p w14:paraId="185B7F9F">
            <w:pPr>
              <w:spacing w:line="360" w:lineRule="auto"/>
              <w:jc w:val="center"/>
              <w:rPr>
                <w:rFonts w:ascii="仿宋" w:hAnsi="仿宋" w:eastAsia="仿宋" w:cs="仿宋"/>
                <w:b/>
                <w:kern w:val="0"/>
                <w:sz w:val="32"/>
                <w:szCs w:val="32"/>
                <w:highlight w:val="none"/>
              </w:rPr>
            </w:pPr>
          </w:p>
        </w:tc>
        <w:tc>
          <w:tcPr>
            <w:tcW w:w="3137" w:type="dxa"/>
            <w:noWrap w:val="0"/>
            <w:vAlign w:val="top"/>
          </w:tcPr>
          <w:p w14:paraId="6FA643AE">
            <w:pPr>
              <w:spacing w:line="360" w:lineRule="auto"/>
              <w:jc w:val="center"/>
              <w:rPr>
                <w:rFonts w:ascii="仿宋" w:hAnsi="仿宋" w:eastAsia="仿宋" w:cs="仿宋"/>
                <w:b/>
                <w:kern w:val="0"/>
                <w:sz w:val="32"/>
                <w:szCs w:val="32"/>
                <w:highlight w:val="none"/>
              </w:rPr>
            </w:pPr>
          </w:p>
        </w:tc>
      </w:tr>
      <w:tr w14:paraId="526D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45DA5BD">
            <w:pPr>
              <w:spacing w:line="360" w:lineRule="auto"/>
              <w:jc w:val="center"/>
              <w:rPr>
                <w:rFonts w:hint="eastAsia" w:ascii="仿宋" w:hAnsi="仿宋" w:eastAsia="仿宋" w:cs="仿宋"/>
                <w:kern w:val="0"/>
                <w:sz w:val="24"/>
                <w:highlight w:val="none"/>
              </w:rPr>
            </w:pPr>
          </w:p>
        </w:tc>
        <w:tc>
          <w:tcPr>
            <w:tcW w:w="3272" w:type="dxa"/>
            <w:noWrap w:val="0"/>
            <w:vAlign w:val="top"/>
          </w:tcPr>
          <w:p w14:paraId="4F292F0D">
            <w:pPr>
              <w:spacing w:line="360" w:lineRule="auto"/>
              <w:jc w:val="center"/>
              <w:rPr>
                <w:rFonts w:ascii="仿宋" w:hAnsi="仿宋" w:eastAsia="仿宋" w:cs="仿宋"/>
                <w:b/>
                <w:kern w:val="0"/>
                <w:sz w:val="32"/>
                <w:szCs w:val="32"/>
                <w:highlight w:val="none"/>
              </w:rPr>
            </w:pPr>
          </w:p>
        </w:tc>
        <w:tc>
          <w:tcPr>
            <w:tcW w:w="2096" w:type="dxa"/>
            <w:noWrap w:val="0"/>
            <w:vAlign w:val="top"/>
          </w:tcPr>
          <w:p w14:paraId="68239834">
            <w:pPr>
              <w:spacing w:line="360" w:lineRule="auto"/>
              <w:jc w:val="center"/>
              <w:rPr>
                <w:rFonts w:ascii="仿宋" w:hAnsi="仿宋" w:eastAsia="仿宋" w:cs="仿宋"/>
                <w:b/>
                <w:kern w:val="0"/>
                <w:sz w:val="32"/>
                <w:szCs w:val="32"/>
                <w:highlight w:val="none"/>
              </w:rPr>
            </w:pPr>
          </w:p>
        </w:tc>
        <w:tc>
          <w:tcPr>
            <w:tcW w:w="3137" w:type="dxa"/>
            <w:noWrap w:val="0"/>
            <w:vAlign w:val="top"/>
          </w:tcPr>
          <w:p w14:paraId="4EE80C5D">
            <w:pPr>
              <w:spacing w:line="360" w:lineRule="auto"/>
              <w:jc w:val="center"/>
              <w:rPr>
                <w:rFonts w:ascii="仿宋" w:hAnsi="仿宋" w:eastAsia="仿宋" w:cs="仿宋"/>
                <w:b/>
                <w:kern w:val="0"/>
                <w:sz w:val="32"/>
                <w:szCs w:val="32"/>
                <w:highlight w:val="none"/>
              </w:rPr>
            </w:pPr>
          </w:p>
        </w:tc>
      </w:tr>
    </w:tbl>
    <w:p w14:paraId="4F1E7FDA">
      <w:pPr>
        <w:spacing w:line="360" w:lineRule="auto"/>
        <w:ind w:firstLine="240" w:firstLineChars="100"/>
        <w:jc w:val="left"/>
        <w:rPr>
          <w:rFonts w:hint="eastAsia" w:ascii="宋体" w:hAnsi="宋体" w:eastAsia="宋体" w:cs="宋体"/>
          <w:color w:val="auto"/>
          <w:sz w:val="24"/>
          <w:szCs w:val="28"/>
          <w:highlight w:val="none"/>
        </w:rPr>
      </w:pPr>
      <w:r>
        <w:rPr>
          <w:rFonts w:hint="eastAsia" w:ascii="宋体" w:hAnsi="宋体" w:cs="宋体"/>
          <w:color w:val="auto"/>
          <w:sz w:val="24"/>
          <w:szCs w:val="28"/>
          <w:highlight w:val="none"/>
          <w:lang w:val="en-US" w:eastAsia="zh-CN"/>
        </w:rPr>
        <w:t>要求</w:t>
      </w:r>
      <w:r>
        <w:rPr>
          <w:rFonts w:hint="eastAsia" w:ascii="宋体" w:hAnsi="宋体" w:eastAsia="宋体" w:cs="宋体"/>
          <w:color w:val="auto"/>
          <w:sz w:val="24"/>
          <w:szCs w:val="28"/>
          <w:highlight w:val="none"/>
        </w:rPr>
        <w:t>：</w:t>
      </w:r>
      <w:r>
        <w:rPr>
          <w:rFonts w:hint="eastAsia" w:ascii="宋体" w:hAnsi="宋体" w:cs="宋体"/>
          <w:color w:val="auto"/>
          <w:sz w:val="24"/>
          <w:szCs w:val="28"/>
          <w:highlight w:val="none"/>
          <w:lang w:val="en-US" w:eastAsia="zh-CN"/>
        </w:rPr>
        <w:t>1、</w:t>
      </w:r>
      <w:r>
        <w:rPr>
          <w:rFonts w:hint="eastAsia" w:ascii="宋体" w:hAnsi="宋体" w:eastAsia="宋体" w:cs="宋体"/>
          <w:color w:val="auto"/>
          <w:sz w:val="24"/>
          <w:szCs w:val="28"/>
          <w:highlight w:val="none"/>
        </w:rPr>
        <w:t>根据采购文件第三章 商务要求  逐项填写。</w:t>
      </w:r>
    </w:p>
    <w:p w14:paraId="6D6E8710">
      <w:pPr>
        <w:spacing w:line="360" w:lineRule="auto"/>
        <w:ind w:firstLine="960" w:firstLineChars="4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2、响应情况填写“响应”即为满足采购文件的要求，填写“正偏离”为优于采购文件的要求，填写“负偏离”为不能满足采购文件的要求，响应条款有“正偏离”和“负偏离”的应当在“优于</w:t>
      </w:r>
      <w:r>
        <w:rPr>
          <w:rFonts w:hint="eastAsia" w:ascii="宋体" w:hAnsi="宋体" w:eastAsia="宋体" w:cs="宋体"/>
          <w:color w:val="auto"/>
          <w:sz w:val="24"/>
          <w:szCs w:val="28"/>
          <w:highlight w:val="none"/>
          <w:lang w:val="en-US" w:eastAsia="zh-CN"/>
        </w:rPr>
        <w:t>或</w:t>
      </w:r>
      <w:r>
        <w:rPr>
          <w:rFonts w:hint="eastAsia" w:ascii="宋体" w:hAnsi="宋体" w:eastAsia="宋体" w:cs="宋体"/>
          <w:color w:val="auto"/>
          <w:sz w:val="24"/>
          <w:szCs w:val="28"/>
          <w:highlight w:val="none"/>
        </w:rPr>
        <w:t>偏离情况说明”栏进行明确描述，响应情况由评标小组认定。</w:t>
      </w:r>
    </w:p>
    <w:p w14:paraId="703FF52F">
      <w:pPr>
        <w:adjustRightInd w:val="0"/>
        <w:snapToGrid w:val="0"/>
        <w:spacing w:line="360" w:lineRule="auto"/>
        <w:jc w:val="right"/>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法定代表人或其授权委托人（签名或印章）：</w:t>
      </w:r>
    </w:p>
    <w:p w14:paraId="3E01F39A">
      <w:pPr>
        <w:adjustRightInd w:val="0"/>
        <w:snapToGrid w:val="0"/>
        <w:spacing w:line="360" w:lineRule="auto"/>
        <w:ind w:left="3990" w:leftChars="1900"/>
        <w:jc w:val="center"/>
        <w:rPr>
          <w:rFonts w:ascii="宋体" w:hAnsi="宋体" w:eastAsia="宋体" w:cs="仿宋"/>
          <w:kern w:val="0"/>
          <w:sz w:val="24"/>
          <w:highlight w:val="none"/>
          <w:lang w:val="zh-CN"/>
        </w:rPr>
      </w:pPr>
      <w:r>
        <w:rPr>
          <w:rFonts w:hint="eastAsia" w:ascii="宋体" w:hAnsi="宋体" w:eastAsia="宋体" w:cs="仿宋"/>
          <w:kern w:val="0"/>
          <w:sz w:val="24"/>
          <w:highlight w:val="none"/>
          <w:lang w:val="zh-CN"/>
        </w:rPr>
        <w:t>投标人（盖章）：</w:t>
      </w:r>
    </w:p>
    <w:p w14:paraId="6C63F0F1">
      <w:pPr>
        <w:adjustRightInd w:val="0"/>
        <w:snapToGrid w:val="0"/>
        <w:spacing w:line="360" w:lineRule="auto"/>
        <w:ind w:right="1920"/>
        <w:jc w:val="center"/>
        <w:rPr>
          <w:rFonts w:ascii="宋体" w:hAnsi="宋体" w:eastAsia="宋体" w:cs="仿宋"/>
          <w:b/>
          <w:kern w:val="0"/>
          <w:sz w:val="32"/>
          <w:szCs w:val="32"/>
          <w:highlight w:val="none"/>
          <w:lang w:val="zh-CN"/>
        </w:rPr>
      </w:pPr>
      <w:r>
        <w:rPr>
          <w:rFonts w:hint="eastAsia" w:ascii="宋体" w:hAnsi="宋体" w:eastAsia="宋体" w:cs="仿宋"/>
          <w:kern w:val="0"/>
          <w:sz w:val="24"/>
          <w:highlight w:val="none"/>
          <w:lang w:val="zh-CN"/>
        </w:rPr>
        <w:t xml:space="preserve">                                      日期</w:t>
      </w:r>
      <w:r>
        <w:rPr>
          <w:rFonts w:hint="eastAsia" w:ascii="宋体" w:hAnsi="宋体" w:eastAsia="宋体" w:cs="仿宋"/>
          <w:kern w:val="0"/>
          <w:sz w:val="24"/>
          <w:highlight w:val="none"/>
        </w:rPr>
        <w:t>:</w:t>
      </w:r>
    </w:p>
    <w:p w14:paraId="19C5AD43">
      <w:pPr>
        <w:widowControl/>
        <w:jc w:val="left"/>
        <w:rPr>
          <w:rFonts w:ascii="宋体" w:hAnsi="宋体" w:eastAsia="宋体"/>
          <w:sz w:val="28"/>
          <w:highlight w:val="none"/>
          <w:lang w:val="zh-CN"/>
        </w:rPr>
      </w:pPr>
    </w:p>
    <w:p w14:paraId="49D24659">
      <w:pPr>
        <w:widowControl/>
        <w:jc w:val="center"/>
        <w:rPr>
          <w:rFonts w:ascii="宋体" w:hAnsi="宋体" w:eastAsia="宋体" w:cs="仿宋"/>
          <w:b/>
          <w:kern w:val="0"/>
          <w:sz w:val="32"/>
          <w:szCs w:val="32"/>
          <w:highlight w:val="none"/>
          <w:lang w:val="zh-CN"/>
        </w:rPr>
      </w:pPr>
      <w:r>
        <w:rPr>
          <w:rFonts w:ascii="宋体" w:hAnsi="宋体" w:eastAsia="宋体"/>
          <w:highlight w:val="none"/>
          <w:lang w:val="zh-CN"/>
        </w:rPr>
        <w:br w:type="page"/>
      </w:r>
      <w:r>
        <w:rPr>
          <w:rFonts w:hint="eastAsia" w:ascii="宋体" w:hAnsi="宋体" w:eastAsia="宋体" w:cs="仿宋"/>
          <w:b/>
          <w:kern w:val="0"/>
          <w:sz w:val="32"/>
          <w:szCs w:val="32"/>
          <w:highlight w:val="none"/>
          <w:lang w:val="en-US" w:eastAsia="zh-CN"/>
        </w:rPr>
        <w:t>九、</w:t>
      </w:r>
      <w:r>
        <w:rPr>
          <w:rFonts w:hint="eastAsia" w:ascii="宋体" w:hAnsi="宋体" w:eastAsia="宋体" w:cs="仿宋"/>
          <w:b/>
          <w:kern w:val="0"/>
          <w:sz w:val="32"/>
          <w:szCs w:val="32"/>
          <w:highlight w:val="none"/>
          <w:lang w:val="zh-CN"/>
        </w:rPr>
        <w:t>技术响应表</w:t>
      </w:r>
    </w:p>
    <w:p w14:paraId="7B54A5D0">
      <w:pPr>
        <w:spacing w:line="360" w:lineRule="auto"/>
        <w:jc w:val="center"/>
        <w:rPr>
          <w:rFonts w:ascii="宋体" w:hAnsi="宋体" w:cs="宋体"/>
          <w:highlight w:val="none"/>
        </w:rPr>
      </w:pPr>
      <w:r>
        <w:rPr>
          <w:rFonts w:hint="eastAsia" w:ascii="宋体" w:hAnsi="宋体" w:cs="宋体"/>
          <w:b/>
          <w:highlight w:val="none"/>
        </w:rPr>
        <w:t>1.</w:t>
      </w:r>
      <w:r>
        <w:rPr>
          <w:rFonts w:hint="eastAsia" w:ascii="宋体" w:hAnsi="宋体" w:cs="宋体"/>
          <w:b/>
          <w:color w:val="auto"/>
          <w:highlight w:val="none"/>
        </w:rPr>
        <w:t>带</w:t>
      </w:r>
      <w:r>
        <w:rPr>
          <w:rFonts w:hint="eastAsia" w:ascii="宋体" w:hAnsi="宋体" w:cs="宋体"/>
          <w:b/>
          <w:color w:val="auto"/>
          <w:highlight w:val="none"/>
          <w:lang w:val="en-US" w:eastAsia="zh-CN"/>
        </w:rPr>
        <w:t>▲</w:t>
      </w:r>
      <w:r>
        <w:rPr>
          <w:rFonts w:hint="eastAsia" w:ascii="宋体" w:hAnsi="宋体" w:cs="宋体"/>
          <w:b/>
          <w:color w:val="auto"/>
          <w:highlight w:val="none"/>
        </w:rPr>
        <w:t>条款响应一览表</w:t>
      </w:r>
    </w:p>
    <w:p w14:paraId="01DE0A0E">
      <w:pPr>
        <w:spacing w:line="360" w:lineRule="auto"/>
        <w:rPr>
          <w:rFonts w:ascii="宋体" w:hAnsi="宋体" w:eastAsia="宋体" w:cs="仿宋"/>
          <w:kern w:val="0"/>
          <w:sz w:val="32"/>
          <w:szCs w:val="32"/>
          <w:highlight w:val="none"/>
          <w:lang w:val="zh-CN"/>
        </w:rPr>
      </w:pPr>
      <w:r>
        <w:rPr>
          <w:rFonts w:hint="eastAsia" w:ascii="宋体" w:hAnsi="宋体" w:cs="宋体"/>
          <w:highlight w:val="none"/>
        </w:rPr>
        <w:t>项目名称：</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380B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center"/>
          </w:tcPr>
          <w:p w14:paraId="1619BFB7">
            <w:pPr>
              <w:jc w:val="center"/>
              <w:rPr>
                <w:rFonts w:ascii="宋体" w:hAnsi="宋体" w:cs="宋体"/>
                <w:szCs w:val="21"/>
                <w:highlight w:val="none"/>
              </w:rPr>
            </w:pPr>
            <w:r>
              <w:rPr>
                <w:rFonts w:hint="eastAsia" w:ascii="宋体" w:hAnsi="宋体" w:cs="宋体"/>
                <w:szCs w:val="21"/>
                <w:highlight w:val="none"/>
              </w:rPr>
              <w:t>序号</w:t>
            </w:r>
          </w:p>
        </w:tc>
        <w:tc>
          <w:tcPr>
            <w:tcW w:w="2787" w:type="dxa"/>
            <w:noWrap w:val="0"/>
            <w:vAlign w:val="center"/>
          </w:tcPr>
          <w:p w14:paraId="18D45567">
            <w:pPr>
              <w:ind w:firstLine="210" w:firstLineChars="100"/>
              <w:rPr>
                <w:rFonts w:ascii="宋体" w:hAnsi="宋体" w:cs="宋体"/>
                <w:highlight w:val="none"/>
              </w:rPr>
            </w:pPr>
            <w:r>
              <w:rPr>
                <w:rFonts w:hint="eastAsia" w:ascii="宋体" w:hAnsi="宋体" w:cs="宋体"/>
                <w:highlight w:val="none"/>
              </w:rPr>
              <w:t>采购文件条款描述</w:t>
            </w:r>
          </w:p>
        </w:tc>
        <w:tc>
          <w:tcPr>
            <w:tcW w:w="2788" w:type="dxa"/>
            <w:noWrap w:val="0"/>
            <w:vAlign w:val="center"/>
          </w:tcPr>
          <w:p w14:paraId="3FBB2094">
            <w:pPr>
              <w:ind w:left="-78" w:leftChars="-37" w:right="-80" w:rightChars="-38"/>
              <w:jc w:val="center"/>
              <w:rPr>
                <w:rFonts w:ascii="宋体" w:hAnsi="宋体" w:cs="宋体"/>
                <w:highlight w:val="none"/>
              </w:rPr>
            </w:pPr>
            <w:r>
              <w:rPr>
                <w:rFonts w:hint="eastAsia" w:ascii="宋体" w:hAnsi="宋体" w:cs="宋体"/>
                <w:highlight w:val="none"/>
              </w:rPr>
              <w:t>投标人响应描述</w:t>
            </w:r>
          </w:p>
        </w:tc>
        <w:tc>
          <w:tcPr>
            <w:tcW w:w="2788" w:type="dxa"/>
            <w:noWrap w:val="0"/>
            <w:vAlign w:val="center"/>
          </w:tcPr>
          <w:p w14:paraId="2700172A">
            <w:pPr>
              <w:ind w:left="-78" w:leftChars="-37" w:right="-80" w:rightChars="-38"/>
              <w:jc w:val="center"/>
              <w:rPr>
                <w:rFonts w:ascii="宋体" w:hAnsi="宋体" w:cs="宋体"/>
                <w:highlight w:val="none"/>
              </w:rPr>
            </w:pPr>
            <w:r>
              <w:rPr>
                <w:rFonts w:hint="eastAsia" w:ascii="宋体" w:hAnsi="宋体" w:cs="宋体"/>
                <w:highlight w:val="none"/>
              </w:rPr>
              <w:t>差异</w:t>
            </w:r>
          </w:p>
        </w:tc>
      </w:tr>
      <w:tr w14:paraId="7326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6F630533">
            <w:pPr>
              <w:rPr>
                <w:rFonts w:ascii="宋体" w:hAnsi="宋体" w:cs="宋体"/>
                <w:highlight w:val="none"/>
              </w:rPr>
            </w:pPr>
          </w:p>
        </w:tc>
        <w:tc>
          <w:tcPr>
            <w:tcW w:w="2787" w:type="dxa"/>
            <w:noWrap w:val="0"/>
            <w:vAlign w:val="top"/>
          </w:tcPr>
          <w:p w14:paraId="7C2BDE2D">
            <w:pPr>
              <w:rPr>
                <w:rFonts w:ascii="宋体" w:hAnsi="宋体" w:cs="宋体"/>
                <w:highlight w:val="none"/>
              </w:rPr>
            </w:pPr>
          </w:p>
        </w:tc>
        <w:tc>
          <w:tcPr>
            <w:tcW w:w="2788" w:type="dxa"/>
            <w:noWrap w:val="0"/>
            <w:vAlign w:val="top"/>
          </w:tcPr>
          <w:p w14:paraId="55DA4C04">
            <w:pPr>
              <w:rPr>
                <w:rFonts w:ascii="宋体" w:hAnsi="宋体" w:cs="宋体"/>
                <w:highlight w:val="none"/>
              </w:rPr>
            </w:pPr>
          </w:p>
        </w:tc>
        <w:tc>
          <w:tcPr>
            <w:tcW w:w="2788" w:type="dxa"/>
            <w:noWrap w:val="0"/>
            <w:vAlign w:val="top"/>
          </w:tcPr>
          <w:p w14:paraId="50FA7EEA">
            <w:pPr>
              <w:rPr>
                <w:rFonts w:ascii="宋体" w:hAnsi="宋体" w:cs="宋体"/>
                <w:highlight w:val="none"/>
              </w:rPr>
            </w:pPr>
          </w:p>
        </w:tc>
      </w:tr>
      <w:tr w14:paraId="0657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3935DC5B">
            <w:pPr>
              <w:rPr>
                <w:rFonts w:ascii="宋体" w:hAnsi="宋体" w:cs="宋体"/>
                <w:highlight w:val="none"/>
              </w:rPr>
            </w:pPr>
          </w:p>
        </w:tc>
        <w:tc>
          <w:tcPr>
            <w:tcW w:w="2787" w:type="dxa"/>
            <w:noWrap w:val="0"/>
            <w:vAlign w:val="top"/>
          </w:tcPr>
          <w:p w14:paraId="16F4250C">
            <w:pPr>
              <w:rPr>
                <w:rFonts w:ascii="宋体" w:hAnsi="宋体" w:cs="宋体"/>
                <w:highlight w:val="none"/>
              </w:rPr>
            </w:pPr>
          </w:p>
        </w:tc>
        <w:tc>
          <w:tcPr>
            <w:tcW w:w="2788" w:type="dxa"/>
            <w:noWrap w:val="0"/>
            <w:vAlign w:val="top"/>
          </w:tcPr>
          <w:p w14:paraId="21C86063">
            <w:pPr>
              <w:rPr>
                <w:rFonts w:ascii="宋体" w:hAnsi="宋体" w:cs="宋体"/>
                <w:highlight w:val="none"/>
              </w:rPr>
            </w:pPr>
          </w:p>
        </w:tc>
        <w:tc>
          <w:tcPr>
            <w:tcW w:w="2788" w:type="dxa"/>
            <w:noWrap w:val="0"/>
            <w:vAlign w:val="top"/>
          </w:tcPr>
          <w:p w14:paraId="06B9826E">
            <w:pPr>
              <w:rPr>
                <w:rFonts w:ascii="宋体" w:hAnsi="宋体" w:cs="宋体"/>
                <w:highlight w:val="none"/>
              </w:rPr>
            </w:pPr>
          </w:p>
        </w:tc>
      </w:tr>
      <w:tr w14:paraId="739E5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3D1EF610">
            <w:pPr>
              <w:rPr>
                <w:rFonts w:ascii="宋体" w:hAnsi="宋体" w:cs="宋体"/>
                <w:highlight w:val="none"/>
              </w:rPr>
            </w:pPr>
          </w:p>
        </w:tc>
        <w:tc>
          <w:tcPr>
            <w:tcW w:w="2787" w:type="dxa"/>
            <w:noWrap w:val="0"/>
            <w:vAlign w:val="top"/>
          </w:tcPr>
          <w:p w14:paraId="23D62ABF">
            <w:pPr>
              <w:rPr>
                <w:rFonts w:ascii="宋体" w:hAnsi="宋体" w:cs="宋体"/>
                <w:highlight w:val="none"/>
              </w:rPr>
            </w:pPr>
          </w:p>
        </w:tc>
        <w:tc>
          <w:tcPr>
            <w:tcW w:w="2788" w:type="dxa"/>
            <w:noWrap w:val="0"/>
            <w:vAlign w:val="top"/>
          </w:tcPr>
          <w:p w14:paraId="217EB0AA">
            <w:pPr>
              <w:rPr>
                <w:rFonts w:ascii="宋体" w:hAnsi="宋体" w:cs="宋体"/>
                <w:highlight w:val="none"/>
              </w:rPr>
            </w:pPr>
          </w:p>
        </w:tc>
        <w:tc>
          <w:tcPr>
            <w:tcW w:w="2788" w:type="dxa"/>
            <w:noWrap w:val="0"/>
            <w:vAlign w:val="top"/>
          </w:tcPr>
          <w:p w14:paraId="1E00F2A8">
            <w:pPr>
              <w:rPr>
                <w:rFonts w:ascii="宋体" w:hAnsi="宋体" w:cs="宋体"/>
                <w:highlight w:val="none"/>
              </w:rPr>
            </w:pPr>
          </w:p>
        </w:tc>
      </w:tr>
      <w:tr w14:paraId="64124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741327F5">
            <w:pPr>
              <w:rPr>
                <w:rFonts w:ascii="宋体" w:hAnsi="宋体" w:cs="宋体"/>
                <w:highlight w:val="none"/>
              </w:rPr>
            </w:pPr>
          </w:p>
        </w:tc>
        <w:tc>
          <w:tcPr>
            <w:tcW w:w="2787" w:type="dxa"/>
            <w:noWrap w:val="0"/>
            <w:vAlign w:val="top"/>
          </w:tcPr>
          <w:p w14:paraId="6694EDFF">
            <w:pPr>
              <w:rPr>
                <w:rFonts w:ascii="宋体" w:hAnsi="宋体" w:cs="宋体"/>
                <w:highlight w:val="none"/>
              </w:rPr>
            </w:pPr>
          </w:p>
        </w:tc>
        <w:tc>
          <w:tcPr>
            <w:tcW w:w="2788" w:type="dxa"/>
            <w:noWrap w:val="0"/>
            <w:vAlign w:val="top"/>
          </w:tcPr>
          <w:p w14:paraId="7DF0B1DC">
            <w:pPr>
              <w:rPr>
                <w:rFonts w:ascii="宋体" w:hAnsi="宋体" w:cs="宋体"/>
                <w:highlight w:val="none"/>
              </w:rPr>
            </w:pPr>
          </w:p>
        </w:tc>
        <w:tc>
          <w:tcPr>
            <w:tcW w:w="2788" w:type="dxa"/>
            <w:noWrap w:val="0"/>
            <w:vAlign w:val="top"/>
          </w:tcPr>
          <w:p w14:paraId="095FEF1D">
            <w:pPr>
              <w:rPr>
                <w:rFonts w:ascii="宋体" w:hAnsi="宋体" w:cs="宋体"/>
                <w:highlight w:val="none"/>
              </w:rPr>
            </w:pPr>
          </w:p>
        </w:tc>
      </w:tr>
      <w:tr w14:paraId="1F7E9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25BE8740">
            <w:pPr>
              <w:rPr>
                <w:rFonts w:ascii="宋体" w:hAnsi="宋体" w:cs="宋体"/>
                <w:highlight w:val="none"/>
              </w:rPr>
            </w:pPr>
          </w:p>
        </w:tc>
        <w:tc>
          <w:tcPr>
            <w:tcW w:w="2787" w:type="dxa"/>
            <w:noWrap w:val="0"/>
            <w:vAlign w:val="top"/>
          </w:tcPr>
          <w:p w14:paraId="7EA4DE9C">
            <w:pPr>
              <w:rPr>
                <w:rFonts w:ascii="宋体" w:hAnsi="宋体" w:cs="宋体"/>
                <w:highlight w:val="none"/>
              </w:rPr>
            </w:pPr>
          </w:p>
        </w:tc>
        <w:tc>
          <w:tcPr>
            <w:tcW w:w="2788" w:type="dxa"/>
            <w:noWrap w:val="0"/>
            <w:vAlign w:val="top"/>
          </w:tcPr>
          <w:p w14:paraId="10D7A6AD">
            <w:pPr>
              <w:rPr>
                <w:rFonts w:ascii="宋体" w:hAnsi="宋体" w:cs="宋体"/>
                <w:highlight w:val="none"/>
              </w:rPr>
            </w:pPr>
          </w:p>
        </w:tc>
        <w:tc>
          <w:tcPr>
            <w:tcW w:w="2788" w:type="dxa"/>
            <w:noWrap w:val="0"/>
            <w:vAlign w:val="top"/>
          </w:tcPr>
          <w:p w14:paraId="513919D1">
            <w:pPr>
              <w:rPr>
                <w:rFonts w:ascii="宋体" w:hAnsi="宋体" w:cs="宋体"/>
                <w:highlight w:val="none"/>
              </w:rPr>
            </w:pPr>
          </w:p>
        </w:tc>
      </w:tr>
      <w:tr w14:paraId="792B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noWrap w:val="0"/>
            <w:vAlign w:val="top"/>
          </w:tcPr>
          <w:p w14:paraId="69F03EB2">
            <w:pPr>
              <w:rPr>
                <w:rFonts w:ascii="宋体" w:hAnsi="宋体" w:cs="宋体"/>
                <w:highlight w:val="none"/>
              </w:rPr>
            </w:pPr>
            <w:r>
              <w:rPr>
                <w:rFonts w:hint="eastAsia" w:ascii="宋体" w:hAnsi="宋体" w:cs="宋体"/>
                <w:highlight w:val="none"/>
              </w:rPr>
              <w:t>……</w:t>
            </w:r>
          </w:p>
        </w:tc>
        <w:tc>
          <w:tcPr>
            <w:tcW w:w="2787" w:type="dxa"/>
            <w:noWrap w:val="0"/>
            <w:vAlign w:val="top"/>
          </w:tcPr>
          <w:p w14:paraId="1E0DEBF0">
            <w:pPr>
              <w:rPr>
                <w:rFonts w:ascii="宋体" w:hAnsi="宋体" w:cs="宋体"/>
                <w:highlight w:val="none"/>
              </w:rPr>
            </w:pPr>
          </w:p>
        </w:tc>
        <w:tc>
          <w:tcPr>
            <w:tcW w:w="2788" w:type="dxa"/>
            <w:noWrap w:val="0"/>
            <w:vAlign w:val="top"/>
          </w:tcPr>
          <w:p w14:paraId="100AA720">
            <w:pPr>
              <w:rPr>
                <w:rFonts w:ascii="宋体" w:hAnsi="宋体" w:cs="宋体"/>
                <w:highlight w:val="none"/>
              </w:rPr>
            </w:pPr>
          </w:p>
        </w:tc>
        <w:tc>
          <w:tcPr>
            <w:tcW w:w="2788" w:type="dxa"/>
            <w:noWrap w:val="0"/>
            <w:vAlign w:val="top"/>
          </w:tcPr>
          <w:p w14:paraId="42541F46">
            <w:pPr>
              <w:rPr>
                <w:rFonts w:ascii="宋体" w:hAnsi="宋体" w:cs="宋体"/>
                <w:highlight w:val="none"/>
              </w:rPr>
            </w:pPr>
          </w:p>
        </w:tc>
      </w:tr>
    </w:tbl>
    <w:p w14:paraId="7B2687D0">
      <w:pPr>
        <w:spacing w:line="360" w:lineRule="auto"/>
        <w:jc w:val="left"/>
        <w:rPr>
          <w:rFonts w:hint="eastAsia" w:ascii="宋体" w:hAnsi="宋体" w:cs="宋体"/>
          <w:highlight w:val="none"/>
        </w:rPr>
      </w:pPr>
      <w:r>
        <w:rPr>
          <w:rFonts w:hint="eastAsia" w:ascii="宋体" w:hAnsi="宋体" w:cs="宋体"/>
          <w:highlight w:val="none"/>
        </w:rPr>
        <w:t>说明：投标人必须对</w:t>
      </w:r>
      <w:r>
        <w:rPr>
          <w:rFonts w:hint="eastAsia" w:ascii="宋体" w:hAnsi="宋体" w:cs="宋体"/>
          <w:highlight w:val="none"/>
          <w:lang w:eastAsia="zh-CN"/>
        </w:rPr>
        <w:t>“</w:t>
      </w:r>
      <w:r>
        <w:rPr>
          <w:rFonts w:hint="eastAsia" w:ascii="宋体" w:hAnsi="宋体" w:cs="宋体"/>
          <w:highlight w:val="none"/>
          <w:lang w:val="en-US" w:eastAsia="zh-CN"/>
        </w:rPr>
        <w:t>第三部分 采购需求</w:t>
      </w:r>
      <w:r>
        <w:rPr>
          <w:rFonts w:hint="eastAsia" w:ascii="宋体" w:hAnsi="宋体" w:cs="宋体"/>
          <w:highlight w:val="none"/>
          <w:lang w:eastAsia="zh-CN"/>
        </w:rPr>
        <w:t>”</w:t>
      </w:r>
      <w:r>
        <w:rPr>
          <w:rFonts w:hint="eastAsia" w:ascii="宋体" w:hAnsi="宋体" w:cs="宋体"/>
          <w:highlight w:val="none"/>
        </w:rPr>
        <w:t>带“</w:t>
      </w:r>
      <w:r>
        <w:rPr>
          <w:rFonts w:hint="eastAsia" w:ascii="宋体" w:hAnsi="宋体" w:cs="宋体"/>
          <w:b/>
          <w:color w:val="auto"/>
          <w:highlight w:val="none"/>
          <w:lang w:val="en-US" w:eastAsia="zh-CN"/>
        </w:rPr>
        <w:t>▲</w:t>
      </w:r>
      <w:r>
        <w:rPr>
          <w:rFonts w:hint="eastAsia" w:ascii="宋体" w:hAnsi="宋体" w:cs="宋体"/>
          <w:highlight w:val="none"/>
        </w:rPr>
        <w:t>”的条款逐条应答并按要求填写上表。条款要求提供的相关证明资料必须一并提供，否则视为</w:t>
      </w:r>
      <w:r>
        <w:rPr>
          <w:rFonts w:hint="eastAsia" w:ascii="宋体" w:hAnsi="宋体" w:cs="宋体"/>
          <w:highlight w:val="none"/>
          <w:lang w:val="en-US" w:eastAsia="zh-CN"/>
        </w:rPr>
        <w:t>未实质性响应</w:t>
      </w:r>
      <w:r>
        <w:rPr>
          <w:rFonts w:hint="eastAsia" w:ascii="宋体" w:hAnsi="宋体" w:cs="宋体"/>
          <w:highlight w:val="none"/>
        </w:rPr>
        <w:t>。</w:t>
      </w:r>
    </w:p>
    <w:p w14:paraId="3B75CF06">
      <w:pPr>
        <w:spacing w:line="360" w:lineRule="auto"/>
        <w:jc w:val="left"/>
        <w:rPr>
          <w:rFonts w:hint="eastAsia" w:ascii="宋体" w:hAnsi="宋体" w:cs="宋体"/>
          <w:highlight w:val="none"/>
        </w:rPr>
      </w:pPr>
    </w:p>
    <w:p w14:paraId="5FF52640">
      <w:pPr>
        <w:spacing w:line="360" w:lineRule="auto"/>
        <w:jc w:val="center"/>
        <w:rPr>
          <w:rFonts w:ascii="宋体" w:hAnsi="宋体" w:cs="宋体"/>
          <w:highlight w:val="none"/>
        </w:rPr>
      </w:pPr>
      <w:r>
        <w:rPr>
          <w:rFonts w:hint="eastAsia" w:ascii="宋体" w:hAnsi="宋体" w:cs="宋体"/>
          <w:highlight w:val="none"/>
          <w:lang w:val="en-US" w:eastAsia="zh-CN"/>
        </w:rPr>
        <w:t xml:space="preserve">        </w:t>
      </w:r>
      <w:r>
        <w:rPr>
          <w:rFonts w:hint="eastAsia" w:ascii="宋体" w:hAnsi="宋体" w:cs="宋体"/>
          <w:highlight w:val="none"/>
        </w:rPr>
        <w:t>法定代表人或其授权委托人（签名或印章）：</w:t>
      </w:r>
    </w:p>
    <w:p w14:paraId="0150B25C">
      <w:pPr>
        <w:spacing w:line="360" w:lineRule="auto"/>
        <w:ind w:firstLine="5040" w:firstLineChars="2400"/>
        <w:rPr>
          <w:rFonts w:ascii="宋体" w:hAnsi="宋体" w:cs="宋体"/>
          <w:highlight w:val="none"/>
        </w:rPr>
      </w:pPr>
      <w:r>
        <w:rPr>
          <w:rFonts w:hint="eastAsia" w:ascii="宋体" w:hAnsi="宋体" w:cs="宋体"/>
          <w:highlight w:val="none"/>
        </w:rPr>
        <w:t>投标人（盖章）：</w:t>
      </w:r>
    </w:p>
    <w:p w14:paraId="43FBDBA2">
      <w:pPr>
        <w:spacing w:line="360" w:lineRule="auto"/>
        <w:rPr>
          <w:rFonts w:ascii="宋体" w:hAnsi="宋体" w:cs="宋体"/>
          <w:sz w:val="24"/>
          <w:highlight w:val="none"/>
        </w:rPr>
      </w:pPr>
      <w:r>
        <w:rPr>
          <w:rFonts w:hint="eastAsia" w:ascii="宋体" w:hAnsi="宋体" w:cs="宋体"/>
          <w:highlight w:val="none"/>
        </w:rPr>
        <w:t xml:space="preserve">                                                日期：</w:t>
      </w:r>
    </w:p>
    <w:p w14:paraId="5CB34DF1">
      <w:pPr>
        <w:jc w:val="center"/>
        <w:rPr>
          <w:rFonts w:ascii="宋体" w:hAnsi="宋体" w:cs="宋体"/>
          <w:highlight w:val="none"/>
        </w:rPr>
      </w:pPr>
      <w:r>
        <w:rPr>
          <w:rFonts w:hint="eastAsia" w:ascii="宋体" w:hAnsi="宋体" w:cs="宋体"/>
          <w:b/>
          <w:highlight w:val="none"/>
        </w:rPr>
        <w:t>2.一般性条款响应一览表</w:t>
      </w:r>
    </w:p>
    <w:p w14:paraId="570B4486">
      <w:pPr>
        <w:ind w:firstLine="210" w:firstLineChars="100"/>
        <w:rPr>
          <w:rFonts w:ascii="宋体" w:hAnsi="宋体" w:cs="宋体"/>
          <w:highlight w:val="none"/>
        </w:rPr>
      </w:pPr>
      <w:r>
        <w:rPr>
          <w:rFonts w:hint="eastAsia" w:ascii="宋体" w:hAnsi="宋体" w:cs="宋体"/>
          <w:highlight w:val="none"/>
        </w:rPr>
        <w:t xml:space="preserve">  项目名称：     </w:t>
      </w:r>
    </w:p>
    <w:p w14:paraId="3E348500">
      <w:pPr>
        <w:spacing w:line="360" w:lineRule="auto"/>
        <w:ind w:firstLine="210" w:firstLineChars="100"/>
        <w:rPr>
          <w:rFonts w:ascii="宋体" w:hAnsi="宋体" w:cs="宋体"/>
          <w:highlight w:val="none"/>
        </w:rPr>
      </w:pPr>
      <w:r>
        <w:rPr>
          <w:rFonts w:hint="eastAsia" w:ascii="宋体" w:hAnsi="宋体" w:cs="宋体"/>
          <w:highlight w:val="none"/>
        </w:rPr>
        <w:t xml:space="preserve"> </w:t>
      </w:r>
    </w:p>
    <w:tbl>
      <w:tblPr>
        <w:tblStyle w:val="2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787"/>
        <w:gridCol w:w="2788"/>
        <w:gridCol w:w="2788"/>
      </w:tblGrid>
      <w:tr w14:paraId="5B51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14:paraId="08685E2F">
            <w:pPr>
              <w:jc w:val="center"/>
              <w:rPr>
                <w:rFonts w:ascii="宋体" w:hAnsi="宋体" w:cs="宋体"/>
                <w:szCs w:val="21"/>
                <w:highlight w:val="none"/>
              </w:rPr>
            </w:pPr>
            <w:r>
              <w:rPr>
                <w:rFonts w:hint="eastAsia" w:ascii="宋体" w:hAnsi="宋体" w:eastAsia="宋体" w:cs="宋体"/>
                <w:color w:val="auto"/>
                <w:sz w:val="21"/>
                <w:szCs w:val="21"/>
                <w:highlight w:val="none"/>
              </w:rPr>
              <w:t>序号</w:t>
            </w:r>
          </w:p>
        </w:tc>
        <w:tc>
          <w:tcPr>
            <w:tcW w:w="2787" w:type="dxa"/>
            <w:noWrap w:val="0"/>
            <w:vAlign w:val="center"/>
          </w:tcPr>
          <w:p w14:paraId="608A34BA">
            <w:pPr>
              <w:ind w:firstLine="210" w:firstLineChars="100"/>
              <w:rPr>
                <w:rFonts w:ascii="宋体" w:hAnsi="宋体" w:cs="宋体"/>
                <w:highlight w:val="none"/>
              </w:rPr>
            </w:pPr>
            <w:r>
              <w:rPr>
                <w:rFonts w:hint="eastAsia" w:ascii="宋体" w:hAnsi="宋体" w:eastAsia="宋体" w:cs="宋体"/>
                <w:color w:val="auto"/>
                <w:sz w:val="21"/>
                <w:szCs w:val="21"/>
                <w:highlight w:val="none"/>
              </w:rPr>
              <w:t>采购文件条款描述</w:t>
            </w:r>
          </w:p>
        </w:tc>
        <w:tc>
          <w:tcPr>
            <w:tcW w:w="2788" w:type="dxa"/>
            <w:noWrap w:val="0"/>
            <w:vAlign w:val="center"/>
          </w:tcPr>
          <w:p w14:paraId="621FD5F0">
            <w:pPr>
              <w:shd w:val="clear" w:color="auto" w:fill="auto"/>
              <w:spacing w:beforeLines="50" w:line="360" w:lineRule="auto"/>
              <w:jc w:val="center"/>
              <w:rPr>
                <w:rFonts w:ascii="宋体" w:hAnsi="宋体" w:cs="宋体"/>
                <w:highlight w:val="none"/>
              </w:rPr>
            </w:pPr>
            <w:r>
              <w:rPr>
                <w:rFonts w:hint="eastAsia" w:ascii="宋体" w:hAnsi="宋体" w:cs="宋体"/>
                <w:bCs/>
                <w:color w:val="auto"/>
                <w:sz w:val="21"/>
                <w:szCs w:val="21"/>
                <w:highlight w:val="none"/>
              </w:rPr>
              <w:t>响应情况</w:t>
            </w:r>
          </w:p>
        </w:tc>
        <w:tc>
          <w:tcPr>
            <w:tcW w:w="2788" w:type="dxa"/>
            <w:noWrap w:val="0"/>
            <w:vAlign w:val="center"/>
          </w:tcPr>
          <w:p w14:paraId="0A275007">
            <w:pPr>
              <w:shd w:val="clear" w:color="auto" w:fill="auto"/>
              <w:spacing w:beforeLines="50" w:line="360" w:lineRule="auto"/>
              <w:jc w:val="center"/>
              <w:rPr>
                <w:rFonts w:ascii="宋体" w:hAnsi="宋体" w:cs="宋体"/>
                <w:highlight w:val="none"/>
              </w:rPr>
            </w:pPr>
            <w:r>
              <w:rPr>
                <w:rFonts w:hint="eastAsia" w:ascii="宋体" w:hAnsi="宋体" w:cs="宋体"/>
                <w:bCs/>
                <w:color w:val="auto"/>
                <w:sz w:val="21"/>
                <w:szCs w:val="21"/>
                <w:highlight w:val="none"/>
              </w:rPr>
              <w:t>优于</w:t>
            </w:r>
            <w:r>
              <w:rPr>
                <w:rFonts w:hint="eastAsia" w:ascii="宋体" w:hAnsi="宋体" w:cs="宋体"/>
                <w:bCs/>
                <w:color w:val="auto"/>
                <w:sz w:val="21"/>
                <w:szCs w:val="21"/>
                <w:highlight w:val="none"/>
                <w:lang w:val="en-US" w:eastAsia="zh-CN"/>
              </w:rPr>
              <w:t>或</w:t>
            </w:r>
            <w:r>
              <w:rPr>
                <w:rFonts w:hint="eastAsia" w:ascii="宋体" w:hAnsi="宋体" w:cs="宋体"/>
                <w:bCs/>
                <w:color w:val="auto"/>
                <w:sz w:val="21"/>
                <w:szCs w:val="21"/>
                <w:highlight w:val="none"/>
              </w:rPr>
              <w:t>偏离情况说明（如有）</w:t>
            </w:r>
          </w:p>
        </w:tc>
      </w:tr>
      <w:tr w14:paraId="6F67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5552D9A2">
            <w:pPr>
              <w:rPr>
                <w:rFonts w:ascii="宋体" w:hAnsi="宋体" w:cs="宋体"/>
                <w:highlight w:val="none"/>
              </w:rPr>
            </w:pPr>
          </w:p>
        </w:tc>
        <w:tc>
          <w:tcPr>
            <w:tcW w:w="2787" w:type="dxa"/>
            <w:noWrap w:val="0"/>
            <w:vAlign w:val="top"/>
          </w:tcPr>
          <w:p w14:paraId="63D4345D">
            <w:pPr>
              <w:rPr>
                <w:rFonts w:ascii="宋体" w:hAnsi="宋体" w:cs="宋体"/>
                <w:highlight w:val="none"/>
              </w:rPr>
            </w:pPr>
          </w:p>
        </w:tc>
        <w:tc>
          <w:tcPr>
            <w:tcW w:w="2788" w:type="dxa"/>
            <w:noWrap w:val="0"/>
            <w:vAlign w:val="top"/>
          </w:tcPr>
          <w:p w14:paraId="6614254E">
            <w:pPr>
              <w:rPr>
                <w:rFonts w:ascii="宋体" w:hAnsi="宋体" w:cs="宋体"/>
                <w:highlight w:val="none"/>
              </w:rPr>
            </w:pPr>
          </w:p>
        </w:tc>
        <w:tc>
          <w:tcPr>
            <w:tcW w:w="2788" w:type="dxa"/>
            <w:noWrap w:val="0"/>
            <w:vAlign w:val="top"/>
          </w:tcPr>
          <w:p w14:paraId="2EAF4155">
            <w:pPr>
              <w:rPr>
                <w:rFonts w:ascii="宋体" w:hAnsi="宋体" w:cs="宋体"/>
                <w:highlight w:val="none"/>
              </w:rPr>
            </w:pPr>
          </w:p>
        </w:tc>
      </w:tr>
      <w:tr w14:paraId="1B94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4C63CAF3">
            <w:pPr>
              <w:rPr>
                <w:rFonts w:ascii="宋体" w:hAnsi="宋体" w:cs="宋体"/>
                <w:highlight w:val="none"/>
              </w:rPr>
            </w:pPr>
          </w:p>
        </w:tc>
        <w:tc>
          <w:tcPr>
            <w:tcW w:w="2787" w:type="dxa"/>
            <w:noWrap w:val="0"/>
            <w:vAlign w:val="top"/>
          </w:tcPr>
          <w:p w14:paraId="7F5CFD3D">
            <w:pPr>
              <w:rPr>
                <w:rFonts w:ascii="宋体" w:hAnsi="宋体" w:cs="宋体"/>
                <w:highlight w:val="none"/>
              </w:rPr>
            </w:pPr>
          </w:p>
        </w:tc>
        <w:tc>
          <w:tcPr>
            <w:tcW w:w="2788" w:type="dxa"/>
            <w:noWrap w:val="0"/>
            <w:vAlign w:val="top"/>
          </w:tcPr>
          <w:p w14:paraId="73CDDD20">
            <w:pPr>
              <w:rPr>
                <w:rFonts w:ascii="宋体" w:hAnsi="宋体" w:cs="宋体"/>
                <w:highlight w:val="none"/>
              </w:rPr>
            </w:pPr>
          </w:p>
        </w:tc>
        <w:tc>
          <w:tcPr>
            <w:tcW w:w="2788" w:type="dxa"/>
            <w:noWrap w:val="0"/>
            <w:vAlign w:val="top"/>
          </w:tcPr>
          <w:p w14:paraId="12C910AC">
            <w:pPr>
              <w:rPr>
                <w:rFonts w:ascii="宋体" w:hAnsi="宋体" w:cs="宋体"/>
                <w:highlight w:val="none"/>
              </w:rPr>
            </w:pPr>
          </w:p>
        </w:tc>
      </w:tr>
      <w:tr w14:paraId="42A3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A3576C4">
            <w:pPr>
              <w:rPr>
                <w:rFonts w:ascii="宋体" w:hAnsi="宋体" w:cs="宋体"/>
                <w:highlight w:val="none"/>
              </w:rPr>
            </w:pPr>
          </w:p>
        </w:tc>
        <w:tc>
          <w:tcPr>
            <w:tcW w:w="2787" w:type="dxa"/>
            <w:noWrap w:val="0"/>
            <w:vAlign w:val="top"/>
          </w:tcPr>
          <w:p w14:paraId="390EA381">
            <w:pPr>
              <w:rPr>
                <w:rFonts w:ascii="宋体" w:hAnsi="宋体" w:cs="宋体"/>
                <w:highlight w:val="none"/>
              </w:rPr>
            </w:pPr>
          </w:p>
        </w:tc>
        <w:tc>
          <w:tcPr>
            <w:tcW w:w="2788" w:type="dxa"/>
            <w:noWrap w:val="0"/>
            <w:vAlign w:val="top"/>
          </w:tcPr>
          <w:p w14:paraId="20C0C71B">
            <w:pPr>
              <w:rPr>
                <w:rFonts w:ascii="宋体" w:hAnsi="宋体" w:cs="宋体"/>
                <w:highlight w:val="none"/>
              </w:rPr>
            </w:pPr>
          </w:p>
        </w:tc>
        <w:tc>
          <w:tcPr>
            <w:tcW w:w="2788" w:type="dxa"/>
            <w:noWrap w:val="0"/>
            <w:vAlign w:val="top"/>
          </w:tcPr>
          <w:p w14:paraId="6E30CE47">
            <w:pPr>
              <w:rPr>
                <w:rFonts w:ascii="宋体" w:hAnsi="宋体" w:cs="宋体"/>
                <w:highlight w:val="none"/>
              </w:rPr>
            </w:pPr>
          </w:p>
        </w:tc>
      </w:tr>
      <w:tr w14:paraId="099C4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623455EE">
            <w:pPr>
              <w:rPr>
                <w:rFonts w:ascii="宋体" w:hAnsi="宋体" w:cs="宋体"/>
                <w:highlight w:val="none"/>
              </w:rPr>
            </w:pPr>
          </w:p>
        </w:tc>
        <w:tc>
          <w:tcPr>
            <w:tcW w:w="2787" w:type="dxa"/>
            <w:noWrap w:val="0"/>
            <w:vAlign w:val="top"/>
          </w:tcPr>
          <w:p w14:paraId="5AFD829B">
            <w:pPr>
              <w:rPr>
                <w:rFonts w:ascii="宋体" w:hAnsi="宋体" w:cs="宋体"/>
                <w:highlight w:val="none"/>
              </w:rPr>
            </w:pPr>
          </w:p>
        </w:tc>
        <w:tc>
          <w:tcPr>
            <w:tcW w:w="2788" w:type="dxa"/>
            <w:noWrap w:val="0"/>
            <w:vAlign w:val="top"/>
          </w:tcPr>
          <w:p w14:paraId="3BA963DF">
            <w:pPr>
              <w:rPr>
                <w:rFonts w:ascii="宋体" w:hAnsi="宋体" w:cs="宋体"/>
                <w:highlight w:val="none"/>
              </w:rPr>
            </w:pPr>
          </w:p>
        </w:tc>
        <w:tc>
          <w:tcPr>
            <w:tcW w:w="2788" w:type="dxa"/>
            <w:noWrap w:val="0"/>
            <w:vAlign w:val="top"/>
          </w:tcPr>
          <w:p w14:paraId="78CD5278">
            <w:pPr>
              <w:rPr>
                <w:rFonts w:ascii="宋体" w:hAnsi="宋体" w:cs="宋体"/>
                <w:highlight w:val="none"/>
              </w:rPr>
            </w:pPr>
          </w:p>
        </w:tc>
      </w:tr>
      <w:tr w14:paraId="7FF6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2AD035DE">
            <w:pPr>
              <w:rPr>
                <w:rFonts w:ascii="宋体" w:hAnsi="宋体" w:cs="宋体"/>
                <w:highlight w:val="none"/>
              </w:rPr>
            </w:pPr>
          </w:p>
        </w:tc>
        <w:tc>
          <w:tcPr>
            <w:tcW w:w="2787" w:type="dxa"/>
            <w:noWrap w:val="0"/>
            <w:vAlign w:val="top"/>
          </w:tcPr>
          <w:p w14:paraId="03FC958E">
            <w:pPr>
              <w:rPr>
                <w:rFonts w:ascii="宋体" w:hAnsi="宋体" w:cs="宋体"/>
                <w:highlight w:val="none"/>
              </w:rPr>
            </w:pPr>
          </w:p>
        </w:tc>
        <w:tc>
          <w:tcPr>
            <w:tcW w:w="2788" w:type="dxa"/>
            <w:noWrap w:val="0"/>
            <w:vAlign w:val="top"/>
          </w:tcPr>
          <w:p w14:paraId="4457617F">
            <w:pPr>
              <w:rPr>
                <w:rFonts w:ascii="宋体" w:hAnsi="宋体" w:cs="宋体"/>
                <w:highlight w:val="none"/>
              </w:rPr>
            </w:pPr>
          </w:p>
        </w:tc>
        <w:tc>
          <w:tcPr>
            <w:tcW w:w="2788" w:type="dxa"/>
            <w:noWrap w:val="0"/>
            <w:vAlign w:val="top"/>
          </w:tcPr>
          <w:p w14:paraId="542263F6">
            <w:pPr>
              <w:rPr>
                <w:rFonts w:ascii="宋体" w:hAnsi="宋体" w:cs="宋体"/>
                <w:highlight w:val="none"/>
              </w:rPr>
            </w:pPr>
          </w:p>
        </w:tc>
      </w:tr>
      <w:tr w14:paraId="09FD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top"/>
          </w:tcPr>
          <w:p w14:paraId="3B66C4DC">
            <w:pPr>
              <w:rPr>
                <w:rFonts w:ascii="宋体" w:hAnsi="宋体" w:cs="宋体"/>
                <w:highlight w:val="none"/>
              </w:rPr>
            </w:pPr>
            <w:r>
              <w:rPr>
                <w:rFonts w:hint="eastAsia" w:ascii="宋体" w:hAnsi="宋体" w:cs="宋体"/>
                <w:highlight w:val="none"/>
              </w:rPr>
              <w:t>……</w:t>
            </w:r>
          </w:p>
        </w:tc>
        <w:tc>
          <w:tcPr>
            <w:tcW w:w="2787" w:type="dxa"/>
            <w:noWrap w:val="0"/>
            <w:vAlign w:val="top"/>
          </w:tcPr>
          <w:p w14:paraId="20508599">
            <w:pPr>
              <w:rPr>
                <w:rFonts w:ascii="宋体" w:hAnsi="宋体" w:cs="宋体"/>
                <w:highlight w:val="none"/>
              </w:rPr>
            </w:pPr>
          </w:p>
        </w:tc>
        <w:tc>
          <w:tcPr>
            <w:tcW w:w="2788" w:type="dxa"/>
            <w:noWrap w:val="0"/>
            <w:vAlign w:val="top"/>
          </w:tcPr>
          <w:p w14:paraId="115E6C52">
            <w:pPr>
              <w:rPr>
                <w:rFonts w:ascii="宋体" w:hAnsi="宋体" w:cs="宋体"/>
                <w:highlight w:val="none"/>
              </w:rPr>
            </w:pPr>
          </w:p>
        </w:tc>
        <w:tc>
          <w:tcPr>
            <w:tcW w:w="2788" w:type="dxa"/>
            <w:noWrap w:val="0"/>
            <w:vAlign w:val="top"/>
          </w:tcPr>
          <w:p w14:paraId="20D3D06E">
            <w:pPr>
              <w:rPr>
                <w:rFonts w:ascii="宋体" w:hAnsi="宋体" w:cs="宋体"/>
                <w:highlight w:val="none"/>
              </w:rPr>
            </w:pPr>
          </w:p>
        </w:tc>
      </w:tr>
    </w:tbl>
    <w:p w14:paraId="6BBC07F2">
      <w:pPr>
        <w:spacing w:line="360" w:lineRule="auto"/>
        <w:ind w:firstLine="210" w:firstLineChars="100"/>
        <w:jc w:val="left"/>
        <w:rPr>
          <w:rFonts w:hint="eastAsia" w:ascii="宋体" w:hAnsi="宋体" w:cs="宋体"/>
          <w:highlight w:val="none"/>
        </w:rPr>
      </w:pPr>
      <w:r>
        <w:rPr>
          <w:rFonts w:hint="eastAsia" w:ascii="宋体" w:hAnsi="宋体" w:cs="宋体"/>
          <w:highlight w:val="none"/>
        </w:rPr>
        <w:t>注：</w:t>
      </w:r>
      <w:r>
        <w:rPr>
          <w:rFonts w:hint="eastAsia" w:ascii="宋体" w:hAnsi="宋体" w:cs="宋体"/>
          <w:highlight w:val="none"/>
          <w:lang w:val="en-US" w:eastAsia="zh-CN"/>
        </w:rPr>
        <w:t>1.</w:t>
      </w:r>
      <w:r>
        <w:rPr>
          <w:rFonts w:hint="eastAsia" w:ascii="宋体" w:hAnsi="宋体" w:cs="宋体"/>
          <w:highlight w:val="none"/>
        </w:rPr>
        <w:t>响应情况填写“响应”即为满足采购文件的要求，填写“正偏离”为优于采购文件的要求，填写“负偏离”为不能满足采购文件的要求，响应条款有“正偏离”和“负偏离”的应当在“优于</w:t>
      </w:r>
      <w:r>
        <w:rPr>
          <w:rFonts w:hint="eastAsia" w:ascii="宋体" w:hAnsi="宋体" w:cs="宋体"/>
          <w:highlight w:val="none"/>
          <w:lang w:val="en-US" w:eastAsia="zh-CN"/>
        </w:rPr>
        <w:t>或</w:t>
      </w:r>
      <w:r>
        <w:rPr>
          <w:rFonts w:hint="eastAsia" w:ascii="宋体" w:hAnsi="宋体" w:cs="宋体"/>
          <w:highlight w:val="none"/>
        </w:rPr>
        <w:t>偏离情况说明”栏进行明确描述，响应情况由评标小组认定。</w:t>
      </w:r>
    </w:p>
    <w:p w14:paraId="40D3CE6B">
      <w:pPr>
        <w:spacing w:line="360" w:lineRule="auto"/>
        <w:ind w:firstLine="210" w:firstLineChars="100"/>
        <w:jc w:val="left"/>
        <w:rPr>
          <w:rFonts w:hint="eastAsia" w:ascii="宋体" w:hAnsi="宋体" w:cs="宋体"/>
          <w:highlight w:val="none"/>
        </w:rPr>
      </w:pPr>
      <w:r>
        <w:rPr>
          <w:rFonts w:hint="eastAsia" w:ascii="宋体" w:hAnsi="宋体" w:cs="宋体"/>
          <w:highlight w:val="none"/>
          <w:lang w:val="en-US" w:eastAsia="zh-CN"/>
        </w:rPr>
        <w:t>2.</w:t>
      </w:r>
      <w:r>
        <w:rPr>
          <w:rFonts w:hint="eastAsia" w:ascii="宋体" w:hAnsi="宋体" w:cs="宋体"/>
          <w:highlight w:val="none"/>
        </w:rPr>
        <w:t>条款如要求提供的相关证明资料必须一并提供，否则视为不响应</w:t>
      </w:r>
      <w:r>
        <w:rPr>
          <w:rFonts w:hint="eastAsia" w:ascii="宋体" w:hAnsi="宋体" w:cs="宋体"/>
          <w:highlight w:val="none"/>
          <w:lang w:val="en-US" w:eastAsia="zh-CN"/>
        </w:rPr>
        <w:t>按扣分处理</w:t>
      </w:r>
      <w:r>
        <w:rPr>
          <w:rFonts w:hint="eastAsia" w:ascii="宋体" w:hAnsi="宋体" w:cs="宋体"/>
          <w:highlight w:val="none"/>
        </w:rPr>
        <w:t>。</w:t>
      </w:r>
    </w:p>
    <w:p w14:paraId="4948D319">
      <w:pPr>
        <w:spacing w:line="360" w:lineRule="auto"/>
        <w:ind w:firstLine="3360" w:firstLineChars="1600"/>
        <w:rPr>
          <w:rFonts w:ascii="宋体" w:hAnsi="宋体" w:cs="宋体"/>
          <w:highlight w:val="none"/>
        </w:rPr>
      </w:pPr>
      <w:r>
        <w:rPr>
          <w:rFonts w:hint="eastAsia" w:ascii="宋体" w:hAnsi="宋体" w:cs="宋体"/>
          <w:highlight w:val="none"/>
        </w:rPr>
        <w:t>法定代表人或其授权委托人（签名或印章）：</w:t>
      </w:r>
    </w:p>
    <w:p w14:paraId="2B689BBB">
      <w:pPr>
        <w:spacing w:line="360" w:lineRule="auto"/>
        <w:ind w:firstLine="4830" w:firstLineChars="2300"/>
        <w:rPr>
          <w:rFonts w:ascii="宋体" w:hAnsi="宋体" w:cs="宋体"/>
          <w:highlight w:val="none"/>
        </w:rPr>
      </w:pPr>
      <w:r>
        <w:rPr>
          <w:rFonts w:hint="eastAsia" w:ascii="宋体" w:hAnsi="宋体" w:cs="宋体"/>
          <w:highlight w:val="none"/>
        </w:rPr>
        <w:t>投标人（盖章）：</w:t>
      </w:r>
    </w:p>
    <w:p w14:paraId="2F6E55CC">
      <w:pPr>
        <w:spacing w:line="360" w:lineRule="auto"/>
        <w:rPr>
          <w:rFonts w:ascii="宋体" w:hAnsi="宋体" w:cs="宋体"/>
          <w:sz w:val="24"/>
          <w:highlight w:val="none"/>
        </w:rPr>
      </w:pPr>
      <w:r>
        <w:rPr>
          <w:rFonts w:hint="eastAsia" w:ascii="宋体" w:hAnsi="宋体" w:cs="宋体"/>
          <w:highlight w:val="none"/>
        </w:rPr>
        <w:t xml:space="preserve">                                              日期：</w:t>
      </w:r>
    </w:p>
    <w:p w14:paraId="3BACD867">
      <w:pPr>
        <w:widowControl/>
        <w:jc w:val="center"/>
        <w:rPr>
          <w:rFonts w:hint="eastAsia" w:ascii="宋体" w:hAnsi="宋体" w:eastAsia="宋体" w:cs="仿宋"/>
          <w:b/>
          <w:kern w:val="0"/>
          <w:sz w:val="32"/>
          <w:szCs w:val="32"/>
          <w:highlight w:val="none"/>
          <w:lang w:val="en-US" w:eastAsia="zh-CN"/>
        </w:rPr>
      </w:pPr>
      <w:r>
        <w:rPr>
          <w:rFonts w:hint="eastAsia" w:ascii="宋体" w:hAnsi="宋体" w:eastAsia="宋体" w:cs="仿宋"/>
          <w:b/>
          <w:kern w:val="0"/>
          <w:sz w:val="32"/>
          <w:szCs w:val="32"/>
          <w:highlight w:val="none"/>
          <w:lang w:val="en-US" w:eastAsia="zh-CN"/>
        </w:rPr>
        <w:t>十、</w:t>
      </w:r>
      <w:r>
        <w:rPr>
          <w:rFonts w:hint="eastAsia" w:ascii="宋体" w:hAnsi="宋体" w:eastAsia="宋体" w:cs="仿宋"/>
          <w:b/>
          <w:kern w:val="0"/>
          <w:sz w:val="32"/>
          <w:szCs w:val="32"/>
          <w:highlight w:val="none"/>
          <w:lang w:val="zh-CN" w:eastAsia="zh-CN"/>
        </w:rPr>
        <w:t>项目实施人员一览表</w:t>
      </w:r>
    </w:p>
    <w:p w14:paraId="78AF1BD5">
      <w:pPr>
        <w:pStyle w:val="15"/>
        <w:kinsoku/>
        <w:wordWrap/>
        <w:overflowPunct/>
        <w:topLinePunct w:val="0"/>
        <w:bidi w:val="0"/>
        <w:spacing w:line="360" w:lineRule="auto"/>
        <w:ind w:left="632" w:hanging="632" w:hangingChars="300"/>
        <w:rPr>
          <w:rFonts w:hAnsi="宋体"/>
          <w:b/>
          <w:highlight w:val="none"/>
        </w:rPr>
      </w:pPr>
      <w:r>
        <w:rPr>
          <w:rFonts w:hint="eastAsia" w:hAnsi="宋体"/>
          <w:b/>
          <w:highlight w:val="none"/>
        </w:rPr>
        <w:t xml:space="preserve">                                      </w:t>
      </w:r>
    </w:p>
    <w:p w14:paraId="2325C6D0">
      <w:pPr>
        <w:kinsoku/>
        <w:wordWrap/>
        <w:overflowPunct/>
        <w:topLinePunct w:val="0"/>
        <w:bidi w:val="0"/>
        <w:spacing w:line="360" w:lineRule="auto"/>
        <w:jc w:val="left"/>
        <w:rPr>
          <w:rFonts w:ascii="仿宋_GB2312" w:hAnsi="仿宋" w:eastAsia="仿宋_GB2312" w:cs="仿宋"/>
          <w:b/>
          <w:sz w:val="24"/>
          <w:highlight w:val="none"/>
        </w:rPr>
      </w:pPr>
    </w:p>
    <w:p w14:paraId="2DA0AAFE">
      <w:pPr>
        <w:kinsoku/>
        <w:wordWrap/>
        <w:overflowPunct/>
        <w:topLinePunct w:val="0"/>
        <w:bidi w:val="0"/>
        <w:spacing w:line="360" w:lineRule="auto"/>
        <w:jc w:val="left"/>
        <w:rPr>
          <w:rFonts w:hAnsi="宋体"/>
          <w:b/>
          <w:szCs w:val="21"/>
          <w:highlight w:val="none"/>
        </w:rPr>
      </w:pPr>
      <w:r>
        <w:rPr>
          <w:rFonts w:hint="eastAsia" w:ascii="仿宋_GB2312" w:hAnsi="仿宋" w:eastAsia="仿宋_GB2312" w:cs="仿宋"/>
          <w:b/>
          <w:sz w:val="24"/>
          <w:highlight w:val="none"/>
        </w:rPr>
        <w:t>附表A:本项目的项目经理情况表</w:t>
      </w:r>
    </w:p>
    <w:tbl>
      <w:tblPr>
        <w:tblStyle w:val="26"/>
        <w:tblW w:w="9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652"/>
        <w:gridCol w:w="1648"/>
        <w:gridCol w:w="1761"/>
        <w:gridCol w:w="1576"/>
        <w:gridCol w:w="1693"/>
      </w:tblGrid>
      <w:tr w14:paraId="7C46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12" w:space="0"/>
              <w:left w:val="single" w:color="auto" w:sz="12" w:space="0"/>
              <w:bottom w:val="single" w:color="auto" w:sz="6" w:space="0"/>
              <w:right w:val="single" w:color="auto" w:sz="6" w:space="0"/>
            </w:tcBorders>
            <w:vAlign w:val="center"/>
          </w:tcPr>
          <w:p w14:paraId="470B5AE7">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姓 名</w:t>
            </w:r>
          </w:p>
        </w:tc>
        <w:tc>
          <w:tcPr>
            <w:tcW w:w="1652" w:type="dxa"/>
            <w:tcBorders>
              <w:top w:val="single" w:color="auto" w:sz="12" w:space="0"/>
              <w:left w:val="single" w:color="auto" w:sz="6" w:space="0"/>
              <w:bottom w:val="single" w:color="auto" w:sz="6" w:space="0"/>
              <w:right w:val="single" w:color="auto" w:sz="6" w:space="0"/>
            </w:tcBorders>
            <w:vAlign w:val="center"/>
          </w:tcPr>
          <w:p w14:paraId="5DBDC0BA">
            <w:pPr>
              <w:pStyle w:val="15"/>
              <w:kinsoku/>
              <w:wordWrap/>
              <w:overflowPunct/>
              <w:topLinePunct w:val="0"/>
              <w:bidi w:val="0"/>
              <w:spacing w:line="360" w:lineRule="auto"/>
              <w:ind w:left="630" w:hanging="630" w:hangingChars="300"/>
              <w:jc w:val="center"/>
              <w:rPr>
                <w:rFonts w:hAnsi="宋体"/>
                <w:highlight w:val="none"/>
              </w:rPr>
            </w:pPr>
          </w:p>
        </w:tc>
        <w:tc>
          <w:tcPr>
            <w:tcW w:w="1648" w:type="dxa"/>
            <w:tcBorders>
              <w:top w:val="single" w:color="auto" w:sz="12" w:space="0"/>
              <w:left w:val="single" w:color="auto" w:sz="6" w:space="0"/>
              <w:bottom w:val="single" w:color="auto" w:sz="6" w:space="0"/>
              <w:right w:val="single" w:color="auto" w:sz="6" w:space="0"/>
            </w:tcBorders>
            <w:vAlign w:val="center"/>
          </w:tcPr>
          <w:p w14:paraId="379C6CAD">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性 别</w:t>
            </w:r>
          </w:p>
        </w:tc>
        <w:tc>
          <w:tcPr>
            <w:tcW w:w="1761" w:type="dxa"/>
            <w:tcBorders>
              <w:top w:val="single" w:color="auto" w:sz="12" w:space="0"/>
              <w:left w:val="single" w:color="auto" w:sz="6" w:space="0"/>
              <w:bottom w:val="single" w:color="auto" w:sz="6" w:space="0"/>
              <w:right w:val="single" w:color="auto" w:sz="6" w:space="0"/>
            </w:tcBorders>
            <w:vAlign w:val="center"/>
          </w:tcPr>
          <w:p w14:paraId="01C932D4">
            <w:pPr>
              <w:pStyle w:val="15"/>
              <w:kinsoku/>
              <w:wordWrap/>
              <w:overflowPunct/>
              <w:topLinePunct w:val="0"/>
              <w:bidi w:val="0"/>
              <w:spacing w:line="360" w:lineRule="auto"/>
              <w:ind w:left="630" w:hanging="630" w:hangingChars="300"/>
              <w:jc w:val="center"/>
              <w:rPr>
                <w:rFonts w:hAnsi="宋体"/>
                <w:highlight w:val="none"/>
              </w:rPr>
            </w:pPr>
          </w:p>
        </w:tc>
        <w:tc>
          <w:tcPr>
            <w:tcW w:w="1576" w:type="dxa"/>
            <w:tcBorders>
              <w:top w:val="single" w:color="auto" w:sz="12" w:space="0"/>
              <w:left w:val="single" w:color="auto" w:sz="6" w:space="0"/>
              <w:bottom w:val="single" w:color="auto" w:sz="6" w:space="0"/>
              <w:right w:val="single" w:color="auto" w:sz="6" w:space="0"/>
            </w:tcBorders>
            <w:vAlign w:val="center"/>
          </w:tcPr>
          <w:p w14:paraId="40E363BB">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年 龄</w:t>
            </w:r>
          </w:p>
        </w:tc>
        <w:tc>
          <w:tcPr>
            <w:tcW w:w="1693" w:type="dxa"/>
            <w:tcBorders>
              <w:top w:val="single" w:color="auto" w:sz="12" w:space="0"/>
              <w:left w:val="single" w:color="auto" w:sz="6" w:space="0"/>
              <w:bottom w:val="single" w:color="auto" w:sz="6" w:space="0"/>
              <w:right w:val="single" w:color="auto" w:sz="12" w:space="0"/>
            </w:tcBorders>
            <w:vAlign w:val="center"/>
          </w:tcPr>
          <w:p w14:paraId="62CB85CE">
            <w:pPr>
              <w:pStyle w:val="15"/>
              <w:kinsoku/>
              <w:wordWrap/>
              <w:overflowPunct/>
              <w:topLinePunct w:val="0"/>
              <w:bidi w:val="0"/>
              <w:spacing w:line="360" w:lineRule="auto"/>
              <w:ind w:left="630" w:hanging="630" w:hangingChars="300"/>
              <w:jc w:val="center"/>
              <w:rPr>
                <w:rFonts w:hAnsi="宋体"/>
                <w:highlight w:val="none"/>
              </w:rPr>
            </w:pPr>
          </w:p>
        </w:tc>
      </w:tr>
      <w:tr w14:paraId="4994C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094EA764">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学 历</w:t>
            </w:r>
          </w:p>
        </w:tc>
        <w:tc>
          <w:tcPr>
            <w:tcW w:w="1652" w:type="dxa"/>
            <w:tcBorders>
              <w:top w:val="single" w:color="auto" w:sz="6" w:space="0"/>
              <w:left w:val="single" w:color="auto" w:sz="6" w:space="0"/>
              <w:bottom w:val="single" w:color="auto" w:sz="6" w:space="0"/>
              <w:right w:val="single" w:color="auto" w:sz="6" w:space="0"/>
            </w:tcBorders>
            <w:vAlign w:val="center"/>
          </w:tcPr>
          <w:p w14:paraId="50E09083">
            <w:pPr>
              <w:pStyle w:val="15"/>
              <w:kinsoku/>
              <w:wordWrap/>
              <w:overflowPunct/>
              <w:topLinePunct w:val="0"/>
              <w:bidi w:val="0"/>
              <w:spacing w:line="360" w:lineRule="auto"/>
              <w:ind w:left="630" w:hanging="630" w:hangingChars="300"/>
              <w:jc w:val="center"/>
              <w:rPr>
                <w:rFonts w:hAnsi="宋体"/>
                <w:highlight w:val="none"/>
              </w:rPr>
            </w:pPr>
          </w:p>
        </w:tc>
        <w:tc>
          <w:tcPr>
            <w:tcW w:w="1648" w:type="dxa"/>
            <w:tcBorders>
              <w:top w:val="single" w:color="auto" w:sz="6" w:space="0"/>
              <w:left w:val="single" w:color="auto" w:sz="6" w:space="0"/>
              <w:bottom w:val="single" w:color="auto" w:sz="6" w:space="0"/>
              <w:right w:val="single" w:color="auto" w:sz="6" w:space="0"/>
            </w:tcBorders>
            <w:vAlign w:val="center"/>
          </w:tcPr>
          <w:p w14:paraId="1AA7971B">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职 称</w:t>
            </w:r>
          </w:p>
        </w:tc>
        <w:tc>
          <w:tcPr>
            <w:tcW w:w="1761" w:type="dxa"/>
            <w:tcBorders>
              <w:top w:val="single" w:color="auto" w:sz="6" w:space="0"/>
              <w:left w:val="single" w:color="auto" w:sz="6" w:space="0"/>
              <w:bottom w:val="single" w:color="auto" w:sz="6" w:space="0"/>
              <w:right w:val="single" w:color="auto" w:sz="6" w:space="0"/>
            </w:tcBorders>
            <w:vAlign w:val="center"/>
          </w:tcPr>
          <w:p w14:paraId="7A386973">
            <w:pPr>
              <w:pStyle w:val="15"/>
              <w:kinsoku/>
              <w:wordWrap/>
              <w:overflowPunct/>
              <w:topLinePunct w:val="0"/>
              <w:bidi w:val="0"/>
              <w:spacing w:line="360" w:lineRule="auto"/>
              <w:ind w:left="630" w:hanging="630" w:hangingChars="300"/>
              <w:jc w:val="center"/>
              <w:rPr>
                <w:rFonts w:hAnsi="宋体"/>
                <w:highlight w:val="none"/>
              </w:rPr>
            </w:pPr>
          </w:p>
        </w:tc>
        <w:tc>
          <w:tcPr>
            <w:tcW w:w="1576" w:type="dxa"/>
            <w:tcBorders>
              <w:top w:val="single" w:color="auto" w:sz="6" w:space="0"/>
              <w:left w:val="single" w:color="auto" w:sz="6" w:space="0"/>
              <w:bottom w:val="single" w:color="auto" w:sz="6" w:space="0"/>
              <w:right w:val="single" w:color="auto" w:sz="6" w:space="0"/>
            </w:tcBorders>
            <w:vAlign w:val="center"/>
          </w:tcPr>
          <w:p w14:paraId="5C9054CF">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职 务</w:t>
            </w:r>
          </w:p>
        </w:tc>
        <w:tc>
          <w:tcPr>
            <w:tcW w:w="1693" w:type="dxa"/>
            <w:tcBorders>
              <w:top w:val="single" w:color="auto" w:sz="6" w:space="0"/>
              <w:left w:val="single" w:color="auto" w:sz="6" w:space="0"/>
              <w:bottom w:val="single" w:color="auto" w:sz="6" w:space="0"/>
              <w:right w:val="single" w:color="auto" w:sz="12" w:space="0"/>
            </w:tcBorders>
            <w:vAlign w:val="center"/>
          </w:tcPr>
          <w:p w14:paraId="4A34E800">
            <w:pPr>
              <w:pStyle w:val="15"/>
              <w:kinsoku/>
              <w:wordWrap/>
              <w:overflowPunct/>
              <w:topLinePunct w:val="0"/>
              <w:bidi w:val="0"/>
              <w:spacing w:line="360" w:lineRule="auto"/>
              <w:ind w:left="630" w:hanging="630" w:hangingChars="300"/>
              <w:jc w:val="center"/>
              <w:rPr>
                <w:rFonts w:hAnsi="宋体"/>
                <w:highlight w:val="none"/>
              </w:rPr>
            </w:pPr>
          </w:p>
        </w:tc>
      </w:tr>
      <w:tr w14:paraId="7516B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1619" w:type="dxa"/>
            <w:tcBorders>
              <w:top w:val="single" w:color="auto" w:sz="6" w:space="0"/>
              <w:left w:val="single" w:color="auto" w:sz="12" w:space="0"/>
              <w:bottom w:val="single" w:color="auto" w:sz="6" w:space="0"/>
              <w:right w:val="single" w:color="auto" w:sz="6" w:space="0"/>
            </w:tcBorders>
            <w:vAlign w:val="center"/>
          </w:tcPr>
          <w:p w14:paraId="6337FA8F">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联系电话</w:t>
            </w:r>
          </w:p>
        </w:tc>
        <w:tc>
          <w:tcPr>
            <w:tcW w:w="3300" w:type="dxa"/>
            <w:gridSpan w:val="2"/>
            <w:tcBorders>
              <w:top w:val="single" w:color="auto" w:sz="6" w:space="0"/>
              <w:left w:val="single" w:color="auto" w:sz="6" w:space="0"/>
              <w:bottom w:val="single" w:color="auto" w:sz="6" w:space="0"/>
              <w:right w:val="single" w:color="auto" w:sz="6" w:space="0"/>
            </w:tcBorders>
            <w:vAlign w:val="center"/>
          </w:tcPr>
          <w:p w14:paraId="15FF9B1E">
            <w:pPr>
              <w:pStyle w:val="15"/>
              <w:kinsoku/>
              <w:wordWrap/>
              <w:overflowPunct/>
              <w:topLinePunct w:val="0"/>
              <w:bidi w:val="0"/>
              <w:spacing w:line="360" w:lineRule="auto"/>
              <w:ind w:left="630" w:hanging="630" w:hangingChars="300"/>
              <w:jc w:val="center"/>
              <w:rPr>
                <w:rFonts w:hAnsi="宋体"/>
                <w:highlight w:val="none"/>
              </w:rPr>
            </w:pPr>
          </w:p>
        </w:tc>
        <w:tc>
          <w:tcPr>
            <w:tcW w:w="1761" w:type="dxa"/>
            <w:tcBorders>
              <w:top w:val="single" w:color="auto" w:sz="6" w:space="0"/>
              <w:left w:val="single" w:color="auto" w:sz="6" w:space="0"/>
              <w:bottom w:val="single" w:color="auto" w:sz="6" w:space="0"/>
              <w:right w:val="single" w:color="auto" w:sz="6" w:space="0"/>
            </w:tcBorders>
            <w:vAlign w:val="center"/>
          </w:tcPr>
          <w:p w14:paraId="73487A97">
            <w:pPr>
              <w:pStyle w:val="15"/>
              <w:kinsoku/>
              <w:wordWrap/>
              <w:overflowPunct/>
              <w:topLinePunct w:val="0"/>
              <w:bidi w:val="0"/>
              <w:spacing w:line="360" w:lineRule="auto"/>
              <w:ind w:left="630" w:hanging="630" w:hangingChars="300"/>
              <w:jc w:val="center"/>
              <w:rPr>
                <w:rFonts w:hAnsi="宋体"/>
                <w:highlight w:val="none"/>
              </w:rPr>
            </w:pPr>
            <w:r>
              <w:rPr>
                <w:rFonts w:hint="eastAsia" w:hAnsi="宋体"/>
                <w:highlight w:val="none"/>
              </w:rPr>
              <w:t>手 机</w:t>
            </w:r>
          </w:p>
        </w:tc>
        <w:tc>
          <w:tcPr>
            <w:tcW w:w="3269" w:type="dxa"/>
            <w:gridSpan w:val="2"/>
            <w:tcBorders>
              <w:top w:val="single" w:color="auto" w:sz="6" w:space="0"/>
              <w:left w:val="single" w:color="auto" w:sz="6" w:space="0"/>
              <w:bottom w:val="single" w:color="auto" w:sz="6" w:space="0"/>
              <w:right w:val="single" w:color="auto" w:sz="12" w:space="0"/>
            </w:tcBorders>
            <w:vAlign w:val="center"/>
          </w:tcPr>
          <w:p w14:paraId="4EBE7CCC">
            <w:pPr>
              <w:pStyle w:val="15"/>
              <w:kinsoku/>
              <w:wordWrap/>
              <w:overflowPunct/>
              <w:topLinePunct w:val="0"/>
              <w:bidi w:val="0"/>
              <w:spacing w:line="360" w:lineRule="auto"/>
              <w:ind w:left="630" w:hanging="630" w:hangingChars="300"/>
              <w:jc w:val="center"/>
              <w:rPr>
                <w:rFonts w:hAnsi="宋体"/>
                <w:highlight w:val="none"/>
              </w:rPr>
            </w:pPr>
          </w:p>
        </w:tc>
      </w:tr>
      <w:tr w14:paraId="0E88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9949" w:type="dxa"/>
            <w:gridSpan w:val="6"/>
            <w:tcBorders>
              <w:top w:val="single" w:color="auto" w:sz="6" w:space="0"/>
              <w:left w:val="single" w:color="auto" w:sz="12" w:space="0"/>
              <w:bottom w:val="single" w:color="auto" w:sz="12" w:space="0"/>
              <w:right w:val="single" w:color="auto" w:sz="12" w:space="0"/>
            </w:tcBorders>
          </w:tcPr>
          <w:p w14:paraId="15FEA70E">
            <w:pPr>
              <w:pStyle w:val="15"/>
              <w:kinsoku/>
              <w:wordWrap/>
              <w:overflowPunct/>
              <w:topLinePunct w:val="0"/>
              <w:bidi w:val="0"/>
              <w:spacing w:before="120" w:after="120" w:line="360" w:lineRule="auto"/>
              <w:ind w:left="720" w:hanging="720" w:hangingChars="300"/>
              <w:rPr>
                <w:rFonts w:hAnsi="宋体"/>
                <w:highlight w:val="none"/>
              </w:rPr>
            </w:pPr>
            <w:r>
              <w:rPr>
                <w:rFonts w:hint="eastAsia" w:ascii="仿宋_GB2312" w:hAnsi="仿宋" w:eastAsia="仿宋_GB2312" w:cs="仿宋"/>
                <w:sz w:val="24"/>
                <w:highlight w:val="none"/>
              </w:rPr>
              <w:t>投标截止时间前三年业绩及承担的主要工作情况，曾担任项目经理的项目应列明细</w:t>
            </w:r>
          </w:p>
        </w:tc>
      </w:tr>
    </w:tbl>
    <w:p w14:paraId="6B05F626">
      <w:pPr>
        <w:kinsoku/>
        <w:wordWrap/>
        <w:overflowPunct/>
        <w:topLinePunct w:val="0"/>
        <w:bidi w:val="0"/>
        <w:adjustRightInd w:val="0"/>
        <w:snapToGrid w:val="0"/>
        <w:spacing w:line="360" w:lineRule="auto"/>
        <w:rPr>
          <w:rFonts w:ascii="仿宋" w:hAnsi="仿宋" w:eastAsia="仿宋" w:cs="仿宋"/>
          <w:kern w:val="0"/>
          <w:sz w:val="24"/>
          <w:highlight w:val="none"/>
        </w:rPr>
      </w:pPr>
      <w:r>
        <w:rPr>
          <w:rFonts w:hint="eastAsia" w:ascii="仿宋" w:hAnsi="仿宋" w:eastAsia="仿宋" w:cs="仿宋"/>
          <w:kern w:val="0"/>
          <w:sz w:val="24"/>
          <w:highlight w:val="none"/>
        </w:rPr>
        <w:t>注:1、与评分有关的证明材料附后。</w:t>
      </w:r>
    </w:p>
    <w:p w14:paraId="431472D8">
      <w:pPr>
        <w:kinsoku/>
        <w:wordWrap/>
        <w:overflowPunct/>
        <w:topLinePunct w:val="0"/>
        <w:bidi w:val="0"/>
        <w:adjustRightInd w:val="0"/>
        <w:snapToGrid w:val="0"/>
        <w:spacing w:line="360" w:lineRule="auto"/>
        <w:ind w:firstLine="240" w:firstLineChars="100"/>
        <w:rPr>
          <w:rFonts w:ascii="仿宋_GB2312" w:hAnsi="仿宋" w:eastAsia="仿宋_GB2312" w:cs="仿宋"/>
          <w:b/>
          <w:sz w:val="24"/>
          <w:highlight w:val="none"/>
        </w:rPr>
      </w:pPr>
      <w:r>
        <w:rPr>
          <w:rFonts w:hint="eastAsia" w:ascii="仿宋" w:hAnsi="仿宋" w:eastAsia="仿宋" w:cs="仿宋"/>
          <w:kern w:val="0"/>
          <w:sz w:val="24"/>
          <w:highlight w:val="none"/>
        </w:rPr>
        <w:t>2、不得随意更换项目负责人，如不经采购人同意擅自更换，则招标人有权解除合同。</w:t>
      </w:r>
      <w:r>
        <w:rPr>
          <w:rFonts w:hint="eastAsia" w:ascii="仿宋_GB2312" w:hAnsi="仿宋" w:eastAsia="仿宋_GB2312" w:cs="仿宋"/>
          <w:b/>
          <w:sz w:val="24"/>
          <w:highlight w:val="none"/>
        </w:rPr>
        <w:t xml:space="preserve"> </w:t>
      </w:r>
      <w:r>
        <w:rPr>
          <w:rFonts w:hint="eastAsia" w:ascii="宋体" w:hAnsi="宋体" w:cs="新宋体"/>
          <w:b/>
          <w:bCs/>
          <w:snapToGrid w:val="0"/>
          <w:sz w:val="24"/>
          <w:szCs w:val="21"/>
          <w:highlight w:val="none"/>
        </w:rPr>
        <w:t xml:space="preserve"> </w:t>
      </w:r>
      <w:r>
        <w:rPr>
          <w:rFonts w:hint="eastAsia" w:hAnsi="宋体"/>
          <w:szCs w:val="21"/>
          <w:highlight w:val="none"/>
        </w:rPr>
        <w:t xml:space="preserve">      </w:t>
      </w:r>
    </w:p>
    <w:p w14:paraId="4FDF9B80">
      <w:pPr>
        <w:pStyle w:val="15"/>
        <w:kinsoku/>
        <w:wordWrap/>
        <w:overflowPunct/>
        <w:topLinePunct w:val="0"/>
        <w:bidi w:val="0"/>
        <w:spacing w:line="360" w:lineRule="auto"/>
        <w:jc w:val="left"/>
        <w:rPr>
          <w:rFonts w:hAnsi="宋体"/>
          <w:b/>
          <w:highlight w:val="none"/>
        </w:rPr>
      </w:pPr>
      <w:r>
        <w:rPr>
          <w:rFonts w:hint="eastAsia" w:ascii="仿宋_GB2312" w:hAnsi="仿宋" w:eastAsia="仿宋_GB2312" w:cs="仿宋"/>
          <w:b/>
          <w:sz w:val="24"/>
          <w:highlight w:val="none"/>
        </w:rPr>
        <w:t>附表B:拟投</w:t>
      </w:r>
      <w:r>
        <w:rPr>
          <w:rFonts w:hint="eastAsia" w:ascii="仿宋_GB2312" w:hAnsi="仿宋" w:eastAsia="仿宋_GB2312" w:cs="仿宋"/>
          <w:b/>
          <w:sz w:val="24"/>
          <w:szCs w:val="24"/>
          <w:highlight w:val="none"/>
        </w:rPr>
        <w:t>入的项目实施人员名单</w:t>
      </w:r>
    </w:p>
    <w:tbl>
      <w:tblPr>
        <w:tblStyle w:val="26"/>
        <w:tblW w:w="95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2"/>
        <w:gridCol w:w="927"/>
        <w:gridCol w:w="927"/>
        <w:gridCol w:w="742"/>
        <w:gridCol w:w="742"/>
        <w:gridCol w:w="1297"/>
        <w:gridCol w:w="1284"/>
        <w:gridCol w:w="1766"/>
        <w:gridCol w:w="1112"/>
      </w:tblGrid>
      <w:tr w14:paraId="4997FC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42" w:type="dxa"/>
            <w:vAlign w:val="center"/>
          </w:tcPr>
          <w:p w14:paraId="7D1CCEE6">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序号</w:t>
            </w:r>
          </w:p>
        </w:tc>
        <w:tc>
          <w:tcPr>
            <w:tcW w:w="927" w:type="dxa"/>
            <w:vAlign w:val="center"/>
          </w:tcPr>
          <w:p w14:paraId="0707FC30">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姓名</w:t>
            </w:r>
          </w:p>
        </w:tc>
        <w:tc>
          <w:tcPr>
            <w:tcW w:w="927" w:type="dxa"/>
            <w:vAlign w:val="center"/>
          </w:tcPr>
          <w:p w14:paraId="6EF2E9F5">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性别</w:t>
            </w:r>
          </w:p>
        </w:tc>
        <w:tc>
          <w:tcPr>
            <w:tcW w:w="742" w:type="dxa"/>
            <w:vAlign w:val="center"/>
          </w:tcPr>
          <w:p w14:paraId="31EE5E5D">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年龄</w:t>
            </w:r>
          </w:p>
        </w:tc>
        <w:tc>
          <w:tcPr>
            <w:tcW w:w="742" w:type="dxa"/>
            <w:vAlign w:val="center"/>
          </w:tcPr>
          <w:p w14:paraId="32C94F79">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学历</w:t>
            </w:r>
          </w:p>
        </w:tc>
        <w:tc>
          <w:tcPr>
            <w:tcW w:w="1297" w:type="dxa"/>
            <w:vAlign w:val="center"/>
          </w:tcPr>
          <w:p w14:paraId="3FE6BA36">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职称/职务</w:t>
            </w:r>
          </w:p>
        </w:tc>
        <w:tc>
          <w:tcPr>
            <w:tcW w:w="1284" w:type="dxa"/>
            <w:vAlign w:val="center"/>
          </w:tcPr>
          <w:p w14:paraId="2FB511DE">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本项目中的岗位</w:t>
            </w:r>
          </w:p>
        </w:tc>
        <w:tc>
          <w:tcPr>
            <w:tcW w:w="1766" w:type="dxa"/>
            <w:vAlign w:val="center"/>
          </w:tcPr>
          <w:p w14:paraId="6AA29EF2">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从事专业年限</w:t>
            </w:r>
          </w:p>
        </w:tc>
        <w:tc>
          <w:tcPr>
            <w:tcW w:w="1112" w:type="dxa"/>
            <w:vAlign w:val="center"/>
          </w:tcPr>
          <w:p w14:paraId="7B44916C">
            <w:pPr>
              <w:kinsoku/>
              <w:wordWrap/>
              <w:overflowPunct/>
              <w:topLinePunct w:val="0"/>
              <w:bidi w:val="0"/>
              <w:spacing w:line="360" w:lineRule="auto"/>
              <w:jc w:val="center"/>
              <w:rPr>
                <w:rFonts w:ascii="宋体" w:hAnsi="宋体"/>
                <w:szCs w:val="21"/>
                <w:highlight w:val="none"/>
              </w:rPr>
            </w:pPr>
            <w:r>
              <w:rPr>
                <w:rFonts w:hint="eastAsia" w:ascii="宋体" w:hAnsi="宋体"/>
                <w:szCs w:val="21"/>
                <w:highlight w:val="none"/>
              </w:rPr>
              <w:t>备注</w:t>
            </w:r>
          </w:p>
        </w:tc>
      </w:tr>
      <w:tr w14:paraId="79021E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4E615E2">
            <w:pPr>
              <w:kinsoku/>
              <w:wordWrap/>
              <w:overflowPunct/>
              <w:topLinePunct w:val="0"/>
              <w:bidi w:val="0"/>
              <w:spacing w:line="360" w:lineRule="auto"/>
              <w:jc w:val="center"/>
              <w:rPr>
                <w:rFonts w:ascii="宋体" w:hAnsi="宋体"/>
                <w:szCs w:val="21"/>
                <w:highlight w:val="none"/>
              </w:rPr>
            </w:pPr>
          </w:p>
        </w:tc>
        <w:tc>
          <w:tcPr>
            <w:tcW w:w="927" w:type="dxa"/>
            <w:vAlign w:val="center"/>
          </w:tcPr>
          <w:p w14:paraId="3E8F268D">
            <w:pPr>
              <w:kinsoku/>
              <w:wordWrap/>
              <w:overflowPunct/>
              <w:topLinePunct w:val="0"/>
              <w:bidi w:val="0"/>
              <w:spacing w:line="360" w:lineRule="auto"/>
              <w:jc w:val="center"/>
              <w:rPr>
                <w:rFonts w:ascii="宋体" w:hAnsi="宋体"/>
                <w:szCs w:val="21"/>
                <w:highlight w:val="none"/>
              </w:rPr>
            </w:pPr>
          </w:p>
        </w:tc>
        <w:tc>
          <w:tcPr>
            <w:tcW w:w="927" w:type="dxa"/>
            <w:vAlign w:val="center"/>
          </w:tcPr>
          <w:p w14:paraId="4DE4DE9D">
            <w:pPr>
              <w:kinsoku/>
              <w:wordWrap/>
              <w:overflowPunct/>
              <w:topLinePunct w:val="0"/>
              <w:bidi w:val="0"/>
              <w:spacing w:line="360" w:lineRule="auto"/>
              <w:jc w:val="center"/>
              <w:rPr>
                <w:rFonts w:ascii="宋体" w:hAnsi="宋体"/>
                <w:szCs w:val="21"/>
                <w:highlight w:val="none"/>
              </w:rPr>
            </w:pPr>
          </w:p>
        </w:tc>
        <w:tc>
          <w:tcPr>
            <w:tcW w:w="742" w:type="dxa"/>
            <w:vAlign w:val="center"/>
          </w:tcPr>
          <w:p w14:paraId="26993E8C">
            <w:pPr>
              <w:kinsoku/>
              <w:wordWrap/>
              <w:overflowPunct/>
              <w:topLinePunct w:val="0"/>
              <w:bidi w:val="0"/>
              <w:spacing w:line="360" w:lineRule="auto"/>
              <w:jc w:val="center"/>
              <w:rPr>
                <w:rFonts w:ascii="宋体" w:hAnsi="宋体"/>
                <w:szCs w:val="21"/>
                <w:highlight w:val="none"/>
              </w:rPr>
            </w:pPr>
          </w:p>
        </w:tc>
        <w:tc>
          <w:tcPr>
            <w:tcW w:w="742" w:type="dxa"/>
            <w:vAlign w:val="center"/>
          </w:tcPr>
          <w:p w14:paraId="27741D23">
            <w:pPr>
              <w:kinsoku/>
              <w:wordWrap/>
              <w:overflowPunct/>
              <w:topLinePunct w:val="0"/>
              <w:bidi w:val="0"/>
              <w:spacing w:line="360" w:lineRule="auto"/>
              <w:jc w:val="center"/>
              <w:rPr>
                <w:rFonts w:ascii="宋体" w:hAnsi="宋体"/>
                <w:szCs w:val="21"/>
                <w:highlight w:val="none"/>
              </w:rPr>
            </w:pPr>
          </w:p>
        </w:tc>
        <w:tc>
          <w:tcPr>
            <w:tcW w:w="1297" w:type="dxa"/>
            <w:vAlign w:val="center"/>
          </w:tcPr>
          <w:p w14:paraId="7363EEE8">
            <w:pPr>
              <w:kinsoku/>
              <w:wordWrap/>
              <w:overflowPunct/>
              <w:topLinePunct w:val="0"/>
              <w:bidi w:val="0"/>
              <w:spacing w:line="360" w:lineRule="auto"/>
              <w:jc w:val="center"/>
              <w:rPr>
                <w:rFonts w:ascii="宋体" w:hAnsi="宋体"/>
                <w:szCs w:val="21"/>
                <w:highlight w:val="none"/>
              </w:rPr>
            </w:pPr>
          </w:p>
        </w:tc>
        <w:tc>
          <w:tcPr>
            <w:tcW w:w="1284" w:type="dxa"/>
            <w:vAlign w:val="center"/>
          </w:tcPr>
          <w:p w14:paraId="53E50BC6">
            <w:pPr>
              <w:kinsoku/>
              <w:wordWrap/>
              <w:overflowPunct/>
              <w:topLinePunct w:val="0"/>
              <w:bidi w:val="0"/>
              <w:spacing w:line="360" w:lineRule="auto"/>
              <w:jc w:val="center"/>
              <w:rPr>
                <w:rFonts w:ascii="宋体" w:hAnsi="宋体"/>
                <w:szCs w:val="21"/>
                <w:highlight w:val="none"/>
              </w:rPr>
            </w:pPr>
          </w:p>
        </w:tc>
        <w:tc>
          <w:tcPr>
            <w:tcW w:w="1766" w:type="dxa"/>
          </w:tcPr>
          <w:p w14:paraId="7C09DAB1">
            <w:pPr>
              <w:kinsoku/>
              <w:wordWrap/>
              <w:overflowPunct/>
              <w:topLinePunct w:val="0"/>
              <w:bidi w:val="0"/>
              <w:spacing w:line="360" w:lineRule="auto"/>
              <w:jc w:val="center"/>
              <w:rPr>
                <w:rFonts w:ascii="宋体" w:hAnsi="宋体"/>
                <w:szCs w:val="21"/>
                <w:highlight w:val="none"/>
              </w:rPr>
            </w:pPr>
          </w:p>
        </w:tc>
        <w:tc>
          <w:tcPr>
            <w:tcW w:w="1112" w:type="dxa"/>
            <w:vAlign w:val="center"/>
          </w:tcPr>
          <w:p w14:paraId="5A167943">
            <w:pPr>
              <w:kinsoku/>
              <w:wordWrap/>
              <w:overflowPunct/>
              <w:topLinePunct w:val="0"/>
              <w:bidi w:val="0"/>
              <w:spacing w:line="360" w:lineRule="auto"/>
              <w:jc w:val="center"/>
              <w:rPr>
                <w:rFonts w:ascii="宋体" w:hAnsi="宋体"/>
                <w:szCs w:val="21"/>
                <w:highlight w:val="none"/>
              </w:rPr>
            </w:pPr>
          </w:p>
        </w:tc>
      </w:tr>
      <w:tr w14:paraId="02AD99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4C722643">
            <w:pPr>
              <w:kinsoku/>
              <w:wordWrap/>
              <w:overflowPunct/>
              <w:topLinePunct w:val="0"/>
              <w:bidi w:val="0"/>
              <w:spacing w:line="360" w:lineRule="auto"/>
              <w:jc w:val="center"/>
              <w:rPr>
                <w:rFonts w:ascii="宋体" w:hAnsi="宋体"/>
                <w:szCs w:val="21"/>
                <w:highlight w:val="none"/>
              </w:rPr>
            </w:pPr>
          </w:p>
        </w:tc>
        <w:tc>
          <w:tcPr>
            <w:tcW w:w="927" w:type="dxa"/>
            <w:vAlign w:val="center"/>
          </w:tcPr>
          <w:p w14:paraId="606F3B4F">
            <w:pPr>
              <w:kinsoku/>
              <w:wordWrap/>
              <w:overflowPunct/>
              <w:topLinePunct w:val="0"/>
              <w:bidi w:val="0"/>
              <w:spacing w:line="360" w:lineRule="auto"/>
              <w:jc w:val="center"/>
              <w:rPr>
                <w:rFonts w:ascii="宋体" w:hAnsi="宋体"/>
                <w:szCs w:val="21"/>
                <w:highlight w:val="none"/>
              </w:rPr>
            </w:pPr>
          </w:p>
        </w:tc>
        <w:tc>
          <w:tcPr>
            <w:tcW w:w="927" w:type="dxa"/>
            <w:vAlign w:val="center"/>
          </w:tcPr>
          <w:p w14:paraId="2F3ABDB4">
            <w:pPr>
              <w:kinsoku/>
              <w:wordWrap/>
              <w:overflowPunct/>
              <w:topLinePunct w:val="0"/>
              <w:bidi w:val="0"/>
              <w:spacing w:line="360" w:lineRule="auto"/>
              <w:jc w:val="center"/>
              <w:rPr>
                <w:rFonts w:ascii="宋体" w:hAnsi="宋体"/>
                <w:szCs w:val="21"/>
                <w:highlight w:val="none"/>
              </w:rPr>
            </w:pPr>
          </w:p>
        </w:tc>
        <w:tc>
          <w:tcPr>
            <w:tcW w:w="742" w:type="dxa"/>
            <w:vAlign w:val="center"/>
          </w:tcPr>
          <w:p w14:paraId="3DE84AC0">
            <w:pPr>
              <w:kinsoku/>
              <w:wordWrap/>
              <w:overflowPunct/>
              <w:topLinePunct w:val="0"/>
              <w:bidi w:val="0"/>
              <w:spacing w:line="360" w:lineRule="auto"/>
              <w:jc w:val="center"/>
              <w:rPr>
                <w:rFonts w:ascii="宋体" w:hAnsi="宋体"/>
                <w:szCs w:val="21"/>
                <w:highlight w:val="none"/>
              </w:rPr>
            </w:pPr>
          </w:p>
        </w:tc>
        <w:tc>
          <w:tcPr>
            <w:tcW w:w="742" w:type="dxa"/>
            <w:vAlign w:val="center"/>
          </w:tcPr>
          <w:p w14:paraId="2DDED79F">
            <w:pPr>
              <w:kinsoku/>
              <w:wordWrap/>
              <w:overflowPunct/>
              <w:topLinePunct w:val="0"/>
              <w:bidi w:val="0"/>
              <w:spacing w:line="360" w:lineRule="auto"/>
              <w:jc w:val="center"/>
              <w:rPr>
                <w:rFonts w:ascii="宋体" w:hAnsi="宋体"/>
                <w:szCs w:val="21"/>
                <w:highlight w:val="none"/>
              </w:rPr>
            </w:pPr>
          </w:p>
        </w:tc>
        <w:tc>
          <w:tcPr>
            <w:tcW w:w="1297" w:type="dxa"/>
            <w:vAlign w:val="center"/>
          </w:tcPr>
          <w:p w14:paraId="08B7D958">
            <w:pPr>
              <w:kinsoku/>
              <w:wordWrap/>
              <w:overflowPunct/>
              <w:topLinePunct w:val="0"/>
              <w:bidi w:val="0"/>
              <w:spacing w:line="360" w:lineRule="auto"/>
              <w:jc w:val="center"/>
              <w:rPr>
                <w:rFonts w:ascii="宋体" w:hAnsi="宋体"/>
                <w:szCs w:val="21"/>
                <w:highlight w:val="none"/>
              </w:rPr>
            </w:pPr>
          </w:p>
        </w:tc>
        <w:tc>
          <w:tcPr>
            <w:tcW w:w="1284" w:type="dxa"/>
            <w:vAlign w:val="center"/>
          </w:tcPr>
          <w:p w14:paraId="4A5D125A">
            <w:pPr>
              <w:kinsoku/>
              <w:wordWrap/>
              <w:overflowPunct/>
              <w:topLinePunct w:val="0"/>
              <w:bidi w:val="0"/>
              <w:spacing w:line="360" w:lineRule="auto"/>
              <w:jc w:val="center"/>
              <w:rPr>
                <w:rFonts w:ascii="宋体" w:hAnsi="宋体"/>
                <w:szCs w:val="21"/>
                <w:highlight w:val="none"/>
              </w:rPr>
            </w:pPr>
          </w:p>
        </w:tc>
        <w:tc>
          <w:tcPr>
            <w:tcW w:w="1766" w:type="dxa"/>
          </w:tcPr>
          <w:p w14:paraId="0777C2CF">
            <w:pPr>
              <w:kinsoku/>
              <w:wordWrap/>
              <w:overflowPunct/>
              <w:topLinePunct w:val="0"/>
              <w:bidi w:val="0"/>
              <w:spacing w:line="360" w:lineRule="auto"/>
              <w:jc w:val="center"/>
              <w:rPr>
                <w:rFonts w:ascii="宋体" w:hAnsi="宋体"/>
                <w:szCs w:val="21"/>
                <w:highlight w:val="none"/>
              </w:rPr>
            </w:pPr>
          </w:p>
        </w:tc>
        <w:tc>
          <w:tcPr>
            <w:tcW w:w="1112" w:type="dxa"/>
            <w:vAlign w:val="center"/>
          </w:tcPr>
          <w:p w14:paraId="27C99464">
            <w:pPr>
              <w:kinsoku/>
              <w:wordWrap/>
              <w:overflowPunct/>
              <w:topLinePunct w:val="0"/>
              <w:bidi w:val="0"/>
              <w:spacing w:line="360" w:lineRule="auto"/>
              <w:jc w:val="center"/>
              <w:rPr>
                <w:rFonts w:ascii="宋体" w:hAnsi="宋体"/>
                <w:szCs w:val="21"/>
                <w:highlight w:val="none"/>
              </w:rPr>
            </w:pPr>
          </w:p>
        </w:tc>
      </w:tr>
      <w:tr w14:paraId="2B37A5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74A6281C">
            <w:pPr>
              <w:kinsoku/>
              <w:wordWrap/>
              <w:overflowPunct/>
              <w:topLinePunct w:val="0"/>
              <w:bidi w:val="0"/>
              <w:spacing w:line="360" w:lineRule="auto"/>
              <w:jc w:val="center"/>
              <w:rPr>
                <w:rFonts w:ascii="宋体" w:hAnsi="宋体"/>
                <w:szCs w:val="21"/>
                <w:highlight w:val="none"/>
              </w:rPr>
            </w:pPr>
          </w:p>
        </w:tc>
        <w:tc>
          <w:tcPr>
            <w:tcW w:w="927" w:type="dxa"/>
            <w:vAlign w:val="center"/>
          </w:tcPr>
          <w:p w14:paraId="686D81D1">
            <w:pPr>
              <w:kinsoku/>
              <w:wordWrap/>
              <w:overflowPunct/>
              <w:topLinePunct w:val="0"/>
              <w:bidi w:val="0"/>
              <w:spacing w:line="360" w:lineRule="auto"/>
              <w:jc w:val="center"/>
              <w:rPr>
                <w:rFonts w:ascii="宋体" w:hAnsi="宋体"/>
                <w:szCs w:val="21"/>
                <w:highlight w:val="none"/>
              </w:rPr>
            </w:pPr>
          </w:p>
        </w:tc>
        <w:tc>
          <w:tcPr>
            <w:tcW w:w="927" w:type="dxa"/>
            <w:vAlign w:val="center"/>
          </w:tcPr>
          <w:p w14:paraId="367982A8">
            <w:pPr>
              <w:kinsoku/>
              <w:wordWrap/>
              <w:overflowPunct/>
              <w:topLinePunct w:val="0"/>
              <w:bidi w:val="0"/>
              <w:spacing w:line="360" w:lineRule="auto"/>
              <w:jc w:val="center"/>
              <w:rPr>
                <w:rFonts w:ascii="宋体" w:hAnsi="宋体"/>
                <w:szCs w:val="21"/>
                <w:highlight w:val="none"/>
              </w:rPr>
            </w:pPr>
          </w:p>
        </w:tc>
        <w:tc>
          <w:tcPr>
            <w:tcW w:w="742" w:type="dxa"/>
            <w:vAlign w:val="center"/>
          </w:tcPr>
          <w:p w14:paraId="76FE00F0">
            <w:pPr>
              <w:kinsoku/>
              <w:wordWrap/>
              <w:overflowPunct/>
              <w:topLinePunct w:val="0"/>
              <w:bidi w:val="0"/>
              <w:spacing w:line="360" w:lineRule="auto"/>
              <w:jc w:val="center"/>
              <w:rPr>
                <w:rFonts w:ascii="宋体" w:hAnsi="宋体"/>
                <w:szCs w:val="21"/>
                <w:highlight w:val="none"/>
              </w:rPr>
            </w:pPr>
          </w:p>
        </w:tc>
        <w:tc>
          <w:tcPr>
            <w:tcW w:w="742" w:type="dxa"/>
            <w:vAlign w:val="center"/>
          </w:tcPr>
          <w:p w14:paraId="58D3C67F">
            <w:pPr>
              <w:kinsoku/>
              <w:wordWrap/>
              <w:overflowPunct/>
              <w:topLinePunct w:val="0"/>
              <w:bidi w:val="0"/>
              <w:spacing w:line="360" w:lineRule="auto"/>
              <w:jc w:val="center"/>
              <w:rPr>
                <w:rFonts w:ascii="宋体" w:hAnsi="宋体"/>
                <w:szCs w:val="21"/>
                <w:highlight w:val="none"/>
              </w:rPr>
            </w:pPr>
          </w:p>
        </w:tc>
        <w:tc>
          <w:tcPr>
            <w:tcW w:w="1297" w:type="dxa"/>
            <w:vAlign w:val="center"/>
          </w:tcPr>
          <w:p w14:paraId="332E6BF4">
            <w:pPr>
              <w:kinsoku/>
              <w:wordWrap/>
              <w:overflowPunct/>
              <w:topLinePunct w:val="0"/>
              <w:bidi w:val="0"/>
              <w:spacing w:line="360" w:lineRule="auto"/>
              <w:jc w:val="center"/>
              <w:rPr>
                <w:rFonts w:ascii="宋体" w:hAnsi="宋体"/>
                <w:szCs w:val="21"/>
                <w:highlight w:val="none"/>
              </w:rPr>
            </w:pPr>
          </w:p>
        </w:tc>
        <w:tc>
          <w:tcPr>
            <w:tcW w:w="1284" w:type="dxa"/>
            <w:vAlign w:val="center"/>
          </w:tcPr>
          <w:p w14:paraId="66169108">
            <w:pPr>
              <w:kinsoku/>
              <w:wordWrap/>
              <w:overflowPunct/>
              <w:topLinePunct w:val="0"/>
              <w:bidi w:val="0"/>
              <w:spacing w:line="360" w:lineRule="auto"/>
              <w:jc w:val="center"/>
              <w:rPr>
                <w:rFonts w:ascii="宋体" w:hAnsi="宋体"/>
                <w:szCs w:val="21"/>
                <w:highlight w:val="none"/>
              </w:rPr>
            </w:pPr>
          </w:p>
        </w:tc>
        <w:tc>
          <w:tcPr>
            <w:tcW w:w="1766" w:type="dxa"/>
          </w:tcPr>
          <w:p w14:paraId="38DE7147">
            <w:pPr>
              <w:kinsoku/>
              <w:wordWrap/>
              <w:overflowPunct/>
              <w:topLinePunct w:val="0"/>
              <w:bidi w:val="0"/>
              <w:spacing w:line="360" w:lineRule="auto"/>
              <w:jc w:val="center"/>
              <w:rPr>
                <w:rFonts w:ascii="宋体" w:hAnsi="宋体"/>
                <w:szCs w:val="21"/>
                <w:highlight w:val="none"/>
              </w:rPr>
            </w:pPr>
          </w:p>
        </w:tc>
        <w:tc>
          <w:tcPr>
            <w:tcW w:w="1112" w:type="dxa"/>
            <w:vAlign w:val="center"/>
          </w:tcPr>
          <w:p w14:paraId="2DE8EDE2">
            <w:pPr>
              <w:kinsoku/>
              <w:wordWrap/>
              <w:overflowPunct/>
              <w:topLinePunct w:val="0"/>
              <w:bidi w:val="0"/>
              <w:spacing w:line="360" w:lineRule="auto"/>
              <w:jc w:val="center"/>
              <w:rPr>
                <w:rFonts w:ascii="宋体" w:hAnsi="宋体"/>
                <w:szCs w:val="21"/>
                <w:highlight w:val="none"/>
              </w:rPr>
            </w:pPr>
          </w:p>
        </w:tc>
      </w:tr>
      <w:tr w14:paraId="409BEC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3CC65F26">
            <w:pPr>
              <w:kinsoku/>
              <w:wordWrap/>
              <w:overflowPunct/>
              <w:topLinePunct w:val="0"/>
              <w:bidi w:val="0"/>
              <w:spacing w:line="360" w:lineRule="auto"/>
              <w:jc w:val="center"/>
              <w:rPr>
                <w:rFonts w:ascii="宋体" w:hAnsi="宋体"/>
                <w:szCs w:val="21"/>
                <w:highlight w:val="none"/>
              </w:rPr>
            </w:pPr>
          </w:p>
        </w:tc>
        <w:tc>
          <w:tcPr>
            <w:tcW w:w="927" w:type="dxa"/>
            <w:vAlign w:val="center"/>
          </w:tcPr>
          <w:p w14:paraId="19EDE674">
            <w:pPr>
              <w:kinsoku/>
              <w:wordWrap/>
              <w:overflowPunct/>
              <w:topLinePunct w:val="0"/>
              <w:bidi w:val="0"/>
              <w:spacing w:line="360" w:lineRule="auto"/>
              <w:jc w:val="center"/>
              <w:rPr>
                <w:rFonts w:ascii="宋体" w:hAnsi="宋体"/>
                <w:szCs w:val="21"/>
                <w:highlight w:val="none"/>
              </w:rPr>
            </w:pPr>
          </w:p>
        </w:tc>
        <w:tc>
          <w:tcPr>
            <w:tcW w:w="927" w:type="dxa"/>
            <w:vAlign w:val="center"/>
          </w:tcPr>
          <w:p w14:paraId="355B1A27">
            <w:pPr>
              <w:kinsoku/>
              <w:wordWrap/>
              <w:overflowPunct/>
              <w:topLinePunct w:val="0"/>
              <w:bidi w:val="0"/>
              <w:spacing w:line="360" w:lineRule="auto"/>
              <w:jc w:val="center"/>
              <w:rPr>
                <w:rFonts w:ascii="宋体" w:hAnsi="宋体"/>
                <w:szCs w:val="21"/>
                <w:highlight w:val="none"/>
              </w:rPr>
            </w:pPr>
          </w:p>
        </w:tc>
        <w:tc>
          <w:tcPr>
            <w:tcW w:w="742" w:type="dxa"/>
            <w:vAlign w:val="center"/>
          </w:tcPr>
          <w:p w14:paraId="7E6953A0">
            <w:pPr>
              <w:kinsoku/>
              <w:wordWrap/>
              <w:overflowPunct/>
              <w:topLinePunct w:val="0"/>
              <w:bidi w:val="0"/>
              <w:spacing w:line="360" w:lineRule="auto"/>
              <w:jc w:val="center"/>
              <w:rPr>
                <w:rFonts w:ascii="宋体" w:hAnsi="宋体"/>
                <w:szCs w:val="21"/>
                <w:highlight w:val="none"/>
              </w:rPr>
            </w:pPr>
          </w:p>
        </w:tc>
        <w:tc>
          <w:tcPr>
            <w:tcW w:w="742" w:type="dxa"/>
            <w:vAlign w:val="center"/>
          </w:tcPr>
          <w:p w14:paraId="15610A04">
            <w:pPr>
              <w:kinsoku/>
              <w:wordWrap/>
              <w:overflowPunct/>
              <w:topLinePunct w:val="0"/>
              <w:bidi w:val="0"/>
              <w:spacing w:line="360" w:lineRule="auto"/>
              <w:jc w:val="center"/>
              <w:rPr>
                <w:rFonts w:ascii="宋体" w:hAnsi="宋体"/>
                <w:szCs w:val="21"/>
                <w:highlight w:val="none"/>
              </w:rPr>
            </w:pPr>
          </w:p>
        </w:tc>
        <w:tc>
          <w:tcPr>
            <w:tcW w:w="1297" w:type="dxa"/>
            <w:vAlign w:val="center"/>
          </w:tcPr>
          <w:p w14:paraId="39BAD48E">
            <w:pPr>
              <w:kinsoku/>
              <w:wordWrap/>
              <w:overflowPunct/>
              <w:topLinePunct w:val="0"/>
              <w:bidi w:val="0"/>
              <w:spacing w:line="360" w:lineRule="auto"/>
              <w:jc w:val="center"/>
              <w:rPr>
                <w:rFonts w:ascii="宋体" w:hAnsi="宋体"/>
                <w:szCs w:val="21"/>
                <w:highlight w:val="none"/>
              </w:rPr>
            </w:pPr>
          </w:p>
        </w:tc>
        <w:tc>
          <w:tcPr>
            <w:tcW w:w="1284" w:type="dxa"/>
            <w:vAlign w:val="center"/>
          </w:tcPr>
          <w:p w14:paraId="314D127F">
            <w:pPr>
              <w:kinsoku/>
              <w:wordWrap/>
              <w:overflowPunct/>
              <w:topLinePunct w:val="0"/>
              <w:bidi w:val="0"/>
              <w:spacing w:line="360" w:lineRule="auto"/>
              <w:jc w:val="center"/>
              <w:rPr>
                <w:rFonts w:ascii="宋体" w:hAnsi="宋体"/>
                <w:szCs w:val="21"/>
                <w:highlight w:val="none"/>
              </w:rPr>
            </w:pPr>
          </w:p>
        </w:tc>
        <w:tc>
          <w:tcPr>
            <w:tcW w:w="1766" w:type="dxa"/>
          </w:tcPr>
          <w:p w14:paraId="3050C911">
            <w:pPr>
              <w:kinsoku/>
              <w:wordWrap/>
              <w:overflowPunct/>
              <w:topLinePunct w:val="0"/>
              <w:bidi w:val="0"/>
              <w:spacing w:line="360" w:lineRule="auto"/>
              <w:jc w:val="center"/>
              <w:rPr>
                <w:rFonts w:ascii="宋体" w:hAnsi="宋体"/>
                <w:szCs w:val="21"/>
                <w:highlight w:val="none"/>
              </w:rPr>
            </w:pPr>
          </w:p>
        </w:tc>
        <w:tc>
          <w:tcPr>
            <w:tcW w:w="1112" w:type="dxa"/>
            <w:vAlign w:val="center"/>
          </w:tcPr>
          <w:p w14:paraId="40D37BA7">
            <w:pPr>
              <w:kinsoku/>
              <w:wordWrap/>
              <w:overflowPunct/>
              <w:topLinePunct w:val="0"/>
              <w:bidi w:val="0"/>
              <w:spacing w:line="360" w:lineRule="auto"/>
              <w:jc w:val="center"/>
              <w:rPr>
                <w:rFonts w:ascii="宋体" w:hAnsi="宋体"/>
                <w:szCs w:val="21"/>
                <w:highlight w:val="none"/>
              </w:rPr>
            </w:pPr>
          </w:p>
        </w:tc>
      </w:tr>
      <w:tr w14:paraId="61D250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42" w:type="dxa"/>
            <w:vAlign w:val="center"/>
          </w:tcPr>
          <w:p w14:paraId="0767DA27">
            <w:pPr>
              <w:kinsoku/>
              <w:wordWrap/>
              <w:overflowPunct/>
              <w:topLinePunct w:val="0"/>
              <w:bidi w:val="0"/>
              <w:spacing w:line="360" w:lineRule="auto"/>
              <w:jc w:val="center"/>
              <w:rPr>
                <w:rFonts w:ascii="宋体" w:hAnsi="宋体"/>
                <w:szCs w:val="21"/>
                <w:highlight w:val="none"/>
              </w:rPr>
            </w:pPr>
          </w:p>
        </w:tc>
        <w:tc>
          <w:tcPr>
            <w:tcW w:w="927" w:type="dxa"/>
            <w:vAlign w:val="center"/>
          </w:tcPr>
          <w:p w14:paraId="7C5707DD">
            <w:pPr>
              <w:kinsoku/>
              <w:wordWrap/>
              <w:overflowPunct/>
              <w:topLinePunct w:val="0"/>
              <w:bidi w:val="0"/>
              <w:spacing w:line="360" w:lineRule="auto"/>
              <w:jc w:val="center"/>
              <w:rPr>
                <w:rFonts w:ascii="宋体" w:hAnsi="宋体"/>
                <w:szCs w:val="21"/>
                <w:highlight w:val="none"/>
              </w:rPr>
            </w:pPr>
          </w:p>
        </w:tc>
        <w:tc>
          <w:tcPr>
            <w:tcW w:w="927" w:type="dxa"/>
            <w:vAlign w:val="center"/>
          </w:tcPr>
          <w:p w14:paraId="7F54E7DA">
            <w:pPr>
              <w:kinsoku/>
              <w:wordWrap/>
              <w:overflowPunct/>
              <w:topLinePunct w:val="0"/>
              <w:bidi w:val="0"/>
              <w:spacing w:line="360" w:lineRule="auto"/>
              <w:jc w:val="center"/>
              <w:rPr>
                <w:rFonts w:ascii="宋体" w:hAnsi="宋体"/>
                <w:szCs w:val="21"/>
                <w:highlight w:val="none"/>
              </w:rPr>
            </w:pPr>
          </w:p>
        </w:tc>
        <w:tc>
          <w:tcPr>
            <w:tcW w:w="742" w:type="dxa"/>
            <w:vAlign w:val="center"/>
          </w:tcPr>
          <w:p w14:paraId="4F4FDA23">
            <w:pPr>
              <w:kinsoku/>
              <w:wordWrap/>
              <w:overflowPunct/>
              <w:topLinePunct w:val="0"/>
              <w:bidi w:val="0"/>
              <w:spacing w:line="360" w:lineRule="auto"/>
              <w:jc w:val="center"/>
              <w:rPr>
                <w:rFonts w:ascii="宋体" w:hAnsi="宋体"/>
                <w:szCs w:val="21"/>
                <w:highlight w:val="none"/>
              </w:rPr>
            </w:pPr>
          </w:p>
        </w:tc>
        <w:tc>
          <w:tcPr>
            <w:tcW w:w="742" w:type="dxa"/>
            <w:vAlign w:val="center"/>
          </w:tcPr>
          <w:p w14:paraId="55FBC416">
            <w:pPr>
              <w:kinsoku/>
              <w:wordWrap/>
              <w:overflowPunct/>
              <w:topLinePunct w:val="0"/>
              <w:bidi w:val="0"/>
              <w:spacing w:line="360" w:lineRule="auto"/>
              <w:jc w:val="center"/>
              <w:rPr>
                <w:rFonts w:ascii="宋体" w:hAnsi="宋体"/>
                <w:szCs w:val="21"/>
                <w:highlight w:val="none"/>
              </w:rPr>
            </w:pPr>
          </w:p>
        </w:tc>
        <w:tc>
          <w:tcPr>
            <w:tcW w:w="1297" w:type="dxa"/>
            <w:vAlign w:val="center"/>
          </w:tcPr>
          <w:p w14:paraId="2E3E2B76">
            <w:pPr>
              <w:kinsoku/>
              <w:wordWrap/>
              <w:overflowPunct/>
              <w:topLinePunct w:val="0"/>
              <w:bidi w:val="0"/>
              <w:spacing w:line="360" w:lineRule="auto"/>
              <w:jc w:val="center"/>
              <w:rPr>
                <w:rFonts w:ascii="宋体" w:hAnsi="宋体"/>
                <w:szCs w:val="21"/>
                <w:highlight w:val="none"/>
              </w:rPr>
            </w:pPr>
          </w:p>
        </w:tc>
        <w:tc>
          <w:tcPr>
            <w:tcW w:w="1284" w:type="dxa"/>
            <w:vAlign w:val="center"/>
          </w:tcPr>
          <w:p w14:paraId="08DED4A8">
            <w:pPr>
              <w:kinsoku/>
              <w:wordWrap/>
              <w:overflowPunct/>
              <w:topLinePunct w:val="0"/>
              <w:bidi w:val="0"/>
              <w:spacing w:line="360" w:lineRule="auto"/>
              <w:jc w:val="center"/>
              <w:rPr>
                <w:rFonts w:ascii="宋体" w:hAnsi="宋体"/>
                <w:szCs w:val="21"/>
                <w:highlight w:val="none"/>
              </w:rPr>
            </w:pPr>
          </w:p>
        </w:tc>
        <w:tc>
          <w:tcPr>
            <w:tcW w:w="1766" w:type="dxa"/>
          </w:tcPr>
          <w:p w14:paraId="42853DAE">
            <w:pPr>
              <w:kinsoku/>
              <w:wordWrap/>
              <w:overflowPunct/>
              <w:topLinePunct w:val="0"/>
              <w:bidi w:val="0"/>
              <w:spacing w:line="360" w:lineRule="auto"/>
              <w:jc w:val="center"/>
              <w:rPr>
                <w:rFonts w:ascii="宋体" w:hAnsi="宋体"/>
                <w:szCs w:val="21"/>
                <w:highlight w:val="none"/>
              </w:rPr>
            </w:pPr>
          </w:p>
        </w:tc>
        <w:tc>
          <w:tcPr>
            <w:tcW w:w="1112" w:type="dxa"/>
            <w:vAlign w:val="center"/>
          </w:tcPr>
          <w:p w14:paraId="6B5138A1">
            <w:pPr>
              <w:kinsoku/>
              <w:wordWrap/>
              <w:overflowPunct/>
              <w:topLinePunct w:val="0"/>
              <w:bidi w:val="0"/>
              <w:spacing w:line="360" w:lineRule="auto"/>
              <w:jc w:val="center"/>
              <w:rPr>
                <w:rFonts w:ascii="宋体" w:hAnsi="宋体"/>
                <w:szCs w:val="21"/>
                <w:highlight w:val="none"/>
              </w:rPr>
            </w:pPr>
          </w:p>
        </w:tc>
      </w:tr>
    </w:tbl>
    <w:p w14:paraId="57A1818F">
      <w:pPr>
        <w:kinsoku/>
        <w:wordWrap/>
        <w:overflowPunct/>
        <w:topLinePunct w:val="0"/>
        <w:bidi w:val="0"/>
        <w:adjustRightInd w:val="0"/>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注：</w:t>
      </w:r>
      <w:r>
        <w:rPr>
          <w:rFonts w:hint="eastAsia" w:ascii="仿宋" w:hAnsi="仿宋" w:eastAsia="仿宋" w:cs="仿宋"/>
          <w:kern w:val="0"/>
          <w:sz w:val="24"/>
          <w:highlight w:val="none"/>
        </w:rPr>
        <w:t>与评分有关的证明材料附后。</w:t>
      </w:r>
    </w:p>
    <w:p w14:paraId="5A1D3DB0">
      <w:pPr>
        <w:kinsoku/>
        <w:wordWrap/>
        <w:overflowPunct/>
        <w:topLinePunct w:val="0"/>
        <w:bidi w:val="0"/>
        <w:adjustRightInd w:val="0"/>
        <w:snapToGrid w:val="0"/>
        <w:spacing w:line="360" w:lineRule="auto"/>
        <w:rPr>
          <w:rFonts w:hint="eastAsia" w:ascii="仿宋" w:hAnsi="仿宋" w:eastAsia="仿宋" w:cs="仿宋"/>
          <w:kern w:val="0"/>
          <w:sz w:val="24"/>
          <w:highlight w:val="none"/>
          <w:lang w:val="zh-CN"/>
        </w:rPr>
      </w:pPr>
    </w:p>
    <w:p w14:paraId="6265217C">
      <w:pPr>
        <w:kinsoku/>
        <w:wordWrap/>
        <w:overflowPunct/>
        <w:topLinePunct w:val="0"/>
        <w:bidi w:val="0"/>
        <w:adjustRightInd w:val="0"/>
        <w:snapToGrid w:val="0"/>
        <w:spacing w:line="360" w:lineRule="auto"/>
        <w:ind w:left="3990" w:leftChars="1900"/>
        <w:rPr>
          <w:rFonts w:ascii="仿宋" w:hAnsi="仿宋" w:eastAsia="仿宋" w:cs="仿宋"/>
          <w:kern w:val="0"/>
          <w:sz w:val="24"/>
          <w:highlight w:val="none"/>
          <w:lang w:val="zh-CN"/>
        </w:rPr>
      </w:pPr>
      <w:r>
        <w:rPr>
          <w:rFonts w:hint="eastAsia" w:ascii="仿宋" w:hAnsi="仿宋" w:eastAsia="仿宋" w:cs="仿宋"/>
          <w:kern w:val="0"/>
          <w:sz w:val="24"/>
          <w:highlight w:val="none"/>
          <w:lang w:val="zh-CN"/>
        </w:rPr>
        <w:t>法定代表人或其授权委托人（签名或印章）：</w:t>
      </w:r>
    </w:p>
    <w:p w14:paraId="13691111">
      <w:pPr>
        <w:kinsoku/>
        <w:wordWrap/>
        <w:overflowPunct/>
        <w:topLinePunct w:val="0"/>
        <w:bidi w:val="0"/>
        <w:adjustRightInd w:val="0"/>
        <w:snapToGrid w:val="0"/>
        <w:spacing w:line="360" w:lineRule="auto"/>
        <w:ind w:left="3990" w:leftChars="19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投标人（盖章）：</w:t>
      </w:r>
    </w:p>
    <w:p w14:paraId="1436602E">
      <w:pPr>
        <w:kinsoku/>
        <w:wordWrap/>
        <w:overflowPunct/>
        <w:topLinePunct w:val="0"/>
        <w:bidi w:val="0"/>
        <w:adjustRightInd w:val="0"/>
        <w:snapToGrid w:val="0"/>
        <w:spacing w:line="360" w:lineRule="auto"/>
        <w:ind w:left="3990" w:leftChars="1900"/>
        <w:jc w:val="center"/>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p>
    <w:p w14:paraId="10705F20">
      <w:pPr>
        <w:kinsoku/>
        <w:wordWrap/>
        <w:overflowPunct/>
        <w:topLinePunct w:val="0"/>
        <w:bidi w:val="0"/>
        <w:adjustRightInd w:val="0"/>
        <w:snapToGrid w:val="0"/>
        <w:spacing w:line="360" w:lineRule="auto"/>
        <w:ind w:left="3990" w:leftChars="1900"/>
        <w:jc w:val="center"/>
        <w:rPr>
          <w:rFonts w:hint="eastAsia" w:ascii="仿宋" w:hAnsi="仿宋" w:eastAsia="仿宋" w:cs="仿宋"/>
          <w:kern w:val="0"/>
          <w:sz w:val="24"/>
          <w:highlight w:val="none"/>
        </w:rPr>
      </w:pPr>
    </w:p>
    <w:p w14:paraId="55BB6AE7">
      <w:pPr>
        <w:kinsoku/>
        <w:wordWrap/>
        <w:overflowPunct/>
        <w:topLinePunct w:val="0"/>
        <w:bidi w:val="0"/>
        <w:adjustRightInd w:val="0"/>
        <w:snapToGrid w:val="0"/>
        <w:spacing w:line="360" w:lineRule="auto"/>
        <w:jc w:val="both"/>
        <w:rPr>
          <w:rFonts w:hint="eastAsia" w:ascii="仿宋" w:hAnsi="仿宋" w:eastAsia="仿宋" w:cs="仿宋"/>
          <w:kern w:val="0"/>
          <w:sz w:val="24"/>
          <w:highlight w:val="none"/>
        </w:rPr>
      </w:pPr>
    </w:p>
    <w:p w14:paraId="4554DE4E">
      <w:pPr>
        <w:kinsoku/>
        <w:wordWrap/>
        <w:overflowPunct/>
        <w:topLinePunct w:val="0"/>
        <w:bidi w:val="0"/>
        <w:adjustRightInd w:val="0"/>
        <w:snapToGrid w:val="0"/>
        <w:spacing w:line="360" w:lineRule="auto"/>
        <w:jc w:val="center"/>
        <w:rPr>
          <w:rFonts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b/>
          <w:kern w:val="0"/>
          <w:sz w:val="32"/>
          <w:szCs w:val="32"/>
          <w:highlight w:val="none"/>
          <w:lang w:val="en-US" w:eastAsia="zh-CN"/>
        </w:rPr>
        <w:t>十一、</w:t>
      </w:r>
      <w:r>
        <w:rPr>
          <w:rFonts w:hint="eastAsia" w:cs="仿宋" w:asciiTheme="majorEastAsia" w:hAnsiTheme="majorEastAsia" w:eastAsiaTheme="majorEastAsia"/>
          <w:b/>
          <w:kern w:val="0"/>
          <w:sz w:val="32"/>
          <w:szCs w:val="32"/>
          <w:highlight w:val="none"/>
          <w:lang w:val="zh-CN"/>
        </w:rPr>
        <w:t>政府采购供应商廉洁自律承诺书</w:t>
      </w:r>
    </w:p>
    <w:p w14:paraId="5B7F282A">
      <w:pPr>
        <w:kinsoku/>
        <w:wordWrap/>
        <w:overflowPunct/>
        <w:topLinePunct w:val="0"/>
        <w:bidi w:val="0"/>
        <w:snapToGrid w:val="0"/>
        <w:spacing w:line="360" w:lineRule="auto"/>
        <w:rPr>
          <w:rFonts w:cs="仿宋" w:asciiTheme="majorEastAsia" w:hAnsiTheme="majorEastAsia" w:eastAsiaTheme="majorEastAsia"/>
          <w:sz w:val="24"/>
          <w:highlight w:val="none"/>
        </w:rPr>
      </w:pPr>
    </w:p>
    <w:p w14:paraId="486FC615">
      <w:pPr>
        <w:kinsoku/>
        <w:wordWrap/>
        <w:overflowPunct/>
        <w:topLinePunct w:val="0"/>
        <w:bidi w:val="0"/>
        <w:snapToGrid w:val="0"/>
        <w:spacing w:line="360" w:lineRule="auto"/>
        <w:rPr>
          <w:rFonts w:cs="仿宋" w:asciiTheme="majorEastAsia" w:hAnsiTheme="majorEastAsia" w:eastAsiaTheme="majorEastAsia"/>
          <w:kern w:val="0"/>
          <w:sz w:val="24"/>
          <w:highlight w:val="none"/>
        </w:rPr>
      </w:pPr>
      <w:r>
        <w:rPr>
          <w:rFonts w:hint="eastAsia" w:cs="仿宋" w:asciiTheme="majorEastAsia" w:hAnsiTheme="majorEastAsia" w:eastAsiaTheme="majorEastAsia"/>
          <w:sz w:val="24"/>
          <w:highlight w:val="none"/>
        </w:rPr>
        <w:t>（采购人）、（采购代理机构）</w:t>
      </w:r>
      <w:r>
        <w:rPr>
          <w:rFonts w:hint="eastAsia" w:cs="仿宋" w:asciiTheme="majorEastAsia" w:hAnsiTheme="majorEastAsia" w:eastAsiaTheme="majorEastAsia"/>
          <w:kern w:val="0"/>
          <w:sz w:val="24"/>
          <w:highlight w:val="none"/>
          <w:lang w:val="zh-CN"/>
        </w:rPr>
        <w:t>：</w:t>
      </w:r>
    </w:p>
    <w:p w14:paraId="4E44C800">
      <w:pPr>
        <w:kinsoku/>
        <w:wordWrap/>
        <w:overflowPunct/>
        <w:topLinePunct w:val="0"/>
        <w:autoSpaceDE w:val="0"/>
        <w:autoSpaceDN w:val="0"/>
        <w:bidi w:val="0"/>
        <w:spacing w:line="360" w:lineRule="auto"/>
        <w:ind w:left="2" w:leftChars="1"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我单位响应你</w:t>
      </w:r>
      <w:r>
        <w:rPr>
          <w:rFonts w:hint="eastAsia" w:cs="仿宋" w:asciiTheme="majorEastAsia" w:hAnsiTheme="majorEastAsia" w:eastAsiaTheme="majorEastAsia"/>
          <w:sz w:val="24"/>
          <w:highlight w:val="none"/>
        </w:rPr>
        <w:t>单位</w:t>
      </w:r>
      <w:r>
        <w:rPr>
          <w:rFonts w:hint="eastAsia" w:cs="仿宋" w:asciiTheme="majorEastAsia" w:hAnsiTheme="majorEastAsia" w:eastAsiaTheme="majorEastAsia"/>
          <w:kern w:val="0"/>
          <w:sz w:val="24"/>
          <w:highlight w:val="none"/>
          <w:lang w:val="zh-CN"/>
        </w:rPr>
        <w:t>项目招标要求参加投标。在这次投标过程中和中标后，我们将严格遵守国家法律法规要求，并郑重承诺：</w:t>
      </w:r>
    </w:p>
    <w:p w14:paraId="318B1B6B">
      <w:pPr>
        <w:kinsoku/>
        <w:wordWrap/>
        <w:overflowPunct/>
        <w:topLinePunct w:val="0"/>
        <w:autoSpaceDE w:val="0"/>
        <w:autoSpaceDN w:val="0"/>
        <w:bidi w:val="0"/>
        <w:spacing w:line="360" w:lineRule="auto"/>
        <w:ind w:left="2" w:leftChars="1"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 xml:space="preserve">一、不向项目有关人员及部门赠送礼金礼物、有价证券、回扣以及中介费、介绍费、咨询费等好处费； </w:t>
      </w:r>
    </w:p>
    <w:p w14:paraId="797B848D">
      <w:pPr>
        <w:kinsoku/>
        <w:wordWrap/>
        <w:overflowPunct/>
        <w:topLinePunct w:val="0"/>
        <w:autoSpaceDE w:val="0"/>
        <w:autoSpaceDN w:val="0"/>
        <w:bidi w:val="0"/>
        <w:spacing w:line="360" w:lineRule="auto"/>
        <w:ind w:left="2" w:leftChars="1"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 xml:space="preserve">二、不为项目有关人员及部门报销应由你方单位或个人支付的费用； </w:t>
      </w:r>
    </w:p>
    <w:p w14:paraId="646EF90A">
      <w:pPr>
        <w:kinsoku/>
        <w:wordWrap/>
        <w:overflowPunct/>
        <w:topLinePunct w:val="0"/>
        <w:autoSpaceDE w:val="0"/>
        <w:autoSpaceDN w:val="0"/>
        <w:bidi w:val="0"/>
        <w:spacing w:line="360" w:lineRule="auto"/>
        <w:ind w:left="2" w:leftChars="1"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 xml:space="preserve">三、不向项目有关人员及部门提供有可能影响公正的宴请和健身娱乐等活动； </w:t>
      </w:r>
    </w:p>
    <w:p w14:paraId="04F03B20">
      <w:pPr>
        <w:kinsoku/>
        <w:wordWrap/>
        <w:overflowPunct/>
        <w:topLinePunct w:val="0"/>
        <w:autoSpaceDE w:val="0"/>
        <w:autoSpaceDN w:val="0"/>
        <w:bidi w:val="0"/>
        <w:spacing w:line="360" w:lineRule="auto"/>
        <w:ind w:left="2" w:leftChars="1"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四、不为项目有关人员及部门出国（境）、旅游等提供方便；</w:t>
      </w:r>
    </w:p>
    <w:p w14:paraId="6BF06863">
      <w:pPr>
        <w:kinsoku/>
        <w:wordWrap/>
        <w:overflowPunct/>
        <w:topLinePunct w:val="0"/>
        <w:autoSpaceDE w:val="0"/>
        <w:autoSpaceDN w:val="0"/>
        <w:bidi w:val="0"/>
        <w:spacing w:line="360" w:lineRule="auto"/>
        <w:ind w:left="481" w:leftChars="229"/>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五、不为项目有关人员个人装修住房、婚丧嫁娶、配偶子女工作安排等提供</w:t>
      </w:r>
    </w:p>
    <w:p w14:paraId="445B9DC3">
      <w:pPr>
        <w:kinsoku/>
        <w:wordWrap/>
        <w:overflowPunct/>
        <w:topLinePunct w:val="0"/>
        <w:autoSpaceDE w:val="0"/>
        <w:autoSpaceDN w:val="0"/>
        <w:bidi w:val="0"/>
        <w:spacing w:line="360" w:lineRule="auto"/>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好处；</w:t>
      </w:r>
    </w:p>
    <w:p w14:paraId="5C177280">
      <w:pPr>
        <w:kinsoku/>
        <w:wordWrap/>
        <w:overflowPunct/>
        <w:topLinePunct w:val="0"/>
        <w:autoSpaceDE w:val="0"/>
        <w:autoSpaceDN w:val="0"/>
        <w:bidi w:val="0"/>
        <w:spacing w:line="360" w:lineRule="auto"/>
        <w:ind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六、严格遵守《</w:t>
      </w:r>
      <w:r>
        <w:rPr>
          <w:rFonts w:hint="eastAsia" w:cs="仿宋" w:asciiTheme="majorEastAsia" w:hAnsiTheme="majorEastAsia" w:eastAsiaTheme="majorEastAsia"/>
          <w:sz w:val="24"/>
          <w:highlight w:val="none"/>
          <w:lang w:val="zh-CN"/>
        </w:rPr>
        <w:t>中华人民共和国</w:t>
      </w:r>
      <w:r>
        <w:rPr>
          <w:rFonts w:hint="eastAsia" w:cs="仿宋" w:asciiTheme="majorEastAsia" w:hAnsiTheme="majorEastAsia" w:eastAsiaTheme="majorEastAsia"/>
          <w:kern w:val="0"/>
          <w:sz w:val="24"/>
          <w:highlight w:val="none"/>
          <w:lang w:val="zh-CN"/>
        </w:rPr>
        <w:t>政府采购法》《</w:t>
      </w:r>
      <w:r>
        <w:rPr>
          <w:rFonts w:hint="eastAsia" w:cs="仿宋" w:asciiTheme="majorEastAsia" w:hAnsiTheme="majorEastAsia" w:eastAsiaTheme="majorEastAsia"/>
          <w:sz w:val="24"/>
          <w:highlight w:val="none"/>
          <w:lang w:val="zh-CN"/>
        </w:rPr>
        <w:t>中华人民共和国</w:t>
      </w:r>
      <w:r>
        <w:rPr>
          <w:rFonts w:hint="eastAsia" w:cs="仿宋" w:asciiTheme="majorEastAsia" w:hAnsiTheme="majorEastAsia" w:eastAsiaTheme="majorEastAsia"/>
          <w:kern w:val="0"/>
          <w:sz w:val="24"/>
          <w:highlight w:val="none"/>
          <w:lang w:val="zh-CN"/>
        </w:rPr>
        <w:t>招标投标法》</w:t>
      </w:r>
      <w:r>
        <w:rPr>
          <w:rFonts w:hint="eastAsia" w:cs="仿宋" w:asciiTheme="majorEastAsia" w:hAnsiTheme="majorEastAsia" w:eastAsiaTheme="majorEastAsia"/>
          <w:sz w:val="24"/>
          <w:highlight w:val="none"/>
          <w:lang w:val="zh-CN"/>
        </w:rPr>
        <w:t>《中华人民共和国民法典》</w:t>
      </w:r>
      <w:r>
        <w:rPr>
          <w:rFonts w:hint="eastAsia" w:cs="仿宋" w:asciiTheme="majorEastAsia" w:hAnsiTheme="majorEastAsia" w:eastAsiaTheme="majorEastAsia"/>
          <w:kern w:val="0"/>
          <w:sz w:val="24"/>
          <w:highlight w:val="none"/>
          <w:lang w:val="zh-CN"/>
        </w:rPr>
        <w:t xml:space="preserve">等法律法规，诚实守信，合法经营，坚决抵制各种违法违纪行为。 </w:t>
      </w:r>
    </w:p>
    <w:p w14:paraId="73138B39">
      <w:pPr>
        <w:kinsoku/>
        <w:wordWrap/>
        <w:overflowPunct/>
        <w:topLinePunct w:val="0"/>
        <w:autoSpaceDE w:val="0"/>
        <w:autoSpaceDN w:val="0"/>
        <w:bidi w:val="0"/>
        <w:spacing w:line="360" w:lineRule="auto"/>
        <w:ind w:firstLine="480" w:firstLineChars="200"/>
        <w:jc w:val="lef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如违反上述承诺，你</w:t>
      </w:r>
      <w:r>
        <w:rPr>
          <w:rFonts w:hint="eastAsia" w:cs="仿宋" w:asciiTheme="majorEastAsia" w:hAnsiTheme="majorEastAsia" w:eastAsiaTheme="majorEastAsia"/>
          <w:sz w:val="24"/>
          <w:highlight w:val="none"/>
        </w:rPr>
        <w:t>单位</w:t>
      </w:r>
      <w:r>
        <w:rPr>
          <w:rFonts w:hint="eastAsia" w:cs="仿宋" w:asciiTheme="majorEastAsia" w:hAnsiTheme="majorEastAsia" w:eastAsiaTheme="majorEastAsia"/>
          <w:kern w:val="0"/>
          <w:sz w:val="24"/>
          <w:highlight w:val="none"/>
          <w:lang w:val="zh-CN"/>
        </w:rPr>
        <w:t>有权立即取消我单位投标、中标或在建项目的建设资格，有权拒绝我单位在一定时期内进入你</w:t>
      </w:r>
      <w:r>
        <w:rPr>
          <w:rFonts w:hint="eastAsia" w:cs="仿宋" w:asciiTheme="majorEastAsia" w:hAnsiTheme="majorEastAsia" w:eastAsiaTheme="majorEastAsia"/>
          <w:sz w:val="24"/>
          <w:highlight w:val="none"/>
        </w:rPr>
        <w:t>单位</w:t>
      </w:r>
      <w:r>
        <w:rPr>
          <w:rFonts w:hint="eastAsia" w:cs="仿宋" w:asciiTheme="majorEastAsia" w:hAnsiTheme="majorEastAsia" w:eastAsiaTheme="majorEastAsia"/>
          <w:kern w:val="0"/>
          <w:sz w:val="24"/>
          <w:highlight w:val="none"/>
          <w:lang w:val="zh-CN"/>
        </w:rPr>
        <w:t>进行项目建设或其他经营活动，并通报</w:t>
      </w:r>
      <w:r>
        <w:rPr>
          <w:rFonts w:hint="eastAsia" w:cs="仿宋" w:asciiTheme="majorEastAsia" w:hAnsiTheme="majorEastAsia" w:eastAsiaTheme="majorEastAsia"/>
          <w:kern w:val="0"/>
          <w:sz w:val="24"/>
          <w:highlight w:val="none"/>
        </w:rPr>
        <w:t>有关监督管理机构</w:t>
      </w:r>
      <w:r>
        <w:rPr>
          <w:rFonts w:hint="eastAsia" w:cs="仿宋" w:asciiTheme="majorEastAsia" w:hAnsiTheme="majorEastAsia" w:eastAsiaTheme="majorEastAsia"/>
          <w:kern w:val="0"/>
          <w:sz w:val="24"/>
          <w:highlight w:val="none"/>
          <w:lang w:val="zh-CN"/>
        </w:rPr>
        <w:t>。由此引起的相应损失均由我单位承担。</w:t>
      </w:r>
    </w:p>
    <w:p w14:paraId="71BE0DCF">
      <w:pPr>
        <w:kinsoku/>
        <w:wordWrap/>
        <w:overflowPunct/>
        <w:topLinePunct w:val="0"/>
        <w:autoSpaceDE w:val="0"/>
        <w:autoSpaceDN w:val="0"/>
        <w:bidi w:val="0"/>
        <w:spacing w:line="360" w:lineRule="auto"/>
        <w:ind w:left="2"/>
        <w:jc w:val="left"/>
        <w:rPr>
          <w:rFonts w:cs="仿宋" w:asciiTheme="majorEastAsia" w:hAnsiTheme="majorEastAsia" w:eastAsiaTheme="majorEastAsia"/>
          <w:kern w:val="0"/>
          <w:sz w:val="24"/>
          <w:highlight w:val="none"/>
          <w:lang w:val="zh-CN"/>
        </w:rPr>
      </w:pPr>
    </w:p>
    <w:p w14:paraId="26C17D2D">
      <w:pPr>
        <w:kinsoku/>
        <w:wordWrap/>
        <w:overflowPunct/>
        <w:topLinePunct w:val="0"/>
        <w:autoSpaceDE w:val="0"/>
        <w:autoSpaceDN w:val="0"/>
        <w:bidi w:val="0"/>
        <w:spacing w:line="360" w:lineRule="auto"/>
        <w:ind w:left="2"/>
        <w:jc w:val="left"/>
        <w:rPr>
          <w:rFonts w:cs="仿宋" w:asciiTheme="majorEastAsia" w:hAnsiTheme="majorEastAsia" w:eastAsiaTheme="majorEastAsia"/>
          <w:kern w:val="0"/>
          <w:sz w:val="24"/>
          <w:highlight w:val="none"/>
          <w:lang w:val="zh-CN"/>
        </w:rPr>
      </w:pPr>
    </w:p>
    <w:p w14:paraId="2F49063F">
      <w:pPr>
        <w:kinsoku/>
        <w:wordWrap/>
        <w:overflowPunct/>
        <w:topLinePunct w:val="0"/>
        <w:autoSpaceDE w:val="0"/>
        <w:autoSpaceDN w:val="0"/>
        <w:bidi w:val="0"/>
        <w:spacing w:line="360" w:lineRule="auto"/>
        <w:ind w:left="2"/>
        <w:jc w:val="left"/>
        <w:rPr>
          <w:rFonts w:cs="仿宋" w:asciiTheme="majorEastAsia" w:hAnsiTheme="majorEastAsia" w:eastAsiaTheme="majorEastAsia"/>
          <w:kern w:val="0"/>
          <w:sz w:val="24"/>
          <w:highlight w:val="none"/>
          <w:lang w:val="zh-CN"/>
        </w:rPr>
      </w:pPr>
    </w:p>
    <w:p w14:paraId="18DACB80">
      <w:pPr>
        <w:kinsoku/>
        <w:wordWrap/>
        <w:overflowPunct/>
        <w:topLinePunct w:val="0"/>
        <w:bidi w:val="0"/>
        <w:adjustRightInd w:val="0"/>
        <w:snapToGrid w:val="0"/>
        <w:spacing w:line="360" w:lineRule="auto"/>
        <w:jc w:val="right"/>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法定代表人或其授权委托人（签名或印章）：</w:t>
      </w:r>
    </w:p>
    <w:p w14:paraId="045918AC">
      <w:pPr>
        <w:kinsoku/>
        <w:wordWrap/>
        <w:overflowPunct/>
        <w:topLinePunct w:val="0"/>
        <w:bidi w:val="0"/>
        <w:adjustRightInd w:val="0"/>
        <w:snapToGrid w:val="0"/>
        <w:spacing w:line="360" w:lineRule="auto"/>
        <w:ind w:left="3990" w:leftChars="1900"/>
        <w:jc w:val="center"/>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投标人（盖章）：</w:t>
      </w:r>
    </w:p>
    <w:p w14:paraId="65F24E8A">
      <w:pPr>
        <w:kinsoku/>
        <w:wordWrap/>
        <w:overflowPunct/>
        <w:topLinePunct w:val="0"/>
        <w:bidi w:val="0"/>
        <w:adjustRightInd w:val="0"/>
        <w:snapToGrid w:val="0"/>
        <w:spacing w:line="360" w:lineRule="auto"/>
        <w:ind w:right="1920"/>
        <w:jc w:val="center"/>
        <w:rPr>
          <w:rFonts w:cs="仿宋" w:asciiTheme="majorEastAsia" w:hAnsiTheme="majorEastAsia" w:eastAsiaTheme="majorEastAsia"/>
          <w:b/>
          <w:kern w:val="0"/>
          <w:sz w:val="32"/>
          <w:szCs w:val="32"/>
          <w:highlight w:val="none"/>
          <w:lang w:val="zh-CN"/>
        </w:rPr>
      </w:pPr>
      <w:r>
        <w:rPr>
          <w:rFonts w:hint="eastAsia" w:cs="仿宋" w:asciiTheme="majorEastAsia" w:hAnsiTheme="majorEastAsia" w:eastAsiaTheme="majorEastAsia"/>
          <w:kern w:val="0"/>
          <w:sz w:val="24"/>
          <w:highlight w:val="none"/>
          <w:lang w:val="zh-CN"/>
        </w:rPr>
        <w:t xml:space="preserve">                                      日期</w:t>
      </w:r>
      <w:r>
        <w:rPr>
          <w:rFonts w:hint="eastAsia" w:cs="仿宋" w:asciiTheme="majorEastAsia" w:hAnsiTheme="majorEastAsia" w:eastAsiaTheme="majorEastAsia"/>
          <w:kern w:val="0"/>
          <w:sz w:val="24"/>
          <w:highlight w:val="none"/>
        </w:rPr>
        <w:t>:</w:t>
      </w:r>
    </w:p>
    <w:p w14:paraId="593F6612">
      <w:pPr>
        <w:kinsoku/>
        <w:wordWrap/>
        <w:overflowPunct/>
        <w:topLinePunct w:val="0"/>
        <w:bidi w:val="0"/>
        <w:spacing w:line="360" w:lineRule="auto"/>
        <w:ind w:left="4620" w:leftChars="2200"/>
        <w:rPr>
          <w:rFonts w:cs="仿宋" w:asciiTheme="majorEastAsia" w:hAnsiTheme="majorEastAsia" w:eastAsiaTheme="majorEastAsia"/>
          <w:sz w:val="24"/>
          <w:highlight w:val="none"/>
        </w:rPr>
      </w:pPr>
    </w:p>
    <w:p w14:paraId="36C223DC">
      <w:pPr>
        <w:kinsoku/>
        <w:wordWrap/>
        <w:overflowPunct/>
        <w:topLinePunct w:val="0"/>
        <w:bidi w:val="0"/>
        <w:spacing w:line="360" w:lineRule="auto"/>
        <w:jc w:val="center"/>
        <w:rPr>
          <w:rFonts w:cs="仿宋" w:asciiTheme="majorEastAsia" w:hAnsiTheme="majorEastAsia" w:eastAsiaTheme="majorEastAsia"/>
          <w:b/>
          <w:bCs/>
          <w:sz w:val="24"/>
          <w:highlight w:val="none"/>
        </w:rPr>
      </w:pPr>
    </w:p>
    <w:p w14:paraId="20C63170">
      <w:pPr>
        <w:kinsoku/>
        <w:wordWrap/>
        <w:overflowPunct/>
        <w:topLinePunct w:val="0"/>
        <w:bidi w:val="0"/>
        <w:spacing w:line="360" w:lineRule="auto"/>
        <w:rPr>
          <w:rFonts w:ascii="宋体" w:hAnsi="宋体" w:cs="宋体"/>
          <w:highlight w:val="none"/>
        </w:rPr>
      </w:pPr>
    </w:p>
    <w:p w14:paraId="6ABB8DF3">
      <w:pPr>
        <w:kinsoku/>
        <w:wordWrap/>
        <w:overflowPunct/>
        <w:topLinePunct w:val="0"/>
        <w:bidi w:val="0"/>
        <w:spacing w:line="360" w:lineRule="auto"/>
        <w:jc w:val="both"/>
        <w:outlineLvl w:val="0"/>
        <w:rPr>
          <w:rFonts w:cs="仿宋" w:asciiTheme="majorEastAsia" w:hAnsiTheme="majorEastAsia" w:eastAsiaTheme="majorEastAsia"/>
          <w:b/>
          <w:kern w:val="0"/>
          <w:sz w:val="36"/>
          <w:szCs w:val="36"/>
          <w:highlight w:val="none"/>
        </w:rPr>
      </w:pPr>
    </w:p>
    <w:p w14:paraId="242C1C14">
      <w:pPr>
        <w:pageBreakBefore/>
        <w:kinsoku/>
        <w:wordWrap/>
        <w:overflowPunct/>
        <w:topLinePunct w:val="0"/>
        <w:bidi w:val="0"/>
        <w:spacing w:line="360" w:lineRule="auto"/>
        <w:jc w:val="center"/>
        <w:outlineLvl w:val="0"/>
        <w:rPr>
          <w:rFonts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报价文件部分</w:t>
      </w:r>
    </w:p>
    <w:p w14:paraId="0D596B8F">
      <w:pPr>
        <w:kinsoku/>
        <w:wordWrap/>
        <w:overflowPunct/>
        <w:topLinePunct w:val="0"/>
        <w:bidi w:val="0"/>
        <w:spacing w:line="360" w:lineRule="auto"/>
        <w:jc w:val="center"/>
        <w:outlineLvl w:val="0"/>
        <w:rPr>
          <w:rFonts w:cs="仿宋" w:asciiTheme="majorEastAsia" w:hAnsiTheme="majorEastAsia" w:eastAsiaTheme="majorEastAsia"/>
          <w:b/>
          <w:kern w:val="0"/>
          <w:sz w:val="36"/>
          <w:szCs w:val="36"/>
          <w:highlight w:val="none"/>
        </w:rPr>
      </w:pPr>
      <w:r>
        <w:rPr>
          <w:rFonts w:hint="eastAsia" w:cs="仿宋" w:asciiTheme="majorEastAsia" w:hAnsiTheme="majorEastAsia" w:eastAsiaTheme="majorEastAsia"/>
          <w:b/>
          <w:kern w:val="0"/>
          <w:sz w:val="36"/>
          <w:szCs w:val="36"/>
          <w:highlight w:val="none"/>
        </w:rPr>
        <w:t>目录</w:t>
      </w:r>
    </w:p>
    <w:p w14:paraId="2A37B2EB">
      <w:pPr>
        <w:kinsoku/>
        <w:wordWrap/>
        <w:overflowPunct/>
        <w:topLinePunct w:val="0"/>
        <w:bidi w:val="0"/>
        <w:snapToGrid w:val="0"/>
        <w:spacing w:line="360" w:lineRule="auto"/>
        <w:ind w:firstLine="480" w:firstLineChars="200"/>
        <w:rPr>
          <w:rFonts w:cs="仿宋" w:asciiTheme="majorEastAsia" w:hAnsiTheme="majorEastAsia" w:eastAsiaTheme="majorEastAsia"/>
          <w:sz w:val="24"/>
          <w:highlight w:val="none"/>
          <w:u w:val="single"/>
          <w:lang w:val="zh-CN"/>
        </w:rPr>
      </w:pPr>
      <w:r>
        <w:rPr>
          <w:rFonts w:hint="eastAsia" w:cs="仿宋" w:asciiTheme="majorEastAsia" w:hAnsiTheme="majorEastAsia" w:eastAsiaTheme="majorEastAsia"/>
          <w:sz w:val="24"/>
          <w:highlight w:val="none"/>
        </w:rPr>
        <w:t xml:space="preserve"> </w:t>
      </w:r>
    </w:p>
    <w:p w14:paraId="379C2374">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1 开标一览表；</w:t>
      </w:r>
    </w:p>
    <w:p w14:paraId="47CCF315">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2 投标报价明细表；</w:t>
      </w:r>
    </w:p>
    <w:p w14:paraId="6A716F21">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3 中小企业声明函（如有）；</w:t>
      </w:r>
    </w:p>
    <w:p w14:paraId="13F21836">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4 残疾人福利性单位声明函（如有）；</w:t>
      </w:r>
    </w:p>
    <w:p w14:paraId="72B2178F">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5 监狱企业的证明文件（如有）；</w:t>
      </w:r>
    </w:p>
    <w:p w14:paraId="2C62D73F">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6 政府采购统计基础信息表；</w:t>
      </w:r>
    </w:p>
    <w:p w14:paraId="311B778A">
      <w:pPr>
        <w:snapToGrid w:val="0"/>
        <w:spacing w:line="360" w:lineRule="auto"/>
        <w:ind w:firstLine="1120" w:firstLineChars="400"/>
        <w:rPr>
          <w:rFonts w:ascii="宋体" w:hAnsi="宋体" w:cs="仿宋"/>
          <w:sz w:val="28"/>
          <w:szCs w:val="28"/>
          <w:highlight w:val="none"/>
        </w:rPr>
      </w:pPr>
      <w:r>
        <w:rPr>
          <w:rFonts w:hint="eastAsia" w:ascii="宋体" w:hAnsi="宋体" w:cs="仿宋"/>
          <w:sz w:val="28"/>
          <w:szCs w:val="28"/>
          <w:highlight w:val="none"/>
        </w:rPr>
        <w:t>7 其他资料（如有）。</w:t>
      </w:r>
    </w:p>
    <w:p w14:paraId="7C44E4FB">
      <w:pPr>
        <w:kinsoku/>
        <w:wordWrap/>
        <w:overflowPunct/>
        <w:topLinePunct w:val="0"/>
        <w:bidi w:val="0"/>
        <w:snapToGrid w:val="0"/>
        <w:spacing w:line="360" w:lineRule="auto"/>
        <w:ind w:right="480"/>
        <w:rPr>
          <w:rFonts w:cs="仿宋" w:asciiTheme="majorEastAsia" w:hAnsiTheme="majorEastAsia" w:eastAsiaTheme="majorEastAsia"/>
          <w:b/>
          <w:kern w:val="0"/>
          <w:sz w:val="32"/>
          <w:szCs w:val="32"/>
          <w:highlight w:val="none"/>
        </w:rPr>
      </w:pPr>
    </w:p>
    <w:p w14:paraId="45B7990F">
      <w:pPr>
        <w:pStyle w:val="43"/>
        <w:keepNext w:val="0"/>
        <w:keepLines w:val="0"/>
        <w:pageBreakBefore/>
        <w:widowControl w:val="0"/>
        <w:tabs>
          <w:tab w:val="clear" w:pos="720"/>
        </w:tabs>
        <w:kinsoku/>
        <w:wordWrap/>
        <w:overflowPunct/>
        <w:topLinePunct w:val="0"/>
        <w:autoSpaceDE/>
        <w:autoSpaceDN/>
        <w:bidi w:val="0"/>
        <w:adjustRightInd/>
        <w:snapToGrid w:val="0"/>
        <w:spacing w:before="120" w:after="120" w:line="360" w:lineRule="auto"/>
        <w:ind w:firstLine="641"/>
        <w:textAlignment w:val="auto"/>
        <w:outlineLvl w:val="9"/>
        <w:rPr>
          <w:rFonts w:cs="仿宋" w:asciiTheme="majorEastAsia" w:hAnsiTheme="majorEastAsia" w:eastAsiaTheme="majorEastAsia"/>
          <w:kern w:val="2"/>
          <w:sz w:val="32"/>
          <w:szCs w:val="32"/>
          <w:highlight w:val="none"/>
        </w:rPr>
      </w:pPr>
      <w:r>
        <w:rPr>
          <w:rFonts w:hint="eastAsia" w:cs="仿宋" w:asciiTheme="majorEastAsia" w:hAnsiTheme="majorEastAsia" w:eastAsiaTheme="majorEastAsia"/>
          <w:kern w:val="2"/>
          <w:sz w:val="32"/>
          <w:szCs w:val="32"/>
          <w:highlight w:val="none"/>
        </w:rPr>
        <w:t>一、开标一览表（报价表）</w:t>
      </w:r>
    </w:p>
    <w:p w14:paraId="281A32C4">
      <w:pPr>
        <w:snapToGrid w:val="0"/>
        <w:spacing w:line="360" w:lineRule="auto"/>
        <w:rPr>
          <w:rFonts w:hint="eastAsia" w:ascii="宋体" w:hAnsi="宋体" w:eastAsia="宋体" w:cs="宋体"/>
          <w:kern w:val="0"/>
          <w:sz w:val="24"/>
          <w:highlight w:val="none"/>
          <w:u w:val="single"/>
        </w:rPr>
      </w:pPr>
      <w:r>
        <w:rPr>
          <w:rFonts w:hint="eastAsia" w:ascii="宋体" w:hAnsi="宋体" w:eastAsia="宋体" w:cs="宋体"/>
          <w:sz w:val="24"/>
          <w:highlight w:val="none"/>
        </w:rPr>
        <w:t>（采购人）、（采购代理机构）</w:t>
      </w:r>
      <w:r>
        <w:rPr>
          <w:rFonts w:hint="eastAsia" w:ascii="宋体" w:hAnsi="宋体" w:eastAsia="宋体" w:cs="宋体"/>
          <w:kern w:val="0"/>
          <w:sz w:val="24"/>
          <w:highlight w:val="none"/>
          <w:lang w:val="zh-CN"/>
        </w:rPr>
        <w:t>：</w:t>
      </w:r>
      <w:r>
        <w:rPr>
          <w:rFonts w:hint="eastAsia" w:ascii="宋体" w:hAnsi="宋体" w:eastAsia="宋体" w:cs="宋体"/>
          <w:kern w:val="0"/>
          <w:sz w:val="24"/>
          <w:highlight w:val="none"/>
          <w:u w:val="single"/>
        </w:rPr>
        <w:t xml:space="preserve">                                     </w:t>
      </w:r>
    </w:p>
    <w:p w14:paraId="232D6E9A">
      <w:pPr>
        <w:snapToGrid w:val="0"/>
        <w:spacing w:line="360" w:lineRule="auto"/>
        <w:ind w:firstLine="482"/>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highlight w:val="none"/>
        </w:rPr>
        <w:t>（项目名称）</w:t>
      </w:r>
      <w:r>
        <w:rPr>
          <w:rFonts w:hint="eastAsia" w:ascii="宋体" w:hAnsi="宋体" w:eastAsia="宋体" w:cs="宋体"/>
          <w:kern w:val="0"/>
          <w:sz w:val="24"/>
          <w:highlight w:val="none"/>
          <w:lang w:val="zh-CN"/>
        </w:rPr>
        <w:t>【招标编号：</w:t>
      </w:r>
      <w:r>
        <w:rPr>
          <w:rFonts w:hint="eastAsia" w:ascii="宋体" w:hAnsi="宋体" w:cs="宋体"/>
          <w:kern w:val="0"/>
          <w:sz w:val="24"/>
          <w:highlight w:val="none"/>
          <w:lang w:val="en-US" w:eastAsia="zh-CN"/>
        </w:rPr>
        <w:t xml:space="preserve">     </w:t>
      </w:r>
      <w:r>
        <w:rPr>
          <w:rFonts w:hint="eastAsia" w:ascii="宋体" w:hAnsi="宋体" w:eastAsia="宋体" w:cs="宋体"/>
          <w:sz w:val="24"/>
          <w:highlight w:val="none"/>
        </w:rPr>
        <w:t>】的实施</w:t>
      </w:r>
      <w:r>
        <w:rPr>
          <w:rFonts w:hint="eastAsia" w:ascii="宋体" w:hAnsi="宋体" w:eastAsia="宋体" w:cs="宋体"/>
          <w:kern w:val="0"/>
          <w:sz w:val="24"/>
          <w:highlight w:val="none"/>
          <w:lang w:val="zh-CN"/>
        </w:rPr>
        <w:t>。</w:t>
      </w:r>
    </w:p>
    <w:p w14:paraId="61AAC1F6">
      <w:pPr>
        <w:kinsoku/>
        <w:wordWrap/>
        <w:overflowPunct/>
        <w:topLinePunct w:val="0"/>
        <w:bidi w:val="0"/>
        <w:spacing w:line="360" w:lineRule="auto"/>
        <w:jc w:val="center"/>
        <w:rPr>
          <w:rFonts w:cs="仿宋" w:asciiTheme="majorEastAsia" w:hAnsiTheme="majorEastAsia" w:eastAsiaTheme="majorEastAsia"/>
          <w:b/>
          <w:kern w:val="0"/>
          <w:sz w:val="24"/>
          <w:highlight w:val="none"/>
          <w:lang w:val="zh-CN"/>
        </w:rPr>
      </w:pPr>
      <w:r>
        <w:rPr>
          <w:rFonts w:hint="eastAsia" w:cs="仿宋" w:asciiTheme="majorEastAsia" w:hAnsiTheme="majorEastAsia" w:eastAsiaTheme="majorEastAsia"/>
          <w:b/>
          <w:kern w:val="0"/>
          <w:sz w:val="24"/>
          <w:highlight w:val="none"/>
          <w:lang w:val="zh-CN"/>
        </w:rPr>
        <w:t>开标一览表（报价表）(单位均为人民币元)</w:t>
      </w:r>
    </w:p>
    <w:tbl>
      <w:tblPr>
        <w:tblStyle w:val="26"/>
        <w:tblW w:w="9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3849"/>
        <w:gridCol w:w="2696"/>
      </w:tblGrid>
      <w:tr w14:paraId="0E81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3394" w:type="dxa"/>
            <w:vAlign w:val="center"/>
          </w:tcPr>
          <w:p w14:paraId="382FDE84">
            <w:pPr>
              <w:kinsoku/>
              <w:wordWrap/>
              <w:overflowPunct/>
              <w:topLinePunct w:val="0"/>
              <w:bidi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项目名称</w:t>
            </w:r>
          </w:p>
        </w:tc>
        <w:tc>
          <w:tcPr>
            <w:tcW w:w="3849" w:type="dxa"/>
            <w:vAlign w:val="center"/>
          </w:tcPr>
          <w:p w14:paraId="37D4A177">
            <w:pPr>
              <w:kinsoku/>
              <w:wordWrap/>
              <w:overflowPunct/>
              <w:topLinePunct w:val="0"/>
              <w:bidi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采购内容</w:t>
            </w:r>
          </w:p>
        </w:tc>
        <w:tc>
          <w:tcPr>
            <w:tcW w:w="2696" w:type="dxa"/>
            <w:vAlign w:val="center"/>
          </w:tcPr>
          <w:p w14:paraId="5A0670AC">
            <w:pPr>
              <w:kinsoku/>
              <w:wordWrap/>
              <w:overflowPunct/>
              <w:topLinePunct w:val="0"/>
              <w:bidi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备注</w:t>
            </w:r>
          </w:p>
        </w:tc>
      </w:tr>
      <w:tr w14:paraId="23C4B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3394" w:type="dxa"/>
            <w:vAlign w:val="center"/>
          </w:tcPr>
          <w:p w14:paraId="393A2312">
            <w:pPr>
              <w:kinsoku/>
              <w:wordWrap/>
              <w:overflowPunct/>
              <w:topLinePunct w:val="0"/>
              <w:bidi w:val="0"/>
              <w:snapToGrid w:val="0"/>
              <w:spacing w:line="360" w:lineRule="auto"/>
              <w:jc w:val="center"/>
              <w:rPr>
                <w:rFonts w:hint="eastAsia" w:cs="仿宋" w:asciiTheme="majorEastAsia" w:hAnsiTheme="majorEastAsia" w:eastAsiaTheme="majorEastAsia"/>
                <w:sz w:val="24"/>
                <w:highlight w:val="none"/>
                <w:lang w:val="en-US" w:eastAsia="zh-CN"/>
              </w:rPr>
            </w:pPr>
            <w:r>
              <w:rPr>
                <w:rFonts w:hint="eastAsia" w:cs="仿宋" w:asciiTheme="majorEastAsia" w:hAnsiTheme="majorEastAsia" w:eastAsiaTheme="majorEastAsia"/>
                <w:sz w:val="24"/>
                <w:highlight w:val="none"/>
                <w:u w:val="single"/>
                <w:lang w:eastAsia="zh-CN"/>
              </w:rPr>
              <w:t>滨海新区保障性租赁住房项目电器采购项目</w:t>
            </w:r>
          </w:p>
        </w:tc>
        <w:tc>
          <w:tcPr>
            <w:tcW w:w="3849" w:type="dxa"/>
            <w:vAlign w:val="center"/>
          </w:tcPr>
          <w:p w14:paraId="44CFF1E0">
            <w:pPr>
              <w:kinsoku/>
              <w:wordWrap/>
              <w:overflowPunct/>
              <w:topLinePunct w:val="0"/>
              <w:bidi w:val="0"/>
              <w:spacing w:line="360" w:lineRule="auto"/>
              <w:jc w:val="center"/>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详见“投标报价明细表”</w:t>
            </w:r>
          </w:p>
        </w:tc>
        <w:tc>
          <w:tcPr>
            <w:tcW w:w="2696" w:type="dxa"/>
            <w:vAlign w:val="center"/>
          </w:tcPr>
          <w:p w14:paraId="14C2B3DB">
            <w:pPr>
              <w:kinsoku/>
              <w:wordWrap/>
              <w:overflowPunct/>
              <w:topLinePunct w:val="0"/>
              <w:bidi w:val="0"/>
              <w:spacing w:line="360" w:lineRule="auto"/>
              <w:jc w:val="center"/>
              <w:rPr>
                <w:rFonts w:cs="仿宋" w:asciiTheme="majorEastAsia" w:hAnsiTheme="majorEastAsia" w:eastAsiaTheme="majorEastAsia"/>
                <w:sz w:val="24"/>
                <w:highlight w:val="none"/>
              </w:rPr>
            </w:pPr>
          </w:p>
        </w:tc>
      </w:tr>
      <w:tr w14:paraId="1211B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394" w:type="dxa"/>
            <w:vAlign w:val="center"/>
          </w:tcPr>
          <w:p w14:paraId="5816E4E1">
            <w:pPr>
              <w:kinsoku/>
              <w:wordWrap/>
              <w:overflowPunct/>
              <w:topLinePunct w:val="0"/>
              <w:bidi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投标报价（小写）</w:t>
            </w:r>
          </w:p>
        </w:tc>
        <w:tc>
          <w:tcPr>
            <w:tcW w:w="6545" w:type="dxa"/>
            <w:gridSpan w:val="2"/>
            <w:vAlign w:val="center"/>
          </w:tcPr>
          <w:p w14:paraId="604C1BB2">
            <w:pPr>
              <w:kinsoku/>
              <w:wordWrap/>
              <w:overflowPunct/>
              <w:topLinePunct w:val="0"/>
              <w:bidi w:val="0"/>
              <w:spacing w:line="360" w:lineRule="auto"/>
              <w:jc w:val="center"/>
              <w:rPr>
                <w:rFonts w:cs="仿宋" w:asciiTheme="majorEastAsia" w:hAnsiTheme="majorEastAsia" w:eastAsiaTheme="majorEastAsia"/>
                <w:b/>
                <w:sz w:val="24"/>
                <w:highlight w:val="none"/>
              </w:rPr>
            </w:pPr>
          </w:p>
        </w:tc>
      </w:tr>
      <w:tr w14:paraId="6ABD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394" w:type="dxa"/>
            <w:vAlign w:val="center"/>
          </w:tcPr>
          <w:p w14:paraId="2ABD6E0A">
            <w:pPr>
              <w:kinsoku/>
              <w:wordWrap/>
              <w:overflowPunct/>
              <w:topLinePunct w:val="0"/>
              <w:bidi w:val="0"/>
              <w:spacing w:line="360" w:lineRule="auto"/>
              <w:jc w:val="center"/>
              <w:rPr>
                <w:rFonts w:cs="仿宋" w:asciiTheme="majorEastAsia" w:hAnsiTheme="majorEastAsia" w:eastAsiaTheme="majorEastAsia"/>
                <w:b/>
                <w:sz w:val="24"/>
                <w:highlight w:val="none"/>
              </w:rPr>
            </w:pPr>
            <w:r>
              <w:rPr>
                <w:rFonts w:hint="eastAsia" w:cs="仿宋" w:asciiTheme="majorEastAsia" w:hAnsiTheme="majorEastAsia" w:eastAsiaTheme="majorEastAsia"/>
                <w:b/>
                <w:sz w:val="24"/>
                <w:highlight w:val="none"/>
              </w:rPr>
              <w:t>投标报价（大写）</w:t>
            </w:r>
          </w:p>
        </w:tc>
        <w:tc>
          <w:tcPr>
            <w:tcW w:w="6545" w:type="dxa"/>
            <w:gridSpan w:val="2"/>
            <w:vAlign w:val="center"/>
          </w:tcPr>
          <w:p w14:paraId="653F192F">
            <w:pPr>
              <w:kinsoku/>
              <w:wordWrap/>
              <w:overflowPunct/>
              <w:topLinePunct w:val="0"/>
              <w:bidi w:val="0"/>
              <w:spacing w:line="360" w:lineRule="auto"/>
              <w:jc w:val="center"/>
              <w:rPr>
                <w:rFonts w:cs="仿宋" w:asciiTheme="majorEastAsia" w:hAnsiTheme="majorEastAsia" w:eastAsiaTheme="majorEastAsia"/>
                <w:b/>
                <w:sz w:val="24"/>
                <w:highlight w:val="none"/>
              </w:rPr>
            </w:pPr>
          </w:p>
        </w:tc>
      </w:tr>
    </w:tbl>
    <w:p w14:paraId="448FA93A">
      <w:pPr>
        <w:kinsoku/>
        <w:wordWrap/>
        <w:overflowPunct/>
        <w:topLinePunct w:val="0"/>
        <w:bidi w:val="0"/>
        <w:snapToGrid w:val="0"/>
        <w:spacing w:line="360" w:lineRule="auto"/>
        <w:ind w:left="480"/>
        <w:rPr>
          <w:rFonts w:cs="仿宋" w:asciiTheme="majorEastAsia" w:hAnsiTheme="majorEastAsia" w:eastAsiaTheme="majorEastAsia"/>
          <w:b/>
          <w:kern w:val="0"/>
          <w:sz w:val="24"/>
          <w:highlight w:val="none"/>
          <w:lang w:val="zh-CN"/>
        </w:rPr>
      </w:pPr>
      <w:r>
        <w:rPr>
          <w:rFonts w:hint="eastAsia" w:cs="仿宋" w:asciiTheme="majorEastAsia" w:hAnsiTheme="majorEastAsia" w:eastAsiaTheme="majorEastAsia"/>
          <w:b/>
          <w:kern w:val="0"/>
          <w:sz w:val="24"/>
          <w:highlight w:val="none"/>
          <w:lang w:val="zh-CN"/>
        </w:rPr>
        <w:t>注：</w:t>
      </w:r>
    </w:p>
    <w:p w14:paraId="3E94C529">
      <w:pPr>
        <w:kinsoku/>
        <w:wordWrap/>
        <w:overflowPunct/>
        <w:topLinePunct w:val="0"/>
        <w:bidi w:val="0"/>
        <w:spacing w:line="360" w:lineRule="auto"/>
        <w:ind w:left="-2" w:leftChars="-1" w:firstLine="480" w:firstLineChars="200"/>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1、投标人需按本表格式填写，不得自行更改。</w:t>
      </w:r>
    </w:p>
    <w:p w14:paraId="65067B28">
      <w:pPr>
        <w:kinsoku/>
        <w:wordWrap/>
        <w:overflowPunct/>
        <w:topLinePunct w:val="0"/>
        <w:bidi w:val="0"/>
        <w:spacing w:line="360" w:lineRule="auto"/>
        <w:ind w:firstLine="480" w:firstLineChars="200"/>
        <w:rPr>
          <w:rFonts w:cs="仿宋" w:asciiTheme="majorEastAsia" w:hAnsiTheme="majorEastAsia" w:eastAsiaTheme="majorEastAsia"/>
          <w:kern w:val="0"/>
          <w:sz w:val="24"/>
          <w:highlight w:val="none"/>
          <w:lang w:val="zh-CN"/>
        </w:rPr>
      </w:pPr>
      <w:r>
        <w:rPr>
          <w:rFonts w:hint="eastAsia" w:cs="仿宋" w:asciiTheme="majorEastAsia" w:hAnsiTheme="majorEastAsia" w:eastAsiaTheme="majorEastAsia"/>
          <w:kern w:val="0"/>
          <w:sz w:val="24"/>
          <w:highlight w:val="none"/>
          <w:lang w:val="zh-CN"/>
        </w:rPr>
        <w:t>2、有关本项目实施所涉及的一切费用均计入报价。</w:t>
      </w:r>
      <w:r>
        <w:rPr>
          <w:rFonts w:hint="eastAsia" w:cs="仿宋" w:asciiTheme="majorEastAsia" w:hAnsiTheme="majorEastAsia" w:eastAsiaTheme="majorEastAsia"/>
          <w:b/>
          <w:kern w:val="0"/>
          <w:sz w:val="24"/>
          <w:highlight w:val="none"/>
          <w:lang w:val="zh-CN"/>
        </w:rPr>
        <w:t>采购人将以合同形式有偿取得货物或服务，不接受投标人给予的赠品、回扣或者与采购无关的其他商品、服务</w:t>
      </w:r>
      <w:r>
        <w:rPr>
          <w:rFonts w:hint="eastAsia" w:cs="仿宋" w:asciiTheme="majorEastAsia" w:hAnsiTheme="majorEastAsia" w:eastAsiaTheme="majorEastAsia"/>
          <w:kern w:val="0"/>
          <w:sz w:val="24"/>
          <w:highlight w:val="none"/>
          <w:lang w:val="zh-CN"/>
        </w:rPr>
        <w:t>，</w:t>
      </w:r>
      <w:r>
        <w:rPr>
          <w:rFonts w:hint="eastAsia" w:cs="仿宋" w:asciiTheme="majorEastAsia" w:hAnsiTheme="majorEastAsia" w:eastAsiaTheme="majorEastAsia"/>
          <w:b/>
          <w:kern w:val="0"/>
          <w:sz w:val="24"/>
          <w:highlight w:val="none"/>
          <w:lang w:val="zh-CN"/>
        </w:rPr>
        <w:t>不得出现“0元”“免费赠送”等形式的无偿报价，</w:t>
      </w:r>
      <w:r>
        <w:rPr>
          <w:rFonts w:hint="eastAsia" w:cs="仿宋" w:asciiTheme="majorEastAsia" w:hAnsiTheme="majorEastAsia" w:eastAsiaTheme="majorEastAsia"/>
          <w:b/>
          <w:kern w:val="0"/>
          <w:sz w:val="24"/>
          <w:highlight w:val="none"/>
        </w:rPr>
        <w:t>否则视为</w:t>
      </w:r>
      <w:r>
        <w:rPr>
          <w:rFonts w:hint="eastAsia" w:cs="仿宋" w:asciiTheme="majorEastAsia" w:hAnsiTheme="majorEastAsia" w:eastAsiaTheme="majorEastAsia"/>
          <w:b/>
          <w:sz w:val="24"/>
          <w:highlight w:val="none"/>
        </w:rPr>
        <w:t>投标文件含有采购人不能接受的附加条件的，投标无效</w:t>
      </w:r>
      <w:r>
        <w:rPr>
          <w:rFonts w:hint="eastAsia" w:cs="仿宋" w:asciiTheme="majorEastAsia" w:hAnsiTheme="majorEastAsia" w:eastAsiaTheme="majorEastAsia"/>
          <w:b/>
          <w:kern w:val="0"/>
          <w:sz w:val="24"/>
          <w:highlight w:val="none"/>
          <w:lang w:val="zh-CN"/>
        </w:rPr>
        <w:t>。</w:t>
      </w:r>
    </w:p>
    <w:p w14:paraId="3A2937F1">
      <w:pPr>
        <w:kinsoku/>
        <w:wordWrap/>
        <w:overflowPunct/>
        <w:topLinePunct w:val="0"/>
        <w:bidi w:val="0"/>
        <w:spacing w:line="360" w:lineRule="auto"/>
        <w:ind w:left="7560" w:leftChars="3600"/>
        <w:rPr>
          <w:rFonts w:cs="仿宋" w:asciiTheme="majorEastAsia" w:hAnsiTheme="majorEastAsia" w:eastAsiaTheme="majorEastAsia"/>
          <w:sz w:val="24"/>
          <w:highlight w:val="none"/>
        </w:rPr>
      </w:pPr>
    </w:p>
    <w:p w14:paraId="1566EAED">
      <w:pPr>
        <w:kinsoku/>
        <w:wordWrap/>
        <w:overflowPunct/>
        <w:topLinePunct w:val="0"/>
        <w:bidi w:val="0"/>
        <w:spacing w:line="360" w:lineRule="auto"/>
        <w:ind w:left="3780" w:leftChars="18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法定代表人或其授权委托人（签名或印章）：        </w:t>
      </w:r>
    </w:p>
    <w:p w14:paraId="75B593C7">
      <w:pPr>
        <w:kinsoku/>
        <w:wordWrap/>
        <w:overflowPunct/>
        <w:topLinePunct w:val="0"/>
        <w:bidi w:val="0"/>
        <w:spacing w:line="360" w:lineRule="auto"/>
        <w:ind w:left="3780" w:leftChars="18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投标人（盖章）：         </w:t>
      </w:r>
    </w:p>
    <w:p w14:paraId="43985821">
      <w:pPr>
        <w:pStyle w:val="43"/>
        <w:keepNext w:val="0"/>
        <w:pageBreakBefore w:val="0"/>
        <w:tabs>
          <w:tab w:val="clear" w:pos="720"/>
        </w:tabs>
        <w:kinsoku/>
        <w:wordWrap/>
        <w:overflowPunct/>
        <w:topLinePunct w:val="0"/>
        <w:bidi w:val="0"/>
        <w:snapToGrid w:val="0"/>
        <w:spacing w:before="120" w:after="120" w:line="360" w:lineRule="auto"/>
        <w:ind w:firstLine="643"/>
        <w:outlineLvl w:val="9"/>
        <w:rPr>
          <w:rFonts w:cs="仿宋" w:asciiTheme="majorEastAsia" w:hAnsiTheme="majorEastAsia" w:eastAsiaTheme="majorEastAsia"/>
          <w:b w:val="0"/>
          <w:kern w:val="2"/>
          <w:sz w:val="24"/>
          <w:szCs w:val="24"/>
          <w:highlight w:val="none"/>
        </w:rPr>
      </w:pPr>
      <w:r>
        <w:rPr>
          <w:rFonts w:hint="eastAsia" w:cs="仿宋" w:asciiTheme="majorEastAsia" w:hAnsiTheme="majorEastAsia" w:eastAsiaTheme="majorEastAsia"/>
          <w:b w:val="0"/>
          <w:kern w:val="2"/>
          <w:sz w:val="24"/>
          <w:szCs w:val="24"/>
          <w:highlight w:val="none"/>
        </w:rPr>
        <w:t>日  期：</w:t>
      </w:r>
    </w:p>
    <w:p w14:paraId="4255169D">
      <w:pPr>
        <w:pStyle w:val="43"/>
        <w:keepNext w:val="0"/>
        <w:pageBreakBefore w:val="0"/>
        <w:tabs>
          <w:tab w:val="clear" w:pos="720"/>
        </w:tabs>
        <w:kinsoku/>
        <w:wordWrap/>
        <w:overflowPunct/>
        <w:topLinePunct w:val="0"/>
        <w:bidi w:val="0"/>
        <w:snapToGrid w:val="0"/>
        <w:spacing w:before="120" w:after="120" w:line="360" w:lineRule="auto"/>
        <w:ind w:firstLine="643"/>
        <w:outlineLvl w:val="9"/>
        <w:rPr>
          <w:rFonts w:cs="仿宋" w:asciiTheme="majorEastAsia" w:hAnsiTheme="majorEastAsia" w:eastAsiaTheme="majorEastAsia"/>
          <w:b w:val="0"/>
          <w:kern w:val="2"/>
          <w:sz w:val="24"/>
          <w:szCs w:val="24"/>
          <w:highlight w:val="none"/>
        </w:rPr>
      </w:pPr>
    </w:p>
    <w:p w14:paraId="0982B201">
      <w:pPr>
        <w:pStyle w:val="43"/>
        <w:keepNext w:val="0"/>
        <w:pageBreakBefore w:val="0"/>
        <w:tabs>
          <w:tab w:val="clear" w:pos="720"/>
        </w:tabs>
        <w:kinsoku/>
        <w:wordWrap/>
        <w:overflowPunct/>
        <w:topLinePunct w:val="0"/>
        <w:bidi w:val="0"/>
        <w:snapToGrid w:val="0"/>
        <w:spacing w:before="120" w:after="120" w:line="360" w:lineRule="auto"/>
        <w:ind w:firstLine="643"/>
        <w:outlineLvl w:val="9"/>
        <w:rPr>
          <w:rFonts w:cs="仿宋" w:asciiTheme="majorEastAsia" w:hAnsiTheme="majorEastAsia" w:eastAsiaTheme="majorEastAsia"/>
          <w:b w:val="0"/>
          <w:kern w:val="2"/>
          <w:sz w:val="24"/>
          <w:szCs w:val="24"/>
          <w:highlight w:val="none"/>
        </w:rPr>
      </w:pPr>
    </w:p>
    <w:p w14:paraId="1E5DAEAE">
      <w:pPr>
        <w:pStyle w:val="43"/>
        <w:keepNext w:val="0"/>
        <w:pageBreakBefore w:val="0"/>
        <w:tabs>
          <w:tab w:val="clear" w:pos="720"/>
        </w:tabs>
        <w:kinsoku/>
        <w:wordWrap/>
        <w:overflowPunct/>
        <w:topLinePunct w:val="0"/>
        <w:bidi w:val="0"/>
        <w:snapToGrid w:val="0"/>
        <w:spacing w:before="120" w:after="120" w:line="360" w:lineRule="auto"/>
        <w:ind w:firstLine="643"/>
        <w:outlineLvl w:val="9"/>
        <w:rPr>
          <w:rFonts w:cs="仿宋" w:asciiTheme="majorEastAsia" w:hAnsiTheme="majorEastAsia" w:eastAsiaTheme="majorEastAsia"/>
          <w:b w:val="0"/>
          <w:kern w:val="2"/>
          <w:sz w:val="24"/>
          <w:szCs w:val="24"/>
          <w:highlight w:val="none"/>
        </w:rPr>
      </w:pPr>
    </w:p>
    <w:p w14:paraId="0C7DE287">
      <w:pPr>
        <w:pStyle w:val="43"/>
        <w:keepNext w:val="0"/>
        <w:pageBreakBefore w:val="0"/>
        <w:tabs>
          <w:tab w:val="clear" w:pos="720"/>
        </w:tabs>
        <w:kinsoku/>
        <w:wordWrap/>
        <w:overflowPunct/>
        <w:topLinePunct w:val="0"/>
        <w:bidi w:val="0"/>
        <w:snapToGrid w:val="0"/>
        <w:spacing w:before="120" w:after="120" w:line="360" w:lineRule="auto"/>
        <w:ind w:firstLine="643"/>
        <w:outlineLvl w:val="9"/>
        <w:rPr>
          <w:rFonts w:cs="仿宋" w:asciiTheme="majorEastAsia" w:hAnsiTheme="majorEastAsia" w:eastAsiaTheme="majorEastAsia"/>
          <w:b w:val="0"/>
          <w:kern w:val="2"/>
          <w:sz w:val="24"/>
          <w:szCs w:val="24"/>
          <w:highlight w:val="none"/>
        </w:rPr>
      </w:pPr>
    </w:p>
    <w:p w14:paraId="003219E6">
      <w:pPr>
        <w:pStyle w:val="43"/>
        <w:keepNext w:val="0"/>
        <w:pageBreakBefore w:val="0"/>
        <w:tabs>
          <w:tab w:val="clear" w:pos="720"/>
        </w:tabs>
        <w:kinsoku/>
        <w:wordWrap/>
        <w:overflowPunct/>
        <w:topLinePunct w:val="0"/>
        <w:bidi w:val="0"/>
        <w:snapToGrid w:val="0"/>
        <w:spacing w:before="120" w:after="120" w:line="360" w:lineRule="auto"/>
        <w:ind w:firstLine="643"/>
        <w:outlineLvl w:val="9"/>
        <w:rPr>
          <w:rFonts w:cs="仿宋" w:asciiTheme="majorEastAsia" w:hAnsiTheme="majorEastAsia" w:eastAsiaTheme="majorEastAsia"/>
          <w:b w:val="0"/>
          <w:kern w:val="2"/>
          <w:sz w:val="24"/>
          <w:szCs w:val="24"/>
          <w:highlight w:val="none"/>
        </w:rPr>
      </w:pPr>
    </w:p>
    <w:p w14:paraId="2C2FEAD1">
      <w:pPr>
        <w:pStyle w:val="43"/>
        <w:keepNext w:val="0"/>
        <w:pageBreakBefore w:val="0"/>
        <w:tabs>
          <w:tab w:val="clear" w:pos="720"/>
        </w:tabs>
        <w:kinsoku/>
        <w:wordWrap/>
        <w:overflowPunct/>
        <w:topLinePunct w:val="0"/>
        <w:bidi w:val="0"/>
        <w:snapToGrid w:val="0"/>
        <w:spacing w:before="120" w:after="120" w:line="360" w:lineRule="auto"/>
        <w:jc w:val="both"/>
        <w:outlineLvl w:val="9"/>
        <w:rPr>
          <w:rFonts w:cs="仿宋" w:asciiTheme="majorEastAsia" w:hAnsiTheme="majorEastAsia" w:eastAsiaTheme="majorEastAsia"/>
          <w:b w:val="0"/>
          <w:kern w:val="2"/>
          <w:sz w:val="24"/>
          <w:szCs w:val="24"/>
          <w:highlight w:val="none"/>
        </w:rPr>
      </w:pPr>
    </w:p>
    <w:p w14:paraId="2F78EC8F">
      <w:pPr>
        <w:pStyle w:val="43"/>
        <w:keepNext w:val="0"/>
        <w:pageBreakBefore w:val="0"/>
        <w:tabs>
          <w:tab w:val="clear" w:pos="720"/>
        </w:tabs>
        <w:kinsoku/>
        <w:wordWrap/>
        <w:overflowPunct/>
        <w:topLinePunct w:val="0"/>
        <w:bidi w:val="0"/>
        <w:snapToGrid w:val="0"/>
        <w:spacing w:before="120" w:after="120" w:line="360" w:lineRule="auto"/>
        <w:outlineLvl w:val="9"/>
        <w:rPr>
          <w:rFonts w:cs="仿宋" w:asciiTheme="majorEastAsia" w:hAnsiTheme="majorEastAsia" w:eastAsiaTheme="majorEastAsia"/>
          <w:kern w:val="2"/>
          <w:sz w:val="32"/>
          <w:szCs w:val="32"/>
          <w:highlight w:val="none"/>
        </w:rPr>
      </w:pPr>
      <w:r>
        <w:rPr>
          <w:rFonts w:hint="eastAsia" w:cs="仿宋" w:asciiTheme="majorEastAsia" w:hAnsiTheme="majorEastAsia" w:eastAsiaTheme="majorEastAsia"/>
          <w:kern w:val="2"/>
          <w:sz w:val="32"/>
          <w:szCs w:val="32"/>
          <w:highlight w:val="none"/>
        </w:rPr>
        <w:t>二、投标报价明细表</w:t>
      </w:r>
    </w:p>
    <w:p w14:paraId="6604CDED">
      <w:pPr>
        <w:kinsoku/>
        <w:wordWrap/>
        <w:overflowPunct/>
        <w:topLinePunct w:val="0"/>
        <w:bidi w:val="0"/>
        <w:snapToGrid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投标人名称：</w:t>
      </w:r>
      <w:r>
        <w:rPr>
          <w:rFonts w:hint="eastAsia" w:cs="仿宋" w:asciiTheme="majorEastAsia" w:hAnsiTheme="majorEastAsia" w:eastAsiaTheme="majorEastAsia"/>
          <w:kern w:val="0"/>
          <w:sz w:val="24"/>
          <w:highlight w:val="none"/>
          <w:u w:val="single"/>
        </w:rPr>
        <w:t xml:space="preserve">                            </w:t>
      </w:r>
    </w:p>
    <w:p w14:paraId="559149E8">
      <w:pPr>
        <w:kinsoku/>
        <w:wordWrap/>
        <w:overflowPunct/>
        <w:topLinePunct w:val="0"/>
        <w:bidi w:val="0"/>
        <w:snapToGrid w:val="0"/>
        <w:spacing w:line="360" w:lineRule="auto"/>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标    项：</w:t>
      </w:r>
      <w:r>
        <w:rPr>
          <w:rFonts w:hint="eastAsia" w:cs="仿宋" w:asciiTheme="majorEastAsia" w:hAnsiTheme="majorEastAsia" w:eastAsiaTheme="majorEastAsia"/>
          <w:kern w:val="0"/>
          <w:sz w:val="24"/>
          <w:highlight w:val="none"/>
          <w:u w:val="single"/>
        </w:rPr>
        <w:t xml:space="preserve">                              </w:t>
      </w:r>
    </w:p>
    <w:p w14:paraId="76C7B04E">
      <w:pPr>
        <w:kinsoku/>
        <w:wordWrap/>
        <w:overflowPunct/>
        <w:topLinePunct w:val="0"/>
        <w:bidi w:val="0"/>
        <w:snapToGrid w:val="0"/>
        <w:spacing w:line="360" w:lineRule="auto"/>
        <w:jc w:val="left"/>
        <w:rPr>
          <w:highlight w:val="none"/>
        </w:rPr>
      </w:pPr>
      <w:r>
        <w:rPr>
          <w:rFonts w:hint="eastAsia" w:cs="仿宋" w:asciiTheme="majorEastAsia" w:hAnsiTheme="majorEastAsia" w:eastAsiaTheme="majorEastAsia"/>
          <w:sz w:val="24"/>
          <w:highlight w:val="none"/>
        </w:rPr>
        <w:t xml:space="preserve">项目编号： </w:t>
      </w:r>
      <w:r>
        <w:rPr>
          <w:rFonts w:hint="eastAsia" w:cs="仿宋" w:asciiTheme="majorEastAsia" w:hAnsiTheme="majorEastAsia" w:eastAsiaTheme="majorEastAsia"/>
          <w:kern w:val="0"/>
          <w:sz w:val="24"/>
          <w:highlight w:val="none"/>
          <w:u w:val="single"/>
        </w:rPr>
        <w:t xml:space="preserve">                             </w:t>
      </w:r>
      <w:r>
        <w:rPr>
          <w:rFonts w:hint="eastAsia" w:cs="仿宋" w:asciiTheme="majorEastAsia" w:hAnsiTheme="majorEastAsia" w:eastAsiaTheme="majorEastAsia"/>
          <w:sz w:val="24"/>
          <w:highlight w:val="none"/>
        </w:rPr>
        <w:t xml:space="preserve">           金额单位：人民币（元）</w:t>
      </w:r>
    </w:p>
    <w:tbl>
      <w:tblPr>
        <w:tblStyle w:val="26"/>
        <w:tblW w:w="99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3"/>
        <w:gridCol w:w="1300"/>
        <w:gridCol w:w="1885"/>
        <w:gridCol w:w="1154"/>
        <w:gridCol w:w="1177"/>
        <w:gridCol w:w="1794"/>
        <w:gridCol w:w="882"/>
        <w:gridCol w:w="879"/>
      </w:tblGrid>
      <w:tr w14:paraId="5E0F1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center"/>
          </w:tcPr>
          <w:p w14:paraId="3ADE96AF">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序号</w:t>
            </w:r>
          </w:p>
        </w:tc>
        <w:tc>
          <w:tcPr>
            <w:tcW w:w="1300" w:type="dxa"/>
            <w:tcBorders>
              <w:top w:val="single" w:color="auto" w:sz="4" w:space="0"/>
              <w:left w:val="single" w:color="auto" w:sz="4" w:space="0"/>
              <w:bottom w:val="single" w:color="auto" w:sz="4" w:space="0"/>
              <w:right w:val="single" w:color="auto" w:sz="4" w:space="0"/>
            </w:tcBorders>
            <w:noWrap w:val="0"/>
            <w:vAlign w:val="center"/>
          </w:tcPr>
          <w:p w14:paraId="19BC457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名称</w:t>
            </w:r>
          </w:p>
        </w:tc>
        <w:tc>
          <w:tcPr>
            <w:tcW w:w="1885" w:type="dxa"/>
            <w:tcBorders>
              <w:top w:val="single" w:color="auto" w:sz="4" w:space="0"/>
              <w:left w:val="single" w:color="auto" w:sz="4" w:space="0"/>
              <w:bottom w:val="single" w:color="auto" w:sz="4" w:space="0"/>
              <w:right w:val="single" w:color="auto" w:sz="4" w:space="0"/>
            </w:tcBorders>
            <w:noWrap w:val="0"/>
            <w:vAlign w:val="center"/>
          </w:tcPr>
          <w:p w14:paraId="06BCC70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主要技术参数</w:t>
            </w:r>
          </w:p>
        </w:tc>
        <w:tc>
          <w:tcPr>
            <w:tcW w:w="1154" w:type="dxa"/>
            <w:tcBorders>
              <w:top w:val="single" w:color="auto" w:sz="4" w:space="0"/>
              <w:left w:val="single" w:color="auto" w:sz="4" w:space="0"/>
              <w:bottom w:val="single" w:color="auto" w:sz="4" w:space="0"/>
              <w:right w:val="single" w:color="auto" w:sz="4" w:space="0"/>
            </w:tcBorders>
            <w:noWrap w:val="0"/>
            <w:vAlign w:val="center"/>
          </w:tcPr>
          <w:p w14:paraId="11C3898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工程</w:t>
            </w:r>
            <w:r>
              <w:rPr>
                <w:rFonts w:hint="eastAsia" w:ascii="仿宋" w:hAnsi="仿宋" w:eastAsia="仿宋" w:cs="仿宋"/>
                <w:sz w:val="24"/>
                <w:highlight w:val="none"/>
              </w:rPr>
              <w:t>量</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13538C20">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计量</w:t>
            </w:r>
            <w:r>
              <w:rPr>
                <w:rFonts w:hint="eastAsia" w:ascii="仿宋" w:hAnsi="仿宋" w:eastAsia="仿宋" w:cs="仿宋"/>
                <w:sz w:val="24"/>
                <w:highlight w:val="none"/>
              </w:rPr>
              <w:t>单位</w:t>
            </w:r>
          </w:p>
        </w:tc>
        <w:tc>
          <w:tcPr>
            <w:tcW w:w="1794" w:type="dxa"/>
            <w:tcBorders>
              <w:top w:val="single" w:color="auto" w:sz="4" w:space="0"/>
              <w:left w:val="single" w:color="auto" w:sz="4" w:space="0"/>
              <w:bottom w:val="single" w:color="auto" w:sz="4" w:space="0"/>
              <w:right w:val="single" w:color="auto" w:sz="4" w:space="0"/>
            </w:tcBorders>
            <w:noWrap w:val="0"/>
            <w:vAlign w:val="center"/>
          </w:tcPr>
          <w:p w14:paraId="344FBE8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rPr>
              <w:t>品牌</w:t>
            </w:r>
            <w:r>
              <w:rPr>
                <w:rFonts w:hint="eastAsia" w:ascii="仿宋" w:hAnsi="仿宋" w:eastAsia="仿宋" w:cs="仿宋"/>
                <w:sz w:val="24"/>
                <w:highlight w:val="none"/>
                <w:lang w:val="en-US" w:eastAsia="zh-CN"/>
              </w:rPr>
              <w:t>及型号</w:t>
            </w:r>
          </w:p>
          <w:p w14:paraId="4858B49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sz w:val="24"/>
                <w:highlight w:val="none"/>
              </w:rPr>
            </w:pPr>
            <w:r>
              <w:rPr>
                <w:rFonts w:hint="eastAsia" w:ascii="仿宋" w:hAnsi="仿宋" w:eastAsia="仿宋" w:cs="仿宋"/>
                <w:sz w:val="24"/>
                <w:highlight w:val="none"/>
              </w:rPr>
              <w:t>（如有）</w:t>
            </w:r>
          </w:p>
        </w:tc>
        <w:tc>
          <w:tcPr>
            <w:tcW w:w="882" w:type="dxa"/>
            <w:tcBorders>
              <w:top w:val="single" w:color="auto" w:sz="4" w:space="0"/>
              <w:left w:val="single" w:color="auto" w:sz="4" w:space="0"/>
              <w:bottom w:val="single" w:color="auto" w:sz="4" w:space="0"/>
              <w:right w:val="single" w:color="auto" w:sz="4" w:space="0"/>
            </w:tcBorders>
            <w:noWrap w:val="0"/>
            <w:vAlign w:val="center"/>
          </w:tcPr>
          <w:p w14:paraId="4C441D1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单价</w:t>
            </w:r>
          </w:p>
        </w:tc>
        <w:tc>
          <w:tcPr>
            <w:tcW w:w="879" w:type="dxa"/>
            <w:tcBorders>
              <w:top w:val="single" w:color="auto" w:sz="4" w:space="0"/>
              <w:left w:val="single" w:color="auto" w:sz="4" w:space="0"/>
              <w:bottom w:val="single" w:color="auto" w:sz="4" w:space="0"/>
              <w:right w:val="single" w:color="auto" w:sz="4" w:space="0"/>
            </w:tcBorders>
            <w:noWrap w:val="0"/>
            <w:vAlign w:val="center"/>
          </w:tcPr>
          <w:p w14:paraId="05C2C5E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4"/>
                <w:highlight w:val="none"/>
              </w:rPr>
            </w:pPr>
            <w:r>
              <w:rPr>
                <w:rFonts w:hint="eastAsia" w:ascii="仿宋" w:hAnsi="仿宋" w:eastAsia="仿宋" w:cs="仿宋"/>
                <w:sz w:val="24"/>
                <w:highlight w:val="none"/>
              </w:rPr>
              <w:t>合计</w:t>
            </w:r>
          </w:p>
        </w:tc>
      </w:tr>
      <w:tr w14:paraId="1E49B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1A01CDA8">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D6F54B9">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780E5EA2">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6A5502DD">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60929048">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24ADFE35">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282AD503">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73E7D469">
            <w:pPr>
              <w:kinsoku/>
              <w:wordWrap/>
              <w:overflowPunct/>
              <w:topLinePunct w:val="0"/>
              <w:bidi w:val="0"/>
              <w:spacing w:line="360" w:lineRule="auto"/>
              <w:rPr>
                <w:rFonts w:hint="eastAsia" w:ascii="仿宋" w:hAnsi="仿宋" w:eastAsia="仿宋" w:cs="仿宋"/>
                <w:highlight w:val="none"/>
              </w:rPr>
            </w:pPr>
          </w:p>
        </w:tc>
      </w:tr>
      <w:tr w14:paraId="24D4B8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2A051A4E">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3B21E9D5">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6A28F01F">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29388295">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08D6D168">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FAE31A5">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5CCCD390">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6D0FAA0D">
            <w:pPr>
              <w:kinsoku/>
              <w:wordWrap/>
              <w:overflowPunct/>
              <w:topLinePunct w:val="0"/>
              <w:bidi w:val="0"/>
              <w:spacing w:line="360" w:lineRule="auto"/>
              <w:rPr>
                <w:rFonts w:hint="eastAsia" w:ascii="仿宋" w:hAnsi="仿宋" w:eastAsia="仿宋" w:cs="仿宋"/>
                <w:highlight w:val="none"/>
              </w:rPr>
            </w:pPr>
          </w:p>
        </w:tc>
      </w:tr>
      <w:tr w14:paraId="034D0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14995E66">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431D183E">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1880DD4E">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22EC8A72">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37B41152">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3C64BCF">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0995F989">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71BC659E">
            <w:pPr>
              <w:kinsoku/>
              <w:wordWrap/>
              <w:overflowPunct/>
              <w:topLinePunct w:val="0"/>
              <w:bidi w:val="0"/>
              <w:spacing w:line="360" w:lineRule="auto"/>
              <w:rPr>
                <w:rFonts w:hint="eastAsia" w:ascii="仿宋" w:hAnsi="仿宋" w:eastAsia="仿宋" w:cs="仿宋"/>
                <w:highlight w:val="none"/>
              </w:rPr>
            </w:pPr>
          </w:p>
        </w:tc>
      </w:tr>
      <w:tr w14:paraId="39E15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31DF7C54">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F3C99DA">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0662E157">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2EE7B4B3">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2D23CD27">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176379F5">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26284609">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0B5CBBC4">
            <w:pPr>
              <w:kinsoku/>
              <w:wordWrap/>
              <w:overflowPunct/>
              <w:topLinePunct w:val="0"/>
              <w:bidi w:val="0"/>
              <w:spacing w:line="360" w:lineRule="auto"/>
              <w:rPr>
                <w:rFonts w:hint="eastAsia" w:ascii="仿宋" w:hAnsi="仿宋" w:eastAsia="仿宋" w:cs="仿宋"/>
                <w:highlight w:val="none"/>
              </w:rPr>
            </w:pPr>
          </w:p>
        </w:tc>
      </w:tr>
      <w:tr w14:paraId="5791B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37F85CE1">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1B78442">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5BC49324">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493A2D3F">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699FF570">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2AD50D6B">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7C51EA01">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CFF4061">
            <w:pPr>
              <w:kinsoku/>
              <w:wordWrap/>
              <w:overflowPunct/>
              <w:topLinePunct w:val="0"/>
              <w:bidi w:val="0"/>
              <w:spacing w:line="360" w:lineRule="auto"/>
              <w:rPr>
                <w:rFonts w:hint="eastAsia" w:ascii="仿宋" w:hAnsi="仿宋" w:eastAsia="仿宋" w:cs="仿宋"/>
                <w:highlight w:val="none"/>
              </w:rPr>
            </w:pPr>
          </w:p>
        </w:tc>
      </w:tr>
      <w:tr w14:paraId="56E47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1F88B162">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0CFF6A7">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1FFF4EEE">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0217722A">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03832330">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4327CD10">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1CC72F67">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4523C224">
            <w:pPr>
              <w:kinsoku/>
              <w:wordWrap/>
              <w:overflowPunct/>
              <w:topLinePunct w:val="0"/>
              <w:bidi w:val="0"/>
              <w:spacing w:line="360" w:lineRule="auto"/>
              <w:rPr>
                <w:rFonts w:hint="eastAsia" w:ascii="仿宋" w:hAnsi="仿宋" w:eastAsia="仿宋" w:cs="仿宋"/>
                <w:highlight w:val="none"/>
              </w:rPr>
            </w:pPr>
          </w:p>
        </w:tc>
      </w:tr>
      <w:tr w14:paraId="0B302C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1F2165D5">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79DC42BA">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655109BC">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5E729484">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2075B343">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31FA4909">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5BD90FBE">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35215276">
            <w:pPr>
              <w:kinsoku/>
              <w:wordWrap/>
              <w:overflowPunct/>
              <w:topLinePunct w:val="0"/>
              <w:bidi w:val="0"/>
              <w:spacing w:line="360" w:lineRule="auto"/>
              <w:rPr>
                <w:rFonts w:hint="eastAsia" w:ascii="仿宋" w:hAnsi="仿宋" w:eastAsia="仿宋" w:cs="仿宋"/>
                <w:highlight w:val="none"/>
              </w:rPr>
            </w:pPr>
          </w:p>
        </w:tc>
      </w:tr>
      <w:tr w14:paraId="7F6E6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5F37F67C">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14C05D5">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48107DE5">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5B99D5CB">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40FB3EFD">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441BD212">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58F71574">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3626E9CD">
            <w:pPr>
              <w:kinsoku/>
              <w:wordWrap/>
              <w:overflowPunct/>
              <w:topLinePunct w:val="0"/>
              <w:bidi w:val="0"/>
              <w:spacing w:line="360" w:lineRule="auto"/>
              <w:rPr>
                <w:rFonts w:hint="eastAsia" w:ascii="仿宋" w:hAnsi="仿宋" w:eastAsia="仿宋" w:cs="仿宋"/>
                <w:highlight w:val="none"/>
              </w:rPr>
            </w:pPr>
          </w:p>
        </w:tc>
      </w:tr>
      <w:tr w14:paraId="52B9DE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1933919A">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ED95CA0">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18EE44AE">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75198D0C">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75F3223E">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5F77FA02">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38A430BA">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79572D54">
            <w:pPr>
              <w:kinsoku/>
              <w:wordWrap/>
              <w:overflowPunct/>
              <w:topLinePunct w:val="0"/>
              <w:bidi w:val="0"/>
              <w:spacing w:line="360" w:lineRule="auto"/>
              <w:rPr>
                <w:rFonts w:hint="eastAsia" w:ascii="仿宋" w:hAnsi="仿宋" w:eastAsia="仿宋" w:cs="仿宋"/>
                <w:highlight w:val="none"/>
              </w:rPr>
            </w:pPr>
          </w:p>
        </w:tc>
      </w:tr>
      <w:tr w14:paraId="617D9B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09F1A62B">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51D843F2">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1B452517">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29E49136">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76BB1A2C">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3BA279BB">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79655E50">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29317D43">
            <w:pPr>
              <w:kinsoku/>
              <w:wordWrap/>
              <w:overflowPunct/>
              <w:topLinePunct w:val="0"/>
              <w:bidi w:val="0"/>
              <w:spacing w:line="360" w:lineRule="auto"/>
              <w:rPr>
                <w:rFonts w:hint="eastAsia" w:ascii="仿宋" w:hAnsi="仿宋" w:eastAsia="仿宋" w:cs="仿宋"/>
                <w:highlight w:val="none"/>
              </w:rPr>
            </w:pPr>
          </w:p>
        </w:tc>
      </w:tr>
      <w:tr w14:paraId="797A9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4889FD7E">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67F2B23A">
            <w:pPr>
              <w:kinsoku/>
              <w:wordWrap/>
              <w:overflowPunct/>
              <w:topLinePunct w:val="0"/>
              <w:bidi w:val="0"/>
              <w:spacing w:line="360" w:lineRule="auto"/>
              <w:rPr>
                <w:rFonts w:hint="eastAsia" w:ascii="仿宋" w:hAnsi="仿宋" w:eastAsia="仿宋" w:cs="仿宋"/>
                <w:highlight w:val="none"/>
              </w:rPr>
            </w:pPr>
          </w:p>
        </w:tc>
        <w:tc>
          <w:tcPr>
            <w:tcW w:w="1885" w:type="dxa"/>
            <w:tcBorders>
              <w:top w:val="single" w:color="auto" w:sz="4" w:space="0"/>
              <w:left w:val="single" w:color="auto" w:sz="4" w:space="0"/>
              <w:bottom w:val="single" w:color="auto" w:sz="4" w:space="0"/>
              <w:right w:val="single" w:color="auto" w:sz="4" w:space="0"/>
            </w:tcBorders>
            <w:noWrap w:val="0"/>
            <w:vAlign w:val="top"/>
          </w:tcPr>
          <w:p w14:paraId="2EC8FCD1">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1361E55A">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08F17CCF">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76EFA902">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7D4F0AE7">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1C581000">
            <w:pPr>
              <w:kinsoku/>
              <w:wordWrap/>
              <w:overflowPunct/>
              <w:topLinePunct w:val="0"/>
              <w:bidi w:val="0"/>
              <w:spacing w:line="360" w:lineRule="auto"/>
              <w:rPr>
                <w:rFonts w:hint="eastAsia" w:ascii="仿宋" w:hAnsi="仿宋" w:eastAsia="仿宋" w:cs="仿宋"/>
                <w:highlight w:val="none"/>
              </w:rPr>
            </w:pPr>
          </w:p>
        </w:tc>
      </w:tr>
      <w:tr w14:paraId="16EFD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004934AE">
            <w:pPr>
              <w:kinsoku/>
              <w:wordWrap/>
              <w:overflowPunct/>
              <w:topLinePunct w:val="0"/>
              <w:bidi w:val="0"/>
              <w:spacing w:line="360" w:lineRule="auto"/>
              <w:rPr>
                <w:rFonts w:hint="eastAsia" w:ascii="仿宋" w:hAnsi="仿宋" w:eastAsia="仿宋" w:cs="仿宋"/>
                <w:highlight w:val="none"/>
              </w:rPr>
            </w:pPr>
          </w:p>
        </w:tc>
        <w:tc>
          <w:tcPr>
            <w:tcW w:w="1300" w:type="dxa"/>
            <w:tcBorders>
              <w:top w:val="single" w:color="auto" w:sz="4" w:space="0"/>
              <w:left w:val="single" w:color="auto" w:sz="4" w:space="0"/>
              <w:bottom w:val="single" w:color="auto" w:sz="4" w:space="0"/>
              <w:right w:val="single" w:color="auto" w:sz="4" w:space="0"/>
            </w:tcBorders>
            <w:noWrap w:val="0"/>
            <w:vAlign w:val="top"/>
          </w:tcPr>
          <w:p w14:paraId="04C126D2">
            <w:pPr>
              <w:kinsoku/>
              <w:wordWrap/>
              <w:overflowPunct/>
              <w:topLinePunct w:val="0"/>
              <w:bidi w:val="0"/>
              <w:spacing w:line="360" w:lineRule="auto"/>
              <w:rPr>
                <w:rFonts w:hint="eastAsia" w:ascii="仿宋" w:hAnsi="仿宋" w:eastAsia="仿宋" w:cs="仿宋"/>
                <w:highlight w:val="none"/>
              </w:rPr>
            </w:pPr>
            <w:r>
              <w:rPr>
                <w:rFonts w:hint="eastAsia" w:ascii="仿宋" w:hAnsi="仿宋" w:eastAsia="仿宋" w:cs="仿宋"/>
                <w:highlight w:val="none"/>
              </w:rPr>
              <w:t>……</w:t>
            </w:r>
          </w:p>
        </w:tc>
        <w:tc>
          <w:tcPr>
            <w:tcW w:w="1885" w:type="dxa"/>
            <w:tcBorders>
              <w:top w:val="single" w:color="auto" w:sz="4" w:space="0"/>
              <w:left w:val="single" w:color="auto" w:sz="4" w:space="0"/>
              <w:bottom w:val="single" w:color="auto" w:sz="4" w:space="0"/>
              <w:right w:val="single" w:color="auto" w:sz="4" w:space="0"/>
            </w:tcBorders>
            <w:noWrap w:val="0"/>
            <w:vAlign w:val="top"/>
          </w:tcPr>
          <w:p w14:paraId="6189C12B">
            <w:pPr>
              <w:kinsoku/>
              <w:wordWrap/>
              <w:overflowPunct/>
              <w:topLinePunct w:val="0"/>
              <w:bidi w:val="0"/>
              <w:spacing w:line="360" w:lineRule="auto"/>
              <w:rPr>
                <w:rFonts w:hint="eastAsia" w:ascii="仿宋" w:hAnsi="仿宋" w:eastAsia="仿宋" w:cs="仿宋"/>
                <w:highlight w:val="none"/>
              </w:rPr>
            </w:pPr>
          </w:p>
        </w:tc>
        <w:tc>
          <w:tcPr>
            <w:tcW w:w="1154" w:type="dxa"/>
            <w:tcBorders>
              <w:top w:val="single" w:color="auto" w:sz="4" w:space="0"/>
              <w:left w:val="single" w:color="auto" w:sz="4" w:space="0"/>
              <w:bottom w:val="single" w:color="auto" w:sz="4" w:space="0"/>
              <w:right w:val="single" w:color="auto" w:sz="4" w:space="0"/>
            </w:tcBorders>
            <w:noWrap w:val="0"/>
            <w:vAlign w:val="top"/>
          </w:tcPr>
          <w:p w14:paraId="5B1BE8A7">
            <w:pPr>
              <w:kinsoku/>
              <w:wordWrap/>
              <w:overflowPunct/>
              <w:topLinePunct w:val="0"/>
              <w:bidi w:val="0"/>
              <w:spacing w:line="360" w:lineRule="auto"/>
              <w:rPr>
                <w:rFonts w:hint="eastAsia" w:ascii="仿宋" w:hAnsi="仿宋" w:eastAsia="仿宋" w:cs="仿宋"/>
                <w:highlight w:val="none"/>
              </w:rPr>
            </w:pPr>
          </w:p>
        </w:tc>
        <w:tc>
          <w:tcPr>
            <w:tcW w:w="1177" w:type="dxa"/>
            <w:tcBorders>
              <w:top w:val="single" w:color="auto" w:sz="4" w:space="0"/>
              <w:left w:val="single" w:color="auto" w:sz="4" w:space="0"/>
              <w:bottom w:val="single" w:color="auto" w:sz="4" w:space="0"/>
              <w:right w:val="single" w:color="auto" w:sz="4" w:space="0"/>
            </w:tcBorders>
            <w:noWrap w:val="0"/>
            <w:vAlign w:val="top"/>
          </w:tcPr>
          <w:p w14:paraId="43485370">
            <w:pPr>
              <w:kinsoku/>
              <w:wordWrap/>
              <w:overflowPunct/>
              <w:topLinePunct w:val="0"/>
              <w:bidi w:val="0"/>
              <w:spacing w:line="360" w:lineRule="auto"/>
              <w:rPr>
                <w:rFonts w:hint="eastAsia" w:ascii="仿宋" w:hAnsi="仿宋" w:eastAsia="仿宋" w:cs="仿宋"/>
                <w:highlight w:val="none"/>
              </w:rPr>
            </w:pPr>
          </w:p>
        </w:tc>
        <w:tc>
          <w:tcPr>
            <w:tcW w:w="1794" w:type="dxa"/>
            <w:tcBorders>
              <w:top w:val="single" w:color="auto" w:sz="4" w:space="0"/>
              <w:left w:val="single" w:color="auto" w:sz="4" w:space="0"/>
              <w:bottom w:val="single" w:color="auto" w:sz="4" w:space="0"/>
              <w:right w:val="single" w:color="auto" w:sz="4" w:space="0"/>
            </w:tcBorders>
            <w:noWrap w:val="0"/>
            <w:vAlign w:val="top"/>
          </w:tcPr>
          <w:p w14:paraId="2D2A8685">
            <w:pPr>
              <w:kinsoku/>
              <w:wordWrap/>
              <w:overflowPunct/>
              <w:topLinePunct w:val="0"/>
              <w:bidi w:val="0"/>
              <w:spacing w:line="360" w:lineRule="auto"/>
              <w:rPr>
                <w:rFonts w:hint="eastAsia" w:ascii="仿宋" w:hAnsi="仿宋" w:eastAsia="仿宋" w:cs="仿宋"/>
                <w:highlight w:val="none"/>
              </w:rPr>
            </w:pPr>
          </w:p>
        </w:tc>
        <w:tc>
          <w:tcPr>
            <w:tcW w:w="882" w:type="dxa"/>
            <w:tcBorders>
              <w:top w:val="single" w:color="auto" w:sz="4" w:space="0"/>
              <w:left w:val="single" w:color="auto" w:sz="4" w:space="0"/>
              <w:bottom w:val="single" w:color="auto" w:sz="4" w:space="0"/>
              <w:right w:val="single" w:color="auto" w:sz="4" w:space="0"/>
            </w:tcBorders>
            <w:noWrap w:val="0"/>
            <w:vAlign w:val="top"/>
          </w:tcPr>
          <w:p w14:paraId="02059DE1">
            <w:pPr>
              <w:kinsoku/>
              <w:wordWrap/>
              <w:overflowPunct/>
              <w:topLinePunct w:val="0"/>
              <w:bidi w:val="0"/>
              <w:spacing w:line="360" w:lineRule="auto"/>
              <w:rPr>
                <w:rFonts w:hint="eastAsia" w:ascii="仿宋" w:hAnsi="仿宋" w:eastAsia="仿宋" w:cs="仿宋"/>
                <w:highlight w:val="none"/>
              </w:rPr>
            </w:pPr>
          </w:p>
        </w:tc>
        <w:tc>
          <w:tcPr>
            <w:tcW w:w="879" w:type="dxa"/>
            <w:tcBorders>
              <w:top w:val="single" w:color="auto" w:sz="4" w:space="0"/>
              <w:left w:val="single" w:color="auto" w:sz="4" w:space="0"/>
              <w:bottom w:val="single" w:color="auto" w:sz="4" w:space="0"/>
              <w:right w:val="single" w:color="auto" w:sz="4" w:space="0"/>
            </w:tcBorders>
            <w:noWrap w:val="0"/>
            <w:vAlign w:val="top"/>
          </w:tcPr>
          <w:p w14:paraId="6A30FD93">
            <w:pPr>
              <w:kinsoku/>
              <w:wordWrap/>
              <w:overflowPunct/>
              <w:topLinePunct w:val="0"/>
              <w:bidi w:val="0"/>
              <w:spacing w:line="360" w:lineRule="auto"/>
              <w:rPr>
                <w:rFonts w:hint="eastAsia" w:ascii="仿宋" w:hAnsi="仿宋" w:eastAsia="仿宋" w:cs="仿宋"/>
                <w:highlight w:val="none"/>
              </w:rPr>
            </w:pPr>
          </w:p>
        </w:tc>
      </w:tr>
      <w:tr w14:paraId="291FC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63" w:type="dxa"/>
            <w:tcBorders>
              <w:top w:val="single" w:color="auto" w:sz="4" w:space="0"/>
              <w:left w:val="single" w:color="auto" w:sz="4" w:space="0"/>
              <w:bottom w:val="single" w:color="auto" w:sz="4" w:space="0"/>
              <w:right w:val="single" w:color="auto" w:sz="4" w:space="0"/>
            </w:tcBorders>
            <w:noWrap w:val="0"/>
            <w:vAlign w:val="top"/>
          </w:tcPr>
          <w:p w14:paraId="5EF55E40">
            <w:pPr>
              <w:kinsoku/>
              <w:wordWrap/>
              <w:overflowPunct/>
              <w:topLinePunct w:val="0"/>
              <w:bidi w:val="0"/>
              <w:spacing w:line="360" w:lineRule="auto"/>
              <w:rPr>
                <w:rFonts w:hint="eastAsia" w:ascii="仿宋" w:hAnsi="仿宋" w:eastAsia="仿宋" w:cs="仿宋"/>
                <w:kern w:val="2"/>
                <w:sz w:val="24"/>
                <w:szCs w:val="24"/>
                <w:highlight w:val="none"/>
                <w:lang w:val="en-US" w:eastAsia="zh-CN" w:bidi="ar-SA"/>
              </w:rPr>
            </w:pPr>
          </w:p>
        </w:tc>
        <w:tc>
          <w:tcPr>
            <w:tcW w:w="8192" w:type="dxa"/>
            <w:gridSpan w:val="6"/>
            <w:tcBorders>
              <w:top w:val="single" w:color="auto" w:sz="4" w:space="0"/>
              <w:left w:val="single" w:color="auto" w:sz="4" w:space="0"/>
              <w:bottom w:val="single" w:color="auto" w:sz="4" w:space="0"/>
              <w:right w:val="single" w:color="auto" w:sz="4" w:space="0"/>
            </w:tcBorders>
            <w:noWrap w:val="0"/>
            <w:vAlign w:val="top"/>
          </w:tcPr>
          <w:p w14:paraId="764D82CC">
            <w:pPr>
              <w:kinsoku/>
              <w:wordWrap/>
              <w:overflowPunct/>
              <w:topLinePunct w:val="0"/>
              <w:bidi w:val="0"/>
              <w:spacing w:line="360" w:lineRule="auto"/>
              <w:rPr>
                <w:rFonts w:hint="eastAsia" w:ascii="仿宋" w:hAnsi="仿宋" w:eastAsia="仿宋" w:cs="仿宋"/>
                <w:highlight w:val="none"/>
              </w:rPr>
            </w:pPr>
            <w:r>
              <w:rPr>
                <w:rFonts w:hint="eastAsia" w:ascii="仿宋" w:hAnsi="仿宋" w:eastAsia="仿宋" w:cs="仿宋"/>
                <w:kern w:val="2"/>
                <w:sz w:val="24"/>
                <w:szCs w:val="24"/>
                <w:highlight w:val="none"/>
                <w:lang w:val="en-US" w:eastAsia="zh-CN" w:bidi="ar-SA"/>
              </w:rPr>
              <w:t>总报价：</w:t>
            </w:r>
          </w:p>
        </w:tc>
        <w:tc>
          <w:tcPr>
            <w:tcW w:w="879" w:type="dxa"/>
            <w:tcBorders>
              <w:top w:val="single" w:color="auto" w:sz="4" w:space="0"/>
              <w:left w:val="single" w:color="auto" w:sz="4" w:space="0"/>
              <w:bottom w:val="single" w:color="auto" w:sz="4" w:space="0"/>
              <w:right w:val="single" w:color="auto" w:sz="4" w:space="0"/>
            </w:tcBorders>
            <w:noWrap w:val="0"/>
            <w:vAlign w:val="top"/>
          </w:tcPr>
          <w:p w14:paraId="647B639F">
            <w:pPr>
              <w:kinsoku/>
              <w:wordWrap/>
              <w:overflowPunct/>
              <w:topLinePunct w:val="0"/>
              <w:bidi w:val="0"/>
              <w:spacing w:line="360" w:lineRule="auto"/>
              <w:rPr>
                <w:rFonts w:hint="eastAsia" w:ascii="仿宋" w:hAnsi="仿宋" w:eastAsia="仿宋" w:cs="仿宋"/>
                <w:highlight w:val="none"/>
              </w:rPr>
            </w:pPr>
          </w:p>
        </w:tc>
      </w:tr>
    </w:tbl>
    <w:p w14:paraId="3DF7C5C2">
      <w:pPr>
        <w:pStyle w:val="12"/>
        <w:kinsoku/>
        <w:wordWrap/>
        <w:overflowPunct/>
        <w:topLinePunct w:val="0"/>
        <w:bidi w:val="0"/>
        <w:spacing w:line="360" w:lineRule="auto"/>
        <w:ind w:left="-178" w:leftChars="-85"/>
        <w:rPr>
          <w:rFonts w:cs="仿宋" w:asciiTheme="majorEastAsia" w:hAnsiTheme="majorEastAsia" w:eastAsiaTheme="majorEastAsia"/>
          <w:highlight w:val="none"/>
        </w:rPr>
      </w:pPr>
      <w:r>
        <w:rPr>
          <w:rFonts w:hint="eastAsia" w:cs="仿宋" w:asciiTheme="majorEastAsia" w:hAnsiTheme="majorEastAsia" w:eastAsiaTheme="majorEastAsia"/>
          <w:highlight w:val="none"/>
        </w:rPr>
        <w:t>注：</w:t>
      </w:r>
    </w:p>
    <w:p w14:paraId="765A8977">
      <w:pPr>
        <w:pStyle w:val="12"/>
        <w:kinsoku/>
        <w:wordWrap/>
        <w:overflowPunct/>
        <w:topLinePunct w:val="0"/>
        <w:bidi w:val="0"/>
        <w:spacing w:line="360" w:lineRule="auto"/>
        <w:ind w:left="-178" w:leftChars="-85"/>
        <w:rPr>
          <w:rFonts w:cs="仿宋" w:asciiTheme="majorEastAsia" w:hAnsiTheme="majorEastAsia" w:eastAsiaTheme="majorEastAsia"/>
          <w:highlight w:val="none"/>
        </w:rPr>
      </w:pPr>
      <w:r>
        <w:rPr>
          <w:rFonts w:hint="eastAsia" w:cs="仿宋" w:asciiTheme="majorEastAsia" w:hAnsiTheme="majorEastAsia" w:eastAsiaTheme="majorEastAsia"/>
          <w:highlight w:val="none"/>
        </w:rPr>
        <w:t>1.</w:t>
      </w:r>
      <w:r>
        <w:rPr>
          <w:rFonts w:hint="eastAsia" w:cs="仿宋" w:asciiTheme="majorEastAsia" w:hAnsiTheme="majorEastAsia" w:eastAsiaTheme="majorEastAsia"/>
          <w:kern w:val="0"/>
          <w:highlight w:val="none"/>
          <w:lang w:val="zh-CN"/>
        </w:rPr>
        <w:t>投标人需按本表格式填写，不得自行更改。</w:t>
      </w:r>
    </w:p>
    <w:p w14:paraId="03027499">
      <w:pPr>
        <w:pStyle w:val="12"/>
        <w:kinsoku/>
        <w:wordWrap/>
        <w:overflowPunct/>
        <w:topLinePunct w:val="0"/>
        <w:bidi w:val="0"/>
        <w:spacing w:line="360" w:lineRule="auto"/>
        <w:ind w:left="-178" w:leftChars="-85"/>
        <w:rPr>
          <w:rFonts w:cs="仿宋" w:asciiTheme="majorEastAsia" w:hAnsiTheme="majorEastAsia" w:eastAsiaTheme="majorEastAsia"/>
          <w:highlight w:val="none"/>
        </w:rPr>
      </w:pPr>
      <w:r>
        <w:rPr>
          <w:rFonts w:hint="eastAsia" w:cs="仿宋" w:asciiTheme="majorEastAsia" w:hAnsiTheme="majorEastAsia" w:eastAsiaTheme="majorEastAsia"/>
          <w:highlight w:val="none"/>
        </w:rPr>
        <w:t>2.投标总价应与开标一览表的投标报价一致。</w:t>
      </w:r>
    </w:p>
    <w:p w14:paraId="37E31E7F">
      <w:pPr>
        <w:kinsoku/>
        <w:wordWrap/>
        <w:overflowPunct/>
        <w:topLinePunct w:val="0"/>
        <w:bidi w:val="0"/>
        <w:spacing w:line="360" w:lineRule="auto"/>
        <w:rPr>
          <w:rFonts w:cs="仿宋" w:asciiTheme="majorEastAsia" w:hAnsiTheme="majorEastAsia" w:eastAsiaTheme="majorEastAsia"/>
          <w:sz w:val="24"/>
          <w:highlight w:val="none"/>
        </w:rPr>
      </w:pPr>
    </w:p>
    <w:p w14:paraId="19AEC0C7">
      <w:pPr>
        <w:kinsoku/>
        <w:wordWrap/>
        <w:overflowPunct/>
        <w:topLinePunct w:val="0"/>
        <w:bidi w:val="0"/>
        <w:spacing w:line="360" w:lineRule="auto"/>
        <w:ind w:left="3780" w:leftChars="18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法定代表人或其授权委托人（签名或印章）：        </w:t>
      </w:r>
    </w:p>
    <w:p w14:paraId="643D5C3D">
      <w:pPr>
        <w:kinsoku/>
        <w:wordWrap/>
        <w:overflowPunct/>
        <w:topLinePunct w:val="0"/>
        <w:bidi w:val="0"/>
        <w:spacing w:line="360" w:lineRule="auto"/>
        <w:ind w:left="3780" w:leftChars="1800"/>
        <w:rPr>
          <w:rFonts w:cs="仿宋" w:asciiTheme="majorEastAsia" w:hAnsiTheme="majorEastAsia" w:eastAsiaTheme="majorEastAsia"/>
          <w:sz w:val="24"/>
          <w:highlight w:val="none"/>
        </w:rPr>
      </w:pPr>
      <w:r>
        <w:rPr>
          <w:rFonts w:hint="eastAsia" w:cs="仿宋" w:asciiTheme="majorEastAsia" w:hAnsiTheme="majorEastAsia" w:eastAsiaTheme="majorEastAsia"/>
          <w:sz w:val="24"/>
          <w:highlight w:val="none"/>
        </w:rPr>
        <w:t xml:space="preserve">投标人（盖章）：         </w:t>
      </w:r>
    </w:p>
    <w:p w14:paraId="3AB5C878">
      <w:pPr>
        <w:pStyle w:val="43"/>
        <w:keepNext w:val="0"/>
        <w:pageBreakBefore w:val="0"/>
        <w:tabs>
          <w:tab w:val="clear" w:pos="720"/>
        </w:tabs>
        <w:kinsoku/>
        <w:wordWrap/>
        <w:overflowPunct/>
        <w:topLinePunct w:val="0"/>
        <w:bidi w:val="0"/>
        <w:snapToGrid w:val="0"/>
        <w:spacing w:before="120" w:after="120" w:line="360" w:lineRule="auto"/>
        <w:ind w:left="3780" w:leftChars="1800"/>
        <w:jc w:val="both"/>
        <w:outlineLvl w:val="9"/>
        <w:rPr>
          <w:rFonts w:cs="仿宋" w:asciiTheme="majorEastAsia" w:hAnsiTheme="majorEastAsia" w:eastAsiaTheme="majorEastAsia"/>
          <w:b w:val="0"/>
          <w:kern w:val="2"/>
          <w:sz w:val="24"/>
          <w:szCs w:val="24"/>
          <w:highlight w:val="none"/>
        </w:rPr>
      </w:pPr>
      <w:r>
        <w:rPr>
          <w:rFonts w:hint="eastAsia" w:cs="仿宋" w:asciiTheme="majorEastAsia" w:hAnsiTheme="majorEastAsia" w:eastAsiaTheme="majorEastAsia"/>
          <w:b w:val="0"/>
          <w:kern w:val="2"/>
          <w:sz w:val="24"/>
          <w:szCs w:val="24"/>
          <w:highlight w:val="none"/>
        </w:rPr>
        <w:t xml:space="preserve">日  期：  </w:t>
      </w:r>
    </w:p>
    <w:p w14:paraId="392CDD3B">
      <w:pPr>
        <w:pStyle w:val="43"/>
        <w:keepNext w:val="0"/>
        <w:pageBreakBefore w:val="0"/>
        <w:tabs>
          <w:tab w:val="clear" w:pos="720"/>
        </w:tabs>
        <w:snapToGrid w:val="0"/>
        <w:spacing w:before="120" w:after="120"/>
        <w:outlineLvl w:val="9"/>
        <w:rPr>
          <w:rFonts w:hint="eastAsia" w:ascii="宋体" w:hAnsi="宋体" w:eastAsia="宋体" w:cs="宋体"/>
          <w:sz w:val="32"/>
          <w:szCs w:val="32"/>
          <w:highlight w:val="none"/>
        </w:rPr>
      </w:pPr>
      <w:r>
        <w:rPr>
          <w:rFonts w:hint="eastAsia" w:cs="仿宋" w:asciiTheme="majorEastAsia" w:hAnsiTheme="majorEastAsia" w:eastAsiaTheme="majorEastAsia"/>
          <w:b w:val="0"/>
          <w:kern w:val="2"/>
          <w:sz w:val="24"/>
          <w:szCs w:val="24"/>
          <w:highlight w:val="none"/>
        </w:rPr>
        <w:br w:type="page"/>
      </w:r>
      <w:r>
        <w:rPr>
          <w:rFonts w:hint="eastAsia" w:ascii="宋体" w:hAnsi="宋体" w:eastAsia="宋体" w:cs="宋体"/>
          <w:kern w:val="2"/>
          <w:sz w:val="32"/>
          <w:szCs w:val="32"/>
          <w:highlight w:val="none"/>
        </w:rPr>
        <w:t>三、</w:t>
      </w:r>
      <w:r>
        <w:rPr>
          <w:rFonts w:hint="eastAsia" w:ascii="宋体" w:hAnsi="宋体" w:eastAsia="宋体" w:cs="宋体"/>
          <w:sz w:val="32"/>
          <w:szCs w:val="32"/>
          <w:highlight w:val="none"/>
        </w:rPr>
        <w:t>中小企业声明函</w:t>
      </w:r>
    </w:p>
    <w:p w14:paraId="404E7F42">
      <w:pPr>
        <w:widowControl/>
        <w:spacing w:line="360" w:lineRule="auto"/>
        <w:ind w:firstLine="120" w:firstLineChars="50"/>
        <w:jc w:val="left"/>
        <w:rPr>
          <w:rFonts w:hint="eastAsia" w:ascii="宋体" w:hAnsi="宋体" w:eastAsia="宋体" w:cs="宋体"/>
          <w:b/>
          <w:sz w:val="24"/>
          <w:highlight w:val="none"/>
        </w:rPr>
      </w:pPr>
      <w:r>
        <w:rPr>
          <w:rFonts w:hint="eastAsia" w:ascii="宋体" w:hAnsi="宋体" w:eastAsia="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26C76851">
      <w:pPr>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中小企业声明函（货物）</w:t>
      </w:r>
    </w:p>
    <w:p w14:paraId="25E53B97">
      <w:pPr>
        <w:pStyle w:val="32"/>
        <w:ind w:firstLine="422"/>
        <w:rPr>
          <w:rFonts w:hint="eastAsia" w:ascii="宋体" w:hAnsi="宋体" w:eastAsia="宋体" w:cs="宋体"/>
          <w:sz w:val="21"/>
          <w:szCs w:val="21"/>
          <w:highlight w:val="none"/>
        </w:rPr>
      </w:pPr>
      <w:r>
        <w:rPr>
          <w:rFonts w:hint="eastAsia" w:ascii="宋体" w:hAnsi="宋体" w:eastAsia="宋体" w:cs="宋体"/>
          <w:b/>
          <w:sz w:val="21"/>
          <w:szCs w:val="21"/>
          <w:highlight w:val="none"/>
        </w:rPr>
        <w:t>（对相关制造商信息了解不充分，或者不能确定相关信息真实、准确的，不建议出具《中小企业声明函》。声明函中对标的内容填写不全的视为未提供。）</w:t>
      </w:r>
    </w:p>
    <w:p w14:paraId="7ACB7388">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本公司郑重声明，根据《政府采购促进中小企业发展管理办法》（财库﹝2020﹞46 号）的规定，本公司参加 （单位名称） 的 （项目名称） 采购活动，提供的货物全部由符合政策要求的中小企业制造。相关企业的具体情况如下：</w:t>
      </w:r>
    </w:p>
    <w:p w14:paraId="2B515F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kern w:val="2"/>
          <w:sz w:val="24"/>
          <w:szCs w:val="24"/>
          <w:highlight w:val="none"/>
          <w:lang w:val="en-US" w:eastAsia="zh-CN" w:bidi="ar-SA"/>
        </w:rPr>
        <w:t>1.</w:t>
      </w:r>
      <w:r>
        <w:rPr>
          <w:rFonts w:hint="eastAsia" w:ascii="宋体" w:hAnsi="宋体" w:eastAsia="宋体" w:cs="宋体"/>
          <w:kern w:val="0"/>
          <w:sz w:val="24"/>
          <w:highlight w:val="none"/>
          <w:u w:val="single"/>
          <w:lang w:val="en-US" w:eastAsia="zh-CN"/>
        </w:rPr>
        <w:t>1.5匹变频挂壁式空调</w:t>
      </w:r>
      <w:r>
        <w:rPr>
          <w:rFonts w:hint="eastAsia" w:ascii="宋体" w:hAnsi="宋体" w:eastAsia="宋体" w:cs="宋体"/>
          <w:sz w:val="24"/>
          <w:highlight w:val="none"/>
        </w:rPr>
        <w:t>，属于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3F967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kern w:val="2"/>
          <w:sz w:val="24"/>
          <w:szCs w:val="24"/>
          <w:highlight w:val="none"/>
          <w:lang w:val="en-US" w:eastAsia="zh-CN" w:bidi="ar-SA"/>
        </w:rPr>
        <w:t>2.</w:t>
      </w:r>
      <w:r>
        <w:rPr>
          <w:rFonts w:hint="eastAsia" w:ascii="宋体" w:hAnsi="宋体" w:eastAsia="宋体" w:cs="宋体"/>
          <w:kern w:val="0"/>
          <w:sz w:val="24"/>
          <w:highlight w:val="none"/>
          <w:u w:val="single"/>
          <w:lang w:val="en-US" w:eastAsia="zh-CN"/>
        </w:rPr>
        <w:t xml:space="preserve"> 2匹变频挂壁式空调 </w:t>
      </w:r>
      <w:r>
        <w:rPr>
          <w:rFonts w:hint="eastAsia" w:ascii="宋体" w:hAnsi="宋体" w:eastAsia="宋体" w:cs="宋体"/>
          <w:sz w:val="24"/>
          <w:highlight w:val="none"/>
        </w:rPr>
        <w:t>，属于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r>
        <w:rPr>
          <w:rFonts w:hint="eastAsia" w:ascii="宋体" w:hAnsi="宋体" w:cs="宋体"/>
          <w:sz w:val="24"/>
          <w:highlight w:val="none"/>
          <w:lang w:eastAsia="zh-CN"/>
        </w:rPr>
        <w:t>；</w:t>
      </w:r>
    </w:p>
    <w:p w14:paraId="7EF187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kern w:val="2"/>
          <w:sz w:val="24"/>
          <w:szCs w:val="24"/>
          <w:highlight w:val="none"/>
          <w:lang w:val="en-US" w:eastAsia="zh-CN" w:bidi="ar-SA"/>
        </w:rPr>
        <w:t>3.</w:t>
      </w:r>
      <w:r>
        <w:rPr>
          <w:rFonts w:hint="eastAsia" w:ascii="宋体" w:hAnsi="宋体" w:eastAsia="宋体" w:cs="宋体"/>
          <w:kern w:val="0"/>
          <w:sz w:val="24"/>
          <w:highlight w:val="none"/>
          <w:u w:val="single"/>
          <w:lang w:val="en-US" w:eastAsia="zh-CN"/>
        </w:rPr>
        <w:t xml:space="preserve"> 2匹变频柜式空调 </w:t>
      </w:r>
      <w:r>
        <w:rPr>
          <w:rFonts w:hint="eastAsia" w:ascii="宋体" w:hAnsi="宋体" w:eastAsia="宋体" w:cs="宋体"/>
          <w:sz w:val="24"/>
          <w:highlight w:val="none"/>
        </w:rPr>
        <w:t>，属于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r>
        <w:rPr>
          <w:rFonts w:hint="eastAsia" w:ascii="宋体" w:hAnsi="宋体" w:cs="宋体"/>
          <w:sz w:val="24"/>
          <w:highlight w:val="none"/>
          <w:lang w:eastAsia="zh-CN"/>
        </w:rPr>
        <w:t>；</w:t>
      </w:r>
    </w:p>
    <w:p w14:paraId="7654BC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eastAsia="宋体" w:cs="宋体"/>
          <w:kern w:val="2"/>
          <w:sz w:val="24"/>
          <w:szCs w:val="24"/>
          <w:highlight w:val="none"/>
          <w:lang w:val="en-US" w:eastAsia="zh-CN" w:bidi="ar-SA"/>
        </w:rPr>
        <w:t>4.</w:t>
      </w:r>
      <w:r>
        <w:rPr>
          <w:rFonts w:hint="eastAsia" w:ascii="宋体" w:hAnsi="宋体" w:eastAsia="宋体" w:cs="宋体"/>
          <w:kern w:val="0"/>
          <w:sz w:val="24"/>
          <w:highlight w:val="none"/>
          <w:u w:val="single"/>
          <w:lang w:val="en-US" w:eastAsia="zh-CN"/>
        </w:rPr>
        <w:t xml:space="preserve"> 冰箱 </w:t>
      </w:r>
      <w:r>
        <w:rPr>
          <w:rFonts w:hint="eastAsia" w:ascii="宋体" w:hAnsi="宋体" w:eastAsia="宋体" w:cs="宋体"/>
          <w:sz w:val="24"/>
          <w:highlight w:val="none"/>
        </w:rPr>
        <w:t>，属于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499E3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5</w:t>
      </w:r>
      <w:r>
        <w:rPr>
          <w:rFonts w:hint="eastAsia" w:ascii="宋体" w:hAnsi="宋体" w:eastAsia="宋体" w:cs="宋体"/>
          <w:sz w:val="24"/>
          <w:highlight w:val="none"/>
        </w:rPr>
        <w:t>.</w:t>
      </w:r>
      <w:r>
        <w:rPr>
          <w:rFonts w:hint="eastAsia" w:ascii="宋体" w:hAnsi="宋体" w:eastAsia="宋体" w:cs="宋体"/>
          <w:kern w:val="0"/>
          <w:sz w:val="24"/>
          <w:highlight w:val="none"/>
          <w:u w:val="single"/>
          <w:lang w:val="en-US" w:eastAsia="zh-CN"/>
        </w:rPr>
        <w:t>洗衣机</w:t>
      </w:r>
      <w:r>
        <w:rPr>
          <w:rFonts w:hint="eastAsia" w:ascii="宋体" w:hAnsi="宋体" w:eastAsia="宋体" w:cs="宋体"/>
          <w:sz w:val="24"/>
          <w:highlight w:val="none"/>
        </w:rPr>
        <w:t xml:space="preserve"> ，属于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579972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6</w:t>
      </w:r>
      <w:r>
        <w:rPr>
          <w:rFonts w:hint="eastAsia" w:ascii="宋体" w:hAnsi="宋体" w:eastAsia="宋体" w:cs="宋体"/>
          <w:sz w:val="24"/>
          <w:highlight w:val="none"/>
        </w:rPr>
        <w:t>.</w:t>
      </w:r>
      <w:r>
        <w:rPr>
          <w:rFonts w:hint="eastAsia" w:ascii="宋体" w:hAnsi="宋体" w:eastAsia="宋体" w:cs="宋体"/>
          <w:kern w:val="0"/>
          <w:sz w:val="24"/>
          <w:highlight w:val="none"/>
          <w:u w:val="single"/>
          <w:lang w:val="en-US" w:eastAsia="zh-CN"/>
        </w:rPr>
        <w:t xml:space="preserve">油烟机 </w:t>
      </w:r>
      <w:r>
        <w:rPr>
          <w:rFonts w:hint="eastAsia" w:ascii="宋体" w:hAnsi="宋体" w:eastAsia="宋体" w:cs="宋体"/>
          <w:sz w:val="24"/>
          <w:highlight w:val="none"/>
        </w:rPr>
        <w:t>，属于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2F056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cs="宋体"/>
          <w:sz w:val="24"/>
          <w:highlight w:val="none"/>
          <w:lang w:val="en-US" w:eastAsia="zh-CN"/>
        </w:rPr>
        <w:t>7</w:t>
      </w:r>
      <w:r>
        <w:rPr>
          <w:rFonts w:hint="eastAsia" w:ascii="宋体" w:hAnsi="宋体" w:eastAsia="宋体" w:cs="宋体"/>
          <w:sz w:val="24"/>
          <w:highlight w:val="none"/>
        </w:rPr>
        <w:t>.</w:t>
      </w:r>
      <w:r>
        <w:rPr>
          <w:rFonts w:hint="eastAsia" w:ascii="宋体" w:hAnsi="宋体" w:eastAsia="宋体" w:cs="宋体"/>
          <w:kern w:val="0"/>
          <w:sz w:val="24"/>
          <w:highlight w:val="none"/>
          <w:u w:val="single"/>
          <w:lang w:val="en-US" w:eastAsia="zh-CN"/>
        </w:rPr>
        <w:t>电磁炉</w:t>
      </w:r>
      <w:r>
        <w:rPr>
          <w:rFonts w:hint="eastAsia" w:ascii="宋体" w:hAnsi="宋体" w:eastAsia="宋体" w:cs="宋体"/>
          <w:sz w:val="24"/>
          <w:highlight w:val="none"/>
        </w:rPr>
        <w:t>，属于</w:t>
      </w:r>
      <w:r>
        <w:rPr>
          <w:rFonts w:hint="eastAsia" w:ascii="宋体" w:hAnsi="宋体" w:eastAsia="宋体" w:cs="宋体"/>
          <w:kern w:val="0"/>
          <w:sz w:val="24"/>
          <w:highlight w:val="none"/>
          <w:u w:val="single"/>
        </w:rPr>
        <w:t>工业</w:t>
      </w:r>
      <w:r>
        <w:rPr>
          <w:rFonts w:hint="eastAsia" w:ascii="宋体" w:hAnsi="宋体" w:eastAsia="宋体" w:cs="宋体"/>
          <w:sz w:val="24"/>
          <w:highlight w:val="none"/>
        </w:rPr>
        <w:t>行业 ；制造商为</w:t>
      </w:r>
      <w:r>
        <w:rPr>
          <w:rFonts w:hint="eastAsia" w:ascii="宋体" w:hAnsi="宋体" w:eastAsia="宋体" w:cs="宋体"/>
          <w:sz w:val="24"/>
          <w:highlight w:val="none"/>
          <w:u w:val="single"/>
        </w:rPr>
        <w:t xml:space="preserve"> （企业名称）</w:t>
      </w:r>
      <w:r>
        <w:rPr>
          <w:rFonts w:hint="eastAsia" w:ascii="宋体" w:hAnsi="宋体" w:eastAsia="宋体" w:cs="宋体"/>
          <w:sz w:val="24"/>
          <w:highlight w:val="none"/>
        </w:rPr>
        <w:t xml:space="preserve"> ，从业人员</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人，营业收入为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万元，资产总额为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万元，属于</w:t>
      </w:r>
      <w:r>
        <w:rPr>
          <w:rFonts w:hint="eastAsia" w:ascii="宋体" w:hAnsi="宋体" w:eastAsia="宋体" w:cs="宋体"/>
          <w:sz w:val="24"/>
          <w:highlight w:val="none"/>
          <w:u w:val="single"/>
        </w:rPr>
        <w:t xml:space="preserve"> （中型企业、小型企业、微型企业）</w:t>
      </w:r>
      <w:r>
        <w:rPr>
          <w:rFonts w:hint="eastAsia" w:ascii="宋体" w:hAnsi="宋体" w:eastAsia="宋体" w:cs="宋体"/>
          <w:sz w:val="24"/>
          <w:highlight w:val="none"/>
        </w:rPr>
        <w:t xml:space="preserve"> ；</w:t>
      </w:r>
    </w:p>
    <w:p w14:paraId="5703D7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cs="仿宋" w:asciiTheme="majorEastAsia" w:hAnsiTheme="majorEastAsia" w:eastAsiaTheme="majorEastAsia"/>
          <w:color w:val="auto"/>
          <w:sz w:val="24"/>
          <w:highlight w:val="none"/>
          <w:lang w:val="en-US" w:eastAsia="zh-CN"/>
        </w:rPr>
        <w:t>注：采购清单中除配件和辅材无需提供声明外，其他产品均需提供声明。</w:t>
      </w:r>
    </w:p>
    <w:p w14:paraId="652779A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以上企业，不属于大企业的分支机构，不存在控股股东为大企业的情形，也不存在与大企业的负责人为同一人的情形。</w:t>
      </w:r>
    </w:p>
    <w:p w14:paraId="43F92854">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本企业对上述声明内容的真实性负责。如有虚假，将依法承担相应责任。</w:t>
      </w:r>
    </w:p>
    <w:p w14:paraId="4F9CE752">
      <w:pPr>
        <w:snapToGrid w:val="0"/>
        <w:spacing w:line="360" w:lineRule="auto"/>
        <w:ind w:firstLine="5160" w:firstLineChars="2150"/>
        <w:rPr>
          <w:rFonts w:hint="eastAsia" w:ascii="宋体" w:hAnsi="宋体" w:eastAsia="宋体" w:cs="宋体"/>
          <w:kern w:val="0"/>
          <w:sz w:val="24"/>
          <w:highlight w:val="none"/>
          <w:lang w:val="zh-CN"/>
        </w:rPr>
      </w:pPr>
    </w:p>
    <w:p w14:paraId="09C66A36">
      <w:pPr>
        <w:spacing w:line="360" w:lineRule="auto"/>
        <w:ind w:left="3780" w:leftChars="1800"/>
        <w:rPr>
          <w:rFonts w:hint="eastAsia" w:ascii="宋体" w:hAnsi="宋体" w:eastAsia="宋体" w:cs="宋体"/>
          <w:sz w:val="24"/>
          <w:highlight w:val="none"/>
        </w:rPr>
      </w:pPr>
      <w:r>
        <w:rPr>
          <w:rFonts w:hint="eastAsia" w:ascii="宋体" w:hAnsi="宋体" w:eastAsia="宋体" w:cs="宋体"/>
          <w:sz w:val="24"/>
          <w:highlight w:val="none"/>
        </w:rPr>
        <w:t xml:space="preserve">        </w:t>
      </w:r>
    </w:p>
    <w:p w14:paraId="59F9BD9C">
      <w:pPr>
        <w:spacing w:line="360" w:lineRule="auto"/>
        <w:ind w:left="3780" w:leftChars="1800"/>
        <w:rPr>
          <w:rFonts w:hint="eastAsia" w:ascii="宋体" w:hAnsi="宋体" w:eastAsia="宋体" w:cs="宋体"/>
          <w:sz w:val="24"/>
          <w:highlight w:val="none"/>
        </w:rPr>
      </w:pPr>
      <w:r>
        <w:rPr>
          <w:rFonts w:hint="eastAsia" w:ascii="宋体" w:hAnsi="宋体" w:eastAsia="宋体" w:cs="宋体"/>
          <w:sz w:val="24"/>
          <w:highlight w:val="none"/>
        </w:rPr>
        <w:t xml:space="preserve">投标人（盖章）：         </w:t>
      </w:r>
    </w:p>
    <w:p w14:paraId="65C0CB03">
      <w:pPr>
        <w:spacing w:line="360" w:lineRule="auto"/>
        <w:ind w:left="3780" w:leftChars="1800"/>
        <w:rPr>
          <w:rFonts w:hint="eastAsia" w:ascii="宋体" w:hAnsi="宋体" w:eastAsia="宋体" w:cs="宋体"/>
          <w:sz w:val="24"/>
          <w:highlight w:val="none"/>
        </w:rPr>
      </w:pPr>
      <w:r>
        <w:rPr>
          <w:rFonts w:hint="eastAsia" w:ascii="宋体" w:hAnsi="宋体" w:eastAsia="宋体" w:cs="宋体"/>
          <w:sz w:val="24"/>
          <w:highlight w:val="none"/>
        </w:rPr>
        <w:t>日  期：</w:t>
      </w:r>
    </w:p>
    <w:p w14:paraId="5F675462">
      <w:pPr>
        <w:spacing w:line="360" w:lineRule="auto"/>
        <w:ind w:right="-420" w:rightChars="-200" w:firstLine="480" w:firstLineChars="200"/>
        <w:rPr>
          <w:rFonts w:hint="eastAsia" w:ascii="宋体" w:hAnsi="宋体" w:eastAsia="宋体" w:cs="宋体"/>
          <w:sz w:val="24"/>
          <w:highlight w:val="none"/>
        </w:rPr>
      </w:pPr>
      <w:r>
        <w:rPr>
          <w:rFonts w:hint="eastAsia" w:ascii="宋体" w:hAnsi="宋体" w:eastAsia="宋体" w:cs="宋体"/>
          <w:sz w:val="24"/>
          <w:highlight w:val="none"/>
        </w:rPr>
        <w:t>从业人员、营业收入、资产总额填报上一年度数据，无上一年度数据的新成立企业可不填报。</w:t>
      </w:r>
    </w:p>
    <w:p w14:paraId="77D7FE34">
      <w:pPr>
        <w:spacing w:line="360" w:lineRule="auto"/>
        <w:ind w:right="-420" w:rightChars="-200" w:firstLine="480" w:firstLineChars="200"/>
        <w:rPr>
          <w:rFonts w:hint="eastAsia" w:ascii="宋体" w:hAnsi="宋体" w:eastAsia="宋体" w:cs="宋体"/>
          <w:b/>
          <w:sz w:val="32"/>
          <w:szCs w:val="32"/>
          <w:highlight w:val="none"/>
        </w:rPr>
      </w:pPr>
      <w:r>
        <w:rPr>
          <w:rFonts w:hint="eastAsia" w:ascii="宋体" w:hAnsi="宋体" w:eastAsia="宋体" w:cs="宋体"/>
          <w:sz w:val="24"/>
          <w:highlight w:val="none"/>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995D948">
      <w:pPr>
        <w:kinsoku/>
        <w:wordWrap/>
        <w:overflowPunct/>
        <w:topLinePunct w:val="0"/>
        <w:bidi w:val="0"/>
        <w:spacing w:line="360" w:lineRule="auto"/>
        <w:jc w:val="left"/>
        <w:rPr>
          <w:rFonts w:ascii="仿宋" w:hAnsi="仿宋" w:eastAsia="仿宋" w:cs="仿宋"/>
          <w:b/>
          <w:sz w:val="32"/>
          <w:szCs w:val="32"/>
          <w:highlight w:val="none"/>
        </w:rPr>
      </w:pPr>
    </w:p>
    <w:p w14:paraId="018D7AD4">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61ABDC09">
      <w:pPr>
        <w:spacing w:line="360" w:lineRule="auto"/>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四、残疾人福利性单位声明函</w:t>
      </w:r>
    </w:p>
    <w:p w14:paraId="1DD7ADDE">
      <w:pPr>
        <w:spacing w:line="360" w:lineRule="auto"/>
        <w:rPr>
          <w:rFonts w:hint="eastAsia" w:ascii="宋体" w:hAnsi="宋体" w:eastAsia="宋体" w:cs="宋体"/>
          <w:b/>
          <w:spacing w:val="6"/>
          <w:sz w:val="30"/>
          <w:szCs w:val="30"/>
          <w:highlight w:val="none"/>
        </w:rPr>
      </w:pPr>
    </w:p>
    <w:p w14:paraId="24848D7A">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B0DAEEC">
      <w:pPr>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本单位对上述声明的真实性负责。如有虚假，将依法承担相应责任。</w:t>
      </w:r>
    </w:p>
    <w:p w14:paraId="4E8D0E79">
      <w:pPr>
        <w:spacing w:line="360" w:lineRule="auto"/>
        <w:ind w:firstLine="480" w:firstLineChars="200"/>
        <w:jc w:val="left"/>
        <w:rPr>
          <w:rFonts w:hint="eastAsia" w:ascii="宋体" w:hAnsi="宋体" w:eastAsia="宋体" w:cs="宋体"/>
          <w:sz w:val="24"/>
          <w:highlight w:val="none"/>
        </w:rPr>
      </w:pPr>
    </w:p>
    <w:p w14:paraId="523DCEB0">
      <w:pPr>
        <w:spacing w:line="360" w:lineRule="auto"/>
        <w:ind w:firstLine="480" w:firstLineChars="200"/>
        <w:jc w:val="left"/>
        <w:rPr>
          <w:rFonts w:hint="eastAsia" w:ascii="宋体" w:hAnsi="宋体" w:eastAsia="宋体" w:cs="宋体"/>
          <w:sz w:val="24"/>
          <w:highlight w:val="none"/>
        </w:rPr>
      </w:pPr>
    </w:p>
    <w:p w14:paraId="121461DF">
      <w:pPr>
        <w:adjustRightInd w:val="0"/>
        <w:spacing w:line="360" w:lineRule="auto"/>
        <w:ind w:firstLine="2400" w:firstLineChars="1000"/>
        <w:jc w:val="left"/>
        <w:rPr>
          <w:rFonts w:hint="eastAsia" w:ascii="宋体" w:hAnsi="宋体" w:eastAsia="宋体" w:cs="宋体"/>
          <w:sz w:val="24"/>
          <w:highlight w:val="none"/>
        </w:rPr>
      </w:pPr>
      <w:r>
        <w:rPr>
          <w:rFonts w:hint="eastAsia" w:ascii="宋体" w:hAnsi="宋体" w:eastAsia="宋体" w:cs="宋体"/>
          <w:sz w:val="24"/>
          <w:highlight w:val="none"/>
        </w:rPr>
        <w:t xml:space="preserve">            法定代表人或其授权委托人（签名或印章）：</w:t>
      </w:r>
    </w:p>
    <w:p w14:paraId="65B47ED7">
      <w:pPr>
        <w:adjustRightInd w:val="0"/>
        <w:spacing w:line="360" w:lineRule="auto"/>
        <w:ind w:firstLine="3840" w:firstLineChars="1600"/>
        <w:jc w:val="left"/>
        <w:rPr>
          <w:rFonts w:hint="eastAsia" w:ascii="宋体" w:hAnsi="宋体" w:eastAsia="宋体" w:cs="宋体"/>
          <w:sz w:val="24"/>
          <w:highlight w:val="none"/>
        </w:rPr>
      </w:pPr>
      <w:r>
        <w:rPr>
          <w:rFonts w:hint="eastAsia" w:ascii="宋体" w:hAnsi="宋体" w:eastAsia="宋体" w:cs="宋体"/>
          <w:sz w:val="24"/>
          <w:highlight w:val="none"/>
        </w:rPr>
        <w:t>投标人（盖章）：</w:t>
      </w:r>
    </w:p>
    <w:p w14:paraId="2A1C405A">
      <w:pPr>
        <w:rPr>
          <w:rFonts w:hint="eastAsia" w:ascii="宋体" w:hAnsi="宋体" w:eastAsia="宋体" w:cs="宋体"/>
          <w:highlight w:val="none"/>
        </w:rPr>
      </w:pPr>
      <w:r>
        <w:rPr>
          <w:rFonts w:hint="eastAsia" w:ascii="宋体" w:hAnsi="宋体" w:eastAsia="宋体" w:cs="宋体"/>
          <w:sz w:val="24"/>
          <w:highlight w:val="none"/>
        </w:rPr>
        <w:t xml:space="preserve">                                日期：</w:t>
      </w:r>
    </w:p>
    <w:p w14:paraId="7C4A09F7">
      <w:pPr>
        <w:spacing w:line="360" w:lineRule="auto"/>
        <w:ind w:firstLine="643" w:firstLineChars="200"/>
        <w:jc w:val="left"/>
        <w:rPr>
          <w:rFonts w:hint="eastAsia" w:ascii="宋体" w:hAnsi="宋体" w:eastAsia="宋体" w:cs="宋体"/>
          <w:b/>
          <w:sz w:val="32"/>
          <w:szCs w:val="32"/>
          <w:highlight w:val="none"/>
        </w:rPr>
      </w:pPr>
    </w:p>
    <w:p w14:paraId="31E87014">
      <w:pPr>
        <w:spacing w:line="360" w:lineRule="auto"/>
        <w:rPr>
          <w:rFonts w:hint="eastAsia" w:ascii="宋体" w:hAnsi="宋体" w:eastAsia="宋体" w:cs="宋体"/>
          <w:b/>
          <w:sz w:val="32"/>
          <w:szCs w:val="32"/>
          <w:highlight w:val="none"/>
        </w:rPr>
      </w:pPr>
    </w:p>
    <w:p w14:paraId="7AB1F07E">
      <w:pPr>
        <w:numPr>
          <w:ilvl w:val="0"/>
          <w:numId w:val="11"/>
        </w:numPr>
        <w:spacing w:line="360" w:lineRule="auto"/>
        <w:jc w:val="center"/>
        <w:rPr>
          <w:rFonts w:hint="eastAsia" w:ascii="宋体" w:hAnsi="宋体" w:eastAsia="宋体" w:cs="宋体"/>
          <w:b/>
          <w:spacing w:val="6"/>
          <w:sz w:val="32"/>
          <w:szCs w:val="32"/>
          <w:highlight w:val="none"/>
        </w:rPr>
      </w:pPr>
      <w:r>
        <w:rPr>
          <w:rFonts w:hint="eastAsia" w:ascii="宋体" w:hAnsi="宋体" w:eastAsia="宋体" w:cs="宋体"/>
          <w:b/>
          <w:spacing w:val="6"/>
          <w:sz w:val="32"/>
          <w:szCs w:val="32"/>
          <w:highlight w:val="none"/>
        </w:rPr>
        <w:br w:type="page"/>
      </w:r>
      <w:r>
        <w:rPr>
          <w:rFonts w:hint="eastAsia" w:ascii="宋体" w:hAnsi="宋体" w:eastAsia="宋体" w:cs="宋体"/>
          <w:b/>
          <w:spacing w:val="6"/>
          <w:sz w:val="32"/>
          <w:szCs w:val="32"/>
          <w:highlight w:val="none"/>
        </w:rPr>
        <w:t>政府采购统计基础信息表</w:t>
      </w:r>
    </w:p>
    <w:p w14:paraId="3AB72396">
      <w:pPr>
        <w:pStyle w:val="32"/>
        <w:spacing w:line="360" w:lineRule="auto"/>
        <w:ind w:firstLine="0" w:firstLineChars="0"/>
        <w:rPr>
          <w:rFonts w:hint="eastAsia" w:ascii="宋体" w:hAnsi="宋体" w:eastAsia="宋体" w:cs="宋体"/>
          <w:highlight w:val="none"/>
        </w:rPr>
      </w:pPr>
    </w:p>
    <w:tbl>
      <w:tblPr>
        <w:tblStyle w:val="26"/>
        <w:tblW w:w="8537" w:type="dxa"/>
        <w:jc w:val="center"/>
        <w:tblLayout w:type="fixed"/>
        <w:tblCellMar>
          <w:top w:w="0" w:type="dxa"/>
          <w:left w:w="108" w:type="dxa"/>
          <w:bottom w:w="0" w:type="dxa"/>
          <w:right w:w="108" w:type="dxa"/>
        </w:tblCellMar>
      </w:tblPr>
      <w:tblGrid>
        <w:gridCol w:w="4998"/>
        <w:gridCol w:w="3539"/>
      </w:tblGrid>
      <w:tr w14:paraId="6BE239F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8CCE9F4">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5E2DD18A">
            <w:pPr>
              <w:spacing w:line="360" w:lineRule="auto"/>
              <w:rPr>
                <w:rFonts w:hint="eastAsia" w:ascii="宋体" w:hAnsi="宋体" w:eastAsia="宋体" w:cs="宋体"/>
                <w:highlight w:val="none"/>
              </w:rPr>
            </w:pPr>
          </w:p>
        </w:tc>
      </w:tr>
      <w:tr w14:paraId="5A11D3D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28FEDAD">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投标单位名称</w:t>
            </w:r>
          </w:p>
        </w:tc>
        <w:tc>
          <w:tcPr>
            <w:tcW w:w="3539" w:type="dxa"/>
            <w:tcBorders>
              <w:top w:val="single" w:color="000000" w:sz="4" w:space="0"/>
              <w:left w:val="nil"/>
              <w:bottom w:val="single" w:color="000000" w:sz="4" w:space="0"/>
              <w:right w:val="single" w:color="000000" w:sz="4" w:space="0"/>
            </w:tcBorders>
          </w:tcPr>
          <w:p w14:paraId="725D500F">
            <w:pPr>
              <w:spacing w:line="360" w:lineRule="auto"/>
              <w:rPr>
                <w:rFonts w:hint="eastAsia" w:ascii="宋体" w:hAnsi="宋体" w:eastAsia="宋体" w:cs="宋体"/>
                <w:highlight w:val="none"/>
              </w:rPr>
            </w:pPr>
          </w:p>
        </w:tc>
      </w:tr>
      <w:tr w14:paraId="45784BD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D5B9F75">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投标单位是否为外商投资企业</w:t>
            </w:r>
          </w:p>
        </w:tc>
        <w:tc>
          <w:tcPr>
            <w:tcW w:w="3539" w:type="dxa"/>
            <w:tcBorders>
              <w:top w:val="single" w:color="000000" w:sz="4" w:space="0"/>
              <w:left w:val="nil"/>
              <w:bottom w:val="single" w:color="000000" w:sz="4" w:space="0"/>
              <w:right w:val="single" w:color="000000" w:sz="4" w:space="0"/>
            </w:tcBorders>
          </w:tcPr>
          <w:p w14:paraId="773B7033">
            <w:pPr>
              <w:spacing w:line="360" w:lineRule="auto"/>
              <w:rPr>
                <w:rFonts w:hint="eastAsia" w:ascii="宋体" w:hAnsi="宋体" w:eastAsia="宋体" w:cs="宋体"/>
                <w:highlight w:val="none"/>
              </w:rPr>
            </w:pPr>
          </w:p>
        </w:tc>
      </w:tr>
      <w:tr w14:paraId="586F154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DC50869">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投标单位是否为宁波企业</w:t>
            </w:r>
          </w:p>
        </w:tc>
        <w:tc>
          <w:tcPr>
            <w:tcW w:w="3539" w:type="dxa"/>
            <w:tcBorders>
              <w:top w:val="single" w:color="000000" w:sz="4" w:space="0"/>
              <w:left w:val="nil"/>
              <w:bottom w:val="single" w:color="000000" w:sz="4" w:space="0"/>
              <w:right w:val="single" w:color="000000" w:sz="4" w:space="0"/>
            </w:tcBorders>
          </w:tcPr>
          <w:p w14:paraId="27E69E9B">
            <w:pPr>
              <w:spacing w:line="360" w:lineRule="auto"/>
              <w:rPr>
                <w:rFonts w:hint="eastAsia" w:ascii="宋体" w:hAnsi="宋体" w:eastAsia="宋体" w:cs="宋体"/>
                <w:highlight w:val="none"/>
              </w:rPr>
            </w:pPr>
          </w:p>
        </w:tc>
      </w:tr>
      <w:tr w14:paraId="6F2EAE2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15659F5">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2B7C3DC1">
            <w:pPr>
              <w:spacing w:line="360" w:lineRule="auto"/>
              <w:rPr>
                <w:rFonts w:hint="eastAsia" w:ascii="宋体" w:hAnsi="宋体" w:eastAsia="宋体" w:cs="宋体"/>
                <w:highlight w:val="none"/>
              </w:rPr>
            </w:pPr>
          </w:p>
        </w:tc>
      </w:tr>
      <w:tr w14:paraId="337E14E5">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90AA462">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3BA7A715">
            <w:pPr>
              <w:spacing w:line="360" w:lineRule="auto"/>
              <w:rPr>
                <w:rFonts w:hint="eastAsia" w:ascii="宋体" w:hAnsi="宋体" w:eastAsia="宋体" w:cs="宋体"/>
                <w:highlight w:val="none"/>
              </w:rPr>
            </w:pPr>
          </w:p>
        </w:tc>
      </w:tr>
      <w:tr w14:paraId="355BC273">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60D35F0">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03085A10">
            <w:pPr>
              <w:spacing w:line="360" w:lineRule="auto"/>
              <w:rPr>
                <w:rFonts w:hint="eastAsia" w:ascii="宋体" w:hAnsi="宋体" w:eastAsia="宋体" w:cs="宋体"/>
                <w:highlight w:val="none"/>
              </w:rPr>
            </w:pPr>
          </w:p>
        </w:tc>
      </w:tr>
      <w:tr w14:paraId="59B19E3A">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30FA900">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2F484A2B">
            <w:pPr>
              <w:spacing w:line="360" w:lineRule="auto"/>
              <w:rPr>
                <w:rFonts w:hint="eastAsia" w:ascii="宋体" w:hAnsi="宋体" w:eastAsia="宋体" w:cs="宋体"/>
                <w:highlight w:val="none"/>
              </w:rPr>
            </w:pPr>
          </w:p>
        </w:tc>
      </w:tr>
      <w:tr w14:paraId="219E2EFF">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40D620C">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1D16EC36">
            <w:pPr>
              <w:spacing w:line="360" w:lineRule="auto"/>
              <w:rPr>
                <w:rFonts w:hint="eastAsia" w:ascii="宋体" w:hAnsi="宋体" w:eastAsia="宋体" w:cs="宋体"/>
                <w:highlight w:val="none"/>
              </w:rPr>
            </w:pPr>
          </w:p>
        </w:tc>
      </w:tr>
      <w:tr w14:paraId="678C2739">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8E06C02">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24AF2A39">
            <w:pPr>
              <w:spacing w:line="360" w:lineRule="auto"/>
              <w:rPr>
                <w:rFonts w:hint="eastAsia" w:ascii="宋体" w:hAnsi="宋体" w:eastAsia="宋体" w:cs="宋体"/>
                <w:highlight w:val="none"/>
              </w:rPr>
            </w:pPr>
          </w:p>
        </w:tc>
      </w:tr>
    </w:tbl>
    <w:p w14:paraId="7F4F84BC">
      <w:pPr>
        <w:adjustRightInd w:val="0"/>
        <w:spacing w:line="360" w:lineRule="auto"/>
        <w:jc w:val="left"/>
        <w:rPr>
          <w:rFonts w:hint="eastAsia" w:ascii="宋体" w:hAnsi="宋体" w:eastAsia="宋体" w:cs="宋体"/>
          <w:sz w:val="24"/>
          <w:highlight w:val="none"/>
        </w:rPr>
      </w:pPr>
    </w:p>
    <w:p w14:paraId="686989AD">
      <w:pPr>
        <w:adjustRightInd w:val="0"/>
        <w:spacing w:line="360" w:lineRule="auto"/>
        <w:jc w:val="left"/>
        <w:rPr>
          <w:rFonts w:hint="eastAsia" w:ascii="宋体" w:hAnsi="宋体" w:eastAsia="宋体" w:cs="宋体"/>
          <w:sz w:val="24"/>
          <w:highlight w:val="none"/>
        </w:rPr>
      </w:pPr>
      <w:r>
        <w:rPr>
          <w:rFonts w:hint="eastAsia" w:ascii="宋体" w:hAnsi="宋体" w:eastAsia="宋体" w:cs="宋体"/>
          <w:sz w:val="24"/>
          <w:highlight w:val="none"/>
        </w:rPr>
        <w:t>备注：请各投标人务必填写此表作为投标文件的组成部分。</w:t>
      </w:r>
    </w:p>
    <w:p w14:paraId="76993993">
      <w:pPr>
        <w:adjustRightInd w:val="0"/>
        <w:spacing w:line="360" w:lineRule="auto"/>
        <w:jc w:val="left"/>
        <w:rPr>
          <w:rFonts w:hint="eastAsia" w:ascii="宋体" w:hAnsi="宋体" w:eastAsia="宋体" w:cs="宋体"/>
          <w:sz w:val="24"/>
          <w:highlight w:val="none"/>
        </w:rPr>
      </w:pPr>
    </w:p>
    <w:p w14:paraId="2D334721">
      <w:pPr>
        <w:adjustRightInd w:val="0"/>
        <w:spacing w:line="360" w:lineRule="auto"/>
        <w:jc w:val="left"/>
        <w:rPr>
          <w:rFonts w:hint="eastAsia" w:ascii="宋体" w:hAnsi="宋体" w:eastAsia="宋体" w:cs="宋体"/>
          <w:sz w:val="24"/>
          <w:highlight w:val="none"/>
        </w:rPr>
      </w:pPr>
    </w:p>
    <w:p w14:paraId="4B586919">
      <w:pPr>
        <w:adjustRightInd w:val="0"/>
        <w:spacing w:line="360" w:lineRule="auto"/>
        <w:ind w:firstLine="2400" w:firstLineChars="1000"/>
        <w:jc w:val="left"/>
        <w:rPr>
          <w:rFonts w:hint="eastAsia" w:ascii="宋体" w:hAnsi="宋体" w:eastAsia="宋体" w:cs="宋体"/>
          <w:sz w:val="24"/>
          <w:highlight w:val="none"/>
        </w:rPr>
      </w:pPr>
      <w:r>
        <w:rPr>
          <w:rFonts w:hint="eastAsia" w:ascii="宋体" w:hAnsi="宋体" w:eastAsia="宋体" w:cs="宋体"/>
          <w:sz w:val="24"/>
          <w:highlight w:val="none"/>
        </w:rPr>
        <w:t>法定代表人或其授权委托人（签名或印章）：</w:t>
      </w:r>
    </w:p>
    <w:p w14:paraId="3302F48B">
      <w:pPr>
        <w:adjustRightInd w:val="0"/>
        <w:spacing w:line="360" w:lineRule="auto"/>
        <w:ind w:firstLine="2400" w:firstLineChars="1000"/>
        <w:jc w:val="left"/>
        <w:rPr>
          <w:rFonts w:hint="eastAsia" w:ascii="宋体" w:hAnsi="宋体" w:eastAsia="宋体" w:cs="宋体"/>
          <w:sz w:val="24"/>
          <w:highlight w:val="none"/>
        </w:rPr>
      </w:pPr>
      <w:r>
        <w:rPr>
          <w:rFonts w:hint="eastAsia" w:ascii="宋体" w:hAnsi="宋体" w:eastAsia="宋体" w:cs="宋体"/>
          <w:sz w:val="24"/>
          <w:highlight w:val="none"/>
        </w:rPr>
        <w:t>投标人（盖章）：</w:t>
      </w:r>
    </w:p>
    <w:p w14:paraId="57FE6078">
      <w:pPr>
        <w:rPr>
          <w:rFonts w:hint="eastAsia" w:ascii="宋体" w:hAnsi="宋体" w:eastAsia="宋体" w:cs="宋体"/>
          <w:highlight w:val="none"/>
        </w:rPr>
      </w:pPr>
      <w:r>
        <w:rPr>
          <w:rFonts w:hint="eastAsia" w:ascii="宋体" w:hAnsi="宋体" w:eastAsia="宋体" w:cs="宋体"/>
          <w:sz w:val="24"/>
          <w:highlight w:val="none"/>
        </w:rPr>
        <w:t xml:space="preserve">                    日期：</w:t>
      </w:r>
    </w:p>
    <w:p w14:paraId="78A8310B">
      <w:pPr>
        <w:pStyle w:val="34"/>
        <w:rPr>
          <w:highlight w:val="none"/>
        </w:rPr>
      </w:pPr>
    </w:p>
    <w:sectPr>
      <w:pgSz w:w="11906" w:h="16838"/>
      <w:pgMar w:top="1440" w:right="969" w:bottom="1440" w:left="969" w:header="510"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modern"/>
    <w:pitch w:val="default"/>
    <w:sig w:usb0="00000203" w:usb1="288F0000" w:usb2="0000000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0005F">
    <w:pPr>
      <w:pStyle w:val="18"/>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88BD">
                          <w:pPr>
                            <w:pStyle w:val="18"/>
                            <w:rPr>
                              <w:rFonts w:ascii="宋体" w:hAnsi="宋体" w:cs="宋体"/>
                              <w:sz w:val="21"/>
                              <w:szCs w:val="21"/>
                            </w:rPr>
                          </w:pPr>
                          <w:r>
                            <w:rPr>
                              <w:rFonts w:hint="eastAsia" w:ascii="宋体" w:hAnsi="宋体" w:cs="宋体"/>
                              <w:sz w:val="21"/>
                              <w:szCs w:val="21"/>
                            </w:rPr>
                            <w:t xml:space="preserve">第 </w:t>
                          </w: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80</w:t>
                          </w:r>
                          <w:r>
                            <w:rPr>
                              <w:rFonts w:hint="eastAsia" w:ascii="宋体" w:hAnsi="宋体" w:cs="宋体"/>
                              <w:sz w:val="21"/>
                              <w:szCs w:val="21"/>
                            </w:rPr>
                            <w:fldChar w:fldCharType="end"/>
                          </w:r>
                          <w:r>
                            <w:rPr>
                              <w:rFonts w:hint="eastAsia" w:ascii="宋体" w:hAnsi="宋体" w:cs="宋体"/>
                              <w:sz w:val="21"/>
                              <w:szCs w:val="21"/>
                            </w:rPr>
                            <w:t xml:space="preserve"> 页 共 </w:t>
                          </w:r>
                          <w:r>
                            <w:rPr>
                              <w:rFonts w:hint="eastAsia" w:ascii="宋体" w:hAnsi="宋体" w:cs="宋体"/>
                              <w:sz w:val="21"/>
                              <w:szCs w:val="21"/>
                            </w:rPr>
                            <w:fldChar w:fldCharType="begin"/>
                          </w:r>
                          <w:r>
                            <w:rPr>
                              <w:rFonts w:hint="eastAsia" w:ascii="宋体" w:hAnsi="宋体" w:cs="宋体"/>
                              <w:sz w:val="21"/>
                              <w:szCs w:val="21"/>
                            </w:rPr>
                            <w:instrText xml:space="preserve"> NUMPAGES  \* MERGEFORMAT </w:instrText>
                          </w:r>
                          <w:r>
                            <w:rPr>
                              <w:rFonts w:hint="eastAsia" w:ascii="宋体" w:hAnsi="宋体" w:cs="宋体"/>
                              <w:sz w:val="21"/>
                              <w:szCs w:val="21"/>
                            </w:rPr>
                            <w:fldChar w:fldCharType="separate"/>
                          </w:r>
                          <w:r>
                            <w:rPr>
                              <w:rFonts w:hint="eastAsia" w:ascii="宋体" w:hAnsi="宋体" w:cs="宋体"/>
                              <w:sz w:val="21"/>
                              <w:szCs w:val="21"/>
                            </w:rPr>
                            <w:t>84</w:t>
                          </w:r>
                          <w:r>
                            <w:rPr>
                              <w:rFonts w:hint="eastAsia" w:ascii="宋体" w:hAnsi="宋体" w:cs="宋体"/>
                              <w:sz w:val="21"/>
                              <w:szCs w:val="21"/>
                            </w:rPr>
                            <w:fldChar w:fldCharType="end"/>
                          </w:r>
                          <w:r>
                            <w:rPr>
                              <w:rFonts w:hint="eastAsia" w:ascii="宋体" w:hAnsi="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53E88BD">
                    <w:pPr>
                      <w:pStyle w:val="18"/>
                      <w:rPr>
                        <w:rFonts w:ascii="宋体" w:hAnsi="宋体" w:cs="宋体"/>
                        <w:sz w:val="21"/>
                        <w:szCs w:val="21"/>
                      </w:rPr>
                    </w:pPr>
                    <w:r>
                      <w:rPr>
                        <w:rFonts w:hint="eastAsia" w:ascii="宋体" w:hAnsi="宋体" w:cs="宋体"/>
                        <w:sz w:val="21"/>
                        <w:szCs w:val="21"/>
                      </w:rPr>
                      <w:t xml:space="preserve">第 </w:t>
                    </w: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hint="eastAsia" w:ascii="宋体" w:hAnsi="宋体" w:cs="宋体"/>
                        <w:sz w:val="21"/>
                        <w:szCs w:val="21"/>
                      </w:rPr>
                      <w:t>80</w:t>
                    </w:r>
                    <w:r>
                      <w:rPr>
                        <w:rFonts w:hint="eastAsia" w:ascii="宋体" w:hAnsi="宋体" w:cs="宋体"/>
                        <w:sz w:val="21"/>
                        <w:szCs w:val="21"/>
                      </w:rPr>
                      <w:fldChar w:fldCharType="end"/>
                    </w:r>
                    <w:r>
                      <w:rPr>
                        <w:rFonts w:hint="eastAsia" w:ascii="宋体" w:hAnsi="宋体" w:cs="宋体"/>
                        <w:sz w:val="21"/>
                        <w:szCs w:val="21"/>
                      </w:rPr>
                      <w:t xml:space="preserve"> 页 共 </w:t>
                    </w:r>
                    <w:r>
                      <w:rPr>
                        <w:rFonts w:hint="eastAsia" w:ascii="宋体" w:hAnsi="宋体" w:cs="宋体"/>
                        <w:sz w:val="21"/>
                        <w:szCs w:val="21"/>
                      </w:rPr>
                      <w:fldChar w:fldCharType="begin"/>
                    </w:r>
                    <w:r>
                      <w:rPr>
                        <w:rFonts w:hint="eastAsia" w:ascii="宋体" w:hAnsi="宋体" w:cs="宋体"/>
                        <w:sz w:val="21"/>
                        <w:szCs w:val="21"/>
                      </w:rPr>
                      <w:instrText xml:space="preserve"> NUMPAGES  \* MERGEFORMAT </w:instrText>
                    </w:r>
                    <w:r>
                      <w:rPr>
                        <w:rFonts w:hint="eastAsia" w:ascii="宋体" w:hAnsi="宋体" w:cs="宋体"/>
                        <w:sz w:val="21"/>
                        <w:szCs w:val="21"/>
                      </w:rPr>
                      <w:fldChar w:fldCharType="separate"/>
                    </w:r>
                    <w:r>
                      <w:rPr>
                        <w:rFonts w:hint="eastAsia" w:ascii="宋体" w:hAnsi="宋体" w:cs="宋体"/>
                        <w:sz w:val="21"/>
                        <w:szCs w:val="21"/>
                      </w:rPr>
                      <w:t>84</w:t>
                    </w:r>
                    <w:r>
                      <w:rPr>
                        <w:rFonts w:hint="eastAsia" w:ascii="宋体" w:hAnsi="宋体" w:cs="宋体"/>
                        <w:sz w:val="21"/>
                        <w:szCs w:val="21"/>
                      </w:rPr>
                      <w:fldChar w:fldCharType="end"/>
                    </w:r>
                    <w:r>
                      <w:rPr>
                        <w:rFonts w:hint="eastAsia" w:ascii="宋体" w:hAnsi="宋体" w:cs="宋体"/>
                        <w:sz w:val="21"/>
                        <w:szCs w:val="21"/>
                      </w:rPr>
                      <w:t xml:space="preserve"> 页</w:t>
                    </w:r>
                  </w:p>
                </w:txbxContent>
              </v:textbox>
            </v:shape>
          </w:pict>
        </mc:Fallback>
      </mc:AlternateContent>
    </w:r>
  </w:p>
  <w:p w14:paraId="71CE260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31BE">
    <w:pPr>
      <w:pStyle w:val="20"/>
      <w:pBdr>
        <w:bottom w:val="none" w:color="auto" w:sz="0" w:space="1"/>
      </w:pBdr>
      <w:tabs>
        <w:tab w:val="right" w:pos="11396"/>
      </w:tabs>
      <w:jc w:val="left"/>
      <w:rPr>
        <w:rFonts w:ascii="仿宋_GB2312" w:eastAsia="仿宋_GB2312"/>
        <w:b/>
        <w:i/>
        <w:u w:val="single"/>
      </w:rPr>
    </w:pPr>
    <w:r>
      <w:rPr>
        <w:rFonts w:hint="eastAsia"/>
      </w:rPr>
      <w:tab/>
    </w:r>
    <w:r>
      <w:rPr>
        <w:rFonts w:hint="eastAsia"/>
      </w:rPr>
      <w:tab/>
    </w:r>
    <w:r>
      <w:rPr>
        <w:rFonts w:hint="eastAsia"/>
      </w:rPr>
      <w:t xml:space="preserve">                                 </w:t>
    </w:r>
  </w:p>
  <w:p w14:paraId="5737D1E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235CD"/>
    <w:multiLevelType w:val="singleLevel"/>
    <w:tmpl w:val="974235CD"/>
    <w:lvl w:ilvl="0" w:tentative="0">
      <w:start w:val="1"/>
      <w:numFmt w:val="decimal"/>
      <w:suff w:val="nothing"/>
      <w:lvlText w:val="（%1）"/>
      <w:lvlJc w:val="left"/>
    </w:lvl>
  </w:abstractNum>
  <w:abstractNum w:abstractNumId="1">
    <w:nsid w:val="9D225D33"/>
    <w:multiLevelType w:val="singleLevel"/>
    <w:tmpl w:val="9D225D33"/>
    <w:lvl w:ilvl="0" w:tentative="0">
      <w:start w:val="5"/>
      <w:numFmt w:val="chineseCounting"/>
      <w:suff w:val="nothing"/>
      <w:lvlText w:val="%1、"/>
      <w:lvlJc w:val="left"/>
      <w:rPr>
        <w:rFonts w:hint="eastAsia"/>
      </w:rPr>
    </w:lvl>
  </w:abstractNum>
  <w:abstractNum w:abstractNumId="2">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3">
    <w:nsid w:val="E547743D"/>
    <w:multiLevelType w:val="singleLevel"/>
    <w:tmpl w:val="E547743D"/>
    <w:lvl w:ilvl="0" w:tentative="0">
      <w:start w:val="3"/>
      <w:numFmt w:val="chineseCounting"/>
      <w:suff w:val="space"/>
      <w:lvlText w:val="第%1部分"/>
      <w:lvlJc w:val="left"/>
      <w:rPr>
        <w:rFonts w:hint="eastAsia"/>
      </w:rPr>
    </w:lvl>
  </w:abstractNum>
  <w:abstractNum w:abstractNumId="4">
    <w:nsid w:val="F33006E0"/>
    <w:multiLevelType w:val="singleLevel"/>
    <w:tmpl w:val="F33006E0"/>
    <w:lvl w:ilvl="0" w:tentative="0">
      <w:start w:val="4"/>
      <w:numFmt w:val="decimal"/>
      <w:suff w:val="nothing"/>
      <w:lvlText w:val="%1、"/>
      <w:lvlJc w:val="left"/>
    </w:lvl>
  </w:abstractNum>
  <w:abstractNum w:abstractNumId="5">
    <w:nsid w:val="091F9E0A"/>
    <w:multiLevelType w:val="singleLevel"/>
    <w:tmpl w:val="091F9E0A"/>
    <w:lvl w:ilvl="0" w:tentative="0">
      <w:start w:val="1"/>
      <w:numFmt w:val="decimal"/>
      <w:suff w:val="nothing"/>
      <w:lvlText w:val="（%1）"/>
      <w:lvlJc w:val="left"/>
    </w:lvl>
  </w:abstractNum>
  <w:abstractNum w:abstractNumId="6">
    <w:nsid w:val="15E3E219"/>
    <w:multiLevelType w:val="singleLevel"/>
    <w:tmpl w:val="15E3E219"/>
    <w:lvl w:ilvl="0" w:tentative="0">
      <w:start w:val="1"/>
      <w:numFmt w:val="decimal"/>
      <w:suff w:val="nothing"/>
      <w:lvlText w:val="（%1）"/>
      <w:lvlJc w:val="left"/>
    </w:lvl>
  </w:abstractNum>
  <w:abstractNum w:abstractNumId="7">
    <w:nsid w:val="257D759B"/>
    <w:multiLevelType w:val="singleLevel"/>
    <w:tmpl w:val="257D759B"/>
    <w:lvl w:ilvl="0" w:tentative="0">
      <w:start w:val="1"/>
      <w:numFmt w:val="chineseCounting"/>
      <w:suff w:val="space"/>
      <w:lvlText w:val="%1、"/>
      <w:lvlJc w:val="left"/>
      <w:rPr>
        <w:rFonts w:hint="eastAsia"/>
      </w:rPr>
    </w:lvl>
  </w:abstractNum>
  <w:abstractNum w:abstractNumId="8">
    <w:nsid w:val="2DC53F9C"/>
    <w:multiLevelType w:val="singleLevel"/>
    <w:tmpl w:val="2DC53F9C"/>
    <w:lvl w:ilvl="0" w:tentative="0">
      <w:start w:val="5"/>
      <w:numFmt w:val="chineseCounting"/>
      <w:suff w:val="space"/>
      <w:lvlText w:val="第%1部分"/>
      <w:lvlJc w:val="left"/>
      <w:rPr>
        <w:rFonts w:hint="eastAsia"/>
      </w:rPr>
    </w:lvl>
  </w:abstractNum>
  <w:abstractNum w:abstractNumId="9">
    <w:nsid w:val="495C2BCE"/>
    <w:multiLevelType w:val="singleLevel"/>
    <w:tmpl w:val="495C2BCE"/>
    <w:lvl w:ilvl="0" w:tentative="0">
      <w:start w:val="1"/>
      <w:numFmt w:val="chineseCounting"/>
      <w:suff w:val="nothing"/>
      <w:lvlText w:val="%1、"/>
      <w:lvlJc w:val="left"/>
      <w:rPr>
        <w:rFonts w:hint="eastAsia"/>
      </w:rPr>
    </w:lvl>
  </w:abstractNum>
  <w:abstractNum w:abstractNumId="10">
    <w:nsid w:val="6C8AE504"/>
    <w:multiLevelType w:val="singleLevel"/>
    <w:tmpl w:val="6C8AE504"/>
    <w:lvl w:ilvl="0" w:tentative="0">
      <w:start w:val="9"/>
      <w:numFmt w:val="decimal"/>
      <w:suff w:val="nothing"/>
      <w:lvlText w:val="%1、"/>
      <w:lvlJc w:val="left"/>
    </w:lvl>
  </w:abstractNum>
  <w:num w:numId="1">
    <w:abstractNumId w:val="6"/>
  </w:num>
  <w:num w:numId="2">
    <w:abstractNumId w:val="2"/>
  </w:num>
  <w:num w:numId="3">
    <w:abstractNumId w:val="3"/>
  </w:num>
  <w:num w:numId="4">
    <w:abstractNumId w:val="4"/>
  </w:num>
  <w:num w:numId="5">
    <w:abstractNumId w:val="10"/>
  </w:num>
  <w:num w:numId="6">
    <w:abstractNumId w:val="0"/>
  </w:num>
  <w:num w:numId="7">
    <w:abstractNumId w:val="5"/>
  </w:num>
  <w:num w:numId="8">
    <w:abstractNumId w:val="8"/>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kZGIxYTllMzY5YjExMGQ3MjU2MTQ2OTNkYjZkMTgifQ=="/>
  </w:docVars>
  <w:rsids>
    <w:rsidRoot w:val="00982EB4"/>
    <w:rsid w:val="00016734"/>
    <w:rsid w:val="000331D4"/>
    <w:rsid w:val="000603F9"/>
    <w:rsid w:val="00061CE1"/>
    <w:rsid w:val="00095D46"/>
    <w:rsid w:val="000E448A"/>
    <w:rsid w:val="000F198F"/>
    <w:rsid w:val="001159C2"/>
    <w:rsid w:val="00117909"/>
    <w:rsid w:val="0012756F"/>
    <w:rsid w:val="00153638"/>
    <w:rsid w:val="001553AB"/>
    <w:rsid w:val="001716B0"/>
    <w:rsid w:val="0017305E"/>
    <w:rsid w:val="001A1458"/>
    <w:rsid w:val="001B2FBB"/>
    <w:rsid w:val="001C1283"/>
    <w:rsid w:val="001E148F"/>
    <w:rsid w:val="001F3EFC"/>
    <w:rsid w:val="00215736"/>
    <w:rsid w:val="00223803"/>
    <w:rsid w:val="0024092E"/>
    <w:rsid w:val="002417DB"/>
    <w:rsid w:val="00256C6B"/>
    <w:rsid w:val="00257FDF"/>
    <w:rsid w:val="0027141A"/>
    <w:rsid w:val="002936BF"/>
    <w:rsid w:val="002C1A24"/>
    <w:rsid w:val="003549BF"/>
    <w:rsid w:val="003773A8"/>
    <w:rsid w:val="003874A0"/>
    <w:rsid w:val="00403D4E"/>
    <w:rsid w:val="004403E2"/>
    <w:rsid w:val="00452882"/>
    <w:rsid w:val="00460AC1"/>
    <w:rsid w:val="00475B92"/>
    <w:rsid w:val="00484F20"/>
    <w:rsid w:val="004A3340"/>
    <w:rsid w:val="004B5857"/>
    <w:rsid w:val="004C3E57"/>
    <w:rsid w:val="004D6D46"/>
    <w:rsid w:val="004E23EB"/>
    <w:rsid w:val="004E36CD"/>
    <w:rsid w:val="005047BD"/>
    <w:rsid w:val="00507B69"/>
    <w:rsid w:val="00545EB5"/>
    <w:rsid w:val="00550EE6"/>
    <w:rsid w:val="005537BE"/>
    <w:rsid w:val="00555D80"/>
    <w:rsid w:val="005657F7"/>
    <w:rsid w:val="005B0674"/>
    <w:rsid w:val="005B09B1"/>
    <w:rsid w:val="005D37FA"/>
    <w:rsid w:val="005D76D8"/>
    <w:rsid w:val="0065305C"/>
    <w:rsid w:val="0065579D"/>
    <w:rsid w:val="006642E0"/>
    <w:rsid w:val="00673D9C"/>
    <w:rsid w:val="00686437"/>
    <w:rsid w:val="00693366"/>
    <w:rsid w:val="006A264B"/>
    <w:rsid w:val="006A53D1"/>
    <w:rsid w:val="006A6252"/>
    <w:rsid w:val="006B593D"/>
    <w:rsid w:val="006D63C7"/>
    <w:rsid w:val="0070004F"/>
    <w:rsid w:val="00706C27"/>
    <w:rsid w:val="00743729"/>
    <w:rsid w:val="00764A69"/>
    <w:rsid w:val="00773362"/>
    <w:rsid w:val="007A0D34"/>
    <w:rsid w:val="007D0A57"/>
    <w:rsid w:val="007E5A2D"/>
    <w:rsid w:val="008165FB"/>
    <w:rsid w:val="0082249C"/>
    <w:rsid w:val="008232A9"/>
    <w:rsid w:val="00833513"/>
    <w:rsid w:val="0083502E"/>
    <w:rsid w:val="008466CD"/>
    <w:rsid w:val="00886BF0"/>
    <w:rsid w:val="008B0252"/>
    <w:rsid w:val="008C7259"/>
    <w:rsid w:val="008E3C30"/>
    <w:rsid w:val="008F739E"/>
    <w:rsid w:val="009024C2"/>
    <w:rsid w:val="00956822"/>
    <w:rsid w:val="009778FA"/>
    <w:rsid w:val="00982EB4"/>
    <w:rsid w:val="00985F65"/>
    <w:rsid w:val="00995301"/>
    <w:rsid w:val="009B08DF"/>
    <w:rsid w:val="009E0AFD"/>
    <w:rsid w:val="009E17B8"/>
    <w:rsid w:val="009F5B94"/>
    <w:rsid w:val="00A172CB"/>
    <w:rsid w:val="00A23DA0"/>
    <w:rsid w:val="00A37FDA"/>
    <w:rsid w:val="00A41C0A"/>
    <w:rsid w:val="00A542FD"/>
    <w:rsid w:val="00AD06BE"/>
    <w:rsid w:val="00AD0EF1"/>
    <w:rsid w:val="00B16F88"/>
    <w:rsid w:val="00B17423"/>
    <w:rsid w:val="00B3449C"/>
    <w:rsid w:val="00B408F1"/>
    <w:rsid w:val="00BA7F9C"/>
    <w:rsid w:val="00BF605B"/>
    <w:rsid w:val="00C0606C"/>
    <w:rsid w:val="00C1671D"/>
    <w:rsid w:val="00C50D02"/>
    <w:rsid w:val="00C56A2B"/>
    <w:rsid w:val="00C73083"/>
    <w:rsid w:val="00C82E86"/>
    <w:rsid w:val="00C90FA9"/>
    <w:rsid w:val="00CB17EC"/>
    <w:rsid w:val="00CC1DBF"/>
    <w:rsid w:val="00CF24DB"/>
    <w:rsid w:val="00CF38A8"/>
    <w:rsid w:val="00D5122F"/>
    <w:rsid w:val="00D57F33"/>
    <w:rsid w:val="00D62310"/>
    <w:rsid w:val="00D75034"/>
    <w:rsid w:val="00D75BB4"/>
    <w:rsid w:val="00D8443F"/>
    <w:rsid w:val="00DA1619"/>
    <w:rsid w:val="00DD31F5"/>
    <w:rsid w:val="00DF259A"/>
    <w:rsid w:val="00DF7E6B"/>
    <w:rsid w:val="00E125FF"/>
    <w:rsid w:val="00E23AD0"/>
    <w:rsid w:val="00E80BD5"/>
    <w:rsid w:val="00E97D63"/>
    <w:rsid w:val="00EB2459"/>
    <w:rsid w:val="00EB25A8"/>
    <w:rsid w:val="00EC3260"/>
    <w:rsid w:val="00ED669C"/>
    <w:rsid w:val="00F0217B"/>
    <w:rsid w:val="00F128C1"/>
    <w:rsid w:val="00F36900"/>
    <w:rsid w:val="00F4077A"/>
    <w:rsid w:val="00F51917"/>
    <w:rsid w:val="00F60919"/>
    <w:rsid w:val="00F72776"/>
    <w:rsid w:val="00F8250D"/>
    <w:rsid w:val="00F85EC7"/>
    <w:rsid w:val="00F86D5A"/>
    <w:rsid w:val="00FC554C"/>
    <w:rsid w:val="00FD3F44"/>
    <w:rsid w:val="00FF2980"/>
    <w:rsid w:val="00FF710F"/>
    <w:rsid w:val="00FF796A"/>
    <w:rsid w:val="0134600B"/>
    <w:rsid w:val="014B08FF"/>
    <w:rsid w:val="015E6237"/>
    <w:rsid w:val="01CA199C"/>
    <w:rsid w:val="01EC4B32"/>
    <w:rsid w:val="020F7B7E"/>
    <w:rsid w:val="0248526F"/>
    <w:rsid w:val="02487D06"/>
    <w:rsid w:val="02652107"/>
    <w:rsid w:val="02720011"/>
    <w:rsid w:val="027767B7"/>
    <w:rsid w:val="028F0B41"/>
    <w:rsid w:val="02F553E2"/>
    <w:rsid w:val="03075147"/>
    <w:rsid w:val="032416AD"/>
    <w:rsid w:val="035F033E"/>
    <w:rsid w:val="036F568E"/>
    <w:rsid w:val="037E5983"/>
    <w:rsid w:val="038A62B3"/>
    <w:rsid w:val="03C076C5"/>
    <w:rsid w:val="04163446"/>
    <w:rsid w:val="04173BEF"/>
    <w:rsid w:val="04473564"/>
    <w:rsid w:val="044D00C0"/>
    <w:rsid w:val="04566EFD"/>
    <w:rsid w:val="04586762"/>
    <w:rsid w:val="04644B0E"/>
    <w:rsid w:val="047F34AB"/>
    <w:rsid w:val="04FE63B4"/>
    <w:rsid w:val="05177476"/>
    <w:rsid w:val="05264E90"/>
    <w:rsid w:val="056D7DEB"/>
    <w:rsid w:val="05747A2D"/>
    <w:rsid w:val="05A05B06"/>
    <w:rsid w:val="05A23262"/>
    <w:rsid w:val="05A351AD"/>
    <w:rsid w:val="05B83991"/>
    <w:rsid w:val="05C607EA"/>
    <w:rsid w:val="05DE35DC"/>
    <w:rsid w:val="05FE63DA"/>
    <w:rsid w:val="06011AD7"/>
    <w:rsid w:val="06052E78"/>
    <w:rsid w:val="062F0B89"/>
    <w:rsid w:val="06697003"/>
    <w:rsid w:val="06785934"/>
    <w:rsid w:val="06D418A0"/>
    <w:rsid w:val="06D42673"/>
    <w:rsid w:val="06DC2477"/>
    <w:rsid w:val="07573E68"/>
    <w:rsid w:val="078C1E10"/>
    <w:rsid w:val="07A656A9"/>
    <w:rsid w:val="07CA6A21"/>
    <w:rsid w:val="07CD4764"/>
    <w:rsid w:val="08110A1D"/>
    <w:rsid w:val="082E7F45"/>
    <w:rsid w:val="08305AFA"/>
    <w:rsid w:val="08411F3F"/>
    <w:rsid w:val="08652D8D"/>
    <w:rsid w:val="089C4FD4"/>
    <w:rsid w:val="08B1373D"/>
    <w:rsid w:val="08BF22FE"/>
    <w:rsid w:val="08FF042B"/>
    <w:rsid w:val="093F4CEB"/>
    <w:rsid w:val="095D1A5F"/>
    <w:rsid w:val="09A07CA6"/>
    <w:rsid w:val="09BD17F9"/>
    <w:rsid w:val="09C120A6"/>
    <w:rsid w:val="09F914D1"/>
    <w:rsid w:val="0A023DBB"/>
    <w:rsid w:val="0A1974BF"/>
    <w:rsid w:val="0A28781A"/>
    <w:rsid w:val="0A7B72A1"/>
    <w:rsid w:val="0A821D61"/>
    <w:rsid w:val="0AD8726A"/>
    <w:rsid w:val="0B3F21CE"/>
    <w:rsid w:val="0B5C2B67"/>
    <w:rsid w:val="0B724BB0"/>
    <w:rsid w:val="0B8909A2"/>
    <w:rsid w:val="0BC2456B"/>
    <w:rsid w:val="0C232BA4"/>
    <w:rsid w:val="0C5C7052"/>
    <w:rsid w:val="0C8130A6"/>
    <w:rsid w:val="0C901AB6"/>
    <w:rsid w:val="0CB37E08"/>
    <w:rsid w:val="0CC4049E"/>
    <w:rsid w:val="0CC675F5"/>
    <w:rsid w:val="0CEE5CC1"/>
    <w:rsid w:val="0CFE6FE3"/>
    <w:rsid w:val="0D0C53E6"/>
    <w:rsid w:val="0D0D543B"/>
    <w:rsid w:val="0D192952"/>
    <w:rsid w:val="0D1B387B"/>
    <w:rsid w:val="0D2534F4"/>
    <w:rsid w:val="0D2E508E"/>
    <w:rsid w:val="0D551C83"/>
    <w:rsid w:val="0D686997"/>
    <w:rsid w:val="0D8458C4"/>
    <w:rsid w:val="0D927468"/>
    <w:rsid w:val="0D9D258D"/>
    <w:rsid w:val="0DAB0D2D"/>
    <w:rsid w:val="0DD75DD9"/>
    <w:rsid w:val="0E5F156E"/>
    <w:rsid w:val="0E7479E9"/>
    <w:rsid w:val="0E7642D8"/>
    <w:rsid w:val="0E774247"/>
    <w:rsid w:val="0EC20452"/>
    <w:rsid w:val="0EE02A09"/>
    <w:rsid w:val="0EEA79A9"/>
    <w:rsid w:val="0F277DB4"/>
    <w:rsid w:val="0F591697"/>
    <w:rsid w:val="0F7C7BF2"/>
    <w:rsid w:val="0F8C4D49"/>
    <w:rsid w:val="0FA47B58"/>
    <w:rsid w:val="0FAD6A2B"/>
    <w:rsid w:val="0FB43E88"/>
    <w:rsid w:val="10142F42"/>
    <w:rsid w:val="10294D09"/>
    <w:rsid w:val="103753FE"/>
    <w:rsid w:val="103E1633"/>
    <w:rsid w:val="108321AD"/>
    <w:rsid w:val="10A5627E"/>
    <w:rsid w:val="10BE0260"/>
    <w:rsid w:val="10C85AC8"/>
    <w:rsid w:val="10CA655F"/>
    <w:rsid w:val="10CE6FB5"/>
    <w:rsid w:val="10F07633"/>
    <w:rsid w:val="10F501C5"/>
    <w:rsid w:val="111E5570"/>
    <w:rsid w:val="11302048"/>
    <w:rsid w:val="113B24D4"/>
    <w:rsid w:val="115775F8"/>
    <w:rsid w:val="115A36D3"/>
    <w:rsid w:val="1169073C"/>
    <w:rsid w:val="117C4C32"/>
    <w:rsid w:val="118841B7"/>
    <w:rsid w:val="11BB1AD0"/>
    <w:rsid w:val="11CF75E6"/>
    <w:rsid w:val="11D554DC"/>
    <w:rsid w:val="11DE311B"/>
    <w:rsid w:val="11E8129F"/>
    <w:rsid w:val="11F56D91"/>
    <w:rsid w:val="120A3DE4"/>
    <w:rsid w:val="124169C4"/>
    <w:rsid w:val="1272218F"/>
    <w:rsid w:val="12812BAA"/>
    <w:rsid w:val="129C69D2"/>
    <w:rsid w:val="12C32E24"/>
    <w:rsid w:val="12D93FBD"/>
    <w:rsid w:val="12F7477A"/>
    <w:rsid w:val="1301680B"/>
    <w:rsid w:val="130A39C8"/>
    <w:rsid w:val="130D1D87"/>
    <w:rsid w:val="133571E8"/>
    <w:rsid w:val="13655850"/>
    <w:rsid w:val="13702B73"/>
    <w:rsid w:val="13813306"/>
    <w:rsid w:val="13CE6797"/>
    <w:rsid w:val="142B4770"/>
    <w:rsid w:val="14327279"/>
    <w:rsid w:val="146675DF"/>
    <w:rsid w:val="147B0DC2"/>
    <w:rsid w:val="148A1102"/>
    <w:rsid w:val="14975C64"/>
    <w:rsid w:val="14985AF7"/>
    <w:rsid w:val="14C1152C"/>
    <w:rsid w:val="14D709D0"/>
    <w:rsid w:val="14DF2936"/>
    <w:rsid w:val="14E70A57"/>
    <w:rsid w:val="14FE41AE"/>
    <w:rsid w:val="152D29C8"/>
    <w:rsid w:val="1543420F"/>
    <w:rsid w:val="15461A98"/>
    <w:rsid w:val="1552177C"/>
    <w:rsid w:val="155E10C3"/>
    <w:rsid w:val="15636916"/>
    <w:rsid w:val="157225CD"/>
    <w:rsid w:val="159E419D"/>
    <w:rsid w:val="15B263F3"/>
    <w:rsid w:val="15BF3086"/>
    <w:rsid w:val="15C4275F"/>
    <w:rsid w:val="15CB1DAE"/>
    <w:rsid w:val="15CE2B1B"/>
    <w:rsid w:val="15D74342"/>
    <w:rsid w:val="15EB255B"/>
    <w:rsid w:val="15F804FD"/>
    <w:rsid w:val="160727AC"/>
    <w:rsid w:val="16192704"/>
    <w:rsid w:val="1627221C"/>
    <w:rsid w:val="16840CA4"/>
    <w:rsid w:val="168C0EBF"/>
    <w:rsid w:val="16BF1FDC"/>
    <w:rsid w:val="16C30324"/>
    <w:rsid w:val="16CC3838"/>
    <w:rsid w:val="172E30D6"/>
    <w:rsid w:val="172E5E61"/>
    <w:rsid w:val="174B1B73"/>
    <w:rsid w:val="174B4A6C"/>
    <w:rsid w:val="17587133"/>
    <w:rsid w:val="175A3EB4"/>
    <w:rsid w:val="17B42F96"/>
    <w:rsid w:val="17B56CB2"/>
    <w:rsid w:val="17D337A9"/>
    <w:rsid w:val="17DE301C"/>
    <w:rsid w:val="17E50B99"/>
    <w:rsid w:val="17ED4009"/>
    <w:rsid w:val="17F94335"/>
    <w:rsid w:val="18031D95"/>
    <w:rsid w:val="18064149"/>
    <w:rsid w:val="1820443C"/>
    <w:rsid w:val="18806AD3"/>
    <w:rsid w:val="18830AD4"/>
    <w:rsid w:val="18833A19"/>
    <w:rsid w:val="18AF200B"/>
    <w:rsid w:val="18C176C1"/>
    <w:rsid w:val="18E92965"/>
    <w:rsid w:val="191469F2"/>
    <w:rsid w:val="192F728A"/>
    <w:rsid w:val="19396DC2"/>
    <w:rsid w:val="19445F08"/>
    <w:rsid w:val="194A5C14"/>
    <w:rsid w:val="19565DF1"/>
    <w:rsid w:val="197B14A1"/>
    <w:rsid w:val="198A5D6D"/>
    <w:rsid w:val="19A05107"/>
    <w:rsid w:val="19A52ACF"/>
    <w:rsid w:val="19A74E14"/>
    <w:rsid w:val="19E001DC"/>
    <w:rsid w:val="19E12251"/>
    <w:rsid w:val="1A12098E"/>
    <w:rsid w:val="1A1C6195"/>
    <w:rsid w:val="1A744133"/>
    <w:rsid w:val="1A98475D"/>
    <w:rsid w:val="1A9B20BC"/>
    <w:rsid w:val="1AB37744"/>
    <w:rsid w:val="1AC22ED4"/>
    <w:rsid w:val="1ADC5CEF"/>
    <w:rsid w:val="1B01503A"/>
    <w:rsid w:val="1B0F49F7"/>
    <w:rsid w:val="1B185113"/>
    <w:rsid w:val="1B1E135A"/>
    <w:rsid w:val="1B66485B"/>
    <w:rsid w:val="1B6E4200"/>
    <w:rsid w:val="1BE870E9"/>
    <w:rsid w:val="1C1550E4"/>
    <w:rsid w:val="1C454C15"/>
    <w:rsid w:val="1C480FD5"/>
    <w:rsid w:val="1C81085D"/>
    <w:rsid w:val="1CBB0E56"/>
    <w:rsid w:val="1CD65B21"/>
    <w:rsid w:val="1CE41EDC"/>
    <w:rsid w:val="1CEE060E"/>
    <w:rsid w:val="1D0F08AC"/>
    <w:rsid w:val="1D9531D6"/>
    <w:rsid w:val="1D984B99"/>
    <w:rsid w:val="1DDB4F4E"/>
    <w:rsid w:val="1DE52A8D"/>
    <w:rsid w:val="1E2408D3"/>
    <w:rsid w:val="1E3074CE"/>
    <w:rsid w:val="1E7519B9"/>
    <w:rsid w:val="1E796DCF"/>
    <w:rsid w:val="1E7A2AF8"/>
    <w:rsid w:val="1E84031A"/>
    <w:rsid w:val="1E8B1FEC"/>
    <w:rsid w:val="1EA840E5"/>
    <w:rsid w:val="1EB83BDA"/>
    <w:rsid w:val="1EE75CB3"/>
    <w:rsid w:val="1F087553"/>
    <w:rsid w:val="1F154E34"/>
    <w:rsid w:val="1F1F71FB"/>
    <w:rsid w:val="1F364345"/>
    <w:rsid w:val="1F41090E"/>
    <w:rsid w:val="1F4954B6"/>
    <w:rsid w:val="1F4E5D32"/>
    <w:rsid w:val="1F665ACA"/>
    <w:rsid w:val="1FD65EAA"/>
    <w:rsid w:val="1FED554B"/>
    <w:rsid w:val="20033708"/>
    <w:rsid w:val="20054643"/>
    <w:rsid w:val="202D5948"/>
    <w:rsid w:val="20487AC7"/>
    <w:rsid w:val="205645BD"/>
    <w:rsid w:val="205B1E96"/>
    <w:rsid w:val="20686980"/>
    <w:rsid w:val="20747A7B"/>
    <w:rsid w:val="20AC3977"/>
    <w:rsid w:val="20B147CB"/>
    <w:rsid w:val="20CB7814"/>
    <w:rsid w:val="20FB2FA3"/>
    <w:rsid w:val="21087C21"/>
    <w:rsid w:val="21145DDB"/>
    <w:rsid w:val="211B3C5D"/>
    <w:rsid w:val="215238B8"/>
    <w:rsid w:val="218C3BF3"/>
    <w:rsid w:val="2195696C"/>
    <w:rsid w:val="21CB5418"/>
    <w:rsid w:val="21D012F2"/>
    <w:rsid w:val="21E16AF2"/>
    <w:rsid w:val="21EB29D0"/>
    <w:rsid w:val="21FD449E"/>
    <w:rsid w:val="21FF30ED"/>
    <w:rsid w:val="22093D6C"/>
    <w:rsid w:val="220A14E7"/>
    <w:rsid w:val="220F57E0"/>
    <w:rsid w:val="221B63A0"/>
    <w:rsid w:val="221D5314"/>
    <w:rsid w:val="22326BF7"/>
    <w:rsid w:val="22566CEB"/>
    <w:rsid w:val="22992C61"/>
    <w:rsid w:val="22BA1D06"/>
    <w:rsid w:val="22DC15F9"/>
    <w:rsid w:val="22E81306"/>
    <w:rsid w:val="23016DB6"/>
    <w:rsid w:val="231C1463"/>
    <w:rsid w:val="23614E92"/>
    <w:rsid w:val="23835A31"/>
    <w:rsid w:val="23892187"/>
    <w:rsid w:val="23895044"/>
    <w:rsid w:val="23B87C1E"/>
    <w:rsid w:val="23F5498B"/>
    <w:rsid w:val="2423369B"/>
    <w:rsid w:val="242B069D"/>
    <w:rsid w:val="243E6375"/>
    <w:rsid w:val="24474C77"/>
    <w:rsid w:val="24497E34"/>
    <w:rsid w:val="244C3DBF"/>
    <w:rsid w:val="247B1E7C"/>
    <w:rsid w:val="247F3415"/>
    <w:rsid w:val="248F71D9"/>
    <w:rsid w:val="249935AC"/>
    <w:rsid w:val="24C745BD"/>
    <w:rsid w:val="24EC5D5D"/>
    <w:rsid w:val="2520251E"/>
    <w:rsid w:val="258A2D98"/>
    <w:rsid w:val="259049AF"/>
    <w:rsid w:val="259F483D"/>
    <w:rsid w:val="25C455BF"/>
    <w:rsid w:val="25F50570"/>
    <w:rsid w:val="26086C3B"/>
    <w:rsid w:val="261F3F85"/>
    <w:rsid w:val="26740622"/>
    <w:rsid w:val="26956908"/>
    <w:rsid w:val="269B769C"/>
    <w:rsid w:val="26C474D2"/>
    <w:rsid w:val="26CD1853"/>
    <w:rsid w:val="27203EF9"/>
    <w:rsid w:val="273C21D4"/>
    <w:rsid w:val="274964FC"/>
    <w:rsid w:val="274C2B8C"/>
    <w:rsid w:val="27D360E7"/>
    <w:rsid w:val="27D537E2"/>
    <w:rsid w:val="27DC037F"/>
    <w:rsid w:val="28076B05"/>
    <w:rsid w:val="280F3966"/>
    <w:rsid w:val="28173C49"/>
    <w:rsid w:val="282D1685"/>
    <w:rsid w:val="282F062E"/>
    <w:rsid w:val="28403283"/>
    <w:rsid w:val="288E7610"/>
    <w:rsid w:val="28AF69A3"/>
    <w:rsid w:val="28BC18CA"/>
    <w:rsid w:val="28D70C83"/>
    <w:rsid w:val="28EB582E"/>
    <w:rsid w:val="29053362"/>
    <w:rsid w:val="291D6708"/>
    <w:rsid w:val="292D00A9"/>
    <w:rsid w:val="299837B8"/>
    <w:rsid w:val="29A175F2"/>
    <w:rsid w:val="29F63C2D"/>
    <w:rsid w:val="2A273408"/>
    <w:rsid w:val="2A3B16EC"/>
    <w:rsid w:val="2A4449EA"/>
    <w:rsid w:val="2A564D67"/>
    <w:rsid w:val="2A780832"/>
    <w:rsid w:val="2A8B5050"/>
    <w:rsid w:val="2A8C06BC"/>
    <w:rsid w:val="2A973F67"/>
    <w:rsid w:val="2AAC208D"/>
    <w:rsid w:val="2AD54930"/>
    <w:rsid w:val="2AD65065"/>
    <w:rsid w:val="2B0C2C5F"/>
    <w:rsid w:val="2B4264F2"/>
    <w:rsid w:val="2B725B73"/>
    <w:rsid w:val="2B7B01FF"/>
    <w:rsid w:val="2B8D5BDD"/>
    <w:rsid w:val="2B915C1A"/>
    <w:rsid w:val="2C161986"/>
    <w:rsid w:val="2C1E22BC"/>
    <w:rsid w:val="2C21508B"/>
    <w:rsid w:val="2C595A18"/>
    <w:rsid w:val="2C842D93"/>
    <w:rsid w:val="2CE11F94"/>
    <w:rsid w:val="2D254DCF"/>
    <w:rsid w:val="2D3E3873"/>
    <w:rsid w:val="2DA75742"/>
    <w:rsid w:val="2DE2142E"/>
    <w:rsid w:val="2DF04DC5"/>
    <w:rsid w:val="2DFF0BDB"/>
    <w:rsid w:val="2E07339C"/>
    <w:rsid w:val="2E0D7197"/>
    <w:rsid w:val="2E3659A6"/>
    <w:rsid w:val="2E7270FE"/>
    <w:rsid w:val="2E7B1F74"/>
    <w:rsid w:val="2ED43C22"/>
    <w:rsid w:val="2EFC5DBA"/>
    <w:rsid w:val="2F23431B"/>
    <w:rsid w:val="2F247D75"/>
    <w:rsid w:val="2F33417C"/>
    <w:rsid w:val="2F3E36CD"/>
    <w:rsid w:val="2F551261"/>
    <w:rsid w:val="2FB83480"/>
    <w:rsid w:val="2FC0496B"/>
    <w:rsid w:val="300230B3"/>
    <w:rsid w:val="30126A5B"/>
    <w:rsid w:val="303B3E41"/>
    <w:rsid w:val="304A446F"/>
    <w:rsid w:val="305277BA"/>
    <w:rsid w:val="307637C5"/>
    <w:rsid w:val="30A642D8"/>
    <w:rsid w:val="30CE781C"/>
    <w:rsid w:val="310D77FB"/>
    <w:rsid w:val="310F4AEF"/>
    <w:rsid w:val="312A215B"/>
    <w:rsid w:val="313C3C3D"/>
    <w:rsid w:val="314903A0"/>
    <w:rsid w:val="31771FA5"/>
    <w:rsid w:val="31AB208D"/>
    <w:rsid w:val="31B82449"/>
    <w:rsid w:val="31F67082"/>
    <w:rsid w:val="320C1861"/>
    <w:rsid w:val="323C57DF"/>
    <w:rsid w:val="328569F3"/>
    <w:rsid w:val="32907E67"/>
    <w:rsid w:val="32BB4322"/>
    <w:rsid w:val="32DF5DC0"/>
    <w:rsid w:val="32F702E6"/>
    <w:rsid w:val="32F72201"/>
    <w:rsid w:val="32FC2DEA"/>
    <w:rsid w:val="3319224A"/>
    <w:rsid w:val="3332640A"/>
    <w:rsid w:val="334D3EDF"/>
    <w:rsid w:val="33646ECC"/>
    <w:rsid w:val="337F6063"/>
    <w:rsid w:val="33986503"/>
    <w:rsid w:val="33AC33E7"/>
    <w:rsid w:val="33D04B10"/>
    <w:rsid w:val="33D97E69"/>
    <w:rsid w:val="33E2158D"/>
    <w:rsid w:val="33F4784C"/>
    <w:rsid w:val="34063371"/>
    <w:rsid w:val="340F3C54"/>
    <w:rsid w:val="341D6A98"/>
    <w:rsid w:val="342310E4"/>
    <w:rsid w:val="343A6EA7"/>
    <w:rsid w:val="343F7920"/>
    <w:rsid w:val="34467C6A"/>
    <w:rsid w:val="3457435E"/>
    <w:rsid w:val="34591D7D"/>
    <w:rsid w:val="348D4F02"/>
    <w:rsid w:val="34B03789"/>
    <w:rsid w:val="34B17082"/>
    <w:rsid w:val="34DA5C46"/>
    <w:rsid w:val="34F4495E"/>
    <w:rsid w:val="35354043"/>
    <w:rsid w:val="354E0366"/>
    <w:rsid w:val="3553629E"/>
    <w:rsid w:val="356030DC"/>
    <w:rsid w:val="356E059F"/>
    <w:rsid w:val="3577462B"/>
    <w:rsid w:val="358864EC"/>
    <w:rsid w:val="359304E6"/>
    <w:rsid w:val="35941EE7"/>
    <w:rsid w:val="359C6305"/>
    <w:rsid w:val="35A9270C"/>
    <w:rsid w:val="35AA5458"/>
    <w:rsid w:val="35B8118E"/>
    <w:rsid w:val="35D1488E"/>
    <w:rsid w:val="35DC5B5A"/>
    <w:rsid w:val="35F42B0D"/>
    <w:rsid w:val="35F9034E"/>
    <w:rsid w:val="3627692D"/>
    <w:rsid w:val="362F3464"/>
    <w:rsid w:val="364E7665"/>
    <w:rsid w:val="36552860"/>
    <w:rsid w:val="366059CF"/>
    <w:rsid w:val="367714D5"/>
    <w:rsid w:val="368407C6"/>
    <w:rsid w:val="368520E6"/>
    <w:rsid w:val="36994613"/>
    <w:rsid w:val="36CA138E"/>
    <w:rsid w:val="36E93417"/>
    <w:rsid w:val="36EB496B"/>
    <w:rsid w:val="36ED4AB8"/>
    <w:rsid w:val="36F437EE"/>
    <w:rsid w:val="371E0791"/>
    <w:rsid w:val="3744384B"/>
    <w:rsid w:val="3753277D"/>
    <w:rsid w:val="375710EF"/>
    <w:rsid w:val="375A306E"/>
    <w:rsid w:val="375F335D"/>
    <w:rsid w:val="37BC000F"/>
    <w:rsid w:val="37CA4FAA"/>
    <w:rsid w:val="37CF65F0"/>
    <w:rsid w:val="37EA3B98"/>
    <w:rsid w:val="38294187"/>
    <w:rsid w:val="383843EC"/>
    <w:rsid w:val="3863725C"/>
    <w:rsid w:val="386A108F"/>
    <w:rsid w:val="386A1851"/>
    <w:rsid w:val="387E786A"/>
    <w:rsid w:val="388860DE"/>
    <w:rsid w:val="38B2758C"/>
    <w:rsid w:val="38B35DD6"/>
    <w:rsid w:val="38D76D60"/>
    <w:rsid w:val="38DD4972"/>
    <w:rsid w:val="39355B41"/>
    <w:rsid w:val="394B7113"/>
    <w:rsid w:val="394E19CF"/>
    <w:rsid w:val="396F5699"/>
    <w:rsid w:val="397540CC"/>
    <w:rsid w:val="398A3694"/>
    <w:rsid w:val="39A529DB"/>
    <w:rsid w:val="39C26370"/>
    <w:rsid w:val="39E15629"/>
    <w:rsid w:val="3A410250"/>
    <w:rsid w:val="3A465B2C"/>
    <w:rsid w:val="3AA722DA"/>
    <w:rsid w:val="3AD4138A"/>
    <w:rsid w:val="3AD55DEF"/>
    <w:rsid w:val="3AE35364"/>
    <w:rsid w:val="3AE923DB"/>
    <w:rsid w:val="3AF37D5E"/>
    <w:rsid w:val="3B301AF3"/>
    <w:rsid w:val="3B39192F"/>
    <w:rsid w:val="3BA82A38"/>
    <w:rsid w:val="3BA969AB"/>
    <w:rsid w:val="3BB84807"/>
    <w:rsid w:val="3BE51DAE"/>
    <w:rsid w:val="3C4E1EDB"/>
    <w:rsid w:val="3C5F4A28"/>
    <w:rsid w:val="3CC0115D"/>
    <w:rsid w:val="3CCA2A44"/>
    <w:rsid w:val="3CF1496B"/>
    <w:rsid w:val="3CF81277"/>
    <w:rsid w:val="3D1238DD"/>
    <w:rsid w:val="3D3A74E5"/>
    <w:rsid w:val="3D6F0A12"/>
    <w:rsid w:val="3D7E319F"/>
    <w:rsid w:val="3DA569A2"/>
    <w:rsid w:val="3DB85A66"/>
    <w:rsid w:val="3DCC285D"/>
    <w:rsid w:val="3DDA212B"/>
    <w:rsid w:val="3DDE0F39"/>
    <w:rsid w:val="3DFA79FE"/>
    <w:rsid w:val="3E012496"/>
    <w:rsid w:val="3E032E23"/>
    <w:rsid w:val="3E4A014E"/>
    <w:rsid w:val="3E517286"/>
    <w:rsid w:val="3EB35153"/>
    <w:rsid w:val="3EB53F17"/>
    <w:rsid w:val="3EB72883"/>
    <w:rsid w:val="3EC21813"/>
    <w:rsid w:val="3EEC7CE1"/>
    <w:rsid w:val="3F173D71"/>
    <w:rsid w:val="3F1B1335"/>
    <w:rsid w:val="3F2762A7"/>
    <w:rsid w:val="3F47212A"/>
    <w:rsid w:val="3F696A4B"/>
    <w:rsid w:val="3F7852B0"/>
    <w:rsid w:val="3F8C4BBF"/>
    <w:rsid w:val="3F9368B4"/>
    <w:rsid w:val="3FB75D2C"/>
    <w:rsid w:val="3FC1012F"/>
    <w:rsid w:val="3FC81341"/>
    <w:rsid w:val="3FD9520D"/>
    <w:rsid w:val="3FE060DB"/>
    <w:rsid w:val="3FF115A1"/>
    <w:rsid w:val="400D7496"/>
    <w:rsid w:val="4052349C"/>
    <w:rsid w:val="406712EA"/>
    <w:rsid w:val="406D4C72"/>
    <w:rsid w:val="4076376A"/>
    <w:rsid w:val="407918CC"/>
    <w:rsid w:val="40AE4FD6"/>
    <w:rsid w:val="40D625F3"/>
    <w:rsid w:val="410B53D9"/>
    <w:rsid w:val="4126768B"/>
    <w:rsid w:val="412E7E70"/>
    <w:rsid w:val="413804BD"/>
    <w:rsid w:val="415E375B"/>
    <w:rsid w:val="416E2A07"/>
    <w:rsid w:val="41731B7A"/>
    <w:rsid w:val="41744D2D"/>
    <w:rsid w:val="419424BD"/>
    <w:rsid w:val="41A06E27"/>
    <w:rsid w:val="41CB756B"/>
    <w:rsid w:val="41F966E5"/>
    <w:rsid w:val="42091618"/>
    <w:rsid w:val="42186355"/>
    <w:rsid w:val="422D19C5"/>
    <w:rsid w:val="42417929"/>
    <w:rsid w:val="42544284"/>
    <w:rsid w:val="4273721A"/>
    <w:rsid w:val="427F186D"/>
    <w:rsid w:val="42B9270F"/>
    <w:rsid w:val="42CF38B4"/>
    <w:rsid w:val="42DE1778"/>
    <w:rsid w:val="42E13BA8"/>
    <w:rsid w:val="42F848B2"/>
    <w:rsid w:val="430734AD"/>
    <w:rsid w:val="430D71E7"/>
    <w:rsid w:val="432F1853"/>
    <w:rsid w:val="433E3844"/>
    <w:rsid w:val="43402962"/>
    <w:rsid w:val="43471F7C"/>
    <w:rsid w:val="437224EE"/>
    <w:rsid w:val="43B41D58"/>
    <w:rsid w:val="43E747B2"/>
    <w:rsid w:val="442C75DC"/>
    <w:rsid w:val="443D3AFC"/>
    <w:rsid w:val="44BA1A1A"/>
    <w:rsid w:val="44E45B21"/>
    <w:rsid w:val="456B16B7"/>
    <w:rsid w:val="45744229"/>
    <w:rsid w:val="45792DD7"/>
    <w:rsid w:val="458472F4"/>
    <w:rsid w:val="45901ED8"/>
    <w:rsid w:val="459050D4"/>
    <w:rsid w:val="45926C9D"/>
    <w:rsid w:val="45F11042"/>
    <w:rsid w:val="45F35012"/>
    <w:rsid w:val="45F65CF5"/>
    <w:rsid w:val="461C2955"/>
    <w:rsid w:val="467534D2"/>
    <w:rsid w:val="469A68D7"/>
    <w:rsid w:val="46A274BD"/>
    <w:rsid w:val="46B21938"/>
    <w:rsid w:val="46BC3817"/>
    <w:rsid w:val="470D7AB8"/>
    <w:rsid w:val="47514501"/>
    <w:rsid w:val="476F1F66"/>
    <w:rsid w:val="47892DC4"/>
    <w:rsid w:val="47A85730"/>
    <w:rsid w:val="47B53746"/>
    <w:rsid w:val="47EC12BB"/>
    <w:rsid w:val="480A6D27"/>
    <w:rsid w:val="480B508B"/>
    <w:rsid w:val="480C3F11"/>
    <w:rsid w:val="48161FA4"/>
    <w:rsid w:val="483D0579"/>
    <w:rsid w:val="485460E2"/>
    <w:rsid w:val="485F49A5"/>
    <w:rsid w:val="48687671"/>
    <w:rsid w:val="48935D48"/>
    <w:rsid w:val="489D100D"/>
    <w:rsid w:val="48B45470"/>
    <w:rsid w:val="48D74A0C"/>
    <w:rsid w:val="48E5492A"/>
    <w:rsid w:val="48F61E83"/>
    <w:rsid w:val="4908675A"/>
    <w:rsid w:val="492A07DE"/>
    <w:rsid w:val="497C6FEE"/>
    <w:rsid w:val="49855B07"/>
    <w:rsid w:val="49951A3B"/>
    <w:rsid w:val="499E7A61"/>
    <w:rsid w:val="4A0D13DC"/>
    <w:rsid w:val="4A0F6A0A"/>
    <w:rsid w:val="4A1179FE"/>
    <w:rsid w:val="4A1F7CEC"/>
    <w:rsid w:val="4A2E69CA"/>
    <w:rsid w:val="4A3E05CE"/>
    <w:rsid w:val="4A431740"/>
    <w:rsid w:val="4A495268"/>
    <w:rsid w:val="4A5A7403"/>
    <w:rsid w:val="4A612F25"/>
    <w:rsid w:val="4A630034"/>
    <w:rsid w:val="4A7331BE"/>
    <w:rsid w:val="4A7F5F56"/>
    <w:rsid w:val="4A9D3546"/>
    <w:rsid w:val="4AA449CE"/>
    <w:rsid w:val="4B3B4D32"/>
    <w:rsid w:val="4B5538D6"/>
    <w:rsid w:val="4B797B0F"/>
    <w:rsid w:val="4B7F0E9E"/>
    <w:rsid w:val="4B8B7A78"/>
    <w:rsid w:val="4B9D6558"/>
    <w:rsid w:val="4BC071E3"/>
    <w:rsid w:val="4BC4405F"/>
    <w:rsid w:val="4BD6027C"/>
    <w:rsid w:val="4C0C0983"/>
    <w:rsid w:val="4C215034"/>
    <w:rsid w:val="4C3A0D65"/>
    <w:rsid w:val="4C411600"/>
    <w:rsid w:val="4C453E71"/>
    <w:rsid w:val="4C4C5CA9"/>
    <w:rsid w:val="4C561BFF"/>
    <w:rsid w:val="4C62643E"/>
    <w:rsid w:val="4C740E32"/>
    <w:rsid w:val="4C7772DD"/>
    <w:rsid w:val="4C7E73A7"/>
    <w:rsid w:val="4CA701D8"/>
    <w:rsid w:val="4CDF1BF4"/>
    <w:rsid w:val="4CE20958"/>
    <w:rsid w:val="4CEB55F7"/>
    <w:rsid w:val="4CF74B45"/>
    <w:rsid w:val="4D00256C"/>
    <w:rsid w:val="4D34277C"/>
    <w:rsid w:val="4D990AD6"/>
    <w:rsid w:val="4DCC0F36"/>
    <w:rsid w:val="4DD908F3"/>
    <w:rsid w:val="4E0B34AF"/>
    <w:rsid w:val="4E3D6CAA"/>
    <w:rsid w:val="4E7B77F3"/>
    <w:rsid w:val="4E7F46C2"/>
    <w:rsid w:val="4E8E140D"/>
    <w:rsid w:val="4E9E7027"/>
    <w:rsid w:val="4EA05620"/>
    <w:rsid w:val="4EAB1CE6"/>
    <w:rsid w:val="4EBA5C9A"/>
    <w:rsid w:val="4EC81A8D"/>
    <w:rsid w:val="4ECC443F"/>
    <w:rsid w:val="4ED90D86"/>
    <w:rsid w:val="4EF37C73"/>
    <w:rsid w:val="4F324512"/>
    <w:rsid w:val="4F7D0656"/>
    <w:rsid w:val="502246FD"/>
    <w:rsid w:val="50354145"/>
    <w:rsid w:val="5043249A"/>
    <w:rsid w:val="50650F36"/>
    <w:rsid w:val="506770C9"/>
    <w:rsid w:val="506D4BA2"/>
    <w:rsid w:val="506D55AF"/>
    <w:rsid w:val="50762D92"/>
    <w:rsid w:val="508825A3"/>
    <w:rsid w:val="50A313D7"/>
    <w:rsid w:val="50AC019A"/>
    <w:rsid w:val="50B25FB2"/>
    <w:rsid w:val="50B800D1"/>
    <w:rsid w:val="50E07940"/>
    <w:rsid w:val="51300A85"/>
    <w:rsid w:val="51422306"/>
    <w:rsid w:val="51453FF0"/>
    <w:rsid w:val="51575F92"/>
    <w:rsid w:val="515A3FF0"/>
    <w:rsid w:val="515E4352"/>
    <w:rsid w:val="51641844"/>
    <w:rsid w:val="51922AAE"/>
    <w:rsid w:val="51BD57A4"/>
    <w:rsid w:val="51F7169C"/>
    <w:rsid w:val="51FA302C"/>
    <w:rsid w:val="521667E8"/>
    <w:rsid w:val="52167D03"/>
    <w:rsid w:val="522003B6"/>
    <w:rsid w:val="5221680B"/>
    <w:rsid w:val="522C1A00"/>
    <w:rsid w:val="527F5796"/>
    <w:rsid w:val="527F72BA"/>
    <w:rsid w:val="529573B7"/>
    <w:rsid w:val="52B570C4"/>
    <w:rsid w:val="52DA3214"/>
    <w:rsid w:val="52F40FEE"/>
    <w:rsid w:val="530B668D"/>
    <w:rsid w:val="53110B9D"/>
    <w:rsid w:val="531609B9"/>
    <w:rsid w:val="53193FCC"/>
    <w:rsid w:val="532D346E"/>
    <w:rsid w:val="53346A12"/>
    <w:rsid w:val="53430A03"/>
    <w:rsid w:val="53504969"/>
    <w:rsid w:val="536722C8"/>
    <w:rsid w:val="5382777D"/>
    <w:rsid w:val="539B0076"/>
    <w:rsid w:val="53A14FB7"/>
    <w:rsid w:val="53B2795F"/>
    <w:rsid w:val="53B33FCE"/>
    <w:rsid w:val="53BA7322"/>
    <w:rsid w:val="53C0250E"/>
    <w:rsid w:val="53CB1384"/>
    <w:rsid w:val="53DF60B1"/>
    <w:rsid w:val="53E722CD"/>
    <w:rsid w:val="53EE63B1"/>
    <w:rsid w:val="53FC752F"/>
    <w:rsid w:val="542C4339"/>
    <w:rsid w:val="544100EE"/>
    <w:rsid w:val="544A2502"/>
    <w:rsid w:val="545266C4"/>
    <w:rsid w:val="54C16083"/>
    <w:rsid w:val="54C16F85"/>
    <w:rsid w:val="54C60EEF"/>
    <w:rsid w:val="54DA5642"/>
    <w:rsid w:val="54F22A19"/>
    <w:rsid w:val="54F621CB"/>
    <w:rsid w:val="54FF12D2"/>
    <w:rsid w:val="550E5BA8"/>
    <w:rsid w:val="55174A1E"/>
    <w:rsid w:val="551C76E5"/>
    <w:rsid w:val="5526447D"/>
    <w:rsid w:val="55362325"/>
    <w:rsid w:val="554435A1"/>
    <w:rsid w:val="555A5629"/>
    <w:rsid w:val="55641483"/>
    <w:rsid w:val="55956C0E"/>
    <w:rsid w:val="559D7AFB"/>
    <w:rsid w:val="55A52369"/>
    <w:rsid w:val="55F44C5E"/>
    <w:rsid w:val="56101706"/>
    <w:rsid w:val="56823CA2"/>
    <w:rsid w:val="569E6E48"/>
    <w:rsid w:val="56D6347F"/>
    <w:rsid w:val="56DB2C2D"/>
    <w:rsid w:val="56E03695"/>
    <w:rsid w:val="570707BA"/>
    <w:rsid w:val="57105B5D"/>
    <w:rsid w:val="57353838"/>
    <w:rsid w:val="57457B02"/>
    <w:rsid w:val="57497909"/>
    <w:rsid w:val="574B7C39"/>
    <w:rsid w:val="579A5D9E"/>
    <w:rsid w:val="57C132F7"/>
    <w:rsid w:val="57C87A79"/>
    <w:rsid w:val="57CF5D62"/>
    <w:rsid w:val="580B24E2"/>
    <w:rsid w:val="5825410F"/>
    <w:rsid w:val="58367C09"/>
    <w:rsid w:val="58460F27"/>
    <w:rsid w:val="586226EF"/>
    <w:rsid w:val="587B095B"/>
    <w:rsid w:val="58802671"/>
    <w:rsid w:val="58812341"/>
    <w:rsid w:val="589E5122"/>
    <w:rsid w:val="58CC12AC"/>
    <w:rsid w:val="58CF3BC7"/>
    <w:rsid w:val="58DB71EA"/>
    <w:rsid w:val="58E530A2"/>
    <w:rsid w:val="58F813DB"/>
    <w:rsid w:val="58FF328F"/>
    <w:rsid w:val="593A75E3"/>
    <w:rsid w:val="594902D2"/>
    <w:rsid w:val="598A38AF"/>
    <w:rsid w:val="598B4764"/>
    <w:rsid w:val="59AE74AA"/>
    <w:rsid w:val="59BE5287"/>
    <w:rsid w:val="59CE22C7"/>
    <w:rsid w:val="59ED3476"/>
    <w:rsid w:val="5A024B69"/>
    <w:rsid w:val="5A4E592A"/>
    <w:rsid w:val="5A846733"/>
    <w:rsid w:val="5AA441EC"/>
    <w:rsid w:val="5AB145DC"/>
    <w:rsid w:val="5AB220C6"/>
    <w:rsid w:val="5AB230A3"/>
    <w:rsid w:val="5AEF4A61"/>
    <w:rsid w:val="5B032705"/>
    <w:rsid w:val="5B0D3F24"/>
    <w:rsid w:val="5B592D40"/>
    <w:rsid w:val="5BB257B5"/>
    <w:rsid w:val="5C045202"/>
    <w:rsid w:val="5C0A5BE9"/>
    <w:rsid w:val="5C725D18"/>
    <w:rsid w:val="5CA32DC3"/>
    <w:rsid w:val="5CF20F36"/>
    <w:rsid w:val="5D116A3E"/>
    <w:rsid w:val="5D1C2B72"/>
    <w:rsid w:val="5D2141BC"/>
    <w:rsid w:val="5D5759CA"/>
    <w:rsid w:val="5D9C1D58"/>
    <w:rsid w:val="5DAE78AC"/>
    <w:rsid w:val="5DBD1632"/>
    <w:rsid w:val="5DEC1CA0"/>
    <w:rsid w:val="5DF53B51"/>
    <w:rsid w:val="5E1315A1"/>
    <w:rsid w:val="5E1E1E96"/>
    <w:rsid w:val="5EAC0136"/>
    <w:rsid w:val="5EF77271"/>
    <w:rsid w:val="5EF91F5C"/>
    <w:rsid w:val="5F0B0A36"/>
    <w:rsid w:val="5F2775DB"/>
    <w:rsid w:val="5F5E65E2"/>
    <w:rsid w:val="5F712DAE"/>
    <w:rsid w:val="5F830B05"/>
    <w:rsid w:val="5F9946B0"/>
    <w:rsid w:val="5F9A0CFC"/>
    <w:rsid w:val="5FA301C0"/>
    <w:rsid w:val="5FB05155"/>
    <w:rsid w:val="5FBE1B3D"/>
    <w:rsid w:val="5FC5111D"/>
    <w:rsid w:val="60067904"/>
    <w:rsid w:val="601A4216"/>
    <w:rsid w:val="6028345A"/>
    <w:rsid w:val="603708EB"/>
    <w:rsid w:val="609A37A6"/>
    <w:rsid w:val="60C23E85"/>
    <w:rsid w:val="60D158A0"/>
    <w:rsid w:val="60D26774"/>
    <w:rsid w:val="610807BB"/>
    <w:rsid w:val="612C6F7A"/>
    <w:rsid w:val="61493930"/>
    <w:rsid w:val="614E4C24"/>
    <w:rsid w:val="617701F5"/>
    <w:rsid w:val="617C507F"/>
    <w:rsid w:val="6187474F"/>
    <w:rsid w:val="619E1C26"/>
    <w:rsid w:val="61A92E96"/>
    <w:rsid w:val="61AD00BB"/>
    <w:rsid w:val="61BE28FF"/>
    <w:rsid w:val="61D42EB4"/>
    <w:rsid w:val="61F47A98"/>
    <w:rsid w:val="61F9514E"/>
    <w:rsid w:val="621731AC"/>
    <w:rsid w:val="626E13C1"/>
    <w:rsid w:val="627E29F8"/>
    <w:rsid w:val="62AA5CFA"/>
    <w:rsid w:val="62AF5BBE"/>
    <w:rsid w:val="62B555B3"/>
    <w:rsid w:val="62B84C15"/>
    <w:rsid w:val="62C70D09"/>
    <w:rsid w:val="62CA76C4"/>
    <w:rsid w:val="62DB4DC9"/>
    <w:rsid w:val="63081A0C"/>
    <w:rsid w:val="63795CC3"/>
    <w:rsid w:val="63854080"/>
    <w:rsid w:val="63A27915"/>
    <w:rsid w:val="63B41066"/>
    <w:rsid w:val="63B91136"/>
    <w:rsid w:val="63DC4C88"/>
    <w:rsid w:val="641B2A48"/>
    <w:rsid w:val="64632CB3"/>
    <w:rsid w:val="646457EE"/>
    <w:rsid w:val="648F18A4"/>
    <w:rsid w:val="64A62BA0"/>
    <w:rsid w:val="64A84B6A"/>
    <w:rsid w:val="64B1461A"/>
    <w:rsid w:val="64D771FD"/>
    <w:rsid w:val="64E02555"/>
    <w:rsid w:val="64F93617"/>
    <w:rsid w:val="651A323B"/>
    <w:rsid w:val="65486FB7"/>
    <w:rsid w:val="655E14F4"/>
    <w:rsid w:val="65902389"/>
    <w:rsid w:val="65991FE6"/>
    <w:rsid w:val="65AA4A31"/>
    <w:rsid w:val="65E163CC"/>
    <w:rsid w:val="66326DE1"/>
    <w:rsid w:val="66673025"/>
    <w:rsid w:val="66877840"/>
    <w:rsid w:val="66A80E51"/>
    <w:rsid w:val="66B76826"/>
    <w:rsid w:val="66C67FFB"/>
    <w:rsid w:val="66C739CD"/>
    <w:rsid w:val="66CF3A9A"/>
    <w:rsid w:val="66F83B86"/>
    <w:rsid w:val="670E308E"/>
    <w:rsid w:val="67183F0E"/>
    <w:rsid w:val="672612BD"/>
    <w:rsid w:val="67263FC9"/>
    <w:rsid w:val="67342D91"/>
    <w:rsid w:val="675475C3"/>
    <w:rsid w:val="675C5BE6"/>
    <w:rsid w:val="67692885"/>
    <w:rsid w:val="676C46F7"/>
    <w:rsid w:val="67700243"/>
    <w:rsid w:val="67BB736A"/>
    <w:rsid w:val="67BD61F2"/>
    <w:rsid w:val="67D2738D"/>
    <w:rsid w:val="68136FBF"/>
    <w:rsid w:val="683D49D7"/>
    <w:rsid w:val="686158D8"/>
    <w:rsid w:val="68901986"/>
    <w:rsid w:val="68BB0D98"/>
    <w:rsid w:val="68CA1553"/>
    <w:rsid w:val="68E10C17"/>
    <w:rsid w:val="68E52E2C"/>
    <w:rsid w:val="690C4633"/>
    <w:rsid w:val="69147306"/>
    <w:rsid w:val="691E2683"/>
    <w:rsid w:val="693370F8"/>
    <w:rsid w:val="693A2B3E"/>
    <w:rsid w:val="695F3982"/>
    <w:rsid w:val="69680E1D"/>
    <w:rsid w:val="69794141"/>
    <w:rsid w:val="697C161B"/>
    <w:rsid w:val="69A1305C"/>
    <w:rsid w:val="69B540CE"/>
    <w:rsid w:val="6A0C7B07"/>
    <w:rsid w:val="6A197F18"/>
    <w:rsid w:val="6A20233E"/>
    <w:rsid w:val="6A4610DA"/>
    <w:rsid w:val="6A667081"/>
    <w:rsid w:val="6A67480C"/>
    <w:rsid w:val="6A7B5C46"/>
    <w:rsid w:val="6A9E0FA8"/>
    <w:rsid w:val="6AB04778"/>
    <w:rsid w:val="6AC36E2A"/>
    <w:rsid w:val="6AE07B4D"/>
    <w:rsid w:val="6AFC53DE"/>
    <w:rsid w:val="6B005971"/>
    <w:rsid w:val="6B0235B8"/>
    <w:rsid w:val="6B1B4E29"/>
    <w:rsid w:val="6B215C4B"/>
    <w:rsid w:val="6B3B47F0"/>
    <w:rsid w:val="6B3B6001"/>
    <w:rsid w:val="6B55539E"/>
    <w:rsid w:val="6B6841DA"/>
    <w:rsid w:val="6BC1472B"/>
    <w:rsid w:val="6BCF5E04"/>
    <w:rsid w:val="6BE81EB4"/>
    <w:rsid w:val="6C2A6602"/>
    <w:rsid w:val="6C39381F"/>
    <w:rsid w:val="6C3A1B72"/>
    <w:rsid w:val="6C59204A"/>
    <w:rsid w:val="6CA76094"/>
    <w:rsid w:val="6CAC3022"/>
    <w:rsid w:val="6CB53614"/>
    <w:rsid w:val="6CD53520"/>
    <w:rsid w:val="6CE400E3"/>
    <w:rsid w:val="6D2234EA"/>
    <w:rsid w:val="6D760046"/>
    <w:rsid w:val="6D8A7447"/>
    <w:rsid w:val="6DA94157"/>
    <w:rsid w:val="6DCF03B7"/>
    <w:rsid w:val="6DD25C8F"/>
    <w:rsid w:val="6DDE33AA"/>
    <w:rsid w:val="6DE53B02"/>
    <w:rsid w:val="6E1346D6"/>
    <w:rsid w:val="6E182D60"/>
    <w:rsid w:val="6E533D98"/>
    <w:rsid w:val="6E557B10"/>
    <w:rsid w:val="6EF966EE"/>
    <w:rsid w:val="6F0445A0"/>
    <w:rsid w:val="6F1A76F6"/>
    <w:rsid w:val="6F1B41AE"/>
    <w:rsid w:val="6F262DF3"/>
    <w:rsid w:val="6F280444"/>
    <w:rsid w:val="6F2A2565"/>
    <w:rsid w:val="6F400ED5"/>
    <w:rsid w:val="6F43186D"/>
    <w:rsid w:val="6F445BA5"/>
    <w:rsid w:val="6F475CE5"/>
    <w:rsid w:val="6F4A6F49"/>
    <w:rsid w:val="6F4D3178"/>
    <w:rsid w:val="6F6517CB"/>
    <w:rsid w:val="6FAF4213"/>
    <w:rsid w:val="6FB969F4"/>
    <w:rsid w:val="6FD470B5"/>
    <w:rsid w:val="6FDE1677"/>
    <w:rsid w:val="6FF43359"/>
    <w:rsid w:val="70093510"/>
    <w:rsid w:val="700F42B3"/>
    <w:rsid w:val="701557A9"/>
    <w:rsid w:val="7050285A"/>
    <w:rsid w:val="70571AF2"/>
    <w:rsid w:val="708D02FE"/>
    <w:rsid w:val="70C0630A"/>
    <w:rsid w:val="70EE5A71"/>
    <w:rsid w:val="70FB78FE"/>
    <w:rsid w:val="71041BF8"/>
    <w:rsid w:val="71463740"/>
    <w:rsid w:val="714F5473"/>
    <w:rsid w:val="7157594D"/>
    <w:rsid w:val="716D4F2F"/>
    <w:rsid w:val="71A37746"/>
    <w:rsid w:val="71B76D3C"/>
    <w:rsid w:val="722717C4"/>
    <w:rsid w:val="723B2A8C"/>
    <w:rsid w:val="72640322"/>
    <w:rsid w:val="726674DE"/>
    <w:rsid w:val="72676064"/>
    <w:rsid w:val="727134C8"/>
    <w:rsid w:val="727F0F24"/>
    <w:rsid w:val="72A314FA"/>
    <w:rsid w:val="72A9667D"/>
    <w:rsid w:val="72B759D6"/>
    <w:rsid w:val="72B90AD7"/>
    <w:rsid w:val="72E114CD"/>
    <w:rsid w:val="72E6342D"/>
    <w:rsid w:val="73283E89"/>
    <w:rsid w:val="73355DF8"/>
    <w:rsid w:val="736D45B8"/>
    <w:rsid w:val="737A6252"/>
    <w:rsid w:val="73964538"/>
    <w:rsid w:val="73CA36A6"/>
    <w:rsid w:val="73D5080C"/>
    <w:rsid w:val="73D66570"/>
    <w:rsid w:val="73F069A4"/>
    <w:rsid w:val="73FB1A1F"/>
    <w:rsid w:val="73FF03E7"/>
    <w:rsid w:val="741B5EA8"/>
    <w:rsid w:val="747F6FA8"/>
    <w:rsid w:val="74AF5257"/>
    <w:rsid w:val="74B6062B"/>
    <w:rsid w:val="74B825D9"/>
    <w:rsid w:val="74C27582"/>
    <w:rsid w:val="74C36FCE"/>
    <w:rsid w:val="74C9130C"/>
    <w:rsid w:val="751D2A0A"/>
    <w:rsid w:val="75273889"/>
    <w:rsid w:val="752913AF"/>
    <w:rsid w:val="754B57C9"/>
    <w:rsid w:val="75692999"/>
    <w:rsid w:val="757D4755"/>
    <w:rsid w:val="75A96B82"/>
    <w:rsid w:val="75B26AAB"/>
    <w:rsid w:val="75D63F61"/>
    <w:rsid w:val="75DA104D"/>
    <w:rsid w:val="75E17EDC"/>
    <w:rsid w:val="75F45E61"/>
    <w:rsid w:val="75FE283B"/>
    <w:rsid w:val="761469A5"/>
    <w:rsid w:val="76282DE2"/>
    <w:rsid w:val="76547160"/>
    <w:rsid w:val="7661626F"/>
    <w:rsid w:val="768D2017"/>
    <w:rsid w:val="769B6656"/>
    <w:rsid w:val="76A35672"/>
    <w:rsid w:val="76A70496"/>
    <w:rsid w:val="76AF61E0"/>
    <w:rsid w:val="76DE48C7"/>
    <w:rsid w:val="76E43E30"/>
    <w:rsid w:val="76F550FE"/>
    <w:rsid w:val="771D33A0"/>
    <w:rsid w:val="774F3FC1"/>
    <w:rsid w:val="7754444E"/>
    <w:rsid w:val="775A36F0"/>
    <w:rsid w:val="775B3C4F"/>
    <w:rsid w:val="776E4808"/>
    <w:rsid w:val="77813724"/>
    <w:rsid w:val="77AE0291"/>
    <w:rsid w:val="77C2672F"/>
    <w:rsid w:val="77E77F4F"/>
    <w:rsid w:val="7805296D"/>
    <w:rsid w:val="780743F5"/>
    <w:rsid w:val="78222BDF"/>
    <w:rsid w:val="784F583C"/>
    <w:rsid w:val="78764C69"/>
    <w:rsid w:val="788129D8"/>
    <w:rsid w:val="78AB2FD1"/>
    <w:rsid w:val="78BA43CC"/>
    <w:rsid w:val="78D6064F"/>
    <w:rsid w:val="78E427AD"/>
    <w:rsid w:val="78F84CC5"/>
    <w:rsid w:val="793B132C"/>
    <w:rsid w:val="79424773"/>
    <w:rsid w:val="794602E4"/>
    <w:rsid w:val="79AB0C9C"/>
    <w:rsid w:val="79CA2181"/>
    <w:rsid w:val="79CD21CF"/>
    <w:rsid w:val="79E94D5A"/>
    <w:rsid w:val="7A0851B3"/>
    <w:rsid w:val="7A134CBB"/>
    <w:rsid w:val="7A173ECC"/>
    <w:rsid w:val="7A4A041F"/>
    <w:rsid w:val="7A663582"/>
    <w:rsid w:val="7A74131E"/>
    <w:rsid w:val="7A807CC3"/>
    <w:rsid w:val="7A8D472D"/>
    <w:rsid w:val="7A8F4477"/>
    <w:rsid w:val="7A9003B1"/>
    <w:rsid w:val="7A923E9A"/>
    <w:rsid w:val="7AA11299"/>
    <w:rsid w:val="7AE30252"/>
    <w:rsid w:val="7B0114A1"/>
    <w:rsid w:val="7B242D44"/>
    <w:rsid w:val="7B4B6285"/>
    <w:rsid w:val="7B600997"/>
    <w:rsid w:val="7B763686"/>
    <w:rsid w:val="7BA92C79"/>
    <w:rsid w:val="7BD42A63"/>
    <w:rsid w:val="7BE34B05"/>
    <w:rsid w:val="7C207132"/>
    <w:rsid w:val="7C3E1F66"/>
    <w:rsid w:val="7C5B6663"/>
    <w:rsid w:val="7C853230"/>
    <w:rsid w:val="7CB5049E"/>
    <w:rsid w:val="7CE01C7B"/>
    <w:rsid w:val="7CEF618C"/>
    <w:rsid w:val="7D000001"/>
    <w:rsid w:val="7D0308CD"/>
    <w:rsid w:val="7D1354EC"/>
    <w:rsid w:val="7D366731"/>
    <w:rsid w:val="7D3B6CCA"/>
    <w:rsid w:val="7D3C6E95"/>
    <w:rsid w:val="7D691A1F"/>
    <w:rsid w:val="7D7976C4"/>
    <w:rsid w:val="7DA36955"/>
    <w:rsid w:val="7E01736D"/>
    <w:rsid w:val="7E0E1E36"/>
    <w:rsid w:val="7E105802"/>
    <w:rsid w:val="7E235535"/>
    <w:rsid w:val="7E372D8F"/>
    <w:rsid w:val="7EB77390"/>
    <w:rsid w:val="7EE60B46"/>
    <w:rsid w:val="7EF01FC7"/>
    <w:rsid w:val="7EF75035"/>
    <w:rsid w:val="7F106509"/>
    <w:rsid w:val="7F185644"/>
    <w:rsid w:val="7F476ADC"/>
    <w:rsid w:val="7F620525"/>
    <w:rsid w:val="7F7D6EC7"/>
    <w:rsid w:val="7F862794"/>
    <w:rsid w:val="7FE1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semiHidden/>
    <w:unhideWhenUsed/>
    <w:qFormat/>
    <w:uiPriority w:val="99"/>
    <w:pPr>
      <w:jc w:val="left"/>
    </w:pPr>
  </w:style>
  <w:style w:type="paragraph" w:styleId="9">
    <w:name w:val="Body Text"/>
    <w:basedOn w:val="1"/>
    <w:next w:val="10"/>
    <w:link w:val="41"/>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050"/>
      <w:jc w:val="left"/>
    </w:pPr>
    <w:rPr>
      <w:sz w:val="18"/>
      <w:szCs w:val="18"/>
    </w:rPr>
  </w:style>
  <w:style w:type="paragraph" w:styleId="12">
    <w:name w:val="Body Text Indent"/>
    <w:basedOn w:val="1"/>
    <w:next w:val="1"/>
    <w:link w:val="38"/>
    <w:qFormat/>
    <w:uiPriority w:val="0"/>
    <w:pPr>
      <w:spacing w:line="480" w:lineRule="exact"/>
      <w:ind w:firstLine="480" w:firstLineChars="200"/>
    </w:pPr>
    <w:rPr>
      <w:rFonts w:ascii="宋体" w:hAnsi="宋体"/>
      <w:sz w:val="24"/>
    </w:rPr>
  </w:style>
  <w:style w:type="paragraph" w:styleId="13">
    <w:name w:val="index 4"/>
    <w:basedOn w:val="1"/>
    <w:next w:val="1"/>
    <w:qFormat/>
    <w:uiPriority w:val="99"/>
    <w:pPr>
      <w:ind w:left="600" w:leftChars="600"/>
    </w:pPr>
    <w:rPr>
      <w:rFonts w:ascii="Verdana" w:hAnsi="Verdana"/>
      <w:szCs w:val="20"/>
    </w:rPr>
  </w:style>
  <w:style w:type="paragraph" w:styleId="14">
    <w:name w:val="toc 3"/>
    <w:basedOn w:val="1"/>
    <w:next w:val="1"/>
    <w:qFormat/>
    <w:uiPriority w:val="0"/>
    <w:pPr>
      <w:ind w:left="840" w:leftChars="400"/>
    </w:pPr>
    <w:rPr>
      <w:rFonts w:ascii="Times New Roman" w:hAnsi="Times New Roman"/>
    </w:rPr>
  </w:style>
  <w:style w:type="paragraph" w:styleId="15">
    <w:name w:val="Plain Text"/>
    <w:basedOn w:val="1"/>
    <w:link w:val="40"/>
    <w:qFormat/>
    <w:uiPriority w:val="0"/>
    <w:rPr>
      <w:rFonts w:ascii="宋体" w:hAnsi="Courier New" w:cs="Arial"/>
      <w:snapToGrid w:val="0"/>
      <w:szCs w:val="21"/>
    </w:rPr>
  </w:style>
  <w:style w:type="paragraph" w:styleId="16">
    <w:name w:val="Date"/>
    <w:basedOn w:val="1"/>
    <w:next w:val="1"/>
    <w:link w:val="39"/>
    <w:qFormat/>
    <w:uiPriority w:val="0"/>
    <w:pPr>
      <w:ind w:left="100" w:leftChars="2500"/>
    </w:pPr>
    <w:rPr>
      <w:rFonts w:ascii="宋体"/>
      <w:sz w:val="24"/>
      <w:szCs w:val="21"/>
      <w:lang w:val="zh-CN"/>
    </w:rPr>
  </w:style>
  <w:style w:type="paragraph" w:styleId="17">
    <w:name w:val="Balloon Text"/>
    <w:basedOn w:val="1"/>
    <w:link w:val="54"/>
    <w:semiHidden/>
    <w:unhideWhenUsed/>
    <w:qFormat/>
    <w:uiPriority w:val="99"/>
    <w:rPr>
      <w:sz w:val="18"/>
      <w:szCs w:val="18"/>
    </w:rPr>
  </w:style>
  <w:style w:type="paragraph" w:styleId="18">
    <w:name w:val="footer"/>
    <w:basedOn w:val="1"/>
    <w:link w:val="36"/>
    <w:unhideWhenUsed/>
    <w:qFormat/>
    <w:uiPriority w:val="99"/>
    <w:pPr>
      <w:tabs>
        <w:tab w:val="center" w:pos="4153"/>
        <w:tab w:val="right" w:pos="8306"/>
      </w:tabs>
      <w:snapToGrid w:val="0"/>
      <w:jc w:val="left"/>
    </w:pPr>
    <w:rPr>
      <w:sz w:val="18"/>
      <w:szCs w:val="18"/>
    </w:rPr>
  </w:style>
  <w:style w:type="paragraph" w:styleId="19">
    <w:name w:val="envelope return"/>
    <w:basedOn w:val="1"/>
    <w:qFormat/>
    <w:uiPriority w:val="0"/>
    <w:pPr>
      <w:snapToGrid w:val="0"/>
    </w:pPr>
    <w:rPr>
      <w:rFonts w:ascii="Arial" w:hAnsi="Arial"/>
    </w:rPr>
  </w:style>
  <w:style w:type="paragraph" w:styleId="20">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2">
    <w:name w:val="Body Text Indent 3"/>
    <w:basedOn w:val="1"/>
    <w:qFormat/>
    <w:uiPriority w:val="0"/>
    <w:pPr>
      <w:spacing w:after="120"/>
      <w:ind w:left="420" w:leftChars="200"/>
    </w:pPr>
    <w:rPr>
      <w:rFonts w:ascii="Times New Roman" w:hAnsi="Times New Roman"/>
      <w:sz w:val="16"/>
      <w:szCs w:val="16"/>
    </w:rPr>
  </w:style>
  <w:style w:type="paragraph" w:styleId="23">
    <w:name w:val="toc 2"/>
    <w:basedOn w:val="1"/>
    <w:next w:val="1"/>
    <w:qFormat/>
    <w:uiPriority w:val="39"/>
    <w:pPr>
      <w:tabs>
        <w:tab w:val="right" w:leader="dot" w:pos="9070"/>
      </w:tabs>
      <w:spacing w:line="360" w:lineRule="auto"/>
      <w:ind w:left="200" w:leftChars="200"/>
    </w:pPr>
    <w:rPr>
      <w:rFonts w:eastAsia="黑体"/>
      <w:sz w:val="24"/>
      <w:szCs w:val="20"/>
    </w:rPr>
  </w:style>
  <w:style w:type="paragraph" w:styleId="2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5">
    <w:name w:val="Body Text First Indent 2"/>
    <w:basedOn w:val="12"/>
    <w:semiHidden/>
    <w:unhideWhenUsed/>
    <w:qFormat/>
    <w:uiPriority w:val="99"/>
    <w:pPr>
      <w:ind w:firstLine="420"/>
    </w:pPr>
  </w:style>
  <w:style w:type="table" w:styleId="27">
    <w:name w:val="Table Grid"/>
    <w:basedOn w:val="26"/>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rPr>
      <w:rFonts w:ascii="Arial" w:hAnsi="Arial" w:eastAsia="黑体" w:cs="Arial"/>
      <w:snapToGrid w:val="0"/>
      <w:kern w:val="0"/>
      <w:szCs w:val="21"/>
    </w:rPr>
  </w:style>
  <w:style w:type="character" w:styleId="30">
    <w:name w:val="FollowedHyperlink"/>
    <w:basedOn w:val="28"/>
    <w:semiHidden/>
    <w:unhideWhenUsed/>
    <w:qFormat/>
    <w:uiPriority w:val="99"/>
    <w:rPr>
      <w:color w:val="800080"/>
      <w:u w:val="none"/>
    </w:rPr>
  </w:style>
  <w:style w:type="character" w:styleId="31">
    <w:name w:val="Hyperlink"/>
    <w:qFormat/>
    <w:uiPriority w:val="99"/>
    <w:rPr>
      <w:rFonts w:ascii="Arial" w:hAnsi="Arial" w:eastAsia="黑体" w:cs="Arial"/>
      <w:snapToGrid w:val="0"/>
      <w:color w:val="000000"/>
      <w:kern w:val="0"/>
      <w:sz w:val="18"/>
      <w:szCs w:val="18"/>
      <w:u w:val="none"/>
    </w:rPr>
  </w:style>
  <w:style w:type="paragraph" w:customStyle="1" w:styleId="32">
    <w:name w:val="_Style 3"/>
    <w:basedOn w:val="1"/>
    <w:qFormat/>
    <w:uiPriority w:val="0"/>
    <w:pPr>
      <w:ind w:firstLine="420" w:firstLineChars="200"/>
    </w:pPr>
    <w:rPr>
      <w:rFonts w:eastAsia="仿宋_GB2312"/>
      <w:sz w:val="28"/>
    </w:rPr>
  </w:style>
  <w:style w:type="paragraph" w:customStyle="1" w:styleId="33">
    <w:name w:val="正文1"/>
    <w:basedOn w:val="1"/>
    <w:next w:val="1"/>
    <w:qFormat/>
    <w:uiPriority w:val="0"/>
    <w:pPr>
      <w:widowControl/>
    </w:pPr>
    <w:rPr>
      <w:szCs w:val="21"/>
    </w:rPr>
  </w:style>
  <w:style w:type="paragraph" w:customStyle="1" w:styleId="34">
    <w:name w:val="列出段落1"/>
    <w:basedOn w:val="1"/>
    <w:link w:val="55"/>
    <w:qFormat/>
    <w:uiPriority w:val="0"/>
    <w:pPr>
      <w:ind w:firstLine="420" w:firstLineChars="200"/>
    </w:pPr>
    <w:rPr>
      <w:rFonts w:ascii="Times New Roman" w:hAnsi="Times New Roman" w:eastAsiaTheme="minorEastAsia" w:cstheme="minorBidi"/>
    </w:rPr>
  </w:style>
  <w:style w:type="character" w:customStyle="1" w:styleId="35">
    <w:name w:val="页眉 字符"/>
    <w:basedOn w:val="28"/>
    <w:link w:val="20"/>
    <w:qFormat/>
    <w:uiPriority w:val="99"/>
    <w:rPr>
      <w:sz w:val="18"/>
      <w:szCs w:val="18"/>
    </w:rPr>
  </w:style>
  <w:style w:type="character" w:customStyle="1" w:styleId="36">
    <w:name w:val="页脚 字符"/>
    <w:basedOn w:val="28"/>
    <w:link w:val="18"/>
    <w:qFormat/>
    <w:uiPriority w:val="99"/>
    <w:rPr>
      <w:sz w:val="18"/>
      <w:szCs w:val="18"/>
    </w:rPr>
  </w:style>
  <w:style w:type="character" w:customStyle="1" w:styleId="37">
    <w:name w:val="标题 2 字符"/>
    <w:basedOn w:val="28"/>
    <w:link w:val="3"/>
    <w:qFormat/>
    <w:uiPriority w:val="0"/>
    <w:rPr>
      <w:rFonts w:ascii="仿宋_GB2312" w:hAnsi="仿宋" w:eastAsia="仿宋_GB2312" w:cs="Times New Roman"/>
      <w:b/>
      <w:bCs/>
      <w:sz w:val="32"/>
      <w:szCs w:val="32"/>
      <w:lang w:val="zh-CN"/>
    </w:rPr>
  </w:style>
  <w:style w:type="character" w:customStyle="1" w:styleId="38">
    <w:name w:val="正文文本缩进 字符"/>
    <w:basedOn w:val="28"/>
    <w:link w:val="12"/>
    <w:qFormat/>
    <w:uiPriority w:val="0"/>
    <w:rPr>
      <w:rFonts w:ascii="宋体" w:hAnsi="宋体" w:eastAsia="宋体" w:cs="Times New Roman"/>
      <w:sz w:val="24"/>
      <w:szCs w:val="24"/>
    </w:rPr>
  </w:style>
  <w:style w:type="character" w:customStyle="1" w:styleId="39">
    <w:name w:val="日期 字符"/>
    <w:basedOn w:val="28"/>
    <w:link w:val="16"/>
    <w:qFormat/>
    <w:uiPriority w:val="0"/>
    <w:rPr>
      <w:rFonts w:ascii="宋体" w:hAnsi="Calibri" w:eastAsia="宋体" w:cs="Times New Roman"/>
      <w:sz w:val="24"/>
      <w:szCs w:val="21"/>
      <w:lang w:val="zh-CN"/>
    </w:rPr>
  </w:style>
  <w:style w:type="character" w:customStyle="1" w:styleId="40">
    <w:name w:val="纯文本 字符"/>
    <w:basedOn w:val="28"/>
    <w:link w:val="15"/>
    <w:qFormat/>
    <w:uiPriority w:val="0"/>
    <w:rPr>
      <w:rFonts w:ascii="宋体" w:hAnsi="Courier New" w:eastAsia="宋体" w:cs="Arial"/>
      <w:snapToGrid w:val="0"/>
      <w:szCs w:val="21"/>
    </w:rPr>
  </w:style>
  <w:style w:type="character" w:customStyle="1" w:styleId="41">
    <w:name w:val="正文文本 字符"/>
    <w:basedOn w:val="28"/>
    <w:link w:val="9"/>
    <w:qFormat/>
    <w:uiPriority w:val="0"/>
    <w:rPr>
      <w:rFonts w:ascii="宋体" w:hAnsi="Arial" w:eastAsia="宋体" w:cs="Arial"/>
      <w:snapToGrid w:val="0"/>
      <w:sz w:val="24"/>
      <w:szCs w:val="21"/>
      <w:lang w:val="zh-CN"/>
    </w:rPr>
  </w:style>
  <w:style w:type="paragraph" w:customStyle="1" w:styleId="42">
    <w:name w:val="索引 11"/>
    <w:basedOn w:val="1"/>
    <w:next w:val="1"/>
    <w:qFormat/>
    <w:uiPriority w:val="99"/>
    <w:pPr>
      <w:spacing w:line="360" w:lineRule="auto"/>
    </w:pPr>
    <w:rPr>
      <w:rFonts w:ascii="仿宋_GB2312" w:eastAsia="仿宋_GB2312"/>
      <w:sz w:val="24"/>
      <w:szCs w:val="20"/>
    </w:rPr>
  </w:style>
  <w:style w:type="paragraph" w:customStyle="1" w:styleId="4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6">
    <w:name w:val="纯文本1"/>
    <w:basedOn w:val="1"/>
    <w:qFormat/>
    <w:uiPriority w:val="0"/>
    <w:rPr>
      <w:rFonts w:ascii="宋体" w:hAnsi="Courier New"/>
      <w:kern w:val="0"/>
      <w:sz w:val="20"/>
      <w:szCs w:val="20"/>
    </w:rPr>
  </w:style>
  <w:style w:type="paragraph" w:customStyle="1" w:styleId="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0_0"/>
    <w:basedOn w:val="47"/>
    <w:qFormat/>
    <w:uiPriority w:val="0"/>
    <w:rPr>
      <w:rFonts w:ascii="宋体" w:hAnsi="Courier New"/>
      <w:szCs w:val="21"/>
    </w:rPr>
  </w:style>
  <w:style w:type="paragraph" w:customStyle="1" w:styleId="49">
    <w:name w:val="正文2"/>
    <w:basedOn w:val="1"/>
    <w:qFormat/>
    <w:uiPriority w:val="0"/>
    <w:pPr>
      <w:spacing w:before="156" w:line="360" w:lineRule="auto"/>
      <w:ind w:firstLine="510" w:firstLineChars="200"/>
    </w:pPr>
    <w:rPr>
      <w:sz w:val="24"/>
      <w:szCs w:val="20"/>
    </w:rPr>
  </w:style>
  <w:style w:type="paragraph" w:customStyle="1" w:styleId="50">
    <w:name w:val="正文缩进1"/>
    <w:basedOn w:val="1"/>
    <w:next w:val="12"/>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1">
    <w:name w:val="标题 3 字符"/>
    <w:basedOn w:val="28"/>
    <w:link w:val="4"/>
    <w:qFormat/>
    <w:uiPriority w:val="9"/>
    <w:rPr>
      <w:rFonts w:ascii="Calibri" w:hAnsi="Calibri" w:eastAsia="宋体" w:cs="Times New Roman"/>
      <w:b/>
      <w:bCs/>
      <w:sz w:val="32"/>
      <w:szCs w:val="32"/>
    </w:rPr>
  </w:style>
  <w:style w:type="character" w:customStyle="1" w:styleId="52">
    <w:name w:val="标题 4 字符"/>
    <w:basedOn w:val="28"/>
    <w:link w:val="5"/>
    <w:semiHidden/>
    <w:qFormat/>
    <w:uiPriority w:val="9"/>
    <w:rPr>
      <w:rFonts w:asciiTheme="majorHAnsi" w:hAnsiTheme="majorHAnsi" w:eastAsiaTheme="majorEastAsia" w:cstheme="majorBidi"/>
      <w:b/>
      <w:bCs/>
      <w:sz w:val="28"/>
      <w:szCs w:val="28"/>
    </w:rPr>
  </w:style>
  <w:style w:type="paragraph" w:customStyle="1" w:styleId="53">
    <w:name w:val="标题4"/>
    <w:basedOn w:val="1"/>
    <w:qFormat/>
    <w:uiPriority w:val="0"/>
    <w:rPr>
      <w:rFonts w:ascii="Times New Roman" w:hAnsi="Times New Roman" w:eastAsia="仿宋_GB2312"/>
      <w:sz w:val="32"/>
      <w:szCs w:val="20"/>
    </w:rPr>
  </w:style>
  <w:style w:type="character" w:customStyle="1" w:styleId="54">
    <w:name w:val="批注框文本 字符"/>
    <w:basedOn w:val="28"/>
    <w:link w:val="17"/>
    <w:semiHidden/>
    <w:qFormat/>
    <w:uiPriority w:val="99"/>
    <w:rPr>
      <w:rFonts w:ascii="Calibri" w:hAnsi="Calibri" w:eastAsia="宋体" w:cs="Times New Roman"/>
      <w:sz w:val="18"/>
      <w:szCs w:val="18"/>
    </w:rPr>
  </w:style>
  <w:style w:type="character" w:customStyle="1" w:styleId="55">
    <w:name w:val="List Paragraph Char"/>
    <w:link w:val="34"/>
    <w:qFormat/>
    <w:locked/>
    <w:uiPriority w:val="0"/>
    <w:rPr>
      <w:rFonts w:ascii="Times New Roman" w:hAnsi="Times New Roman"/>
      <w:szCs w:val="24"/>
    </w:rPr>
  </w:style>
  <w:style w:type="paragraph" w:customStyle="1" w:styleId="56">
    <w:name w:val="BodyText"/>
    <w:basedOn w:val="1"/>
    <w:qFormat/>
    <w:uiPriority w:val="0"/>
    <w:pPr>
      <w:spacing w:line="400" w:lineRule="exact"/>
    </w:pPr>
    <w:rPr>
      <w:rFonts w:ascii="宋体" w:hAnsi="宋体"/>
      <w:sz w:val="19"/>
      <w:szCs w:val="19"/>
    </w:rPr>
  </w:style>
  <w:style w:type="paragraph" w:styleId="57">
    <w:name w:val="List Paragraph"/>
    <w:basedOn w:val="1"/>
    <w:qFormat/>
    <w:uiPriority w:val="34"/>
    <w:pPr>
      <w:ind w:firstLine="420" w:firstLineChars="200"/>
    </w:pPr>
    <w:rPr>
      <w:szCs w:val="22"/>
    </w:rPr>
  </w:style>
  <w:style w:type="character" w:customStyle="1" w:styleId="58">
    <w:name w:val="font101"/>
    <w:basedOn w:val="28"/>
    <w:qFormat/>
    <w:uiPriority w:val="0"/>
    <w:rPr>
      <w:rFonts w:hint="eastAsia" w:ascii="宋体" w:hAnsi="宋体" w:eastAsia="宋体" w:cs="宋体"/>
      <w:color w:val="4F81BD"/>
      <w:sz w:val="20"/>
      <w:szCs w:val="20"/>
      <w:u w:val="none"/>
    </w:rPr>
  </w:style>
  <w:style w:type="character" w:customStyle="1" w:styleId="59">
    <w:name w:val="font51"/>
    <w:basedOn w:val="28"/>
    <w:qFormat/>
    <w:uiPriority w:val="0"/>
    <w:rPr>
      <w:rFonts w:hint="eastAsia" w:ascii="宋体" w:hAnsi="宋体" w:eastAsia="宋体" w:cs="宋体"/>
      <w:color w:val="538DD5"/>
      <w:sz w:val="20"/>
      <w:szCs w:val="20"/>
      <w:u w:val="none"/>
    </w:rPr>
  </w:style>
  <w:style w:type="character" w:customStyle="1" w:styleId="60">
    <w:name w:val="font21"/>
    <w:basedOn w:val="28"/>
    <w:qFormat/>
    <w:uiPriority w:val="0"/>
    <w:rPr>
      <w:rFonts w:hint="eastAsia" w:ascii="宋体" w:hAnsi="宋体" w:eastAsia="宋体" w:cs="宋体"/>
      <w:color w:val="000000"/>
      <w:sz w:val="20"/>
      <w:szCs w:val="20"/>
      <w:u w:val="none"/>
    </w:rPr>
  </w:style>
  <w:style w:type="character" w:customStyle="1" w:styleId="61">
    <w:name w:val="font112"/>
    <w:basedOn w:val="28"/>
    <w:qFormat/>
    <w:uiPriority w:val="0"/>
    <w:rPr>
      <w:rFonts w:hint="eastAsia" w:ascii="宋体" w:hAnsi="宋体" w:eastAsia="宋体" w:cs="宋体"/>
      <w:color w:val="000000"/>
      <w:sz w:val="20"/>
      <w:szCs w:val="20"/>
      <w:u w:val="none"/>
    </w:rPr>
  </w:style>
  <w:style w:type="character" w:customStyle="1" w:styleId="62">
    <w:name w:val="font91"/>
    <w:basedOn w:val="28"/>
    <w:qFormat/>
    <w:uiPriority w:val="0"/>
    <w:rPr>
      <w:rFonts w:hint="default" w:ascii="Calibri" w:hAnsi="Calibri" w:cs="Calibri"/>
      <w:color w:val="000000"/>
      <w:sz w:val="20"/>
      <w:szCs w:val="20"/>
      <w:u w:val="none"/>
    </w:rPr>
  </w:style>
  <w:style w:type="character" w:customStyle="1" w:styleId="63">
    <w:name w:val="textcolor1"/>
    <w:basedOn w:val="28"/>
    <w:qFormat/>
    <w:uiPriority w:val="0"/>
    <w:rPr>
      <w:color w:val="FF6600"/>
    </w:rPr>
  </w:style>
  <w:style w:type="paragraph" w:customStyle="1" w:styleId="64">
    <w:name w:val="正文样式"/>
    <w:basedOn w:val="1"/>
    <w:qFormat/>
    <w:uiPriority w:val="0"/>
    <w:pPr>
      <w:spacing w:line="360" w:lineRule="auto"/>
      <w:ind w:firstLine="480" w:firstLineChars="200"/>
    </w:pPr>
    <w:rPr>
      <w:rFonts w:ascii="宋体" w:hAnsi="宋体"/>
      <w:color w:val="000000"/>
      <w:sz w:val="24"/>
    </w:rPr>
  </w:style>
  <w:style w:type="character" w:customStyle="1" w:styleId="65">
    <w:name w:val="apple-style-span"/>
    <w:basedOn w:val="28"/>
    <w:qFormat/>
    <w:uiPriority w:val="0"/>
  </w:style>
  <w:style w:type="paragraph" w:customStyle="1" w:styleId="66">
    <w:name w:val="样式1"/>
    <w:basedOn w:val="5"/>
    <w:qFormat/>
    <w:uiPriority w:val="0"/>
    <w:pPr>
      <w:spacing w:line="240" w:lineRule="auto"/>
    </w:pPr>
    <w:rPr>
      <w:rFonts w:ascii="Times New Roman" w:hAnsi="Times New Roman" w:eastAsia="仿宋_GB2312"/>
      <w:b w:val="0"/>
      <w:bCs w:val="0"/>
      <w:w w:val="80"/>
      <w:sz w:val="24"/>
      <w:szCs w:val="24"/>
    </w:rPr>
  </w:style>
  <w:style w:type="character" w:customStyle="1" w:styleId="67">
    <w:name w:val="font01"/>
    <w:basedOn w:val="28"/>
    <w:qFormat/>
    <w:uiPriority w:val="0"/>
    <w:rPr>
      <w:rFonts w:ascii="新宋体" w:hAnsi="新宋体" w:eastAsia="新宋体" w:cs="新宋体"/>
      <w:color w:val="000000"/>
      <w:sz w:val="18"/>
      <w:szCs w:val="18"/>
      <w:u w:val="none"/>
    </w:rPr>
  </w:style>
  <w:style w:type="paragraph" w:customStyle="1" w:styleId="68">
    <w:name w:val="p0"/>
    <w:basedOn w:val="1"/>
    <w:qFormat/>
    <w:uiPriority w:val="0"/>
    <w:pPr>
      <w:widowControl/>
    </w:pPr>
    <w:rPr>
      <w:kern w:val="0"/>
      <w:szCs w:val="21"/>
    </w:rPr>
  </w:style>
  <w:style w:type="character" w:customStyle="1" w:styleId="69">
    <w:name w:val="fontstyle01"/>
    <w:basedOn w:val="28"/>
    <w:qFormat/>
    <w:uiPriority w:val="0"/>
    <w:rPr>
      <w:rFonts w:ascii="宋体" w:hAnsi="宋体" w:eastAsia="宋体" w:cs="宋体"/>
      <w:color w:val="000000"/>
      <w:sz w:val="24"/>
      <w:szCs w:val="24"/>
    </w:rPr>
  </w:style>
  <w:style w:type="paragraph" w:customStyle="1" w:styleId="70">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2433</Words>
  <Characters>2974</Characters>
  <Lines>428</Lines>
  <Paragraphs>120</Paragraphs>
  <TotalTime>59</TotalTime>
  <ScaleCrop>false</ScaleCrop>
  <LinksUpToDate>false</LinksUpToDate>
  <CharactersWithSpaces>3151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2022-08-08T00:32:00Z</dcterms:created>
  <dc:creator>Microsoft</dc:creator>
  <cp:lastModifiedBy>admin</cp:lastModifiedBy>
  <cp:lastPrinted>2025-02-26T02:49:00Z</cp:lastPrinted>
  <dcterms:modified xsi:type="dcterms:W3CDTF">2025-03-07T09:29:02Z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B70BA9634B36411C894A6B5097B21EDE_13</vt:lpwstr>
  </property>
  <property fmtid="{D5CDD505-2E9C-101B-9397-08002B2CF9AE}" pid="4" name="KSOTemplateDocerSaveRecord">
    <vt:lpwstr>eyJoZGlkIjoiMWM0MWIyNjMyYThhNTgyMjZmMDRkOGRjM2M0YmViZGUiLCJ1c2VySWQiOiI0MjY1OTU1MDAifQ==</vt:lpwstr>
  </property>
</Properties>
</file>