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855F3C">
      <w:pPr>
        <w:shd w:val="clear"/>
        <w:spacing w:line="600" w:lineRule="exact"/>
        <w:jc w:val="center"/>
        <w:rPr>
          <w:rFonts w:ascii="黑体" w:hAnsi="宋体" w:eastAsia="黑体"/>
          <w:b/>
          <w:color w:val="auto"/>
          <w:sz w:val="44"/>
          <w:highlight w:val="none"/>
        </w:rPr>
      </w:pPr>
    </w:p>
    <w:p w14:paraId="41ADAF57">
      <w:pPr>
        <w:shd w:val="clear"/>
        <w:spacing w:line="600" w:lineRule="exact"/>
        <w:jc w:val="center"/>
        <w:rPr>
          <w:rFonts w:ascii="黑体" w:hAnsi="宋体" w:eastAsia="黑体"/>
          <w:b/>
          <w:color w:val="auto"/>
          <w:sz w:val="44"/>
          <w:highlight w:val="none"/>
        </w:rPr>
      </w:pPr>
    </w:p>
    <w:p w14:paraId="47BC9E17">
      <w:pPr>
        <w:shd w:val="clear"/>
        <w:spacing w:line="600" w:lineRule="exact"/>
        <w:jc w:val="center"/>
        <w:rPr>
          <w:rFonts w:ascii="宋体" w:hAnsi="宋体"/>
          <w:b/>
          <w:color w:val="auto"/>
          <w:sz w:val="52"/>
          <w:szCs w:val="52"/>
          <w:highlight w:val="none"/>
        </w:rPr>
      </w:pPr>
      <w:r>
        <w:rPr>
          <w:rFonts w:hint="eastAsia" w:ascii="宋体" w:hAnsi="宋体"/>
          <w:b/>
          <w:color w:val="auto"/>
          <w:sz w:val="52"/>
          <w:szCs w:val="52"/>
          <w:highlight w:val="none"/>
        </w:rPr>
        <w:t>招标文件</w:t>
      </w:r>
    </w:p>
    <w:p w14:paraId="26A1E447">
      <w:pPr>
        <w:shd w:val="clear"/>
        <w:spacing w:line="600" w:lineRule="exact"/>
        <w:jc w:val="center"/>
        <w:rPr>
          <w:rFonts w:ascii="黑体" w:hAnsi="宋体" w:eastAsia="黑体"/>
          <w:b/>
          <w:color w:val="auto"/>
          <w:sz w:val="52"/>
          <w:szCs w:val="52"/>
          <w:highlight w:val="none"/>
        </w:rPr>
      </w:pPr>
    </w:p>
    <w:p w14:paraId="79BC6E60">
      <w:pPr>
        <w:shd w:val="clear"/>
        <w:jc w:val="center"/>
        <w:rPr>
          <w:rFonts w:ascii="宋体" w:hAnsi="宋体"/>
          <w:color w:val="auto"/>
          <w:sz w:val="44"/>
          <w:szCs w:val="20"/>
          <w:highlight w:val="none"/>
        </w:rPr>
      </w:pPr>
    </w:p>
    <w:p w14:paraId="0F68AB0C">
      <w:pPr>
        <w:shd w:val="clear"/>
        <w:spacing w:before="156" w:beforeLines="50"/>
        <w:jc w:val="center"/>
        <w:rPr>
          <w:rFonts w:ascii="宋体" w:hAnsi="宋体"/>
          <w:b/>
          <w:color w:val="auto"/>
          <w:sz w:val="48"/>
          <w:szCs w:val="48"/>
          <w:highlight w:val="none"/>
        </w:rPr>
      </w:pPr>
    </w:p>
    <w:p w14:paraId="1761851D">
      <w:pPr>
        <w:pStyle w:val="11"/>
        <w:shd w:val="clear"/>
        <w:tabs>
          <w:tab w:val="left" w:pos="1620"/>
        </w:tabs>
        <w:snapToGrid w:val="0"/>
        <w:ind w:firstLine="1175" w:firstLineChars="418"/>
        <w:rPr>
          <w:rFonts w:hint="eastAsia" w:hAnsi="宋体" w:eastAsia="宋体"/>
          <w:b/>
          <w:bCs/>
          <w:color w:val="auto"/>
          <w:sz w:val="28"/>
          <w:highlight w:val="none"/>
          <w:lang w:eastAsia="zh-CN"/>
        </w:rPr>
      </w:pPr>
      <w:r>
        <w:rPr>
          <w:rFonts w:hint="eastAsia" w:hAnsi="宋体"/>
          <w:b/>
          <w:bCs/>
          <w:color w:val="auto"/>
          <w:sz w:val="28"/>
          <w:highlight w:val="none"/>
        </w:rPr>
        <w:t>项目编号：</w:t>
      </w:r>
      <w:r>
        <w:rPr>
          <w:rFonts w:hint="eastAsia" w:hAnsi="宋体"/>
          <w:b/>
          <w:bCs/>
          <w:color w:val="auto"/>
          <w:sz w:val="28"/>
          <w:highlight w:val="none"/>
          <w:lang w:eastAsia="zh-CN"/>
        </w:rPr>
        <w:t>TZCCC-【2024】-117号</w:t>
      </w:r>
    </w:p>
    <w:p w14:paraId="6AC05A66">
      <w:pPr>
        <w:pStyle w:val="11"/>
        <w:shd w:val="clear"/>
        <w:tabs>
          <w:tab w:val="left" w:pos="1620"/>
        </w:tabs>
        <w:snapToGrid w:val="0"/>
        <w:ind w:left="560" w:leftChars="200" w:firstLine="610" w:firstLineChars="217"/>
        <w:rPr>
          <w:rFonts w:hint="eastAsia" w:hAnsi="宋体" w:cs="Times New Roman"/>
          <w:b/>
          <w:bCs/>
          <w:color w:val="auto"/>
          <w:sz w:val="28"/>
          <w:highlight w:val="none"/>
          <w:lang w:eastAsia="zh-CN"/>
        </w:rPr>
      </w:pPr>
      <w:r>
        <w:rPr>
          <w:rFonts w:ascii="宋体" w:hAnsi="宋体" w:eastAsia="宋体" w:cs="Times New Roman"/>
          <w:b/>
          <w:bCs/>
          <w:color w:val="auto"/>
          <w:sz w:val="28"/>
          <w:highlight w:val="none"/>
        </w:rPr>
        <w:t>项目名称：</w:t>
      </w:r>
      <w:r>
        <w:rPr>
          <w:rFonts w:hint="eastAsia" w:hAnsi="宋体" w:cs="Times New Roman"/>
          <w:b/>
          <w:bCs/>
          <w:color w:val="auto"/>
          <w:sz w:val="28"/>
          <w:highlight w:val="none"/>
          <w:lang w:eastAsia="zh-CN"/>
        </w:rPr>
        <w:t>台州国际博览中心项目设计采购施工（EPC）工程总承</w:t>
      </w:r>
    </w:p>
    <w:p w14:paraId="23E00FBC">
      <w:pPr>
        <w:pStyle w:val="11"/>
        <w:shd w:val="clear"/>
        <w:tabs>
          <w:tab w:val="left" w:pos="1620"/>
        </w:tabs>
        <w:snapToGrid w:val="0"/>
        <w:ind w:firstLine="1968" w:firstLineChars="700"/>
        <w:rPr>
          <w:rFonts w:hint="eastAsia" w:ascii="宋体" w:hAnsi="宋体" w:eastAsia="宋体" w:cs="Times New Roman"/>
          <w:b/>
          <w:bCs/>
          <w:color w:val="auto"/>
          <w:sz w:val="28"/>
          <w:highlight w:val="none"/>
          <w:lang w:eastAsia="zh-CN"/>
        </w:rPr>
      </w:pPr>
      <w:r>
        <w:rPr>
          <w:rFonts w:hint="eastAsia" w:hAnsi="宋体" w:cs="Times New Roman"/>
          <w:b/>
          <w:bCs/>
          <w:color w:val="auto"/>
          <w:sz w:val="28"/>
          <w:highlight w:val="none"/>
          <w:lang w:eastAsia="zh-CN"/>
        </w:rPr>
        <w:t>包无价材料采购【景观垃圾桶、可移动花箱、座凳】</w:t>
      </w:r>
    </w:p>
    <w:p w14:paraId="78DEC7AA">
      <w:pPr>
        <w:pStyle w:val="11"/>
        <w:shd w:val="clear"/>
        <w:tabs>
          <w:tab w:val="left" w:pos="1620"/>
        </w:tabs>
        <w:snapToGrid w:val="0"/>
        <w:ind w:firstLine="1175" w:firstLineChars="418"/>
        <w:rPr>
          <w:rFonts w:hAnsi="宋体"/>
          <w:b/>
          <w:bCs/>
          <w:color w:val="auto"/>
          <w:sz w:val="28"/>
          <w:highlight w:val="none"/>
        </w:rPr>
      </w:pPr>
      <w:r>
        <w:rPr>
          <w:rFonts w:hAnsi="宋体"/>
          <w:b/>
          <w:bCs/>
          <w:color w:val="auto"/>
          <w:sz w:val="28"/>
          <w:highlight w:val="none"/>
        </w:rPr>
        <w:t>采购</w:t>
      </w:r>
      <w:r>
        <w:rPr>
          <w:rFonts w:hint="eastAsia" w:hAnsi="宋体"/>
          <w:b/>
          <w:bCs/>
          <w:color w:val="auto"/>
          <w:sz w:val="28"/>
          <w:highlight w:val="none"/>
          <w:lang w:val="en-US" w:eastAsia="zh-CN"/>
        </w:rPr>
        <w:t>人</w:t>
      </w:r>
      <w:r>
        <w:rPr>
          <w:rFonts w:hAnsi="宋体"/>
          <w:b/>
          <w:bCs/>
          <w:color w:val="auto"/>
          <w:sz w:val="28"/>
          <w:highlight w:val="none"/>
        </w:rPr>
        <w:t>：</w:t>
      </w:r>
      <w:r>
        <w:rPr>
          <w:rFonts w:hint="eastAsia" w:hAnsi="宋体"/>
          <w:b/>
          <w:bCs/>
          <w:color w:val="auto"/>
          <w:sz w:val="28"/>
          <w:highlight w:val="none"/>
          <w:lang w:val="en-US" w:eastAsia="zh-CN"/>
        </w:rPr>
        <w:t xml:space="preserve">  </w:t>
      </w:r>
      <w:r>
        <w:rPr>
          <w:rFonts w:hint="eastAsia" w:hAnsi="宋体"/>
          <w:b/>
          <w:bCs/>
          <w:color w:val="auto"/>
          <w:sz w:val="28"/>
          <w:highlight w:val="none"/>
        </w:rPr>
        <w:t>台州国际博览中心有限公司</w:t>
      </w:r>
      <w:r>
        <w:rPr>
          <w:rFonts w:hAnsi="宋体"/>
          <w:b/>
          <w:bCs/>
          <w:color w:val="auto"/>
          <w:sz w:val="28"/>
          <w:highlight w:val="none"/>
        </w:rPr>
        <w:t>（盖章）</w:t>
      </w:r>
      <w:r>
        <w:rPr>
          <w:rFonts w:hint="eastAsia" w:hAnsi="宋体"/>
          <w:b/>
          <w:bCs/>
          <w:color w:val="auto"/>
          <w:sz w:val="28"/>
          <w:highlight w:val="none"/>
        </w:rPr>
        <w:t xml:space="preserve"> </w:t>
      </w:r>
    </w:p>
    <w:p w14:paraId="27D3BE4E">
      <w:pPr>
        <w:pStyle w:val="11"/>
        <w:shd w:val="clear"/>
        <w:tabs>
          <w:tab w:val="left" w:pos="1620"/>
        </w:tabs>
        <w:snapToGrid w:val="0"/>
        <w:ind w:firstLine="2578" w:firstLineChars="917"/>
        <w:rPr>
          <w:rFonts w:hAnsi="宋体"/>
          <w:b/>
          <w:bCs/>
          <w:color w:val="auto"/>
          <w:sz w:val="28"/>
          <w:highlight w:val="none"/>
        </w:rPr>
      </w:pPr>
      <w:r>
        <w:rPr>
          <w:rFonts w:hint="eastAsia" w:hAnsi="宋体"/>
          <w:b/>
          <w:bCs/>
          <w:color w:val="auto"/>
          <w:sz w:val="28"/>
          <w:highlight w:val="none"/>
        </w:rPr>
        <w:t>中国建筑第四工程局有限公司</w:t>
      </w:r>
      <w:r>
        <w:rPr>
          <w:rFonts w:hAnsi="宋体"/>
          <w:b/>
          <w:bCs/>
          <w:color w:val="auto"/>
          <w:sz w:val="28"/>
          <w:highlight w:val="none"/>
        </w:rPr>
        <w:t>（盖章）</w:t>
      </w:r>
    </w:p>
    <w:p w14:paraId="28BCEC61">
      <w:pPr>
        <w:pStyle w:val="11"/>
        <w:shd w:val="clear"/>
        <w:tabs>
          <w:tab w:val="left" w:pos="1620"/>
        </w:tabs>
        <w:snapToGrid w:val="0"/>
        <w:ind w:firstLine="1175" w:firstLineChars="418"/>
        <w:rPr>
          <w:rFonts w:hAnsi="宋体"/>
          <w:b/>
          <w:bCs/>
          <w:color w:val="auto"/>
          <w:sz w:val="28"/>
          <w:highlight w:val="none"/>
        </w:rPr>
      </w:pPr>
      <w:r>
        <w:rPr>
          <w:rFonts w:hAnsi="宋体"/>
          <w:b/>
          <w:bCs/>
          <w:color w:val="auto"/>
          <w:sz w:val="28"/>
          <w:highlight w:val="none"/>
        </w:rPr>
        <w:t>联系人：</w:t>
      </w:r>
      <w:r>
        <w:rPr>
          <w:rFonts w:hint="eastAsia" w:hAnsi="宋体"/>
          <w:b/>
          <w:bCs/>
          <w:color w:val="auto"/>
          <w:sz w:val="28"/>
          <w:highlight w:val="none"/>
        </w:rPr>
        <w:t>周先生、陈先生</w:t>
      </w:r>
      <w:r>
        <w:rPr>
          <w:rFonts w:hAnsi="宋体"/>
          <w:b/>
          <w:bCs/>
          <w:color w:val="auto"/>
          <w:sz w:val="28"/>
          <w:highlight w:val="none"/>
        </w:rPr>
        <w:t xml:space="preserve">  联系电话：</w:t>
      </w:r>
      <w:r>
        <w:rPr>
          <w:rFonts w:hint="eastAsia" w:hAnsi="宋体"/>
          <w:b/>
          <w:bCs/>
          <w:color w:val="auto"/>
          <w:sz w:val="28"/>
          <w:highlight w:val="none"/>
        </w:rPr>
        <w:t>13627211864、0576-82531002</w:t>
      </w:r>
    </w:p>
    <w:p w14:paraId="582642BF">
      <w:pPr>
        <w:pStyle w:val="11"/>
        <w:shd w:val="clear"/>
        <w:tabs>
          <w:tab w:val="left" w:pos="1620"/>
        </w:tabs>
        <w:snapToGrid w:val="0"/>
        <w:ind w:firstLine="1175" w:firstLineChars="418"/>
        <w:rPr>
          <w:rFonts w:hAnsi="宋体"/>
          <w:b/>
          <w:bCs/>
          <w:color w:val="auto"/>
          <w:sz w:val="28"/>
          <w:highlight w:val="none"/>
        </w:rPr>
      </w:pPr>
      <w:r>
        <w:rPr>
          <w:rFonts w:hAnsi="宋体"/>
          <w:b/>
          <w:bCs/>
          <w:color w:val="auto"/>
          <w:sz w:val="28"/>
          <w:highlight w:val="none"/>
        </w:rPr>
        <w:t>代理机构：台州市建设咨询有限公司（盖章）</w:t>
      </w:r>
    </w:p>
    <w:p w14:paraId="3CB4E11B">
      <w:pPr>
        <w:pStyle w:val="11"/>
        <w:shd w:val="clear"/>
        <w:tabs>
          <w:tab w:val="left" w:pos="1620"/>
        </w:tabs>
        <w:snapToGrid w:val="0"/>
        <w:ind w:firstLine="1175" w:firstLineChars="418"/>
        <w:rPr>
          <w:rFonts w:hint="default" w:hAnsi="宋体" w:eastAsia="宋体"/>
          <w:b/>
          <w:bCs/>
          <w:color w:val="auto"/>
          <w:sz w:val="30"/>
          <w:szCs w:val="30"/>
          <w:highlight w:val="none"/>
          <w:lang w:val="en-US" w:eastAsia="zh-CN"/>
        </w:rPr>
      </w:pPr>
      <w:r>
        <w:rPr>
          <w:rFonts w:hAnsi="宋体"/>
          <w:b/>
          <w:bCs/>
          <w:color w:val="auto"/>
          <w:sz w:val="28"/>
          <w:highlight w:val="none"/>
        </w:rPr>
        <w:t>代理项目负责人：</w:t>
      </w:r>
      <w:r>
        <w:rPr>
          <w:rFonts w:hint="eastAsia" w:hAnsi="宋体"/>
          <w:b/>
          <w:bCs/>
          <w:color w:val="auto"/>
          <w:sz w:val="28"/>
          <w:highlight w:val="none"/>
          <w:lang w:eastAsia="zh-CN"/>
        </w:rPr>
        <w:t>李广明</w:t>
      </w:r>
      <w:r>
        <w:rPr>
          <w:rFonts w:hint="eastAsia" w:hAnsi="宋体"/>
          <w:b/>
          <w:bCs/>
          <w:color w:val="auto"/>
          <w:sz w:val="28"/>
          <w:highlight w:val="none"/>
          <w:lang w:val="en-US" w:eastAsia="zh-CN"/>
        </w:rPr>
        <w:t xml:space="preserve">  </w:t>
      </w:r>
      <w:r>
        <w:rPr>
          <w:rFonts w:hAnsi="宋体"/>
          <w:b/>
          <w:bCs/>
          <w:color w:val="auto"/>
          <w:sz w:val="28"/>
          <w:highlight w:val="none"/>
        </w:rPr>
        <w:t>联系电话：</w:t>
      </w:r>
      <w:r>
        <w:rPr>
          <w:rFonts w:hint="eastAsia" w:hAnsi="宋体"/>
          <w:b/>
          <w:bCs/>
          <w:color w:val="auto"/>
          <w:sz w:val="28"/>
          <w:highlight w:val="none"/>
          <w:lang w:eastAsia="zh-CN"/>
        </w:rPr>
        <w:t>0576-</w:t>
      </w:r>
      <w:r>
        <w:rPr>
          <w:rFonts w:hint="eastAsia" w:hAnsi="宋体"/>
          <w:b/>
          <w:bCs/>
          <w:color w:val="auto"/>
          <w:sz w:val="28"/>
          <w:highlight w:val="none"/>
          <w:lang w:val="en-US" w:eastAsia="zh-CN"/>
        </w:rPr>
        <w:t>88517783</w:t>
      </w:r>
    </w:p>
    <w:p w14:paraId="2C7113D4">
      <w:pPr>
        <w:pStyle w:val="11"/>
        <w:shd w:val="clear"/>
        <w:snapToGrid w:val="0"/>
        <w:spacing w:line="360" w:lineRule="auto"/>
        <w:rPr>
          <w:rFonts w:hAnsi="宋体"/>
          <w:b/>
          <w:bCs/>
          <w:color w:val="auto"/>
          <w:sz w:val="30"/>
          <w:szCs w:val="30"/>
          <w:highlight w:val="none"/>
        </w:rPr>
      </w:pPr>
    </w:p>
    <w:p w14:paraId="7BA2A77B">
      <w:pPr>
        <w:pStyle w:val="11"/>
        <w:shd w:val="clear"/>
        <w:snapToGrid w:val="0"/>
        <w:spacing w:line="360" w:lineRule="auto"/>
        <w:rPr>
          <w:rFonts w:hAnsi="宋体"/>
          <w:b/>
          <w:bCs/>
          <w:color w:val="auto"/>
          <w:sz w:val="30"/>
          <w:szCs w:val="30"/>
          <w:highlight w:val="none"/>
        </w:rPr>
      </w:pPr>
    </w:p>
    <w:p w14:paraId="14A5FD18">
      <w:pPr>
        <w:shd w:val="clear"/>
        <w:rPr>
          <w:rFonts w:hAnsi="宋体"/>
          <w:b/>
          <w:bCs/>
          <w:color w:val="auto"/>
          <w:sz w:val="30"/>
          <w:szCs w:val="30"/>
          <w:highlight w:val="none"/>
        </w:rPr>
      </w:pPr>
    </w:p>
    <w:p w14:paraId="5CFAACA0">
      <w:pPr>
        <w:pStyle w:val="2"/>
        <w:shd w:val="clear"/>
        <w:rPr>
          <w:color w:val="auto"/>
          <w:highlight w:val="none"/>
        </w:rPr>
      </w:pPr>
    </w:p>
    <w:p w14:paraId="7519FF69">
      <w:pPr>
        <w:pStyle w:val="11"/>
        <w:shd w:val="clear"/>
        <w:snapToGrid w:val="0"/>
        <w:spacing w:line="360" w:lineRule="auto"/>
        <w:rPr>
          <w:rFonts w:hAnsi="宋体"/>
          <w:b/>
          <w:bCs/>
          <w:color w:val="auto"/>
          <w:sz w:val="30"/>
          <w:szCs w:val="30"/>
          <w:highlight w:val="none"/>
        </w:rPr>
      </w:pPr>
    </w:p>
    <w:p w14:paraId="2142E964">
      <w:pPr>
        <w:shd w:val="clear"/>
        <w:snapToGrid w:val="0"/>
        <w:spacing w:before="156" w:beforeLines="50" w:line="360" w:lineRule="auto"/>
        <w:ind w:left="384" w:leftChars="1" w:hanging="381" w:hangingChars="133"/>
        <w:jc w:val="center"/>
        <w:rPr>
          <w:rFonts w:ascii="宋体" w:hAnsi="宋体"/>
          <w:b/>
          <w:bCs/>
          <w:color w:val="auto"/>
          <w:w w:val="95"/>
          <w:sz w:val="30"/>
          <w:szCs w:val="30"/>
          <w:highlight w:val="none"/>
        </w:rPr>
        <w:sectPr>
          <w:headerReference r:id="rId3" w:type="first"/>
          <w:pgSz w:w="11906" w:h="16838"/>
          <w:pgMar w:top="1247" w:right="1361" w:bottom="1247" w:left="1361" w:header="851" w:footer="851" w:gutter="0"/>
          <w:cols w:space="720" w:num="1"/>
          <w:titlePg/>
          <w:docGrid w:type="lines" w:linePitch="312" w:charSpace="0"/>
        </w:sectPr>
      </w:pPr>
      <w:r>
        <w:rPr>
          <w:rFonts w:hint="eastAsia" w:ascii="宋体" w:hAnsi="宋体"/>
          <w:b/>
          <w:bCs/>
          <w:color w:val="auto"/>
          <w:w w:val="95"/>
          <w:sz w:val="30"/>
          <w:szCs w:val="30"/>
          <w:highlight w:val="none"/>
        </w:rPr>
        <w:t>二〇二</w:t>
      </w:r>
      <w:r>
        <w:rPr>
          <w:rFonts w:hint="eastAsia" w:ascii="宋体" w:hAnsi="宋体"/>
          <w:b/>
          <w:bCs/>
          <w:color w:val="auto"/>
          <w:w w:val="95"/>
          <w:sz w:val="30"/>
          <w:szCs w:val="30"/>
          <w:highlight w:val="none"/>
          <w:lang w:val="en-US" w:eastAsia="zh-CN"/>
        </w:rPr>
        <w:t>四</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十一</w:t>
      </w:r>
      <w:r>
        <w:rPr>
          <w:rFonts w:hint="eastAsia" w:ascii="宋体" w:hAnsi="宋体"/>
          <w:b/>
          <w:bCs/>
          <w:color w:val="auto"/>
          <w:w w:val="95"/>
          <w:sz w:val="30"/>
          <w:szCs w:val="30"/>
          <w:highlight w:val="none"/>
        </w:rPr>
        <w:t>月</w:t>
      </w:r>
    </w:p>
    <w:p w14:paraId="2BFB7903">
      <w:pPr>
        <w:pStyle w:val="11"/>
        <w:shd w:val="clear"/>
        <w:spacing w:before="120" w:beforeLines="0" w:after="120" w:afterLines="0" w:line="360" w:lineRule="auto"/>
        <w:jc w:val="center"/>
        <w:rPr>
          <w:rFonts w:ascii="创艺简标宋" w:hAnsi="宋体" w:eastAsia="创艺简标宋"/>
          <w:color w:val="auto"/>
          <w:sz w:val="44"/>
          <w:szCs w:val="44"/>
          <w:highlight w:val="none"/>
        </w:rPr>
      </w:pPr>
      <w:r>
        <w:rPr>
          <w:rFonts w:ascii="创艺简标宋" w:hAnsi="宋体" w:eastAsia="创艺简标宋"/>
          <w:color w:val="auto"/>
          <w:sz w:val="44"/>
          <w:szCs w:val="44"/>
          <w:highlight w:val="none"/>
        </w:rPr>
        <w:t>目    录</w:t>
      </w:r>
    </w:p>
    <w:p w14:paraId="56E1D326">
      <w:pPr>
        <w:numPr>
          <w:ilvl w:val="0"/>
          <w:numId w:val="2"/>
        </w:numPr>
        <w:shd w:val="clear"/>
        <w:spacing w:before="120" w:beforeLines="50" w:line="480" w:lineRule="exact"/>
        <w:rPr>
          <w:rFonts w:ascii="宋体" w:hAnsi="宋体"/>
          <w:color w:val="auto"/>
          <w:sz w:val="30"/>
          <w:szCs w:val="20"/>
          <w:highlight w:val="none"/>
        </w:rPr>
      </w:pPr>
      <w:r>
        <w:rPr>
          <w:rFonts w:hint="eastAsia" w:ascii="宋体" w:hAnsi="宋体"/>
          <w:color w:val="auto"/>
          <w:sz w:val="30"/>
          <w:highlight w:val="none"/>
          <w:lang w:val="en-US" w:eastAsia="zh-CN"/>
        </w:rPr>
        <w:t>公开招标</w:t>
      </w:r>
      <w:r>
        <w:rPr>
          <w:rFonts w:hint="eastAsia" w:ascii="宋体" w:hAnsi="宋体"/>
          <w:color w:val="auto"/>
          <w:sz w:val="30"/>
          <w:highlight w:val="none"/>
        </w:rPr>
        <w:t>公告</w:t>
      </w:r>
    </w:p>
    <w:p w14:paraId="4C62BB40">
      <w:pPr>
        <w:numPr>
          <w:ilvl w:val="0"/>
          <w:numId w:val="2"/>
        </w:numPr>
        <w:shd w:val="clea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招标需求</w:t>
      </w:r>
    </w:p>
    <w:p w14:paraId="3BF5E686">
      <w:pPr>
        <w:numPr>
          <w:ilvl w:val="0"/>
          <w:numId w:val="2"/>
        </w:numPr>
        <w:shd w:val="clea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投标人须知</w:t>
      </w:r>
    </w:p>
    <w:p w14:paraId="2F87B010">
      <w:pPr>
        <w:numPr>
          <w:ilvl w:val="0"/>
          <w:numId w:val="2"/>
        </w:numPr>
        <w:shd w:val="clea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评标办法及评分标准</w:t>
      </w:r>
    </w:p>
    <w:p w14:paraId="0D9E0772">
      <w:pPr>
        <w:numPr>
          <w:ilvl w:val="0"/>
          <w:numId w:val="2"/>
        </w:numPr>
        <w:shd w:val="clea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合同主要条款</w:t>
      </w:r>
    </w:p>
    <w:p w14:paraId="2B23790D">
      <w:pPr>
        <w:numPr>
          <w:ilvl w:val="0"/>
          <w:numId w:val="2"/>
        </w:numPr>
        <w:shd w:val="clear"/>
        <w:spacing w:before="120" w:beforeLines="50" w:line="480" w:lineRule="exact"/>
        <w:rPr>
          <w:rFonts w:ascii="宋体" w:hAnsi="宋体"/>
          <w:color w:val="auto"/>
          <w:sz w:val="30"/>
          <w:highlight w:val="none"/>
        </w:rPr>
      </w:pPr>
      <w:r>
        <w:rPr>
          <w:rFonts w:hint="eastAsia" w:ascii="宋体" w:hAnsi="宋体"/>
          <w:color w:val="auto"/>
          <w:sz w:val="30"/>
          <w:highlight w:val="none"/>
        </w:rPr>
        <w:t>投标文件格式</w:t>
      </w:r>
    </w:p>
    <w:p w14:paraId="1224A595">
      <w:pPr>
        <w:pStyle w:val="11"/>
        <w:shd w:val="clear"/>
        <w:snapToGrid w:val="0"/>
        <w:spacing w:before="120" w:after="120" w:line="240" w:lineRule="auto"/>
        <w:jc w:val="center"/>
        <w:outlineLvl w:val="0"/>
        <w:rPr>
          <w:rFonts w:ascii="黑体" w:hAnsi="宋体" w:eastAsia="黑体"/>
          <w:color w:val="auto"/>
          <w:sz w:val="30"/>
          <w:szCs w:val="30"/>
          <w:highlight w:val="none"/>
        </w:rPr>
        <w:sectPr>
          <w:footerReference r:id="rId4"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16436949">
      <w:pPr>
        <w:pStyle w:val="11"/>
        <w:shd w:val="clear"/>
        <w:snapToGrid w:val="0"/>
        <w:spacing w:before="120" w:after="120" w:line="240" w:lineRule="auto"/>
        <w:jc w:val="center"/>
        <w:outlineLvl w:val="0"/>
        <w:rPr>
          <w:rFonts w:ascii="黑体" w:hAnsi="宋体" w:eastAsia="黑体"/>
          <w:color w:val="auto"/>
          <w:sz w:val="30"/>
          <w:szCs w:val="30"/>
          <w:highlight w:val="none"/>
        </w:rPr>
      </w:pPr>
      <w:r>
        <w:rPr>
          <w:rFonts w:ascii="黑体" w:hAnsi="宋体" w:eastAsia="黑体"/>
          <w:color w:val="auto"/>
          <w:sz w:val="30"/>
          <w:szCs w:val="30"/>
          <w:highlight w:val="none"/>
        </w:rPr>
        <w:t xml:space="preserve">第一章  </w:t>
      </w:r>
      <w:r>
        <w:rPr>
          <w:rFonts w:hint="eastAsia" w:ascii="黑体" w:hAnsi="宋体" w:eastAsia="黑体"/>
          <w:color w:val="auto"/>
          <w:sz w:val="30"/>
          <w:szCs w:val="30"/>
          <w:highlight w:val="none"/>
          <w:lang w:val="en-US" w:eastAsia="zh-CN"/>
        </w:rPr>
        <w:t>公开</w:t>
      </w:r>
      <w:r>
        <w:rPr>
          <w:rFonts w:hint="eastAsia" w:ascii="黑体" w:hAnsi="宋体" w:eastAsia="黑体"/>
          <w:color w:val="auto"/>
          <w:sz w:val="30"/>
          <w:szCs w:val="30"/>
          <w:highlight w:val="none"/>
        </w:rPr>
        <w:t>招标公告</w:t>
      </w:r>
    </w:p>
    <w:p w14:paraId="5519AEE3">
      <w:pPr>
        <w:pStyle w:val="28"/>
        <w:keepNext w:val="0"/>
        <w:keepLines w:val="0"/>
        <w:pageBreakBefore w:val="0"/>
        <w:widowControl w:val="0"/>
        <w:shd w:val="clear"/>
        <w:kinsoku/>
        <w:wordWrap/>
        <w:overflowPunct/>
        <w:topLinePunct w:val="0"/>
        <w:bidi w:val="0"/>
        <w:spacing w:after="0" w:afterLines="0" w:line="360" w:lineRule="auto"/>
        <w:ind w:firstLine="480"/>
        <w:textAlignment w:val="auto"/>
        <w:rPr>
          <w:rFonts w:ascii="宋体" w:hAnsi="宋体"/>
          <w:color w:val="auto"/>
          <w:szCs w:val="24"/>
          <w:highlight w:val="none"/>
        </w:rPr>
      </w:pPr>
      <w:r>
        <w:rPr>
          <w:rFonts w:hint="eastAsia" w:ascii="宋体" w:hAnsi="宋体"/>
          <w:color w:val="auto"/>
          <w:szCs w:val="24"/>
          <w:highlight w:val="none"/>
        </w:rPr>
        <w:t>台州市建设咨询有限公司受台州国际博览中心有限公司、中国建筑第四工程局有限公司委托，现就</w:t>
      </w:r>
      <w:r>
        <w:rPr>
          <w:rFonts w:hint="eastAsia" w:ascii="宋体" w:hAnsi="宋体"/>
          <w:b/>
          <w:bCs/>
          <w:color w:val="auto"/>
          <w:szCs w:val="24"/>
          <w:highlight w:val="none"/>
          <w:u w:val="single"/>
          <w:lang w:eastAsia="zh-CN"/>
        </w:rPr>
        <w:t>台州国际博览中心项目设计采购施工（EPC）工程总承包无价材料采购【景观垃圾桶、可移动花箱、座凳】</w:t>
      </w:r>
      <w:r>
        <w:rPr>
          <w:rFonts w:hint="eastAsia" w:ascii="宋体" w:hAnsi="宋体"/>
          <w:color w:val="auto"/>
          <w:szCs w:val="24"/>
          <w:highlight w:val="none"/>
        </w:rPr>
        <w:t>进行公开招标。凡具备本项目投标资格要求且能够及时提供本项目货物的投标人均可参加。</w:t>
      </w:r>
    </w:p>
    <w:p w14:paraId="08CC11AD">
      <w:pPr>
        <w:keepNext w:val="0"/>
        <w:keepLines w:val="0"/>
        <w:pageBreakBefore w:val="0"/>
        <w:widowControl w:val="0"/>
        <w:numPr>
          <w:ilvl w:val="0"/>
          <w:numId w:val="3"/>
        </w:numPr>
        <w:shd w:val="clear"/>
        <w:kinsoku/>
        <w:wordWrap/>
        <w:overflowPunct/>
        <w:topLinePunct w:val="0"/>
        <w:bidi w:val="0"/>
        <w:snapToGrid w:val="0"/>
        <w:spacing w:line="360" w:lineRule="auto"/>
        <w:ind w:firstLine="482" w:firstLineChars="200"/>
        <w:textAlignment w:val="auto"/>
        <w:rPr>
          <w:rFonts w:hint="eastAsia" w:ascii="宋体" w:hAnsi="宋体" w:cs="Arial"/>
          <w:b/>
          <w:color w:val="auto"/>
          <w:sz w:val="24"/>
          <w:highlight w:val="none"/>
        </w:rPr>
      </w:pPr>
      <w:r>
        <w:rPr>
          <w:rFonts w:hint="eastAsia" w:ascii="宋体" w:hAnsi="宋体" w:cs="Arial"/>
          <w:b/>
          <w:color w:val="auto"/>
          <w:sz w:val="24"/>
          <w:highlight w:val="none"/>
        </w:rPr>
        <w:t>项目编号：</w:t>
      </w:r>
      <w:r>
        <w:rPr>
          <w:rFonts w:hint="eastAsia" w:ascii="宋体" w:hAnsi="宋体" w:cs="Arial"/>
          <w:b/>
          <w:color w:val="auto"/>
          <w:sz w:val="24"/>
          <w:highlight w:val="none"/>
          <w:lang w:eastAsia="zh-CN"/>
        </w:rPr>
        <w:t>TZCCC-【2024】-117号</w:t>
      </w:r>
    </w:p>
    <w:p w14:paraId="27130C96">
      <w:pPr>
        <w:keepNext w:val="0"/>
        <w:keepLines w:val="0"/>
        <w:pageBreakBefore w:val="0"/>
        <w:widowControl w:val="0"/>
        <w:numPr>
          <w:ilvl w:val="0"/>
          <w:numId w:val="0"/>
        </w:numPr>
        <w:shd w:val="clear"/>
        <w:kinsoku/>
        <w:wordWrap/>
        <w:overflowPunct/>
        <w:topLinePunct w:val="0"/>
        <w:bidi w:val="0"/>
        <w:snapToGrid w:val="0"/>
        <w:spacing w:line="360" w:lineRule="auto"/>
        <w:ind w:firstLine="482" w:firstLineChars="200"/>
        <w:textAlignment w:val="auto"/>
        <w:rPr>
          <w:rFonts w:ascii="宋体" w:hAnsi="宋体" w:cs="Arial"/>
          <w:b/>
          <w:bCs/>
          <w:color w:val="auto"/>
          <w:sz w:val="24"/>
          <w:szCs w:val="20"/>
          <w:highlight w:val="none"/>
        </w:rPr>
      </w:pPr>
      <w:r>
        <w:rPr>
          <w:rFonts w:hint="eastAsia" w:ascii="宋体" w:hAnsi="宋体" w:cs="Arial"/>
          <w:b/>
          <w:color w:val="auto"/>
          <w:sz w:val="24"/>
          <w:highlight w:val="none"/>
        </w:rPr>
        <w:t>二、</w:t>
      </w:r>
      <w:r>
        <w:rPr>
          <w:rFonts w:hint="eastAsia" w:ascii="宋体" w:hAnsi="宋体" w:cs="Arial"/>
          <w:b/>
          <w:bCs/>
          <w:color w:val="auto"/>
          <w:sz w:val="24"/>
          <w:highlight w:val="none"/>
        </w:rPr>
        <w:t>采购内容及数量</w:t>
      </w:r>
    </w:p>
    <w:tbl>
      <w:tblPr>
        <w:tblStyle w:val="23"/>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2874"/>
        <w:gridCol w:w="1108"/>
        <w:gridCol w:w="1070"/>
        <w:gridCol w:w="1488"/>
        <w:gridCol w:w="2022"/>
      </w:tblGrid>
      <w:tr w14:paraId="457A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80" w:type="dxa"/>
            <w:vAlign w:val="center"/>
          </w:tcPr>
          <w:p w14:paraId="30D38742">
            <w:pPr>
              <w:keepNext w:val="0"/>
              <w:keepLines w:val="0"/>
              <w:pageBreakBefore w:val="0"/>
              <w:widowControl w:val="0"/>
              <w:shd w:val="clear"/>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标项号</w:t>
            </w:r>
          </w:p>
        </w:tc>
        <w:tc>
          <w:tcPr>
            <w:tcW w:w="2874" w:type="dxa"/>
            <w:vAlign w:val="center"/>
          </w:tcPr>
          <w:p w14:paraId="535F7123">
            <w:pPr>
              <w:keepNext w:val="0"/>
              <w:keepLines w:val="0"/>
              <w:pageBreakBefore w:val="0"/>
              <w:widowControl w:val="0"/>
              <w:shd w:val="clear"/>
              <w:tabs>
                <w:tab w:val="left" w:pos="8280"/>
              </w:tabs>
              <w:kinsoku/>
              <w:wordWrap/>
              <w:overflowPunct/>
              <w:topLinePunct w:val="0"/>
              <w:autoSpaceDE w:val="0"/>
              <w:autoSpaceDN w:val="0"/>
              <w:bidi w:val="0"/>
              <w:adjustRightInd w:val="0"/>
              <w:spacing w:line="360" w:lineRule="auto"/>
              <w:ind w:firstLine="120" w:firstLineChars="50"/>
              <w:jc w:val="center"/>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项目名称</w:t>
            </w:r>
          </w:p>
        </w:tc>
        <w:tc>
          <w:tcPr>
            <w:tcW w:w="1108" w:type="dxa"/>
            <w:vAlign w:val="center"/>
          </w:tcPr>
          <w:p w14:paraId="03F21A2C">
            <w:pPr>
              <w:keepNext w:val="0"/>
              <w:keepLines w:val="0"/>
              <w:pageBreakBefore w:val="0"/>
              <w:widowControl w:val="0"/>
              <w:shd w:val="clear"/>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 w:val="24"/>
                <w:highlight w:val="none"/>
              </w:rPr>
            </w:pPr>
            <w:r>
              <w:rPr>
                <w:rFonts w:hint="eastAsia" w:ascii="宋体" w:hAnsi="宋体" w:cs="宋体"/>
                <w:b/>
                <w:color w:val="auto"/>
                <w:kern w:val="0"/>
                <w:sz w:val="24"/>
                <w:highlight w:val="none"/>
              </w:rPr>
              <w:t>数量</w:t>
            </w:r>
          </w:p>
        </w:tc>
        <w:tc>
          <w:tcPr>
            <w:tcW w:w="1070" w:type="dxa"/>
            <w:vAlign w:val="center"/>
          </w:tcPr>
          <w:p w14:paraId="49B868AC">
            <w:pPr>
              <w:keepNext w:val="0"/>
              <w:keepLines w:val="0"/>
              <w:pageBreakBefore w:val="0"/>
              <w:widowControl w:val="0"/>
              <w:shd w:val="clear"/>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单位</w:t>
            </w:r>
          </w:p>
        </w:tc>
        <w:tc>
          <w:tcPr>
            <w:tcW w:w="1488" w:type="dxa"/>
            <w:vAlign w:val="center"/>
          </w:tcPr>
          <w:p w14:paraId="1DF14F0D">
            <w:pPr>
              <w:keepNext w:val="0"/>
              <w:keepLines w:val="0"/>
              <w:pageBreakBefore w:val="0"/>
              <w:widowControl w:val="0"/>
              <w:shd w:val="clear"/>
              <w:tabs>
                <w:tab w:val="left" w:pos="8280"/>
              </w:tabs>
              <w:kinsoku/>
              <w:wordWrap/>
              <w:overflowPunct/>
              <w:topLinePunct w:val="0"/>
              <w:autoSpaceDE w:val="0"/>
              <w:autoSpaceDN w:val="0"/>
              <w:bidi w:val="0"/>
              <w:adjustRightInd w:val="0"/>
              <w:spacing w:line="360" w:lineRule="auto"/>
              <w:jc w:val="center"/>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最高投标限价（元）</w:t>
            </w:r>
          </w:p>
        </w:tc>
        <w:tc>
          <w:tcPr>
            <w:tcW w:w="2022" w:type="dxa"/>
            <w:vAlign w:val="center"/>
          </w:tcPr>
          <w:p w14:paraId="475CB128">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供货</w:t>
            </w:r>
            <w:r>
              <w:rPr>
                <w:rFonts w:hint="eastAsia" w:ascii="宋体" w:hAnsi="宋体" w:cs="宋体"/>
                <w:b/>
                <w:color w:val="auto"/>
                <w:sz w:val="24"/>
                <w:highlight w:val="none"/>
              </w:rPr>
              <w:t>期</w:t>
            </w:r>
          </w:p>
        </w:tc>
      </w:tr>
      <w:tr w14:paraId="0D09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280" w:type="dxa"/>
            <w:vAlign w:val="center"/>
          </w:tcPr>
          <w:p w14:paraId="36063A67">
            <w:pPr>
              <w:keepNext w:val="0"/>
              <w:keepLines w:val="0"/>
              <w:pageBreakBefore w:val="0"/>
              <w:widowControl w:val="0"/>
              <w:shd w:val="clear"/>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1</w:t>
            </w:r>
          </w:p>
        </w:tc>
        <w:tc>
          <w:tcPr>
            <w:tcW w:w="2874" w:type="dxa"/>
            <w:vAlign w:val="center"/>
          </w:tcPr>
          <w:p w14:paraId="5FBB6E67">
            <w:pPr>
              <w:keepNext w:val="0"/>
              <w:keepLines w:val="0"/>
              <w:pageBreakBefore w:val="0"/>
              <w:widowControl w:val="0"/>
              <w:shd w:val="clear"/>
              <w:tabs>
                <w:tab w:val="left" w:pos="8280"/>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台州国际博览中心项目设计采购施工（EPC）工程总承包无价材料采购【景观垃圾桶、可移动花箱、座凳】</w:t>
            </w:r>
          </w:p>
        </w:tc>
        <w:tc>
          <w:tcPr>
            <w:tcW w:w="1108" w:type="dxa"/>
            <w:vAlign w:val="center"/>
          </w:tcPr>
          <w:p w14:paraId="5817692D">
            <w:pPr>
              <w:keepNext w:val="0"/>
              <w:keepLines w:val="0"/>
              <w:pageBreakBefore w:val="0"/>
              <w:widowControl w:val="0"/>
              <w:shd w:val="clear"/>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1</w:t>
            </w:r>
          </w:p>
        </w:tc>
        <w:tc>
          <w:tcPr>
            <w:tcW w:w="1070" w:type="dxa"/>
            <w:vAlign w:val="center"/>
          </w:tcPr>
          <w:p w14:paraId="3645E428">
            <w:pPr>
              <w:keepNext w:val="0"/>
              <w:keepLines w:val="0"/>
              <w:pageBreakBefore w:val="0"/>
              <w:widowControl w:val="0"/>
              <w:shd w:val="clear"/>
              <w:tabs>
                <w:tab w:val="left" w:pos="8280"/>
              </w:tabs>
              <w:kinsoku/>
              <w:wordWrap/>
              <w:overflowPunct/>
              <w:topLinePunct w:val="0"/>
              <w:autoSpaceDE w:val="0"/>
              <w:autoSpaceDN w:val="0"/>
              <w:bidi w:val="0"/>
              <w:adjustRightInd w:val="0"/>
              <w:spacing w:line="360" w:lineRule="auto"/>
              <w:jc w:val="center"/>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批</w:t>
            </w:r>
          </w:p>
        </w:tc>
        <w:tc>
          <w:tcPr>
            <w:tcW w:w="1488" w:type="dxa"/>
            <w:shd w:val="clear" w:color="auto" w:fill="auto"/>
            <w:vAlign w:val="center"/>
          </w:tcPr>
          <w:p w14:paraId="55AC1FC6">
            <w:pPr>
              <w:keepNext w:val="0"/>
              <w:keepLines w:val="0"/>
              <w:widowControl/>
              <w:suppressLineNumbers w:val="0"/>
              <w:shd w:val="clear"/>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285647</w:t>
            </w:r>
            <w:r>
              <w:rPr>
                <w:rFonts w:hint="eastAsia" w:ascii="宋体" w:hAnsi="宋体" w:eastAsia="宋体" w:cs="宋体"/>
                <w:i w:val="0"/>
                <w:iCs w:val="0"/>
                <w:color w:val="000000"/>
                <w:kern w:val="0"/>
                <w:sz w:val="24"/>
                <w:szCs w:val="24"/>
                <w:highlight w:val="none"/>
                <w:u w:val="none"/>
                <w:lang w:val="en-US" w:eastAsia="zh-CN" w:bidi="ar"/>
              </w:rPr>
              <w:t xml:space="preserve"> </w:t>
            </w:r>
          </w:p>
        </w:tc>
        <w:tc>
          <w:tcPr>
            <w:tcW w:w="2022" w:type="dxa"/>
            <w:vAlign w:val="center"/>
          </w:tcPr>
          <w:p w14:paraId="04C655AD">
            <w:pPr>
              <w:keepNext w:val="0"/>
              <w:keepLines w:val="0"/>
              <w:suppressLineNumbers w:val="0"/>
              <w:shd w:val="clear"/>
              <w:tabs>
                <w:tab w:val="left" w:pos="8280"/>
              </w:tabs>
              <w:autoSpaceDE w:val="0"/>
              <w:autoSpaceDN w:val="0"/>
              <w:adjustRightInd w:val="0"/>
              <w:spacing w:before="0" w:beforeAutospacing="0" w:after="0" w:afterAutospacing="0"/>
              <w:ind w:left="0" w:leftChars="0" w:right="0" w:rightChars="0"/>
              <w:jc w:val="center"/>
              <w:rPr>
                <w:rFonts w:hint="eastAsia" w:ascii="微软雅黑" w:hAnsi="微软雅黑" w:eastAsia="微软雅黑" w:cs="微软雅黑"/>
                <w:b/>
                <w:bCs/>
                <w:i w:val="0"/>
                <w:iCs w:val="0"/>
                <w:color w:val="auto"/>
                <w:kern w:val="2"/>
                <w:sz w:val="28"/>
                <w:szCs w:val="28"/>
                <w:highlight w:val="none"/>
                <w:u w:val="none"/>
                <w:lang w:val="en-US" w:eastAsia="zh-CN" w:bidi="ar-SA"/>
              </w:rPr>
            </w:pPr>
            <w:r>
              <w:rPr>
                <w:rFonts w:hint="eastAsia" w:ascii="宋体" w:hAnsi="宋体"/>
                <w:bCs/>
                <w:color w:val="auto"/>
                <w:sz w:val="24"/>
                <w:highlight w:val="none"/>
                <w:lang w:val="en-US" w:eastAsia="zh-CN"/>
              </w:rPr>
              <w:t>2024年12月</w:t>
            </w:r>
            <w:r>
              <w:rPr>
                <w:rFonts w:hint="eastAsia" w:ascii="宋体" w:hAnsi="宋体" w:eastAsia="宋体"/>
                <w:bCs/>
                <w:color w:val="auto"/>
                <w:sz w:val="24"/>
                <w:highlight w:val="none"/>
                <w:lang w:val="en-US" w:eastAsia="zh-CN"/>
              </w:rPr>
              <w:t>至2025年</w:t>
            </w:r>
            <w:r>
              <w:rPr>
                <w:rFonts w:hint="eastAsia" w:ascii="宋体" w:hAnsi="宋体"/>
                <w:bCs/>
                <w:color w:val="auto"/>
                <w:sz w:val="24"/>
                <w:highlight w:val="none"/>
                <w:lang w:val="en-US" w:eastAsia="zh-CN"/>
              </w:rPr>
              <w:t>7</w:t>
            </w:r>
            <w:r>
              <w:rPr>
                <w:rFonts w:hint="eastAsia" w:ascii="宋体" w:hAnsi="宋体" w:eastAsia="宋体"/>
                <w:bCs/>
                <w:color w:val="auto"/>
                <w:sz w:val="24"/>
                <w:highlight w:val="none"/>
                <w:lang w:val="en-US" w:eastAsia="zh-CN"/>
              </w:rPr>
              <w:t>月完成所有供货。分批供货，接到每批供货通知单后</w:t>
            </w:r>
            <w:r>
              <w:rPr>
                <w:rFonts w:hint="eastAsia" w:ascii="宋体" w:hAnsi="宋体" w:eastAsia="宋体" w:cs="宋体"/>
                <w:bCs/>
                <w:color w:val="auto"/>
                <w:sz w:val="24"/>
                <w:highlight w:val="none"/>
                <w:lang w:val="en-US" w:eastAsia="zh-CN"/>
              </w:rPr>
              <w:t>30</w:t>
            </w:r>
            <w:r>
              <w:rPr>
                <w:rFonts w:hint="eastAsia" w:ascii="宋体" w:hAnsi="宋体" w:eastAsia="宋体"/>
                <w:bCs/>
                <w:color w:val="auto"/>
                <w:sz w:val="24"/>
                <w:highlight w:val="none"/>
                <w:lang w:val="en-US" w:eastAsia="zh-CN"/>
              </w:rPr>
              <w:t>日历天内完成供货。</w:t>
            </w:r>
          </w:p>
        </w:tc>
      </w:tr>
    </w:tbl>
    <w:p w14:paraId="38A76886">
      <w:pPr>
        <w:keepNext w:val="0"/>
        <w:keepLines w:val="0"/>
        <w:pageBreakBefore w:val="0"/>
        <w:widowControl w:val="0"/>
        <w:numPr>
          <w:ilvl w:val="0"/>
          <w:numId w:val="0"/>
        </w:numPr>
        <w:shd w:val="clear"/>
        <w:kinsoku/>
        <w:wordWrap/>
        <w:overflowPunct/>
        <w:topLinePunct w:val="0"/>
        <w:bidi w:val="0"/>
        <w:snapToGrid w:val="0"/>
        <w:spacing w:line="360" w:lineRule="auto"/>
        <w:ind w:firstLine="482" w:firstLineChars="200"/>
        <w:textAlignment w:val="auto"/>
        <w:rPr>
          <w:rFonts w:hint="eastAsia" w:ascii="宋体" w:hAnsi="宋体" w:eastAsia="宋体" w:cs="Arial"/>
          <w:b/>
          <w:color w:val="auto"/>
          <w:sz w:val="24"/>
          <w:highlight w:val="none"/>
        </w:rPr>
      </w:pPr>
      <w:r>
        <w:rPr>
          <w:rFonts w:hint="eastAsia" w:ascii="宋体" w:hAnsi="宋体" w:eastAsia="宋体" w:cs="Arial"/>
          <w:b/>
          <w:color w:val="auto"/>
          <w:sz w:val="24"/>
          <w:highlight w:val="none"/>
        </w:rPr>
        <w:t>三、合格投标人的资格要求</w:t>
      </w:r>
    </w:p>
    <w:p w14:paraId="1FA9E556">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firstLine="480" w:firstLineChars="200"/>
        <w:textAlignment w:val="auto"/>
        <w:rPr>
          <w:rFonts w:hint="eastAsia" w:ascii="宋体" w:hAnsi="宋体" w:cs="Arial"/>
          <w:bCs/>
          <w:color w:val="auto"/>
          <w:sz w:val="24"/>
          <w:highlight w:val="none"/>
        </w:rPr>
      </w:pPr>
      <w:r>
        <w:rPr>
          <w:rFonts w:hint="eastAsia" w:ascii="宋体" w:hAnsi="宋体" w:cs="Arial"/>
          <w:bCs/>
          <w:color w:val="auto"/>
          <w:sz w:val="24"/>
          <w:highlight w:val="none"/>
        </w:rPr>
        <w:t>1、具有独立法人资格且能提供本项目货物的投标人；</w:t>
      </w:r>
    </w:p>
    <w:p w14:paraId="221BDDD5">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firstLine="480" w:firstLineChars="200"/>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 xml:space="preserve">2、 </w:t>
      </w:r>
      <w:r>
        <w:rPr>
          <w:rFonts w:hint="eastAsia" w:ascii="宋体" w:hAnsi="宋体" w:cs="Arial"/>
          <w:bCs/>
          <w:color w:val="auto"/>
          <w:sz w:val="24"/>
          <w:highlight w:val="none"/>
        </w:rPr>
        <w:t>2019年1月1日(以合同签订时间为准)以来承接过单个合同金额不少于</w:t>
      </w:r>
      <w:r>
        <w:rPr>
          <w:rFonts w:hint="eastAsia" w:ascii="宋体" w:hAnsi="宋体" w:cs="Arial"/>
          <w:bCs/>
          <w:color w:val="auto"/>
          <w:sz w:val="24"/>
          <w:highlight w:val="none"/>
          <w:lang w:val="en-US" w:eastAsia="zh-CN"/>
        </w:rPr>
        <w:t>5</w:t>
      </w:r>
      <w:r>
        <w:rPr>
          <w:rFonts w:hint="eastAsia" w:ascii="宋体" w:hAnsi="宋体" w:cs="Arial"/>
          <w:bCs/>
          <w:color w:val="auto"/>
          <w:sz w:val="24"/>
          <w:highlight w:val="none"/>
        </w:rPr>
        <w:t>万元的类似本项目采购内容的</w:t>
      </w:r>
      <w:r>
        <w:rPr>
          <w:rFonts w:hint="eastAsia" w:ascii="宋体" w:hAnsi="宋体" w:cs="Arial"/>
          <w:bCs/>
          <w:color w:val="auto"/>
          <w:sz w:val="24"/>
          <w:highlight w:val="none"/>
          <w:lang w:val="en-US" w:eastAsia="zh-CN"/>
        </w:rPr>
        <w:t>不锈钢可移动花箱（含</w:t>
      </w:r>
      <w:r>
        <w:rPr>
          <w:rFonts w:hint="eastAsia" w:ascii="宋体" w:hAnsi="宋体" w:cs="宋体"/>
          <w:bCs/>
          <w:color w:val="auto"/>
          <w:sz w:val="24"/>
          <w:highlight w:val="none"/>
          <w:lang w:eastAsia="zh-CN"/>
        </w:rPr>
        <w:t>座凳</w:t>
      </w:r>
      <w:r>
        <w:rPr>
          <w:rFonts w:hint="eastAsia" w:ascii="宋体" w:hAnsi="宋体" w:cs="Arial"/>
          <w:bCs/>
          <w:color w:val="auto"/>
          <w:sz w:val="24"/>
          <w:highlight w:val="none"/>
          <w:lang w:val="en-US" w:eastAsia="zh-CN"/>
        </w:rPr>
        <w:t>）的</w:t>
      </w:r>
      <w:r>
        <w:rPr>
          <w:rFonts w:hint="eastAsia" w:ascii="宋体" w:hAnsi="宋体" w:cs="Arial"/>
          <w:bCs/>
          <w:color w:val="auto"/>
          <w:sz w:val="24"/>
          <w:highlight w:val="none"/>
        </w:rPr>
        <w:t>供货业绩。</w:t>
      </w:r>
    </w:p>
    <w:p w14:paraId="02AF3CE1">
      <w:pPr>
        <w:keepNext w:val="0"/>
        <w:keepLines w:val="0"/>
        <w:pageBreakBefore w:val="0"/>
        <w:widowControl w:val="0"/>
        <w:numPr>
          <w:ilvl w:val="0"/>
          <w:numId w:val="0"/>
        </w:numPr>
        <w:shd w:val="clear"/>
        <w:kinsoku/>
        <w:wordWrap/>
        <w:overflowPunct/>
        <w:topLinePunct w:val="0"/>
        <w:autoSpaceDE/>
        <w:autoSpaceDN/>
        <w:bidi w:val="0"/>
        <w:adjustRightInd/>
        <w:spacing w:line="360" w:lineRule="auto"/>
        <w:ind w:firstLine="482" w:firstLineChars="200"/>
        <w:textAlignment w:val="auto"/>
        <w:rPr>
          <w:rFonts w:ascii="宋体" w:hAnsi="宋体" w:cs="Arial"/>
          <w:color w:val="auto"/>
          <w:sz w:val="24"/>
          <w:highlight w:val="none"/>
        </w:rPr>
      </w:pPr>
      <w:r>
        <w:rPr>
          <w:rFonts w:hint="eastAsia" w:ascii="宋体" w:hAnsi="宋体" w:cs="Arial"/>
          <w:b/>
          <w:bCs/>
          <w:color w:val="auto"/>
          <w:sz w:val="24"/>
          <w:highlight w:val="none"/>
        </w:rPr>
        <w:t>四、招标文件的获取</w:t>
      </w:r>
      <w:r>
        <w:rPr>
          <w:rFonts w:hint="eastAsia" w:ascii="宋体" w:hAnsi="宋体" w:cs="Arial"/>
          <w:color w:val="auto"/>
          <w:sz w:val="24"/>
          <w:highlight w:val="none"/>
        </w:rPr>
        <w:t>：</w:t>
      </w:r>
    </w:p>
    <w:p w14:paraId="770AFF93">
      <w:pPr>
        <w:keepNext w:val="0"/>
        <w:keepLines w:val="0"/>
        <w:pageBreakBefore w:val="0"/>
        <w:widowControl w:val="0"/>
        <w:shd w:val="clear"/>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Times New Roman"/>
          <w:b w:val="0"/>
          <w:bCs/>
          <w:color w:val="auto"/>
          <w:kern w:val="0"/>
          <w:sz w:val="24"/>
          <w:highlight w:val="none"/>
          <w:lang w:val="en-US" w:eastAsia="zh-CN"/>
        </w:rPr>
      </w:pPr>
      <w:r>
        <w:rPr>
          <w:rFonts w:hint="eastAsia" w:ascii="宋体" w:hAnsi="宋体" w:cs="Times New Roman"/>
          <w:b w:val="0"/>
          <w:bCs/>
          <w:color w:val="auto"/>
          <w:kern w:val="0"/>
          <w:sz w:val="24"/>
          <w:highlight w:val="none"/>
          <w:lang w:val="en-US" w:eastAsia="zh-CN"/>
        </w:rPr>
        <w:t>1</w:t>
      </w:r>
      <w:r>
        <w:rPr>
          <w:rFonts w:hint="eastAsia" w:ascii="宋体" w:hAnsi="宋体" w:eastAsia="宋体" w:cs="Times New Roman"/>
          <w:b w:val="0"/>
          <w:bCs/>
          <w:color w:val="auto"/>
          <w:kern w:val="0"/>
          <w:sz w:val="24"/>
          <w:highlight w:val="none"/>
          <w:lang w:val="en-US" w:eastAsia="zh-CN"/>
        </w:rPr>
        <w:t>、本项目招标文件和补充（答疑、澄清）、修改文件以网上下载方式发放</w:t>
      </w:r>
      <w:r>
        <w:rPr>
          <w:rFonts w:hint="eastAsia" w:ascii="宋体" w:hAnsi="宋体" w:cs="Times New Roman"/>
          <w:b w:val="0"/>
          <w:bCs/>
          <w:color w:val="auto"/>
          <w:kern w:val="0"/>
          <w:sz w:val="24"/>
          <w:highlight w:val="none"/>
          <w:lang w:val="en-US" w:eastAsia="zh-CN"/>
        </w:rPr>
        <w:t>：</w:t>
      </w:r>
      <w:r>
        <w:rPr>
          <w:rFonts w:hint="eastAsia" w:ascii="宋体" w:hAnsi="宋体" w:cs="Times New Roman"/>
          <w:b w:val="0"/>
          <w:bCs/>
          <w:color w:val="auto"/>
          <w:kern w:val="0"/>
          <w:sz w:val="24"/>
          <w:highlight w:val="none"/>
          <w:lang w:val="en-US" w:eastAsia="zh-CN"/>
        </w:rPr>
        <w:fldChar w:fldCharType="begin"/>
      </w:r>
      <w:r>
        <w:rPr>
          <w:rFonts w:hint="eastAsia" w:ascii="宋体" w:hAnsi="宋体" w:cs="Times New Roman"/>
          <w:b w:val="0"/>
          <w:bCs/>
          <w:color w:val="auto"/>
          <w:kern w:val="0"/>
          <w:sz w:val="24"/>
          <w:highlight w:val="none"/>
          <w:lang w:val="en-US" w:eastAsia="zh-CN"/>
        </w:rPr>
        <w:instrText xml:space="preserve"> HYPERLINK "https://zfcg.czt.zj.gov.cn/。" </w:instrText>
      </w:r>
      <w:r>
        <w:rPr>
          <w:rFonts w:hint="eastAsia" w:ascii="宋体" w:hAnsi="宋体" w:cs="Times New Roman"/>
          <w:b w:val="0"/>
          <w:bCs/>
          <w:color w:val="auto"/>
          <w:kern w:val="0"/>
          <w:sz w:val="24"/>
          <w:highlight w:val="none"/>
          <w:lang w:val="en-US" w:eastAsia="zh-CN"/>
        </w:rPr>
        <w:fldChar w:fldCharType="separate"/>
      </w:r>
      <w:r>
        <w:rPr>
          <w:rStyle w:val="26"/>
          <w:rFonts w:hint="eastAsia" w:ascii="宋体" w:hAnsi="宋体" w:cs="Times New Roman"/>
          <w:b w:val="0"/>
          <w:bCs/>
          <w:color w:val="auto"/>
          <w:kern w:val="0"/>
          <w:sz w:val="24"/>
          <w:highlight w:val="none"/>
          <w:lang w:val="en-US" w:eastAsia="zh-CN"/>
        </w:rPr>
        <w:t>https://zfcg.czt.zj.gov.cn/</w:t>
      </w:r>
      <w:r>
        <w:rPr>
          <w:rStyle w:val="26"/>
          <w:rFonts w:hint="eastAsia" w:ascii="宋体" w:hAnsi="宋体" w:eastAsia="宋体" w:cs="Times New Roman"/>
          <w:b w:val="0"/>
          <w:bCs/>
          <w:color w:val="auto"/>
          <w:kern w:val="0"/>
          <w:sz w:val="24"/>
          <w:highlight w:val="none"/>
          <w:lang w:val="en-US" w:eastAsia="zh-CN"/>
        </w:rPr>
        <w:t>。</w:t>
      </w:r>
      <w:r>
        <w:rPr>
          <w:rFonts w:hint="eastAsia" w:ascii="宋体" w:hAnsi="宋体" w:cs="Times New Roman"/>
          <w:b w:val="0"/>
          <w:bCs/>
          <w:color w:val="auto"/>
          <w:kern w:val="0"/>
          <w:sz w:val="24"/>
          <w:highlight w:val="none"/>
          <w:lang w:val="en-US" w:eastAsia="zh-CN"/>
        </w:rPr>
        <w:fldChar w:fldCharType="end"/>
      </w:r>
    </w:p>
    <w:p w14:paraId="64C60FA8">
      <w:pPr>
        <w:keepNext w:val="0"/>
        <w:keepLines w:val="0"/>
        <w:pageBreakBefore w:val="0"/>
        <w:widowControl w:val="0"/>
        <w:shd w:val="clear"/>
        <w:kinsoku/>
        <w:wordWrap/>
        <w:overflowPunct/>
        <w:topLinePunct w:val="0"/>
        <w:autoSpaceDE/>
        <w:autoSpaceDN/>
        <w:bidi w:val="0"/>
        <w:adjustRightInd/>
        <w:snapToGrid w:val="0"/>
        <w:spacing w:line="360" w:lineRule="auto"/>
        <w:ind w:left="0" w:firstLine="480" w:firstLineChars="200"/>
        <w:textAlignment w:val="auto"/>
        <w:rPr>
          <w:rFonts w:hint="default" w:ascii="宋体" w:hAnsi="宋体" w:eastAsia="宋体" w:cs="Times New Roman"/>
          <w:b w:val="0"/>
          <w:bCs/>
          <w:color w:val="auto"/>
          <w:kern w:val="0"/>
          <w:sz w:val="24"/>
          <w:highlight w:val="none"/>
          <w:lang w:val="en-US" w:eastAsia="zh-CN"/>
        </w:rPr>
      </w:pPr>
      <w:r>
        <w:rPr>
          <w:rFonts w:hint="eastAsia" w:ascii="宋体" w:hAnsi="宋体" w:cs="Times New Roman"/>
          <w:b w:val="0"/>
          <w:bCs/>
          <w:color w:val="auto"/>
          <w:kern w:val="0"/>
          <w:sz w:val="24"/>
          <w:highlight w:val="none"/>
          <w:lang w:val="en-US" w:eastAsia="zh-CN"/>
        </w:rPr>
        <w:t>2、招标文件下载网址：潜在投标人登录</w:t>
      </w:r>
      <w:r>
        <w:rPr>
          <w:rFonts w:hint="eastAsia" w:ascii="宋体" w:hAnsi="宋体" w:cs="Times New Roman"/>
          <w:b w:val="0"/>
          <w:bCs/>
          <w:color w:val="auto"/>
          <w:kern w:val="0"/>
          <w:sz w:val="24"/>
          <w:highlight w:val="none"/>
          <w:u w:val="single"/>
          <w:lang w:val="en-US" w:eastAsia="zh-CN"/>
        </w:rPr>
        <w:t>https://zfcg.czt.zj.gov.cn/</w:t>
      </w:r>
      <w:r>
        <w:rPr>
          <w:rFonts w:hint="eastAsia" w:ascii="宋体" w:hAnsi="宋体" w:cs="Times New Roman"/>
          <w:b w:val="0"/>
          <w:bCs/>
          <w:color w:val="auto"/>
          <w:kern w:val="0"/>
          <w:sz w:val="24"/>
          <w:highlight w:val="none"/>
          <w:lang w:val="en-US" w:eastAsia="zh-CN"/>
        </w:rPr>
        <w:t>自行下载招标文件</w:t>
      </w:r>
    </w:p>
    <w:p w14:paraId="010E60ED">
      <w:pPr>
        <w:keepNext w:val="0"/>
        <w:keepLines w:val="0"/>
        <w:pageBreakBefore w:val="0"/>
        <w:widowControl w:val="0"/>
        <w:shd w:val="clear"/>
        <w:kinsoku/>
        <w:wordWrap/>
        <w:overflowPunct/>
        <w:topLinePunct w:val="0"/>
        <w:bidi w:val="0"/>
        <w:spacing w:line="360" w:lineRule="auto"/>
        <w:ind w:firstLine="540" w:firstLineChars="225"/>
        <w:textAlignment w:val="auto"/>
        <w:rPr>
          <w:rFonts w:eastAsia="黑体"/>
          <w:color w:val="auto"/>
          <w:highlight w:val="none"/>
        </w:rPr>
      </w:pPr>
      <w:r>
        <w:rPr>
          <w:rFonts w:hint="eastAsia" w:ascii="宋体" w:hAnsi="宋体" w:cs="Times New Roman"/>
          <w:b w:val="0"/>
          <w:bCs/>
          <w:color w:val="auto"/>
          <w:kern w:val="0"/>
          <w:sz w:val="24"/>
          <w:highlight w:val="none"/>
          <w:lang w:val="en-US" w:eastAsia="zh-CN"/>
        </w:rPr>
        <w:t>3、招标文件网上下载时间：（公告发布之日起至投标文件递交截止时间）。</w:t>
      </w:r>
    </w:p>
    <w:p w14:paraId="39416350">
      <w:pPr>
        <w:keepNext w:val="0"/>
        <w:keepLines w:val="0"/>
        <w:pageBreakBefore w:val="0"/>
        <w:widowControl w:val="0"/>
        <w:shd w:val="clear"/>
        <w:kinsoku/>
        <w:wordWrap/>
        <w:overflowPunct/>
        <w:topLinePunct w:val="0"/>
        <w:bidi w:val="0"/>
        <w:snapToGrid w:val="0"/>
        <w:spacing w:line="360" w:lineRule="auto"/>
        <w:ind w:firstLine="542" w:firstLineChars="225"/>
        <w:textAlignment w:val="auto"/>
        <w:rPr>
          <w:rFonts w:ascii="宋体" w:hAnsi="宋体" w:cs="Arial"/>
          <w:color w:val="auto"/>
          <w:sz w:val="24"/>
          <w:szCs w:val="20"/>
          <w:highlight w:val="none"/>
        </w:rPr>
      </w:pPr>
      <w:r>
        <w:rPr>
          <w:rFonts w:hint="eastAsia" w:ascii="宋体" w:hAnsi="宋体" w:cs="Arial"/>
          <w:b/>
          <w:bCs/>
          <w:color w:val="auto"/>
          <w:sz w:val="24"/>
          <w:highlight w:val="none"/>
          <w:lang w:val="en-US" w:eastAsia="zh-CN"/>
        </w:rPr>
        <w:t>五</w:t>
      </w:r>
      <w:r>
        <w:rPr>
          <w:rFonts w:hint="eastAsia" w:ascii="宋体" w:hAnsi="宋体" w:cs="Arial"/>
          <w:b/>
          <w:bCs/>
          <w:color w:val="auto"/>
          <w:sz w:val="24"/>
          <w:highlight w:val="none"/>
        </w:rPr>
        <w:t>、投标保证金</w:t>
      </w:r>
      <w:r>
        <w:rPr>
          <w:rFonts w:hint="eastAsia" w:ascii="宋体" w:hAnsi="宋体" w:cs="Arial"/>
          <w:color w:val="auto"/>
          <w:sz w:val="24"/>
          <w:highlight w:val="none"/>
        </w:rPr>
        <w:t>：</w:t>
      </w:r>
    </w:p>
    <w:p w14:paraId="7CBFB216">
      <w:pPr>
        <w:keepNext w:val="0"/>
        <w:keepLines w:val="0"/>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1、担保金额：</w:t>
      </w:r>
      <w:r>
        <w:rPr>
          <w:rFonts w:hint="eastAsia" w:ascii="宋体" w:hAnsi="宋体" w:cs="Arial"/>
          <w:color w:val="auto"/>
          <w:sz w:val="24"/>
          <w:highlight w:val="none"/>
          <w:u w:val="single"/>
          <w:lang w:val="en-US" w:eastAsia="zh-CN"/>
        </w:rPr>
        <w:t xml:space="preserve"> 5700 </w:t>
      </w:r>
      <w:r>
        <w:rPr>
          <w:rFonts w:hint="eastAsia" w:ascii="宋体" w:hAnsi="宋体" w:cs="Arial"/>
          <w:color w:val="auto"/>
          <w:sz w:val="24"/>
          <w:highlight w:val="none"/>
        </w:rPr>
        <w:t>元。</w:t>
      </w:r>
    </w:p>
    <w:p w14:paraId="7AD02D42">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2、担保形式：转账、电汇、银行汇票、银行保函、保险机构保证保险保单、融资担保公司保函。</w:t>
      </w:r>
    </w:p>
    <w:p w14:paraId="2CC33197">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（1）转账、电汇、银行汇票：</w:t>
      </w:r>
    </w:p>
    <w:p w14:paraId="5A5FB815">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①投标人交至</w:t>
      </w:r>
      <w:r>
        <w:rPr>
          <w:rFonts w:hint="eastAsia" w:ascii="宋体" w:hAnsi="宋体" w:cs="Arial"/>
          <w:color w:val="auto"/>
          <w:sz w:val="24"/>
          <w:highlight w:val="none"/>
          <w:lang w:eastAsia="zh-CN"/>
        </w:rPr>
        <w:t>：</w:t>
      </w:r>
      <w:r>
        <w:rPr>
          <w:rFonts w:hint="eastAsia" w:ascii="宋体" w:hAnsi="宋体" w:cs="Arial"/>
          <w:color w:val="auto"/>
          <w:sz w:val="24"/>
          <w:highlight w:val="none"/>
        </w:rPr>
        <w:t>台州市建设咨询有限公司（收款单位名称）</w:t>
      </w:r>
    </w:p>
    <w:p w14:paraId="5E1F6FED">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开户行：中信银行台州分行营业部；</w:t>
      </w:r>
    </w:p>
    <w:p w14:paraId="3607968A">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账号：8110801011702993473。</w:t>
      </w:r>
    </w:p>
    <w:p w14:paraId="3A475D32">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（2）银行保函、保险机构保证保险保单、融资担保公司保函：</w:t>
      </w:r>
    </w:p>
    <w:p w14:paraId="0E805E3D">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①银行保函、保险机构保证保险保单、融资担保公司保函（以下合称“工程保函”）原件须在投标截止时间前提交；</w:t>
      </w:r>
    </w:p>
    <w:p w14:paraId="47FC50F5">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提交方式及地点：浙江省台州市市府大道507号台州国际商务广场1幢（北门）11楼开标室；</w:t>
      </w:r>
    </w:p>
    <w:p w14:paraId="52B66585">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接收人：台州市建设</w:t>
      </w:r>
      <w:r>
        <w:rPr>
          <w:rFonts w:ascii="宋体" w:hAnsi="宋体" w:cs="Arial"/>
          <w:color w:val="auto"/>
          <w:sz w:val="24"/>
          <w:highlight w:val="none"/>
        </w:rPr>
        <w:t>咨询有限公司</w:t>
      </w:r>
      <w:r>
        <w:rPr>
          <w:rFonts w:hint="eastAsia" w:ascii="宋体" w:hAnsi="宋体" w:cs="Arial"/>
          <w:color w:val="auto"/>
          <w:sz w:val="24"/>
          <w:highlight w:val="none"/>
        </w:rPr>
        <w:t>（代理机构）；</w:t>
      </w:r>
    </w:p>
    <w:p w14:paraId="143D9973">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接收人联系方式：</w:t>
      </w:r>
      <w:r>
        <w:rPr>
          <w:rFonts w:ascii="宋体" w:hAnsi="宋体" w:cs="Arial"/>
          <w:color w:val="auto"/>
          <w:sz w:val="24"/>
          <w:highlight w:val="none"/>
        </w:rPr>
        <w:t>0576-</w:t>
      </w:r>
      <w:r>
        <w:rPr>
          <w:rFonts w:hint="eastAsia" w:ascii="宋体" w:hAnsi="宋体" w:cs="Arial"/>
          <w:color w:val="auto"/>
          <w:sz w:val="24"/>
          <w:highlight w:val="none"/>
          <w:lang w:val="en-US" w:eastAsia="zh-CN"/>
        </w:rPr>
        <w:t>88517783</w:t>
      </w:r>
      <w:r>
        <w:rPr>
          <w:rFonts w:hint="eastAsia" w:ascii="宋体" w:hAnsi="宋体" w:cs="Arial"/>
          <w:color w:val="auto"/>
          <w:sz w:val="24"/>
          <w:highlight w:val="none"/>
        </w:rPr>
        <w:t xml:space="preserve"> （代理机构联系方式）；</w:t>
      </w:r>
    </w:p>
    <w:p w14:paraId="7C977AE8">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②工程保函受益人：</w:t>
      </w:r>
      <w:r>
        <w:rPr>
          <w:rFonts w:hint="eastAsia" w:ascii="宋体" w:hAnsi="宋体" w:cs="Arial"/>
          <w:bCs/>
          <w:color w:val="auto"/>
          <w:sz w:val="24"/>
          <w:highlight w:val="none"/>
        </w:rPr>
        <w:t>中国建筑第四工程局有限公司</w:t>
      </w:r>
      <w:r>
        <w:rPr>
          <w:rFonts w:hint="eastAsia" w:ascii="宋体" w:hAnsi="宋体" w:cs="Arial"/>
          <w:color w:val="auto"/>
          <w:sz w:val="24"/>
          <w:highlight w:val="none"/>
        </w:rPr>
        <w:t>（采购人名称）；</w:t>
      </w:r>
    </w:p>
    <w:p w14:paraId="3068EDA6">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 xml:space="preserve">  工程保函投保人：</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 xml:space="preserve">   </w:t>
      </w:r>
      <w:r>
        <w:rPr>
          <w:rFonts w:hint="eastAsia" w:ascii="宋体" w:hAnsi="宋体" w:cs="Arial"/>
          <w:color w:val="auto"/>
          <w:sz w:val="24"/>
          <w:highlight w:val="none"/>
          <w:u w:val="single"/>
        </w:rPr>
        <w:t xml:space="preserve">      </w:t>
      </w:r>
      <w:r>
        <w:rPr>
          <w:rFonts w:hint="eastAsia" w:ascii="宋体" w:hAnsi="宋体" w:cs="Arial"/>
          <w:color w:val="auto"/>
          <w:sz w:val="24"/>
          <w:highlight w:val="none"/>
        </w:rPr>
        <w:t>（投标人名称）；</w:t>
      </w:r>
    </w:p>
    <w:p w14:paraId="3F5A5784">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rPr>
        <w:t>③工程保函的有效期应当不短于投标有效期；</w:t>
      </w:r>
    </w:p>
    <w:p w14:paraId="1F54ED43">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Arial"/>
          <w:color w:val="auto"/>
          <w:sz w:val="24"/>
          <w:highlight w:val="none"/>
        </w:rPr>
      </w:pPr>
      <w:r>
        <w:rPr>
          <w:rFonts w:hint="eastAsia" w:ascii="宋体" w:hAnsi="宋体" w:cs="Arial"/>
          <w:color w:val="auto"/>
          <w:sz w:val="24"/>
          <w:highlight w:val="none"/>
        </w:rPr>
        <w:t>④工程保函中采购人可提起索赔的内容必须至少包括“第三章投标人须知：三、投标文件的编制：（五）第4项中所列条款”。</w:t>
      </w:r>
    </w:p>
    <w:p w14:paraId="49338B96">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Arial"/>
          <w:color w:val="auto"/>
          <w:sz w:val="24"/>
          <w:highlight w:val="none"/>
          <w:lang w:val="en-US" w:eastAsia="zh-CN"/>
        </w:rPr>
      </w:pPr>
      <w:r>
        <w:rPr>
          <w:rFonts w:hint="eastAsia" w:ascii="宋体" w:hAnsi="宋体" w:cs="Arial"/>
          <w:color w:val="auto"/>
          <w:sz w:val="24"/>
          <w:highlight w:val="none"/>
          <w:lang w:val="en-US" w:eastAsia="zh-CN"/>
        </w:rPr>
        <w:t>注：①以</w:t>
      </w:r>
      <w:r>
        <w:rPr>
          <w:rFonts w:hint="eastAsia" w:ascii="宋体" w:hAnsi="宋体" w:cs="Arial"/>
          <w:color w:val="auto"/>
          <w:sz w:val="24"/>
          <w:highlight w:val="none"/>
        </w:rPr>
        <w:t>转账、电汇、银行汇票</w:t>
      </w:r>
      <w:r>
        <w:rPr>
          <w:rFonts w:hint="eastAsia" w:ascii="宋体" w:hAnsi="宋体" w:cs="Arial"/>
          <w:color w:val="auto"/>
          <w:sz w:val="24"/>
          <w:highlight w:val="none"/>
          <w:lang w:val="en-US" w:eastAsia="zh-CN"/>
        </w:rPr>
        <w:t>形式递交投标保证金的，投标保证金应在投标截止时间前到达指定账户。（因各银行系统到账时间不同，请尽量提前缴纳）；</w:t>
      </w:r>
    </w:p>
    <w:p w14:paraId="50D5C875">
      <w:pPr>
        <w:keepNext w:val="0"/>
        <w:keepLines w:val="0"/>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s="Arial"/>
          <w:color w:val="auto"/>
          <w:sz w:val="24"/>
          <w:highlight w:val="none"/>
        </w:rPr>
      </w:pPr>
      <w:r>
        <w:rPr>
          <w:rFonts w:hint="eastAsia" w:ascii="宋体" w:hAnsi="宋体" w:cs="Arial"/>
          <w:color w:val="auto"/>
          <w:sz w:val="24"/>
          <w:highlight w:val="none"/>
          <w:lang w:val="en-US" w:eastAsia="zh-CN"/>
        </w:rPr>
        <w:t>②若招标文件允许联合体投标且投标人以联合体身份投标的，由联合体牵头人提交投标保证金。</w:t>
      </w:r>
    </w:p>
    <w:p w14:paraId="0B67BBFD">
      <w:pPr>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jc w:val="left"/>
        <w:textAlignment w:val="auto"/>
        <w:rPr>
          <w:rFonts w:ascii="宋体" w:hAnsi="宋体" w:cs="Arial"/>
          <w:color w:val="auto"/>
          <w:sz w:val="24"/>
          <w:szCs w:val="20"/>
          <w:highlight w:val="none"/>
        </w:rPr>
      </w:pPr>
      <w:r>
        <w:rPr>
          <w:rFonts w:hint="eastAsia" w:ascii="宋体" w:hAnsi="宋体" w:cs="Arial"/>
          <w:b/>
          <w:bCs/>
          <w:color w:val="auto"/>
          <w:sz w:val="24"/>
          <w:highlight w:val="none"/>
          <w:lang w:val="en-US" w:eastAsia="zh-CN"/>
        </w:rPr>
        <w:t>六</w:t>
      </w:r>
      <w:r>
        <w:rPr>
          <w:rFonts w:hint="eastAsia" w:ascii="宋体" w:hAnsi="宋体" w:cs="Arial"/>
          <w:b/>
          <w:bCs/>
          <w:color w:val="auto"/>
          <w:sz w:val="24"/>
          <w:highlight w:val="none"/>
        </w:rPr>
        <w:t>、投标截止时间和地点</w:t>
      </w:r>
      <w:r>
        <w:rPr>
          <w:rFonts w:hint="eastAsia" w:ascii="宋体" w:hAnsi="宋体" w:cs="Arial"/>
          <w:color w:val="auto"/>
          <w:sz w:val="24"/>
          <w:highlight w:val="none"/>
        </w:rPr>
        <w:t>：</w:t>
      </w:r>
    </w:p>
    <w:p w14:paraId="423A44A5">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投标人应于</w:t>
      </w:r>
      <w:r>
        <w:rPr>
          <w:rFonts w:ascii="宋体" w:hAnsi="宋体" w:cs="Arial"/>
          <w:color w:val="auto"/>
          <w:sz w:val="24"/>
          <w:highlight w:val="none"/>
          <w:u w:val="single"/>
        </w:rPr>
        <w:t>202</w:t>
      </w:r>
      <w:r>
        <w:rPr>
          <w:rFonts w:hint="eastAsia" w:ascii="宋体" w:hAnsi="宋体" w:cs="Arial"/>
          <w:color w:val="auto"/>
          <w:sz w:val="24"/>
          <w:highlight w:val="none"/>
          <w:u w:val="single"/>
          <w:lang w:val="en-US" w:eastAsia="zh-CN"/>
        </w:rPr>
        <w:t>4</w:t>
      </w:r>
      <w:r>
        <w:rPr>
          <w:rFonts w:hint="eastAsia" w:ascii="宋体" w:hAnsi="宋体" w:cs="Arial"/>
          <w:color w:val="auto"/>
          <w:sz w:val="24"/>
          <w:highlight w:val="none"/>
          <w:u w:val="single"/>
        </w:rPr>
        <w:t>年</w:t>
      </w:r>
      <w:r>
        <w:rPr>
          <w:rFonts w:hint="eastAsia" w:ascii="宋体" w:hAnsi="宋体" w:cs="Arial"/>
          <w:color w:val="auto"/>
          <w:sz w:val="24"/>
          <w:highlight w:val="none"/>
          <w:u w:val="single"/>
          <w:lang w:val="en-US" w:eastAsia="zh-CN"/>
        </w:rPr>
        <w:t>12</w:t>
      </w:r>
      <w:r>
        <w:rPr>
          <w:rFonts w:hint="eastAsia" w:ascii="宋体" w:hAnsi="宋体" w:cs="Arial"/>
          <w:color w:val="auto"/>
          <w:sz w:val="24"/>
          <w:highlight w:val="none"/>
          <w:u w:val="single"/>
        </w:rPr>
        <w:t>月</w:t>
      </w:r>
      <w:r>
        <w:rPr>
          <w:rFonts w:hint="eastAsia" w:ascii="宋体" w:hAnsi="宋体" w:cs="Arial"/>
          <w:color w:val="auto"/>
          <w:sz w:val="24"/>
          <w:highlight w:val="none"/>
          <w:u w:val="single"/>
          <w:lang w:val="en-US" w:eastAsia="zh-CN"/>
        </w:rPr>
        <w:t>4</w:t>
      </w:r>
      <w:r>
        <w:rPr>
          <w:rFonts w:hint="eastAsia" w:ascii="宋体" w:hAnsi="宋体" w:cs="Arial"/>
          <w:color w:val="auto"/>
          <w:sz w:val="24"/>
          <w:highlight w:val="none"/>
          <w:u w:val="single"/>
        </w:rPr>
        <w:t>日</w:t>
      </w:r>
      <w:r>
        <w:rPr>
          <w:rFonts w:hint="eastAsia" w:ascii="宋体" w:hAnsi="宋体" w:cs="Arial"/>
          <w:color w:val="auto"/>
          <w:sz w:val="24"/>
          <w:highlight w:val="none"/>
          <w:u w:val="single"/>
          <w:lang w:val="en-US" w:eastAsia="zh-CN"/>
        </w:rPr>
        <w:t>14</w:t>
      </w:r>
      <w:r>
        <w:rPr>
          <w:rFonts w:ascii="宋体" w:hAnsi="宋体" w:cs="Arial"/>
          <w:color w:val="auto"/>
          <w:sz w:val="24"/>
          <w:highlight w:val="none"/>
          <w:u w:val="single"/>
        </w:rPr>
        <w:t>时</w:t>
      </w:r>
      <w:r>
        <w:rPr>
          <w:rFonts w:hint="eastAsia" w:ascii="宋体" w:hAnsi="宋体" w:cs="Arial"/>
          <w:color w:val="auto"/>
          <w:sz w:val="24"/>
          <w:highlight w:val="none"/>
          <w:u w:val="single"/>
          <w:lang w:val="en-US" w:eastAsia="zh-CN"/>
        </w:rPr>
        <w:t>3</w:t>
      </w:r>
      <w:r>
        <w:rPr>
          <w:rFonts w:hint="eastAsia" w:ascii="宋体" w:hAnsi="宋体" w:cs="Arial"/>
          <w:color w:val="auto"/>
          <w:sz w:val="24"/>
          <w:highlight w:val="none"/>
          <w:u w:val="single"/>
        </w:rPr>
        <w:t>0分</w:t>
      </w:r>
      <w:r>
        <w:rPr>
          <w:rFonts w:hint="eastAsia" w:ascii="宋体" w:hAnsi="宋体"/>
          <w:color w:val="auto"/>
          <w:sz w:val="24"/>
          <w:highlight w:val="none"/>
        </w:rPr>
        <w:t>（时间）前将投标文件密封送交</w:t>
      </w:r>
      <w:r>
        <w:rPr>
          <w:rFonts w:hint="eastAsia" w:ascii="宋体" w:hAnsi="宋体" w:cs="Arial"/>
          <w:color w:val="auto"/>
          <w:sz w:val="24"/>
          <w:highlight w:val="none"/>
          <w:u w:val="single"/>
          <w:lang w:val="en-US" w:eastAsia="zh-CN"/>
        </w:rPr>
        <w:t>浙江省台州市市府大道507号台州国际商务广场1幢（北门）11楼</w:t>
      </w:r>
      <w:r>
        <w:rPr>
          <w:rFonts w:hint="eastAsia" w:ascii="宋体" w:hAnsi="宋体" w:cs="Arial"/>
          <w:color w:val="auto"/>
          <w:sz w:val="24"/>
          <w:highlight w:val="none"/>
          <w:u w:val="single"/>
          <w:lang w:eastAsia="zh-CN"/>
        </w:rPr>
        <w:t>开标室</w:t>
      </w:r>
      <w:r>
        <w:rPr>
          <w:rFonts w:hint="eastAsia" w:ascii="宋体" w:hAnsi="宋体"/>
          <w:color w:val="auto"/>
          <w:sz w:val="24"/>
          <w:highlight w:val="none"/>
        </w:rPr>
        <w:t>，逾期送达或未密封将予以拒收（或作无效投标文件处理）。</w:t>
      </w:r>
    </w:p>
    <w:p w14:paraId="3DE6F41D">
      <w:pPr>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ascii="宋体" w:hAnsi="宋体" w:cs="Arial"/>
          <w:color w:val="auto"/>
          <w:sz w:val="24"/>
          <w:szCs w:val="20"/>
          <w:highlight w:val="none"/>
        </w:rPr>
      </w:pPr>
      <w:r>
        <w:rPr>
          <w:rFonts w:hint="eastAsia" w:ascii="宋体" w:hAnsi="宋体" w:cs="Arial"/>
          <w:b/>
          <w:bCs/>
          <w:color w:val="auto"/>
          <w:sz w:val="24"/>
          <w:highlight w:val="none"/>
          <w:lang w:val="en-US" w:eastAsia="zh-CN"/>
        </w:rPr>
        <w:t>七</w:t>
      </w:r>
      <w:r>
        <w:rPr>
          <w:rFonts w:hint="eastAsia" w:ascii="宋体" w:hAnsi="宋体" w:cs="Arial"/>
          <w:b/>
          <w:bCs/>
          <w:color w:val="auto"/>
          <w:sz w:val="24"/>
          <w:highlight w:val="none"/>
        </w:rPr>
        <w:t>、开标时间及地点</w:t>
      </w:r>
      <w:r>
        <w:rPr>
          <w:rFonts w:hint="eastAsia" w:ascii="宋体" w:hAnsi="宋体" w:cs="Arial"/>
          <w:color w:val="auto"/>
          <w:sz w:val="24"/>
          <w:highlight w:val="none"/>
        </w:rPr>
        <w:t>：</w:t>
      </w:r>
    </w:p>
    <w:p w14:paraId="2D004545">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ascii="宋体" w:hAnsi="宋体" w:cs="Arial"/>
          <w:color w:val="auto"/>
          <w:sz w:val="24"/>
          <w:szCs w:val="20"/>
          <w:highlight w:val="none"/>
        </w:rPr>
      </w:pPr>
      <w:r>
        <w:rPr>
          <w:rFonts w:hint="eastAsia" w:ascii="宋体" w:hAnsi="宋体" w:cs="Arial"/>
          <w:color w:val="auto"/>
          <w:sz w:val="24"/>
          <w:highlight w:val="none"/>
        </w:rPr>
        <w:t>本次招标将于</w:t>
      </w:r>
      <w:r>
        <w:rPr>
          <w:rFonts w:ascii="宋体" w:hAnsi="宋体" w:cs="Arial"/>
          <w:color w:val="auto"/>
          <w:sz w:val="24"/>
          <w:highlight w:val="none"/>
          <w:u w:val="single"/>
        </w:rPr>
        <w:t>202</w:t>
      </w:r>
      <w:r>
        <w:rPr>
          <w:rFonts w:hint="eastAsia" w:ascii="宋体" w:hAnsi="宋体" w:cs="Arial"/>
          <w:color w:val="auto"/>
          <w:sz w:val="24"/>
          <w:highlight w:val="none"/>
          <w:u w:val="single"/>
          <w:lang w:val="en-US" w:eastAsia="zh-CN"/>
        </w:rPr>
        <w:t>4</w:t>
      </w:r>
      <w:r>
        <w:rPr>
          <w:rFonts w:hint="eastAsia" w:ascii="宋体" w:hAnsi="宋体" w:cs="Arial"/>
          <w:color w:val="auto"/>
          <w:sz w:val="24"/>
          <w:highlight w:val="none"/>
          <w:u w:val="single"/>
        </w:rPr>
        <w:t>年</w:t>
      </w:r>
      <w:r>
        <w:rPr>
          <w:rFonts w:hint="eastAsia" w:ascii="宋体" w:hAnsi="宋体" w:cs="Arial"/>
          <w:color w:val="auto"/>
          <w:sz w:val="24"/>
          <w:highlight w:val="none"/>
          <w:u w:val="single"/>
          <w:lang w:val="en-US" w:eastAsia="zh-CN"/>
        </w:rPr>
        <w:t>12</w:t>
      </w:r>
      <w:r>
        <w:rPr>
          <w:rFonts w:hint="eastAsia" w:ascii="宋体" w:hAnsi="宋体" w:cs="Arial"/>
          <w:color w:val="auto"/>
          <w:sz w:val="24"/>
          <w:highlight w:val="none"/>
          <w:u w:val="single"/>
        </w:rPr>
        <w:t>月</w:t>
      </w:r>
      <w:r>
        <w:rPr>
          <w:rFonts w:hint="eastAsia" w:ascii="宋体" w:hAnsi="宋体" w:cs="Arial"/>
          <w:color w:val="auto"/>
          <w:sz w:val="24"/>
          <w:highlight w:val="none"/>
          <w:u w:val="single"/>
          <w:lang w:val="en-US" w:eastAsia="zh-CN"/>
        </w:rPr>
        <w:t>4</w:t>
      </w:r>
      <w:r>
        <w:rPr>
          <w:rFonts w:hint="eastAsia" w:ascii="宋体" w:hAnsi="宋体" w:cs="Arial"/>
          <w:color w:val="auto"/>
          <w:sz w:val="24"/>
          <w:highlight w:val="none"/>
          <w:u w:val="single"/>
        </w:rPr>
        <w:t>日</w:t>
      </w:r>
      <w:r>
        <w:rPr>
          <w:rFonts w:hint="eastAsia" w:ascii="宋体" w:hAnsi="宋体" w:cs="Arial"/>
          <w:color w:val="auto"/>
          <w:sz w:val="24"/>
          <w:highlight w:val="none"/>
          <w:u w:val="single"/>
          <w:lang w:val="en-US" w:eastAsia="zh-CN"/>
        </w:rPr>
        <w:t>14</w:t>
      </w:r>
      <w:r>
        <w:rPr>
          <w:rFonts w:ascii="宋体" w:hAnsi="宋体" w:cs="Arial"/>
          <w:color w:val="auto"/>
          <w:sz w:val="24"/>
          <w:highlight w:val="none"/>
          <w:u w:val="single"/>
        </w:rPr>
        <w:t>时</w:t>
      </w:r>
      <w:r>
        <w:rPr>
          <w:rFonts w:hint="eastAsia" w:ascii="宋体" w:hAnsi="宋体" w:cs="Arial"/>
          <w:color w:val="auto"/>
          <w:sz w:val="24"/>
          <w:highlight w:val="none"/>
          <w:u w:val="single"/>
          <w:lang w:val="en-US" w:eastAsia="zh-CN"/>
        </w:rPr>
        <w:t>3</w:t>
      </w:r>
      <w:r>
        <w:rPr>
          <w:rFonts w:hint="eastAsia" w:ascii="宋体" w:hAnsi="宋体" w:cs="Arial"/>
          <w:color w:val="auto"/>
          <w:sz w:val="24"/>
          <w:highlight w:val="none"/>
          <w:u w:val="single"/>
        </w:rPr>
        <w:t>0分</w:t>
      </w:r>
      <w:r>
        <w:rPr>
          <w:rFonts w:hint="eastAsia" w:ascii="宋体" w:hAnsi="宋体"/>
          <w:color w:val="auto"/>
          <w:sz w:val="24"/>
          <w:highlight w:val="none"/>
        </w:rPr>
        <w:t>（时间）</w:t>
      </w:r>
      <w:r>
        <w:rPr>
          <w:rFonts w:hint="eastAsia" w:ascii="宋体" w:hAnsi="宋体" w:cs="Arial"/>
          <w:color w:val="auto"/>
          <w:sz w:val="24"/>
          <w:highlight w:val="none"/>
        </w:rPr>
        <w:t>在</w:t>
      </w:r>
      <w:r>
        <w:rPr>
          <w:rFonts w:hint="eastAsia" w:ascii="宋体" w:hAnsi="宋体" w:cs="Arial"/>
          <w:color w:val="auto"/>
          <w:sz w:val="24"/>
          <w:highlight w:val="none"/>
          <w:u w:val="single"/>
          <w:lang w:val="en-US" w:eastAsia="zh-CN"/>
        </w:rPr>
        <w:t>浙江省台州市市府大道507号台州国际商务广场1幢（北门）11楼</w:t>
      </w:r>
      <w:r>
        <w:rPr>
          <w:rFonts w:hint="eastAsia" w:ascii="宋体" w:hAnsi="宋体" w:cs="Arial"/>
          <w:color w:val="auto"/>
          <w:sz w:val="24"/>
          <w:highlight w:val="none"/>
          <w:u w:val="single"/>
          <w:lang w:eastAsia="zh-CN"/>
        </w:rPr>
        <w:t>开标室</w:t>
      </w:r>
      <w:r>
        <w:rPr>
          <w:rFonts w:hint="eastAsia" w:ascii="新宋体" w:hAnsi="新宋体" w:eastAsia="新宋体"/>
          <w:bCs/>
          <w:color w:val="auto"/>
          <w:sz w:val="22"/>
          <w:szCs w:val="22"/>
          <w:highlight w:val="none"/>
        </w:rPr>
        <w:t>（</w:t>
      </w:r>
      <w:r>
        <w:rPr>
          <w:rFonts w:hint="eastAsia" w:ascii="宋体" w:hAnsi="宋体"/>
          <w:color w:val="auto"/>
          <w:sz w:val="24"/>
          <w:highlight w:val="none"/>
        </w:rPr>
        <w:t>地点）开</w:t>
      </w:r>
      <w:r>
        <w:rPr>
          <w:rFonts w:hint="eastAsia" w:ascii="宋体" w:hAnsi="宋体" w:cs="Arial"/>
          <w:color w:val="auto"/>
          <w:sz w:val="24"/>
          <w:highlight w:val="none"/>
        </w:rPr>
        <w:t>标，投标人可以派授权代表出席开标会议</w:t>
      </w:r>
      <w:r>
        <w:rPr>
          <w:rFonts w:hint="eastAsia" w:ascii="宋体" w:hAnsi="宋体"/>
          <w:color w:val="auto"/>
          <w:sz w:val="24"/>
          <w:highlight w:val="none"/>
        </w:rPr>
        <w:t>（授权代表携带授权委托书原件及身份证出席）</w:t>
      </w:r>
      <w:bookmarkStart w:id="1" w:name="_GoBack"/>
      <w:bookmarkEnd w:id="1"/>
      <w:r>
        <w:rPr>
          <w:rFonts w:hint="eastAsia" w:ascii="宋体" w:hAnsi="宋体" w:cs="Arial"/>
          <w:color w:val="auto"/>
          <w:sz w:val="24"/>
          <w:highlight w:val="none"/>
        </w:rPr>
        <w:t>。</w:t>
      </w:r>
    </w:p>
    <w:p w14:paraId="27E6EF0E">
      <w:pPr>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ascii="宋体" w:hAnsi="宋体" w:cs="Arial"/>
          <w:b/>
          <w:color w:val="auto"/>
          <w:sz w:val="24"/>
          <w:szCs w:val="20"/>
          <w:highlight w:val="none"/>
        </w:rPr>
      </w:pPr>
      <w:r>
        <w:rPr>
          <w:rFonts w:hint="eastAsia" w:ascii="宋体" w:hAnsi="宋体" w:cs="Arial"/>
          <w:b/>
          <w:color w:val="auto"/>
          <w:sz w:val="24"/>
          <w:highlight w:val="none"/>
          <w:lang w:val="en-US" w:eastAsia="zh-CN"/>
        </w:rPr>
        <w:t>八</w:t>
      </w:r>
      <w:r>
        <w:rPr>
          <w:rFonts w:hint="eastAsia" w:ascii="宋体" w:hAnsi="宋体" w:cs="Arial"/>
          <w:b/>
          <w:color w:val="auto"/>
          <w:sz w:val="24"/>
          <w:highlight w:val="none"/>
        </w:rPr>
        <w:t>、业务咨询：</w:t>
      </w:r>
    </w:p>
    <w:p w14:paraId="4F1A4115">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cs="Arial"/>
          <w:color w:val="auto"/>
          <w:sz w:val="24"/>
          <w:highlight w:val="none"/>
          <w:u w:val="singl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采购人</w:t>
      </w:r>
      <w:r>
        <w:rPr>
          <w:rFonts w:ascii="宋体" w:hAnsi="宋体" w:cs="Arial"/>
          <w:color w:val="auto"/>
          <w:sz w:val="24"/>
          <w:highlight w:val="none"/>
        </w:rPr>
        <w:t>联系人：</w:t>
      </w:r>
      <w:r>
        <w:rPr>
          <w:rFonts w:hint="eastAsia" w:ascii="宋体" w:hAnsi="宋体" w:cs="Arial"/>
          <w:color w:val="auto"/>
          <w:sz w:val="24"/>
          <w:highlight w:val="none"/>
          <w:u w:val="single"/>
        </w:rPr>
        <w:t>周先生、陈先生</w:t>
      </w:r>
      <w:r>
        <w:rPr>
          <w:rFonts w:hint="eastAsia" w:ascii="宋体" w:hAnsi="宋体" w:cs="Arial"/>
          <w:color w:val="auto"/>
          <w:sz w:val="24"/>
          <w:highlight w:val="none"/>
          <w:lang w:val="en-US" w:eastAsia="zh-CN"/>
        </w:rPr>
        <w:t>；</w:t>
      </w:r>
      <w:r>
        <w:rPr>
          <w:rFonts w:ascii="宋体" w:hAnsi="宋体" w:cs="Arial"/>
          <w:color w:val="auto"/>
          <w:sz w:val="24"/>
          <w:highlight w:val="none"/>
        </w:rPr>
        <w:t>联系电话：</w:t>
      </w:r>
      <w:r>
        <w:rPr>
          <w:rFonts w:hint="eastAsia" w:ascii="宋体" w:hAnsi="宋体" w:cs="Arial"/>
          <w:color w:val="auto"/>
          <w:sz w:val="24"/>
          <w:highlight w:val="none"/>
          <w:u w:val="single"/>
        </w:rPr>
        <w:t>13627211864、0576-82531002</w:t>
      </w:r>
    </w:p>
    <w:p w14:paraId="042AF9A7">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lang w:val="en-US" w:eastAsia="zh-CN"/>
        </w:rPr>
        <w:t>2、</w:t>
      </w:r>
      <w:r>
        <w:rPr>
          <w:rFonts w:hint="eastAsia" w:ascii="宋体" w:hAnsi="宋体" w:cs="Arial"/>
          <w:color w:val="auto"/>
          <w:sz w:val="24"/>
          <w:highlight w:val="none"/>
        </w:rPr>
        <w:t>台州市建设咨询有限公司联系人：</w:t>
      </w:r>
      <w:r>
        <w:rPr>
          <w:rFonts w:hint="eastAsia" w:ascii="宋体" w:hAnsi="宋体" w:cs="Arial"/>
          <w:color w:val="auto"/>
          <w:sz w:val="24"/>
          <w:highlight w:val="none"/>
          <w:u w:val="single"/>
          <w:lang w:val="en-US" w:eastAsia="zh-CN"/>
        </w:rPr>
        <w:t>李广明</w:t>
      </w:r>
      <w:r>
        <w:rPr>
          <w:rFonts w:hint="eastAsia" w:ascii="宋体" w:hAnsi="宋体" w:cs="Arial"/>
          <w:color w:val="auto"/>
          <w:sz w:val="24"/>
          <w:highlight w:val="none"/>
        </w:rPr>
        <w:t>；联系电话：</w:t>
      </w:r>
      <w:r>
        <w:rPr>
          <w:rFonts w:hint="eastAsia" w:ascii="宋体" w:hAnsi="宋体" w:cs="Arial"/>
          <w:color w:val="auto"/>
          <w:sz w:val="24"/>
          <w:highlight w:val="none"/>
          <w:u w:val="single"/>
        </w:rPr>
        <w:t>0576-</w:t>
      </w:r>
      <w:r>
        <w:rPr>
          <w:rFonts w:hint="eastAsia" w:ascii="宋体" w:hAnsi="宋体" w:cs="Arial"/>
          <w:color w:val="auto"/>
          <w:sz w:val="24"/>
          <w:highlight w:val="none"/>
          <w:u w:val="single"/>
          <w:lang w:val="en-US" w:eastAsia="zh-CN"/>
        </w:rPr>
        <w:t>88517783</w:t>
      </w:r>
    </w:p>
    <w:p w14:paraId="26C7CB40">
      <w:pPr>
        <w:pStyle w:val="22"/>
        <w:keepNext w:val="0"/>
        <w:keepLines w:val="0"/>
        <w:pageBreakBefore w:val="0"/>
        <w:widowControl w:val="0"/>
        <w:shd w:val="clear"/>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3、质疑（异议）和投诉举报：</w:t>
      </w:r>
    </w:p>
    <w:p w14:paraId="0E6CFD05">
      <w:pPr>
        <w:pStyle w:val="22"/>
        <w:keepNext w:val="0"/>
        <w:keepLines w:val="0"/>
        <w:pageBreakBefore w:val="0"/>
        <w:widowControl w:val="0"/>
        <w:shd w:val="clear"/>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 xml:space="preserve">联系人： </w:t>
      </w:r>
      <w:r>
        <w:rPr>
          <w:rFonts w:hint="eastAsia" w:ascii="宋体" w:hAnsi="宋体" w:eastAsia="宋体" w:cs="Arial"/>
          <w:color w:val="auto"/>
          <w:kern w:val="2"/>
          <w:sz w:val="24"/>
          <w:szCs w:val="24"/>
          <w:highlight w:val="none"/>
          <w:u w:val="single"/>
          <w:lang w:val="en-US" w:eastAsia="zh-CN" w:bidi="ar-SA"/>
        </w:rPr>
        <w:t xml:space="preserve">徐瑜 </w:t>
      </w:r>
      <w:r>
        <w:rPr>
          <w:rFonts w:hint="eastAsia" w:ascii="宋体" w:hAnsi="宋体" w:eastAsia="宋体" w:cs="Arial"/>
          <w:color w:val="auto"/>
          <w:kern w:val="2"/>
          <w:sz w:val="24"/>
          <w:szCs w:val="24"/>
          <w:highlight w:val="none"/>
          <w:lang w:val="en-US" w:eastAsia="zh-CN" w:bidi="ar-SA"/>
        </w:rPr>
        <w:t xml:space="preserve">  联系电话： </w:t>
      </w:r>
      <w:r>
        <w:rPr>
          <w:rFonts w:hint="eastAsia" w:ascii="宋体" w:hAnsi="宋体" w:eastAsia="宋体" w:cs="Arial"/>
          <w:color w:val="auto"/>
          <w:kern w:val="2"/>
          <w:sz w:val="24"/>
          <w:szCs w:val="24"/>
          <w:highlight w:val="none"/>
          <w:u w:val="single"/>
          <w:lang w:val="en-US" w:eastAsia="zh-CN" w:bidi="ar-SA"/>
        </w:rPr>
        <w:t xml:space="preserve">0576-88517786 </w:t>
      </w:r>
    </w:p>
    <w:p w14:paraId="6F998D84">
      <w:pPr>
        <w:pStyle w:val="22"/>
        <w:keepNext w:val="0"/>
        <w:keepLines w:val="0"/>
        <w:pageBreakBefore w:val="0"/>
        <w:widowControl w:val="0"/>
        <w:shd w:val="clear"/>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地址：浙江省台州市市府大道507号台州国际商务广场1幢（北门）11楼招标代理部</w:t>
      </w:r>
      <w:r>
        <w:rPr>
          <w:rFonts w:hint="eastAsia" w:ascii="宋体" w:hAnsi="宋体" w:cs="Arial"/>
          <w:color w:val="auto"/>
          <w:kern w:val="2"/>
          <w:sz w:val="24"/>
          <w:szCs w:val="24"/>
          <w:highlight w:val="none"/>
          <w:lang w:val="en-US" w:eastAsia="zh-CN" w:bidi="ar-SA"/>
        </w:rPr>
        <w:t>。</w:t>
      </w:r>
    </w:p>
    <w:p w14:paraId="3E5213BA">
      <w:pPr>
        <w:keepNext w:val="0"/>
        <w:keepLines w:val="0"/>
        <w:pageBreakBefore w:val="0"/>
        <w:widowControl w:val="0"/>
        <w:shd w:val="clear"/>
        <w:kinsoku/>
        <w:wordWrap/>
        <w:overflowPunct/>
        <w:topLinePunct w:val="0"/>
        <w:bidi w:val="0"/>
        <w:snapToGrid w:val="0"/>
        <w:spacing w:line="360" w:lineRule="auto"/>
        <w:ind w:firstLine="420"/>
        <w:textAlignment w:val="auto"/>
        <w:rPr>
          <w:rFonts w:ascii="宋体" w:hAnsi="宋体" w:cs="Arial"/>
          <w:color w:val="auto"/>
          <w:sz w:val="24"/>
          <w:szCs w:val="20"/>
          <w:highlight w:val="none"/>
        </w:rPr>
      </w:pPr>
      <w:r>
        <w:rPr>
          <w:rFonts w:hint="eastAsia" w:ascii="宋体" w:hAnsi="宋体" w:eastAsia="宋体" w:cs="Arial"/>
          <w:color w:val="auto"/>
          <w:kern w:val="2"/>
          <w:sz w:val="24"/>
          <w:szCs w:val="24"/>
          <w:highlight w:val="none"/>
          <w:lang w:val="en-US" w:eastAsia="zh-CN" w:bidi="ar-SA"/>
        </w:rPr>
        <w:t>备注：请各潜在投标人认真阅读各项内容，进行必要的准备工作，按文件的要求详细填写和编制投标文件，并按以上确定的时间、地点准时参加投标，逾期送达的投标文件恕不接受。</w:t>
      </w:r>
    </w:p>
    <w:p w14:paraId="3C6958A2">
      <w:pPr>
        <w:pStyle w:val="11"/>
        <w:keepNext w:val="0"/>
        <w:keepLines w:val="0"/>
        <w:pageBreakBefore w:val="0"/>
        <w:widowControl w:val="0"/>
        <w:shd w:val="clear"/>
        <w:tabs>
          <w:tab w:val="left" w:pos="1620"/>
        </w:tabs>
        <w:kinsoku/>
        <w:wordWrap/>
        <w:overflowPunct/>
        <w:topLinePunct w:val="0"/>
        <w:autoSpaceDE/>
        <w:autoSpaceDN/>
        <w:bidi w:val="0"/>
        <w:adjustRightInd/>
        <w:snapToGrid w:val="0"/>
        <w:spacing w:before="0" w:beforeLines="0" w:after="0" w:afterLines="0" w:line="360" w:lineRule="auto"/>
        <w:ind w:firstLine="1003" w:firstLineChars="418"/>
        <w:jc w:val="right"/>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台州国际博览中心有限公司</w:t>
      </w:r>
    </w:p>
    <w:p w14:paraId="7D531661">
      <w:pPr>
        <w:pStyle w:val="11"/>
        <w:keepNext w:val="0"/>
        <w:keepLines w:val="0"/>
        <w:pageBreakBefore w:val="0"/>
        <w:widowControl w:val="0"/>
        <w:shd w:val="clear"/>
        <w:tabs>
          <w:tab w:val="left" w:pos="1620"/>
        </w:tabs>
        <w:kinsoku/>
        <w:wordWrap/>
        <w:overflowPunct/>
        <w:topLinePunct w:val="0"/>
        <w:autoSpaceDE/>
        <w:autoSpaceDN/>
        <w:bidi w:val="0"/>
        <w:adjustRightInd/>
        <w:snapToGrid w:val="0"/>
        <w:spacing w:before="0" w:beforeLines="0" w:after="0" w:afterLines="0" w:line="360" w:lineRule="auto"/>
        <w:ind w:firstLine="2200" w:firstLineChars="917"/>
        <w:jc w:val="right"/>
        <w:textAlignment w:val="auto"/>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中国建筑第四工程局有限公司</w:t>
      </w:r>
    </w:p>
    <w:p w14:paraId="1FA525B4">
      <w:pPr>
        <w:keepNext w:val="0"/>
        <w:keepLines w:val="0"/>
        <w:pageBreakBefore w:val="0"/>
        <w:widowControl w:val="0"/>
        <w:shd w:val="clear"/>
        <w:kinsoku/>
        <w:wordWrap/>
        <w:overflowPunct/>
        <w:topLinePunct w:val="0"/>
        <w:autoSpaceDE/>
        <w:autoSpaceDN/>
        <w:bidi w:val="0"/>
        <w:adjustRightInd/>
        <w:snapToGrid w:val="0"/>
        <w:spacing w:line="360" w:lineRule="auto"/>
        <w:ind w:left="238"/>
        <w:jc w:val="right"/>
        <w:textAlignment w:val="auto"/>
        <w:rPr>
          <w:rFonts w:ascii="宋体" w:hAnsi="宋体"/>
          <w:color w:val="auto"/>
          <w:sz w:val="24"/>
          <w:szCs w:val="20"/>
          <w:highlight w:val="none"/>
        </w:rPr>
      </w:pPr>
      <w:r>
        <w:rPr>
          <w:rFonts w:hint="eastAsia" w:ascii="宋体" w:hAnsi="宋体" w:cs="Arial"/>
          <w:color w:val="auto"/>
          <w:sz w:val="24"/>
          <w:highlight w:val="none"/>
        </w:rPr>
        <w:t>台州市建设咨询有限公司</w:t>
      </w:r>
    </w:p>
    <w:p w14:paraId="7B799B13">
      <w:pPr>
        <w:keepNext w:val="0"/>
        <w:keepLines w:val="0"/>
        <w:pageBreakBefore w:val="0"/>
        <w:widowControl w:val="0"/>
        <w:shd w:val="clear"/>
        <w:kinsoku/>
        <w:wordWrap/>
        <w:overflowPunct/>
        <w:topLinePunct w:val="0"/>
        <w:autoSpaceDE/>
        <w:autoSpaceDN/>
        <w:bidi w:val="0"/>
        <w:adjustRightInd/>
        <w:snapToGrid w:val="0"/>
        <w:spacing w:line="360" w:lineRule="auto"/>
        <w:ind w:left="238" w:firstLine="4980" w:firstLineChars="2075"/>
        <w:jc w:val="center"/>
        <w:textAlignment w:val="auto"/>
        <w:rPr>
          <w:rFonts w:ascii="黑体" w:hAnsi="宋体" w:eastAsia="黑体"/>
          <w:color w:val="auto"/>
          <w:sz w:val="30"/>
          <w:szCs w:val="30"/>
          <w:highlight w:val="none"/>
        </w:rPr>
      </w:pPr>
      <w:r>
        <w:rPr>
          <w:rFonts w:hint="eastAsia" w:ascii="宋体" w:hAnsi="宋体" w:cs="Arial"/>
          <w:color w:val="auto"/>
          <w:sz w:val="24"/>
          <w:highlight w:val="none"/>
          <w:lang w:val="en-US" w:eastAsia="zh-CN"/>
        </w:rPr>
        <w:t xml:space="preserve">          </w:t>
      </w:r>
      <w:r>
        <w:rPr>
          <w:rFonts w:hint="eastAsia" w:ascii="宋体" w:hAnsi="宋体" w:cs="Arial"/>
          <w:color w:val="auto"/>
          <w:sz w:val="24"/>
          <w:highlight w:val="none"/>
          <w:lang w:eastAsia="zh-CN"/>
        </w:rPr>
        <w:t>2024年</w:t>
      </w:r>
      <w:r>
        <w:rPr>
          <w:rFonts w:hint="eastAsia" w:ascii="宋体" w:hAnsi="宋体" w:cs="Arial"/>
          <w:color w:val="auto"/>
          <w:sz w:val="24"/>
          <w:highlight w:val="none"/>
          <w:lang w:val="en-US" w:eastAsia="zh-CN"/>
        </w:rPr>
        <w:t>11</w:t>
      </w:r>
      <w:r>
        <w:rPr>
          <w:rFonts w:hint="eastAsia" w:ascii="宋体" w:hAnsi="宋体" w:cs="Arial"/>
          <w:color w:val="auto"/>
          <w:sz w:val="24"/>
          <w:highlight w:val="none"/>
          <w:lang w:eastAsia="zh-CN"/>
        </w:rPr>
        <w:t>月</w:t>
      </w:r>
      <w:r>
        <w:rPr>
          <w:rFonts w:ascii="宋体" w:hAnsi="宋体" w:cs="Arial"/>
          <w:color w:val="auto"/>
          <w:sz w:val="24"/>
          <w:highlight w:val="none"/>
        </w:rPr>
        <w:br w:type="page"/>
      </w:r>
      <w:r>
        <w:rPr>
          <w:rFonts w:hint="eastAsia" w:ascii="黑体" w:hAnsi="宋体" w:eastAsia="黑体"/>
          <w:color w:val="auto"/>
          <w:sz w:val="30"/>
          <w:szCs w:val="30"/>
          <w:highlight w:val="none"/>
        </w:rPr>
        <w:t xml:space="preserve">第二章  </w:t>
      </w:r>
      <w:r>
        <w:rPr>
          <w:rFonts w:hint="eastAsia" w:ascii="黑体" w:hAnsi="宋体" w:eastAsia="黑体"/>
          <w:bCs/>
          <w:color w:val="auto"/>
          <w:sz w:val="30"/>
          <w:szCs w:val="30"/>
          <w:highlight w:val="none"/>
        </w:rPr>
        <w:t>招</w:t>
      </w:r>
      <w:r>
        <w:rPr>
          <w:rFonts w:hint="eastAsia" w:ascii="黑体" w:hAnsi="宋体" w:eastAsia="黑体"/>
          <w:color w:val="auto"/>
          <w:sz w:val="30"/>
          <w:szCs w:val="30"/>
          <w:highlight w:val="none"/>
        </w:rPr>
        <w:t>标需求</w:t>
      </w:r>
    </w:p>
    <w:p w14:paraId="1B39F654">
      <w:pPr>
        <w:pStyle w:val="11"/>
        <w:shd w:val="clear"/>
        <w:snapToGrid w:val="0"/>
        <w:spacing w:before="120" w:beforeLines="0" w:after="120" w:afterLines="0" w:line="360" w:lineRule="auto"/>
        <w:ind w:firstLine="240" w:firstLineChars="100"/>
        <w:outlineLvl w:val="0"/>
        <w:rPr>
          <w:rFonts w:hAnsi="宋体"/>
          <w:color w:val="auto"/>
          <w:highlight w:val="none"/>
        </w:rPr>
      </w:pPr>
      <w:r>
        <w:rPr>
          <w:rFonts w:hAnsi="宋体"/>
          <w:color w:val="auto"/>
          <w:highlight w:val="none"/>
        </w:rPr>
        <w:t>一、项目要求</w:t>
      </w:r>
    </w:p>
    <w:tbl>
      <w:tblPr>
        <w:tblStyle w:val="23"/>
        <w:tblW w:w="8769" w:type="dxa"/>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555E7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548" w:type="dxa"/>
            <w:tcBorders>
              <w:top w:val="single" w:color="auto" w:sz="4" w:space="0"/>
              <w:left w:val="single" w:color="auto" w:sz="4" w:space="0"/>
              <w:bottom w:val="single" w:color="auto" w:sz="4" w:space="0"/>
              <w:right w:val="single" w:color="auto" w:sz="4" w:space="0"/>
            </w:tcBorders>
            <w:vAlign w:val="center"/>
          </w:tcPr>
          <w:p w14:paraId="385C4B68">
            <w:pPr>
              <w:pStyle w:val="11"/>
              <w:shd w:val="clear"/>
              <w:snapToGrid w:val="0"/>
              <w:spacing w:before="120" w:beforeLines="0" w:after="120" w:afterLines="0" w:line="360" w:lineRule="auto"/>
              <w:outlineLvl w:val="0"/>
              <w:rPr>
                <w:rFonts w:hAnsi="宋体"/>
                <w:color w:val="auto"/>
                <w:highlight w:val="none"/>
              </w:rPr>
            </w:pPr>
            <w:r>
              <w:rPr>
                <w:rFonts w:hAnsi="宋体"/>
                <w:color w:val="auto"/>
                <w:highlight w:val="none"/>
              </w:rPr>
              <w:t>标项</w:t>
            </w:r>
          </w:p>
        </w:tc>
        <w:tc>
          <w:tcPr>
            <w:tcW w:w="7221" w:type="dxa"/>
            <w:tcBorders>
              <w:top w:val="single" w:color="auto" w:sz="4" w:space="0"/>
              <w:left w:val="single" w:color="auto" w:sz="4" w:space="0"/>
              <w:bottom w:val="single" w:color="auto" w:sz="4" w:space="0"/>
              <w:right w:val="single" w:color="auto" w:sz="4" w:space="0"/>
            </w:tcBorders>
            <w:vAlign w:val="center"/>
          </w:tcPr>
          <w:p w14:paraId="19621676">
            <w:pPr>
              <w:pStyle w:val="11"/>
              <w:shd w:val="clear"/>
              <w:snapToGrid w:val="0"/>
              <w:spacing w:before="120" w:beforeLines="0" w:after="120" w:afterLines="0" w:line="360" w:lineRule="auto"/>
              <w:outlineLvl w:val="0"/>
              <w:rPr>
                <w:rFonts w:hAnsi="宋体"/>
                <w:color w:val="auto"/>
                <w:highlight w:val="none"/>
              </w:rPr>
            </w:pPr>
            <w:r>
              <w:rPr>
                <w:rFonts w:hAnsi="宋体"/>
                <w:color w:val="auto"/>
                <w:highlight w:val="none"/>
              </w:rPr>
              <w:t>01</w:t>
            </w:r>
          </w:p>
        </w:tc>
      </w:tr>
      <w:tr w14:paraId="03291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14:paraId="49414E68">
            <w:pPr>
              <w:pStyle w:val="11"/>
              <w:shd w:val="clear"/>
              <w:snapToGrid w:val="0"/>
              <w:spacing w:before="120" w:beforeLines="0" w:after="120" w:afterLines="0" w:line="360" w:lineRule="auto"/>
              <w:outlineLvl w:val="0"/>
              <w:rPr>
                <w:rFonts w:hAnsi="宋体"/>
                <w:color w:val="auto"/>
                <w:highlight w:val="none"/>
              </w:rPr>
            </w:pPr>
            <w:r>
              <w:rPr>
                <w:rFonts w:hAnsi="宋体"/>
                <w:color w:val="auto"/>
                <w:highlight w:val="none"/>
              </w:rPr>
              <w:t>采购内容</w:t>
            </w:r>
          </w:p>
        </w:tc>
        <w:tc>
          <w:tcPr>
            <w:tcW w:w="7221" w:type="dxa"/>
            <w:tcBorders>
              <w:top w:val="single" w:color="auto" w:sz="4" w:space="0"/>
              <w:left w:val="single" w:color="auto" w:sz="4" w:space="0"/>
              <w:bottom w:val="single" w:color="auto" w:sz="4" w:space="0"/>
              <w:right w:val="single" w:color="auto" w:sz="4" w:space="0"/>
            </w:tcBorders>
            <w:vAlign w:val="center"/>
          </w:tcPr>
          <w:p w14:paraId="768AC744">
            <w:pPr>
              <w:pStyle w:val="11"/>
              <w:shd w:val="clear"/>
              <w:snapToGrid w:val="0"/>
              <w:spacing w:before="120" w:beforeLines="0" w:after="120" w:afterLines="0" w:line="360" w:lineRule="auto"/>
              <w:outlineLvl w:val="0"/>
              <w:rPr>
                <w:rFonts w:hint="eastAsia" w:hAnsi="宋体" w:eastAsia="宋体"/>
                <w:color w:val="auto"/>
                <w:highlight w:val="none"/>
                <w:lang w:eastAsia="zh-CN"/>
              </w:rPr>
            </w:pPr>
            <w:r>
              <w:rPr>
                <w:rFonts w:hint="eastAsia" w:hAnsi="宋体"/>
                <w:color w:val="auto"/>
                <w:highlight w:val="none"/>
                <w:lang w:eastAsia="zh-CN"/>
              </w:rPr>
              <w:t>台州国际博览中心项目设计采购施工（EPC）工程总承包无价材料采购【景观垃圾桶、可移动花箱、座凳】</w:t>
            </w:r>
          </w:p>
        </w:tc>
      </w:tr>
      <w:tr w14:paraId="023A9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14:paraId="0D660066">
            <w:pPr>
              <w:pStyle w:val="11"/>
              <w:shd w:val="clear"/>
              <w:snapToGrid w:val="0"/>
              <w:spacing w:before="120" w:beforeLines="0" w:after="120" w:afterLines="0" w:line="360" w:lineRule="auto"/>
              <w:outlineLvl w:val="0"/>
              <w:rPr>
                <w:rFonts w:hAnsi="宋体"/>
                <w:color w:val="auto"/>
                <w:highlight w:val="none"/>
              </w:rPr>
            </w:pPr>
            <w:r>
              <w:rPr>
                <w:rFonts w:hAnsi="宋体"/>
                <w:color w:val="auto"/>
                <w:highlight w:val="none"/>
              </w:rPr>
              <w:t>规格及型号</w:t>
            </w:r>
          </w:p>
        </w:tc>
        <w:tc>
          <w:tcPr>
            <w:tcW w:w="7221" w:type="dxa"/>
            <w:tcBorders>
              <w:top w:val="single" w:color="auto" w:sz="4" w:space="0"/>
              <w:left w:val="single" w:color="auto" w:sz="4" w:space="0"/>
              <w:bottom w:val="single" w:color="auto" w:sz="4" w:space="0"/>
              <w:right w:val="single" w:color="auto" w:sz="4" w:space="0"/>
            </w:tcBorders>
            <w:vAlign w:val="center"/>
          </w:tcPr>
          <w:p w14:paraId="10B88273">
            <w:pPr>
              <w:pStyle w:val="11"/>
              <w:shd w:val="clear"/>
              <w:snapToGrid w:val="0"/>
              <w:spacing w:before="120" w:beforeLines="0" w:after="120" w:afterLines="0" w:line="360" w:lineRule="auto"/>
              <w:outlineLvl w:val="0"/>
              <w:rPr>
                <w:rFonts w:hAnsi="宋体"/>
                <w:color w:val="auto"/>
                <w:highlight w:val="none"/>
              </w:rPr>
            </w:pPr>
            <w:r>
              <w:rPr>
                <w:rFonts w:hAnsi="宋体"/>
                <w:color w:val="auto"/>
                <w:highlight w:val="none"/>
              </w:rPr>
              <w:t>详见本章“主要技术规格及要求”</w:t>
            </w:r>
          </w:p>
        </w:tc>
      </w:tr>
      <w:tr w14:paraId="64576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14:paraId="31E05F87">
            <w:pPr>
              <w:pStyle w:val="11"/>
              <w:shd w:val="clear"/>
              <w:snapToGrid w:val="0"/>
              <w:spacing w:before="120" w:beforeLines="0" w:after="120" w:afterLines="0" w:line="360" w:lineRule="auto"/>
              <w:outlineLvl w:val="0"/>
              <w:rPr>
                <w:rFonts w:hAnsi="宋体"/>
                <w:color w:val="auto"/>
                <w:highlight w:val="none"/>
              </w:rPr>
            </w:pPr>
            <w:r>
              <w:rPr>
                <w:rFonts w:hAnsi="宋体"/>
                <w:color w:val="auto"/>
                <w:highlight w:val="none"/>
              </w:rPr>
              <w:t>单位及数量</w:t>
            </w:r>
          </w:p>
        </w:tc>
        <w:tc>
          <w:tcPr>
            <w:tcW w:w="7221" w:type="dxa"/>
            <w:tcBorders>
              <w:top w:val="single" w:color="auto" w:sz="4" w:space="0"/>
              <w:left w:val="single" w:color="auto" w:sz="4" w:space="0"/>
              <w:bottom w:val="single" w:color="auto" w:sz="4" w:space="0"/>
              <w:right w:val="single" w:color="auto" w:sz="4" w:space="0"/>
            </w:tcBorders>
            <w:vAlign w:val="center"/>
          </w:tcPr>
          <w:p w14:paraId="1080B15B">
            <w:pPr>
              <w:pStyle w:val="11"/>
              <w:shd w:val="clear"/>
              <w:snapToGrid w:val="0"/>
              <w:spacing w:before="120" w:beforeLines="0" w:after="120" w:afterLines="0" w:line="360" w:lineRule="auto"/>
              <w:outlineLvl w:val="0"/>
              <w:rPr>
                <w:rFonts w:hAnsi="宋体"/>
                <w:color w:val="auto"/>
                <w:highlight w:val="none"/>
              </w:rPr>
            </w:pPr>
            <w:r>
              <w:rPr>
                <w:rFonts w:hAnsi="宋体"/>
                <w:color w:val="auto"/>
                <w:highlight w:val="none"/>
              </w:rPr>
              <w:t>详见本章“主要技术规格及要求”</w:t>
            </w:r>
          </w:p>
        </w:tc>
      </w:tr>
      <w:tr w14:paraId="21A61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14:paraId="215CEE44">
            <w:pPr>
              <w:pStyle w:val="11"/>
              <w:shd w:val="clear"/>
              <w:snapToGrid w:val="0"/>
              <w:spacing w:before="120" w:beforeLines="0" w:after="120" w:afterLines="0" w:line="360" w:lineRule="auto"/>
              <w:outlineLvl w:val="0"/>
              <w:rPr>
                <w:rFonts w:hAnsi="宋体"/>
                <w:color w:val="auto"/>
                <w:highlight w:val="none"/>
              </w:rPr>
            </w:pPr>
            <w:r>
              <w:rPr>
                <w:rFonts w:hAnsi="宋体"/>
                <w:color w:val="auto"/>
                <w:highlight w:val="none"/>
              </w:rPr>
              <w:t>用途</w:t>
            </w:r>
          </w:p>
        </w:tc>
        <w:tc>
          <w:tcPr>
            <w:tcW w:w="7221" w:type="dxa"/>
            <w:tcBorders>
              <w:top w:val="single" w:color="auto" w:sz="4" w:space="0"/>
              <w:left w:val="single" w:color="auto" w:sz="4" w:space="0"/>
              <w:bottom w:val="single" w:color="auto" w:sz="4" w:space="0"/>
              <w:right w:val="single" w:color="auto" w:sz="4" w:space="0"/>
            </w:tcBorders>
            <w:vAlign w:val="center"/>
          </w:tcPr>
          <w:p w14:paraId="4339BBE2">
            <w:pPr>
              <w:pStyle w:val="11"/>
              <w:shd w:val="clear"/>
              <w:snapToGrid w:val="0"/>
              <w:spacing w:before="120" w:beforeLines="0" w:after="120" w:afterLines="0" w:line="360" w:lineRule="auto"/>
              <w:outlineLvl w:val="0"/>
              <w:rPr>
                <w:rFonts w:hint="eastAsia" w:hAnsi="宋体" w:eastAsia="宋体"/>
                <w:color w:val="auto"/>
                <w:highlight w:val="none"/>
                <w:lang w:eastAsia="zh-CN"/>
              </w:rPr>
            </w:pPr>
            <w:r>
              <w:rPr>
                <w:rFonts w:hint="eastAsia" w:hAnsi="宋体"/>
                <w:color w:val="auto"/>
                <w:highlight w:val="none"/>
                <w:lang w:eastAsia="zh-CN"/>
              </w:rPr>
              <w:t>台州国际博览中心项目设计采购施工（EPC）工程总承包无价材料采购【景观垃圾桶、可移动花箱、座凳】</w:t>
            </w:r>
          </w:p>
        </w:tc>
      </w:tr>
    </w:tbl>
    <w:p w14:paraId="73AE4443">
      <w:pPr>
        <w:pStyle w:val="11"/>
        <w:numPr>
          <w:ilvl w:val="0"/>
          <w:numId w:val="4"/>
        </w:numPr>
        <w:shd w:val="clear"/>
        <w:snapToGrid w:val="0"/>
        <w:spacing w:before="120" w:beforeLines="0" w:after="120" w:afterLines="0" w:line="360" w:lineRule="auto"/>
        <w:ind w:firstLine="240" w:firstLineChars="100"/>
        <w:outlineLvl w:val="0"/>
        <w:rPr>
          <w:rFonts w:hAnsi="宋体"/>
          <w:color w:val="auto"/>
          <w:highlight w:val="none"/>
        </w:rPr>
      </w:pPr>
      <w:r>
        <w:rPr>
          <w:rFonts w:hAnsi="宋体"/>
          <w:color w:val="auto"/>
          <w:highlight w:val="none"/>
        </w:rPr>
        <w:t>主要技术规格及要求：</w:t>
      </w: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426"/>
        <w:gridCol w:w="3451"/>
        <w:gridCol w:w="516"/>
        <w:gridCol w:w="427"/>
        <w:gridCol w:w="4147"/>
      </w:tblGrid>
      <w:tr w14:paraId="11A7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44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FA3089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608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 称</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B36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特征描述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7D0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F62A">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单位</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DA4D">
            <w:pPr>
              <w:keepNext w:val="0"/>
              <w:keepLines w:val="0"/>
              <w:widowControl/>
              <w:suppressLineNumbers w:val="0"/>
              <w:shd w:val="clear"/>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参考图片</w:t>
            </w:r>
          </w:p>
        </w:tc>
      </w:tr>
      <w:tr w14:paraId="1FE7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2" w:hRule="atLeast"/>
        </w:trPr>
        <w:tc>
          <w:tcPr>
            <w:tcW w:w="44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7956E4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8A5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垃圾桶</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A7AA">
            <w:pPr>
              <w:keepNext w:val="0"/>
              <w:keepLines w:val="0"/>
              <w:widowControl/>
              <w:suppressLineNumbers w:val="0"/>
              <w:shd w:val="clear"/>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1、名称：垃圾桶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2、工程量计算方式：按只计算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3、参考尺寸：外框尺寸：450X350X95cm，内筒尺寸：38X30X55cm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4、材质：采用304不锈钢，外框不锈钢常规厚1.0，内筒不锈钢厚度0.4厚，开启扇不锈钢厚度为1mm，四边向内90度弯折3次加强，弯折尺寸为0.8cm+2cm+1cm静电粉末喷塑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5、外框可开启扇。开启扇尺寸为45X65cm,开启扇黄色、开启扇浅灰色，外框同幕墙铝合金颜色。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6、黄色可回收垃圾logo加文字，灰色不可回收垃圾，外框印制logo（logo加文字需与标识一体化统一）（logo+台州国际博览中心）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7、厂家深化后，最终样式以</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确定为准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8、耐腐蚀等级≥9级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9、外观质量：外表镀层应结合良好，组织应细密，光滑均匀，色泽均匀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10、化学成分、拉伸试验、硬度试验等应符合《不锈钢冷轧钢板和钢带》GB/T 3280-2015的相关要求。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11、其余未说明参数应满足设计图纸、相关规范、招标文件及其技术要求</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0884">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E759">
            <w:pPr>
              <w:keepNext w:val="0"/>
              <w:keepLines w:val="0"/>
              <w:widowControl/>
              <w:suppressLineNumbers w:val="0"/>
              <w:shd w:val="clear"/>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只</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91ED4">
            <w:pPr>
              <w:keepNext w:val="0"/>
              <w:keepLines w:val="0"/>
              <w:widowControl/>
              <w:suppressLineNumbers w:val="0"/>
              <w:shd w:val="clear"/>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drawing>
                <wp:inline distT="0" distB="0" distL="114300" distR="114300">
                  <wp:extent cx="1895475" cy="2000250"/>
                  <wp:effectExtent l="0" t="0" r="9525" b="0"/>
                  <wp:docPr id="1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56"/>
                          <pic:cNvPicPr>
                            <a:picLocks noChangeAspect="1"/>
                          </pic:cNvPicPr>
                        </pic:nvPicPr>
                        <pic:blipFill>
                          <a:blip r:embed="rId13"/>
                          <a:stretch>
                            <a:fillRect/>
                          </a:stretch>
                        </pic:blipFill>
                        <pic:spPr>
                          <a:xfrm>
                            <a:off x="0" y="0"/>
                            <a:ext cx="1895475" cy="2000250"/>
                          </a:xfrm>
                          <a:prstGeom prst="rect">
                            <a:avLst/>
                          </a:prstGeom>
                          <a:noFill/>
                          <a:ln w="9525">
                            <a:noFill/>
                          </a:ln>
                        </pic:spPr>
                      </pic:pic>
                    </a:graphicData>
                  </a:graphic>
                </wp:inline>
              </w:drawing>
            </w:r>
          </w:p>
        </w:tc>
      </w:tr>
      <w:tr w14:paraId="7BF5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172295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80AD">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可移动花箱</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BD75">
            <w:pPr>
              <w:keepNext w:val="0"/>
              <w:keepLines w:val="0"/>
              <w:widowControl/>
              <w:suppressLineNumbers w:val="0"/>
              <w:shd w:val="clear"/>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1、名称：可移动花箱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2、工程量计算方式：按个计算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3、参考尺寸：80X60X40cm，其中底座70X50X5cm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4、材质：1.5mm厚304不锈钢（表面处理：静电粉喷塑）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5、颜色为同幕墙铝合金颜色。两正面加印logo（logo加文字需与标识一体化统一）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6、底板四角各开孔径1cm的孔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7、厂家深化后，最终样式以</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确定为准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8、耐腐蚀等级≥9级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9、外观质量：外表镀层应结合良好，组织应细密，光滑均匀，色泽均匀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10、化学成分、拉伸试验、硬度试验等应符合《不锈钢冷轧钢板和钢带》GB/T 3280-2015的相关要求。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11、其余未说明参数应满足设计图纸、相关规范、招标文件及其技术要求</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241C7">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C36E">
            <w:pPr>
              <w:keepNext w:val="0"/>
              <w:keepLines w:val="0"/>
              <w:widowControl/>
              <w:suppressLineNumbers w:val="0"/>
              <w:shd w:val="clear"/>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19A14">
            <w:pPr>
              <w:keepNext w:val="0"/>
              <w:keepLines w:val="0"/>
              <w:widowControl/>
              <w:suppressLineNumbers w:val="0"/>
              <w:shd w:val="clear"/>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drawing>
                <wp:inline distT="0" distB="0" distL="114300" distR="114300">
                  <wp:extent cx="2352675" cy="2857500"/>
                  <wp:effectExtent l="0" t="0" r="9525" b="0"/>
                  <wp:docPr id="1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IMG_256"/>
                          <pic:cNvPicPr>
                            <a:picLocks noChangeAspect="1"/>
                          </pic:cNvPicPr>
                        </pic:nvPicPr>
                        <pic:blipFill>
                          <a:blip r:embed="rId14"/>
                          <a:stretch>
                            <a:fillRect/>
                          </a:stretch>
                        </pic:blipFill>
                        <pic:spPr>
                          <a:xfrm>
                            <a:off x="0" y="0"/>
                            <a:ext cx="2352675" cy="2857500"/>
                          </a:xfrm>
                          <a:prstGeom prst="rect">
                            <a:avLst/>
                          </a:prstGeom>
                          <a:noFill/>
                          <a:ln w="9525">
                            <a:noFill/>
                          </a:ln>
                        </pic:spPr>
                      </pic:pic>
                    </a:graphicData>
                  </a:graphic>
                </wp:inline>
              </w:drawing>
            </w:r>
          </w:p>
        </w:tc>
      </w:tr>
      <w:tr w14:paraId="1577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D53A249">
            <w:pPr>
              <w:keepNext w:val="0"/>
              <w:keepLines w:val="0"/>
              <w:widowControl/>
              <w:suppressLineNumbers w:val="0"/>
              <w:shd w:val="clear"/>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8733">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座凳</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DFE7">
            <w:pPr>
              <w:keepNext w:val="0"/>
              <w:keepLines w:val="0"/>
              <w:widowControl/>
              <w:suppressLineNumbers w:val="0"/>
              <w:shd w:val="clear"/>
              <w:jc w:val="left"/>
              <w:textAlignment w:val="center"/>
              <w:rPr>
                <w:rStyle w:val="36"/>
                <w:color w:val="auto"/>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1、名称：坐凳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2、工程量计算方式：按只计算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3、参考尺寸：150X60X78cm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4、材质：1.2mm厚304不锈钢+20mm瓷态竹木板（表面处理：静电粉喷塑厚度3um，竹木打磨平整光滑无毛刺，面刷防腐漆竹木颜色同参考图片）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坐板尺寸宽度38cm，椅腿短边与地面接触尺寸为60cm，椅座距离地面40cm，靠背高度38cm，竹木20MM厚，12cm宽，不锈钢骨架宽度15cm，连接不锈钢和竹木的不锈钢条尺寸为1.2X4X80cm共3条，不锈钢和竹木板四周圆角处理，圆角半径为3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6、logo位于靠背不锈钢居中位置。logo整体为不锈钢原色（logo加文字需与标识一体化统一）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7、厂家深化后，最终样式以</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确定为准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8、瓷态竹木板的含水率在6%~10%，密度1.2~1.3g/cm3,防霉变色0级，抗白蚁级，防火B级，平均年限20年以上，耐腐蚀等级≥9级，其余参数满足GB/T17657-2013、GB/T18261-2013等规范要求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9、外观质量：外表镀层应结合良好，组织应细密，光滑均匀，色泽均匀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10、有害物质检测应符合GB6675.4-2014八大重金属迁移及GB18584-2001有害物质限量中的相关要求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11、其余未说明参数应满足设计图纸、相关规范、招标文件及其技术要求</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FDED">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8F60">
            <w:pPr>
              <w:keepNext w:val="0"/>
              <w:keepLines w:val="0"/>
              <w:widowControl/>
              <w:suppressLineNumbers w:val="0"/>
              <w:shd w:val="clear"/>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只</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6A8B">
            <w:pPr>
              <w:keepNext w:val="0"/>
              <w:keepLines w:val="0"/>
              <w:widowControl/>
              <w:suppressLineNumbers w:val="0"/>
              <w:shd w:val="clear"/>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drawing>
                <wp:inline distT="0" distB="0" distL="114300" distR="114300">
                  <wp:extent cx="2105025" cy="3171825"/>
                  <wp:effectExtent l="0" t="0" r="9525" b="9525"/>
                  <wp:docPr id="1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IMG_256"/>
                          <pic:cNvPicPr>
                            <a:picLocks noChangeAspect="1"/>
                          </pic:cNvPicPr>
                        </pic:nvPicPr>
                        <pic:blipFill>
                          <a:blip r:embed="rId15"/>
                          <a:stretch>
                            <a:fillRect/>
                          </a:stretch>
                        </pic:blipFill>
                        <pic:spPr>
                          <a:xfrm>
                            <a:off x="0" y="0"/>
                            <a:ext cx="2105025" cy="3171825"/>
                          </a:xfrm>
                          <a:prstGeom prst="rect">
                            <a:avLst/>
                          </a:prstGeom>
                          <a:noFill/>
                          <a:ln w="9525">
                            <a:noFill/>
                          </a:ln>
                        </pic:spPr>
                      </pic:pic>
                    </a:graphicData>
                  </a:graphic>
                </wp:inline>
              </w:drawing>
            </w:r>
          </w:p>
        </w:tc>
      </w:tr>
      <w:tr w14:paraId="72E3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C6F00E4">
            <w:pPr>
              <w:keepNext w:val="0"/>
              <w:keepLines w:val="0"/>
              <w:widowControl/>
              <w:suppressLineNumbers w:val="0"/>
              <w:shd w:val="clear"/>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CA33">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可移动花箱</w:t>
            </w:r>
          </w:p>
        </w:tc>
        <w:tc>
          <w:tcPr>
            <w:tcW w:w="2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E28D">
            <w:pPr>
              <w:keepNext w:val="0"/>
              <w:keepLines w:val="0"/>
              <w:widowControl/>
              <w:suppressLineNumbers w:val="0"/>
              <w:shd w:val="clear"/>
              <w:jc w:val="left"/>
              <w:textAlignment w:val="center"/>
              <w:rPr>
                <w:rStyle w:val="36"/>
                <w:color w:val="auto"/>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1、名称：可移动花箱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2、工程量计算方式：按个计算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3、参考尺寸：80X60X30cm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4、材质：1.5mm厚304不锈钢（表面处理：静电粉喷塑）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5、颜色为同幕墙铝合金颜色。两正面加印logo（logo加文字需与标识一体化统一），花箱间隔150cm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6、底板四角各开孔径1cm的孔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7、厂家深化后，最终样式以</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确定为准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8、耐腐蚀等级≥9级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9、外观质量：外表镀层应结合良好，组织应细密，光滑均匀，色泽均匀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10、化学成分、拉伸试验、硬度试验等应符合《不锈钢冷轧钢板和钢带》GB/T 3280-2015的相关要求。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11、其余未说明参数应满足设计图纸、相关规范、招标文件及其技术要求</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93A3">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162</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CEFA">
            <w:pPr>
              <w:keepNext w:val="0"/>
              <w:keepLines w:val="0"/>
              <w:widowControl/>
              <w:suppressLineNumbers w:val="0"/>
              <w:shd w:val="clear"/>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1A6D0">
            <w:pPr>
              <w:keepNext w:val="0"/>
              <w:keepLines w:val="0"/>
              <w:widowControl/>
              <w:suppressLineNumbers w:val="0"/>
              <w:shd w:val="clear"/>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drawing>
                <wp:inline distT="0" distB="0" distL="114300" distR="114300">
                  <wp:extent cx="2486025" cy="2695575"/>
                  <wp:effectExtent l="0" t="0" r="9525" b="9525"/>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16"/>
                          <a:stretch>
                            <a:fillRect/>
                          </a:stretch>
                        </pic:blipFill>
                        <pic:spPr>
                          <a:xfrm>
                            <a:off x="0" y="0"/>
                            <a:ext cx="2486025" cy="2695575"/>
                          </a:xfrm>
                          <a:prstGeom prst="rect">
                            <a:avLst/>
                          </a:prstGeom>
                          <a:noFill/>
                          <a:ln w="9525">
                            <a:noFill/>
                          </a:ln>
                        </pic:spPr>
                      </pic:pic>
                    </a:graphicData>
                  </a:graphic>
                </wp:inline>
              </w:drawing>
            </w:r>
          </w:p>
        </w:tc>
      </w:tr>
    </w:tbl>
    <w:p w14:paraId="4A294D54">
      <w:pPr>
        <w:pStyle w:val="12"/>
        <w:numPr>
          <w:ilvl w:val="0"/>
          <w:numId w:val="5"/>
        </w:numPr>
        <w:shd w:val="clear"/>
        <w:spacing w:line="360" w:lineRule="auto"/>
        <w:ind w:left="0" w:left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供货要求</w:t>
      </w:r>
    </w:p>
    <w:p w14:paraId="65C51E0A">
      <w:pPr>
        <w:pStyle w:val="12"/>
        <w:shd w:val="clear"/>
        <w:spacing w:line="360" w:lineRule="auto"/>
        <w:ind w:left="0" w:leftChars="0"/>
        <w:rPr>
          <w:rFonts w:hint="eastAsia" w:ascii="宋体" w:hAnsi="宋体" w:eastAsia="宋体"/>
          <w:color w:val="auto"/>
          <w:sz w:val="24"/>
          <w:szCs w:val="24"/>
          <w:highlight w:val="none"/>
          <w:lang w:val="en-US" w:eastAsia="zh-CN"/>
        </w:rPr>
      </w:pPr>
      <w:r>
        <w:rPr>
          <w:rFonts w:ascii="宋体" w:hAnsi="宋体" w:eastAsia="宋体"/>
          <w:color w:val="auto"/>
          <w:sz w:val="24"/>
          <w:szCs w:val="24"/>
          <w:highlight w:val="none"/>
        </w:rPr>
        <w:t>本项目供货计划暂定计划如下：</w:t>
      </w:r>
    </w:p>
    <w:p w14:paraId="78233545">
      <w:pPr>
        <w:pStyle w:val="12"/>
        <w:shd w:val="clear"/>
        <w:adjustRightInd w:val="0"/>
        <w:snapToGrid w:val="0"/>
        <w:spacing w:line="360" w:lineRule="auto"/>
        <w:ind w:left="0" w:leftChars="0" w:firstLine="480" w:firstLineChars="200"/>
        <w:jc w:val="left"/>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2024年12月至2025年7月完成所有供货。分批供货，接到每批供货通知单后30日历天内完成供货。</w:t>
      </w:r>
    </w:p>
    <w:p w14:paraId="2F990E2F">
      <w:pPr>
        <w:pStyle w:val="12"/>
        <w:shd w:val="clear"/>
        <w:adjustRightInd w:val="0"/>
        <w:snapToGrid w:val="0"/>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具体履约过程中，供货时间和供货数量以中国建筑第四工程局有限公司根据工程进度和计划，经台州国际博览中心有限公司和全过程咨询单位确认的供货清单为准。</w:t>
      </w:r>
    </w:p>
    <w:p w14:paraId="5E1E386D">
      <w:pPr>
        <w:shd w:val="clear"/>
        <w:tabs>
          <w:tab w:val="left" w:pos="0"/>
        </w:tabs>
        <w:spacing w:line="360" w:lineRule="auto"/>
        <w:rPr>
          <w:rFonts w:ascii="宋体" w:hAnsi="宋体" w:cs="宋体"/>
          <w:color w:val="auto"/>
          <w:sz w:val="24"/>
          <w:highlight w:val="none"/>
        </w:rPr>
      </w:pPr>
      <w:r>
        <w:rPr>
          <w:rFonts w:hint="eastAsia" w:ascii="宋体" w:hAnsi="宋体" w:cs="宋体"/>
          <w:color w:val="auto"/>
          <w:sz w:val="24"/>
          <w:highlight w:val="none"/>
        </w:rPr>
        <w:t>（二）中标人须配合</w:t>
      </w:r>
      <w:r>
        <w:rPr>
          <w:rFonts w:hint="eastAsia" w:ascii="宋体" w:hAnsi="宋体"/>
          <w:color w:val="auto"/>
          <w:sz w:val="24"/>
          <w:highlight w:val="none"/>
          <w:lang w:eastAsia="zh-CN"/>
        </w:rPr>
        <w:t>景观垃圾桶、可移动花箱、座凳</w:t>
      </w:r>
      <w:r>
        <w:rPr>
          <w:rFonts w:hint="eastAsia" w:ascii="宋体" w:hAnsi="宋体" w:cs="宋体"/>
          <w:color w:val="auto"/>
          <w:sz w:val="24"/>
          <w:highlight w:val="none"/>
        </w:rPr>
        <w:t>安装单位事项：</w:t>
      </w:r>
    </w:p>
    <w:p w14:paraId="7472711B">
      <w:pPr>
        <w:shd w:val="clea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按照总包方技术和质量交底要求，完成相应合同供货，对于违反要求的，承担相应责任和工期延误费用。</w:t>
      </w:r>
    </w:p>
    <w:p w14:paraId="5713B289">
      <w:pPr>
        <w:pStyle w:val="11"/>
        <w:shd w:val="clear"/>
        <w:snapToGrid w:val="0"/>
        <w:spacing w:before="120" w:beforeLines="0" w:after="120" w:afterLines="0" w:line="360" w:lineRule="auto"/>
        <w:ind w:left="280" w:leftChars="100"/>
        <w:outlineLvl w:val="0"/>
        <w:rPr>
          <w:rFonts w:hAnsi="宋体"/>
          <w:color w:val="auto"/>
          <w:highlight w:val="none"/>
        </w:rPr>
      </w:pPr>
      <w:r>
        <w:rPr>
          <w:rFonts w:hint="eastAsia" w:hAnsi="宋体"/>
          <w:color w:val="auto"/>
          <w:highlight w:val="none"/>
        </w:rPr>
        <w:t>三</w:t>
      </w:r>
      <w:r>
        <w:rPr>
          <w:rFonts w:hAnsi="宋体"/>
          <w:color w:val="auto"/>
          <w:highlight w:val="none"/>
        </w:rPr>
        <w:t>、商务需求表</w:t>
      </w:r>
    </w:p>
    <w:tbl>
      <w:tblPr>
        <w:tblStyle w:val="23"/>
        <w:tblW w:w="8821"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7263"/>
      </w:tblGrid>
      <w:tr w14:paraId="6787E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58" w:type="dxa"/>
            <w:tcBorders>
              <w:top w:val="single" w:color="auto" w:sz="4" w:space="0"/>
              <w:left w:val="single" w:color="auto" w:sz="4" w:space="0"/>
              <w:bottom w:val="single" w:color="auto" w:sz="4" w:space="0"/>
              <w:right w:val="single" w:color="auto" w:sz="4" w:space="0"/>
            </w:tcBorders>
            <w:vAlign w:val="center"/>
          </w:tcPr>
          <w:p w14:paraId="5EBE399F">
            <w:pPr>
              <w:shd w:val="clear"/>
              <w:snapToGrid w:val="0"/>
              <w:spacing w:line="360" w:lineRule="auto"/>
              <w:jc w:val="center"/>
              <w:rPr>
                <w:rFonts w:ascii="宋体" w:hAnsi="宋体"/>
                <w:color w:val="auto"/>
                <w:sz w:val="24"/>
                <w:highlight w:val="none"/>
              </w:rPr>
            </w:pPr>
            <w:r>
              <w:rPr>
                <w:rFonts w:hint="eastAsia" w:ascii="宋体" w:hAnsi="宋体"/>
                <w:color w:val="auto"/>
                <w:sz w:val="24"/>
                <w:highlight w:val="none"/>
              </w:rPr>
              <w:t>招标范围</w:t>
            </w:r>
          </w:p>
        </w:tc>
        <w:tc>
          <w:tcPr>
            <w:tcW w:w="7263" w:type="dxa"/>
            <w:tcBorders>
              <w:top w:val="single" w:color="auto" w:sz="4" w:space="0"/>
              <w:left w:val="single" w:color="auto" w:sz="4" w:space="0"/>
              <w:bottom w:val="single" w:color="auto" w:sz="4" w:space="0"/>
              <w:right w:val="single" w:color="auto" w:sz="4" w:space="0"/>
            </w:tcBorders>
            <w:vAlign w:val="center"/>
          </w:tcPr>
          <w:p w14:paraId="3541DFD9">
            <w:pPr>
              <w:shd w:val="clear"/>
              <w:snapToGrid w:val="0"/>
              <w:spacing w:line="360" w:lineRule="auto"/>
              <w:rPr>
                <w:rFonts w:ascii="宋体" w:hAnsi="宋体"/>
                <w:color w:val="auto"/>
                <w:sz w:val="24"/>
                <w:highlight w:val="none"/>
              </w:rPr>
            </w:pPr>
            <w:r>
              <w:rPr>
                <w:rFonts w:hint="eastAsia" w:ascii="宋体" w:hAnsi="宋体"/>
                <w:color w:val="auto"/>
                <w:sz w:val="24"/>
                <w:highlight w:val="none"/>
              </w:rPr>
              <w:t>招标范围为采购人提供的</w:t>
            </w:r>
            <w:r>
              <w:rPr>
                <w:rFonts w:hint="eastAsia" w:ascii="宋体" w:hAnsi="宋体"/>
                <w:color w:val="auto"/>
                <w:sz w:val="24"/>
                <w:highlight w:val="none"/>
                <w:lang w:eastAsia="zh-CN"/>
              </w:rPr>
              <w:t>台州国际博览中心项目设计采购施工（EPC）工程总承包无价材料采购【景观垃圾桶、可移动花箱、座凳】</w:t>
            </w:r>
            <w:r>
              <w:rPr>
                <w:rFonts w:hint="eastAsia" w:ascii="宋体" w:hAnsi="宋体"/>
                <w:color w:val="auto"/>
                <w:sz w:val="24"/>
                <w:highlight w:val="none"/>
              </w:rPr>
              <w:t>。</w:t>
            </w:r>
          </w:p>
        </w:tc>
      </w:tr>
      <w:tr w14:paraId="729F9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1558" w:type="dxa"/>
            <w:tcBorders>
              <w:top w:val="single" w:color="auto" w:sz="4" w:space="0"/>
              <w:left w:val="single" w:color="auto" w:sz="4" w:space="0"/>
              <w:bottom w:val="single" w:color="auto" w:sz="4" w:space="0"/>
              <w:right w:val="single" w:color="auto" w:sz="4" w:space="0"/>
            </w:tcBorders>
            <w:vAlign w:val="center"/>
          </w:tcPr>
          <w:p w14:paraId="796739BB">
            <w:pPr>
              <w:shd w:val="clea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报价范围</w:t>
            </w:r>
          </w:p>
        </w:tc>
        <w:tc>
          <w:tcPr>
            <w:tcW w:w="7263" w:type="dxa"/>
            <w:tcBorders>
              <w:top w:val="single" w:color="auto" w:sz="4" w:space="0"/>
              <w:left w:val="single" w:color="auto" w:sz="4" w:space="0"/>
              <w:bottom w:val="single" w:color="auto" w:sz="4" w:space="0"/>
              <w:right w:val="single" w:color="auto" w:sz="4" w:space="0"/>
            </w:tcBorders>
            <w:vAlign w:val="center"/>
          </w:tcPr>
          <w:p w14:paraId="7DA4FFD2">
            <w:pPr>
              <w:pStyle w:val="7"/>
              <w:shd w:val="clear"/>
              <w:spacing w:line="360" w:lineRule="auto"/>
              <w:ind w:left="0" w:firstLine="480" w:firstLineChars="200"/>
              <w:rPr>
                <w:rFonts w:ascii="宋体" w:hAnsi="宋体" w:cs="Arial"/>
                <w:bCs/>
                <w:color w:val="auto"/>
                <w:sz w:val="24"/>
                <w:highlight w:val="none"/>
              </w:rPr>
            </w:pPr>
            <w:r>
              <w:rPr>
                <w:rFonts w:ascii="宋体" w:hAnsi="宋体" w:cs="Arial"/>
                <w:bCs/>
                <w:color w:val="auto"/>
                <w:sz w:val="24"/>
                <w:highlight w:val="none"/>
              </w:rPr>
              <w:t>1、本合同全费用</w:t>
            </w:r>
            <w:r>
              <w:rPr>
                <w:rFonts w:hint="eastAsia" w:ascii="宋体" w:hAnsi="宋体" w:cs="Arial"/>
                <w:bCs/>
                <w:color w:val="auto"/>
                <w:sz w:val="24"/>
                <w:highlight w:val="none"/>
              </w:rPr>
              <w:t>综合单价</w:t>
            </w:r>
            <w:r>
              <w:rPr>
                <w:rFonts w:hint="eastAsia" w:asciiTheme="minorEastAsia" w:hAnsiTheme="minorEastAsia" w:eastAsiaTheme="minorEastAsia" w:cstheme="minorEastAsia"/>
                <w:b w:val="0"/>
                <w:bCs/>
                <w:color w:val="auto"/>
                <w:sz w:val="24"/>
                <w:szCs w:val="24"/>
                <w:highlight w:val="none"/>
                <w:lang w:val="en-US" w:eastAsia="zh-CN"/>
              </w:rPr>
              <w:t>为清单中所有产品</w:t>
            </w:r>
            <w:r>
              <w:rPr>
                <w:rFonts w:hint="eastAsia" w:asciiTheme="minorEastAsia" w:hAnsiTheme="minorEastAsia" w:eastAsiaTheme="minorEastAsia" w:cstheme="minorEastAsia"/>
                <w:b w:val="0"/>
                <w:bCs/>
                <w:color w:val="auto"/>
                <w:sz w:val="24"/>
                <w:szCs w:val="24"/>
                <w:highlight w:val="none"/>
              </w:rPr>
              <w:t>自来源地运至指定堆放地点所发生的全部费用</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包括但不限于原材料采购、损耗、加工制作费、运输（运距不限）、装卸、措施费、</w:t>
            </w:r>
            <w:r>
              <w:rPr>
                <w:rFonts w:hint="eastAsia" w:asciiTheme="minorEastAsia" w:hAnsiTheme="minorEastAsia" w:eastAsiaTheme="minorEastAsia" w:cstheme="minorEastAsia"/>
                <w:b w:val="0"/>
                <w:bCs/>
                <w:color w:val="auto"/>
                <w:sz w:val="24"/>
                <w:szCs w:val="24"/>
                <w:highlight w:val="none"/>
                <w:lang w:val="en-US" w:eastAsia="zh-CN"/>
              </w:rPr>
              <w:t>出厂</w:t>
            </w:r>
            <w:r>
              <w:rPr>
                <w:rFonts w:hint="eastAsia" w:asciiTheme="minorEastAsia" w:hAnsiTheme="minorEastAsia" w:eastAsiaTheme="minorEastAsia" w:cstheme="minorEastAsia"/>
                <w:b w:val="0"/>
                <w:bCs/>
                <w:color w:val="auto"/>
                <w:sz w:val="24"/>
                <w:szCs w:val="24"/>
                <w:highlight w:val="none"/>
              </w:rPr>
              <w:t>检验试验费</w:t>
            </w:r>
            <w:r>
              <w:rPr>
                <w:rFonts w:hint="eastAsia" w:asciiTheme="minorEastAsia" w:hAnsiTheme="minorEastAsia" w:eastAsiaTheme="minorEastAsia" w:cstheme="minorEastAsia"/>
                <w:b w:val="0"/>
                <w:bCs/>
                <w:color w:val="auto"/>
                <w:sz w:val="24"/>
                <w:szCs w:val="24"/>
                <w:highlight w:val="none"/>
                <w:lang w:eastAsia="zh-CN"/>
              </w:rPr>
              <w:t>[免费提供试件（如有）]</w:t>
            </w:r>
            <w:r>
              <w:rPr>
                <w:rFonts w:hint="eastAsia" w:asciiTheme="minorEastAsia" w:hAnsiTheme="minorEastAsia" w:eastAsiaTheme="minorEastAsia" w:cstheme="minorEastAsia"/>
                <w:b w:val="0"/>
                <w:bCs/>
                <w:color w:val="auto"/>
                <w:sz w:val="24"/>
                <w:szCs w:val="24"/>
                <w:highlight w:val="none"/>
              </w:rPr>
              <w:t>、管理费、利润、税金（13%）、风险以及政策性文件规定收取的费用、财务费用等一切为完成本项目所需要的相应规范要求执行的在上述条款中可能遗漏的任何费用。</w:t>
            </w:r>
            <w:r>
              <w:rPr>
                <w:rFonts w:hint="eastAsia" w:ascii="宋体" w:hAnsi="宋体" w:cs="Arial"/>
                <w:bCs/>
                <w:color w:val="auto"/>
                <w:sz w:val="24"/>
                <w:highlight w:val="none"/>
              </w:rPr>
              <w:t>采购人可根据实际情况调整采购数量，中标人不得以此为要求调整全费用综合单价。结算时，中标人在全费用综合单价不变的前提下，根据采购人的实际采购数量按实结算。</w:t>
            </w:r>
          </w:p>
          <w:p w14:paraId="5BB7D144">
            <w:pPr>
              <w:shd w:val="clear"/>
              <w:snapToGrid w:val="0"/>
              <w:spacing w:line="360" w:lineRule="auto"/>
              <w:ind w:firstLine="480" w:firstLineChars="200"/>
              <w:rPr>
                <w:color w:val="auto"/>
                <w:highlight w:val="none"/>
              </w:rPr>
            </w:pPr>
            <w:r>
              <w:rPr>
                <w:rFonts w:ascii="宋体" w:hAnsi="宋体" w:cs="Arial"/>
                <w:bCs/>
                <w:color w:val="auto"/>
                <w:sz w:val="24"/>
                <w:highlight w:val="none"/>
              </w:rPr>
              <w:t>2、本工程量清单中的数量栏中的工程量仅作为确定中标综合单价使用，中标综合单价不因实际单项工程量与招标工程量的差异而调整综合单价，也不因为两者工程量偏差成为索赔因素。</w:t>
            </w:r>
          </w:p>
          <w:p w14:paraId="700B8F8B">
            <w:pPr>
              <w:shd w:val="clear"/>
              <w:snapToGrid w:val="0"/>
              <w:spacing w:line="360" w:lineRule="auto"/>
              <w:ind w:firstLine="480" w:firstLineChars="200"/>
              <w:rPr>
                <w:rFonts w:ascii="宋体" w:hAnsi="宋体"/>
                <w:color w:val="auto"/>
                <w:sz w:val="24"/>
                <w:highlight w:val="none"/>
              </w:rPr>
            </w:pPr>
            <w:r>
              <w:rPr>
                <w:rFonts w:hint="eastAsia" w:ascii="宋体" w:hAnsi="宋体" w:cs="Arial"/>
                <w:bCs/>
                <w:color w:val="auto"/>
                <w:sz w:val="24"/>
                <w:highlight w:val="none"/>
              </w:rPr>
              <w:t>其余内容详图纸、图集、规范及招标文件相关约定。</w:t>
            </w:r>
          </w:p>
        </w:tc>
      </w:tr>
      <w:tr w14:paraId="085BA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1558" w:type="dxa"/>
            <w:tcBorders>
              <w:top w:val="single" w:color="auto" w:sz="4" w:space="0"/>
              <w:left w:val="single" w:color="auto" w:sz="4" w:space="0"/>
              <w:bottom w:val="single" w:color="auto" w:sz="4" w:space="0"/>
              <w:right w:val="single" w:color="auto" w:sz="4" w:space="0"/>
            </w:tcBorders>
            <w:vAlign w:val="center"/>
          </w:tcPr>
          <w:p w14:paraId="509B0569">
            <w:pPr>
              <w:shd w:val="clear"/>
              <w:snapToGrid w:val="0"/>
              <w:spacing w:line="360" w:lineRule="auto"/>
              <w:rPr>
                <w:rFonts w:ascii="宋体" w:hAnsi="宋体"/>
                <w:color w:val="auto"/>
                <w:sz w:val="24"/>
                <w:highlight w:val="none"/>
              </w:rPr>
            </w:pPr>
            <w:r>
              <w:rPr>
                <w:rFonts w:hint="eastAsia" w:ascii="宋体" w:hAnsi="宋体"/>
                <w:color w:val="auto"/>
                <w:sz w:val="24"/>
                <w:highlight w:val="none"/>
              </w:rPr>
              <w:t>原材采购</w:t>
            </w:r>
          </w:p>
        </w:tc>
        <w:tc>
          <w:tcPr>
            <w:tcW w:w="7263" w:type="dxa"/>
            <w:tcBorders>
              <w:top w:val="single" w:color="auto" w:sz="4" w:space="0"/>
              <w:left w:val="single" w:color="auto" w:sz="4" w:space="0"/>
              <w:bottom w:val="single" w:color="auto" w:sz="4" w:space="0"/>
              <w:right w:val="single" w:color="auto" w:sz="4" w:space="0"/>
            </w:tcBorders>
            <w:vAlign w:val="center"/>
          </w:tcPr>
          <w:p w14:paraId="6D47A3BE">
            <w:pPr>
              <w:shd w:val="clear"/>
              <w:snapToGrid w:val="0"/>
              <w:spacing w:line="360" w:lineRule="auto"/>
              <w:rPr>
                <w:rFonts w:ascii="宋体" w:hAnsi="宋体"/>
                <w:color w:val="auto"/>
                <w:sz w:val="24"/>
                <w:highlight w:val="none"/>
              </w:rPr>
            </w:pPr>
            <w:r>
              <w:rPr>
                <w:rFonts w:hint="eastAsia" w:ascii="宋体" w:hAnsi="宋体"/>
                <w:color w:val="auto"/>
                <w:sz w:val="24"/>
                <w:highlight w:val="none"/>
              </w:rPr>
              <w:t>中国建筑第四工程局有限公司提供施工设计图纸，中标人自行采购加工所需原</w:t>
            </w:r>
            <w:r>
              <w:rPr>
                <w:rFonts w:hint="eastAsia" w:ascii="宋体" w:hAnsi="宋体"/>
                <w:color w:val="auto"/>
                <w:sz w:val="24"/>
                <w:highlight w:val="none"/>
                <w:lang w:eastAsia="zh-CN"/>
              </w:rPr>
              <w:t>材料</w:t>
            </w:r>
            <w:r>
              <w:rPr>
                <w:rFonts w:ascii="宋体" w:hAnsi="宋体"/>
                <w:color w:val="auto"/>
                <w:sz w:val="24"/>
                <w:highlight w:val="none"/>
              </w:rPr>
              <w:t>以及其</w:t>
            </w:r>
            <w:r>
              <w:rPr>
                <w:rFonts w:hint="eastAsia" w:ascii="宋体" w:hAnsi="宋体"/>
                <w:color w:val="auto"/>
                <w:sz w:val="24"/>
                <w:highlight w:val="none"/>
              </w:rPr>
              <w:t>它加工所必须辅材等材料，在加工计划下发前需满足加工备料需求。</w:t>
            </w:r>
          </w:p>
        </w:tc>
      </w:tr>
      <w:tr w14:paraId="3CB25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558" w:type="dxa"/>
            <w:tcBorders>
              <w:top w:val="single" w:color="auto" w:sz="4" w:space="0"/>
              <w:left w:val="single" w:color="auto" w:sz="4" w:space="0"/>
              <w:bottom w:val="single" w:color="auto" w:sz="4" w:space="0"/>
              <w:right w:val="single" w:color="auto" w:sz="4" w:space="0"/>
            </w:tcBorders>
            <w:vAlign w:val="center"/>
          </w:tcPr>
          <w:p w14:paraId="41AC5A40">
            <w:pPr>
              <w:shd w:val="clear"/>
              <w:snapToGrid w:val="0"/>
              <w:spacing w:line="360" w:lineRule="auto"/>
              <w:rPr>
                <w:rFonts w:ascii="宋体" w:hAnsi="宋体"/>
                <w:color w:val="auto"/>
                <w:sz w:val="24"/>
                <w:highlight w:val="none"/>
              </w:rPr>
            </w:pPr>
            <w:r>
              <w:rPr>
                <w:rFonts w:hint="eastAsia" w:ascii="宋体" w:hAnsi="宋体"/>
                <w:color w:val="auto"/>
                <w:sz w:val="24"/>
                <w:highlight w:val="none"/>
              </w:rPr>
              <w:t>交货地点</w:t>
            </w:r>
          </w:p>
        </w:tc>
        <w:tc>
          <w:tcPr>
            <w:tcW w:w="7263" w:type="dxa"/>
            <w:tcBorders>
              <w:top w:val="single" w:color="auto" w:sz="4" w:space="0"/>
              <w:left w:val="single" w:color="auto" w:sz="4" w:space="0"/>
              <w:bottom w:val="single" w:color="auto" w:sz="4" w:space="0"/>
              <w:right w:val="single" w:color="auto" w:sz="4" w:space="0"/>
            </w:tcBorders>
            <w:vAlign w:val="center"/>
          </w:tcPr>
          <w:p w14:paraId="4BA79DA2">
            <w:pPr>
              <w:shd w:val="clear"/>
              <w:snapToGrid w:val="0"/>
              <w:spacing w:line="360" w:lineRule="auto"/>
              <w:rPr>
                <w:rFonts w:ascii="宋体" w:hAnsi="宋体"/>
                <w:color w:val="auto"/>
                <w:sz w:val="24"/>
                <w:highlight w:val="none"/>
              </w:rPr>
            </w:pPr>
            <w:r>
              <w:rPr>
                <w:rFonts w:hint="eastAsia" w:ascii="宋体" w:hAnsi="宋体"/>
                <w:color w:val="auto"/>
                <w:sz w:val="24"/>
                <w:highlight w:val="none"/>
              </w:rPr>
              <w:t>交货地点：中国建筑第四工程局有限公司指定项目部施工现场指定地点。</w:t>
            </w:r>
          </w:p>
        </w:tc>
      </w:tr>
      <w:tr w14:paraId="71BF1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558" w:type="dxa"/>
            <w:tcBorders>
              <w:top w:val="single" w:color="auto" w:sz="4" w:space="0"/>
              <w:left w:val="single" w:color="auto" w:sz="4" w:space="0"/>
              <w:bottom w:val="single" w:color="auto" w:sz="4" w:space="0"/>
              <w:right w:val="single" w:color="auto" w:sz="4" w:space="0"/>
            </w:tcBorders>
            <w:vAlign w:val="center"/>
          </w:tcPr>
          <w:p w14:paraId="0F59DAD9">
            <w:pPr>
              <w:shd w:val="clear"/>
              <w:snapToGrid w:val="0"/>
              <w:spacing w:line="360" w:lineRule="auto"/>
              <w:rPr>
                <w:rFonts w:ascii="宋体" w:hAnsi="宋体"/>
                <w:color w:val="auto"/>
                <w:sz w:val="24"/>
                <w:highlight w:val="none"/>
              </w:rPr>
            </w:pPr>
            <w:r>
              <w:rPr>
                <w:rFonts w:hint="eastAsia" w:ascii="宋体" w:hAnsi="宋体"/>
                <w:color w:val="auto"/>
                <w:sz w:val="24"/>
                <w:highlight w:val="none"/>
              </w:rPr>
              <w:t>调差方式</w:t>
            </w:r>
          </w:p>
        </w:tc>
        <w:tc>
          <w:tcPr>
            <w:tcW w:w="7263" w:type="dxa"/>
            <w:tcBorders>
              <w:top w:val="single" w:color="auto" w:sz="4" w:space="0"/>
              <w:left w:val="single" w:color="auto" w:sz="4" w:space="0"/>
              <w:bottom w:val="single" w:color="auto" w:sz="4" w:space="0"/>
              <w:right w:val="single" w:color="auto" w:sz="4" w:space="0"/>
            </w:tcBorders>
            <w:vAlign w:val="center"/>
          </w:tcPr>
          <w:p w14:paraId="05858A2A">
            <w:pPr>
              <w:shd w:val="clear"/>
              <w:snapToGrid w:val="0"/>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lang w:eastAsia="zh-CN"/>
              </w:rPr>
              <w:t>不调差，按投标承诺既定。</w:t>
            </w:r>
          </w:p>
        </w:tc>
      </w:tr>
      <w:tr w14:paraId="473C2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558" w:type="dxa"/>
            <w:tcBorders>
              <w:top w:val="single" w:color="auto" w:sz="4" w:space="0"/>
              <w:left w:val="single" w:color="auto" w:sz="4" w:space="0"/>
              <w:bottom w:val="single" w:color="auto" w:sz="4" w:space="0"/>
              <w:right w:val="single" w:color="auto" w:sz="4" w:space="0"/>
            </w:tcBorders>
            <w:vAlign w:val="center"/>
          </w:tcPr>
          <w:p w14:paraId="7944FBEB">
            <w:pPr>
              <w:shd w:val="clear"/>
              <w:snapToGrid w:val="0"/>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质保期</w:t>
            </w:r>
          </w:p>
        </w:tc>
        <w:tc>
          <w:tcPr>
            <w:tcW w:w="7263" w:type="dxa"/>
            <w:tcBorders>
              <w:top w:val="single" w:color="auto" w:sz="4" w:space="0"/>
              <w:left w:val="single" w:color="auto" w:sz="4" w:space="0"/>
              <w:bottom w:val="single" w:color="auto" w:sz="4" w:space="0"/>
              <w:right w:val="single" w:color="auto" w:sz="4" w:space="0"/>
            </w:tcBorders>
            <w:vAlign w:val="center"/>
          </w:tcPr>
          <w:p w14:paraId="2EB3F154">
            <w:pPr>
              <w:shd w:val="clear"/>
              <w:snapToGrid w:val="0"/>
              <w:spacing w:line="360" w:lineRule="auto"/>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不少于2年</w:t>
            </w:r>
          </w:p>
        </w:tc>
      </w:tr>
    </w:tbl>
    <w:p w14:paraId="6477C0E6">
      <w:pPr>
        <w:shd w:val="clear"/>
        <w:snapToGrid w:val="0"/>
        <w:spacing w:before="120" w:beforeLines="50" w:after="120" w:afterLines="50"/>
        <w:ind w:left="238"/>
        <w:jc w:val="left"/>
        <w:rPr>
          <w:b/>
          <w:color w:val="auto"/>
          <w:sz w:val="24"/>
          <w:highlight w:val="none"/>
        </w:rPr>
        <w:sectPr>
          <w:footerReference r:id="rId5" w:type="default"/>
          <w:footnotePr>
            <w:numRestart w:val="eachPage"/>
          </w:footnotePr>
          <w:endnotePr>
            <w:numRestart w:val="eachSect"/>
          </w:endnotePr>
          <w:pgSz w:w="11907" w:h="16840"/>
          <w:pgMar w:top="1247" w:right="1361" w:bottom="1247" w:left="1361" w:header="851" w:footer="824" w:gutter="0"/>
          <w:pgNumType w:start="1"/>
          <w:cols w:space="720" w:num="1"/>
          <w:docGrid w:linePitch="435" w:charSpace="-6554"/>
        </w:sectPr>
      </w:pPr>
    </w:p>
    <w:p w14:paraId="6A01A87C">
      <w:pPr>
        <w:shd w:val="clear"/>
        <w:snapToGrid w:val="0"/>
        <w:spacing w:before="156" w:beforeLines="50" w:after="156" w:afterLines="50" w:line="360" w:lineRule="auto"/>
        <w:ind w:left="238"/>
        <w:jc w:val="center"/>
        <w:rPr>
          <w:rFonts w:eastAsia="仿宋_GB2312"/>
          <w:b/>
          <w:color w:val="auto"/>
          <w:sz w:val="24"/>
          <w:highlight w:val="none"/>
        </w:rPr>
      </w:pPr>
      <w:r>
        <w:rPr>
          <w:b/>
          <w:color w:val="auto"/>
          <w:sz w:val="24"/>
          <w:highlight w:val="none"/>
        </w:rPr>
        <w:t>第三章  投标人须知</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0"/>
        <w:gridCol w:w="8950"/>
      </w:tblGrid>
      <w:tr w14:paraId="74908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43F24446">
            <w:pPr>
              <w:shd w:val="clear"/>
              <w:snapToGrid w:val="0"/>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735BFF23">
            <w:pPr>
              <w:shd w:val="clear"/>
              <w:snapToGrid w:val="0"/>
              <w:spacing w:line="360" w:lineRule="auto"/>
              <w:jc w:val="center"/>
              <w:rPr>
                <w:rFonts w:ascii="宋体" w:hAnsi="宋体"/>
                <w:color w:val="auto"/>
                <w:sz w:val="24"/>
                <w:highlight w:val="none"/>
              </w:rPr>
            </w:pPr>
            <w:r>
              <w:rPr>
                <w:rFonts w:hint="eastAsia" w:ascii="宋体" w:hAnsi="宋体"/>
                <w:color w:val="auto"/>
                <w:sz w:val="24"/>
                <w:highlight w:val="none"/>
              </w:rPr>
              <w:t>内容、要求</w:t>
            </w:r>
          </w:p>
        </w:tc>
      </w:tr>
      <w:tr w14:paraId="6B958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033AAE83">
            <w:pPr>
              <w:shd w:val="clear"/>
              <w:snapToGrid w:val="0"/>
              <w:spacing w:line="360" w:lineRule="auto"/>
              <w:jc w:val="center"/>
              <w:rPr>
                <w:rFonts w:ascii="宋体" w:hAnsi="宋体"/>
                <w:color w:val="auto"/>
                <w:sz w:val="24"/>
                <w:highlight w:val="none"/>
              </w:rPr>
            </w:pPr>
            <w:r>
              <w:rPr>
                <w:rFonts w:ascii="宋体" w:hAnsi="宋体"/>
                <w:color w:val="auto"/>
                <w:sz w:val="24"/>
                <w:highlight w:val="none"/>
              </w:rPr>
              <w:t>1</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692F49F4">
            <w:pPr>
              <w:shd w:val="clear"/>
              <w:snapToGrid w:val="0"/>
              <w:spacing w:line="360" w:lineRule="auto"/>
              <w:ind w:left="1200" w:hanging="1200" w:hangingChars="50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台州国际博览中心项目设计采购施工（EPC）工程总承包无价材料采购【景观垃圾桶、可移动花箱、座凳】</w:t>
            </w:r>
          </w:p>
        </w:tc>
      </w:tr>
      <w:tr w14:paraId="58206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7A845E96">
            <w:pPr>
              <w:shd w:val="clear"/>
              <w:snapToGrid w:val="0"/>
              <w:spacing w:line="360" w:lineRule="auto"/>
              <w:jc w:val="center"/>
              <w:rPr>
                <w:rFonts w:ascii="宋体" w:hAnsi="宋体"/>
                <w:color w:val="auto"/>
                <w:sz w:val="24"/>
                <w:highlight w:val="none"/>
              </w:rPr>
            </w:pPr>
            <w:r>
              <w:rPr>
                <w:rFonts w:ascii="宋体" w:hAnsi="宋体"/>
                <w:color w:val="auto"/>
                <w:sz w:val="24"/>
                <w:highlight w:val="none"/>
              </w:rPr>
              <w:t>2</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621BA3F6">
            <w:pPr>
              <w:shd w:val="clear"/>
              <w:snapToGrid w:val="0"/>
              <w:spacing w:line="360" w:lineRule="auto"/>
              <w:rPr>
                <w:rFonts w:ascii="宋体" w:hAnsi="宋体"/>
                <w:color w:val="auto"/>
                <w:sz w:val="24"/>
                <w:highlight w:val="none"/>
              </w:rPr>
            </w:pPr>
            <w:r>
              <w:rPr>
                <w:rFonts w:hint="eastAsia" w:ascii="宋体" w:hAnsi="宋体"/>
                <w:color w:val="auto"/>
                <w:sz w:val="24"/>
                <w:highlight w:val="none"/>
              </w:rPr>
              <w:t>采购单位：</w:t>
            </w:r>
            <w:r>
              <w:rPr>
                <w:rFonts w:hint="eastAsia" w:ascii="宋体" w:hAnsi="宋体"/>
                <w:bCs/>
                <w:color w:val="auto"/>
                <w:sz w:val="24"/>
                <w:highlight w:val="none"/>
              </w:rPr>
              <w:t>台州国际博览中心有限公司、中国建筑第四工程局有限公司</w:t>
            </w:r>
          </w:p>
        </w:tc>
      </w:tr>
      <w:tr w14:paraId="2CDA4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7C197280">
            <w:pPr>
              <w:shd w:val="clea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444C3C8D">
            <w:pPr>
              <w:shd w:val="clea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投标保证金：</w:t>
            </w:r>
            <w:r>
              <w:rPr>
                <w:rFonts w:hint="eastAsia" w:ascii="宋体" w:hAnsi="宋体"/>
                <w:color w:val="auto"/>
                <w:sz w:val="24"/>
                <w:highlight w:val="none"/>
                <w:lang w:val="en-US" w:eastAsia="zh-CN"/>
              </w:rPr>
              <w:t>详见公开招标公告</w:t>
            </w:r>
          </w:p>
        </w:tc>
      </w:tr>
      <w:tr w14:paraId="58AD1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1599AB9C">
            <w:pPr>
              <w:shd w:val="clea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52CD7B9E">
            <w:pPr>
              <w:shd w:val="clear"/>
              <w:snapToGrid w:val="0"/>
              <w:spacing w:line="360" w:lineRule="auto"/>
              <w:rPr>
                <w:rFonts w:ascii="宋体" w:hAnsi="宋体"/>
                <w:color w:val="auto"/>
                <w:sz w:val="24"/>
                <w:highlight w:val="none"/>
              </w:rPr>
            </w:pPr>
            <w:r>
              <w:rPr>
                <w:rFonts w:hint="eastAsia" w:ascii="宋体" w:hAnsi="宋体"/>
                <w:color w:val="auto"/>
                <w:sz w:val="24"/>
                <w:highlight w:val="none"/>
              </w:rPr>
              <w:t>现场踏勘：自行踏勘</w:t>
            </w:r>
          </w:p>
        </w:tc>
      </w:tr>
      <w:tr w14:paraId="46358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38B72006">
            <w:pPr>
              <w:shd w:val="clea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345246D8">
            <w:pPr>
              <w:shd w:val="clear"/>
              <w:snapToGrid w:val="0"/>
              <w:spacing w:line="360" w:lineRule="auto"/>
              <w:rPr>
                <w:rFonts w:ascii="宋体" w:hAnsi="宋体"/>
                <w:color w:val="auto"/>
                <w:sz w:val="24"/>
                <w:highlight w:val="none"/>
              </w:rPr>
            </w:pPr>
            <w:r>
              <w:rPr>
                <w:rFonts w:hint="eastAsia" w:ascii="宋体" w:hAnsi="宋体"/>
                <w:color w:val="auto"/>
                <w:sz w:val="24"/>
                <w:highlight w:val="none"/>
              </w:rPr>
              <w:t>答疑与澄清：投标人如认为招标文件表述不清晰、存在歧视性、排他性或者其他违法内容的，应当于投标截止3个工作日前，以书面形式要求招标采购单位作出书面解释、澄清或者向招标采购单位提出书面质疑；招标人对投标人疑问作出统一的解答，并以招标补充文件的形式发出。在</w:t>
            </w:r>
            <w:r>
              <w:rPr>
                <w:rFonts w:hint="eastAsia" w:ascii="宋体" w:hAnsi="宋体"/>
                <w:color w:val="auto"/>
                <w:sz w:val="24"/>
                <w:highlight w:val="none"/>
                <w:lang w:val="en-US" w:eastAsia="zh-CN"/>
              </w:rPr>
              <w:t>发布公告的网站</w:t>
            </w:r>
            <w:r>
              <w:rPr>
                <w:rFonts w:hint="eastAsia" w:ascii="宋体" w:hAnsi="宋体"/>
                <w:color w:val="auto"/>
                <w:sz w:val="24"/>
                <w:highlight w:val="none"/>
              </w:rPr>
              <w:t>公开发布。在开标前，投标人须随时关注网站的最新答疑信息，自行下载。招标人不再逐一通知。投标人因自身贻误行为导致投标失败的，责任自负。</w:t>
            </w:r>
          </w:p>
        </w:tc>
      </w:tr>
      <w:tr w14:paraId="6B1F2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7E5768E2">
            <w:pPr>
              <w:shd w:val="clea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1E92FDD0">
            <w:pPr>
              <w:shd w:val="clea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投标文件组成：</w:t>
            </w:r>
            <w:r>
              <w:rPr>
                <w:rFonts w:hint="eastAsia" w:ascii="宋体" w:hAnsi="宋体"/>
                <w:color w:val="auto"/>
                <w:sz w:val="24"/>
                <w:highlight w:val="none"/>
                <w:lang w:val="en-US" w:eastAsia="zh-CN"/>
              </w:rPr>
              <w:t>资格标、</w:t>
            </w:r>
            <w:r>
              <w:rPr>
                <w:rFonts w:hint="eastAsia" w:ascii="宋体" w:hAnsi="宋体"/>
                <w:color w:val="auto"/>
                <w:sz w:val="24"/>
                <w:highlight w:val="none"/>
              </w:rPr>
              <w:t>技术资信标</w:t>
            </w:r>
            <w:r>
              <w:rPr>
                <w:rFonts w:hint="eastAsia" w:ascii="宋体" w:hAnsi="宋体"/>
                <w:color w:val="auto"/>
                <w:sz w:val="24"/>
                <w:highlight w:val="none"/>
                <w:lang w:eastAsia="zh-CN"/>
              </w:rPr>
              <w:t>、</w:t>
            </w:r>
            <w:r>
              <w:rPr>
                <w:rFonts w:hint="eastAsia" w:ascii="宋体" w:hAnsi="宋体" w:cs="Arial"/>
                <w:color w:val="auto"/>
                <w:sz w:val="24"/>
                <w:highlight w:val="none"/>
              </w:rPr>
              <w:t>商务标</w:t>
            </w:r>
            <w:r>
              <w:rPr>
                <w:rFonts w:hint="eastAsia" w:ascii="宋体" w:hAnsi="宋体" w:cs="Arial"/>
                <w:color w:val="auto"/>
                <w:sz w:val="24"/>
                <w:highlight w:val="none"/>
                <w:lang w:val="en-US" w:eastAsia="zh-CN"/>
              </w:rPr>
              <w:t>各</w:t>
            </w:r>
            <w:r>
              <w:rPr>
                <w:rFonts w:hint="eastAsia" w:ascii="宋体" w:hAnsi="宋体"/>
                <w:color w:val="auto"/>
                <w:sz w:val="24"/>
                <w:highlight w:val="none"/>
              </w:rPr>
              <w:t>正本</w:t>
            </w:r>
            <w:r>
              <w:rPr>
                <w:rFonts w:hint="eastAsia" w:ascii="宋体" w:hAnsi="宋体"/>
                <w:color w:val="auto"/>
                <w:sz w:val="24"/>
                <w:highlight w:val="none"/>
                <w:u w:val="single"/>
              </w:rPr>
              <w:t xml:space="preserve"> </w:t>
            </w:r>
            <w:r>
              <w:rPr>
                <w:rFonts w:hint="eastAsia" w:ascii="宋体" w:hAnsi="宋体" w:cs="Arial"/>
                <w:color w:val="auto"/>
                <w:sz w:val="24"/>
                <w:highlight w:val="none"/>
                <w:u w:val="single"/>
              </w:rPr>
              <w:t>1</w:t>
            </w:r>
            <w:r>
              <w:rPr>
                <w:rFonts w:hint="eastAsia" w:ascii="宋体" w:hAnsi="宋体"/>
                <w:color w:val="auto"/>
                <w:sz w:val="24"/>
                <w:highlight w:val="none"/>
                <w:u w:val="single"/>
              </w:rPr>
              <w:t xml:space="preserve"> </w:t>
            </w:r>
            <w:r>
              <w:rPr>
                <w:rFonts w:hint="eastAsia" w:ascii="宋体" w:hAnsi="宋体"/>
                <w:color w:val="auto"/>
                <w:sz w:val="24"/>
                <w:highlight w:val="none"/>
              </w:rPr>
              <w:t>份、副本</w:t>
            </w:r>
            <w:r>
              <w:rPr>
                <w:rFonts w:hint="eastAsia" w:ascii="宋体" w:hAnsi="宋体"/>
                <w:color w:val="auto"/>
                <w:sz w:val="24"/>
                <w:highlight w:val="none"/>
                <w:u w:val="single"/>
              </w:rPr>
              <w:t xml:space="preserve"> </w:t>
            </w:r>
            <w:r>
              <w:rPr>
                <w:rFonts w:hint="eastAsia" w:ascii="宋体" w:hAnsi="宋体" w:cs="Arial"/>
                <w:color w:val="auto"/>
                <w:sz w:val="24"/>
                <w:highlight w:val="none"/>
                <w:u w:val="single"/>
              </w:rPr>
              <w:t xml:space="preserve">4 </w:t>
            </w:r>
            <w:r>
              <w:rPr>
                <w:rFonts w:hint="eastAsia" w:ascii="宋体" w:hAnsi="宋体"/>
                <w:color w:val="auto"/>
                <w:sz w:val="24"/>
                <w:highlight w:val="none"/>
              </w:rPr>
              <w:t>份。</w:t>
            </w:r>
          </w:p>
        </w:tc>
      </w:tr>
      <w:tr w14:paraId="44B62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2666EE09">
            <w:pPr>
              <w:shd w:val="clea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7</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550E158B">
            <w:pPr>
              <w:shd w:val="clear"/>
              <w:snapToGrid w:val="0"/>
              <w:spacing w:line="360" w:lineRule="auto"/>
              <w:jc w:val="left"/>
              <w:rPr>
                <w:rFonts w:ascii="宋体" w:hAnsi="宋体"/>
                <w:color w:val="auto"/>
                <w:sz w:val="24"/>
                <w:highlight w:val="none"/>
              </w:rPr>
            </w:pPr>
            <w:r>
              <w:rPr>
                <w:rFonts w:hint="eastAsia" w:ascii="宋体" w:hAnsi="宋体"/>
                <w:color w:val="auto"/>
                <w:sz w:val="24"/>
                <w:highlight w:val="none"/>
              </w:rPr>
              <w:t>投标截止时间及地点：</w:t>
            </w:r>
            <w:r>
              <w:rPr>
                <w:rFonts w:hint="eastAsia" w:ascii="宋体" w:hAnsi="宋体" w:cs="Arial"/>
                <w:color w:val="auto"/>
                <w:sz w:val="24"/>
                <w:highlight w:val="none"/>
                <w:u w:val="single"/>
              </w:rPr>
              <w:t>见招标公告；</w:t>
            </w:r>
          </w:p>
        </w:tc>
      </w:tr>
      <w:tr w14:paraId="186E6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1C322837">
            <w:pPr>
              <w:shd w:val="clea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8</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619118F2">
            <w:pPr>
              <w:shd w:val="clear"/>
              <w:snapToGrid w:val="0"/>
              <w:spacing w:line="360" w:lineRule="auto"/>
              <w:jc w:val="left"/>
              <w:rPr>
                <w:rFonts w:ascii="宋体" w:hAnsi="宋体"/>
                <w:color w:val="auto"/>
                <w:sz w:val="24"/>
                <w:highlight w:val="none"/>
              </w:rPr>
            </w:pPr>
            <w:r>
              <w:rPr>
                <w:rFonts w:hint="eastAsia" w:ascii="宋体" w:hAnsi="宋体"/>
                <w:color w:val="auto"/>
                <w:sz w:val="24"/>
                <w:highlight w:val="none"/>
              </w:rPr>
              <w:t>开标时间及地点：</w:t>
            </w:r>
            <w:r>
              <w:rPr>
                <w:rFonts w:hint="eastAsia" w:ascii="宋体" w:hAnsi="宋体" w:cs="Arial"/>
                <w:color w:val="auto"/>
                <w:sz w:val="24"/>
                <w:highlight w:val="none"/>
                <w:u w:val="single"/>
              </w:rPr>
              <w:t>见招标公告；</w:t>
            </w:r>
            <w:r>
              <w:rPr>
                <w:rFonts w:ascii="宋体" w:hAnsi="宋体"/>
                <w:color w:val="auto"/>
                <w:sz w:val="24"/>
                <w:highlight w:val="none"/>
              </w:rPr>
              <w:t xml:space="preserve"> </w:t>
            </w:r>
          </w:p>
        </w:tc>
      </w:tr>
      <w:tr w14:paraId="7EAA1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40E5901D">
            <w:pPr>
              <w:shd w:val="clea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0EFCE7FC">
            <w:pPr>
              <w:shd w:val="clea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评标办法及评分标准：详见本招标文件第四章《评标办法及评分标准》</w:t>
            </w:r>
          </w:p>
        </w:tc>
      </w:tr>
      <w:tr w14:paraId="17B3B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5FA90515">
            <w:pPr>
              <w:shd w:val="clea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0F7D3637">
            <w:pPr>
              <w:shd w:val="clea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lang w:val="en-US" w:eastAsia="zh-CN"/>
              </w:rPr>
              <w:t>中标候选人</w:t>
            </w:r>
            <w:r>
              <w:rPr>
                <w:rFonts w:hint="eastAsia" w:ascii="宋体" w:hAnsi="宋体"/>
                <w:color w:val="auto"/>
                <w:sz w:val="24"/>
                <w:highlight w:val="none"/>
              </w:rPr>
              <w:t xml:space="preserve">公示：公示媒介：https://zfcg.czt.zj.gov.cn/             </w:t>
            </w:r>
          </w:p>
          <w:p w14:paraId="4ED9FBD1">
            <w:pPr>
              <w:shd w:val="clea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公示期限：不少于3日。如遇国家法定休假日，应顺延至法定休假日后第一个工作日。</w:t>
            </w:r>
          </w:p>
        </w:tc>
      </w:tr>
      <w:tr w14:paraId="0FE92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1861B716">
            <w:pPr>
              <w:shd w:val="clea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54159795">
            <w:pPr>
              <w:shd w:val="clea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投标保证金退还（不计息）：除招标文件规定不予退还保证金的情形外，中标通知书发出后5个工作日内，投标人提供保证金收据和本单位开户银行及账号后，采购人以电汇或转账方式</w:t>
            </w:r>
            <w:r>
              <w:rPr>
                <w:rFonts w:hint="eastAsia" w:ascii="宋体" w:hAnsi="宋体"/>
                <w:color w:val="auto"/>
                <w:sz w:val="24"/>
                <w:highlight w:val="none"/>
                <w:lang w:val="en-US" w:eastAsia="zh-CN"/>
              </w:rPr>
              <w:t>无息</w:t>
            </w:r>
            <w:r>
              <w:rPr>
                <w:rFonts w:hint="eastAsia" w:ascii="宋体" w:hAnsi="宋体"/>
                <w:color w:val="auto"/>
                <w:sz w:val="24"/>
                <w:highlight w:val="none"/>
              </w:rPr>
              <w:t>退还投标保证金。</w:t>
            </w:r>
          </w:p>
        </w:tc>
      </w:tr>
      <w:tr w14:paraId="0FAD0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0E6A59F5">
            <w:pPr>
              <w:shd w:val="clea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53BED046">
            <w:pPr>
              <w:shd w:val="clea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签订合同时间：中标通知书发出后30日内。</w:t>
            </w:r>
          </w:p>
        </w:tc>
      </w:tr>
      <w:tr w14:paraId="5C04D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4E9EFC39">
            <w:pPr>
              <w:shd w:val="clea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3B35DD23">
            <w:pPr>
              <w:shd w:val="clea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履约保证金的收取及退还：</w:t>
            </w:r>
            <w:r>
              <w:rPr>
                <w:rFonts w:hint="eastAsia" w:ascii="宋体" w:hAnsi="宋体" w:cs="宋体"/>
                <w:color w:val="auto"/>
                <w:kern w:val="0"/>
                <w:sz w:val="24"/>
                <w:szCs w:val="24"/>
                <w:highlight w:val="none"/>
              </w:rPr>
              <w:t>签订材料采购合同前，</w:t>
            </w:r>
            <w:r>
              <w:rPr>
                <w:rFonts w:hint="eastAsia" w:ascii="宋体" w:hAnsi="宋体" w:cs="宋体"/>
                <w:color w:val="auto"/>
                <w:sz w:val="24"/>
                <w:highlight w:val="none"/>
              </w:rPr>
              <w:t>中标</w:t>
            </w:r>
            <w:r>
              <w:rPr>
                <w:rFonts w:hint="eastAsia" w:ascii="宋体" w:hAnsi="宋体" w:cs="宋体"/>
                <w:color w:val="auto"/>
                <w:sz w:val="24"/>
                <w:highlight w:val="none"/>
                <w:lang w:eastAsia="zh-CN"/>
              </w:rPr>
              <w:t>人</w:t>
            </w:r>
            <w:r>
              <w:rPr>
                <w:rFonts w:hint="eastAsia" w:ascii="宋体" w:hAnsi="宋体" w:cs="宋体"/>
                <w:color w:val="auto"/>
                <w:kern w:val="0"/>
                <w:sz w:val="24"/>
                <w:szCs w:val="24"/>
                <w:highlight w:val="none"/>
              </w:rPr>
              <w:t>递交履约保证金。履约保证金为该</w:t>
            </w:r>
            <w:r>
              <w:rPr>
                <w:rFonts w:hint="eastAsia" w:ascii="宋体" w:hAnsi="宋体" w:cs="宋体"/>
                <w:color w:val="auto"/>
                <w:sz w:val="24"/>
                <w:highlight w:val="none"/>
              </w:rPr>
              <w:t>中标</w:t>
            </w:r>
            <w:r>
              <w:rPr>
                <w:rFonts w:hint="eastAsia" w:ascii="宋体" w:hAnsi="宋体" w:cs="宋体"/>
                <w:color w:val="auto"/>
                <w:sz w:val="24"/>
                <w:highlight w:val="none"/>
                <w:lang w:eastAsia="zh-CN"/>
              </w:rPr>
              <w:t>人</w:t>
            </w:r>
            <w:r>
              <w:rPr>
                <w:rFonts w:hint="eastAsia" w:ascii="宋体" w:hAnsi="宋体" w:cs="宋体"/>
                <w:color w:val="auto"/>
                <w:kern w:val="0"/>
                <w:sz w:val="24"/>
                <w:szCs w:val="24"/>
                <w:highlight w:val="none"/>
              </w:rPr>
              <w:t>材料采购合同签订价的2%。履约保证金待合同履行完毕（整个工程竣工验收合格并获得房屋建筑工程竣工验收备案证明书）后</w:t>
            </w:r>
            <w:r>
              <w:rPr>
                <w:rFonts w:hint="eastAsia" w:ascii="宋体" w:hAnsi="宋体" w:eastAsia="宋体" w:cs="Times New Roman"/>
                <w:color w:val="auto"/>
                <w:sz w:val="24"/>
                <w:highlight w:val="none"/>
                <w:lang w:val="en-US" w:eastAsia="zh-CN"/>
              </w:rPr>
              <w:t>且无违约情况的</w:t>
            </w:r>
            <w:r>
              <w:rPr>
                <w:rFonts w:hint="eastAsia" w:ascii="宋体" w:hAnsi="宋体" w:cs="宋体"/>
                <w:color w:val="auto"/>
                <w:kern w:val="0"/>
                <w:sz w:val="24"/>
                <w:szCs w:val="24"/>
                <w:highlight w:val="none"/>
              </w:rPr>
              <w:t>5日内无息退还(提交方式为银行转账形式)。</w:t>
            </w:r>
          </w:p>
        </w:tc>
      </w:tr>
      <w:tr w14:paraId="05011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52032783">
            <w:pPr>
              <w:shd w:val="clea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76D96BEF">
            <w:pPr>
              <w:shd w:val="clea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采购资金来源：自筹</w:t>
            </w:r>
          </w:p>
        </w:tc>
      </w:tr>
      <w:tr w14:paraId="1AA45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255BC4CA">
            <w:pPr>
              <w:shd w:val="clea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15</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6C656CC9">
            <w:pPr>
              <w:shd w:val="clea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付款方式：中国建筑第四工程局有限公司自行支付</w:t>
            </w:r>
          </w:p>
        </w:tc>
      </w:tr>
      <w:tr w14:paraId="1492F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8"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033373F7">
            <w:pPr>
              <w:shd w:val="clea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16</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2DFA9171">
            <w:pPr>
              <w:pStyle w:val="6"/>
              <w:shd w:val="clear"/>
              <w:adjustRightInd w:val="0"/>
              <w:snapToGrid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投标文件递交要求：</w:t>
            </w:r>
          </w:p>
          <w:p w14:paraId="575EC6D9">
            <w:pPr>
              <w:pStyle w:val="6"/>
              <w:shd w:val="clear"/>
              <w:adjustRightInd w:val="0"/>
              <w:snapToGrid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1.投标人递交投标保证金：</w:t>
            </w:r>
            <w:r>
              <w:rPr>
                <w:rFonts w:hint="eastAsia" w:ascii="宋体" w:hAnsi="宋体"/>
                <w:color w:val="auto"/>
                <w:sz w:val="24"/>
                <w:szCs w:val="24"/>
                <w:highlight w:val="none"/>
                <w:lang w:val="en-US" w:eastAsia="zh-CN"/>
              </w:rPr>
              <w:t>未采用</w:t>
            </w:r>
            <w:r>
              <w:rPr>
                <w:rFonts w:hint="eastAsia" w:ascii="宋体" w:hAnsi="宋体"/>
                <w:b/>
                <w:bCs/>
                <w:color w:val="auto"/>
                <w:sz w:val="24"/>
                <w:szCs w:val="24"/>
                <w:highlight w:val="none"/>
              </w:rPr>
              <w:t>转账</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电汇</w:t>
            </w:r>
            <w:r>
              <w:rPr>
                <w:rFonts w:hint="eastAsia" w:ascii="宋体" w:hAnsi="宋体"/>
                <w:b/>
                <w:bCs/>
                <w:color w:val="auto"/>
                <w:sz w:val="24"/>
                <w:szCs w:val="24"/>
                <w:highlight w:val="none"/>
                <w:lang w:val="en-US" w:eastAsia="zh-CN"/>
              </w:rPr>
              <w:t>形式的投标人，须提交</w:t>
            </w:r>
            <w:r>
              <w:rPr>
                <w:rFonts w:hint="eastAsia" w:ascii="宋体" w:hAnsi="宋体"/>
                <w:b/>
                <w:bCs/>
                <w:color w:val="auto"/>
                <w:sz w:val="24"/>
                <w:szCs w:val="24"/>
                <w:highlight w:val="none"/>
              </w:rPr>
              <w:t>银行汇票、银行保函、保险机构保证保险保单、融资担保公司保函；</w:t>
            </w:r>
          </w:p>
          <w:p w14:paraId="1034E6A7">
            <w:pPr>
              <w:pStyle w:val="6"/>
              <w:shd w:val="clear"/>
              <w:adjustRightInd w:val="0"/>
              <w:snapToGrid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2.投标人下列人员经采购人（招标代理机构）确认身份后再签名报到，以证明其出席开标会议：投标人法定代表人或委托代理人（必须出具本项目授权委托书原件）应持本人有效身份证原件参加开标会议。</w:t>
            </w:r>
          </w:p>
        </w:tc>
      </w:tr>
      <w:tr w14:paraId="25D8B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3FC377C0">
            <w:pPr>
              <w:shd w:val="clea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083094B7">
            <w:pPr>
              <w:shd w:val="clea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投标文件有效期：90天</w:t>
            </w:r>
          </w:p>
        </w:tc>
      </w:tr>
      <w:tr w14:paraId="1383A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6E9BE479">
            <w:pPr>
              <w:shd w:val="clea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5671D902">
            <w:pPr>
              <w:shd w:val="clea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解释：本招标文件的解释权属于采购</w:t>
            </w:r>
            <w:r>
              <w:rPr>
                <w:rFonts w:hint="eastAsia" w:ascii="宋体" w:hAnsi="宋体"/>
                <w:color w:val="auto"/>
                <w:sz w:val="24"/>
                <w:highlight w:val="none"/>
                <w:lang w:val="en-US" w:eastAsia="zh-CN"/>
              </w:rPr>
              <w:t>人</w:t>
            </w:r>
            <w:r>
              <w:rPr>
                <w:rFonts w:hint="eastAsia" w:ascii="宋体" w:hAnsi="宋体"/>
                <w:color w:val="auto"/>
                <w:sz w:val="24"/>
                <w:highlight w:val="none"/>
              </w:rPr>
              <w:t>。</w:t>
            </w:r>
          </w:p>
        </w:tc>
      </w:tr>
      <w:tr w14:paraId="1028B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9"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22AA5B8A">
            <w:pPr>
              <w:shd w:val="clear"/>
              <w:snapToGri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8950" w:type="dxa"/>
            <w:tcBorders>
              <w:top w:val="single" w:color="auto" w:sz="4" w:space="0"/>
              <w:left w:val="single" w:color="auto" w:sz="4" w:space="0"/>
              <w:bottom w:val="single" w:color="auto" w:sz="4" w:space="0"/>
              <w:right w:val="single" w:color="auto" w:sz="4" w:space="0"/>
            </w:tcBorders>
            <w:noWrap w:val="0"/>
            <w:vAlign w:val="center"/>
          </w:tcPr>
          <w:p w14:paraId="06674F0B">
            <w:pPr>
              <w:shd w:val="clear"/>
              <w:snapToGrid w:val="0"/>
              <w:spacing w:line="400" w:lineRule="atLeast"/>
              <w:rPr>
                <w:rFonts w:hint="eastAsia" w:ascii="宋体" w:hAnsi="宋体"/>
                <w:color w:val="auto"/>
                <w:sz w:val="24"/>
                <w:highlight w:val="none"/>
              </w:rPr>
            </w:pPr>
            <w:r>
              <w:rPr>
                <w:rFonts w:hint="eastAsia" w:ascii="宋体" w:hAnsi="宋体"/>
                <w:color w:val="auto"/>
                <w:sz w:val="24"/>
                <w:highlight w:val="none"/>
              </w:rPr>
              <w:t>注：</w:t>
            </w:r>
          </w:p>
          <w:p w14:paraId="647834CD">
            <w:pPr>
              <w:shd w:val="clear"/>
              <w:snapToGrid w:val="0"/>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1.采购人（仅中国建筑第四工程局有限公司）与中标</w:t>
            </w:r>
            <w:r>
              <w:rPr>
                <w:rFonts w:hint="eastAsia" w:ascii="宋体" w:hAnsi="宋体" w:cs="Times New Roman"/>
                <w:color w:val="auto"/>
                <w:kern w:val="2"/>
                <w:sz w:val="24"/>
                <w:szCs w:val="24"/>
                <w:highlight w:val="none"/>
                <w:lang w:val="en-US" w:eastAsia="zh-CN" w:bidi="ar-SA"/>
              </w:rPr>
              <w:t>人</w:t>
            </w:r>
            <w:r>
              <w:rPr>
                <w:rFonts w:hint="eastAsia" w:ascii="宋体" w:hAnsi="宋体" w:eastAsia="宋体" w:cs="Times New Roman"/>
                <w:color w:val="auto"/>
                <w:kern w:val="2"/>
                <w:sz w:val="24"/>
                <w:szCs w:val="24"/>
                <w:highlight w:val="none"/>
                <w:lang w:val="en-US" w:eastAsia="zh-CN" w:bidi="ar-SA"/>
              </w:rPr>
              <w:t>应当在《中标通知书》发出之日起30日内签订采购合同。同时，采购代理机构对合同内容进行</w:t>
            </w:r>
            <w:r>
              <w:rPr>
                <w:rFonts w:hint="eastAsia" w:ascii="宋体" w:hAnsi="宋体" w:cs="Times New Roman"/>
                <w:color w:val="auto"/>
                <w:kern w:val="2"/>
                <w:sz w:val="24"/>
                <w:szCs w:val="24"/>
                <w:highlight w:val="none"/>
                <w:lang w:val="en-US" w:eastAsia="zh-CN" w:bidi="ar-SA"/>
              </w:rPr>
              <w:t>核对</w:t>
            </w:r>
            <w:r>
              <w:rPr>
                <w:rFonts w:hint="eastAsia" w:ascii="宋体" w:hAnsi="宋体" w:eastAsia="宋体" w:cs="Times New Roman"/>
                <w:color w:val="auto"/>
                <w:kern w:val="2"/>
                <w:sz w:val="24"/>
                <w:szCs w:val="24"/>
                <w:highlight w:val="none"/>
                <w:lang w:val="en-US" w:eastAsia="zh-CN" w:bidi="ar-SA"/>
              </w:rPr>
              <w:t>，如发现与采购结果和投标承诺内容不一致的，</w:t>
            </w:r>
            <w:r>
              <w:rPr>
                <w:rFonts w:hint="eastAsia" w:ascii="宋体" w:hAnsi="宋体" w:cs="Times New Roman"/>
                <w:color w:val="auto"/>
                <w:kern w:val="2"/>
                <w:sz w:val="24"/>
                <w:szCs w:val="24"/>
                <w:highlight w:val="none"/>
                <w:lang w:val="en-US" w:eastAsia="zh-CN" w:bidi="ar-SA"/>
              </w:rPr>
              <w:t>可</w:t>
            </w:r>
            <w:r>
              <w:rPr>
                <w:rFonts w:hint="eastAsia" w:ascii="宋体" w:hAnsi="宋体" w:eastAsia="宋体" w:cs="Times New Roman"/>
                <w:color w:val="auto"/>
                <w:kern w:val="2"/>
                <w:sz w:val="24"/>
                <w:szCs w:val="24"/>
                <w:highlight w:val="none"/>
                <w:lang w:val="en-US" w:eastAsia="zh-CN" w:bidi="ar-SA"/>
              </w:rPr>
              <w:t>予以纠正。</w:t>
            </w:r>
          </w:p>
          <w:p w14:paraId="4003C0A2">
            <w:pPr>
              <w:numPr>
                <w:ilvl w:val="0"/>
                <w:numId w:val="6"/>
              </w:numPr>
              <w:shd w:val="clear"/>
              <w:autoSpaceDE w:val="0"/>
              <w:autoSpaceDN w:val="0"/>
              <w:snapToGrid w:val="0"/>
              <w:spacing w:line="360" w:lineRule="auto"/>
              <w:textAlignment w:val="bottom"/>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中标人</w:t>
            </w:r>
            <w:r>
              <w:rPr>
                <w:rFonts w:hint="eastAsia" w:ascii="宋体" w:hAnsi="宋体" w:eastAsia="宋体" w:cs="Times New Roman"/>
                <w:color w:val="auto"/>
                <w:kern w:val="2"/>
                <w:sz w:val="24"/>
                <w:szCs w:val="24"/>
                <w:highlight w:val="none"/>
                <w:lang w:val="en-US" w:eastAsia="zh-CN" w:bidi="ar-SA"/>
              </w:rPr>
              <w:t>拖延、拒签合同的，将被扣罚投标保证金并取消中标资格。</w:t>
            </w:r>
          </w:p>
          <w:p w14:paraId="48D86E9D">
            <w:pPr>
              <w:numPr>
                <w:ilvl w:val="0"/>
                <w:numId w:val="6"/>
              </w:numPr>
              <w:shd w:val="clear"/>
              <w:autoSpaceDE w:val="0"/>
              <w:autoSpaceDN w:val="0"/>
              <w:snapToGrid w:val="0"/>
              <w:spacing w:line="360" w:lineRule="auto"/>
              <w:textAlignment w:val="bottom"/>
              <w:rPr>
                <w:rFonts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由中国建筑第四工程局有限公司独立负责完成与中标人签订合同并完成履约（包括各项合同权利、义务，款项支付、结算，合同纠纷处理等）事务。</w:t>
            </w:r>
          </w:p>
          <w:p w14:paraId="6D6B54DE">
            <w:pPr>
              <w:shd w:val="clear"/>
              <w:tabs>
                <w:tab w:val="left" w:pos="312"/>
              </w:tabs>
              <w:autoSpaceDE w:val="0"/>
              <w:autoSpaceDN w:val="0"/>
              <w:snapToGrid w:val="0"/>
              <w:spacing w:line="360" w:lineRule="auto"/>
              <w:textAlignment w:val="bottom"/>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 不再招标</w:t>
            </w:r>
          </w:p>
          <w:p w14:paraId="00E8B9F5">
            <w:pPr>
              <w:shd w:val="clear"/>
              <w:tabs>
                <w:tab w:val="left" w:pos="312"/>
              </w:tabs>
              <w:autoSpaceDE w:val="0"/>
              <w:autoSpaceDN w:val="0"/>
              <w:snapToGrid w:val="0"/>
              <w:spacing w:line="360" w:lineRule="auto"/>
              <w:textAlignment w:val="bottom"/>
              <w:rPr>
                <w:color w:val="auto"/>
                <w:highlight w:val="none"/>
              </w:rPr>
            </w:pPr>
            <w:r>
              <w:rPr>
                <w:rFonts w:hint="eastAsia" w:ascii="宋体" w:hAnsi="宋体"/>
                <w:color w:val="auto"/>
                <w:sz w:val="24"/>
                <w:highlight w:val="none"/>
                <w:lang w:val="en-US" w:eastAsia="zh-CN"/>
              </w:rPr>
              <w:t>重新招标后投标人仍少于3个的，报经有关行政监督部门（如有）批准后可以不再进行招标。如采购人决定不再进行招标，</w:t>
            </w:r>
            <w:r>
              <w:rPr>
                <w:rFonts w:hint="eastAsia" w:ascii="宋体" w:hAnsi="宋体"/>
                <w:color w:val="auto"/>
                <w:sz w:val="24"/>
                <w:highlight w:val="none"/>
              </w:rPr>
              <w:t>可采取竞争性谈判、询价比选</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直接委托</w:t>
            </w:r>
            <w:r>
              <w:rPr>
                <w:rFonts w:hint="eastAsia" w:ascii="宋体" w:hAnsi="宋体"/>
                <w:color w:val="auto"/>
                <w:sz w:val="24"/>
                <w:highlight w:val="none"/>
              </w:rPr>
              <w:t>等方式采购</w:t>
            </w:r>
            <w:r>
              <w:rPr>
                <w:rFonts w:hint="eastAsia" w:ascii="宋体" w:hAnsi="宋体"/>
                <w:color w:val="auto"/>
                <w:sz w:val="24"/>
                <w:highlight w:val="none"/>
                <w:lang w:eastAsia="zh-CN"/>
              </w:rPr>
              <w:t>，重新招标时投标人递交的投标</w:t>
            </w:r>
            <w:r>
              <w:rPr>
                <w:rFonts w:hint="eastAsia" w:ascii="宋体" w:hAnsi="宋体"/>
                <w:color w:val="auto"/>
                <w:sz w:val="24"/>
                <w:highlight w:val="none"/>
                <w:lang w:val="en-US" w:eastAsia="zh-CN"/>
              </w:rPr>
              <w:t>文件将被评标委员会作为以上采购</w:t>
            </w:r>
            <w:r>
              <w:rPr>
                <w:rFonts w:hint="eastAsia" w:ascii="宋体" w:hAnsi="宋体"/>
                <w:color w:val="auto"/>
                <w:sz w:val="24"/>
                <w:highlight w:val="none"/>
                <w:lang w:eastAsia="zh-CN"/>
              </w:rPr>
              <w:t>方式的评判依据</w:t>
            </w:r>
            <w:r>
              <w:rPr>
                <w:rFonts w:hint="eastAsia" w:ascii="宋体" w:hAnsi="宋体"/>
                <w:color w:val="auto"/>
                <w:sz w:val="24"/>
                <w:highlight w:val="none"/>
              </w:rPr>
              <w:t>。</w:t>
            </w:r>
          </w:p>
        </w:tc>
      </w:tr>
    </w:tbl>
    <w:p w14:paraId="0BA51990">
      <w:pPr>
        <w:pStyle w:val="11"/>
        <w:pageBreakBefore w:val="0"/>
        <w:widowControl w:val="0"/>
        <w:shd w:val="clear"/>
        <w:kinsoku/>
        <w:wordWrap/>
        <w:overflowPunct/>
        <w:topLinePunct w:val="0"/>
        <w:bidi w:val="0"/>
        <w:snapToGrid w:val="0"/>
        <w:spacing w:before="0" w:beforeLines="0" w:after="0" w:afterLines="0" w:line="360" w:lineRule="auto"/>
        <w:textAlignment w:val="auto"/>
        <w:rPr>
          <w:rFonts w:hAnsi="宋体"/>
          <w:b/>
          <w:color w:val="auto"/>
          <w:sz w:val="30"/>
          <w:szCs w:val="30"/>
          <w:highlight w:val="none"/>
        </w:rPr>
      </w:pPr>
      <w:r>
        <w:rPr>
          <w:color w:val="auto"/>
          <w:highlight w:val="none"/>
        </w:rPr>
        <w:br w:type="page"/>
      </w:r>
      <w:r>
        <w:rPr>
          <w:rFonts w:hAnsi="宋体"/>
          <w:b/>
          <w:color w:val="auto"/>
          <w:sz w:val="30"/>
          <w:szCs w:val="30"/>
          <w:highlight w:val="none"/>
        </w:rPr>
        <w:t>一   总  则</w:t>
      </w:r>
    </w:p>
    <w:p w14:paraId="68FD8AA1">
      <w:pPr>
        <w:pageBreakBefore w:val="0"/>
        <w:widowControl w:val="0"/>
        <w:shd w:val="clear"/>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39ADC21A">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本招标文件适用于本项目的招标、投标、评标、定标、验收、合同履约、付款等行为（法律、法规另有规定的，从其规定）。</w:t>
      </w:r>
    </w:p>
    <w:p w14:paraId="2D486C14">
      <w:pPr>
        <w:pageBreakBefore w:val="0"/>
        <w:widowControl w:val="0"/>
        <w:shd w:val="clear"/>
        <w:kinsoku/>
        <w:wordWrap/>
        <w:overflowPunct/>
        <w:topLinePunct w:val="0"/>
        <w:bidi w:val="0"/>
        <w:snapToGrid w:val="0"/>
        <w:spacing w:line="360" w:lineRule="auto"/>
        <w:ind w:firstLine="354" w:firstLineChars="147"/>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（二）定义</w:t>
      </w:r>
    </w:p>
    <w:p w14:paraId="661FD135">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招标采购单位系指组织本次招标的代理机构（“</w:t>
      </w:r>
      <w:r>
        <w:rPr>
          <w:rFonts w:hint="eastAsia" w:ascii="宋体" w:hAnsi="宋体"/>
          <w:color w:val="auto"/>
          <w:sz w:val="24"/>
          <w:highlight w:val="none"/>
        </w:rPr>
        <w:t>采购人</w:t>
      </w:r>
      <w:r>
        <w:rPr>
          <w:rFonts w:ascii="宋体" w:hAnsi="宋体"/>
          <w:color w:val="auto"/>
          <w:sz w:val="24"/>
          <w:highlight w:val="none"/>
        </w:rPr>
        <w:t>”）和采购单位。</w:t>
      </w:r>
    </w:p>
    <w:p w14:paraId="5FB92483">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w:t>
      </w:r>
      <w:r>
        <w:rPr>
          <w:rFonts w:hint="eastAsia" w:ascii="宋体" w:hAnsi="宋体"/>
          <w:color w:val="auto"/>
          <w:sz w:val="24"/>
          <w:highlight w:val="none"/>
        </w:rPr>
        <w:t>投标文件</w:t>
      </w:r>
      <w:r>
        <w:rPr>
          <w:rFonts w:ascii="宋体" w:hAnsi="宋体"/>
          <w:color w:val="auto"/>
          <w:sz w:val="24"/>
          <w:highlight w:val="none"/>
        </w:rPr>
        <w:t>的单位或个人。</w:t>
      </w:r>
    </w:p>
    <w:p w14:paraId="0570C1A7">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货物</w:t>
      </w:r>
      <w:r>
        <w:rPr>
          <w:rFonts w:ascii="宋体" w:hAnsi="宋体"/>
          <w:color w:val="auto"/>
          <w:sz w:val="24"/>
          <w:highlight w:val="none"/>
        </w:rPr>
        <w:t>”系指供方按</w:t>
      </w:r>
      <w:r>
        <w:rPr>
          <w:rFonts w:hint="eastAsia" w:ascii="宋体" w:hAnsi="宋体"/>
          <w:color w:val="auto"/>
          <w:sz w:val="24"/>
          <w:highlight w:val="none"/>
        </w:rPr>
        <w:t>招标文件</w:t>
      </w:r>
      <w:r>
        <w:rPr>
          <w:rFonts w:ascii="宋体" w:hAnsi="宋体"/>
          <w:color w:val="auto"/>
          <w:sz w:val="24"/>
          <w:highlight w:val="none"/>
        </w:rPr>
        <w:t>规定，须向</w:t>
      </w:r>
      <w:r>
        <w:rPr>
          <w:rFonts w:hint="eastAsia" w:ascii="宋体" w:hAnsi="宋体"/>
          <w:color w:val="auto"/>
          <w:sz w:val="24"/>
          <w:highlight w:val="none"/>
        </w:rPr>
        <w:t>采购人</w:t>
      </w:r>
      <w:r>
        <w:rPr>
          <w:rFonts w:ascii="宋体" w:hAnsi="宋体"/>
          <w:color w:val="auto"/>
          <w:sz w:val="24"/>
          <w:highlight w:val="none"/>
        </w:rPr>
        <w:t>提供的一切材料采购、保险、税金、备品备件、工具、手册及其他有关技术资料和材料。</w:t>
      </w:r>
    </w:p>
    <w:p w14:paraId="11D3D83B">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4.</w:t>
      </w:r>
      <w:r>
        <w:rPr>
          <w:rFonts w:ascii="宋体" w:hAnsi="宋体"/>
          <w:color w:val="auto"/>
          <w:sz w:val="24"/>
          <w:highlight w:val="none"/>
        </w:rPr>
        <w:t>“书面形式”包括信函、传真、电报等。</w:t>
      </w:r>
    </w:p>
    <w:p w14:paraId="793E8DB4">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5.</w:t>
      </w:r>
      <w:r>
        <w:rPr>
          <w:rFonts w:ascii="宋体" w:hAnsi="宋体"/>
          <w:color w:val="auto"/>
          <w:sz w:val="24"/>
          <w:highlight w:val="none"/>
        </w:rPr>
        <w:t>“▲”系指实质性要求条款。</w:t>
      </w:r>
    </w:p>
    <w:p w14:paraId="6ACE7ED1">
      <w:pPr>
        <w:pageBreakBefore w:val="0"/>
        <w:widowControl w:val="0"/>
        <w:shd w:val="clear"/>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（三）招标方式</w:t>
      </w:r>
    </w:p>
    <w:p w14:paraId="4B86A906">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本次招标采用</w:t>
      </w:r>
      <w:r>
        <w:rPr>
          <w:rFonts w:hint="eastAsia" w:ascii="宋体" w:hAnsi="宋体"/>
          <w:color w:val="auto"/>
          <w:sz w:val="24"/>
          <w:highlight w:val="none"/>
        </w:rPr>
        <w:t>公开招标的</w:t>
      </w:r>
      <w:r>
        <w:rPr>
          <w:rFonts w:ascii="宋体" w:hAnsi="宋体"/>
          <w:color w:val="auto"/>
          <w:sz w:val="24"/>
          <w:highlight w:val="none"/>
        </w:rPr>
        <w:t>方式进行。</w:t>
      </w:r>
    </w:p>
    <w:p w14:paraId="15A4DADF">
      <w:pPr>
        <w:pageBreakBefore w:val="0"/>
        <w:widowControl w:val="0"/>
        <w:shd w:val="clear"/>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（四）投标委托</w:t>
      </w:r>
    </w:p>
    <w:p w14:paraId="05CB6653">
      <w:pPr>
        <w:pageBreakBefore w:val="0"/>
        <w:widowControl w:val="0"/>
        <w:shd w:val="clear"/>
        <w:kinsoku/>
        <w:wordWrap/>
        <w:overflowPunct/>
        <w:topLinePunct w:val="0"/>
        <w:bidi w:val="0"/>
        <w:snapToGrid w:val="0"/>
        <w:spacing w:line="360" w:lineRule="auto"/>
        <w:ind w:firstLine="470" w:firstLineChars="196"/>
        <w:jc w:val="left"/>
        <w:textAlignment w:val="auto"/>
        <w:outlineLvl w:val="1"/>
        <w:rPr>
          <w:rFonts w:hAnsi="宋体"/>
          <w:color w:val="auto"/>
          <w:sz w:val="24"/>
          <w:highlight w:val="none"/>
        </w:rPr>
      </w:pPr>
      <w:r>
        <w:rPr>
          <w:rFonts w:hAnsi="宋体"/>
          <w:color w:val="auto"/>
          <w:sz w:val="24"/>
          <w:highlight w:val="none"/>
        </w:rPr>
        <w:t>投标人代表须携带有效身份证件。如投标人代表不是法定代表人，须有法定代表人出具的授权委托书（格式见第六章）。</w:t>
      </w:r>
    </w:p>
    <w:p w14:paraId="34CA31F6">
      <w:pPr>
        <w:pageBreakBefore w:val="0"/>
        <w:widowControl w:val="0"/>
        <w:shd w:val="clear"/>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szCs w:val="20"/>
          <w:highlight w:val="none"/>
        </w:rPr>
      </w:pPr>
      <w:r>
        <w:rPr>
          <w:rFonts w:hint="eastAsia" w:ascii="宋体" w:hAnsi="宋体"/>
          <w:b/>
          <w:color w:val="auto"/>
          <w:sz w:val="24"/>
          <w:highlight w:val="none"/>
        </w:rPr>
        <w:t>（五）投标费用</w:t>
      </w:r>
    </w:p>
    <w:p w14:paraId="28E67D01">
      <w:pPr>
        <w:pStyle w:val="3"/>
        <w:pageBreakBefore w:val="0"/>
        <w:widowControl w:val="0"/>
        <w:shd w:val="clear"/>
        <w:kinsoku/>
        <w:wordWrap/>
        <w:overflowPunct/>
        <w:topLinePunct w:val="0"/>
        <w:bidi w:val="0"/>
        <w:snapToGrid w:val="0"/>
        <w:spacing w:line="360" w:lineRule="auto"/>
        <w:ind w:firstLine="464" w:firstLineChars="200"/>
        <w:jc w:val="left"/>
        <w:textAlignment w:val="auto"/>
        <w:rPr>
          <w:color w:val="auto"/>
          <w:highlight w:val="none"/>
        </w:rPr>
      </w:pPr>
      <w:r>
        <w:rPr>
          <w:rFonts w:hint="eastAsia" w:hAnsi="宋体"/>
          <w:color w:val="auto"/>
          <w:sz w:val="24"/>
          <w:highlight w:val="none"/>
        </w:rPr>
        <w:t>不论投标结果如何，投标人均应自行承担所有与投标有关的全部费用（招标文件有相</w:t>
      </w:r>
      <w:r>
        <w:rPr>
          <w:rFonts w:hint="eastAsia" w:hAnsi="宋体"/>
          <w:color w:val="auto"/>
          <w:sz w:val="24"/>
          <w:highlight w:val="none"/>
          <w:lang w:val="en-US" w:eastAsia="zh-CN"/>
        </w:rPr>
        <w:t>关</w:t>
      </w:r>
      <w:r>
        <w:rPr>
          <w:rFonts w:hint="eastAsia" w:hAnsi="宋体"/>
          <w:color w:val="auto"/>
          <w:sz w:val="24"/>
          <w:highlight w:val="none"/>
        </w:rPr>
        <w:t>规定除外）</w:t>
      </w:r>
      <w:r>
        <w:rPr>
          <w:rFonts w:hint="eastAsia" w:hAnsi="宋体"/>
          <w:b/>
          <w:bCs/>
          <w:color w:val="auto"/>
          <w:sz w:val="24"/>
          <w:highlight w:val="none"/>
        </w:rPr>
        <w:t>。</w:t>
      </w:r>
    </w:p>
    <w:p w14:paraId="3E909DF8">
      <w:pPr>
        <w:pageBreakBefore w:val="0"/>
        <w:widowControl w:val="0"/>
        <w:shd w:val="clear"/>
        <w:kinsoku/>
        <w:wordWrap/>
        <w:overflowPunct/>
        <w:topLinePunct w:val="0"/>
        <w:bidi w:val="0"/>
        <w:snapToGrid w:val="0"/>
        <w:spacing w:line="360" w:lineRule="auto"/>
        <w:ind w:firstLine="472" w:firstLineChars="196"/>
        <w:jc w:val="left"/>
        <w:textAlignment w:val="auto"/>
        <w:rPr>
          <w:rFonts w:ascii="宋体" w:hAnsi="宋体"/>
          <w:b/>
          <w:color w:val="auto"/>
          <w:sz w:val="24"/>
          <w:szCs w:val="20"/>
          <w:highlight w:val="none"/>
        </w:rPr>
      </w:pPr>
      <w:r>
        <w:rPr>
          <w:rFonts w:hint="eastAsia" w:ascii="宋体" w:hAnsi="宋体"/>
          <w:b/>
          <w:color w:val="auto"/>
          <w:sz w:val="24"/>
          <w:highlight w:val="none"/>
        </w:rPr>
        <w:t>（六）联合体投标</w:t>
      </w:r>
    </w:p>
    <w:p w14:paraId="36AE5DBB">
      <w:pPr>
        <w:pageBreakBefore w:val="0"/>
        <w:widowControl w:val="0"/>
        <w:shd w:val="clear"/>
        <w:kinsoku/>
        <w:wordWrap/>
        <w:overflowPunct/>
        <w:topLinePunct w:val="0"/>
        <w:bidi w:val="0"/>
        <w:snapToGrid w:val="0"/>
        <w:spacing w:line="360" w:lineRule="auto"/>
        <w:ind w:firstLine="720" w:firstLineChars="300"/>
        <w:jc w:val="left"/>
        <w:textAlignment w:val="auto"/>
        <w:rPr>
          <w:rFonts w:ascii="宋体" w:hAnsi="宋体" w:cs="Arial"/>
          <w:color w:val="auto"/>
          <w:sz w:val="24"/>
          <w:highlight w:val="none"/>
        </w:rPr>
      </w:pPr>
      <w:r>
        <w:rPr>
          <w:rFonts w:hint="eastAsia" w:ascii="宋体" w:hAnsi="宋体" w:cs="Arial"/>
          <w:color w:val="auto"/>
          <w:sz w:val="24"/>
          <w:highlight w:val="none"/>
        </w:rPr>
        <w:t>本项目不接受联合体投标。</w:t>
      </w:r>
    </w:p>
    <w:p w14:paraId="1C651F2C">
      <w:pPr>
        <w:pageBreakBefore w:val="0"/>
        <w:widowControl w:val="0"/>
        <w:shd w:val="clear"/>
        <w:kinsoku/>
        <w:wordWrap/>
        <w:overflowPunct/>
        <w:topLinePunct w:val="0"/>
        <w:bidi w:val="0"/>
        <w:snapToGrid w:val="0"/>
        <w:spacing w:line="360" w:lineRule="auto"/>
        <w:ind w:firstLine="472" w:firstLineChars="196"/>
        <w:textAlignment w:val="auto"/>
        <w:rPr>
          <w:rFonts w:ascii="宋体" w:hAnsi="宋体" w:cs="宋体"/>
          <w:b/>
          <w:color w:val="auto"/>
          <w:kern w:val="0"/>
          <w:sz w:val="24"/>
          <w:szCs w:val="20"/>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14:paraId="681A422F">
      <w:pPr>
        <w:pageBreakBefore w:val="0"/>
        <w:widowControl w:val="0"/>
        <w:shd w:val="clear"/>
        <w:kinsoku/>
        <w:wordWrap/>
        <w:overflowPunct/>
        <w:topLinePunct w:val="0"/>
        <w:bidi w:val="0"/>
        <w:snapToGrid w:val="0"/>
        <w:spacing w:line="360" w:lineRule="auto"/>
        <w:ind w:firstLine="720" w:firstLineChars="300"/>
        <w:textAlignment w:val="auto"/>
        <w:rPr>
          <w:rFonts w:ascii="宋体" w:hAnsi="宋体" w:cs="宋体"/>
          <w:color w:val="auto"/>
          <w:kern w:val="0"/>
          <w:sz w:val="24"/>
          <w:szCs w:val="20"/>
          <w:highlight w:val="none"/>
        </w:rPr>
      </w:pPr>
      <w:r>
        <w:rPr>
          <w:rFonts w:ascii="宋体" w:hAnsi="宋体" w:cs="宋体"/>
          <w:color w:val="auto"/>
          <w:kern w:val="0"/>
          <w:sz w:val="24"/>
          <w:highlight w:val="none"/>
        </w:rPr>
        <w:t>本项目不允许转包。</w:t>
      </w:r>
    </w:p>
    <w:p w14:paraId="3B64B2FE">
      <w:pPr>
        <w:pageBreakBefore w:val="0"/>
        <w:widowControl w:val="0"/>
        <w:shd w:val="clear"/>
        <w:kinsoku/>
        <w:wordWrap/>
        <w:overflowPunct/>
        <w:topLinePunct w:val="0"/>
        <w:bidi w:val="0"/>
        <w:snapToGrid w:val="0"/>
        <w:spacing w:line="360" w:lineRule="auto"/>
        <w:ind w:firstLine="472" w:firstLineChars="196"/>
        <w:jc w:val="left"/>
        <w:textAlignment w:val="auto"/>
        <w:outlineLvl w:val="1"/>
        <w:rPr>
          <w:rFonts w:ascii="宋体" w:hAnsi="宋体"/>
          <w:b/>
          <w:color w:val="auto"/>
          <w:sz w:val="24"/>
          <w:highlight w:val="none"/>
        </w:rPr>
      </w:pPr>
      <w:r>
        <w:rPr>
          <w:rFonts w:hint="eastAsia" w:ascii="宋体" w:hAnsi="宋体"/>
          <w:b/>
          <w:color w:val="auto"/>
          <w:sz w:val="24"/>
          <w:highlight w:val="none"/>
        </w:rPr>
        <w:t>（八）特别说明：</w:t>
      </w:r>
    </w:p>
    <w:p w14:paraId="0FA00300">
      <w:pPr>
        <w:pStyle w:val="11"/>
        <w:pageBreakBefore w:val="0"/>
        <w:widowControl w:val="0"/>
        <w:shd w:val="clear"/>
        <w:kinsoku/>
        <w:wordWrap/>
        <w:overflowPunct/>
        <w:topLinePunct w:val="0"/>
        <w:bidi w:val="0"/>
        <w:snapToGrid w:val="0"/>
        <w:spacing w:before="0" w:beforeLines="0" w:after="0" w:afterLines="0" w:line="360" w:lineRule="auto"/>
        <w:ind w:left="3" w:leftChars="1" w:firstLine="480" w:firstLineChars="200"/>
        <w:textAlignment w:val="auto"/>
        <w:rPr>
          <w:rFonts w:hAnsi="宋体"/>
          <w:color w:val="auto"/>
          <w:highlight w:val="none"/>
        </w:rPr>
      </w:pPr>
      <w:r>
        <w:rPr>
          <w:rFonts w:hAnsi="宋体"/>
          <w:color w:val="auto"/>
          <w:highlight w:val="none"/>
        </w:rPr>
        <w:t>▲1、投标人投标所使用的资格、信誉、荣誉、业绩与企业认证必须为本法人所拥有</w:t>
      </w:r>
      <w:r>
        <w:rPr>
          <w:rFonts w:hint="eastAsia" w:hAnsi="宋体"/>
          <w:color w:val="auto"/>
          <w:highlight w:val="none"/>
        </w:rPr>
        <w:t>，</w:t>
      </w:r>
      <w:r>
        <w:rPr>
          <w:rFonts w:hAnsi="宋体"/>
          <w:color w:val="auto"/>
          <w:highlight w:val="none"/>
        </w:rPr>
        <w:t>投标人投标所使用的采购项目实施人员必须为本法人或控股公司正式员工</w:t>
      </w:r>
      <w:r>
        <w:rPr>
          <w:rFonts w:hint="eastAsia" w:hAnsi="宋体"/>
          <w:color w:val="auto"/>
          <w:highlight w:val="none"/>
        </w:rPr>
        <w:t>（如有特别说明的除外）</w:t>
      </w:r>
      <w:r>
        <w:rPr>
          <w:rFonts w:hAnsi="宋体"/>
          <w:color w:val="auto"/>
          <w:highlight w:val="none"/>
        </w:rPr>
        <w:t>。</w:t>
      </w:r>
    </w:p>
    <w:p w14:paraId="77F02178">
      <w:pPr>
        <w:pStyle w:val="11"/>
        <w:pageBreakBefore w:val="0"/>
        <w:widowControl w:val="0"/>
        <w:shd w:val="clear"/>
        <w:kinsoku/>
        <w:wordWrap/>
        <w:overflowPunct/>
        <w:topLinePunct w:val="0"/>
        <w:bidi w:val="0"/>
        <w:snapToGrid w:val="0"/>
        <w:spacing w:before="0" w:beforeLines="0" w:after="0" w:afterLines="0" w:line="360" w:lineRule="auto"/>
        <w:ind w:left="3" w:leftChars="1" w:firstLine="480" w:firstLineChars="200"/>
        <w:textAlignment w:val="auto"/>
        <w:rPr>
          <w:rFonts w:hAnsi="宋体"/>
          <w:color w:val="auto"/>
          <w:highlight w:val="none"/>
        </w:rPr>
      </w:pPr>
      <w:r>
        <w:rPr>
          <w:rFonts w:hAnsi="宋体"/>
          <w:color w:val="auto"/>
          <w:highlight w:val="none"/>
        </w:rPr>
        <w:t>▲2、投标人应仔细阅读招标文件的所有内容，按照招标文件的要求提交投标文件，并对所提供的全部资料的真实性承担法律责任。</w:t>
      </w:r>
    </w:p>
    <w:p w14:paraId="1BB74D0D">
      <w:pPr>
        <w:pStyle w:val="11"/>
        <w:pageBreakBefore w:val="0"/>
        <w:widowControl w:val="0"/>
        <w:shd w:val="clear"/>
        <w:kinsoku/>
        <w:wordWrap/>
        <w:overflowPunct/>
        <w:topLinePunct w:val="0"/>
        <w:bidi w:val="0"/>
        <w:snapToGrid w:val="0"/>
        <w:spacing w:before="0" w:beforeLines="0" w:after="0" w:afterLines="0" w:line="360" w:lineRule="auto"/>
        <w:ind w:firstLine="470" w:firstLineChars="196"/>
        <w:textAlignment w:val="auto"/>
        <w:outlineLvl w:val="1"/>
        <w:rPr>
          <w:rFonts w:hAnsi="宋体"/>
          <w:color w:val="auto"/>
          <w:highlight w:val="none"/>
        </w:rPr>
      </w:pPr>
      <w:r>
        <w:rPr>
          <w:rFonts w:hAnsi="宋体"/>
          <w:color w:val="auto"/>
          <w:highlight w:val="none"/>
        </w:rPr>
        <w:t>▲3、投标人在投标活动中提供任何虚假材料，其投标无效，并报监管部门查处；中标后发现的，</w:t>
      </w:r>
      <w:r>
        <w:rPr>
          <w:rFonts w:hint="eastAsia" w:hAnsi="宋体"/>
          <w:color w:val="auto"/>
          <w:highlight w:val="none"/>
        </w:rPr>
        <w:t>构成犯罪的，依法追究刑事责任；尚不构成犯罪的，依照《中华人民共和国招标投标法》第五十四条的规定处罚</w:t>
      </w:r>
      <w:r>
        <w:rPr>
          <w:rFonts w:hAnsi="宋体"/>
          <w:color w:val="auto"/>
          <w:highlight w:val="none"/>
        </w:rPr>
        <w:t>。</w:t>
      </w:r>
    </w:p>
    <w:p w14:paraId="71A3CED0">
      <w:pPr>
        <w:pStyle w:val="11"/>
        <w:pageBreakBefore w:val="0"/>
        <w:widowControl w:val="0"/>
        <w:shd w:val="clear"/>
        <w:kinsoku/>
        <w:wordWrap/>
        <w:overflowPunct/>
        <w:topLinePunct w:val="0"/>
        <w:bidi w:val="0"/>
        <w:snapToGrid w:val="0"/>
        <w:spacing w:before="0" w:beforeLines="0" w:after="0" w:afterLines="0" w:line="360" w:lineRule="auto"/>
        <w:ind w:firstLine="472" w:firstLineChars="196"/>
        <w:textAlignment w:val="auto"/>
        <w:outlineLvl w:val="1"/>
        <w:rPr>
          <w:rFonts w:hAnsi="宋体"/>
          <w:b/>
          <w:bCs/>
          <w:color w:val="auto"/>
          <w:highlight w:val="none"/>
        </w:rPr>
      </w:pPr>
      <w:r>
        <w:rPr>
          <w:rFonts w:hAnsi="宋体"/>
          <w:b/>
          <w:bCs/>
          <w:color w:val="auto"/>
          <w:highlight w:val="none"/>
        </w:rPr>
        <w:t>（</w:t>
      </w:r>
      <w:r>
        <w:rPr>
          <w:rFonts w:hint="eastAsia" w:hAnsi="宋体"/>
          <w:b/>
          <w:bCs/>
          <w:color w:val="auto"/>
          <w:highlight w:val="none"/>
        </w:rPr>
        <w:t>九</w:t>
      </w:r>
      <w:r>
        <w:rPr>
          <w:rFonts w:hAnsi="宋体"/>
          <w:b/>
          <w:bCs/>
          <w:color w:val="auto"/>
          <w:highlight w:val="none"/>
        </w:rPr>
        <w:t>）质疑和投诉</w:t>
      </w:r>
    </w:p>
    <w:p w14:paraId="0BABCA28">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rPr>
          <w:rFonts w:hAnsi="宋体"/>
          <w:bCs/>
          <w:color w:val="auto"/>
          <w:highlight w:val="none"/>
        </w:rPr>
      </w:pPr>
      <w:r>
        <w:rPr>
          <w:rFonts w:hAnsi="宋体"/>
          <w:bCs/>
          <w:color w:val="auto"/>
          <w:highlight w:val="none"/>
        </w:rPr>
        <w:t>1.</w:t>
      </w:r>
      <w:r>
        <w:rPr>
          <w:rFonts w:hint="eastAsia" w:hAnsi="宋体"/>
          <w:bCs/>
          <w:color w:val="auto"/>
          <w:highlight w:val="none"/>
        </w:rPr>
        <w:t>投标人如认为招标文件表述不清晰、存在歧视性、排他性或者其他违法内容的，应当于投标截止3个工作日前，以书面形式要求招标采购单位作出书面解释、澄清或者向招标采购单位提出书面质疑</w:t>
      </w:r>
      <w:r>
        <w:rPr>
          <w:rFonts w:hAnsi="宋体"/>
          <w:color w:val="auto"/>
          <w:highlight w:val="none"/>
        </w:rPr>
        <w:t>。</w:t>
      </w:r>
    </w:p>
    <w:p w14:paraId="7B1FFE76">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rPr>
          <w:rFonts w:hAnsi="宋体"/>
          <w:bCs/>
          <w:color w:val="auto"/>
          <w:highlight w:val="none"/>
        </w:rPr>
      </w:pPr>
      <w:r>
        <w:rPr>
          <w:rFonts w:hAnsi="宋体"/>
          <w:bCs/>
          <w:color w:val="auto"/>
          <w:highlight w:val="none"/>
        </w:rPr>
        <w:t>2.质疑、投诉应当采用书面形式，质疑书、投诉书均应明确阐述</w:t>
      </w:r>
      <w:r>
        <w:rPr>
          <w:rFonts w:hint="eastAsia" w:hAnsi="宋体"/>
          <w:bCs/>
          <w:color w:val="auto"/>
          <w:highlight w:val="none"/>
        </w:rPr>
        <w:t>招标文件</w:t>
      </w:r>
      <w:r>
        <w:rPr>
          <w:rFonts w:hAnsi="宋体"/>
          <w:bCs/>
          <w:color w:val="auto"/>
          <w:highlight w:val="none"/>
        </w:rPr>
        <w:t>、招标过程或中标结果中使自己合法权益受到损害的实质性内容，提供相关事实、依据和证据及其来源或线索，便于有关单位调查、答复和处理。</w:t>
      </w:r>
    </w:p>
    <w:p w14:paraId="3269D5D7">
      <w:pPr>
        <w:pStyle w:val="11"/>
        <w:pageBreakBefore w:val="0"/>
        <w:widowControl w:val="0"/>
        <w:shd w:val="clear"/>
        <w:kinsoku/>
        <w:wordWrap/>
        <w:overflowPunct/>
        <w:topLinePunct w:val="0"/>
        <w:bidi w:val="0"/>
        <w:snapToGrid w:val="0"/>
        <w:spacing w:before="0" w:beforeLines="0" w:after="0" w:afterLines="0" w:line="360" w:lineRule="auto"/>
        <w:ind w:firstLine="551" w:firstLineChars="196"/>
        <w:textAlignment w:val="auto"/>
        <w:outlineLvl w:val="0"/>
        <w:rPr>
          <w:rFonts w:hAnsi="宋体"/>
          <w:b/>
          <w:color w:val="auto"/>
          <w:sz w:val="28"/>
          <w:szCs w:val="28"/>
          <w:highlight w:val="none"/>
        </w:rPr>
      </w:pPr>
      <w:r>
        <w:rPr>
          <w:rFonts w:hAnsi="宋体"/>
          <w:b/>
          <w:color w:val="auto"/>
          <w:sz w:val="28"/>
          <w:szCs w:val="28"/>
          <w:highlight w:val="none"/>
        </w:rPr>
        <w:t xml:space="preserve">二  </w:t>
      </w:r>
      <w:r>
        <w:rPr>
          <w:rFonts w:hint="eastAsia" w:hAnsi="宋体"/>
          <w:b/>
          <w:color w:val="auto"/>
          <w:sz w:val="28"/>
          <w:szCs w:val="28"/>
          <w:highlight w:val="none"/>
        </w:rPr>
        <w:t>招标文件</w:t>
      </w:r>
    </w:p>
    <w:p w14:paraId="7E6C562A">
      <w:pPr>
        <w:pageBreakBefore w:val="0"/>
        <w:widowControl w:val="0"/>
        <w:shd w:val="clear"/>
        <w:kinsoku/>
        <w:wordWrap/>
        <w:overflowPunct/>
        <w:topLinePunct w:val="0"/>
        <w:bidi w:val="0"/>
        <w:snapToGrid w:val="0"/>
        <w:spacing w:line="360" w:lineRule="auto"/>
        <w:ind w:firstLine="472" w:firstLineChars="196"/>
        <w:jc w:val="left"/>
        <w:textAlignment w:val="auto"/>
        <w:rPr>
          <w:rFonts w:ascii="宋体" w:hAnsi="宋体"/>
          <w:b/>
          <w:color w:val="auto"/>
          <w:sz w:val="24"/>
          <w:szCs w:val="20"/>
          <w:highlight w:val="none"/>
        </w:rPr>
      </w:pPr>
      <w:r>
        <w:rPr>
          <w:rFonts w:hint="eastAsia" w:ascii="宋体" w:hAnsi="宋体"/>
          <w:b/>
          <w:color w:val="auto"/>
          <w:sz w:val="24"/>
          <w:highlight w:val="none"/>
        </w:rPr>
        <w:t>（一）招标文件的构成。本招标文件由以</w:t>
      </w:r>
      <w:r>
        <w:rPr>
          <w:rFonts w:ascii="宋体" w:hAnsi="宋体"/>
          <w:b/>
          <w:color w:val="auto"/>
          <w:sz w:val="24"/>
          <w:highlight w:val="none"/>
        </w:rPr>
        <w:t>下部分</w:t>
      </w:r>
      <w:r>
        <w:rPr>
          <w:rFonts w:hint="eastAsia" w:ascii="宋体" w:hAnsi="宋体"/>
          <w:b/>
          <w:color w:val="auto"/>
          <w:sz w:val="24"/>
          <w:highlight w:val="none"/>
        </w:rPr>
        <w:t>组成：</w:t>
      </w:r>
    </w:p>
    <w:p w14:paraId="71B84C9E">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公开</w:t>
      </w:r>
      <w:r>
        <w:rPr>
          <w:rFonts w:hint="eastAsia" w:ascii="宋体" w:hAnsi="宋体"/>
          <w:color w:val="auto"/>
          <w:sz w:val="24"/>
          <w:highlight w:val="none"/>
        </w:rPr>
        <w:t>招标公告</w:t>
      </w:r>
    </w:p>
    <w:p w14:paraId="5FA91488">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14:paraId="61834A3B">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14:paraId="20B8FC96">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14:paraId="26B1A687">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14:paraId="619C380E">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.投标文件</w:t>
      </w:r>
      <w:r>
        <w:rPr>
          <w:rFonts w:ascii="宋体" w:hAnsi="宋体"/>
          <w:color w:val="auto"/>
          <w:sz w:val="24"/>
          <w:highlight w:val="none"/>
        </w:rPr>
        <w:t>格式</w:t>
      </w:r>
    </w:p>
    <w:p w14:paraId="7B0E9411">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7.本项目招标文件的</w:t>
      </w:r>
      <w:r>
        <w:rPr>
          <w:rFonts w:ascii="宋体" w:hAnsi="宋体"/>
          <w:color w:val="auto"/>
          <w:sz w:val="24"/>
          <w:highlight w:val="none"/>
        </w:rPr>
        <w:t>澄清、答复、修改、补充的内容</w:t>
      </w:r>
    </w:p>
    <w:p w14:paraId="4F88F93A">
      <w:pPr>
        <w:pageBreakBefore w:val="0"/>
        <w:widowControl w:val="0"/>
        <w:shd w:val="clear"/>
        <w:kinsoku/>
        <w:wordWrap/>
        <w:overflowPunct/>
        <w:topLinePunct w:val="0"/>
        <w:bidi w:val="0"/>
        <w:snapToGrid w:val="0"/>
        <w:spacing w:line="360" w:lineRule="auto"/>
        <w:ind w:firstLine="472" w:firstLineChars="196"/>
        <w:jc w:val="left"/>
        <w:textAlignment w:val="auto"/>
        <w:rPr>
          <w:rFonts w:ascii="宋体" w:hAnsi="宋体"/>
          <w:b/>
          <w:color w:val="auto"/>
          <w:sz w:val="24"/>
          <w:szCs w:val="20"/>
          <w:highlight w:val="none"/>
        </w:rPr>
      </w:pPr>
      <w:r>
        <w:rPr>
          <w:rFonts w:hint="eastAsia" w:ascii="宋体" w:hAnsi="宋体"/>
          <w:b/>
          <w:color w:val="auto"/>
          <w:sz w:val="24"/>
          <w:highlight w:val="none"/>
        </w:rPr>
        <w:t>（二）投标人的风险</w:t>
      </w:r>
    </w:p>
    <w:p w14:paraId="406F0AEF">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color w:val="auto"/>
          <w:szCs w:val="20"/>
          <w:highlight w:val="none"/>
        </w:rPr>
      </w:pPr>
      <w:r>
        <w:rPr>
          <w:rFonts w:hint="eastAsia" w:ascii="宋体" w:hAnsi="宋体"/>
          <w:color w:val="auto"/>
          <w:sz w:val="24"/>
          <w:highlight w:val="none"/>
        </w:rPr>
        <w:t>投标人没有按照招标文件要求提供全部资料，或者投标人没有对招标文件在各方面作出实质性响应是投标人的风险，并可能导致其投标被拒绝。</w:t>
      </w:r>
    </w:p>
    <w:p w14:paraId="5E82FCD7">
      <w:pPr>
        <w:pageBreakBefore w:val="0"/>
        <w:widowControl w:val="0"/>
        <w:shd w:val="clear"/>
        <w:tabs>
          <w:tab w:val="left" w:pos="360"/>
          <w:tab w:val="left" w:pos="720"/>
        </w:tabs>
        <w:kinsoku/>
        <w:wordWrap/>
        <w:overflowPunct/>
        <w:topLinePunct w:val="0"/>
        <w:bidi w:val="0"/>
        <w:snapToGrid w:val="0"/>
        <w:spacing w:line="360" w:lineRule="auto"/>
        <w:ind w:firstLine="472" w:firstLineChars="196"/>
        <w:jc w:val="left"/>
        <w:textAlignment w:val="auto"/>
        <w:rPr>
          <w:rFonts w:ascii="宋体" w:hAnsi="宋体"/>
          <w:b/>
          <w:color w:val="auto"/>
          <w:sz w:val="24"/>
          <w:highlight w:val="none"/>
        </w:rPr>
      </w:pPr>
      <w:r>
        <w:rPr>
          <w:rFonts w:hint="eastAsia" w:ascii="宋体" w:hAnsi="宋体"/>
          <w:b/>
          <w:color w:val="auto"/>
          <w:sz w:val="24"/>
          <w:highlight w:val="none"/>
        </w:rPr>
        <w:t>（三）招标文件的澄清与修改</w:t>
      </w:r>
      <w:r>
        <w:rPr>
          <w:rFonts w:ascii="宋体" w:hAnsi="宋体"/>
          <w:b/>
          <w:color w:val="auto"/>
          <w:sz w:val="24"/>
          <w:highlight w:val="none"/>
        </w:rPr>
        <w:t xml:space="preserve"> </w:t>
      </w:r>
    </w:p>
    <w:p w14:paraId="3936061C">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1.</w:t>
      </w:r>
      <w:r>
        <w:rPr>
          <w:rFonts w:hAnsi="宋体"/>
          <w:bCs/>
          <w:color w:val="auto"/>
          <w:highlight w:val="none"/>
        </w:rPr>
        <w:t>投标人应认真阅读本</w:t>
      </w:r>
      <w:r>
        <w:rPr>
          <w:rFonts w:hint="eastAsia" w:hAnsi="宋体"/>
          <w:bCs/>
          <w:color w:val="auto"/>
          <w:highlight w:val="none"/>
        </w:rPr>
        <w:t>招标文件</w:t>
      </w:r>
      <w:r>
        <w:rPr>
          <w:rFonts w:hAnsi="宋体"/>
          <w:bCs/>
          <w:color w:val="auto"/>
          <w:highlight w:val="none"/>
        </w:rPr>
        <w:t>，发现其中有误或有不合理要求的，投标人必须在</w:t>
      </w:r>
      <w:r>
        <w:rPr>
          <w:rFonts w:hint="eastAsia" w:hAnsi="宋体"/>
          <w:bCs/>
          <w:color w:val="auto"/>
          <w:highlight w:val="none"/>
          <w:lang w:val="en-US" w:eastAsia="zh-CN"/>
        </w:rPr>
        <w:t>招标文件</w:t>
      </w:r>
      <w:r>
        <w:rPr>
          <w:rFonts w:hAnsi="宋体"/>
          <w:bCs/>
          <w:color w:val="auto"/>
          <w:highlight w:val="none"/>
        </w:rPr>
        <w:t>规定的时间内以书面形式要求招标采购单位澄清</w:t>
      </w:r>
      <w:r>
        <w:rPr>
          <w:rFonts w:hAnsi="宋体"/>
          <w:color w:val="auto"/>
          <w:highlight w:val="none"/>
        </w:rPr>
        <w:t>。采购代理机构对已发出的</w:t>
      </w:r>
      <w:r>
        <w:rPr>
          <w:rFonts w:hint="eastAsia" w:hAnsi="宋体"/>
          <w:color w:val="auto"/>
          <w:highlight w:val="none"/>
        </w:rPr>
        <w:t>招标文件</w:t>
      </w:r>
      <w:r>
        <w:rPr>
          <w:rFonts w:hAnsi="宋体"/>
          <w:color w:val="auto"/>
          <w:highlight w:val="none"/>
        </w:rPr>
        <w:t>进行必要澄清、答复、修改或补充的，应当在</w:t>
      </w:r>
      <w:r>
        <w:rPr>
          <w:rFonts w:hint="eastAsia" w:hAnsi="宋体"/>
          <w:color w:val="auto"/>
          <w:highlight w:val="none"/>
        </w:rPr>
        <w:t>招标文件</w:t>
      </w:r>
      <w:r>
        <w:rPr>
          <w:rFonts w:hAnsi="宋体"/>
          <w:color w:val="auto"/>
          <w:highlight w:val="none"/>
        </w:rPr>
        <w:t>要求提交</w:t>
      </w:r>
      <w:r>
        <w:rPr>
          <w:rFonts w:hint="eastAsia" w:hAnsi="宋体"/>
          <w:color w:val="auto"/>
          <w:highlight w:val="none"/>
        </w:rPr>
        <w:t>投标文件</w:t>
      </w:r>
      <w:r>
        <w:rPr>
          <w:rFonts w:hAnsi="宋体"/>
          <w:color w:val="auto"/>
          <w:highlight w:val="none"/>
        </w:rPr>
        <w:t>截止时间</w:t>
      </w:r>
      <w:r>
        <w:rPr>
          <w:rFonts w:hint="eastAsia" w:hAnsi="宋体"/>
          <w:color w:val="auto"/>
          <w:highlight w:val="none"/>
        </w:rPr>
        <w:t>三</w:t>
      </w:r>
      <w:r>
        <w:rPr>
          <w:rFonts w:hAnsi="宋体"/>
          <w:color w:val="auto"/>
          <w:highlight w:val="none"/>
        </w:rPr>
        <w:t>日前，以书面形式通知所有</w:t>
      </w:r>
      <w:r>
        <w:rPr>
          <w:rFonts w:hint="eastAsia" w:hAnsi="宋体"/>
          <w:color w:val="auto"/>
          <w:highlight w:val="none"/>
        </w:rPr>
        <w:t>招标文件</w:t>
      </w:r>
      <w:r>
        <w:rPr>
          <w:rFonts w:hAnsi="宋体"/>
          <w:color w:val="auto"/>
          <w:highlight w:val="none"/>
        </w:rPr>
        <w:t>收受人。</w:t>
      </w:r>
    </w:p>
    <w:p w14:paraId="493BA63D">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2.采购代理机构必须以书面形式答复投标人要求澄清的问题，并将不包含问题来源的答复书面通知所有</w:t>
      </w:r>
      <w:r>
        <w:rPr>
          <w:rFonts w:hint="eastAsia" w:hAnsi="宋体"/>
          <w:color w:val="auto"/>
          <w:highlight w:val="none"/>
        </w:rPr>
        <w:t>获取招标文件</w:t>
      </w:r>
      <w:r>
        <w:rPr>
          <w:rFonts w:hAnsi="宋体"/>
          <w:color w:val="auto"/>
          <w:highlight w:val="none"/>
        </w:rPr>
        <w:t>的投标人；除书面答复以外的其他澄清方式及澄清内容均无效。</w:t>
      </w:r>
    </w:p>
    <w:p w14:paraId="50271388">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3.</w:t>
      </w:r>
      <w:r>
        <w:rPr>
          <w:rFonts w:hint="eastAsia" w:hAnsi="宋体"/>
          <w:color w:val="auto"/>
          <w:highlight w:val="none"/>
        </w:rPr>
        <w:t>招标文件</w:t>
      </w:r>
      <w:r>
        <w:rPr>
          <w:rFonts w:hAnsi="宋体"/>
          <w:color w:val="auto"/>
          <w:highlight w:val="none"/>
        </w:rPr>
        <w:t>澄清、答复、修改、补充的内容为</w:t>
      </w:r>
      <w:r>
        <w:rPr>
          <w:rFonts w:hint="eastAsia" w:hAnsi="宋体"/>
          <w:color w:val="auto"/>
          <w:highlight w:val="none"/>
        </w:rPr>
        <w:t>招标文件</w:t>
      </w:r>
      <w:r>
        <w:rPr>
          <w:rFonts w:hAnsi="宋体"/>
          <w:color w:val="auto"/>
          <w:highlight w:val="none"/>
        </w:rPr>
        <w:t>的组成部分。当</w:t>
      </w:r>
      <w:r>
        <w:rPr>
          <w:rFonts w:hint="eastAsia" w:hAnsi="宋体"/>
          <w:color w:val="auto"/>
          <w:highlight w:val="none"/>
        </w:rPr>
        <w:t>招标文件</w:t>
      </w:r>
      <w:r>
        <w:rPr>
          <w:rFonts w:hAnsi="宋体"/>
          <w:color w:val="auto"/>
          <w:highlight w:val="none"/>
        </w:rPr>
        <w:t>与</w:t>
      </w:r>
      <w:r>
        <w:rPr>
          <w:rFonts w:hint="eastAsia" w:hAnsi="宋体"/>
          <w:color w:val="auto"/>
          <w:highlight w:val="none"/>
        </w:rPr>
        <w:t>招标文件</w:t>
      </w:r>
      <w:r>
        <w:rPr>
          <w:rFonts w:hAnsi="宋体"/>
          <w:color w:val="auto"/>
          <w:highlight w:val="none"/>
        </w:rPr>
        <w:t>的答复、澄清、修改、补充通知就同一内容的表述不一致时，以最后发出的书面文件为准。</w:t>
      </w:r>
    </w:p>
    <w:p w14:paraId="46692578">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4.</w:t>
      </w:r>
      <w:r>
        <w:rPr>
          <w:rFonts w:hint="eastAsia" w:hAnsi="宋体"/>
          <w:color w:val="auto"/>
          <w:highlight w:val="none"/>
        </w:rPr>
        <w:t>招标文件</w:t>
      </w:r>
      <w:r>
        <w:rPr>
          <w:rFonts w:hAnsi="宋体"/>
          <w:color w:val="auto"/>
          <w:highlight w:val="none"/>
        </w:rPr>
        <w:t>的澄清、答复、修改或补充都应该通过本代理机构以法定形式发布，</w:t>
      </w:r>
      <w:r>
        <w:rPr>
          <w:rFonts w:hint="eastAsia" w:hAnsi="宋体"/>
          <w:color w:val="auto"/>
          <w:highlight w:val="none"/>
        </w:rPr>
        <w:t>采购人</w:t>
      </w:r>
      <w:r>
        <w:rPr>
          <w:rFonts w:hAnsi="宋体"/>
          <w:color w:val="auto"/>
          <w:highlight w:val="none"/>
        </w:rPr>
        <w:t>非通过本机构，不得擅自澄清、答复、修改或补充</w:t>
      </w:r>
      <w:r>
        <w:rPr>
          <w:rFonts w:hint="eastAsia" w:hAnsi="宋体"/>
          <w:color w:val="auto"/>
          <w:highlight w:val="none"/>
        </w:rPr>
        <w:t>招标文件</w:t>
      </w:r>
      <w:r>
        <w:rPr>
          <w:rFonts w:hAnsi="宋体"/>
          <w:color w:val="auto"/>
          <w:highlight w:val="none"/>
        </w:rPr>
        <w:t>。</w:t>
      </w:r>
    </w:p>
    <w:p w14:paraId="72D7254B">
      <w:pPr>
        <w:pStyle w:val="11"/>
        <w:pageBreakBefore w:val="0"/>
        <w:widowControl w:val="0"/>
        <w:shd w:val="clear"/>
        <w:kinsoku/>
        <w:wordWrap/>
        <w:overflowPunct/>
        <w:topLinePunct w:val="0"/>
        <w:bidi w:val="0"/>
        <w:snapToGrid w:val="0"/>
        <w:spacing w:before="0" w:beforeLines="0" w:after="0" w:afterLines="0" w:line="360" w:lineRule="auto"/>
        <w:ind w:firstLine="551" w:firstLineChars="196"/>
        <w:textAlignment w:val="auto"/>
        <w:outlineLvl w:val="1"/>
        <w:rPr>
          <w:rFonts w:hAnsi="宋体"/>
          <w:b/>
          <w:color w:val="auto"/>
          <w:sz w:val="28"/>
          <w:szCs w:val="28"/>
          <w:highlight w:val="none"/>
        </w:rPr>
      </w:pPr>
      <w:r>
        <w:rPr>
          <w:rFonts w:hAnsi="宋体"/>
          <w:b/>
          <w:color w:val="auto"/>
          <w:sz w:val="28"/>
          <w:szCs w:val="28"/>
          <w:highlight w:val="none"/>
        </w:rPr>
        <w:t>三、</w:t>
      </w:r>
      <w:r>
        <w:rPr>
          <w:rFonts w:hint="eastAsia" w:hAnsi="宋体"/>
          <w:b/>
          <w:color w:val="auto"/>
          <w:sz w:val="28"/>
          <w:szCs w:val="28"/>
          <w:highlight w:val="none"/>
        </w:rPr>
        <w:t>投标文件</w:t>
      </w:r>
      <w:r>
        <w:rPr>
          <w:rFonts w:hAnsi="宋体"/>
          <w:b/>
          <w:color w:val="auto"/>
          <w:sz w:val="28"/>
          <w:szCs w:val="28"/>
          <w:highlight w:val="none"/>
        </w:rPr>
        <w:t>的编制</w:t>
      </w:r>
    </w:p>
    <w:p w14:paraId="4C4AD54C">
      <w:pPr>
        <w:pageBreakBefore w:val="0"/>
        <w:widowControl w:val="0"/>
        <w:shd w:val="clear"/>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（一）投标文件的组成</w:t>
      </w:r>
    </w:p>
    <w:p w14:paraId="176BDEB9">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投标文件由</w:t>
      </w:r>
      <w:r>
        <w:rPr>
          <w:rFonts w:hint="eastAsia" w:ascii="宋体" w:hAnsi="宋体"/>
          <w:color w:val="auto"/>
          <w:sz w:val="24"/>
          <w:highlight w:val="none"/>
          <w:lang w:val="en-US" w:eastAsia="zh-CN"/>
        </w:rPr>
        <w:t>资格标、</w:t>
      </w:r>
      <w:r>
        <w:rPr>
          <w:rFonts w:hint="eastAsia" w:ascii="宋体" w:hAnsi="宋体"/>
          <w:color w:val="auto"/>
          <w:sz w:val="24"/>
          <w:highlight w:val="none"/>
        </w:rPr>
        <w:t>技术资信标</w:t>
      </w:r>
      <w:r>
        <w:rPr>
          <w:rFonts w:hint="eastAsia" w:ascii="宋体" w:hAnsi="宋体"/>
          <w:color w:val="auto"/>
          <w:sz w:val="24"/>
          <w:highlight w:val="none"/>
          <w:lang w:val="en-US" w:eastAsia="zh-CN"/>
        </w:rPr>
        <w:t>和</w:t>
      </w:r>
      <w:r>
        <w:rPr>
          <w:rFonts w:hint="eastAsia" w:ascii="宋体" w:hAnsi="宋体"/>
          <w:color w:val="auto"/>
          <w:sz w:val="24"/>
          <w:highlight w:val="none"/>
        </w:rPr>
        <w:t>商务标组成。</w:t>
      </w:r>
    </w:p>
    <w:p w14:paraId="4B0DAE4F">
      <w:pPr>
        <w:pageBreakBefore w:val="0"/>
        <w:widowControl w:val="0"/>
        <w:numPr>
          <w:ilvl w:val="0"/>
          <w:numId w:val="7"/>
        </w:numPr>
        <w:shd w:val="clear"/>
        <w:kinsoku/>
        <w:wordWrap/>
        <w:overflowPunct/>
        <w:topLinePunct w:val="0"/>
        <w:bidi w:val="0"/>
        <w:snapToGrid w:val="0"/>
        <w:spacing w:line="360" w:lineRule="auto"/>
        <w:ind w:firstLine="482" w:firstLineChars="200"/>
        <w:jc w:val="left"/>
        <w:textAlignment w:val="auto"/>
        <w:rPr>
          <w:rFonts w:hint="default"/>
          <w:color w:val="auto"/>
          <w:highlight w:val="none"/>
          <w:lang w:val="en-US" w:eastAsia="zh-CN"/>
        </w:rPr>
      </w:pPr>
      <w:r>
        <w:rPr>
          <w:rFonts w:hint="eastAsia" w:ascii="宋体" w:hAnsi="宋体"/>
          <w:b/>
          <w:color w:val="auto"/>
          <w:sz w:val="24"/>
          <w:highlight w:val="none"/>
          <w:lang w:val="en-US" w:eastAsia="zh-CN"/>
        </w:rPr>
        <w:t>资格标：</w:t>
      </w:r>
    </w:p>
    <w:p w14:paraId="02FEF5B9">
      <w:pPr>
        <w:pageBreakBefore w:val="0"/>
        <w:widowControl w:val="0"/>
        <w:numPr>
          <w:ilvl w:val="0"/>
          <w:numId w:val="8"/>
        </w:numPr>
        <w:shd w:val="clear"/>
        <w:kinsoku/>
        <w:wordWrap/>
        <w:overflowPunct/>
        <w:topLinePunct w:val="0"/>
        <w:bidi w:val="0"/>
        <w:snapToGrid w:val="0"/>
        <w:spacing w:line="360" w:lineRule="auto"/>
        <w:ind w:firstLine="482" w:firstLineChars="200"/>
        <w:jc w:val="left"/>
        <w:textAlignment w:val="auto"/>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rPr>
        <w:t>投标人营业执照</w:t>
      </w:r>
      <w:r>
        <w:rPr>
          <w:rFonts w:hint="eastAsia" w:ascii="宋体" w:hAnsi="宋体" w:eastAsia="宋体"/>
          <w:b/>
          <w:color w:val="auto"/>
          <w:sz w:val="24"/>
          <w:highlight w:val="none"/>
          <w:lang w:val="en-US" w:eastAsia="zh-CN"/>
        </w:rPr>
        <w:t>复印件；</w:t>
      </w:r>
    </w:p>
    <w:p w14:paraId="7D6AA575">
      <w:pPr>
        <w:pageBreakBefore w:val="0"/>
        <w:widowControl w:val="0"/>
        <w:shd w:val="clear"/>
        <w:kinsoku/>
        <w:wordWrap/>
        <w:overflowPunct/>
        <w:topLinePunct w:val="0"/>
        <w:bidi w:val="0"/>
        <w:snapToGrid w:val="0"/>
        <w:spacing w:line="360" w:lineRule="auto"/>
        <w:ind w:firstLine="482" w:firstLineChars="200"/>
        <w:jc w:val="left"/>
        <w:textAlignment w:val="auto"/>
        <w:rPr>
          <w:rFonts w:hint="default"/>
          <w:color w:val="auto"/>
          <w:highlight w:val="none"/>
          <w:lang w:val="en-US" w:eastAsia="zh-CN"/>
        </w:rPr>
      </w:pPr>
      <w:r>
        <w:rPr>
          <w:rFonts w:hint="eastAsia" w:ascii="宋体" w:hAnsi="宋体" w:eastAsia="宋体" w:cs="Times New Roman"/>
          <w:b/>
          <w:color w:val="auto"/>
          <w:sz w:val="24"/>
          <w:highlight w:val="none"/>
          <w:lang w:val="en-US" w:eastAsia="zh-CN"/>
        </w:rPr>
        <w:t>（</w:t>
      </w:r>
      <w:r>
        <w:rPr>
          <w:rFonts w:hint="default" w:ascii="宋体" w:hAnsi="宋体" w:cs="Times New Roman"/>
          <w:b/>
          <w:color w:val="auto"/>
          <w:sz w:val="24"/>
          <w:highlight w:val="none"/>
          <w:lang w:eastAsia="zh-CN"/>
        </w:rPr>
        <w:t>2</w:t>
      </w:r>
      <w:r>
        <w:rPr>
          <w:rFonts w:hint="eastAsia" w:ascii="宋体" w:hAnsi="宋体" w:eastAsia="宋体" w:cs="Times New Roman"/>
          <w:b/>
          <w:color w:val="auto"/>
          <w:sz w:val="24"/>
          <w:highlight w:val="none"/>
          <w:lang w:val="en-US" w:eastAsia="zh-CN"/>
        </w:rPr>
        <w:t>）投标人类似业绩证明材料：须提供该项目合同及相关发票复印件（发票累积金额须达到类似业绩合同金额的50%及以上）</w:t>
      </w:r>
      <w:r>
        <w:rPr>
          <w:rFonts w:hint="eastAsia" w:ascii="宋体" w:hAnsi="宋体" w:cs="Times New Roman"/>
          <w:b/>
          <w:color w:val="auto"/>
          <w:sz w:val="24"/>
          <w:highlight w:val="none"/>
          <w:lang w:val="en-US" w:eastAsia="zh-CN"/>
        </w:rPr>
        <w:t>，</w:t>
      </w:r>
      <w:r>
        <w:rPr>
          <w:rFonts w:hint="eastAsia" w:ascii="宋体" w:hAnsi="宋体" w:eastAsia="宋体" w:cs="Times New Roman"/>
          <w:b/>
          <w:color w:val="auto"/>
          <w:sz w:val="24"/>
          <w:highlight w:val="none"/>
          <w:lang w:val="en-US" w:eastAsia="zh-CN"/>
        </w:rPr>
        <w:t>如合同中无法体现项目规模、内容和签订时间的，则还须提供原合同采购单位盖章的业绩证明材料(格式自拟，证明材料须补充相关信息</w:t>
      </w:r>
      <w:r>
        <w:rPr>
          <w:rFonts w:hint="eastAsia" w:ascii="宋体" w:hAnsi="宋体" w:cs="Times New Roman"/>
          <w:b/>
          <w:color w:val="auto"/>
          <w:sz w:val="24"/>
          <w:highlight w:val="none"/>
          <w:lang w:val="en-US" w:eastAsia="zh-CN"/>
        </w:rPr>
        <w:t>）</w:t>
      </w:r>
      <w:r>
        <w:rPr>
          <w:rFonts w:hint="eastAsia" w:ascii="宋体" w:hAnsi="宋体" w:eastAsia="宋体" w:cs="Times New Roman"/>
          <w:b/>
          <w:color w:val="auto"/>
          <w:sz w:val="24"/>
          <w:highlight w:val="none"/>
          <w:lang w:val="en-US" w:eastAsia="zh-CN"/>
        </w:rPr>
        <w:t>。</w:t>
      </w:r>
    </w:p>
    <w:p w14:paraId="59E4F571">
      <w:pPr>
        <w:pageBreakBefore w:val="0"/>
        <w:widowControl w:val="0"/>
        <w:numPr>
          <w:ilvl w:val="0"/>
          <w:numId w:val="0"/>
        </w:numPr>
        <w:shd w:val="clear"/>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技术资信标：</w:t>
      </w:r>
    </w:p>
    <w:p w14:paraId="24901845">
      <w:pPr>
        <w:pageBreakBefore w:val="0"/>
        <w:widowControl w:val="0"/>
        <w:shd w:val="clear"/>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（1）投标人根据第四章评标办法及评分标准自行编制；</w:t>
      </w:r>
    </w:p>
    <w:p w14:paraId="0A2008CE">
      <w:pPr>
        <w:pageBreakBefore w:val="0"/>
        <w:widowControl w:val="0"/>
        <w:shd w:val="clear"/>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（2）类似项目业绩一览表（格式见附件）（如有）；</w:t>
      </w:r>
    </w:p>
    <w:p w14:paraId="41143F64">
      <w:pPr>
        <w:pageBreakBefore w:val="0"/>
        <w:widowControl w:val="0"/>
        <w:shd w:val="clear"/>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（3）</w:t>
      </w:r>
      <w:r>
        <w:rPr>
          <w:rFonts w:hint="eastAsia" w:ascii="宋体" w:hAnsi="宋体"/>
          <w:b/>
          <w:color w:val="auto"/>
          <w:sz w:val="24"/>
          <w:highlight w:val="none"/>
          <w:lang w:val="en-US" w:eastAsia="zh-CN"/>
        </w:rPr>
        <w:t>供货</w:t>
      </w:r>
      <w:r>
        <w:rPr>
          <w:rFonts w:hint="eastAsia" w:ascii="宋体" w:hAnsi="宋体"/>
          <w:b/>
          <w:color w:val="auto"/>
          <w:sz w:val="24"/>
          <w:highlight w:val="none"/>
        </w:rPr>
        <w:t>方案（格式见附件）；</w:t>
      </w:r>
    </w:p>
    <w:p w14:paraId="2AFF89BC">
      <w:pPr>
        <w:pageBreakBefore w:val="0"/>
        <w:widowControl w:val="0"/>
        <w:shd w:val="clear"/>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（4）技术需求响应表（格式见附件）；</w:t>
      </w:r>
    </w:p>
    <w:p w14:paraId="2A596A1D">
      <w:pPr>
        <w:pageBreakBefore w:val="0"/>
        <w:widowControl w:val="0"/>
        <w:shd w:val="clear"/>
        <w:kinsoku/>
        <w:wordWrap/>
        <w:overflowPunct/>
        <w:topLinePunct w:val="0"/>
        <w:bidi w:val="0"/>
        <w:snapToGrid w:val="0"/>
        <w:spacing w:line="360" w:lineRule="auto"/>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（5）商务需求响应表（格式见附件）；</w:t>
      </w:r>
    </w:p>
    <w:p w14:paraId="002F0E6C">
      <w:pPr>
        <w:pageBreakBefore w:val="0"/>
        <w:widowControl w:val="0"/>
        <w:shd w:val="clear"/>
        <w:kinsoku/>
        <w:wordWrap/>
        <w:overflowPunct/>
        <w:topLinePunct w:val="0"/>
        <w:bidi w:val="0"/>
        <w:snapToGrid w:val="0"/>
        <w:spacing w:line="360" w:lineRule="auto"/>
        <w:ind w:firstLine="472" w:firstLineChars="196"/>
        <w:jc w:val="left"/>
        <w:textAlignment w:val="auto"/>
        <w:rPr>
          <w:rFonts w:hint="eastAsia" w:ascii="宋体" w:hAnsi="宋体"/>
          <w:b/>
          <w:color w:val="auto"/>
          <w:sz w:val="24"/>
          <w:highlight w:val="none"/>
        </w:rPr>
      </w:pPr>
      <w:r>
        <w:rPr>
          <w:rFonts w:hint="eastAsia" w:ascii="宋体" w:hAnsi="宋体"/>
          <w:b/>
          <w:color w:val="auto"/>
          <w:sz w:val="24"/>
          <w:highlight w:val="none"/>
        </w:rPr>
        <w:t>（6）投标人诚信投标承诺书（格式见附件）；</w:t>
      </w:r>
    </w:p>
    <w:p w14:paraId="086C4C5B">
      <w:pPr>
        <w:pageBreakBefore w:val="0"/>
        <w:widowControl w:val="0"/>
        <w:shd w:val="clear"/>
        <w:kinsoku/>
        <w:wordWrap/>
        <w:overflowPunct/>
        <w:topLinePunct w:val="0"/>
        <w:bidi w:val="0"/>
        <w:snapToGrid w:val="0"/>
        <w:spacing w:line="360" w:lineRule="auto"/>
        <w:ind w:firstLine="472" w:firstLineChars="196"/>
        <w:jc w:val="left"/>
        <w:textAlignment w:val="auto"/>
        <w:rPr>
          <w:rFonts w:hint="eastAsia" w:ascii="宋体" w:hAnsi="宋体"/>
          <w:b/>
          <w:color w:val="auto"/>
          <w:sz w:val="24"/>
          <w:highlight w:val="none"/>
          <w:lang w:val="en-US" w:eastAsia="zh-CN"/>
        </w:rPr>
      </w:pPr>
      <w:r>
        <w:rPr>
          <w:rFonts w:hint="eastAsia" w:ascii="宋体" w:hAnsi="宋体"/>
          <w:b/>
          <w:color w:val="auto"/>
          <w:sz w:val="24"/>
          <w:highlight w:val="none"/>
        </w:rPr>
        <w:t>（</w:t>
      </w:r>
      <w:r>
        <w:rPr>
          <w:rFonts w:hint="eastAsia" w:ascii="宋体" w:hAnsi="宋体"/>
          <w:b/>
          <w:color w:val="auto"/>
          <w:sz w:val="24"/>
          <w:highlight w:val="none"/>
          <w:lang w:val="en-US" w:eastAsia="zh-CN"/>
        </w:rPr>
        <w:t>7</w:t>
      </w:r>
      <w:r>
        <w:rPr>
          <w:rFonts w:hint="eastAsia" w:ascii="宋体" w:hAnsi="宋体"/>
          <w:b/>
          <w:color w:val="auto"/>
          <w:sz w:val="24"/>
          <w:highlight w:val="none"/>
        </w:rPr>
        <w:t>）</w:t>
      </w:r>
      <w:r>
        <w:rPr>
          <w:rFonts w:hint="eastAsia" w:ascii="宋体" w:hAnsi="宋体"/>
          <w:b/>
          <w:color w:val="auto"/>
          <w:sz w:val="24"/>
          <w:highlight w:val="none"/>
          <w:lang w:val="en-US" w:eastAsia="zh-CN"/>
        </w:rPr>
        <w:t>样品（如有）（单独提供，无需密封，样品上需标注投标单位名称）。</w:t>
      </w:r>
    </w:p>
    <w:p w14:paraId="58438978">
      <w:pPr>
        <w:pStyle w:val="2"/>
        <w:shd w:val="clear"/>
        <w:spacing w:line="360" w:lineRule="auto"/>
        <w:rPr>
          <w:rFonts w:hint="eastAsia" w:ascii="宋体" w:hAnsi="宋体"/>
          <w:b/>
          <w:color w:val="auto"/>
          <w:sz w:val="24"/>
          <w:highlight w:val="none"/>
          <w:lang w:val="en-US" w:eastAsia="zh-CN"/>
        </w:rPr>
      </w:pPr>
      <w:r>
        <w:rPr>
          <w:rFonts w:hint="default" w:ascii="宋体" w:hAnsi="宋体"/>
          <w:b/>
          <w:color w:val="auto"/>
          <w:sz w:val="24"/>
          <w:highlight w:val="none"/>
          <w:lang w:val="en-US" w:eastAsia="zh-CN"/>
        </w:rPr>
        <w:t>注：中标单位样品由采购人封存，供验收参考。未中标的样品由投标人在评标结束当天取回。送样品一切费用，由投标方自行承担。</w:t>
      </w:r>
    </w:p>
    <w:p w14:paraId="152A3E6E">
      <w:pPr>
        <w:pageBreakBefore w:val="0"/>
        <w:widowControl w:val="0"/>
        <w:shd w:val="clear"/>
        <w:kinsoku/>
        <w:wordWrap/>
        <w:overflowPunct/>
        <w:topLinePunct w:val="0"/>
        <w:bidi w:val="0"/>
        <w:snapToGrid w:val="0"/>
        <w:spacing w:line="360" w:lineRule="auto"/>
        <w:ind w:firstLine="472" w:firstLineChars="196"/>
        <w:jc w:val="left"/>
        <w:textAlignment w:val="auto"/>
        <w:rPr>
          <w:rFonts w:ascii="宋体" w:hAnsi="宋体"/>
          <w:b/>
          <w:color w:val="auto"/>
          <w:sz w:val="24"/>
          <w:szCs w:val="20"/>
          <w:highlight w:val="none"/>
        </w:rPr>
      </w:pPr>
      <w:r>
        <w:rPr>
          <w:rFonts w:hint="eastAsia" w:ascii="宋体" w:hAnsi="宋体"/>
          <w:b/>
          <w:color w:val="auto"/>
          <w:sz w:val="24"/>
          <w:highlight w:val="none"/>
          <w:lang w:val="en-US" w:eastAsia="zh-CN"/>
        </w:rPr>
        <w:t>3、</w:t>
      </w:r>
      <w:r>
        <w:rPr>
          <w:rFonts w:ascii="宋体" w:hAnsi="宋体"/>
          <w:b/>
          <w:color w:val="auto"/>
          <w:sz w:val="24"/>
          <w:highlight w:val="none"/>
        </w:rPr>
        <w:t>商务</w:t>
      </w:r>
      <w:r>
        <w:rPr>
          <w:rFonts w:hint="eastAsia" w:ascii="宋体" w:hAnsi="宋体"/>
          <w:b/>
          <w:color w:val="auto"/>
          <w:sz w:val="24"/>
          <w:highlight w:val="none"/>
        </w:rPr>
        <w:t>标</w:t>
      </w:r>
      <w:r>
        <w:rPr>
          <w:rFonts w:ascii="宋体" w:hAnsi="宋体"/>
          <w:b/>
          <w:color w:val="auto"/>
          <w:sz w:val="24"/>
          <w:highlight w:val="none"/>
        </w:rPr>
        <w:t>：</w:t>
      </w:r>
    </w:p>
    <w:p w14:paraId="2B41363A">
      <w:pPr>
        <w:pageBreakBefore w:val="0"/>
        <w:widowControl w:val="0"/>
        <w:shd w:val="clear"/>
        <w:tabs>
          <w:tab w:val="left" w:pos="3870"/>
          <w:tab w:val="left" w:pos="4085"/>
        </w:tabs>
        <w:kinsoku/>
        <w:wordWrap/>
        <w:overflowPunct/>
        <w:topLinePunct w:val="0"/>
        <w:bidi w:val="0"/>
        <w:snapToGrid w:val="0"/>
        <w:spacing w:line="360" w:lineRule="auto"/>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（1）开标一览表（格式见附件）；</w:t>
      </w:r>
    </w:p>
    <w:p w14:paraId="19252CA1">
      <w:pPr>
        <w:pageBreakBefore w:val="0"/>
        <w:widowControl w:val="0"/>
        <w:shd w:val="clear"/>
        <w:tabs>
          <w:tab w:val="left" w:pos="3870"/>
          <w:tab w:val="left" w:pos="4085"/>
        </w:tabs>
        <w:kinsoku/>
        <w:wordWrap/>
        <w:overflowPunct/>
        <w:topLinePunct w:val="0"/>
        <w:bidi w:val="0"/>
        <w:snapToGrid w:val="0"/>
        <w:spacing w:line="360" w:lineRule="auto"/>
        <w:ind w:firstLine="482" w:firstLineChars="200"/>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（2）投标报价清单（格式见附件）；</w:t>
      </w:r>
    </w:p>
    <w:p w14:paraId="0AB66BBF">
      <w:pPr>
        <w:pStyle w:val="2"/>
        <w:shd w:val="clear"/>
        <w:rPr>
          <w:highlight w:val="none"/>
        </w:rPr>
      </w:pPr>
    </w:p>
    <w:p w14:paraId="31E52E87">
      <w:pPr>
        <w:pageBreakBefore w:val="0"/>
        <w:widowControl w:val="0"/>
        <w:shd w:val="clear"/>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（二）投标文件的语言及计量</w:t>
      </w:r>
    </w:p>
    <w:p w14:paraId="3569AFF2">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、投标文件</w:t>
      </w:r>
      <w:r>
        <w:rPr>
          <w:rFonts w:ascii="宋体" w:hAnsi="宋体"/>
          <w:color w:val="auto"/>
          <w:sz w:val="24"/>
          <w:highlight w:val="none"/>
        </w:rPr>
        <w:t>以及投标方与招标方就有关投标事宜的所有来往函电，均应以中文汉语书写。除签名、盖章、专用名称等特殊情形外，以中文汉语以外的文字表述的</w:t>
      </w:r>
      <w:r>
        <w:rPr>
          <w:rFonts w:hint="eastAsia" w:ascii="宋体" w:hAnsi="宋体"/>
          <w:color w:val="auto"/>
          <w:sz w:val="24"/>
          <w:highlight w:val="none"/>
        </w:rPr>
        <w:t>投标文件</w:t>
      </w:r>
      <w:r>
        <w:rPr>
          <w:rFonts w:ascii="宋体" w:hAnsi="宋体"/>
          <w:color w:val="auto"/>
          <w:sz w:val="24"/>
          <w:highlight w:val="none"/>
        </w:rPr>
        <w:t>视同未提供。</w:t>
      </w:r>
    </w:p>
    <w:p w14:paraId="2C445220">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w:t>
      </w:r>
      <w:r>
        <w:rPr>
          <w:rFonts w:hint="eastAsia" w:ascii="宋体" w:hAnsi="宋体"/>
          <w:color w:val="auto"/>
          <w:sz w:val="24"/>
          <w:highlight w:val="none"/>
        </w:rPr>
        <w:t>招标文件</w:t>
      </w:r>
      <w:r>
        <w:rPr>
          <w:rFonts w:ascii="宋体" w:hAnsi="宋体"/>
          <w:color w:val="auto"/>
          <w:sz w:val="24"/>
          <w:highlight w:val="none"/>
        </w:rPr>
        <w:t>已有明确规定的，使用</w:t>
      </w:r>
      <w:r>
        <w:rPr>
          <w:rFonts w:hint="eastAsia" w:ascii="宋体" w:hAnsi="宋体"/>
          <w:color w:val="auto"/>
          <w:sz w:val="24"/>
          <w:highlight w:val="none"/>
        </w:rPr>
        <w:t>招标文件</w:t>
      </w:r>
      <w:r>
        <w:rPr>
          <w:rFonts w:ascii="宋体" w:hAnsi="宋体"/>
          <w:color w:val="auto"/>
          <w:sz w:val="24"/>
          <w:highlight w:val="none"/>
        </w:rPr>
        <w:t>规定的计量单位；</w:t>
      </w:r>
      <w:r>
        <w:rPr>
          <w:rFonts w:hint="eastAsia" w:ascii="宋体" w:hAnsi="宋体"/>
          <w:color w:val="auto"/>
          <w:sz w:val="24"/>
          <w:highlight w:val="none"/>
        </w:rPr>
        <w:t>招标文件</w:t>
      </w:r>
      <w:r>
        <w:rPr>
          <w:rFonts w:ascii="宋体" w:hAnsi="宋体"/>
          <w:color w:val="auto"/>
          <w:sz w:val="24"/>
          <w:highlight w:val="none"/>
        </w:rPr>
        <w:t>没有规定的，应采用中华人民共和国法定计量单位（货币单位：人民币元），否则视同未响应。</w:t>
      </w:r>
    </w:p>
    <w:p w14:paraId="4C2FB69C">
      <w:pPr>
        <w:pageBreakBefore w:val="0"/>
        <w:widowControl w:val="0"/>
        <w:shd w:val="clear"/>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（三）投标报价</w:t>
      </w:r>
    </w:p>
    <w:p w14:paraId="4E31A9F2">
      <w:pPr>
        <w:pStyle w:val="11"/>
        <w:pageBreakBefore w:val="0"/>
        <w:widowControl w:val="0"/>
        <w:shd w:val="clear"/>
        <w:kinsoku/>
        <w:wordWrap/>
        <w:overflowPunct/>
        <w:topLinePunct w:val="0"/>
        <w:bidi w:val="0"/>
        <w:snapToGrid w:val="0"/>
        <w:spacing w:before="0" w:beforeLines="0" w:after="0" w:afterLines="0" w:line="360" w:lineRule="auto"/>
        <w:ind w:firstLine="480" w:firstLineChars="200"/>
        <w:jc w:val="left"/>
        <w:textAlignment w:val="auto"/>
        <w:rPr>
          <w:rFonts w:hAnsi="宋体"/>
          <w:color w:val="auto"/>
          <w:highlight w:val="none"/>
        </w:rPr>
      </w:pPr>
      <w:r>
        <w:rPr>
          <w:rFonts w:hAnsi="宋体"/>
          <w:color w:val="auto"/>
          <w:highlight w:val="none"/>
        </w:rPr>
        <w:t>1.投标报价应按</w:t>
      </w:r>
      <w:r>
        <w:rPr>
          <w:rFonts w:hint="eastAsia" w:hAnsi="宋体"/>
          <w:color w:val="auto"/>
          <w:highlight w:val="none"/>
        </w:rPr>
        <w:t>招标文件</w:t>
      </w:r>
      <w:r>
        <w:rPr>
          <w:rFonts w:hAnsi="宋体"/>
          <w:color w:val="auto"/>
          <w:highlight w:val="none"/>
        </w:rPr>
        <w:t>中相关附表格式填写</w:t>
      </w:r>
      <w:r>
        <w:rPr>
          <w:rFonts w:hint="eastAsia" w:hAnsi="宋体"/>
          <w:color w:val="auto"/>
          <w:highlight w:val="none"/>
        </w:rPr>
        <w:t>，本项目采用全费用综合单价的方式报价。由投标人根据企业内部经济测算</w:t>
      </w:r>
      <w:r>
        <w:rPr>
          <w:rFonts w:hAnsi="宋体"/>
          <w:color w:val="auto"/>
          <w:highlight w:val="none"/>
        </w:rPr>
        <w:t>，</w:t>
      </w:r>
      <w:r>
        <w:rPr>
          <w:rFonts w:hint="eastAsia" w:hAnsi="宋体"/>
          <w:color w:val="auto"/>
          <w:highlight w:val="none"/>
        </w:rPr>
        <w:t>结合市场价格信息、管理技术水平</w:t>
      </w:r>
      <w:r>
        <w:rPr>
          <w:rFonts w:hAnsi="宋体"/>
          <w:color w:val="auto"/>
          <w:highlight w:val="none"/>
        </w:rPr>
        <w:t>，</w:t>
      </w:r>
      <w:r>
        <w:rPr>
          <w:rFonts w:hint="eastAsia" w:hAnsi="宋体"/>
          <w:color w:val="auto"/>
          <w:highlight w:val="none"/>
        </w:rPr>
        <w:t>综合测定后报价。报价以人民币元计</w:t>
      </w:r>
      <w:r>
        <w:rPr>
          <w:rFonts w:hAnsi="宋体"/>
          <w:color w:val="auto"/>
          <w:highlight w:val="none"/>
        </w:rPr>
        <w:t>。</w:t>
      </w:r>
    </w:p>
    <w:p w14:paraId="7A7F135E">
      <w:pPr>
        <w:pStyle w:val="7"/>
        <w:pageBreakBefore w:val="0"/>
        <w:widowControl w:val="0"/>
        <w:shd w:val="clear"/>
        <w:kinsoku/>
        <w:wordWrap/>
        <w:overflowPunct/>
        <w:topLinePunct w:val="0"/>
        <w:bidi w:val="0"/>
        <w:spacing w:line="360" w:lineRule="auto"/>
        <w:ind w:left="0" w:firstLine="480" w:firstLineChars="200"/>
        <w:textAlignment w:val="auto"/>
        <w:rPr>
          <w:rFonts w:ascii="宋体" w:hAnsi="宋体"/>
          <w:b/>
          <w:color w:val="auto"/>
          <w:sz w:val="24"/>
          <w:highlight w:val="none"/>
          <w:shd w:val="clear" w:color="auto" w:fill="FFFF00"/>
        </w:rPr>
      </w:pPr>
      <w:r>
        <w:rPr>
          <w:rFonts w:hint="eastAsia" w:ascii="宋体" w:hAnsi="宋体"/>
          <w:color w:val="auto"/>
          <w:sz w:val="24"/>
          <w:highlight w:val="none"/>
          <w:lang w:val="en-US" w:eastAsia="zh-CN"/>
        </w:rPr>
        <w:t>2.</w:t>
      </w:r>
      <w:r>
        <w:rPr>
          <w:rFonts w:hint="eastAsia" w:ascii="宋体" w:hAnsi="宋体"/>
          <w:color w:val="auto"/>
          <w:sz w:val="24"/>
          <w:highlight w:val="none"/>
        </w:rPr>
        <w:t>本次招标完成合同签订后，根据采购人项目施工实际情况按实计量结算，投标人应充分考虑项目实际工程量和材料形式的不确定因素，投标报价时结合实际情况及自身的综合实力填报投标报价。</w:t>
      </w:r>
      <w:r>
        <w:rPr>
          <w:rFonts w:ascii="宋体" w:hAnsi="宋体" w:cs="Arial"/>
          <w:bCs/>
          <w:color w:val="auto"/>
          <w:sz w:val="24"/>
          <w:highlight w:val="none"/>
        </w:rPr>
        <w:t>本合同全费用综合单价</w:t>
      </w:r>
      <w:r>
        <w:rPr>
          <w:rFonts w:hint="eastAsia" w:asciiTheme="minorEastAsia" w:hAnsiTheme="minorEastAsia" w:eastAsiaTheme="minorEastAsia" w:cstheme="minorEastAsia"/>
          <w:b w:val="0"/>
          <w:bCs/>
          <w:color w:val="auto"/>
          <w:sz w:val="24"/>
          <w:szCs w:val="24"/>
          <w:highlight w:val="none"/>
          <w:shd w:val="clear"/>
          <w:lang w:val="en-US" w:eastAsia="zh-CN"/>
        </w:rPr>
        <w:t>为清单中所有产品</w:t>
      </w:r>
      <w:r>
        <w:rPr>
          <w:rFonts w:hint="eastAsia" w:asciiTheme="minorEastAsia" w:hAnsiTheme="minorEastAsia" w:eastAsiaTheme="minorEastAsia" w:cstheme="minorEastAsia"/>
          <w:b w:val="0"/>
          <w:bCs/>
          <w:color w:val="auto"/>
          <w:sz w:val="24"/>
          <w:szCs w:val="24"/>
          <w:highlight w:val="none"/>
          <w:shd w:val="clear"/>
        </w:rPr>
        <w:t>自来源地运至指定堆放地点所发生的全部费用</w:t>
      </w:r>
      <w:r>
        <w:rPr>
          <w:rFonts w:hint="eastAsia" w:asciiTheme="minorEastAsia" w:hAnsiTheme="minorEastAsia" w:eastAsiaTheme="minorEastAsia" w:cstheme="minorEastAsia"/>
          <w:b w:val="0"/>
          <w:bCs/>
          <w:color w:val="auto"/>
          <w:sz w:val="24"/>
          <w:szCs w:val="24"/>
          <w:highlight w:val="none"/>
          <w:shd w:val="clear"/>
          <w:lang w:eastAsia="zh-CN"/>
        </w:rPr>
        <w:t>。</w:t>
      </w:r>
      <w:r>
        <w:rPr>
          <w:rFonts w:hint="eastAsia" w:asciiTheme="minorEastAsia" w:hAnsiTheme="minorEastAsia" w:eastAsiaTheme="minorEastAsia" w:cstheme="minorEastAsia"/>
          <w:b w:val="0"/>
          <w:bCs/>
          <w:color w:val="auto"/>
          <w:sz w:val="24"/>
          <w:szCs w:val="24"/>
          <w:highlight w:val="none"/>
          <w:shd w:val="clear"/>
        </w:rPr>
        <w:t>包括但不限于原材料采购、损耗、加工制作费、运输（运距不限）、装卸、措施费、</w:t>
      </w:r>
      <w:r>
        <w:rPr>
          <w:rFonts w:hint="eastAsia" w:asciiTheme="minorEastAsia" w:hAnsiTheme="minorEastAsia" w:eastAsiaTheme="minorEastAsia" w:cstheme="minorEastAsia"/>
          <w:b w:val="0"/>
          <w:bCs/>
          <w:color w:val="auto"/>
          <w:sz w:val="24"/>
          <w:szCs w:val="24"/>
          <w:highlight w:val="none"/>
          <w:shd w:val="clear"/>
          <w:lang w:val="en-US" w:eastAsia="zh-CN"/>
        </w:rPr>
        <w:t>出厂</w:t>
      </w:r>
      <w:r>
        <w:rPr>
          <w:rFonts w:hint="eastAsia" w:asciiTheme="minorEastAsia" w:hAnsiTheme="minorEastAsia" w:eastAsiaTheme="minorEastAsia" w:cstheme="minorEastAsia"/>
          <w:b w:val="0"/>
          <w:bCs/>
          <w:color w:val="auto"/>
          <w:sz w:val="24"/>
          <w:szCs w:val="24"/>
          <w:highlight w:val="none"/>
          <w:shd w:val="clear"/>
        </w:rPr>
        <w:t>检验试验费</w:t>
      </w:r>
      <w:r>
        <w:rPr>
          <w:rFonts w:hint="eastAsia" w:asciiTheme="minorEastAsia" w:hAnsiTheme="minorEastAsia" w:eastAsiaTheme="minorEastAsia" w:cstheme="minorEastAsia"/>
          <w:b w:val="0"/>
          <w:bCs/>
          <w:color w:val="auto"/>
          <w:sz w:val="24"/>
          <w:szCs w:val="24"/>
          <w:highlight w:val="none"/>
          <w:shd w:val="clear"/>
          <w:lang w:eastAsia="zh-CN"/>
        </w:rPr>
        <w:t>[免费提供试件（如有）]</w:t>
      </w:r>
      <w:r>
        <w:rPr>
          <w:rFonts w:hint="eastAsia" w:asciiTheme="minorEastAsia" w:hAnsiTheme="minorEastAsia" w:eastAsiaTheme="minorEastAsia" w:cstheme="minorEastAsia"/>
          <w:b w:val="0"/>
          <w:bCs/>
          <w:color w:val="auto"/>
          <w:sz w:val="24"/>
          <w:szCs w:val="24"/>
          <w:highlight w:val="none"/>
          <w:shd w:val="clear"/>
        </w:rPr>
        <w:t>、管理费、利润、税金（13%）、风险以及政策性文件规定收取的费用、财务费用等一切为完成本项目所需要的相应规范要求执行的在上述条款中可能遗漏的任何费用。</w:t>
      </w:r>
      <w:r>
        <w:rPr>
          <w:rFonts w:hint="eastAsia" w:ascii="宋体" w:hAnsi="宋体"/>
          <w:b/>
          <w:bCs/>
          <w:color w:val="auto"/>
          <w:sz w:val="24"/>
          <w:highlight w:val="none"/>
        </w:rPr>
        <w:t>如因国家增值税税率政策调整，本项目税前价格不变，并按最新税率调整相关含税金额。</w:t>
      </w:r>
      <w:r>
        <w:rPr>
          <w:rFonts w:hint="eastAsia" w:ascii="宋体" w:hAnsi="宋体" w:cs="Arial"/>
          <w:bCs/>
          <w:color w:val="auto"/>
          <w:sz w:val="24"/>
          <w:highlight w:val="none"/>
        </w:rPr>
        <w:t>采购人可根据实际情况调整采购数量，中标人不得以此为要求调整全费用综合单价。结算时，中标人在全费用综合单价不变的前提下，根据采购人的实际采购数量按实结算。</w:t>
      </w:r>
    </w:p>
    <w:p w14:paraId="271C1058">
      <w:pPr>
        <w:pStyle w:val="5"/>
        <w:pageBreakBefore w:val="0"/>
        <w:widowControl w:val="0"/>
        <w:numPr>
          <w:ilvl w:val="0"/>
          <w:numId w:val="0"/>
        </w:numPr>
        <w:shd w:val="clear"/>
        <w:tabs>
          <w:tab w:val="left" w:pos="720"/>
          <w:tab w:val="clear" w:pos="360"/>
        </w:tabs>
        <w:kinsoku/>
        <w:wordWrap/>
        <w:overflowPunct/>
        <w:topLinePunct w:val="0"/>
        <w:bidi w:val="0"/>
        <w:snapToGrid w:val="0"/>
        <w:spacing w:line="360" w:lineRule="auto"/>
        <w:ind w:leftChars="196"/>
        <w:textAlignment w:val="auto"/>
        <w:rPr>
          <w:rFonts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采购人不接受任何选择报价，对每一种货物只允许一个报价。</w:t>
      </w:r>
    </w:p>
    <w:p w14:paraId="4A7D1142">
      <w:pPr>
        <w:pStyle w:val="5"/>
        <w:pageBreakBefore w:val="0"/>
        <w:widowControl w:val="0"/>
        <w:numPr>
          <w:ilvl w:val="0"/>
          <w:numId w:val="0"/>
        </w:numPr>
        <w:shd w:val="clear"/>
        <w:tabs>
          <w:tab w:val="left" w:pos="720"/>
          <w:tab w:val="clear" w:pos="360"/>
        </w:tabs>
        <w:kinsoku/>
        <w:wordWrap/>
        <w:overflowPunct/>
        <w:topLinePunct w:val="0"/>
        <w:bidi w:val="0"/>
        <w:snapToGrid w:val="0"/>
        <w:spacing w:line="360"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采购人要求分项报价是为了方便评标，但在任何情况下不限制采购人以其认为最合适的条款、条件签订合同的权利。</w:t>
      </w:r>
    </w:p>
    <w:p w14:paraId="7CC03CED">
      <w:pPr>
        <w:pStyle w:val="5"/>
        <w:pageBreakBefore w:val="0"/>
        <w:widowControl w:val="0"/>
        <w:numPr>
          <w:ilvl w:val="0"/>
          <w:numId w:val="0"/>
        </w:numPr>
        <w:shd w:val="clear"/>
        <w:tabs>
          <w:tab w:val="left" w:pos="720"/>
          <w:tab w:val="clear" w:pos="360"/>
        </w:tabs>
        <w:kinsoku/>
        <w:wordWrap/>
        <w:overflowPunct/>
        <w:topLinePunct w:val="0"/>
        <w:bidi w:val="0"/>
        <w:snapToGrid w:val="0"/>
        <w:spacing w:line="360" w:lineRule="auto"/>
        <w:ind w:left="549" w:leftChars="196"/>
        <w:textAlignment w:val="auto"/>
        <w:rPr>
          <w:rFonts w:ascii="宋体" w:hAnsi="宋体"/>
          <w:b/>
          <w:color w:val="auto"/>
          <w:sz w:val="24"/>
          <w:highlight w:val="none"/>
        </w:rPr>
      </w:pPr>
      <w:r>
        <w:rPr>
          <w:rFonts w:hint="eastAsia" w:ascii="宋体" w:hAnsi="宋体"/>
          <w:b/>
          <w:color w:val="auto"/>
          <w:sz w:val="24"/>
          <w:highlight w:val="none"/>
        </w:rPr>
        <w:t>（四）投标文件的有效期</w:t>
      </w:r>
    </w:p>
    <w:p w14:paraId="3967396B">
      <w:pPr>
        <w:pStyle w:val="5"/>
        <w:pageBreakBefore w:val="0"/>
        <w:widowControl w:val="0"/>
        <w:numPr>
          <w:ilvl w:val="0"/>
          <w:numId w:val="0"/>
        </w:numPr>
        <w:shd w:val="clear"/>
        <w:tabs>
          <w:tab w:val="left" w:pos="720"/>
          <w:tab w:val="clear" w:pos="360"/>
        </w:tabs>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ascii="宋体" w:hAnsi="宋体"/>
          <w:color w:val="auto"/>
          <w:sz w:val="24"/>
          <w:highlight w:val="none"/>
          <w:u w:val="single"/>
        </w:rPr>
        <w:t xml:space="preserve"> </w:t>
      </w:r>
      <w:r>
        <w:rPr>
          <w:rFonts w:hint="eastAsia" w:ascii="宋体" w:hAnsi="宋体"/>
          <w:color w:val="auto"/>
          <w:sz w:val="24"/>
          <w:highlight w:val="none"/>
          <w:u w:val="single"/>
        </w:rPr>
        <w:t>90</w:t>
      </w:r>
      <w:r>
        <w:rPr>
          <w:rFonts w:ascii="宋体" w:hAnsi="宋体"/>
          <w:color w:val="auto"/>
          <w:sz w:val="24"/>
          <w:highlight w:val="none"/>
        </w:rPr>
        <w:t>天</w:t>
      </w:r>
      <w:r>
        <w:rPr>
          <w:rFonts w:hint="eastAsia" w:ascii="宋体" w:hAnsi="宋体"/>
          <w:color w:val="auto"/>
          <w:sz w:val="24"/>
          <w:highlight w:val="none"/>
        </w:rPr>
        <w:t>投标文件</w:t>
      </w:r>
      <w:r>
        <w:rPr>
          <w:rFonts w:ascii="宋体" w:hAnsi="宋体"/>
          <w:color w:val="auto"/>
          <w:sz w:val="24"/>
          <w:highlight w:val="none"/>
        </w:rPr>
        <w:t>应保持有效。</w:t>
      </w:r>
      <w:r>
        <w:rPr>
          <w:rFonts w:hint="eastAsia" w:ascii="宋体" w:hAnsi="宋体"/>
          <w:color w:val="auto"/>
          <w:sz w:val="24"/>
          <w:highlight w:val="none"/>
        </w:rPr>
        <w:t>中标人投标文件有效期延长至合同有效期。</w:t>
      </w:r>
      <w:r>
        <w:rPr>
          <w:rFonts w:ascii="宋体" w:hAnsi="宋体"/>
          <w:color w:val="auto"/>
          <w:sz w:val="24"/>
          <w:highlight w:val="none"/>
        </w:rPr>
        <w:t>有效期</w:t>
      </w:r>
      <w:r>
        <w:rPr>
          <w:rFonts w:hint="eastAsia" w:ascii="宋体" w:hAnsi="宋体"/>
          <w:color w:val="auto"/>
          <w:sz w:val="24"/>
          <w:highlight w:val="none"/>
        </w:rPr>
        <w:t>不足</w:t>
      </w:r>
      <w:r>
        <w:rPr>
          <w:rFonts w:ascii="宋体" w:hAnsi="宋体"/>
          <w:color w:val="auto"/>
          <w:sz w:val="24"/>
          <w:highlight w:val="none"/>
        </w:rPr>
        <w:t>的</w:t>
      </w:r>
      <w:r>
        <w:rPr>
          <w:rFonts w:hint="eastAsia" w:ascii="宋体" w:hAnsi="宋体"/>
          <w:color w:val="auto"/>
          <w:sz w:val="24"/>
          <w:highlight w:val="none"/>
        </w:rPr>
        <w:t>投标文件</w:t>
      </w:r>
      <w:r>
        <w:rPr>
          <w:rFonts w:ascii="宋体" w:hAnsi="宋体"/>
          <w:color w:val="auto"/>
          <w:sz w:val="24"/>
          <w:highlight w:val="none"/>
        </w:rPr>
        <w:t>将被拒绝。</w:t>
      </w:r>
    </w:p>
    <w:p w14:paraId="2AF70D44">
      <w:pPr>
        <w:pStyle w:val="5"/>
        <w:pageBreakBefore w:val="0"/>
        <w:widowControl w:val="0"/>
        <w:numPr>
          <w:ilvl w:val="0"/>
          <w:numId w:val="0"/>
        </w:numPr>
        <w:shd w:val="clear"/>
        <w:tabs>
          <w:tab w:val="left" w:pos="720"/>
          <w:tab w:val="clear" w:pos="360"/>
        </w:tabs>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r>
        <w:rPr>
          <w:rFonts w:ascii="宋体" w:hAnsi="宋体"/>
          <w:color w:val="auto"/>
          <w:sz w:val="24"/>
          <w:highlight w:val="none"/>
        </w:rPr>
        <w:t>。</w:t>
      </w:r>
    </w:p>
    <w:p w14:paraId="079872BF">
      <w:pPr>
        <w:pageBreakBefore w:val="0"/>
        <w:widowControl w:val="0"/>
        <w:shd w:val="clear"/>
        <w:kinsoku/>
        <w:wordWrap/>
        <w:overflowPunct/>
        <w:topLinePunct w:val="0"/>
        <w:bidi w:val="0"/>
        <w:snapToGrid w:val="0"/>
        <w:spacing w:line="360" w:lineRule="auto"/>
        <w:ind w:firstLine="480" w:firstLineChars="200"/>
        <w:jc w:val="left"/>
        <w:textAlignment w:val="auto"/>
        <w:outlineLvl w:val="0"/>
        <w:rPr>
          <w:rFonts w:ascii="宋体" w:hAnsi="宋体"/>
          <w:b/>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投标人可拒绝接受延期要求而不会导致投标保证金被没收。同意延长有效期的投标人需要相应延长投标保证金的有效期，但不能修改</w:t>
      </w:r>
      <w:r>
        <w:rPr>
          <w:rFonts w:hint="eastAsia" w:ascii="宋体" w:hAnsi="宋体"/>
          <w:color w:val="auto"/>
          <w:sz w:val="24"/>
          <w:highlight w:val="none"/>
        </w:rPr>
        <w:t>投标文件</w:t>
      </w:r>
      <w:r>
        <w:rPr>
          <w:rFonts w:ascii="宋体" w:hAnsi="宋体"/>
          <w:color w:val="auto"/>
          <w:sz w:val="24"/>
          <w:highlight w:val="none"/>
        </w:rPr>
        <w:t>。</w:t>
      </w:r>
    </w:p>
    <w:p w14:paraId="1C7BC584">
      <w:pPr>
        <w:pageBreakBefore w:val="0"/>
        <w:widowControl w:val="0"/>
        <w:shd w:val="clear"/>
        <w:kinsoku/>
        <w:wordWrap/>
        <w:overflowPunct/>
        <w:topLinePunct w:val="0"/>
        <w:bidi w:val="0"/>
        <w:snapToGrid w:val="0"/>
        <w:spacing w:line="360" w:lineRule="auto"/>
        <w:ind w:firstLine="480" w:firstLineChars="200"/>
        <w:jc w:val="left"/>
        <w:textAlignment w:val="auto"/>
        <w:outlineLvl w:val="0"/>
        <w:rPr>
          <w:rFonts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.中标人</w:t>
      </w:r>
      <w:r>
        <w:rPr>
          <w:rFonts w:ascii="宋体" w:hAnsi="宋体"/>
          <w:color w:val="auto"/>
          <w:sz w:val="24"/>
          <w:highlight w:val="none"/>
        </w:rPr>
        <w:t>的</w:t>
      </w:r>
      <w:r>
        <w:rPr>
          <w:rFonts w:hint="eastAsia" w:ascii="宋体" w:hAnsi="宋体"/>
          <w:color w:val="auto"/>
          <w:sz w:val="24"/>
          <w:highlight w:val="none"/>
        </w:rPr>
        <w:t>投标文件</w:t>
      </w:r>
      <w:r>
        <w:rPr>
          <w:rFonts w:ascii="宋体" w:hAnsi="宋体"/>
          <w:color w:val="auto"/>
          <w:sz w:val="24"/>
          <w:highlight w:val="none"/>
        </w:rPr>
        <w:t>自开标之日起至合同履行完毕止均应保持有效。</w:t>
      </w:r>
    </w:p>
    <w:p w14:paraId="61C5F10C">
      <w:pPr>
        <w:pageBreakBefore w:val="0"/>
        <w:widowControl w:val="0"/>
        <w:shd w:val="clear"/>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（五）投标保证金</w:t>
      </w:r>
    </w:p>
    <w:p w14:paraId="7135B5E9">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投标人须</w:t>
      </w:r>
      <w:r>
        <w:rPr>
          <w:rFonts w:hint="eastAsia" w:ascii="宋体" w:hAnsi="宋体"/>
          <w:color w:val="auto"/>
          <w:sz w:val="24"/>
          <w:highlight w:val="none"/>
        </w:rPr>
        <w:t>按规定</w:t>
      </w:r>
      <w:r>
        <w:rPr>
          <w:rFonts w:ascii="宋体" w:hAnsi="宋体"/>
          <w:color w:val="auto"/>
          <w:sz w:val="24"/>
          <w:highlight w:val="none"/>
        </w:rPr>
        <w:t>提交投标保证金。否则，其投标将被拒绝。</w:t>
      </w:r>
    </w:p>
    <w:p w14:paraId="5223D3C2">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highlight w:val="none"/>
          <w:u w:val="single"/>
        </w:rPr>
      </w:pPr>
      <w:r>
        <w:rPr>
          <w:rFonts w:ascii="宋体" w:hAnsi="宋体"/>
          <w:color w:val="auto"/>
          <w:sz w:val="24"/>
          <w:highlight w:val="none"/>
        </w:rPr>
        <w:t>保证金形式</w:t>
      </w:r>
      <w:r>
        <w:rPr>
          <w:rFonts w:ascii="宋体" w:hAnsi="宋体"/>
          <w:color w:val="auto"/>
          <w:sz w:val="24"/>
          <w:highlight w:val="none"/>
          <w:u w:val="single"/>
        </w:rPr>
        <w:t>：</w:t>
      </w:r>
      <w:r>
        <w:rPr>
          <w:rFonts w:hint="eastAsia" w:ascii="宋体" w:hAnsi="宋体"/>
          <w:color w:val="auto"/>
          <w:sz w:val="24"/>
          <w:highlight w:val="none"/>
          <w:u w:val="single"/>
        </w:rPr>
        <w:t>转账、电汇、银行汇票、银行保函、保险机构保证保险保单、融资担保公司保函。</w:t>
      </w:r>
    </w:p>
    <w:p w14:paraId="29D4C6AE">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未</w:t>
      </w:r>
      <w:r>
        <w:rPr>
          <w:rFonts w:hint="eastAsia" w:ascii="宋体" w:hAnsi="宋体"/>
          <w:color w:val="auto"/>
          <w:sz w:val="24"/>
          <w:highlight w:val="none"/>
        </w:rPr>
        <w:t>中标的投标人的投标</w:t>
      </w:r>
      <w:r>
        <w:rPr>
          <w:rFonts w:ascii="宋体" w:hAnsi="宋体"/>
          <w:color w:val="auto"/>
          <w:sz w:val="24"/>
          <w:highlight w:val="none"/>
        </w:rPr>
        <w:t>保证金在</w:t>
      </w:r>
      <w:r>
        <w:rPr>
          <w:rFonts w:hint="eastAsia" w:ascii="宋体" w:hAnsi="宋体"/>
          <w:color w:val="auto"/>
          <w:sz w:val="24"/>
          <w:highlight w:val="none"/>
        </w:rPr>
        <w:t>中标通知书发出后5个工作日内退还</w:t>
      </w:r>
      <w:r>
        <w:rPr>
          <w:rFonts w:ascii="宋体" w:hAnsi="宋体"/>
          <w:color w:val="auto"/>
          <w:sz w:val="24"/>
          <w:highlight w:val="none"/>
        </w:rPr>
        <w:t>。</w:t>
      </w:r>
    </w:p>
    <w:p w14:paraId="5411B030">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3.中标人应在中标通知书发出后30日内与中国建筑第四工程局有限公司签订合同，中标人的投标保证金在合同签订后5天内退还。</w:t>
      </w:r>
    </w:p>
    <w:p w14:paraId="218E2827">
      <w:pPr>
        <w:pageBreakBefore w:val="0"/>
        <w:widowControl w:val="0"/>
        <w:shd w:val="clear"/>
        <w:kinsoku/>
        <w:wordWrap/>
        <w:overflowPunct/>
        <w:topLinePunct w:val="0"/>
        <w:bidi w:val="0"/>
        <w:snapToGrid w:val="0"/>
        <w:spacing w:line="360" w:lineRule="auto"/>
        <w:ind w:firstLine="470" w:firstLineChars="196"/>
        <w:jc w:val="left"/>
        <w:textAlignment w:val="auto"/>
        <w:rPr>
          <w:rFonts w:ascii="宋体" w:hAnsi="宋体"/>
          <w:color w:val="auto"/>
          <w:sz w:val="24"/>
          <w:szCs w:val="20"/>
          <w:highlight w:val="none"/>
        </w:rPr>
      </w:pPr>
      <w:r>
        <w:rPr>
          <w:rFonts w:hint="eastAsia" w:ascii="宋体" w:hAnsi="宋体"/>
          <w:color w:val="auto"/>
          <w:sz w:val="24"/>
          <w:highlight w:val="none"/>
        </w:rPr>
        <w:t>4.投标人有</w:t>
      </w:r>
      <w:r>
        <w:rPr>
          <w:rFonts w:ascii="宋体" w:hAnsi="宋体"/>
          <w:color w:val="auto"/>
          <w:sz w:val="24"/>
          <w:highlight w:val="none"/>
        </w:rPr>
        <w:t>下列情</w:t>
      </w:r>
      <w:r>
        <w:rPr>
          <w:rFonts w:hint="eastAsia" w:ascii="宋体" w:hAnsi="宋体"/>
          <w:color w:val="auto"/>
          <w:sz w:val="24"/>
          <w:highlight w:val="none"/>
        </w:rPr>
        <w:t>形之一的</w:t>
      </w:r>
      <w:r>
        <w:rPr>
          <w:rFonts w:ascii="宋体" w:hAnsi="宋体"/>
          <w:color w:val="auto"/>
          <w:sz w:val="24"/>
          <w:highlight w:val="none"/>
        </w:rPr>
        <w:t>，投标保证金将不予退还：</w:t>
      </w:r>
    </w:p>
    <w:p w14:paraId="51754325">
      <w:pPr>
        <w:shd w:val="clea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（1）投标人在投标有效期内撤回投标文件的；</w:t>
      </w:r>
    </w:p>
    <w:p w14:paraId="2C6E7CD8">
      <w:pPr>
        <w:shd w:val="clea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（2）投标人在投标过程中弄虚作假，提供虚假材料的；</w:t>
      </w:r>
    </w:p>
    <w:p w14:paraId="20114C15">
      <w:pPr>
        <w:shd w:val="clea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（3）投标人无正当理由不与采购人签订材料采购合同的；</w:t>
      </w:r>
    </w:p>
    <w:p w14:paraId="5ABC4BC1">
      <w:pPr>
        <w:shd w:val="clea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（4）将中标项目转让给他人或者在投标文件中未说明且未经招标采购单位同意，将中标项目分包给他人的；</w:t>
      </w:r>
    </w:p>
    <w:p w14:paraId="63DF81CE">
      <w:pPr>
        <w:pageBreakBefore w:val="0"/>
        <w:widowControl w:val="0"/>
        <w:shd w:val="clear"/>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）其他严重扰乱招投标程序的。</w:t>
      </w:r>
    </w:p>
    <w:p w14:paraId="4942045B">
      <w:pPr>
        <w:pageBreakBefore w:val="0"/>
        <w:widowControl w:val="0"/>
        <w:shd w:val="clear"/>
        <w:kinsoku/>
        <w:wordWrap/>
        <w:overflowPunct/>
        <w:topLinePunct w:val="0"/>
        <w:bidi w:val="0"/>
        <w:snapToGrid w:val="0"/>
        <w:spacing w:line="360" w:lineRule="auto"/>
        <w:ind w:firstLine="472" w:firstLineChars="196"/>
        <w:jc w:val="left"/>
        <w:textAlignment w:val="auto"/>
        <w:outlineLvl w:val="0"/>
        <w:rPr>
          <w:rFonts w:ascii="宋体" w:hAnsi="宋体"/>
          <w:b/>
          <w:color w:val="auto"/>
          <w:sz w:val="24"/>
          <w:szCs w:val="20"/>
          <w:highlight w:val="none"/>
        </w:rPr>
      </w:pPr>
      <w:r>
        <w:rPr>
          <w:rFonts w:hint="eastAsia" w:ascii="宋体" w:hAnsi="宋体"/>
          <w:b/>
          <w:color w:val="auto"/>
          <w:sz w:val="24"/>
          <w:highlight w:val="none"/>
        </w:rPr>
        <w:t>（六）投标文件的签署和份数</w:t>
      </w:r>
    </w:p>
    <w:p w14:paraId="4B1C3241">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投标人应</w:t>
      </w:r>
      <w:r>
        <w:rPr>
          <w:rFonts w:hint="eastAsia" w:ascii="宋体" w:hAnsi="宋体"/>
          <w:color w:val="auto"/>
          <w:sz w:val="24"/>
          <w:highlight w:val="none"/>
        </w:rPr>
        <w:t>按</w:t>
      </w:r>
      <w:r>
        <w:rPr>
          <w:rFonts w:ascii="宋体" w:hAnsi="宋体"/>
          <w:color w:val="auto"/>
          <w:sz w:val="24"/>
          <w:highlight w:val="none"/>
        </w:rPr>
        <w:t>本</w:t>
      </w:r>
      <w:r>
        <w:rPr>
          <w:rFonts w:hint="eastAsia" w:ascii="宋体" w:hAnsi="宋体"/>
          <w:color w:val="auto"/>
          <w:sz w:val="24"/>
          <w:highlight w:val="none"/>
        </w:rPr>
        <w:t>招标文件</w:t>
      </w:r>
      <w:r>
        <w:rPr>
          <w:rFonts w:ascii="宋体" w:hAnsi="宋体"/>
          <w:color w:val="auto"/>
          <w:sz w:val="24"/>
          <w:highlight w:val="none"/>
        </w:rPr>
        <w:t>规定的格式和顺序编制、装订</w:t>
      </w:r>
      <w:r>
        <w:rPr>
          <w:rFonts w:hint="eastAsia" w:ascii="宋体" w:hAnsi="宋体"/>
          <w:color w:val="auto"/>
          <w:sz w:val="24"/>
          <w:highlight w:val="none"/>
        </w:rPr>
        <w:t>投标文件</w:t>
      </w:r>
      <w:r>
        <w:rPr>
          <w:rFonts w:ascii="宋体" w:hAnsi="宋体"/>
          <w:color w:val="auto"/>
          <w:sz w:val="24"/>
          <w:highlight w:val="none"/>
        </w:rPr>
        <w:t>，</w:t>
      </w:r>
      <w:r>
        <w:rPr>
          <w:rFonts w:hint="eastAsia" w:ascii="宋体" w:hAnsi="宋体"/>
          <w:color w:val="auto"/>
          <w:sz w:val="24"/>
          <w:highlight w:val="none"/>
        </w:rPr>
        <w:t>投标文件</w:t>
      </w:r>
      <w:r>
        <w:rPr>
          <w:rFonts w:ascii="宋体" w:hAnsi="宋体"/>
          <w:color w:val="auto"/>
          <w:sz w:val="24"/>
          <w:highlight w:val="none"/>
        </w:rPr>
        <w:t>内容不完整、编排混乱导致</w:t>
      </w:r>
      <w:r>
        <w:rPr>
          <w:rFonts w:hint="eastAsia" w:ascii="宋体" w:hAnsi="宋体"/>
          <w:color w:val="auto"/>
          <w:sz w:val="24"/>
          <w:highlight w:val="none"/>
        </w:rPr>
        <w:t>投标文件</w:t>
      </w:r>
      <w:r>
        <w:rPr>
          <w:rFonts w:ascii="宋体" w:hAnsi="宋体"/>
          <w:color w:val="auto"/>
          <w:sz w:val="24"/>
          <w:highlight w:val="none"/>
        </w:rPr>
        <w:t>被误读、漏读或者查找不到相关内容的，是投标人的责任。</w:t>
      </w:r>
    </w:p>
    <w:p w14:paraId="00AB4114">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w:t>
      </w:r>
      <w:r>
        <w:rPr>
          <w:rFonts w:hint="eastAsia" w:ascii="宋体" w:hAnsi="宋体"/>
          <w:color w:val="auto"/>
          <w:sz w:val="24"/>
          <w:highlight w:val="none"/>
        </w:rPr>
        <w:t>应将投标文件分别装订成册</w:t>
      </w:r>
      <w:r>
        <w:rPr>
          <w:rFonts w:hint="eastAsia"/>
          <w:color w:val="auto"/>
          <w:sz w:val="24"/>
          <w:highlight w:val="none"/>
        </w:rPr>
        <w:t>（</w:t>
      </w:r>
      <w:r>
        <w:rPr>
          <w:rFonts w:hint="eastAsia"/>
          <w:color w:val="auto"/>
          <w:sz w:val="24"/>
          <w:highlight w:val="none"/>
          <w:lang w:val="en-US" w:eastAsia="zh-CN"/>
        </w:rPr>
        <w:t>资格标、</w:t>
      </w:r>
      <w:r>
        <w:rPr>
          <w:rFonts w:hint="eastAsia"/>
          <w:color w:val="auto"/>
          <w:sz w:val="24"/>
          <w:highlight w:val="none"/>
        </w:rPr>
        <w:t>技术资信标、商务标各正本</w:t>
      </w:r>
      <w:r>
        <w:rPr>
          <w:rFonts w:hint="eastAsia" w:ascii="宋体" w:hAnsi="宋体" w:cs="Arial"/>
          <w:color w:val="auto"/>
          <w:sz w:val="24"/>
          <w:highlight w:val="none"/>
        </w:rPr>
        <w:t>一</w:t>
      </w:r>
      <w:r>
        <w:rPr>
          <w:rFonts w:hint="eastAsia"/>
          <w:color w:val="auto"/>
          <w:sz w:val="24"/>
          <w:highlight w:val="none"/>
        </w:rPr>
        <w:t>份，副本</w:t>
      </w:r>
      <w:r>
        <w:rPr>
          <w:rFonts w:hint="eastAsia" w:ascii="宋体" w:hAnsi="宋体" w:cs="Arial"/>
          <w:color w:val="auto"/>
          <w:sz w:val="24"/>
          <w:highlight w:val="none"/>
        </w:rPr>
        <w:t>四</w:t>
      </w:r>
      <w:r>
        <w:rPr>
          <w:rFonts w:hint="eastAsia"/>
          <w:color w:val="auto"/>
          <w:sz w:val="24"/>
          <w:highlight w:val="none"/>
        </w:rPr>
        <w:t>份，投标文件</w:t>
      </w:r>
      <w:r>
        <w:rPr>
          <w:rFonts w:hint="eastAsia"/>
          <w:color w:val="auto"/>
          <w:sz w:val="24"/>
          <w:highlight w:val="none"/>
          <w:lang w:val="en-US" w:eastAsia="zh-CN"/>
        </w:rPr>
        <w:t>资格标、</w:t>
      </w:r>
      <w:r>
        <w:rPr>
          <w:rFonts w:hint="eastAsia"/>
          <w:color w:val="auto"/>
          <w:sz w:val="24"/>
          <w:highlight w:val="none"/>
        </w:rPr>
        <w:t>技术资信标、商务标分别单独密封</w:t>
      </w:r>
      <w:r>
        <w:rPr>
          <w:rFonts w:hint="eastAsia"/>
          <w:color w:val="auto"/>
          <w:sz w:val="24"/>
          <w:highlight w:val="none"/>
          <w:lang w:eastAsia="zh-CN"/>
        </w:rPr>
        <w:t>，样品（如有）无需密封</w:t>
      </w:r>
      <w:r>
        <w:rPr>
          <w:rFonts w:hint="eastAsia"/>
          <w:color w:val="auto"/>
          <w:sz w:val="24"/>
          <w:highlight w:val="none"/>
        </w:rPr>
        <w:t>）</w:t>
      </w:r>
      <w:r>
        <w:rPr>
          <w:rFonts w:hint="eastAsia" w:ascii="宋体" w:hAnsi="宋体"/>
          <w:color w:val="auto"/>
          <w:sz w:val="24"/>
          <w:highlight w:val="none"/>
        </w:rPr>
        <w:t>。投标文件的封面应注明“正本”、“副本”字样。</w:t>
      </w:r>
    </w:p>
    <w:p w14:paraId="4E4ECBF7">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.投标文件</w:t>
      </w:r>
      <w:r>
        <w:rPr>
          <w:rFonts w:ascii="宋体" w:hAnsi="宋体"/>
          <w:color w:val="auto"/>
          <w:sz w:val="24"/>
          <w:highlight w:val="none"/>
        </w:rPr>
        <w:t>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人签署，投标人应写全称。</w:t>
      </w:r>
    </w:p>
    <w:p w14:paraId="1FD54BC6">
      <w:pPr>
        <w:pageBreakBefore w:val="0"/>
        <w:widowControl w:val="0"/>
        <w:shd w:val="clear"/>
        <w:kinsoku/>
        <w:wordWrap/>
        <w:overflowPunct/>
        <w:topLinePunct w:val="0"/>
        <w:bidi w:val="0"/>
        <w:snapToGrid w:val="0"/>
        <w:spacing w:line="360" w:lineRule="auto"/>
        <w:ind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.投标文件</w:t>
      </w:r>
      <w:r>
        <w:rPr>
          <w:rFonts w:ascii="宋体" w:hAnsi="宋体"/>
          <w:color w:val="auto"/>
          <w:sz w:val="24"/>
          <w:highlight w:val="none"/>
        </w:rPr>
        <w:t>不得涂改，若有修改错漏处，须加盖单位公章或者法定代表人或授权委托人签字或盖章。</w:t>
      </w:r>
      <w:r>
        <w:rPr>
          <w:rFonts w:hint="eastAsia" w:ascii="宋体" w:hAnsi="宋体"/>
          <w:color w:val="auto"/>
          <w:sz w:val="24"/>
          <w:highlight w:val="none"/>
        </w:rPr>
        <w:t>投标文件</w:t>
      </w:r>
      <w:r>
        <w:rPr>
          <w:rFonts w:ascii="宋体" w:hAnsi="宋体"/>
          <w:color w:val="auto"/>
          <w:sz w:val="24"/>
          <w:highlight w:val="none"/>
        </w:rPr>
        <w:t>因字迹潦草或表达不清所引起的后果由投标人负责。</w:t>
      </w:r>
    </w:p>
    <w:p w14:paraId="5B3FBF1A">
      <w:pPr>
        <w:pageBreakBefore w:val="0"/>
        <w:widowControl w:val="0"/>
        <w:shd w:val="clear"/>
        <w:kinsoku/>
        <w:wordWrap/>
        <w:overflowPunct/>
        <w:topLinePunct w:val="0"/>
        <w:bidi w:val="0"/>
        <w:snapToGrid w:val="0"/>
        <w:spacing w:line="360" w:lineRule="auto"/>
        <w:ind w:firstLine="354" w:firstLineChars="147"/>
        <w:jc w:val="left"/>
        <w:textAlignment w:val="auto"/>
        <w:rPr>
          <w:rFonts w:ascii="宋体" w:hAnsi="宋体"/>
          <w:b/>
          <w:color w:val="auto"/>
          <w:sz w:val="24"/>
          <w:szCs w:val="20"/>
          <w:highlight w:val="none"/>
        </w:rPr>
      </w:pPr>
      <w:r>
        <w:rPr>
          <w:rFonts w:hint="eastAsia" w:ascii="宋体" w:hAnsi="宋体"/>
          <w:b/>
          <w:color w:val="auto"/>
          <w:sz w:val="24"/>
          <w:highlight w:val="none"/>
        </w:rPr>
        <w:t>（七）投标文件的包装、递交、修改和撤回</w:t>
      </w:r>
    </w:p>
    <w:p w14:paraId="65E333BA">
      <w:pPr>
        <w:shd w:val="clea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1.投标人应将投标文件密封，投标文件的包装封面上应注明投标人名称、投标文件名称（</w:t>
      </w:r>
      <w:r>
        <w:rPr>
          <w:rFonts w:hint="eastAsia" w:ascii="宋体" w:hAnsi="宋体"/>
          <w:color w:val="auto"/>
          <w:sz w:val="24"/>
          <w:highlight w:val="none"/>
          <w:lang w:val="en-US" w:eastAsia="zh-CN"/>
        </w:rPr>
        <w:t>资格标、</w:t>
      </w:r>
      <w:r>
        <w:rPr>
          <w:rFonts w:hint="eastAsia"/>
          <w:color w:val="auto"/>
          <w:sz w:val="24"/>
          <w:highlight w:val="none"/>
        </w:rPr>
        <w:t>技术资信标、商务标</w:t>
      </w:r>
      <w:r>
        <w:rPr>
          <w:rFonts w:hint="eastAsia" w:ascii="宋体" w:hAnsi="宋体"/>
          <w:color w:val="auto"/>
          <w:sz w:val="24"/>
          <w:highlight w:val="none"/>
        </w:rPr>
        <w:t>）、投标项目名称。</w:t>
      </w:r>
    </w:p>
    <w:p w14:paraId="51284F08">
      <w:pPr>
        <w:shd w:val="clea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2.未按规定密封或标记的投标文件将被拒绝，由此造成投标文件被误投或提前拆封的风险由投标人承担。</w:t>
      </w:r>
    </w:p>
    <w:p w14:paraId="0B85366A">
      <w:pPr>
        <w:pageBreakBefore w:val="0"/>
        <w:widowControl w:val="0"/>
        <w:shd w:val="clear"/>
        <w:kinsoku/>
        <w:wordWrap/>
        <w:overflowPunct/>
        <w:topLinePunct w:val="0"/>
        <w:bidi w:val="0"/>
        <w:snapToGrid w:val="0"/>
        <w:spacing w:line="360" w:lineRule="auto"/>
        <w:ind w:firstLine="420"/>
        <w:jc w:val="left"/>
        <w:textAlignment w:val="auto"/>
        <w:rPr>
          <w:rFonts w:ascii="宋体" w:hAnsi="宋体"/>
          <w:color w:val="auto"/>
          <w:sz w:val="24"/>
          <w:highlight w:val="none"/>
        </w:rPr>
      </w:pPr>
      <w:r>
        <w:rPr>
          <w:rFonts w:hint="eastAsia" w:ascii="宋体" w:hAnsi="宋体"/>
          <w:color w:val="auto"/>
          <w:sz w:val="24"/>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0AD1C9F9">
      <w:pPr>
        <w:pageBreakBefore w:val="0"/>
        <w:widowControl w:val="0"/>
        <w:shd w:val="clear"/>
        <w:kinsoku/>
        <w:wordWrap/>
        <w:overflowPunct/>
        <w:topLinePunct w:val="0"/>
        <w:bidi w:val="0"/>
        <w:snapToGrid w:val="0"/>
        <w:spacing w:line="360" w:lineRule="auto"/>
        <w:ind w:firstLine="472" w:firstLineChars="196"/>
        <w:textAlignment w:val="auto"/>
        <w:outlineLvl w:val="2"/>
        <w:rPr>
          <w:rFonts w:ascii="宋体" w:hAnsi="宋体"/>
          <w:b/>
          <w:color w:val="auto"/>
          <w:sz w:val="24"/>
          <w:szCs w:val="20"/>
          <w:highlight w:val="none"/>
        </w:rPr>
      </w:pPr>
      <w:r>
        <w:rPr>
          <w:rFonts w:hint="eastAsia" w:ascii="宋体" w:hAnsi="宋体"/>
          <w:b/>
          <w:color w:val="auto"/>
          <w:sz w:val="24"/>
          <w:highlight w:val="none"/>
        </w:rPr>
        <w:t>（八）投标无效的情形</w:t>
      </w:r>
    </w:p>
    <w:p w14:paraId="74FDE3F6">
      <w:pPr>
        <w:pageBreakBefore w:val="0"/>
        <w:widowControl w:val="0"/>
        <w:shd w:val="clear"/>
        <w:kinsoku/>
        <w:wordWrap/>
        <w:overflowPunct/>
        <w:topLinePunct w:val="0"/>
        <w:bidi w:val="0"/>
        <w:snapToGrid w:val="0"/>
        <w:spacing w:line="360" w:lineRule="auto"/>
        <w:ind w:firstLine="480" w:firstLineChars="200"/>
        <w:textAlignment w:val="auto"/>
        <w:rPr>
          <w:rFonts w:ascii="宋体" w:hAnsi="宋体"/>
          <w:bCs/>
          <w:color w:val="auto"/>
          <w:sz w:val="24"/>
          <w:szCs w:val="20"/>
          <w:highlight w:val="none"/>
        </w:rPr>
      </w:pPr>
      <w:r>
        <w:rPr>
          <w:rFonts w:hint="eastAsia" w:ascii="宋体" w:hAnsi="宋体"/>
          <w:bCs/>
          <w:color w:val="auto"/>
          <w:sz w:val="24"/>
          <w:highlight w:val="none"/>
        </w:rPr>
        <w:t>实质上没有响应招标文件要求的投标将被视为无效投标。投标人不得通过修正或</w:t>
      </w:r>
      <w:r>
        <w:rPr>
          <w:rFonts w:ascii="宋体" w:hAnsi="宋体"/>
          <w:bCs/>
          <w:color w:val="auto"/>
          <w:sz w:val="24"/>
          <w:highlight w:val="none"/>
        </w:rPr>
        <w:t>撤销</w:t>
      </w:r>
      <w:r>
        <w:rPr>
          <w:rFonts w:hint="eastAsia" w:ascii="宋体" w:hAnsi="宋体"/>
          <w:bCs/>
          <w:color w:val="auto"/>
          <w:sz w:val="24"/>
          <w:highlight w:val="none"/>
        </w:rPr>
        <w:t>不合要求的偏离或保留从而使其投标成为实质上响应的投标。对于投标文件中含义不明确、同类问题表述不一致或者有明显文字和计算错误的内容，评标委员会应当要求投标人作出必要的澄清、说明或者补正</w:t>
      </w:r>
      <w:r>
        <w:rPr>
          <w:rFonts w:hint="eastAsia" w:ascii="宋体" w:hAnsi="宋体"/>
          <w:bCs/>
          <w:color w:val="auto"/>
          <w:sz w:val="24"/>
          <w:highlight w:val="none"/>
          <w:lang w:eastAsia="zh-CN"/>
        </w:rPr>
        <w:t>。</w:t>
      </w: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r>
        <w:rPr>
          <w:rFonts w:hint="eastAsia" w:ascii="宋体" w:hAnsi="宋体"/>
          <w:bCs/>
          <w:color w:val="auto"/>
          <w:sz w:val="24"/>
          <w:highlight w:val="none"/>
        </w:rPr>
        <w:t>。</w:t>
      </w:r>
    </w:p>
    <w:p w14:paraId="1AAA3B81">
      <w:pPr>
        <w:pageBreakBefore w:val="0"/>
        <w:widowControl w:val="0"/>
        <w:shd w:val="clear"/>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w:t>
      </w:r>
      <w:r>
        <w:rPr>
          <w:rFonts w:hint="eastAsia" w:ascii="宋体" w:hAnsi="宋体"/>
          <w:b/>
          <w:bCs/>
          <w:color w:val="auto"/>
          <w:sz w:val="24"/>
          <w:highlight w:val="none"/>
          <w:lang w:val="en-US" w:eastAsia="zh-CN"/>
        </w:rPr>
        <w:t>资格</w:t>
      </w:r>
      <w:r>
        <w:rPr>
          <w:rFonts w:ascii="宋体" w:hAnsi="宋体"/>
          <w:b/>
          <w:bCs/>
          <w:color w:val="auto"/>
          <w:sz w:val="24"/>
          <w:highlight w:val="none"/>
        </w:rPr>
        <w:t>审查和</w:t>
      </w:r>
      <w:r>
        <w:rPr>
          <w:rFonts w:hint="eastAsia" w:ascii="宋体" w:hAnsi="宋体"/>
          <w:b/>
          <w:bCs/>
          <w:color w:val="auto"/>
          <w:sz w:val="24"/>
          <w:highlight w:val="none"/>
          <w:lang w:val="en-US" w:eastAsia="zh-CN"/>
        </w:rPr>
        <w:t>技术资信</w:t>
      </w:r>
      <w:r>
        <w:rPr>
          <w:rFonts w:ascii="宋体" w:hAnsi="宋体"/>
          <w:b/>
          <w:bCs/>
          <w:color w:val="auto"/>
          <w:sz w:val="24"/>
          <w:highlight w:val="none"/>
        </w:rPr>
        <w:t>评审时，如发现下列情形之一的，</w:t>
      </w:r>
      <w:r>
        <w:rPr>
          <w:rFonts w:hint="eastAsia" w:ascii="宋体" w:hAnsi="宋体"/>
          <w:b/>
          <w:bCs/>
          <w:color w:val="auto"/>
          <w:sz w:val="24"/>
          <w:highlight w:val="none"/>
        </w:rPr>
        <w:t>投标文件</w:t>
      </w:r>
      <w:r>
        <w:rPr>
          <w:rFonts w:ascii="宋体" w:hAnsi="宋体"/>
          <w:b/>
          <w:bCs/>
          <w:color w:val="auto"/>
          <w:sz w:val="24"/>
          <w:highlight w:val="none"/>
        </w:rPr>
        <w:t>将被视为无效：</w:t>
      </w:r>
    </w:p>
    <w:p w14:paraId="21FC2DEA">
      <w:pPr>
        <w:shd w:val="clea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（1）未按照招标文件的规定提交投标保证金的；</w:t>
      </w:r>
    </w:p>
    <w:p w14:paraId="7A30BDE6">
      <w:pPr>
        <w:shd w:val="clea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（2）不具备招标文件中规定的资格要求的或资格证明文件不全的；</w:t>
      </w:r>
    </w:p>
    <w:p w14:paraId="29ADEDB3">
      <w:pPr>
        <w:shd w:val="clea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（3）投标文件未按招标文件要求签署、盖章的；</w:t>
      </w:r>
    </w:p>
    <w:p w14:paraId="018BCFA1">
      <w:pPr>
        <w:shd w:val="clea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（4）投标文件组成不符合招标文件要求的；</w:t>
      </w:r>
    </w:p>
    <w:p w14:paraId="7D0D8139">
      <w:pPr>
        <w:shd w:val="clea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（5）投标文件未按招标文件提供的格式进行编写的；</w:t>
      </w:r>
    </w:p>
    <w:p w14:paraId="10DB1903">
      <w:pPr>
        <w:shd w:val="clea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（6）投标文件份数不符合招标文件要求的；</w:t>
      </w:r>
    </w:p>
    <w:p w14:paraId="6DEB43BA">
      <w:pPr>
        <w:shd w:val="clear"/>
        <w:snapToGrid w:val="0"/>
        <w:spacing w:line="360" w:lineRule="auto"/>
        <w:ind w:firstLine="480" w:firstLineChars="200"/>
        <w:rPr>
          <w:rFonts w:hint="eastAsia" w:ascii="宋体" w:hAnsi="宋体" w:eastAsia="宋体"/>
          <w:bCs/>
          <w:color w:val="auto"/>
          <w:sz w:val="24"/>
          <w:highlight w:val="none"/>
          <w:lang w:eastAsia="zh-CN"/>
        </w:rPr>
      </w:pPr>
      <w:r>
        <w:rPr>
          <w:rFonts w:hint="eastAsia" w:ascii="宋体" w:hAnsi="宋体"/>
          <w:bCs/>
          <w:color w:val="auto"/>
          <w:sz w:val="24"/>
          <w:highlight w:val="none"/>
        </w:rPr>
        <w:t>（7）投标文件的实质性内容未使用中文表述或者使用计量单位不符合招标文件要求的（经评标委员会认定并允许其当场更正的笔误除外）</w:t>
      </w:r>
      <w:r>
        <w:rPr>
          <w:rFonts w:hint="eastAsia" w:ascii="宋体" w:hAnsi="宋体"/>
          <w:bCs/>
          <w:color w:val="auto"/>
          <w:sz w:val="24"/>
          <w:highlight w:val="none"/>
          <w:lang w:eastAsia="zh-CN"/>
        </w:rPr>
        <w:t>；</w:t>
      </w:r>
    </w:p>
    <w:p w14:paraId="219A6C94">
      <w:pPr>
        <w:shd w:val="clea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（8）投标有效期、工期等商务条款不能满足招标文件要求的；</w:t>
      </w:r>
    </w:p>
    <w:p w14:paraId="076436F5">
      <w:pPr>
        <w:shd w:val="clea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（9）未实质性响应招标文件要求或者投标文件有招标方不能接受的附加条件的；</w:t>
      </w:r>
    </w:p>
    <w:p w14:paraId="6F346667">
      <w:pPr>
        <w:shd w:val="clea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（10）法律法规或规章规定属无效标情形的</w:t>
      </w:r>
      <w:r>
        <w:rPr>
          <w:rFonts w:hint="eastAsia" w:ascii="宋体" w:hAnsi="宋体"/>
          <w:bCs/>
          <w:color w:val="auto"/>
          <w:sz w:val="24"/>
          <w:highlight w:val="none"/>
          <w:lang w:eastAsia="zh-CN"/>
        </w:rPr>
        <w:t>；</w:t>
      </w:r>
    </w:p>
    <w:p w14:paraId="525270B2">
      <w:pPr>
        <w:shd w:val="clear"/>
        <w:snapToGrid w:val="0"/>
        <w:spacing w:line="360" w:lineRule="auto"/>
        <w:ind w:firstLine="482" w:firstLineChars="200"/>
        <w:rPr>
          <w:rFonts w:hint="eastAsia" w:ascii="宋体" w:hAnsi="宋体" w:cs="Times New Roman"/>
          <w:b/>
          <w:bCs w:val="0"/>
          <w:color w:val="auto"/>
          <w:sz w:val="24"/>
          <w:highlight w:val="none"/>
          <w:lang w:eastAsia="zh-CN"/>
        </w:rPr>
      </w:pPr>
      <w:r>
        <w:rPr>
          <w:rFonts w:hint="eastAsia" w:ascii="宋体" w:hAnsi="宋体" w:cs="Times New Roman"/>
          <w:b/>
          <w:bCs w:val="0"/>
          <w:color w:val="auto"/>
          <w:sz w:val="24"/>
          <w:highlight w:val="none"/>
          <w:lang w:eastAsia="zh-CN"/>
        </w:rPr>
        <w:t>（</w:t>
      </w:r>
      <w:r>
        <w:rPr>
          <w:rFonts w:hint="eastAsia" w:ascii="宋体" w:hAnsi="宋体" w:cs="Times New Roman"/>
          <w:b/>
          <w:bCs w:val="0"/>
          <w:color w:val="auto"/>
          <w:sz w:val="24"/>
          <w:highlight w:val="none"/>
          <w:lang w:val="en-US" w:eastAsia="zh-CN"/>
        </w:rPr>
        <w:t>1</w:t>
      </w:r>
      <w:r>
        <w:rPr>
          <w:rFonts w:hint="default" w:ascii="宋体" w:hAnsi="宋体" w:cs="Times New Roman"/>
          <w:b/>
          <w:bCs w:val="0"/>
          <w:color w:val="auto"/>
          <w:sz w:val="24"/>
          <w:highlight w:val="none"/>
          <w:lang w:eastAsia="zh-CN"/>
        </w:rPr>
        <w:t>1</w:t>
      </w:r>
      <w:r>
        <w:rPr>
          <w:rFonts w:hint="eastAsia" w:ascii="宋体" w:hAnsi="宋体" w:cs="Times New Roman"/>
          <w:b/>
          <w:bCs w:val="0"/>
          <w:color w:val="auto"/>
          <w:sz w:val="24"/>
          <w:highlight w:val="none"/>
          <w:lang w:val="en-US" w:eastAsia="zh-CN"/>
        </w:rPr>
        <w:t>）资格标、</w:t>
      </w:r>
      <w:r>
        <w:rPr>
          <w:rFonts w:hint="eastAsia" w:ascii="宋体" w:hAnsi="宋体" w:eastAsia="宋体" w:cs="Times New Roman"/>
          <w:b/>
          <w:bCs w:val="0"/>
          <w:color w:val="auto"/>
          <w:sz w:val="24"/>
          <w:highlight w:val="none"/>
          <w:lang w:val="en-US" w:eastAsia="zh-CN"/>
        </w:rPr>
        <w:t>技术资信标跟商务标出现混装或在</w:t>
      </w:r>
      <w:r>
        <w:rPr>
          <w:rFonts w:hint="eastAsia" w:ascii="宋体" w:hAnsi="宋体" w:cs="Times New Roman"/>
          <w:b/>
          <w:bCs w:val="0"/>
          <w:color w:val="auto"/>
          <w:sz w:val="24"/>
          <w:highlight w:val="none"/>
          <w:lang w:val="en-US" w:eastAsia="zh-CN"/>
        </w:rPr>
        <w:t>资格标、</w:t>
      </w:r>
      <w:r>
        <w:rPr>
          <w:rFonts w:hint="eastAsia" w:ascii="宋体" w:hAnsi="宋体" w:eastAsia="宋体" w:cs="Times New Roman"/>
          <w:b/>
          <w:bCs w:val="0"/>
          <w:color w:val="auto"/>
          <w:sz w:val="24"/>
          <w:highlight w:val="none"/>
          <w:lang w:val="en-US" w:eastAsia="zh-CN"/>
        </w:rPr>
        <w:t>技术资信标中出现投标报价的。</w:t>
      </w:r>
    </w:p>
    <w:p w14:paraId="64DDCD08">
      <w:pPr>
        <w:pStyle w:val="3"/>
        <w:pageBreakBefore w:val="0"/>
        <w:widowControl w:val="0"/>
        <w:shd w:val="clear"/>
        <w:kinsoku/>
        <w:wordWrap/>
        <w:overflowPunct/>
        <w:topLinePunct w:val="0"/>
        <w:bidi w:val="0"/>
        <w:snapToGrid w:val="0"/>
        <w:spacing w:line="360" w:lineRule="auto"/>
        <w:ind w:firstLine="457" w:firstLineChars="196"/>
        <w:textAlignment w:val="auto"/>
        <w:rPr>
          <w:rFonts w:hAnsi="宋体"/>
          <w:b/>
          <w:bCs/>
          <w:color w:val="auto"/>
          <w:sz w:val="24"/>
          <w:highlight w:val="none"/>
        </w:rPr>
      </w:pPr>
      <w:r>
        <w:rPr>
          <w:rFonts w:hAnsi="宋体"/>
          <w:b/>
          <w:bCs/>
          <w:color w:val="auto"/>
          <w:sz w:val="24"/>
          <w:highlight w:val="none"/>
        </w:rPr>
        <w:t>2.在</w:t>
      </w:r>
      <w:r>
        <w:rPr>
          <w:rFonts w:hint="eastAsia" w:hAnsi="宋体"/>
          <w:b/>
          <w:bCs/>
          <w:color w:val="auto"/>
          <w:sz w:val="24"/>
          <w:highlight w:val="none"/>
          <w:lang w:val="en-US" w:eastAsia="zh-CN"/>
        </w:rPr>
        <w:t>商务标</w:t>
      </w:r>
      <w:r>
        <w:rPr>
          <w:rFonts w:hAnsi="宋体"/>
          <w:b/>
          <w:bCs/>
          <w:color w:val="auto"/>
          <w:sz w:val="24"/>
          <w:highlight w:val="none"/>
        </w:rPr>
        <w:t>评审时，如发现下列情形之一的，</w:t>
      </w:r>
      <w:r>
        <w:rPr>
          <w:rFonts w:hint="eastAsia" w:hAnsi="宋体"/>
          <w:b/>
          <w:bCs/>
          <w:color w:val="auto"/>
          <w:sz w:val="24"/>
          <w:highlight w:val="none"/>
        </w:rPr>
        <w:t>投标文件</w:t>
      </w:r>
      <w:r>
        <w:rPr>
          <w:rFonts w:hAnsi="宋体"/>
          <w:b/>
          <w:bCs/>
          <w:color w:val="auto"/>
          <w:sz w:val="24"/>
          <w:highlight w:val="none"/>
        </w:rPr>
        <w:t>将被视为无效：</w:t>
      </w:r>
    </w:p>
    <w:p w14:paraId="13873279">
      <w:pPr>
        <w:pStyle w:val="3"/>
        <w:shd w:val="clear"/>
        <w:snapToGrid w:val="0"/>
        <w:spacing w:line="360" w:lineRule="auto"/>
        <w:ind w:firstLine="454" w:firstLineChars="196"/>
        <w:rPr>
          <w:rFonts w:hAnsi="宋体"/>
          <w:color w:val="auto"/>
          <w:sz w:val="24"/>
          <w:highlight w:val="none"/>
        </w:rPr>
      </w:pPr>
      <w:r>
        <w:rPr>
          <w:rFonts w:hAnsi="宋体"/>
          <w:color w:val="auto"/>
          <w:sz w:val="24"/>
          <w:highlight w:val="none"/>
        </w:rPr>
        <w:t>（1）未采用人民币报价或者未按照招标文件标明的币种报价的；</w:t>
      </w:r>
    </w:p>
    <w:p w14:paraId="7700B501">
      <w:pPr>
        <w:pStyle w:val="3"/>
        <w:shd w:val="clear"/>
        <w:snapToGrid w:val="0"/>
        <w:spacing w:line="360" w:lineRule="auto"/>
        <w:ind w:firstLine="454" w:firstLineChars="196"/>
        <w:rPr>
          <w:rFonts w:hAnsi="宋体"/>
          <w:color w:val="auto"/>
          <w:sz w:val="24"/>
          <w:highlight w:val="none"/>
        </w:rPr>
      </w:pPr>
      <w:r>
        <w:rPr>
          <w:rFonts w:hAnsi="宋体"/>
          <w:color w:val="auto"/>
          <w:sz w:val="24"/>
          <w:highlight w:val="none"/>
        </w:rPr>
        <w:t>（2）投标报价具有选择性，或者开标价格与投标文件承诺的优惠（折扣）价格不一致的；</w:t>
      </w:r>
    </w:p>
    <w:p w14:paraId="2430F957">
      <w:pPr>
        <w:pStyle w:val="3"/>
        <w:shd w:val="clear"/>
        <w:snapToGrid w:val="0"/>
        <w:spacing w:line="360" w:lineRule="auto"/>
        <w:ind w:firstLine="454" w:firstLineChars="196"/>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和</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r>
        <w:rPr>
          <w:rFonts w:hint="eastAsia" w:hAnsi="宋体"/>
          <w:color w:val="auto"/>
          <w:sz w:val="24"/>
          <w:highlight w:val="none"/>
        </w:rPr>
        <w:t>；</w:t>
      </w:r>
    </w:p>
    <w:p w14:paraId="5C636549">
      <w:pPr>
        <w:pStyle w:val="11"/>
        <w:pageBreakBefore w:val="0"/>
        <w:widowControl w:val="0"/>
        <w:shd w:val="clear"/>
        <w:kinsoku/>
        <w:wordWrap/>
        <w:overflowPunct/>
        <w:topLinePunct w:val="0"/>
        <w:bidi w:val="0"/>
        <w:spacing w:before="0" w:beforeLines="0" w:after="0" w:afterLines="0" w:line="360" w:lineRule="auto"/>
        <w:ind w:firstLine="480" w:firstLineChars="200"/>
        <w:textAlignment w:val="auto"/>
        <w:rPr>
          <w:rFonts w:hint="eastAsia" w:hAnsi="宋体"/>
          <w:b/>
          <w:color w:val="auto"/>
          <w:sz w:val="24"/>
          <w:highlight w:val="none"/>
          <w:lang w:eastAsia="zh-CN"/>
        </w:rPr>
      </w:pPr>
      <w:r>
        <w:rPr>
          <w:rFonts w:hint="eastAsia" w:hAnsi="宋体"/>
          <w:color w:val="auto"/>
          <w:sz w:val="24"/>
          <w:highlight w:val="none"/>
          <w:lang w:eastAsia="zh-CN"/>
        </w:rPr>
        <w:t>（</w:t>
      </w:r>
      <w:r>
        <w:rPr>
          <w:rFonts w:hint="eastAsia" w:hAnsi="宋体"/>
          <w:color w:val="auto"/>
          <w:sz w:val="24"/>
          <w:highlight w:val="none"/>
          <w:lang w:val="en-US" w:eastAsia="zh-CN"/>
        </w:rPr>
        <w:t>4</w:t>
      </w:r>
      <w:r>
        <w:rPr>
          <w:rFonts w:hint="eastAsia" w:hAnsi="宋体"/>
          <w:color w:val="auto"/>
          <w:sz w:val="24"/>
          <w:highlight w:val="none"/>
        </w:rPr>
        <w:t>）</w:t>
      </w:r>
      <w:r>
        <w:rPr>
          <w:rFonts w:hAnsi="宋体"/>
          <w:b/>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hAnsi="宋体"/>
          <w:b/>
          <w:color w:val="auto"/>
          <w:sz w:val="24"/>
          <w:highlight w:val="none"/>
        </w:rPr>
        <w:t>；</w:t>
      </w:r>
      <w:r>
        <w:rPr>
          <w:rFonts w:hAnsi="宋体"/>
          <w:b/>
          <w:color w:val="auto"/>
          <w:sz w:val="24"/>
          <w:highlight w:val="none"/>
        </w:rPr>
        <w:t>投标人不能证明其报价合理性的，评标委员会应当将其作为无效投标处理</w:t>
      </w:r>
      <w:r>
        <w:rPr>
          <w:rFonts w:hint="eastAsia" w:hAnsi="宋体"/>
          <w:b/>
          <w:color w:val="auto"/>
          <w:sz w:val="24"/>
          <w:highlight w:val="none"/>
          <w:lang w:val="en-US" w:eastAsia="zh-CN"/>
        </w:rPr>
        <w:t>。</w:t>
      </w:r>
    </w:p>
    <w:p w14:paraId="1D77E43E">
      <w:pPr>
        <w:pStyle w:val="3"/>
        <w:pageBreakBefore w:val="0"/>
        <w:widowControl w:val="0"/>
        <w:shd w:val="clear"/>
        <w:kinsoku/>
        <w:wordWrap/>
        <w:overflowPunct/>
        <w:topLinePunct w:val="0"/>
        <w:bidi w:val="0"/>
        <w:snapToGrid w:val="0"/>
        <w:spacing w:line="360" w:lineRule="auto"/>
        <w:ind w:firstLine="535" w:firstLineChars="196"/>
        <w:textAlignment w:val="auto"/>
        <w:outlineLvl w:val="1"/>
        <w:rPr>
          <w:rFonts w:hAnsi="宋体"/>
          <w:b/>
          <w:snapToGrid w:val="0"/>
          <w:color w:val="auto"/>
          <w:sz w:val="28"/>
          <w:szCs w:val="28"/>
          <w:highlight w:val="none"/>
        </w:rPr>
      </w:pPr>
      <w:r>
        <w:rPr>
          <w:rFonts w:hAnsi="宋体"/>
          <w:b/>
          <w:color w:val="auto"/>
          <w:sz w:val="28"/>
          <w:szCs w:val="28"/>
          <w:highlight w:val="none"/>
        </w:rPr>
        <w:t>四、开标</w:t>
      </w:r>
    </w:p>
    <w:p w14:paraId="50C84849">
      <w:pPr>
        <w:pStyle w:val="11"/>
        <w:pageBreakBefore w:val="0"/>
        <w:widowControl w:val="0"/>
        <w:shd w:val="clear"/>
        <w:kinsoku/>
        <w:wordWrap/>
        <w:overflowPunct/>
        <w:topLinePunct w:val="0"/>
        <w:bidi w:val="0"/>
        <w:snapToGrid w:val="0"/>
        <w:spacing w:before="0" w:beforeLines="0" w:after="0" w:afterLines="0" w:line="360" w:lineRule="auto"/>
        <w:ind w:firstLine="472" w:firstLineChars="196"/>
        <w:textAlignment w:val="auto"/>
        <w:rPr>
          <w:rFonts w:hAnsi="宋体"/>
          <w:b/>
          <w:color w:val="auto"/>
          <w:highlight w:val="none"/>
        </w:rPr>
      </w:pPr>
      <w:r>
        <w:rPr>
          <w:rFonts w:hAnsi="宋体"/>
          <w:b/>
          <w:color w:val="auto"/>
          <w:highlight w:val="none"/>
        </w:rPr>
        <w:t>（一）开标准备</w:t>
      </w:r>
    </w:p>
    <w:p w14:paraId="714EE0F4">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rPr>
          <w:rFonts w:hAnsi="宋体"/>
          <w:bCs/>
          <w:color w:val="auto"/>
          <w:highlight w:val="none"/>
        </w:rPr>
      </w:pPr>
      <w:r>
        <w:rPr>
          <w:rFonts w:hAnsi="宋体"/>
          <w:bCs/>
          <w:color w:val="auto"/>
          <w:highlight w:val="none"/>
        </w:rPr>
        <w:t>采购代理机构将在规定的时间和地点进行开标，投标人的法定代表人或其授权代表应参加开标会并签到。投标人的法定代表人或其授权代表未按时签到的，视同放弃开标监督权利、认可开标结果。</w:t>
      </w:r>
      <w:r>
        <w:rPr>
          <w:rFonts w:hint="eastAsia" w:hAnsi="宋体"/>
          <w:b/>
          <w:bCs/>
          <w:color w:val="auto"/>
          <w:highlight w:val="none"/>
        </w:rPr>
        <w:t>（本项目先开</w:t>
      </w:r>
      <w:r>
        <w:rPr>
          <w:rFonts w:hint="eastAsia" w:hAnsi="宋体"/>
          <w:b/>
          <w:bCs/>
          <w:color w:val="auto"/>
          <w:highlight w:val="none"/>
          <w:lang w:val="en-US" w:eastAsia="zh-CN"/>
        </w:rPr>
        <w:t>资格标和</w:t>
      </w:r>
      <w:r>
        <w:rPr>
          <w:rFonts w:hint="eastAsia" w:hAnsi="宋体"/>
          <w:b/>
          <w:bCs/>
          <w:color w:val="auto"/>
          <w:highlight w:val="none"/>
        </w:rPr>
        <w:t>技术资信标，最后开商务标）</w:t>
      </w:r>
    </w:p>
    <w:p w14:paraId="1CDE31FD">
      <w:pPr>
        <w:pStyle w:val="11"/>
        <w:pageBreakBefore w:val="0"/>
        <w:widowControl w:val="0"/>
        <w:shd w:val="clear"/>
        <w:kinsoku/>
        <w:wordWrap/>
        <w:overflowPunct/>
        <w:topLinePunct w:val="0"/>
        <w:bidi w:val="0"/>
        <w:snapToGrid w:val="0"/>
        <w:spacing w:before="0" w:beforeLines="0" w:after="0" w:afterLines="0" w:line="360" w:lineRule="auto"/>
        <w:ind w:firstLine="472" w:firstLineChars="196"/>
        <w:textAlignment w:val="auto"/>
        <w:rPr>
          <w:rFonts w:hAnsi="宋体"/>
          <w:b/>
          <w:color w:val="auto"/>
          <w:highlight w:val="none"/>
        </w:rPr>
      </w:pPr>
      <w:r>
        <w:rPr>
          <w:rFonts w:hAnsi="宋体"/>
          <w:b/>
          <w:color w:val="auto"/>
          <w:highlight w:val="none"/>
        </w:rPr>
        <w:t>（二） 开标程序：</w:t>
      </w:r>
    </w:p>
    <w:p w14:paraId="59025842">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rPr>
        <w:t>1、开标会由招标人主持，主持人宣布开标会议开始；</w:t>
      </w:r>
    </w:p>
    <w:p w14:paraId="1912EE65">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rPr>
        <w:t>2、主持人宣布</w:t>
      </w:r>
      <w:r>
        <w:rPr>
          <w:rFonts w:hint="eastAsia" w:hAnsi="宋体"/>
          <w:color w:val="auto"/>
          <w:highlight w:val="none"/>
          <w:lang w:val="en-US" w:eastAsia="zh-CN"/>
        </w:rPr>
        <w:t>开</w:t>
      </w:r>
      <w:r>
        <w:rPr>
          <w:rFonts w:hint="eastAsia" w:hAnsi="宋体"/>
          <w:color w:val="auto"/>
          <w:highlight w:val="none"/>
        </w:rPr>
        <w:t>标期间的有关事项；</w:t>
      </w:r>
    </w:p>
    <w:p w14:paraId="408A39C3">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3</w:t>
      </w:r>
      <w:r>
        <w:rPr>
          <w:rFonts w:hint="eastAsia" w:hAnsi="宋体"/>
          <w:color w:val="auto"/>
          <w:highlight w:val="none"/>
        </w:rPr>
        <w:t>、投标人或其当场推荐的代表，检查投标文件密封的完整性；</w:t>
      </w:r>
    </w:p>
    <w:p w14:paraId="7CFEE89F">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4</w:t>
      </w:r>
      <w:r>
        <w:rPr>
          <w:rFonts w:hint="eastAsia" w:hAnsi="宋体"/>
          <w:color w:val="auto"/>
          <w:highlight w:val="none"/>
        </w:rPr>
        <w:t>、主持人当场拆封</w:t>
      </w:r>
      <w:r>
        <w:rPr>
          <w:rFonts w:hint="eastAsia" w:hAnsi="宋体"/>
          <w:color w:val="auto"/>
          <w:highlight w:val="none"/>
          <w:lang w:val="en-US" w:eastAsia="zh-CN"/>
        </w:rPr>
        <w:t>资格标和</w:t>
      </w:r>
      <w:r>
        <w:rPr>
          <w:rFonts w:hint="eastAsia" w:hAnsi="宋体"/>
          <w:color w:val="auto"/>
          <w:highlight w:val="none"/>
        </w:rPr>
        <w:t>技术资信标，并现场唱标；</w:t>
      </w:r>
    </w:p>
    <w:p w14:paraId="53988FE6">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、待</w:t>
      </w:r>
      <w:r>
        <w:rPr>
          <w:rFonts w:hint="eastAsia" w:hAnsi="宋体"/>
          <w:color w:val="auto"/>
          <w:highlight w:val="none"/>
          <w:lang w:val="en-US" w:eastAsia="zh-CN"/>
        </w:rPr>
        <w:t>资格标和</w:t>
      </w:r>
      <w:r>
        <w:rPr>
          <w:rFonts w:hint="eastAsia" w:hAnsi="宋体"/>
          <w:color w:val="auto"/>
          <w:highlight w:val="none"/>
        </w:rPr>
        <w:t>技术资信标评审结束并宣布结果后再拆封商务标，并现场宣读《开标一览表》中的投标报价、投标内容，以及采购人认为有必要宣读的其他内容；</w:t>
      </w:r>
    </w:p>
    <w:p w14:paraId="0F5258DE">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6</w:t>
      </w:r>
      <w:r>
        <w:rPr>
          <w:rFonts w:hint="eastAsia" w:hAnsi="宋体"/>
          <w:color w:val="auto"/>
          <w:highlight w:val="none"/>
        </w:rPr>
        <w:t>、采购人做开标记录</w:t>
      </w:r>
      <w:r>
        <w:rPr>
          <w:rFonts w:hAnsi="宋体"/>
          <w:color w:val="auto"/>
          <w:highlight w:val="none"/>
        </w:rPr>
        <w:t>，</w:t>
      </w:r>
      <w:r>
        <w:rPr>
          <w:rFonts w:hint="eastAsia" w:hAnsi="宋体"/>
          <w:color w:val="auto"/>
          <w:highlight w:val="none"/>
        </w:rPr>
        <w:t xml:space="preserve"> 投标人代表对开标记录进行当场校核及勘误，并签字确认。同时由记录人、监督人当场签字确认。投标人代表未到场签字确认或者拒绝签字确认的，不影响评标过程；</w:t>
      </w:r>
    </w:p>
    <w:p w14:paraId="5C9C8666">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7</w:t>
      </w:r>
      <w:r>
        <w:rPr>
          <w:rFonts w:hint="eastAsia" w:hAnsi="宋体"/>
          <w:color w:val="auto"/>
          <w:highlight w:val="none"/>
        </w:rPr>
        <w:t>、评标委员会对商务标进行评审及必要的询标，计算价格分及总得分；</w:t>
      </w:r>
    </w:p>
    <w:p w14:paraId="64895E3E">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8</w:t>
      </w:r>
      <w:r>
        <w:rPr>
          <w:rFonts w:hint="eastAsia" w:hAnsi="宋体"/>
          <w:color w:val="auto"/>
          <w:highlight w:val="none"/>
        </w:rPr>
        <w:t>、评标委员会确定中标候选人，编写评标报告；</w:t>
      </w:r>
    </w:p>
    <w:p w14:paraId="2C12AB44">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outlineLvl w:val="1"/>
        <w:rPr>
          <w:rFonts w:hAnsi="宋体"/>
          <w:color w:val="auto"/>
          <w:highlight w:val="none"/>
        </w:rPr>
      </w:pPr>
      <w:r>
        <w:rPr>
          <w:rFonts w:hint="eastAsia" w:hAnsi="宋体"/>
          <w:color w:val="auto"/>
          <w:highlight w:val="none"/>
          <w:lang w:val="en-US" w:eastAsia="zh-CN"/>
        </w:rPr>
        <w:t>9</w:t>
      </w:r>
      <w:r>
        <w:rPr>
          <w:rFonts w:hint="eastAsia" w:hAnsi="宋体"/>
          <w:color w:val="auto"/>
          <w:highlight w:val="none"/>
        </w:rPr>
        <w:t>、宣布评标结果，开标会议结束。</w:t>
      </w:r>
    </w:p>
    <w:p w14:paraId="34A9F31A">
      <w:pPr>
        <w:pStyle w:val="11"/>
        <w:pageBreakBefore w:val="0"/>
        <w:widowControl w:val="0"/>
        <w:shd w:val="clear"/>
        <w:kinsoku/>
        <w:wordWrap/>
        <w:overflowPunct/>
        <w:topLinePunct w:val="0"/>
        <w:bidi w:val="0"/>
        <w:snapToGrid w:val="0"/>
        <w:spacing w:before="0" w:beforeLines="0" w:after="0" w:afterLines="0" w:line="360" w:lineRule="auto"/>
        <w:ind w:left="1029" w:leftChars="193" w:hanging="489" w:hangingChars="174"/>
        <w:textAlignment w:val="auto"/>
        <w:outlineLvl w:val="1"/>
        <w:rPr>
          <w:rFonts w:hAnsi="宋体"/>
          <w:b/>
          <w:color w:val="auto"/>
          <w:sz w:val="28"/>
          <w:szCs w:val="28"/>
          <w:highlight w:val="none"/>
        </w:rPr>
      </w:pPr>
      <w:r>
        <w:rPr>
          <w:rFonts w:hAnsi="宋体"/>
          <w:b/>
          <w:color w:val="auto"/>
          <w:sz w:val="28"/>
          <w:szCs w:val="28"/>
          <w:highlight w:val="none"/>
        </w:rPr>
        <w:t>五、评标</w:t>
      </w:r>
    </w:p>
    <w:p w14:paraId="0AD150E4">
      <w:pPr>
        <w:pStyle w:val="11"/>
        <w:pageBreakBefore w:val="0"/>
        <w:widowControl w:val="0"/>
        <w:shd w:val="clear"/>
        <w:kinsoku/>
        <w:wordWrap/>
        <w:overflowPunct/>
        <w:topLinePunct w:val="0"/>
        <w:bidi w:val="0"/>
        <w:snapToGrid w:val="0"/>
        <w:spacing w:before="0" w:beforeLines="0" w:after="0" w:afterLines="0" w:line="360" w:lineRule="auto"/>
        <w:ind w:left="876" w:leftChars="128" w:hanging="518" w:hangingChars="215"/>
        <w:textAlignment w:val="auto"/>
        <w:rPr>
          <w:rFonts w:hAnsi="宋体"/>
          <w:b/>
          <w:color w:val="auto"/>
          <w:highlight w:val="none"/>
        </w:rPr>
      </w:pPr>
      <w:r>
        <w:rPr>
          <w:rFonts w:hAnsi="宋体"/>
          <w:b/>
          <w:color w:val="auto"/>
          <w:highlight w:val="none"/>
        </w:rPr>
        <w:t>（一）组建</w:t>
      </w:r>
      <w:r>
        <w:rPr>
          <w:rFonts w:hint="eastAsia" w:hAnsi="宋体"/>
          <w:b/>
          <w:color w:val="auto"/>
          <w:highlight w:val="none"/>
        </w:rPr>
        <w:t>评标委员会</w:t>
      </w:r>
    </w:p>
    <w:p w14:paraId="27C866E4">
      <w:pPr>
        <w:pageBreakBefore w:val="0"/>
        <w:widowControl w:val="0"/>
        <w:shd w:val="clear"/>
        <w:kinsoku/>
        <w:wordWrap/>
        <w:overflowPunct/>
        <w:topLinePunct w:val="0"/>
        <w:bidi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1、本项目评标委员会由评审专家和采购人代表</w:t>
      </w:r>
      <w:r>
        <w:rPr>
          <w:rFonts w:hint="eastAsia" w:ascii="宋体" w:hAnsi="宋体" w:cs="宋体"/>
          <w:color w:val="auto"/>
          <w:sz w:val="24"/>
          <w:szCs w:val="24"/>
          <w:highlight w:val="none"/>
          <w:lang w:eastAsia="zh-CN"/>
        </w:rPr>
        <w:t>（如有）</w:t>
      </w:r>
      <w:r>
        <w:rPr>
          <w:rFonts w:hint="eastAsia" w:ascii="宋体" w:hAnsi="宋体" w:cs="宋体"/>
          <w:color w:val="auto"/>
          <w:sz w:val="24"/>
          <w:szCs w:val="24"/>
          <w:highlight w:val="none"/>
        </w:rPr>
        <w:t>组成；</w:t>
      </w:r>
    </w:p>
    <w:p w14:paraId="51328A70">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2、评标委员会确定方式：</w:t>
      </w:r>
      <w:r>
        <w:rPr>
          <w:rFonts w:hint="eastAsia" w:hAnsi="宋体" w:cs="宋体"/>
          <w:color w:val="auto"/>
          <w:sz w:val="24"/>
          <w:szCs w:val="24"/>
          <w:highlight w:val="none"/>
          <w:lang w:val="en-US" w:eastAsia="zh-CN"/>
        </w:rPr>
        <w:t>由招标人组建，</w:t>
      </w:r>
      <w:r>
        <w:rPr>
          <w:rFonts w:hint="eastAsia" w:ascii="宋体" w:hAnsi="宋体" w:cs="宋体"/>
          <w:color w:val="auto"/>
          <w:sz w:val="24"/>
          <w:szCs w:val="24"/>
          <w:highlight w:val="none"/>
        </w:rPr>
        <w:t>成员为 5 人及以上单数。</w:t>
      </w:r>
    </w:p>
    <w:p w14:paraId="56A36077">
      <w:pPr>
        <w:pStyle w:val="11"/>
        <w:pageBreakBefore w:val="0"/>
        <w:widowControl w:val="0"/>
        <w:shd w:val="clear"/>
        <w:kinsoku/>
        <w:wordWrap/>
        <w:overflowPunct/>
        <w:topLinePunct w:val="0"/>
        <w:bidi w:val="0"/>
        <w:snapToGrid w:val="0"/>
        <w:spacing w:before="0" w:beforeLines="0" w:after="0" w:afterLines="0" w:line="360" w:lineRule="auto"/>
        <w:ind w:left="879" w:leftChars="129" w:hanging="518" w:hangingChars="215"/>
        <w:textAlignment w:val="auto"/>
        <w:rPr>
          <w:rFonts w:hAnsi="宋体"/>
          <w:b/>
          <w:color w:val="auto"/>
          <w:highlight w:val="none"/>
        </w:rPr>
      </w:pPr>
      <w:r>
        <w:rPr>
          <w:rFonts w:hAnsi="宋体"/>
          <w:b/>
          <w:color w:val="auto"/>
          <w:highlight w:val="none"/>
        </w:rPr>
        <w:t>（二）评标的方式</w:t>
      </w:r>
    </w:p>
    <w:p w14:paraId="315C3A24">
      <w:pPr>
        <w:pStyle w:val="11"/>
        <w:pageBreakBefore w:val="0"/>
        <w:widowControl w:val="0"/>
        <w:shd w:val="clear"/>
        <w:kinsoku/>
        <w:wordWrap/>
        <w:overflowPunct/>
        <w:topLinePunct w:val="0"/>
        <w:bidi w:val="0"/>
        <w:snapToGrid w:val="0"/>
        <w:spacing w:before="0" w:beforeLines="0" w:after="0" w:afterLines="0" w:line="360" w:lineRule="auto"/>
        <w:ind w:left="878" w:leftChars="228" w:hanging="240" w:hangingChars="100"/>
        <w:textAlignment w:val="auto"/>
        <w:rPr>
          <w:rFonts w:hAnsi="宋体"/>
          <w:color w:val="auto"/>
          <w:highlight w:val="none"/>
        </w:rPr>
      </w:pPr>
      <w:r>
        <w:rPr>
          <w:rFonts w:hAnsi="宋体"/>
          <w:color w:val="auto"/>
          <w:highlight w:val="none"/>
        </w:rPr>
        <w:t>本项目采用不公开方式评标，评标的依据为</w:t>
      </w:r>
      <w:r>
        <w:rPr>
          <w:rFonts w:hint="eastAsia" w:hAnsi="宋体"/>
          <w:color w:val="auto"/>
          <w:highlight w:val="none"/>
        </w:rPr>
        <w:t>招标文件</w:t>
      </w:r>
      <w:r>
        <w:rPr>
          <w:rFonts w:hAnsi="宋体"/>
          <w:color w:val="auto"/>
          <w:highlight w:val="none"/>
        </w:rPr>
        <w:t>和</w:t>
      </w:r>
      <w:r>
        <w:rPr>
          <w:rFonts w:hint="eastAsia" w:hAnsi="宋体"/>
          <w:color w:val="auto"/>
          <w:highlight w:val="none"/>
        </w:rPr>
        <w:t>投标文件</w:t>
      </w:r>
      <w:r>
        <w:rPr>
          <w:rFonts w:hAnsi="宋体"/>
          <w:color w:val="auto"/>
          <w:highlight w:val="none"/>
        </w:rPr>
        <w:t>。</w:t>
      </w:r>
    </w:p>
    <w:p w14:paraId="52678690">
      <w:pPr>
        <w:pStyle w:val="11"/>
        <w:pageBreakBefore w:val="0"/>
        <w:widowControl w:val="0"/>
        <w:shd w:val="clear"/>
        <w:kinsoku/>
        <w:wordWrap/>
        <w:overflowPunct/>
        <w:topLinePunct w:val="0"/>
        <w:bidi w:val="0"/>
        <w:snapToGrid w:val="0"/>
        <w:spacing w:before="0" w:beforeLines="0" w:after="0" w:afterLines="0" w:line="360" w:lineRule="auto"/>
        <w:ind w:left="879" w:leftChars="129" w:hanging="518" w:hangingChars="215"/>
        <w:textAlignment w:val="auto"/>
        <w:rPr>
          <w:rFonts w:hAnsi="宋体"/>
          <w:b/>
          <w:color w:val="auto"/>
          <w:highlight w:val="none"/>
        </w:rPr>
      </w:pPr>
      <w:r>
        <w:rPr>
          <w:rFonts w:hAnsi="宋体"/>
          <w:b/>
          <w:color w:val="auto"/>
          <w:highlight w:val="none"/>
        </w:rPr>
        <w:t>（三）</w:t>
      </w:r>
      <w:r>
        <w:rPr>
          <w:rFonts w:hAnsi="宋体"/>
          <w:b/>
          <w:bCs/>
          <w:color w:val="auto"/>
          <w:highlight w:val="none"/>
        </w:rPr>
        <w:t>评标程序</w:t>
      </w:r>
    </w:p>
    <w:p w14:paraId="2D04B01B">
      <w:pPr>
        <w:pageBreakBefore w:val="0"/>
        <w:widowControl w:val="0"/>
        <w:shd w:val="clear"/>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形式审查</w:t>
      </w:r>
    </w:p>
    <w:p w14:paraId="586F8C3D">
      <w:pPr>
        <w:pageBreakBefore w:val="0"/>
        <w:widowControl w:val="0"/>
        <w:shd w:val="clear"/>
        <w:kinsoku/>
        <w:wordWrap/>
        <w:overflowPunct/>
        <w:topLinePunct w:val="0"/>
        <w:bidi w:val="0"/>
        <w:snapToGrid w:val="0"/>
        <w:spacing w:line="360" w:lineRule="auto"/>
        <w:ind w:firstLine="480" w:firstLineChars="200"/>
        <w:textAlignment w:val="auto"/>
        <w:rPr>
          <w:rFonts w:ascii="宋体" w:hAnsi="宋体"/>
          <w:b/>
          <w:color w:val="auto"/>
          <w:sz w:val="24"/>
          <w:szCs w:val="20"/>
          <w:highlight w:val="none"/>
        </w:rPr>
      </w:pPr>
      <w:r>
        <w:rPr>
          <w:rFonts w:hint="eastAsia" w:ascii="宋体" w:hAnsi="宋体"/>
          <w:color w:val="auto"/>
          <w:sz w:val="24"/>
          <w:highlight w:val="none"/>
        </w:rPr>
        <w:t>评标委员会对投标人的资格</w:t>
      </w:r>
      <w:r>
        <w:rPr>
          <w:rFonts w:ascii="宋体" w:hAnsi="宋体"/>
          <w:color w:val="auto"/>
          <w:sz w:val="24"/>
          <w:highlight w:val="none"/>
        </w:rPr>
        <w:t>和</w:t>
      </w:r>
      <w:r>
        <w:rPr>
          <w:rFonts w:hint="eastAsia" w:ascii="宋体" w:hAnsi="宋体"/>
          <w:color w:val="auto"/>
          <w:sz w:val="24"/>
          <w:highlight w:val="none"/>
        </w:rPr>
        <w:t>投标文件</w:t>
      </w:r>
      <w:r>
        <w:rPr>
          <w:rFonts w:ascii="宋体" w:hAnsi="宋体"/>
          <w:color w:val="auto"/>
          <w:sz w:val="24"/>
          <w:highlight w:val="none"/>
        </w:rPr>
        <w:t>的完整性、合法性等进行审查。</w:t>
      </w:r>
    </w:p>
    <w:p w14:paraId="1187C661">
      <w:pPr>
        <w:pageBreakBefore w:val="0"/>
        <w:widowControl w:val="0"/>
        <w:shd w:val="clear"/>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实质审查与比较</w:t>
      </w:r>
    </w:p>
    <w:p w14:paraId="52D1E827">
      <w:pPr>
        <w:pageBreakBefore w:val="0"/>
        <w:widowControl w:val="0"/>
        <w:shd w:val="clear"/>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评标委员会</w:t>
      </w:r>
      <w:r>
        <w:rPr>
          <w:rFonts w:ascii="宋体" w:hAnsi="宋体"/>
          <w:color w:val="auto"/>
          <w:sz w:val="24"/>
          <w:highlight w:val="none"/>
        </w:rPr>
        <w:t>审查</w:t>
      </w:r>
      <w:r>
        <w:rPr>
          <w:rFonts w:hint="eastAsia" w:ascii="宋体" w:hAnsi="宋体"/>
          <w:color w:val="auto"/>
          <w:sz w:val="24"/>
          <w:highlight w:val="none"/>
        </w:rPr>
        <w:t>投标文件</w:t>
      </w:r>
      <w:r>
        <w:rPr>
          <w:rFonts w:ascii="宋体" w:hAnsi="宋体"/>
          <w:color w:val="auto"/>
          <w:sz w:val="24"/>
          <w:highlight w:val="none"/>
        </w:rPr>
        <w:t>的实质性内容是否符合</w:t>
      </w:r>
      <w:r>
        <w:rPr>
          <w:rFonts w:hint="eastAsia" w:ascii="宋体" w:hAnsi="宋体"/>
          <w:color w:val="auto"/>
          <w:sz w:val="24"/>
          <w:highlight w:val="none"/>
        </w:rPr>
        <w:t>招标文件</w:t>
      </w:r>
      <w:r>
        <w:rPr>
          <w:rFonts w:ascii="宋体" w:hAnsi="宋体"/>
          <w:color w:val="auto"/>
          <w:sz w:val="24"/>
          <w:highlight w:val="none"/>
        </w:rPr>
        <w:t>的实质性要求。</w:t>
      </w:r>
    </w:p>
    <w:p w14:paraId="0EB5E0FE">
      <w:pPr>
        <w:pageBreakBefore w:val="0"/>
        <w:widowControl w:val="0"/>
        <w:shd w:val="clear"/>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评标委员会</w:t>
      </w:r>
      <w:r>
        <w:rPr>
          <w:rFonts w:ascii="宋体" w:hAnsi="宋体"/>
          <w:color w:val="auto"/>
          <w:sz w:val="24"/>
          <w:highlight w:val="none"/>
        </w:rPr>
        <w:t>将根据投标人的</w:t>
      </w:r>
      <w:r>
        <w:rPr>
          <w:rFonts w:hint="eastAsia" w:ascii="宋体" w:hAnsi="宋体"/>
          <w:color w:val="auto"/>
          <w:sz w:val="24"/>
          <w:highlight w:val="none"/>
        </w:rPr>
        <w:t>投标文件</w:t>
      </w:r>
      <w:r>
        <w:rPr>
          <w:rFonts w:ascii="宋体" w:hAnsi="宋体"/>
          <w:color w:val="auto"/>
          <w:sz w:val="24"/>
          <w:highlight w:val="none"/>
        </w:rPr>
        <w:t>进行审查、核对，如有疑问，将对投标人进行询标，投标人要向</w:t>
      </w:r>
      <w:r>
        <w:rPr>
          <w:rFonts w:hint="eastAsia" w:ascii="宋体" w:hAnsi="宋体"/>
          <w:color w:val="auto"/>
          <w:sz w:val="24"/>
          <w:highlight w:val="none"/>
        </w:rPr>
        <w:t>评标委员会</w:t>
      </w:r>
      <w:r>
        <w:rPr>
          <w:rFonts w:ascii="宋体" w:hAnsi="宋体"/>
          <w:color w:val="auto"/>
          <w:sz w:val="24"/>
          <w:highlight w:val="none"/>
        </w:rPr>
        <w:t>澄清有关问题，并最终以书面形式进行答复。</w:t>
      </w:r>
      <w:r>
        <w:rPr>
          <w:rFonts w:hint="eastAsia" w:ascii="宋体" w:hAnsi="宋体"/>
          <w:color w:val="auto"/>
          <w:sz w:val="24"/>
          <w:highlight w:val="none"/>
        </w:rPr>
        <w:t>澄清回复时间不得超过发出通知后30分钟，投标人逾期或未按要求澄清回复的，将视为不予回复或确认，评标委员会有权否决其投标。投标人通讯不畅通，导致不能及时联系的，视为投标人不予回复或确认。</w:t>
      </w:r>
    </w:p>
    <w:p w14:paraId="32FDC456">
      <w:pPr>
        <w:pageBreakBefore w:val="0"/>
        <w:widowControl w:val="0"/>
        <w:shd w:val="clear"/>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评标委员会</w:t>
      </w:r>
      <w:r>
        <w:rPr>
          <w:rFonts w:ascii="宋体" w:hAnsi="宋体"/>
          <w:color w:val="auto"/>
          <w:sz w:val="24"/>
          <w:highlight w:val="none"/>
        </w:rPr>
        <w:t>根据</w:t>
      </w:r>
      <w:r>
        <w:rPr>
          <w:rFonts w:hint="eastAsia" w:ascii="宋体" w:hAnsi="宋体"/>
          <w:color w:val="auto"/>
          <w:sz w:val="24"/>
          <w:highlight w:val="none"/>
        </w:rPr>
        <w:t>本项目的评分标准</w:t>
      </w:r>
      <w:r>
        <w:rPr>
          <w:rFonts w:ascii="宋体" w:hAnsi="宋体"/>
          <w:color w:val="auto"/>
          <w:sz w:val="24"/>
          <w:highlight w:val="none"/>
        </w:rPr>
        <w:t>计算各投标人的商务报价得分</w:t>
      </w:r>
      <w:r>
        <w:rPr>
          <w:rFonts w:hint="eastAsia" w:ascii="宋体" w:hAnsi="宋体"/>
          <w:color w:val="auto"/>
          <w:sz w:val="24"/>
          <w:highlight w:val="none"/>
        </w:rPr>
        <w:t>。</w:t>
      </w:r>
    </w:p>
    <w:p w14:paraId="22BF7F31">
      <w:pPr>
        <w:pageBreakBefore w:val="0"/>
        <w:widowControl w:val="0"/>
        <w:shd w:val="clear"/>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评标委员会</w:t>
      </w:r>
      <w:r>
        <w:rPr>
          <w:rFonts w:ascii="宋体" w:hAnsi="宋体"/>
          <w:color w:val="auto"/>
          <w:sz w:val="24"/>
          <w:highlight w:val="none"/>
        </w:rPr>
        <w:t>完成评标后，评委对得分</w:t>
      </w:r>
      <w:r>
        <w:rPr>
          <w:rFonts w:hint="eastAsia" w:ascii="宋体" w:hAnsi="宋体"/>
          <w:color w:val="auto"/>
          <w:sz w:val="24"/>
          <w:highlight w:val="none"/>
        </w:rPr>
        <w:t>进行</w:t>
      </w:r>
      <w:r>
        <w:rPr>
          <w:rFonts w:ascii="宋体" w:hAnsi="宋体"/>
          <w:color w:val="auto"/>
          <w:sz w:val="24"/>
          <w:highlight w:val="none"/>
        </w:rPr>
        <w:t>汇总，</w:t>
      </w:r>
      <w:r>
        <w:rPr>
          <w:rFonts w:hint="eastAsia" w:ascii="宋体" w:hAnsi="宋体"/>
          <w:color w:val="auto"/>
          <w:sz w:val="24"/>
          <w:highlight w:val="none"/>
        </w:rPr>
        <w:t>计算</w:t>
      </w:r>
      <w:r>
        <w:rPr>
          <w:rFonts w:ascii="宋体" w:hAnsi="宋体"/>
          <w:color w:val="auto"/>
          <w:sz w:val="24"/>
          <w:highlight w:val="none"/>
        </w:rPr>
        <w:t>出本项目</w:t>
      </w:r>
      <w:r>
        <w:rPr>
          <w:rFonts w:hint="eastAsia" w:ascii="宋体" w:hAnsi="宋体"/>
          <w:color w:val="auto"/>
          <w:sz w:val="24"/>
          <w:highlight w:val="none"/>
        </w:rPr>
        <w:t>最终得分</w:t>
      </w:r>
      <w:r>
        <w:rPr>
          <w:rFonts w:ascii="宋体" w:hAnsi="宋体"/>
          <w:color w:val="auto"/>
          <w:sz w:val="24"/>
          <w:highlight w:val="none"/>
        </w:rPr>
        <w:t>。</w:t>
      </w:r>
      <w:r>
        <w:rPr>
          <w:rFonts w:hint="eastAsia" w:ascii="宋体" w:hAnsi="宋体"/>
          <w:color w:val="auto"/>
          <w:sz w:val="24"/>
          <w:highlight w:val="none"/>
        </w:rPr>
        <w:t>评标委员会</w:t>
      </w:r>
      <w:r>
        <w:rPr>
          <w:rFonts w:ascii="宋体" w:hAnsi="宋体"/>
          <w:color w:val="auto"/>
          <w:sz w:val="24"/>
          <w:highlight w:val="none"/>
        </w:rPr>
        <w:t>按评标原则推荐</w:t>
      </w:r>
      <w:r>
        <w:rPr>
          <w:rFonts w:hint="eastAsia" w:ascii="宋体" w:hAnsi="宋体"/>
          <w:color w:val="auto"/>
          <w:sz w:val="24"/>
          <w:highlight w:val="none"/>
        </w:rPr>
        <w:t>中标候选人</w:t>
      </w:r>
      <w:r>
        <w:rPr>
          <w:rFonts w:ascii="宋体" w:hAnsi="宋体"/>
          <w:color w:val="auto"/>
          <w:sz w:val="24"/>
          <w:highlight w:val="none"/>
        </w:rPr>
        <w:t>同时起草评标报告。</w:t>
      </w:r>
    </w:p>
    <w:p w14:paraId="4440B734">
      <w:pPr>
        <w:pageBreakBefore w:val="0"/>
        <w:widowControl w:val="0"/>
        <w:shd w:val="clear"/>
        <w:kinsoku/>
        <w:wordWrap/>
        <w:overflowPunct/>
        <w:topLinePunct w:val="0"/>
        <w:bidi w:val="0"/>
        <w:snapToGrid w:val="0"/>
        <w:spacing w:line="360" w:lineRule="auto"/>
        <w:ind w:firstLine="359" w:firstLineChars="149"/>
        <w:textAlignment w:val="auto"/>
        <w:rPr>
          <w:rFonts w:ascii="宋体" w:hAnsi="宋体"/>
          <w:b/>
          <w:color w:val="auto"/>
          <w:sz w:val="24"/>
          <w:szCs w:val="20"/>
          <w:highlight w:val="none"/>
        </w:rPr>
      </w:pPr>
      <w:r>
        <w:rPr>
          <w:rFonts w:hint="eastAsia" w:ascii="宋体" w:hAnsi="宋体"/>
          <w:b/>
          <w:color w:val="auto"/>
          <w:sz w:val="24"/>
          <w:highlight w:val="none"/>
        </w:rPr>
        <w:t>（四）澄清问题的形式</w:t>
      </w:r>
    </w:p>
    <w:p w14:paraId="5DB0798D">
      <w:pPr>
        <w:pageBreakBefore w:val="0"/>
        <w:widowControl w:val="0"/>
        <w:shd w:val="clear"/>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30E0552B">
      <w:pPr>
        <w:pStyle w:val="11"/>
        <w:pageBreakBefore w:val="0"/>
        <w:widowControl w:val="0"/>
        <w:shd w:val="clear"/>
        <w:kinsoku/>
        <w:wordWrap/>
        <w:overflowPunct/>
        <w:topLinePunct w:val="0"/>
        <w:bidi w:val="0"/>
        <w:snapToGrid w:val="0"/>
        <w:spacing w:before="0" w:beforeLines="0" w:after="0" w:afterLines="0" w:line="360" w:lineRule="auto"/>
        <w:ind w:left="877" w:leftChars="129" w:hanging="516" w:hangingChars="214"/>
        <w:textAlignment w:val="auto"/>
        <w:rPr>
          <w:rFonts w:hAnsi="宋体"/>
          <w:b/>
          <w:color w:val="auto"/>
          <w:highlight w:val="none"/>
        </w:rPr>
      </w:pPr>
      <w:r>
        <w:rPr>
          <w:rFonts w:hAnsi="宋体"/>
          <w:b/>
          <w:color w:val="auto"/>
          <w:highlight w:val="none"/>
        </w:rPr>
        <w:t>（五）错误修正</w:t>
      </w:r>
    </w:p>
    <w:p w14:paraId="782480C2">
      <w:pPr>
        <w:pStyle w:val="11"/>
        <w:shd w:val="clear"/>
        <w:snapToGrid w:val="0"/>
        <w:spacing w:beforeLines="0" w:afterLines="0" w:line="360" w:lineRule="auto"/>
        <w:ind w:firstLine="480" w:firstLineChars="200"/>
        <w:rPr>
          <w:rFonts w:hAnsi="宋体"/>
          <w:color w:val="auto"/>
          <w:highlight w:val="none"/>
        </w:rPr>
      </w:pPr>
      <w:r>
        <w:rPr>
          <w:rFonts w:hint="eastAsia" w:hAnsi="宋体"/>
          <w:color w:val="auto"/>
          <w:highlight w:val="none"/>
        </w:rPr>
        <w:t>商务标</w:t>
      </w:r>
      <w:r>
        <w:rPr>
          <w:rFonts w:hAnsi="宋体"/>
          <w:color w:val="auto"/>
          <w:highlight w:val="none"/>
        </w:rPr>
        <w:t>如果出现计算或表达上的错误，修正错误的原则如下：</w:t>
      </w:r>
    </w:p>
    <w:p w14:paraId="24DEF045">
      <w:pPr>
        <w:pStyle w:val="11"/>
        <w:shd w:val="clear"/>
        <w:snapToGrid w:val="0"/>
        <w:spacing w:beforeLines="0" w:afterLines="0" w:line="360" w:lineRule="auto"/>
        <w:ind w:firstLine="480" w:firstLineChars="200"/>
        <w:rPr>
          <w:rFonts w:hAnsi="宋体"/>
          <w:color w:val="auto"/>
          <w:highlight w:val="none"/>
        </w:rPr>
      </w:pPr>
      <w:r>
        <w:rPr>
          <w:rFonts w:hint="eastAsia" w:hAnsi="宋体"/>
          <w:color w:val="auto"/>
          <w:highlight w:val="none"/>
        </w:rPr>
        <w:t>1、投标文件中开标一览表</w:t>
      </w:r>
      <w:r>
        <w:rPr>
          <w:rFonts w:hAnsi="宋体"/>
          <w:color w:val="auto"/>
          <w:highlight w:val="none"/>
        </w:rPr>
        <w:t>（</w:t>
      </w:r>
      <w:r>
        <w:rPr>
          <w:rFonts w:hint="eastAsia" w:hAnsi="宋体"/>
          <w:color w:val="auto"/>
          <w:highlight w:val="none"/>
        </w:rPr>
        <w:t>报价表</w:t>
      </w:r>
      <w:r>
        <w:rPr>
          <w:rFonts w:hAnsi="宋体"/>
          <w:color w:val="auto"/>
          <w:highlight w:val="none"/>
        </w:rPr>
        <w:t>）</w:t>
      </w:r>
      <w:r>
        <w:rPr>
          <w:rFonts w:hint="eastAsia" w:hAnsi="宋体"/>
          <w:color w:val="auto"/>
          <w:highlight w:val="none"/>
        </w:rPr>
        <w:t>内容与投标文件中相应内容不一致的，以开标一览表</w:t>
      </w:r>
      <w:r>
        <w:rPr>
          <w:rFonts w:hAnsi="宋体"/>
          <w:color w:val="auto"/>
          <w:highlight w:val="none"/>
        </w:rPr>
        <w:t>（</w:t>
      </w:r>
      <w:r>
        <w:rPr>
          <w:rFonts w:hint="eastAsia" w:hAnsi="宋体"/>
          <w:color w:val="auto"/>
          <w:highlight w:val="none"/>
        </w:rPr>
        <w:t>报价表</w:t>
      </w:r>
      <w:r>
        <w:rPr>
          <w:rFonts w:hAnsi="宋体"/>
          <w:color w:val="auto"/>
          <w:highlight w:val="none"/>
        </w:rPr>
        <w:t>）</w:t>
      </w:r>
      <w:r>
        <w:rPr>
          <w:rFonts w:hint="eastAsia" w:hAnsi="宋体"/>
          <w:color w:val="auto"/>
          <w:highlight w:val="none"/>
        </w:rPr>
        <w:t>为准；</w:t>
      </w:r>
    </w:p>
    <w:p w14:paraId="6C16BC21">
      <w:pPr>
        <w:pStyle w:val="11"/>
        <w:shd w:val="clear"/>
        <w:snapToGrid w:val="0"/>
        <w:spacing w:beforeLines="0" w:afterLines="0" w:line="360" w:lineRule="auto"/>
        <w:ind w:firstLine="480" w:firstLineChars="200"/>
        <w:rPr>
          <w:rFonts w:hAnsi="宋体"/>
          <w:color w:val="auto"/>
          <w:highlight w:val="none"/>
        </w:rPr>
      </w:pPr>
      <w:r>
        <w:rPr>
          <w:rFonts w:hint="eastAsia" w:hAnsi="宋体"/>
          <w:color w:val="auto"/>
          <w:highlight w:val="none"/>
        </w:rPr>
        <w:t>2、大写金额和小写金额不一致的，以大写金额为准；</w:t>
      </w:r>
    </w:p>
    <w:p w14:paraId="78BFEAD9">
      <w:pPr>
        <w:pStyle w:val="11"/>
        <w:shd w:val="clear"/>
        <w:snapToGrid w:val="0"/>
        <w:spacing w:beforeLines="0" w:afterLines="0" w:line="360" w:lineRule="auto"/>
        <w:ind w:firstLine="480" w:firstLineChars="200"/>
        <w:rPr>
          <w:rFonts w:hAnsi="宋体"/>
          <w:color w:val="auto"/>
          <w:highlight w:val="none"/>
        </w:rPr>
      </w:pPr>
      <w:r>
        <w:rPr>
          <w:rFonts w:hint="eastAsia" w:hAnsi="宋体"/>
          <w:color w:val="auto"/>
          <w:highlight w:val="none"/>
        </w:rPr>
        <w:t>3、总价金额与按单价汇总金额不一致的，以总价金额为准，合理调整单价。</w:t>
      </w:r>
    </w:p>
    <w:p w14:paraId="4403C50F">
      <w:pPr>
        <w:pStyle w:val="11"/>
        <w:pageBreakBefore w:val="0"/>
        <w:widowControl w:val="0"/>
        <w:shd w:val="clear"/>
        <w:kinsoku/>
        <w:wordWrap/>
        <w:overflowPunct/>
        <w:topLinePunct w:val="0"/>
        <w:bidi w:val="0"/>
        <w:snapToGrid w:val="0"/>
        <w:spacing w:before="0" w:beforeLines="0" w:after="0" w:afterLines="0" w:line="360" w:lineRule="auto"/>
        <w:ind w:firstLine="482" w:firstLineChars="200"/>
        <w:textAlignment w:val="auto"/>
        <w:rPr>
          <w:rFonts w:hAnsi="宋体"/>
          <w:b/>
          <w:bCs/>
          <w:color w:val="auto"/>
          <w:highlight w:val="none"/>
        </w:rPr>
      </w:pPr>
      <w:r>
        <w:rPr>
          <w:rFonts w:hAnsi="宋体"/>
          <w:b/>
          <w:bCs/>
          <w:color w:val="auto"/>
          <w:highlight w:val="none"/>
        </w:rPr>
        <w:t>按上述修正错误的原则及方法调整或修正</w:t>
      </w:r>
      <w:r>
        <w:rPr>
          <w:rFonts w:hint="eastAsia" w:hAnsi="宋体"/>
          <w:b/>
          <w:bCs/>
          <w:color w:val="auto"/>
          <w:highlight w:val="none"/>
        </w:rPr>
        <w:t>商务标</w:t>
      </w:r>
      <w:r>
        <w:rPr>
          <w:rFonts w:hAnsi="宋体"/>
          <w:b/>
          <w:bCs/>
          <w:color w:val="auto"/>
          <w:highlight w:val="none"/>
        </w:rPr>
        <w:t>的投标报价，投标人同意并签字确认后，调整后的投标报价对投标人具有约束作用。如果投标人不接受修正后的报价，则其投标将作为无效投标处理。</w:t>
      </w:r>
    </w:p>
    <w:p w14:paraId="2DD3B17B">
      <w:pPr>
        <w:pageBreakBefore w:val="0"/>
        <w:widowControl w:val="0"/>
        <w:shd w:val="clear"/>
        <w:kinsoku/>
        <w:wordWrap/>
        <w:overflowPunct/>
        <w:topLinePunct w:val="0"/>
        <w:autoSpaceDE w:val="0"/>
        <w:autoSpaceDN w:val="0"/>
        <w:bidi w:val="0"/>
        <w:adjustRightInd w:val="0"/>
        <w:spacing w:line="360" w:lineRule="auto"/>
        <w:ind w:firstLine="359" w:firstLineChars="149"/>
        <w:textAlignment w:val="auto"/>
        <w:rPr>
          <w:rFonts w:ascii="宋体"/>
          <w:b/>
          <w:color w:val="auto"/>
          <w:kern w:val="0"/>
          <w:sz w:val="24"/>
          <w:highlight w:val="none"/>
        </w:rPr>
      </w:pPr>
      <w:r>
        <w:rPr>
          <w:rFonts w:hint="eastAsia" w:ascii="宋体"/>
          <w:b/>
          <w:color w:val="auto"/>
          <w:kern w:val="0"/>
          <w:sz w:val="24"/>
          <w:highlight w:val="none"/>
        </w:rPr>
        <w:t>（六）有下列情况之一的，本次招标作为废标处理，除采购任务取消外，由采购人重新组织招标：</w:t>
      </w:r>
    </w:p>
    <w:p w14:paraId="4E459F88">
      <w:pPr>
        <w:pageBreakBefore w:val="0"/>
        <w:widowControl w:val="0"/>
        <w:shd w:val="clear"/>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1、出现影响采购公正的违法、违规行为的；</w:t>
      </w:r>
    </w:p>
    <w:p w14:paraId="00A981B4">
      <w:pPr>
        <w:pageBreakBefore w:val="0"/>
        <w:widowControl w:val="0"/>
        <w:shd w:val="clear"/>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2、投标人的报价均超过了采购预算，采购人不能支付的；</w:t>
      </w:r>
    </w:p>
    <w:p w14:paraId="39A0B2A9">
      <w:pPr>
        <w:pageBreakBefore w:val="0"/>
        <w:widowControl w:val="0"/>
        <w:shd w:val="clear"/>
        <w:kinsoku/>
        <w:wordWrap/>
        <w:overflowPunct/>
        <w:topLinePunct w:val="0"/>
        <w:bidi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、因重大变故，采购任务取消的</w:t>
      </w:r>
      <w:r>
        <w:rPr>
          <w:rFonts w:hint="eastAsia" w:ascii="宋体" w:hAnsi="宋体"/>
          <w:color w:val="auto"/>
          <w:sz w:val="24"/>
          <w:highlight w:val="none"/>
        </w:rPr>
        <w:t>；</w:t>
      </w:r>
    </w:p>
    <w:p w14:paraId="3C793392">
      <w:pPr>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投标截止时间止，投标人少于3个的；</w:t>
      </w:r>
    </w:p>
    <w:p w14:paraId="67178D61">
      <w:pPr>
        <w:pageBreakBefore w:val="0"/>
        <w:widowControl w:val="0"/>
        <w:shd w:val="clear"/>
        <w:kinsoku/>
        <w:wordWrap/>
        <w:overflowPunct/>
        <w:topLinePunct w:val="0"/>
        <w:bidi w:val="0"/>
        <w:snapToGrid w:val="0"/>
        <w:spacing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s="Times New Roman"/>
          <w:color w:val="auto"/>
          <w:sz w:val="24"/>
          <w:highlight w:val="none"/>
          <w:lang w:val="en-US" w:eastAsia="zh-CN"/>
        </w:rPr>
        <w:t>有</w:t>
      </w:r>
      <w:r>
        <w:rPr>
          <w:rFonts w:hint="eastAsia" w:ascii="宋体" w:hAnsi="宋体" w:cs="Times New Roman"/>
          <w:color w:val="auto"/>
          <w:sz w:val="24"/>
          <w:highlight w:val="none"/>
        </w:rPr>
        <w:t>效投标少于3个，使得投标明显缺乏竞争，经评标委员会评审后否决所有投标的。</w:t>
      </w:r>
    </w:p>
    <w:p w14:paraId="19164091">
      <w:pPr>
        <w:pStyle w:val="11"/>
        <w:pageBreakBefore w:val="0"/>
        <w:widowControl w:val="0"/>
        <w:shd w:val="clear"/>
        <w:tabs>
          <w:tab w:val="left" w:pos="630"/>
        </w:tabs>
        <w:kinsoku/>
        <w:wordWrap/>
        <w:overflowPunct/>
        <w:topLinePunct w:val="0"/>
        <w:bidi w:val="0"/>
        <w:snapToGrid w:val="0"/>
        <w:spacing w:before="0" w:beforeLines="0" w:after="0" w:afterLines="0" w:line="360" w:lineRule="auto"/>
        <w:ind w:firstLine="359" w:firstLineChars="149"/>
        <w:textAlignment w:val="auto"/>
        <w:rPr>
          <w:rFonts w:hAnsi="宋体"/>
          <w:b/>
          <w:color w:val="auto"/>
          <w:highlight w:val="none"/>
        </w:rPr>
      </w:pPr>
      <w:r>
        <w:rPr>
          <w:rFonts w:hAnsi="宋体"/>
          <w:b/>
          <w:color w:val="auto"/>
          <w:highlight w:val="none"/>
        </w:rPr>
        <w:t>（七）评标原则和评标办法</w:t>
      </w:r>
    </w:p>
    <w:p w14:paraId="61699FFE">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1、评标原则。</w:t>
      </w:r>
      <w:r>
        <w:rPr>
          <w:rFonts w:hint="eastAsia" w:hAnsi="宋体"/>
          <w:color w:val="auto"/>
          <w:highlight w:val="none"/>
        </w:rPr>
        <w:t>评标委员会</w:t>
      </w:r>
      <w:r>
        <w:rPr>
          <w:rFonts w:hAnsi="宋体"/>
          <w:color w:val="auto"/>
          <w:highlight w:val="none"/>
        </w:rPr>
        <w:t>必须公平、公正、客观，不带任何倾向性和启发性；不得向外界透露任何与评标有关的内容；任何单位和个人不得干扰、影响评标的正常进行；</w:t>
      </w:r>
      <w:r>
        <w:rPr>
          <w:rFonts w:hint="eastAsia" w:hAnsi="宋体"/>
          <w:color w:val="auto"/>
          <w:highlight w:val="none"/>
        </w:rPr>
        <w:t>评标委员会</w:t>
      </w:r>
      <w:r>
        <w:rPr>
          <w:rFonts w:hAnsi="宋体"/>
          <w:color w:val="auto"/>
          <w:highlight w:val="none"/>
        </w:rPr>
        <w:t>及有关工作人员不得私下与投标人接触。</w:t>
      </w:r>
    </w:p>
    <w:p w14:paraId="039CADB5">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2、评标办法。具体评标内容及评分标准等详见《第四章：评标办法及评分标准》。</w:t>
      </w:r>
    </w:p>
    <w:p w14:paraId="6AFBDA8A">
      <w:pPr>
        <w:pStyle w:val="11"/>
        <w:pageBreakBefore w:val="0"/>
        <w:widowControl w:val="0"/>
        <w:shd w:val="clear"/>
        <w:kinsoku/>
        <w:wordWrap/>
        <w:overflowPunct/>
        <w:topLinePunct w:val="0"/>
        <w:bidi w:val="0"/>
        <w:snapToGrid w:val="0"/>
        <w:spacing w:before="0" w:beforeLines="0" w:after="0" w:afterLines="0" w:line="360" w:lineRule="auto"/>
        <w:ind w:firstLine="359" w:firstLineChars="149"/>
        <w:textAlignment w:val="auto"/>
        <w:rPr>
          <w:rFonts w:hAnsi="宋体"/>
          <w:b/>
          <w:color w:val="auto"/>
          <w:highlight w:val="none"/>
        </w:rPr>
      </w:pPr>
      <w:r>
        <w:rPr>
          <w:rFonts w:hAnsi="宋体"/>
          <w:b/>
          <w:color w:val="auto"/>
          <w:highlight w:val="none"/>
        </w:rPr>
        <w:t>（八）评标过程的监控</w:t>
      </w:r>
    </w:p>
    <w:p w14:paraId="36D46750">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本项目评标过程实行全程录音、录像监控（或请监管部门进行现场监督），投标人在评标过程中所进行的试图影响评标结果的不公正活动，可能导致其投标被拒绝。</w:t>
      </w:r>
    </w:p>
    <w:p w14:paraId="441907F4">
      <w:pPr>
        <w:pStyle w:val="11"/>
        <w:pageBreakBefore w:val="0"/>
        <w:widowControl w:val="0"/>
        <w:shd w:val="clear"/>
        <w:kinsoku/>
        <w:wordWrap/>
        <w:overflowPunct/>
        <w:topLinePunct w:val="0"/>
        <w:bidi w:val="0"/>
        <w:snapToGrid w:val="0"/>
        <w:spacing w:before="0" w:beforeLines="0" w:after="0" w:afterLines="0" w:line="360" w:lineRule="auto"/>
        <w:ind w:firstLine="551" w:firstLineChars="196"/>
        <w:textAlignment w:val="auto"/>
        <w:outlineLvl w:val="1"/>
        <w:rPr>
          <w:rFonts w:hAnsi="宋体"/>
          <w:b/>
          <w:color w:val="auto"/>
          <w:sz w:val="28"/>
          <w:szCs w:val="28"/>
          <w:highlight w:val="none"/>
        </w:rPr>
      </w:pPr>
      <w:r>
        <w:rPr>
          <w:rFonts w:hAnsi="宋体"/>
          <w:b/>
          <w:color w:val="auto"/>
          <w:sz w:val="28"/>
          <w:szCs w:val="28"/>
          <w:highlight w:val="none"/>
        </w:rPr>
        <w:t>六、定标</w:t>
      </w:r>
    </w:p>
    <w:p w14:paraId="63C4189A">
      <w:pPr>
        <w:pStyle w:val="11"/>
        <w:pageBreakBefore w:val="0"/>
        <w:widowControl w:val="0"/>
        <w:shd w:val="clear"/>
        <w:kinsoku/>
        <w:wordWrap/>
        <w:overflowPunct/>
        <w:topLinePunct w:val="0"/>
        <w:bidi w:val="0"/>
        <w:snapToGrid w:val="0"/>
        <w:spacing w:before="0" w:beforeLines="0" w:after="0" w:afterLines="0" w:line="360" w:lineRule="auto"/>
        <w:ind w:firstLine="472" w:firstLineChars="196"/>
        <w:textAlignment w:val="auto"/>
        <w:rPr>
          <w:rFonts w:hAnsi="宋体"/>
          <w:b/>
          <w:bCs/>
          <w:color w:val="auto"/>
          <w:szCs w:val="20"/>
          <w:highlight w:val="none"/>
        </w:rPr>
      </w:pPr>
      <w:r>
        <w:rPr>
          <w:rFonts w:hAnsi="宋体"/>
          <w:b/>
          <w:bCs/>
          <w:color w:val="auto"/>
          <w:highlight w:val="none"/>
        </w:rPr>
        <w:t>（一）</w:t>
      </w:r>
      <w:r>
        <w:rPr>
          <w:rFonts w:hint="eastAsia" w:hAnsi="宋体"/>
          <w:b/>
          <w:bCs/>
          <w:color w:val="auto"/>
          <w:highlight w:val="none"/>
        </w:rPr>
        <w:t>中标</w:t>
      </w:r>
      <w:r>
        <w:rPr>
          <w:rFonts w:hint="eastAsia" w:hAnsi="宋体"/>
          <w:b/>
          <w:bCs/>
          <w:color w:val="auto"/>
          <w:highlight w:val="none"/>
          <w:lang w:val="en-US" w:eastAsia="zh-CN"/>
        </w:rPr>
        <w:t>候选人公示</w:t>
      </w:r>
    </w:p>
    <w:p w14:paraId="5F31E1AA">
      <w:pPr>
        <w:pageBreakBefore w:val="0"/>
        <w:widowControl w:val="0"/>
        <w:numPr>
          <w:ilvl w:val="0"/>
          <w:numId w:val="0"/>
        </w:numPr>
        <w:shd w:val="clear"/>
        <w:kinsoku/>
        <w:wordWrap/>
        <w:overflowPunct/>
        <w:topLinePunct w:val="0"/>
        <w:bidi w:val="0"/>
        <w:spacing w:line="360" w:lineRule="auto"/>
        <w:ind w:firstLine="720" w:firstLineChars="300"/>
        <w:textAlignment w:val="auto"/>
        <w:rPr>
          <w:rFonts w:hint="eastAsia" w:ascii="宋体" w:hAnsi="宋体" w:cs="宋体"/>
          <w:i w:val="0"/>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招标人应当将评标委员会推荐的中标候选人在交易场所（发布招标公告的媒体上）进行公示，</w:t>
      </w:r>
      <w:r>
        <w:rPr>
          <w:rFonts w:hint="eastAsia" w:ascii="宋体" w:hAnsi="宋体" w:cs="宋体"/>
          <w:bCs w:val="0"/>
          <w:color w:val="auto"/>
          <w:sz w:val="24"/>
          <w:highlight w:val="none"/>
        </w:rPr>
        <w:t>公示期不得少于3日（最后一日为工作日）。</w:t>
      </w:r>
    </w:p>
    <w:p w14:paraId="1C499553">
      <w:pPr>
        <w:pageBreakBefore w:val="0"/>
        <w:widowControl w:val="0"/>
        <w:numPr>
          <w:ilvl w:val="0"/>
          <w:numId w:val="0"/>
        </w:numPr>
        <w:shd w:val="clea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涉及中标候选人投标资格等情形的，招标人（招标代理机构）可以书面形式要求其进行澄清或说明。中标候选人应自收到书面通知之日起3日内进行澄清或说明。</w:t>
      </w:r>
    </w:p>
    <w:p w14:paraId="4935CACA">
      <w:pPr>
        <w:pageBreakBefore w:val="0"/>
        <w:widowControl w:val="0"/>
        <w:numPr>
          <w:ilvl w:val="0"/>
          <w:numId w:val="0"/>
        </w:numPr>
        <w:shd w:val="clea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中标候选人有以下情形之一的，其资格无效：</w:t>
      </w:r>
    </w:p>
    <w:p w14:paraId="4CD2510D">
      <w:pPr>
        <w:pageBreakBefore w:val="0"/>
        <w:widowControl w:val="0"/>
        <w:numPr>
          <w:ilvl w:val="0"/>
          <w:numId w:val="0"/>
        </w:numPr>
        <w:shd w:val="clea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（1）投标资格不符合</w:t>
      </w:r>
      <w:r>
        <w:rPr>
          <w:rFonts w:hint="eastAsia" w:ascii="宋体" w:hAnsi="宋体" w:cs="宋体"/>
          <w:color w:val="auto"/>
          <w:sz w:val="24"/>
          <w:highlight w:val="none"/>
          <w:lang w:val="en-US" w:eastAsia="zh-CN"/>
        </w:rPr>
        <w:t>招标公告中</w:t>
      </w:r>
      <w:r>
        <w:rPr>
          <w:rFonts w:hint="eastAsia" w:ascii="宋体" w:hAnsi="宋体" w:eastAsia="宋体" w:cs="宋体"/>
          <w:b w:val="0"/>
          <w:color w:val="auto"/>
          <w:sz w:val="24"/>
          <w:highlight w:val="none"/>
        </w:rPr>
        <w:t>合格投标人的资格要求</w:t>
      </w:r>
      <w:r>
        <w:rPr>
          <w:rFonts w:hint="eastAsia" w:ascii="宋体" w:hAnsi="宋体" w:cs="宋体"/>
          <w:color w:val="auto"/>
          <w:sz w:val="24"/>
          <w:highlight w:val="none"/>
        </w:rPr>
        <w:t>规定的；</w:t>
      </w:r>
    </w:p>
    <w:p w14:paraId="4C719E6D">
      <w:pPr>
        <w:pageBreakBefore w:val="0"/>
        <w:widowControl w:val="0"/>
        <w:numPr>
          <w:ilvl w:val="0"/>
          <w:numId w:val="0"/>
        </w:numPr>
        <w:shd w:val="clea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（2）投标人提供虚假材料骗取投标资格的；</w:t>
      </w:r>
    </w:p>
    <w:p w14:paraId="4018D6C4">
      <w:pPr>
        <w:pageBreakBefore w:val="0"/>
        <w:widowControl w:val="0"/>
        <w:numPr>
          <w:ilvl w:val="0"/>
          <w:numId w:val="0"/>
        </w:numPr>
        <w:shd w:val="clea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（3）按</w:t>
      </w:r>
      <w:r>
        <w:rPr>
          <w:rFonts w:hint="eastAsia" w:ascii="宋体" w:hAnsi="宋体" w:cs="宋体"/>
          <w:color w:val="auto"/>
          <w:sz w:val="24"/>
          <w:highlight w:val="none"/>
          <w:lang w:val="en-US" w:eastAsia="zh-CN"/>
        </w:rPr>
        <w:t>本章投标无效情形</w:t>
      </w:r>
      <w:r>
        <w:rPr>
          <w:rFonts w:hint="eastAsia" w:ascii="宋体" w:hAnsi="宋体" w:cs="宋体"/>
          <w:color w:val="auto"/>
          <w:sz w:val="24"/>
          <w:highlight w:val="none"/>
        </w:rPr>
        <w:t>规定应作无效标处理的；</w:t>
      </w:r>
    </w:p>
    <w:p w14:paraId="55965CA2">
      <w:pPr>
        <w:pageBreakBefore w:val="0"/>
        <w:widowControl w:val="0"/>
        <w:numPr>
          <w:ilvl w:val="0"/>
          <w:numId w:val="0"/>
        </w:numPr>
        <w:shd w:val="clea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（4）拒绝按本章</w:t>
      </w:r>
      <w:r>
        <w:rPr>
          <w:rFonts w:hint="eastAsia" w:ascii="宋体" w:hAnsi="宋体" w:cs="宋体"/>
          <w:color w:val="auto"/>
          <w:sz w:val="24"/>
          <w:highlight w:val="none"/>
          <w:lang w:val="en-US" w:eastAsia="zh-CN"/>
        </w:rPr>
        <w:t>前</w:t>
      </w:r>
      <w:r>
        <w:rPr>
          <w:rFonts w:hint="eastAsia" w:ascii="宋体" w:hAnsi="宋体" w:cs="宋体"/>
          <w:color w:val="auto"/>
          <w:sz w:val="24"/>
          <w:highlight w:val="none"/>
        </w:rPr>
        <w:t>款规定进行说明或不能合理说明理由的；</w:t>
      </w:r>
    </w:p>
    <w:p w14:paraId="02590B3E">
      <w:pPr>
        <w:pageBreakBefore w:val="0"/>
        <w:widowControl w:val="0"/>
        <w:numPr>
          <w:ilvl w:val="0"/>
          <w:numId w:val="0"/>
        </w:numPr>
        <w:shd w:val="clear"/>
        <w:kinsoku/>
        <w:wordWrap/>
        <w:overflowPunct/>
        <w:topLinePunct w:val="0"/>
        <w:bidi w:val="0"/>
        <w:spacing w:line="360" w:lineRule="auto"/>
        <w:ind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（5）法律法规规定作无效标处理的其它情形。</w:t>
      </w:r>
    </w:p>
    <w:p w14:paraId="232EDC1C">
      <w:pPr>
        <w:pStyle w:val="42"/>
        <w:pageBreakBefore w:val="0"/>
        <w:widowControl w:val="0"/>
        <w:shd w:val="clear"/>
        <w:kinsoku/>
        <w:wordWrap/>
        <w:overflowPunct/>
        <w:topLinePunct w:val="0"/>
        <w:bidi w:val="0"/>
        <w:spacing w:before="0" w:after="0" w:line="360" w:lineRule="auto"/>
        <w:textAlignment w:val="auto"/>
        <w:rPr>
          <w:rFonts w:hint="eastAsia"/>
          <w:color w:val="auto"/>
          <w:highlight w:val="none"/>
        </w:rPr>
      </w:pPr>
      <w:bookmarkStart w:id="0" w:name="_Toc532282470"/>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中标通知书</w:t>
      </w:r>
      <w:bookmarkEnd w:id="0"/>
    </w:p>
    <w:p w14:paraId="2392FED4">
      <w:pPr>
        <w:pStyle w:val="10"/>
        <w:pageBreakBefore w:val="0"/>
        <w:widowControl w:val="0"/>
        <w:shd w:val="clear"/>
        <w:tabs>
          <w:tab w:val="left" w:pos="574"/>
        </w:tabs>
        <w:kinsoku/>
        <w:wordWrap/>
        <w:overflowPunct/>
        <w:topLinePunct w:val="0"/>
        <w:bidi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招标人应当确定中标候选人为中标人。如涉及其他投标人资格无效的，评标结果不作调整。</w:t>
      </w:r>
    </w:p>
    <w:p w14:paraId="20D7D0AD">
      <w:pPr>
        <w:pStyle w:val="10"/>
        <w:pageBreakBefore w:val="0"/>
        <w:widowControl w:val="0"/>
        <w:shd w:val="clear"/>
        <w:tabs>
          <w:tab w:val="left" w:pos="574"/>
        </w:tabs>
        <w:kinsoku/>
        <w:wordWrap/>
        <w:overflowPunct/>
        <w:topLinePunct w:val="0"/>
        <w:bidi w:val="0"/>
        <w:spacing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放弃中标，或者因不可抗力提出不能履行合同或者招标文件规定或合同约定应当提交履约保证金而在规定的期限内未能提交的；或未能在规定时间内与中国建筑第四工程局有限公司签订合同的；或在规定时间内借故否认已经承诺的条件而拒签合同的；或者因违反本章</w:t>
      </w:r>
      <w:r>
        <w:rPr>
          <w:rFonts w:hint="eastAsia" w:ascii="宋体" w:hAnsi="宋体" w:cs="宋体"/>
          <w:color w:val="auto"/>
          <w:sz w:val="24"/>
          <w:szCs w:val="24"/>
          <w:highlight w:val="none"/>
          <w:lang w:val="en-US" w:eastAsia="zh-CN"/>
        </w:rPr>
        <w:t>六定标（一）3款</w:t>
      </w:r>
      <w:r>
        <w:rPr>
          <w:rFonts w:hint="eastAsia" w:ascii="宋体" w:hAnsi="宋体" w:cs="宋体"/>
          <w:color w:val="auto"/>
          <w:sz w:val="24"/>
          <w:szCs w:val="24"/>
          <w:highlight w:val="none"/>
        </w:rPr>
        <w:t>规定造成其资格无效的，本次招标失败，重新组织招标。</w:t>
      </w:r>
    </w:p>
    <w:p w14:paraId="6C07D0BC">
      <w:pPr>
        <w:pStyle w:val="6"/>
        <w:pageBreakBefore w:val="0"/>
        <w:widowControl w:val="0"/>
        <w:shd w:val="clear"/>
        <w:kinsoku/>
        <w:wordWrap/>
        <w:overflowPunct/>
        <w:topLinePunct w:val="0"/>
        <w:bidi w:val="0"/>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中标人确定后，招标人应当向中标人发出《中标通知书》。</w:t>
      </w:r>
    </w:p>
    <w:p w14:paraId="5EF2E476">
      <w:pPr>
        <w:pStyle w:val="6"/>
        <w:pageBreakBefore w:val="0"/>
        <w:widowControl w:val="0"/>
        <w:shd w:val="clear"/>
        <w:kinsoku/>
        <w:wordWrap/>
        <w:overflowPunct/>
        <w:topLinePunct w:val="0"/>
        <w:bidi w:val="0"/>
        <w:spacing w:line="360" w:lineRule="auto"/>
        <w:textAlignment w:val="auto"/>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《中标通知书》对招标人和中标人具有法律约束力。《中标通知书》发出后，如中标人因违反法律法规规定而中标无效的，应承担相应的法律责任，本次招标失败，应重新组织招标。</w:t>
      </w:r>
    </w:p>
    <w:p w14:paraId="61986C6B">
      <w:pPr>
        <w:pStyle w:val="11"/>
        <w:pageBreakBefore w:val="0"/>
        <w:widowControl w:val="0"/>
        <w:shd w:val="clear"/>
        <w:kinsoku/>
        <w:wordWrap/>
        <w:overflowPunct/>
        <w:topLinePunct w:val="0"/>
        <w:bidi w:val="0"/>
        <w:snapToGrid w:val="0"/>
        <w:spacing w:before="0" w:beforeLines="0" w:after="0" w:afterLines="0" w:line="360" w:lineRule="auto"/>
        <w:ind w:firstLine="551" w:firstLineChars="196"/>
        <w:textAlignment w:val="auto"/>
        <w:outlineLvl w:val="1"/>
        <w:rPr>
          <w:rFonts w:hAnsi="宋体"/>
          <w:b/>
          <w:color w:val="auto"/>
          <w:sz w:val="28"/>
          <w:szCs w:val="28"/>
          <w:highlight w:val="none"/>
        </w:rPr>
      </w:pPr>
      <w:r>
        <w:rPr>
          <w:rFonts w:hAnsi="宋体"/>
          <w:b/>
          <w:color w:val="auto"/>
          <w:sz w:val="28"/>
          <w:szCs w:val="28"/>
          <w:highlight w:val="none"/>
        </w:rPr>
        <w:t>七、合同授予</w:t>
      </w:r>
    </w:p>
    <w:p w14:paraId="57BC0B9E">
      <w:pPr>
        <w:pageBreakBefore w:val="0"/>
        <w:widowControl w:val="0"/>
        <w:shd w:val="clear"/>
        <w:kinsoku/>
        <w:wordWrap/>
        <w:overflowPunct/>
        <w:topLinePunct w:val="0"/>
        <w:bidi w:val="0"/>
        <w:snapToGrid w:val="0"/>
        <w:spacing w:line="360" w:lineRule="auto"/>
        <w:ind w:firstLine="472" w:firstLineChars="196"/>
        <w:textAlignment w:val="auto"/>
        <w:rPr>
          <w:rFonts w:ascii="宋体" w:hAnsi="宋体"/>
          <w:b/>
          <w:bCs/>
          <w:color w:val="auto"/>
          <w:sz w:val="24"/>
          <w:szCs w:val="20"/>
          <w:highlight w:val="none"/>
        </w:rPr>
      </w:pPr>
      <w:r>
        <w:rPr>
          <w:rFonts w:hint="eastAsia" w:ascii="宋体" w:hAnsi="宋体"/>
          <w:b/>
          <w:bCs/>
          <w:color w:val="auto"/>
          <w:sz w:val="24"/>
          <w:highlight w:val="none"/>
        </w:rPr>
        <w:t>（一）签订合同</w:t>
      </w:r>
    </w:p>
    <w:p w14:paraId="0DFD3B28">
      <w:pPr>
        <w:pageBreakBefore w:val="0"/>
        <w:widowControl w:val="0"/>
        <w:shd w:val="clear"/>
        <w:kinsoku/>
        <w:wordWrap/>
        <w:overflowPunct/>
        <w:topLinePunct w:val="0"/>
        <w:bidi w:val="0"/>
        <w:snapToGrid w:val="0"/>
        <w:spacing w:line="360" w:lineRule="auto"/>
        <w:ind w:firstLine="480" w:firstLineChars="200"/>
        <w:textAlignment w:val="auto"/>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.采购人（仅中国建筑第四工程局有限公司）与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》发出之日起30日内签订采购合同。同时，采购代理机构对合同内容进行审查，如发现与采购结果和投标承诺内容不一致的，应予以纠正。</w:t>
      </w:r>
    </w:p>
    <w:p w14:paraId="2BDF06FF">
      <w:pPr>
        <w:pageBreakBefore w:val="0"/>
        <w:widowControl w:val="0"/>
        <w:shd w:val="clear"/>
        <w:kinsoku/>
        <w:wordWrap/>
        <w:overflowPunct/>
        <w:topLinePunct w:val="0"/>
        <w:bidi w:val="0"/>
        <w:snapToGrid w:val="0"/>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highlight w:val="none"/>
        </w:rPr>
        <w:t>2.中标人拖延、拒签合同的，将被扣罚投标保证金并取消中标资格。</w:t>
      </w:r>
    </w:p>
    <w:p w14:paraId="44CF9D15">
      <w:pPr>
        <w:pStyle w:val="11"/>
        <w:pageBreakBefore w:val="0"/>
        <w:widowControl w:val="0"/>
        <w:shd w:val="clear"/>
        <w:kinsoku/>
        <w:wordWrap/>
        <w:overflowPunct/>
        <w:topLinePunct w:val="0"/>
        <w:bidi w:val="0"/>
        <w:snapToGrid w:val="0"/>
        <w:spacing w:before="0" w:beforeLines="0" w:after="0" w:afterLines="0" w:line="360" w:lineRule="auto"/>
        <w:ind w:firstLine="472" w:firstLineChars="196"/>
        <w:textAlignment w:val="auto"/>
        <w:rPr>
          <w:rFonts w:hAnsi="宋体"/>
          <w:b/>
          <w:color w:val="auto"/>
          <w:highlight w:val="none"/>
        </w:rPr>
      </w:pPr>
      <w:r>
        <w:rPr>
          <w:rFonts w:hAnsi="宋体"/>
          <w:b/>
          <w:color w:val="auto"/>
          <w:highlight w:val="none"/>
        </w:rPr>
        <w:t>（二）履约保证金</w:t>
      </w:r>
    </w:p>
    <w:p w14:paraId="4B2457C0">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1.签订合同前，中标人应按招标文件确定的履约保证金的金额，向</w:t>
      </w:r>
      <w:r>
        <w:rPr>
          <w:rFonts w:hint="eastAsia" w:hAnsi="宋体"/>
          <w:color w:val="auto"/>
          <w:highlight w:val="none"/>
        </w:rPr>
        <w:t>中国建筑第四工程局有限公司</w:t>
      </w:r>
      <w:r>
        <w:rPr>
          <w:rFonts w:hAnsi="宋体"/>
          <w:color w:val="auto"/>
          <w:highlight w:val="none"/>
        </w:rPr>
        <w:t>交纳履约保证金</w:t>
      </w:r>
      <w:r>
        <w:rPr>
          <w:rFonts w:hint="eastAsia" w:hAnsi="宋体"/>
          <w:color w:val="auto"/>
          <w:highlight w:val="none"/>
        </w:rPr>
        <w:t>(</w:t>
      </w:r>
      <w:r>
        <w:rPr>
          <w:rFonts w:hint="eastAsia" w:asciiTheme="minorEastAsia" w:hAnsiTheme="minorEastAsia" w:eastAsiaTheme="minorEastAsia" w:cstheme="minorBidi"/>
          <w:color w:val="auto"/>
          <w:sz w:val="24"/>
          <w:highlight w:val="none"/>
        </w:rPr>
        <w:t>提交方式为银行转账、保函、保险、担保等形式</w:t>
      </w:r>
      <w:r>
        <w:rPr>
          <w:rFonts w:hint="eastAsia" w:hAnsi="宋体"/>
          <w:color w:val="auto"/>
          <w:highlight w:val="none"/>
        </w:rPr>
        <w:t>)</w:t>
      </w:r>
      <w:r>
        <w:rPr>
          <w:rFonts w:hAnsi="宋体"/>
          <w:color w:val="auto"/>
          <w:highlight w:val="none"/>
        </w:rPr>
        <w:t>，否则，</w:t>
      </w:r>
      <w:r>
        <w:rPr>
          <w:rFonts w:hint="eastAsia" w:hAnsi="宋体"/>
          <w:color w:val="auto"/>
          <w:highlight w:val="none"/>
        </w:rPr>
        <w:t>中国建筑第四工程局有限公司</w:t>
      </w:r>
      <w:r>
        <w:rPr>
          <w:rFonts w:hAnsi="宋体"/>
          <w:color w:val="auto"/>
          <w:highlight w:val="none"/>
        </w:rPr>
        <w:t>将没收中标人的全部投标保证金。</w:t>
      </w:r>
    </w:p>
    <w:p w14:paraId="58E5C8DC">
      <w:pPr>
        <w:pStyle w:val="11"/>
        <w:pageBreakBefore w:val="0"/>
        <w:widowControl w:val="0"/>
        <w:shd w:val="clear"/>
        <w:kinsoku/>
        <w:wordWrap/>
        <w:overflowPunct/>
        <w:topLinePunct w:val="0"/>
        <w:bidi w:val="0"/>
        <w:snapToGrid w:val="0"/>
        <w:spacing w:before="0" w:beforeLines="0" w:after="0" w:afterLines="0" w:line="360" w:lineRule="auto"/>
        <w:ind w:firstLine="480" w:firstLineChars="200"/>
        <w:textAlignment w:val="auto"/>
        <w:rPr>
          <w:rFonts w:hAnsi="宋体"/>
          <w:color w:val="auto"/>
          <w:highlight w:val="none"/>
        </w:rPr>
      </w:pPr>
      <w:r>
        <w:rPr>
          <w:rFonts w:hAnsi="宋体"/>
          <w:color w:val="auto"/>
          <w:highlight w:val="none"/>
        </w:rPr>
        <w:t>2.签订合同后，如中标人不按双方合同约定履约，则没收其全部履约保证金，履约保证金不足以赔偿损失的，按实际损失赔偿。</w:t>
      </w:r>
    </w:p>
    <w:p w14:paraId="47E6C8B3">
      <w:pPr>
        <w:pStyle w:val="12"/>
        <w:shd w:val="clear"/>
        <w:rPr>
          <w:color w:val="auto"/>
          <w:highlight w:val="none"/>
        </w:rPr>
      </w:pPr>
    </w:p>
    <w:p w14:paraId="4501170B">
      <w:pPr>
        <w:shd w:val="clear"/>
        <w:rPr>
          <w:color w:val="auto"/>
          <w:highlight w:val="none"/>
        </w:rPr>
      </w:pPr>
      <w:r>
        <w:rPr>
          <w:color w:val="auto"/>
          <w:highlight w:val="none"/>
        </w:rPr>
        <w:br w:type="page"/>
      </w:r>
    </w:p>
    <w:p w14:paraId="73226A3D">
      <w:pPr>
        <w:pStyle w:val="2"/>
        <w:shd w:val="clear"/>
        <w:rPr>
          <w:highlight w:val="none"/>
        </w:rPr>
      </w:pPr>
    </w:p>
    <w:p w14:paraId="60407447">
      <w:pPr>
        <w:pStyle w:val="11"/>
        <w:shd w:val="clear"/>
        <w:snapToGrid w:val="0"/>
        <w:spacing w:before="120" w:beforeLines="0" w:after="120" w:afterLines="0" w:line="240" w:lineRule="auto"/>
        <w:jc w:val="center"/>
        <w:rPr>
          <w:b/>
          <w:color w:val="auto"/>
          <w:sz w:val="30"/>
          <w:szCs w:val="30"/>
          <w:highlight w:val="none"/>
        </w:rPr>
      </w:pPr>
      <w:r>
        <w:rPr>
          <w:b/>
          <w:color w:val="auto"/>
          <w:sz w:val="30"/>
          <w:szCs w:val="30"/>
          <w:highlight w:val="none"/>
        </w:rPr>
        <w:t>第四章  评标办法及评分标准</w:t>
      </w:r>
    </w:p>
    <w:p w14:paraId="6906DC03">
      <w:pPr>
        <w:shd w:val="clear"/>
        <w:spacing w:before="120" w:beforeLines="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一、总则</w:t>
      </w:r>
    </w:p>
    <w:p w14:paraId="4423DF3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评标工作应遵循公开、公平、公正、科学、择优原则，科学、严谨的态度，认真进行评标，推进技术进步，确保工程质量、</w:t>
      </w: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期，节约投资，</w:t>
      </w:r>
      <w:r>
        <w:rPr>
          <w:rFonts w:hint="eastAsia" w:ascii="宋体" w:hAnsi="宋体" w:cs="宋体"/>
          <w:color w:val="auto"/>
          <w:sz w:val="24"/>
          <w:highlight w:val="none"/>
          <w:lang w:eastAsia="zh-CN"/>
        </w:rPr>
        <w:t>最大限度地保护</w:t>
      </w:r>
      <w:r>
        <w:rPr>
          <w:rFonts w:hint="eastAsia" w:ascii="宋体" w:hAnsi="宋体" w:cs="宋体"/>
          <w:color w:val="auto"/>
          <w:sz w:val="24"/>
          <w:highlight w:val="none"/>
        </w:rPr>
        <w:t>当事人权益。严格按照招标文件的商务、技术要求，对投标文件进行评定，编写评标报告。对落标单位，评委会不作任何落标解释。投标供应商不得以任何方式干扰招投标工作的进行，一经发现其投标文件将被拒绝。</w:t>
      </w:r>
    </w:p>
    <w:p w14:paraId="66A0CD34">
      <w:pPr>
        <w:shd w:val="clear"/>
        <w:spacing w:before="120" w:beforeLines="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二、评标内容及标准</w:t>
      </w:r>
    </w:p>
    <w:p w14:paraId="139BEA87">
      <w:pPr>
        <w:pStyle w:val="22"/>
        <w:shd w:val="clear"/>
        <w:spacing w:line="360" w:lineRule="auto"/>
        <w:ind w:firstLine="0" w:firstLineChars="0"/>
        <w:rPr>
          <w:rFonts w:ascii="Times New Roman" w:hAnsi="Times New Roman" w:cs="Times New Roman"/>
          <w:color w:val="auto"/>
          <w:kern w:val="2"/>
          <w:sz w:val="24"/>
          <w:highlight w:val="none"/>
        </w:rPr>
      </w:pPr>
      <w:r>
        <w:rPr>
          <w:rFonts w:hint="eastAsia" w:ascii="Times New Roman" w:hAnsi="Times New Roman" w:cs="Times New Roman"/>
          <w:color w:val="auto"/>
          <w:kern w:val="2"/>
          <w:sz w:val="24"/>
          <w:highlight w:val="none"/>
        </w:rPr>
        <w:t>（一）资格审查：</w:t>
      </w:r>
    </w:p>
    <w:p w14:paraId="2BF810EE">
      <w:pPr>
        <w:pStyle w:val="2"/>
        <w:shd w:val="clear"/>
        <w:spacing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评标委员会按照招标文件载明的资格后审条款，对投标人</w:t>
      </w:r>
      <w:r>
        <w:rPr>
          <w:rFonts w:hint="eastAsia" w:ascii="Times New Roman" w:hAnsi="Times New Roman" w:cs="Times New Roman"/>
          <w:color w:val="auto"/>
          <w:sz w:val="24"/>
          <w:szCs w:val="24"/>
          <w:highlight w:val="none"/>
          <w:lang w:val="en-US" w:eastAsia="zh-CN"/>
        </w:rPr>
        <w:t>的资格要求</w:t>
      </w:r>
      <w:r>
        <w:rPr>
          <w:rFonts w:ascii="Times New Roman" w:hAnsi="Times New Roman" w:cs="Times New Roman"/>
          <w:color w:val="auto"/>
          <w:sz w:val="24"/>
          <w:szCs w:val="24"/>
          <w:highlight w:val="none"/>
        </w:rPr>
        <w:t>等进行审查，凡不符合资格后审要求的，以无效标处理，不再进入下一阶段评审。</w:t>
      </w:r>
    </w:p>
    <w:p w14:paraId="551BFFC4">
      <w:pPr>
        <w:numPr>
          <w:ilvl w:val="0"/>
          <w:numId w:val="9"/>
        </w:numPr>
        <w:shd w:val="clear"/>
        <w:spacing w:line="360" w:lineRule="auto"/>
        <w:jc w:val="left"/>
        <w:rPr>
          <w:color w:val="auto"/>
          <w:sz w:val="24"/>
          <w:highlight w:val="none"/>
        </w:rPr>
      </w:pPr>
      <w:r>
        <w:rPr>
          <w:rFonts w:hint="eastAsia"/>
          <w:color w:val="auto"/>
          <w:sz w:val="24"/>
          <w:highlight w:val="none"/>
        </w:rPr>
        <w:t>技术资信标评审（</w:t>
      </w:r>
      <w:r>
        <w:rPr>
          <w:rFonts w:hint="eastAsia"/>
          <w:color w:val="auto"/>
          <w:sz w:val="24"/>
          <w:highlight w:val="none"/>
          <w:lang w:val="en-US" w:eastAsia="zh-CN"/>
        </w:rPr>
        <w:t>3</w:t>
      </w:r>
      <w:r>
        <w:rPr>
          <w:rFonts w:hint="eastAsia"/>
          <w:color w:val="auto"/>
          <w:sz w:val="24"/>
          <w:highlight w:val="none"/>
        </w:rPr>
        <w:t>0分）</w:t>
      </w:r>
    </w:p>
    <w:p w14:paraId="5DB742D0">
      <w:pPr>
        <w:shd w:val="clear"/>
        <w:spacing w:line="360" w:lineRule="auto"/>
        <w:jc w:val="left"/>
        <w:rPr>
          <w:color w:val="auto"/>
          <w:sz w:val="24"/>
          <w:highlight w:val="none"/>
        </w:rPr>
      </w:pPr>
      <w:r>
        <w:rPr>
          <w:rFonts w:hint="eastAsia"/>
          <w:color w:val="auto"/>
          <w:sz w:val="24"/>
          <w:highlight w:val="none"/>
        </w:rPr>
        <w:t>（1）评审步骤</w:t>
      </w:r>
    </w:p>
    <w:p w14:paraId="2E783652">
      <w:pPr>
        <w:shd w:val="clear"/>
        <w:spacing w:line="360" w:lineRule="auto"/>
        <w:ind w:firstLine="480" w:firstLineChars="200"/>
        <w:jc w:val="left"/>
        <w:rPr>
          <w:color w:val="auto"/>
          <w:sz w:val="24"/>
          <w:highlight w:val="none"/>
        </w:rPr>
      </w:pPr>
      <w:r>
        <w:rPr>
          <w:rFonts w:hint="eastAsia"/>
          <w:color w:val="auto"/>
          <w:sz w:val="24"/>
          <w:highlight w:val="none"/>
        </w:rPr>
        <w:t>在所有经评审的有效投标文件（S家）中，评标委员会成员针对投标人的技术资信标进行独立评审。具体评分步骤如下：</w:t>
      </w:r>
    </w:p>
    <w:p w14:paraId="6CAA150F">
      <w:pPr>
        <w:shd w:val="clear"/>
        <w:spacing w:line="360" w:lineRule="auto"/>
        <w:jc w:val="left"/>
        <w:rPr>
          <w:color w:val="auto"/>
          <w:sz w:val="24"/>
          <w:highlight w:val="none"/>
        </w:rPr>
      </w:pPr>
      <w:r>
        <w:rPr>
          <w:rFonts w:hint="eastAsia"/>
          <w:color w:val="auto"/>
          <w:sz w:val="24"/>
          <w:highlight w:val="none"/>
        </w:rPr>
        <w:t>1、评标委员会成员视其科学性、针对性、可行性、先进性、完善程度对投标人的技术资信标给出评审意见。</w:t>
      </w:r>
    </w:p>
    <w:p w14:paraId="047B5C99">
      <w:pPr>
        <w:shd w:val="clear"/>
        <w:spacing w:line="360" w:lineRule="auto"/>
        <w:jc w:val="left"/>
        <w:rPr>
          <w:color w:val="auto"/>
          <w:sz w:val="24"/>
          <w:highlight w:val="none"/>
        </w:rPr>
      </w:pPr>
      <w:r>
        <w:rPr>
          <w:rFonts w:hint="eastAsia"/>
          <w:color w:val="auto"/>
          <w:sz w:val="24"/>
          <w:highlight w:val="none"/>
        </w:rPr>
        <w:t>2、评标委员会成员按技术资信评分标准，各自打分（小数点后保留1位），评标委员会成员对应的合计得分的平均值作为投标人技术资信标的得分（小数点后保留2位，第3位四舍五入）。</w:t>
      </w:r>
    </w:p>
    <w:p w14:paraId="1609FC70">
      <w:pPr>
        <w:shd w:val="clear"/>
        <w:spacing w:line="360" w:lineRule="auto"/>
        <w:jc w:val="left"/>
        <w:rPr>
          <w:color w:val="auto"/>
          <w:highlight w:val="none"/>
        </w:rPr>
      </w:pPr>
      <w:r>
        <w:rPr>
          <w:rFonts w:hint="eastAsia"/>
          <w:color w:val="auto"/>
          <w:sz w:val="24"/>
          <w:highlight w:val="none"/>
        </w:rPr>
        <w:t>3、评标委员会按投标人技术资信标得分从高到低进行排名。如此时3≤S≤6时，所有经评审有效投标人的技术资信标均予以通过，其</w:t>
      </w:r>
      <w:r>
        <w:rPr>
          <w:color w:val="auto"/>
          <w:sz w:val="24"/>
          <w:highlight w:val="none"/>
        </w:rPr>
        <w:t>投标文件进入下一阶段评审</w:t>
      </w:r>
      <w:r>
        <w:rPr>
          <w:rFonts w:hint="eastAsia"/>
          <w:color w:val="auto"/>
          <w:sz w:val="24"/>
          <w:highlight w:val="none"/>
        </w:rPr>
        <w:t>；如此时S＞6时，取排名</w:t>
      </w:r>
      <w:r>
        <w:rPr>
          <w:color w:val="auto"/>
          <w:sz w:val="24"/>
          <w:highlight w:val="none"/>
        </w:rPr>
        <w:t>前</w:t>
      </w:r>
      <w:r>
        <w:rPr>
          <w:rFonts w:hint="eastAsia"/>
          <w:color w:val="auto"/>
          <w:sz w:val="24"/>
          <w:highlight w:val="none"/>
        </w:rPr>
        <w:t>六的</w:t>
      </w:r>
      <w:r>
        <w:rPr>
          <w:color w:val="auto"/>
          <w:sz w:val="24"/>
          <w:highlight w:val="none"/>
        </w:rPr>
        <w:t>投标人</w:t>
      </w:r>
      <w:r>
        <w:rPr>
          <w:rFonts w:hint="eastAsia"/>
          <w:color w:val="auto"/>
          <w:sz w:val="24"/>
          <w:highlight w:val="none"/>
        </w:rPr>
        <w:t>进入下一阶段评审（前六排名不并列，若排名前六的有效投标人中有得分相同的，由采购人代表抽签确定排名。第七名开始若有投标人得分与第六名并列时，则一并进入下一阶段评审），剩余投标人予以淘汰，其投标文件不再进入下一阶段评审，投标文件作无效标处理。</w:t>
      </w:r>
    </w:p>
    <w:tbl>
      <w:tblPr>
        <w:tblStyle w:val="23"/>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519"/>
        <w:gridCol w:w="784"/>
        <w:gridCol w:w="6278"/>
      </w:tblGrid>
      <w:tr w14:paraId="772C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80" w:type="dxa"/>
            <w:gridSpan w:val="4"/>
            <w:tcBorders>
              <w:top w:val="single" w:color="auto" w:sz="4" w:space="0"/>
              <w:left w:val="single" w:color="auto" w:sz="4" w:space="0"/>
              <w:bottom w:val="single" w:color="auto" w:sz="4" w:space="0"/>
              <w:right w:val="single" w:color="auto" w:sz="4" w:space="0"/>
            </w:tcBorders>
            <w:vAlign w:val="center"/>
          </w:tcPr>
          <w:p w14:paraId="726101A6">
            <w:pPr>
              <w:shd w:val="clear"/>
              <w:spacing w:line="360" w:lineRule="auto"/>
              <w:ind w:firstLine="3960" w:firstLineChars="1650"/>
              <w:rPr>
                <w:rFonts w:ascii="宋体" w:hAnsi="宋体" w:cs="宋体"/>
                <w:color w:val="auto"/>
                <w:sz w:val="24"/>
                <w:highlight w:val="none"/>
              </w:rPr>
            </w:pPr>
            <w:r>
              <w:rPr>
                <w:rFonts w:hint="eastAsia" w:ascii="宋体" w:hAnsi="宋体" w:cs="宋体"/>
                <w:bCs/>
                <w:color w:val="auto"/>
                <w:sz w:val="24"/>
                <w:highlight w:val="none"/>
              </w:rPr>
              <w:t>技术资信部分评审</w:t>
            </w:r>
          </w:p>
        </w:tc>
      </w:tr>
      <w:tr w14:paraId="0513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7DE0543">
            <w:pPr>
              <w:shd w:val="clear"/>
              <w:spacing w:line="360" w:lineRule="auto"/>
              <w:ind w:left="-140" w:leftChars="-50" w:right="-140" w:rightChar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519" w:type="dxa"/>
            <w:tcBorders>
              <w:top w:val="single" w:color="auto" w:sz="4" w:space="0"/>
              <w:left w:val="single" w:color="auto" w:sz="4" w:space="0"/>
              <w:bottom w:val="single" w:color="auto" w:sz="4" w:space="0"/>
              <w:right w:val="single" w:color="auto" w:sz="4" w:space="0"/>
            </w:tcBorders>
            <w:vAlign w:val="center"/>
          </w:tcPr>
          <w:p w14:paraId="7465452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评 分 内 容</w:t>
            </w:r>
          </w:p>
        </w:tc>
        <w:tc>
          <w:tcPr>
            <w:tcW w:w="784" w:type="dxa"/>
            <w:tcBorders>
              <w:top w:val="single" w:color="auto" w:sz="4" w:space="0"/>
              <w:left w:val="single" w:color="auto" w:sz="4" w:space="0"/>
              <w:bottom w:val="single" w:color="auto" w:sz="4" w:space="0"/>
              <w:right w:val="single" w:color="auto" w:sz="4" w:space="0"/>
            </w:tcBorders>
            <w:vAlign w:val="center"/>
          </w:tcPr>
          <w:p w14:paraId="227B163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分值</w:t>
            </w:r>
          </w:p>
        </w:tc>
        <w:tc>
          <w:tcPr>
            <w:tcW w:w="6278" w:type="dxa"/>
            <w:tcBorders>
              <w:top w:val="single" w:color="auto" w:sz="4" w:space="0"/>
              <w:left w:val="single" w:color="auto" w:sz="4" w:space="0"/>
              <w:bottom w:val="single" w:color="auto" w:sz="4" w:space="0"/>
              <w:right w:val="single" w:color="auto" w:sz="4" w:space="0"/>
            </w:tcBorders>
            <w:vAlign w:val="center"/>
          </w:tcPr>
          <w:p w14:paraId="2672D09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评  分  标  准</w:t>
            </w:r>
          </w:p>
        </w:tc>
      </w:tr>
      <w:tr w14:paraId="30DC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699" w:type="dxa"/>
            <w:tcBorders>
              <w:top w:val="single" w:color="auto" w:sz="4" w:space="0"/>
              <w:left w:val="single" w:color="auto" w:sz="4" w:space="0"/>
              <w:right w:val="single" w:color="auto" w:sz="4" w:space="0"/>
            </w:tcBorders>
            <w:vAlign w:val="center"/>
          </w:tcPr>
          <w:p w14:paraId="55C52C9B">
            <w:pPr>
              <w:shd w:val="clear"/>
              <w:spacing w:line="360" w:lineRule="auto"/>
              <w:jc w:val="center"/>
              <w:rPr>
                <w:rFonts w:hint="default" w:ascii="Times New Roman" w:hAnsi="Times New Roman" w:eastAsia="宋体" w:cs="Times New Roman"/>
                <w:color w:val="auto"/>
                <w:sz w:val="24"/>
                <w:highlight w:val="none"/>
                <w:lang w:eastAsia="zh-CN"/>
              </w:rPr>
            </w:pPr>
            <w:r>
              <w:rPr>
                <w:rFonts w:hint="default" w:cs="Times New Roman"/>
                <w:color w:val="auto"/>
                <w:sz w:val="24"/>
                <w:highlight w:val="none"/>
                <w:lang w:eastAsia="zh-CN"/>
              </w:rPr>
              <w:t>1</w:t>
            </w:r>
          </w:p>
        </w:tc>
        <w:tc>
          <w:tcPr>
            <w:tcW w:w="2519" w:type="dxa"/>
            <w:tcBorders>
              <w:top w:val="single" w:color="auto" w:sz="4" w:space="0"/>
              <w:left w:val="single" w:color="auto" w:sz="4" w:space="0"/>
              <w:right w:val="single" w:color="auto" w:sz="4" w:space="0"/>
            </w:tcBorders>
            <w:vAlign w:val="center"/>
          </w:tcPr>
          <w:p w14:paraId="45010D15">
            <w:pPr>
              <w:shd w:val="clea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类似项目业绩</w:t>
            </w:r>
          </w:p>
        </w:tc>
        <w:tc>
          <w:tcPr>
            <w:tcW w:w="784" w:type="dxa"/>
            <w:tcBorders>
              <w:top w:val="single" w:color="auto" w:sz="4" w:space="0"/>
              <w:left w:val="single" w:color="auto" w:sz="4" w:space="0"/>
              <w:right w:val="single" w:color="auto" w:sz="4" w:space="0"/>
            </w:tcBorders>
            <w:vAlign w:val="center"/>
          </w:tcPr>
          <w:p w14:paraId="53C79F76">
            <w:pPr>
              <w:shd w:val="clear"/>
              <w:spacing w:line="360" w:lineRule="auto"/>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w:t>
            </w:r>
          </w:p>
        </w:tc>
        <w:tc>
          <w:tcPr>
            <w:tcW w:w="6278" w:type="dxa"/>
            <w:tcBorders>
              <w:top w:val="single" w:color="auto" w:sz="4" w:space="0"/>
              <w:left w:val="single" w:color="auto" w:sz="4" w:space="0"/>
              <w:bottom w:val="single" w:color="auto" w:sz="4" w:space="0"/>
              <w:right w:val="single" w:color="auto" w:sz="4" w:space="0"/>
            </w:tcBorders>
            <w:vAlign w:val="center"/>
          </w:tcPr>
          <w:p w14:paraId="3A6A6AE8">
            <w:pPr>
              <w:shd w:val="clear"/>
              <w:spacing w:line="360" w:lineRule="auto"/>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2019年01月01日（以合同签订时间为准）以来承接过单个合同不少于</w:t>
            </w:r>
            <w:r>
              <w:rPr>
                <w:rFonts w:hint="eastAsia" w:cs="Times New Roman"/>
                <w:color w:val="auto"/>
                <w:sz w:val="24"/>
                <w:highlight w:val="none"/>
                <w:lang w:val="en-US" w:eastAsia="zh-CN"/>
              </w:rPr>
              <w:t>10</w:t>
            </w:r>
            <w:r>
              <w:rPr>
                <w:rFonts w:hint="eastAsia" w:ascii="Times New Roman" w:hAnsi="Times New Roman" w:eastAsia="宋体" w:cs="Times New Roman"/>
                <w:color w:val="auto"/>
                <w:sz w:val="24"/>
                <w:highlight w:val="none"/>
                <w:lang w:val="en-US" w:eastAsia="zh-CN"/>
              </w:rPr>
              <w:t>万元所投产品厂家类似本项目采购内容的</w:t>
            </w:r>
            <w:r>
              <w:rPr>
                <w:rFonts w:hint="eastAsia" w:cs="Times New Roman"/>
                <w:color w:val="auto"/>
                <w:sz w:val="24"/>
                <w:highlight w:val="none"/>
                <w:lang w:val="en-US" w:eastAsia="zh-CN"/>
              </w:rPr>
              <w:t>不锈钢</w:t>
            </w:r>
            <w:r>
              <w:rPr>
                <w:rFonts w:hint="default" w:cs="Times New Roman"/>
                <w:color w:val="auto"/>
                <w:sz w:val="24"/>
                <w:highlight w:val="none"/>
                <w:lang w:eastAsia="zh-CN"/>
              </w:rPr>
              <w:t>可移动花箱</w:t>
            </w:r>
            <w:r>
              <w:rPr>
                <w:rFonts w:hint="eastAsia" w:cs="Times New Roman"/>
                <w:color w:val="auto"/>
                <w:sz w:val="24"/>
                <w:highlight w:val="none"/>
                <w:lang w:eastAsia="zh-CN"/>
              </w:rPr>
              <w:t>（含座凳）的</w:t>
            </w:r>
            <w:r>
              <w:rPr>
                <w:rFonts w:hint="eastAsia" w:ascii="Times New Roman" w:hAnsi="Times New Roman" w:eastAsia="宋体" w:cs="Times New Roman"/>
                <w:color w:val="auto"/>
                <w:sz w:val="24"/>
                <w:highlight w:val="none"/>
                <w:lang w:val="en-US" w:eastAsia="zh-CN"/>
              </w:rPr>
              <w:t>供货业绩</w:t>
            </w:r>
            <w:r>
              <w:rPr>
                <w:rFonts w:hint="eastAsia" w:ascii="Times New Roman" w:hAnsi="Times New Roman" w:eastAsia="宋体" w:cs="Times New Roman"/>
                <w:color w:val="auto"/>
                <w:sz w:val="24"/>
                <w:highlight w:val="none"/>
              </w:rPr>
              <w:t>。每提供一个得</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分，最多得</w:t>
            </w: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rPr>
              <w:t>分</w:t>
            </w:r>
            <w:r>
              <w:rPr>
                <w:rFonts w:hint="eastAsia" w:ascii="Times New Roman" w:hAnsi="Times New Roman" w:eastAsia="宋体" w:cs="Times New Roman"/>
                <w:color w:val="auto"/>
                <w:sz w:val="24"/>
                <w:highlight w:val="none"/>
                <w:lang w:eastAsia="zh-CN"/>
              </w:rPr>
              <w:t>。</w:t>
            </w:r>
          </w:p>
          <w:p w14:paraId="0B7D8D46">
            <w:pPr>
              <w:shd w:val="clear"/>
              <w:spacing w:line="360" w:lineRule="auto"/>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注：1、</w:t>
            </w:r>
            <w:r>
              <w:rPr>
                <w:rFonts w:hint="eastAsia" w:ascii="Times New Roman" w:hAnsi="Times New Roman" w:eastAsia="宋体" w:cs="Times New Roman"/>
                <w:color w:val="auto"/>
                <w:sz w:val="24"/>
                <w:highlight w:val="none"/>
              </w:rPr>
              <w:t>投标人业绩资格要求满足本内容加分要求也可得分</w:t>
            </w:r>
            <w:r>
              <w:rPr>
                <w:rFonts w:hint="eastAsia" w:ascii="Times New Roman" w:hAnsi="Times New Roman" w:eastAsia="宋体" w:cs="Times New Roman"/>
                <w:color w:val="auto"/>
                <w:sz w:val="24"/>
                <w:highlight w:val="none"/>
                <w:lang w:eastAsia="zh-CN"/>
              </w:rPr>
              <w:t>。</w:t>
            </w:r>
          </w:p>
          <w:p w14:paraId="075AA8D2">
            <w:pPr>
              <w:shd w:val="clea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2、须提供该项目合同及相关发票复印件（发票累积金额须达到类似业绩合同金额的50%及以上）</w:t>
            </w:r>
            <w:r>
              <w:rPr>
                <w:rFonts w:hint="eastAsia" w:ascii="Times New Roman" w:hAnsi="Times New Roman" w:eastAsia="宋体" w:cs="Times New Roman"/>
                <w:color w:val="auto"/>
                <w:sz w:val="24"/>
                <w:highlight w:val="none"/>
              </w:rPr>
              <w:t>，如合同中无法体现项目</w:t>
            </w:r>
            <w:r>
              <w:rPr>
                <w:rFonts w:hint="eastAsia" w:ascii="Times New Roman" w:hAnsi="Times New Roman" w:eastAsia="宋体" w:cs="Times New Roman"/>
                <w:color w:val="auto"/>
                <w:sz w:val="24"/>
                <w:highlight w:val="none"/>
                <w:lang w:val="en-US" w:eastAsia="zh-CN"/>
              </w:rPr>
              <w:t>规模、</w:t>
            </w:r>
            <w:r>
              <w:rPr>
                <w:rFonts w:hint="eastAsia" w:ascii="Times New Roman" w:hAnsi="Times New Roman" w:eastAsia="宋体" w:cs="Times New Roman"/>
                <w:color w:val="auto"/>
                <w:sz w:val="24"/>
                <w:highlight w:val="none"/>
              </w:rPr>
              <w:t>内容和签订时间的，则还须提供原</w:t>
            </w:r>
            <w:r>
              <w:rPr>
                <w:rFonts w:hint="eastAsia" w:ascii="Times New Roman" w:hAnsi="Times New Roman" w:eastAsia="宋体" w:cs="Times New Roman"/>
                <w:color w:val="auto"/>
                <w:sz w:val="24"/>
                <w:highlight w:val="none"/>
                <w:lang w:val="en-US" w:eastAsia="zh-CN"/>
              </w:rPr>
              <w:t>合同采购单位</w:t>
            </w:r>
            <w:r>
              <w:rPr>
                <w:rFonts w:hint="eastAsia" w:ascii="Times New Roman" w:hAnsi="Times New Roman" w:eastAsia="宋体" w:cs="Times New Roman"/>
                <w:color w:val="auto"/>
                <w:sz w:val="24"/>
                <w:highlight w:val="none"/>
              </w:rPr>
              <w:t>盖章的业绩证明材料(格式自拟</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证明材料须补充相关信息。</w:t>
            </w:r>
          </w:p>
        </w:tc>
      </w:tr>
      <w:tr w14:paraId="4A48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99" w:type="dxa"/>
            <w:tcBorders>
              <w:left w:val="single" w:color="auto" w:sz="4" w:space="0"/>
              <w:right w:val="single" w:color="auto" w:sz="4" w:space="0"/>
            </w:tcBorders>
            <w:vAlign w:val="center"/>
          </w:tcPr>
          <w:p w14:paraId="303554E9">
            <w:pPr>
              <w:shd w:val="clear"/>
              <w:spacing w:line="360" w:lineRule="auto"/>
              <w:jc w:val="center"/>
              <w:rPr>
                <w:rFonts w:hint="default" w:ascii="Times New Roman" w:hAnsi="Times New Roman" w:eastAsia="宋体" w:cs="Times New Roman"/>
                <w:color w:val="auto"/>
                <w:sz w:val="24"/>
                <w:highlight w:val="none"/>
                <w:lang w:eastAsia="zh-CN"/>
              </w:rPr>
            </w:pPr>
            <w:r>
              <w:rPr>
                <w:rFonts w:hint="default" w:cs="Times New Roman"/>
                <w:color w:val="auto"/>
                <w:sz w:val="24"/>
                <w:highlight w:val="none"/>
                <w:lang w:eastAsia="zh-CN"/>
              </w:rPr>
              <w:t>2</w:t>
            </w:r>
          </w:p>
        </w:tc>
        <w:tc>
          <w:tcPr>
            <w:tcW w:w="2519" w:type="dxa"/>
            <w:tcBorders>
              <w:left w:val="single" w:color="auto" w:sz="4" w:space="0"/>
              <w:right w:val="single" w:color="auto" w:sz="4" w:space="0"/>
            </w:tcBorders>
            <w:vAlign w:val="center"/>
          </w:tcPr>
          <w:p w14:paraId="41E388EE">
            <w:pPr>
              <w:shd w:val="clea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综合实力</w:t>
            </w:r>
          </w:p>
        </w:tc>
        <w:tc>
          <w:tcPr>
            <w:tcW w:w="784" w:type="dxa"/>
            <w:tcBorders>
              <w:top w:val="single" w:color="auto" w:sz="4" w:space="0"/>
              <w:left w:val="single" w:color="auto" w:sz="4" w:space="0"/>
              <w:right w:val="single" w:color="auto" w:sz="4" w:space="0"/>
            </w:tcBorders>
            <w:vAlign w:val="center"/>
          </w:tcPr>
          <w:p w14:paraId="13BBF8C2">
            <w:pPr>
              <w:shd w:val="clear"/>
              <w:spacing w:line="360" w:lineRule="auto"/>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6</w:t>
            </w:r>
          </w:p>
        </w:tc>
        <w:tc>
          <w:tcPr>
            <w:tcW w:w="6278" w:type="dxa"/>
            <w:tcBorders>
              <w:top w:val="single" w:color="auto" w:sz="4" w:space="0"/>
              <w:left w:val="single" w:color="auto" w:sz="4" w:space="0"/>
              <w:right w:val="single" w:color="auto" w:sz="4" w:space="0"/>
            </w:tcBorders>
            <w:vAlign w:val="center"/>
          </w:tcPr>
          <w:p w14:paraId="300C1596">
            <w:pPr>
              <w:shd w:val="clea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根据</w:t>
            </w:r>
            <w:r>
              <w:rPr>
                <w:rFonts w:hint="eastAsia" w:cs="Times New Roman"/>
                <w:color w:val="auto"/>
                <w:sz w:val="24"/>
                <w:highlight w:val="none"/>
                <w:lang w:val="en-US" w:eastAsia="zh-CN"/>
              </w:rPr>
              <w:t>投标人</w:t>
            </w:r>
            <w:r>
              <w:rPr>
                <w:rFonts w:hint="eastAsia" w:ascii="Times New Roman" w:hAnsi="Times New Roman" w:eastAsia="宋体" w:cs="Times New Roman"/>
                <w:color w:val="auto"/>
                <w:sz w:val="24"/>
                <w:highlight w:val="none"/>
                <w:lang w:val="en-US" w:eastAsia="zh-CN"/>
              </w:rPr>
              <w:t>在行业知名度的高低、</w:t>
            </w:r>
            <w:r>
              <w:rPr>
                <w:rFonts w:hint="eastAsia" w:cs="Times New Roman"/>
                <w:color w:val="auto"/>
                <w:sz w:val="24"/>
                <w:highlight w:val="none"/>
                <w:lang w:val="en-US" w:eastAsia="zh-CN"/>
              </w:rPr>
              <w:t>信誉度</w:t>
            </w:r>
            <w:r>
              <w:rPr>
                <w:rFonts w:hint="eastAsia" w:ascii="Times New Roman" w:hAnsi="Times New Roman" w:eastAsia="宋体" w:cs="Times New Roman"/>
                <w:color w:val="auto"/>
                <w:sz w:val="24"/>
                <w:highlight w:val="none"/>
                <w:lang w:val="en-US" w:eastAsia="zh-CN"/>
              </w:rPr>
              <w:t>的</w:t>
            </w:r>
            <w:r>
              <w:rPr>
                <w:rFonts w:hint="eastAsia" w:cs="Times New Roman"/>
                <w:color w:val="auto"/>
                <w:sz w:val="24"/>
                <w:highlight w:val="none"/>
                <w:lang w:val="en-US" w:eastAsia="zh-CN"/>
              </w:rPr>
              <w:t>好坏</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客户满意度的高低</w:t>
            </w:r>
            <w:r>
              <w:rPr>
                <w:rFonts w:hint="eastAsia" w:ascii="Times New Roman" w:hAnsi="Times New Roman" w:eastAsia="宋体" w:cs="Times New Roman"/>
                <w:color w:val="auto"/>
                <w:sz w:val="24"/>
                <w:highlight w:val="none"/>
              </w:rPr>
              <w:t>等，专家根据实际情况</w:t>
            </w:r>
            <w:r>
              <w:rPr>
                <w:rFonts w:hint="eastAsia" w:ascii="Times New Roman" w:hAnsi="Times New Roman" w:eastAsia="宋体" w:cs="Times New Roman"/>
                <w:color w:val="auto"/>
                <w:sz w:val="24"/>
                <w:highlight w:val="none"/>
                <w:lang w:val="en-US" w:eastAsia="zh-CN"/>
              </w:rPr>
              <w:t>横向评定</w:t>
            </w:r>
            <w:r>
              <w:rPr>
                <w:rFonts w:hint="eastAsia" w:ascii="Times New Roman" w:hAnsi="Times New Roman" w:eastAsia="宋体" w:cs="Times New Roman"/>
                <w:color w:val="auto"/>
                <w:sz w:val="24"/>
                <w:highlight w:val="none"/>
              </w:rPr>
              <w:t>。</w:t>
            </w:r>
          </w:p>
          <w:p w14:paraId="1D968375">
            <w:pPr>
              <w:shd w:val="clear"/>
              <w:spacing w:line="360" w:lineRule="auto"/>
              <w:jc w:val="left"/>
              <w:rPr>
                <w:rFonts w:hint="eastAsia" w:cs="Times New Roman"/>
                <w:color w:val="auto"/>
                <w:sz w:val="24"/>
                <w:highlight w:val="none"/>
                <w:lang w:val="en-US" w:eastAsia="zh-CN"/>
              </w:rPr>
            </w:pPr>
            <w:r>
              <w:rPr>
                <w:rFonts w:hint="eastAsia" w:cs="Times New Roman"/>
                <w:color w:val="auto"/>
                <w:sz w:val="24"/>
                <w:highlight w:val="none"/>
                <w:lang w:val="en-US" w:eastAsia="zh-CN"/>
              </w:rPr>
              <w:t>投标人</w:t>
            </w:r>
            <w:r>
              <w:rPr>
                <w:rFonts w:hint="eastAsia" w:ascii="Times New Roman" w:hAnsi="Times New Roman" w:eastAsia="宋体" w:cs="Times New Roman"/>
                <w:color w:val="auto"/>
                <w:sz w:val="24"/>
                <w:highlight w:val="none"/>
                <w:lang w:val="en-US" w:eastAsia="zh-CN"/>
              </w:rPr>
              <w:t>在行业知名度高的</w:t>
            </w:r>
            <w:r>
              <w:rPr>
                <w:rFonts w:hint="eastAsia" w:cs="Times New Roman"/>
                <w:color w:val="auto"/>
                <w:sz w:val="24"/>
                <w:highlight w:val="none"/>
                <w:lang w:val="en-US" w:eastAsia="zh-CN"/>
              </w:rPr>
              <w:t>得2分，良好的得1.5分，普通的得1分；</w:t>
            </w:r>
          </w:p>
          <w:p w14:paraId="77BC6A76">
            <w:pPr>
              <w:shd w:val="clear"/>
              <w:spacing w:line="360" w:lineRule="auto"/>
              <w:jc w:val="left"/>
              <w:rPr>
                <w:rFonts w:hint="eastAsia" w:cs="Times New Roman"/>
                <w:color w:val="auto"/>
                <w:sz w:val="24"/>
                <w:highlight w:val="none"/>
                <w:lang w:val="en-US" w:eastAsia="zh-CN"/>
              </w:rPr>
            </w:pPr>
            <w:r>
              <w:rPr>
                <w:rFonts w:hint="eastAsia" w:cs="Times New Roman"/>
                <w:color w:val="auto"/>
                <w:sz w:val="24"/>
                <w:highlight w:val="none"/>
                <w:lang w:val="en-US" w:eastAsia="zh-CN"/>
              </w:rPr>
              <w:t>投标人信誉度评级</w:t>
            </w:r>
            <w:r>
              <w:rPr>
                <w:rFonts w:hint="eastAsia" w:ascii="Times New Roman" w:hAnsi="Times New Roman" w:eastAsia="宋体" w:cs="Times New Roman"/>
                <w:color w:val="auto"/>
                <w:sz w:val="24"/>
                <w:highlight w:val="none"/>
                <w:lang w:val="en-US" w:eastAsia="zh-CN"/>
              </w:rPr>
              <w:t>高的</w:t>
            </w:r>
            <w:r>
              <w:rPr>
                <w:rFonts w:hint="eastAsia" w:cs="Times New Roman"/>
                <w:color w:val="auto"/>
                <w:sz w:val="24"/>
                <w:highlight w:val="none"/>
                <w:lang w:val="en-US" w:eastAsia="zh-CN"/>
              </w:rPr>
              <w:t>得2分，良好的得1.5分，普通的得1分；</w:t>
            </w:r>
          </w:p>
          <w:p w14:paraId="0CBCFB8F">
            <w:pPr>
              <w:shd w:val="clear"/>
              <w:spacing w:line="360" w:lineRule="auto"/>
              <w:jc w:val="left"/>
              <w:rPr>
                <w:rFonts w:hint="eastAsia" w:cs="Times New Roman"/>
                <w:color w:val="auto"/>
                <w:sz w:val="24"/>
                <w:highlight w:val="none"/>
                <w:lang w:val="en-US" w:eastAsia="zh-CN"/>
              </w:rPr>
            </w:pPr>
            <w:r>
              <w:rPr>
                <w:rFonts w:hint="eastAsia" w:cs="Times New Roman"/>
                <w:color w:val="auto"/>
                <w:sz w:val="24"/>
                <w:highlight w:val="none"/>
                <w:lang w:val="en-US" w:eastAsia="zh-CN"/>
              </w:rPr>
              <w:t>投标人客户满意度</w:t>
            </w:r>
            <w:r>
              <w:rPr>
                <w:rFonts w:hint="eastAsia" w:ascii="Times New Roman" w:hAnsi="Times New Roman" w:eastAsia="宋体" w:cs="Times New Roman"/>
                <w:color w:val="auto"/>
                <w:sz w:val="24"/>
                <w:highlight w:val="none"/>
                <w:lang w:val="en-US" w:eastAsia="zh-CN"/>
              </w:rPr>
              <w:t>高的</w:t>
            </w:r>
            <w:r>
              <w:rPr>
                <w:rFonts w:hint="eastAsia" w:cs="Times New Roman"/>
                <w:color w:val="auto"/>
                <w:sz w:val="24"/>
                <w:highlight w:val="none"/>
                <w:lang w:val="en-US" w:eastAsia="zh-CN"/>
              </w:rPr>
              <w:t>得2分，良好的得1.5分，普通的得1分；</w:t>
            </w:r>
          </w:p>
          <w:p w14:paraId="1CD6D204">
            <w:pPr>
              <w:pStyle w:val="2"/>
              <w:shd w:val="clear"/>
              <w:ind w:left="0" w:leftChars="0" w:firstLine="0" w:firstLineChars="0"/>
              <w:rPr>
                <w:rFonts w:hint="eastAsia"/>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缺项不得分。</w:t>
            </w:r>
          </w:p>
        </w:tc>
      </w:tr>
      <w:tr w14:paraId="3110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9DFBDD5">
            <w:pPr>
              <w:shd w:val="clear"/>
              <w:spacing w:line="360" w:lineRule="auto"/>
              <w:jc w:val="center"/>
              <w:rPr>
                <w:rFonts w:hint="default" w:ascii="Times New Roman" w:hAnsi="Times New Roman" w:eastAsia="宋体" w:cs="Times New Roman"/>
                <w:color w:val="auto"/>
                <w:sz w:val="24"/>
                <w:highlight w:val="none"/>
                <w:lang w:eastAsia="zh-CN"/>
              </w:rPr>
            </w:pPr>
            <w:r>
              <w:rPr>
                <w:rFonts w:hint="default" w:cs="Times New Roman"/>
                <w:color w:val="auto"/>
                <w:sz w:val="24"/>
                <w:highlight w:val="none"/>
                <w:lang w:eastAsia="zh-CN"/>
              </w:rPr>
              <w:t>3</w:t>
            </w:r>
          </w:p>
        </w:tc>
        <w:tc>
          <w:tcPr>
            <w:tcW w:w="2519" w:type="dxa"/>
            <w:tcBorders>
              <w:top w:val="single" w:color="auto" w:sz="4" w:space="0"/>
              <w:left w:val="single" w:color="auto" w:sz="4" w:space="0"/>
              <w:bottom w:val="single" w:color="auto" w:sz="4" w:space="0"/>
              <w:right w:val="single" w:color="auto" w:sz="4" w:space="0"/>
            </w:tcBorders>
            <w:vAlign w:val="center"/>
          </w:tcPr>
          <w:p w14:paraId="0C94D1E0">
            <w:pPr>
              <w:shd w:val="clea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产品选型</w:t>
            </w:r>
          </w:p>
        </w:tc>
        <w:tc>
          <w:tcPr>
            <w:tcW w:w="784" w:type="dxa"/>
            <w:tcBorders>
              <w:top w:val="single" w:color="auto" w:sz="4" w:space="0"/>
              <w:left w:val="single" w:color="auto" w:sz="4" w:space="0"/>
              <w:bottom w:val="single" w:color="auto" w:sz="4" w:space="0"/>
              <w:right w:val="single" w:color="auto" w:sz="4" w:space="0"/>
            </w:tcBorders>
            <w:vAlign w:val="center"/>
          </w:tcPr>
          <w:p w14:paraId="7D60E0AE">
            <w:pPr>
              <w:shd w:val="clear"/>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w:t>
            </w:r>
          </w:p>
        </w:tc>
        <w:tc>
          <w:tcPr>
            <w:tcW w:w="6278" w:type="dxa"/>
            <w:tcBorders>
              <w:top w:val="single" w:color="auto" w:sz="4" w:space="0"/>
              <w:left w:val="single" w:color="auto" w:sz="4" w:space="0"/>
              <w:bottom w:val="single" w:color="auto" w:sz="4" w:space="0"/>
              <w:right w:val="single" w:color="auto" w:sz="4" w:space="0"/>
            </w:tcBorders>
            <w:vAlign w:val="center"/>
          </w:tcPr>
          <w:p w14:paraId="57861B66">
            <w:pPr>
              <w:shd w:val="clear"/>
              <w:spacing w:line="360" w:lineRule="auto"/>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投标人根据本项目实际情况，提供所投产品的</w:t>
            </w:r>
            <w:r>
              <w:rPr>
                <w:rFonts w:hint="eastAsia" w:cs="Times New Roman"/>
                <w:color w:val="auto"/>
                <w:sz w:val="24"/>
                <w:highlight w:val="none"/>
                <w:lang w:val="en-US" w:eastAsia="zh-CN"/>
              </w:rPr>
              <w:t>材质、设计水平、</w:t>
            </w:r>
            <w:r>
              <w:rPr>
                <w:rFonts w:hint="eastAsia" w:ascii="Times New Roman" w:hAnsi="Times New Roman" w:eastAsia="宋体" w:cs="Times New Roman"/>
                <w:color w:val="auto"/>
                <w:sz w:val="24"/>
                <w:highlight w:val="none"/>
                <w:lang w:val="en-US" w:eastAsia="zh-CN"/>
              </w:rPr>
              <w:t>工艺、油漆、安全性、可维护性</w:t>
            </w:r>
            <w:r>
              <w:rPr>
                <w:rFonts w:hint="eastAsia" w:ascii="Times New Roman" w:hAnsi="Times New Roman" w:eastAsia="宋体" w:cs="Times New Roman"/>
                <w:color w:val="auto"/>
                <w:sz w:val="24"/>
                <w:highlight w:val="none"/>
                <w:lang w:eastAsia="zh-CN"/>
              </w:rPr>
              <w:t>等产品</w:t>
            </w:r>
            <w:r>
              <w:rPr>
                <w:rFonts w:hint="eastAsia" w:ascii="Times New Roman" w:hAnsi="Times New Roman" w:eastAsia="宋体" w:cs="Times New Roman"/>
                <w:color w:val="auto"/>
                <w:sz w:val="24"/>
                <w:highlight w:val="none"/>
                <w:lang w:val="en-US" w:eastAsia="zh-CN"/>
              </w:rPr>
              <w:t>相关描述</w:t>
            </w:r>
            <w:r>
              <w:rPr>
                <w:rFonts w:hint="eastAsia" w:ascii="Times New Roman" w:hAnsi="Times New Roman" w:eastAsia="宋体" w:cs="Times New Roman"/>
                <w:color w:val="auto"/>
                <w:sz w:val="24"/>
                <w:highlight w:val="none"/>
                <w:lang w:eastAsia="zh-CN"/>
              </w:rPr>
              <w:t>，专家根据</w:t>
            </w:r>
            <w:r>
              <w:rPr>
                <w:rFonts w:hint="eastAsia" w:ascii="Times New Roman" w:hAnsi="Times New Roman" w:eastAsia="宋体" w:cs="Times New Roman"/>
                <w:color w:val="auto"/>
                <w:sz w:val="24"/>
                <w:highlight w:val="none"/>
                <w:lang w:val="en-US" w:eastAsia="zh-CN"/>
              </w:rPr>
              <w:t>实际</w:t>
            </w:r>
            <w:r>
              <w:rPr>
                <w:rFonts w:hint="eastAsia" w:ascii="Times New Roman" w:hAnsi="Times New Roman" w:eastAsia="宋体" w:cs="Times New Roman"/>
                <w:color w:val="auto"/>
                <w:sz w:val="24"/>
                <w:highlight w:val="none"/>
                <w:lang w:eastAsia="zh-CN"/>
              </w:rPr>
              <w:t>情况横向评定。</w:t>
            </w:r>
          </w:p>
          <w:p w14:paraId="473C63F8">
            <w:pPr>
              <w:shd w:val="clear"/>
              <w:spacing w:line="360" w:lineRule="auto"/>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一类（</w:t>
            </w:r>
            <w:r>
              <w:rPr>
                <w:rFonts w:hint="eastAsia" w:cs="Times New Roman"/>
                <w:color w:val="auto"/>
                <w:sz w:val="24"/>
                <w:highlight w:val="none"/>
                <w:lang w:val="en-US" w:eastAsia="zh-CN"/>
              </w:rPr>
              <w:t>6</w:t>
            </w:r>
            <w:r>
              <w:rPr>
                <w:rFonts w:hint="eastAsia" w:ascii="Times New Roman" w:hAnsi="Times New Roman" w:eastAsia="宋体" w:cs="Times New Roman"/>
                <w:color w:val="auto"/>
                <w:sz w:val="24"/>
                <w:highlight w:val="none"/>
              </w:rPr>
              <w:t>.0-</w:t>
            </w:r>
            <w:r>
              <w:rPr>
                <w:rFonts w:hint="eastAsia" w:cs="Times New Roman"/>
                <w:color w:val="auto"/>
                <w:sz w:val="24"/>
                <w:highlight w:val="none"/>
                <w:lang w:val="en-US" w:eastAsia="zh-CN"/>
              </w:rPr>
              <w:t>5</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)；二类（</w:t>
            </w:r>
            <w:r>
              <w:rPr>
                <w:rFonts w:hint="eastAsia" w:cs="Times New Roman"/>
                <w:color w:val="auto"/>
                <w:sz w:val="24"/>
                <w:highlight w:val="none"/>
                <w:lang w:val="en-US" w:eastAsia="zh-CN"/>
              </w:rPr>
              <w:t>5.0</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4</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)；三类（</w:t>
            </w:r>
            <w:r>
              <w:rPr>
                <w:rFonts w:hint="eastAsia" w:cs="Times New Roman"/>
                <w:color w:val="auto"/>
                <w:sz w:val="24"/>
                <w:highlight w:val="none"/>
                <w:lang w:val="en-US" w:eastAsia="zh-CN"/>
              </w:rPr>
              <w:t>4.0</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3.0</w:t>
            </w:r>
            <w:r>
              <w:rPr>
                <w:rFonts w:hint="eastAsia" w:ascii="Times New Roman" w:hAnsi="Times New Roman" w:eastAsia="宋体" w:cs="Times New Roman"/>
                <w:color w:val="auto"/>
                <w:sz w:val="24"/>
                <w:highlight w:val="none"/>
                <w:lang w:eastAsia="zh-CN"/>
              </w:rPr>
              <w:t>分）</w:t>
            </w:r>
            <w:r>
              <w:rPr>
                <w:rFonts w:hint="eastAsia" w:cs="Times New Roman"/>
                <w:color w:val="auto"/>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缺项不得分。</w:t>
            </w:r>
          </w:p>
        </w:tc>
      </w:tr>
      <w:tr w14:paraId="7083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5EAABCA">
            <w:pPr>
              <w:shd w:val="clear"/>
              <w:spacing w:line="360" w:lineRule="auto"/>
              <w:jc w:val="center"/>
              <w:rPr>
                <w:rFonts w:hint="default" w:ascii="Times New Roman" w:hAnsi="Times New Roman" w:eastAsia="宋体" w:cs="Times New Roman"/>
                <w:color w:val="auto"/>
                <w:sz w:val="24"/>
                <w:highlight w:val="none"/>
                <w:lang w:eastAsia="zh-CN"/>
              </w:rPr>
            </w:pPr>
            <w:r>
              <w:rPr>
                <w:rFonts w:hint="default" w:cs="Times New Roman"/>
                <w:color w:val="auto"/>
                <w:sz w:val="24"/>
                <w:highlight w:val="none"/>
                <w:lang w:eastAsia="zh-CN"/>
              </w:rPr>
              <w:t>4</w:t>
            </w:r>
          </w:p>
        </w:tc>
        <w:tc>
          <w:tcPr>
            <w:tcW w:w="2519" w:type="dxa"/>
            <w:tcBorders>
              <w:top w:val="single" w:color="auto" w:sz="4" w:space="0"/>
              <w:left w:val="single" w:color="auto" w:sz="4" w:space="0"/>
              <w:bottom w:val="single" w:color="auto" w:sz="4" w:space="0"/>
              <w:right w:val="single" w:color="auto" w:sz="4" w:space="0"/>
            </w:tcBorders>
            <w:vAlign w:val="center"/>
          </w:tcPr>
          <w:p w14:paraId="65427491">
            <w:pPr>
              <w:shd w:val="clea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供货方案</w:t>
            </w:r>
          </w:p>
        </w:tc>
        <w:tc>
          <w:tcPr>
            <w:tcW w:w="784" w:type="dxa"/>
            <w:tcBorders>
              <w:top w:val="single" w:color="auto" w:sz="4" w:space="0"/>
              <w:left w:val="single" w:color="auto" w:sz="4" w:space="0"/>
              <w:bottom w:val="single" w:color="auto" w:sz="4" w:space="0"/>
              <w:right w:val="single" w:color="auto" w:sz="4" w:space="0"/>
            </w:tcBorders>
            <w:vAlign w:val="center"/>
          </w:tcPr>
          <w:p w14:paraId="094201E0">
            <w:pPr>
              <w:shd w:val="clear"/>
              <w:spacing w:line="360" w:lineRule="auto"/>
              <w:jc w:val="center"/>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6</w:t>
            </w:r>
          </w:p>
        </w:tc>
        <w:tc>
          <w:tcPr>
            <w:tcW w:w="6278" w:type="dxa"/>
            <w:tcBorders>
              <w:top w:val="single" w:color="auto" w:sz="4" w:space="0"/>
              <w:left w:val="single" w:color="auto" w:sz="4" w:space="0"/>
              <w:bottom w:val="single" w:color="auto" w:sz="4" w:space="0"/>
              <w:right w:val="single" w:color="auto" w:sz="4" w:space="0"/>
            </w:tcBorders>
            <w:vAlign w:val="center"/>
          </w:tcPr>
          <w:p w14:paraId="2143EF46">
            <w:pPr>
              <w:shd w:val="clea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投标人根据本项实际情况，从生产、加工、制造工艺控制、质量控制及供货时间等方面编写</w:t>
            </w:r>
            <w:r>
              <w:rPr>
                <w:rFonts w:hint="eastAsia" w:ascii="Times New Roman" w:hAnsi="Times New Roman" w:eastAsia="宋体" w:cs="Times New Roman"/>
                <w:color w:val="auto"/>
                <w:sz w:val="24"/>
                <w:highlight w:val="none"/>
                <w:lang w:val="en-US" w:eastAsia="zh-CN"/>
              </w:rPr>
              <w:t>供货</w:t>
            </w:r>
            <w:r>
              <w:rPr>
                <w:rFonts w:hint="eastAsia" w:ascii="Times New Roman" w:hAnsi="Times New Roman" w:eastAsia="宋体" w:cs="Times New Roman"/>
                <w:color w:val="auto"/>
                <w:sz w:val="24"/>
                <w:highlight w:val="none"/>
              </w:rPr>
              <w:t>方案，专家根据实际情况横向评定。</w:t>
            </w:r>
          </w:p>
          <w:p w14:paraId="082148D4">
            <w:pPr>
              <w:shd w:val="clea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一类（</w:t>
            </w:r>
            <w:r>
              <w:rPr>
                <w:rFonts w:hint="eastAsia" w:cs="Times New Roman"/>
                <w:color w:val="auto"/>
                <w:sz w:val="24"/>
                <w:highlight w:val="none"/>
                <w:lang w:val="en-US" w:eastAsia="zh-CN"/>
              </w:rPr>
              <w:t>6</w:t>
            </w:r>
            <w:r>
              <w:rPr>
                <w:rFonts w:hint="eastAsia" w:ascii="Times New Roman" w:hAnsi="Times New Roman" w:eastAsia="宋体" w:cs="Times New Roman"/>
                <w:color w:val="auto"/>
                <w:sz w:val="24"/>
                <w:highlight w:val="none"/>
              </w:rPr>
              <w:t>.0-</w:t>
            </w:r>
            <w:r>
              <w:rPr>
                <w:rFonts w:hint="eastAsia" w:cs="Times New Roman"/>
                <w:color w:val="auto"/>
                <w:sz w:val="24"/>
                <w:highlight w:val="none"/>
                <w:lang w:val="en-US" w:eastAsia="zh-CN"/>
              </w:rPr>
              <w:t>5</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)；二类（</w:t>
            </w:r>
            <w:r>
              <w:rPr>
                <w:rFonts w:hint="eastAsia" w:cs="Times New Roman"/>
                <w:color w:val="auto"/>
                <w:sz w:val="24"/>
                <w:highlight w:val="none"/>
                <w:lang w:val="en-US" w:eastAsia="zh-CN"/>
              </w:rPr>
              <w:t>5.0</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4</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)；三类（</w:t>
            </w:r>
            <w:r>
              <w:rPr>
                <w:rFonts w:hint="eastAsia" w:cs="Times New Roman"/>
                <w:color w:val="auto"/>
                <w:sz w:val="24"/>
                <w:highlight w:val="none"/>
                <w:lang w:val="en-US" w:eastAsia="zh-CN"/>
              </w:rPr>
              <w:t>4.0</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3.0</w:t>
            </w:r>
            <w:r>
              <w:rPr>
                <w:rFonts w:hint="eastAsia" w:ascii="Times New Roman" w:hAnsi="Times New Roman" w:eastAsia="宋体" w:cs="Times New Roman"/>
                <w:color w:val="auto"/>
                <w:sz w:val="24"/>
                <w:highlight w:val="none"/>
                <w:lang w:eastAsia="zh-CN"/>
              </w:rPr>
              <w:t>分）</w:t>
            </w:r>
            <w:r>
              <w:rPr>
                <w:rFonts w:hint="eastAsia" w:cs="Times New Roman"/>
                <w:color w:val="auto"/>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缺项不得分。</w:t>
            </w:r>
          </w:p>
        </w:tc>
      </w:tr>
      <w:tr w14:paraId="1149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34D74E2">
            <w:pPr>
              <w:shd w:val="clear"/>
              <w:spacing w:line="360" w:lineRule="auto"/>
              <w:jc w:val="center"/>
              <w:rPr>
                <w:rFonts w:hint="default" w:ascii="Times New Roman" w:hAnsi="Times New Roman" w:eastAsia="宋体" w:cs="Times New Roman"/>
                <w:color w:val="auto"/>
                <w:sz w:val="24"/>
                <w:highlight w:val="none"/>
                <w:lang w:eastAsia="zh-CN"/>
              </w:rPr>
            </w:pPr>
            <w:r>
              <w:rPr>
                <w:rFonts w:hint="default" w:cs="Times New Roman"/>
                <w:color w:val="auto"/>
                <w:sz w:val="24"/>
                <w:highlight w:val="none"/>
                <w:lang w:eastAsia="zh-CN"/>
              </w:rPr>
              <w:t>5</w:t>
            </w:r>
          </w:p>
        </w:tc>
        <w:tc>
          <w:tcPr>
            <w:tcW w:w="2519" w:type="dxa"/>
            <w:tcBorders>
              <w:top w:val="single" w:color="auto" w:sz="4" w:space="0"/>
              <w:left w:val="single" w:color="auto" w:sz="4" w:space="0"/>
              <w:bottom w:val="single" w:color="auto" w:sz="4" w:space="0"/>
              <w:right w:val="single" w:color="auto" w:sz="4" w:space="0"/>
            </w:tcBorders>
            <w:vAlign w:val="center"/>
          </w:tcPr>
          <w:p w14:paraId="07F24050">
            <w:pPr>
              <w:shd w:val="clear"/>
              <w:spacing w:line="360" w:lineRule="auto"/>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样品</w:t>
            </w:r>
          </w:p>
        </w:tc>
        <w:tc>
          <w:tcPr>
            <w:tcW w:w="784" w:type="dxa"/>
            <w:tcBorders>
              <w:top w:val="single" w:color="auto" w:sz="4" w:space="0"/>
              <w:left w:val="single" w:color="auto" w:sz="4" w:space="0"/>
              <w:bottom w:val="single" w:color="auto" w:sz="4" w:space="0"/>
              <w:right w:val="single" w:color="auto" w:sz="4" w:space="0"/>
            </w:tcBorders>
            <w:vAlign w:val="center"/>
          </w:tcPr>
          <w:p w14:paraId="4EE2A36B">
            <w:pPr>
              <w:shd w:val="clear"/>
              <w:spacing w:line="360" w:lineRule="auto"/>
              <w:jc w:val="center"/>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6</w:t>
            </w:r>
          </w:p>
        </w:tc>
        <w:tc>
          <w:tcPr>
            <w:tcW w:w="6278" w:type="dxa"/>
            <w:tcBorders>
              <w:top w:val="single" w:color="auto" w:sz="4" w:space="0"/>
              <w:left w:val="single" w:color="auto" w:sz="4" w:space="0"/>
              <w:bottom w:val="single" w:color="auto" w:sz="4" w:space="0"/>
              <w:right w:val="single" w:color="auto" w:sz="4" w:space="0"/>
            </w:tcBorders>
            <w:vAlign w:val="center"/>
          </w:tcPr>
          <w:p w14:paraId="010749A1">
            <w:pPr>
              <w:shd w:val="clear"/>
              <w:spacing w:line="360" w:lineRule="auto"/>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根据所投</w:t>
            </w:r>
            <w:r>
              <w:rPr>
                <w:rFonts w:hint="eastAsia" w:ascii="Times New Roman" w:hAnsi="Times New Roman" w:eastAsia="宋体" w:cs="Times New Roman"/>
                <w:color w:val="auto"/>
                <w:sz w:val="24"/>
                <w:highlight w:val="none"/>
                <w:lang w:eastAsia="zh-CN"/>
              </w:rPr>
              <w:t>产品</w:t>
            </w:r>
            <w:r>
              <w:rPr>
                <w:rFonts w:hint="eastAsia" w:ascii="Times New Roman" w:hAnsi="Times New Roman" w:eastAsia="宋体" w:cs="Times New Roman"/>
                <w:color w:val="auto"/>
                <w:sz w:val="24"/>
                <w:highlight w:val="none"/>
                <w:lang w:val="en-US" w:eastAsia="zh-CN"/>
              </w:rPr>
              <w:t>样品</w:t>
            </w:r>
            <w:r>
              <w:rPr>
                <w:rFonts w:hint="eastAsia" w:cs="Times New Roman"/>
                <w:color w:val="auto"/>
                <w:sz w:val="24"/>
                <w:highlight w:val="none"/>
                <w:lang w:val="en-US" w:eastAsia="zh-CN"/>
              </w:rPr>
              <w:t>（提供清单序号</w:t>
            </w:r>
            <w:r>
              <w:rPr>
                <w:rFonts w:hint="default" w:cs="Times New Roman"/>
                <w:color w:val="auto"/>
                <w:sz w:val="24"/>
                <w:highlight w:val="none"/>
                <w:lang w:eastAsia="zh-CN"/>
              </w:rPr>
              <w:t>4可移动花箱</w:t>
            </w:r>
            <w:r>
              <w:rPr>
                <w:rFonts w:hint="eastAsia" w:cs="Times New Roman"/>
                <w:color w:val="auto"/>
                <w:sz w:val="24"/>
                <w:highlight w:val="none"/>
                <w:lang w:val="en-US" w:eastAsia="zh-CN"/>
              </w:rPr>
              <w:t>）</w:t>
            </w:r>
            <w:r>
              <w:rPr>
                <w:rFonts w:hint="eastAsia" w:ascii="Times New Roman" w:hAnsi="Times New Roman" w:eastAsia="宋体" w:cs="Times New Roman"/>
                <w:color w:val="auto"/>
                <w:sz w:val="24"/>
                <w:highlight w:val="none"/>
                <w:lang w:eastAsia="zh-CN"/>
              </w:rPr>
              <w:t>的整体牢固</w:t>
            </w:r>
            <w:r>
              <w:rPr>
                <w:rFonts w:hint="eastAsia" w:cs="Times New Roman"/>
                <w:color w:val="auto"/>
                <w:sz w:val="24"/>
                <w:highlight w:val="none"/>
                <w:lang w:eastAsia="zh-CN"/>
              </w:rPr>
              <w:t>可靠性、外观光泽度、颜色饱满度、喷塑平整度、抗压抗折能力</w:t>
            </w:r>
            <w:r>
              <w:rPr>
                <w:rFonts w:hint="eastAsia" w:ascii="Times New Roman" w:hAnsi="Times New Roman" w:eastAsia="宋体" w:cs="Times New Roman"/>
                <w:color w:val="auto"/>
                <w:sz w:val="24"/>
                <w:highlight w:val="none"/>
                <w:lang w:eastAsia="zh-CN"/>
              </w:rPr>
              <w:t>等</w:t>
            </w:r>
            <w:r>
              <w:rPr>
                <w:rFonts w:hint="eastAsia" w:cs="Times New Roman"/>
                <w:color w:val="auto"/>
                <w:sz w:val="24"/>
                <w:highlight w:val="none"/>
                <w:lang w:eastAsia="zh-CN"/>
              </w:rPr>
              <w:t>方面</w:t>
            </w:r>
            <w:r>
              <w:rPr>
                <w:rFonts w:hint="eastAsia" w:ascii="Times New Roman" w:hAnsi="Times New Roman" w:eastAsia="宋体" w:cs="Times New Roman"/>
                <w:color w:val="auto"/>
                <w:sz w:val="24"/>
                <w:highlight w:val="none"/>
                <w:lang w:eastAsia="zh-CN"/>
              </w:rPr>
              <w:t>，专家根据</w:t>
            </w:r>
            <w:r>
              <w:rPr>
                <w:rFonts w:hint="eastAsia" w:cs="Times New Roman"/>
                <w:color w:val="auto"/>
                <w:sz w:val="24"/>
                <w:highlight w:val="none"/>
                <w:lang w:eastAsia="zh-CN"/>
              </w:rPr>
              <w:t>实际情况</w:t>
            </w:r>
            <w:r>
              <w:rPr>
                <w:rFonts w:hint="eastAsia" w:ascii="Times New Roman" w:hAnsi="Times New Roman" w:eastAsia="宋体" w:cs="Times New Roman"/>
                <w:color w:val="auto"/>
                <w:sz w:val="24"/>
                <w:highlight w:val="none"/>
                <w:lang w:eastAsia="zh-CN"/>
              </w:rPr>
              <w:t>横向评定。</w:t>
            </w:r>
          </w:p>
          <w:p w14:paraId="24FBC48A">
            <w:pPr>
              <w:shd w:val="clear"/>
              <w:spacing w:line="360" w:lineRule="auto"/>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一类（</w:t>
            </w:r>
            <w:r>
              <w:rPr>
                <w:rFonts w:hint="eastAsia" w:cs="Times New Roman"/>
                <w:color w:val="auto"/>
                <w:sz w:val="24"/>
                <w:highlight w:val="none"/>
                <w:lang w:val="en-US" w:eastAsia="zh-CN"/>
              </w:rPr>
              <w:t>6</w:t>
            </w:r>
            <w:r>
              <w:rPr>
                <w:rFonts w:hint="eastAsia" w:ascii="Times New Roman" w:hAnsi="Times New Roman" w:eastAsia="宋体" w:cs="Times New Roman"/>
                <w:color w:val="auto"/>
                <w:sz w:val="24"/>
                <w:highlight w:val="none"/>
              </w:rPr>
              <w:t>.0-</w:t>
            </w:r>
            <w:r>
              <w:rPr>
                <w:rFonts w:hint="eastAsia" w:cs="Times New Roman"/>
                <w:color w:val="auto"/>
                <w:sz w:val="24"/>
                <w:highlight w:val="none"/>
                <w:lang w:val="en-US" w:eastAsia="zh-CN"/>
              </w:rPr>
              <w:t>5</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)；二类（</w:t>
            </w:r>
            <w:r>
              <w:rPr>
                <w:rFonts w:hint="eastAsia" w:cs="Times New Roman"/>
                <w:color w:val="auto"/>
                <w:sz w:val="24"/>
                <w:highlight w:val="none"/>
                <w:lang w:val="en-US" w:eastAsia="zh-CN"/>
              </w:rPr>
              <w:t>5.0</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4</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分</w:t>
            </w:r>
            <w:r>
              <w:rPr>
                <w:rFonts w:hint="eastAsia" w:ascii="Times New Roman" w:hAnsi="Times New Roman" w:eastAsia="宋体" w:cs="Times New Roman"/>
                <w:color w:val="auto"/>
                <w:sz w:val="24"/>
                <w:highlight w:val="none"/>
              </w:rPr>
              <w:t>)；三类（</w:t>
            </w:r>
            <w:r>
              <w:rPr>
                <w:rFonts w:hint="eastAsia" w:cs="Times New Roman"/>
                <w:color w:val="auto"/>
                <w:sz w:val="24"/>
                <w:highlight w:val="none"/>
                <w:lang w:val="en-US" w:eastAsia="zh-CN"/>
              </w:rPr>
              <w:t>4.0</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3.0</w:t>
            </w:r>
            <w:r>
              <w:rPr>
                <w:rFonts w:hint="eastAsia" w:ascii="Times New Roman" w:hAnsi="Times New Roman" w:eastAsia="宋体" w:cs="Times New Roman"/>
                <w:color w:val="auto"/>
                <w:sz w:val="24"/>
                <w:highlight w:val="none"/>
                <w:lang w:eastAsia="zh-CN"/>
              </w:rPr>
              <w:t>分）</w:t>
            </w:r>
            <w:r>
              <w:rPr>
                <w:rFonts w:hint="eastAsia" w:cs="Times New Roman"/>
                <w:color w:val="auto"/>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缺项不得分。</w:t>
            </w:r>
          </w:p>
        </w:tc>
      </w:tr>
      <w:tr w14:paraId="0106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218" w:type="dxa"/>
            <w:gridSpan w:val="2"/>
            <w:tcBorders>
              <w:top w:val="single" w:color="auto" w:sz="4" w:space="0"/>
              <w:left w:val="single" w:color="auto" w:sz="4" w:space="0"/>
              <w:bottom w:val="single" w:color="auto" w:sz="4" w:space="0"/>
              <w:right w:val="single" w:color="auto" w:sz="4" w:space="0"/>
            </w:tcBorders>
            <w:vAlign w:val="center"/>
          </w:tcPr>
          <w:p w14:paraId="4D0FEDB8">
            <w:pPr>
              <w:shd w:val="clear"/>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总分</w:t>
            </w:r>
          </w:p>
        </w:tc>
        <w:tc>
          <w:tcPr>
            <w:tcW w:w="784" w:type="dxa"/>
            <w:tcBorders>
              <w:top w:val="single" w:color="auto" w:sz="4" w:space="0"/>
              <w:left w:val="single" w:color="auto" w:sz="4" w:space="0"/>
              <w:bottom w:val="single" w:color="auto" w:sz="4" w:space="0"/>
              <w:right w:val="single" w:color="auto" w:sz="4" w:space="0"/>
            </w:tcBorders>
            <w:vAlign w:val="center"/>
          </w:tcPr>
          <w:p w14:paraId="21A90E18">
            <w:pPr>
              <w:shd w:val="clear"/>
              <w:spacing w:line="360" w:lineRule="auto"/>
              <w:jc w:val="center"/>
              <w:rPr>
                <w:rFonts w:hint="default" w:ascii="宋体" w:hAnsi="宋体" w:cs="宋体"/>
                <w:b/>
                <w:color w:val="auto"/>
                <w:sz w:val="24"/>
                <w:highlight w:val="none"/>
                <w:lang w:val="en-US"/>
              </w:rPr>
            </w:pPr>
            <w:r>
              <w:rPr>
                <w:rFonts w:hint="eastAsia" w:ascii="宋体" w:hAnsi="宋体" w:cs="宋体"/>
                <w:b/>
                <w:color w:val="auto"/>
                <w:sz w:val="24"/>
                <w:highlight w:val="none"/>
                <w:lang w:val="en-US" w:eastAsia="zh-CN"/>
              </w:rPr>
              <w:t>30</w:t>
            </w:r>
          </w:p>
        </w:tc>
        <w:tc>
          <w:tcPr>
            <w:tcW w:w="6278" w:type="dxa"/>
            <w:tcBorders>
              <w:top w:val="single" w:color="auto" w:sz="4" w:space="0"/>
              <w:left w:val="single" w:color="auto" w:sz="4" w:space="0"/>
              <w:bottom w:val="single" w:color="auto" w:sz="4" w:space="0"/>
              <w:right w:val="single" w:color="auto" w:sz="4" w:space="0"/>
            </w:tcBorders>
            <w:vAlign w:val="center"/>
          </w:tcPr>
          <w:p w14:paraId="247FD55A">
            <w:pPr>
              <w:shd w:val="clear"/>
              <w:spacing w:line="360" w:lineRule="auto"/>
              <w:jc w:val="center"/>
              <w:rPr>
                <w:rFonts w:ascii="宋体" w:hAnsi="宋体" w:cs="宋体"/>
                <w:color w:val="auto"/>
                <w:sz w:val="24"/>
                <w:highlight w:val="none"/>
              </w:rPr>
            </w:pPr>
          </w:p>
        </w:tc>
      </w:tr>
    </w:tbl>
    <w:p w14:paraId="5B5050DE">
      <w:pPr>
        <w:shd w:val="clear"/>
        <w:spacing w:line="360" w:lineRule="auto"/>
        <w:rPr>
          <w:rFonts w:hint="eastAsia" w:ascii="宋体" w:hAnsi="宋体" w:cs="宋体"/>
          <w:color w:val="auto"/>
          <w:sz w:val="24"/>
          <w:highlight w:val="none"/>
        </w:rPr>
      </w:pPr>
    </w:p>
    <w:p w14:paraId="143D079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（三）商务标评定分值为</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分。（以下除注明外，计算结果小数点后保留2位，第3位四舍五入）。</w:t>
      </w:r>
    </w:p>
    <w:p w14:paraId="67E08B36">
      <w:pPr>
        <w:pStyle w:val="10"/>
        <w:shd w:val="clear"/>
        <w:ind w:firstLine="964" w:firstLineChars="400"/>
        <w:rPr>
          <w:rFonts w:hint="eastAsia" w:ascii="宋体" w:hAnsi="宋体" w:cs="宋体"/>
          <w:b/>
          <w:bCs/>
          <w:color w:val="auto"/>
          <w:sz w:val="24"/>
          <w:highlight w:val="none"/>
        </w:rPr>
      </w:pPr>
      <w:r>
        <w:rPr>
          <w:rFonts w:hint="eastAsia" w:ascii="宋体" w:hAnsi="宋体" w:cs="宋体"/>
          <w:b/>
          <w:bCs/>
          <w:color w:val="auto"/>
          <w:sz w:val="24"/>
          <w:highlight w:val="none"/>
        </w:rPr>
        <w:t>1）取所有有效报价的平均价作为评标基准价（通过商务标符合性审查的投标报价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3家，按所有有效投标报价的算术平均值作为评标基准价；通过商务标符合性审查的投标报价=4家，去掉有效投标报价中的最高的一个报价后，取剩余有效投标报价的算术平均值作为评标基准价</w:t>
      </w:r>
      <w:r>
        <w:rPr>
          <w:rFonts w:hint="eastAsia" w:ascii="宋体" w:hAnsi="宋体" w:cs="宋体"/>
          <w:b/>
          <w:bCs/>
          <w:color w:val="auto"/>
          <w:sz w:val="24"/>
          <w:highlight w:val="none"/>
          <w:lang w:eastAsia="zh-CN"/>
        </w:rPr>
        <w:t>（结果保留整数）</w:t>
      </w:r>
      <w:r>
        <w:rPr>
          <w:rFonts w:hint="eastAsia" w:ascii="宋体" w:hAnsi="宋体" w:cs="宋体"/>
          <w:b/>
          <w:bCs/>
          <w:color w:val="auto"/>
          <w:sz w:val="24"/>
          <w:highlight w:val="none"/>
        </w:rPr>
        <w:t>；通过商务标符合性审查的投标报价≥5家，去掉有效报价中最高的两个报价后，取剩余有效投标报价的算术平均值作为评标基准价。）投标人的投标报价得分按下列方式计算：</w:t>
      </w:r>
    </w:p>
    <w:p w14:paraId="1AFE1CE0">
      <w:pPr>
        <w:pStyle w:val="10"/>
        <w:shd w:val="clear"/>
        <w:ind w:firstLine="964" w:firstLineChars="40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zh-CN" w:eastAsia="zh-CN" w:bidi="ar-SA"/>
        </w:rPr>
        <w:t>①投标报价</w:t>
      </w:r>
      <w:r>
        <w:rPr>
          <w:rFonts w:hint="eastAsia" w:ascii="宋体" w:hAnsi="宋体" w:eastAsia="宋体" w:cs="宋体"/>
          <w:b/>
          <w:bCs/>
          <w:color w:val="auto"/>
          <w:kern w:val="2"/>
          <w:sz w:val="24"/>
          <w:szCs w:val="24"/>
          <w:highlight w:val="none"/>
          <w:lang w:val="zh-CN" w:eastAsia="zh-CN" w:bidi="ar-SA"/>
        </w:rPr>
        <w:t>等于</w:t>
      </w:r>
      <w:r>
        <w:rPr>
          <w:rFonts w:hint="eastAsia" w:ascii="宋体" w:hAnsi="宋体" w:cs="宋体"/>
          <w:b/>
          <w:bCs/>
          <w:color w:val="auto"/>
          <w:kern w:val="2"/>
          <w:sz w:val="24"/>
          <w:szCs w:val="24"/>
          <w:highlight w:val="none"/>
          <w:lang w:val="zh-CN" w:eastAsia="zh-CN" w:bidi="ar-SA"/>
        </w:rPr>
        <w:t>评标基准价</w:t>
      </w:r>
      <w:r>
        <w:rPr>
          <w:rFonts w:hint="eastAsia" w:ascii="宋体" w:hAnsi="宋体" w:eastAsia="宋体" w:cs="宋体"/>
          <w:b/>
          <w:bCs/>
          <w:color w:val="auto"/>
          <w:kern w:val="2"/>
          <w:sz w:val="24"/>
          <w:szCs w:val="24"/>
          <w:highlight w:val="none"/>
          <w:lang w:val="zh-CN" w:eastAsia="zh-CN" w:bidi="ar-SA"/>
        </w:rPr>
        <w:t>时，得</w:t>
      </w:r>
      <w:r>
        <w:rPr>
          <w:rFonts w:hint="eastAsia" w:ascii="宋体" w:hAnsi="宋体" w:cs="宋体"/>
          <w:b/>
          <w:bCs/>
          <w:color w:val="auto"/>
          <w:kern w:val="2"/>
          <w:sz w:val="24"/>
          <w:szCs w:val="24"/>
          <w:highlight w:val="none"/>
          <w:lang w:val="en-US" w:eastAsia="zh-CN" w:bidi="ar-SA"/>
        </w:rPr>
        <w:t>70</w:t>
      </w:r>
      <w:r>
        <w:rPr>
          <w:rFonts w:hint="eastAsia" w:ascii="宋体" w:hAnsi="宋体" w:eastAsia="宋体" w:cs="宋体"/>
          <w:b/>
          <w:bCs/>
          <w:color w:val="auto"/>
          <w:kern w:val="2"/>
          <w:sz w:val="24"/>
          <w:szCs w:val="24"/>
          <w:highlight w:val="none"/>
          <w:lang w:val="zh-CN" w:eastAsia="zh-CN" w:bidi="ar-SA"/>
        </w:rPr>
        <w:t>分；</w:t>
      </w:r>
      <w:r>
        <w:rPr>
          <w:rFonts w:hint="eastAsia" w:ascii="宋体" w:hAnsi="宋体" w:eastAsia="宋体" w:cs="宋体"/>
          <w:b/>
          <w:bCs/>
          <w:color w:val="auto"/>
          <w:kern w:val="2"/>
          <w:sz w:val="24"/>
          <w:szCs w:val="24"/>
          <w:highlight w:val="none"/>
          <w:lang w:val="en-US" w:eastAsia="zh-CN" w:bidi="ar-SA"/>
        </w:rPr>
        <w:t xml:space="preserve"> </w:t>
      </w:r>
    </w:p>
    <w:p w14:paraId="57085249">
      <w:pPr>
        <w:pStyle w:val="10"/>
        <w:shd w:val="clear"/>
        <w:ind w:firstLine="964" w:firstLineChars="400"/>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kern w:val="2"/>
          <w:sz w:val="24"/>
          <w:szCs w:val="24"/>
          <w:highlight w:val="none"/>
          <w:lang w:val="zh-CN" w:eastAsia="zh-CN" w:bidi="ar-SA"/>
        </w:rPr>
        <w:t>②投标报价</w:t>
      </w:r>
      <w:r>
        <w:rPr>
          <w:rFonts w:hint="eastAsia" w:ascii="宋体" w:hAnsi="宋体" w:eastAsia="宋体" w:cs="宋体"/>
          <w:b/>
          <w:bCs/>
          <w:color w:val="auto"/>
          <w:kern w:val="2"/>
          <w:sz w:val="24"/>
          <w:szCs w:val="24"/>
          <w:highlight w:val="none"/>
          <w:lang w:val="zh-CN" w:eastAsia="zh-CN" w:bidi="ar-SA"/>
        </w:rPr>
        <w:t>每低于</w:t>
      </w:r>
      <w:r>
        <w:rPr>
          <w:rFonts w:hint="eastAsia" w:ascii="宋体" w:hAnsi="宋体" w:cs="宋体"/>
          <w:b/>
          <w:bCs/>
          <w:color w:val="auto"/>
          <w:kern w:val="2"/>
          <w:sz w:val="24"/>
          <w:szCs w:val="24"/>
          <w:highlight w:val="none"/>
          <w:lang w:val="zh-CN" w:eastAsia="zh-CN" w:bidi="ar-SA"/>
        </w:rPr>
        <w:t>评标基准价</w:t>
      </w:r>
      <w:r>
        <w:rPr>
          <w:rFonts w:hint="eastAsia" w:ascii="宋体" w:hAnsi="宋体" w:eastAsia="宋体" w:cs="宋体"/>
          <w:b/>
          <w:bCs/>
          <w:color w:val="auto"/>
          <w:kern w:val="2"/>
          <w:sz w:val="24"/>
          <w:szCs w:val="24"/>
          <w:highlight w:val="none"/>
          <w:lang w:val="zh-CN" w:eastAsia="zh-CN" w:bidi="ar-SA"/>
        </w:rPr>
        <w:t>1个百分点，扣</w:t>
      </w:r>
      <w:r>
        <w:rPr>
          <w:rFonts w:hint="eastAsia" w:ascii="宋体" w:hAnsi="宋体" w:cs="宋体"/>
          <w:b/>
          <w:bCs/>
          <w:color w:val="auto"/>
          <w:kern w:val="2"/>
          <w:sz w:val="24"/>
          <w:szCs w:val="24"/>
          <w:highlight w:val="none"/>
          <w:lang w:val="en-US" w:eastAsia="zh-CN" w:bidi="ar-SA"/>
        </w:rPr>
        <w:t>0.5</w:t>
      </w:r>
      <w:r>
        <w:rPr>
          <w:rFonts w:hint="eastAsia" w:ascii="宋体" w:hAnsi="宋体" w:eastAsia="宋体" w:cs="宋体"/>
          <w:b/>
          <w:bCs/>
          <w:color w:val="auto"/>
          <w:kern w:val="2"/>
          <w:sz w:val="24"/>
          <w:szCs w:val="24"/>
          <w:highlight w:val="none"/>
          <w:lang w:val="zh-CN" w:eastAsia="zh-CN" w:bidi="ar-SA"/>
        </w:rPr>
        <w:t>分</w:t>
      </w:r>
      <w:r>
        <w:rPr>
          <w:rFonts w:hint="eastAsia" w:ascii="宋体" w:hAnsi="宋体" w:cs="宋体"/>
          <w:b/>
          <w:bCs/>
          <w:color w:val="auto"/>
          <w:kern w:val="2"/>
          <w:sz w:val="24"/>
          <w:szCs w:val="24"/>
          <w:highlight w:val="none"/>
          <w:lang w:val="zh-CN" w:eastAsia="zh-CN" w:bidi="ar-SA"/>
        </w:rPr>
        <w:t>，</w:t>
      </w:r>
      <w:r>
        <w:rPr>
          <w:rFonts w:hint="eastAsia" w:ascii="宋体" w:hAnsi="宋体" w:cs="宋体"/>
          <w:b/>
          <w:bCs/>
          <w:color w:val="auto"/>
          <w:sz w:val="24"/>
          <w:highlight w:val="none"/>
        </w:rPr>
        <w:t>即报价分=</w:t>
      </w:r>
      <w:r>
        <w:rPr>
          <w:rFonts w:hint="eastAsia" w:ascii="宋体" w:hAnsi="宋体" w:cs="宋体"/>
          <w:b/>
          <w:bCs/>
          <w:color w:val="auto"/>
          <w:sz w:val="24"/>
          <w:highlight w:val="none"/>
          <w:lang w:val="en-US" w:eastAsia="zh-CN"/>
        </w:rPr>
        <w:t>70</w:t>
      </w:r>
      <w:r>
        <w:rPr>
          <w:rFonts w:hint="eastAsia" w:ascii="宋体" w:hAnsi="宋体" w:cs="宋体"/>
          <w:b/>
          <w:bCs/>
          <w:color w:val="auto"/>
          <w:sz w:val="24"/>
          <w:highlight w:val="none"/>
        </w:rPr>
        <w:t>-│（投标报价-</w:t>
      </w:r>
      <w:r>
        <w:rPr>
          <w:rFonts w:hint="eastAsia" w:ascii="宋体" w:hAnsi="宋体" w:cs="宋体"/>
          <w:b/>
          <w:bCs/>
          <w:color w:val="auto"/>
          <w:sz w:val="24"/>
          <w:highlight w:val="none"/>
          <w:lang w:eastAsia="zh-CN"/>
        </w:rPr>
        <w:t>评标基准价</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评标基准价</w:t>
      </w:r>
      <w:r>
        <w:rPr>
          <w:rFonts w:hint="eastAsia" w:ascii="宋体" w:hAnsi="宋体" w:cs="宋体"/>
          <w:b/>
          <w:bCs/>
          <w:color w:val="auto"/>
          <w:sz w:val="24"/>
          <w:highlight w:val="none"/>
        </w:rPr>
        <w:t>×100×0.5（报价得分计算结果小数点后保留2位，小数点后第3位四舍五入）</w:t>
      </w:r>
      <w:r>
        <w:rPr>
          <w:rFonts w:hint="eastAsia" w:ascii="宋体" w:hAnsi="宋体" w:eastAsia="宋体" w:cs="宋体"/>
          <w:b/>
          <w:bCs/>
          <w:color w:val="auto"/>
          <w:kern w:val="2"/>
          <w:sz w:val="24"/>
          <w:szCs w:val="24"/>
          <w:highlight w:val="none"/>
          <w:lang w:val="zh-CN" w:eastAsia="zh-CN" w:bidi="ar-SA"/>
        </w:rPr>
        <w:t>；</w:t>
      </w:r>
    </w:p>
    <w:p w14:paraId="5AC9C1C7">
      <w:pPr>
        <w:pStyle w:val="10"/>
        <w:shd w:val="clear"/>
        <w:ind w:firstLine="964" w:firstLineChars="400"/>
        <w:rPr>
          <w:rFonts w:ascii="宋体" w:hAnsi="宋体" w:cs="宋体"/>
          <w:b/>
          <w:bCs/>
          <w:color w:val="auto"/>
          <w:sz w:val="24"/>
          <w:highlight w:val="none"/>
        </w:rPr>
      </w:pPr>
      <w:r>
        <w:rPr>
          <w:rFonts w:hint="eastAsia" w:ascii="宋体" w:hAnsi="宋体" w:cs="宋体"/>
          <w:b/>
          <w:bCs/>
          <w:color w:val="auto"/>
          <w:kern w:val="2"/>
          <w:sz w:val="24"/>
          <w:szCs w:val="24"/>
          <w:highlight w:val="none"/>
          <w:lang w:val="zh-CN" w:eastAsia="zh-CN" w:bidi="ar-SA"/>
        </w:rPr>
        <w:t>③投标报价</w:t>
      </w:r>
      <w:r>
        <w:rPr>
          <w:rFonts w:hint="eastAsia" w:ascii="宋体" w:hAnsi="宋体" w:eastAsia="宋体" w:cs="宋体"/>
          <w:b/>
          <w:bCs/>
          <w:color w:val="auto"/>
          <w:kern w:val="2"/>
          <w:sz w:val="24"/>
          <w:szCs w:val="24"/>
          <w:highlight w:val="none"/>
          <w:lang w:val="zh-CN" w:eastAsia="zh-CN" w:bidi="ar-SA"/>
        </w:rPr>
        <w:t>每高于</w:t>
      </w:r>
      <w:r>
        <w:rPr>
          <w:rFonts w:hint="eastAsia" w:ascii="宋体" w:hAnsi="宋体" w:cs="宋体"/>
          <w:b/>
          <w:bCs/>
          <w:color w:val="auto"/>
          <w:kern w:val="2"/>
          <w:sz w:val="24"/>
          <w:szCs w:val="24"/>
          <w:highlight w:val="none"/>
          <w:lang w:val="zh-CN" w:eastAsia="zh-CN" w:bidi="ar-SA"/>
        </w:rPr>
        <w:t>评标基准价</w:t>
      </w:r>
      <w:r>
        <w:rPr>
          <w:rFonts w:hint="eastAsia" w:ascii="宋体" w:hAnsi="宋体" w:eastAsia="宋体" w:cs="宋体"/>
          <w:b/>
          <w:bCs/>
          <w:color w:val="auto"/>
          <w:kern w:val="2"/>
          <w:sz w:val="24"/>
          <w:szCs w:val="24"/>
          <w:highlight w:val="none"/>
          <w:lang w:val="zh-CN" w:eastAsia="zh-CN" w:bidi="ar-SA"/>
        </w:rPr>
        <w:t>1个百分点，扣</w:t>
      </w: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zh-CN" w:eastAsia="zh-CN" w:bidi="ar-SA"/>
        </w:rPr>
        <w:t>分</w:t>
      </w:r>
      <w:r>
        <w:rPr>
          <w:rFonts w:hint="eastAsia" w:ascii="宋体" w:hAnsi="宋体" w:cs="宋体"/>
          <w:b/>
          <w:bCs/>
          <w:color w:val="auto"/>
          <w:sz w:val="24"/>
          <w:highlight w:val="none"/>
        </w:rPr>
        <w:t>即报价分=</w:t>
      </w:r>
      <w:r>
        <w:rPr>
          <w:rFonts w:hint="eastAsia" w:ascii="宋体" w:hAnsi="宋体" w:cs="宋体"/>
          <w:b/>
          <w:bCs/>
          <w:color w:val="auto"/>
          <w:sz w:val="24"/>
          <w:highlight w:val="none"/>
          <w:lang w:val="en-US" w:eastAsia="zh-CN"/>
        </w:rPr>
        <w:t>70</w:t>
      </w:r>
      <w:r>
        <w:rPr>
          <w:rFonts w:hint="eastAsia" w:ascii="宋体" w:hAnsi="宋体" w:cs="宋体"/>
          <w:b/>
          <w:bCs/>
          <w:color w:val="auto"/>
          <w:sz w:val="24"/>
          <w:highlight w:val="none"/>
        </w:rPr>
        <w:t>-│（投标报价-</w:t>
      </w:r>
      <w:r>
        <w:rPr>
          <w:rFonts w:hint="eastAsia" w:ascii="宋体" w:hAnsi="宋体" w:cs="宋体"/>
          <w:b/>
          <w:bCs/>
          <w:color w:val="auto"/>
          <w:sz w:val="24"/>
          <w:highlight w:val="none"/>
          <w:lang w:eastAsia="zh-CN"/>
        </w:rPr>
        <w:t>评标基准价</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评标基准价</w:t>
      </w:r>
      <w:r>
        <w:rPr>
          <w:rFonts w:hint="eastAsia" w:ascii="宋体" w:hAnsi="宋体" w:cs="宋体"/>
          <w:b/>
          <w:bCs/>
          <w:color w:val="auto"/>
          <w:sz w:val="24"/>
          <w:highlight w:val="none"/>
        </w:rPr>
        <w:t>×100×1（报价得分计算结果小数点后保留2位，小数点后第3位四舍五入）</w:t>
      </w:r>
      <w:r>
        <w:rPr>
          <w:rFonts w:hint="eastAsia" w:ascii="宋体" w:hAnsi="宋体" w:eastAsia="宋体" w:cs="宋体"/>
          <w:b/>
          <w:bCs/>
          <w:color w:val="auto"/>
          <w:kern w:val="2"/>
          <w:sz w:val="24"/>
          <w:szCs w:val="24"/>
          <w:highlight w:val="none"/>
          <w:lang w:val="zh-CN" w:eastAsia="zh-CN" w:bidi="ar-SA"/>
        </w:rPr>
        <w:t>。</w:t>
      </w:r>
    </w:p>
    <w:p w14:paraId="6FF25DDF">
      <w:pPr>
        <w:numPr>
          <w:ilvl w:val="0"/>
          <w:numId w:val="10"/>
        </w:numPr>
        <w:shd w:val="clear"/>
        <w:spacing w:line="400" w:lineRule="exact"/>
        <w:ind w:left="279" w:firstLine="482" w:firstLineChars="200"/>
        <w:rPr>
          <w:rFonts w:ascii="宋体" w:hAnsi="宋体" w:cs="宋体"/>
          <w:b/>
          <w:color w:val="auto"/>
          <w:sz w:val="24"/>
          <w:highlight w:val="none"/>
          <w:u w:val="single"/>
        </w:rPr>
      </w:pPr>
      <w:r>
        <w:rPr>
          <w:rFonts w:hint="eastAsia" w:ascii="宋体" w:hAnsi="宋体" w:cs="宋体"/>
          <w:b/>
          <w:bCs/>
          <w:color w:val="auto"/>
          <w:sz w:val="24"/>
          <w:highlight w:val="none"/>
          <w:u w:val="single"/>
        </w:rPr>
        <w:t>▲本项目采购最高限价</w:t>
      </w:r>
      <w:r>
        <w:rPr>
          <w:rFonts w:hint="eastAsia" w:ascii="宋体" w:hAnsi="宋体" w:cs="宋体"/>
          <w:b/>
          <w:bCs/>
          <w:color w:val="auto"/>
          <w:sz w:val="24"/>
          <w:highlight w:val="none"/>
          <w:u w:val="single"/>
          <w:lang w:val="en-US" w:eastAsia="zh-CN"/>
        </w:rPr>
        <w:t>285647</w:t>
      </w:r>
      <w:r>
        <w:rPr>
          <w:rFonts w:hint="eastAsia" w:ascii="宋体" w:hAnsi="宋体" w:cs="宋体"/>
          <w:b/>
          <w:bCs/>
          <w:color w:val="auto"/>
          <w:sz w:val="24"/>
          <w:highlight w:val="none"/>
          <w:u w:val="single"/>
        </w:rPr>
        <w:t>元，如投</w:t>
      </w:r>
      <w:r>
        <w:rPr>
          <w:rFonts w:hint="eastAsia" w:ascii="宋体" w:hAnsi="宋体" w:cs="宋体"/>
          <w:b/>
          <w:color w:val="auto"/>
          <w:sz w:val="24"/>
          <w:highlight w:val="none"/>
          <w:u w:val="single"/>
        </w:rPr>
        <w:t>标人报价超过采购</w:t>
      </w:r>
      <w:r>
        <w:rPr>
          <w:rFonts w:hint="eastAsia" w:ascii="宋体" w:hAnsi="宋体" w:cs="宋体"/>
          <w:b/>
          <w:bCs/>
          <w:color w:val="auto"/>
          <w:sz w:val="24"/>
          <w:highlight w:val="none"/>
          <w:u w:val="single"/>
        </w:rPr>
        <w:t>最高限价</w:t>
      </w:r>
      <w:r>
        <w:rPr>
          <w:rFonts w:hint="eastAsia" w:ascii="宋体" w:hAnsi="宋体" w:cs="宋体"/>
          <w:b/>
          <w:color w:val="auto"/>
          <w:sz w:val="24"/>
          <w:highlight w:val="none"/>
          <w:u w:val="single"/>
        </w:rPr>
        <w:t>，其投标文件作无效标处理。</w:t>
      </w:r>
    </w:p>
    <w:p w14:paraId="5261A7D7">
      <w:pPr>
        <w:pStyle w:val="10"/>
        <w:shd w:val="clear"/>
        <w:tabs>
          <w:tab w:val="left" w:pos="574"/>
        </w:tabs>
        <w:snapToGrid w:val="0"/>
        <w:spacing w:after="0" w:line="400" w:lineRule="exact"/>
        <w:ind w:firstLine="723" w:firstLineChars="300"/>
        <w:rPr>
          <w:rFonts w:ascii="宋体" w:hAnsi="宋体" w:cs="宋体"/>
          <w:b/>
          <w:bCs/>
          <w:color w:val="auto"/>
          <w:sz w:val="24"/>
          <w:highlight w:val="none"/>
        </w:rPr>
      </w:pPr>
      <w:r>
        <w:rPr>
          <w:rFonts w:hint="eastAsia" w:ascii="宋体" w:hAnsi="宋体" w:cs="宋体"/>
          <w:b/>
          <w:color w:val="auto"/>
          <w:sz w:val="24"/>
          <w:highlight w:val="none"/>
        </w:rPr>
        <w:t>3）</w:t>
      </w: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程序中给予的合理的时间内提供书面说明，必要时提交相关证明材料；投标人不能证明其报价合理性的，评标委员会应当将其作为无效投标处理。</w:t>
      </w:r>
    </w:p>
    <w:p w14:paraId="606FB3BE">
      <w:pPr>
        <w:shd w:val="clear"/>
        <w:spacing w:line="360" w:lineRule="auto"/>
        <w:ind w:left="420"/>
        <w:rPr>
          <w:rFonts w:ascii="宋体" w:hAnsi="宋体" w:cs="宋体"/>
          <w:b/>
          <w:bCs/>
          <w:color w:val="auto"/>
          <w:sz w:val="24"/>
          <w:highlight w:val="none"/>
        </w:rPr>
      </w:pPr>
      <w:r>
        <w:rPr>
          <w:rFonts w:hint="eastAsia" w:ascii="宋体" w:hAnsi="宋体" w:cs="宋体"/>
          <w:b/>
          <w:bCs/>
          <w:color w:val="auto"/>
          <w:sz w:val="24"/>
          <w:highlight w:val="none"/>
        </w:rPr>
        <w:t>（四）总得分的统计及</w:t>
      </w:r>
      <w:r>
        <w:rPr>
          <w:rFonts w:hint="eastAsia" w:ascii="宋体" w:hAnsi="宋体" w:cs="宋体"/>
          <w:b/>
          <w:bCs/>
          <w:color w:val="auto"/>
          <w:sz w:val="24"/>
          <w:highlight w:val="none"/>
          <w:lang w:eastAsia="zh-CN"/>
        </w:rPr>
        <w:t>中标人</w:t>
      </w:r>
      <w:r>
        <w:rPr>
          <w:rFonts w:hint="eastAsia" w:ascii="宋体" w:hAnsi="宋体" w:cs="宋体"/>
          <w:b/>
          <w:bCs/>
          <w:color w:val="auto"/>
          <w:sz w:val="24"/>
          <w:highlight w:val="none"/>
        </w:rPr>
        <w:t>的确定。</w:t>
      </w:r>
    </w:p>
    <w:p w14:paraId="2B2C9E23">
      <w:pPr>
        <w:shd w:val="clear"/>
        <w:spacing w:line="360" w:lineRule="auto"/>
        <w:ind w:left="420"/>
        <w:rPr>
          <w:rFonts w:ascii="宋体" w:hAnsi="宋体" w:cs="宋体"/>
          <w:bCs/>
          <w:color w:val="auto"/>
          <w:sz w:val="24"/>
          <w:highlight w:val="none"/>
        </w:rPr>
      </w:pPr>
      <w:r>
        <w:rPr>
          <w:rFonts w:hint="eastAsia" w:ascii="宋体" w:hAnsi="宋体" w:cs="宋体"/>
          <w:b/>
          <w:color w:val="auto"/>
          <w:sz w:val="24"/>
          <w:highlight w:val="none"/>
        </w:rPr>
        <w:t>评标总得分的确定：</w:t>
      </w:r>
    </w:p>
    <w:p w14:paraId="593D4BCB">
      <w:pPr>
        <w:shd w:val="clear"/>
        <w:spacing w:line="360" w:lineRule="auto"/>
        <w:ind w:left="420"/>
        <w:rPr>
          <w:rFonts w:hint="eastAsia" w:ascii="宋体" w:hAnsi="宋体" w:cs="宋体"/>
          <w:bCs/>
          <w:color w:val="auto"/>
          <w:sz w:val="24"/>
          <w:highlight w:val="none"/>
        </w:rPr>
      </w:pPr>
      <w:r>
        <w:rPr>
          <w:rFonts w:hint="eastAsia" w:ascii="宋体" w:hAnsi="宋体" w:cs="宋体"/>
          <w:bCs/>
          <w:color w:val="auto"/>
          <w:sz w:val="24"/>
          <w:highlight w:val="none"/>
        </w:rPr>
        <w:t>投标人的总得分＝技术资信</w:t>
      </w:r>
      <w:r>
        <w:rPr>
          <w:rFonts w:hint="eastAsia" w:ascii="宋体" w:hAnsi="宋体" w:cs="宋体"/>
          <w:bCs/>
          <w:color w:val="auto"/>
          <w:sz w:val="24"/>
          <w:highlight w:val="none"/>
          <w:lang w:eastAsia="zh-CN"/>
        </w:rPr>
        <w:t>得分</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商务标得分。</w:t>
      </w:r>
    </w:p>
    <w:p w14:paraId="564048BE">
      <w:pPr>
        <w:shd w:val="clear"/>
        <w:spacing w:line="360" w:lineRule="auto"/>
        <w:ind w:left="420"/>
        <w:rPr>
          <w:rFonts w:ascii="宋体" w:hAnsi="宋体"/>
          <w:b/>
          <w:color w:val="auto"/>
          <w:sz w:val="24"/>
          <w:highlight w:val="none"/>
        </w:rPr>
      </w:pPr>
      <w:r>
        <w:rPr>
          <w:rFonts w:hint="eastAsia" w:ascii="宋体" w:hAnsi="宋体"/>
          <w:b/>
          <w:color w:val="auto"/>
          <w:sz w:val="24"/>
          <w:highlight w:val="none"/>
        </w:rPr>
        <w:t>中标候选人的确定：</w:t>
      </w:r>
    </w:p>
    <w:p w14:paraId="0F81B8AE">
      <w:pPr>
        <w:keepNext w:val="0"/>
        <w:keepLines w:val="0"/>
        <w:pageBreakBefore w:val="0"/>
        <w:widowControl w:val="0"/>
        <w:shd w:val="clear"/>
        <w:kinsoku/>
        <w:wordWrap/>
        <w:overflowPunct/>
        <w:topLinePunct w:val="0"/>
        <w:autoSpaceDE/>
        <w:autoSpaceDN/>
        <w:bidi w:val="0"/>
        <w:adjustRightInd/>
        <w:snapToGrid/>
        <w:spacing w:before="156" w:beforeLines="50" w:line="360" w:lineRule="auto"/>
        <w:ind w:left="164" w:firstLine="480" w:firstLineChars="200"/>
        <w:jc w:val="left"/>
        <w:textAlignment w:val="auto"/>
        <w:rPr>
          <w:rFonts w:hint="eastAsia" w:ascii="宋体" w:hAnsi="宋体"/>
          <w:color w:val="auto"/>
          <w:sz w:val="30"/>
          <w:highlight w:val="none"/>
        </w:rPr>
      </w:pPr>
      <w:r>
        <w:rPr>
          <w:rFonts w:hint="eastAsia" w:ascii="宋体" w:hAnsi="宋体"/>
          <w:bCs/>
          <w:color w:val="auto"/>
          <w:sz w:val="24"/>
          <w:highlight w:val="none"/>
          <w:lang w:eastAsia="zh-CN"/>
        </w:rPr>
        <w:t>本项目中标候选人为一名，</w:t>
      </w:r>
      <w:r>
        <w:rPr>
          <w:rFonts w:hint="eastAsia" w:ascii="宋体" w:hAnsi="宋体"/>
          <w:bCs/>
          <w:color w:val="auto"/>
          <w:sz w:val="24"/>
          <w:highlight w:val="none"/>
        </w:rPr>
        <w:t>中标候选人的排名次序按投标人总得分从高到低顺序排列，即总得分最高者为中标候选人。若出现总得分相同时，按技术资信标得分由高到低顺序排列；若以上均相同的，则抽签确定。</w:t>
      </w:r>
      <w:r>
        <w:rPr>
          <w:rFonts w:hint="eastAsia" w:ascii="宋体" w:hAnsi="宋体"/>
          <w:color w:val="auto"/>
          <w:sz w:val="30"/>
          <w:highlight w:val="none"/>
        </w:rPr>
        <w:br w:type="page"/>
      </w:r>
    </w:p>
    <w:p w14:paraId="6A7C4B0D">
      <w:pPr>
        <w:keepNext w:val="0"/>
        <w:keepLines w:val="0"/>
        <w:pageBreakBefore w:val="0"/>
        <w:widowControl w:val="0"/>
        <w:shd w:val="clear"/>
        <w:kinsoku/>
        <w:wordWrap/>
        <w:overflowPunct/>
        <w:topLinePunct w:val="0"/>
        <w:autoSpaceDE/>
        <w:autoSpaceDN/>
        <w:bidi w:val="0"/>
        <w:adjustRightInd/>
        <w:snapToGrid/>
        <w:spacing w:before="156" w:beforeLines="50" w:line="360" w:lineRule="auto"/>
        <w:ind w:left="164" w:firstLine="602" w:firstLineChars="200"/>
        <w:jc w:val="center"/>
        <w:textAlignment w:val="auto"/>
        <w:rPr>
          <w:rFonts w:ascii="宋体" w:hAnsi="Courier New" w:eastAsia="宋体" w:cs="Times New Roman"/>
          <w:b/>
          <w:color w:val="auto"/>
          <w:kern w:val="2"/>
          <w:sz w:val="30"/>
          <w:szCs w:val="30"/>
          <w:highlight w:val="none"/>
          <w:lang w:val="en-US" w:eastAsia="zh-CN" w:bidi="ar-SA"/>
        </w:rPr>
      </w:pPr>
      <w:r>
        <w:rPr>
          <w:rFonts w:hint="eastAsia" w:ascii="宋体" w:hAnsi="Courier New" w:eastAsia="宋体" w:cs="Times New Roman"/>
          <w:b/>
          <w:color w:val="auto"/>
          <w:kern w:val="2"/>
          <w:sz w:val="30"/>
          <w:szCs w:val="30"/>
          <w:highlight w:val="none"/>
          <w:lang w:val="en-US" w:eastAsia="zh-CN" w:bidi="ar-SA"/>
        </w:rPr>
        <w:t>第五章  合同主要条款</w:t>
      </w:r>
    </w:p>
    <w:p w14:paraId="143D2EE6">
      <w:pPr>
        <w:shd w:val="clear"/>
        <w:spacing w:line="360" w:lineRule="auto"/>
        <w:jc w:val="center"/>
        <w:outlineLvl w:val="0"/>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lang w:eastAsia="zh-CN"/>
        </w:rPr>
        <w:t>台州国际博览中心项目设计采购施工（EPC）工程总承包无价材料采购【景观垃圾桶、可移动花箱、座凳】</w:t>
      </w:r>
      <w:r>
        <w:rPr>
          <w:rFonts w:hint="eastAsia" w:ascii="仿宋" w:hAnsi="仿宋" w:eastAsia="仿宋" w:cs="仿宋"/>
          <w:b/>
          <w:color w:val="auto"/>
          <w:sz w:val="44"/>
          <w:szCs w:val="44"/>
          <w:highlight w:val="none"/>
        </w:rPr>
        <w:t>合同</w:t>
      </w:r>
    </w:p>
    <w:p w14:paraId="2A1721E6">
      <w:pPr>
        <w:shd w:val="clear"/>
        <w:snapToGrid w:val="0"/>
        <w:spacing w:line="360" w:lineRule="auto"/>
        <w:rPr>
          <w:rFonts w:ascii="仿宋" w:hAnsi="仿宋" w:eastAsia="仿宋" w:cs="仿宋"/>
          <w:b/>
          <w:snapToGrid w:val="0"/>
          <w:color w:val="auto"/>
          <w:kern w:val="0"/>
          <w:sz w:val="36"/>
          <w:szCs w:val="36"/>
          <w:highlight w:val="none"/>
        </w:rPr>
      </w:pPr>
    </w:p>
    <w:p w14:paraId="707DF725">
      <w:pPr>
        <w:shd w:val="clear"/>
        <w:snapToGrid w:val="0"/>
        <w:spacing w:line="360" w:lineRule="auto"/>
        <w:jc w:val="center"/>
        <w:rPr>
          <w:rFonts w:ascii="仿宋" w:hAnsi="仿宋" w:eastAsia="仿宋" w:cs="仿宋"/>
          <w:b/>
          <w:snapToGrid w:val="0"/>
          <w:color w:val="auto"/>
          <w:kern w:val="0"/>
          <w:sz w:val="36"/>
          <w:szCs w:val="36"/>
          <w:highlight w:val="none"/>
        </w:rPr>
      </w:pPr>
    </w:p>
    <w:p w14:paraId="20707F0D">
      <w:pPr>
        <w:shd w:val="clear"/>
        <w:snapToGrid w:val="0"/>
        <w:spacing w:line="360" w:lineRule="auto"/>
        <w:jc w:val="center"/>
        <w:rPr>
          <w:rFonts w:ascii="仿宋" w:hAnsi="仿宋" w:eastAsia="仿宋" w:cs="仿宋"/>
          <w:b/>
          <w:snapToGrid w:val="0"/>
          <w:color w:val="auto"/>
          <w:kern w:val="0"/>
          <w:sz w:val="36"/>
          <w:szCs w:val="36"/>
          <w:highlight w:val="none"/>
        </w:rPr>
      </w:pPr>
    </w:p>
    <w:p w14:paraId="77AD8847">
      <w:pPr>
        <w:shd w:val="clear"/>
        <w:snapToGrid w:val="0"/>
        <w:spacing w:line="360" w:lineRule="auto"/>
        <w:jc w:val="center"/>
        <w:rPr>
          <w:rFonts w:ascii="仿宋" w:hAnsi="仿宋" w:eastAsia="仿宋" w:cs="仿宋"/>
          <w:b/>
          <w:snapToGrid w:val="0"/>
          <w:color w:val="auto"/>
          <w:kern w:val="0"/>
          <w:sz w:val="36"/>
          <w:szCs w:val="36"/>
          <w:highlight w:val="none"/>
        </w:rPr>
      </w:pPr>
    </w:p>
    <w:p w14:paraId="66249394">
      <w:pPr>
        <w:shd w:val="clear"/>
        <w:snapToGrid w:val="0"/>
        <w:spacing w:line="360" w:lineRule="auto"/>
        <w:jc w:val="center"/>
        <w:rPr>
          <w:rFonts w:ascii="仿宋" w:hAnsi="仿宋" w:eastAsia="仿宋" w:cs="仿宋"/>
          <w:b/>
          <w:snapToGrid w:val="0"/>
          <w:color w:val="auto"/>
          <w:kern w:val="0"/>
          <w:sz w:val="36"/>
          <w:szCs w:val="36"/>
          <w:highlight w:val="none"/>
        </w:rPr>
      </w:pPr>
    </w:p>
    <w:p w14:paraId="1BB5FBC3">
      <w:pPr>
        <w:shd w:val="clear"/>
        <w:snapToGrid w:val="0"/>
        <w:spacing w:line="360" w:lineRule="auto"/>
        <w:jc w:val="center"/>
        <w:rPr>
          <w:rFonts w:ascii="仿宋" w:hAnsi="仿宋" w:eastAsia="仿宋" w:cs="仿宋"/>
          <w:b/>
          <w:snapToGrid w:val="0"/>
          <w:color w:val="auto"/>
          <w:kern w:val="0"/>
          <w:sz w:val="36"/>
          <w:szCs w:val="36"/>
          <w:highlight w:val="none"/>
        </w:rPr>
      </w:pPr>
    </w:p>
    <w:p w14:paraId="5D0616A0">
      <w:pPr>
        <w:shd w:val="clear"/>
        <w:snapToGrid w:val="0"/>
        <w:spacing w:line="360" w:lineRule="auto"/>
        <w:jc w:val="center"/>
        <w:rPr>
          <w:rFonts w:ascii="仿宋" w:hAnsi="仿宋" w:eastAsia="仿宋" w:cs="仿宋"/>
          <w:b/>
          <w:snapToGrid w:val="0"/>
          <w:color w:val="auto"/>
          <w:kern w:val="0"/>
          <w:sz w:val="36"/>
          <w:szCs w:val="36"/>
          <w:highlight w:val="none"/>
        </w:rPr>
      </w:pPr>
    </w:p>
    <w:p w14:paraId="118643CA">
      <w:pPr>
        <w:shd w:val="clear"/>
        <w:snapToGrid w:val="0"/>
        <w:spacing w:line="360" w:lineRule="auto"/>
        <w:jc w:val="center"/>
        <w:rPr>
          <w:rFonts w:ascii="仿宋" w:hAnsi="仿宋" w:eastAsia="仿宋" w:cs="仿宋"/>
          <w:b/>
          <w:snapToGrid w:val="0"/>
          <w:color w:val="auto"/>
          <w:kern w:val="0"/>
          <w:sz w:val="36"/>
          <w:szCs w:val="36"/>
          <w:highlight w:val="none"/>
        </w:rPr>
      </w:pPr>
    </w:p>
    <w:p w14:paraId="106C9310">
      <w:pPr>
        <w:shd w:val="clear"/>
        <w:snapToGrid w:val="0"/>
        <w:spacing w:line="360" w:lineRule="auto"/>
        <w:ind w:firstLine="1084" w:firstLineChars="300"/>
        <w:rPr>
          <w:rFonts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 xml:space="preserve">采购人（甲方）：【中国建筑第四工程局有限公司】 </w:t>
      </w:r>
    </w:p>
    <w:p w14:paraId="1B77C236">
      <w:pPr>
        <w:shd w:val="clear"/>
        <w:snapToGrid w:val="0"/>
        <w:spacing w:line="360" w:lineRule="auto"/>
        <w:ind w:firstLine="1084" w:firstLineChars="300"/>
        <w:rPr>
          <w:rFonts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t xml:space="preserve">供应商（乙方）：【】 </w:t>
      </w:r>
    </w:p>
    <w:p w14:paraId="26C69324">
      <w:pPr>
        <w:shd w:val="clear"/>
        <w:snapToGrid w:val="0"/>
        <w:spacing w:line="360" w:lineRule="auto"/>
        <w:ind w:firstLine="964" w:firstLineChars="3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签 约 时 间：【】 </w:t>
      </w:r>
    </w:p>
    <w:p w14:paraId="0E5BD355">
      <w:pPr>
        <w:shd w:val="clear"/>
        <w:snapToGrid w:val="0"/>
        <w:spacing w:line="360" w:lineRule="auto"/>
        <w:ind w:firstLine="964" w:firstLineChars="3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签 约 地 点：【】 </w:t>
      </w:r>
    </w:p>
    <w:p w14:paraId="3A030ECF">
      <w:pPr>
        <w:shd w:val="clear"/>
        <w:spacing w:line="360" w:lineRule="auto"/>
        <w:ind w:right="-6" w:rightChars="-2"/>
        <w:jc w:val="center"/>
        <w:rPr>
          <w:rFonts w:ascii="仿宋" w:hAnsi="仿宋" w:eastAsia="仿宋" w:cs="仿宋"/>
          <w:b/>
          <w:color w:val="auto"/>
          <w:sz w:val="44"/>
          <w:highlight w:val="none"/>
          <w:u w:val="single"/>
        </w:rPr>
      </w:pPr>
    </w:p>
    <w:p w14:paraId="448D00FA">
      <w:pPr>
        <w:shd w:val="clear"/>
        <w:spacing w:line="360" w:lineRule="auto"/>
        <w:ind w:right="-6" w:rightChars="-2"/>
        <w:rPr>
          <w:rFonts w:ascii="仿宋" w:hAnsi="仿宋" w:eastAsia="仿宋" w:cs="仿宋"/>
          <w:b/>
          <w:color w:val="auto"/>
          <w:sz w:val="44"/>
          <w:highlight w:val="none"/>
          <w:u w:val="single"/>
        </w:rPr>
      </w:pPr>
    </w:p>
    <w:p w14:paraId="19BAAC91">
      <w:pPr>
        <w:shd w:val="clear"/>
        <w:spacing w:line="360" w:lineRule="auto"/>
        <w:ind w:right="-6" w:rightChars="-2"/>
        <w:jc w:val="center"/>
        <w:rPr>
          <w:rFonts w:ascii="仿宋" w:hAnsi="仿宋" w:eastAsia="仿宋" w:cs="仿宋"/>
          <w:b/>
          <w:color w:val="auto"/>
          <w:sz w:val="44"/>
          <w:highlight w:val="none"/>
          <w:u w:val="single"/>
        </w:rPr>
        <w:sectPr>
          <w:headerReference r:id="rId6" w:type="default"/>
          <w:footerReference r:id="rId7" w:type="default"/>
          <w:pgSz w:w="11906" w:h="16838"/>
          <w:pgMar w:top="1134" w:right="849" w:bottom="1134" w:left="851" w:header="567" w:footer="567" w:gutter="0"/>
          <w:cols w:space="720" w:num="1"/>
          <w:docGrid w:type="lines" w:linePitch="312" w:charSpace="0"/>
        </w:sectPr>
      </w:pPr>
    </w:p>
    <w:p w14:paraId="4721E691">
      <w:pPr>
        <w:shd w:val="clea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材料采购合同</w:t>
      </w:r>
    </w:p>
    <w:p w14:paraId="2648D1B3">
      <w:pPr>
        <w:pStyle w:val="11"/>
        <w:shd w:val="clear"/>
        <w:snapToGrid w:val="0"/>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项目名称：                               项目编号：</w:t>
      </w:r>
    </w:p>
    <w:p w14:paraId="5CFDBCB5">
      <w:pPr>
        <w:pStyle w:val="11"/>
        <w:shd w:val="clear"/>
        <w:snapToGrid w:val="0"/>
        <w:spacing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14:paraId="05CD4CB7">
      <w:pPr>
        <w:pStyle w:val="11"/>
        <w:shd w:val="clear"/>
        <w:snapToGrid w:val="0"/>
        <w:spacing w:line="360" w:lineRule="auto"/>
        <w:rPr>
          <w:rFonts w:asciiTheme="minorEastAsia" w:hAnsiTheme="minorEastAsia" w:eastAsiaTheme="minorEastAsia"/>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rPr>
        <w:t xml:space="preserve">                          所在地：</w:t>
      </w:r>
    </w:p>
    <w:p w14:paraId="6E70DD35">
      <w:pPr>
        <w:pStyle w:val="11"/>
        <w:shd w:val="clear"/>
        <w:snapToGrid w:val="0"/>
        <w:spacing w:line="360" w:lineRule="auto"/>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甲、乙双方</w:t>
      </w:r>
      <w:r>
        <w:rPr>
          <w:rFonts w:hint="eastAsia" w:asciiTheme="minorEastAsia" w:hAnsiTheme="minorEastAsia" w:eastAsiaTheme="minorEastAsia"/>
          <w:color w:val="auto"/>
          <w:sz w:val="24"/>
          <w:highlight w:val="none"/>
        </w:rPr>
        <w:t>根据《中华人民共和国民法典》《中华人民共和国建筑法》及有关法律规定，遵循平等、自愿、公平和诚实信用的原则，</w:t>
      </w:r>
      <w:r>
        <w:rPr>
          <w:rFonts w:hint="eastAsia" w:asciiTheme="minorEastAsia" w:hAnsiTheme="minorEastAsia" w:eastAsiaTheme="minorEastAsia"/>
          <w:color w:val="auto"/>
          <w:sz w:val="24"/>
          <w:highlight w:val="none"/>
          <w:lang w:val="en-US" w:eastAsia="zh-CN"/>
        </w:rPr>
        <w:t>以及</w:t>
      </w:r>
      <w:r>
        <w:rPr>
          <w:rFonts w:hint="eastAsia" w:cs="Arial" w:asciiTheme="minorEastAsia" w:hAnsiTheme="minorEastAsia" w:eastAsiaTheme="minorEastAsia"/>
          <w:color w:val="auto"/>
          <w:sz w:val="24"/>
          <w:highlight w:val="none"/>
        </w:rPr>
        <w:t>台州市建设咨询有限公司</w:t>
      </w:r>
      <w:r>
        <w:rPr>
          <w:rFonts w:asciiTheme="minorEastAsia" w:hAnsiTheme="minorEastAsia" w:eastAsiaTheme="minorEastAsia"/>
          <w:color w:val="auto"/>
          <w:sz w:val="24"/>
          <w:highlight w:val="none"/>
        </w:rPr>
        <w:t>关于</w:t>
      </w:r>
      <w:r>
        <w:rPr>
          <w:rFonts w:hint="eastAsia" w:asciiTheme="minorEastAsia" w:hAnsiTheme="minorEastAsia" w:eastAsiaTheme="minorEastAsia"/>
          <w:color w:val="auto"/>
          <w:sz w:val="24"/>
          <w:highlight w:val="none"/>
          <w:lang w:eastAsia="zh-CN"/>
        </w:rPr>
        <w:t>台州国际博览中心项目设计采购施工（EPC）工程总承包无价材料采购【景观垃圾桶、可移动花箱、座凳】</w:t>
      </w:r>
      <w:r>
        <w:rPr>
          <w:rFonts w:asciiTheme="minorEastAsia" w:hAnsiTheme="minorEastAsia" w:eastAsiaTheme="minorEastAsia"/>
          <w:color w:val="auto"/>
          <w:sz w:val="24"/>
          <w:highlight w:val="none"/>
        </w:rPr>
        <w:t>公开招标的结果，签署本合同。</w:t>
      </w:r>
    </w:p>
    <w:p w14:paraId="7B043406">
      <w:pPr>
        <w:shd w:val="clear"/>
        <w:spacing w:line="360" w:lineRule="auto"/>
        <w:ind w:firstLine="482" w:firstLineChars="200"/>
        <w:rPr>
          <w:rFonts w:ascii="宋体"/>
          <w:b/>
          <w:bCs/>
          <w:color w:val="auto"/>
          <w:sz w:val="24"/>
          <w:highlight w:val="none"/>
          <w:lang w:val="zh-CN"/>
        </w:rPr>
      </w:pPr>
      <w:r>
        <w:rPr>
          <w:rFonts w:hint="eastAsia" w:ascii="宋体"/>
          <w:b/>
          <w:bCs/>
          <w:color w:val="auto"/>
          <w:sz w:val="24"/>
          <w:highlight w:val="none"/>
          <w:lang w:val="zh-CN"/>
        </w:rPr>
        <w:t xml:space="preserve">一、合同文件： </w:t>
      </w:r>
    </w:p>
    <w:p w14:paraId="46E1F1E4">
      <w:pPr>
        <w:shd w:val="clea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14:paraId="1F5231D0">
      <w:pPr>
        <w:shd w:val="clear"/>
        <w:spacing w:line="360" w:lineRule="auto"/>
        <w:ind w:firstLine="480" w:firstLineChars="200"/>
        <w:rPr>
          <w:rFonts w:ascii="宋体"/>
          <w:color w:val="auto"/>
          <w:sz w:val="24"/>
          <w:highlight w:val="none"/>
          <w:lang w:val="zh-CN"/>
        </w:rPr>
      </w:pPr>
      <w:r>
        <w:rPr>
          <w:rFonts w:hint="eastAsia" w:ascii="宋体"/>
          <w:color w:val="auto"/>
          <w:sz w:val="24"/>
          <w:highlight w:val="none"/>
        </w:rPr>
        <w:t>（二）</w:t>
      </w:r>
      <w:r>
        <w:rPr>
          <w:rFonts w:hint="eastAsia" w:ascii="宋体"/>
          <w:color w:val="auto"/>
          <w:sz w:val="24"/>
          <w:highlight w:val="none"/>
          <w:lang w:val="zh-CN"/>
        </w:rPr>
        <w:t>中标通知书。</w:t>
      </w:r>
    </w:p>
    <w:p w14:paraId="725F8C32">
      <w:pPr>
        <w:shd w:val="clear"/>
        <w:spacing w:line="360" w:lineRule="auto"/>
        <w:ind w:firstLine="480" w:firstLineChars="200"/>
        <w:rPr>
          <w:rFonts w:ascii="宋体"/>
          <w:color w:val="auto"/>
          <w:sz w:val="24"/>
          <w:highlight w:val="none"/>
          <w:lang w:val="zh-CN"/>
        </w:rPr>
      </w:pPr>
      <w:r>
        <w:rPr>
          <w:rFonts w:hint="eastAsia" w:ascii="宋体"/>
          <w:color w:val="auto"/>
          <w:sz w:val="24"/>
          <w:highlight w:val="none"/>
        </w:rPr>
        <w:t>（三）</w:t>
      </w:r>
      <w:r>
        <w:rPr>
          <w:rFonts w:hint="eastAsia" w:ascii="宋体"/>
          <w:color w:val="auto"/>
          <w:sz w:val="24"/>
          <w:highlight w:val="none"/>
          <w:lang w:val="zh-CN"/>
        </w:rPr>
        <w:t>更正补充文件（</w:t>
      </w:r>
      <w:r>
        <w:rPr>
          <w:rFonts w:hint="eastAsia" w:ascii="宋体"/>
          <w:color w:val="auto"/>
          <w:sz w:val="24"/>
          <w:highlight w:val="none"/>
          <w:lang w:val="en-US" w:eastAsia="zh-CN"/>
        </w:rPr>
        <w:t>所有</w:t>
      </w:r>
      <w:r>
        <w:rPr>
          <w:rFonts w:hint="eastAsia" w:ascii="宋体"/>
          <w:color w:val="auto"/>
          <w:sz w:val="24"/>
          <w:highlight w:val="none"/>
          <w:lang w:val="zh-CN"/>
        </w:rPr>
        <w:t>）。</w:t>
      </w:r>
    </w:p>
    <w:p w14:paraId="36D33648">
      <w:pPr>
        <w:shd w:val="clea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14:paraId="132B09E7">
      <w:pPr>
        <w:shd w:val="clear"/>
        <w:spacing w:line="360" w:lineRule="auto"/>
        <w:ind w:firstLine="480" w:firstLineChars="200"/>
        <w:rPr>
          <w:rFonts w:ascii="宋体"/>
          <w:color w:val="auto"/>
          <w:sz w:val="24"/>
          <w:highlight w:val="none"/>
          <w:lang w:val="zh-CN"/>
        </w:rPr>
      </w:pPr>
      <w:r>
        <w:rPr>
          <w:rFonts w:hint="eastAsia" w:ascii="宋体"/>
          <w:color w:val="auto"/>
          <w:sz w:val="24"/>
          <w:highlight w:val="none"/>
        </w:rPr>
        <w:t>（五）</w:t>
      </w:r>
      <w:r>
        <w:rPr>
          <w:rFonts w:hint="eastAsia" w:ascii="宋体"/>
          <w:color w:val="auto"/>
          <w:sz w:val="24"/>
          <w:highlight w:val="none"/>
          <w:lang w:val="zh-CN"/>
        </w:rPr>
        <w:t>中标</w:t>
      </w:r>
      <w:r>
        <w:rPr>
          <w:rFonts w:hint="eastAsia" w:ascii="宋体"/>
          <w:color w:val="auto"/>
          <w:sz w:val="24"/>
          <w:highlight w:val="none"/>
        </w:rPr>
        <w:t>人</w:t>
      </w:r>
      <w:r>
        <w:rPr>
          <w:rFonts w:hint="eastAsia" w:ascii="宋体"/>
          <w:color w:val="auto"/>
          <w:sz w:val="24"/>
          <w:highlight w:val="none"/>
          <w:lang w:val="zh-CN"/>
        </w:rPr>
        <w:t>投标文件。</w:t>
      </w:r>
    </w:p>
    <w:p w14:paraId="53D4F9B3">
      <w:pPr>
        <w:shd w:val="clea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14:paraId="5FCD2FFE">
      <w:pPr>
        <w:pStyle w:val="11"/>
        <w:shd w:val="clear"/>
        <w:snapToGrid w:val="0"/>
        <w:spacing w:line="360" w:lineRule="auto"/>
        <w:ind w:firstLine="480" w:firstLineChars="200"/>
        <w:rPr>
          <w:rFonts w:hAnsi="Times New Roman"/>
          <w:color w:val="auto"/>
          <w:sz w:val="24"/>
          <w:highlight w:val="none"/>
          <w:lang w:val="zh-CN"/>
        </w:rPr>
      </w:pPr>
      <w:r>
        <w:rPr>
          <w:rFonts w:hint="eastAsia"/>
          <w:color w:val="auto"/>
          <w:sz w:val="24"/>
          <w:highlight w:val="none"/>
          <w:lang w:val="zh-CN"/>
        </w:rPr>
        <w:t>上述所指合同文件应认为是互相补充和解释的，但是有模棱两可或互相矛盾之处，以其所列内容顺序为准。</w:t>
      </w:r>
    </w:p>
    <w:p w14:paraId="0F2821C0">
      <w:pPr>
        <w:pStyle w:val="11"/>
        <w:shd w:val="clea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、货物内容</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0"/>
        <w:gridCol w:w="1082"/>
        <w:gridCol w:w="3683"/>
        <w:gridCol w:w="912"/>
        <w:gridCol w:w="515"/>
        <w:gridCol w:w="912"/>
        <w:gridCol w:w="814"/>
        <w:gridCol w:w="1039"/>
      </w:tblGrid>
      <w:tr w14:paraId="28B4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trPr>
        <w:tc>
          <w:tcPr>
            <w:tcW w:w="234" w:type="pct"/>
            <w:shd w:val="clear" w:color="auto" w:fill="auto"/>
            <w:vAlign w:val="center"/>
          </w:tcPr>
          <w:p w14:paraId="7A3BC0E4">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575" w:type="pct"/>
            <w:shd w:val="clear" w:color="auto" w:fill="auto"/>
            <w:vAlign w:val="center"/>
          </w:tcPr>
          <w:p w14:paraId="6972D219">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 称</w:t>
            </w:r>
          </w:p>
        </w:tc>
        <w:tc>
          <w:tcPr>
            <w:tcW w:w="1958" w:type="pct"/>
            <w:shd w:val="clear" w:color="auto" w:fill="auto"/>
            <w:vAlign w:val="center"/>
          </w:tcPr>
          <w:p w14:paraId="16AA1E2A">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特征描述</w:t>
            </w:r>
          </w:p>
        </w:tc>
        <w:tc>
          <w:tcPr>
            <w:tcW w:w="485" w:type="pct"/>
            <w:shd w:val="clear" w:color="auto" w:fill="auto"/>
            <w:vAlign w:val="center"/>
          </w:tcPr>
          <w:p w14:paraId="2BF263F5">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274" w:type="pct"/>
            <w:shd w:val="clear" w:color="auto" w:fill="auto"/>
            <w:vAlign w:val="center"/>
          </w:tcPr>
          <w:p w14:paraId="55A3F7A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485" w:type="pct"/>
            <w:shd w:val="clear" w:color="auto" w:fill="auto"/>
            <w:vAlign w:val="center"/>
          </w:tcPr>
          <w:p w14:paraId="0D815693">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全费用综合单价</w:t>
            </w:r>
            <w:r>
              <w:rPr>
                <w:rFonts w:hint="eastAsia" w:ascii="宋体" w:hAnsi="宋体" w:eastAsia="宋体" w:cs="宋体"/>
                <w:color w:val="auto"/>
                <w:sz w:val="21"/>
                <w:szCs w:val="21"/>
                <w:highlight w:val="none"/>
              </w:rPr>
              <w:t>（含税价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433" w:type="pct"/>
            <w:shd w:val="clear" w:color="auto" w:fill="auto"/>
            <w:vAlign w:val="center"/>
          </w:tcPr>
          <w:p w14:paraId="6232753E">
            <w:pPr>
              <w:widowControl/>
              <w:shd w:val="clear"/>
              <w:snapToGrid/>
              <w:spacing w:before="0" w:after="0" w:line="240" w:lineRule="auto"/>
              <w:ind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p w14:paraId="19D91E9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税价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552" w:type="pct"/>
            <w:shd w:val="clear" w:color="auto" w:fill="auto"/>
            <w:vAlign w:val="center"/>
          </w:tcPr>
          <w:p w14:paraId="4657518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eastAsia="zh-CN"/>
              </w:rPr>
              <w:t>全费用综合单价上限价</w:t>
            </w:r>
            <w:r>
              <w:rPr>
                <w:rFonts w:hint="eastAsia" w:ascii="宋体" w:hAnsi="宋体" w:eastAsia="宋体" w:cs="宋体"/>
                <w:color w:val="auto"/>
                <w:sz w:val="21"/>
                <w:szCs w:val="21"/>
                <w:highlight w:val="none"/>
              </w:rPr>
              <w:t>（含税价</w:t>
            </w:r>
            <w:r>
              <w:rPr>
                <w:rFonts w:hint="eastAsia" w:ascii="宋体" w:hAnsi="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r>
      <w:tr w14:paraId="2DAA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9" w:hRule="atLeast"/>
        </w:trPr>
        <w:tc>
          <w:tcPr>
            <w:tcW w:w="234" w:type="pct"/>
            <w:shd w:val="clear" w:color="auto" w:fill="auto"/>
            <w:vAlign w:val="center"/>
          </w:tcPr>
          <w:p w14:paraId="09CDA0E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5" w:type="pct"/>
            <w:shd w:val="clear" w:color="auto" w:fill="auto"/>
            <w:vAlign w:val="center"/>
          </w:tcPr>
          <w:p w14:paraId="45EA53F1">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垃圾桶</w:t>
            </w:r>
          </w:p>
        </w:tc>
        <w:tc>
          <w:tcPr>
            <w:tcW w:w="1958" w:type="pct"/>
            <w:shd w:val="clear" w:color="auto" w:fill="auto"/>
            <w:vAlign w:val="center"/>
          </w:tcPr>
          <w:p w14:paraId="56195246">
            <w:pPr>
              <w:keepNext w:val="0"/>
              <w:keepLines w:val="0"/>
              <w:widowControl/>
              <w:suppressLineNumbers w:val="0"/>
              <w:shd w:val="clear"/>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1、名称：垃圾桶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2、工程量计算方式：按只计算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3、参考尺寸：外框尺寸：450X350X95cm，内筒尺寸：38X30X55cm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4、材质：采用304不锈钢，外框不锈钢常规厚1.0，内筒不锈钢厚度0.4厚，开启扇不锈钢厚度为1mm，四边向内90度弯折3次加强，弯折尺寸为0.8cm+2cm+1cm静电粉末喷塑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5、外框可开启扇。开启扇尺寸为45X65cm,开启扇黄色、开启扇浅灰色，外框同幕墙铝合金颜色。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6、黄色可回收垃圾logo加文字，灰色不可回收垃圾，外框印制logo（logo加文字需与标识一体化统一）（logo+台州国际博览中心）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7、厂家深化后，最终样式以</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确定为准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8、耐腐蚀等级≥9级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9、外观质量：外表镀层应结合良好，组织应细密，光滑均匀，色泽均匀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10、化学成分、拉伸试验、硬度试验等应符合《不锈钢冷轧钢板和钢带》GB/T 3280-2015的相关要求。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11、其余未说明参数应满足设计图纸、相关规范、招标文件及其技术要求</w:t>
            </w:r>
          </w:p>
        </w:tc>
        <w:tc>
          <w:tcPr>
            <w:tcW w:w="485" w:type="pct"/>
            <w:shd w:val="clear" w:color="auto" w:fill="auto"/>
            <w:vAlign w:val="center"/>
          </w:tcPr>
          <w:p w14:paraId="0B658AC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274" w:type="pct"/>
            <w:shd w:val="clear" w:color="auto" w:fill="auto"/>
            <w:vAlign w:val="center"/>
          </w:tcPr>
          <w:p w14:paraId="7D1DE399">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485" w:type="pct"/>
            <w:shd w:val="clear" w:color="auto" w:fill="auto"/>
            <w:vAlign w:val="center"/>
          </w:tcPr>
          <w:p w14:paraId="3858835C">
            <w:pPr>
              <w:shd w:val="clear"/>
              <w:jc w:val="center"/>
              <w:rPr>
                <w:rFonts w:hint="eastAsia" w:ascii="宋体" w:hAnsi="宋体" w:eastAsia="宋体" w:cs="宋体"/>
                <w:i w:val="0"/>
                <w:iCs w:val="0"/>
                <w:color w:val="auto"/>
                <w:sz w:val="21"/>
                <w:szCs w:val="21"/>
                <w:highlight w:val="none"/>
                <w:u w:val="none"/>
              </w:rPr>
            </w:pPr>
          </w:p>
        </w:tc>
        <w:tc>
          <w:tcPr>
            <w:tcW w:w="433" w:type="pct"/>
            <w:shd w:val="clear" w:color="auto" w:fill="auto"/>
            <w:vAlign w:val="center"/>
          </w:tcPr>
          <w:p w14:paraId="17030E67">
            <w:pPr>
              <w:shd w:val="clear"/>
              <w:jc w:val="center"/>
              <w:rPr>
                <w:rFonts w:hint="eastAsia" w:ascii="宋体" w:hAnsi="宋体" w:eastAsia="宋体" w:cs="宋体"/>
                <w:i w:val="0"/>
                <w:iCs w:val="0"/>
                <w:color w:val="auto"/>
                <w:sz w:val="21"/>
                <w:szCs w:val="21"/>
                <w:highlight w:val="none"/>
                <w:u w:val="none"/>
              </w:rPr>
            </w:pPr>
          </w:p>
        </w:tc>
        <w:tc>
          <w:tcPr>
            <w:tcW w:w="552" w:type="pct"/>
            <w:shd w:val="clear" w:color="auto" w:fill="auto"/>
            <w:vAlign w:val="center"/>
          </w:tcPr>
          <w:p w14:paraId="1E351834">
            <w:pPr>
              <w:keepNext w:val="0"/>
              <w:keepLines w:val="0"/>
              <w:widowControl/>
              <w:suppressLineNumbers w:val="0"/>
              <w:shd w:val="clear"/>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 xml:space="preserve">1425.24 </w:t>
            </w:r>
          </w:p>
        </w:tc>
      </w:tr>
      <w:tr w14:paraId="6445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trPr>
        <w:tc>
          <w:tcPr>
            <w:tcW w:w="234" w:type="pct"/>
            <w:shd w:val="clear" w:color="auto" w:fill="auto"/>
            <w:vAlign w:val="center"/>
          </w:tcPr>
          <w:p w14:paraId="73BADD19">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5" w:type="pct"/>
            <w:shd w:val="clear" w:color="auto" w:fill="auto"/>
            <w:vAlign w:val="center"/>
          </w:tcPr>
          <w:p w14:paraId="6F41E019">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可移动花箱</w:t>
            </w:r>
          </w:p>
        </w:tc>
        <w:tc>
          <w:tcPr>
            <w:tcW w:w="1958" w:type="pct"/>
            <w:shd w:val="clear" w:color="auto" w:fill="auto"/>
            <w:vAlign w:val="center"/>
          </w:tcPr>
          <w:p w14:paraId="5DB431C0">
            <w:pPr>
              <w:keepNext w:val="0"/>
              <w:keepLines w:val="0"/>
              <w:widowControl/>
              <w:suppressLineNumbers w:val="0"/>
              <w:shd w:val="clear"/>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1、名称：可移动花箱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2、工程量计算方式：按个计算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3、参考尺寸：80X60X40cm，其中底座70X50X5cm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4、材质：1.5mm厚304不锈钢（表面处理：静电粉喷塑）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5、颜色为同幕墙铝合金颜色。两正面加印logo（logo加文字需与标识一体化统一）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6、底板四角各开孔径1cm的孔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7、厂家深化后，最终样式以</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确定为准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8、耐腐蚀等级≥9级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9、外观质量：外表镀层应结合良好，组织应细密，光滑均匀，色泽均匀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10、化学成分、拉伸试验、硬度试验等应符合《不锈钢冷轧钢板和钢带》GB/T 3280-2015的相关要求。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11、其余未说明参数应满足设计图纸、相关规范、招标文件及其技术要求</w:t>
            </w:r>
          </w:p>
        </w:tc>
        <w:tc>
          <w:tcPr>
            <w:tcW w:w="485" w:type="pct"/>
            <w:shd w:val="clear" w:color="auto" w:fill="auto"/>
            <w:vAlign w:val="center"/>
          </w:tcPr>
          <w:p w14:paraId="761B472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274" w:type="pct"/>
            <w:shd w:val="clear" w:color="auto" w:fill="auto"/>
            <w:vAlign w:val="center"/>
          </w:tcPr>
          <w:p w14:paraId="5BBB7963">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85" w:type="pct"/>
            <w:shd w:val="clear" w:color="auto" w:fill="auto"/>
            <w:vAlign w:val="center"/>
          </w:tcPr>
          <w:p w14:paraId="18DCEE21">
            <w:pPr>
              <w:shd w:val="clear"/>
              <w:jc w:val="center"/>
              <w:rPr>
                <w:rFonts w:hint="eastAsia" w:ascii="宋体" w:hAnsi="宋体" w:eastAsia="宋体" w:cs="宋体"/>
                <w:i w:val="0"/>
                <w:iCs w:val="0"/>
                <w:color w:val="auto"/>
                <w:sz w:val="21"/>
                <w:szCs w:val="21"/>
                <w:highlight w:val="none"/>
                <w:u w:val="none"/>
              </w:rPr>
            </w:pPr>
          </w:p>
        </w:tc>
        <w:tc>
          <w:tcPr>
            <w:tcW w:w="433" w:type="pct"/>
            <w:shd w:val="clear" w:color="auto" w:fill="auto"/>
            <w:vAlign w:val="center"/>
          </w:tcPr>
          <w:p w14:paraId="5783C243">
            <w:pPr>
              <w:shd w:val="clear"/>
              <w:jc w:val="center"/>
              <w:rPr>
                <w:rFonts w:hint="eastAsia" w:ascii="宋体" w:hAnsi="宋体" w:eastAsia="宋体" w:cs="宋体"/>
                <w:i w:val="0"/>
                <w:iCs w:val="0"/>
                <w:color w:val="auto"/>
                <w:sz w:val="21"/>
                <w:szCs w:val="21"/>
                <w:highlight w:val="none"/>
                <w:u w:val="none"/>
              </w:rPr>
            </w:pPr>
          </w:p>
        </w:tc>
        <w:tc>
          <w:tcPr>
            <w:tcW w:w="552" w:type="pct"/>
            <w:shd w:val="clear" w:color="auto" w:fill="auto"/>
            <w:vAlign w:val="center"/>
          </w:tcPr>
          <w:p w14:paraId="006A530F">
            <w:pPr>
              <w:keepNext w:val="0"/>
              <w:keepLines w:val="0"/>
              <w:widowControl/>
              <w:suppressLineNumbers w:val="0"/>
              <w:shd w:val="clear"/>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 xml:space="preserve">1465.20 </w:t>
            </w:r>
          </w:p>
        </w:tc>
      </w:tr>
      <w:tr w14:paraId="64BC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34" w:type="pct"/>
            <w:shd w:val="clear" w:color="auto" w:fill="auto"/>
            <w:vAlign w:val="center"/>
          </w:tcPr>
          <w:p w14:paraId="74AA9747">
            <w:pPr>
              <w:keepNext w:val="0"/>
              <w:keepLines w:val="0"/>
              <w:widowControl/>
              <w:suppressLineNumbers w:val="0"/>
              <w:shd w:val="clear"/>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575" w:type="pct"/>
            <w:shd w:val="clear" w:color="auto" w:fill="auto"/>
            <w:vAlign w:val="center"/>
          </w:tcPr>
          <w:p w14:paraId="19B8A1AF">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座凳</w:t>
            </w:r>
          </w:p>
        </w:tc>
        <w:tc>
          <w:tcPr>
            <w:tcW w:w="1958" w:type="pct"/>
            <w:shd w:val="clear" w:color="auto" w:fill="auto"/>
            <w:vAlign w:val="center"/>
          </w:tcPr>
          <w:p w14:paraId="42E402BF">
            <w:pPr>
              <w:keepNext w:val="0"/>
              <w:keepLines w:val="0"/>
              <w:widowControl/>
              <w:suppressLineNumbers w:val="0"/>
              <w:shd w:val="clear"/>
              <w:jc w:val="left"/>
              <w:textAlignment w:val="center"/>
              <w:rPr>
                <w:rStyle w:val="36"/>
                <w:color w:val="auto"/>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1、名称：坐凳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2、工程量计算方式：按只计算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3、参考尺寸：150X60X78cm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4、材质：1.2mm厚304不锈钢+20mm瓷态竹木板（表面处理：静电粉喷塑厚度3um，竹木打磨平整光滑无毛刺，面刷防腐漆竹木颜色同参考图片）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坐板尺寸宽度38cm，椅腿短边与地面接触尺寸为60cm，椅座距离地面40cm，靠背高度38cm，竹木20MM厚，12cm宽，不锈钢骨架宽度15cm，连接不锈钢和竹木的不锈钢条尺寸为1.2X4X80cm共3条，不锈钢和竹木板四周圆角处理，圆角半径为3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6、logo位于靠背不锈钢居中位置。logo整体为不锈钢原色（logo加文字需与标识一体化统一）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7、厂家深化后，最终样式以</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确定为准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8、瓷态竹木板的含水率在6%~10%，密度1.2~1.3g/cm3,防霉变色0级，抗白蚁级，防火B级，平均年限20年以上，耐腐蚀等级≥9级，其余参数满足GB/T17657-2013、GB/T18261-2013等规范要求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9、外观质量：外表镀层应结合良好，组织应细密，光滑均匀，色泽均匀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10、有害物质检测应符合GB6675.4-2014八大重金属迁移及GB18584-2001有害物质限量中的相关要求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11、其余未说明参数应满足设计图纸、相关规范、招标文件及其技术要求</w:t>
            </w:r>
          </w:p>
        </w:tc>
        <w:tc>
          <w:tcPr>
            <w:tcW w:w="485" w:type="pct"/>
            <w:shd w:val="clear" w:color="auto" w:fill="auto"/>
            <w:vAlign w:val="center"/>
          </w:tcPr>
          <w:p w14:paraId="44874210">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w:t>
            </w:r>
          </w:p>
        </w:tc>
        <w:tc>
          <w:tcPr>
            <w:tcW w:w="274" w:type="pct"/>
            <w:shd w:val="clear" w:color="auto" w:fill="auto"/>
            <w:vAlign w:val="center"/>
          </w:tcPr>
          <w:p w14:paraId="40E06C31">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只</w:t>
            </w:r>
          </w:p>
        </w:tc>
        <w:tc>
          <w:tcPr>
            <w:tcW w:w="485" w:type="pct"/>
            <w:shd w:val="clear" w:color="auto" w:fill="auto"/>
            <w:vAlign w:val="center"/>
          </w:tcPr>
          <w:p w14:paraId="4D6D5348">
            <w:pPr>
              <w:shd w:val="clear"/>
              <w:jc w:val="center"/>
              <w:rPr>
                <w:rFonts w:hint="eastAsia" w:ascii="宋体" w:hAnsi="宋体" w:eastAsia="宋体" w:cs="宋体"/>
                <w:i w:val="0"/>
                <w:iCs w:val="0"/>
                <w:color w:val="auto"/>
                <w:sz w:val="21"/>
                <w:szCs w:val="21"/>
                <w:highlight w:val="none"/>
                <w:u w:val="none"/>
              </w:rPr>
            </w:pPr>
          </w:p>
        </w:tc>
        <w:tc>
          <w:tcPr>
            <w:tcW w:w="433" w:type="pct"/>
            <w:shd w:val="clear" w:color="auto" w:fill="auto"/>
            <w:vAlign w:val="center"/>
          </w:tcPr>
          <w:p w14:paraId="7893E2B8">
            <w:pPr>
              <w:shd w:val="clear"/>
              <w:jc w:val="center"/>
              <w:rPr>
                <w:rFonts w:hint="eastAsia" w:ascii="宋体" w:hAnsi="宋体" w:eastAsia="宋体" w:cs="宋体"/>
                <w:i w:val="0"/>
                <w:iCs w:val="0"/>
                <w:color w:val="auto"/>
                <w:sz w:val="21"/>
                <w:szCs w:val="21"/>
                <w:highlight w:val="none"/>
                <w:u w:val="none"/>
              </w:rPr>
            </w:pPr>
          </w:p>
        </w:tc>
        <w:tc>
          <w:tcPr>
            <w:tcW w:w="552" w:type="pct"/>
            <w:shd w:val="clear" w:color="auto" w:fill="auto"/>
            <w:vAlign w:val="center"/>
          </w:tcPr>
          <w:p w14:paraId="04F7F039">
            <w:pPr>
              <w:keepNext w:val="0"/>
              <w:keepLines w:val="0"/>
              <w:widowControl/>
              <w:suppressLineNumbers w:val="0"/>
              <w:shd w:val="clear"/>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 xml:space="preserve">3036.96 </w:t>
            </w:r>
          </w:p>
        </w:tc>
      </w:tr>
      <w:tr w14:paraId="01AC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trPr>
        <w:tc>
          <w:tcPr>
            <w:tcW w:w="234" w:type="pct"/>
            <w:shd w:val="clear" w:color="auto" w:fill="auto"/>
            <w:vAlign w:val="center"/>
          </w:tcPr>
          <w:p w14:paraId="44748583">
            <w:pPr>
              <w:keepNext w:val="0"/>
              <w:keepLines w:val="0"/>
              <w:widowControl/>
              <w:suppressLineNumbers w:val="0"/>
              <w:shd w:val="clear"/>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575" w:type="pct"/>
            <w:shd w:val="clear" w:color="auto" w:fill="auto"/>
            <w:vAlign w:val="center"/>
          </w:tcPr>
          <w:p w14:paraId="635C3959">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可移动花箱</w:t>
            </w:r>
          </w:p>
        </w:tc>
        <w:tc>
          <w:tcPr>
            <w:tcW w:w="1958" w:type="pct"/>
            <w:shd w:val="clear" w:color="auto" w:fill="auto"/>
            <w:vAlign w:val="center"/>
          </w:tcPr>
          <w:p w14:paraId="1EFE096E">
            <w:pPr>
              <w:keepNext w:val="0"/>
              <w:keepLines w:val="0"/>
              <w:widowControl/>
              <w:suppressLineNumbers w:val="0"/>
              <w:shd w:val="clear"/>
              <w:jc w:val="left"/>
              <w:textAlignment w:val="center"/>
              <w:rPr>
                <w:rStyle w:val="36"/>
                <w:color w:val="auto"/>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1、名称：可移动花箱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2、工程量计算方式：按个计算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3、参考尺寸：80X60X30cm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4、材质：1.5mm厚304不锈钢（表面处理：静电粉喷塑）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5、颜色为同幕墙铝合金颜色。两正面加印logo（logo加文字需与标识一体化统一），花箱间隔150cm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6、底板四角各开孔径1cm的孔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7、厂家深化后，最终样式以</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确定为准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8、耐腐蚀等级≥9级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9、外观质量：外表镀层应结合良好，组织应细密，光滑均匀，色泽均匀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10、化学成分、拉伸试验、硬度试验等应符合《不锈钢冷轧钢板和钢带》GB/T 3280-2015的相关要求。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11、其余未说明参数应满足设计图纸、相关规范、招标文件及其技术要求</w:t>
            </w:r>
          </w:p>
        </w:tc>
        <w:tc>
          <w:tcPr>
            <w:tcW w:w="485" w:type="pct"/>
            <w:shd w:val="clear" w:color="auto" w:fill="auto"/>
            <w:vAlign w:val="center"/>
          </w:tcPr>
          <w:p w14:paraId="6DAF3C61">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162</w:t>
            </w:r>
          </w:p>
        </w:tc>
        <w:tc>
          <w:tcPr>
            <w:tcW w:w="274" w:type="pct"/>
            <w:shd w:val="clear" w:color="auto" w:fill="auto"/>
            <w:vAlign w:val="center"/>
          </w:tcPr>
          <w:p w14:paraId="2786C709">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485" w:type="pct"/>
            <w:shd w:val="clear" w:color="auto" w:fill="auto"/>
            <w:vAlign w:val="center"/>
          </w:tcPr>
          <w:p w14:paraId="7B0BD9B7">
            <w:pPr>
              <w:shd w:val="clear"/>
              <w:jc w:val="center"/>
              <w:rPr>
                <w:rFonts w:hint="eastAsia" w:ascii="宋体" w:hAnsi="宋体" w:eastAsia="宋体" w:cs="宋体"/>
                <w:i w:val="0"/>
                <w:iCs w:val="0"/>
                <w:color w:val="auto"/>
                <w:sz w:val="21"/>
                <w:szCs w:val="21"/>
                <w:highlight w:val="none"/>
                <w:u w:val="none"/>
              </w:rPr>
            </w:pPr>
          </w:p>
        </w:tc>
        <w:tc>
          <w:tcPr>
            <w:tcW w:w="433" w:type="pct"/>
            <w:shd w:val="clear" w:color="auto" w:fill="auto"/>
            <w:vAlign w:val="center"/>
          </w:tcPr>
          <w:p w14:paraId="4606BB08">
            <w:pPr>
              <w:shd w:val="clear"/>
              <w:jc w:val="center"/>
              <w:rPr>
                <w:rFonts w:hint="eastAsia" w:ascii="宋体" w:hAnsi="宋体" w:eastAsia="宋体" w:cs="宋体"/>
                <w:i w:val="0"/>
                <w:iCs w:val="0"/>
                <w:color w:val="auto"/>
                <w:sz w:val="21"/>
                <w:szCs w:val="21"/>
                <w:highlight w:val="none"/>
                <w:u w:val="none"/>
              </w:rPr>
            </w:pPr>
          </w:p>
        </w:tc>
        <w:tc>
          <w:tcPr>
            <w:tcW w:w="552" w:type="pct"/>
            <w:shd w:val="clear" w:color="auto" w:fill="auto"/>
            <w:vAlign w:val="center"/>
          </w:tcPr>
          <w:p w14:paraId="4A84BB44">
            <w:pPr>
              <w:keepNext w:val="0"/>
              <w:keepLines w:val="0"/>
              <w:widowControl/>
              <w:suppressLineNumbers w:val="0"/>
              <w:shd w:val="clear"/>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 xml:space="preserve">1118.88 </w:t>
            </w:r>
          </w:p>
        </w:tc>
      </w:tr>
    </w:tbl>
    <w:p w14:paraId="37AFBFB2">
      <w:pPr>
        <w:pStyle w:val="7"/>
        <w:shd w:val="clear"/>
        <w:spacing w:line="360" w:lineRule="auto"/>
        <w:ind w:left="482" w:hanging="480" w:hanging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备注：</w:t>
      </w:r>
    </w:p>
    <w:p w14:paraId="417A92CB">
      <w:pPr>
        <w:pStyle w:val="7"/>
        <w:shd w:val="clear"/>
        <w:spacing w:line="360" w:lineRule="auto"/>
        <w:ind w:left="641" w:leftChars="229" w:firstLine="0" w:firstLineChars="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（1）以上</w:t>
      </w:r>
      <w:r>
        <w:rPr>
          <w:rFonts w:hint="eastAsia" w:asciiTheme="minorEastAsia" w:hAnsiTheme="minorEastAsia" w:eastAsiaTheme="minorEastAsia" w:cstheme="minorEastAsia"/>
          <w:b w:val="0"/>
          <w:bCs/>
          <w:color w:val="auto"/>
          <w:sz w:val="24"/>
          <w:szCs w:val="24"/>
          <w:highlight w:val="none"/>
          <w:lang w:val="en-US" w:eastAsia="zh-CN"/>
        </w:rPr>
        <w:t>全费用综合单价</w:t>
      </w:r>
      <w:r>
        <w:rPr>
          <w:rFonts w:hint="eastAsia" w:asciiTheme="minorEastAsia" w:hAnsiTheme="minorEastAsia" w:eastAsiaTheme="minorEastAsia" w:cstheme="minorEastAsia"/>
          <w:b w:val="0"/>
          <w:bCs/>
          <w:color w:val="auto"/>
          <w:sz w:val="24"/>
          <w:szCs w:val="24"/>
          <w:highlight w:val="none"/>
          <w:lang w:eastAsia="zh-CN"/>
        </w:rPr>
        <w:t>不调差，按投标承诺既定。</w:t>
      </w:r>
    </w:p>
    <w:p w14:paraId="6D5099A9">
      <w:pPr>
        <w:pStyle w:val="7"/>
        <w:shd w:val="clear"/>
        <w:spacing w:line="360" w:lineRule="auto"/>
        <w:ind w:left="641" w:leftChars="229" w:firstLine="0" w:firstLineChars="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（2）费用</w:t>
      </w:r>
      <w:r>
        <w:rPr>
          <w:rFonts w:hint="eastAsia" w:asciiTheme="minorEastAsia" w:hAnsiTheme="minorEastAsia" w:eastAsiaTheme="minorEastAsia" w:cstheme="minorEastAsia"/>
          <w:b w:val="0"/>
          <w:bCs/>
          <w:color w:val="auto"/>
          <w:sz w:val="24"/>
          <w:szCs w:val="24"/>
          <w:highlight w:val="none"/>
          <w:lang w:val="en-US" w:eastAsia="zh-CN"/>
        </w:rPr>
        <w:t>说明</w:t>
      </w:r>
      <w:r>
        <w:rPr>
          <w:rFonts w:hint="eastAsia" w:asciiTheme="minorEastAsia" w:hAnsiTheme="minorEastAsia" w:eastAsiaTheme="minorEastAsia" w:cstheme="minorEastAsia"/>
          <w:b w:val="0"/>
          <w:bCs/>
          <w:color w:val="auto"/>
          <w:sz w:val="24"/>
          <w:szCs w:val="24"/>
          <w:highlight w:val="none"/>
        </w:rPr>
        <w:t>：</w:t>
      </w:r>
    </w:p>
    <w:p w14:paraId="14E04524">
      <w:pPr>
        <w:pStyle w:val="7"/>
        <w:shd w:val="clear"/>
        <w:spacing w:line="360" w:lineRule="auto"/>
        <w:ind w:left="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①</w:t>
      </w:r>
      <w:r>
        <w:rPr>
          <w:rFonts w:hint="eastAsia" w:asciiTheme="minorEastAsia" w:hAnsiTheme="minorEastAsia" w:eastAsiaTheme="minorEastAsia" w:cstheme="minorEastAsia"/>
          <w:b w:val="0"/>
          <w:bCs/>
          <w:color w:val="auto"/>
          <w:sz w:val="24"/>
          <w:szCs w:val="24"/>
          <w:highlight w:val="none"/>
        </w:rPr>
        <w:t>本合同含税</w:t>
      </w:r>
      <w:r>
        <w:rPr>
          <w:rFonts w:hint="eastAsia" w:asciiTheme="minorEastAsia" w:hAnsiTheme="minorEastAsia" w:eastAsiaTheme="minorEastAsia" w:cstheme="minorEastAsia"/>
          <w:b w:val="0"/>
          <w:bCs/>
          <w:color w:val="auto"/>
          <w:sz w:val="24"/>
          <w:szCs w:val="24"/>
          <w:highlight w:val="none"/>
          <w:lang w:val="en-US" w:eastAsia="zh-CN"/>
        </w:rPr>
        <w:t>全费用综合</w:t>
      </w:r>
      <w:r>
        <w:rPr>
          <w:rFonts w:hint="eastAsia" w:asciiTheme="minorEastAsia" w:hAnsiTheme="minorEastAsia" w:eastAsiaTheme="minorEastAsia" w:cstheme="minorEastAsia"/>
          <w:b w:val="0"/>
          <w:bCs/>
          <w:color w:val="auto"/>
          <w:sz w:val="24"/>
          <w:szCs w:val="24"/>
          <w:highlight w:val="none"/>
        </w:rPr>
        <w:t>单价</w:t>
      </w:r>
      <w:r>
        <w:rPr>
          <w:rFonts w:hint="eastAsia" w:asciiTheme="minorEastAsia" w:hAnsiTheme="minorEastAsia" w:eastAsiaTheme="minorEastAsia" w:cstheme="minorEastAsia"/>
          <w:b w:val="0"/>
          <w:bCs/>
          <w:color w:val="auto"/>
          <w:sz w:val="24"/>
          <w:szCs w:val="24"/>
          <w:highlight w:val="none"/>
          <w:lang w:val="en-US" w:eastAsia="zh-CN"/>
        </w:rPr>
        <w:t>为涂料</w:t>
      </w:r>
      <w:r>
        <w:rPr>
          <w:rFonts w:hint="eastAsia" w:asciiTheme="minorEastAsia" w:hAnsiTheme="minorEastAsia" w:eastAsiaTheme="minorEastAsia" w:cstheme="minorEastAsia"/>
          <w:b w:val="0"/>
          <w:bCs/>
          <w:color w:val="auto"/>
          <w:sz w:val="24"/>
          <w:szCs w:val="24"/>
          <w:highlight w:val="none"/>
        </w:rPr>
        <w:t>自来源地运至指定堆放地点所发生的全部费用</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包括但不限于原材料采购、损耗、加工制作费、运输（运距不限）、装卸、措施费、</w:t>
      </w:r>
      <w:r>
        <w:rPr>
          <w:rFonts w:hint="eastAsia" w:asciiTheme="minorEastAsia" w:hAnsiTheme="minorEastAsia" w:eastAsiaTheme="minorEastAsia" w:cstheme="minorEastAsia"/>
          <w:b w:val="0"/>
          <w:bCs/>
          <w:color w:val="auto"/>
          <w:sz w:val="24"/>
          <w:szCs w:val="24"/>
          <w:highlight w:val="none"/>
          <w:lang w:val="en-US" w:eastAsia="zh-CN"/>
        </w:rPr>
        <w:t>出厂</w:t>
      </w:r>
      <w:r>
        <w:rPr>
          <w:rFonts w:hint="eastAsia" w:asciiTheme="minorEastAsia" w:hAnsiTheme="minorEastAsia" w:eastAsiaTheme="minorEastAsia" w:cstheme="minorEastAsia"/>
          <w:b w:val="0"/>
          <w:bCs/>
          <w:color w:val="auto"/>
          <w:sz w:val="24"/>
          <w:szCs w:val="24"/>
          <w:highlight w:val="none"/>
        </w:rPr>
        <w:t>检验试验费</w:t>
      </w:r>
      <w:r>
        <w:rPr>
          <w:rFonts w:hint="eastAsia" w:asciiTheme="minorEastAsia" w:hAnsiTheme="minorEastAsia" w:eastAsiaTheme="minorEastAsia" w:cstheme="minorEastAsia"/>
          <w:b w:val="0"/>
          <w:bCs/>
          <w:color w:val="auto"/>
          <w:sz w:val="24"/>
          <w:szCs w:val="24"/>
          <w:highlight w:val="none"/>
          <w:lang w:eastAsia="zh-CN"/>
        </w:rPr>
        <w:t>[免费提供试件（如有）]</w:t>
      </w:r>
      <w:r>
        <w:rPr>
          <w:rFonts w:hint="eastAsia" w:asciiTheme="minorEastAsia" w:hAnsiTheme="minorEastAsia" w:eastAsiaTheme="minorEastAsia" w:cstheme="minorEastAsia"/>
          <w:b w:val="0"/>
          <w:bCs/>
          <w:color w:val="auto"/>
          <w:sz w:val="24"/>
          <w:szCs w:val="24"/>
          <w:highlight w:val="none"/>
        </w:rPr>
        <w:t>、管理费、利润、税金（13%）、风险以及政策性文件规定收取的费用、财务费用等一切为完成本项目所需要的相应规范要求执行的在上述条款中可能遗漏的任何费用。</w:t>
      </w:r>
    </w:p>
    <w:p w14:paraId="24525510">
      <w:pPr>
        <w:pStyle w:val="7"/>
        <w:shd w:val="clear"/>
        <w:spacing w:line="360" w:lineRule="auto"/>
        <w:ind w:left="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②</w:t>
      </w:r>
      <w:r>
        <w:rPr>
          <w:rFonts w:hint="eastAsia" w:asciiTheme="minorEastAsia" w:hAnsiTheme="minorEastAsia" w:eastAsiaTheme="minorEastAsia" w:cstheme="minorEastAsia"/>
          <w:b w:val="0"/>
          <w:bCs/>
          <w:color w:val="auto"/>
          <w:sz w:val="24"/>
          <w:szCs w:val="24"/>
          <w:highlight w:val="none"/>
        </w:rPr>
        <w:t>甲方可根据实际情况调整采购数量，乙方不得以此为要求调整全费用综合单价。结算时，在全费用综合单价不变的前提下，</w:t>
      </w:r>
      <w:r>
        <w:rPr>
          <w:rFonts w:hint="eastAsia" w:asciiTheme="minorEastAsia" w:hAnsiTheme="minorEastAsia" w:eastAsiaTheme="minorEastAsia" w:cstheme="minorEastAsia"/>
          <w:b w:val="0"/>
          <w:bCs/>
          <w:color w:val="auto"/>
          <w:sz w:val="24"/>
          <w:szCs w:val="24"/>
          <w:highlight w:val="none"/>
          <w:lang w:val="en-US" w:eastAsia="zh-CN"/>
        </w:rPr>
        <w:t>甲乙双方</w:t>
      </w:r>
      <w:r>
        <w:rPr>
          <w:rFonts w:hint="eastAsia" w:asciiTheme="minorEastAsia" w:hAnsiTheme="minorEastAsia" w:eastAsiaTheme="minorEastAsia" w:cstheme="minorEastAsia"/>
          <w:b w:val="0"/>
          <w:bCs/>
          <w:color w:val="auto"/>
          <w:sz w:val="24"/>
          <w:szCs w:val="24"/>
          <w:highlight w:val="none"/>
        </w:rPr>
        <w:t>根据甲方的实际采购数量按实结算。</w:t>
      </w:r>
    </w:p>
    <w:p w14:paraId="0F6EBC79">
      <w:pPr>
        <w:pStyle w:val="7"/>
        <w:shd w:val="clear"/>
        <w:spacing w:line="360" w:lineRule="auto"/>
        <w:ind w:left="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采购</w:t>
      </w:r>
      <w:r>
        <w:rPr>
          <w:rFonts w:hint="eastAsia" w:asciiTheme="minorEastAsia" w:hAnsiTheme="minorEastAsia" w:eastAsiaTheme="minorEastAsia" w:cstheme="minorEastAsia"/>
          <w:b w:val="0"/>
          <w:bCs/>
          <w:color w:val="auto"/>
          <w:sz w:val="24"/>
          <w:szCs w:val="24"/>
          <w:highlight w:val="none"/>
        </w:rPr>
        <w:t>清单中的数量栏中的工程量仅作为确定中标价使用，中标全费用综合单价不因实际单项工程量与招标工程量的差异而调整全费用综合单价，也不因为两者工程量偏差成为索赔因素。</w:t>
      </w:r>
    </w:p>
    <w:p w14:paraId="1CC605F4">
      <w:pPr>
        <w:pStyle w:val="7"/>
        <w:shd w:val="clear"/>
        <w:adjustRightInd/>
        <w:snapToGrid/>
        <w:spacing w:line="360" w:lineRule="auto"/>
        <w:ind w:left="0" w:leftChars="0"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）乙方应按甲方指定的项目部人员书面通知中的数量供应材料，以送达甲方指定交货地点且经甲方指定的项目部授权的材料收货人验收合格的数量为准。</w:t>
      </w:r>
    </w:p>
    <w:p w14:paraId="6D6AE56A">
      <w:pPr>
        <w:pStyle w:val="7"/>
        <w:shd w:val="clear"/>
        <w:spacing w:line="360" w:lineRule="auto"/>
        <w:ind w:left="0" w:leftChars="0" w:firstLineChars="20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材料</w:t>
      </w:r>
      <w:r>
        <w:rPr>
          <w:rFonts w:hint="eastAsia" w:asciiTheme="minorEastAsia" w:hAnsiTheme="minorEastAsia" w:eastAsiaTheme="minorEastAsia" w:cstheme="minorEastAsia"/>
          <w:b w:val="0"/>
          <w:bCs/>
          <w:color w:val="auto"/>
          <w:sz w:val="24"/>
          <w:szCs w:val="24"/>
          <w:highlight w:val="none"/>
        </w:rPr>
        <w:t>其余内容详</w:t>
      </w:r>
      <w:r>
        <w:rPr>
          <w:rFonts w:hint="eastAsia" w:asciiTheme="minorEastAsia" w:hAnsiTheme="minorEastAsia" w:eastAsiaTheme="minorEastAsia" w:cstheme="minorEastAsia"/>
          <w:b w:val="0"/>
          <w:bCs/>
          <w:color w:val="auto"/>
          <w:sz w:val="24"/>
          <w:szCs w:val="24"/>
          <w:highlight w:val="none"/>
          <w:lang w:val="en-US" w:eastAsia="zh-CN"/>
        </w:rPr>
        <w:t>见</w:t>
      </w:r>
      <w:r>
        <w:rPr>
          <w:rFonts w:hint="eastAsia" w:asciiTheme="minorEastAsia" w:hAnsiTheme="minorEastAsia" w:eastAsiaTheme="minorEastAsia" w:cstheme="minorEastAsia"/>
          <w:b w:val="0"/>
          <w:bCs/>
          <w:color w:val="auto"/>
          <w:sz w:val="24"/>
          <w:szCs w:val="24"/>
          <w:highlight w:val="none"/>
        </w:rPr>
        <w:t>图纸、图集、规范及招标文件相关约定。</w:t>
      </w:r>
    </w:p>
    <w:p w14:paraId="673230FC">
      <w:pPr>
        <w:pStyle w:val="7"/>
        <w:shd w:val="clear"/>
        <w:spacing w:line="360" w:lineRule="auto"/>
        <w:ind w:left="0" w:leftChars="0" w:firstLineChars="200"/>
        <w:jc w:val="left"/>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6</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 xml:space="preserve">材料品牌、规格和使用要求:按招标文件(相应)技术标准和要求执行。凡是招标文件注明规格、型号或品牌、产地的材料，乙方必须按照招标文件要求供货;如需调整，必须经得甲方认可。 </w:t>
      </w:r>
    </w:p>
    <w:p w14:paraId="6155BCF4">
      <w:pPr>
        <w:pStyle w:val="11"/>
        <w:shd w:val="clea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、合同金额</w:t>
      </w:r>
    </w:p>
    <w:p w14:paraId="5CC50951">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w:t>
      </w:r>
      <w:r>
        <w:rPr>
          <w:rFonts w:hint="eastAsia" w:asciiTheme="minorEastAsia" w:hAnsiTheme="minorEastAsia" w:eastAsiaTheme="minorEastAsia"/>
          <w:color w:val="auto"/>
          <w:sz w:val="24"/>
          <w:highlight w:val="none"/>
          <w:lang w:val="en-US" w:eastAsia="zh-CN"/>
        </w:rPr>
        <w:t>含税</w:t>
      </w:r>
      <w:r>
        <w:rPr>
          <w:rFonts w:asciiTheme="minorEastAsia" w:hAnsiTheme="minorEastAsia" w:eastAsiaTheme="minorEastAsia"/>
          <w:color w:val="auto"/>
          <w:sz w:val="24"/>
          <w:highlight w:val="none"/>
        </w:rPr>
        <w:t>金额为（大写）：______________元（￥__________元）人民币。</w:t>
      </w:r>
    </w:p>
    <w:p w14:paraId="250CE321">
      <w:pPr>
        <w:pStyle w:val="11"/>
        <w:shd w:val="clea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、技术资料</w:t>
      </w:r>
    </w:p>
    <w:p w14:paraId="564806AE">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乙方应按招标文件规定的时间向甲方提供使用货物的有关技术资料。</w:t>
      </w:r>
    </w:p>
    <w:p w14:paraId="3629F88D">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D8083E4">
      <w:pPr>
        <w:pStyle w:val="11"/>
        <w:shd w:val="clea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、知识产权</w:t>
      </w:r>
    </w:p>
    <w:p w14:paraId="739FBDDA">
      <w:pPr>
        <w:pStyle w:val="11"/>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乙方应保证所提供的货物或其任何一部分均不会侵犯任何第三方的知识产权。</w:t>
      </w:r>
    </w:p>
    <w:p w14:paraId="45F171C5">
      <w:pPr>
        <w:pStyle w:val="7"/>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（二）若</w:t>
      </w:r>
      <w:r>
        <w:rPr>
          <w:rFonts w:hint="eastAsia" w:asciiTheme="minorEastAsia" w:hAnsiTheme="minorEastAsia" w:eastAsiaTheme="minorEastAsia"/>
          <w:color w:val="auto"/>
          <w:sz w:val="24"/>
          <w:highlight w:val="none"/>
          <w:lang w:val="en-US" w:eastAsia="zh-CN"/>
        </w:rPr>
        <w:t>发生纠纷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由乙方赔偿甲方因此遭受的损失（包括但不限于应对及追偿过程中所支付的律师费、差旅费、诉讼费、保全费、鉴定费、评估费等）。</w:t>
      </w:r>
    </w:p>
    <w:p w14:paraId="67BF9A21">
      <w:pPr>
        <w:pStyle w:val="11"/>
        <w:shd w:val="clear"/>
        <w:snapToGrid w:val="0"/>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、产权担保</w:t>
      </w:r>
    </w:p>
    <w:p w14:paraId="28CE6787">
      <w:pPr>
        <w:pStyle w:val="11"/>
        <w:shd w:val="clear"/>
        <w:snapToGrid w:val="0"/>
        <w:spacing w:line="360" w:lineRule="auto"/>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乙方保证所交付的货物的所有权完全属于乙方且无任何抵押、查封等产权瑕疵。</w:t>
      </w:r>
    </w:p>
    <w:p w14:paraId="764FA068">
      <w:pPr>
        <w:pStyle w:val="11"/>
        <w:shd w:val="clea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、履约保证金</w:t>
      </w:r>
    </w:p>
    <w:p w14:paraId="2CC558FC">
      <w:pPr>
        <w:shd w:val="clear"/>
        <w:tabs>
          <w:tab w:val="left" w:pos="1418"/>
        </w:tabs>
        <w:autoSpaceDE w:val="0"/>
        <w:autoSpaceDN w:val="0"/>
        <w:adjustRightInd w:val="0"/>
        <w:spacing w:line="360" w:lineRule="auto"/>
        <w:ind w:firstLine="480" w:firstLineChars="200"/>
        <w:rPr>
          <w:rFonts w:hint="eastAsia" w:asciiTheme="minorEastAsia" w:hAnsiTheme="minorEastAsia" w:eastAsiaTheme="minorEastAsia" w:cstheme="minorBidi"/>
          <w:color w:val="auto"/>
          <w:sz w:val="24"/>
          <w:highlight w:val="none"/>
          <w:lang w:eastAsia="zh-CN"/>
        </w:rPr>
      </w:pPr>
      <w:r>
        <w:rPr>
          <w:rFonts w:hint="eastAsia" w:asciiTheme="minorEastAsia" w:hAnsiTheme="minorEastAsia" w:eastAsiaTheme="minorEastAsia" w:cstheme="minorBidi"/>
          <w:color w:val="auto"/>
          <w:sz w:val="24"/>
          <w:highlight w:val="none"/>
        </w:rPr>
        <w:t>履约保证金的收取及退还：签订材料采购合同前，</w:t>
      </w:r>
      <w:r>
        <w:rPr>
          <w:rFonts w:hint="eastAsia" w:asciiTheme="minorEastAsia" w:hAnsiTheme="minorEastAsia" w:eastAsiaTheme="minorEastAsia" w:cstheme="minorBidi"/>
          <w:color w:val="auto"/>
          <w:sz w:val="24"/>
          <w:highlight w:val="none"/>
          <w:lang w:val="en-US" w:eastAsia="zh-CN"/>
        </w:rPr>
        <w:t>乙方</w:t>
      </w:r>
      <w:r>
        <w:rPr>
          <w:rFonts w:hint="eastAsia" w:asciiTheme="minorEastAsia" w:hAnsiTheme="minorEastAsia" w:eastAsiaTheme="minorEastAsia" w:cstheme="minorBidi"/>
          <w:color w:val="auto"/>
          <w:sz w:val="24"/>
          <w:highlight w:val="none"/>
        </w:rPr>
        <w:t>递交履约保证金。履约保证金为材料采购合同签订价的2%。履约保证金待合同履行完毕（整个工程竣工验收合格并获得房屋建筑工程竣工验收备案证明书）后</w:t>
      </w:r>
      <w:r>
        <w:rPr>
          <w:rFonts w:hint="eastAsia" w:asciiTheme="minorEastAsia" w:hAnsiTheme="minorEastAsia" w:eastAsiaTheme="minorEastAsia" w:cstheme="minorBidi"/>
          <w:color w:val="auto"/>
          <w:sz w:val="24"/>
          <w:highlight w:val="none"/>
          <w:lang w:val="en-US" w:eastAsia="zh-CN"/>
        </w:rPr>
        <w:t>且无违约情况的</w:t>
      </w:r>
      <w:r>
        <w:rPr>
          <w:rFonts w:hint="eastAsia" w:asciiTheme="minorEastAsia" w:hAnsiTheme="minorEastAsia" w:eastAsiaTheme="minorEastAsia" w:cstheme="minorBidi"/>
          <w:color w:val="auto"/>
          <w:sz w:val="24"/>
          <w:highlight w:val="none"/>
        </w:rPr>
        <w:t>5日内无息退还(提交方式为银行转账、保函、保险、担保等形式)</w:t>
      </w:r>
      <w:r>
        <w:rPr>
          <w:rFonts w:hint="eastAsia" w:asciiTheme="minorEastAsia" w:hAnsiTheme="minorEastAsia" w:eastAsiaTheme="minorEastAsia" w:cstheme="minorBidi"/>
          <w:color w:val="auto"/>
          <w:sz w:val="24"/>
          <w:highlight w:val="none"/>
          <w:lang w:eastAsia="zh-CN"/>
        </w:rPr>
        <w:t>。</w:t>
      </w:r>
    </w:p>
    <w:p w14:paraId="7D734028">
      <w:pPr>
        <w:pStyle w:val="11"/>
        <w:shd w:val="clea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八、转包或分包</w:t>
      </w:r>
    </w:p>
    <w:p w14:paraId="1A499361">
      <w:pPr>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（一）本合同范围的货物，应由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方直接供应，不得转让他人供应。</w:t>
      </w:r>
    </w:p>
    <w:p w14:paraId="545AABC0">
      <w:pPr>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（二）除非得到</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方的书面同意，</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方不得将本合同范围的货物全部或部分分包给他人供应。</w:t>
      </w:r>
    </w:p>
    <w:p w14:paraId="45902D03">
      <w:pPr>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（三）如有转让和未经</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方同意的分包行为，</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方有权解除合同，没收履约保证金并追究乙方的违约责任。</w:t>
      </w:r>
    </w:p>
    <w:p w14:paraId="115C4B88">
      <w:pPr>
        <w:pStyle w:val="11"/>
        <w:shd w:val="clear"/>
        <w:snapToGrid w:val="0"/>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九</w:t>
      </w:r>
      <w:r>
        <w:rPr>
          <w:rFonts w:asciiTheme="minorEastAsia" w:hAnsiTheme="minorEastAsia" w:eastAsiaTheme="minorEastAsia"/>
          <w:b/>
          <w:color w:val="auto"/>
          <w:sz w:val="24"/>
          <w:highlight w:val="none"/>
        </w:rPr>
        <w:t>、交货期及交货地点</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相关授权</w:t>
      </w:r>
    </w:p>
    <w:p w14:paraId="124B2402">
      <w:pPr>
        <w:pStyle w:val="11"/>
        <w:shd w:val="clear"/>
        <w:snapToGri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w:t>
      </w:r>
      <w:r>
        <w:rPr>
          <w:rFonts w:asciiTheme="minorEastAsia" w:hAnsiTheme="minorEastAsia" w:eastAsiaTheme="minorEastAsia"/>
          <w:bCs/>
          <w:color w:val="auto"/>
          <w:sz w:val="24"/>
          <w:highlight w:val="none"/>
        </w:rPr>
        <w:t>交货期：</w:t>
      </w:r>
    </w:p>
    <w:p w14:paraId="67F97785">
      <w:pPr>
        <w:pStyle w:val="11"/>
        <w:shd w:val="clear"/>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①总体要求：2024年12月至2025年7月完成所有供货。分批供货，接到每批供货通知单后30日历天内完成供货。</w:t>
      </w:r>
    </w:p>
    <w:p w14:paraId="2C4F12C1">
      <w:pPr>
        <w:pStyle w:val="11"/>
        <w:shd w:val="clear"/>
        <w:snapToGrid w:val="0"/>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②供货计划：乙方根据甲方的每批次需货要求编制供货计划，明确每批次供货的具体采购原材料、加工、运输计划。</w:t>
      </w:r>
    </w:p>
    <w:p w14:paraId="013E3E69">
      <w:pPr>
        <w:pStyle w:val="11"/>
        <w:shd w:val="clear"/>
        <w:snapToGri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二</w:t>
      </w:r>
      <w:r>
        <w:rPr>
          <w:rFonts w:hint="eastAsia" w:asciiTheme="minorEastAsia" w:hAnsiTheme="minorEastAsia" w:eastAsiaTheme="minorEastAsia"/>
          <w:bCs/>
          <w:color w:val="auto"/>
          <w:sz w:val="24"/>
          <w:highlight w:val="none"/>
        </w:rPr>
        <w:t>）</w:t>
      </w:r>
      <w:r>
        <w:rPr>
          <w:rFonts w:asciiTheme="minorEastAsia" w:hAnsiTheme="minorEastAsia" w:eastAsiaTheme="minorEastAsia"/>
          <w:bCs/>
          <w:color w:val="auto"/>
          <w:sz w:val="24"/>
          <w:highlight w:val="none"/>
        </w:rPr>
        <w:t>交货地点：</w:t>
      </w:r>
      <w:r>
        <w:rPr>
          <w:rFonts w:hint="eastAsia" w:asciiTheme="minorEastAsia" w:hAnsiTheme="minorEastAsia" w:eastAsiaTheme="minorEastAsia"/>
          <w:bCs/>
          <w:color w:val="auto"/>
          <w:sz w:val="24"/>
          <w:highlight w:val="none"/>
          <w:lang w:val="en-US" w:eastAsia="zh-CN"/>
        </w:rPr>
        <w:t>台州国际博览中心项目部内</w:t>
      </w:r>
      <w:r>
        <w:rPr>
          <w:rFonts w:hint="eastAsia" w:asciiTheme="minorEastAsia" w:hAnsiTheme="minorEastAsia" w:eastAsiaTheme="minorEastAsia"/>
          <w:bCs/>
          <w:color w:val="auto"/>
          <w:sz w:val="24"/>
          <w:highlight w:val="none"/>
        </w:rPr>
        <w:t>甲方指定的交货地点</w:t>
      </w:r>
      <w:r>
        <w:rPr>
          <w:rFonts w:hint="eastAsia" w:asciiTheme="minorEastAsia" w:hAnsiTheme="minorEastAsia" w:eastAsiaTheme="minorEastAsia"/>
          <w:bCs/>
          <w:color w:val="auto"/>
          <w:sz w:val="24"/>
          <w:highlight w:val="none"/>
          <w:lang w:val="en-US" w:eastAsia="zh-CN"/>
        </w:rPr>
        <w:t>。</w:t>
      </w:r>
    </w:p>
    <w:p w14:paraId="17CBB24F">
      <w:pPr>
        <w:pStyle w:val="11"/>
        <w:numPr>
          <w:ilvl w:val="0"/>
          <w:numId w:val="0"/>
        </w:numPr>
        <w:shd w:val="clear"/>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（三）相关经办人员授权</w:t>
      </w:r>
    </w:p>
    <w:p w14:paraId="72B37821">
      <w:pPr>
        <w:pStyle w:val="11"/>
        <w:numPr>
          <w:ilvl w:val="0"/>
          <w:numId w:val="0"/>
        </w:numPr>
        <w:shd w:val="clear"/>
        <w:snapToGrid w:val="0"/>
        <w:spacing w:line="360" w:lineRule="auto"/>
        <w:ind w:firstLine="720" w:firstLineChars="3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①甲方授权【   】（身份证号：【   】，签字字模：【      】）和【   】（身份证号：【      】，签字字模：【     】）为本合同工程的材料收货人，材料收货单须由此两人同时签字。所有单据须在当天对账签认，乙方以任何理由延迟提交、补签任何单据，甲方将不予确认，对此乙方无异议。</w:t>
      </w:r>
    </w:p>
    <w:p w14:paraId="5D06A33F">
      <w:pPr>
        <w:pStyle w:val="11"/>
        <w:shd w:val="clear"/>
        <w:snapToGrid w:val="0"/>
        <w:spacing w:line="360" w:lineRule="auto"/>
        <w:ind w:firstLine="720" w:firstLineChars="3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②甲方授权甲方分公司总经理为最终结算签字人；乙方授权【   】（身份证号：【 】，签字字模：【          】）为结算签字人，与甲方办理结算并负责收款，其他人员签字无效；甲方上述授权人签字后的结算书作为本工程的最终结算唯一有效依据，其他任何单据，无论经任何部门盖章和签字，均不得作为结算的依据，乙方同意不以此要求甲方支付任何款项。</w:t>
      </w:r>
    </w:p>
    <w:p w14:paraId="217B0078">
      <w:pPr>
        <w:pStyle w:val="11"/>
        <w:shd w:val="clea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十、货款支付</w:t>
      </w:r>
    </w:p>
    <w:p w14:paraId="6F8D0E03">
      <w:pPr>
        <w:pStyle w:val="11"/>
        <w:shd w:val="clear"/>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（1）计量周期：乙方应于每月21日前向甲方提交上月21日至当月20日期间所供材料之全部单据并完成双方对账签认，逾期提供的单据转至下个支付周期，甲方在收到乙方提交的请款报告后，于10日内完成审核。</w:t>
      </w:r>
    </w:p>
    <w:p w14:paraId="7A779856">
      <w:pPr>
        <w:pStyle w:val="11"/>
        <w:shd w:val="clear"/>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（2）本合同采取以下付款方式；</w:t>
      </w:r>
    </w:p>
    <w:p w14:paraId="173DA24F">
      <w:pPr>
        <w:pStyle w:val="11"/>
        <w:shd w:val="clear"/>
        <w:snapToGrid w:val="0"/>
        <w:spacing w:line="360" w:lineRule="auto"/>
        <w:ind w:firstLine="480" w:firstLineChars="200"/>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①</w:t>
      </w:r>
      <w:r>
        <w:rPr>
          <w:rFonts w:hint="eastAsia" w:hAnsi="宋体"/>
          <w:bCs/>
          <w:color w:val="auto"/>
          <w:sz w:val="24"/>
          <w:highlight w:val="none"/>
          <w:lang w:val="en-US" w:eastAsia="zh-CN"/>
        </w:rPr>
        <w:t>甲方在合同签订后支付乙方合同金额的3%作为该项目预付款。</w:t>
      </w:r>
    </w:p>
    <w:p w14:paraId="199BABEC">
      <w:pPr>
        <w:pStyle w:val="11"/>
        <w:shd w:val="clear"/>
        <w:snapToGrid w:val="0"/>
        <w:spacing w:line="360" w:lineRule="auto"/>
        <w:ind w:firstLine="480" w:firstLineChars="200"/>
        <w:rPr>
          <w:rFonts w:hint="eastAsia" w:ascii="宋体" w:hAnsi="宋体" w:eastAsia="宋体"/>
          <w:bCs/>
          <w:color w:val="auto"/>
          <w:sz w:val="24"/>
          <w:highlight w:val="none"/>
          <w:lang w:val="en-US" w:eastAsia="zh-CN"/>
        </w:rPr>
      </w:pPr>
      <w:r>
        <w:rPr>
          <w:rFonts w:hint="eastAsia" w:hAnsi="宋体"/>
          <w:bCs/>
          <w:color w:val="auto"/>
          <w:sz w:val="24"/>
          <w:highlight w:val="none"/>
          <w:lang w:val="en-US" w:eastAsia="zh-CN"/>
        </w:rPr>
        <w:t>②</w:t>
      </w:r>
      <w:r>
        <w:rPr>
          <w:rFonts w:hint="eastAsia" w:ascii="宋体" w:hAnsi="宋体" w:eastAsia="宋体"/>
          <w:bCs/>
          <w:color w:val="auto"/>
          <w:sz w:val="24"/>
          <w:highlight w:val="none"/>
          <w:lang w:val="en-US" w:eastAsia="zh-CN"/>
        </w:rPr>
        <w:t>乙方向甲方上报每月当期工程量，当期完成的工程量质量经甲方、台州国际博览中心有限公司、全过程咨询单位验收安装完毕后，且完成的工程量经甲方、台州国际博览中心有限公司、全过程咨询单位核实确认后，次月20 日前甲方完成支付上月经核实确认的工程量的</w:t>
      </w:r>
      <w:r>
        <w:rPr>
          <w:rFonts w:hint="eastAsia" w:hAnsi="宋体"/>
          <w:bCs/>
          <w:color w:val="auto"/>
          <w:sz w:val="24"/>
          <w:highlight w:val="none"/>
          <w:lang w:val="en-US" w:eastAsia="zh-CN"/>
        </w:rPr>
        <w:t>77</w:t>
      </w:r>
      <w:r>
        <w:rPr>
          <w:rFonts w:hint="eastAsia" w:ascii="宋体" w:hAnsi="宋体" w:eastAsia="宋体"/>
          <w:bCs/>
          <w:color w:val="auto"/>
          <w:sz w:val="24"/>
          <w:highlight w:val="none"/>
          <w:lang w:val="en-US" w:eastAsia="zh-CN"/>
        </w:rPr>
        <w:t>%作为进度款。</w:t>
      </w:r>
    </w:p>
    <w:p w14:paraId="70FF12B0">
      <w:pPr>
        <w:pStyle w:val="11"/>
        <w:shd w:val="clear"/>
        <w:snapToGrid w:val="0"/>
        <w:spacing w:line="360" w:lineRule="auto"/>
        <w:ind w:firstLine="480" w:firstLineChars="200"/>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③项目整体竣工验收合格后付至结算价的85%。</w:t>
      </w:r>
    </w:p>
    <w:p w14:paraId="381188FC">
      <w:pPr>
        <w:pStyle w:val="11"/>
        <w:shd w:val="clear"/>
        <w:snapToGrid w:val="0"/>
        <w:spacing w:line="360" w:lineRule="auto"/>
        <w:ind w:firstLine="480" w:firstLineChars="200"/>
        <w:rPr>
          <w:rFonts w:hint="eastAsia"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④整个工程结算经审核完成后付至结算价的 98.5%，剩余1.5%为质量保证金。</w:t>
      </w:r>
    </w:p>
    <w:p w14:paraId="1D01B258">
      <w:pPr>
        <w:pStyle w:val="11"/>
        <w:shd w:val="clear"/>
        <w:snapToGrid w:val="0"/>
        <w:spacing w:line="360" w:lineRule="auto"/>
        <w:ind w:firstLine="480" w:firstLineChars="200"/>
        <w:rPr>
          <w:rFonts w:hint="eastAsia" w:ascii="宋体" w:hAnsi="宋体" w:eastAsia="宋体"/>
          <w:bCs/>
          <w:color w:val="auto"/>
          <w:sz w:val="24"/>
          <w:highlight w:val="none"/>
          <w:lang w:val="en-US" w:eastAsia="zh-CN"/>
        </w:rPr>
      </w:pPr>
      <w:r>
        <w:rPr>
          <w:rFonts w:hint="eastAsia" w:hAnsi="宋体"/>
          <w:bCs/>
          <w:color w:val="auto"/>
          <w:sz w:val="24"/>
          <w:highlight w:val="none"/>
          <w:lang w:val="en-US" w:eastAsia="zh-CN"/>
        </w:rPr>
        <w:t>⑤</w:t>
      </w:r>
      <w:r>
        <w:rPr>
          <w:rFonts w:hint="eastAsia" w:ascii="宋体" w:hAnsi="宋体" w:eastAsia="宋体"/>
          <w:bCs/>
          <w:color w:val="auto"/>
          <w:sz w:val="24"/>
          <w:highlight w:val="none"/>
          <w:lang w:val="en-US" w:eastAsia="zh-CN"/>
        </w:rPr>
        <w:t>质保期终止后且无质量问题，支付剩余的质量保证金。质保期为</w:t>
      </w:r>
      <w:r>
        <w:rPr>
          <w:rFonts w:hint="eastAsia" w:hAnsi="宋体"/>
          <w:bCs/>
          <w:color w:val="auto"/>
          <w:sz w:val="24"/>
          <w:highlight w:val="none"/>
          <w:u w:val="single"/>
          <w:lang w:val="en-US" w:eastAsia="zh-CN"/>
        </w:rPr>
        <w:t xml:space="preserve"> 2 </w:t>
      </w:r>
      <w:r>
        <w:rPr>
          <w:rFonts w:hint="eastAsia" w:ascii="宋体" w:hAnsi="宋体" w:eastAsia="宋体"/>
          <w:bCs/>
          <w:color w:val="auto"/>
          <w:sz w:val="24"/>
          <w:highlight w:val="none"/>
          <w:lang w:val="en-US" w:eastAsia="zh-CN"/>
        </w:rPr>
        <w:t>年，质保期自工程通过竣工验收之日起计算。</w:t>
      </w:r>
    </w:p>
    <w:p w14:paraId="44F3F332">
      <w:pPr>
        <w:pStyle w:val="11"/>
        <w:shd w:val="clear"/>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3）乙方收款前应向甲方提供合法等额有效的增值税专用发票（含税务机关代开），并按实际提供货物情况，准确填写发票项目。该发票须在开具日期后5个工作日内提交至甲方，经甲方审核无误后方向乙方付款。乙方未按上述要求提供发票的，甲方有权拒绝付款，由此产生的损失或责任由乙方承担。</w:t>
      </w:r>
    </w:p>
    <w:p w14:paraId="4B9AAF5C">
      <w:pPr>
        <w:pStyle w:val="11"/>
        <w:shd w:val="clear"/>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因国家采用增值税相关制度征收建筑业税款，乙方必须在税金的缴纳、发票开具方式和时间等方面，无条件满足增值税收征收法规和制度要求，并配合甲方提供满足增值税税收制度所需的相关资料，否则，乙方应当承担由此引起的责任。</w:t>
      </w:r>
    </w:p>
    <w:p w14:paraId="3B6C28D5">
      <w:pPr>
        <w:pStyle w:val="11"/>
        <w:shd w:val="clear"/>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乙方应规范自身的纳税行为，禁止在递交发票后出现不交税、随意作废发票、随意红冲发票等行为。如有发生，导致甲方产生税务虚抵行为、发票失效、发票异常等情况发生的，甲方除对乙方追究法律责任外，同时乙方应承担甲方相应的损失。</w:t>
      </w:r>
    </w:p>
    <w:p w14:paraId="310D733A">
      <w:pPr>
        <w:pStyle w:val="11"/>
        <w:shd w:val="clear"/>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（4）支付方式：甲方采用【银行转账】方式将货款支付至乙方下述指定账户：</w:t>
      </w:r>
    </w:p>
    <w:p w14:paraId="2F55A78A">
      <w:pPr>
        <w:pStyle w:val="11"/>
        <w:shd w:val="clear"/>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账户名：【     】</w:t>
      </w:r>
    </w:p>
    <w:p w14:paraId="065A93B5">
      <w:pPr>
        <w:pStyle w:val="11"/>
        <w:shd w:val="clear"/>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开户行：【 】</w:t>
      </w:r>
    </w:p>
    <w:p w14:paraId="09E36E18">
      <w:pPr>
        <w:pStyle w:val="11"/>
        <w:shd w:val="clear"/>
        <w:snapToGrid w:val="0"/>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账 号：【 】</w:t>
      </w:r>
    </w:p>
    <w:p w14:paraId="1AA054FF">
      <w:pPr>
        <w:shd w:val="clea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、税费</w:t>
      </w:r>
    </w:p>
    <w:p w14:paraId="0A27F45E">
      <w:pPr>
        <w:shd w:val="clear"/>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本合同执行中相关的一切税费均由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方负担。如因国家增值税税率政策调整，本项目税前价格不变，并按最新税率调整相关含税金额</w:t>
      </w:r>
      <w:r>
        <w:rPr>
          <w:rFonts w:hint="eastAsia" w:asciiTheme="minorEastAsia" w:hAnsiTheme="minorEastAsia" w:eastAsiaTheme="minorEastAsia"/>
          <w:color w:val="auto"/>
          <w:sz w:val="24"/>
          <w:highlight w:val="none"/>
          <w:lang w:eastAsia="zh-CN"/>
        </w:rPr>
        <w:t>。</w:t>
      </w:r>
    </w:p>
    <w:p w14:paraId="4268B505">
      <w:pPr>
        <w:pStyle w:val="11"/>
        <w:shd w:val="clear"/>
        <w:snapToGrid w:val="0"/>
        <w:spacing w:line="360" w:lineRule="auto"/>
        <w:ind w:firstLine="482" w:firstLineChars="200"/>
        <w:rPr>
          <w:rFonts w:hint="eastAsia" w:asciiTheme="minorEastAsia" w:hAnsiTheme="minorEastAsia" w:eastAsiaTheme="minorEastAsia"/>
          <w:color w:val="auto"/>
          <w:sz w:val="24"/>
          <w:highlight w:val="none"/>
          <w:lang w:eastAsia="zh-CN"/>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二</w:t>
      </w:r>
      <w:r>
        <w:rPr>
          <w:rFonts w:asciiTheme="minorEastAsia" w:hAnsiTheme="minorEastAsia" w:eastAsiaTheme="minorEastAsia"/>
          <w:b/>
          <w:color w:val="auto"/>
          <w:sz w:val="24"/>
          <w:highlight w:val="none"/>
        </w:rPr>
        <w:t>、质量保证及售后服务</w:t>
      </w:r>
    </w:p>
    <w:p w14:paraId="0ABD33AC">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乙方应按招标文件</w:t>
      </w:r>
      <w:r>
        <w:rPr>
          <w:rFonts w:hint="eastAsia" w:asciiTheme="minorEastAsia" w:hAnsiTheme="minorEastAsia" w:eastAsiaTheme="minorEastAsia"/>
          <w:color w:val="auto"/>
          <w:sz w:val="24"/>
          <w:highlight w:val="none"/>
          <w:lang w:val="en-US" w:eastAsia="zh-CN"/>
        </w:rPr>
        <w:t>和相关规范</w:t>
      </w:r>
      <w:r>
        <w:rPr>
          <w:rFonts w:asciiTheme="minorEastAsia" w:hAnsiTheme="minorEastAsia" w:eastAsiaTheme="minorEastAsia"/>
          <w:color w:val="auto"/>
          <w:sz w:val="24"/>
          <w:highlight w:val="none"/>
        </w:rPr>
        <w:t>规定的货物性能、技术要求、质量标准向甲方提供未经使用的全新产品。</w:t>
      </w:r>
    </w:p>
    <w:p w14:paraId="33A61B7A">
      <w:pPr>
        <w:pStyle w:val="11"/>
        <w:shd w:val="clear"/>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乙方提供的货物在质</w:t>
      </w:r>
      <w:r>
        <w:rPr>
          <w:rFonts w:hint="eastAsia" w:asciiTheme="minorEastAsia" w:hAnsiTheme="minorEastAsia" w:eastAsiaTheme="minorEastAsia"/>
          <w:color w:val="auto"/>
          <w:sz w:val="24"/>
          <w:highlight w:val="none"/>
        </w:rPr>
        <w:t>保</w:t>
      </w:r>
      <w:r>
        <w:rPr>
          <w:rFonts w:asciiTheme="minorEastAsia" w:hAnsiTheme="minorEastAsia" w:eastAsiaTheme="minorEastAsia"/>
          <w:color w:val="auto"/>
          <w:sz w:val="24"/>
          <w:highlight w:val="none"/>
        </w:rPr>
        <w:t>期内因货物本身的质量问题，乙方应</w:t>
      </w:r>
      <w:r>
        <w:rPr>
          <w:rFonts w:hint="eastAsia" w:asciiTheme="minorEastAsia" w:hAnsiTheme="minorEastAsia" w:eastAsiaTheme="minorEastAsia"/>
          <w:color w:val="auto"/>
          <w:sz w:val="24"/>
          <w:highlight w:val="none"/>
          <w:lang w:eastAsia="zh-CN"/>
        </w:rPr>
        <w:t>当按照甲方要求的下列办法进行处理：</w:t>
      </w:r>
    </w:p>
    <w:p w14:paraId="2061F59F">
      <w:pPr>
        <w:pStyle w:val="11"/>
        <w:shd w:val="clear"/>
        <w:snapToGrid w:val="0"/>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负责</w:t>
      </w:r>
      <w:r>
        <w:rPr>
          <w:rFonts w:hint="eastAsia" w:asciiTheme="minorEastAsia" w:hAnsiTheme="minorEastAsia" w:eastAsiaTheme="minorEastAsia"/>
          <w:color w:val="auto"/>
          <w:sz w:val="24"/>
          <w:highlight w:val="none"/>
          <w:lang w:val="en-US" w:eastAsia="zh-CN"/>
        </w:rPr>
        <w:t>保修，费用由乙方承担；</w:t>
      </w:r>
    </w:p>
    <w:p w14:paraId="36533A4F">
      <w:pPr>
        <w:pStyle w:val="11"/>
        <w:shd w:val="clear"/>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更换：由乙方承担所发生的全部费用</w:t>
      </w:r>
      <w:r>
        <w:rPr>
          <w:rFonts w:hint="eastAsia" w:asciiTheme="minorEastAsia" w:hAnsiTheme="minorEastAsia" w:eastAsiaTheme="minorEastAsia"/>
          <w:color w:val="auto"/>
          <w:sz w:val="24"/>
          <w:highlight w:val="none"/>
          <w:lang w:eastAsia="zh-CN"/>
        </w:rPr>
        <w:t>。</w:t>
      </w:r>
    </w:p>
    <w:p w14:paraId="1FE2BBD5">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在质保期内，如在使用过程中发生质量问题，乙方在接到甲方通知后</w:t>
      </w:r>
      <w:r>
        <w:rPr>
          <w:rFonts w:hint="eastAsia" w:asciiTheme="minorEastAsia" w:hAnsiTheme="minorEastAsia" w:eastAsiaTheme="minorEastAsia"/>
          <w:color w:val="auto"/>
          <w:sz w:val="24"/>
          <w:highlight w:val="none"/>
          <w:lang w:val="en-US" w:eastAsia="zh-CN"/>
        </w:rPr>
        <w:t>最晚</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val="en-US" w:eastAsia="zh-CN"/>
        </w:rPr>
        <w:t>12</w:t>
      </w:r>
      <w:r>
        <w:rPr>
          <w:rFonts w:asciiTheme="minorEastAsia" w:hAnsiTheme="minorEastAsia" w:eastAsiaTheme="minorEastAsia"/>
          <w:color w:val="auto"/>
          <w:sz w:val="24"/>
          <w:highlight w:val="none"/>
        </w:rPr>
        <w:t>小时内到达甲方现场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如有投标承诺按照投标承诺执行</w:t>
      </w:r>
      <w:r>
        <w:rPr>
          <w:rFonts w:hint="eastAsia" w:asciiTheme="minorEastAsia" w:hAnsiTheme="minorEastAsia" w:eastAsiaTheme="minorEastAsia"/>
          <w:color w:val="auto"/>
          <w:sz w:val="24"/>
          <w:highlight w:val="none"/>
        </w:rPr>
        <w:t>。</w:t>
      </w:r>
    </w:p>
    <w:p w14:paraId="6020D332">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在质保期内，乙方应对货物出现的质量及安全问题负责处理解决并承担一切费用。</w:t>
      </w:r>
    </w:p>
    <w:p w14:paraId="439DA1C4">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asciiTheme="minorEastAsia" w:hAnsiTheme="minorEastAsia" w:eastAsiaTheme="minorEastAsia"/>
          <w:color w:val="auto"/>
          <w:sz w:val="24"/>
          <w:highlight w:val="none"/>
        </w:rPr>
        <w:t>上述的货物</w:t>
      </w:r>
      <w:r>
        <w:rPr>
          <w:rFonts w:hint="eastAsia"/>
          <w:color w:val="auto"/>
          <w:highlight w:val="none"/>
          <w:lang w:val="en-US" w:eastAsia="zh-CN"/>
        </w:rPr>
        <w:t>质保期</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u w:val="single"/>
          <w:lang w:val="en-US" w:eastAsia="zh-CN"/>
        </w:rPr>
        <w:t xml:space="preserve"> 2 </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w:t>
      </w:r>
      <w:r>
        <w:rPr>
          <w:rFonts w:asciiTheme="minorEastAsia" w:hAnsiTheme="minorEastAsia" w:eastAsiaTheme="minorEastAsia"/>
          <w:color w:val="auto"/>
          <w:sz w:val="24"/>
          <w:highlight w:val="none"/>
        </w:rPr>
        <w:t>因人为因素出现的故障不在免费保修范围内。超过</w:t>
      </w:r>
      <w:r>
        <w:rPr>
          <w:rFonts w:hint="eastAsia"/>
          <w:color w:val="auto"/>
          <w:highlight w:val="none"/>
          <w:lang w:val="en-US" w:eastAsia="zh-CN"/>
        </w:rPr>
        <w:t>质保期</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val="en-US" w:eastAsia="zh-CN"/>
        </w:rPr>
        <w:t>货物</w:t>
      </w:r>
      <w:r>
        <w:rPr>
          <w:rFonts w:asciiTheme="minorEastAsia" w:hAnsiTheme="minorEastAsia" w:eastAsiaTheme="minorEastAsia"/>
          <w:color w:val="auto"/>
          <w:sz w:val="24"/>
          <w:highlight w:val="none"/>
        </w:rPr>
        <w:t>，维修时只收部件成本费</w:t>
      </w:r>
      <w:r>
        <w:rPr>
          <w:rFonts w:hint="eastAsia" w:asciiTheme="minorEastAsia" w:hAnsiTheme="minorEastAsia" w:eastAsiaTheme="minorEastAsia"/>
          <w:color w:val="auto"/>
          <w:sz w:val="24"/>
          <w:highlight w:val="none"/>
          <w:lang w:val="en-US" w:eastAsia="zh-CN"/>
        </w:rPr>
        <w:t>和人工费</w:t>
      </w:r>
      <w:r>
        <w:rPr>
          <w:rFonts w:asciiTheme="minorEastAsia" w:hAnsiTheme="minorEastAsia" w:eastAsiaTheme="minorEastAsia"/>
          <w:color w:val="auto"/>
          <w:sz w:val="24"/>
          <w:highlight w:val="none"/>
        </w:rPr>
        <w:t>。</w:t>
      </w:r>
    </w:p>
    <w:p w14:paraId="538D7706">
      <w:pPr>
        <w:pStyle w:val="11"/>
        <w:shd w:val="clea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三</w:t>
      </w:r>
      <w:r>
        <w:rPr>
          <w:rFonts w:asciiTheme="minorEastAsia" w:hAnsiTheme="minorEastAsia" w:eastAsiaTheme="minorEastAsia"/>
          <w:b/>
          <w:color w:val="auto"/>
          <w:sz w:val="24"/>
          <w:highlight w:val="none"/>
        </w:rPr>
        <w:t>、验收</w:t>
      </w:r>
    </w:p>
    <w:p w14:paraId="150154E7">
      <w:pPr>
        <w:pStyle w:val="11"/>
        <w:shd w:val="clear"/>
        <w:snapToGrid w:val="0"/>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（一）验收标准：乙方提供的产品应满足相关规范标准、设计图纸和图集的要求。</w:t>
      </w:r>
    </w:p>
    <w:p w14:paraId="25107709">
      <w:pPr>
        <w:pStyle w:val="11"/>
        <w:shd w:val="clear"/>
        <w:snapToGrid w:val="0"/>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（二）验收方法：所有的货物以甲方指定的项目部两个或两个以上有效授权人实际验收为准，具体方法为：供货时乙方必须提供本批次货物的数量、名称、规格</w:t>
      </w:r>
      <w:r>
        <w:rPr>
          <w:rFonts w:hint="eastAsia" w:ascii="宋体" w:hAnsi="宋体" w:cs="宋体"/>
          <w:color w:val="auto"/>
          <w:sz w:val="24"/>
          <w:highlight w:val="none"/>
          <w:lang w:val="en-US" w:eastAsia="zh-CN"/>
        </w:rPr>
        <w:t>的送货单</w:t>
      </w:r>
      <w:r>
        <w:rPr>
          <w:rFonts w:hint="eastAsia" w:asciiTheme="minorEastAsia" w:hAnsiTheme="minorEastAsia" w:eastAsiaTheme="minorEastAsia"/>
          <w:color w:val="auto"/>
          <w:sz w:val="24"/>
          <w:highlight w:val="none"/>
          <w:lang w:val="en-US" w:eastAsia="zh-CN"/>
        </w:rPr>
        <w:t>，并提供包括但不限于货物检验报告、质量保证书、合格证等为验收依据，若乙方供货进场时未提供上述资料，甲方有权对该批次不予签收，对此双方无异议。货到后，甲方需要在5个工作日内验收。</w:t>
      </w:r>
    </w:p>
    <w:p w14:paraId="6586922F">
      <w:pPr>
        <w:pStyle w:val="11"/>
        <w:shd w:val="clear"/>
        <w:snapToGrid w:val="0"/>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三）复试检测：对于需要进行复试检测的货物，甲方承担法律法规以及按规范、标准要求必须进行的各类复试检测的费用。如甲方对乙方提供的自检报告或检测结论有异议，认为需要重新检测时，乙方应无条件重新检测，当检测合格时，检测费用由甲方承担；当检测不合格时，检测费用由乙方承担，并无条件更换该批次已进场或已使用的货物同时承担由此产生的一切损失及费用（包括再次重新检测时发生的材料费、检测费等一切费用，直到检测合格为止）。乙方需要根据甲方供货需求，提前计划货物复试检测时间，以免影响货物供货。</w:t>
      </w:r>
    </w:p>
    <w:p w14:paraId="51EA2BBF">
      <w:pPr>
        <w:pStyle w:val="11"/>
        <w:shd w:val="clear"/>
        <w:snapToGrid w:val="0"/>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（四）质量异议：货物到达指定交货地点后，在进行进场验收时表观质量、尺寸规格参数不合格或检测复试不合格的，乙方应在24小时内无条件退换货，费用由乙方承担。</w:t>
      </w: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四</w:t>
      </w:r>
      <w:r>
        <w:rPr>
          <w:rFonts w:asciiTheme="minorEastAsia" w:hAnsiTheme="minorEastAsia" w:eastAsiaTheme="minorEastAsia"/>
          <w:b/>
          <w:color w:val="auto"/>
          <w:sz w:val="24"/>
          <w:highlight w:val="none"/>
        </w:rPr>
        <w:t>、货物包装、发运及运输</w:t>
      </w:r>
    </w:p>
    <w:p w14:paraId="546AAAAF">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乙方应在货物发运前对其进行满足运输距离、防潮、防震、防锈和防破损装卸等要求包装，以保证货物安全运达甲方指定地点。</w:t>
      </w:r>
    </w:p>
    <w:p w14:paraId="31520873">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使用说明书</w:t>
      </w:r>
      <w:r>
        <w:rPr>
          <w:rFonts w:hint="eastAsia" w:asciiTheme="minorEastAsia" w:hAnsiTheme="minorEastAsia" w:eastAsiaTheme="minorEastAsia"/>
          <w:color w:val="auto"/>
          <w:sz w:val="24"/>
          <w:highlight w:val="none"/>
          <w:lang w:val="en-US" w:eastAsia="zh-CN"/>
        </w:rPr>
        <w:t>（如有）</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操作手册（如有）、</w:t>
      </w:r>
      <w:r>
        <w:rPr>
          <w:rFonts w:asciiTheme="minorEastAsia" w:hAnsiTheme="minorEastAsia" w:eastAsiaTheme="minorEastAsia"/>
          <w:color w:val="auto"/>
          <w:sz w:val="24"/>
          <w:highlight w:val="none"/>
        </w:rPr>
        <w:t>质量检验证明书、随配附件和工具以及清单一并附于货物内。</w:t>
      </w:r>
    </w:p>
    <w:p w14:paraId="22073517">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乙方在货到甲方48小时前通知甲方，以准备接货。</w:t>
      </w:r>
    </w:p>
    <w:p w14:paraId="7ECF9AAC">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货物在交付甲方前发生的风险均由乙方负责。</w:t>
      </w:r>
    </w:p>
    <w:p w14:paraId="0EAF6224">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asciiTheme="minorEastAsia" w:hAnsiTheme="minorEastAsia" w:eastAsiaTheme="minorEastAsia"/>
          <w:color w:val="auto"/>
          <w:sz w:val="24"/>
          <w:highlight w:val="none"/>
        </w:rPr>
        <w:t>货物在规定的交付期限内由乙方送达甲方</w:t>
      </w:r>
      <w:r>
        <w:rPr>
          <w:rFonts w:hint="eastAsia" w:asciiTheme="minorEastAsia" w:hAnsiTheme="minorEastAsia" w:eastAsiaTheme="minorEastAsia"/>
          <w:color w:val="auto"/>
          <w:sz w:val="24"/>
          <w:highlight w:val="none"/>
          <w:lang w:val="en-US" w:eastAsia="zh-CN"/>
        </w:rPr>
        <w:t>约定</w:t>
      </w:r>
      <w:r>
        <w:rPr>
          <w:rFonts w:asciiTheme="minorEastAsia" w:hAnsiTheme="minorEastAsia" w:eastAsiaTheme="minorEastAsia"/>
          <w:color w:val="auto"/>
          <w:sz w:val="24"/>
          <w:highlight w:val="none"/>
        </w:rPr>
        <w:t>的地点视为</w:t>
      </w:r>
      <w:r>
        <w:rPr>
          <w:rFonts w:hint="eastAsia" w:asciiTheme="minorEastAsia" w:hAnsiTheme="minorEastAsia" w:eastAsiaTheme="minorEastAsia"/>
          <w:color w:val="auto"/>
          <w:sz w:val="24"/>
          <w:highlight w:val="none"/>
          <w:lang w:val="en-US" w:eastAsia="zh-CN"/>
        </w:rPr>
        <w:t>到货</w:t>
      </w:r>
      <w:r>
        <w:rPr>
          <w:rFonts w:asciiTheme="minorEastAsia" w:hAnsiTheme="minorEastAsia" w:eastAsiaTheme="minorEastAsia"/>
          <w:color w:val="auto"/>
          <w:sz w:val="24"/>
          <w:highlight w:val="none"/>
        </w:rPr>
        <w:t>，乙方同时需通知甲方货物已</w:t>
      </w:r>
      <w:r>
        <w:rPr>
          <w:rFonts w:hint="eastAsia" w:asciiTheme="minorEastAsia" w:hAnsiTheme="minorEastAsia" w:eastAsiaTheme="minorEastAsia"/>
          <w:color w:val="auto"/>
          <w:sz w:val="24"/>
          <w:highlight w:val="none"/>
          <w:lang w:val="en-US" w:eastAsia="zh-CN"/>
        </w:rPr>
        <w:t>到场</w:t>
      </w:r>
      <w:r>
        <w:rPr>
          <w:rFonts w:asciiTheme="minorEastAsia" w:hAnsiTheme="minorEastAsia" w:eastAsiaTheme="minorEastAsia"/>
          <w:color w:val="auto"/>
          <w:sz w:val="24"/>
          <w:highlight w:val="none"/>
        </w:rPr>
        <w:t>。</w:t>
      </w:r>
    </w:p>
    <w:p w14:paraId="5127E6B0">
      <w:pPr>
        <w:pStyle w:val="11"/>
        <w:shd w:val="clea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五</w:t>
      </w:r>
      <w:r>
        <w:rPr>
          <w:rFonts w:asciiTheme="minorEastAsia" w:hAnsiTheme="minorEastAsia" w:eastAsiaTheme="minorEastAsia"/>
          <w:b/>
          <w:color w:val="auto"/>
          <w:sz w:val="24"/>
          <w:highlight w:val="none"/>
        </w:rPr>
        <w:t>、违约责任</w:t>
      </w:r>
    </w:p>
    <w:p w14:paraId="4516E07C">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一</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乙方逾期交付货物的，乙方应按逾期交货总额每日</w:t>
      </w:r>
      <w:r>
        <w:rPr>
          <w:rFonts w:asciiTheme="minorEastAsia" w:hAnsiTheme="minorEastAsia" w:eastAsiaTheme="minorEastAsia"/>
          <w:color w:val="auto"/>
          <w:sz w:val="24"/>
          <w:highlight w:val="none"/>
          <w:u w:val="single"/>
        </w:rPr>
        <w:t>千分之</w:t>
      </w:r>
      <w:r>
        <w:rPr>
          <w:rFonts w:hint="eastAsia" w:asciiTheme="minorEastAsia" w:hAnsiTheme="minorEastAsia" w:eastAsiaTheme="minorEastAsia"/>
          <w:color w:val="auto"/>
          <w:sz w:val="24"/>
          <w:highlight w:val="none"/>
          <w:u w:val="single"/>
          <w:lang w:eastAsia="zh-CN"/>
        </w:rPr>
        <w:t>五</w:t>
      </w:r>
      <w:r>
        <w:rPr>
          <w:rFonts w:asciiTheme="minorEastAsia" w:hAnsiTheme="minorEastAsia" w:eastAsiaTheme="minorEastAsia"/>
          <w:color w:val="auto"/>
          <w:sz w:val="24"/>
          <w:highlight w:val="none"/>
        </w:rPr>
        <w:t>向甲方支付违约金，由甲方从待付货款中扣除。超过约定日期</w:t>
      </w:r>
      <w:r>
        <w:rPr>
          <w:rFonts w:asciiTheme="minorEastAsia" w:hAnsiTheme="minorEastAsia" w:eastAsiaTheme="minorEastAsia"/>
          <w:color w:val="auto"/>
          <w:sz w:val="24"/>
          <w:highlight w:val="none"/>
          <w:u w:val="single"/>
        </w:rPr>
        <w:t>10</w:t>
      </w:r>
      <w:r>
        <w:rPr>
          <w:rFonts w:asciiTheme="minorEastAsia" w:hAnsiTheme="minorEastAsia" w:eastAsiaTheme="minorEastAsia"/>
          <w:color w:val="auto"/>
          <w:sz w:val="24"/>
          <w:highlight w:val="none"/>
        </w:rPr>
        <w:t>个工作日不能交货的，甲方可解除本合同</w:t>
      </w:r>
      <w:r>
        <w:rPr>
          <w:rFonts w:hint="eastAsia" w:asciiTheme="minorEastAsia" w:hAnsiTheme="minorEastAsia" w:eastAsiaTheme="minorEastAsia"/>
          <w:color w:val="auto"/>
          <w:sz w:val="24"/>
          <w:highlight w:val="none"/>
          <w:lang w:val="en-US" w:eastAsia="zh-CN"/>
        </w:rPr>
        <w:t>并向其他满足要求能够提供本项目货物的单位进行采购</w:t>
      </w:r>
      <w:r>
        <w:rPr>
          <w:rFonts w:asciiTheme="minorEastAsia" w:hAnsiTheme="minorEastAsia" w:eastAsiaTheme="minorEastAsia"/>
          <w:color w:val="auto"/>
          <w:sz w:val="24"/>
          <w:highlight w:val="none"/>
        </w:rPr>
        <w:t>。乙方因逾期交货或因其他违约行为导致甲方解除合同的，乙方应向甲方支付合同金额</w:t>
      </w:r>
      <w:r>
        <w:rPr>
          <w:rFonts w:asciiTheme="minorEastAsia" w:hAnsiTheme="minorEastAsia" w:eastAsiaTheme="minorEastAsia"/>
          <w:color w:val="auto"/>
          <w:sz w:val="24"/>
          <w:highlight w:val="none"/>
          <w:u w:val="single"/>
        </w:rPr>
        <w:t>5%</w:t>
      </w:r>
      <w:r>
        <w:rPr>
          <w:rFonts w:asciiTheme="minorEastAsia" w:hAnsiTheme="minorEastAsia" w:eastAsiaTheme="minorEastAsia"/>
          <w:color w:val="auto"/>
          <w:sz w:val="24"/>
          <w:highlight w:val="none"/>
        </w:rPr>
        <w:t xml:space="preserve">的违约金，如造成甲方损失超过违约金的，超出部分由乙方继续承担赔偿责任。 </w:t>
      </w:r>
    </w:p>
    <w:p w14:paraId="531C2FF2">
      <w:pPr>
        <w:pStyle w:val="11"/>
        <w:shd w:val="clear"/>
        <w:snapToGrid w:val="0"/>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二</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乙方所交的货物品种、型号、规格、技术参数、质量不符合合同规定及</w:t>
      </w:r>
      <w:r>
        <w:rPr>
          <w:rFonts w:hint="eastAsia" w:asciiTheme="minorEastAsia" w:hAnsiTheme="minorEastAsia" w:eastAsiaTheme="minorEastAsia"/>
          <w:color w:val="auto"/>
          <w:sz w:val="24"/>
          <w:highlight w:val="none"/>
          <w:lang w:val="en-US" w:eastAsia="zh-CN"/>
        </w:rPr>
        <w:t>不符合相关规范标准、设计图纸、图集和项目特征或检测复试不合格的</w:t>
      </w:r>
      <w:r>
        <w:rPr>
          <w:rFonts w:asciiTheme="minorEastAsia" w:hAnsiTheme="minorEastAsia" w:eastAsiaTheme="minorEastAsia"/>
          <w:color w:val="auto"/>
          <w:sz w:val="24"/>
          <w:highlight w:val="none"/>
        </w:rPr>
        <w:t>，甲方有权拒收该货物，乙方愿意更换货物但逾期交货的，按乙方逾期交货处理。乙方拒绝更换货物的，甲方</w:t>
      </w:r>
      <w:r>
        <w:rPr>
          <w:rFonts w:hint="eastAsia" w:asciiTheme="minorEastAsia" w:hAnsiTheme="minorEastAsia" w:eastAsiaTheme="minorEastAsia"/>
          <w:color w:val="auto"/>
          <w:sz w:val="24"/>
          <w:highlight w:val="none"/>
          <w:lang w:val="en-US" w:eastAsia="zh-CN"/>
        </w:rPr>
        <w:t>有权没收履约保证金并</w:t>
      </w:r>
      <w:r>
        <w:rPr>
          <w:rFonts w:asciiTheme="minorEastAsia" w:hAnsiTheme="minorEastAsia" w:eastAsiaTheme="minorEastAsia"/>
          <w:color w:val="auto"/>
          <w:sz w:val="24"/>
          <w:highlight w:val="none"/>
        </w:rPr>
        <w:t>单方面解除合同</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由此造成的一切损失由乙方承担</w:t>
      </w:r>
      <w:r>
        <w:rPr>
          <w:rFonts w:hint="eastAsia" w:asciiTheme="minorEastAsia" w:hAnsiTheme="minorEastAsia" w:eastAsiaTheme="minorEastAsia"/>
          <w:color w:val="auto"/>
          <w:sz w:val="24"/>
          <w:highlight w:val="none"/>
          <w:lang w:eastAsia="zh-CN"/>
        </w:rPr>
        <w:t>。</w:t>
      </w:r>
    </w:p>
    <w:p w14:paraId="47F4FE7E">
      <w:pPr>
        <w:pStyle w:val="11"/>
        <w:shd w:val="clear"/>
        <w:snapToGrid w:val="0"/>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三</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乙方应按投标承诺提供后续服务，乙方不在约定期限内派人保修的，甲方可以委托第三方维修，该维修费用由乙方承担。</w:t>
      </w:r>
    </w:p>
    <w:p w14:paraId="3A64AB05">
      <w:pPr>
        <w:pStyle w:val="11"/>
        <w:shd w:val="clear"/>
        <w:snapToGrid w:val="0"/>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四</w:t>
      </w:r>
      <w:r>
        <w:rPr>
          <w:rFonts w:hint="eastAsia" w:asciiTheme="minorEastAsia" w:hAnsiTheme="minorEastAsia" w:eastAsiaTheme="minorEastAsia"/>
          <w:color w:val="auto"/>
          <w:sz w:val="24"/>
          <w:highlight w:val="none"/>
        </w:rPr>
        <w:t>）若发生纠纷，由违约方赔偿守约方因纠纷所支付的费用（包括但不限于律师费、差旅费、诉讼费、保全费、鉴定费、评估费等）</w:t>
      </w:r>
      <w:r>
        <w:rPr>
          <w:rFonts w:hint="eastAsia" w:asciiTheme="minorEastAsia" w:hAnsiTheme="minorEastAsia" w:eastAsiaTheme="minorEastAsia"/>
          <w:color w:val="auto"/>
          <w:sz w:val="24"/>
          <w:highlight w:val="none"/>
          <w:lang w:eastAsia="zh-CN"/>
        </w:rPr>
        <w:t>。</w:t>
      </w:r>
    </w:p>
    <w:p w14:paraId="19707DB7">
      <w:pPr>
        <w:pStyle w:val="11"/>
        <w:shd w:val="clea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六</w:t>
      </w:r>
      <w:r>
        <w:rPr>
          <w:rFonts w:asciiTheme="minorEastAsia" w:hAnsiTheme="minorEastAsia" w:eastAsiaTheme="minorEastAsia"/>
          <w:b/>
          <w:color w:val="auto"/>
          <w:sz w:val="24"/>
          <w:highlight w:val="none"/>
        </w:rPr>
        <w:t>、不可抗力事件处理</w:t>
      </w:r>
    </w:p>
    <w:p w14:paraId="185B2A6E">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在合同有效期内，任何一方因不可抗力事件导致不能履行合同，则合同履行期可延长，其延长期与不可抗力影响期相同。</w:t>
      </w:r>
    </w:p>
    <w:p w14:paraId="6900E5DA">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不可抗力事件发生后，应立即通知对方，并寄送有关权威机构出具的证明。</w:t>
      </w:r>
    </w:p>
    <w:p w14:paraId="5F582342">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asciiTheme="minorEastAsia" w:hAnsiTheme="minorEastAsia" w:eastAsiaTheme="minorEastAsia"/>
          <w:color w:val="auto"/>
          <w:sz w:val="24"/>
          <w:highlight w:val="none"/>
        </w:rPr>
        <w:t>不可抗力事件延续</w:t>
      </w:r>
      <w:r>
        <w:rPr>
          <w:rFonts w:hint="eastAsia" w:asciiTheme="minorEastAsia" w:hAnsiTheme="minorEastAsia" w:eastAsiaTheme="minorEastAsia"/>
          <w:color w:val="auto"/>
          <w:sz w:val="24"/>
          <w:highlight w:val="none"/>
          <w:lang w:val="en-US" w:eastAsia="zh-CN"/>
        </w:rPr>
        <w:t>60</w:t>
      </w:r>
      <w:r>
        <w:rPr>
          <w:rFonts w:asciiTheme="minorEastAsia" w:hAnsiTheme="minorEastAsia" w:eastAsiaTheme="minorEastAsia"/>
          <w:color w:val="auto"/>
          <w:sz w:val="24"/>
          <w:highlight w:val="none"/>
        </w:rPr>
        <w:t>天以上，双方应通过友好协商，确定是否继续履行合同。</w:t>
      </w:r>
    </w:p>
    <w:p w14:paraId="78E1ACD1">
      <w:pPr>
        <w:pStyle w:val="11"/>
        <w:shd w:val="clea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七</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解决争议的方法</w:t>
      </w:r>
    </w:p>
    <w:p w14:paraId="4CB6DD99">
      <w:pPr>
        <w:pStyle w:val="11"/>
        <w:shd w:val="clea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w:t>
      </w:r>
      <w:r>
        <w:rPr>
          <w:rFonts w:hint="eastAsia" w:asciiTheme="minorEastAsia" w:hAnsiTheme="minorEastAsia" w:eastAsiaTheme="minorEastAsia"/>
          <w:color w:val="auto"/>
          <w:sz w:val="24"/>
          <w:highlight w:val="none"/>
          <w:lang w:eastAsia="zh-CN"/>
        </w:rPr>
        <w:t>通过以下第（</w:t>
      </w:r>
      <w:r>
        <w:rPr>
          <w:rFonts w:hint="eastAsia" w:asciiTheme="minorEastAsia" w:hAnsiTheme="minorEastAsia" w:eastAsiaTheme="minorEastAsia"/>
          <w:color w:val="auto"/>
          <w:sz w:val="24"/>
          <w:highlight w:val="none"/>
          <w:lang w:val="en-US" w:eastAsia="zh-CN"/>
        </w:rPr>
        <w:t>二</w:t>
      </w:r>
      <w:r>
        <w:rPr>
          <w:rFonts w:hint="eastAsia" w:asciiTheme="minorEastAsia" w:hAnsiTheme="minorEastAsia" w:eastAsiaTheme="minorEastAsia"/>
          <w:color w:val="auto"/>
          <w:sz w:val="24"/>
          <w:highlight w:val="none"/>
          <w:lang w:eastAsia="zh-CN"/>
        </w:rPr>
        <w:t>）方式解决</w:t>
      </w:r>
      <w:r>
        <w:rPr>
          <w:rFonts w:asciiTheme="minorEastAsia" w:hAnsiTheme="minorEastAsia" w:eastAsiaTheme="minorEastAsia"/>
          <w:color w:val="auto"/>
          <w:sz w:val="24"/>
          <w:highlight w:val="none"/>
        </w:rPr>
        <w:t>：</w:t>
      </w:r>
    </w:p>
    <w:p w14:paraId="2D231307">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14:paraId="47A4E17A">
      <w:pPr>
        <w:widowControl/>
        <w:shd w:val="clear"/>
        <w:spacing w:line="360" w:lineRule="auto"/>
        <w:ind w:firstLine="480" w:firstLineChars="200"/>
        <w:rPr>
          <w:color w:val="auto"/>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依法向</w:t>
      </w:r>
      <w:r>
        <w:rPr>
          <w:rFonts w:hint="eastAsia" w:ascii="宋体" w:hAnsi="宋体" w:cs="宋体"/>
          <w:color w:val="auto"/>
          <w:kern w:val="0"/>
          <w:sz w:val="24"/>
          <w:highlight w:val="none"/>
          <w:lang w:val="en-US" w:eastAsia="zh-CN"/>
        </w:rPr>
        <w:t>工程所在地</w:t>
      </w:r>
      <w:r>
        <w:rPr>
          <w:rFonts w:ascii="宋体" w:hAnsi="宋体" w:cs="宋体"/>
          <w:color w:val="auto"/>
          <w:kern w:val="0"/>
          <w:sz w:val="24"/>
          <w:highlight w:val="none"/>
        </w:rPr>
        <w:t xml:space="preserve">人民法院提起诉讼。 </w:t>
      </w:r>
    </w:p>
    <w:p w14:paraId="23A7ADEF">
      <w:pPr>
        <w:pStyle w:val="11"/>
        <w:shd w:val="clear"/>
        <w:tabs>
          <w:tab w:val="left" w:pos="5790"/>
        </w:tabs>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八</w:t>
      </w:r>
      <w:r>
        <w:rPr>
          <w:rFonts w:asciiTheme="minorEastAsia" w:hAnsiTheme="minorEastAsia" w:eastAsiaTheme="minorEastAsia"/>
          <w:b/>
          <w:color w:val="auto"/>
          <w:sz w:val="24"/>
          <w:highlight w:val="none"/>
        </w:rPr>
        <w:t>、合同生效及其它</w:t>
      </w:r>
      <w:r>
        <w:rPr>
          <w:rFonts w:asciiTheme="minorEastAsia" w:hAnsiTheme="minorEastAsia" w:eastAsiaTheme="minorEastAsia"/>
          <w:b/>
          <w:color w:val="auto"/>
          <w:sz w:val="24"/>
          <w:highlight w:val="none"/>
        </w:rPr>
        <w:tab/>
      </w:r>
    </w:p>
    <w:p w14:paraId="3FB3CE30">
      <w:pPr>
        <w:pStyle w:val="10"/>
        <w:widowControl/>
        <w:shd w:val="clear"/>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（一）</w:t>
      </w:r>
      <w:r>
        <w:rPr>
          <w:rFonts w:hint="default" w:asciiTheme="minorEastAsia" w:hAnsiTheme="minorEastAsia" w:eastAsiaTheme="minorEastAsia" w:cstheme="minorBidi"/>
          <w:b w:val="0"/>
          <w:bCs/>
          <w:color w:val="auto"/>
          <w:kern w:val="2"/>
          <w:sz w:val="24"/>
          <w:szCs w:val="24"/>
          <w:highlight w:val="none"/>
          <w:lang w:val="en-US" w:eastAsia="zh-CN" w:bidi="ar-SA"/>
        </w:rPr>
        <w:t>合同经双方法定代表人或授权代表</w:t>
      </w:r>
      <w:r>
        <w:rPr>
          <w:rFonts w:hint="eastAsia" w:asciiTheme="minorEastAsia" w:hAnsiTheme="minorEastAsia" w:eastAsiaTheme="minorEastAsia" w:cstheme="minorBidi"/>
          <w:b w:val="0"/>
          <w:bCs/>
          <w:color w:val="auto"/>
          <w:kern w:val="2"/>
          <w:sz w:val="24"/>
          <w:szCs w:val="24"/>
          <w:highlight w:val="none"/>
          <w:lang w:val="en-US" w:eastAsia="zh-CN" w:bidi="ar-SA"/>
        </w:rPr>
        <w:t>签字</w:t>
      </w:r>
      <w:r>
        <w:rPr>
          <w:rFonts w:hint="default" w:asciiTheme="minorEastAsia" w:hAnsiTheme="minorEastAsia" w:eastAsiaTheme="minorEastAsia" w:cstheme="minorBidi"/>
          <w:b w:val="0"/>
          <w:bCs/>
          <w:color w:val="auto"/>
          <w:kern w:val="2"/>
          <w:sz w:val="24"/>
          <w:szCs w:val="24"/>
          <w:highlight w:val="none"/>
          <w:lang w:val="en-US" w:eastAsia="zh-CN" w:bidi="ar-SA"/>
        </w:rPr>
        <w:t>并加盖单位公章后生效。</w:t>
      </w:r>
    </w:p>
    <w:p w14:paraId="2F003840">
      <w:pPr>
        <w:pStyle w:val="10"/>
        <w:widowControl/>
        <w:shd w:val="clear"/>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（二）</w:t>
      </w:r>
      <w:r>
        <w:rPr>
          <w:rFonts w:hint="default" w:asciiTheme="minorEastAsia" w:hAnsiTheme="minorEastAsia" w:eastAsiaTheme="minorEastAsia" w:cstheme="minorBidi"/>
          <w:b w:val="0"/>
          <w:bCs/>
          <w:color w:val="auto"/>
          <w:kern w:val="2"/>
          <w:sz w:val="24"/>
          <w:szCs w:val="24"/>
          <w:highlight w:val="none"/>
          <w:lang w:val="en-US" w:eastAsia="zh-CN" w:bidi="ar-SA"/>
        </w:rPr>
        <w:t>本合同未尽事宜，遵照《</w:t>
      </w:r>
      <w:r>
        <w:rPr>
          <w:rFonts w:hint="eastAsia" w:asciiTheme="minorEastAsia" w:hAnsiTheme="minorEastAsia" w:eastAsiaTheme="minorEastAsia" w:cstheme="minorBidi"/>
          <w:b w:val="0"/>
          <w:bCs/>
          <w:color w:val="auto"/>
          <w:kern w:val="2"/>
          <w:sz w:val="24"/>
          <w:szCs w:val="24"/>
          <w:highlight w:val="none"/>
          <w:lang w:val="en-US" w:eastAsia="zh-CN" w:bidi="ar-SA"/>
        </w:rPr>
        <w:t>中华人民共和国民法典</w:t>
      </w:r>
      <w:r>
        <w:rPr>
          <w:rFonts w:hint="default" w:asciiTheme="minorEastAsia" w:hAnsiTheme="minorEastAsia" w:eastAsiaTheme="minorEastAsia" w:cstheme="minorBidi"/>
          <w:b w:val="0"/>
          <w:bCs/>
          <w:color w:val="auto"/>
          <w:kern w:val="2"/>
          <w:sz w:val="24"/>
          <w:szCs w:val="24"/>
          <w:highlight w:val="none"/>
          <w:lang w:val="en-US" w:eastAsia="zh-CN" w:bidi="ar-SA"/>
        </w:rPr>
        <w:t>》有关条文执行。</w:t>
      </w:r>
    </w:p>
    <w:p w14:paraId="08B9DF51">
      <w:pPr>
        <w:pStyle w:val="10"/>
        <w:widowControl/>
        <w:shd w:val="clear"/>
        <w:spacing w:line="360" w:lineRule="auto"/>
        <w:ind w:firstLine="480" w:firstLineChars="200"/>
        <w:rPr>
          <w:rFonts w:hint="eastAsia"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（三）本合同一式【 陆 】份，甲方持【 叁 】份，乙方持【 贰 】份，建设单位持【 壹 】份，具有同等法律效力。本项目未尽事宜以招标文件、投标文件及澄清文件等为准。</w:t>
      </w:r>
    </w:p>
    <w:p w14:paraId="27C2BC64">
      <w:pPr>
        <w:pStyle w:val="10"/>
        <w:widowControl/>
        <w:shd w:val="clear"/>
        <w:spacing w:line="360" w:lineRule="auto"/>
        <w:ind w:firstLine="482" w:firstLineChars="200"/>
        <w:rPr>
          <w:rFonts w:hint="eastAsia" w:asciiTheme="minorEastAsia" w:hAnsiTheme="minorEastAsia" w:eastAsiaTheme="minorEastAsia" w:cstheme="minorBidi"/>
          <w:b/>
          <w:color w:val="auto"/>
          <w:kern w:val="2"/>
          <w:sz w:val="24"/>
          <w:szCs w:val="24"/>
          <w:highlight w:val="none"/>
          <w:lang w:val="en-US" w:eastAsia="zh-CN" w:bidi="ar-SA"/>
        </w:rPr>
      </w:pPr>
      <w:r>
        <w:rPr>
          <w:rFonts w:hint="eastAsia" w:asciiTheme="minorEastAsia" w:hAnsiTheme="minorEastAsia" w:eastAsiaTheme="minorEastAsia" w:cstheme="minorBidi"/>
          <w:b/>
          <w:color w:val="auto"/>
          <w:kern w:val="2"/>
          <w:sz w:val="24"/>
          <w:szCs w:val="24"/>
          <w:highlight w:val="none"/>
          <w:lang w:val="en-US" w:eastAsia="zh-CN" w:bidi="ar-SA"/>
        </w:rPr>
        <w:t>十九、其他条款</w:t>
      </w:r>
    </w:p>
    <w:p w14:paraId="7D601130">
      <w:pPr>
        <w:pStyle w:val="10"/>
        <w:widowControl/>
        <w:shd w:val="clear"/>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（一）</w:t>
      </w:r>
      <w:r>
        <w:rPr>
          <w:rFonts w:hint="default" w:asciiTheme="minorEastAsia" w:hAnsiTheme="minorEastAsia" w:eastAsiaTheme="minorEastAsia" w:cstheme="minorBidi"/>
          <w:b w:val="0"/>
          <w:bCs/>
          <w:color w:val="auto"/>
          <w:kern w:val="2"/>
          <w:sz w:val="24"/>
          <w:szCs w:val="24"/>
          <w:highlight w:val="none"/>
          <w:lang w:val="en-US" w:eastAsia="zh-CN" w:bidi="ar-SA"/>
        </w:rPr>
        <w:t>安全管理约定：</w:t>
      </w:r>
    </w:p>
    <w:p w14:paraId="08C4338C">
      <w:pPr>
        <w:pStyle w:val="10"/>
        <w:widowControl/>
        <w:shd w:val="clear"/>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default" w:asciiTheme="minorEastAsia" w:hAnsiTheme="minorEastAsia" w:eastAsiaTheme="minorEastAsia" w:cstheme="minorBidi"/>
          <w:b w:val="0"/>
          <w:bCs/>
          <w:color w:val="auto"/>
          <w:kern w:val="2"/>
          <w:sz w:val="24"/>
          <w:szCs w:val="24"/>
          <w:highlight w:val="none"/>
          <w:lang w:val="en-US" w:eastAsia="zh-CN" w:bidi="ar-SA"/>
        </w:rPr>
        <w:t>（1）乙方进入施工现场必须遵守甲方安全管理规定，接受甲方的安全教育及安全技术交底。</w:t>
      </w:r>
    </w:p>
    <w:p w14:paraId="2BE07155">
      <w:pPr>
        <w:pStyle w:val="10"/>
        <w:widowControl/>
        <w:shd w:val="clear"/>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default" w:asciiTheme="minorEastAsia" w:hAnsiTheme="minorEastAsia" w:eastAsiaTheme="minorEastAsia" w:cstheme="minorBidi"/>
          <w:b w:val="0"/>
          <w:bCs/>
          <w:color w:val="auto"/>
          <w:kern w:val="2"/>
          <w:sz w:val="24"/>
          <w:szCs w:val="24"/>
          <w:highlight w:val="none"/>
          <w:lang w:val="en-US" w:eastAsia="zh-CN" w:bidi="ar-SA"/>
        </w:rPr>
        <w:t>（2）乙方必须按照甲方安全管理规定的要求，为乙方人员提供安全防护用品，确保乙方人员的人身安全。如因乙方人员未遵守甲方安全管理规定而导致乙方人员伤亡的，由乙方承担全部责任，并赔偿由此对甲方造成的一切损失。</w:t>
      </w:r>
    </w:p>
    <w:p w14:paraId="2EAB8711">
      <w:pPr>
        <w:pStyle w:val="10"/>
        <w:widowControl/>
        <w:shd w:val="clear"/>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default" w:asciiTheme="minorEastAsia" w:hAnsiTheme="minorEastAsia" w:eastAsiaTheme="minorEastAsia" w:cstheme="minorBidi"/>
          <w:b w:val="0"/>
          <w:bCs/>
          <w:color w:val="auto"/>
          <w:kern w:val="2"/>
          <w:sz w:val="24"/>
          <w:szCs w:val="24"/>
          <w:highlight w:val="none"/>
          <w:lang w:val="en-US" w:eastAsia="zh-CN" w:bidi="ar-SA"/>
        </w:rPr>
        <w:t>（3）乙方材料堆放必须符合甲方安全管理规定，不得随意堆放。如因</w:t>
      </w:r>
      <w:r>
        <w:rPr>
          <w:rFonts w:hint="eastAsia" w:asciiTheme="minorEastAsia" w:hAnsiTheme="minorEastAsia" w:eastAsiaTheme="minorEastAsia" w:cstheme="minorBidi"/>
          <w:b w:val="0"/>
          <w:bCs/>
          <w:color w:val="auto"/>
          <w:kern w:val="2"/>
          <w:sz w:val="24"/>
          <w:szCs w:val="24"/>
          <w:highlight w:val="none"/>
          <w:lang w:val="en-US" w:eastAsia="zh-CN" w:bidi="ar-SA"/>
        </w:rPr>
        <w:t>验收前</w:t>
      </w:r>
      <w:r>
        <w:rPr>
          <w:rFonts w:hint="default" w:asciiTheme="minorEastAsia" w:hAnsiTheme="minorEastAsia" w:eastAsiaTheme="minorEastAsia" w:cstheme="minorBidi"/>
          <w:b w:val="0"/>
          <w:bCs/>
          <w:color w:val="auto"/>
          <w:kern w:val="2"/>
          <w:sz w:val="24"/>
          <w:szCs w:val="24"/>
          <w:highlight w:val="none"/>
          <w:lang w:val="en-US" w:eastAsia="zh-CN" w:bidi="ar-SA"/>
        </w:rPr>
        <w:t>乙方材料堆放不符合安全规定导致人员伤亡的，由乙方承担全部责任，并赔偿由此对甲方造成的一切损失。</w:t>
      </w:r>
    </w:p>
    <w:p w14:paraId="01100C29">
      <w:pPr>
        <w:pStyle w:val="10"/>
        <w:widowControl/>
        <w:shd w:val="clear"/>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default" w:asciiTheme="minorEastAsia" w:hAnsiTheme="minorEastAsia" w:eastAsiaTheme="minorEastAsia" w:cstheme="minorBidi"/>
          <w:b w:val="0"/>
          <w:bCs/>
          <w:color w:val="auto"/>
          <w:kern w:val="2"/>
          <w:sz w:val="24"/>
          <w:szCs w:val="24"/>
          <w:highlight w:val="none"/>
          <w:lang w:val="en-US" w:eastAsia="zh-CN" w:bidi="ar-SA"/>
        </w:rPr>
        <w:t>（4）乙方车辆进入施工现场必须按甲方安全管理规定的要求缓行，时速不得超过10公里/小时且不得超过施工现场最高限速。如因车辆造成人员伤亡的，由乙方承担全部责任，并赔偿由此对甲方造成的一切损失。</w:t>
      </w:r>
    </w:p>
    <w:p w14:paraId="0F80DD24">
      <w:pPr>
        <w:pStyle w:val="10"/>
        <w:widowControl/>
        <w:shd w:val="clear"/>
        <w:spacing w:line="360" w:lineRule="auto"/>
        <w:ind w:firstLine="480" w:firstLineChars="200"/>
        <w:rPr>
          <w:rFonts w:hint="default" w:asciiTheme="minorEastAsia" w:hAnsiTheme="minorEastAsia" w:eastAsiaTheme="minorEastAsia" w:cstheme="minorBidi"/>
          <w:b w:val="0"/>
          <w:bCs/>
          <w:color w:val="auto"/>
          <w:kern w:val="2"/>
          <w:sz w:val="24"/>
          <w:szCs w:val="24"/>
          <w:highlight w:val="none"/>
          <w:lang w:val="en-US" w:eastAsia="zh-CN" w:bidi="ar-SA"/>
        </w:rPr>
      </w:pPr>
      <w:r>
        <w:rPr>
          <w:rFonts w:hint="eastAsia" w:asciiTheme="minorEastAsia" w:hAnsiTheme="minorEastAsia" w:eastAsiaTheme="minorEastAsia" w:cstheme="minorBidi"/>
          <w:b w:val="0"/>
          <w:bCs/>
          <w:color w:val="auto"/>
          <w:kern w:val="2"/>
          <w:sz w:val="24"/>
          <w:szCs w:val="24"/>
          <w:highlight w:val="none"/>
          <w:lang w:val="en-US" w:eastAsia="zh-CN" w:bidi="ar-SA"/>
        </w:rPr>
        <w:t>（二）</w:t>
      </w:r>
      <w:r>
        <w:rPr>
          <w:rFonts w:hint="default" w:asciiTheme="minorEastAsia" w:hAnsiTheme="minorEastAsia" w:eastAsiaTheme="minorEastAsia" w:cstheme="minorBidi"/>
          <w:b w:val="0"/>
          <w:bCs/>
          <w:color w:val="auto"/>
          <w:kern w:val="2"/>
          <w:sz w:val="24"/>
          <w:szCs w:val="24"/>
          <w:highlight w:val="none"/>
          <w:lang w:val="en-US" w:eastAsia="zh-CN" w:bidi="ar-SA"/>
        </w:rPr>
        <w:t>创杯创奖约定：</w:t>
      </w:r>
    </w:p>
    <w:p w14:paraId="5AC0BE17">
      <w:pPr>
        <w:pStyle w:val="10"/>
        <w:widowControl/>
        <w:shd w:val="clear"/>
        <w:spacing w:line="360" w:lineRule="auto"/>
        <w:ind w:firstLine="480" w:firstLineChars="200"/>
        <w:rPr>
          <w:rFonts w:asciiTheme="minorEastAsia" w:hAnsiTheme="minorEastAsia" w:eastAsiaTheme="minorEastAsia"/>
          <w:b/>
          <w:color w:val="auto"/>
          <w:sz w:val="24"/>
          <w:highlight w:val="none"/>
        </w:rPr>
      </w:pPr>
      <w:r>
        <w:rPr>
          <w:rFonts w:hint="default" w:asciiTheme="minorEastAsia" w:hAnsiTheme="minorEastAsia" w:eastAsiaTheme="minorEastAsia" w:cstheme="minorBidi"/>
          <w:b w:val="0"/>
          <w:bCs/>
          <w:color w:val="auto"/>
          <w:kern w:val="2"/>
          <w:sz w:val="24"/>
          <w:szCs w:val="24"/>
          <w:highlight w:val="none"/>
          <w:lang w:val="en-US" w:eastAsia="zh-CN" w:bidi="ar-SA"/>
        </w:rPr>
        <w:t>“鲁班奖”的申报工作，由甲方统一管理，乙方需要无条件</w:t>
      </w:r>
      <w:r>
        <w:rPr>
          <w:rFonts w:hint="eastAsia" w:asciiTheme="minorEastAsia" w:hAnsiTheme="minorEastAsia" w:eastAsiaTheme="minorEastAsia" w:cstheme="minorBidi"/>
          <w:b w:val="0"/>
          <w:bCs/>
          <w:color w:val="auto"/>
          <w:kern w:val="2"/>
          <w:sz w:val="24"/>
          <w:szCs w:val="24"/>
          <w:highlight w:val="none"/>
          <w:lang w:val="en-US" w:eastAsia="zh-CN" w:bidi="ar-SA"/>
        </w:rPr>
        <w:t>提供相关证明资料</w:t>
      </w:r>
      <w:r>
        <w:rPr>
          <w:rFonts w:hint="default" w:asciiTheme="minorEastAsia" w:hAnsiTheme="minorEastAsia" w:eastAsiaTheme="minorEastAsia" w:cstheme="minorBidi"/>
          <w:b w:val="0"/>
          <w:bCs/>
          <w:color w:val="auto"/>
          <w:kern w:val="2"/>
          <w:sz w:val="24"/>
          <w:szCs w:val="24"/>
          <w:highlight w:val="none"/>
          <w:lang w:val="en-US" w:eastAsia="zh-CN" w:bidi="ar-SA"/>
        </w:rPr>
        <w:t>配合；如因乙方影响未能满足质量要求，乙方承担由于材料质量问题给甲方带来的损失</w:t>
      </w:r>
      <w:r>
        <w:rPr>
          <w:rFonts w:hint="eastAsia" w:asciiTheme="minorEastAsia" w:hAnsiTheme="minorEastAsia" w:eastAsiaTheme="minorEastAsia" w:cstheme="minorBidi"/>
          <w:b w:val="0"/>
          <w:bCs/>
          <w:color w:val="auto"/>
          <w:kern w:val="2"/>
          <w:sz w:val="24"/>
          <w:szCs w:val="24"/>
          <w:highlight w:val="none"/>
          <w:lang w:val="en-US" w:eastAsia="zh-CN" w:bidi="ar-SA"/>
        </w:rPr>
        <w:t>。</w:t>
      </w:r>
    </w:p>
    <w:p w14:paraId="1F14F381">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甲方（公章）                                     乙方（公章）</w:t>
      </w:r>
    </w:p>
    <w:p w14:paraId="318DAEB2">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                                     法定代表人：</w:t>
      </w:r>
    </w:p>
    <w:p w14:paraId="18FA6C2E">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                                     委托代理人：</w:t>
      </w:r>
    </w:p>
    <w:p w14:paraId="1EC7D44D">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                                       联系电话：</w:t>
      </w:r>
    </w:p>
    <w:p w14:paraId="1575C7DF">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                                       开户银行：</w:t>
      </w:r>
    </w:p>
    <w:p w14:paraId="504E25B6">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账号：                                           账号：</w:t>
      </w:r>
    </w:p>
    <w:p w14:paraId="26E1C056">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地址及邮编：                                     地址及邮编：</w:t>
      </w:r>
    </w:p>
    <w:p w14:paraId="496032B2">
      <w:pPr>
        <w:shd w:val="clear"/>
        <w:spacing w:line="360" w:lineRule="auto"/>
        <w:rPr>
          <w:rFonts w:asciiTheme="minorEastAsia" w:hAnsiTheme="minorEastAsia" w:eastAsiaTheme="minorEastAsia"/>
          <w:color w:val="auto"/>
          <w:sz w:val="24"/>
          <w:highlight w:val="none"/>
        </w:rPr>
      </w:pPr>
    </w:p>
    <w:p w14:paraId="261AF476">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签订时间：    年   月    日</w:t>
      </w:r>
    </w:p>
    <w:p w14:paraId="5E193125">
      <w:pPr>
        <w:shd w:val="clea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0A2D055">
      <w:pPr>
        <w:shd w:val="clear"/>
        <w:spacing w:line="360" w:lineRule="auto"/>
        <w:jc w:val="left"/>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w:t>
      </w:r>
    </w:p>
    <w:p w14:paraId="550472F5">
      <w:pPr>
        <w:shd w:val="clea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廉洁协议</w:t>
      </w:r>
    </w:p>
    <w:p w14:paraId="3D28A101">
      <w:pPr>
        <w:shd w:val="clear"/>
        <w:spacing w:line="360" w:lineRule="auto"/>
        <w:jc w:val="center"/>
        <w:rPr>
          <w:rFonts w:ascii="仿宋" w:hAnsi="仿宋" w:eastAsia="仿宋" w:cs="仿宋"/>
          <w:b/>
          <w:color w:val="auto"/>
          <w:sz w:val="24"/>
          <w:szCs w:val="20"/>
          <w:highlight w:val="none"/>
        </w:rPr>
      </w:pPr>
    </w:p>
    <w:p w14:paraId="2853BA0E">
      <w:pPr>
        <w:shd w:val="clear"/>
        <w:spacing w:line="360" w:lineRule="auto"/>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甲方（采购人）：【】 </w:t>
      </w:r>
    </w:p>
    <w:p w14:paraId="7CE8EAB7">
      <w:pPr>
        <w:shd w:val="clear"/>
        <w:spacing w:line="360" w:lineRule="auto"/>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乙方（供应商）：【】</w:t>
      </w:r>
      <w:r>
        <w:rPr>
          <w:rFonts w:hint="eastAsia" w:ascii="仿宋" w:hAnsi="仿宋" w:eastAsia="仿宋" w:cs="仿宋"/>
          <w:color w:val="auto"/>
          <w:sz w:val="24"/>
          <w:szCs w:val="20"/>
          <w:highlight w:val="none"/>
        </w:rPr>
        <w:t xml:space="preserve"> </w:t>
      </w:r>
    </w:p>
    <w:p w14:paraId="20D31DFF">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为规范合同签订和履约过程中的各项活动，防止发生各种谋取不正当利益的违规、违纪、违法行为，保护国家、集体和甲乙双方的合法权益，根据国家有关政策、法律法规和廉政建设的各项规定，双方协商一致签订廉洁协议，作为甲乙双方共同遵守的行为准则。</w:t>
      </w:r>
    </w:p>
    <w:p w14:paraId="3AB21027">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b/>
          <w:color w:val="auto"/>
          <w:sz w:val="24"/>
          <w:szCs w:val="20"/>
          <w:highlight w:val="none"/>
        </w:rPr>
        <w:t>一、适用范围</w:t>
      </w:r>
    </w:p>
    <w:p w14:paraId="252350D2">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本协议适用于甲方所有工作人员、乙方及其所有工作人员、乙方在该工程使用的分包队伍、协作队伍、材料供应商及其工作人员。</w:t>
      </w:r>
    </w:p>
    <w:p w14:paraId="2DF9301B">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b/>
          <w:color w:val="auto"/>
          <w:sz w:val="24"/>
          <w:szCs w:val="20"/>
          <w:highlight w:val="none"/>
        </w:rPr>
        <w:t>二、甲方对甲方工作人员的廉洁要求</w:t>
      </w:r>
    </w:p>
    <w:p w14:paraId="0426AF70">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甲方禁止乙方工作人员从事如下但不局限于下列行为：</w:t>
      </w:r>
    </w:p>
    <w:p w14:paraId="16199A41">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2.1  向甲方工作人员提供礼品礼金卡、回扣及好处费、感谢费等；</w:t>
      </w:r>
    </w:p>
    <w:p w14:paraId="545FF6EE">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2.2  向甲方工作人员馈赠有价证券、通讯工具、交通工具、家电、高档办公用品、购物卡券等；</w:t>
      </w:r>
    </w:p>
    <w:p w14:paraId="5C75C91B">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2.3  参与赌博、色情、吸毒等影响公司形象和有悖社会公德的活动；</w:t>
      </w:r>
    </w:p>
    <w:p w14:paraId="09EED537">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2.4  邀请、安排甲方工作人员外出旅游、度假、健身等活动和进入营业性高档娱乐场所；</w:t>
      </w:r>
    </w:p>
    <w:p w14:paraId="52642D08">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2.5  介绍其配偶、子女、亲属等特定关系人从事与履行甲乙双方间合同有关的营利性经营活动；</w:t>
      </w:r>
    </w:p>
    <w:p w14:paraId="1347EDFD">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  乙方为甲方工作人员在住房装修、婚丧嫁娶、家属和子女的工作安排以及出境等提供方便；</w:t>
      </w:r>
    </w:p>
    <w:p w14:paraId="31F056A7">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2.7  乙方或分包、协作队伍、材料供应商与甲方拥有采购权、审核权、结算权、验收权等权力的工作人员互为借款，或满足甲方工作人员提出或暗示的其他不正当要求；</w:t>
      </w:r>
    </w:p>
    <w:p w14:paraId="1D046E0D">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2.8  报销应由甲方个人承担的费用；</w:t>
      </w:r>
    </w:p>
    <w:p w14:paraId="4D83AE07">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2.9  邀请或安排甲方工作人员参加有可能影响公正开展工作的宴请、娱乐或其他活动；</w:t>
      </w:r>
    </w:p>
    <w:p w14:paraId="118C12AB">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2.10  窃取公司重大事项、商业秘密等信息，进行利益交换；</w:t>
      </w:r>
    </w:p>
    <w:p w14:paraId="38FA920D">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2.11  乙方进行其他违反政策、法律法规或廉洁从业的要求，损害甲方公司利益的其他行为。  </w:t>
      </w:r>
    </w:p>
    <w:p w14:paraId="75ED33BF">
      <w:pPr>
        <w:shd w:val="clear"/>
        <w:spacing w:line="360" w:lineRule="auto"/>
        <w:ind w:firstLine="480"/>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三、乙方发现甲方工作人员有本协议第二条所列任何行为，有义务拒绝，亦有义务向甲方举报。</w:t>
      </w:r>
    </w:p>
    <w:p w14:paraId="324718B7">
      <w:pPr>
        <w:shd w:val="clear"/>
        <w:spacing w:line="360" w:lineRule="auto"/>
        <w:ind w:firstLine="48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甲方接受举报的途径如下：</w:t>
      </w:r>
    </w:p>
    <w:p w14:paraId="69603E21">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3.1  受理电话：【】   </w:t>
      </w:r>
    </w:p>
    <w:p w14:paraId="1F309DA4">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3.2  受理地址：【】   </w:t>
      </w:r>
    </w:p>
    <w:p w14:paraId="42CCB800">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3.3  受理部门：【】    </w:t>
      </w:r>
    </w:p>
    <w:p w14:paraId="28F55B24">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3.4  受理邮箱：【】</w:t>
      </w:r>
    </w:p>
    <w:p w14:paraId="67EFB1FC">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四、乙方不得主动或被动从事或配合甲方工作人员从事违反本协议第二条所列的禁止事项，否则甲方有权解除合同，同时乙方应向甲方支付</w:t>
      </w:r>
      <w:r>
        <w:rPr>
          <w:rFonts w:hint="eastAsia" w:ascii="仿宋" w:hAnsi="仿宋" w:eastAsia="仿宋" w:cs="仿宋"/>
          <w:color w:val="auto"/>
          <w:sz w:val="24"/>
          <w:highlight w:val="none"/>
        </w:rPr>
        <w:t>本合同已供货金额20%的违约金</w:t>
      </w:r>
      <w:r>
        <w:rPr>
          <w:rFonts w:hint="eastAsia" w:ascii="仿宋" w:hAnsi="仿宋" w:eastAsia="仿宋" w:cs="仿宋"/>
          <w:color w:val="auto"/>
          <w:sz w:val="24"/>
          <w:szCs w:val="20"/>
          <w:highlight w:val="none"/>
        </w:rPr>
        <w:t>，乙方应同时赔偿甲方因其工作人员违反廉洁要求而遭受的损失。【</w:t>
      </w:r>
      <w:r>
        <w:rPr>
          <w:rFonts w:hint="eastAsia" w:ascii="仿宋" w:hAnsi="仿宋" w:eastAsia="仿宋" w:cs="仿宋"/>
          <w:b/>
          <w:color w:val="auto"/>
          <w:sz w:val="24"/>
          <w:szCs w:val="20"/>
          <w:highlight w:val="none"/>
        </w:rPr>
        <w:t>乙方同意同时承担违约金和赔偿责任。】</w:t>
      </w:r>
    </w:p>
    <w:p w14:paraId="4B115D71">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五、本廉洁协议作为主合同的附件，与主合同份数相同，具有同等法律效力，经协议双方签字盖章后生效。</w:t>
      </w:r>
    </w:p>
    <w:p w14:paraId="1F426D4E">
      <w:pPr>
        <w:shd w:val="clear"/>
        <w:spacing w:line="360" w:lineRule="auto"/>
        <w:rPr>
          <w:rFonts w:ascii="仿宋" w:hAnsi="仿宋" w:eastAsia="仿宋" w:cs="仿宋"/>
          <w:color w:val="auto"/>
          <w:sz w:val="24"/>
          <w:szCs w:val="20"/>
          <w:highlight w:val="none"/>
        </w:rPr>
      </w:pPr>
    </w:p>
    <w:p w14:paraId="6CE995CF">
      <w:pPr>
        <w:shd w:val="clear"/>
        <w:spacing w:line="360" w:lineRule="auto"/>
        <w:rPr>
          <w:rFonts w:ascii="仿宋" w:hAnsi="仿宋" w:eastAsia="仿宋" w:cs="仿宋"/>
          <w:color w:val="auto"/>
          <w:sz w:val="24"/>
          <w:szCs w:val="20"/>
          <w:highlight w:val="none"/>
        </w:rPr>
      </w:pPr>
    </w:p>
    <w:p w14:paraId="2286C296">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甲 方 （公章）：                          乙 方 （公章）：</w:t>
      </w:r>
    </w:p>
    <w:p w14:paraId="24ABEDDE">
      <w:pPr>
        <w:shd w:val="clear"/>
        <w:spacing w:line="360" w:lineRule="auto"/>
        <w:rPr>
          <w:rFonts w:ascii="仿宋" w:hAnsi="仿宋" w:eastAsia="仿宋" w:cs="仿宋"/>
          <w:color w:val="auto"/>
          <w:sz w:val="24"/>
          <w:szCs w:val="20"/>
          <w:highlight w:val="none"/>
        </w:rPr>
      </w:pPr>
    </w:p>
    <w:p w14:paraId="695F177C">
      <w:pPr>
        <w:shd w:val="clear"/>
        <w:spacing w:line="360" w:lineRule="auto"/>
        <w:rPr>
          <w:rFonts w:ascii="仿宋" w:hAnsi="仿宋" w:eastAsia="仿宋" w:cs="仿宋"/>
          <w:color w:val="auto"/>
          <w:sz w:val="24"/>
          <w:szCs w:val="20"/>
          <w:highlight w:val="none"/>
        </w:rPr>
      </w:pPr>
    </w:p>
    <w:p w14:paraId="4CDE8B77">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法定代表人（或授权代表）：                法定代表人（或授权代表）：</w:t>
      </w:r>
    </w:p>
    <w:p w14:paraId="7903E2A7">
      <w:pPr>
        <w:shd w:val="clear"/>
        <w:spacing w:line="360" w:lineRule="auto"/>
        <w:rPr>
          <w:rFonts w:ascii="仿宋" w:hAnsi="仿宋" w:eastAsia="仿宋" w:cs="仿宋"/>
          <w:color w:val="auto"/>
          <w:sz w:val="24"/>
          <w:szCs w:val="20"/>
          <w:highlight w:val="none"/>
        </w:rPr>
      </w:pPr>
    </w:p>
    <w:p w14:paraId="21C93F41">
      <w:pPr>
        <w:shd w:val="clear"/>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sz w:val="24"/>
          <w:szCs w:val="20"/>
          <w:highlight w:val="none"/>
        </w:rPr>
        <w:br w:type="page"/>
      </w:r>
      <w:r>
        <w:rPr>
          <w:rFonts w:hint="eastAsia" w:ascii="仿宋" w:hAnsi="仿宋" w:eastAsia="仿宋" w:cs="仿宋"/>
          <w:b/>
          <w:color w:val="auto"/>
          <w:sz w:val="24"/>
          <w:highlight w:val="none"/>
        </w:rPr>
        <w:t>附件二：</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36"/>
          <w:szCs w:val="36"/>
          <w:highlight w:val="none"/>
        </w:rPr>
        <w:t>授权委托书</w:t>
      </w:r>
    </w:p>
    <w:p w14:paraId="7266E668">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委托人：【 】</w:t>
      </w:r>
    </w:p>
    <w:p w14:paraId="0FE5B36A">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统一社会信用代码：【       】</w:t>
      </w:r>
    </w:p>
    <w:p w14:paraId="5B31DA64">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法定代表人：【 】职务：【    】 联系方式：【      】</w:t>
      </w:r>
    </w:p>
    <w:p w14:paraId="6F085AC9">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住所地：【</w:t>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w:t>
      </w:r>
    </w:p>
    <w:p w14:paraId="2FA3C4FF">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受托人：【  】      工作单位：【  】</w:t>
      </w:r>
    </w:p>
    <w:p w14:paraId="7B7F9548">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职  务：【 】      联系电话：【   】   身份证号：【</w:t>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w:t>
      </w:r>
    </w:p>
    <w:p w14:paraId="40ADF26C">
      <w:pPr>
        <w:shd w:val="clea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致：【】</w:t>
      </w:r>
    </w:p>
    <w:p w14:paraId="3463C787">
      <w:pPr>
        <w:shd w:val="clear"/>
        <w:spacing w:line="360" w:lineRule="auto"/>
        <w:ind w:left="1"/>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对于贵公司【</w:t>
      </w:r>
      <w:r>
        <w:rPr>
          <w:rFonts w:hint="eastAsia" w:ascii="仿宋" w:hAnsi="仿宋" w:eastAsia="仿宋" w:cs="仿宋"/>
          <w:color w:val="auto"/>
          <w:sz w:val="24"/>
          <w:szCs w:val="20"/>
          <w:highlight w:val="none"/>
          <w:u w:val="single"/>
        </w:rPr>
        <w:t xml:space="preserve">     材料采购</w:t>
      </w:r>
      <w:r>
        <w:rPr>
          <w:rFonts w:hint="eastAsia" w:ascii="仿宋" w:hAnsi="仿宋" w:eastAsia="仿宋" w:cs="仿宋"/>
          <w:color w:val="auto"/>
          <w:sz w:val="24"/>
          <w:szCs w:val="20"/>
          <w:highlight w:val="none"/>
        </w:rPr>
        <w:t>】项目，特授权【</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】为我公司正式合法的代理人，该代理人有权代表本公司办理【</w:t>
      </w:r>
      <w:r>
        <w:rPr>
          <w:rFonts w:hint="eastAsia" w:ascii="仿宋" w:hAnsi="仿宋" w:eastAsia="仿宋" w:cs="仿宋"/>
          <w:color w:val="auto"/>
          <w:sz w:val="24"/>
          <w:highlight w:val="none"/>
          <w:u w:val="single"/>
        </w:rPr>
        <w:t>我司与贵</w:t>
      </w:r>
      <w:r>
        <w:rPr>
          <w:rFonts w:hint="eastAsia" w:ascii="仿宋" w:hAnsi="仿宋" w:eastAsia="仿宋" w:cs="仿宋"/>
          <w:color w:val="auto"/>
          <w:sz w:val="24"/>
          <w:highlight w:val="none"/>
          <w:u w:val="single"/>
          <w:lang w:eastAsia="zh-CN"/>
        </w:rPr>
        <w:t>公司</w:t>
      </w:r>
      <w:r>
        <w:rPr>
          <w:rFonts w:hint="eastAsia" w:ascii="仿宋" w:hAnsi="仿宋" w:eastAsia="仿宋" w:cs="仿宋"/>
          <w:color w:val="auto"/>
          <w:sz w:val="24"/>
          <w:highlight w:val="none"/>
          <w:u w:val="single"/>
        </w:rPr>
        <w:t>的合同谈判、签订、变更、结算、完善财务手续等一切事宜并代表我公司签字确认</w:t>
      </w:r>
      <w:r>
        <w:rPr>
          <w:rFonts w:hint="eastAsia" w:ascii="仿宋" w:hAnsi="仿宋" w:eastAsia="仿宋" w:cs="仿宋"/>
          <w:color w:val="auto"/>
          <w:sz w:val="24"/>
          <w:szCs w:val="20"/>
          <w:highlight w:val="none"/>
        </w:rPr>
        <w:t>】事宜。</w:t>
      </w:r>
    </w:p>
    <w:p w14:paraId="54003B64">
      <w:pPr>
        <w:shd w:val="clea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委托期限为：从委托授权之日起至</w:t>
      </w:r>
      <w:r>
        <w:rPr>
          <w:rFonts w:hint="eastAsia" w:ascii="仿宋" w:hAnsi="仿宋" w:eastAsia="仿宋" w:cs="仿宋"/>
          <w:color w:val="auto"/>
          <w:sz w:val="24"/>
          <w:highlight w:val="none"/>
        </w:rPr>
        <w:t>【】（合同编号：【              】）</w:t>
      </w:r>
      <w:r>
        <w:rPr>
          <w:rFonts w:hint="eastAsia" w:ascii="仿宋" w:hAnsi="仿宋" w:eastAsia="仿宋" w:cs="仿宋"/>
          <w:color w:val="auto"/>
          <w:sz w:val="24"/>
          <w:szCs w:val="20"/>
          <w:highlight w:val="none"/>
        </w:rPr>
        <w:t>全部履行完毕止。因该合同约定的由我司负责事项所产生的一切经济、法律责任均由我司承担，贵司不承担任何责任。</w:t>
      </w:r>
    </w:p>
    <w:p w14:paraId="7C731864">
      <w:pPr>
        <w:shd w:val="clea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受委托人无转委托权。</w:t>
      </w:r>
    </w:p>
    <w:p w14:paraId="4EACAC6E">
      <w:pPr>
        <w:shd w:val="clear"/>
        <w:spacing w:line="360" w:lineRule="auto"/>
        <w:ind w:firstLine="480" w:firstLineChars="200"/>
        <w:rPr>
          <w:rFonts w:ascii="仿宋" w:hAnsi="仿宋" w:eastAsia="仿宋" w:cs="仿宋"/>
          <w:b/>
          <w:color w:val="auto"/>
          <w:sz w:val="24"/>
          <w:szCs w:val="20"/>
          <w:highlight w:val="none"/>
        </w:rPr>
      </w:pPr>
      <w:r>
        <w:rPr>
          <w:rFonts w:hint="eastAsia" w:ascii="仿宋" w:hAnsi="仿宋" w:eastAsia="仿宋" w:cs="仿宋"/>
          <w:color w:val="auto"/>
          <w:sz w:val="24"/>
          <w:szCs w:val="20"/>
          <w:highlight w:val="none"/>
        </w:rPr>
        <w:t>特此授权！</w:t>
      </w:r>
    </w:p>
    <w:p w14:paraId="7C9D5A28">
      <w:pPr>
        <w:shd w:val="clear"/>
        <w:spacing w:line="360" w:lineRule="auto"/>
        <w:ind w:firstLine="555"/>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附：</w:t>
      </w:r>
    </w:p>
    <w:p w14:paraId="1C06C2C0">
      <w:pPr>
        <w:shd w:val="clear"/>
        <w:spacing w:line="360" w:lineRule="auto"/>
        <w:ind w:firstLine="555"/>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1、法定代表人身份证复印件（加盖公章）一份。</w:t>
      </w:r>
    </w:p>
    <w:p w14:paraId="12C3F242">
      <w:pPr>
        <w:shd w:val="clear"/>
        <w:spacing w:line="360" w:lineRule="auto"/>
        <w:ind w:firstLine="555"/>
        <w:rPr>
          <w:rFonts w:ascii="仿宋" w:hAnsi="仿宋" w:eastAsia="仿宋" w:cs="仿宋"/>
          <w:b/>
          <w:color w:val="auto"/>
          <w:sz w:val="24"/>
          <w:szCs w:val="20"/>
          <w:highlight w:val="none"/>
        </w:rPr>
      </w:pPr>
      <w:r>
        <w:rPr>
          <w:rFonts w:hint="eastAsia" w:ascii="仿宋" w:hAnsi="仿宋" w:eastAsia="仿宋" w:cs="仿宋"/>
          <w:color w:val="auto"/>
          <w:sz w:val="24"/>
          <w:szCs w:val="20"/>
          <w:highlight w:val="none"/>
        </w:rPr>
        <w:t>2、受托人身份证复印件（加盖公章）一份。</w:t>
      </w:r>
    </w:p>
    <w:p w14:paraId="0A018570">
      <w:pPr>
        <w:shd w:val="clear"/>
        <w:spacing w:before="120" w:beforeLines="50" w:line="360" w:lineRule="auto"/>
        <w:ind w:firstLine="4792" w:firstLineChars="1997"/>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委托人（公章）：</w:t>
      </w:r>
    </w:p>
    <w:p w14:paraId="5FAC95E6">
      <w:pPr>
        <w:shd w:val="clear"/>
        <w:spacing w:before="120" w:beforeLines="50" w:line="360" w:lineRule="auto"/>
        <w:ind w:firstLine="4792" w:firstLineChars="1997"/>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法定代表人（签章）：【         】</w:t>
      </w:r>
    </w:p>
    <w:p w14:paraId="3A88C785">
      <w:pPr>
        <w:shd w:val="clear"/>
        <w:spacing w:before="120" w:beforeLines="50"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受托人（签字）：【         】</w:t>
      </w:r>
    </w:p>
    <w:p w14:paraId="764BDA8C">
      <w:pPr>
        <w:shd w:val="clear"/>
        <w:spacing w:before="120" w:beforeLines="50"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 xml:space="preserve">                                        日期：【】</w:t>
      </w:r>
    </w:p>
    <w:p w14:paraId="36B7F4FB">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1、法定代表人身份证复印件（加盖公章）一份。</w:t>
      </w:r>
    </w:p>
    <w:p w14:paraId="2847DA6D">
      <w:pPr>
        <w:shd w:val="clear"/>
        <w:spacing w:before="120" w:beforeLines="50" w:line="360" w:lineRule="auto"/>
        <w:rPr>
          <w:rFonts w:ascii="宋体" w:cs="宋体"/>
          <w:color w:val="auto"/>
          <w:sz w:val="21"/>
          <w:szCs w:val="21"/>
          <w:highlight w:val="none"/>
        </w:rPr>
      </w:pPr>
      <w:r>
        <w:rPr>
          <w:rFonts w:hint="eastAsia" w:ascii="仿宋" w:hAnsi="仿宋" w:eastAsia="仿宋" w:cs="仿宋"/>
          <w:color w:val="auto"/>
          <w:sz w:val="24"/>
          <w:szCs w:val="20"/>
          <w:highlight w:val="none"/>
        </w:rPr>
        <w:t>【          】</w:t>
      </w:r>
    </w:p>
    <w:p w14:paraId="5E2D1157">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2、受托人身份证复印件（加盖公章）一份。</w:t>
      </w:r>
    </w:p>
    <w:p w14:paraId="1AD63B89">
      <w:pPr>
        <w:shd w:val="clear"/>
        <w:spacing w:before="120" w:beforeLines="50" w:line="360" w:lineRule="auto"/>
        <w:rPr>
          <w:rFonts w:ascii="仿宋" w:hAnsi="仿宋" w:eastAsia="仿宋" w:cs="仿宋"/>
          <w:color w:val="auto"/>
          <w:sz w:val="24"/>
          <w:szCs w:val="20"/>
          <w:highlight w:val="none"/>
        </w:rPr>
      </w:pPr>
      <w:r>
        <w:rPr>
          <w:rFonts w:hint="eastAsia" w:ascii="宋体" w:hAnsi="宋体" w:cs="宋体"/>
          <w:color w:val="auto"/>
          <w:kern w:val="0"/>
          <w:sz w:val="24"/>
          <w:highlight w:val="none"/>
          <w:lang w:bidi="ar"/>
        </w:rPr>
        <w:t xml:space="preserve">【       </w:t>
      </w:r>
      <w:r>
        <w:rPr>
          <w:rFonts w:hint="eastAsia" w:ascii="仿宋" w:hAnsi="仿宋" w:eastAsia="仿宋" w:cs="仿宋"/>
          <w:color w:val="auto"/>
          <w:sz w:val="24"/>
          <w:szCs w:val="20"/>
          <w:highlight w:val="none"/>
        </w:rPr>
        <w:t>】</w:t>
      </w:r>
    </w:p>
    <w:p w14:paraId="0B943A78">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营业执照：</w:t>
      </w:r>
    </w:p>
    <w:p w14:paraId="1CF721B6">
      <w:pPr>
        <w:widowControl/>
        <w:shd w:val="clear"/>
        <w:spacing w:line="360" w:lineRule="auto"/>
        <w:jc w:val="left"/>
        <w:rPr>
          <w:rFonts w:ascii="仿宋" w:hAnsi="仿宋" w:eastAsia="仿宋" w:cs="仿宋"/>
          <w:color w:val="auto"/>
          <w:sz w:val="24"/>
          <w:highlight w:val="none"/>
        </w:rPr>
      </w:pPr>
      <w:r>
        <w:rPr>
          <w:rFonts w:hint="eastAsia" w:ascii="仿宋" w:hAnsi="仿宋" w:eastAsia="仿宋" w:cs="仿宋"/>
          <w:color w:val="auto"/>
          <w:sz w:val="24"/>
          <w:szCs w:val="20"/>
          <w:highlight w:val="none"/>
        </w:rPr>
        <w:t>【】</w:t>
      </w:r>
    </w:p>
    <w:p w14:paraId="38D8EE3A">
      <w:pPr>
        <w:pStyle w:val="9"/>
        <w:shd w:val="clear"/>
        <w:spacing w:before="156" w:after="156" w:line="360" w:lineRule="auto"/>
        <w:jc w:val="left"/>
        <w:rPr>
          <w:rFonts w:ascii="宋体" w:cs="宋体"/>
          <w:color w:val="auto"/>
          <w:sz w:val="21"/>
          <w:szCs w:val="21"/>
          <w:highlight w:val="none"/>
        </w:rPr>
        <w:sectPr>
          <w:headerReference r:id="rId8" w:type="default"/>
          <w:footerReference r:id="rId9"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2169CA09">
      <w:pPr>
        <w:pStyle w:val="11"/>
        <w:shd w:val="clear"/>
        <w:tabs>
          <w:tab w:val="left" w:pos="2472"/>
        </w:tabs>
        <w:snapToGrid w:val="0"/>
        <w:spacing w:line="360" w:lineRule="auto"/>
        <w:ind w:left="357" w:firstLine="2747" w:firstLineChars="855"/>
        <w:jc w:val="both"/>
        <w:rPr>
          <w:rFonts w:hAnsi="宋体"/>
          <w:b/>
          <w:color w:val="auto"/>
          <w:sz w:val="32"/>
          <w:szCs w:val="32"/>
          <w:highlight w:val="none"/>
        </w:rPr>
      </w:pPr>
      <w:r>
        <w:rPr>
          <w:b/>
          <w:color w:val="auto"/>
          <w:sz w:val="32"/>
          <w:szCs w:val="32"/>
          <w:highlight w:val="none"/>
        </w:rPr>
        <w:t>第六章　</w:t>
      </w:r>
      <w:r>
        <w:rPr>
          <w:rFonts w:hint="eastAsia"/>
          <w:b/>
          <w:color w:val="auto"/>
          <w:sz w:val="32"/>
          <w:szCs w:val="32"/>
          <w:highlight w:val="none"/>
        </w:rPr>
        <w:t>投标文件</w:t>
      </w:r>
      <w:r>
        <w:rPr>
          <w:b/>
          <w:color w:val="auto"/>
          <w:sz w:val="32"/>
          <w:szCs w:val="32"/>
          <w:highlight w:val="none"/>
        </w:rPr>
        <w:t>格式</w:t>
      </w:r>
    </w:p>
    <w:p w14:paraId="21553813">
      <w:pPr>
        <w:shd w:val="clear"/>
        <w:snapToGrid w:val="0"/>
        <w:spacing w:before="50" w:after="156" w:afterLines="50" w:line="360" w:lineRule="auto"/>
        <w:jc w:val="left"/>
        <w:rPr>
          <w:rFonts w:ascii="宋体" w:hAnsi="宋体" w:eastAsia="仿宋_GB2312"/>
          <w:b/>
          <w:bCs/>
          <w:color w:val="auto"/>
          <w:sz w:val="24"/>
          <w:szCs w:val="20"/>
          <w:highlight w:val="none"/>
        </w:rPr>
      </w:pPr>
      <w:r>
        <w:rPr>
          <w:rFonts w:hint="eastAsia" w:ascii="宋体" w:hAnsi="宋体"/>
          <w:b/>
          <w:bCs/>
          <w:color w:val="auto"/>
          <w:sz w:val="24"/>
          <w:highlight w:val="none"/>
        </w:rPr>
        <w:t>1、法定代表人授权委托书格式：</w:t>
      </w:r>
    </w:p>
    <w:p w14:paraId="444CD2E8">
      <w:pPr>
        <w:shd w:val="clear"/>
        <w:spacing w:line="360" w:lineRule="auto"/>
        <w:jc w:val="center"/>
        <w:rPr>
          <w:b/>
          <w:color w:val="auto"/>
          <w:sz w:val="36"/>
          <w:highlight w:val="none"/>
        </w:rPr>
      </w:pPr>
      <w:r>
        <w:rPr>
          <w:rFonts w:hint="eastAsia" w:ascii="宋体"/>
          <w:b/>
          <w:color w:val="auto"/>
          <w:sz w:val="36"/>
          <w:highlight w:val="none"/>
        </w:rPr>
        <w:t>法定代表人授权书</w:t>
      </w:r>
    </w:p>
    <w:p w14:paraId="5E54D8E2">
      <w:pPr>
        <w:shd w:val="clear"/>
        <w:spacing w:line="360" w:lineRule="auto"/>
        <w:rPr>
          <w:color w:val="auto"/>
          <w:sz w:val="24"/>
          <w:highlight w:val="none"/>
        </w:rPr>
      </w:pPr>
    </w:p>
    <w:p w14:paraId="713D0453">
      <w:pPr>
        <w:shd w:val="clear"/>
        <w:spacing w:line="360" w:lineRule="auto"/>
        <w:rPr>
          <w:rFonts w:ascii="宋体"/>
          <w:color w:val="auto"/>
          <w:sz w:val="24"/>
          <w:highlight w:val="none"/>
        </w:rPr>
      </w:pPr>
      <w:r>
        <w:rPr>
          <w:rFonts w:hint="eastAsia"/>
          <w:color w:val="auto"/>
          <w:sz w:val="24"/>
          <w:highlight w:val="none"/>
          <w:u w:val="single"/>
        </w:rPr>
        <w:t xml:space="preserve">                                   </w:t>
      </w:r>
      <w:r>
        <w:rPr>
          <w:rFonts w:hint="eastAsia" w:ascii="宋体"/>
          <w:color w:val="auto"/>
          <w:sz w:val="24"/>
          <w:highlight w:val="none"/>
        </w:rPr>
        <w:t>：（采购单位）</w:t>
      </w:r>
    </w:p>
    <w:p w14:paraId="2E0037E2">
      <w:pPr>
        <w:shd w:val="clear"/>
        <w:spacing w:line="360" w:lineRule="auto"/>
        <w:rPr>
          <w:rFonts w:ascii="宋体"/>
          <w:color w:val="auto"/>
          <w:sz w:val="24"/>
          <w:highlight w:val="none"/>
        </w:rPr>
      </w:pPr>
    </w:p>
    <w:p w14:paraId="67736B7E">
      <w:pPr>
        <w:shd w:val="clear"/>
        <w:spacing w:line="360" w:lineRule="auto"/>
        <w:ind w:firstLine="600" w:firstLineChars="250"/>
        <w:rPr>
          <w:rFonts w:ascii="宋体" w:hAnsi="宋体"/>
          <w:color w:val="auto"/>
          <w:sz w:val="24"/>
          <w:highlight w:val="none"/>
        </w:rPr>
      </w:pPr>
      <w:r>
        <w:rPr>
          <w:rFonts w:hint="eastAsia"/>
          <w:color w:val="auto"/>
          <w:sz w:val="24"/>
          <w:highlight w:val="none"/>
        </w:rPr>
        <w:t>本人</w:t>
      </w:r>
      <w:r>
        <w:rPr>
          <w:rFonts w:hint="eastAsia" w:ascii="宋体"/>
          <w:color w:val="auto"/>
          <w:sz w:val="24"/>
          <w:highlight w:val="none"/>
          <w:u w:val="single"/>
        </w:rPr>
        <w:t xml:space="preserve">        </w:t>
      </w:r>
      <w:r>
        <w:rPr>
          <w:rFonts w:hint="eastAsia" w:ascii="宋体"/>
          <w:color w:val="auto"/>
          <w:sz w:val="24"/>
          <w:highlight w:val="none"/>
        </w:rPr>
        <w:t>（姓名）</w:t>
      </w:r>
      <w:r>
        <w:rPr>
          <w:rFonts w:hint="eastAsia"/>
          <w:color w:val="auto"/>
          <w:sz w:val="24"/>
          <w:highlight w:val="none"/>
        </w:rPr>
        <w:t>系</w:t>
      </w:r>
      <w:r>
        <w:rPr>
          <w:color w:val="auto"/>
          <w:sz w:val="24"/>
          <w:highlight w:val="non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（投标人全称）法定代表人，现授权委托</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 投标人代表名称）为全权代表，参加贵处组织的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项目（括号内填写招标编号及项目）投标活动，并代表我公司全权办理针对上述项目的</w:t>
      </w:r>
      <w:r>
        <w:rPr>
          <w:rFonts w:hint="eastAsia" w:ascii="宋体"/>
          <w:b/>
          <w:color w:val="auto"/>
          <w:sz w:val="24"/>
          <w:highlight w:val="none"/>
        </w:rPr>
        <w:t>投标全程各事项、投标文件签署、合同签订及项目实施</w:t>
      </w:r>
      <w:r>
        <w:rPr>
          <w:rFonts w:hint="eastAsia" w:ascii="宋体"/>
          <w:color w:val="auto"/>
          <w:sz w:val="24"/>
          <w:highlight w:val="none"/>
        </w:rPr>
        <w:t>等涉及的一切事宜，我公司</w:t>
      </w:r>
      <w:r>
        <w:rPr>
          <w:rFonts w:hint="eastAsia" w:ascii="宋体" w:hAnsi="宋体"/>
          <w:color w:val="auto"/>
          <w:sz w:val="24"/>
          <w:highlight w:val="none"/>
        </w:rPr>
        <w:t>对被授权人的签名等行为均予以</w:t>
      </w:r>
      <w:r>
        <w:rPr>
          <w:rFonts w:ascii="宋体" w:hAnsi="宋体"/>
          <w:color w:val="auto"/>
          <w:sz w:val="24"/>
          <w:highlight w:val="none"/>
        </w:rPr>
        <w:t>承</w:t>
      </w:r>
      <w:r>
        <w:rPr>
          <w:rFonts w:hint="eastAsia" w:ascii="宋体" w:hAnsi="宋体"/>
          <w:color w:val="auto"/>
          <w:sz w:val="24"/>
          <w:highlight w:val="none"/>
        </w:rPr>
        <w:t>认，由此所产生的一切法律后果和法律责任，均由</w:t>
      </w:r>
      <w:r>
        <w:rPr>
          <w:rFonts w:hint="eastAsia" w:ascii="宋体"/>
          <w:color w:val="auto"/>
          <w:sz w:val="24"/>
          <w:highlight w:val="none"/>
        </w:rPr>
        <w:t>我公司</w:t>
      </w:r>
      <w:r>
        <w:rPr>
          <w:rFonts w:ascii="宋体" w:hAnsi="宋体"/>
          <w:color w:val="auto"/>
          <w:sz w:val="24"/>
          <w:highlight w:val="none"/>
        </w:rPr>
        <w:t>承担</w:t>
      </w:r>
      <w:r>
        <w:rPr>
          <w:rFonts w:hint="eastAsia" w:ascii="宋体" w:hAnsi="宋体"/>
          <w:color w:val="auto"/>
          <w:sz w:val="24"/>
          <w:highlight w:val="none"/>
        </w:rPr>
        <w:t>。</w:t>
      </w:r>
      <w:r>
        <w:rPr>
          <w:rFonts w:hint="eastAsia" w:ascii="宋体"/>
          <w:color w:val="auto"/>
          <w:sz w:val="24"/>
          <w:highlight w:val="none"/>
        </w:rPr>
        <w:t>同时宣布承诺如下：</w:t>
      </w:r>
    </w:p>
    <w:p w14:paraId="40C15B5A">
      <w:pPr>
        <w:shd w:val="clear"/>
        <w:spacing w:line="360" w:lineRule="auto"/>
        <w:ind w:left="480"/>
        <w:rPr>
          <w:rFonts w:ascii="宋体"/>
          <w:color w:val="auto"/>
          <w:sz w:val="24"/>
          <w:highlight w:val="none"/>
        </w:rPr>
      </w:pPr>
      <w:r>
        <w:rPr>
          <w:rFonts w:hint="eastAsia" w:ascii="宋体"/>
          <w:color w:val="auto"/>
          <w:sz w:val="24"/>
          <w:highlight w:val="none"/>
        </w:rPr>
        <w:t>（1）我公司已详细阅读全部招标文件（含补充修改文件），并理解其实质性内容，同意承担招标文件规定的全部义务和相关责任。</w:t>
      </w:r>
    </w:p>
    <w:p w14:paraId="666904D4">
      <w:pPr>
        <w:shd w:val="clear"/>
        <w:spacing w:line="360" w:lineRule="auto"/>
        <w:ind w:left="480"/>
        <w:rPr>
          <w:rFonts w:ascii="宋体"/>
          <w:color w:val="auto"/>
          <w:sz w:val="24"/>
          <w:highlight w:val="none"/>
        </w:rPr>
      </w:pPr>
      <w:r>
        <w:rPr>
          <w:rFonts w:hint="eastAsia"/>
          <w:color w:val="auto"/>
          <w:sz w:val="24"/>
          <w:highlight w:val="none"/>
        </w:rPr>
        <w:t>（2）我公司同意提供采购人可能要求的与其投标有关的一切数据或资料。</w:t>
      </w:r>
    </w:p>
    <w:p w14:paraId="2E6D5908">
      <w:pPr>
        <w:shd w:val="clear"/>
        <w:spacing w:line="360" w:lineRule="auto"/>
        <w:ind w:left="480"/>
        <w:rPr>
          <w:color w:val="auto"/>
          <w:sz w:val="24"/>
          <w:highlight w:val="none"/>
        </w:rPr>
      </w:pPr>
      <w:r>
        <w:rPr>
          <w:rFonts w:hint="eastAsia"/>
          <w:color w:val="auto"/>
          <w:sz w:val="24"/>
          <w:highlight w:val="none"/>
        </w:rPr>
        <w:t>（3）我公司所提交的一切投标资料均为合法且真实有效。</w:t>
      </w:r>
    </w:p>
    <w:p w14:paraId="5EF51D19">
      <w:pPr>
        <w:shd w:val="clear"/>
        <w:spacing w:line="360" w:lineRule="auto"/>
        <w:rPr>
          <w:color w:val="auto"/>
          <w:sz w:val="24"/>
          <w:highlight w:val="none"/>
        </w:rPr>
      </w:pPr>
    </w:p>
    <w:p w14:paraId="2E67E058">
      <w:pPr>
        <w:shd w:val="clear"/>
        <w:spacing w:line="360" w:lineRule="auto"/>
        <w:rPr>
          <w:color w:val="auto"/>
          <w:sz w:val="24"/>
          <w:highlight w:val="none"/>
        </w:rPr>
      </w:pPr>
      <w:r>
        <w:rPr>
          <w:rFonts w:hint="eastAsia" w:ascii="宋体"/>
          <w:color w:val="auto"/>
          <w:sz w:val="24"/>
          <w:highlight w:val="none"/>
        </w:rPr>
        <w:t>法定代表人（签字或盖章）：</w:t>
      </w:r>
    </w:p>
    <w:p w14:paraId="380C0535">
      <w:pPr>
        <w:shd w:val="clear"/>
        <w:spacing w:line="360" w:lineRule="auto"/>
        <w:rPr>
          <w:color w:val="auto"/>
          <w:sz w:val="24"/>
          <w:highlight w:val="none"/>
        </w:rPr>
      </w:pPr>
    </w:p>
    <w:p w14:paraId="1E1D2B34">
      <w:pPr>
        <w:shd w:val="clear"/>
        <w:spacing w:line="360" w:lineRule="auto"/>
        <w:rPr>
          <w:color w:val="auto"/>
          <w:sz w:val="24"/>
          <w:highlight w:val="none"/>
        </w:rPr>
      </w:pPr>
    </w:p>
    <w:p w14:paraId="3095156B">
      <w:pPr>
        <w:pStyle w:val="18"/>
        <w:shd w:val="clear"/>
        <w:ind w:left="0" w:leftChars="0" w:firstLine="720" w:firstLineChars="300"/>
        <w:rPr>
          <w:rFonts w:hint="default" w:eastAsia="宋体"/>
          <w:color w:val="auto"/>
          <w:highlight w:val="none"/>
          <w:lang w:val="en-US" w:eastAsia="zh-CN"/>
        </w:rPr>
      </w:pPr>
      <w:r>
        <w:rPr>
          <w:rFonts w:hint="eastAsia" w:ascii="宋体"/>
          <w:color w:val="auto"/>
          <w:sz w:val="24"/>
          <w:highlight w:val="none"/>
        </w:rPr>
        <w:t>投标人（</w:t>
      </w:r>
      <w:r>
        <w:rPr>
          <w:rFonts w:hint="eastAsia" w:ascii="宋体" w:hAnsi="宋体"/>
          <w:color w:val="auto"/>
          <w:sz w:val="24"/>
          <w:highlight w:val="none"/>
        </w:rPr>
        <w:t>盖章</w:t>
      </w:r>
      <w:r>
        <w:rPr>
          <w:rFonts w:hint="eastAsia" w:ascii="宋体"/>
          <w:color w:val="auto"/>
          <w:sz w:val="24"/>
          <w:highlight w:val="none"/>
        </w:rPr>
        <w:t xml:space="preserve">）：                              </w:t>
      </w:r>
      <w:r>
        <w:rPr>
          <w:rFonts w:hint="eastAsia" w:ascii="宋体"/>
          <w:color w:val="auto"/>
          <w:sz w:val="24"/>
          <w:highlight w:val="none"/>
          <w:lang w:val="en-US" w:eastAsia="zh-CN"/>
        </w:rPr>
        <w:t xml:space="preserve">年   月   日 </w:t>
      </w:r>
    </w:p>
    <w:p w14:paraId="4B6BC8A6">
      <w:pPr>
        <w:shd w:val="clear"/>
        <w:spacing w:line="360" w:lineRule="auto"/>
        <w:rPr>
          <w:color w:val="auto"/>
          <w:sz w:val="24"/>
          <w:highlight w:val="none"/>
        </w:rPr>
      </w:pPr>
    </w:p>
    <w:p w14:paraId="50DFF7C4">
      <w:pPr>
        <w:shd w:val="clear"/>
        <w:snapToGrid w:val="0"/>
        <w:spacing w:line="360" w:lineRule="auto"/>
        <w:ind w:right="140"/>
        <w:rPr>
          <w:rFonts w:ascii="宋体" w:hAnsi="宋体" w:cs="宋体"/>
          <w:color w:val="auto"/>
          <w:sz w:val="24"/>
          <w:highlight w:val="none"/>
        </w:rPr>
        <w:sectPr>
          <w:headerReference r:id="rId10" w:type="default"/>
          <w:footerReference r:id="rId11" w:type="default"/>
          <w:pgSz w:w="11906" w:h="16838"/>
          <w:pgMar w:top="1440" w:right="1188" w:bottom="1440" w:left="1797" w:header="851" w:footer="992" w:gutter="0"/>
          <w:cols w:space="720" w:num="1"/>
          <w:docGrid w:type="lines" w:linePitch="312" w:charSpace="0"/>
        </w:sectPr>
      </w:pPr>
    </w:p>
    <w:p w14:paraId="05D140B2">
      <w:pPr>
        <w:shd w:val="clear"/>
        <w:snapToGrid w:val="0"/>
        <w:ind w:right="140"/>
        <w:rPr>
          <w:rFonts w:ascii="宋体" w:hAnsi="宋体" w:cs="宋体"/>
          <w:b/>
          <w:color w:val="auto"/>
          <w:sz w:val="24"/>
          <w:highlight w:val="none"/>
        </w:rPr>
      </w:pPr>
      <w:r>
        <w:rPr>
          <w:rFonts w:hint="eastAsia" w:ascii="宋体" w:hAnsi="宋体" w:cs="宋体"/>
          <w:b/>
          <w:bCs/>
          <w:color w:val="auto"/>
          <w:sz w:val="24"/>
          <w:highlight w:val="none"/>
        </w:rPr>
        <w:t>2、</w:t>
      </w:r>
      <w:r>
        <w:rPr>
          <w:rFonts w:hint="eastAsia" w:ascii="宋体" w:hAnsi="宋体" w:cs="宋体"/>
          <w:b/>
          <w:color w:val="auto"/>
          <w:sz w:val="24"/>
          <w:highlight w:val="none"/>
        </w:rPr>
        <w:t>开标一览表</w:t>
      </w:r>
    </w:p>
    <w:p w14:paraId="77E9BA2F">
      <w:pPr>
        <w:shd w:val="clear"/>
        <w:jc w:val="center"/>
        <w:rPr>
          <w:rFonts w:hint="eastAsia" w:ascii="宋体" w:hAnsi="宋体" w:cs="宋体"/>
          <w:b/>
          <w:color w:val="auto"/>
          <w:szCs w:val="28"/>
          <w:highlight w:val="none"/>
          <w:lang w:eastAsia="zh-CN"/>
        </w:rPr>
      </w:pPr>
      <w:r>
        <w:rPr>
          <w:rFonts w:hint="eastAsia" w:ascii="宋体" w:hAnsi="宋体" w:cs="宋体"/>
          <w:b/>
          <w:color w:val="auto"/>
          <w:szCs w:val="28"/>
          <w:highlight w:val="none"/>
          <w:lang w:eastAsia="zh-CN"/>
        </w:rPr>
        <w:t>台州国际博览中心项目设计采购施工（EPC）工程总承包无价材料采购【景观垃圾桶、可移动花箱、座凳】</w:t>
      </w:r>
    </w:p>
    <w:p w14:paraId="56D83D40">
      <w:pPr>
        <w:shd w:val="clear"/>
        <w:ind w:left="641" w:leftChars="229" w:firstLine="2870" w:firstLineChars="953"/>
        <w:rPr>
          <w:rFonts w:ascii="宋体" w:hAnsi="宋体"/>
          <w:b/>
          <w:bCs/>
          <w:color w:val="auto"/>
          <w:sz w:val="24"/>
          <w:highlight w:val="none"/>
        </w:rPr>
      </w:pPr>
      <w:r>
        <w:rPr>
          <w:rFonts w:hint="eastAsia" w:ascii="宋体" w:hAnsi="宋体"/>
          <w:b/>
          <w:bCs/>
          <w:color w:val="auto"/>
          <w:sz w:val="30"/>
          <w:szCs w:val="30"/>
          <w:highlight w:val="none"/>
        </w:rPr>
        <w:t>开标一览表</w:t>
      </w:r>
    </w:p>
    <w:p w14:paraId="5D447F67">
      <w:pPr>
        <w:pStyle w:val="11"/>
        <w:shd w:val="clear"/>
        <w:tabs>
          <w:tab w:val="left" w:pos="1620"/>
        </w:tabs>
        <w:snapToGrid w:val="0"/>
        <w:spacing w:line="240" w:lineRule="auto"/>
        <w:jc w:val="left"/>
        <w:rPr>
          <w:rFonts w:ascii="Arial" w:hAnsi="Arial" w:cs="Arial"/>
          <w:color w:val="auto"/>
          <w:highlight w:val="none"/>
        </w:rPr>
      </w:pPr>
      <w:r>
        <w:rPr>
          <w:rFonts w:hint="eastAsia" w:hAnsi="宋体" w:cs="Arial"/>
          <w:color w:val="auto"/>
          <w:highlight w:val="none"/>
        </w:rPr>
        <w:t>致：</w:t>
      </w:r>
      <w:r>
        <w:rPr>
          <w:rFonts w:hint="eastAsia" w:hAnsi="宋体" w:cs="Arial"/>
          <w:color w:val="auto"/>
          <w:highlight w:val="none"/>
          <w:u w:val="single"/>
        </w:rPr>
        <w:t xml:space="preserve">  </w:t>
      </w:r>
      <w:r>
        <w:rPr>
          <w:rFonts w:hint="eastAsia" w:hAnsi="宋体"/>
          <w:color w:val="auto"/>
          <w:highlight w:val="none"/>
          <w:u w:val="single"/>
        </w:rPr>
        <w:t>台州国际博览中心有限公司、中国建筑第四工程局有限公司</w:t>
      </w:r>
      <w:r>
        <w:rPr>
          <w:rFonts w:hint="eastAsia" w:hAnsi="宋体" w:cs="Arial"/>
          <w:color w:val="auto"/>
          <w:highlight w:val="none"/>
          <w:u w:val="single"/>
        </w:rPr>
        <w:t xml:space="preserve">  </w:t>
      </w:r>
    </w:p>
    <w:p w14:paraId="71759A1D">
      <w:pPr>
        <w:shd w:val="clear"/>
        <w:snapToGrid w:val="0"/>
        <w:ind w:firstLine="480" w:firstLineChars="200"/>
        <w:jc w:val="left"/>
        <w:rPr>
          <w:rFonts w:ascii="新宋体" w:hAnsi="新宋体" w:eastAsia="新宋体"/>
          <w:color w:val="auto"/>
          <w:sz w:val="22"/>
          <w:szCs w:val="22"/>
          <w:highlight w:val="none"/>
        </w:rPr>
      </w:pPr>
      <w:r>
        <w:rPr>
          <w:rFonts w:ascii="宋体" w:hAnsi="宋体" w:cs="Arial"/>
          <w:color w:val="auto"/>
          <w:sz w:val="24"/>
          <w:highlight w:val="none"/>
        </w:rPr>
        <w:t>经研究，我们决定参加</w:t>
      </w:r>
      <w:r>
        <w:rPr>
          <w:rFonts w:hint="eastAsia" w:ascii="宋体" w:hAnsi="宋体" w:cs="Arial"/>
          <w:color w:val="auto"/>
          <w:sz w:val="24"/>
          <w:highlight w:val="none"/>
        </w:rPr>
        <w:t>你单位的</w:t>
      </w:r>
      <w:r>
        <w:rPr>
          <w:rFonts w:hint="eastAsia" w:ascii="宋体" w:hAnsi="宋体"/>
          <w:color w:val="auto"/>
          <w:sz w:val="24"/>
          <w:highlight w:val="none"/>
          <w:u w:val="single"/>
          <w:lang w:eastAsia="zh-CN"/>
        </w:rPr>
        <w:t>台州国际博览中心项目设计采购施工（EPC）工程总承包无价材料采购【景观垃圾桶、可移动花箱、座凳】</w:t>
      </w:r>
      <w:r>
        <w:rPr>
          <w:rFonts w:ascii="宋体" w:hAnsi="宋体" w:cs="Arial"/>
          <w:color w:val="auto"/>
          <w:sz w:val="24"/>
          <w:highlight w:val="none"/>
        </w:rPr>
        <w:t>的</w:t>
      </w:r>
      <w:r>
        <w:rPr>
          <w:rFonts w:hint="eastAsia" w:ascii="宋体" w:hAnsi="宋体" w:cs="Arial"/>
          <w:color w:val="auto"/>
          <w:sz w:val="24"/>
          <w:highlight w:val="none"/>
        </w:rPr>
        <w:t>招标</w:t>
      </w:r>
      <w:r>
        <w:rPr>
          <w:rFonts w:ascii="宋体" w:hAnsi="宋体" w:cs="Arial"/>
          <w:color w:val="auto"/>
          <w:sz w:val="24"/>
          <w:highlight w:val="none"/>
        </w:rPr>
        <w:t>采购活动并提交</w:t>
      </w:r>
      <w:r>
        <w:rPr>
          <w:rFonts w:hint="eastAsia" w:ascii="宋体" w:hAnsi="宋体" w:cs="Arial"/>
          <w:color w:val="auto"/>
          <w:sz w:val="24"/>
          <w:highlight w:val="none"/>
        </w:rPr>
        <w:t>投标</w:t>
      </w:r>
      <w:r>
        <w:rPr>
          <w:rFonts w:ascii="宋体" w:hAnsi="宋体" w:cs="Arial"/>
          <w:color w:val="auto"/>
          <w:sz w:val="24"/>
          <w:highlight w:val="none"/>
        </w:rPr>
        <w:t>文件。为此，我方郑重声明以下诸点，并负法律责任。</w:t>
      </w:r>
    </w:p>
    <w:p w14:paraId="66A11AED">
      <w:pPr>
        <w:pStyle w:val="3"/>
        <w:shd w:val="clear"/>
        <w:adjustRightInd w:val="0"/>
        <w:snapToGrid w:val="0"/>
        <w:spacing w:line="240" w:lineRule="auto"/>
        <w:rPr>
          <w:rFonts w:ascii="Arial" w:hAnsi="Arial" w:cs="Arial"/>
          <w:color w:val="auto"/>
          <w:spacing w:val="0"/>
          <w:sz w:val="24"/>
          <w:szCs w:val="24"/>
          <w:highlight w:val="none"/>
        </w:rPr>
      </w:pPr>
      <w:r>
        <w:rPr>
          <w:rFonts w:ascii="Arial" w:hAnsi="Arial" w:cs="Arial"/>
          <w:color w:val="auto"/>
          <w:spacing w:val="0"/>
          <w:sz w:val="24"/>
          <w:szCs w:val="24"/>
          <w:highlight w:val="none"/>
        </w:rPr>
        <w:t>1</w:t>
      </w:r>
      <w:r>
        <w:rPr>
          <w:rFonts w:hAnsi="宋体" w:cs="Arial"/>
          <w:color w:val="auto"/>
          <w:spacing w:val="0"/>
          <w:sz w:val="24"/>
          <w:szCs w:val="24"/>
          <w:highlight w:val="none"/>
        </w:rPr>
        <w:t>、如果我们的</w:t>
      </w:r>
      <w:r>
        <w:rPr>
          <w:rFonts w:hint="eastAsia" w:hAnsi="宋体" w:cs="Arial"/>
          <w:color w:val="auto"/>
          <w:spacing w:val="0"/>
          <w:sz w:val="24"/>
          <w:szCs w:val="24"/>
          <w:highlight w:val="none"/>
        </w:rPr>
        <w:t>投</w:t>
      </w:r>
      <w:r>
        <w:rPr>
          <w:rFonts w:hAnsi="宋体" w:cs="Arial"/>
          <w:color w:val="auto"/>
          <w:spacing w:val="0"/>
          <w:sz w:val="24"/>
          <w:szCs w:val="24"/>
          <w:highlight w:val="none"/>
        </w:rPr>
        <w:t>标文件被接受，我们将履行招标文件中规定的每一项要求，并按我们投标文件中的承诺按期、按质、按量提供</w:t>
      </w:r>
      <w:r>
        <w:rPr>
          <w:rFonts w:hint="eastAsia" w:hAnsi="宋体" w:cs="Arial"/>
          <w:color w:val="auto"/>
          <w:spacing w:val="0"/>
          <w:sz w:val="24"/>
          <w:szCs w:val="24"/>
          <w:highlight w:val="none"/>
        </w:rPr>
        <w:t>货物</w:t>
      </w:r>
      <w:r>
        <w:rPr>
          <w:rFonts w:hAnsi="宋体" w:cs="Arial"/>
          <w:color w:val="auto"/>
          <w:spacing w:val="0"/>
          <w:sz w:val="24"/>
          <w:szCs w:val="24"/>
          <w:highlight w:val="none"/>
        </w:rPr>
        <w:t>。</w:t>
      </w:r>
    </w:p>
    <w:p w14:paraId="29BD7EC7">
      <w:pPr>
        <w:pStyle w:val="3"/>
        <w:shd w:val="clear"/>
        <w:adjustRightInd w:val="0"/>
        <w:snapToGrid w:val="0"/>
        <w:spacing w:line="240" w:lineRule="auto"/>
        <w:ind w:firstLine="309" w:firstLineChars="129"/>
        <w:rPr>
          <w:rFonts w:ascii="Arial" w:hAnsi="Arial" w:cs="Arial"/>
          <w:color w:val="auto"/>
          <w:spacing w:val="0"/>
          <w:sz w:val="24"/>
          <w:szCs w:val="24"/>
          <w:highlight w:val="none"/>
        </w:rPr>
      </w:pPr>
      <w:r>
        <w:rPr>
          <w:rFonts w:ascii="Arial" w:hAnsi="Arial" w:cs="Arial"/>
          <w:color w:val="auto"/>
          <w:spacing w:val="0"/>
          <w:sz w:val="24"/>
          <w:szCs w:val="24"/>
          <w:highlight w:val="none"/>
        </w:rPr>
        <w:t>2</w:t>
      </w:r>
      <w:r>
        <w:rPr>
          <w:rFonts w:hAnsi="宋体" w:cs="Arial"/>
          <w:color w:val="auto"/>
          <w:spacing w:val="0"/>
          <w:sz w:val="24"/>
          <w:szCs w:val="24"/>
          <w:highlight w:val="none"/>
        </w:rPr>
        <w:t>、我们同意按</w:t>
      </w:r>
      <w:r>
        <w:rPr>
          <w:rFonts w:hint="eastAsia" w:hAnsi="宋体" w:cs="Arial"/>
          <w:color w:val="auto"/>
          <w:spacing w:val="0"/>
          <w:sz w:val="24"/>
          <w:szCs w:val="24"/>
          <w:highlight w:val="none"/>
        </w:rPr>
        <w:t>招标文件</w:t>
      </w:r>
      <w:r>
        <w:rPr>
          <w:rFonts w:hAnsi="宋体" w:cs="Arial"/>
          <w:color w:val="auto"/>
          <w:spacing w:val="0"/>
          <w:sz w:val="24"/>
          <w:szCs w:val="24"/>
          <w:highlight w:val="none"/>
        </w:rPr>
        <w:t>规定遵守</w:t>
      </w:r>
      <w:r>
        <w:rPr>
          <w:rFonts w:hint="eastAsia" w:hAnsi="宋体" w:cs="Arial"/>
          <w:color w:val="auto"/>
          <w:spacing w:val="0"/>
          <w:sz w:val="24"/>
          <w:szCs w:val="24"/>
          <w:highlight w:val="none"/>
        </w:rPr>
        <w:t>采购人</w:t>
      </w:r>
      <w:r>
        <w:rPr>
          <w:rFonts w:hAnsi="宋体" w:cs="Arial"/>
          <w:color w:val="auto"/>
          <w:spacing w:val="0"/>
          <w:sz w:val="24"/>
          <w:szCs w:val="24"/>
          <w:highlight w:val="none"/>
        </w:rPr>
        <w:t>有关采购的各项规定。</w:t>
      </w:r>
    </w:p>
    <w:p w14:paraId="5B6E988E">
      <w:pPr>
        <w:pStyle w:val="3"/>
        <w:shd w:val="clear"/>
        <w:adjustRightInd w:val="0"/>
        <w:snapToGrid w:val="0"/>
        <w:spacing w:line="240" w:lineRule="auto"/>
        <w:ind w:firstLine="300" w:firstLineChars="125"/>
        <w:rPr>
          <w:rFonts w:ascii="Arial" w:hAnsi="Arial" w:cs="Arial"/>
          <w:color w:val="auto"/>
          <w:sz w:val="24"/>
          <w:szCs w:val="24"/>
          <w:highlight w:val="none"/>
        </w:rPr>
      </w:pPr>
      <w:r>
        <w:rPr>
          <w:rFonts w:ascii="Arial" w:hAnsi="Arial" w:cs="Arial"/>
          <w:color w:val="auto"/>
          <w:spacing w:val="0"/>
          <w:sz w:val="24"/>
          <w:szCs w:val="24"/>
          <w:highlight w:val="none"/>
        </w:rPr>
        <w:t>3</w:t>
      </w:r>
      <w:r>
        <w:rPr>
          <w:rFonts w:hAnsi="宋体" w:cs="Arial"/>
          <w:color w:val="auto"/>
          <w:spacing w:val="0"/>
          <w:sz w:val="24"/>
          <w:szCs w:val="24"/>
          <w:highlight w:val="none"/>
        </w:rPr>
        <w:t>、</w:t>
      </w:r>
      <w:r>
        <w:rPr>
          <w:rFonts w:hAnsi="宋体" w:cs="Arial"/>
          <w:color w:val="auto"/>
          <w:sz w:val="24"/>
          <w:szCs w:val="24"/>
          <w:highlight w:val="none"/>
        </w:rPr>
        <w:t>我方同意提供按照贵方可能要求的与投标有关的一切数据或资料，</w:t>
      </w:r>
      <w:r>
        <w:rPr>
          <w:rFonts w:hAnsi="宋体" w:cs="Arial"/>
          <w:color w:val="auto"/>
          <w:spacing w:val="0"/>
          <w:sz w:val="24"/>
          <w:szCs w:val="24"/>
          <w:highlight w:val="none"/>
        </w:rPr>
        <w:t>我方若未成为成交投标人，</w:t>
      </w:r>
      <w:r>
        <w:rPr>
          <w:rFonts w:hint="eastAsia" w:hAnsi="宋体" w:cs="Arial"/>
          <w:color w:val="auto"/>
          <w:spacing w:val="0"/>
          <w:sz w:val="24"/>
          <w:szCs w:val="24"/>
          <w:highlight w:val="none"/>
        </w:rPr>
        <w:t>采购人</w:t>
      </w:r>
      <w:r>
        <w:rPr>
          <w:rFonts w:hAnsi="宋体" w:cs="Arial"/>
          <w:color w:val="auto"/>
          <w:spacing w:val="0"/>
          <w:sz w:val="24"/>
          <w:szCs w:val="24"/>
          <w:highlight w:val="none"/>
        </w:rPr>
        <w:t>有权不</w:t>
      </w:r>
      <w:r>
        <w:rPr>
          <w:rFonts w:hint="eastAsia" w:hAnsi="宋体" w:cs="Arial"/>
          <w:color w:val="auto"/>
          <w:spacing w:val="0"/>
          <w:sz w:val="24"/>
          <w:szCs w:val="24"/>
          <w:highlight w:val="none"/>
        </w:rPr>
        <w:t>作</w:t>
      </w:r>
      <w:r>
        <w:rPr>
          <w:rFonts w:hAnsi="宋体" w:cs="Arial"/>
          <w:color w:val="auto"/>
          <w:spacing w:val="0"/>
          <w:sz w:val="24"/>
          <w:szCs w:val="24"/>
          <w:highlight w:val="none"/>
        </w:rPr>
        <w:t>任何解释。</w:t>
      </w:r>
    </w:p>
    <w:p w14:paraId="1D1136B4">
      <w:pPr>
        <w:shd w:val="clear"/>
        <w:ind w:firstLine="360" w:firstLineChars="150"/>
        <w:rPr>
          <w:rFonts w:ascii="宋体" w:hAnsi="宋体" w:cs="Arial"/>
          <w:color w:val="auto"/>
          <w:sz w:val="24"/>
          <w:highlight w:val="none"/>
        </w:rPr>
      </w:pPr>
      <w:r>
        <w:rPr>
          <w:rFonts w:hint="eastAsia" w:ascii="Arial" w:hAnsi="Arial" w:cs="Arial"/>
          <w:color w:val="auto"/>
          <w:sz w:val="24"/>
          <w:highlight w:val="none"/>
        </w:rPr>
        <w:t>4</w:t>
      </w:r>
      <w:r>
        <w:rPr>
          <w:rFonts w:hint="eastAsia" w:ascii="宋体" w:hAnsi="宋体" w:cs="Arial"/>
          <w:color w:val="auto"/>
          <w:sz w:val="24"/>
          <w:highlight w:val="none"/>
        </w:rPr>
        <w:t>、我方如果中标，将保证履行招标文件以及招标文件</w:t>
      </w:r>
      <w:r>
        <w:rPr>
          <w:rFonts w:hint="eastAsia" w:ascii="宋体" w:hAnsi="宋体" w:cs="Arial"/>
          <w:color w:val="auto"/>
          <w:sz w:val="24"/>
          <w:highlight w:val="none"/>
          <w:lang w:val="en-US" w:eastAsia="zh-CN"/>
        </w:rPr>
        <w:t>补充文件</w:t>
      </w:r>
      <w:r>
        <w:rPr>
          <w:rFonts w:hint="eastAsia" w:ascii="宋体" w:hAnsi="宋体" w:cs="Arial"/>
          <w:color w:val="auto"/>
          <w:sz w:val="24"/>
          <w:highlight w:val="none"/>
        </w:rPr>
        <w:t>（如有）中的全部责任和义务，按质、按量、按期完成《合同书》中的全部任务。</w:t>
      </w:r>
    </w:p>
    <w:tbl>
      <w:tblPr>
        <w:tblStyle w:val="23"/>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422E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3275" w:type="dxa"/>
            <w:tcBorders>
              <w:top w:val="single" w:color="auto" w:sz="4" w:space="0"/>
              <w:left w:val="single" w:color="auto" w:sz="4" w:space="0"/>
              <w:bottom w:val="single" w:color="auto" w:sz="4" w:space="0"/>
              <w:right w:val="single" w:color="auto" w:sz="4" w:space="0"/>
            </w:tcBorders>
            <w:vAlign w:val="center"/>
          </w:tcPr>
          <w:p w14:paraId="7EDDE35D">
            <w:pPr>
              <w:pStyle w:val="2"/>
              <w:shd w:val="clear"/>
              <w:spacing w:line="240" w:lineRule="auto"/>
              <w:ind w:firstLine="0"/>
              <w:rPr>
                <w:rFonts w:hint="eastAsia" w:eastAsia="宋体"/>
                <w:color w:val="auto"/>
                <w:sz w:val="24"/>
                <w:szCs w:val="24"/>
                <w:highlight w:val="none"/>
                <w:lang w:eastAsia="zh-CN"/>
              </w:rPr>
            </w:pPr>
            <w:r>
              <w:rPr>
                <w:rFonts w:hAnsi="宋体" w:cs="Times New Roman"/>
                <w:color w:val="auto"/>
                <w:sz w:val="24"/>
                <w:szCs w:val="24"/>
                <w:highlight w:val="none"/>
              </w:rPr>
              <w:t>1、</w:t>
            </w:r>
            <w:r>
              <w:rPr>
                <w:rFonts w:hint="eastAsia" w:hAnsi="宋体" w:cs="Times New Roman"/>
                <w:color w:val="auto"/>
                <w:sz w:val="24"/>
                <w:szCs w:val="24"/>
                <w:highlight w:val="none"/>
                <w:lang w:val="en-US" w:eastAsia="zh-CN"/>
              </w:rPr>
              <w:t>投标报价</w:t>
            </w:r>
          </w:p>
        </w:tc>
        <w:tc>
          <w:tcPr>
            <w:tcW w:w="6338" w:type="dxa"/>
            <w:tcBorders>
              <w:top w:val="single" w:color="auto" w:sz="4" w:space="0"/>
              <w:left w:val="nil"/>
              <w:bottom w:val="single" w:color="auto" w:sz="4" w:space="0"/>
              <w:right w:val="single" w:color="auto" w:sz="4" w:space="0"/>
            </w:tcBorders>
            <w:vAlign w:val="center"/>
          </w:tcPr>
          <w:p w14:paraId="6DDDBBF8">
            <w:pPr>
              <w:shd w:val="clear"/>
              <w:wordWrap w:val="0"/>
              <w:ind w:right="420"/>
              <w:outlineLvl w:val="0"/>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lang w:eastAsia="zh-CN"/>
              </w:rPr>
              <w:t>（含税）</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 xml:space="preserve"> 元；</w:t>
            </w:r>
          </w:p>
          <w:p w14:paraId="161637E7">
            <w:pPr>
              <w:shd w:val="clear"/>
              <w:wordWrap w:val="0"/>
              <w:ind w:right="420"/>
              <w:outlineLvl w:val="0"/>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lang w:eastAsia="zh-CN"/>
              </w:rPr>
              <w:t>（含税）</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元</w:t>
            </w:r>
          </w:p>
        </w:tc>
      </w:tr>
      <w:tr w14:paraId="7DEC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tcBorders>
              <w:top w:val="single" w:color="auto" w:sz="4" w:space="0"/>
              <w:left w:val="single" w:color="auto" w:sz="4" w:space="0"/>
              <w:bottom w:val="single" w:color="auto" w:sz="4" w:space="0"/>
              <w:right w:val="single" w:color="auto" w:sz="4" w:space="0"/>
            </w:tcBorders>
            <w:vAlign w:val="center"/>
          </w:tcPr>
          <w:p w14:paraId="504652F0">
            <w:pPr>
              <w:shd w:val="clear"/>
              <w:snapToGrid w:val="0"/>
              <w:rPr>
                <w:rFonts w:ascii="宋体" w:hAnsi="宋体"/>
                <w:color w:val="auto"/>
                <w:sz w:val="24"/>
                <w:highlight w:val="none"/>
              </w:rPr>
            </w:pPr>
            <w:r>
              <w:rPr>
                <w:rFonts w:hint="eastAsia" w:ascii="宋体" w:hAnsi="宋体"/>
                <w:color w:val="auto"/>
                <w:sz w:val="24"/>
                <w:highlight w:val="none"/>
              </w:rPr>
              <w:t>2、供货期</w:t>
            </w:r>
          </w:p>
        </w:tc>
        <w:tc>
          <w:tcPr>
            <w:tcW w:w="6338" w:type="dxa"/>
            <w:tcBorders>
              <w:top w:val="single" w:color="auto" w:sz="4" w:space="0"/>
              <w:left w:val="nil"/>
              <w:bottom w:val="single" w:color="auto" w:sz="4" w:space="0"/>
              <w:right w:val="single" w:color="auto" w:sz="4" w:space="0"/>
            </w:tcBorders>
            <w:vAlign w:val="center"/>
          </w:tcPr>
          <w:p w14:paraId="509E10CD">
            <w:pPr>
              <w:shd w:val="clear"/>
              <w:jc w:val="center"/>
              <w:rPr>
                <w:rFonts w:hAnsi="宋体"/>
                <w:color w:val="auto"/>
                <w:sz w:val="24"/>
                <w:highlight w:val="none"/>
                <w:u w:val="single"/>
              </w:rPr>
            </w:pPr>
            <w:r>
              <w:rPr>
                <w:rFonts w:hint="eastAsia" w:ascii="宋体" w:hAnsi="宋体"/>
                <w:color w:val="auto"/>
                <w:sz w:val="24"/>
                <w:highlight w:val="none"/>
              </w:rPr>
              <w:t>满足要求</w:t>
            </w:r>
          </w:p>
        </w:tc>
      </w:tr>
      <w:tr w14:paraId="2514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tcBorders>
              <w:top w:val="single" w:color="auto" w:sz="4" w:space="0"/>
              <w:left w:val="single" w:color="auto" w:sz="4" w:space="0"/>
              <w:bottom w:val="single" w:color="auto" w:sz="4" w:space="0"/>
              <w:right w:val="single" w:color="auto" w:sz="4" w:space="0"/>
            </w:tcBorders>
            <w:vAlign w:val="center"/>
          </w:tcPr>
          <w:p w14:paraId="32018D0B">
            <w:pPr>
              <w:shd w:val="clear"/>
              <w:snapToGrid w:val="0"/>
              <w:rPr>
                <w:rFonts w:ascii="宋体" w:hAnsi="宋体"/>
                <w:color w:val="auto"/>
                <w:sz w:val="24"/>
                <w:highlight w:val="none"/>
              </w:rPr>
            </w:pPr>
            <w:r>
              <w:rPr>
                <w:rFonts w:hint="eastAsia" w:ascii="宋体" w:hAnsi="宋体"/>
                <w:color w:val="auto"/>
                <w:sz w:val="24"/>
                <w:highlight w:val="none"/>
              </w:rPr>
              <w:t>3、质量等级</w:t>
            </w:r>
          </w:p>
        </w:tc>
        <w:tc>
          <w:tcPr>
            <w:tcW w:w="6338" w:type="dxa"/>
            <w:tcBorders>
              <w:top w:val="single" w:color="auto" w:sz="4" w:space="0"/>
              <w:left w:val="nil"/>
              <w:bottom w:val="single" w:color="auto" w:sz="4" w:space="0"/>
              <w:right w:val="single" w:color="auto" w:sz="4" w:space="0"/>
            </w:tcBorders>
            <w:vAlign w:val="center"/>
          </w:tcPr>
          <w:p w14:paraId="6A3809B8">
            <w:pPr>
              <w:shd w:val="clear"/>
              <w:snapToGrid w:val="0"/>
              <w:spacing w:before="50" w:after="50"/>
              <w:jc w:val="center"/>
              <w:rPr>
                <w:rFonts w:ascii="宋体" w:hAnsi="宋体"/>
                <w:color w:val="auto"/>
                <w:sz w:val="24"/>
                <w:highlight w:val="none"/>
              </w:rPr>
            </w:pPr>
            <w:r>
              <w:rPr>
                <w:rFonts w:hint="eastAsia" w:ascii="宋体" w:hAnsi="宋体"/>
                <w:color w:val="auto"/>
                <w:sz w:val="24"/>
                <w:highlight w:val="none"/>
              </w:rPr>
              <w:t>符合要求</w:t>
            </w:r>
          </w:p>
        </w:tc>
      </w:tr>
    </w:tbl>
    <w:p w14:paraId="572F40A2">
      <w:pPr>
        <w:shd w:val="clear"/>
        <w:snapToGrid w:val="0"/>
        <w:spacing w:before="50" w:after="50"/>
        <w:jc w:val="left"/>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 xml:space="preserve"> </w:t>
      </w:r>
      <w:r>
        <w:rPr>
          <w:rFonts w:hint="eastAsia" w:ascii="宋体" w:hAnsi="宋体"/>
          <w:color w:val="auto"/>
          <w:sz w:val="24"/>
          <w:highlight w:val="none"/>
        </w:rPr>
        <w:t>1、报价一经涂改，应在涂改处加盖单位公章或者由法定代表人或授权委托人签字或盖章，否则其投标作无效标处理。</w:t>
      </w:r>
    </w:p>
    <w:p w14:paraId="6ECFAFB9">
      <w:pPr>
        <w:shd w:val="clear"/>
        <w:snapToGrid w:val="0"/>
        <w:spacing w:before="50" w:after="50"/>
        <w:jc w:val="left"/>
        <w:rPr>
          <w:rFonts w:ascii="宋体" w:hAnsi="宋体" w:cs="Arial"/>
          <w:bCs/>
          <w:color w:val="auto"/>
          <w:sz w:val="24"/>
          <w:highlight w:val="none"/>
        </w:rPr>
      </w:pPr>
      <w:r>
        <w:rPr>
          <w:rFonts w:hint="eastAsia" w:ascii="宋体" w:hAnsi="宋体"/>
          <w:color w:val="auto"/>
          <w:sz w:val="24"/>
          <w:highlight w:val="none"/>
        </w:rPr>
        <w:t>2、投标报价是履行合同的最终价格，</w:t>
      </w:r>
      <w:r>
        <w:rPr>
          <w:rFonts w:ascii="宋体" w:hAnsi="宋体" w:cs="Arial"/>
          <w:bCs/>
          <w:color w:val="auto"/>
          <w:sz w:val="24"/>
          <w:highlight w:val="none"/>
        </w:rPr>
        <w:t>本合同全费用综合单价</w:t>
      </w:r>
      <w:r>
        <w:rPr>
          <w:rFonts w:hint="eastAsia" w:asciiTheme="minorEastAsia" w:hAnsiTheme="minorEastAsia" w:eastAsiaTheme="minorEastAsia" w:cstheme="minorEastAsia"/>
          <w:b w:val="0"/>
          <w:bCs/>
          <w:color w:val="auto"/>
          <w:sz w:val="24"/>
          <w:szCs w:val="24"/>
          <w:highlight w:val="none"/>
          <w:lang w:val="en-US" w:eastAsia="zh-CN"/>
        </w:rPr>
        <w:t>为清单中所有产品</w:t>
      </w:r>
      <w:r>
        <w:rPr>
          <w:rFonts w:hint="eastAsia" w:asciiTheme="minorEastAsia" w:hAnsiTheme="minorEastAsia" w:eastAsiaTheme="minorEastAsia" w:cstheme="minorEastAsia"/>
          <w:b w:val="0"/>
          <w:bCs/>
          <w:color w:val="auto"/>
          <w:sz w:val="24"/>
          <w:szCs w:val="24"/>
          <w:highlight w:val="none"/>
        </w:rPr>
        <w:t>自来源地运至指定堆放地点所发生的全部费用</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包括但不限于原材料采购、损耗、加工制作费、运输（运距不限）、装卸、措施费、</w:t>
      </w:r>
      <w:r>
        <w:rPr>
          <w:rFonts w:hint="eastAsia" w:asciiTheme="minorEastAsia" w:hAnsiTheme="minorEastAsia" w:eastAsiaTheme="minorEastAsia" w:cstheme="minorEastAsia"/>
          <w:b w:val="0"/>
          <w:bCs/>
          <w:color w:val="auto"/>
          <w:sz w:val="24"/>
          <w:szCs w:val="24"/>
          <w:highlight w:val="none"/>
          <w:lang w:val="en-US" w:eastAsia="zh-CN"/>
        </w:rPr>
        <w:t>出厂</w:t>
      </w:r>
      <w:r>
        <w:rPr>
          <w:rFonts w:hint="eastAsia" w:asciiTheme="minorEastAsia" w:hAnsiTheme="minorEastAsia" w:eastAsiaTheme="minorEastAsia" w:cstheme="minorEastAsia"/>
          <w:b w:val="0"/>
          <w:bCs/>
          <w:color w:val="auto"/>
          <w:sz w:val="24"/>
          <w:szCs w:val="24"/>
          <w:highlight w:val="none"/>
        </w:rPr>
        <w:t>检验试验费</w:t>
      </w:r>
      <w:r>
        <w:rPr>
          <w:rFonts w:hint="eastAsia" w:asciiTheme="minorEastAsia" w:hAnsiTheme="minorEastAsia" w:eastAsiaTheme="minorEastAsia" w:cstheme="minorEastAsia"/>
          <w:b w:val="0"/>
          <w:bCs/>
          <w:color w:val="auto"/>
          <w:sz w:val="24"/>
          <w:szCs w:val="24"/>
          <w:highlight w:val="none"/>
          <w:lang w:eastAsia="zh-CN"/>
        </w:rPr>
        <w:t>[免费提供试件（如有）]、</w:t>
      </w:r>
      <w:r>
        <w:rPr>
          <w:rFonts w:hint="eastAsia" w:asciiTheme="minorEastAsia" w:hAnsiTheme="minorEastAsia" w:eastAsiaTheme="minorEastAsia" w:cstheme="minorEastAsia"/>
          <w:b w:val="0"/>
          <w:bCs/>
          <w:color w:val="auto"/>
          <w:sz w:val="24"/>
          <w:szCs w:val="24"/>
          <w:highlight w:val="none"/>
        </w:rPr>
        <w:t>管理费、利润、税金（13%）、风险以及政策性文件规定收取的费用、财务费用等一切为完成本项目所需要的相应规范要求执行的在上述条款中可能遗漏的任何费用。</w:t>
      </w:r>
      <w:r>
        <w:rPr>
          <w:rFonts w:hint="eastAsia" w:ascii="宋体" w:hAnsi="宋体"/>
          <w:b/>
          <w:bCs/>
          <w:color w:val="auto"/>
          <w:sz w:val="24"/>
          <w:highlight w:val="none"/>
        </w:rPr>
        <w:t>如因国家增值税税率政策调整，本项目税前价格不变，并按最新税率调整相关含税金额。</w:t>
      </w:r>
      <w:r>
        <w:rPr>
          <w:rFonts w:hint="eastAsia" w:ascii="宋体" w:hAnsi="宋体" w:cs="Arial"/>
          <w:bCs/>
          <w:color w:val="auto"/>
          <w:sz w:val="24"/>
          <w:highlight w:val="none"/>
        </w:rPr>
        <w:t>采购人可根据实际情况调整采购数量，中标人不得以此为要求调整全费用综合单价。结算时，中标人在全费用综合单价不变的前提下，根据采购人的实际采购数量按实结算。</w:t>
      </w:r>
    </w:p>
    <w:p w14:paraId="22BECF11">
      <w:pPr>
        <w:shd w:val="clear"/>
        <w:snapToGrid w:val="0"/>
        <w:rPr>
          <w:color w:val="auto"/>
          <w:highlight w:val="none"/>
        </w:rPr>
      </w:pPr>
      <w:r>
        <w:rPr>
          <w:rFonts w:hint="eastAsia" w:ascii="宋体" w:hAnsi="宋体" w:cs="Arial"/>
          <w:bCs/>
          <w:color w:val="auto"/>
          <w:sz w:val="24"/>
          <w:highlight w:val="none"/>
        </w:rPr>
        <w:t>3、</w:t>
      </w:r>
      <w:r>
        <w:rPr>
          <w:rFonts w:ascii="宋体" w:hAnsi="宋体" w:cs="Arial"/>
          <w:bCs/>
          <w:color w:val="auto"/>
          <w:sz w:val="24"/>
          <w:highlight w:val="none"/>
        </w:rPr>
        <w:t>本工程量清单中的数量栏中的工程量仅作为确定中标综合单价使用，中标综合单价不因实际单项工程量与招标工程量的差异而调整综合单价，也不因为两者工程量偏差成为索赔因素。</w:t>
      </w:r>
    </w:p>
    <w:p w14:paraId="2680616A">
      <w:pPr>
        <w:pStyle w:val="7"/>
        <w:shd w:val="clear"/>
        <w:adjustRightInd w:val="0"/>
        <w:snapToGrid w:val="0"/>
        <w:rPr>
          <w:rFonts w:ascii="宋体" w:hAnsi="宋体"/>
          <w:color w:val="auto"/>
          <w:sz w:val="24"/>
          <w:highlight w:val="none"/>
        </w:rPr>
      </w:pPr>
      <w:r>
        <w:rPr>
          <w:rFonts w:hint="eastAsia" w:ascii="宋体" w:hAnsi="宋体" w:cs="Arial"/>
          <w:bCs/>
          <w:color w:val="auto"/>
          <w:sz w:val="24"/>
          <w:highlight w:val="none"/>
        </w:rPr>
        <w:t>4、其余内容详图纸、图集、规范及招标文件相关约定。</w:t>
      </w:r>
    </w:p>
    <w:p w14:paraId="11748F0C">
      <w:pPr>
        <w:shd w:val="clear"/>
        <w:ind w:left="420"/>
        <w:rPr>
          <w:rFonts w:ascii="宋体" w:hAnsi="宋体"/>
          <w:color w:val="auto"/>
          <w:sz w:val="24"/>
          <w:highlight w:val="none"/>
        </w:rPr>
      </w:pPr>
      <w:r>
        <w:rPr>
          <w:rFonts w:hint="eastAsia" w:ascii="宋体" w:hAnsi="宋体"/>
          <w:color w:val="auto"/>
          <w:sz w:val="24"/>
          <w:highlight w:val="none"/>
        </w:rPr>
        <w:t xml:space="preserve">投标人（盖章）：     </w:t>
      </w:r>
    </w:p>
    <w:p w14:paraId="526B3E75">
      <w:pPr>
        <w:shd w:val="clear"/>
        <w:ind w:left="420"/>
        <w:rPr>
          <w:rFonts w:hint="eastAsia" w:ascii="宋体" w:hAnsi="宋体" w:eastAsia="宋体"/>
          <w:color w:val="auto"/>
          <w:sz w:val="24"/>
          <w:highlight w:val="none"/>
          <w:lang w:eastAsia="zh-CN"/>
        </w:rPr>
      </w:pPr>
      <w:r>
        <w:rPr>
          <w:rFonts w:hint="eastAsia" w:ascii="宋体" w:hAnsi="宋体"/>
          <w:color w:val="auto"/>
          <w:sz w:val="24"/>
          <w:highlight w:val="none"/>
        </w:rPr>
        <w:t xml:space="preserve">法定代表人（签字或盖章）：                          </w:t>
      </w:r>
    </w:p>
    <w:p w14:paraId="30595D09">
      <w:pPr>
        <w:pStyle w:val="18"/>
        <w:shd w:val="clear"/>
        <w:ind w:left="0" w:leftChars="0" w:firstLine="720" w:firstLineChars="300"/>
        <w:rPr>
          <w:rFonts w:hint="default" w:eastAsia="宋体"/>
          <w:color w:val="auto"/>
          <w:highlight w:val="none"/>
          <w:lang w:val="en-US" w:eastAsia="zh-CN"/>
        </w:rPr>
      </w:pPr>
      <w:r>
        <w:rPr>
          <w:rFonts w:hint="eastAsia" w:ascii="宋体"/>
          <w:color w:val="auto"/>
          <w:sz w:val="24"/>
          <w:highlight w:val="none"/>
          <w:lang w:val="en-US" w:eastAsia="zh-CN"/>
        </w:rPr>
        <w:t xml:space="preserve">年   月   日 </w:t>
      </w:r>
    </w:p>
    <w:p w14:paraId="62C3C613">
      <w:pPr>
        <w:shd w:val="clear"/>
        <w:ind w:left="420"/>
        <w:rPr>
          <w:rFonts w:ascii="宋体" w:hAnsi="宋体"/>
          <w:color w:val="auto"/>
          <w:sz w:val="24"/>
          <w:highlight w:val="none"/>
        </w:rPr>
        <w:sectPr>
          <w:pgSz w:w="11906" w:h="16838"/>
          <w:pgMar w:top="1440" w:right="1188" w:bottom="1440" w:left="1797" w:header="851" w:footer="992" w:gutter="0"/>
          <w:cols w:space="720" w:num="1"/>
          <w:docGrid w:type="lines" w:linePitch="312" w:charSpace="0"/>
        </w:sectPr>
      </w:pPr>
    </w:p>
    <w:p w14:paraId="1BF83041">
      <w:pPr>
        <w:shd w:val="clear"/>
        <w:snapToGrid w:val="0"/>
        <w:ind w:right="140"/>
        <w:jc w:val="left"/>
        <w:rPr>
          <w:rFonts w:ascii="宋体" w:hAnsi="宋体" w:cs="宋体"/>
          <w:color w:val="auto"/>
          <w:sz w:val="24"/>
          <w:highlight w:val="none"/>
        </w:rPr>
      </w:pPr>
      <w:r>
        <w:rPr>
          <w:rFonts w:hint="eastAsia" w:ascii="宋体" w:hAnsi="宋体" w:cs="宋体"/>
          <w:b/>
          <w:bCs/>
          <w:color w:val="auto"/>
          <w:sz w:val="24"/>
          <w:highlight w:val="none"/>
        </w:rPr>
        <w:t>3、</w:t>
      </w:r>
      <w:r>
        <w:rPr>
          <w:rFonts w:hint="eastAsia" w:ascii="宋体" w:hAnsi="宋体" w:cs="宋体"/>
          <w:b/>
          <w:color w:val="auto"/>
          <w:sz w:val="24"/>
          <w:highlight w:val="none"/>
        </w:rPr>
        <w:t>投标报价清单</w:t>
      </w:r>
    </w:p>
    <w:p w14:paraId="13A62036">
      <w:pPr>
        <w:shd w:val="clear"/>
        <w:spacing w:line="360" w:lineRule="auto"/>
        <w:jc w:val="center"/>
        <w:rPr>
          <w:rFonts w:hint="eastAsia" w:ascii="宋体" w:hAnsi="宋体" w:eastAsia="宋体" w:cs="宋体"/>
          <w:b/>
          <w:color w:val="auto"/>
          <w:szCs w:val="28"/>
          <w:highlight w:val="none"/>
          <w:lang w:eastAsia="zh-CN"/>
        </w:rPr>
      </w:pPr>
      <w:r>
        <w:rPr>
          <w:rFonts w:hint="eastAsia" w:ascii="宋体" w:hAnsi="宋体" w:cs="宋体"/>
          <w:b/>
          <w:color w:val="auto"/>
          <w:szCs w:val="28"/>
          <w:highlight w:val="none"/>
          <w:lang w:eastAsia="zh-CN"/>
        </w:rPr>
        <w:t>台州国际博览中心项目设计采购施工（EPC）工程总承包无价材料采购【景观垃圾桶、可移动花箱、座凳】</w:t>
      </w:r>
    </w:p>
    <w:p w14:paraId="1F2A4EAB">
      <w:pPr>
        <w:shd w:val="clear"/>
        <w:spacing w:line="360" w:lineRule="auto"/>
        <w:jc w:val="center"/>
        <w:rPr>
          <w:rFonts w:ascii="黑体" w:hAnsi="宋体" w:eastAsia="黑体"/>
          <w:b/>
          <w:color w:val="auto"/>
          <w:sz w:val="32"/>
          <w:szCs w:val="20"/>
          <w:highlight w:val="none"/>
        </w:rPr>
      </w:pPr>
      <w:r>
        <w:rPr>
          <w:rFonts w:ascii="黑体" w:hAnsi="宋体" w:eastAsia="黑体"/>
          <w:b/>
          <w:color w:val="auto"/>
          <w:sz w:val="32"/>
          <w:szCs w:val="20"/>
          <w:highlight w:val="none"/>
        </w:rPr>
        <w:t>投标报价清单</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4"/>
        <w:gridCol w:w="1425"/>
        <w:gridCol w:w="6424"/>
        <w:gridCol w:w="1088"/>
        <w:gridCol w:w="847"/>
        <w:gridCol w:w="1051"/>
        <w:gridCol w:w="1278"/>
        <w:gridCol w:w="1606"/>
      </w:tblGrid>
      <w:tr w14:paraId="2957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1" w:hRule="atLeast"/>
        </w:trPr>
        <w:tc>
          <w:tcPr>
            <w:tcW w:w="157" w:type="pct"/>
            <w:shd w:val="clear" w:color="auto" w:fill="auto"/>
            <w:vAlign w:val="center"/>
          </w:tcPr>
          <w:p w14:paraId="08F1875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503" w:type="pct"/>
            <w:shd w:val="clear" w:color="auto" w:fill="auto"/>
            <w:vAlign w:val="center"/>
          </w:tcPr>
          <w:p w14:paraId="2E65959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 称</w:t>
            </w:r>
          </w:p>
        </w:tc>
        <w:tc>
          <w:tcPr>
            <w:tcW w:w="2268" w:type="pct"/>
            <w:shd w:val="clear" w:color="auto" w:fill="auto"/>
            <w:vAlign w:val="center"/>
          </w:tcPr>
          <w:p w14:paraId="52EEEAD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特征描述</w:t>
            </w:r>
          </w:p>
        </w:tc>
        <w:tc>
          <w:tcPr>
            <w:tcW w:w="384" w:type="pct"/>
            <w:shd w:val="clear" w:color="auto" w:fill="auto"/>
            <w:vAlign w:val="center"/>
          </w:tcPr>
          <w:p w14:paraId="33F7EF46">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299" w:type="pct"/>
            <w:shd w:val="clear" w:color="auto" w:fill="auto"/>
            <w:vAlign w:val="center"/>
          </w:tcPr>
          <w:p w14:paraId="6C0AC58E">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371" w:type="pct"/>
            <w:shd w:val="clear" w:color="auto" w:fill="auto"/>
            <w:vAlign w:val="center"/>
          </w:tcPr>
          <w:p w14:paraId="71294284">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全费用综合单价</w:t>
            </w:r>
            <w:r>
              <w:rPr>
                <w:rFonts w:hint="eastAsia" w:ascii="宋体" w:hAnsi="宋体" w:eastAsia="宋体" w:cs="宋体"/>
                <w:color w:val="auto"/>
                <w:sz w:val="21"/>
                <w:szCs w:val="21"/>
                <w:highlight w:val="none"/>
              </w:rPr>
              <w:t>（含税价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451" w:type="pct"/>
            <w:shd w:val="clear" w:color="auto" w:fill="auto"/>
            <w:vAlign w:val="center"/>
          </w:tcPr>
          <w:p w14:paraId="683F6A5D">
            <w:pPr>
              <w:widowControl/>
              <w:shd w:val="clear"/>
              <w:snapToGrid/>
              <w:spacing w:before="0" w:after="0" w:line="240" w:lineRule="auto"/>
              <w:ind w:leftChars="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p w14:paraId="4F491B90">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税价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564" w:type="pct"/>
            <w:shd w:val="clear" w:color="auto" w:fill="auto"/>
            <w:vAlign w:val="center"/>
          </w:tcPr>
          <w:p w14:paraId="5D222992">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eastAsia="zh-CN"/>
              </w:rPr>
              <w:t>全费用综合单价上限价</w:t>
            </w:r>
            <w:r>
              <w:rPr>
                <w:rFonts w:hint="eastAsia" w:ascii="宋体" w:hAnsi="宋体" w:eastAsia="宋体" w:cs="宋体"/>
                <w:color w:val="auto"/>
                <w:sz w:val="21"/>
                <w:szCs w:val="21"/>
                <w:highlight w:val="none"/>
              </w:rPr>
              <w:t>（含税价</w:t>
            </w:r>
            <w:r>
              <w:rPr>
                <w:rFonts w:hint="eastAsia" w:ascii="宋体" w:hAnsi="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r>
      <w:tr w14:paraId="7571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9" w:hRule="atLeast"/>
        </w:trPr>
        <w:tc>
          <w:tcPr>
            <w:tcW w:w="157" w:type="pct"/>
            <w:shd w:val="clear" w:color="auto" w:fill="auto"/>
            <w:vAlign w:val="center"/>
          </w:tcPr>
          <w:p w14:paraId="2E817FC4">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03" w:type="pct"/>
            <w:shd w:val="clear" w:color="auto" w:fill="auto"/>
            <w:vAlign w:val="center"/>
          </w:tcPr>
          <w:p w14:paraId="7CEDD49F">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垃圾桶</w:t>
            </w:r>
          </w:p>
        </w:tc>
        <w:tc>
          <w:tcPr>
            <w:tcW w:w="2268" w:type="pct"/>
            <w:shd w:val="clear" w:color="auto" w:fill="auto"/>
            <w:vAlign w:val="center"/>
          </w:tcPr>
          <w:p w14:paraId="582E3B0C">
            <w:pPr>
              <w:keepNext w:val="0"/>
              <w:keepLines w:val="0"/>
              <w:widowControl/>
              <w:suppressLineNumbers w:val="0"/>
              <w:shd w:val="clear"/>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1、名称：垃圾桶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2、工程量计算方式：按只计算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3、参考尺寸：外框尺寸：450X350X95cm，内筒尺寸：38X30X55cm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4、材质：采用304不锈钢，外框不锈钢常规厚1.0，内筒不锈钢厚度0.4厚，开启扇不锈钢厚度为1mm，四边向内90度弯折3次加强，弯折尺寸为0.8cm+2cm+1cm静电粉末喷塑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5、外框可开启扇。开启扇尺寸为45X65cm,开启扇黄色、开启扇浅灰色，外框同幕墙铝合金颜色。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6、黄色可回收垃圾logo加文字，灰色不可回收垃圾，外框印制logo（logo加文字需与标识一体化统一）（logo+台州国际博览中心）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7、厂家深化后，最终样式以</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确定为准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8、耐腐蚀等级≥9级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9、外观质量：外表镀层应结合良好，组织应细密，光滑均匀，色泽均匀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10、化学成分、拉伸试验、硬度试验等应符合《不锈钢冷轧钢板和钢带》GB/T 3280-2015的相关要求。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11、其余未说明参数应满足设计图纸、相关规范、招标文件及其技术要求</w:t>
            </w:r>
          </w:p>
        </w:tc>
        <w:tc>
          <w:tcPr>
            <w:tcW w:w="384" w:type="pct"/>
            <w:shd w:val="clear" w:color="auto" w:fill="auto"/>
            <w:vAlign w:val="center"/>
          </w:tcPr>
          <w:p w14:paraId="6DC057D7">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299" w:type="pct"/>
            <w:shd w:val="clear" w:color="auto" w:fill="auto"/>
            <w:vAlign w:val="center"/>
          </w:tcPr>
          <w:p w14:paraId="32C393DB">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371" w:type="pct"/>
            <w:shd w:val="clear" w:color="auto" w:fill="auto"/>
            <w:vAlign w:val="center"/>
          </w:tcPr>
          <w:p w14:paraId="1152B5E4">
            <w:pPr>
              <w:shd w:val="clear"/>
              <w:jc w:val="center"/>
              <w:rPr>
                <w:rFonts w:hint="eastAsia" w:ascii="宋体" w:hAnsi="宋体" w:eastAsia="宋体" w:cs="宋体"/>
                <w:i w:val="0"/>
                <w:iCs w:val="0"/>
                <w:color w:val="auto"/>
                <w:sz w:val="21"/>
                <w:szCs w:val="21"/>
                <w:highlight w:val="none"/>
                <w:u w:val="none"/>
              </w:rPr>
            </w:pPr>
          </w:p>
        </w:tc>
        <w:tc>
          <w:tcPr>
            <w:tcW w:w="451" w:type="pct"/>
            <w:shd w:val="clear" w:color="auto" w:fill="auto"/>
            <w:vAlign w:val="center"/>
          </w:tcPr>
          <w:p w14:paraId="67DE193A">
            <w:pPr>
              <w:shd w:val="clear"/>
              <w:jc w:val="center"/>
              <w:rPr>
                <w:rFonts w:hint="eastAsia" w:ascii="宋体" w:hAnsi="宋体" w:eastAsia="宋体" w:cs="宋体"/>
                <w:i w:val="0"/>
                <w:iCs w:val="0"/>
                <w:color w:val="auto"/>
                <w:sz w:val="21"/>
                <w:szCs w:val="21"/>
                <w:highlight w:val="none"/>
                <w:u w:val="none"/>
              </w:rPr>
            </w:pPr>
          </w:p>
        </w:tc>
        <w:tc>
          <w:tcPr>
            <w:tcW w:w="1606" w:type="dxa"/>
            <w:shd w:val="clear" w:color="auto" w:fill="auto"/>
            <w:vAlign w:val="center"/>
          </w:tcPr>
          <w:p w14:paraId="3ED779C8">
            <w:pPr>
              <w:keepNext w:val="0"/>
              <w:keepLines w:val="0"/>
              <w:widowControl/>
              <w:suppressLineNumbers w:val="0"/>
              <w:shd w:val="clear"/>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1425.24 </w:t>
            </w:r>
          </w:p>
        </w:tc>
      </w:tr>
      <w:tr w14:paraId="75BB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trPr>
        <w:tc>
          <w:tcPr>
            <w:tcW w:w="157" w:type="pct"/>
            <w:shd w:val="clear" w:color="auto" w:fill="auto"/>
            <w:vAlign w:val="center"/>
          </w:tcPr>
          <w:p w14:paraId="622F7487">
            <w:pPr>
              <w:keepNext w:val="0"/>
              <w:keepLines w:val="0"/>
              <w:widowControl/>
              <w:suppressLineNumbers w:val="0"/>
              <w:shd w:val="clear"/>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503" w:type="pct"/>
            <w:shd w:val="clear" w:color="auto" w:fill="auto"/>
            <w:vAlign w:val="center"/>
          </w:tcPr>
          <w:p w14:paraId="41B71B58">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可移动花箱</w:t>
            </w:r>
          </w:p>
        </w:tc>
        <w:tc>
          <w:tcPr>
            <w:tcW w:w="2268" w:type="pct"/>
            <w:shd w:val="clear" w:color="auto" w:fill="auto"/>
            <w:vAlign w:val="center"/>
          </w:tcPr>
          <w:p w14:paraId="1D616051">
            <w:pPr>
              <w:keepNext w:val="0"/>
              <w:keepLines w:val="0"/>
              <w:widowControl/>
              <w:suppressLineNumbers w:val="0"/>
              <w:shd w:val="clear"/>
              <w:jc w:val="left"/>
              <w:textAlignment w:val="center"/>
              <w:rPr>
                <w:rStyle w:val="36"/>
                <w:color w:val="auto"/>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1、名称：可移动花箱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2、工程量计算方式：按个计算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3、参考尺寸：80X60X40cm，其中底座70X50X5cm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4、材质：1.5mm厚304不锈钢（表面处理：静电粉喷塑）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5、颜色为同幕墙铝合金颜色。两正面加印logo（logo加文字需与标识一体化统一）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6、底板四角各开孔径1cm的孔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7、厂家深化后，最终样式以</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确定为准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8、耐腐蚀等级≥9级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9、外观质量：外表镀层应结合良好，组织应细密，光滑均匀，色泽均匀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10、化学成分、拉伸试验、硬度试验等应符合《不锈钢冷轧钢板和钢带》GB/T 3280-2015的相关要求。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11、其余未说明参数应满足设计图纸、相关规范、招标文件及其技术要求</w:t>
            </w:r>
          </w:p>
        </w:tc>
        <w:tc>
          <w:tcPr>
            <w:tcW w:w="384" w:type="pct"/>
            <w:shd w:val="clear" w:color="auto" w:fill="auto"/>
            <w:vAlign w:val="center"/>
          </w:tcPr>
          <w:p w14:paraId="71F98738">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24</w:t>
            </w:r>
          </w:p>
        </w:tc>
        <w:tc>
          <w:tcPr>
            <w:tcW w:w="299" w:type="pct"/>
            <w:shd w:val="clear" w:color="auto" w:fill="auto"/>
            <w:vAlign w:val="center"/>
          </w:tcPr>
          <w:p w14:paraId="25C9C0B1">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371" w:type="pct"/>
            <w:shd w:val="clear" w:color="auto" w:fill="auto"/>
            <w:vAlign w:val="center"/>
          </w:tcPr>
          <w:p w14:paraId="179CA94A">
            <w:pPr>
              <w:shd w:val="clear"/>
              <w:jc w:val="center"/>
              <w:rPr>
                <w:rFonts w:hint="eastAsia" w:ascii="宋体" w:hAnsi="宋体" w:eastAsia="宋体" w:cs="宋体"/>
                <w:i w:val="0"/>
                <w:iCs w:val="0"/>
                <w:color w:val="auto"/>
                <w:sz w:val="21"/>
                <w:szCs w:val="21"/>
                <w:highlight w:val="none"/>
                <w:u w:val="none"/>
              </w:rPr>
            </w:pPr>
          </w:p>
        </w:tc>
        <w:tc>
          <w:tcPr>
            <w:tcW w:w="451" w:type="pct"/>
            <w:shd w:val="clear" w:color="auto" w:fill="auto"/>
            <w:vAlign w:val="center"/>
          </w:tcPr>
          <w:p w14:paraId="5C833946">
            <w:pPr>
              <w:shd w:val="clear"/>
              <w:jc w:val="center"/>
              <w:rPr>
                <w:rFonts w:hint="eastAsia" w:ascii="宋体" w:hAnsi="宋体" w:eastAsia="宋体" w:cs="宋体"/>
                <w:i w:val="0"/>
                <w:iCs w:val="0"/>
                <w:color w:val="auto"/>
                <w:sz w:val="21"/>
                <w:szCs w:val="21"/>
                <w:highlight w:val="none"/>
                <w:u w:val="none"/>
              </w:rPr>
            </w:pPr>
          </w:p>
        </w:tc>
        <w:tc>
          <w:tcPr>
            <w:tcW w:w="1606" w:type="dxa"/>
            <w:shd w:val="clear" w:color="auto" w:fill="auto"/>
            <w:vAlign w:val="center"/>
          </w:tcPr>
          <w:p w14:paraId="7E0C8B62">
            <w:pPr>
              <w:keepNext w:val="0"/>
              <w:keepLines w:val="0"/>
              <w:widowControl/>
              <w:suppressLineNumbers w:val="0"/>
              <w:shd w:val="clear"/>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 xml:space="preserve">1465.20 </w:t>
            </w:r>
          </w:p>
        </w:tc>
      </w:tr>
      <w:tr w14:paraId="12C3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trPr>
        <w:tc>
          <w:tcPr>
            <w:tcW w:w="157" w:type="pct"/>
            <w:shd w:val="clear" w:color="auto" w:fill="auto"/>
            <w:vAlign w:val="center"/>
          </w:tcPr>
          <w:p w14:paraId="38A6CF68">
            <w:pPr>
              <w:keepNext w:val="0"/>
              <w:keepLines w:val="0"/>
              <w:widowControl/>
              <w:suppressLineNumbers w:val="0"/>
              <w:shd w:val="clear"/>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503" w:type="pct"/>
            <w:shd w:val="clear" w:color="auto" w:fill="auto"/>
            <w:vAlign w:val="center"/>
          </w:tcPr>
          <w:p w14:paraId="64D414D4">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座凳</w:t>
            </w:r>
          </w:p>
        </w:tc>
        <w:tc>
          <w:tcPr>
            <w:tcW w:w="2268" w:type="pct"/>
            <w:shd w:val="clear" w:color="auto" w:fill="auto"/>
            <w:vAlign w:val="center"/>
          </w:tcPr>
          <w:p w14:paraId="7BE3D8A0">
            <w:pPr>
              <w:keepNext w:val="0"/>
              <w:keepLines w:val="0"/>
              <w:widowControl/>
              <w:suppressLineNumbers w:val="0"/>
              <w:shd w:val="clear"/>
              <w:jc w:val="left"/>
              <w:textAlignment w:val="center"/>
              <w:rPr>
                <w:rStyle w:val="36"/>
                <w:color w:val="auto"/>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1、名称：坐凳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2、工程量计算方式：按只计算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3、参考尺寸：150X60X78cm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4、材质：1.2mm厚304不锈钢+20mm瓷态竹木板（表面处理：静电粉喷塑厚度3um，竹木打磨平整光滑无毛刺，面刷防腐漆竹木颜色同参考图片）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坐板尺寸宽度38cm，椅腿短边与地面接触尺寸为60cm，椅座距离地面40cm，靠背高度38cm，竹木20MM厚，12cm宽，不锈钢骨架宽度15cm，连接不锈钢和竹木的不锈钢条尺寸为1.2X4X80cm共3条，不锈钢和竹木板四周圆角处理，圆角半径为3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6、logo位于靠背不锈钢居中位置。logo整体为不锈钢原色（logo加文字需与标识一体化统一）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7、厂家深化后，最终样式以</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确定为准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8、瓷态竹木板的含水率在6%~10%，密度1.2~1.3g/cm3,防霉变色0级，抗白蚁级，防火B级，平均年限20年以上，耐腐蚀等级≥9级，其余参数满足GB/T17657-2013、GB/T18261-2013等规范要求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9、外观质量：外表镀层应结合良好，组织应细密，光滑均匀，色泽均匀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10、有害物质检测应符合GB6675.4-2014八大重金属迁移及GB18584-2001有害物质限量中的相关要求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11、其余未说明参数应满足设计图纸、相关规范、招标文件及其技术要求</w:t>
            </w:r>
          </w:p>
        </w:tc>
        <w:tc>
          <w:tcPr>
            <w:tcW w:w="384" w:type="pct"/>
            <w:shd w:val="clear" w:color="auto" w:fill="auto"/>
            <w:vAlign w:val="center"/>
          </w:tcPr>
          <w:p w14:paraId="408C81F4">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w:t>
            </w:r>
          </w:p>
        </w:tc>
        <w:tc>
          <w:tcPr>
            <w:tcW w:w="299" w:type="pct"/>
            <w:shd w:val="clear" w:color="auto" w:fill="auto"/>
            <w:vAlign w:val="center"/>
          </w:tcPr>
          <w:p w14:paraId="60B6EF5C">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只</w:t>
            </w:r>
          </w:p>
        </w:tc>
        <w:tc>
          <w:tcPr>
            <w:tcW w:w="371" w:type="pct"/>
            <w:shd w:val="clear" w:color="auto" w:fill="auto"/>
            <w:vAlign w:val="center"/>
          </w:tcPr>
          <w:p w14:paraId="4030C1DC">
            <w:pPr>
              <w:shd w:val="clear"/>
              <w:jc w:val="center"/>
              <w:rPr>
                <w:rFonts w:hint="eastAsia" w:ascii="宋体" w:hAnsi="宋体" w:eastAsia="宋体" w:cs="宋体"/>
                <w:i w:val="0"/>
                <w:iCs w:val="0"/>
                <w:color w:val="auto"/>
                <w:sz w:val="21"/>
                <w:szCs w:val="21"/>
                <w:highlight w:val="none"/>
                <w:u w:val="none"/>
              </w:rPr>
            </w:pPr>
          </w:p>
        </w:tc>
        <w:tc>
          <w:tcPr>
            <w:tcW w:w="451" w:type="pct"/>
            <w:shd w:val="clear" w:color="auto" w:fill="auto"/>
            <w:vAlign w:val="center"/>
          </w:tcPr>
          <w:p w14:paraId="07AED200">
            <w:pPr>
              <w:shd w:val="clear"/>
              <w:jc w:val="center"/>
              <w:rPr>
                <w:rFonts w:hint="eastAsia" w:ascii="宋体" w:hAnsi="宋体" w:eastAsia="宋体" w:cs="宋体"/>
                <w:i w:val="0"/>
                <w:iCs w:val="0"/>
                <w:color w:val="auto"/>
                <w:sz w:val="21"/>
                <w:szCs w:val="21"/>
                <w:highlight w:val="none"/>
                <w:u w:val="none"/>
              </w:rPr>
            </w:pPr>
          </w:p>
        </w:tc>
        <w:tc>
          <w:tcPr>
            <w:tcW w:w="1606" w:type="dxa"/>
            <w:shd w:val="clear" w:color="auto" w:fill="auto"/>
            <w:vAlign w:val="center"/>
          </w:tcPr>
          <w:p w14:paraId="4B784A77">
            <w:pPr>
              <w:keepNext w:val="0"/>
              <w:keepLines w:val="0"/>
              <w:widowControl/>
              <w:suppressLineNumbers w:val="0"/>
              <w:shd w:val="clear"/>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 xml:space="preserve">3036.96 </w:t>
            </w:r>
          </w:p>
        </w:tc>
      </w:tr>
      <w:tr w14:paraId="3FA4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trPr>
        <w:tc>
          <w:tcPr>
            <w:tcW w:w="157" w:type="pct"/>
            <w:shd w:val="clear" w:color="auto" w:fill="auto"/>
            <w:vAlign w:val="center"/>
          </w:tcPr>
          <w:p w14:paraId="33066242">
            <w:pPr>
              <w:keepNext w:val="0"/>
              <w:keepLines w:val="0"/>
              <w:widowControl/>
              <w:suppressLineNumbers w:val="0"/>
              <w:shd w:val="clear"/>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503" w:type="pct"/>
            <w:shd w:val="clear" w:color="auto" w:fill="auto"/>
            <w:vAlign w:val="center"/>
          </w:tcPr>
          <w:p w14:paraId="02BF8E5D">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可移动花箱</w:t>
            </w:r>
          </w:p>
        </w:tc>
        <w:tc>
          <w:tcPr>
            <w:tcW w:w="2268" w:type="pct"/>
            <w:shd w:val="clear" w:color="auto" w:fill="auto"/>
            <w:vAlign w:val="center"/>
          </w:tcPr>
          <w:p w14:paraId="08BA4645">
            <w:pPr>
              <w:keepNext w:val="0"/>
              <w:keepLines w:val="0"/>
              <w:widowControl/>
              <w:suppressLineNumbers w:val="0"/>
              <w:shd w:val="clear"/>
              <w:jc w:val="left"/>
              <w:textAlignment w:val="center"/>
              <w:rPr>
                <w:rStyle w:val="36"/>
                <w:color w:val="auto"/>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1、名称：可移动花箱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2、工程量计算方式：按个计算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3、参考尺寸：80X60X30cm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4、材质：1.5mm厚304不锈钢（表面处理：静电粉喷塑）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5、颜色为同幕墙铝合金颜色。两正面加印logo（logo加文字需与标识一体化统一），花箱间隔150cm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6、底板四角各开孔径1cm的孔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7、厂家深化后，最终样式以</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确定为准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8、耐腐蚀等级≥9级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9、外观质量：外表镀层应结合良好，组织应细密，光滑均匀，色泽均匀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10、化学成分、拉伸试验、硬度试验等应符合《不锈钢冷轧钢板和钢带》GB/T 3280-2015的相关要求。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11、其余未说明参数应满足设计图纸、相关规范、招标文件及其技术要求</w:t>
            </w:r>
          </w:p>
        </w:tc>
        <w:tc>
          <w:tcPr>
            <w:tcW w:w="384" w:type="pct"/>
            <w:shd w:val="clear" w:color="auto" w:fill="auto"/>
            <w:vAlign w:val="center"/>
          </w:tcPr>
          <w:p w14:paraId="33192068">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162</w:t>
            </w:r>
          </w:p>
        </w:tc>
        <w:tc>
          <w:tcPr>
            <w:tcW w:w="299" w:type="pct"/>
            <w:shd w:val="clear" w:color="auto" w:fill="auto"/>
            <w:vAlign w:val="center"/>
          </w:tcPr>
          <w:p w14:paraId="5CA43C70">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371" w:type="pct"/>
            <w:shd w:val="clear" w:color="auto" w:fill="auto"/>
            <w:vAlign w:val="center"/>
          </w:tcPr>
          <w:p w14:paraId="456A39B9">
            <w:pPr>
              <w:shd w:val="clear"/>
              <w:jc w:val="center"/>
              <w:rPr>
                <w:rFonts w:hint="eastAsia" w:ascii="宋体" w:hAnsi="宋体" w:eastAsia="宋体" w:cs="宋体"/>
                <w:i w:val="0"/>
                <w:iCs w:val="0"/>
                <w:color w:val="auto"/>
                <w:sz w:val="21"/>
                <w:szCs w:val="21"/>
                <w:highlight w:val="none"/>
                <w:u w:val="none"/>
              </w:rPr>
            </w:pPr>
          </w:p>
        </w:tc>
        <w:tc>
          <w:tcPr>
            <w:tcW w:w="451" w:type="pct"/>
            <w:shd w:val="clear" w:color="auto" w:fill="auto"/>
            <w:vAlign w:val="center"/>
          </w:tcPr>
          <w:p w14:paraId="112CB41A">
            <w:pPr>
              <w:shd w:val="clear"/>
              <w:jc w:val="center"/>
              <w:rPr>
                <w:rFonts w:hint="eastAsia" w:ascii="宋体" w:hAnsi="宋体" w:eastAsia="宋体" w:cs="宋体"/>
                <w:i w:val="0"/>
                <w:iCs w:val="0"/>
                <w:color w:val="auto"/>
                <w:sz w:val="21"/>
                <w:szCs w:val="21"/>
                <w:highlight w:val="none"/>
                <w:u w:val="none"/>
              </w:rPr>
            </w:pPr>
          </w:p>
        </w:tc>
        <w:tc>
          <w:tcPr>
            <w:tcW w:w="1606" w:type="dxa"/>
            <w:shd w:val="clear" w:color="auto" w:fill="auto"/>
            <w:vAlign w:val="center"/>
          </w:tcPr>
          <w:p w14:paraId="6E605136">
            <w:pPr>
              <w:keepNext w:val="0"/>
              <w:keepLines w:val="0"/>
              <w:widowControl/>
              <w:suppressLineNumbers w:val="0"/>
              <w:shd w:val="clear"/>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 xml:space="preserve">1118.88 </w:t>
            </w:r>
          </w:p>
        </w:tc>
      </w:tr>
      <w:tr w14:paraId="6A49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000" w:type="pct"/>
            <w:gridSpan w:val="8"/>
            <w:shd w:val="clear" w:color="auto" w:fill="auto"/>
            <w:vAlign w:val="top"/>
          </w:tcPr>
          <w:p w14:paraId="24A8C1EC">
            <w:pPr>
              <w:keepNext w:val="0"/>
              <w:keepLines w:val="0"/>
              <w:widowControl/>
              <w:suppressLineNumbers w:val="0"/>
              <w:shd w:val="clear"/>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合计</w:t>
            </w:r>
            <w:r>
              <w:rPr>
                <w:rFonts w:hint="eastAsia" w:ascii="宋体" w:hAnsi="宋体" w:cs="宋体"/>
                <w:i w:val="0"/>
                <w:iCs w:val="0"/>
                <w:color w:val="auto"/>
                <w:kern w:val="0"/>
                <w:sz w:val="21"/>
                <w:szCs w:val="21"/>
                <w:highlight w:val="none"/>
                <w:u w:val="none"/>
                <w:lang w:val="en-US" w:eastAsia="zh-CN" w:bidi="ar"/>
              </w:rPr>
              <w:t>（1+2+3+4）=</w:t>
            </w:r>
            <w:r>
              <w:rPr>
                <w:rFonts w:hint="eastAsia" w:ascii="宋体" w:hAnsi="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元（含税）    大写：</w:t>
            </w:r>
            <w:r>
              <w:rPr>
                <w:rFonts w:hint="eastAsia" w:ascii="宋体" w:hAnsi="宋体" w:eastAsia="宋体" w:cs="宋体"/>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元（含税）</w:t>
            </w:r>
          </w:p>
          <w:p w14:paraId="6A3BE160">
            <w:pPr>
              <w:keepNext w:val="0"/>
              <w:keepLines w:val="0"/>
              <w:widowControl/>
              <w:suppressLineNumbers w:val="0"/>
              <w:shd w:val="clear"/>
              <w:jc w:val="both"/>
              <w:textAlignment w:val="center"/>
              <w:rPr>
                <w:rFonts w:hint="eastAsia" w:ascii="宋体" w:hAnsi="宋体" w:eastAsia="宋体" w:cs="宋体"/>
                <w:i w:val="0"/>
                <w:iCs w:val="0"/>
                <w:color w:val="auto"/>
                <w:kern w:val="0"/>
                <w:sz w:val="21"/>
                <w:szCs w:val="21"/>
                <w:highlight w:val="none"/>
                <w:u w:val="none"/>
                <w:lang w:val="en-US" w:eastAsia="zh-CN" w:bidi="ar"/>
              </w:rPr>
            </w:pPr>
          </w:p>
          <w:p w14:paraId="14473073">
            <w:pPr>
              <w:keepNext w:val="0"/>
              <w:keepLines w:val="0"/>
              <w:widowControl/>
              <w:suppressLineNumbers w:val="0"/>
              <w:shd w:val="clear"/>
              <w:jc w:val="left"/>
              <w:textAlignment w:val="top"/>
              <w:rPr>
                <w:rStyle w:val="44"/>
                <w:rFonts w:hint="default"/>
                <w:color w:val="auto"/>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（转结至附件2：开标一览表）</w:t>
            </w:r>
          </w:p>
        </w:tc>
      </w:tr>
      <w:tr w14:paraId="7C4D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2" w:hRule="atLeast"/>
        </w:trPr>
        <w:tc>
          <w:tcPr>
            <w:tcW w:w="5000" w:type="pct"/>
            <w:gridSpan w:val="8"/>
            <w:shd w:val="clear" w:color="auto" w:fill="auto"/>
            <w:vAlign w:val="top"/>
          </w:tcPr>
          <w:p w14:paraId="7DDE9AE7">
            <w:pPr>
              <w:widowControl/>
              <w:shd w:val="clear"/>
              <w:jc w:val="left"/>
              <w:textAlignment w:val="top"/>
              <w:rPr>
                <w:rFonts w:hint="eastAsia" w:ascii="宋体" w:hAnsi="宋体" w:cs="宋体"/>
                <w:b w:val="0"/>
                <w:color w:val="auto"/>
                <w:kern w:val="0"/>
                <w:sz w:val="21"/>
                <w:szCs w:val="21"/>
                <w:highlight w:val="none"/>
                <w:u w:val="none"/>
                <w:lang w:bidi="ar"/>
              </w:rPr>
            </w:pPr>
            <w:r>
              <w:rPr>
                <w:rFonts w:hint="eastAsia" w:ascii="宋体" w:hAnsi="宋体" w:cs="宋体"/>
                <w:b w:val="0"/>
                <w:color w:val="auto"/>
                <w:kern w:val="0"/>
                <w:sz w:val="21"/>
                <w:szCs w:val="21"/>
                <w:highlight w:val="none"/>
                <w:u w:val="none"/>
                <w:lang w:bidi="ar"/>
              </w:rPr>
              <w:t>注：</w:t>
            </w:r>
            <w:r>
              <w:rPr>
                <w:rFonts w:hint="eastAsia" w:ascii="宋体" w:hAnsi="宋体" w:cs="宋体"/>
                <w:b w:val="0"/>
                <w:color w:val="auto"/>
                <w:kern w:val="0"/>
                <w:sz w:val="21"/>
                <w:szCs w:val="21"/>
                <w:highlight w:val="none"/>
                <w:u w:val="none"/>
                <w:lang w:bidi="ar"/>
              </w:rPr>
              <w:fldChar w:fldCharType="begin"/>
            </w:r>
            <w:r>
              <w:rPr>
                <w:rFonts w:hint="eastAsia" w:ascii="宋体" w:hAnsi="宋体" w:cs="宋体"/>
                <w:b w:val="0"/>
                <w:color w:val="auto"/>
                <w:kern w:val="0"/>
                <w:sz w:val="21"/>
                <w:szCs w:val="21"/>
                <w:highlight w:val="none"/>
                <w:u w:val="none"/>
                <w:lang w:bidi="ar"/>
              </w:rPr>
              <w:instrText xml:space="preserve"> = 1 \* GB3 \* MERGEFORMAT </w:instrText>
            </w:r>
            <w:r>
              <w:rPr>
                <w:rFonts w:hint="eastAsia" w:ascii="宋体" w:hAnsi="宋体" w:cs="宋体"/>
                <w:b w:val="0"/>
                <w:color w:val="auto"/>
                <w:kern w:val="0"/>
                <w:sz w:val="21"/>
                <w:szCs w:val="21"/>
                <w:highlight w:val="none"/>
                <w:u w:val="none"/>
                <w:lang w:bidi="ar"/>
              </w:rPr>
              <w:fldChar w:fldCharType="separate"/>
            </w:r>
            <w:r>
              <w:rPr>
                <w:rFonts w:hint="eastAsia" w:ascii="宋体" w:hAnsi="宋体" w:cs="宋体"/>
                <w:b w:val="0"/>
                <w:color w:val="auto"/>
                <w:kern w:val="0"/>
                <w:sz w:val="21"/>
                <w:szCs w:val="21"/>
                <w:highlight w:val="none"/>
                <w:u w:val="none"/>
                <w:lang w:bidi="ar"/>
              </w:rPr>
              <w:t>①</w:t>
            </w:r>
            <w:r>
              <w:rPr>
                <w:rFonts w:hint="eastAsia" w:ascii="宋体" w:hAnsi="宋体" w:cs="宋体"/>
                <w:b w:val="0"/>
                <w:color w:val="auto"/>
                <w:kern w:val="0"/>
                <w:sz w:val="21"/>
                <w:szCs w:val="21"/>
                <w:highlight w:val="none"/>
                <w:u w:val="none"/>
                <w:lang w:bidi="ar"/>
              </w:rPr>
              <w:fldChar w:fldCharType="end"/>
            </w:r>
            <w:r>
              <w:rPr>
                <w:rFonts w:hint="eastAsia" w:ascii="宋体" w:hAnsi="宋体" w:cs="宋体"/>
                <w:b w:val="0"/>
                <w:color w:val="auto"/>
                <w:kern w:val="0"/>
                <w:sz w:val="21"/>
                <w:szCs w:val="21"/>
                <w:highlight w:val="none"/>
                <w:u w:val="none"/>
                <w:lang w:bidi="ar"/>
              </w:rPr>
              <w:t>投标报价清单中除</w:t>
            </w:r>
            <w:r>
              <w:rPr>
                <w:rFonts w:hint="eastAsia" w:ascii="宋体" w:hAnsi="宋体" w:cs="宋体"/>
                <w:b w:val="0"/>
                <w:color w:val="auto"/>
                <w:kern w:val="0"/>
                <w:sz w:val="21"/>
                <w:szCs w:val="21"/>
                <w:highlight w:val="none"/>
                <w:u w:val="none"/>
                <w:lang w:val="en-US" w:eastAsia="zh-CN" w:bidi="ar"/>
              </w:rPr>
              <w:t>全费用综合</w:t>
            </w:r>
            <w:r>
              <w:rPr>
                <w:rFonts w:hint="eastAsia" w:ascii="宋体" w:hAnsi="宋体" w:cs="宋体"/>
                <w:b w:val="0"/>
                <w:color w:val="auto"/>
                <w:kern w:val="0"/>
                <w:sz w:val="21"/>
                <w:szCs w:val="21"/>
                <w:highlight w:val="none"/>
                <w:u w:val="none"/>
                <w:lang w:bidi="ar"/>
              </w:rPr>
              <w:t>单价（含税价）</w:t>
            </w:r>
            <w:r>
              <w:rPr>
                <w:rFonts w:hint="eastAsia" w:ascii="宋体" w:hAnsi="宋体" w:cs="宋体"/>
                <w:b w:val="0"/>
                <w:color w:val="auto"/>
                <w:kern w:val="0"/>
                <w:sz w:val="21"/>
                <w:szCs w:val="21"/>
                <w:highlight w:val="none"/>
                <w:u w:val="none"/>
                <w:lang w:eastAsia="zh-CN" w:bidi="ar"/>
              </w:rPr>
              <w:t>、</w:t>
            </w:r>
            <w:r>
              <w:rPr>
                <w:rFonts w:hint="eastAsia" w:ascii="宋体" w:hAnsi="宋体" w:cs="宋体"/>
                <w:b w:val="0"/>
                <w:color w:val="auto"/>
                <w:kern w:val="0"/>
                <w:sz w:val="21"/>
                <w:szCs w:val="21"/>
                <w:highlight w:val="none"/>
                <w:u w:val="none"/>
                <w:lang w:bidi="ar"/>
              </w:rPr>
              <w:t>小计（含税价）由投标人自行填写</w:t>
            </w:r>
            <w:r>
              <w:rPr>
                <w:rFonts w:hint="eastAsia" w:ascii="宋体" w:hAnsi="宋体" w:cs="宋体"/>
                <w:b w:val="0"/>
                <w:color w:val="auto"/>
                <w:kern w:val="0"/>
                <w:sz w:val="21"/>
                <w:szCs w:val="21"/>
                <w:highlight w:val="none"/>
                <w:u w:val="none"/>
                <w:lang w:eastAsia="zh-CN" w:bidi="ar"/>
              </w:rPr>
              <w:t>。</w:t>
            </w:r>
            <w:r>
              <w:rPr>
                <w:rFonts w:hint="eastAsia" w:ascii="宋体" w:hAnsi="宋体" w:cs="宋体"/>
                <w:b w:val="0"/>
                <w:color w:val="auto"/>
                <w:kern w:val="0"/>
                <w:sz w:val="21"/>
                <w:szCs w:val="21"/>
                <w:highlight w:val="none"/>
                <w:u w:val="none"/>
                <w:lang w:bidi="ar"/>
              </w:rPr>
              <w:t>其余的所有内容（包括</w:t>
            </w:r>
            <w:r>
              <w:rPr>
                <w:rFonts w:hint="eastAsia" w:ascii="宋体" w:hAnsi="宋体" w:cs="宋体"/>
                <w:b w:val="0"/>
                <w:color w:val="auto"/>
                <w:kern w:val="0"/>
                <w:sz w:val="21"/>
                <w:szCs w:val="21"/>
                <w:highlight w:val="none"/>
                <w:u w:val="none"/>
                <w:lang w:val="en-US" w:eastAsia="zh-CN" w:bidi="ar"/>
              </w:rPr>
              <w:t>序号、项目名称</w:t>
            </w:r>
            <w:r>
              <w:rPr>
                <w:rFonts w:hint="eastAsia" w:ascii="宋体" w:hAnsi="宋体" w:cs="宋体"/>
                <w:b w:val="0"/>
                <w:color w:val="auto"/>
                <w:kern w:val="0"/>
                <w:sz w:val="21"/>
                <w:szCs w:val="21"/>
                <w:highlight w:val="none"/>
                <w:u w:val="none"/>
                <w:lang w:bidi="ar"/>
              </w:rPr>
              <w:t>、特征描述、</w:t>
            </w:r>
            <w:r>
              <w:rPr>
                <w:rFonts w:hint="eastAsia" w:ascii="宋体" w:hAnsi="宋体" w:cs="宋体"/>
                <w:b w:val="0"/>
                <w:color w:val="auto"/>
                <w:kern w:val="0"/>
                <w:sz w:val="21"/>
                <w:szCs w:val="21"/>
                <w:highlight w:val="none"/>
                <w:u w:val="none"/>
                <w:lang w:val="en-US" w:eastAsia="zh-CN" w:bidi="ar"/>
              </w:rPr>
              <w:t>暂定</w:t>
            </w:r>
            <w:r>
              <w:rPr>
                <w:rFonts w:hint="eastAsia" w:ascii="宋体" w:hAnsi="宋体" w:cs="宋体"/>
                <w:b w:val="0"/>
                <w:color w:val="auto"/>
                <w:kern w:val="0"/>
                <w:sz w:val="21"/>
                <w:szCs w:val="21"/>
                <w:highlight w:val="none"/>
                <w:u w:val="none"/>
                <w:lang w:bidi="ar"/>
              </w:rPr>
              <w:t>数量、计量单位、</w:t>
            </w:r>
            <w:r>
              <w:rPr>
                <w:rFonts w:hint="eastAsia" w:ascii="宋体" w:hAnsi="宋体" w:cs="宋体"/>
                <w:b w:val="0"/>
                <w:color w:val="auto"/>
                <w:kern w:val="0"/>
                <w:sz w:val="21"/>
                <w:szCs w:val="21"/>
                <w:highlight w:val="none"/>
                <w:u w:val="none"/>
                <w:lang w:val="en-US" w:eastAsia="zh-CN" w:bidi="ar"/>
              </w:rPr>
              <w:t>含税</w:t>
            </w:r>
            <w:r>
              <w:rPr>
                <w:rFonts w:hint="eastAsia" w:ascii="宋体" w:hAnsi="宋体" w:cs="宋体"/>
                <w:b w:val="0"/>
                <w:color w:val="auto"/>
                <w:kern w:val="0"/>
                <w:sz w:val="21"/>
                <w:szCs w:val="21"/>
                <w:highlight w:val="none"/>
                <w:u w:val="none"/>
                <w:lang w:bidi="ar"/>
              </w:rPr>
              <w:t>全费用综合单价上限均不得修改、删减或增加），否则以无效标处理。</w:t>
            </w:r>
          </w:p>
          <w:p w14:paraId="2E25ACE7">
            <w:pPr>
              <w:widowControl/>
              <w:shd w:val="clear"/>
              <w:jc w:val="left"/>
              <w:textAlignment w:val="top"/>
              <w:rPr>
                <w:rFonts w:hint="eastAsia" w:ascii="宋体" w:hAnsi="宋体" w:cs="宋体"/>
                <w:b w:val="0"/>
                <w:color w:val="auto"/>
                <w:kern w:val="0"/>
                <w:sz w:val="21"/>
                <w:szCs w:val="21"/>
                <w:highlight w:val="none"/>
                <w:u w:val="none"/>
                <w:lang w:val="en-US" w:eastAsia="zh-CN" w:bidi="ar"/>
              </w:rPr>
            </w:pPr>
            <w:r>
              <w:rPr>
                <w:rFonts w:hint="eastAsia" w:ascii="宋体" w:hAnsi="宋体" w:cs="宋体"/>
                <w:b w:val="0"/>
                <w:color w:val="auto"/>
                <w:kern w:val="0"/>
                <w:sz w:val="21"/>
                <w:szCs w:val="21"/>
                <w:highlight w:val="none"/>
                <w:u w:val="none"/>
                <w:lang w:bidi="ar"/>
              </w:rPr>
              <w:fldChar w:fldCharType="begin"/>
            </w:r>
            <w:r>
              <w:rPr>
                <w:rFonts w:hint="eastAsia" w:ascii="宋体" w:hAnsi="宋体" w:cs="宋体"/>
                <w:b w:val="0"/>
                <w:color w:val="auto"/>
                <w:kern w:val="0"/>
                <w:sz w:val="21"/>
                <w:szCs w:val="21"/>
                <w:highlight w:val="none"/>
                <w:u w:val="none"/>
                <w:lang w:bidi="ar"/>
              </w:rPr>
              <w:instrText xml:space="preserve"> = 2 \* GB3 \* MERGEFORMAT </w:instrText>
            </w:r>
            <w:r>
              <w:rPr>
                <w:rFonts w:hint="eastAsia" w:ascii="宋体" w:hAnsi="宋体" w:cs="宋体"/>
                <w:b w:val="0"/>
                <w:color w:val="auto"/>
                <w:kern w:val="0"/>
                <w:sz w:val="21"/>
                <w:szCs w:val="21"/>
                <w:highlight w:val="none"/>
                <w:u w:val="none"/>
                <w:lang w:bidi="ar"/>
              </w:rPr>
              <w:fldChar w:fldCharType="separate"/>
            </w:r>
            <w:r>
              <w:rPr>
                <w:rFonts w:hint="eastAsia" w:ascii="宋体" w:hAnsi="宋体" w:cs="宋体"/>
                <w:b w:val="0"/>
                <w:color w:val="auto"/>
                <w:kern w:val="0"/>
                <w:sz w:val="21"/>
                <w:szCs w:val="21"/>
                <w:highlight w:val="none"/>
                <w:u w:val="none"/>
                <w:lang w:bidi="ar"/>
              </w:rPr>
              <w:t>②</w:t>
            </w:r>
            <w:r>
              <w:rPr>
                <w:rFonts w:hint="eastAsia" w:ascii="宋体" w:hAnsi="宋体" w:cs="宋体"/>
                <w:b w:val="0"/>
                <w:color w:val="auto"/>
                <w:kern w:val="0"/>
                <w:sz w:val="21"/>
                <w:szCs w:val="21"/>
                <w:highlight w:val="none"/>
                <w:u w:val="none"/>
                <w:lang w:bidi="ar"/>
              </w:rPr>
              <w:fldChar w:fldCharType="end"/>
            </w:r>
            <w:r>
              <w:rPr>
                <w:rFonts w:hint="eastAsia" w:ascii="宋体" w:hAnsi="宋体" w:cs="宋体"/>
                <w:b w:val="0"/>
                <w:color w:val="auto"/>
                <w:kern w:val="0"/>
                <w:sz w:val="21"/>
                <w:szCs w:val="21"/>
                <w:highlight w:val="none"/>
                <w:u w:val="none"/>
                <w:lang w:val="en-US" w:eastAsia="zh-CN" w:bidi="ar"/>
              </w:rPr>
              <w:t>全费用综合单价（含税价）、小计（含税价）建议小数点后保留两位（四舍五入），合计建议保留整数（四舍五入）。</w:t>
            </w:r>
          </w:p>
          <w:p w14:paraId="018A92A0">
            <w:pPr>
              <w:widowControl/>
              <w:shd w:val="clear"/>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val="0"/>
                <w:color w:val="auto"/>
                <w:kern w:val="0"/>
                <w:sz w:val="21"/>
                <w:szCs w:val="21"/>
                <w:highlight w:val="none"/>
                <w:u w:val="none"/>
                <w:lang w:val="en-US" w:eastAsia="zh-CN" w:bidi="ar"/>
              </w:rPr>
              <w:t>③</w:t>
            </w:r>
            <w:r>
              <w:rPr>
                <w:rFonts w:hint="eastAsia" w:ascii="宋体" w:hAnsi="宋体" w:cs="宋体"/>
                <w:b w:val="0"/>
                <w:color w:val="auto"/>
                <w:kern w:val="0"/>
                <w:sz w:val="21"/>
                <w:szCs w:val="21"/>
                <w:highlight w:val="none"/>
                <w:u w:val="none"/>
                <w:lang w:bidi="ar"/>
              </w:rPr>
              <w:t>投标总价和全费用综合单价不得高于</w:t>
            </w:r>
            <w:r>
              <w:rPr>
                <w:rFonts w:hint="eastAsia" w:ascii="宋体" w:hAnsi="宋体" w:cs="宋体"/>
                <w:b w:val="0"/>
                <w:color w:val="auto"/>
                <w:kern w:val="0"/>
                <w:sz w:val="21"/>
                <w:szCs w:val="21"/>
                <w:highlight w:val="none"/>
                <w:u w:val="none"/>
                <w:lang w:val="en-US" w:eastAsia="zh-CN" w:bidi="ar"/>
              </w:rPr>
              <w:t>对应的</w:t>
            </w:r>
            <w:r>
              <w:rPr>
                <w:rFonts w:hint="eastAsia" w:ascii="宋体" w:hAnsi="宋体" w:cs="宋体"/>
                <w:b w:val="0"/>
                <w:color w:val="auto"/>
                <w:kern w:val="0"/>
                <w:sz w:val="21"/>
                <w:szCs w:val="21"/>
                <w:highlight w:val="none"/>
                <w:u w:val="none"/>
                <w:lang w:bidi="ar"/>
              </w:rPr>
              <w:t>上限价，超过的，作无效标处理。</w:t>
            </w:r>
          </w:p>
        </w:tc>
      </w:tr>
    </w:tbl>
    <w:p w14:paraId="1C426C28">
      <w:pPr>
        <w:shd w:val="clear"/>
        <w:rPr>
          <w:color w:val="auto"/>
          <w:highlight w:val="none"/>
        </w:rPr>
      </w:pPr>
    </w:p>
    <w:p w14:paraId="7D5A7D3A">
      <w:pPr>
        <w:pStyle w:val="2"/>
        <w:shd w:val="clear"/>
        <w:rPr>
          <w:color w:val="auto"/>
          <w:highlight w:val="none"/>
        </w:rPr>
      </w:pPr>
    </w:p>
    <w:p w14:paraId="37E2AC48">
      <w:pPr>
        <w:shd w:val="clear"/>
        <w:spacing w:line="320" w:lineRule="exact"/>
        <w:ind w:left="420"/>
        <w:rPr>
          <w:rFonts w:ascii="宋体" w:hAnsi="宋体"/>
          <w:color w:val="auto"/>
          <w:sz w:val="24"/>
          <w:highlight w:val="none"/>
        </w:rPr>
      </w:pPr>
      <w:r>
        <w:rPr>
          <w:rFonts w:hint="eastAsia" w:ascii="宋体" w:hAnsi="宋体"/>
          <w:color w:val="auto"/>
          <w:sz w:val="24"/>
          <w:highlight w:val="none"/>
        </w:rPr>
        <w:t xml:space="preserve">投标人（盖章）：     </w:t>
      </w:r>
    </w:p>
    <w:p w14:paraId="7E7C6A01">
      <w:pPr>
        <w:shd w:val="clear"/>
        <w:ind w:left="420"/>
        <w:rPr>
          <w:rFonts w:ascii="宋体" w:hAnsi="宋体"/>
          <w:color w:val="auto"/>
          <w:sz w:val="24"/>
          <w:highlight w:val="none"/>
        </w:rPr>
      </w:pPr>
      <w:r>
        <w:rPr>
          <w:rFonts w:hint="eastAsia" w:ascii="宋体" w:hAnsi="宋体"/>
          <w:color w:val="auto"/>
          <w:sz w:val="24"/>
          <w:highlight w:val="none"/>
        </w:rPr>
        <w:t xml:space="preserve">法定代表人（签字或盖章）：                   </w:t>
      </w:r>
    </w:p>
    <w:p w14:paraId="65424C4F">
      <w:pPr>
        <w:shd w:val="clear"/>
        <w:spacing w:line="320" w:lineRule="exact"/>
        <w:ind w:firstLine="720" w:firstLineChars="300"/>
        <w:rPr>
          <w:rFonts w:hint="eastAsia" w:ascii="宋体" w:hAnsi="宋体"/>
          <w:color w:val="auto"/>
          <w:sz w:val="24"/>
          <w:highlight w:val="none"/>
        </w:rPr>
      </w:pPr>
      <w:r>
        <w:rPr>
          <w:rFonts w:hint="eastAsia" w:ascii="宋体"/>
          <w:color w:val="auto"/>
          <w:sz w:val="24"/>
          <w:highlight w:val="none"/>
          <w:lang w:val="en-US" w:eastAsia="zh-CN"/>
        </w:rPr>
        <w:t>年   月   日</w:t>
      </w:r>
    </w:p>
    <w:p w14:paraId="4DF9030C">
      <w:pPr>
        <w:shd w:val="clear"/>
        <w:spacing w:line="320" w:lineRule="exact"/>
        <w:ind w:left="420"/>
        <w:rPr>
          <w:rFonts w:hint="eastAsia" w:ascii="宋体" w:hAnsi="宋体"/>
          <w:color w:val="auto"/>
          <w:sz w:val="24"/>
          <w:highlight w:val="none"/>
        </w:rPr>
        <w:sectPr>
          <w:pgSz w:w="16838" w:h="11906" w:orient="landscape"/>
          <w:pgMar w:top="1797" w:right="1440" w:bottom="1188" w:left="1440" w:header="851" w:footer="992" w:gutter="0"/>
          <w:cols w:space="720" w:num="1"/>
          <w:docGrid w:type="lines" w:linePitch="312" w:charSpace="0"/>
        </w:sectPr>
      </w:pPr>
    </w:p>
    <w:p w14:paraId="49067CD2">
      <w:pPr>
        <w:shd w:val="clear"/>
        <w:snapToGrid w:val="0"/>
        <w:ind w:right="140"/>
        <w:jc w:val="left"/>
        <w:rPr>
          <w:rFonts w:ascii="宋体" w:hAnsi="宋体" w:cs="宋体"/>
          <w:color w:val="auto"/>
          <w:sz w:val="24"/>
          <w:highlight w:val="none"/>
        </w:rPr>
      </w:pPr>
      <w:r>
        <w:rPr>
          <w:rFonts w:hint="eastAsia" w:ascii="宋体" w:hAnsi="宋体" w:cs="宋体"/>
          <w:b/>
          <w:bCs/>
          <w:color w:val="auto"/>
          <w:sz w:val="24"/>
          <w:highlight w:val="none"/>
        </w:rPr>
        <w:t>4、</w:t>
      </w:r>
      <w:r>
        <w:rPr>
          <w:rFonts w:hint="eastAsia" w:ascii="宋体" w:hAnsi="宋体" w:cs="宋体"/>
          <w:b/>
          <w:color w:val="auto"/>
          <w:sz w:val="24"/>
          <w:highlight w:val="none"/>
        </w:rPr>
        <w:t>类似项目业绩一览表</w:t>
      </w:r>
    </w:p>
    <w:p w14:paraId="0057EAD5">
      <w:pPr>
        <w:shd w:val="clear"/>
        <w:spacing w:line="360" w:lineRule="auto"/>
        <w:jc w:val="center"/>
        <w:rPr>
          <w:rFonts w:hint="eastAsia" w:ascii="宋体" w:hAnsi="宋体" w:eastAsia="黑体" w:cs="宋体"/>
          <w:b/>
          <w:color w:val="auto"/>
          <w:szCs w:val="28"/>
          <w:highlight w:val="none"/>
          <w:lang w:eastAsia="zh-CN"/>
        </w:rPr>
      </w:pPr>
      <w:r>
        <w:rPr>
          <w:rFonts w:hint="eastAsia" w:ascii="宋体" w:hAnsi="宋体" w:eastAsia="黑体" w:cs="宋体"/>
          <w:b/>
          <w:color w:val="auto"/>
          <w:szCs w:val="28"/>
          <w:highlight w:val="none"/>
          <w:lang w:eastAsia="zh-CN"/>
        </w:rPr>
        <w:t>台州国际博览中心项目设计采购施工（EPC）工程总承包无价材料采购【景观垃圾桶、可移动花箱、座凳】</w:t>
      </w:r>
    </w:p>
    <w:p w14:paraId="49571CAC">
      <w:pPr>
        <w:shd w:val="clear"/>
        <w:spacing w:line="360" w:lineRule="auto"/>
        <w:jc w:val="center"/>
        <w:rPr>
          <w:rFonts w:ascii="宋体"/>
          <w:color w:val="auto"/>
          <w:kern w:val="0"/>
          <w:sz w:val="24"/>
          <w:highlight w:val="none"/>
        </w:rPr>
      </w:pPr>
      <w:r>
        <w:rPr>
          <w:rFonts w:hint="eastAsia" w:ascii="黑体" w:hAnsi="宋体" w:eastAsia="黑体"/>
          <w:b/>
          <w:color w:val="auto"/>
          <w:sz w:val="32"/>
          <w:szCs w:val="20"/>
          <w:highlight w:val="none"/>
        </w:rPr>
        <w:t>类似项目业绩一览表</w:t>
      </w:r>
    </w:p>
    <w:p w14:paraId="40C0D925">
      <w:pPr>
        <w:shd w:val="clear"/>
        <w:spacing w:line="211" w:lineRule="exact"/>
        <w:ind w:left="566"/>
        <w:rPr>
          <w:rFonts w:ascii="宋体" w:hAnsi="宋体" w:cs="宋体"/>
          <w:color w:val="auto"/>
          <w:spacing w:val="-6"/>
          <w:sz w:val="24"/>
          <w:highlight w:val="none"/>
        </w:rPr>
      </w:pPr>
    </w:p>
    <w:tbl>
      <w:tblPr>
        <w:tblStyle w:val="24"/>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63"/>
        <w:gridCol w:w="1404"/>
        <w:gridCol w:w="1262"/>
        <w:gridCol w:w="1599"/>
        <w:gridCol w:w="1516"/>
        <w:gridCol w:w="2094"/>
      </w:tblGrid>
      <w:tr w14:paraId="1AC3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69" w:type="dxa"/>
            <w:vAlign w:val="center"/>
          </w:tcPr>
          <w:p w14:paraId="3942C798">
            <w:pPr>
              <w:shd w:val="clear"/>
              <w:spacing w:line="283" w:lineRule="exact"/>
              <w:ind w:right="-239"/>
              <w:jc w:val="both"/>
              <w:rPr>
                <w:color w:val="auto"/>
                <w:sz w:val="24"/>
                <w:highlight w:val="none"/>
              </w:rPr>
            </w:pPr>
            <w:r>
              <w:rPr>
                <w:rFonts w:hint="eastAsia" w:ascii="宋体" w:hAnsi="宋体" w:cs="宋体"/>
                <w:color w:val="auto"/>
                <w:spacing w:val="-6"/>
                <w:sz w:val="24"/>
                <w:highlight w:val="none"/>
              </w:rPr>
              <w:t>序号</w:t>
            </w:r>
          </w:p>
        </w:tc>
        <w:tc>
          <w:tcPr>
            <w:tcW w:w="1263" w:type="dxa"/>
            <w:vAlign w:val="center"/>
          </w:tcPr>
          <w:p w14:paraId="54B6C236">
            <w:pPr>
              <w:shd w:val="clear"/>
              <w:spacing w:line="437" w:lineRule="exact"/>
              <w:ind w:right="-239"/>
              <w:jc w:val="both"/>
              <w:rPr>
                <w:color w:val="auto"/>
                <w:sz w:val="24"/>
                <w:highlight w:val="none"/>
              </w:rPr>
            </w:pPr>
            <w:r>
              <w:rPr>
                <w:rFonts w:hint="eastAsia" w:ascii="宋体" w:hAnsi="宋体" w:cs="宋体"/>
                <w:color w:val="auto"/>
                <w:spacing w:val="-4"/>
                <w:sz w:val="24"/>
                <w:highlight w:val="none"/>
              </w:rPr>
              <w:t>项目名称</w:t>
            </w:r>
          </w:p>
        </w:tc>
        <w:tc>
          <w:tcPr>
            <w:tcW w:w="1404" w:type="dxa"/>
            <w:vAlign w:val="center"/>
          </w:tcPr>
          <w:p w14:paraId="6C7F28C9">
            <w:pPr>
              <w:shd w:val="clear"/>
              <w:spacing w:line="437" w:lineRule="exact"/>
              <w:ind w:right="-239"/>
              <w:jc w:val="both"/>
              <w:rPr>
                <w:rFonts w:hint="eastAsia" w:eastAsia="宋体"/>
                <w:color w:val="auto"/>
                <w:sz w:val="24"/>
                <w:highlight w:val="none"/>
                <w:lang w:eastAsia="zh-CN"/>
              </w:rPr>
            </w:pPr>
            <w:r>
              <w:rPr>
                <w:rFonts w:hint="eastAsia" w:ascii="宋体" w:hAnsi="宋体" w:cs="宋体"/>
                <w:color w:val="auto"/>
                <w:spacing w:val="-4"/>
                <w:sz w:val="24"/>
                <w:highlight w:val="none"/>
                <w:lang w:eastAsia="zh-CN"/>
              </w:rPr>
              <w:t>采购内容</w:t>
            </w:r>
          </w:p>
        </w:tc>
        <w:tc>
          <w:tcPr>
            <w:tcW w:w="1262" w:type="dxa"/>
            <w:vAlign w:val="center"/>
          </w:tcPr>
          <w:p w14:paraId="6351E5CD">
            <w:pPr>
              <w:shd w:val="clear"/>
              <w:spacing w:line="437" w:lineRule="exact"/>
              <w:ind w:right="-239"/>
              <w:jc w:val="both"/>
              <w:rPr>
                <w:color w:val="auto"/>
                <w:sz w:val="24"/>
                <w:highlight w:val="none"/>
              </w:rPr>
            </w:pPr>
            <w:r>
              <w:rPr>
                <w:rFonts w:hint="eastAsia" w:ascii="宋体" w:hAnsi="宋体" w:cs="宋体"/>
                <w:color w:val="auto"/>
                <w:spacing w:val="-4"/>
                <w:sz w:val="24"/>
                <w:highlight w:val="none"/>
              </w:rPr>
              <w:t>合同总价</w:t>
            </w:r>
          </w:p>
        </w:tc>
        <w:tc>
          <w:tcPr>
            <w:tcW w:w="1599" w:type="dxa"/>
            <w:vAlign w:val="center"/>
          </w:tcPr>
          <w:p w14:paraId="794380B2">
            <w:pPr>
              <w:shd w:val="clear"/>
              <w:spacing w:line="437" w:lineRule="exact"/>
              <w:ind w:right="-239"/>
              <w:jc w:val="both"/>
              <w:rPr>
                <w:rFonts w:hint="eastAsia" w:ascii="宋体" w:hAnsi="宋体" w:cs="宋体"/>
                <w:color w:val="auto"/>
                <w:spacing w:val="-4"/>
                <w:sz w:val="24"/>
                <w:highlight w:val="none"/>
                <w:lang w:eastAsia="zh-CN"/>
              </w:rPr>
            </w:pPr>
            <w:r>
              <w:rPr>
                <w:rFonts w:hint="eastAsia" w:ascii="宋体" w:hAnsi="宋体" w:cs="宋体"/>
                <w:color w:val="auto"/>
                <w:spacing w:val="-4"/>
                <w:sz w:val="24"/>
                <w:highlight w:val="none"/>
                <w:lang w:eastAsia="zh-CN"/>
              </w:rPr>
              <w:t>发票累计金额</w:t>
            </w:r>
          </w:p>
        </w:tc>
        <w:tc>
          <w:tcPr>
            <w:tcW w:w="1516" w:type="dxa"/>
            <w:vAlign w:val="center"/>
          </w:tcPr>
          <w:p w14:paraId="7579A627">
            <w:pPr>
              <w:shd w:val="clear"/>
              <w:spacing w:line="437" w:lineRule="exact"/>
              <w:ind w:right="-239"/>
              <w:jc w:val="both"/>
              <w:rPr>
                <w:rFonts w:hint="eastAsia" w:eastAsia="宋体"/>
                <w:color w:val="auto"/>
                <w:sz w:val="24"/>
                <w:highlight w:val="none"/>
                <w:lang w:eastAsia="zh-CN"/>
              </w:rPr>
            </w:pPr>
            <w:r>
              <w:rPr>
                <w:rFonts w:hint="eastAsia" w:ascii="宋体" w:hAnsi="宋体" w:cs="宋体"/>
                <w:color w:val="auto"/>
                <w:spacing w:val="-4"/>
                <w:sz w:val="24"/>
                <w:highlight w:val="none"/>
                <w:lang w:eastAsia="zh-CN"/>
              </w:rPr>
              <w:t>合同签订时间</w:t>
            </w:r>
          </w:p>
        </w:tc>
        <w:tc>
          <w:tcPr>
            <w:tcW w:w="2094" w:type="dxa"/>
            <w:vAlign w:val="center"/>
          </w:tcPr>
          <w:p w14:paraId="2E5F52FB">
            <w:pPr>
              <w:shd w:val="clear"/>
              <w:spacing w:line="283" w:lineRule="exact"/>
              <w:ind w:right="-239"/>
              <w:jc w:val="both"/>
              <w:rPr>
                <w:color w:val="auto"/>
                <w:sz w:val="24"/>
                <w:highlight w:val="none"/>
              </w:rPr>
            </w:pPr>
            <w:r>
              <w:rPr>
                <w:rFonts w:hint="eastAsia" w:ascii="宋体" w:hAnsi="宋体" w:cs="宋体"/>
                <w:color w:val="auto"/>
                <w:spacing w:val="-5"/>
                <w:sz w:val="24"/>
                <w:highlight w:val="none"/>
              </w:rPr>
              <w:t>项目单位名称及其联系人电话</w:t>
            </w:r>
          </w:p>
        </w:tc>
      </w:tr>
      <w:tr w14:paraId="153B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vAlign w:val="center"/>
          </w:tcPr>
          <w:p w14:paraId="28AC45E0">
            <w:pPr>
              <w:shd w:val="clear"/>
              <w:spacing w:line="211" w:lineRule="exact"/>
              <w:jc w:val="center"/>
              <w:rPr>
                <w:rFonts w:ascii="宋体" w:hAnsi="宋体" w:cs="宋体"/>
                <w:color w:val="auto"/>
                <w:spacing w:val="-6"/>
                <w:sz w:val="24"/>
                <w:highlight w:val="none"/>
              </w:rPr>
            </w:pPr>
          </w:p>
        </w:tc>
        <w:tc>
          <w:tcPr>
            <w:tcW w:w="1263" w:type="dxa"/>
            <w:vAlign w:val="center"/>
          </w:tcPr>
          <w:p w14:paraId="797652F4">
            <w:pPr>
              <w:shd w:val="clear"/>
              <w:spacing w:line="211" w:lineRule="exact"/>
              <w:jc w:val="center"/>
              <w:rPr>
                <w:rFonts w:ascii="宋体" w:hAnsi="宋体" w:cs="宋体"/>
                <w:color w:val="auto"/>
                <w:spacing w:val="-6"/>
                <w:sz w:val="24"/>
                <w:highlight w:val="none"/>
              </w:rPr>
            </w:pPr>
          </w:p>
        </w:tc>
        <w:tc>
          <w:tcPr>
            <w:tcW w:w="1404" w:type="dxa"/>
            <w:vAlign w:val="center"/>
          </w:tcPr>
          <w:p w14:paraId="7E7A6BEA">
            <w:pPr>
              <w:shd w:val="clear"/>
              <w:spacing w:line="211" w:lineRule="exact"/>
              <w:jc w:val="center"/>
              <w:rPr>
                <w:rFonts w:ascii="宋体" w:hAnsi="宋体" w:cs="宋体"/>
                <w:color w:val="auto"/>
                <w:spacing w:val="-6"/>
                <w:sz w:val="24"/>
                <w:highlight w:val="none"/>
              </w:rPr>
            </w:pPr>
          </w:p>
        </w:tc>
        <w:tc>
          <w:tcPr>
            <w:tcW w:w="1262" w:type="dxa"/>
            <w:vAlign w:val="center"/>
          </w:tcPr>
          <w:p w14:paraId="60B03293">
            <w:pPr>
              <w:shd w:val="clear"/>
              <w:spacing w:line="211" w:lineRule="exact"/>
              <w:jc w:val="center"/>
              <w:rPr>
                <w:rFonts w:ascii="宋体" w:hAnsi="宋体" w:cs="宋体"/>
                <w:color w:val="auto"/>
                <w:spacing w:val="-6"/>
                <w:sz w:val="24"/>
                <w:highlight w:val="none"/>
              </w:rPr>
            </w:pPr>
          </w:p>
        </w:tc>
        <w:tc>
          <w:tcPr>
            <w:tcW w:w="1599" w:type="dxa"/>
            <w:vAlign w:val="center"/>
          </w:tcPr>
          <w:p w14:paraId="5B8E62AF">
            <w:pPr>
              <w:shd w:val="clear"/>
              <w:spacing w:line="211" w:lineRule="exact"/>
              <w:jc w:val="center"/>
              <w:rPr>
                <w:rFonts w:ascii="宋体" w:hAnsi="宋体" w:cs="宋体"/>
                <w:color w:val="auto"/>
                <w:spacing w:val="-6"/>
                <w:sz w:val="24"/>
                <w:highlight w:val="none"/>
              </w:rPr>
            </w:pPr>
          </w:p>
        </w:tc>
        <w:tc>
          <w:tcPr>
            <w:tcW w:w="1516" w:type="dxa"/>
            <w:vAlign w:val="center"/>
          </w:tcPr>
          <w:p w14:paraId="49744BD0">
            <w:pPr>
              <w:shd w:val="clear"/>
              <w:spacing w:line="211" w:lineRule="exact"/>
              <w:jc w:val="center"/>
              <w:rPr>
                <w:rFonts w:ascii="宋体" w:hAnsi="宋体" w:cs="宋体"/>
                <w:color w:val="auto"/>
                <w:spacing w:val="-6"/>
                <w:sz w:val="24"/>
                <w:highlight w:val="none"/>
              </w:rPr>
            </w:pPr>
          </w:p>
        </w:tc>
        <w:tc>
          <w:tcPr>
            <w:tcW w:w="2094" w:type="dxa"/>
            <w:vAlign w:val="center"/>
          </w:tcPr>
          <w:p w14:paraId="1C92300A">
            <w:pPr>
              <w:shd w:val="clear"/>
              <w:spacing w:line="211" w:lineRule="exact"/>
              <w:jc w:val="center"/>
              <w:rPr>
                <w:rFonts w:ascii="宋体" w:hAnsi="宋体" w:cs="宋体"/>
                <w:color w:val="auto"/>
                <w:spacing w:val="-6"/>
                <w:sz w:val="24"/>
                <w:highlight w:val="none"/>
              </w:rPr>
            </w:pPr>
          </w:p>
        </w:tc>
      </w:tr>
      <w:tr w14:paraId="1371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9" w:type="dxa"/>
            <w:vAlign w:val="center"/>
          </w:tcPr>
          <w:p w14:paraId="00137F16">
            <w:pPr>
              <w:shd w:val="clear"/>
              <w:spacing w:line="211" w:lineRule="exact"/>
              <w:jc w:val="center"/>
              <w:rPr>
                <w:rFonts w:ascii="宋体" w:hAnsi="宋体" w:cs="宋体"/>
                <w:color w:val="auto"/>
                <w:spacing w:val="-6"/>
                <w:sz w:val="24"/>
                <w:highlight w:val="none"/>
              </w:rPr>
            </w:pPr>
          </w:p>
        </w:tc>
        <w:tc>
          <w:tcPr>
            <w:tcW w:w="1263" w:type="dxa"/>
            <w:vAlign w:val="center"/>
          </w:tcPr>
          <w:p w14:paraId="6EBC81EE">
            <w:pPr>
              <w:shd w:val="clear"/>
              <w:spacing w:line="211" w:lineRule="exact"/>
              <w:jc w:val="center"/>
              <w:rPr>
                <w:rFonts w:ascii="宋体" w:hAnsi="宋体" w:cs="宋体"/>
                <w:color w:val="auto"/>
                <w:spacing w:val="-6"/>
                <w:sz w:val="24"/>
                <w:highlight w:val="none"/>
              </w:rPr>
            </w:pPr>
          </w:p>
        </w:tc>
        <w:tc>
          <w:tcPr>
            <w:tcW w:w="1404" w:type="dxa"/>
            <w:vAlign w:val="center"/>
          </w:tcPr>
          <w:p w14:paraId="450AC3B7">
            <w:pPr>
              <w:shd w:val="clear"/>
              <w:spacing w:line="211" w:lineRule="exact"/>
              <w:jc w:val="center"/>
              <w:rPr>
                <w:rFonts w:ascii="宋体" w:hAnsi="宋体" w:cs="宋体"/>
                <w:color w:val="auto"/>
                <w:spacing w:val="-6"/>
                <w:sz w:val="24"/>
                <w:highlight w:val="none"/>
              </w:rPr>
            </w:pPr>
          </w:p>
        </w:tc>
        <w:tc>
          <w:tcPr>
            <w:tcW w:w="1262" w:type="dxa"/>
            <w:vAlign w:val="center"/>
          </w:tcPr>
          <w:p w14:paraId="3EBB914B">
            <w:pPr>
              <w:shd w:val="clear"/>
              <w:spacing w:line="211" w:lineRule="exact"/>
              <w:jc w:val="center"/>
              <w:rPr>
                <w:rFonts w:ascii="宋体" w:hAnsi="宋体" w:cs="宋体"/>
                <w:color w:val="auto"/>
                <w:spacing w:val="-6"/>
                <w:sz w:val="24"/>
                <w:highlight w:val="none"/>
              </w:rPr>
            </w:pPr>
          </w:p>
        </w:tc>
        <w:tc>
          <w:tcPr>
            <w:tcW w:w="1599" w:type="dxa"/>
            <w:vAlign w:val="center"/>
          </w:tcPr>
          <w:p w14:paraId="2DFEAAC7">
            <w:pPr>
              <w:shd w:val="clear"/>
              <w:spacing w:line="211" w:lineRule="exact"/>
              <w:jc w:val="center"/>
              <w:rPr>
                <w:rFonts w:ascii="宋体" w:hAnsi="宋体" w:cs="宋体"/>
                <w:color w:val="auto"/>
                <w:spacing w:val="-6"/>
                <w:sz w:val="24"/>
                <w:highlight w:val="none"/>
              </w:rPr>
            </w:pPr>
          </w:p>
        </w:tc>
        <w:tc>
          <w:tcPr>
            <w:tcW w:w="1516" w:type="dxa"/>
            <w:vAlign w:val="center"/>
          </w:tcPr>
          <w:p w14:paraId="2DFA5E6E">
            <w:pPr>
              <w:shd w:val="clear"/>
              <w:spacing w:line="211" w:lineRule="exact"/>
              <w:jc w:val="center"/>
              <w:rPr>
                <w:rFonts w:ascii="宋体" w:hAnsi="宋体" w:cs="宋体"/>
                <w:color w:val="auto"/>
                <w:spacing w:val="-6"/>
                <w:sz w:val="24"/>
                <w:highlight w:val="none"/>
              </w:rPr>
            </w:pPr>
          </w:p>
        </w:tc>
        <w:tc>
          <w:tcPr>
            <w:tcW w:w="2094" w:type="dxa"/>
            <w:vAlign w:val="center"/>
          </w:tcPr>
          <w:p w14:paraId="2944C737">
            <w:pPr>
              <w:shd w:val="clear"/>
              <w:spacing w:line="211" w:lineRule="exact"/>
              <w:jc w:val="center"/>
              <w:rPr>
                <w:rFonts w:ascii="宋体" w:hAnsi="宋体" w:cs="宋体"/>
                <w:color w:val="auto"/>
                <w:spacing w:val="-6"/>
                <w:sz w:val="24"/>
                <w:highlight w:val="none"/>
              </w:rPr>
            </w:pPr>
          </w:p>
        </w:tc>
      </w:tr>
      <w:tr w14:paraId="27E5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9" w:type="dxa"/>
            <w:vAlign w:val="center"/>
          </w:tcPr>
          <w:p w14:paraId="21F7FF26">
            <w:pPr>
              <w:shd w:val="clear"/>
              <w:spacing w:line="211" w:lineRule="exact"/>
              <w:jc w:val="center"/>
              <w:rPr>
                <w:rFonts w:ascii="宋体" w:hAnsi="宋体" w:cs="宋体"/>
                <w:color w:val="auto"/>
                <w:spacing w:val="-6"/>
                <w:sz w:val="24"/>
                <w:highlight w:val="none"/>
              </w:rPr>
            </w:pPr>
          </w:p>
        </w:tc>
        <w:tc>
          <w:tcPr>
            <w:tcW w:w="1263" w:type="dxa"/>
            <w:vAlign w:val="center"/>
          </w:tcPr>
          <w:p w14:paraId="5D28D716">
            <w:pPr>
              <w:shd w:val="clear"/>
              <w:spacing w:line="211" w:lineRule="exact"/>
              <w:jc w:val="center"/>
              <w:rPr>
                <w:rFonts w:ascii="宋体" w:hAnsi="宋体" w:cs="宋体"/>
                <w:color w:val="auto"/>
                <w:spacing w:val="-6"/>
                <w:sz w:val="24"/>
                <w:highlight w:val="none"/>
              </w:rPr>
            </w:pPr>
          </w:p>
        </w:tc>
        <w:tc>
          <w:tcPr>
            <w:tcW w:w="1404" w:type="dxa"/>
            <w:vAlign w:val="center"/>
          </w:tcPr>
          <w:p w14:paraId="2552404A">
            <w:pPr>
              <w:shd w:val="clear"/>
              <w:spacing w:line="211" w:lineRule="exact"/>
              <w:jc w:val="center"/>
              <w:rPr>
                <w:rFonts w:ascii="宋体" w:hAnsi="宋体" w:cs="宋体"/>
                <w:color w:val="auto"/>
                <w:spacing w:val="-6"/>
                <w:sz w:val="24"/>
                <w:highlight w:val="none"/>
              </w:rPr>
            </w:pPr>
          </w:p>
        </w:tc>
        <w:tc>
          <w:tcPr>
            <w:tcW w:w="1262" w:type="dxa"/>
            <w:vAlign w:val="center"/>
          </w:tcPr>
          <w:p w14:paraId="5E6265C9">
            <w:pPr>
              <w:shd w:val="clear"/>
              <w:spacing w:line="211" w:lineRule="exact"/>
              <w:jc w:val="center"/>
              <w:rPr>
                <w:rFonts w:ascii="宋体" w:hAnsi="宋体" w:cs="宋体"/>
                <w:color w:val="auto"/>
                <w:spacing w:val="-6"/>
                <w:sz w:val="24"/>
                <w:highlight w:val="none"/>
              </w:rPr>
            </w:pPr>
          </w:p>
        </w:tc>
        <w:tc>
          <w:tcPr>
            <w:tcW w:w="1599" w:type="dxa"/>
            <w:vAlign w:val="center"/>
          </w:tcPr>
          <w:p w14:paraId="7D00C09C">
            <w:pPr>
              <w:shd w:val="clear"/>
              <w:spacing w:line="211" w:lineRule="exact"/>
              <w:jc w:val="center"/>
              <w:rPr>
                <w:rFonts w:ascii="宋体" w:hAnsi="宋体" w:cs="宋体"/>
                <w:color w:val="auto"/>
                <w:spacing w:val="-6"/>
                <w:sz w:val="24"/>
                <w:highlight w:val="none"/>
              </w:rPr>
            </w:pPr>
          </w:p>
        </w:tc>
        <w:tc>
          <w:tcPr>
            <w:tcW w:w="1516" w:type="dxa"/>
            <w:vAlign w:val="center"/>
          </w:tcPr>
          <w:p w14:paraId="0089486D">
            <w:pPr>
              <w:shd w:val="clear"/>
              <w:spacing w:line="211" w:lineRule="exact"/>
              <w:jc w:val="center"/>
              <w:rPr>
                <w:rFonts w:ascii="宋体" w:hAnsi="宋体" w:cs="宋体"/>
                <w:color w:val="auto"/>
                <w:spacing w:val="-6"/>
                <w:sz w:val="24"/>
                <w:highlight w:val="none"/>
              </w:rPr>
            </w:pPr>
          </w:p>
        </w:tc>
        <w:tc>
          <w:tcPr>
            <w:tcW w:w="2094" w:type="dxa"/>
            <w:vAlign w:val="center"/>
          </w:tcPr>
          <w:p w14:paraId="1A06DF16">
            <w:pPr>
              <w:shd w:val="clear"/>
              <w:spacing w:line="211" w:lineRule="exact"/>
              <w:jc w:val="center"/>
              <w:rPr>
                <w:rFonts w:ascii="宋体" w:hAnsi="宋体" w:cs="宋体"/>
                <w:color w:val="auto"/>
                <w:spacing w:val="-6"/>
                <w:sz w:val="24"/>
                <w:highlight w:val="none"/>
              </w:rPr>
            </w:pPr>
          </w:p>
        </w:tc>
      </w:tr>
    </w:tbl>
    <w:p w14:paraId="3ADC43A5">
      <w:pPr>
        <w:shd w:val="clear"/>
        <w:spacing w:line="211" w:lineRule="exact"/>
        <w:ind w:left="566"/>
        <w:rPr>
          <w:rFonts w:ascii="宋体" w:hAnsi="宋体" w:cs="宋体"/>
          <w:color w:val="auto"/>
          <w:spacing w:val="-6"/>
          <w:sz w:val="24"/>
          <w:highlight w:val="none"/>
        </w:rPr>
      </w:pPr>
    </w:p>
    <w:p w14:paraId="120F455A">
      <w:pPr>
        <w:shd w:val="clear"/>
        <w:spacing w:line="314" w:lineRule="exact"/>
        <w:ind w:left="566" w:firstLine="425"/>
        <w:rPr>
          <w:color w:val="auto"/>
          <w:sz w:val="24"/>
          <w:highlight w:val="none"/>
        </w:rPr>
      </w:pPr>
      <w:r>
        <w:rPr>
          <w:rFonts w:ascii="宋体" w:hAnsi="宋体" w:cs="宋体"/>
          <w:color w:val="auto"/>
          <w:spacing w:val="-3"/>
          <w:sz w:val="24"/>
          <w:highlight w:val="none"/>
        </w:rPr>
        <w:t>1.</w:t>
      </w:r>
      <w:r>
        <w:rPr>
          <w:rFonts w:hint="eastAsia" w:ascii="宋体" w:hAnsi="宋体" w:cs="宋体"/>
          <w:color w:val="auto"/>
          <w:spacing w:val="-9"/>
          <w:sz w:val="24"/>
          <w:highlight w:val="none"/>
        </w:rPr>
        <w:t>根据评标办法提供业绩证明材料</w:t>
      </w:r>
      <w:r>
        <w:rPr>
          <w:rFonts w:hint="eastAsia" w:ascii="宋体" w:hAnsi="宋体" w:cs="宋体"/>
          <w:color w:val="auto"/>
          <w:spacing w:val="-6"/>
          <w:sz w:val="24"/>
          <w:highlight w:val="none"/>
        </w:rPr>
        <w:t>；</w:t>
      </w:r>
    </w:p>
    <w:p w14:paraId="16C934E7">
      <w:pPr>
        <w:pStyle w:val="6"/>
        <w:shd w:val="clear"/>
        <w:ind w:left="-5" w:firstLine="480"/>
        <w:rPr>
          <w:rFonts w:ascii="宋体" w:hAnsi="宋体"/>
          <w:b/>
          <w:color w:val="auto"/>
          <w:szCs w:val="21"/>
          <w:highlight w:val="none"/>
        </w:rPr>
      </w:pPr>
      <w:r>
        <w:rPr>
          <w:rFonts w:hint="eastAsia" w:ascii="仿宋" w:hAnsi="仿宋" w:eastAsia="仿宋"/>
          <w:color w:val="auto"/>
          <w:sz w:val="24"/>
          <w:highlight w:val="none"/>
        </w:rPr>
        <w:t xml:space="preserve"> </w:t>
      </w:r>
    </w:p>
    <w:p w14:paraId="6C555135">
      <w:pPr>
        <w:pStyle w:val="21"/>
        <w:shd w:val="clear"/>
        <w:jc w:val="both"/>
        <w:rPr>
          <w:rFonts w:ascii="宋体" w:hAnsi="宋体"/>
          <w:b w:val="0"/>
          <w:color w:val="auto"/>
          <w:sz w:val="21"/>
          <w:szCs w:val="21"/>
          <w:highlight w:val="none"/>
        </w:rPr>
      </w:pPr>
    </w:p>
    <w:p w14:paraId="41D09801">
      <w:pPr>
        <w:shd w:val="clea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14:paraId="1DC4D5C5">
      <w:pPr>
        <w:shd w:val="clea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投  标  人（盖章）：</w:t>
      </w:r>
    </w:p>
    <w:p w14:paraId="2FF0340A">
      <w:pPr>
        <w:pStyle w:val="19"/>
        <w:shd w:val="clear"/>
        <w:ind w:left="560"/>
        <w:jc w:val="right"/>
        <w:rPr>
          <w:rFonts w:ascii="宋体" w:hAnsi="宋体"/>
          <w:color w:val="auto"/>
          <w:sz w:val="24"/>
          <w:szCs w:val="24"/>
          <w:highlight w:val="none"/>
        </w:rPr>
        <w:sectPr>
          <w:pgSz w:w="11906" w:h="16838"/>
          <w:pgMar w:top="1440" w:right="1188" w:bottom="1440" w:left="1797" w:header="851" w:footer="992" w:gutter="0"/>
          <w:cols w:space="720" w:num="1"/>
          <w:docGrid w:type="lines" w:linePitch="312" w:charSpace="0"/>
        </w:sectPr>
      </w:pPr>
      <w:r>
        <w:rPr>
          <w:rFonts w:hint="eastAsia" w:ascii="宋体" w:hAnsi="宋体"/>
          <w:color w:val="auto"/>
          <w:sz w:val="24"/>
          <w:szCs w:val="24"/>
          <w:highlight w:val="none"/>
        </w:rPr>
        <w:t>年    月    日</w:t>
      </w:r>
    </w:p>
    <w:p w14:paraId="148B042D">
      <w:pPr>
        <w:shd w:val="clear"/>
        <w:snapToGrid w:val="0"/>
        <w:ind w:right="140"/>
        <w:jc w:val="left"/>
        <w:rPr>
          <w:rFonts w:ascii="宋体" w:hAnsi="宋体" w:cs="宋体"/>
          <w:b/>
          <w:bCs/>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供货</w:t>
      </w:r>
      <w:r>
        <w:rPr>
          <w:rFonts w:hint="eastAsia" w:ascii="宋体" w:hAnsi="宋体" w:cs="宋体"/>
          <w:b/>
          <w:bCs/>
          <w:color w:val="auto"/>
          <w:sz w:val="24"/>
          <w:highlight w:val="none"/>
        </w:rPr>
        <w:t>方案</w:t>
      </w:r>
    </w:p>
    <w:p w14:paraId="38C8C598">
      <w:pPr>
        <w:shd w:val="clear"/>
        <w:jc w:val="center"/>
        <w:rPr>
          <w:rFonts w:ascii="宋体" w:hAnsi="宋体" w:eastAsia="黑体" w:cs="宋体"/>
          <w:b/>
          <w:color w:val="auto"/>
          <w:szCs w:val="28"/>
          <w:highlight w:val="none"/>
        </w:rPr>
      </w:pPr>
      <w:r>
        <w:rPr>
          <w:rFonts w:hint="eastAsia" w:ascii="宋体" w:hAnsi="宋体" w:eastAsia="黑体" w:cs="宋体"/>
          <w:b/>
          <w:color w:val="auto"/>
          <w:szCs w:val="28"/>
          <w:highlight w:val="none"/>
          <w:lang w:eastAsia="zh-CN"/>
        </w:rPr>
        <w:t>供货</w:t>
      </w:r>
      <w:r>
        <w:rPr>
          <w:rFonts w:hint="eastAsia" w:ascii="宋体" w:hAnsi="宋体" w:eastAsia="黑体" w:cs="宋体"/>
          <w:b/>
          <w:color w:val="auto"/>
          <w:szCs w:val="28"/>
          <w:highlight w:val="none"/>
        </w:rPr>
        <w:t>方案</w:t>
      </w:r>
    </w:p>
    <w:p w14:paraId="0ECB0352">
      <w:pPr>
        <w:shd w:val="clea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（投标人根据本项</w:t>
      </w:r>
      <w:r>
        <w:rPr>
          <w:rFonts w:hint="eastAsia" w:ascii="宋体" w:hAnsi="宋体" w:cs="宋体"/>
          <w:color w:val="auto"/>
          <w:sz w:val="24"/>
          <w:highlight w:val="none"/>
          <w:lang w:eastAsia="zh-CN"/>
        </w:rPr>
        <w:t>目</w:t>
      </w:r>
      <w:r>
        <w:rPr>
          <w:rFonts w:hint="eastAsia" w:ascii="宋体" w:hAnsi="宋体" w:cs="宋体"/>
          <w:color w:val="auto"/>
          <w:sz w:val="24"/>
          <w:highlight w:val="none"/>
        </w:rPr>
        <w:t>实际情况，从生产、加工、制造工艺控制、质量控制及供货时间等方面编写供货方案。）</w:t>
      </w:r>
    </w:p>
    <w:p w14:paraId="71CEA1C4">
      <w:pPr>
        <w:shd w:val="clear"/>
        <w:adjustRightInd w:val="0"/>
        <w:snapToGrid w:val="0"/>
        <w:spacing w:line="586" w:lineRule="exact"/>
        <w:ind w:firstLine="3360" w:firstLineChars="1400"/>
        <w:jc w:val="right"/>
        <w:rPr>
          <w:rFonts w:ascii="宋体" w:hAnsi="宋体" w:cs="宋体"/>
          <w:color w:val="auto"/>
          <w:sz w:val="24"/>
          <w:highlight w:val="none"/>
        </w:rPr>
      </w:pPr>
    </w:p>
    <w:p w14:paraId="559147EE">
      <w:pPr>
        <w:shd w:val="clear"/>
        <w:adjustRightInd w:val="0"/>
        <w:snapToGrid w:val="0"/>
        <w:spacing w:line="586" w:lineRule="exact"/>
        <w:ind w:firstLine="3360" w:firstLineChars="1400"/>
        <w:jc w:val="right"/>
        <w:rPr>
          <w:rFonts w:ascii="宋体" w:hAnsi="宋体" w:cs="宋体"/>
          <w:color w:val="auto"/>
          <w:sz w:val="24"/>
          <w:highlight w:val="none"/>
        </w:rPr>
      </w:pPr>
    </w:p>
    <w:p w14:paraId="28E8D704">
      <w:pPr>
        <w:shd w:val="clear"/>
        <w:adjustRightInd w:val="0"/>
        <w:snapToGrid w:val="0"/>
        <w:spacing w:line="586" w:lineRule="exact"/>
        <w:ind w:firstLine="3360" w:firstLineChars="1400"/>
        <w:jc w:val="right"/>
        <w:rPr>
          <w:rFonts w:ascii="宋体" w:hAnsi="宋体" w:cs="宋体"/>
          <w:color w:val="auto"/>
          <w:sz w:val="24"/>
          <w:highlight w:val="none"/>
        </w:rPr>
      </w:pPr>
    </w:p>
    <w:p w14:paraId="4AF338DB">
      <w:pPr>
        <w:shd w:val="clear"/>
        <w:adjustRightInd w:val="0"/>
        <w:snapToGrid w:val="0"/>
        <w:spacing w:line="586" w:lineRule="exact"/>
        <w:ind w:firstLine="3360" w:firstLineChars="1400"/>
        <w:jc w:val="right"/>
        <w:rPr>
          <w:rFonts w:ascii="宋体" w:hAnsi="宋体" w:cs="宋体"/>
          <w:color w:val="auto"/>
          <w:sz w:val="24"/>
          <w:highlight w:val="none"/>
        </w:rPr>
      </w:pPr>
    </w:p>
    <w:p w14:paraId="2BEE9F09">
      <w:pPr>
        <w:shd w:val="clear"/>
        <w:adjustRightInd w:val="0"/>
        <w:snapToGrid w:val="0"/>
        <w:spacing w:line="586" w:lineRule="exact"/>
        <w:ind w:firstLine="3360" w:firstLineChars="1400"/>
        <w:jc w:val="right"/>
        <w:rPr>
          <w:rFonts w:ascii="宋体" w:hAnsi="宋体" w:cs="宋体"/>
          <w:color w:val="auto"/>
          <w:sz w:val="24"/>
          <w:highlight w:val="none"/>
        </w:rPr>
      </w:pPr>
    </w:p>
    <w:p w14:paraId="4B461A35">
      <w:pPr>
        <w:shd w:val="clear"/>
        <w:adjustRightInd w:val="0"/>
        <w:snapToGrid w:val="0"/>
        <w:spacing w:line="586" w:lineRule="exact"/>
        <w:ind w:firstLine="3360" w:firstLineChars="1400"/>
        <w:jc w:val="right"/>
        <w:rPr>
          <w:rFonts w:ascii="宋体" w:hAnsi="宋体" w:cs="宋体"/>
          <w:color w:val="auto"/>
          <w:sz w:val="24"/>
          <w:highlight w:val="none"/>
        </w:rPr>
      </w:pPr>
    </w:p>
    <w:p w14:paraId="78E9CCAC">
      <w:pPr>
        <w:shd w:val="clear"/>
        <w:adjustRightInd w:val="0"/>
        <w:snapToGrid w:val="0"/>
        <w:spacing w:line="586" w:lineRule="exact"/>
        <w:ind w:firstLine="3360" w:firstLineChars="1400"/>
        <w:jc w:val="right"/>
        <w:rPr>
          <w:rFonts w:ascii="宋体" w:hAnsi="宋体" w:cs="宋体"/>
          <w:color w:val="auto"/>
          <w:sz w:val="24"/>
          <w:highlight w:val="none"/>
        </w:rPr>
      </w:pPr>
    </w:p>
    <w:p w14:paraId="43533993">
      <w:pPr>
        <w:shd w:val="clear"/>
        <w:adjustRightInd w:val="0"/>
        <w:snapToGrid w:val="0"/>
        <w:spacing w:line="586" w:lineRule="exact"/>
        <w:ind w:firstLine="3360" w:firstLineChars="1400"/>
        <w:jc w:val="right"/>
        <w:rPr>
          <w:rFonts w:ascii="宋体" w:hAnsi="宋体" w:cs="宋体"/>
          <w:color w:val="auto"/>
          <w:sz w:val="24"/>
          <w:highlight w:val="none"/>
        </w:rPr>
      </w:pPr>
    </w:p>
    <w:p w14:paraId="5C1CF508">
      <w:pPr>
        <w:shd w:val="clear"/>
        <w:adjustRightInd w:val="0"/>
        <w:snapToGrid w:val="0"/>
        <w:spacing w:line="586" w:lineRule="exact"/>
        <w:ind w:firstLine="3360" w:firstLineChars="1400"/>
        <w:jc w:val="right"/>
        <w:rPr>
          <w:rFonts w:ascii="宋体" w:hAnsi="宋体" w:cs="宋体"/>
          <w:color w:val="auto"/>
          <w:sz w:val="24"/>
          <w:highlight w:val="none"/>
        </w:rPr>
      </w:pPr>
    </w:p>
    <w:p w14:paraId="5AB204F1">
      <w:pPr>
        <w:shd w:val="clear"/>
        <w:adjustRightInd w:val="0"/>
        <w:snapToGrid w:val="0"/>
        <w:spacing w:line="586" w:lineRule="exact"/>
        <w:ind w:firstLine="3360" w:firstLineChars="1400"/>
        <w:jc w:val="right"/>
        <w:rPr>
          <w:rFonts w:ascii="宋体" w:hAnsi="宋体" w:cs="宋体"/>
          <w:color w:val="auto"/>
          <w:sz w:val="24"/>
          <w:highlight w:val="none"/>
        </w:rPr>
      </w:pPr>
    </w:p>
    <w:p w14:paraId="1C2EE596">
      <w:pPr>
        <w:shd w:val="clear"/>
        <w:adjustRightInd w:val="0"/>
        <w:snapToGrid w:val="0"/>
        <w:spacing w:line="586" w:lineRule="exact"/>
        <w:ind w:firstLine="3360" w:firstLineChars="1400"/>
        <w:jc w:val="right"/>
        <w:rPr>
          <w:rFonts w:ascii="宋体" w:hAnsi="宋体" w:cs="宋体"/>
          <w:color w:val="auto"/>
          <w:sz w:val="24"/>
          <w:highlight w:val="none"/>
        </w:rPr>
      </w:pPr>
    </w:p>
    <w:p w14:paraId="3CF8080D">
      <w:pPr>
        <w:shd w:val="clear"/>
        <w:adjustRightInd w:val="0"/>
        <w:snapToGrid w:val="0"/>
        <w:spacing w:line="586" w:lineRule="exact"/>
        <w:ind w:firstLine="3360" w:firstLineChars="1400"/>
        <w:jc w:val="right"/>
        <w:rPr>
          <w:rFonts w:ascii="宋体" w:hAnsi="宋体" w:cs="宋体"/>
          <w:color w:val="auto"/>
          <w:sz w:val="24"/>
          <w:highlight w:val="none"/>
        </w:rPr>
      </w:pPr>
    </w:p>
    <w:p w14:paraId="7ADED4BA">
      <w:pPr>
        <w:shd w:val="clear"/>
        <w:adjustRightInd w:val="0"/>
        <w:snapToGrid w:val="0"/>
        <w:spacing w:line="586" w:lineRule="exact"/>
        <w:ind w:firstLine="3360" w:firstLineChars="1400"/>
        <w:jc w:val="right"/>
        <w:rPr>
          <w:rFonts w:ascii="宋体" w:hAnsi="宋体" w:cs="宋体"/>
          <w:color w:val="auto"/>
          <w:sz w:val="24"/>
          <w:highlight w:val="none"/>
        </w:rPr>
      </w:pPr>
    </w:p>
    <w:p w14:paraId="6F525FBB">
      <w:pPr>
        <w:shd w:val="clear"/>
        <w:adjustRightInd w:val="0"/>
        <w:snapToGrid w:val="0"/>
        <w:spacing w:line="586" w:lineRule="exact"/>
        <w:ind w:firstLine="3360" w:firstLineChars="1400"/>
        <w:jc w:val="right"/>
        <w:rPr>
          <w:rFonts w:ascii="宋体" w:hAnsi="宋体" w:cs="宋体"/>
          <w:color w:val="auto"/>
          <w:sz w:val="24"/>
          <w:highlight w:val="none"/>
        </w:rPr>
      </w:pPr>
    </w:p>
    <w:p w14:paraId="17FE497A">
      <w:pPr>
        <w:shd w:val="clea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14:paraId="52BEA998">
      <w:pPr>
        <w:shd w:val="clea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投  标  人（盖章）：</w:t>
      </w:r>
    </w:p>
    <w:p w14:paraId="2F94471E">
      <w:pPr>
        <w:shd w:val="clear"/>
        <w:snapToGrid w:val="0"/>
        <w:ind w:right="140"/>
        <w:jc w:val="right"/>
        <w:rPr>
          <w:rFonts w:ascii="宋体" w:hAnsi="宋体"/>
          <w:color w:val="auto"/>
          <w:sz w:val="24"/>
          <w:highlight w:val="none"/>
        </w:rPr>
        <w:sectPr>
          <w:pgSz w:w="11906" w:h="16838"/>
          <w:pgMar w:top="1440" w:right="1188" w:bottom="1440" w:left="1797" w:header="851" w:footer="992" w:gutter="0"/>
          <w:cols w:space="720" w:num="1"/>
          <w:docGrid w:type="lines" w:linePitch="312" w:charSpace="0"/>
        </w:sectPr>
      </w:pPr>
      <w:r>
        <w:rPr>
          <w:rFonts w:hint="eastAsia" w:ascii="宋体" w:hAnsi="宋体"/>
          <w:color w:val="auto"/>
          <w:sz w:val="24"/>
          <w:highlight w:val="none"/>
        </w:rPr>
        <w:t>年    月    日</w:t>
      </w:r>
    </w:p>
    <w:p w14:paraId="5ED19D6C">
      <w:pPr>
        <w:shd w:val="clear"/>
        <w:snapToGrid w:val="0"/>
        <w:ind w:right="140"/>
        <w:jc w:val="left"/>
        <w:rPr>
          <w:rFonts w:ascii="宋体" w:hAnsi="宋体" w:cs="宋体"/>
          <w:color w:val="auto"/>
          <w:sz w:val="24"/>
          <w:highlight w:val="none"/>
        </w:rPr>
      </w:pPr>
      <w:r>
        <w:rPr>
          <w:rFonts w:hint="eastAsia" w:ascii="宋体" w:hAnsi="宋体" w:cs="宋体"/>
          <w:b/>
          <w:bCs/>
          <w:color w:val="auto"/>
          <w:sz w:val="24"/>
          <w:highlight w:val="none"/>
        </w:rPr>
        <w:t>6、商务需求响应表</w:t>
      </w:r>
    </w:p>
    <w:p w14:paraId="26501887">
      <w:pPr>
        <w:shd w:val="clea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14:paraId="7A3BDAEA">
      <w:pPr>
        <w:shd w:val="clear"/>
        <w:spacing w:line="360" w:lineRule="auto"/>
        <w:ind w:left="641" w:leftChars="229" w:firstLine="813" w:firstLineChars="450"/>
        <w:rPr>
          <w:rFonts w:ascii="宋体" w:hAnsi="宋体"/>
          <w:b/>
          <w:color w:val="auto"/>
          <w:sz w:val="18"/>
          <w:szCs w:val="18"/>
          <w:highlight w:val="none"/>
        </w:rPr>
      </w:pPr>
    </w:p>
    <w:tbl>
      <w:tblPr>
        <w:tblStyle w:val="23"/>
        <w:tblW w:w="8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6"/>
        <w:gridCol w:w="1786"/>
        <w:gridCol w:w="1365"/>
        <w:gridCol w:w="2626"/>
      </w:tblGrid>
      <w:tr w14:paraId="73A2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trPr>
        <w:tc>
          <w:tcPr>
            <w:tcW w:w="735" w:type="dxa"/>
            <w:vAlign w:val="center"/>
          </w:tcPr>
          <w:p w14:paraId="4A8FFE90">
            <w:pPr>
              <w:shd w:val="clear"/>
              <w:jc w:val="center"/>
              <w:rPr>
                <w:rFonts w:ascii="宋体" w:hAnsi="宋体"/>
                <w:b/>
                <w:color w:val="auto"/>
                <w:sz w:val="24"/>
                <w:highlight w:val="none"/>
              </w:rPr>
            </w:pPr>
            <w:r>
              <w:rPr>
                <w:rFonts w:hint="eastAsia" w:ascii="宋体" w:hAnsi="宋体"/>
                <w:b/>
                <w:color w:val="auto"/>
                <w:sz w:val="24"/>
                <w:highlight w:val="none"/>
              </w:rPr>
              <w:t>序号</w:t>
            </w:r>
          </w:p>
        </w:tc>
        <w:tc>
          <w:tcPr>
            <w:tcW w:w="1786" w:type="dxa"/>
            <w:vAlign w:val="center"/>
          </w:tcPr>
          <w:p w14:paraId="0CE16482">
            <w:pPr>
              <w:shd w:val="clear"/>
              <w:jc w:val="center"/>
              <w:rPr>
                <w:rFonts w:ascii="宋体" w:hAnsi="宋体"/>
                <w:b/>
                <w:color w:val="auto"/>
                <w:sz w:val="24"/>
                <w:highlight w:val="none"/>
              </w:rPr>
            </w:pPr>
            <w:r>
              <w:rPr>
                <w:rFonts w:hint="eastAsia" w:ascii="宋体" w:hAnsi="宋体"/>
                <w:b/>
                <w:color w:val="auto"/>
                <w:sz w:val="24"/>
                <w:highlight w:val="none"/>
              </w:rPr>
              <w:t>内容</w:t>
            </w:r>
          </w:p>
        </w:tc>
        <w:tc>
          <w:tcPr>
            <w:tcW w:w="1786" w:type="dxa"/>
            <w:vAlign w:val="center"/>
          </w:tcPr>
          <w:p w14:paraId="69CE79F1">
            <w:pPr>
              <w:shd w:val="clear"/>
              <w:ind w:left="70" w:leftChars="25" w:firstLine="241" w:firstLineChars="100"/>
              <w:jc w:val="center"/>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14:paraId="39D4792D">
            <w:pPr>
              <w:shd w:val="clear"/>
              <w:ind w:left="152"/>
              <w:jc w:val="center"/>
              <w:rPr>
                <w:rFonts w:ascii="宋体" w:hAnsi="宋体"/>
                <w:b/>
                <w:color w:val="auto"/>
                <w:sz w:val="24"/>
                <w:highlight w:val="none"/>
              </w:rPr>
            </w:pPr>
            <w:r>
              <w:rPr>
                <w:rFonts w:hint="eastAsia" w:ascii="宋体" w:hAnsi="宋体"/>
                <w:b/>
                <w:color w:val="auto"/>
                <w:sz w:val="24"/>
                <w:highlight w:val="none"/>
              </w:rPr>
              <w:t>是否响应</w:t>
            </w:r>
          </w:p>
        </w:tc>
        <w:tc>
          <w:tcPr>
            <w:tcW w:w="2626" w:type="dxa"/>
            <w:vAlign w:val="center"/>
          </w:tcPr>
          <w:p w14:paraId="1F6ACF4B">
            <w:pPr>
              <w:shd w:val="clear"/>
              <w:jc w:val="center"/>
              <w:rPr>
                <w:rFonts w:ascii="宋体" w:hAnsi="宋体"/>
                <w:b/>
                <w:color w:val="auto"/>
                <w:sz w:val="24"/>
                <w:highlight w:val="none"/>
              </w:rPr>
            </w:pPr>
            <w:r>
              <w:rPr>
                <w:rFonts w:hint="eastAsia" w:ascii="宋体" w:hAnsi="宋体"/>
                <w:b/>
                <w:color w:val="auto"/>
                <w:sz w:val="24"/>
                <w:highlight w:val="none"/>
              </w:rPr>
              <w:t>投标人的承诺或说明</w:t>
            </w:r>
          </w:p>
        </w:tc>
      </w:tr>
      <w:tr w14:paraId="14FA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35" w:type="dxa"/>
            <w:vAlign w:val="center"/>
          </w:tcPr>
          <w:p w14:paraId="72034B23">
            <w:pPr>
              <w:shd w:val="clear"/>
              <w:jc w:val="center"/>
              <w:rPr>
                <w:rFonts w:ascii="宋体" w:hAnsi="宋体"/>
                <w:color w:val="auto"/>
                <w:sz w:val="24"/>
                <w:highlight w:val="none"/>
              </w:rPr>
            </w:pPr>
            <w:r>
              <w:rPr>
                <w:rFonts w:ascii="宋体" w:hAnsi="宋体"/>
                <w:color w:val="auto"/>
                <w:sz w:val="24"/>
                <w:highlight w:val="none"/>
              </w:rPr>
              <w:t>1</w:t>
            </w:r>
          </w:p>
        </w:tc>
        <w:tc>
          <w:tcPr>
            <w:tcW w:w="1786" w:type="dxa"/>
            <w:vAlign w:val="center"/>
          </w:tcPr>
          <w:p w14:paraId="3BCB1B7D">
            <w:pPr>
              <w:shd w:val="clear"/>
              <w:snapToGrid w:val="0"/>
              <w:rPr>
                <w:rFonts w:ascii="宋体" w:hAnsi="宋体"/>
                <w:color w:val="auto"/>
                <w:sz w:val="24"/>
                <w:highlight w:val="none"/>
              </w:rPr>
            </w:pPr>
            <w:r>
              <w:rPr>
                <w:rFonts w:hint="eastAsia" w:ascii="宋体" w:hAnsi="宋体"/>
                <w:color w:val="auto"/>
                <w:sz w:val="21"/>
                <w:highlight w:val="none"/>
              </w:rPr>
              <w:t>招标范围</w:t>
            </w:r>
          </w:p>
        </w:tc>
        <w:tc>
          <w:tcPr>
            <w:tcW w:w="1786" w:type="dxa"/>
            <w:vAlign w:val="center"/>
          </w:tcPr>
          <w:p w14:paraId="375E9488">
            <w:pPr>
              <w:shd w:val="clear"/>
              <w:rPr>
                <w:rFonts w:ascii="宋体" w:hAnsi="宋体"/>
                <w:color w:val="auto"/>
                <w:sz w:val="24"/>
                <w:highlight w:val="none"/>
              </w:rPr>
            </w:pPr>
          </w:p>
        </w:tc>
        <w:tc>
          <w:tcPr>
            <w:tcW w:w="1365" w:type="dxa"/>
            <w:vAlign w:val="center"/>
          </w:tcPr>
          <w:p w14:paraId="356EF98C">
            <w:pPr>
              <w:shd w:val="clear"/>
              <w:rPr>
                <w:rFonts w:ascii="宋体" w:hAnsi="宋体"/>
                <w:color w:val="auto"/>
                <w:sz w:val="24"/>
                <w:highlight w:val="none"/>
              </w:rPr>
            </w:pPr>
          </w:p>
        </w:tc>
        <w:tc>
          <w:tcPr>
            <w:tcW w:w="2626" w:type="dxa"/>
            <w:vAlign w:val="center"/>
          </w:tcPr>
          <w:p w14:paraId="7E8C2618">
            <w:pPr>
              <w:shd w:val="clear"/>
              <w:rPr>
                <w:rFonts w:ascii="宋体" w:hAnsi="宋体"/>
                <w:color w:val="auto"/>
                <w:sz w:val="24"/>
                <w:highlight w:val="none"/>
              </w:rPr>
            </w:pPr>
          </w:p>
        </w:tc>
      </w:tr>
      <w:tr w14:paraId="5059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Align w:val="center"/>
          </w:tcPr>
          <w:p w14:paraId="598D92C1">
            <w:pPr>
              <w:shd w:val="clear"/>
              <w:jc w:val="center"/>
              <w:rPr>
                <w:rFonts w:ascii="宋体" w:hAnsi="宋体"/>
                <w:color w:val="auto"/>
                <w:sz w:val="24"/>
                <w:highlight w:val="none"/>
              </w:rPr>
            </w:pPr>
            <w:r>
              <w:rPr>
                <w:rFonts w:ascii="宋体" w:hAnsi="宋体"/>
                <w:color w:val="auto"/>
                <w:sz w:val="24"/>
                <w:highlight w:val="none"/>
              </w:rPr>
              <w:t>2</w:t>
            </w:r>
          </w:p>
        </w:tc>
        <w:tc>
          <w:tcPr>
            <w:tcW w:w="1786" w:type="dxa"/>
            <w:vAlign w:val="center"/>
          </w:tcPr>
          <w:p w14:paraId="4A5E6FFD">
            <w:pPr>
              <w:shd w:val="clear"/>
              <w:snapToGrid w:val="0"/>
              <w:rPr>
                <w:rFonts w:ascii="宋体" w:hAnsi="宋体"/>
                <w:color w:val="auto"/>
                <w:sz w:val="24"/>
                <w:highlight w:val="none"/>
              </w:rPr>
            </w:pPr>
            <w:r>
              <w:rPr>
                <w:rFonts w:hint="eastAsia" w:ascii="宋体" w:hAnsi="宋体"/>
                <w:color w:val="auto"/>
                <w:sz w:val="21"/>
                <w:highlight w:val="none"/>
              </w:rPr>
              <w:t>报价范围</w:t>
            </w:r>
          </w:p>
        </w:tc>
        <w:tc>
          <w:tcPr>
            <w:tcW w:w="1786" w:type="dxa"/>
            <w:vAlign w:val="center"/>
          </w:tcPr>
          <w:p w14:paraId="04D839A8">
            <w:pPr>
              <w:shd w:val="clear"/>
              <w:rPr>
                <w:rFonts w:ascii="宋体" w:hAnsi="宋体"/>
                <w:color w:val="auto"/>
                <w:sz w:val="24"/>
                <w:highlight w:val="none"/>
              </w:rPr>
            </w:pPr>
          </w:p>
        </w:tc>
        <w:tc>
          <w:tcPr>
            <w:tcW w:w="1365" w:type="dxa"/>
            <w:vAlign w:val="center"/>
          </w:tcPr>
          <w:p w14:paraId="11DABA56">
            <w:pPr>
              <w:shd w:val="clear"/>
              <w:rPr>
                <w:rFonts w:ascii="宋体" w:hAnsi="宋体"/>
                <w:color w:val="auto"/>
                <w:sz w:val="24"/>
                <w:highlight w:val="none"/>
              </w:rPr>
            </w:pPr>
          </w:p>
        </w:tc>
        <w:tc>
          <w:tcPr>
            <w:tcW w:w="2626" w:type="dxa"/>
            <w:vAlign w:val="center"/>
          </w:tcPr>
          <w:p w14:paraId="017A875F">
            <w:pPr>
              <w:shd w:val="clear"/>
              <w:rPr>
                <w:rFonts w:ascii="宋体" w:hAnsi="宋体"/>
                <w:color w:val="auto"/>
                <w:sz w:val="24"/>
                <w:highlight w:val="none"/>
              </w:rPr>
            </w:pPr>
          </w:p>
        </w:tc>
      </w:tr>
      <w:tr w14:paraId="7258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Align w:val="center"/>
          </w:tcPr>
          <w:p w14:paraId="6EB230C5">
            <w:pPr>
              <w:shd w:val="clear"/>
              <w:jc w:val="center"/>
              <w:rPr>
                <w:rFonts w:ascii="宋体" w:hAnsi="宋体"/>
                <w:color w:val="auto"/>
                <w:sz w:val="24"/>
                <w:highlight w:val="none"/>
              </w:rPr>
            </w:pPr>
            <w:r>
              <w:rPr>
                <w:rFonts w:ascii="宋体" w:hAnsi="宋体"/>
                <w:color w:val="auto"/>
                <w:sz w:val="24"/>
                <w:highlight w:val="none"/>
              </w:rPr>
              <w:t>3</w:t>
            </w:r>
          </w:p>
        </w:tc>
        <w:tc>
          <w:tcPr>
            <w:tcW w:w="1786" w:type="dxa"/>
            <w:vAlign w:val="center"/>
          </w:tcPr>
          <w:p w14:paraId="3FB682B9">
            <w:pPr>
              <w:shd w:val="clear"/>
              <w:snapToGrid w:val="0"/>
              <w:rPr>
                <w:rFonts w:ascii="宋体" w:hAnsi="宋体"/>
                <w:color w:val="auto"/>
                <w:sz w:val="24"/>
                <w:highlight w:val="none"/>
              </w:rPr>
            </w:pPr>
            <w:r>
              <w:rPr>
                <w:rFonts w:hint="eastAsia" w:ascii="宋体" w:hAnsi="宋体"/>
                <w:color w:val="auto"/>
                <w:sz w:val="21"/>
                <w:highlight w:val="none"/>
              </w:rPr>
              <w:t>原材采购</w:t>
            </w:r>
          </w:p>
        </w:tc>
        <w:tc>
          <w:tcPr>
            <w:tcW w:w="1786" w:type="dxa"/>
            <w:vAlign w:val="center"/>
          </w:tcPr>
          <w:p w14:paraId="11ADC798">
            <w:pPr>
              <w:shd w:val="clear"/>
              <w:rPr>
                <w:rFonts w:ascii="宋体" w:hAnsi="宋体"/>
                <w:color w:val="auto"/>
                <w:sz w:val="24"/>
                <w:highlight w:val="none"/>
              </w:rPr>
            </w:pPr>
          </w:p>
        </w:tc>
        <w:tc>
          <w:tcPr>
            <w:tcW w:w="1365" w:type="dxa"/>
            <w:vAlign w:val="center"/>
          </w:tcPr>
          <w:p w14:paraId="140A90BA">
            <w:pPr>
              <w:shd w:val="clear"/>
              <w:rPr>
                <w:rFonts w:ascii="宋体" w:hAnsi="宋体"/>
                <w:color w:val="auto"/>
                <w:sz w:val="24"/>
                <w:highlight w:val="none"/>
              </w:rPr>
            </w:pPr>
          </w:p>
        </w:tc>
        <w:tc>
          <w:tcPr>
            <w:tcW w:w="2626" w:type="dxa"/>
            <w:vAlign w:val="center"/>
          </w:tcPr>
          <w:p w14:paraId="0D6EC061">
            <w:pPr>
              <w:shd w:val="clear"/>
              <w:rPr>
                <w:rFonts w:ascii="宋体" w:hAnsi="宋体"/>
                <w:color w:val="auto"/>
                <w:sz w:val="24"/>
                <w:highlight w:val="none"/>
              </w:rPr>
            </w:pPr>
          </w:p>
        </w:tc>
      </w:tr>
      <w:tr w14:paraId="4417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5" w:type="dxa"/>
            <w:vAlign w:val="center"/>
          </w:tcPr>
          <w:p w14:paraId="350F189D">
            <w:pPr>
              <w:shd w:val="clear"/>
              <w:jc w:val="center"/>
              <w:rPr>
                <w:rFonts w:ascii="宋体" w:hAnsi="宋体"/>
                <w:color w:val="auto"/>
                <w:sz w:val="24"/>
                <w:highlight w:val="none"/>
              </w:rPr>
            </w:pPr>
            <w:r>
              <w:rPr>
                <w:rFonts w:hint="eastAsia" w:ascii="宋体" w:hAnsi="宋体"/>
                <w:color w:val="auto"/>
                <w:sz w:val="24"/>
                <w:highlight w:val="none"/>
              </w:rPr>
              <w:t>4</w:t>
            </w:r>
          </w:p>
        </w:tc>
        <w:tc>
          <w:tcPr>
            <w:tcW w:w="1786" w:type="dxa"/>
            <w:vAlign w:val="center"/>
          </w:tcPr>
          <w:p w14:paraId="1FF28C60">
            <w:pPr>
              <w:shd w:val="clear"/>
              <w:snapToGrid w:val="0"/>
              <w:rPr>
                <w:rFonts w:ascii="宋体" w:hAnsi="宋体"/>
                <w:color w:val="auto"/>
                <w:sz w:val="24"/>
                <w:highlight w:val="none"/>
              </w:rPr>
            </w:pPr>
            <w:r>
              <w:rPr>
                <w:rFonts w:hint="eastAsia" w:ascii="宋体" w:hAnsi="宋体"/>
                <w:color w:val="auto"/>
                <w:sz w:val="21"/>
                <w:highlight w:val="none"/>
              </w:rPr>
              <w:t>供货期</w:t>
            </w:r>
          </w:p>
        </w:tc>
        <w:tc>
          <w:tcPr>
            <w:tcW w:w="1786" w:type="dxa"/>
            <w:vAlign w:val="center"/>
          </w:tcPr>
          <w:p w14:paraId="539E1DF7">
            <w:pPr>
              <w:shd w:val="clear"/>
              <w:rPr>
                <w:rFonts w:ascii="宋体" w:hAnsi="宋体"/>
                <w:color w:val="auto"/>
                <w:sz w:val="24"/>
                <w:highlight w:val="none"/>
              </w:rPr>
            </w:pPr>
          </w:p>
        </w:tc>
        <w:tc>
          <w:tcPr>
            <w:tcW w:w="1365" w:type="dxa"/>
            <w:vAlign w:val="center"/>
          </w:tcPr>
          <w:p w14:paraId="72D1AD5B">
            <w:pPr>
              <w:shd w:val="clear"/>
              <w:rPr>
                <w:rFonts w:ascii="宋体" w:hAnsi="宋体"/>
                <w:color w:val="auto"/>
                <w:sz w:val="24"/>
                <w:highlight w:val="none"/>
              </w:rPr>
            </w:pPr>
          </w:p>
        </w:tc>
        <w:tc>
          <w:tcPr>
            <w:tcW w:w="2626" w:type="dxa"/>
            <w:vAlign w:val="center"/>
          </w:tcPr>
          <w:p w14:paraId="6C3D1BEE">
            <w:pPr>
              <w:shd w:val="clear"/>
              <w:rPr>
                <w:rFonts w:ascii="宋体" w:hAnsi="宋体"/>
                <w:color w:val="auto"/>
                <w:sz w:val="24"/>
                <w:highlight w:val="none"/>
              </w:rPr>
            </w:pPr>
          </w:p>
        </w:tc>
      </w:tr>
      <w:tr w14:paraId="0674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5" w:type="dxa"/>
            <w:vAlign w:val="center"/>
          </w:tcPr>
          <w:p w14:paraId="15E5BE9C">
            <w:pPr>
              <w:shd w:val="clear"/>
              <w:jc w:val="center"/>
              <w:rPr>
                <w:rFonts w:ascii="宋体" w:hAnsi="宋体"/>
                <w:color w:val="auto"/>
                <w:sz w:val="24"/>
                <w:highlight w:val="none"/>
              </w:rPr>
            </w:pPr>
            <w:r>
              <w:rPr>
                <w:rFonts w:hint="eastAsia" w:ascii="宋体" w:hAnsi="宋体"/>
                <w:color w:val="auto"/>
                <w:sz w:val="24"/>
                <w:highlight w:val="none"/>
              </w:rPr>
              <w:t>5</w:t>
            </w:r>
          </w:p>
        </w:tc>
        <w:tc>
          <w:tcPr>
            <w:tcW w:w="1786" w:type="dxa"/>
            <w:vAlign w:val="center"/>
          </w:tcPr>
          <w:p w14:paraId="3C0D7A08">
            <w:pPr>
              <w:shd w:val="clear"/>
              <w:snapToGrid w:val="0"/>
              <w:rPr>
                <w:rFonts w:ascii="宋体" w:hAnsi="宋体"/>
                <w:color w:val="auto"/>
                <w:sz w:val="24"/>
                <w:highlight w:val="none"/>
              </w:rPr>
            </w:pPr>
            <w:r>
              <w:rPr>
                <w:rFonts w:hint="eastAsia" w:ascii="宋体" w:hAnsi="宋体"/>
                <w:color w:val="auto"/>
                <w:sz w:val="21"/>
                <w:highlight w:val="none"/>
              </w:rPr>
              <w:t>交货地点</w:t>
            </w:r>
          </w:p>
        </w:tc>
        <w:tc>
          <w:tcPr>
            <w:tcW w:w="1786" w:type="dxa"/>
            <w:vAlign w:val="center"/>
          </w:tcPr>
          <w:p w14:paraId="0C2E137A">
            <w:pPr>
              <w:shd w:val="clear"/>
              <w:rPr>
                <w:rFonts w:ascii="宋体" w:hAnsi="宋体"/>
                <w:color w:val="auto"/>
                <w:sz w:val="24"/>
                <w:highlight w:val="none"/>
              </w:rPr>
            </w:pPr>
          </w:p>
        </w:tc>
        <w:tc>
          <w:tcPr>
            <w:tcW w:w="1365" w:type="dxa"/>
            <w:vAlign w:val="center"/>
          </w:tcPr>
          <w:p w14:paraId="34054608">
            <w:pPr>
              <w:shd w:val="clear"/>
              <w:rPr>
                <w:rFonts w:ascii="宋体" w:hAnsi="宋体"/>
                <w:color w:val="auto"/>
                <w:sz w:val="24"/>
                <w:highlight w:val="none"/>
              </w:rPr>
            </w:pPr>
          </w:p>
        </w:tc>
        <w:tc>
          <w:tcPr>
            <w:tcW w:w="2626" w:type="dxa"/>
            <w:vAlign w:val="center"/>
          </w:tcPr>
          <w:p w14:paraId="7074CFCE">
            <w:pPr>
              <w:shd w:val="clear"/>
              <w:rPr>
                <w:rFonts w:ascii="宋体" w:hAnsi="宋体"/>
                <w:color w:val="auto"/>
                <w:sz w:val="24"/>
                <w:highlight w:val="none"/>
              </w:rPr>
            </w:pPr>
          </w:p>
        </w:tc>
      </w:tr>
      <w:tr w14:paraId="570A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5" w:type="dxa"/>
            <w:vAlign w:val="center"/>
          </w:tcPr>
          <w:p w14:paraId="4A0A2F69">
            <w:pPr>
              <w:shd w:val="clear"/>
              <w:jc w:val="center"/>
              <w:rPr>
                <w:rFonts w:ascii="宋体" w:hAnsi="宋体"/>
                <w:color w:val="auto"/>
                <w:sz w:val="24"/>
                <w:highlight w:val="none"/>
              </w:rPr>
            </w:pPr>
            <w:r>
              <w:rPr>
                <w:rFonts w:hint="eastAsia" w:ascii="宋体" w:hAnsi="宋体"/>
                <w:color w:val="auto"/>
                <w:sz w:val="24"/>
                <w:highlight w:val="none"/>
              </w:rPr>
              <w:t>6</w:t>
            </w:r>
          </w:p>
        </w:tc>
        <w:tc>
          <w:tcPr>
            <w:tcW w:w="1786" w:type="dxa"/>
            <w:vAlign w:val="center"/>
          </w:tcPr>
          <w:p w14:paraId="17D0DF89">
            <w:pPr>
              <w:shd w:val="clear"/>
              <w:snapToGrid w:val="0"/>
              <w:rPr>
                <w:rFonts w:ascii="宋体" w:hAnsi="宋体"/>
                <w:color w:val="auto"/>
                <w:sz w:val="24"/>
                <w:highlight w:val="none"/>
              </w:rPr>
            </w:pPr>
            <w:r>
              <w:rPr>
                <w:rFonts w:hint="eastAsia" w:ascii="宋体" w:hAnsi="宋体"/>
                <w:color w:val="auto"/>
                <w:sz w:val="21"/>
                <w:szCs w:val="21"/>
                <w:highlight w:val="none"/>
              </w:rPr>
              <w:t>付款方式</w:t>
            </w:r>
          </w:p>
        </w:tc>
        <w:tc>
          <w:tcPr>
            <w:tcW w:w="1786" w:type="dxa"/>
            <w:vAlign w:val="center"/>
          </w:tcPr>
          <w:p w14:paraId="27E3AFD6">
            <w:pPr>
              <w:shd w:val="clear"/>
              <w:rPr>
                <w:rFonts w:ascii="宋体" w:hAnsi="宋体"/>
                <w:color w:val="auto"/>
                <w:sz w:val="24"/>
                <w:highlight w:val="none"/>
              </w:rPr>
            </w:pPr>
          </w:p>
        </w:tc>
        <w:tc>
          <w:tcPr>
            <w:tcW w:w="1365" w:type="dxa"/>
            <w:vAlign w:val="center"/>
          </w:tcPr>
          <w:p w14:paraId="775717AD">
            <w:pPr>
              <w:shd w:val="clear"/>
              <w:rPr>
                <w:rFonts w:ascii="宋体" w:hAnsi="宋体"/>
                <w:color w:val="auto"/>
                <w:sz w:val="24"/>
                <w:highlight w:val="none"/>
              </w:rPr>
            </w:pPr>
          </w:p>
        </w:tc>
        <w:tc>
          <w:tcPr>
            <w:tcW w:w="2626" w:type="dxa"/>
            <w:vAlign w:val="center"/>
          </w:tcPr>
          <w:p w14:paraId="0D5D0A4A">
            <w:pPr>
              <w:shd w:val="clear"/>
              <w:rPr>
                <w:rFonts w:ascii="宋体" w:hAnsi="宋体"/>
                <w:color w:val="auto"/>
                <w:sz w:val="24"/>
                <w:highlight w:val="none"/>
              </w:rPr>
            </w:pPr>
          </w:p>
        </w:tc>
      </w:tr>
    </w:tbl>
    <w:p w14:paraId="182ED055">
      <w:pPr>
        <w:shd w:val="clear"/>
        <w:spacing w:line="360" w:lineRule="auto"/>
        <w:ind w:firstLine="360" w:firstLineChars="150"/>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w:t>
      </w:r>
      <w:r>
        <w:rPr>
          <w:rFonts w:hint="eastAsia" w:ascii="宋体" w:hAnsi="宋体"/>
          <w:color w:val="auto"/>
          <w:sz w:val="24"/>
          <w:highlight w:val="none"/>
        </w:rPr>
        <w:t>投标人若不填写或</w:t>
      </w:r>
      <w:r>
        <w:rPr>
          <w:rFonts w:hint="eastAsia" w:ascii="宋体" w:hAnsi="宋体"/>
          <w:color w:val="auto"/>
          <w:sz w:val="24"/>
          <w:highlight w:val="none"/>
          <w:lang w:val="en-US" w:eastAsia="zh-CN"/>
        </w:rPr>
        <w:t>内容</w:t>
      </w:r>
      <w:r>
        <w:rPr>
          <w:rFonts w:hint="eastAsia" w:ascii="宋体" w:hAnsi="宋体"/>
          <w:color w:val="auto"/>
          <w:sz w:val="24"/>
          <w:highlight w:val="none"/>
        </w:rPr>
        <w:t>漏填此表，则视为完全响应招标文件要求。</w:t>
      </w:r>
    </w:p>
    <w:p w14:paraId="7F197576">
      <w:pPr>
        <w:shd w:val="clear"/>
        <w:spacing w:line="360" w:lineRule="auto"/>
        <w:ind w:left="420"/>
        <w:rPr>
          <w:rFonts w:ascii="宋体" w:hAnsi="宋体"/>
          <w:color w:val="auto"/>
          <w:sz w:val="24"/>
          <w:highlight w:val="none"/>
        </w:rPr>
      </w:pPr>
    </w:p>
    <w:p w14:paraId="072BAC53">
      <w:pPr>
        <w:shd w:val="clear"/>
        <w:spacing w:line="360" w:lineRule="auto"/>
        <w:ind w:left="420"/>
        <w:rPr>
          <w:rFonts w:ascii="宋体" w:hAnsi="宋体"/>
          <w:color w:val="auto"/>
          <w:sz w:val="24"/>
          <w:highlight w:val="none"/>
        </w:rPr>
      </w:pPr>
    </w:p>
    <w:p w14:paraId="1D3D7BCF">
      <w:pPr>
        <w:shd w:val="clea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14:paraId="6946AE91">
      <w:pPr>
        <w:shd w:val="clear"/>
        <w:adjustRightInd w:val="0"/>
        <w:snapToGrid w:val="0"/>
        <w:spacing w:line="586" w:lineRule="exact"/>
        <w:ind w:firstLine="3360" w:firstLineChars="1400"/>
        <w:jc w:val="right"/>
        <w:rPr>
          <w:rFonts w:ascii="宋体" w:hAnsi="宋体"/>
          <w:color w:val="auto"/>
          <w:sz w:val="24"/>
          <w:highlight w:val="none"/>
        </w:rPr>
      </w:pPr>
    </w:p>
    <w:p w14:paraId="233750D6">
      <w:pPr>
        <w:shd w:val="clea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投  标  人（盖章）：</w:t>
      </w:r>
    </w:p>
    <w:p w14:paraId="40E6D699">
      <w:pPr>
        <w:shd w:val="clear"/>
        <w:spacing w:line="360" w:lineRule="auto"/>
        <w:ind w:firstLine="435"/>
        <w:jc w:val="right"/>
        <w:rPr>
          <w:rFonts w:ascii="宋体" w:hAnsi="宋体"/>
          <w:color w:val="auto"/>
          <w:sz w:val="24"/>
          <w:highlight w:val="none"/>
        </w:rPr>
      </w:pPr>
      <w:r>
        <w:rPr>
          <w:rFonts w:hint="eastAsia" w:ascii="宋体" w:hAnsi="宋体"/>
          <w:color w:val="auto"/>
          <w:sz w:val="24"/>
          <w:highlight w:val="none"/>
        </w:rPr>
        <w:t xml:space="preserve">  </w:t>
      </w:r>
    </w:p>
    <w:p w14:paraId="611BE61E">
      <w:pPr>
        <w:shd w:val="clear"/>
        <w:spacing w:line="360" w:lineRule="auto"/>
        <w:ind w:firstLine="435"/>
        <w:jc w:val="right"/>
        <w:rPr>
          <w:rFonts w:ascii="宋体" w:hAnsi="宋体"/>
          <w:color w:val="auto"/>
          <w:sz w:val="24"/>
          <w:highlight w:val="none"/>
        </w:rPr>
      </w:pPr>
      <w:r>
        <w:rPr>
          <w:rFonts w:hint="eastAsia" w:ascii="宋体" w:hAnsi="宋体"/>
          <w:color w:val="auto"/>
          <w:sz w:val="24"/>
          <w:highlight w:val="none"/>
        </w:rPr>
        <w:t>年    月    日</w:t>
      </w:r>
    </w:p>
    <w:p w14:paraId="0393C33B">
      <w:pPr>
        <w:shd w:val="clear"/>
        <w:spacing w:line="360" w:lineRule="auto"/>
        <w:ind w:firstLine="435"/>
        <w:jc w:val="left"/>
        <w:rPr>
          <w:rFonts w:ascii="宋体" w:hAnsi="宋体"/>
          <w:color w:val="auto"/>
          <w:szCs w:val="28"/>
          <w:highlight w:val="none"/>
        </w:rPr>
      </w:pPr>
      <w:r>
        <w:rPr>
          <w:rFonts w:hint="eastAsia" w:ascii="宋体" w:hAnsi="宋体"/>
          <w:color w:val="auto"/>
          <w:sz w:val="24"/>
          <w:highlight w:val="none"/>
        </w:rPr>
        <w:br w:type="page"/>
      </w:r>
      <w:r>
        <w:rPr>
          <w:rFonts w:hint="eastAsia" w:ascii="宋体" w:hAnsi="宋体" w:cs="宋体"/>
          <w:b/>
          <w:bCs/>
          <w:color w:val="auto"/>
          <w:sz w:val="24"/>
          <w:highlight w:val="none"/>
        </w:rPr>
        <w:t>7、技术需求响应表</w:t>
      </w:r>
    </w:p>
    <w:p w14:paraId="6C7481D4">
      <w:pPr>
        <w:pStyle w:val="11"/>
        <w:shd w:val="clear"/>
        <w:spacing w:line="360" w:lineRule="auto"/>
        <w:jc w:val="center"/>
        <w:rPr>
          <w:rFonts w:hAnsi="宋体" w:cs="宋体"/>
          <w:color w:val="auto"/>
          <w:sz w:val="32"/>
          <w:szCs w:val="32"/>
          <w:highlight w:val="none"/>
        </w:rPr>
      </w:pPr>
      <w:r>
        <w:rPr>
          <w:rFonts w:hint="eastAsia" w:hAnsi="宋体" w:cs="宋体"/>
          <w:color w:val="auto"/>
          <w:sz w:val="32"/>
          <w:szCs w:val="32"/>
          <w:highlight w:val="none"/>
        </w:rPr>
        <w:t>技术需求响应表</w:t>
      </w:r>
    </w:p>
    <w:tbl>
      <w:tblPr>
        <w:tblStyle w:val="23"/>
        <w:tblW w:w="86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7"/>
        <w:gridCol w:w="833"/>
        <w:gridCol w:w="1366"/>
        <w:gridCol w:w="1921"/>
        <w:gridCol w:w="1104"/>
        <w:gridCol w:w="1786"/>
      </w:tblGrid>
      <w:tr w14:paraId="08E56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55" w:hRule="atLeast"/>
          <w:jc w:val="center"/>
        </w:trPr>
        <w:tc>
          <w:tcPr>
            <w:tcW w:w="1627" w:type="dxa"/>
            <w:vAlign w:val="center"/>
          </w:tcPr>
          <w:p w14:paraId="2D8B7BE8">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33" w:type="dxa"/>
            <w:vAlign w:val="center"/>
          </w:tcPr>
          <w:p w14:paraId="3BE48044">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1366" w:type="dxa"/>
            <w:vAlign w:val="center"/>
          </w:tcPr>
          <w:p w14:paraId="7897BEA7">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招标需求</w:t>
            </w:r>
          </w:p>
        </w:tc>
        <w:tc>
          <w:tcPr>
            <w:tcW w:w="1921" w:type="dxa"/>
            <w:vAlign w:val="center"/>
          </w:tcPr>
          <w:p w14:paraId="1E406401">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投标响应需求</w:t>
            </w:r>
          </w:p>
        </w:tc>
        <w:tc>
          <w:tcPr>
            <w:tcW w:w="1104" w:type="dxa"/>
            <w:vAlign w:val="center"/>
          </w:tcPr>
          <w:p w14:paraId="08367540">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w:t>
            </w:r>
          </w:p>
        </w:tc>
        <w:tc>
          <w:tcPr>
            <w:tcW w:w="1786" w:type="dxa"/>
            <w:vAlign w:val="center"/>
          </w:tcPr>
          <w:p w14:paraId="1B26504D">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说明</w:t>
            </w:r>
          </w:p>
        </w:tc>
      </w:tr>
      <w:tr w14:paraId="57FDE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1627" w:type="dxa"/>
            <w:vAlign w:val="center"/>
          </w:tcPr>
          <w:p w14:paraId="766D6B60">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833" w:type="dxa"/>
            <w:vAlign w:val="center"/>
          </w:tcPr>
          <w:p w14:paraId="587F5ED8">
            <w:pPr>
              <w:shd w:val="clear"/>
              <w:adjustRightInd w:val="0"/>
              <w:spacing w:line="360" w:lineRule="auto"/>
              <w:jc w:val="center"/>
              <w:rPr>
                <w:rFonts w:ascii="宋体" w:hAnsi="宋体" w:cs="宋体"/>
                <w:color w:val="auto"/>
                <w:sz w:val="24"/>
                <w:highlight w:val="none"/>
              </w:rPr>
            </w:pPr>
          </w:p>
        </w:tc>
        <w:tc>
          <w:tcPr>
            <w:tcW w:w="1366" w:type="dxa"/>
            <w:vAlign w:val="center"/>
          </w:tcPr>
          <w:p w14:paraId="5F58D2B2">
            <w:pPr>
              <w:shd w:val="clear"/>
              <w:adjustRightInd w:val="0"/>
              <w:spacing w:line="360" w:lineRule="auto"/>
              <w:jc w:val="center"/>
              <w:rPr>
                <w:rFonts w:ascii="宋体" w:hAnsi="宋体" w:cs="宋体"/>
                <w:color w:val="auto"/>
                <w:sz w:val="24"/>
                <w:highlight w:val="none"/>
              </w:rPr>
            </w:pPr>
          </w:p>
        </w:tc>
        <w:tc>
          <w:tcPr>
            <w:tcW w:w="1921" w:type="dxa"/>
            <w:vAlign w:val="center"/>
          </w:tcPr>
          <w:p w14:paraId="6C4C75E9">
            <w:pPr>
              <w:shd w:val="clear"/>
              <w:adjustRightInd w:val="0"/>
              <w:spacing w:line="360" w:lineRule="auto"/>
              <w:jc w:val="center"/>
              <w:rPr>
                <w:rFonts w:ascii="宋体" w:hAnsi="宋体" w:cs="宋体"/>
                <w:color w:val="auto"/>
                <w:sz w:val="24"/>
                <w:highlight w:val="none"/>
              </w:rPr>
            </w:pPr>
          </w:p>
        </w:tc>
        <w:tc>
          <w:tcPr>
            <w:tcW w:w="1104" w:type="dxa"/>
            <w:vAlign w:val="center"/>
          </w:tcPr>
          <w:p w14:paraId="48D3BEA6">
            <w:pPr>
              <w:shd w:val="clear"/>
              <w:adjustRightInd w:val="0"/>
              <w:spacing w:line="360" w:lineRule="auto"/>
              <w:jc w:val="center"/>
              <w:rPr>
                <w:rFonts w:ascii="宋体" w:hAnsi="宋体" w:cs="宋体"/>
                <w:color w:val="auto"/>
                <w:sz w:val="24"/>
                <w:highlight w:val="none"/>
              </w:rPr>
            </w:pPr>
          </w:p>
        </w:tc>
        <w:tc>
          <w:tcPr>
            <w:tcW w:w="1786" w:type="dxa"/>
            <w:vAlign w:val="center"/>
          </w:tcPr>
          <w:p w14:paraId="045FD97F">
            <w:pPr>
              <w:shd w:val="clear"/>
              <w:adjustRightInd w:val="0"/>
              <w:spacing w:line="360" w:lineRule="auto"/>
              <w:jc w:val="center"/>
              <w:rPr>
                <w:rFonts w:ascii="宋体" w:hAnsi="宋体" w:cs="宋体"/>
                <w:color w:val="auto"/>
                <w:sz w:val="24"/>
                <w:highlight w:val="none"/>
              </w:rPr>
            </w:pPr>
          </w:p>
        </w:tc>
      </w:tr>
      <w:tr w14:paraId="1903F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627" w:type="dxa"/>
            <w:vAlign w:val="center"/>
          </w:tcPr>
          <w:p w14:paraId="3BF685F4">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33" w:type="dxa"/>
            <w:vAlign w:val="center"/>
          </w:tcPr>
          <w:p w14:paraId="4E271B18">
            <w:pPr>
              <w:shd w:val="clear"/>
              <w:adjustRightInd w:val="0"/>
              <w:spacing w:line="360" w:lineRule="auto"/>
              <w:jc w:val="center"/>
              <w:rPr>
                <w:rFonts w:ascii="宋体" w:hAnsi="宋体" w:cs="宋体"/>
                <w:color w:val="auto"/>
                <w:sz w:val="24"/>
                <w:highlight w:val="none"/>
              </w:rPr>
            </w:pPr>
          </w:p>
        </w:tc>
        <w:tc>
          <w:tcPr>
            <w:tcW w:w="1366" w:type="dxa"/>
            <w:vAlign w:val="center"/>
          </w:tcPr>
          <w:p w14:paraId="58D54F46">
            <w:pPr>
              <w:shd w:val="clear"/>
              <w:adjustRightInd w:val="0"/>
              <w:spacing w:line="360" w:lineRule="auto"/>
              <w:jc w:val="center"/>
              <w:rPr>
                <w:rFonts w:ascii="宋体" w:hAnsi="宋体" w:cs="宋体"/>
                <w:color w:val="auto"/>
                <w:sz w:val="24"/>
                <w:highlight w:val="none"/>
              </w:rPr>
            </w:pPr>
          </w:p>
        </w:tc>
        <w:tc>
          <w:tcPr>
            <w:tcW w:w="1921" w:type="dxa"/>
            <w:vAlign w:val="center"/>
          </w:tcPr>
          <w:p w14:paraId="2EC5C616">
            <w:pPr>
              <w:shd w:val="clear"/>
              <w:adjustRightInd w:val="0"/>
              <w:spacing w:line="360" w:lineRule="auto"/>
              <w:jc w:val="center"/>
              <w:rPr>
                <w:rFonts w:ascii="宋体" w:hAnsi="宋体" w:cs="宋体"/>
                <w:color w:val="auto"/>
                <w:sz w:val="24"/>
                <w:highlight w:val="none"/>
              </w:rPr>
            </w:pPr>
          </w:p>
        </w:tc>
        <w:tc>
          <w:tcPr>
            <w:tcW w:w="1104" w:type="dxa"/>
            <w:vAlign w:val="center"/>
          </w:tcPr>
          <w:p w14:paraId="0859F86E">
            <w:pPr>
              <w:shd w:val="clear"/>
              <w:adjustRightInd w:val="0"/>
              <w:spacing w:line="360" w:lineRule="auto"/>
              <w:jc w:val="center"/>
              <w:rPr>
                <w:rFonts w:ascii="宋体" w:hAnsi="宋体" w:cs="宋体"/>
                <w:color w:val="auto"/>
                <w:sz w:val="24"/>
                <w:highlight w:val="none"/>
              </w:rPr>
            </w:pPr>
          </w:p>
        </w:tc>
        <w:tc>
          <w:tcPr>
            <w:tcW w:w="1786" w:type="dxa"/>
            <w:vAlign w:val="center"/>
          </w:tcPr>
          <w:p w14:paraId="6A9B0749">
            <w:pPr>
              <w:shd w:val="clear"/>
              <w:adjustRightInd w:val="0"/>
              <w:spacing w:line="360" w:lineRule="auto"/>
              <w:jc w:val="center"/>
              <w:rPr>
                <w:rFonts w:ascii="宋体" w:hAnsi="宋体" w:cs="宋体"/>
                <w:color w:val="auto"/>
                <w:sz w:val="24"/>
                <w:highlight w:val="none"/>
              </w:rPr>
            </w:pPr>
          </w:p>
        </w:tc>
      </w:tr>
      <w:tr w14:paraId="14BCC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627" w:type="dxa"/>
            <w:vAlign w:val="center"/>
          </w:tcPr>
          <w:p w14:paraId="0140B4A0">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33" w:type="dxa"/>
            <w:vAlign w:val="center"/>
          </w:tcPr>
          <w:p w14:paraId="3667FDE0">
            <w:pPr>
              <w:shd w:val="clear"/>
              <w:adjustRightInd w:val="0"/>
              <w:spacing w:line="360" w:lineRule="auto"/>
              <w:jc w:val="center"/>
              <w:rPr>
                <w:rFonts w:ascii="宋体" w:hAnsi="宋体" w:cs="宋体"/>
                <w:color w:val="auto"/>
                <w:sz w:val="24"/>
                <w:highlight w:val="none"/>
              </w:rPr>
            </w:pPr>
          </w:p>
        </w:tc>
        <w:tc>
          <w:tcPr>
            <w:tcW w:w="1366" w:type="dxa"/>
            <w:vAlign w:val="center"/>
          </w:tcPr>
          <w:p w14:paraId="71C7D3DE">
            <w:pPr>
              <w:shd w:val="clear"/>
              <w:adjustRightInd w:val="0"/>
              <w:spacing w:line="360" w:lineRule="auto"/>
              <w:jc w:val="center"/>
              <w:rPr>
                <w:rFonts w:ascii="宋体" w:hAnsi="宋体" w:cs="宋体"/>
                <w:color w:val="auto"/>
                <w:sz w:val="24"/>
                <w:highlight w:val="none"/>
              </w:rPr>
            </w:pPr>
          </w:p>
        </w:tc>
        <w:tc>
          <w:tcPr>
            <w:tcW w:w="1921" w:type="dxa"/>
            <w:vAlign w:val="center"/>
          </w:tcPr>
          <w:p w14:paraId="1A9DEA40">
            <w:pPr>
              <w:shd w:val="clear"/>
              <w:adjustRightInd w:val="0"/>
              <w:spacing w:line="360" w:lineRule="auto"/>
              <w:jc w:val="center"/>
              <w:rPr>
                <w:rFonts w:ascii="宋体" w:hAnsi="宋体" w:cs="宋体"/>
                <w:color w:val="auto"/>
                <w:sz w:val="24"/>
                <w:highlight w:val="none"/>
              </w:rPr>
            </w:pPr>
          </w:p>
        </w:tc>
        <w:tc>
          <w:tcPr>
            <w:tcW w:w="1104" w:type="dxa"/>
            <w:vAlign w:val="center"/>
          </w:tcPr>
          <w:p w14:paraId="2347C4CA">
            <w:pPr>
              <w:shd w:val="clear"/>
              <w:adjustRightInd w:val="0"/>
              <w:spacing w:line="360" w:lineRule="auto"/>
              <w:jc w:val="center"/>
              <w:rPr>
                <w:rFonts w:ascii="宋体" w:hAnsi="宋体" w:cs="宋体"/>
                <w:color w:val="auto"/>
                <w:sz w:val="24"/>
                <w:highlight w:val="none"/>
              </w:rPr>
            </w:pPr>
          </w:p>
        </w:tc>
        <w:tc>
          <w:tcPr>
            <w:tcW w:w="1786" w:type="dxa"/>
            <w:vAlign w:val="center"/>
          </w:tcPr>
          <w:p w14:paraId="231582A1">
            <w:pPr>
              <w:shd w:val="clear"/>
              <w:adjustRightInd w:val="0"/>
              <w:spacing w:line="360" w:lineRule="auto"/>
              <w:jc w:val="center"/>
              <w:rPr>
                <w:rFonts w:ascii="宋体" w:hAnsi="宋体" w:cs="宋体"/>
                <w:color w:val="auto"/>
                <w:sz w:val="24"/>
                <w:highlight w:val="none"/>
              </w:rPr>
            </w:pPr>
          </w:p>
        </w:tc>
      </w:tr>
      <w:tr w14:paraId="38466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27" w:type="dxa"/>
            <w:vAlign w:val="center"/>
          </w:tcPr>
          <w:p w14:paraId="49D111C8">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833" w:type="dxa"/>
            <w:vAlign w:val="center"/>
          </w:tcPr>
          <w:p w14:paraId="4898F733">
            <w:pPr>
              <w:shd w:val="clear"/>
              <w:adjustRightInd w:val="0"/>
              <w:spacing w:line="360" w:lineRule="auto"/>
              <w:jc w:val="center"/>
              <w:rPr>
                <w:rFonts w:ascii="宋体" w:hAnsi="宋体" w:cs="宋体"/>
                <w:color w:val="auto"/>
                <w:sz w:val="24"/>
                <w:highlight w:val="none"/>
              </w:rPr>
            </w:pPr>
          </w:p>
        </w:tc>
        <w:tc>
          <w:tcPr>
            <w:tcW w:w="1366" w:type="dxa"/>
            <w:vAlign w:val="center"/>
          </w:tcPr>
          <w:p w14:paraId="0CDF2997">
            <w:pPr>
              <w:shd w:val="clear"/>
              <w:adjustRightInd w:val="0"/>
              <w:spacing w:line="360" w:lineRule="auto"/>
              <w:jc w:val="center"/>
              <w:rPr>
                <w:rFonts w:ascii="宋体" w:hAnsi="宋体" w:cs="宋体"/>
                <w:color w:val="auto"/>
                <w:sz w:val="24"/>
                <w:highlight w:val="none"/>
              </w:rPr>
            </w:pPr>
          </w:p>
        </w:tc>
        <w:tc>
          <w:tcPr>
            <w:tcW w:w="1921" w:type="dxa"/>
            <w:vAlign w:val="center"/>
          </w:tcPr>
          <w:p w14:paraId="587ACC9A">
            <w:pPr>
              <w:shd w:val="clear"/>
              <w:adjustRightInd w:val="0"/>
              <w:spacing w:line="360" w:lineRule="auto"/>
              <w:jc w:val="center"/>
              <w:rPr>
                <w:rFonts w:ascii="宋体" w:hAnsi="宋体" w:cs="宋体"/>
                <w:color w:val="auto"/>
                <w:sz w:val="24"/>
                <w:highlight w:val="none"/>
              </w:rPr>
            </w:pPr>
          </w:p>
        </w:tc>
        <w:tc>
          <w:tcPr>
            <w:tcW w:w="1104" w:type="dxa"/>
            <w:vAlign w:val="center"/>
          </w:tcPr>
          <w:p w14:paraId="62E1E0C1">
            <w:pPr>
              <w:shd w:val="clear"/>
              <w:adjustRightInd w:val="0"/>
              <w:spacing w:line="360" w:lineRule="auto"/>
              <w:jc w:val="center"/>
              <w:rPr>
                <w:rFonts w:ascii="宋体" w:hAnsi="宋体" w:cs="宋体"/>
                <w:color w:val="auto"/>
                <w:sz w:val="24"/>
                <w:highlight w:val="none"/>
              </w:rPr>
            </w:pPr>
          </w:p>
        </w:tc>
        <w:tc>
          <w:tcPr>
            <w:tcW w:w="1786" w:type="dxa"/>
            <w:vAlign w:val="center"/>
          </w:tcPr>
          <w:p w14:paraId="45DD4D55">
            <w:pPr>
              <w:shd w:val="clear"/>
              <w:adjustRightInd w:val="0"/>
              <w:spacing w:line="360" w:lineRule="auto"/>
              <w:jc w:val="center"/>
              <w:rPr>
                <w:rFonts w:ascii="宋体" w:hAnsi="宋体" w:cs="宋体"/>
                <w:color w:val="auto"/>
                <w:sz w:val="24"/>
                <w:highlight w:val="none"/>
              </w:rPr>
            </w:pPr>
          </w:p>
        </w:tc>
      </w:tr>
      <w:tr w14:paraId="5FAE4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1627" w:type="dxa"/>
            <w:vAlign w:val="center"/>
          </w:tcPr>
          <w:p w14:paraId="43A8C215">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33" w:type="dxa"/>
            <w:vAlign w:val="center"/>
          </w:tcPr>
          <w:p w14:paraId="59E70F61">
            <w:pPr>
              <w:shd w:val="clear"/>
              <w:adjustRightInd w:val="0"/>
              <w:spacing w:line="360" w:lineRule="auto"/>
              <w:jc w:val="center"/>
              <w:rPr>
                <w:rFonts w:ascii="宋体" w:hAnsi="宋体" w:cs="宋体"/>
                <w:color w:val="auto"/>
                <w:sz w:val="24"/>
                <w:highlight w:val="none"/>
              </w:rPr>
            </w:pPr>
          </w:p>
        </w:tc>
        <w:tc>
          <w:tcPr>
            <w:tcW w:w="1366" w:type="dxa"/>
            <w:vAlign w:val="center"/>
          </w:tcPr>
          <w:p w14:paraId="04C835D3">
            <w:pPr>
              <w:shd w:val="clear"/>
              <w:adjustRightInd w:val="0"/>
              <w:spacing w:line="360" w:lineRule="auto"/>
              <w:jc w:val="center"/>
              <w:rPr>
                <w:rFonts w:ascii="宋体" w:hAnsi="宋体" w:cs="宋体"/>
                <w:color w:val="auto"/>
                <w:sz w:val="24"/>
                <w:highlight w:val="none"/>
              </w:rPr>
            </w:pPr>
          </w:p>
        </w:tc>
        <w:tc>
          <w:tcPr>
            <w:tcW w:w="1921" w:type="dxa"/>
            <w:vAlign w:val="center"/>
          </w:tcPr>
          <w:p w14:paraId="3F9AC552">
            <w:pPr>
              <w:shd w:val="clear"/>
              <w:adjustRightInd w:val="0"/>
              <w:spacing w:line="360" w:lineRule="auto"/>
              <w:jc w:val="center"/>
              <w:rPr>
                <w:rFonts w:ascii="宋体" w:hAnsi="宋体" w:cs="宋体"/>
                <w:color w:val="auto"/>
                <w:sz w:val="24"/>
                <w:highlight w:val="none"/>
              </w:rPr>
            </w:pPr>
          </w:p>
        </w:tc>
        <w:tc>
          <w:tcPr>
            <w:tcW w:w="1104" w:type="dxa"/>
            <w:vAlign w:val="center"/>
          </w:tcPr>
          <w:p w14:paraId="6120845B">
            <w:pPr>
              <w:shd w:val="clear"/>
              <w:adjustRightInd w:val="0"/>
              <w:spacing w:line="360" w:lineRule="auto"/>
              <w:jc w:val="center"/>
              <w:rPr>
                <w:rFonts w:ascii="宋体" w:hAnsi="宋体" w:cs="宋体"/>
                <w:color w:val="auto"/>
                <w:sz w:val="24"/>
                <w:highlight w:val="none"/>
              </w:rPr>
            </w:pPr>
          </w:p>
        </w:tc>
        <w:tc>
          <w:tcPr>
            <w:tcW w:w="1786" w:type="dxa"/>
            <w:vAlign w:val="center"/>
          </w:tcPr>
          <w:p w14:paraId="76789D24">
            <w:pPr>
              <w:shd w:val="clear"/>
              <w:adjustRightInd w:val="0"/>
              <w:spacing w:line="360" w:lineRule="auto"/>
              <w:jc w:val="center"/>
              <w:rPr>
                <w:rFonts w:ascii="宋体" w:hAnsi="宋体" w:cs="宋体"/>
                <w:color w:val="auto"/>
                <w:sz w:val="24"/>
                <w:highlight w:val="none"/>
              </w:rPr>
            </w:pPr>
          </w:p>
        </w:tc>
      </w:tr>
      <w:tr w14:paraId="7A6DD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627" w:type="dxa"/>
            <w:vAlign w:val="center"/>
          </w:tcPr>
          <w:p w14:paraId="13685A6C">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33" w:type="dxa"/>
            <w:vAlign w:val="center"/>
          </w:tcPr>
          <w:p w14:paraId="4B123AE4">
            <w:pPr>
              <w:shd w:val="clear"/>
              <w:adjustRightInd w:val="0"/>
              <w:spacing w:line="360" w:lineRule="auto"/>
              <w:jc w:val="center"/>
              <w:rPr>
                <w:rFonts w:ascii="宋体" w:hAnsi="宋体" w:cs="宋体"/>
                <w:color w:val="auto"/>
                <w:sz w:val="24"/>
                <w:highlight w:val="none"/>
              </w:rPr>
            </w:pPr>
          </w:p>
        </w:tc>
        <w:tc>
          <w:tcPr>
            <w:tcW w:w="1366" w:type="dxa"/>
            <w:vAlign w:val="center"/>
          </w:tcPr>
          <w:p w14:paraId="3AA65509">
            <w:pPr>
              <w:shd w:val="clear"/>
              <w:adjustRightInd w:val="0"/>
              <w:spacing w:line="360" w:lineRule="auto"/>
              <w:jc w:val="center"/>
              <w:rPr>
                <w:rFonts w:ascii="宋体" w:hAnsi="宋体" w:cs="宋体"/>
                <w:color w:val="auto"/>
                <w:sz w:val="24"/>
                <w:highlight w:val="none"/>
              </w:rPr>
            </w:pPr>
          </w:p>
        </w:tc>
        <w:tc>
          <w:tcPr>
            <w:tcW w:w="1921" w:type="dxa"/>
            <w:vAlign w:val="center"/>
          </w:tcPr>
          <w:p w14:paraId="645D6162">
            <w:pPr>
              <w:shd w:val="clear"/>
              <w:adjustRightInd w:val="0"/>
              <w:spacing w:line="360" w:lineRule="auto"/>
              <w:jc w:val="center"/>
              <w:rPr>
                <w:rFonts w:ascii="宋体" w:hAnsi="宋体" w:cs="宋体"/>
                <w:color w:val="auto"/>
                <w:sz w:val="24"/>
                <w:highlight w:val="none"/>
              </w:rPr>
            </w:pPr>
          </w:p>
        </w:tc>
        <w:tc>
          <w:tcPr>
            <w:tcW w:w="1104" w:type="dxa"/>
            <w:vAlign w:val="center"/>
          </w:tcPr>
          <w:p w14:paraId="02D69339">
            <w:pPr>
              <w:shd w:val="clear"/>
              <w:adjustRightInd w:val="0"/>
              <w:spacing w:line="360" w:lineRule="auto"/>
              <w:jc w:val="center"/>
              <w:rPr>
                <w:rFonts w:ascii="宋体" w:hAnsi="宋体" w:cs="宋体"/>
                <w:color w:val="auto"/>
                <w:sz w:val="24"/>
                <w:highlight w:val="none"/>
              </w:rPr>
            </w:pPr>
          </w:p>
        </w:tc>
        <w:tc>
          <w:tcPr>
            <w:tcW w:w="1786" w:type="dxa"/>
            <w:vAlign w:val="center"/>
          </w:tcPr>
          <w:p w14:paraId="225C1B8B">
            <w:pPr>
              <w:shd w:val="clear"/>
              <w:adjustRightInd w:val="0"/>
              <w:spacing w:line="360" w:lineRule="auto"/>
              <w:jc w:val="center"/>
              <w:rPr>
                <w:rFonts w:ascii="宋体" w:hAnsi="宋体" w:cs="宋体"/>
                <w:color w:val="auto"/>
                <w:sz w:val="24"/>
                <w:highlight w:val="none"/>
              </w:rPr>
            </w:pPr>
          </w:p>
        </w:tc>
      </w:tr>
      <w:tr w14:paraId="5DC96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14:paraId="466F9B91">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33" w:type="dxa"/>
            <w:vAlign w:val="center"/>
          </w:tcPr>
          <w:p w14:paraId="4BCFC23E">
            <w:pPr>
              <w:shd w:val="clear"/>
              <w:adjustRightInd w:val="0"/>
              <w:spacing w:line="360" w:lineRule="auto"/>
              <w:jc w:val="center"/>
              <w:rPr>
                <w:rFonts w:ascii="宋体" w:hAnsi="宋体" w:cs="宋体"/>
                <w:color w:val="auto"/>
                <w:sz w:val="24"/>
                <w:highlight w:val="none"/>
              </w:rPr>
            </w:pPr>
          </w:p>
        </w:tc>
        <w:tc>
          <w:tcPr>
            <w:tcW w:w="1366" w:type="dxa"/>
            <w:vAlign w:val="center"/>
          </w:tcPr>
          <w:p w14:paraId="5AF13375">
            <w:pPr>
              <w:shd w:val="clear"/>
              <w:adjustRightInd w:val="0"/>
              <w:spacing w:line="360" w:lineRule="auto"/>
              <w:jc w:val="center"/>
              <w:rPr>
                <w:rFonts w:ascii="宋体" w:hAnsi="宋体" w:cs="宋体"/>
                <w:color w:val="auto"/>
                <w:sz w:val="24"/>
                <w:highlight w:val="none"/>
              </w:rPr>
            </w:pPr>
          </w:p>
        </w:tc>
        <w:tc>
          <w:tcPr>
            <w:tcW w:w="1921" w:type="dxa"/>
            <w:vAlign w:val="center"/>
          </w:tcPr>
          <w:p w14:paraId="564F8B31">
            <w:pPr>
              <w:shd w:val="clear"/>
              <w:adjustRightInd w:val="0"/>
              <w:spacing w:line="360" w:lineRule="auto"/>
              <w:jc w:val="center"/>
              <w:rPr>
                <w:rFonts w:ascii="宋体" w:hAnsi="宋体" w:cs="宋体"/>
                <w:color w:val="auto"/>
                <w:sz w:val="24"/>
                <w:highlight w:val="none"/>
              </w:rPr>
            </w:pPr>
          </w:p>
        </w:tc>
        <w:tc>
          <w:tcPr>
            <w:tcW w:w="1104" w:type="dxa"/>
            <w:vAlign w:val="center"/>
          </w:tcPr>
          <w:p w14:paraId="33DCEC4C">
            <w:pPr>
              <w:shd w:val="clear"/>
              <w:adjustRightInd w:val="0"/>
              <w:spacing w:line="360" w:lineRule="auto"/>
              <w:jc w:val="center"/>
              <w:rPr>
                <w:rFonts w:ascii="宋体" w:hAnsi="宋体" w:cs="宋体"/>
                <w:color w:val="auto"/>
                <w:sz w:val="24"/>
                <w:highlight w:val="none"/>
              </w:rPr>
            </w:pPr>
          </w:p>
        </w:tc>
        <w:tc>
          <w:tcPr>
            <w:tcW w:w="1786" w:type="dxa"/>
            <w:vAlign w:val="center"/>
          </w:tcPr>
          <w:p w14:paraId="7DF4159D">
            <w:pPr>
              <w:shd w:val="clear"/>
              <w:adjustRightInd w:val="0"/>
              <w:spacing w:line="360" w:lineRule="auto"/>
              <w:jc w:val="center"/>
              <w:rPr>
                <w:rFonts w:ascii="宋体" w:hAnsi="宋体" w:cs="宋体"/>
                <w:color w:val="auto"/>
                <w:sz w:val="24"/>
                <w:highlight w:val="none"/>
              </w:rPr>
            </w:pPr>
          </w:p>
        </w:tc>
      </w:tr>
      <w:tr w14:paraId="4C79B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14:paraId="73BF53C7">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33" w:type="dxa"/>
            <w:vAlign w:val="center"/>
          </w:tcPr>
          <w:p w14:paraId="17F4259B">
            <w:pPr>
              <w:shd w:val="clear"/>
              <w:adjustRightInd w:val="0"/>
              <w:spacing w:line="360" w:lineRule="auto"/>
              <w:jc w:val="center"/>
              <w:rPr>
                <w:rFonts w:ascii="宋体" w:hAnsi="宋体" w:cs="宋体"/>
                <w:color w:val="auto"/>
                <w:sz w:val="24"/>
                <w:highlight w:val="none"/>
              </w:rPr>
            </w:pPr>
          </w:p>
        </w:tc>
        <w:tc>
          <w:tcPr>
            <w:tcW w:w="1366" w:type="dxa"/>
            <w:vAlign w:val="center"/>
          </w:tcPr>
          <w:p w14:paraId="025DBF42">
            <w:pPr>
              <w:shd w:val="clear"/>
              <w:adjustRightInd w:val="0"/>
              <w:spacing w:line="360" w:lineRule="auto"/>
              <w:jc w:val="center"/>
              <w:rPr>
                <w:rFonts w:ascii="宋体" w:hAnsi="宋体" w:cs="宋体"/>
                <w:color w:val="auto"/>
                <w:sz w:val="24"/>
                <w:highlight w:val="none"/>
              </w:rPr>
            </w:pPr>
          </w:p>
        </w:tc>
        <w:tc>
          <w:tcPr>
            <w:tcW w:w="1921" w:type="dxa"/>
            <w:vAlign w:val="center"/>
          </w:tcPr>
          <w:p w14:paraId="3040AF83">
            <w:pPr>
              <w:shd w:val="clear"/>
              <w:adjustRightInd w:val="0"/>
              <w:spacing w:line="360" w:lineRule="auto"/>
              <w:jc w:val="center"/>
              <w:rPr>
                <w:rFonts w:ascii="宋体" w:hAnsi="宋体" w:cs="宋体"/>
                <w:color w:val="auto"/>
                <w:sz w:val="24"/>
                <w:highlight w:val="none"/>
              </w:rPr>
            </w:pPr>
          </w:p>
        </w:tc>
        <w:tc>
          <w:tcPr>
            <w:tcW w:w="1104" w:type="dxa"/>
            <w:vAlign w:val="center"/>
          </w:tcPr>
          <w:p w14:paraId="0D940C11">
            <w:pPr>
              <w:shd w:val="clear"/>
              <w:adjustRightInd w:val="0"/>
              <w:spacing w:line="360" w:lineRule="auto"/>
              <w:jc w:val="center"/>
              <w:rPr>
                <w:rFonts w:ascii="宋体" w:hAnsi="宋体" w:cs="宋体"/>
                <w:color w:val="auto"/>
                <w:sz w:val="24"/>
                <w:highlight w:val="none"/>
              </w:rPr>
            </w:pPr>
          </w:p>
        </w:tc>
        <w:tc>
          <w:tcPr>
            <w:tcW w:w="1786" w:type="dxa"/>
            <w:vAlign w:val="center"/>
          </w:tcPr>
          <w:p w14:paraId="3C243FEC">
            <w:pPr>
              <w:shd w:val="clear"/>
              <w:adjustRightInd w:val="0"/>
              <w:spacing w:line="360" w:lineRule="auto"/>
              <w:jc w:val="center"/>
              <w:rPr>
                <w:rFonts w:ascii="宋体" w:hAnsi="宋体" w:cs="宋体"/>
                <w:color w:val="auto"/>
                <w:sz w:val="24"/>
                <w:highlight w:val="none"/>
              </w:rPr>
            </w:pPr>
          </w:p>
        </w:tc>
      </w:tr>
      <w:tr w14:paraId="13968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14:paraId="56B7780A">
            <w:pPr>
              <w:shd w:val="clea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33" w:type="dxa"/>
            <w:vAlign w:val="center"/>
          </w:tcPr>
          <w:p w14:paraId="4A305847">
            <w:pPr>
              <w:shd w:val="clear"/>
              <w:adjustRightInd w:val="0"/>
              <w:spacing w:line="360" w:lineRule="auto"/>
              <w:jc w:val="center"/>
              <w:rPr>
                <w:rFonts w:ascii="宋体" w:hAnsi="宋体" w:cs="宋体"/>
                <w:color w:val="auto"/>
                <w:sz w:val="24"/>
                <w:highlight w:val="none"/>
              </w:rPr>
            </w:pPr>
          </w:p>
        </w:tc>
        <w:tc>
          <w:tcPr>
            <w:tcW w:w="1366" w:type="dxa"/>
            <w:vAlign w:val="center"/>
          </w:tcPr>
          <w:p w14:paraId="0F81AD09">
            <w:pPr>
              <w:shd w:val="clear"/>
              <w:adjustRightInd w:val="0"/>
              <w:spacing w:line="360" w:lineRule="auto"/>
              <w:jc w:val="center"/>
              <w:rPr>
                <w:rFonts w:ascii="宋体" w:hAnsi="宋体" w:cs="宋体"/>
                <w:color w:val="auto"/>
                <w:sz w:val="24"/>
                <w:highlight w:val="none"/>
              </w:rPr>
            </w:pPr>
          </w:p>
        </w:tc>
        <w:tc>
          <w:tcPr>
            <w:tcW w:w="1921" w:type="dxa"/>
            <w:vAlign w:val="center"/>
          </w:tcPr>
          <w:p w14:paraId="3AD989DB">
            <w:pPr>
              <w:shd w:val="clear"/>
              <w:adjustRightInd w:val="0"/>
              <w:spacing w:line="360" w:lineRule="auto"/>
              <w:jc w:val="center"/>
              <w:rPr>
                <w:rFonts w:ascii="宋体" w:hAnsi="宋体" w:cs="宋体"/>
                <w:color w:val="auto"/>
                <w:sz w:val="24"/>
                <w:highlight w:val="none"/>
              </w:rPr>
            </w:pPr>
          </w:p>
        </w:tc>
        <w:tc>
          <w:tcPr>
            <w:tcW w:w="1104" w:type="dxa"/>
            <w:vAlign w:val="center"/>
          </w:tcPr>
          <w:p w14:paraId="668F6554">
            <w:pPr>
              <w:shd w:val="clear"/>
              <w:adjustRightInd w:val="0"/>
              <w:spacing w:line="360" w:lineRule="auto"/>
              <w:jc w:val="center"/>
              <w:rPr>
                <w:rFonts w:ascii="宋体" w:hAnsi="宋体" w:cs="宋体"/>
                <w:color w:val="auto"/>
                <w:sz w:val="24"/>
                <w:highlight w:val="none"/>
              </w:rPr>
            </w:pPr>
          </w:p>
        </w:tc>
        <w:tc>
          <w:tcPr>
            <w:tcW w:w="1786" w:type="dxa"/>
            <w:vAlign w:val="center"/>
          </w:tcPr>
          <w:p w14:paraId="1D024D00">
            <w:pPr>
              <w:shd w:val="clear"/>
              <w:adjustRightInd w:val="0"/>
              <w:spacing w:line="360" w:lineRule="auto"/>
              <w:jc w:val="center"/>
              <w:rPr>
                <w:rFonts w:ascii="宋体" w:hAnsi="宋体" w:cs="宋体"/>
                <w:color w:val="auto"/>
                <w:sz w:val="24"/>
                <w:highlight w:val="none"/>
              </w:rPr>
            </w:pPr>
          </w:p>
        </w:tc>
      </w:tr>
      <w:tr w14:paraId="0CEEC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14:paraId="6CBB3C9B">
            <w:pPr>
              <w:shd w:val="clear"/>
              <w:adjustRightInd w:val="0"/>
              <w:spacing w:line="360" w:lineRule="auto"/>
              <w:jc w:val="center"/>
              <w:rPr>
                <w:rFonts w:ascii="宋体" w:hAnsi="宋体" w:cs="宋体"/>
                <w:color w:val="auto"/>
                <w:sz w:val="24"/>
                <w:highlight w:val="none"/>
              </w:rPr>
            </w:pPr>
          </w:p>
        </w:tc>
        <w:tc>
          <w:tcPr>
            <w:tcW w:w="833" w:type="dxa"/>
            <w:vAlign w:val="center"/>
          </w:tcPr>
          <w:p w14:paraId="14D03BDB">
            <w:pPr>
              <w:shd w:val="clear"/>
              <w:adjustRightInd w:val="0"/>
              <w:spacing w:line="360" w:lineRule="auto"/>
              <w:jc w:val="center"/>
              <w:rPr>
                <w:rFonts w:ascii="宋体" w:hAnsi="宋体" w:cs="宋体"/>
                <w:color w:val="auto"/>
                <w:sz w:val="24"/>
                <w:highlight w:val="none"/>
              </w:rPr>
            </w:pPr>
          </w:p>
        </w:tc>
        <w:tc>
          <w:tcPr>
            <w:tcW w:w="1366" w:type="dxa"/>
            <w:vAlign w:val="center"/>
          </w:tcPr>
          <w:p w14:paraId="608C3B8D">
            <w:pPr>
              <w:shd w:val="clear"/>
              <w:adjustRightInd w:val="0"/>
              <w:spacing w:line="360" w:lineRule="auto"/>
              <w:jc w:val="center"/>
              <w:rPr>
                <w:rFonts w:ascii="宋体" w:hAnsi="宋体" w:cs="宋体"/>
                <w:color w:val="auto"/>
                <w:sz w:val="24"/>
                <w:highlight w:val="none"/>
              </w:rPr>
            </w:pPr>
          </w:p>
        </w:tc>
        <w:tc>
          <w:tcPr>
            <w:tcW w:w="1921" w:type="dxa"/>
            <w:vAlign w:val="center"/>
          </w:tcPr>
          <w:p w14:paraId="6156E326">
            <w:pPr>
              <w:shd w:val="clear"/>
              <w:adjustRightInd w:val="0"/>
              <w:spacing w:line="360" w:lineRule="auto"/>
              <w:jc w:val="center"/>
              <w:rPr>
                <w:rFonts w:ascii="宋体" w:hAnsi="宋体" w:cs="宋体"/>
                <w:color w:val="auto"/>
                <w:sz w:val="24"/>
                <w:highlight w:val="none"/>
              </w:rPr>
            </w:pPr>
          </w:p>
        </w:tc>
        <w:tc>
          <w:tcPr>
            <w:tcW w:w="1104" w:type="dxa"/>
            <w:vAlign w:val="center"/>
          </w:tcPr>
          <w:p w14:paraId="056EBDBE">
            <w:pPr>
              <w:shd w:val="clear"/>
              <w:adjustRightInd w:val="0"/>
              <w:spacing w:line="360" w:lineRule="auto"/>
              <w:jc w:val="center"/>
              <w:rPr>
                <w:rFonts w:ascii="宋体" w:hAnsi="宋体" w:cs="宋体"/>
                <w:color w:val="auto"/>
                <w:sz w:val="24"/>
                <w:highlight w:val="none"/>
              </w:rPr>
            </w:pPr>
          </w:p>
        </w:tc>
        <w:tc>
          <w:tcPr>
            <w:tcW w:w="1786" w:type="dxa"/>
            <w:vAlign w:val="center"/>
          </w:tcPr>
          <w:p w14:paraId="6D46A0A6">
            <w:pPr>
              <w:shd w:val="clear"/>
              <w:adjustRightInd w:val="0"/>
              <w:spacing w:line="360" w:lineRule="auto"/>
              <w:jc w:val="center"/>
              <w:rPr>
                <w:rFonts w:ascii="宋体" w:hAnsi="宋体" w:cs="宋体"/>
                <w:color w:val="auto"/>
                <w:sz w:val="24"/>
                <w:highlight w:val="none"/>
              </w:rPr>
            </w:pPr>
          </w:p>
        </w:tc>
      </w:tr>
      <w:tr w14:paraId="2DBF0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627" w:type="dxa"/>
            <w:vAlign w:val="center"/>
          </w:tcPr>
          <w:p w14:paraId="36672725">
            <w:pPr>
              <w:shd w:val="clear"/>
              <w:adjustRightInd w:val="0"/>
              <w:spacing w:line="360" w:lineRule="auto"/>
              <w:jc w:val="center"/>
              <w:rPr>
                <w:rFonts w:ascii="宋体" w:hAnsi="宋体" w:cs="宋体"/>
                <w:color w:val="auto"/>
                <w:sz w:val="24"/>
                <w:highlight w:val="none"/>
              </w:rPr>
            </w:pPr>
          </w:p>
        </w:tc>
        <w:tc>
          <w:tcPr>
            <w:tcW w:w="833" w:type="dxa"/>
            <w:vAlign w:val="center"/>
          </w:tcPr>
          <w:p w14:paraId="24C98FCD">
            <w:pPr>
              <w:shd w:val="clear"/>
              <w:adjustRightInd w:val="0"/>
              <w:spacing w:line="360" w:lineRule="auto"/>
              <w:jc w:val="center"/>
              <w:rPr>
                <w:rFonts w:ascii="宋体" w:hAnsi="宋体" w:cs="宋体"/>
                <w:color w:val="auto"/>
                <w:sz w:val="24"/>
                <w:highlight w:val="none"/>
              </w:rPr>
            </w:pPr>
          </w:p>
        </w:tc>
        <w:tc>
          <w:tcPr>
            <w:tcW w:w="1366" w:type="dxa"/>
            <w:vAlign w:val="center"/>
          </w:tcPr>
          <w:p w14:paraId="1DCDA04E">
            <w:pPr>
              <w:shd w:val="clear"/>
              <w:adjustRightInd w:val="0"/>
              <w:spacing w:line="360" w:lineRule="auto"/>
              <w:jc w:val="center"/>
              <w:rPr>
                <w:rFonts w:ascii="宋体" w:hAnsi="宋体" w:cs="宋体"/>
                <w:color w:val="auto"/>
                <w:sz w:val="24"/>
                <w:highlight w:val="none"/>
              </w:rPr>
            </w:pPr>
          </w:p>
        </w:tc>
        <w:tc>
          <w:tcPr>
            <w:tcW w:w="1921" w:type="dxa"/>
            <w:vAlign w:val="center"/>
          </w:tcPr>
          <w:p w14:paraId="211E9282">
            <w:pPr>
              <w:shd w:val="clear"/>
              <w:adjustRightInd w:val="0"/>
              <w:spacing w:line="360" w:lineRule="auto"/>
              <w:jc w:val="center"/>
              <w:rPr>
                <w:rFonts w:ascii="宋体" w:hAnsi="宋体" w:cs="宋体"/>
                <w:color w:val="auto"/>
                <w:sz w:val="24"/>
                <w:highlight w:val="none"/>
              </w:rPr>
            </w:pPr>
          </w:p>
        </w:tc>
        <w:tc>
          <w:tcPr>
            <w:tcW w:w="1104" w:type="dxa"/>
            <w:vAlign w:val="center"/>
          </w:tcPr>
          <w:p w14:paraId="586991E8">
            <w:pPr>
              <w:shd w:val="clear"/>
              <w:adjustRightInd w:val="0"/>
              <w:spacing w:line="360" w:lineRule="auto"/>
              <w:jc w:val="center"/>
              <w:rPr>
                <w:rFonts w:ascii="宋体" w:hAnsi="宋体" w:cs="宋体"/>
                <w:color w:val="auto"/>
                <w:sz w:val="24"/>
                <w:highlight w:val="none"/>
              </w:rPr>
            </w:pPr>
          </w:p>
        </w:tc>
        <w:tc>
          <w:tcPr>
            <w:tcW w:w="1786" w:type="dxa"/>
            <w:vAlign w:val="center"/>
          </w:tcPr>
          <w:p w14:paraId="551F2561">
            <w:pPr>
              <w:shd w:val="clear"/>
              <w:adjustRightInd w:val="0"/>
              <w:spacing w:line="360" w:lineRule="auto"/>
              <w:jc w:val="center"/>
              <w:rPr>
                <w:rFonts w:ascii="宋体" w:hAnsi="宋体" w:cs="宋体"/>
                <w:color w:val="auto"/>
                <w:sz w:val="24"/>
                <w:highlight w:val="none"/>
              </w:rPr>
            </w:pPr>
          </w:p>
        </w:tc>
      </w:tr>
      <w:tr w14:paraId="228D2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627" w:type="dxa"/>
            <w:vAlign w:val="center"/>
          </w:tcPr>
          <w:p w14:paraId="35ECFCE7">
            <w:pPr>
              <w:shd w:val="clear"/>
              <w:adjustRightInd w:val="0"/>
              <w:spacing w:line="360" w:lineRule="auto"/>
              <w:jc w:val="center"/>
              <w:rPr>
                <w:rFonts w:ascii="宋体" w:hAnsi="宋体" w:cs="宋体"/>
                <w:color w:val="auto"/>
                <w:sz w:val="24"/>
                <w:highlight w:val="none"/>
              </w:rPr>
            </w:pPr>
          </w:p>
        </w:tc>
        <w:tc>
          <w:tcPr>
            <w:tcW w:w="833" w:type="dxa"/>
            <w:vAlign w:val="center"/>
          </w:tcPr>
          <w:p w14:paraId="4A067DCD">
            <w:pPr>
              <w:shd w:val="clear"/>
              <w:adjustRightInd w:val="0"/>
              <w:spacing w:line="360" w:lineRule="auto"/>
              <w:jc w:val="center"/>
              <w:rPr>
                <w:rFonts w:ascii="宋体" w:hAnsi="宋体" w:cs="宋体"/>
                <w:color w:val="auto"/>
                <w:sz w:val="24"/>
                <w:highlight w:val="none"/>
              </w:rPr>
            </w:pPr>
          </w:p>
        </w:tc>
        <w:tc>
          <w:tcPr>
            <w:tcW w:w="1366" w:type="dxa"/>
            <w:vAlign w:val="center"/>
          </w:tcPr>
          <w:p w14:paraId="5F1DAEDE">
            <w:pPr>
              <w:shd w:val="clear"/>
              <w:adjustRightInd w:val="0"/>
              <w:spacing w:line="360" w:lineRule="auto"/>
              <w:jc w:val="center"/>
              <w:rPr>
                <w:rFonts w:ascii="宋体" w:hAnsi="宋体" w:cs="宋体"/>
                <w:color w:val="auto"/>
                <w:sz w:val="24"/>
                <w:highlight w:val="none"/>
              </w:rPr>
            </w:pPr>
          </w:p>
        </w:tc>
        <w:tc>
          <w:tcPr>
            <w:tcW w:w="1921" w:type="dxa"/>
            <w:vAlign w:val="center"/>
          </w:tcPr>
          <w:p w14:paraId="7362D748">
            <w:pPr>
              <w:shd w:val="clear"/>
              <w:adjustRightInd w:val="0"/>
              <w:spacing w:line="360" w:lineRule="auto"/>
              <w:jc w:val="center"/>
              <w:rPr>
                <w:rFonts w:ascii="宋体" w:hAnsi="宋体" w:cs="宋体"/>
                <w:color w:val="auto"/>
                <w:sz w:val="24"/>
                <w:highlight w:val="none"/>
              </w:rPr>
            </w:pPr>
          </w:p>
        </w:tc>
        <w:tc>
          <w:tcPr>
            <w:tcW w:w="1104" w:type="dxa"/>
            <w:vAlign w:val="center"/>
          </w:tcPr>
          <w:p w14:paraId="237A245E">
            <w:pPr>
              <w:shd w:val="clear"/>
              <w:adjustRightInd w:val="0"/>
              <w:spacing w:line="360" w:lineRule="auto"/>
              <w:jc w:val="center"/>
              <w:rPr>
                <w:rFonts w:ascii="宋体" w:hAnsi="宋体" w:cs="宋体"/>
                <w:color w:val="auto"/>
                <w:sz w:val="24"/>
                <w:highlight w:val="none"/>
              </w:rPr>
            </w:pPr>
          </w:p>
        </w:tc>
        <w:tc>
          <w:tcPr>
            <w:tcW w:w="1786" w:type="dxa"/>
            <w:vAlign w:val="center"/>
          </w:tcPr>
          <w:p w14:paraId="0D66EBEC">
            <w:pPr>
              <w:shd w:val="clear"/>
              <w:adjustRightInd w:val="0"/>
              <w:spacing w:line="360" w:lineRule="auto"/>
              <w:jc w:val="center"/>
              <w:rPr>
                <w:rFonts w:ascii="宋体" w:hAnsi="宋体" w:cs="宋体"/>
                <w:color w:val="auto"/>
                <w:sz w:val="24"/>
                <w:highlight w:val="none"/>
              </w:rPr>
            </w:pPr>
          </w:p>
        </w:tc>
      </w:tr>
    </w:tbl>
    <w:p w14:paraId="3316C699">
      <w:pPr>
        <w:pStyle w:val="11"/>
        <w:shd w:val="clear"/>
        <w:adjustRightInd w:val="0"/>
        <w:snapToGrid w:val="0"/>
        <w:rPr>
          <w:rFonts w:hAnsi="宋体"/>
          <w:color w:val="auto"/>
          <w:highlight w:val="none"/>
        </w:rPr>
      </w:pPr>
      <w:r>
        <w:rPr>
          <w:rFonts w:hint="eastAsia" w:hAnsi="宋体"/>
          <w:color w:val="auto"/>
          <w:highlight w:val="none"/>
        </w:rPr>
        <w:t>说明：1、投标人若不填或漏填写此表，则视为完全响应招标文件要求。</w:t>
      </w:r>
    </w:p>
    <w:p w14:paraId="45AEA7BD">
      <w:pPr>
        <w:pStyle w:val="11"/>
        <w:shd w:val="clear"/>
        <w:adjustRightInd w:val="0"/>
        <w:snapToGrid w:val="0"/>
        <w:ind w:firstLine="480" w:firstLineChars="200"/>
        <w:rPr>
          <w:rFonts w:hAnsi="宋体"/>
          <w:color w:val="auto"/>
          <w:highlight w:val="none"/>
        </w:rPr>
      </w:pPr>
      <w:r>
        <w:rPr>
          <w:rFonts w:hint="eastAsia" w:hAnsi="宋体"/>
          <w:color w:val="auto"/>
          <w:highlight w:val="none"/>
        </w:rPr>
        <w:t xml:space="preserve">2、投标人承诺与招标文件中的要求不一致时，则必须在《技术需求响应表》中予以明确。 </w:t>
      </w:r>
    </w:p>
    <w:p w14:paraId="0C2977BF">
      <w:pPr>
        <w:shd w:val="clear"/>
        <w:adjustRightInd w:val="0"/>
        <w:snapToGrid w:val="0"/>
        <w:ind w:firstLine="480" w:firstLineChars="200"/>
        <w:jc w:val="left"/>
        <w:rPr>
          <w:rFonts w:ascii="宋体" w:hAnsi="宋体"/>
          <w:color w:val="auto"/>
          <w:sz w:val="24"/>
          <w:highlight w:val="none"/>
        </w:rPr>
      </w:pPr>
      <w:r>
        <w:rPr>
          <w:rFonts w:hint="eastAsia" w:ascii="宋体" w:hAnsi="宋体"/>
          <w:color w:val="auto"/>
          <w:sz w:val="24"/>
          <w:highlight w:val="none"/>
        </w:rPr>
        <w:t>3、响应情况分别为：正偏离、响应或负偏离。投标人可在备注栏内就偏离原因进行简要说明。</w:t>
      </w:r>
    </w:p>
    <w:p w14:paraId="11C57CC7">
      <w:pPr>
        <w:shd w:val="clea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法定代表人（签字或盖章）：</w:t>
      </w:r>
    </w:p>
    <w:p w14:paraId="626DAA8F">
      <w:pPr>
        <w:shd w:val="clear"/>
        <w:adjustRightInd w:val="0"/>
        <w:snapToGrid w:val="0"/>
        <w:spacing w:line="586" w:lineRule="exact"/>
        <w:ind w:firstLine="3360" w:firstLineChars="1400"/>
        <w:jc w:val="right"/>
        <w:rPr>
          <w:rFonts w:ascii="宋体" w:hAnsi="宋体"/>
          <w:color w:val="auto"/>
          <w:sz w:val="24"/>
          <w:highlight w:val="none"/>
        </w:rPr>
      </w:pPr>
    </w:p>
    <w:p w14:paraId="5824F624">
      <w:pPr>
        <w:shd w:val="clear"/>
        <w:adjustRightInd w:val="0"/>
        <w:snapToGrid w:val="0"/>
        <w:spacing w:line="586" w:lineRule="exact"/>
        <w:ind w:firstLine="3360" w:firstLineChars="1400"/>
        <w:jc w:val="right"/>
        <w:rPr>
          <w:rFonts w:ascii="宋体" w:hAnsi="宋体"/>
          <w:color w:val="auto"/>
          <w:sz w:val="24"/>
          <w:highlight w:val="none"/>
        </w:rPr>
      </w:pPr>
      <w:r>
        <w:rPr>
          <w:rFonts w:hint="eastAsia" w:ascii="宋体" w:hAnsi="宋体"/>
          <w:color w:val="auto"/>
          <w:sz w:val="24"/>
          <w:highlight w:val="none"/>
        </w:rPr>
        <w:t>投  标  人（盖章）：</w:t>
      </w:r>
    </w:p>
    <w:p w14:paraId="7AE780DE">
      <w:pPr>
        <w:shd w:val="clear"/>
        <w:spacing w:line="360" w:lineRule="auto"/>
        <w:ind w:firstLine="435"/>
        <w:jc w:val="right"/>
        <w:rPr>
          <w:rFonts w:ascii="宋体" w:hAnsi="宋体"/>
          <w:color w:val="auto"/>
          <w:sz w:val="24"/>
          <w:highlight w:val="none"/>
        </w:rPr>
      </w:pPr>
      <w:r>
        <w:rPr>
          <w:rFonts w:hint="eastAsia" w:ascii="宋体" w:hAnsi="宋体"/>
          <w:color w:val="auto"/>
          <w:sz w:val="24"/>
          <w:highlight w:val="none"/>
        </w:rPr>
        <w:t xml:space="preserve">  </w:t>
      </w:r>
    </w:p>
    <w:p w14:paraId="3B22C6DA">
      <w:pPr>
        <w:pStyle w:val="2"/>
        <w:shd w:val="clear"/>
        <w:jc w:val="right"/>
        <w:rPr>
          <w:rFonts w:hAnsi="宋体"/>
          <w:color w:val="auto"/>
          <w:sz w:val="24"/>
          <w:szCs w:val="24"/>
          <w:highlight w:val="none"/>
        </w:rPr>
        <w:sectPr>
          <w:pgSz w:w="11906" w:h="16838"/>
          <w:pgMar w:top="1440" w:right="1188" w:bottom="1440" w:left="1797" w:header="851" w:footer="992" w:gutter="0"/>
          <w:cols w:space="720" w:num="1"/>
          <w:docGrid w:type="lines" w:linePitch="312" w:charSpace="0"/>
        </w:sectPr>
      </w:pPr>
      <w:r>
        <w:rPr>
          <w:rFonts w:hint="eastAsia" w:hAnsi="宋体"/>
          <w:color w:val="auto"/>
          <w:sz w:val="24"/>
          <w:szCs w:val="24"/>
          <w:highlight w:val="none"/>
        </w:rPr>
        <w:t>年    月    日</w:t>
      </w:r>
    </w:p>
    <w:p w14:paraId="15ADC99F">
      <w:pPr>
        <w:shd w:val="clear"/>
        <w:spacing w:line="360" w:lineRule="auto"/>
        <w:jc w:val="left"/>
        <w:rPr>
          <w:rFonts w:ascii="宋体" w:hAnsi="宋体"/>
          <w:color w:val="auto"/>
          <w:szCs w:val="28"/>
          <w:highlight w:val="none"/>
        </w:rPr>
      </w:pPr>
      <w:r>
        <w:rPr>
          <w:rFonts w:hint="eastAsia" w:ascii="宋体" w:hAnsi="宋体" w:cs="宋体"/>
          <w:b/>
          <w:bCs/>
          <w:color w:val="auto"/>
          <w:sz w:val="24"/>
          <w:highlight w:val="none"/>
        </w:rPr>
        <w:t>8、投标人诚信投标承诺书</w:t>
      </w:r>
    </w:p>
    <w:p w14:paraId="658631F0">
      <w:pPr>
        <w:shd w:val="clear"/>
        <w:spacing w:line="360" w:lineRule="auto"/>
        <w:jc w:val="center"/>
        <w:rPr>
          <w:rFonts w:ascii="宋体" w:hAnsi="宋体" w:cs="宋体"/>
          <w:color w:val="auto"/>
          <w:sz w:val="36"/>
          <w:highlight w:val="none"/>
        </w:rPr>
      </w:pPr>
      <w:r>
        <w:rPr>
          <w:rFonts w:hint="eastAsia" w:ascii="宋体" w:hAnsi="宋体" w:cs="宋体"/>
          <w:color w:val="auto"/>
          <w:sz w:val="36"/>
          <w:highlight w:val="none"/>
        </w:rPr>
        <w:t>投标人诚信投标承诺书</w:t>
      </w:r>
    </w:p>
    <w:p w14:paraId="6DACF63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本人以企业法定代表人的身份郑重承诺：</w:t>
      </w:r>
    </w:p>
    <w:p w14:paraId="29A17220">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一、</w:t>
      </w:r>
      <w:r>
        <w:rPr>
          <w:rFonts w:hint="eastAsia" w:ascii="宋体" w:hAnsi="宋体" w:cs="宋体"/>
          <w:color w:val="auto"/>
          <w:sz w:val="24"/>
          <w:highlight w:val="none"/>
        </w:rPr>
        <w:t>将遵循公开、公正和诚实信用的原则自愿参加</w:t>
      </w:r>
      <w:r>
        <w:rPr>
          <w:rFonts w:hint="eastAsia" w:ascii="宋体" w:hAnsi="宋体" w:cs="宋体"/>
          <w:color w:val="auto"/>
          <w:sz w:val="24"/>
          <w:highlight w:val="none"/>
          <w:u w:val="single"/>
          <w:lang w:eastAsia="zh-CN"/>
        </w:rPr>
        <w:t>台州国际博览中心项目设计采购施工（EPC）工程总承包无价材料采购【景观垃圾桶、可移动花箱、座凳】</w:t>
      </w:r>
      <w:r>
        <w:rPr>
          <w:rFonts w:hint="eastAsia" w:ascii="宋体" w:hAnsi="宋体" w:cs="宋体"/>
          <w:color w:val="auto"/>
          <w:sz w:val="24"/>
          <w:highlight w:val="none"/>
        </w:rPr>
        <w:t>的投标；</w:t>
      </w:r>
    </w:p>
    <w:p w14:paraId="76775F98">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二、</w:t>
      </w:r>
      <w:r>
        <w:rPr>
          <w:rFonts w:hint="eastAsia" w:ascii="宋体" w:hAnsi="宋体" w:cs="宋体"/>
          <w:color w:val="auto"/>
          <w:sz w:val="24"/>
          <w:highlight w:val="none"/>
        </w:rPr>
        <w:t>所提供的一切材料都是真实、有效、合法的；</w:t>
      </w:r>
    </w:p>
    <w:p w14:paraId="6AACCF74">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三、</w:t>
      </w:r>
      <w:r>
        <w:rPr>
          <w:rFonts w:hint="eastAsia" w:ascii="宋体" w:hAnsi="宋体" w:cs="宋体"/>
          <w:color w:val="auto"/>
          <w:sz w:val="24"/>
          <w:highlight w:val="none"/>
        </w:rPr>
        <w:t>不出借、转让资质证书，让他人挂靠投标，不以他人名义投标或者以其他方式弄虚作假骗取中标；</w:t>
      </w:r>
    </w:p>
    <w:p w14:paraId="11D46EC7">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四、</w:t>
      </w:r>
      <w:r>
        <w:rPr>
          <w:rFonts w:hint="eastAsia" w:ascii="宋体" w:hAnsi="宋体" w:cs="宋体"/>
          <w:color w:val="auto"/>
          <w:sz w:val="24"/>
          <w:highlight w:val="none"/>
        </w:rPr>
        <w:t>不与其他投标人相互串通投标报价，不排挤其他投标人的公平竞争、损害采购人的合法权益；</w:t>
      </w:r>
    </w:p>
    <w:p w14:paraId="17AA8DF5">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五、</w:t>
      </w:r>
      <w:r>
        <w:rPr>
          <w:rFonts w:hint="eastAsia" w:ascii="宋体" w:hAnsi="宋体" w:cs="宋体"/>
          <w:color w:val="auto"/>
          <w:sz w:val="24"/>
          <w:highlight w:val="none"/>
        </w:rPr>
        <w:t>不向采购人或者评标委员会成员行贿以谋取中标；</w:t>
      </w:r>
    </w:p>
    <w:p w14:paraId="31237AE3">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color w:val="auto"/>
          <w:sz w:val="24"/>
          <w:highlight w:val="none"/>
        </w:rPr>
        <w:t>不虚报资质业绩、不擅自修改招标文件，不虚假响应招标文件技术参数要求以牟取中标。</w:t>
      </w:r>
    </w:p>
    <w:p w14:paraId="01F9E364">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七、</w:t>
      </w:r>
      <w:r>
        <w:rPr>
          <w:rFonts w:hint="eastAsia" w:ascii="宋体" w:hAnsi="宋体" w:cs="宋体"/>
          <w:color w:val="auto"/>
          <w:sz w:val="24"/>
          <w:highlight w:val="none"/>
        </w:rPr>
        <w:t>严格按照招标、投标文件要求签订合同，不违反法律无故拒签合同，不背离合同（或技术规格书）实质性内容的协议。</w:t>
      </w:r>
    </w:p>
    <w:p w14:paraId="2BC96580">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八、</w:t>
      </w:r>
      <w:r>
        <w:rPr>
          <w:rFonts w:hint="eastAsia" w:ascii="宋体" w:hAnsi="宋体" w:cs="宋体"/>
          <w:color w:val="auto"/>
          <w:sz w:val="24"/>
          <w:highlight w:val="none"/>
        </w:rPr>
        <w:t>保证中标后不得转包及分包；</w:t>
      </w:r>
    </w:p>
    <w:p w14:paraId="7AE630E5">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九、</w:t>
      </w:r>
      <w:r>
        <w:rPr>
          <w:rFonts w:hint="eastAsia" w:ascii="宋体" w:hAnsi="宋体" w:cs="宋体"/>
          <w:color w:val="auto"/>
          <w:sz w:val="24"/>
          <w:highlight w:val="none"/>
        </w:rPr>
        <w:t>保证中标之后，按照投标文件承诺执行，如有违反，同意接受建设单位违约处罚并没收其履约保证金；</w:t>
      </w:r>
    </w:p>
    <w:p w14:paraId="06877BBB">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十、</w:t>
      </w:r>
      <w:r>
        <w:rPr>
          <w:rFonts w:hint="eastAsia" w:ascii="宋体" w:hAnsi="宋体" w:cs="宋体"/>
          <w:color w:val="auto"/>
          <w:sz w:val="24"/>
          <w:highlight w:val="none"/>
        </w:rPr>
        <w:t>保证企业及所属人员无行贿犯罪记录；</w:t>
      </w:r>
    </w:p>
    <w:p w14:paraId="194E28E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本公司若有违反承诺内容的行为，自愿接受取消投标资格、记入信用档案、没收投标保证金等有关处理，愿意承担法律责任。如已中标的，自动放弃中标资格；给采购人造成损失的，依法承担赔偿责任。</w:t>
      </w:r>
    </w:p>
    <w:p w14:paraId="65EDBF9A">
      <w:pPr>
        <w:shd w:val="clear"/>
        <w:spacing w:line="360" w:lineRule="auto"/>
        <w:rPr>
          <w:rFonts w:ascii="宋体" w:hAnsi="宋体" w:cs="宋体"/>
          <w:color w:val="auto"/>
          <w:sz w:val="24"/>
          <w:highlight w:val="none"/>
        </w:rPr>
      </w:pPr>
    </w:p>
    <w:p w14:paraId="4E69351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olor w:val="auto"/>
          <w:sz w:val="24"/>
          <w:highlight w:val="none"/>
        </w:rPr>
        <w:t>盖章</w:t>
      </w:r>
      <w:r>
        <w:rPr>
          <w:rFonts w:hint="eastAsia" w:ascii="宋体" w:hAnsi="宋体" w:cs="宋体"/>
          <w:color w:val="auto"/>
          <w:sz w:val="24"/>
          <w:highlight w:val="none"/>
        </w:rPr>
        <w:t xml:space="preserve">）：                </w:t>
      </w:r>
    </w:p>
    <w:p w14:paraId="2584903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法定代表人（签字或盖章）：                             年  月  日</w:t>
      </w:r>
    </w:p>
    <w:p w14:paraId="40D157AF">
      <w:pPr>
        <w:shd w:val="clear"/>
        <w:spacing w:line="360" w:lineRule="auto"/>
        <w:rPr>
          <w:color w:val="auto"/>
          <w:highlight w:val="none"/>
        </w:rPr>
      </w:pPr>
    </w:p>
    <w:p w14:paraId="157084E9">
      <w:pPr>
        <w:pStyle w:val="11"/>
        <w:shd w:val="clear"/>
        <w:rPr>
          <w:color w:val="auto"/>
          <w:highlight w:val="none"/>
        </w:rPr>
      </w:pPr>
    </w:p>
    <w:p w14:paraId="121BED6E">
      <w:pPr>
        <w:shd w:val="clear"/>
        <w:rPr>
          <w:color w:val="auto"/>
          <w:highlight w:val="none"/>
        </w:rPr>
      </w:pPr>
    </w:p>
    <w:sectPr>
      <w:pgSz w:w="11906" w:h="16838"/>
      <w:pgMar w:top="1440" w:right="118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创艺简标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decorative"/>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7BA40">
    <w:pPr>
      <w:pStyle w:val="17"/>
      <w:framePr w:wrap="around" w:vAnchor="text" w:hAnchor="page" w:x="5897" w:y="97"/>
      <w:rPr>
        <w:rStyle w:val="27"/>
      </w:rPr>
    </w:pPr>
    <w:r>
      <w:fldChar w:fldCharType="begin"/>
    </w:r>
    <w:r>
      <w:rPr>
        <w:rStyle w:val="27"/>
      </w:rPr>
      <w:instrText xml:space="preserve">PAGE  </w:instrText>
    </w:r>
    <w:r>
      <w:fldChar w:fldCharType="separate"/>
    </w:r>
    <w:r>
      <w:rPr>
        <w:rStyle w:val="27"/>
      </w:rPr>
      <w:t>33</w:t>
    </w:r>
    <w:r>
      <w:fldChar w:fldCharType="end"/>
    </w:r>
  </w:p>
  <w:p w14:paraId="761734B4">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F0753">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7ECD49">
                          <w:pPr>
                            <w:pStyle w:val="13"/>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557ECD49">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23CC9">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2A25A3">
                          <w:pPr>
                            <w:pStyle w:val="13"/>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72A25A3">
                    <w:pPr>
                      <w:pStyle w:val="13"/>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F54B">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9AFE5B">
                          <w:pPr>
                            <w:pStyle w:val="13"/>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579AFE5B">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3AC1">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82AF2">
                          <w:pPr>
                            <w:pStyle w:val="13"/>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2982AF2">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D195">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96553">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630BB">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9E10D">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8B4D"/>
    <w:multiLevelType w:val="singleLevel"/>
    <w:tmpl w:val="84D88B4D"/>
    <w:lvl w:ilvl="0" w:tentative="0">
      <w:start w:val="1"/>
      <w:numFmt w:val="chineseCounting"/>
      <w:suff w:val="nothing"/>
      <w:lvlText w:val="（%1）"/>
      <w:lvlJc w:val="left"/>
      <w:rPr>
        <w:rFonts w:hint="eastAsia"/>
      </w:rPr>
    </w:lvl>
  </w:abstractNum>
  <w:abstractNum w:abstractNumId="1">
    <w:nsid w:val="B93AB5F1"/>
    <w:multiLevelType w:val="singleLevel"/>
    <w:tmpl w:val="B93AB5F1"/>
    <w:lvl w:ilvl="0" w:tentative="0">
      <w:start w:val="2"/>
      <w:numFmt w:val="chineseCounting"/>
      <w:suff w:val="nothing"/>
      <w:lvlText w:val="%1、"/>
      <w:lvlJc w:val="left"/>
      <w:rPr>
        <w:rFonts w:hint="eastAsia"/>
      </w:rPr>
    </w:lvl>
  </w:abstractNum>
  <w:abstractNum w:abstractNumId="2">
    <w:nsid w:val="BF46F17A"/>
    <w:multiLevelType w:val="singleLevel"/>
    <w:tmpl w:val="BF46F17A"/>
    <w:lvl w:ilvl="0" w:tentative="0">
      <w:start w:val="2"/>
      <w:numFmt w:val="decimal"/>
      <w:lvlText w:val="%1."/>
      <w:lvlJc w:val="left"/>
      <w:pPr>
        <w:tabs>
          <w:tab w:val="left" w:pos="312"/>
        </w:tabs>
      </w:pPr>
    </w:lvl>
  </w:abstractNum>
  <w:abstractNum w:abstractNumId="3">
    <w:nsid w:val="F729B99E"/>
    <w:multiLevelType w:val="singleLevel"/>
    <w:tmpl w:val="F729B99E"/>
    <w:lvl w:ilvl="0" w:tentative="0">
      <w:start w:val="1"/>
      <w:numFmt w:val="decimal"/>
      <w:suff w:val="nothing"/>
      <w:lvlText w:val="%1、"/>
      <w:lvlJc w:val="left"/>
    </w:lvl>
  </w:abstractNum>
  <w:abstractNum w:abstractNumId="4">
    <w:nsid w:val="2482A885"/>
    <w:multiLevelType w:val="singleLevel"/>
    <w:tmpl w:val="2482A885"/>
    <w:lvl w:ilvl="0" w:tentative="0">
      <w:start w:val="1"/>
      <w:numFmt w:val="decimal"/>
      <w:suff w:val="nothing"/>
      <w:lvlText w:val="（%1）"/>
      <w:lvlJc w:val="left"/>
    </w:lvl>
  </w:abstractNum>
  <w:abstractNum w:abstractNumId="5">
    <w:nsid w:val="32C114A5"/>
    <w:multiLevelType w:val="singleLevel"/>
    <w:tmpl w:val="32C114A5"/>
    <w:lvl w:ilvl="0" w:tentative="0">
      <w:start w:val="2"/>
      <w:numFmt w:val="chineseCounting"/>
      <w:suff w:val="nothing"/>
      <w:lvlText w:val="（%1）"/>
      <w:lvlJc w:val="left"/>
      <w:rPr>
        <w:rFonts w:hint="eastAsia"/>
      </w:rPr>
    </w:lvl>
  </w:abstractNum>
  <w:abstractNum w:abstractNumId="6">
    <w:nsid w:val="3CF1F191"/>
    <w:multiLevelType w:val="singleLevel"/>
    <w:tmpl w:val="3CF1F191"/>
    <w:lvl w:ilvl="0" w:tentative="0">
      <w:start w:val="1"/>
      <w:numFmt w:val="decimal"/>
      <w:pStyle w:val="5"/>
      <w:lvlText w:val="%1."/>
      <w:lvlJc w:val="left"/>
      <w:pPr>
        <w:tabs>
          <w:tab w:val="left" w:pos="360"/>
        </w:tabs>
        <w:ind w:left="360" w:hanging="360"/>
      </w:pPr>
    </w:lvl>
  </w:abstractNum>
  <w:abstractNum w:abstractNumId="7">
    <w:nsid w:val="4B9A5A5E"/>
    <w:multiLevelType w:val="singleLevel"/>
    <w:tmpl w:val="4B9A5A5E"/>
    <w:lvl w:ilvl="0" w:tentative="0">
      <w:start w:val="2"/>
      <w:numFmt w:val="decimal"/>
      <w:suff w:val="nothing"/>
      <w:lvlText w:val="%1）"/>
      <w:lvlJc w:val="left"/>
    </w:lvl>
  </w:abstractNum>
  <w:abstractNum w:abstractNumId="8">
    <w:nsid w:val="65E403BC"/>
    <w:multiLevelType w:val="multilevel"/>
    <w:tmpl w:val="65E403BC"/>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CCAF1D0"/>
    <w:multiLevelType w:val="singleLevel"/>
    <w:tmpl w:val="7CCAF1D0"/>
    <w:lvl w:ilvl="0" w:tentative="0">
      <w:start w:val="1"/>
      <w:numFmt w:val="chineseCounting"/>
      <w:suff w:val="nothing"/>
      <w:lvlText w:val="%1、"/>
      <w:lvlJc w:val="left"/>
      <w:rPr>
        <w:rFonts w:hint="eastAsia"/>
      </w:rPr>
    </w:lvl>
  </w:abstractNum>
  <w:num w:numId="1">
    <w:abstractNumId w:val="6"/>
  </w:num>
  <w:num w:numId="2">
    <w:abstractNumId w:val="8"/>
    <w:lvlOverride w:ilvl="0">
      <w:startOverride w:val="1"/>
    </w:lvlOverride>
  </w:num>
  <w:num w:numId="3">
    <w:abstractNumId w:val="9"/>
  </w:num>
  <w:num w:numId="4">
    <w:abstractNumId w:val="1"/>
  </w:num>
  <w:num w:numId="5">
    <w:abstractNumId w:val="0"/>
  </w:num>
  <w:num w:numId="6">
    <w:abstractNumId w:val="2"/>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hNTdjZTNlNzg5YTg3ZjZjZGIwMjkyNTMwZGYwMDIifQ=="/>
    <w:docVar w:name="KSO_WPS_MARK_KEY" w:val="e899c30d-4f24-4c64-8119-ad0d5499a4e8"/>
  </w:docVars>
  <w:rsids>
    <w:rsidRoot w:val="00172A27"/>
    <w:rsid w:val="000018DF"/>
    <w:rsid w:val="000262E2"/>
    <w:rsid w:val="00034EE6"/>
    <w:rsid w:val="00036360"/>
    <w:rsid w:val="00060AC3"/>
    <w:rsid w:val="00072ADE"/>
    <w:rsid w:val="00090935"/>
    <w:rsid w:val="00171BBF"/>
    <w:rsid w:val="00172A27"/>
    <w:rsid w:val="001B19F1"/>
    <w:rsid w:val="00273031"/>
    <w:rsid w:val="00315A86"/>
    <w:rsid w:val="0033118A"/>
    <w:rsid w:val="00333550"/>
    <w:rsid w:val="00372A59"/>
    <w:rsid w:val="00392BF8"/>
    <w:rsid w:val="0039475B"/>
    <w:rsid w:val="00411D80"/>
    <w:rsid w:val="0041673E"/>
    <w:rsid w:val="00441420"/>
    <w:rsid w:val="00444D69"/>
    <w:rsid w:val="00453982"/>
    <w:rsid w:val="00455BAE"/>
    <w:rsid w:val="004F5096"/>
    <w:rsid w:val="00523EB0"/>
    <w:rsid w:val="005542AF"/>
    <w:rsid w:val="0055439C"/>
    <w:rsid w:val="005E1EE7"/>
    <w:rsid w:val="006B5B41"/>
    <w:rsid w:val="007159F4"/>
    <w:rsid w:val="007B17A5"/>
    <w:rsid w:val="007C4517"/>
    <w:rsid w:val="007E475D"/>
    <w:rsid w:val="008234A7"/>
    <w:rsid w:val="00842747"/>
    <w:rsid w:val="00845AC0"/>
    <w:rsid w:val="008D2939"/>
    <w:rsid w:val="00902576"/>
    <w:rsid w:val="0094741D"/>
    <w:rsid w:val="009E35D7"/>
    <w:rsid w:val="009E7085"/>
    <w:rsid w:val="00A71D66"/>
    <w:rsid w:val="00A802CA"/>
    <w:rsid w:val="00A84E1A"/>
    <w:rsid w:val="00AA4A6D"/>
    <w:rsid w:val="00B01688"/>
    <w:rsid w:val="00B03F73"/>
    <w:rsid w:val="00B20284"/>
    <w:rsid w:val="00B9693C"/>
    <w:rsid w:val="00C06F00"/>
    <w:rsid w:val="00C61B4E"/>
    <w:rsid w:val="00C6212F"/>
    <w:rsid w:val="00CA41A1"/>
    <w:rsid w:val="00CB0B87"/>
    <w:rsid w:val="00CF2FD3"/>
    <w:rsid w:val="00D36020"/>
    <w:rsid w:val="00D46D0D"/>
    <w:rsid w:val="00D63EDE"/>
    <w:rsid w:val="00D80589"/>
    <w:rsid w:val="00DC2374"/>
    <w:rsid w:val="00E04ABA"/>
    <w:rsid w:val="00E6511E"/>
    <w:rsid w:val="00E8134C"/>
    <w:rsid w:val="00EA25B2"/>
    <w:rsid w:val="00EB5472"/>
    <w:rsid w:val="00F53FDB"/>
    <w:rsid w:val="00F7413A"/>
    <w:rsid w:val="00FB4B77"/>
    <w:rsid w:val="00FC5316"/>
    <w:rsid w:val="00FD2B7A"/>
    <w:rsid w:val="00FE35FD"/>
    <w:rsid w:val="01044658"/>
    <w:rsid w:val="01325934"/>
    <w:rsid w:val="01711656"/>
    <w:rsid w:val="01A707A8"/>
    <w:rsid w:val="01F30097"/>
    <w:rsid w:val="021D229B"/>
    <w:rsid w:val="024E4B4B"/>
    <w:rsid w:val="02B72ADB"/>
    <w:rsid w:val="02BA3F8E"/>
    <w:rsid w:val="02C35694"/>
    <w:rsid w:val="02ED05B8"/>
    <w:rsid w:val="032558AB"/>
    <w:rsid w:val="03962305"/>
    <w:rsid w:val="03E5356D"/>
    <w:rsid w:val="03FB70B4"/>
    <w:rsid w:val="0463001E"/>
    <w:rsid w:val="04F36908"/>
    <w:rsid w:val="051F49B3"/>
    <w:rsid w:val="053C6EDC"/>
    <w:rsid w:val="05411471"/>
    <w:rsid w:val="05474C21"/>
    <w:rsid w:val="057D305E"/>
    <w:rsid w:val="05843F57"/>
    <w:rsid w:val="058F34B0"/>
    <w:rsid w:val="058F525E"/>
    <w:rsid w:val="05976A94"/>
    <w:rsid w:val="05CD222A"/>
    <w:rsid w:val="05E642A9"/>
    <w:rsid w:val="065A7E31"/>
    <w:rsid w:val="06CD6CE6"/>
    <w:rsid w:val="06E35092"/>
    <w:rsid w:val="07076A83"/>
    <w:rsid w:val="0739256A"/>
    <w:rsid w:val="07C42AEA"/>
    <w:rsid w:val="0831446C"/>
    <w:rsid w:val="086957C5"/>
    <w:rsid w:val="086A5F88"/>
    <w:rsid w:val="0890194E"/>
    <w:rsid w:val="08DA2C94"/>
    <w:rsid w:val="09494293"/>
    <w:rsid w:val="09D364EF"/>
    <w:rsid w:val="0A0D0E47"/>
    <w:rsid w:val="0A1A3D63"/>
    <w:rsid w:val="0A635F3A"/>
    <w:rsid w:val="0A717628"/>
    <w:rsid w:val="0AA7129C"/>
    <w:rsid w:val="0ABB08A3"/>
    <w:rsid w:val="0ACB7331"/>
    <w:rsid w:val="0B30303F"/>
    <w:rsid w:val="0B5703F8"/>
    <w:rsid w:val="0B642C9E"/>
    <w:rsid w:val="0BF978D5"/>
    <w:rsid w:val="0C4B7AE2"/>
    <w:rsid w:val="0C923042"/>
    <w:rsid w:val="0CAF61E6"/>
    <w:rsid w:val="0D0271E7"/>
    <w:rsid w:val="0D296C9D"/>
    <w:rsid w:val="0D3D7C96"/>
    <w:rsid w:val="0D581834"/>
    <w:rsid w:val="0D933D59"/>
    <w:rsid w:val="0DB5782C"/>
    <w:rsid w:val="0DB717F6"/>
    <w:rsid w:val="0E3B2427"/>
    <w:rsid w:val="0F0A004B"/>
    <w:rsid w:val="1001144E"/>
    <w:rsid w:val="100E2CD2"/>
    <w:rsid w:val="10283501"/>
    <w:rsid w:val="10CD6AFE"/>
    <w:rsid w:val="11C12C43"/>
    <w:rsid w:val="11CB1344"/>
    <w:rsid w:val="11CF2F65"/>
    <w:rsid w:val="11E016F3"/>
    <w:rsid w:val="12383FA4"/>
    <w:rsid w:val="124B52FC"/>
    <w:rsid w:val="1252421A"/>
    <w:rsid w:val="126F6B43"/>
    <w:rsid w:val="13434F8C"/>
    <w:rsid w:val="13511182"/>
    <w:rsid w:val="13963C86"/>
    <w:rsid w:val="139E3631"/>
    <w:rsid w:val="13AC1E53"/>
    <w:rsid w:val="13C01E8B"/>
    <w:rsid w:val="13C72E82"/>
    <w:rsid w:val="14684394"/>
    <w:rsid w:val="14DB60FF"/>
    <w:rsid w:val="154747FE"/>
    <w:rsid w:val="154E6F5F"/>
    <w:rsid w:val="15643F6B"/>
    <w:rsid w:val="15655FDB"/>
    <w:rsid w:val="15BA6327"/>
    <w:rsid w:val="15E74A5B"/>
    <w:rsid w:val="15F01D49"/>
    <w:rsid w:val="160C46A9"/>
    <w:rsid w:val="16141F8F"/>
    <w:rsid w:val="16247228"/>
    <w:rsid w:val="163E3066"/>
    <w:rsid w:val="16691CFC"/>
    <w:rsid w:val="169556E9"/>
    <w:rsid w:val="16973F46"/>
    <w:rsid w:val="16D026BB"/>
    <w:rsid w:val="16FD7CA0"/>
    <w:rsid w:val="16FF0460"/>
    <w:rsid w:val="171F3B6A"/>
    <w:rsid w:val="175B6DF9"/>
    <w:rsid w:val="18004A50"/>
    <w:rsid w:val="182242C4"/>
    <w:rsid w:val="183D3240"/>
    <w:rsid w:val="184C5231"/>
    <w:rsid w:val="185365BF"/>
    <w:rsid w:val="186C0C7B"/>
    <w:rsid w:val="18750431"/>
    <w:rsid w:val="18EA21F0"/>
    <w:rsid w:val="1909190E"/>
    <w:rsid w:val="191D4304"/>
    <w:rsid w:val="19A672B4"/>
    <w:rsid w:val="19B95992"/>
    <w:rsid w:val="19E03D74"/>
    <w:rsid w:val="19EA4D01"/>
    <w:rsid w:val="1A091B76"/>
    <w:rsid w:val="1A324E27"/>
    <w:rsid w:val="1A514D80"/>
    <w:rsid w:val="1AEE0F51"/>
    <w:rsid w:val="1AF24D73"/>
    <w:rsid w:val="1B0911B7"/>
    <w:rsid w:val="1B3A1110"/>
    <w:rsid w:val="1B564A4E"/>
    <w:rsid w:val="1B9C202B"/>
    <w:rsid w:val="1C1D78AB"/>
    <w:rsid w:val="1C4729C9"/>
    <w:rsid w:val="1C5D299B"/>
    <w:rsid w:val="1C834C87"/>
    <w:rsid w:val="1CE801E9"/>
    <w:rsid w:val="1D3B2B65"/>
    <w:rsid w:val="1DE36C90"/>
    <w:rsid w:val="1E17071F"/>
    <w:rsid w:val="1E3525B1"/>
    <w:rsid w:val="1E733517"/>
    <w:rsid w:val="1EDA07E2"/>
    <w:rsid w:val="1EDC0634"/>
    <w:rsid w:val="1EE5156E"/>
    <w:rsid w:val="1F02489B"/>
    <w:rsid w:val="1F8C1B3E"/>
    <w:rsid w:val="1F9A1016"/>
    <w:rsid w:val="1FBE2DC3"/>
    <w:rsid w:val="1FF72C40"/>
    <w:rsid w:val="20504E83"/>
    <w:rsid w:val="20546BAB"/>
    <w:rsid w:val="205A4F28"/>
    <w:rsid w:val="20836482"/>
    <w:rsid w:val="20AC1460"/>
    <w:rsid w:val="20C360A2"/>
    <w:rsid w:val="21191E93"/>
    <w:rsid w:val="21366A7E"/>
    <w:rsid w:val="2159273C"/>
    <w:rsid w:val="219A5EAA"/>
    <w:rsid w:val="21B1721B"/>
    <w:rsid w:val="22B24F65"/>
    <w:rsid w:val="22F70F96"/>
    <w:rsid w:val="23057CF7"/>
    <w:rsid w:val="23630F2C"/>
    <w:rsid w:val="236614D5"/>
    <w:rsid w:val="23AB5501"/>
    <w:rsid w:val="23C94CF2"/>
    <w:rsid w:val="24493AB3"/>
    <w:rsid w:val="24977834"/>
    <w:rsid w:val="24BE3012"/>
    <w:rsid w:val="24ED3012"/>
    <w:rsid w:val="24F9229C"/>
    <w:rsid w:val="25184E18"/>
    <w:rsid w:val="26A35185"/>
    <w:rsid w:val="26FA0215"/>
    <w:rsid w:val="27024012"/>
    <w:rsid w:val="271A7234"/>
    <w:rsid w:val="2731466E"/>
    <w:rsid w:val="27713266"/>
    <w:rsid w:val="28057A3A"/>
    <w:rsid w:val="288D479C"/>
    <w:rsid w:val="28B22E8E"/>
    <w:rsid w:val="28D565B2"/>
    <w:rsid w:val="28DB209D"/>
    <w:rsid w:val="28E82D54"/>
    <w:rsid w:val="29121B7F"/>
    <w:rsid w:val="29600B3C"/>
    <w:rsid w:val="29C15EF8"/>
    <w:rsid w:val="2A4915D0"/>
    <w:rsid w:val="2A4C2E5D"/>
    <w:rsid w:val="2A61736E"/>
    <w:rsid w:val="2A6A2827"/>
    <w:rsid w:val="2AD2520F"/>
    <w:rsid w:val="2AE15CAC"/>
    <w:rsid w:val="2B0F744D"/>
    <w:rsid w:val="2B7E52A9"/>
    <w:rsid w:val="2B9F0C5E"/>
    <w:rsid w:val="2BA91EAE"/>
    <w:rsid w:val="2BCB6C93"/>
    <w:rsid w:val="2BD14A92"/>
    <w:rsid w:val="2BE22DC4"/>
    <w:rsid w:val="2C0A4AEB"/>
    <w:rsid w:val="2C557E85"/>
    <w:rsid w:val="2C580726"/>
    <w:rsid w:val="2CAC4D2C"/>
    <w:rsid w:val="2CC04747"/>
    <w:rsid w:val="2CDD05EA"/>
    <w:rsid w:val="2D234680"/>
    <w:rsid w:val="2D654973"/>
    <w:rsid w:val="2E093C84"/>
    <w:rsid w:val="2E782710"/>
    <w:rsid w:val="2E905EBD"/>
    <w:rsid w:val="2EC132D8"/>
    <w:rsid w:val="2ED33B5E"/>
    <w:rsid w:val="2F0A7FD7"/>
    <w:rsid w:val="2F167231"/>
    <w:rsid w:val="2F8A5B3E"/>
    <w:rsid w:val="2FB53C52"/>
    <w:rsid w:val="2FF611A3"/>
    <w:rsid w:val="30442F65"/>
    <w:rsid w:val="304B42F4"/>
    <w:rsid w:val="30A308F3"/>
    <w:rsid w:val="311C7A3E"/>
    <w:rsid w:val="312406A1"/>
    <w:rsid w:val="312A5E83"/>
    <w:rsid w:val="317157F6"/>
    <w:rsid w:val="31B163D9"/>
    <w:rsid w:val="32947E62"/>
    <w:rsid w:val="32A01FA9"/>
    <w:rsid w:val="332E5807"/>
    <w:rsid w:val="334C39F1"/>
    <w:rsid w:val="33833DA5"/>
    <w:rsid w:val="33A75026"/>
    <w:rsid w:val="33C41353"/>
    <w:rsid w:val="33E72FDF"/>
    <w:rsid w:val="340059A5"/>
    <w:rsid w:val="341F548B"/>
    <w:rsid w:val="342B1D46"/>
    <w:rsid w:val="344B1779"/>
    <w:rsid w:val="346B20A5"/>
    <w:rsid w:val="34874BE0"/>
    <w:rsid w:val="349F18E8"/>
    <w:rsid w:val="34A25780"/>
    <w:rsid w:val="34A55F9D"/>
    <w:rsid w:val="35104158"/>
    <w:rsid w:val="35590BCC"/>
    <w:rsid w:val="359336F3"/>
    <w:rsid w:val="35A85D44"/>
    <w:rsid w:val="35BA232D"/>
    <w:rsid w:val="35C3492C"/>
    <w:rsid w:val="35E67EF2"/>
    <w:rsid w:val="36127928"/>
    <w:rsid w:val="362D624A"/>
    <w:rsid w:val="363C648D"/>
    <w:rsid w:val="364A1FE4"/>
    <w:rsid w:val="36534091"/>
    <w:rsid w:val="3664024C"/>
    <w:rsid w:val="366B6EE6"/>
    <w:rsid w:val="367B6FB5"/>
    <w:rsid w:val="36A22398"/>
    <w:rsid w:val="36A63FBE"/>
    <w:rsid w:val="36F10AC4"/>
    <w:rsid w:val="36FD6883"/>
    <w:rsid w:val="373D426B"/>
    <w:rsid w:val="37806926"/>
    <w:rsid w:val="37B95FE7"/>
    <w:rsid w:val="37BC1633"/>
    <w:rsid w:val="37D6689F"/>
    <w:rsid w:val="37EF1A09"/>
    <w:rsid w:val="37FE0B1D"/>
    <w:rsid w:val="38481B4C"/>
    <w:rsid w:val="384F02CA"/>
    <w:rsid w:val="38AC16A8"/>
    <w:rsid w:val="38D1386C"/>
    <w:rsid w:val="391159AF"/>
    <w:rsid w:val="39292CF8"/>
    <w:rsid w:val="39784764"/>
    <w:rsid w:val="39D96878"/>
    <w:rsid w:val="39E906DA"/>
    <w:rsid w:val="3A505262"/>
    <w:rsid w:val="3A535DC2"/>
    <w:rsid w:val="3A880AD6"/>
    <w:rsid w:val="3A8A3C6B"/>
    <w:rsid w:val="3ACA0385"/>
    <w:rsid w:val="3AD21E6E"/>
    <w:rsid w:val="3B42226A"/>
    <w:rsid w:val="3B6D20CF"/>
    <w:rsid w:val="3B945917"/>
    <w:rsid w:val="3C236125"/>
    <w:rsid w:val="3C237ED3"/>
    <w:rsid w:val="3C2461BD"/>
    <w:rsid w:val="3C797AF3"/>
    <w:rsid w:val="3CB72D11"/>
    <w:rsid w:val="3D023F8C"/>
    <w:rsid w:val="3D0D46DF"/>
    <w:rsid w:val="3D107E76"/>
    <w:rsid w:val="3D2F6099"/>
    <w:rsid w:val="3D4B1BB0"/>
    <w:rsid w:val="3D874491"/>
    <w:rsid w:val="3D9A2417"/>
    <w:rsid w:val="3E570308"/>
    <w:rsid w:val="3E6044EA"/>
    <w:rsid w:val="3EF21E05"/>
    <w:rsid w:val="3F1A47FA"/>
    <w:rsid w:val="3F1E7077"/>
    <w:rsid w:val="3F5605BF"/>
    <w:rsid w:val="3F78235D"/>
    <w:rsid w:val="3F855206"/>
    <w:rsid w:val="3F882D58"/>
    <w:rsid w:val="3F916667"/>
    <w:rsid w:val="3FA81778"/>
    <w:rsid w:val="3FBE399E"/>
    <w:rsid w:val="3FE07E89"/>
    <w:rsid w:val="40001ED8"/>
    <w:rsid w:val="400C5353"/>
    <w:rsid w:val="40152228"/>
    <w:rsid w:val="40442B0E"/>
    <w:rsid w:val="405B02ED"/>
    <w:rsid w:val="40817506"/>
    <w:rsid w:val="40AB2599"/>
    <w:rsid w:val="40B82BB4"/>
    <w:rsid w:val="40E63BC5"/>
    <w:rsid w:val="40FD796C"/>
    <w:rsid w:val="414F1893"/>
    <w:rsid w:val="415D283D"/>
    <w:rsid w:val="416074D3"/>
    <w:rsid w:val="41783150"/>
    <w:rsid w:val="41922CC2"/>
    <w:rsid w:val="41AE376E"/>
    <w:rsid w:val="41D23361"/>
    <w:rsid w:val="41FA3560"/>
    <w:rsid w:val="420C3CDA"/>
    <w:rsid w:val="426B6130"/>
    <w:rsid w:val="426B62E4"/>
    <w:rsid w:val="428216CB"/>
    <w:rsid w:val="42A53E36"/>
    <w:rsid w:val="42A74777"/>
    <w:rsid w:val="43170066"/>
    <w:rsid w:val="44056110"/>
    <w:rsid w:val="442B65C9"/>
    <w:rsid w:val="44626A01"/>
    <w:rsid w:val="447B1636"/>
    <w:rsid w:val="447F2542"/>
    <w:rsid w:val="45380C3A"/>
    <w:rsid w:val="45733C98"/>
    <w:rsid w:val="45795008"/>
    <w:rsid w:val="45C046FE"/>
    <w:rsid w:val="45E5444B"/>
    <w:rsid w:val="465406F3"/>
    <w:rsid w:val="465C45E0"/>
    <w:rsid w:val="46996D9C"/>
    <w:rsid w:val="46A35F29"/>
    <w:rsid w:val="46CE1383"/>
    <w:rsid w:val="46DC3B3D"/>
    <w:rsid w:val="47134FE8"/>
    <w:rsid w:val="471F398D"/>
    <w:rsid w:val="47D6229D"/>
    <w:rsid w:val="47DB6CF9"/>
    <w:rsid w:val="482C010F"/>
    <w:rsid w:val="48575BD9"/>
    <w:rsid w:val="487B4BF3"/>
    <w:rsid w:val="48AA3228"/>
    <w:rsid w:val="48FF5824"/>
    <w:rsid w:val="4987131E"/>
    <w:rsid w:val="49DD60C4"/>
    <w:rsid w:val="49E07403"/>
    <w:rsid w:val="49F16B62"/>
    <w:rsid w:val="4A003BA1"/>
    <w:rsid w:val="4A62250E"/>
    <w:rsid w:val="4A6629A1"/>
    <w:rsid w:val="4A66404E"/>
    <w:rsid w:val="4A800BE6"/>
    <w:rsid w:val="4A806386"/>
    <w:rsid w:val="4AC95B55"/>
    <w:rsid w:val="4AF57CD3"/>
    <w:rsid w:val="4AF85F7F"/>
    <w:rsid w:val="4B0E125E"/>
    <w:rsid w:val="4B3A6FE7"/>
    <w:rsid w:val="4BB36023"/>
    <w:rsid w:val="4BC834E2"/>
    <w:rsid w:val="4C064EFA"/>
    <w:rsid w:val="4C130750"/>
    <w:rsid w:val="4C5C41BA"/>
    <w:rsid w:val="4C6352EA"/>
    <w:rsid w:val="4C662A44"/>
    <w:rsid w:val="4CF51418"/>
    <w:rsid w:val="4D4755F4"/>
    <w:rsid w:val="4D49793A"/>
    <w:rsid w:val="4D73771A"/>
    <w:rsid w:val="4DB4492A"/>
    <w:rsid w:val="4E047FF9"/>
    <w:rsid w:val="4E0842C4"/>
    <w:rsid w:val="4E772300"/>
    <w:rsid w:val="4EA0752B"/>
    <w:rsid w:val="4ED56AA9"/>
    <w:rsid w:val="4EE93631"/>
    <w:rsid w:val="4F195060"/>
    <w:rsid w:val="4F253374"/>
    <w:rsid w:val="4F451613"/>
    <w:rsid w:val="4F9D2D8C"/>
    <w:rsid w:val="4FBD3D43"/>
    <w:rsid w:val="4FD863CB"/>
    <w:rsid w:val="4FE67C5A"/>
    <w:rsid w:val="50302767"/>
    <w:rsid w:val="50335A76"/>
    <w:rsid w:val="504A6B47"/>
    <w:rsid w:val="506E5768"/>
    <w:rsid w:val="507E7976"/>
    <w:rsid w:val="50830AE8"/>
    <w:rsid w:val="50862720"/>
    <w:rsid w:val="50940F47"/>
    <w:rsid w:val="510908C5"/>
    <w:rsid w:val="510E4D05"/>
    <w:rsid w:val="51A51C49"/>
    <w:rsid w:val="51B078DF"/>
    <w:rsid w:val="51E53C1A"/>
    <w:rsid w:val="51E65D85"/>
    <w:rsid w:val="51EE28D9"/>
    <w:rsid w:val="51F606AE"/>
    <w:rsid w:val="52181704"/>
    <w:rsid w:val="52582CBD"/>
    <w:rsid w:val="52670A9D"/>
    <w:rsid w:val="527E629B"/>
    <w:rsid w:val="52CC2C1B"/>
    <w:rsid w:val="52D65ABC"/>
    <w:rsid w:val="5306007C"/>
    <w:rsid w:val="53336E02"/>
    <w:rsid w:val="53634F4C"/>
    <w:rsid w:val="53C3134A"/>
    <w:rsid w:val="53E51667"/>
    <w:rsid w:val="54314DDB"/>
    <w:rsid w:val="554A7FA3"/>
    <w:rsid w:val="55592DFD"/>
    <w:rsid w:val="55760562"/>
    <w:rsid w:val="55B160F8"/>
    <w:rsid w:val="55CA0DA4"/>
    <w:rsid w:val="55DD6EED"/>
    <w:rsid w:val="56037474"/>
    <w:rsid w:val="56267802"/>
    <w:rsid w:val="56777341"/>
    <w:rsid w:val="56DA167E"/>
    <w:rsid w:val="56FC33A3"/>
    <w:rsid w:val="57152A1D"/>
    <w:rsid w:val="572D1C20"/>
    <w:rsid w:val="57362D58"/>
    <w:rsid w:val="57392DAD"/>
    <w:rsid w:val="578B1DD6"/>
    <w:rsid w:val="579B6EC6"/>
    <w:rsid w:val="57A16858"/>
    <w:rsid w:val="57CF249D"/>
    <w:rsid w:val="58332D2B"/>
    <w:rsid w:val="583354EA"/>
    <w:rsid w:val="587753D7"/>
    <w:rsid w:val="58A5651E"/>
    <w:rsid w:val="58BF09FF"/>
    <w:rsid w:val="58F65F36"/>
    <w:rsid w:val="592B226D"/>
    <w:rsid w:val="59695FCF"/>
    <w:rsid w:val="598D5EFB"/>
    <w:rsid w:val="59F32A39"/>
    <w:rsid w:val="5A082303"/>
    <w:rsid w:val="5A7122F9"/>
    <w:rsid w:val="5ACA5A2E"/>
    <w:rsid w:val="5B0D2022"/>
    <w:rsid w:val="5B382E76"/>
    <w:rsid w:val="5B920779"/>
    <w:rsid w:val="5BA9574D"/>
    <w:rsid w:val="5C161D5A"/>
    <w:rsid w:val="5C381321"/>
    <w:rsid w:val="5C5E0AD5"/>
    <w:rsid w:val="5CB607B2"/>
    <w:rsid w:val="5CC71F9C"/>
    <w:rsid w:val="5CD1185B"/>
    <w:rsid w:val="5CF1369E"/>
    <w:rsid w:val="5D7E2D63"/>
    <w:rsid w:val="5DA33651"/>
    <w:rsid w:val="5DBE1282"/>
    <w:rsid w:val="5E536714"/>
    <w:rsid w:val="5EAD2A26"/>
    <w:rsid w:val="5EC21376"/>
    <w:rsid w:val="5EC94C97"/>
    <w:rsid w:val="5EDB223C"/>
    <w:rsid w:val="5EDD61AF"/>
    <w:rsid w:val="5F04157C"/>
    <w:rsid w:val="5F33294B"/>
    <w:rsid w:val="5FAB3BB8"/>
    <w:rsid w:val="5FC44F41"/>
    <w:rsid w:val="5FCC68F1"/>
    <w:rsid w:val="5FFA66AC"/>
    <w:rsid w:val="604455F7"/>
    <w:rsid w:val="60D86C2E"/>
    <w:rsid w:val="60F31CBA"/>
    <w:rsid w:val="612C0778"/>
    <w:rsid w:val="61572249"/>
    <w:rsid w:val="61C80A51"/>
    <w:rsid w:val="61EA6C19"/>
    <w:rsid w:val="61FE187A"/>
    <w:rsid w:val="6233406B"/>
    <w:rsid w:val="62550B45"/>
    <w:rsid w:val="627A5F60"/>
    <w:rsid w:val="629845FF"/>
    <w:rsid w:val="629B6B54"/>
    <w:rsid w:val="62B40FD5"/>
    <w:rsid w:val="62F20F2C"/>
    <w:rsid w:val="62FE5794"/>
    <w:rsid w:val="631A57EC"/>
    <w:rsid w:val="631B2808"/>
    <w:rsid w:val="635822A8"/>
    <w:rsid w:val="63650A1A"/>
    <w:rsid w:val="637D5ED8"/>
    <w:rsid w:val="63B66C7A"/>
    <w:rsid w:val="6430422F"/>
    <w:rsid w:val="647F4954"/>
    <w:rsid w:val="648A4FD5"/>
    <w:rsid w:val="64BD0615"/>
    <w:rsid w:val="64F82D5D"/>
    <w:rsid w:val="651F4912"/>
    <w:rsid w:val="65F04944"/>
    <w:rsid w:val="66186C2E"/>
    <w:rsid w:val="66271A1A"/>
    <w:rsid w:val="66AE605A"/>
    <w:rsid w:val="67421443"/>
    <w:rsid w:val="67AE693B"/>
    <w:rsid w:val="680E10C7"/>
    <w:rsid w:val="683B79F0"/>
    <w:rsid w:val="684D1F03"/>
    <w:rsid w:val="685142FA"/>
    <w:rsid w:val="68633A62"/>
    <w:rsid w:val="68831B76"/>
    <w:rsid w:val="6899602F"/>
    <w:rsid w:val="68E960E3"/>
    <w:rsid w:val="68F231DA"/>
    <w:rsid w:val="69124CA8"/>
    <w:rsid w:val="695A0B28"/>
    <w:rsid w:val="699643D3"/>
    <w:rsid w:val="699B7579"/>
    <w:rsid w:val="69B07DD1"/>
    <w:rsid w:val="69D34437"/>
    <w:rsid w:val="69DD7064"/>
    <w:rsid w:val="69E2467A"/>
    <w:rsid w:val="6A86594D"/>
    <w:rsid w:val="6A9E0E69"/>
    <w:rsid w:val="6AD53AFC"/>
    <w:rsid w:val="6ADC556D"/>
    <w:rsid w:val="6B417F70"/>
    <w:rsid w:val="6B7F4DA5"/>
    <w:rsid w:val="6B967A7B"/>
    <w:rsid w:val="6BDD77EF"/>
    <w:rsid w:val="6C1A00FB"/>
    <w:rsid w:val="6C2A0AAC"/>
    <w:rsid w:val="6D127E97"/>
    <w:rsid w:val="6D481966"/>
    <w:rsid w:val="6D6A2713"/>
    <w:rsid w:val="6DE76703"/>
    <w:rsid w:val="6E0E3C8F"/>
    <w:rsid w:val="6E4B6DC6"/>
    <w:rsid w:val="6E5813EC"/>
    <w:rsid w:val="6EF200A3"/>
    <w:rsid w:val="6F414CE4"/>
    <w:rsid w:val="6FF36C2F"/>
    <w:rsid w:val="700B15E2"/>
    <w:rsid w:val="701D28B0"/>
    <w:rsid w:val="705E3141"/>
    <w:rsid w:val="70605859"/>
    <w:rsid w:val="707E61ED"/>
    <w:rsid w:val="70903082"/>
    <w:rsid w:val="709B6647"/>
    <w:rsid w:val="70E150EF"/>
    <w:rsid w:val="70EB04D8"/>
    <w:rsid w:val="710650F2"/>
    <w:rsid w:val="711B3BC2"/>
    <w:rsid w:val="71393B5C"/>
    <w:rsid w:val="716A4F70"/>
    <w:rsid w:val="71725933"/>
    <w:rsid w:val="71986C9F"/>
    <w:rsid w:val="71B20DD6"/>
    <w:rsid w:val="72066BEB"/>
    <w:rsid w:val="725B4340"/>
    <w:rsid w:val="72E7195E"/>
    <w:rsid w:val="72FA2A34"/>
    <w:rsid w:val="73066AF0"/>
    <w:rsid w:val="73652370"/>
    <w:rsid w:val="73797DFD"/>
    <w:rsid w:val="737D0DBD"/>
    <w:rsid w:val="74066115"/>
    <w:rsid w:val="746A5998"/>
    <w:rsid w:val="74874099"/>
    <w:rsid w:val="74E77C8D"/>
    <w:rsid w:val="750A5235"/>
    <w:rsid w:val="754D5908"/>
    <w:rsid w:val="756E770A"/>
    <w:rsid w:val="759F646D"/>
    <w:rsid w:val="75CF01A8"/>
    <w:rsid w:val="75D237F5"/>
    <w:rsid w:val="76172E1C"/>
    <w:rsid w:val="762A1882"/>
    <w:rsid w:val="762F1DAB"/>
    <w:rsid w:val="76525586"/>
    <w:rsid w:val="766905FD"/>
    <w:rsid w:val="76774ECB"/>
    <w:rsid w:val="76C81028"/>
    <w:rsid w:val="76DB0DCF"/>
    <w:rsid w:val="7720698F"/>
    <w:rsid w:val="772202A6"/>
    <w:rsid w:val="773710A5"/>
    <w:rsid w:val="77546597"/>
    <w:rsid w:val="776B765D"/>
    <w:rsid w:val="77852A42"/>
    <w:rsid w:val="779416A9"/>
    <w:rsid w:val="77DF61B9"/>
    <w:rsid w:val="77EC6338"/>
    <w:rsid w:val="77F428DB"/>
    <w:rsid w:val="78236589"/>
    <w:rsid w:val="78857612"/>
    <w:rsid w:val="78A2242B"/>
    <w:rsid w:val="78BD453E"/>
    <w:rsid w:val="79461EC4"/>
    <w:rsid w:val="79507900"/>
    <w:rsid w:val="79642B32"/>
    <w:rsid w:val="797D2DA2"/>
    <w:rsid w:val="798006BC"/>
    <w:rsid w:val="799D6574"/>
    <w:rsid w:val="7A0B3779"/>
    <w:rsid w:val="7A8F6158"/>
    <w:rsid w:val="7AA8721A"/>
    <w:rsid w:val="7AF07581"/>
    <w:rsid w:val="7B4A54AE"/>
    <w:rsid w:val="7BCE634F"/>
    <w:rsid w:val="7BDA3403"/>
    <w:rsid w:val="7BDA5532"/>
    <w:rsid w:val="7BDB3194"/>
    <w:rsid w:val="7BFF730D"/>
    <w:rsid w:val="7C38637B"/>
    <w:rsid w:val="7C4811A6"/>
    <w:rsid w:val="7C9061B7"/>
    <w:rsid w:val="7CB400F8"/>
    <w:rsid w:val="7D1B3CD3"/>
    <w:rsid w:val="7DA87179"/>
    <w:rsid w:val="7E157307"/>
    <w:rsid w:val="7E2E27BC"/>
    <w:rsid w:val="7E484C97"/>
    <w:rsid w:val="7E4D25B2"/>
    <w:rsid w:val="7E6B6321"/>
    <w:rsid w:val="7EA4626E"/>
    <w:rsid w:val="7ECB797B"/>
    <w:rsid w:val="7F276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tabs>
        <w:tab w:val="left" w:pos="720"/>
        <w:tab w:val="left" w:pos="900"/>
        <w:tab w:val="left" w:pos="1260"/>
        <w:tab w:val="left" w:pos="2160"/>
        <w:tab w:val="left" w:pos="2880"/>
        <w:tab w:val="left" w:pos="3600"/>
        <w:tab w:val="left" w:pos="4320"/>
        <w:tab w:val="left" w:pos="5040"/>
        <w:tab w:val="left" w:pos="5760"/>
      </w:tabs>
      <w:ind w:firstLine="420"/>
    </w:pPr>
    <w:rPr>
      <w:rFonts w:cs="宋体"/>
      <w:szCs w:val="21"/>
    </w:rPr>
  </w:style>
  <w:style w:type="paragraph" w:styleId="3">
    <w:name w:val="Body Text Indent"/>
    <w:basedOn w:val="1"/>
    <w:next w:val="1"/>
    <w:autoRedefine/>
    <w:qFormat/>
    <w:uiPriority w:val="0"/>
    <w:pPr>
      <w:spacing w:line="200" w:lineRule="atLeast"/>
      <w:ind w:firstLine="301"/>
    </w:pPr>
    <w:rPr>
      <w:rFonts w:ascii="宋体" w:hAnsi="Courier New"/>
      <w:spacing w:val="-4"/>
      <w:sz w:val="18"/>
      <w:szCs w:val="20"/>
    </w:rPr>
  </w:style>
  <w:style w:type="paragraph" w:styleId="5">
    <w:name w:val="List Number"/>
    <w:basedOn w:val="1"/>
    <w:autoRedefine/>
    <w:qFormat/>
    <w:uiPriority w:val="0"/>
    <w:pPr>
      <w:numPr>
        <w:ilvl w:val="0"/>
        <w:numId w:val="1"/>
      </w:numPr>
    </w:pPr>
  </w:style>
  <w:style w:type="paragraph" w:styleId="6">
    <w:name w:val="Normal Indent"/>
    <w:basedOn w:val="1"/>
    <w:next w:val="1"/>
    <w:autoRedefine/>
    <w:qFormat/>
    <w:uiPriority w:val="0"/>
    <w:pPr>
      <w:ind w:firstLine="420"/>
    </w:pPr>
    <w:rPr>
      <w:sz w:val="21"/>
      <w:szCs w:val="20"/>
    </w:rPr>
  </w:style>
  <w:style w:type="paragraph" w:styleId="7">
    <w:name w:val="annotation text"/>
    <w:basedOn w:val="1"/>
    <w:next w:val="8"/>
    <w:autoRedefine/>
    <w:qFormat/>
    <w:uiPriority w:val="0"/>
    <w:pPr>
      <w:jc w:val="left"/>
    </w:pPr>
    <w:rPr>
      <w:sz w:val="21"/>
    </w:rPr>
  </w:style>
  <w:style w:type="paragraph" w:customStyle="1" w:styleId="8">
    <w:name w:val="目录 5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3"/>
    <w:basedOn w:val="1"/>
    <w:autoRedefine/>
    <w:qFormat/>
    <w:uiPriority w:val="0"/>
    <w:pPr>
      <w:snapToGrid w:val="0"/>
      <w:spacing w:before="50" w:after="50"/>
    </w:pPr>
    <w:rPr>
      <w:rFonts w:hAnsi="宋体" w:eastAsia="仿宋_GB2312"/>
      <w:b/>
      <w:bCs/>
      <w:sz w:val="24"/>
      <w:szCs w:val="20"/>
    </w:rPr>
  </w:style>
  <w:style w:type="paragraph" w:styleId="10">
    <w:name w:val="Body Text"/>
    <w:basedOn w:val="1"/>
    <w:autoRedefine/>
    <w:qFormat/>
    <w:uiPriority w:val="0"/>
    <w:pPr>
      <w:spacing w:after="120"/>
    </w:pPr>
  </w:style>
  <w:style w:type="paragraph" w:styleId="11">
    <w:name w:val="Plain Text"/>
    <w:basedOn w:val="1"/>
    <w:next w:val="12"/>
    <w:autoRedefine/>
    <w:qFormat/>
    <w:uiPriority w:val="0"/>
    <w:pPr>
      <w:spacing w:before="156" w:beforeLines="50" w:after="156" w:afterLines="50" w:line="400" w:lineRule="atLeast"/>
    </w:pPr>
    <w:rPr>
      <w:rFonts w:ascii="宋体" w:hAnsi="Courier New"/>
      <w:sz w:val="24"/>
    </w:rPr>
  </w:style>
  <w:style w:type="paragraph" w:styleId="12">
    <w:name w:val="Date"/>
    <w:basedOn w:val="1"/>
    <w:next w:val="1"/>
    <w:autoRedefine/>
    <w:qFormat/>
    <w:uiPriority w:val="0"/>
    <w:pPr>
      <w:ind w:left="2500" w:leftChars="2500"/>
    </w:pPr>
    <w:rPr>
      <w:rFonts w:eastAsia="楷体_GB2312"/>
      <w:sz w:val="32"/>
      <w:szCs w:val="20"/>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cs="Arial"/>
      <w:szCs w:val="24"/>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toc 6"/>
    <w:basedOn w:val="1"/>
    <w:next w:val="1"/>
    <w:autoRedefine/>
    <w:qFormat/>
    <w:uiPriority w:val="39"/>
    <w:pPr>
      <w:ind w:left="1050"/>
      <w:jc w:val="left"/>
    </w:pPr>
    <w:rPr>
      <w:rFonts w:ascii="Calibri" w:hAnsi="Calibri" w:cs="Calibri"/>
      <w:sz w:val="18"/>
      <w:szCs w:val="18"/>
    </w:rPr>
  </w:style>
  <w:style w:type="paragraph" w:styleId="19">
    <w:name w:val="Body Text Indent 3"/>
    <w:basedOn w:val="1"/>
    <w:autoRedefine/>
    <w:qFormat/>
    <w:uiPriority w:val="0"/>
    <w:pPr>
      <w:spacing w:after="120"/>
      <w:ind w:left="420" w:leftChars="200"/>
    </w:pPr>
    <w:rPr>
      <w:sz w:val="16"/>
      <w:szCs w:val="16"/>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autoRedefine/>
    <w:qFormat/>
    <w:uiPriority w:val="0"/>
    <w:pPr>
      <w:spacing w:before="240" w:after="60"/>
      <w:jc w:val="center"/>
      <w:outlineLvl w:val="0"/>
    </w:pPr>
    <w:rPr>
      <w:rFonts w:ascii="Arial" w:hAnsi="Arial" w:cs="Arial"/>
      <w:b/>
      <w:bCs/>
      <w:sz w:val="32"/>
      <w:szCs w:val="32"/>
    </w:rPr>
  </w:style>
  <w:style w:type="paragraph" w:styleId="22">
    <w:name w:val="Body Text First Indent"/>
    <w:basedOn w:val="10"/>
    <w:autoRedefine/>
    <w:unhideWhenUsed/>
    <w:qFormat/>
    <w:uiPriority w:val="99"/>
    <w:pPr>
      <w:tabs>
        <w:tab w:val="left" w:pos="574"/>
      </w:tabs>
      <w:ind w:firstLine="420" w:firstLineChars="100"/>
    </w:pPr>
    <w:rPr>
      <w:rFonts w:ascii="Arial" w:hAnsi="Arial" w:cs="Arial"/>
      <w:kern w:val="0"/>
      <w:sz w:val="32"/>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0"/>
    <w:rPr>
      <w:color w:val="0000FF"/>
      <w:u w:val="single"/>
    </w:rPr>
  </w:style>
  <w:style w:type="character" w:styleId="27">
    <w:name w:val="footnote reference"/>
    <w:autoRedefine/>
    <w:qFormat/>
    <w:uiPriority w:val="0"/>
    <w:rPr>
      <w:vertAlign w:val="superscript"/>
    </w:rPr>
  </w:style>
  <w:style w:type="paragraph" w:customStyle="1" w:styleId="28">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29">
    <w:name w:val="列出段落1"/>
    <w:basedOn w:val="1"/>
    <w:autoRedefine/>
    <w:qFormat/>
    <w:uiPriority w:val="0"/>
    <w:pPr>
      <w:ind w:firstLine="420" w:firstLineChars="200"/>
    </w:pPr>
  </w:style>
  <w:style w:type="character" w:customStyle="1" w:styleId="30">
    <w:name w:val="font01"/>
    <w:basedOn w:val="25"/>
    <w:autoRedefine/>
    <w:qFormat/>
    <w:uiPriority w:val="0"/>
    <w:rPr>
      <w:rFonts w:hint="eastAsia" w:ascii="宋体" w:hAnsi="宋体" w:eastAsia="宋体" w:cs="宋体"/>
      <w:color w:val="000000"/>
      <w:sz w:val="22"/>
      <w:szCs w:val="22"/>
      <w:u w:val="none"/>
    </w:rPr>
  </w:style>
  <w:style w:type="character" w:customStyle="1" w:styleId="31">
    <w:name w:val="font11"/>
    <w:basedOn w:val="25"/>
    <w:autoRedefine/>
    <w:qFormat/>
    <w:uiPriority w:val="0"/>
    <w:rPr>
      <w:rFonts w:hint="eastAsia" w:ascii="宋体" w:hAnsi="宋体" w:eastAsia="宋体" w:cs="宋体"/>
      <w:b/>
      <w:bCs/>
      <w:color w:val="FF0000"/>
      <w:sz w:val="22"/>
      <w:szCs w:val="22"/>
      <w:u w:val="none"/>
    </w:rPr>
  </w:style>
  <w:style w:type="paragraph" w:customStyle="1" w:styleId="32">
    <w:name w:val="List Paragraph"/>
    <w:basedOn w:val="1"/>
    <w:autoRedefine/>
    <w:qFormat/>
    <w:uiPriority w:val="34"/>
    <w:pPr>
      <w:ind w:firstLine="420" w:firstLineChars="200"/>
    </w:pPr>
  </w:style>
  <w:style w:type="paragraph" w:customStyle="1" w:styleId="33">
    <w:name w:val="Revision"/>
    <w:autoRedefine/>
    <w:hidden/>
    <w:unhideWhenUsed/>
    <w:qFormat/>
    <w:uiPriority w:val="99"/>
    <w:rPr>
      <w:rFonts w:ascii="Times New Roman" w:hAnsi="Times New Roman" w:eastAsia="宋体" w:cs="Times New Roman"/>
      <w:kern w:val="2"/>
      <w:sz w:val="28"/>
      <w:szCs w:val="24"/>
      <w:lang w:val="en-US" w:eastAsia="zh-CN" w:bidi="ar-SA"/>
    </w:rPr>
  </w:style>
  <w:style w:type="character" w:customStyle="1" w:styleId="34">
    <w:name w:val="font31"/>
    <w:basedOn w:val="25"/>
    <w:autoRedefine/>
    <w:qFormat/>
    <w:uiPriority w:val="0"/>
    <w:rPr>
      <w:rFonts w:hint="eastAsia" w:ascii="宋体" w:hAnsi="宋体" w:eastAsia="宋体" w:cs="宋体"/>
      <w:color w:val="000000"/>
      <w:sz w:val="22"/>
      <w:szCs w:val="22"/>
      <w:u w:val="none"/>
    </w:rPr>
  </w:style>
  <w:style w:type="character" w:customStyle="1" w:styleId="35">
    <w:name w:val="font21"/>
    <w:basedOn w:val="25"/>
    <w:autoRedefine/>
    <w:qFormat/>
    <w:uiPriority w:val="0"/>
    <w:rPr>
      <w:rFonts w:hint="eastAsia" w:ascii="宋体" w:hAnsi="宋体" w:eastAsia="宋体" w:cs="宋体"/>
      <w:color w:val="000000"/>
      <w:sz w:val="22"/>
      <w:szCs w:val="22"/>
      <w:u w:val="single"/>
    </w:rPr>
  </w:style>
  <w:style w:type="character" w:customStyle="1" w:styleId="36">
    <w:name w:val="font51"/>
    <w:basedOn w:val="25"/>
    <w:autoRedefine/>
    <w:qFormat/>
    <w:uiPriority w:val="0"/>
    <w:rPr>
      <w:rFonts w:hint="default" w:ascii="Arial" w:hAnsi="Arial" w:cs="Arial"/>
      <w:color w:val="000000"/>
      <w:sz w:val="20"/>
      <w:szCs w:val="20"/>
      <w:u w:val="none"/>
    </w:rPr>
  </w:style>
  <w:style w:type="character" w:customStyle="1" w:styleId="37">
    <w:name w:val="font41"/>
    <w:basedOn w:val="25"/>
    <w:autoRedefine/>
    <w:qFormat/>
    <w:uiPriority w:val="0"/>
    <w:rPr>
      <w:rFonts w:hint="eastAsia" w:ascii="宋体" w:hAnsi="宋体" w:eastAsia="宋体" w:cs="宋体"/>
      <w:color w:val="92D050"/>
      <w:sz w:val="20"/>
      <w:szCs w:val="20"/>
      <w:u w:val="none"/>
    </w:rPr>
  </w:style>
  <w:style w:type="character" w:customStyle="1" w:styleId="38">
    <w:name w:val="font61"/>
    <w:basedOn w:val="25"/>
    <w:autoRedefine/>
    <w:qFormat/>
    <w:uiPriority w:val="0"/>
    <w:rPr>
      <w:rFonts w:hint="eastAsia" w:ascii="宋体" w:hAnsi="宋体" w:eastAsia="宋体" w:cs="宋体"/>
      <w:color w:val="00B0F0"/>
      <w:sz w:val="20"/>
      <w:szCs w:val="20"/>
      <w:u w:val="none"/>
    </w:rPr>
  </w:style>
  <w:style w:type="character" w:customStyle="1" w:styleId="39">
    <w:name w:val="font71"/>
    <w:basedOn w:val="25"/>
    <w:autoRedefine/>
    <w:qFormat/>
    <w:uiPriority w:val="0"/>
    <w:rPr>
      <w:rFonts w:hint="eastAsia" w:ascii="宋体" w:hAnsi="宋体" w:eastAsia="宋体" w:cs="宋体"/>
      <w:color w:val="FF0000"/>
      <w:sz w:val="20"/>
      <w:szCs w:val="20"/>
      <w:u w:val="none"/>
    </w:rPr>
  </w:style>
  <w:style w:type="character" w:customStyle="1" w:styleId="40">
    <w:name w:val="font81"/>
    <w:basedOn w:val="25"/>
    <w:autoRedefine/>
    <w:qFormat/>
    <w:uiPriority w:val="0"/>
    <w:rPr>
      <w:rFonts w:hint="eastAsia" w:ascii="宋体" w:hAnsi="宋体" w:eastAsia="宋体" w:cs="宋体"/>
      <w:color w:val="5B9BD5"/>
      <w:sz w:val="20"/>
      <w:szCs w:val="20"/>
      <w:u w:val="none"/>
    </w:rPr>
  </w:style>
  <w:style w:type="character" w:customStyle="1" w:styleId="41">
    <w:name w:val="font91"/>
    <w:basedOn w:val="25"/>
    <w:autoRedefine/>
    <w:qFormat/>
    <w:uiPriority w:val="0"/>
    <w:rPr>
      <w:rFonts w:hint="eastAsia" w:ascii="宋体" w:hAnsi="宋体" w:eastAsia="宋体" w:cs="宋体"/>
      <w:color w:val="7030A0"/>
      <w:sz w:val="20"/>
      <w:szCs w:val="20"/>
      <w:u w:val="none"/>
    </w:rPr>
  </w:style>
  <w:style w:type="paragraph" w:customStyle="1" w:styleId="4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43">
    <w:name w:val="font131"/>
    <w:basedOn w:val="25"/>
    <w:qFormat/>
    <w:uiPriority w:val="0"/>
    <w:rPr>
      <w:rFonts w:hint="eastAsia" w:ascii="宋体" w:hAnsi="宋体" w:eastAsia="宋体" w:cs="宋体"/>
      <w:color w:val="FF0000"/>
      <w:sz w:val="20"/>
      <w:szCs w:val="20"/>
      <w:u w:val="none"/>
    </w:rPr>
  </w:style>
  <w:style w:type="character" w:customStyle="1" w:styleId="44">
    <w:name w:val="font112"/>
    <w:basedOn w:val="25"/>
    <w:qFormat/>
    <w:uiPriority w:val="0"/>
    <w:rPr>
      <w:rFonts w:hint="eastAsia" w:ascii="宋体" w:hAnsi="宋体" w:eastAsia="宋体" w:cs="宋体"/>
      <w:color w:val="000000"/>
      <w:sz w:val="28"/>
      <w:szCs w:val="28"/>
      <w:u w:val="none"/>
    </w:rPr>
  </w:style>
  <w:style w:type="character" w:customStyle="1" w:styleId="45">
    <w:name w:val="font141"/>
    <w:basedOn w:val="25"/>
    <w:autoRedefine/>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2170</Words>
  <Characters>2485</Characters>
  <Lines>291</Lines>
  <Paragraphs>82</Paragraphs>
  <TotalTime>5</TotalTime>
  <ScaleCrop>false</ScaleCrop>
  <LinksUpToDate>false</LinksUpToDate>
  <CharactersWithSpaces>2551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2023-07-17T04:55:00Z</dcterms:created>
  <dc:creator>Administrator</dc:creator>
  <cp:lastModifiedBy>pc-q</cp:lastModifiedBy>
  <cp:lastPrinted>2024-06-21T02:50:00Z</cp:lastPrinted>
  <dcterms:modified xsi:type="dcterms:W3CDTF">2024-11-21T11:28:57Z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427539AEAE5E4162A582DC0595CA2854_13</vt:lpwstr>
  </property>
</Properties>
</file>