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99A1">
      <w:pPr>
        <w:spacing w:before="156" w:beforeLines="50" w:line="720" w:lineRule="auto"/>
        <w:jc w:val="distribute"/>
        <w:rPr>
          <w:rFonts w:ascii="宋体" w:hAnsi="宋体" w:cs="宋体"/>
          <w:b/>
          <w:spacing w:val="-20"/>
          <w:sz w:val="52"/>
          <w:szCs w:val="52"/>
        </w:rPr>
      </w:pPr>
      <w:r>
        <w:rPr>
          <w:rFonts w:hint="eastAsia"/>
          <w:b/>
          <w:bCs/>
          <w:sz w:val="52"/>
          <w:szCs w:val="52"/>
        </w:rPr>
        <w:t>“新鲜水果进校园，助力学生健康成长”服务采购</w:t>
      </w:r>
      <w:r>
        <w:rPr>
          <w:rFonts w:hint="eastAsia" w:ascii="宋体" w:hAnsi="宋体" w:cs="宋体"/>
          <w:b/>
          <w:bCs/>
          <w:sz w:val="52"/>
          <w:szCs w:val="52"/>
        </w:rPr>
        <w:t>项目</w:t>
      </w:r>
    </w:p>
    <w:p w14:paraId="4992117D">
      <w:pPr>
        <w:spacing w:before="156" w:beforeLines="50"/>
        <w:jc w:val="center"/>
        <w:rPr>
          <w:rFonts w:ascii="宋体" w:hAnsi="宋体" w:cs="宋体"/>
          <w:b/>
          <w:color w:val="000000"/>
          <w:sz w:val="56"/>
          <w:szCs w:val="56"/>
        </w:rPr>
      </w:pPr>
      <w:r>
        <w:rPr>
          <w:rFonts w:hint="eastAsia" w:ascii="宋体" w:hAnsi="宋体" w:cs="宋体"/>
          <w:b/>
          <w:color w:val="000000"/>
          <w:sz w:val="72"/>
          <w:szCs w:val="72"/>
        </w:rPr>
        <w:t>竞争性磋商文件</w:t>
      </w:r>
    </w:p>
    <w:p w14:paraId="20AEBD90">
      <w:pPr>
        <w:snapToGrid w:val="0"/>
        <w:spacing w:before="156" w:beforeLines="50" w:line="360" w:lineRule="auto"/>
        <w:jc w:val="center"/>
        <w:rPr>
          <w:rFonts w:hAnsi="宋体"/>
          <w:b/>
          <w:bCs/>
          <w:sz w:val="30"/>
          <w:szCs w:val="30"/>
        </w:rPr>
      </w:pPr>
      <w:r>
        <w:rPr>
          <w:rFonts w:ascii="宋体"/>
          <w:sz w:val="30"/>
          <w:szCs w:val="72"/>
        </w:rPr>
        <w:drawing>
          <wp:inline distT="0" distB="0" distL="0" distR="0">
            <wp:extent cx="2314575" cy="2095500"/>
            <wp:effectExtent l="0" t="0" r="9525" b="0"/>
            <wp:docPr id="1"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igou"/>
                    <pic:cNvPicPr>
                      <a:picLocks noChangeAspect="1" noChangeArrowheads="1"/>
                    </pic:cNvPicPr>
                  </pic:nvPicPr>
                  <pic:blipFill>
                    <a:blip r:embed="rId13"/>
                    <a:srcRect/>
                    <a:stretch>
                      <a:fillRect/>
                    </a:stretch>
                  </pic:blipFill>
                  <pic:spPr>
                    <a:xfrm>
                      <a:off x="0" y="0"/>
                      <a:ext cx="2314575" cy="2095500"/>
                    </a:xfrm>
                    <a:prstGeom prst="rect">
                      <a:avLst/>
                    </a:prstGeom>
                    <a:noFill/>
                    <a:ln w="9525">
                      <a:noFill/>
                      <a:miter lim="800000"/>
                      <a:headEnd/>
                      <a:tailEnd/>
                    </a:ln>
                  </pic:spPr>
                </pic:pic>
              </a:graphicData>
            </a:graphic>
          </wp:inline>
        </w:drawing>
      </w:r>
    </w:p>
    <w:p w14:paraId="57D39669">
      <w:pPr>
        <w:pStyle w:val="28"/>
        <w:snapToGrid w:val="0"/>
        <w:spacing w:before="156" w:after="156" w:line="360" w:lineRule="auto"/>
        <w:ind w:firstLine="320" w:firstLineChars="100"/>
        <w:rPr>
          <w:rFonts w:hint="eastAsia" w:hAnsi="宋体"/>
          <w:b/>
          <w:bCs/>
          <w:sz w:val="32"/>
          <w:szCs w:val="32"/>
          <w:lang w:eastAsia="zh-CN"/>
        </w:rPr>
      </w:pPr>
      <w:r>
        <w:rPr>
          <w:rFonts w:hint="eastAsia" w:hAnsi="宋体"/>
          <w:b/>
          <w:bCs/>
          <w:sz w:val="32"/>
          <w:szCs w:val="32"/>
        </w:rPr>
        <w:t>项目编号：</w:t>
      </w:r>
      <w:r>
        <w:rPr>
          <w:rFonts w:hint="eastAsia" w:hAnsi="宋体"/>
          <w:b/>
          <w:bCs/>
          <w:sz w:val="32"/>
          <w:szCs w:val="32"/>
          <w:lang w:eastAsia="zh-CN"/>
        </w:rPr>
        <w:t>浙房东招2024002号</w:t>
      </w:r>
    </w:p>
    <w:p w14:paraId="517F0687">
      <w:pPr>
        <w:pStyle w:val="28"/>
        <w:snapToGrid w:val="0"/>
        <w:spacing w:before="156" w:after="156" w:line="360" w:lineRule="auto"/>
        <w:ind w:firstLine="320" w:firstLineChars="100"/>
        <w:rPr>
          <w:b/>
          <w:sz w:val="32"/>
          <w:szCs w:val="32"/>
        </w:rPr>
      </w:pPr>
      <w:r>
        <w:rPr>
          <w:rFonts w:hint="eastAsia"/>
          <w:b/>
          <w:bCs/>
          <w:sz w:val="32"/>
          <w:szCs w:val="32"/>
        </w:rPr>
        <w:t>项目名称：“新鲜水果进校园，助力学生健康成长”服务采购</w:t>
      </w:r>
    </w:p>
    <w:p w14:paraId="12F16EFF">
      <w:pPr>
        <w:pStyle w:val="28"/>
        <w:snapToGrid w:val="0"/>
        <w:spacing w:before="156" w:after="156" w:line="360" w:lineRule="auto"/>
        <w:ind w:firstLine="320" w:firstLineChars="100"/>
        <w:rPr>
          <w:rFonts w:hint="eastAsia" w:hAnsi="宋体"/>
          <w:b/>
          <w:bCs/>
          <w:sz w:val="32"/>
          <w:szCs w:val="32"/>
          <w:lang w:eastAsia="zh-CN"/>
        </w:rPr>
      </w:pPr>
      <w:r>
        <w:rPr>
          <w:rFonts w:hint="eastAsia" w:hAnsi="宋体"/>
          <w:b/>
          <w:bCs/>
          <w:sz w:val="32"/>
          <w:szCs w:val="32"/>
        </w:rPr>
        <w:t>采购单位：</w:t>
      </w:r>
      <w:r>
        <w:rPr>
          <w:rFonts w:hint="eastAsia" w:hAnsi="宋体"/>
          <w:b/>
          <w:bCs/>
          <w:sz w:val="32"/>
          <w:szCs w:val="32"/>
          <w:lang w:eastAsia="zh-CN"/>
        </w:rPr>
        <w:t>浙江省东阳市巍山高级中学</w:t>
      </w:r>
    </w:p>
    <w:p w14:paraId="34AAE364">
      <w:pPr>
        <w:pStyle w:val="28"/>
        <w:snapToGrid w:val="0"/>
        <w:spacing w:before="156" w:after="156" w:line="360" w:lineRule="auto"/>
        <w:ind w:firstLine="304" w:firstLineChars="100"/>
        <w:rPr>
          <w:rFonts w:hint="eastAsia" w:hAnsi="宋体" w:eastAsia="宋体"/>
          <w:b/>
          <w:bCs/>
          <w:sz w:val="30"/>
          <w:szCs w:val="30"/>
          <w:lang w:eastAsia="zh-CN"/>
        </w:rPr>
      </w:pPr>
      <w:r>
        <w:rPr>
          <w:rFonts w:hint="eastAsia" w:hAnsi="宋体"/>
          <w:b/>
          <w:bCs/>
          <w:w w:val="95"/>
          <w:sz w:val="32"/>
          <w:szCs w:val="32"/>
        </w:rPr>
        <w:t>磋商代理机构：</w:t>
      </w:r>
      <w:r>
        <w:rPr>
          <w:rFonts w:hint="eastAsia" w:hAnsi="宋体"/>
          <w:b/>
          <w:sz w:val="32"/>
          <w:szCs w:val="32"/>
          <w:lang w:eastAsia="zh-CN"/>
        </w:rPr>
        <w:t>浙江省房地产管理咨询有限公司</w:t>
      </w:r>
    </w:p>
    <w:p w14:paraId="2BCFF72E">
      <w:pPr>
        <w:snapToGrid w:val="0"/>
        <w:spacing w:before="312" w:beforeLines="100" w:line="360" w:lineRule="auto"/>
        <w:jc w:val="center"/>
        <w:rPr>
          <w:rFonts w:ascii="宋体" w:hAnsi="宋体"/>
          <w:b/>
          <w:bCs/>
          <w:sz w:val="32"/>
          <w:szCs w:val="32"/>
        </w:rPr>
      </w:pPr>
      <w:r>
        <w:rPr>
          <w:rFonts w:hint="eastAsia" w:ascii="宋体" w:hAnsi="宋体" w:cs="宋体"/>
          <w:w w:val="95"/>
          <w:sz w:val="32"/>
          <w:szCs w:val="32"/>
        </w:rPr>
        <w:t xml:space="preserve">              </w:t>
      </w:r>
      <w:r>
        <w:rPr>
          <w:rFonts w:hint="eastAsia" w:ascii="宋体" w:hAnsi="宋体"/>
          <w:b/>
          <w:bCs/>
          <w:sz w:val="32"/>
          <w:szCs w:val="32"/>
        </w:rPr>
        <w:t xml:space="preserve">             </w:t>
      </w:r>
    </w:p>
    <w:p w14:paraId="6CDA0719">
      <w:pPr>
        <w:snapToGrid w:val="0"/>
        <w:spacing w:before="312" w:beforeLines="100" w:line="360" w:lineRule="auto"/>
        <w:jc w:val="center"/>
        <w:rPr>
          <w:rFonts w:ascii="宋体" w:hAnsi="宋体"/>
          <w:b/>
          <w:bCs/>
          <w:sz w:val="32"/>
          <w:szCs w:val="32"/>
        </w:rPr>
      </w:pPr>
      <w:r>
        <w:rPr>
          <w:rFonts w:hint="eastAsia" w:ascii="宋体" w:hAnsi="宋体"/>
          <w:b/>
          <w:bCs/>
          <w:sz w:val="32"/>
          <w:szCs w:val="32"/>
        </w:rPr>
        <w:t xml:space="preserve">                                       2024年10月</w:t>
      </w:r>
      <w:r>
        <w:rPr>
          <w:rFonts w:hint="eastAsia" w:ascii="宋体" w:hAnsi="宋体"/>
          <w:b/>
          <w:bCs/>
          <w:sz w:val="32"/>
          <w:szCs w:val="32"/>
          <w:lang w:val="en-US" w:eastAsia="zh-CN"/>
        </w:rPr>
        <w:t>30</w:t>
      </w:r>
      <w:r>
        <w:rPr>
          <w:rFonts w:hint="eastAsia" w:ascii="宋体" w:hAnsi="宋体"/>
          <w:b/>
          <w:bCs/>
          <w:sz w:val="32"/>
          <w:szCs w:val="32"/>
        </w:rPr>
        <w:t>日</w:t>
      </w:r>
    </w:p>
    <w:p w14:paraId="07176063">
      <w:pPr>
        <w:snapToGrid w:val="0"/>
        <w:spacing w:before="156" w:beforeLines="50" w:line="360" w:lineRule="auto"/>
        <w:jc w:val="center"/>
        <w:rPr>
          <w:rFonts w:ascii="创艺简标宋" w:hAnsi="宋体" w:eastAsia="创艺简标宋"/>
          <w:sz w:val="44"/>
          <w:szCs w:val="44"/>
        </w:rPr>
      </w:pPr>
      <w:r>
        <w:rPr>
          <w:rFonts w:hint="eastAsia" w:ascii="宋体" w:hAnsi="宋体" w:cs="宋体"/>
        </w:rPr>
        <w:br w:type="page"/>
      </w:r>
      <w:r>
        <w:rPr>
          <w:rFonts w:hint="eastAsia" w:ascii="宋体" w:hAnsi="宋体" w:cs="宋体"/>
          <w:b/>
          <w:spacing w:val="42"/>
          <w:sz w:val="46"/>
          <w:szCs w:val="30"/>
        </w:rPr>
        <w:t>磋商文件目录</w:t>
      </w:r>
    </w:p>
    <w:p w14:paraId="127BAE0E">
      <w:pPr>
        <w:tabs>
          <w:tab w:val="left" w:pos="2160"/>
        </w:tabs>
        <w:spacing w:line="900" w:lineRule="exact"/>
        <w:ind w:left="539"/>
        <w:jc w:val="left"/>
        <w:rPr>
          <w:rFonts w:ascii="新宋体" w:hAnsi="新宋体" w:eastAsia="新宋体"/>
          <w:sz w:val="32"/>
          <w:szCs w:val="32"/>
        </w:rPr>
      </w:pPr>
      <w:r>
        <w:rPr>
          <w:rFonts w:hint="eastAsia" w:ascii="新宋体" w:hAnsi="新宋体" w:eastAsia="新宋体"/>
          <w:sz w:val="32"/>
          <w:szCs w:val="32"/>
        </w:rPr>
        <w:t>第一章  竞争性磋商公告</w:t>
      </w:r>
    </w:p>
    <w:p w14:paraId="799080B5">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第二章  供应商须知</w:t>
      </w:r>
    </w:p>
    <w:p w14:paraId="5734AF5E">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第三章  采购需求</w:t>
      </w:r>
    </w:p>
    <w:p w14:paraId="7F81989A">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第四章  评审方法</w:t>
      </w:r>
    </w:p>
    <w:p w14:paraId="70910634">
      <w:pPr>
        <w:tabs>
          <w:tab w:val="left" w:pos="2160"/>
        </w:tabs>
        <w:spacing w:line="900" w:lineRule="exact"/>
        <w:ind w:left="540"/>
        <w:jc w:val="left"/>
      </w:pPr>
      <w:r>
        <w:rPr>
          <w:rFonts w:hint="eastAsia" w:ascii="新宋体" w:hAnsi="新宋体" w:eastAsia="新宋体"/>
          <w:sz w:val="32"/>
          <w:szCs w:val="32"/>
        </w:rPr>
        <w:t>第五章  附件</w:t>
      </w:r>
    </w:p>
    <w:p w14:paraId="42DBB6DD">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第六章  采购合同</w:t>
      </w:r>
    </w:p>
    <w:p w14:paraId="18100CF7"/>
    <w:p w14:paraId="55032B8E"/>
    <w:p w14:paraId="03D0534C"/>
    <w:p w14:paraId="42DE5BBE"/>
    <w:p w14:paraId="39D47394"/>
    <w:p w14:paraId="7D574EC5"/>
    <w:p w14:paraId="34202E79"/>
    <w:p w14:paraId="28E1D4C2"/>
    <w:p w14:paraId="11D59B5F">
      <w:pPr>
        <w:spacing w:line="360" w:lineRule="auto"/>
        <w:rPr>
          <w:bCs/>
          <w:sz w:val="30"/>
        </w:rPr>
      </w:pPr>
    </w:p>
    <w:p w14:paraId="4C26DC1C">
      <w:pPr>
        <w:spacing w:line="360" w:lineRule="auto"/>
        <w:rPr>
          <w:bCs/>
          <w:sz w:val="30"/>
        </w:rPr>
      </w:pPr>
    </w:p>
    <w:p w14:paraId="7A4CAF89">
      <w:pPr>
        <w:spacing w:line="360" w:lineRule="auto"/>
        <w:rPr>
          <w:bCs/>
          <w:sz w:val="30"/>
        </w:rPr>
      </w:pPr>
    </w:p>
    <w:p w14:paraId="372AE90D">
      <w:pPr>
        <w:spacing w:line="360" w:lineRule="auto"/>
        <w:rPr>
          <w:bCs/>
          <w:sz w:val="30"/>
        </w:rPr>
      </w:pPr>
    </w:p>
    <w:p w14:paraId="2E5581D6">
      <w:pPr>
        <w:spacing w:line="360" w:lineRule="auto"/>
        <w:rPr>
          <w:bCs/>
          <w:sz w:val="30"/>
        </w:rPr>
      </w:pPr>
      <w:r>
        <w:rPr>
          <w:rFonts w:hint="eastAsia"/>
          <w:bCs/>
          <w:sz w:val="30"/>
        </w:rPr>
        <w:t>温馨提示：</w:t>
      </w:r>
    </w:p>
    <w:p w14:paraId="3F9332CD">
      <w:pPr>
        <w:spacing w:line="360" w:lineRule="auto"/>
        <w:ind w:firstLine="600" w:firstLineChars="200"/>
      </w:pPr>
      <w:r>
        <w:rPr>
          <w:rFonts w:hint="eastAsia"/>
          <w:bCs/>
          <w:sz w:val="30"/>
        </w:rPr>
        <w:t>请认真阅读此竞争性磋商采购文件，并按规定制作竞争性磋商响应文件。磋商响应供应商不得向采购人、代理公司工作人员、评标专家行贿，违者一经查实，</w:t>
      </w:r>
      <w:r>
        <w:rPr>
          <w:rFonts w:hint="eastAsia" w:ascii="宋体" w:hAnsi="宋体" w:cs="宋体"/>
          <w:bCs/>
          <w:sz w:val="30"/>
        </w:rPr>
        <w:t>将依法予以查处！</w:t>
      </w:r>
    </w:p>
    <w:p w14:paraId="100A69A8">
      <w:pPr>
        <w:pStyle w:val="28"/>
        <w:snapToGrid w:val="0"/>
        <w:spacing w:before="156" w:after="156" w:line="360" w:lineRule="auto"/>
        <w:outlineLvl w:val="0"/>
        <w:rPr>
          <w:rFonts w:hAnsi="宋体"/>
        </w:rPr>
        <w:sectPr>
          <w:headerReference r:id="rId3" w:type="first"/>
          <w:footerReference r:id="rId6" w:type="first"/>
          <w:footerReference r:id="rId4" w:type="default"/>
          <w:footerReference r:id="rId5" w:type="even"/>
          <w:type w:val="continuous"/>
          <w:pgSz w:w="11906" w:h="16838"/>
          <w:pgMar w:top="1440" w:right="1417" w:bottom="1440" w:left="1417" w:header="851" w:footer="992" w:gutter="0"/>
          <w:pgNumType w:fmt="numberInDash"/>
          <w:cols w:space="720" w:num="1"/>
          <w:docGrid w:type="linesAndChars" w:linePitch="312" w:charSpace="0"/>
        </w:sectPr>
      </w:pPr>
    </w:p>
    <w:p w14:paraId="5EA57FF8">
      <w:pPr>
        <w:spacing w:line="360" w:lineRule="auto"/>
        <w:jc w:val="center"/>
        <w:rPr>
          <w:rFonts w:ascii="宋体" w:hAnsi="宋体" w:cs="宋体"/>
          <w:b/>
          <w:bCs/>
          <w:sz w:val="36"/>
          <w:szCs w:val="36"/>
        </w:rPr>
      </w:pPr>
      <w:r>
        <w:rPr>
          <w:rFonts w:hint="eastAsia" w:ascii="宋体" w:hAnsi="宋体" w:cs="宋体"/>
          <w:b/>
          <w:bCs/>
          <w:sz w:val="36"/>
          <w:szCs w:val="36"/>
        </w:rPr>
        <w:t>第一章  竞争性磋商公告</w:t>
      </w:r>
    </w:p>
    <w:p w14:paraId="513AA003">
      <w:pPr>
        <w:pStyle w:val="28"/>
        <w:snapToGrid w:val="0"/>
        <w:spacing w:beforeLines="0" w:afterLines="0" w:line="360" w:lineRule="auto"/>
        <w:ind w:firstLine="480" w:firstLineChars="200"/>
        <w:outlineLvl w:val="0"/>
        <w:rPr>
          <w:rFonts w:hAnsi="宋体" w:cs="宋体"/>
          <w:szCs w:val="24"/>
        </w:rPr>
      </w:pPr>
      <w:r>
        <w:rPr>
          <w:rFonts w:hint="eastAsia" w:hAnsi="宋体" w:cs="宋体"/>
          <w:szCs w:val="24"/>
        </w:rPr>
        <w:t>参照</w:t>
      </w:r>
      <w:r>
        <w:rPr>
          <w:rFonts w:hint="eastAsia" w:hAnsi="宋体" w:cs="宋体"/>
        </w:rPr>
        <w:t>《中华人民共和国政府采购法》、《政府采购货物和服务招标投标管理办法》等相关规定</w:t>
      </w:r>
      <w:r>
        <w:rPr>
          <w:rFonts w:hAnsi="宋体" w:cs="宋体"/>
        </w:rPr>
        <w:t>,</w:t>
      </w:r>
      <w:r>
        <w:rPr>
          <w:rFonts w:hint="eastAsia" w:hAnsi="宋体" w:cs="宋体"/>
          <w:szCs w:val="24"/>
        </w:rPr>
        <w:t>经批准并受</w:t>
      </w:r>
      <w:r>
        <w:rPr>
          <w:rFonts w:hint="eastAsia" w:hAnsi="宋体" w:cs="宋体"/>
          <w:bCs/>
          <w:color w:val="0D0D0D"/>
          <w:szCs w:val="24"/>
          <w:u w:val="single"/>
          <w:lang w:eastAsia="zh-CN"/>
        </w:rPr>
        <w:t>浙江省东阳市巍山高级中学</w:t>
      </w:r>
      <w:r>
        <w:rPr>
          <w:rFonts w:hint="eastAsia" w:hAnsi="宋体" w:cs="宋体"/>
          <w:color w:val="0D0D0D"/>
          <w:szCs w:val="24"/>
        </w:rPr>
        <w:t>委托</w:t>
      </w:r>
      <w:r>
        <w:rPr>
          <w:rFonts w:hint="eastAsia" w:hAnsi="宋体" w:cs="宋体"/>
          <w:szCs w:val="24"/>
        </w:rPr>
        <w:t>，</w:t>
      </w:r>
      <w:r>
        <w:rPr>
          <w:rFonts w:hint="eastAsia" w:hAnsi="宋体" w:cs="宋体"/>
          <w:szCs w:val="24"/>
          <w:lang w:eastAsia="zh-CN"/>
        </w:rPr>
        <w:t>浙江省房地产管理咨询有限公司</w:t>
      </w:r>
      <w:r>
        <w:rPr>
          <w:rFonts w:hint="eastAsia" w:hAnsi="宋体" w:cs="宋体"/>
          <w:color w:val="000000"/>
          <w:szCs w:val="24"/>
        </w:rPr>
        <w:t>就</w:t>
      </w:r>
      <w:r>
        <w:rPr>
          <w:rFonts w:hint="eastAsia" w:hAnsi="宋体" w:cs="宋体"/>
          <w:bCs/>
          <w:szCs w:val="24"/>
          <w:u w:val="single"/>
        </w:rPr>
        <w:t>“新鲜水果进校园，助力学生健康成长”服务采购项目</w:t>
      </w:r>
      <w:r>
        <w:rPr>
          <w:rFonts w:hint="eastAsia" w:hAnsi="宋体" w:cs="宋体"/>
          <w:szCs w:val="24"/>
        </w:rPr>
        <w:t>进行</w:t>
      </w:r>
      <w:r>
        <w:rPr>
          <w:rFonts w:hint="eastAsia" w:hAnsi="宋体" w:cs="宋体"/>
          <w:kern w:val="0"/>
          <w:szCs w:val="24"/>
        </w:rPr>
        <w:t>竞争性磋商采购，</w:t>
      </w:r>
      <w:r>
        <w:rPr>
          <w:rFonts w:hint="eastAsia" w:hAnsi="宋体" w:cs="宋体"/>
        </w:rPr>
        <w:t>欢迎符合条件的合格供应商前来参加磋商。</w:t>
      </w:r>
    </w:p>
    <w:p w14:paraId="6986D872">
      <w:pPr>
        <w:spacing w:line="360" w:lineRule="auto"/>
        <w:ind w:firstLine="480" w:firstLineChars="200"/>
        <w:rPr>
          <w:rFonts w:hint="eastAsia" w:ascii="宋体" w:hAnsi="宋体" w:cs="宋体"/>
          <w:sz w:val="24"/>
          <w:lang w:eastAsia="zh-CN"/>
        </w:rPr>
      </w:pPr>
      <w:r>
        <w:rPr>
          <w:rFonts w:hint="eastAsia" w:ascii="宋体" w:hAnsi="宋体" w:cs="宋体"/>
          <w:color w:val="0D0D0D"/>
          <w:sz w:val="24"/>
        </w:rPr>
        <w:t>一、</w:t>
      </w:r>
      <w:r>
        <w:rPr>
          <w:rFonts w:hint="eastAsia" w:ascii="宋体" w:hAnsi="宋体" w:cs="宋体"/>
          <w:b/>
          <w:bCs/>
          <w:color w:val="0D0D0D"/>
          <w:sz w:val="24"/>
        </w:rPr>
        <w:t>项目编号：</w:t>
      </w:r>
      <w:r>
        <w:rPr>
          <w:rFonts w:hint="eastAsia" w:ascii="宋体" w:hAnsi="宋体" w:cs="宋体"/>
          <w:sz w:val="24"/>
          <w:lang w:eastAsia="zh-CN"/>
        </w:rPr>
        <w:t>浙房东招2024002号</w:t>
      </w:r>
    </w:p>
    <w:p w14:paraId="6E160E43">
      <w:pPr>
        <w:spacing w:line="360" w:lineRule="auto"/>
        <w:ind w:firstLine="480" w:firstLineChars="200"/>
        <w:rPr>
          <w:rFonts w:ascii="宋体" w:hAnsi="宋体" w:cs="宋体"/>
          <w:sz w:val="24"/>
        </w:rPr>
      </w:pPr>
      <w:r>
        <w:rPr>
          <w:rFonts w:hint="eastAsia" w:ascii="宋体" w:hAnsi="宋体" w:cs="宋体"/>
          <w:color w:val="0D0D0D"/>
          <w:sz w:val="24"/>
        </w:rPr>
        <w:t>二、</w:t>
      </w:r>
      <w:r>
        <w:rPr>
          <w:rFonts w:hint="eastAsia" w:ascii="宋体" w:hAnsi="宋体" w:cs="宋体"/>
          <w:b/>
          <w:bCs/>
          <w:color w:val="0D0D0D"/>
          <w:sz w:val="24"/>
        </w:rPr>
        <w:t>采购组织类型：</w:t>
      </w:r>
      <w:r>
        <w:rPr>
          <w:rFonts w:hint="eastAsia" w:ascii="宋体" w:hAnsi="宋体" w:cs="宋体"/>
          <w:color w:val="0D0D0D"/>
          <w:sz w:val="24"/>
        </w:rPr>
        <w:t>自行</w:t>
      </w:r>
      <w:r>
        <w:rPr>
          <w:rFonts w:hint="eastAsia" w:ascii="宋体" w:hAnsi="宋体" w:cs="宋体"/>
          <w:color w:val="000000"/>
          <w:sz w:val="24"/>
        </w:rPr>
        <w:t>采购委托代理</w:t>
      </w:r>
    </w:p>
    <w:p w14:paraId="46495D20">
      <w:pPr>
        <w:spacing w:line="360" w:lineRule="auto"/>
        <w:ind w:firstLine="480" w:firstLineChars="200"/>
        <w:rPr>
          <w:rFonts w:ascii="宋体" w:hAnsi="宋体" w:cs="宋体"/>
          <w:b/>
          <w:bCs/>
          <w:sz w:val="24"/>
        </w:rPr>
      </w:pPr>
      <w:r>
        <w:rPr>
          <w:rFonts w:hint="eastAsia" w:ascii="宋体" w:hAnsi="宋体" w:cs="宋体"/>
          <w:b/>
          <w:bCs/>
          <w:color w:val="0D0D0D"/>
          <w:sz w:val="24"/>
        </w:rPr>
        <w:t>三、</w:t>
      </w:r>
      <w:r>
        <w:rPr>
          <w:rFonts w:hint="eastAsia" w:ascii="宋体" w:hAnsi="宋体" w:cs="宋体"/>
          <w:b/>
          <w:bCs/>
          <w:sz w:val="24"/>
        </w:rPr>
        <w:t>采购项目内容及数量</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626"/>
        <w:gridCol w:w="1184"/>
        <w:gridCol w:w="1876"/>
        <w:gridCol w:w="1578"/>
      </w:tblGrid>
      <w:tr w14:paraId="0A10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7" w:type="pct"/>
            <w:tcBorders>
              <w:top w:val="single" w:color="auto" w:sz="4" w:space="0"/>
              <w:left w:val="single" w:color="auto" w:sz="4" w:space="0"/>
              <w:bottom w:val="single" w:color="auto" w:sz="4" w:space="0"/>
              <w:right w:val="single" w:color="auto" w:sz="4" w:space="0"/>
            </w:tcBorders>
            <w:vAlign w:val="center"/>
          </w:tcPr>
          <w:p w14:paraId="69072332">
            <w:pPr>
              <w:spacing w:line="360" w:lineRule="auto"/>
              <w:jc w:val="center"/>
              <w:rPr>
                <w:rFonts w:ascii="宋体" w:hAnsi="宋体" w:cs="宋体"/>
                <w:sz w:val="24"/>
              </w:rPr>
            </w:pPr>
            <w:r>
              <w:rPr>
                <w:rFonts w:hint="eastAsia" w:ascii="宋体" w:hAnsi="宋体" w:cs="宋体"/>
                <w:sz w:val="24"/>
              </w:rPr>
              <w:t>序号</w:t>
            </w:r>
          </w:p>
        </w:tc>
        <w:tc>
          <w:tcPr>
            <w:tcW w:w="2002" w:type="pct"/>
            <w:tcBorders>
              <w:top w:val="single" w:color="auto" w:sz="4" w:space="0"/>
              <w:left w:val="single" w:color="auto" w:sz="4" w:space="0"/>
              <w:bottom w:val="single" w:color="auto" w:sz="4" w:space="0"/>
              <w:right w:val="single" w:color="auto" w:sz="4" w:space="0"/>
            </w:tcBorders>
            <w:vAlign w:val="center"/>
          </w:tcPr>
          <w:p w14:paraId="73412474">
            <w:pPr>
              <w:spacing w:line="360" w:lineRule="auto"/>
              <w:jc w:val="center"/>
              <w:rPr>
                <w:rFonts w:ascii="宋体" w:hAnsi="宋体" w:cs="宋体"/>
                <w:sz w:val="24"/>
              </w:rPr>
            </w:pPr>
            <w:r>
              <w:rPr>
                <w:rFonts w:hint="eastAsia" w:ascii="宋体" w:hAnsi="宋体" w:cs="宋体"/>
                <w:sz w:val="24"/>
              </w:rPr>
              <w:t>采购内容</w:t>
            </w:r>
          </w:p>
        </w:tc>
        <w:tc>
          <w:tcPr>
            <w:tcW w:w="654" w:type="pct"/>
            <w:tcBorders>
              <w:top w:val="single" w:color="auto" w:sz="4" w:space="0"/>
              <w:left w:val="single" w:color="auto" w:sz="4" w:space="0"/>
              <w:bottom w:val="single" w:color="auto" w:sz="4" w:space="0"/>
              <w:right w:val="single" w:color="auto" w:sz="4" w:space="0"/>
            </w:tcBorders>
            <w:vAlign w:val="center"/>
          </w:tcPr>
          <w:p w14:paraId="78598571">
            <w:pPr>
              <w:spacing w:line="360" w:lineRule="auto"/>
              <w:jc w:val="center"/>
              <w:rPr>
                <w:rFonts w:ascii="宋体" w:hAnsi="宋体" w:cs="宋体"/>
                <w:sz w:val="24"/>
              </w:rPr>
            </w:pPr>
            <w:r>
              <w:rPr>
                <w:rFonts w:hint="eastAsia" w:ascii="宋体" w:hAnsi="宋体" w:cs="宋体"/>
                <w:sz w:val="24"/>
              </w:rPr>
              <w:t>数量</w:t>
            </w:r>
          </w:p>
        </w:tc>
        <w:tc>
          <w:tcPr>
            <w:tcW w:w="1873" w:type="dxa"/>
            <w:tcBorders>
              <w:top w:val="single" w:color="auto" w:sz="4" w:space="0"/>
              <w:left w:val="single" w:color="auto" w:sz="4" w:space="0"/>
              <w:bottom w:val="single" w:color="auto" w:sz="4" w:space="0"/>
              <w:right w:val="single" w:color="auto" w:sz="4" w:space="0"/>
            </w:tcBorders>
            <w:vAlign w:val="center"/>
          </w:tcPr>
          <w:p w14:paraId="252C5B5D">
            <w:pPr>
              <w:spacing w:before="100" w:beforeAutospacing="1" w:after="100" w:afterAutospacing="1"/>
              <w:jc w:val="center"/>
              <w:rPr>
                <w:rFonts w:ascii="宋体" w:hAnsi="宋体" w:cs="宋体"/>
                <w:sz w:val="24"/>
              </w:rPr>
            </w:pPr>
            <w:r>
              <w:rPr>
                <w:rFonts w:hint="eastAsia" w:ascii="宋体" w:hAnsi="宋体" w:cs="宋体"/>
                <w:sz w:val="24"/>
              </w:rPr>
              <w:t>▲售价折扣率（最高限价）</w:t>
            </w:r>
          </w:p>
        </w:tc>
        <w:tc>
          <w:tcPr>
            <w:tcW w:w="871" w:type="pct"/>
            <w:tcBorders>
              <w:top w:val="single" w:color="auto" w:sz="4" w:space="0"/>
              <w:left w:val="single" w:color="auto" w:sz="4" w:space="0"/>
              <w:bottom w:val="single" w:color="auto" w:sz="4" w:space="0"/>
              <w:right w:val="single" w:color="auto" w:sz="4" w:space="0"/>
            </w:tcBorders>
            <w:vAlign w:val="center"/>
          </w:tcPr>
          <w:p w14:paraId="43820167">
            <w:pPr>
              <w:spacing w:line="360" w:lineRule="auto"/>
              <w:jc w:val="center"/>
              <w:rPr>
                <w:rFonts w:ascii="宋体" w:hAnsi="宋体" w:cs="宋体"/>
                <w:sz w:val="24"/>
              </w:rPr>
            </w:pPr>
            <w:r>
              <w:rPr>
                <w:rFonts w:hint="eastAsia" w:ascii="宋体" w:hAnsi="宋体" w:cs="宋体"/>
                <w:sz w:val="24"/>
              </w:rPr>
              <w:t>服务期限</w:t>
            </w:r>
          </w:p>
        </w:tc>
      </w:tr>
      <w:tr w14:paraId="1419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37" w:type="pct"/>
            <w:tcBorders>
              <w:top w:val="single" w:color="auto" w:sz="4" w:space="0"/>
              <w:left w:val="single" w:color="auto" w:sz="4" w:space="0"/>
              <w:bottom w:val="single" w:color="auto" w:sz="4" w:space="0"/>
              <w:right w:val="single" w:color="auto" w:sz="4" w:space="0"/>
            </w:tcBorders>
            <w:vAlign w:val="center"/>
          </w:tcPr>
          <w:p w14:paraId="49FC05BC">
            <w:pPr>
              <w:spacing w:line="360" w:lineRule="auto"/>
              <w:ind w:firstLine="240" w:firstLineChars="100"/>
              <w:rPr>
                <w:rFonts w:ascii="宋体" w:hAnsi="宋体" w:cs="宋体"/>
                <w:sz w:val="24"/>
              </w:rPr>
            </w:pPr>
            <w:bookmarkStart w:id="0" w:name="B10_序号"/>
            <w:r>
              <w:rPr>
                <w:rFonts w:hint="eastAsia" w:ascii="宋体" w:hAnsi="宋体" w:cs="宋体"/>
                <w:sz w:val="24"/>
              </w:rPr>
              <w:t>1</w:t>
            </w:r>
            <w:bookmarkEnd w:id="0"/>
          </w:p>
        </w:tc>
        <w:tc>
          <w:tcPr>
            <w:tcW w:w="2002" w:type="pct"/>
            <w:tcBorders>
              <w:top w:val="single" w:color="auto" w:sz="4" w:space="0"/>
              <w:left w:val="single" w:color="auto" w:sz="4" w:space="0"/>
              <w:bottom w:val="single" w:color="auto" w:sz="4" w:space="0"/>
              <w:right w:val="single" w:color="auto" w:sz="4" w:space="0"/>
            </w:tcBorders>
            <w:vAlign w:val="center"/>
          </w:tcPr>
          <w:p w14:paraId="41F9F857">
            <w:pPr>
              <w:spacing w:line="360" w:lineRule="auto"/>
              <w:jc w:val="center"/>
              <w:rPr>
                <w:rFonts w:ascii="宋体" w:hAnsi="宋体" w:cs="宋体"/>
                <w:sz w:val="24"/>
              </w:rPr>
            </w:pPr>
            <w:r>
              <w:rPr>
                <w:rFonts w:hint="eastAsia" w:ascii="宋体" w:hAnsi="宋体" w:cs="宋体"/>
                <w:bCs/>
                <w:sz w:val="24"/>
              </w:rPr>
              <w:t>“新鲜水果进校园，助力学生健康成长”服务采购项目</w:t>
            </w:r>
          </w:p>
        </w:tc>
        <w:tc>
          <w:tcPr>
            <w:tcW w:w="654" w:type="pct"/>
            <w:tcBorders>
              <w:top w:val="single" w:color="auto" w:sz="4" w:space="0"/>
              <w:left w:val="single" w:color="auto" w:sz="4" w:space="0"/>
              <w:bottom w:val="single" w:color="auto" w:sz="4" w:space="0"/>
              <w:right w:val="single" w:color="auto" w:sz="4" w:space="0"/>
            </w:tcBorders>
            <w:vAlign w:val="center"/>
          </w:tcPr>
          <w:p w14:paraId="4C16C6FE">
            <w:pPr>
              <w:spacing w:line="360" w:lineRule="auto"/>
              <w:jc w:val="center"/>
              <w:rPr>
                <w:rFonts w:ascii="宋体" w:hAnsi="宋体" w:cs="宋体"/>
                <w:sz w:val="24"/>
              </w:rPr>
            </w:pPr>
            <w:r>
              <w:rPr>
                <w:rFonts w:hint="eastAsia" w:ascii="宋体" w:hAnsi="宋体" w:cs="宋体"/>
                <w:sz w:val="24"/>
              </w:rPr>
              <w:t>1项</w:t>
            </w:r>
          </w:p>
        </w:tc>
        <w:tc>
          <w:tcPr>
            <w:tcW w:w="1873" w:type="dxa"/>
            <w:tcBorders>
              <w:top w:val="single" w:color="auto" w:sz="4" w:space="0"/>
              <w:left w:val="single" w:color="auto" w:sz="4" w:space="0"/>
              <w:bottom w:val="single" w:color="auto" w:sz="4" w:space="0"/>
              <w:right w:val="single" w:color="auto" w:sz="4" w:space="0"/>
            </w:tcBorders>
            <w:vAlign w:val="center"/>
          </w:tcPr>
          <w:p w14:paraId="4921009A">
            <w:pPr>
              <w:spacing w:before="100" w:beforeAutospacing="1" w:after="100" w:afterAutospacing="1"/>
              <w:jc w:val="center"/>
              <w:rPr>
                <w:rFonts w:ascii="宋体" w:hAnsi="宋体" w:cs="宋体"/>
                <w:sz w:val="24"/>
              </w:rPr>
            </w:pPr>
            <w:r>
              <w:rPr>
                <w:rFonts w:hint="eastAsia" w:ascii="宋体" w:hAnsi="宋体" w:cs="宋体"/>
                <w:sz w:val="24"/>
              </w:rPr>
              <w:t>100%</w:t>
            </w:r>
          </w:p>
        </w:tc>
        <w:tc>
          <w:tcPr>
            <w:tcW w:w="871" w:type="pct"/>
            <w:tcBorders>
              <w:top w:val="single" w:color="auto" w:sz="4" w:space="0"/>
              <w:left w:val="single" w:color="auto" w:sz="4" w:space="0"/>
              <w:bottom w:val="single" w:color="auto" w:sz="4" w:space="0"/>
              <w:right w:val="single" w:color="auto" w:sz="4" w:space="0"/>
            </w:tcBorders>
            <w:vAlign w:val="center"/>
          </w:tcPr>
          <w:p w14:paraId="6000A3CD">
            <w:pPr>
              <w:spacing w:line="360" w:lineRule="auto"/>
              <w:jc w:val="center"/>
              <w:rPr>
                <w:rFonts w:hint="eastAsia" w:ascii="宋体" w:hAnsi="宋体" w:cs="宋体"/>
                <w:sz w:val="24"/>
              </w:rPr>
            </w:pPr>
            <w:bookmarkStart w:id="1" w:name="B15_备注"/>
          </w:p>
          <w:p w14:paraId="6520BC1D">
            <w:pPr>
              <w:spacing w:line="360" w:lineRule="auto"/>
              <w:jc w:val="center"/>
              <w:rPr>
                <w:rFonts w:ascii="宋体" w:hAnsi="宋体" w:cs="宋体"/>
                <w:color w:val="FF0000"/>
                <w:sz w:val="24"/>
              </w:rPr>
            </w:pPr>
            <w:r>
              <w:rPr>
                <w:rFonts w:hint="eastAsia" w:ascii="宋体" w:hAnsi="宋体" w:cs="宋体"/>
                <w:sz w:val="24"/>
              </w:rPr>
              <w:t>到2026年7月底</w:t>
            </w:r>
          </w:p>
        </w:tc>
      </w:tr>
      <w:bookmarkEnd w:id="1"/>
    </w:tbl>
    <w:p w14:paraId="116FCD65">
      <w:pPr>
        <w:spacing w:line="360" w:lineRule="auto"/>
        <w:ind w:firstLine="480" w:firstLineChars="200"/>
        <w:rPr>
          <w:rFonts w:ascii="宋体" w:hAnsi="宋体" w:cs="宋体"/>
          <w:sz w:val="24"/>
        </w:rPr>
      </w:pPr>
      <w:r>
        <w:rPr>
          <w:rFonts w:hint="eastAsia" w:ascii="宋体" w:hAnsi="宋体" w:cs="宋体"/>
          <w:b/>
          <w:bCs/>
          <w:sz w:val="24"/>
        </w:rPr>
        <w:t>四、参加磋商供应商资格要求</w:t>
      </w:r>
    </w:p>
    <w:p w14:paraId="062C3582">
      <w:pPr>
        <w:spacing w:line="360" w:lineRule="auto"/>
        <w:ind w:firstLine="480" w:firstLineChars="200"/>
        <w:rPr>
          <w:rFonts w:ascii="宋体" w:hAnsi="宋体" w:cs="宋体"/>
          <w:sz w:val="24"/>
        </w:rPr>
      </w:pPr>
      <w:r>
        <w:rPr>
          <w:rFonts w:hint="eastAsia" w:ascii="宋体" w:hAnsi="宋体" w:cs="宋体"/>
          <w:sz w:val="24"/>
        </w:rPr>
        <w:t>1、符合《中华人民共和国政府采购法》第二十二条规定的供应商资格条件；</w:t>
      </w:r>
    </w:p>
    <w:p w14:paraId="40DF271D">
      <w:pPr>
        <w:spacing w:line="360" w:lineRule="auto"/>
        <w:ind w:firstLine="480" w:firstLineChars="200"/>
        <w:rPr>
          <w:rFonts w:ascii="宋体" w:hAnsi="宋体" w:cs="宋体"/>
          <w:sz w:val="24"/>
        </w:rPr>
      </w:pPr>
      <w:r>
        <w:rPr>
          <w:rFonts w:hint="eastAsia" w:ascii="宋体" w:hAnsi="宋体" w:cs="宋体"/>
          <w:sz w:val="24"/>
        </w:rPr>
        <w:t>2、本项目仅面向中小型及以下企业可参加磋商。</w:t>
      </w:r>
    </w:p>
    <w:p w14:paraId="2F5730A9">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3、本项目不接受联合体</w:t>
      </w:r>
      <w:r>
        <w:rPr>
          <w:rFonts w:hint="eastAsia" w:ascii="宋体" w:hAnsi="宋体" w:cs="宋体"/>
          <w:sz w:val="24"/>
        </w:rPr>
        <w:t>磋商</w:t>
      </w:r>
      <w:r>
        <w:rPr>
          <w:rFonts w:hint="eastAsia" w:ascii="宋体" w:hAnsi="宋体" w:cs="宋体"/>
          <w:sz w:val="24"/>
          <w:shd w:val="clear" w:color="auto" w:fill="FFFFFF"/>
        </w:rPr>
        <w:t>；</w:t>
      </w:r>
    </w:p>
    <w:p w14:paraId="56DEE4D1">
      <w:pPr>
        <w:snapToGrid w:val="0"/>
        <w:spacing w:line="360" w:lineRule="auto"/>
        <w:ind w:firstLine="480" w:firstLineChars="200"/>
        <w:rPr>
          <w:rFonts w:ascii="宋体" w:hAnsi="宋体" w:cs="宋体"/>
          <w:b/>
          <w:bCs/>
          <w:sz w:val="24"/>
        </w:rPr>
      </w:pPr>
      <w:r>
        <w:rPr>
          <w:rFonts w:hint="eastAsia" w:ascii="宋体" w:hAnsi="宋体" w:cs="宋体"/>
          <w:kern w:val="0"/>
          <w:sz w:val="24"/>
        </w:rPr>
        <w:t>4、</w:t>
      </w:r>
      <w:r>
        <w:rPr>
          <w:rFonts w:hint="eastAsia" w:ascii="宋体" w:hAnsi="宋体" w:cs="宋体"/>
          <w:sz w:val="24"/>
        </w:rPr>
        <w:t>供应商未被列入失信被执行人名单、重大税收违法案件当事人名单、政府采购严重违法失信行为记录名单，信用信息以磋商响应截止日信用中国网站（https://www.creditchina.gov.cn/）中国政府采购网（http://www.ccgp.gov.cn/）公布为准。</w:t>
      </w:r>
    </w:p>
    <w:p w14:paraId="2DDCC8A8">
      <w:pPr>
        <w:spacing w:line="360" w:lineRule="auto"/>
        <w:ind w:firstLine="480" w:firstLineChars="200"/>
        <w:rPr>
          <w:rFonts w:ascii="宋体" w:hAnsi="宋体" w:cs="宋体"/>
          <w:b/>
          <w:bCs/>
          <w:sz w:val="24"/>
        </w:rPr>
      </w:pPr>
      <w:r>
        <w:rPr>
          <w:rFonts w:hint="eastAsia" w:ascii="宋体" w:hAnsi="宋体" w:cs="宋体"/>
          <w:b/>
          <w:bCs/>
          <w:sz w:val="24"/>
        </w:rPr>
        <w:t>五、报名、竞争性磋商文件的发售</w:t>
      </w:r>
    </w:p>
    <w:p w14:paraId="03564041">
      <w:pPr>
        <w:spacing w:line="360" w:lineRule="auto"/>
        <w:ind w:firstLine="480" w:firstLineChars="200"/>
        <w:rPr>
          <w:rFonts w:ascii="宋体" w:hAnsi="宋体" w:cs="宋体"/>
          <w:sz w:val="24"/>
          <w:highlight w:val="none"/>
        </w:rPr>
      </w:pPr>
      <w:r>
        <w:rPr>
          <w:rFonts w:hint="eastAsia" w:ascii="宋体" w:hAnsi="宋体" w:cs="宋体"/>
          <w:sz w:val="24"/>
          <w:highlight w:val="none"/>
        </w:rPr>
        <w:t>1、发售时间：</w:t>
      </w:r>
      <w:r>
        <w:rPr>
          <w:rFonts w:hint="eastAsia" w:ascii="宋体" w:hAnsi="宋体" w:cs="宋体"/>
          <w:sz w:val="24"/>
          <w:highlight w:val="none"/>
          <w:u w:val="single"/>
          <w:lang w:eastAsia="zh-CN"/>
        </w:rPr>
        <w:t>2024年10月30日至2024年11月</w:t>
      </w:r>
      <w:r>
        <w:rPr>
          <w:rFonts w:hint="eastAsia" w:ascii="宋体" w:hAnsi="宋体" w:cs="宋体"/>
          <w:sz w:val="24"/>
          <w:highlight w:val="none"/>
          <w:u w:val="single"/>
          <w:lang w:val="en-US" w:eastAsia="zh-CN"/>
        </w:rPr>
        <w:t>11</w:t>
      </w:r>
      <w:r>
        <w:rPr>
          <w:rFonts w:hint="eastAsia" w:ascii="宋体" w:hAnsi="宋体" w:cs="宋体"/>
          <w:sz w:val="24"/>
          <w:highlight w:val="none"/>
          <w:u w:val="single"/>
          <w:lang w:eastAsia="zh-CN"/>
        </w:rPr>
        <w:t>日</w:t>
      </w:r>
      <w:r>
        <w:rPr>
          <w:rFonts w:hint="eastAsia" w:ascii="宋体" w:hAnsi="宋体" w:cs="宋体"/>
          <w:sz w:val="24"/>
          <w:highlight w:val="none"/>
        </w:rPr>
        <w:t>，上午8:30-11:00；下午14:00-17:30。</w:t>
      </w:r>
    </w:p>
    <w:p w14:paraId="5F4D873D">
      <w:pPr>
        <w:spacing w:line="360" w:lineRule="auto"/>
        <w:ind w:left="478" w:leftChars="228"/>
        <w:rPr>
          <w:rFonts w:ascii="宋体" w:hAnsi="宋体" w:cs="宋体"/>
          <w:sz w:val="24"/>
        </w:rPr>
      </w:pPr>
      <w:r>
        <w:rPr>
          <w:rFonts w:hint="eastAsia" w:ascii="宋体" w:hAnsi="宋体" w:cs="宋体"/>
          <w:sz w:val="24"/>
        </w:rPr>
        <w:t>2、发售地点：</w:t>
      </w:r>
      <w:r>
        <w:rPr>
          <w:rFonts w:hint="eastAsia" w:ascii="宋体" w:hAnsi="宋体" w:cs="宋体"/>
          <w:sz w:val="24"/>
          <w:lang w:eastAsia="zh-CN"/>
        </w:rPr>
        <w:t>浙江省房地产管理咨询有限公司</w:t>
      </w:r>
      <w:r>
        <w:rPr>
          <w:rFonts w:hint="eastAsia" w:ascii="宋体" w:hAnsi="宋体" w:cs="宋体"/>
          <w:sz w:val="24"/>
        </w:rPr>
        <w:t>(</w:t>
      </w:r>
      <w:r>
        <w:rPr>
          <w:rFonts w:hint="eastAsia" w:ascii="宋体" w:hAnsi="宋体" w:cs="宋体"/>
          <w:sz w:val="24"/>
          <w:lang w:eastAsia="zh-CN"/>
        </w:rPr>
        <w:t>东阳市吴宁街道人民路228号</w:t>
      </w:r>
      <w:r>
        <w:rPr>
          <w:rFonts w:hint="eastAsia" w:ascii="宋体" w:hAnsi="宋体" w:cs="宋体"/>
          <w:sz w:val="24"/>
        </w:rPr>
        <w:t>)。</w:t>
      </w:r>
    </w:p>
    <w:p w14:paraId="11326E4C">
      <w:pPr>
        <w:spacing w:line="360" w:lineRule="auto"/>
        <w:ind w:firstLine="480" w:firstLineChars="200"/>
        <w:rPr>
          <w:rFonts w:ascii="宋体" w:hAnsi="宋体" w:cs="宋体"/>
          <w:sz w:val="24"/>
        </w:rPr>
      </w:pPr>
      <w:r>
        <w:rPr>
          <w:rFonts w:hint="eastAsia" w:ascii="宋体" w:hAnsi="宋体" w:cs="宋体"/>
          <w:sz w:val="24"/>
        </w:rPr>
        <w:t>3、磋商文件售价：磋商文件资料费每套现金</w:t>
      </w:r>
      <w:r>
        <w:rPr>
          <w:rFonts w:hint="eastAsia" w:ascii="宋体" w:hAnsi="宋体" w:cs="宋体"/>
          <w:sz w:val="24"/>
          <w:u w:val="single"/>
        </w:rPr>
        <w:t xml:space="preserve">  / </w:t>
      </w:r>
      <w:r>
        <w:rPr>
          <w:rFonts w:hint="eastAsia" w:ascii="宋体" w:hAnsi="宋体" w:cs="宋体"/>
          <w:sz w:val="24"/>
        </w:rPr>
        <w:t>元，售后不退。</w:t>
      </w:r>
    </w:p>
    <w:p w14:paraId="0B5B28E7">
      <w:pPr>
        <w:spacing w:line="360" w:lineRule="auto"/>
        <w:ind w:firstLine="480" w:firstLineChars="200"/>
        <w:rPr>
          <w:rFonts w:ascii="宋体" w:hAnsi="宋体" w:cs="宋体"/>
          <w:sz w:val="24"/>
        </w:rPr>
      </w:pPr>
      <w:r>
        <w:rPr>
          <w:rFonts w:hint="eastAsia" w:ascii="宋体" w:hAnsi="宋体" w:cs="宋体"/>
          <w:sz w:val="24"/>
        </w:rPr>
        <w:t>4、磋商响应方未在</w:t>
      </w:r>
      <w:r>
        <w:rPr>
          <w:rFonts w:hint="eastAsia" w:ascii="宋体" w:hAnsi="宋体" w:cs="宋体"/>
          <w:bCs/>
          <w:sz w:val="24"/>
        </w:rPr>
        <w:t>磋商</w:t>
      </w:r>
      <w:r>
        <w:rPr>
          <w:rFonts w:hint="eastAsia" w:ascii="宋体" w:hAnsi="宋体" w:cs="宋体"/>
          <w:sz w:val="24"/>
        </w:rPr>
        <w:t>代理机构办理报名手续的磋商响应文件将被拒收。</w:t>
      </w:r>
    </w:p>
    <w:p w14:paraId="713D72D1">
      <w:pPr>
        <w:spacing w:line="360" w:lineRule="auto"/>
        <w:ind w:firstLine="480" w:firstLineChars="200"/>
        <w:rPr>
          <w:rFonts w:ascii="宋体" w:hAnsi="宋体" w:cs="宋体"/>
          <w:sz w:val="24"/>
        </w:rPr>
      </w:pPr>
      <w:r>
        <w:rPr>
          <w:rFonts w:hint="eastAsia" w:ascii="宋体" w:hAnsi="宋体" w:cs="宋体"/>
          <w:b/>
          <w:bCs/>
          <w:sz w:val="24"/>
        </w:rPr>
        <w:t>六、购买磋商响应文件时应提供以下资料</w:t>
      </w:r>
      <w:r>
        <w:rPr>
          <w:rFonts w:hint="eastAsia" w:ascii="宋体" w:hAnsi="宋体" w:cs="宋体"/>
          <w:sz w:val="24"/>
        </w:rPr>
        <w:t>：</w:t>
      </w:r>
    </w:p>
    <w:p w14:paraId="1557F421">
      <w:pPr>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14:paraId="6194AF95">
      <w:pPr>
        <w:spacing w:line="360" w:lineRule="auto"/>
        <w:ind w:firstLine="480" w:firstLineChars="200"/>
        <w:rPr>
          <w:rFonts w:ascii="宋体" w:hAnsi="宋体" w:cs="宋体"/>
          <w:sz w:val="24"/>
        </w:rPr>
      </w:pPr>
      <w:r>
        <w:rPr>
          <w:rFonts w:hint="eastAsia" w:ascii="宋体" w:hAnsi="宋体" w:cs="宋体"/>
          <w:sz w:val="24"/>
        </w:rPr>
        <w:t>2、法定代表人授权委托书及经办人身份证复印件；</w:t>
      </w:r>
    </w:p>
    <w:p w14:paraId="204306F2">
      <w:pPr>
        <w:spacing w:line="360" w:lineRule="auto"/>
        <w:ind w:firstLine="480" w:firstLineChars="200"/>
        <w:rPr>
          <w:rFonts w:ascii="宋体" w:hAnsi="宋体" w:cs="宋体"/>
          <w:sz w:val="24"/>
        </w:rPr>
      </w:pPr>
      <w:r>
        <w:rPr>
          <w:rFonts w:hint="eastAsia" w:ascii="宋体" w:hAnsi="宋体" w:cs="宋体"/>
          <w:sz w:val="24"/>
        </w:rPr>
        <w:t>3、以上复印件均需加盖单位公章。</w:t>
      </w:r>
    </w:p>
    <w:p w14:paraId="633A03C7">
      <w:pPr>
        <w:pStyle w:val="255"/>
        <w:keepNext w:val="0"/>
        <w:keepLines w:val="0"/>
        <w:pageBreakBefore w:val="0"/>
        <w:kinsoku/>
        <w:wordWrap/>
        <w:overflowPunct/>
        <w:topLinePunct w:val="0"/>
        <w:autoSpaceDE/>
        <w:autoSpaceDN/>
        <w:bidi w:val="0"/>
        <w:adjustRightInd/>
        <w:snapToGrid w:val="0"/>
        <w:spacing w:line="500" w:lineRule="exact"/>
        <w:ind w:left="0" w:leftChars="0" w:firstLine="480" w:firstLineChars="200"/>
        <w:textAlignment w:val="auto"/>
        <w:rPr>
          <w:rFonts w:ascii="宋体" w:hAnsi="宋体" w:cs="宋体"/>
          <w:sz w:val="24"/>
        </w:rPr>
      </w:pPr>
      <w:r>
        <w:rPr>
          <w:rFonts w:hint="eastAsia" w:ascii="宋体" w:hAnsi="宋体" w:cs="宋体"/>
          <w:b/>
          <w:bCs/>
          <w:sz w:val="24"/>
          <w:lang w:val="en-US" w:eastAsia="zh-CN"/>
        </w:rPr>
        <w:t>七、磋商</w:t>
      </w:r>
      <w:r>
        <w:rPr>
          <w:rFonts w:hint="eastAsia" w:ascii="宋体" w:hAnsi="宋体" w:cs="宋体"/>
          <w:b/>
          <w:bCs/>
          <w:sz w:val="24"/>
        </w:rPr>
        <w:t>保证金</w:t>
      </w:r>
      <w:r>
        <w:rPr>
          <w:rFonts w:hint="eastAsia" w:ascii="宋体" w:hAnsi="宋体" w:cs="宋体"/>
          <w:sz w:val="24"/>
        </w:rPr>
        <w:t>：</w:t>
      </w:r>
    </w:p>
    <w:p w14:paraId="11F2EA3F">
      <w:pPr>
        <w:pStyle w:val="255"/>
        <w:keepNext w:val="0"/>
        <w:keepLines w:val="0"/>
        <w:pageBreakBefore w:val="0"/>
        <w:kinsoku/>
        <w:wordWrap/>
        <w:overflowPunct/>
        <w:topLinePunct w:val="0"/>
        <w:autoSpaceDE/>
        <w:autoSpaceDN/>
        <w:bidi w:val="0"/>
        <w:adjustRightInd/>
        <w:spacing w:line="500" w:lineRule="exact"/>
        <w:ind w:left="0" w:leftChars="0" w:firstLine="480"/>
        <w:textAlignment w:val="auto"/>
        <w:rPr>
          <w:rFonts w:ascii="宋体" w:hAnsi="宋体" w:cs="宋体"/>
          <w:sz w:val="24"/>
          <w:u w:val="single"/>
        </w:rPr>
      </w:pPr>
      <w:r>
        <w:rPr>
          <w:rFonts w:hint="eastAsia" w:ascii="宋体" w:hAnsi="宋体" w:cs="宋体"/>
          <w:sz w:val="24"/>
          <w:lang w:val="en-US" w:eastAsia="zh-CN"/>
        </w:rPr>
        <w:t>磋商</w:t>
      </w:r>
      <w:r>
        <w:rPr>
          <w:rFonts w:hint="eastAsia" w:ascii="宋体" w:hAnsi="宋体" w:cs="宋体"/>
          <w:sz w:val="24"/>
        </w:rPr>
        <w:t>保证金人民币：</w:t>
      </w:r>
      <w:r>
        <w:rPr>
          <w:rFonts w:hint="eastAsia" w:ascii="宋体" w:hAnsi="宋体" w:cs="宋体"/>
          <w:sz w:val="24"/>
          <w:u w:val="single"/>
        </w:rPr>
        <w:t xml:space="preserve"> </w:t>
      </w:r>
      <w:r>
        <w:rPr>
          <w:rFonts w:hint="eastAsia" w:ascii="宋体" w:hAnsi="宋体" w:cs="宋体"/>
          <w:sz w:val="24"/>
          <w:u w:val="single"/>
          <w:lang w:val="en-US" w:eastAsia="zh-CN"/>
        </w:rPr>
        <w:t>壹万</w:t>
      </w:r>
      <w:r>
        <w:rPr>
          <w:rFonts w:hint="eastAsia" w:ascii="宋体" w:hAnsi="宋体" w:cs="宋体"/>
          <w:sz w:val="24"/>
          <w:u w:val="single"/>
        </w:rPr>
        <w:t>元整</w:t>
      </w:r>
    </w:p>
    <w:p w14:paraId="1D7040F5">
      <w:pPr>
        <w:pStyle w:val="255"/>
        <w:keepNext w:val="0"/>
        <w:keepLines w:val="0"/>
        <w:pageBreakBefore w:val="0"/>
        <w:kinsoku/>
        <w:wordWrap/>
        <w:overflowPunct/>
        <w:topLinePunct w:val="0"/>
        <w:autoSpaceDE/>
        <w:autoSpaceDN/>
        <w:bidi w:val="0"/>
        <w:adjustRightInd/>
        <w:spacing w:line="500" w:lineRule="exact"/>
        <w:ind w:left="0" w:leftChars="0" w:firstLine="480"/>
        <w:textAlignment w:val="auto"/>
        <w:rPr>
          <w:rFonts w:ascii="宋体" w:hAnsi="宋体" w:cs="宋体"/>
          <w:sz w:val="24"/>
        </w:rPr>
      </w:pPr>
      <w:r>
        <w:rPr>
          <w:rFonts w:hint="eastAsia" w:ascii="宋体" w:hAnsi="宋体" w:cs="宋体"/>
          <w:sz w:val="24"/>
        </w:rPr>
        <w:t>磋商响应方应于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日</w:t>
      </w:r>
      <w:r>
        <w:rPr>
          <w:rFonts w:hint="eastAsia" w:ascii="宋体" w:hAnsi="宋体" w:cs="宋体"/>
          <w:sz w:val="24"/>
          <w:highlight w:val="none"/>
        </w:rPr>
        <w:t>下午</w:t>
      </w:r>
      <w:r>
        <w:rPr>
          <w:rFonts w:hint="eastAsia" w:ascii="宋体" w:hAnsi="宋体" w:cs="宋体"/>
          <w:sz w:val="24"/>
          <w:highlight w:val="none"/>
          <w:u w:val="single"/>
        </w:rPr>
        <w:t>1</w:t>
      </w:r>
      <w:r>
        <w:rPr>
          <w:rFonts w:hint="eastAsia" w:ascii="宋体" w:hAnsi="宋体" w:cs="宋体"/>
          <w:sz w:val="24"/>
          <w:highlight w:val="none"/>
          <w:u w:val="single"/>
          <w:lang w:val="en-US" w:eastAsia="zh-CN"/>
        </w:rPr>
        <w:t>7</w:t>
      </w:r>
      <w:r>
        <w:rPr>
          <w:rFonts w:hint="eastAsia" w:ascii="宋体" w:hAnsi="宋体" w:cs="宋体"/>
          <w:sz w:val="24"/>
          <w:highlight w:val="none"/>
          <w:u w:val="single"/>
        </w:rPr>
        <w:t>:00</w:t>
      </w:r>
      <w:r>
        <w:rPr>
          <w:rFonts w:hint="eastAsia" w:ascii="宋体" w:hAnsi="宋体" w:cs="宋体"/>
          <w:sz w:val="24"/>
          <w:highlight w:val="none"/>
        </w:rPr>
        <w:t>时前向</w:t>
      </w:r>
      <w:r>
        <w:rPr>
          <w:rFonts w:hint="eastAsia" w:ascii="宋体" w:hAnsi="宋体" w:cs="宋体"/>
          <w:sz w:val="24"/>
        </w:rPr>
        <w:t>招标方缴纳磋商保证金，以入账为准</w:t>
      </w:r>
      <w:r>
        <w:rPr>
          <w:rFonts w:hint="eastAsia" w:ascii="宋体" w:hAnsi="宋体" w:cs="宋体"/>
          <w:sz w:val="24"/>
          <w:lang w:eastAsia="zh-CN"/>
        </w:rPr>
        <w:t>。</w:t>
      </w:r>
      <w:r>
        <w:rPr>
          <w:rFonts w:hint="eastAsia" w:ascii="宋体" w:hAnsi="宋体" w:cs="宋体"/>
          <w:sz w:val="24"/>
        </w:rPr>
        <w:t>磋商保证金须由磋商响应方账户汇至：</w:t>
      </w:r>
    </w:p>
    <w:p w14:paraId="28DA235C">
      <w:pPr>
        <w:keepNext w:val="0"/>
        <w:keepLines w:val="0"/>
        <w:pageBreakBefore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sz w:val="24"/>
          <w:lang w:eastAsia="zh-CN"/>
        </w:rPr>
      </w:pPr>
      <w:r>
        <w:rPr>
          <w:rFonts w:hint="eastAsia" w:ascii="宋体" w:hAnsi="宋体" w:cs="宋体"/>
          <w:sz w:val="24"/>
        </w:rPr>
        <w:t>账户名称：</w:t>
      </w:r>
      <w:r>
        <w:rPr>
          <w:rFonts w:hint="eastAsia" w:ascii="宋体" w:hAnsi="宋体" w:cs="宋体"/>
          <w:sz w:val="24"/>
          <w:lang w:eastAsia="zh-CN"/>
        </w:rPr>
        <w:t>浙江省房地产管理咨询有限公司东阳分公司</w:t>
      </w:r>
    </w:p>
    <w:p w14:paraId="1FE072ED">
      <w:pPr>
        <w:keepNext w:val="0"/>
        <w:keepLines w:val="0"/>
        <w:pageBreakBefore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cs="宋体"/>
          <w:sz w:val="24"/>
          <w:lang w:val="en-US" w:eastAsia="zh-CN"/>
        </w:rPr>
      </w:pPr>
      <w:r>
        <w:rPr>
          <w:rFonts w:hint="eastAsia" w:ascii="宋体" w:hAnsi="宋体" w:cs="宋体"/>
          <w:sz w:val="24"/>
        </w:rPr>
        <w:t>开户银行：中国工商银行股份有限公司东阳支行</w:t>
      </w:r>
      <w:r>
        <w:rPr>
          <w:rFonts w:hint="eastAsia" w:ascii="宋体" w:hAnsi="宋体" w:cs="宋体"/>
          <w:sz w:val="24"/>
          <w:lang w:val="en-US" w:eastAsia="zh-CN"/>
        </w:rPr>
        <w:t xml:space="preserve"> </w:t>
      </w:r>
    </w:p>
    <w:p w14:paraId="53A425F3">
      <w:pPr>
        <w:keepNext w:val="0"/>
        <w:keepLines w:val="0"/>
        <w:pageBreakBefore w:val="0"/>
        <w:kinsoku/>
        <w:wordWrap/>
        <w:overflowPunct/>
        <w:topLinePunct w:val="0"/>
        <w:autoSpaceDE/>
        <w:autoSpaceDN/>
        <w:bidi w:val="0"/>
        <w:adjustRightInd/>
        <w:snapToGrid w:val="0"/>
        <w:spacing w:line="500" w:lineRule="exact"/>
        <w:ind w:left="0" w:leftChars="0" w:firstLine="480" w:firstLineChars="200"/>
        <w:textAlignment w:val="auto"/>
        <w:rPr>
          <w:rFonts w:ascii="宋体" w:hAnsi="宋体" w:cs="宋体"/>
          <w:sz w:val="24"/>
          <w:u w:val="single"/>
        </w:rPr>
      </w:pPr>
      <w:r>
        <w:rPr>
          <w:rFonts w:hint="eastAsia" w:ascii="宋体" w:hAnsi="宋体" w:cs="宋体"/>
          <w:sz w:val="24"/>
        </w:rPr>
        <w:t>银行账号：1208040009200052893</w:t>
      </w:r>
    </w:p>
    <w:p w14:paraId="2FD0FFE9">
      <w:pPr>
        <w:spacing w:line="360" w:lineRule="auto"/>
        <w:ind w:firstLine="480" w:firstLineChars="200"/>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、磋商</w:t>
      </w:r>
      <w:r>
        <w:rPr>
          <w:rFonts w:hint="eastAsia" w:ascii="宋体" w:hAnsi="宋体" w:cs="宋体"/>
          <w:b/>
          <w:bCs/>
          <w:color w:val="000000"/>
          <w:sz w:val="24"/>
        </w:rPr>
        <w:t>响应文件提交截止时间</w:t>
      </w:r>
    </w:p>
    <w:p w14:paraId="791F69B1">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eastAsia="zh-CN"/>
        </w:rPr>
        <w:t>上午9：30</w:t>
      </w:r>
      <w:r>
        <w:rPr>
          <w:rFonts w:hint="eastAsia" w:ascii="宋体" w:hAnsi="宋体" w:cs="宋体"/>
          <w:sz w:val="24"/>
          <w:highlight w:val="none"/>
        </w:rPr>
        <w:t>时前将竞争性磋商响应文件密封送交到</w:t>
      </w:r>
      <w:r>
        <w:rPr>
          <w:rFonts w:hint="eastAsia" w:ascii="宋体" w:hAnsi="宋体" w:cs="宋体"/>
          <w:sz w:val="24"/>
          <w:highlight w:val="none"/>
          <w:lang w:eastAsia="zh-CN"/>
        </w:rPr>
        <w:t>浙江省房地产管理咨询有限公司</w:t>
      </w:r>
      <w:r>
        <w:rPr>
          <w:rFonts w:hint="eastAsia" w:ascii="宋体" w:hAnsi="宋体" w:cs="宋体"/>
          <w:sz w:val="24"/>
          <w:highlight w:val="none"/>
        </w:rPr>
        <w:t>（</w:t>
      </w:r>
      <w:r>
        <w:rPr>
          <w:rFonts w:hint="eastAsia" w:ascii="宋体" w:hAnsi="宋体" w:cs="宋体"/>
          <w:sz w:val="24"/>
          <w:highlight w:val="none"/>
          <w:lang w:eastAsia="zh-CN"/>
        </w:rPr>
        <w:t>东阳市吴宁街道人民路228号</w:t>
      </w:r>
      <w:r>
        <w:rPr>
          <w:rFonts w:hint="eastAsia" w:ascii="宋体" w:hAnsi="宋体" w:cs="宋体"/>
          <w:sz w:val="24"/>
          <w:highlight w:val="none"/>
        </w:rPr>
        <w:t>）开标室，逾期送达或未按要求密封的将被拒绝接受。</w:t>
      </w:r>
    </w:p>
    <w:p w14:paraId="59C92EAB">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、磋商开始时间及地点：</w:t>
      </w:r>
    </w:p>
    <w:p w14:paraId="733ABACE">
      <w:pPr>
        <w:spacing w:line="360" w:lineRule="auto"/>
        <w:ind w:firstLine="470"/>
        <w:rPr>
          <w:rFonts w:ascii="宋体" w:hAnsi="宋体" w:cs="宋体"/>
          <w:sz w:val="24"/>
        </w:rPr>
      </w:pP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eastAsia="zh-CN"/>
        </w:rPr>
        <w:t>上午9：30</w:t>
      </w:r>
      <w:r>
        <w:rPr>
          <w:rFonts w:hint="eastAsia" w:ascii="宋体" w:hAnsi="宋体" w:cs="宋体"/>
          <w:sz w:val="24"/>
          <w:highlight w:val="none"/>
        </w:rPr>
        <w:t>时在</w:t>
      </w:r>
      <w:r>
        <w:rPr>
          <w:rFonts w:hint="eastAsia" w:ascii="宋体" w:hAnsi="宋体" w:cs="宋体"/>
          <w:sz w:val="24"/>
          <w:highlight w:val="none"/>
          <w:lang w:eastAsia="zh-CN"/>
        </w:rPr>
        <w:t>浙江省房地产管理咨询有限公司</w:t>
      </w:r>
      <w:r>
        <w:rPr>
          <w:rFonts w:hint="eastAsia" w:ascii="宋体" w:hAnsi="宋体" w:cs="宋体"/>
          <w:sz w:val="24"/>
          <w:highlight w:val="none"/>
        </w:rPr>
        <w:t>（</w:t>
      </w:r>
      <w:r>
        <w:rPr>
          <w:rFonts w:hint="eastAsia" w:ascii="宋体" w:hAnsi="宋体" w:cs="宋体"/>
          <w:sz w:val="24"/>
          <w:highlight w:val="none"/>
          <w:lang w:eastAsia="zh-CN"/>
        </w:rPr>
        <w:t>东阳市吴宁街道人民路228号</w:t>
      </w:r>
      <w:r>
        <w:rPr>
          <w:rFonts w:hint="eastAsia" w:ascii="宋体" w:hAnsi="宋体" w:cs="宋体"/>
          <w:sz w:val="24"/>
          <w:highlight w:val="none"/>
        </w:rPr>
        <w:t>）开标室开始磋</w:t>
      </w:r>
      <w:r>
        <w:rPr>
          <w:rFonts w:hint="eastAsia" w:ascii="宋体" w:hAnsi="宋体" w:cs="宋体"/>
          <w:sz w:val="24"/>
        </w:rPr>
        <w:t>商。</w:t>
      </w:r>
    </w:p>
    <w:p w14:paraId="49FC8BFA">
      <w:pPr>
        <w:spacing w:line="360" w:lineRule="auto"/>
        <w:ind w:firstLine="480" w:firstLineChars="200"/>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、发布磋商公告地址：</w:t>
      </w:r>
    </w:p>
    <w:p w14:paraId="07499095">
      <w:pPr>
        <w:spacing w:line="360" w:lineRule="auto"/>
        <w:ind w:firstLine="470" w:firstLineChars="196"/>
        <w:rPr>
          <w:rFonts w:ascii="宋体" w:hAnsi="宋体" w:cs="宋体"/>
          <w:sz w:val="24"/>
        </w:rPr>
      </w:pPr>
      <w:r>
        <w:rPr>
          <w:rFonts w:hint="eastAsia" w:ascii="宋体" w:hAnsi="宋体" w:cs="宋体"/>
          <w:sz w:val="24"/>
        </w:rPr>
        <w:t xml:space="preserve">浙江省政府采购网（http://www.zjzfcg.gov.cn）。   </w:t>
      </w:r>
    </w:p>
    <w:p w14:paraId="06588620">
      <w:pPr>
        <w:numPr>
          <w:ilvl w:val="0"/>
          <w:numId w:val="0"/>
        </w:numPr>
        <w:spacing w:line="360" w:lineRule="auto"/>
        <w:ind w:firstLine="480" w:firstLineChars="200"/>
        <w:rPr>
          <w:rFonts w:ascii="宋体" w:hAnsi="宋体" w:cs="宋体"/>
          <w:b/>
          <w:bCs/>
          <w:sz w:val="24"/>
        </w:rPr>
      </w:pPr>
      <w:r>
        <w:rPr>
          <w:rFonts w:hint="eastAsia" w:ascii="宋体" w:hAnsi="宋体" w:cs="宋体"/>
          <w:b/>
          <w:bCs/>
          <w:sz w:val="24"/>
          <w:lang w:val="en-US" w:eastAsia="zh-CN"/>
        </w:rPr>
        <w:t>十一、</w:t>
      </w:r>
      <w:r>
        <w:rPr>
          <w:rFonts w:hint="eastAsia" w:ascii="宋体" w:hAnsi="宋体" w:cs="宋体"/>
          <w:b/>
          <w:bCs/>
          <w:sz w:val="24"/>
        </w:rPr>
        <w:t>业务咨询；</w:t>
      </w:r>
    </w:p>
    <w:p w14:paraId="6023C2C8">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代理机构：</w:t>
      </w:r>
      <w:r>
        <w:rPr>
          <w:rFonts w:hint="eastAsia" w:ascii="宋体" w:hAnsi="宋体" w:cs="宋体"/>
          <w:sz w:val="24"/>
          <w:lang w:eastAsia="zh-CN"/>
        </w:rPr>
        <w:t>浙江省房地产管理咨询有限公司</w:t>
      </w:r>
    </w:p>
    <w:p w14:paraId="264D2232">
      <w:pPr>
        <w:spacing w:line="360" w:lineRule="auto"/>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李雯</w:t>
      </w:r>
      <w:r>
        <w:rPr>
          <w:rFonts w:hint="eastAsia" w:ascii="宋体" w:hAnsi="宋体" w:cs="宋体"/>
          <w:sz w:val="24"/>
        </w:rPr>
        <w:t xml:space="preserve">        电话：</w:t>
      </w:r>
      <w:r>
        <w:rPr>
          <w:rFonts w:hint="eastAsia" w:ascii="宋体" w:hAnsi="宋体" w:cs="宋体"/>
          <w:sz w:val="24"/>
          <w:lang w:val="en-US" w:eastAsia="zh-CN"/>
        </w:rPr>
        <w:t>13867904663</w:t>
      </w:r>
    </w:p>
    <w:p w14:paraId="2B2A3204">
      <w:pPr>
        <w:spacing w:line="360" w:lineRule="auto"/>
        <w:ind w:left="482"/>
        <w:rPr>
          <w:rFonts w:hint="eastAsia" w:ascii="宋体" w:hAnsi="宋体" w:cs="宋体"/>
          <w:color w:val="auto"/>
          <w:sz w:val="24"/>
          <w:lang w:eastAsia="zh-CN"/>
        </w:rPr>
      </w:pPr>
      <w:r>
        <w:rPr>
          <w:rFonts w:hint="eastAsia" w:ascii="宋体" w:hAnsi="宋体" w:cs="宋体"/>
          <w:color w:val="auto"/>
          <w:sz w:val="24"/>
        </w:rPr>
        <w:t>采购人：</w:t>
      </w:r>
      <w:r>
        <w:rPr>
          <w:rFonts w:hint="eastAsia" w:ascii="宋体" w:hAnsi="宋体" w:cs="宋体"/>
          <w:color w:val="auto"/>
          <w:sz w:val="24"/>
          <w:lang w:eastAsia="zh-CN"/>
        </w:rPr>
        <w:t>浙江省东阳市巍山高级中学</w:t>
      </w:r>
    </w:p>
    <w:p w14:paraId="3C3C3096">
      <w:pPr>
        <w:spacing w:line="360" w:lineRule="auto"/>
        <w:ind w:left="482"/>
        <w:rPr>
          <w:rFonts w:hint="default" w:ascii="宋体" w:hAnsi="宋体" w:eastAsia="宋体" w:cs="宋体"/>
          <w:color w:val="auto"/>
          <w:sz w:val="24"/>
          <w:lang w:val="en-US" w:eastAsia="zh-CN"/>
        </w:rPr>
      </w:pPr>
      <w:r>
        <w:rPr>
          <w:rFonts w:hint="eastAsia" w:ascii="宋体" w:hAnsi="宋体" w:cs="宋体"/>
          <w:color w:val="auto"/>
          <w:sz w:val="24"/>
        </w:rPr>
        <w:t xml:space="preserve">联系人： </w:t>
      </w:r>
      <w:r>
        <w:rPr>
          <w:rFonts w:hint="eastAsia" w:ascii="宋体" w:hAnsi="宋体" w:cs="宋体"/>
          <w:color w:val="auto"/>
          <w:sz w:val="24"/>
          <w:lang w:eastAsia="zh-CN"/>
        </w:rPr>
        <w:t>黄老师</w:t>
      </w:r>
      <w:r>
        <w:rPr>
          <w:rFonts w:hint="eastAsia" w:ascii="宋体" w:hAnsi="宋体" w:cs="宋体"/>
          <w:color w:val="auto"/>
          <w:sz w:val="24"/>
        </w:rPr>
        <w:t xml:space="preserve">      电话：</w:t>
      </w:r>
      <w:r>
        <w:rPr>
          <w:rFonts w:hint="eastAsia" w:ascii="宋体" w:hAnsi="宋体" w:cs="宋体"/>
          <w:color w:val="auto"/>
          <w:sz w:val="24"/>
          <w:lang w:val="en-US" w:eastAsia="zh-CN"/>
        </w:rPr>
        <w:t xml:space="preserve">13967998720 </w:t>
      </w:r>
    </w:p>
    <w:p w14:paraId="3354199E">
      <w:pPr>
        <w:spacing w:line="360" w:lineRule="auto"/>
        <w:ind w:left="482"/>
        <w:rPr>
          <w:rFonts w:ascii="宋体" w:hAnsi="宋体" w:cs="宋体"/>
          <w:color w:val="auto"/>
          <w:sz w:val="24"/>
        </w:rPr>
      </w:pPr>
      <w:r>
        <w:rPr>
          <w:rFonts w:hint="eastAsia" w:ascii="宋体" w:hAnsi="宋体" w:cs="宋体"/>
          <w:color w:val="auto"/>
          <w:sz w:val="24"/>
        </w:rPr>
        <w:t>采购行政监督：</w:t>
      </w:r>
      <w:r>
        <w:rPr>
          <w:rFonts w:hint="eastAsia" w:ascii="宋体" w:hAnsi="宋体" w:cs="宋体"/>
          <w:color w:val="auto"/>
          <w:sz w:val="24"/>
          <w:lang w:eastAsia="zh-CN"/>
        </w:rPr>
        <w:t>浙江省东阳市巍山高级中学</w:t>
      </w:r>
      <w:r>
        <w:rPr>
          <w:rFonts w:hint="eastAsia" w:ascii="宋体" w:hAnsi="宋体" w:cs="宋体"/>
          <w:color w:val="auto"/>
          <w:sz w:val="24"/>
        </w:rPr>
        <w:t xml:space="preserve">校监委  </w:t>
      </w:r>
    </w:p>
    <w:p w14:paraId="7692679A">
      <w:pPr>
        <w:spacing w:line="360" w:lineRule="auto"/>
        <w:ind w:left="482"/>
        <w:rPr>
          <w:rFonts w:hint="default" w:ascii="宋体" w:hAnsi="宋体" w:eastAsia="宋体" w:cs="宋体"/>
          <w:color w:val="auto"/>
          <w:sz w:val="24"/>
          <w:lang w:val="en-US" w:eastAsia="zh-CN"/>
        </w:rPr>
      </w:pPr>
      <w:r>
        <w:rPr>
          <w:rFonts w:hint="eastAsia" w:ascii="宋体" w:hAnsi="宋体" w:cs="宋体"/>
          <w:color w:val="auto"/>
          <w:sz w:val="24"/>
        </w:rPr>
        <w:t>联系人：张</w:t>
      </w:r>
      <w:r>
        <w:rPr>
          <w:rFonts w:hint="eastAsia" w:ascii="宋体" w:hAnsi="宋体" w:cs="宋体"/>
          <w:color w:val="auto"/>
          <w:sz w:val="24"/>
          <w:lang w:eastAsia="zh-CN"/>
        </w:rPr>
        <w:t>老师</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电话：13575913898</w:t>
      </w:r>
      <w:r>
        <w:rPr>
          <w:rFonts w:hint="eastAsia" w:ascii="宋体" w:hAnsi="宋体" w:cs="宋体"/>
          <w:color w:val="auto"/>
          <w:sz w:val="24"/>
          <w:lang w:val="en-US" w:eastAsia="zh-CN"/>
        </w:rPr>
        <w:t xml:space="preserve"> </w:t>
      </w:r>
    </w:p>
    <w:p w14:paraId="73F6795C">
      <w:pPr>
        <w:spacing w:line="360" w:lineRule="auto"/>
        <w:ind w:firstLine="480" w:firstLineChars="200"/>
        <w:rPr>
          <w:rFonts w:ascii="宋体" w:hAnsi="宋体" w:cs="宋体"/>
          <w:sz w:val="24"/>
        </w:rPr>
      </w:pPr>
      <w:r>
        <w:rPr>
          <w:rFonts w:hint="eastAsia" w:ascii="宋体" w:hAnsi="宋体" w:cs="宋体"/>
          <w:sz w:val="24"/>
        </w:rPr>
        <w:t>注：为确保招投标活动的公开、公平、公正，切实维护各方合法权益，凡在招标投标、开标评标过程中，受到敲诈、勒索或发现围标串标、虚假投标、恶意竞标等涉黑涉恶线索者，请及时保留相关证据并向有关部门举报。</w:t>
      </w:r>
    </w:p>
    <w:p w14:paraId="2A4B9B4E">
      <w:pPr>
        <w:pStyle w:val="43"/>
        <w:spacing w:before="0" w:beforeAutospacing="0" w:after="0" w:afterAutospacing="0" w:line="360" w:lineRule="auto"/>
        <w:rPr>
          <w:rFonts w:hint="eastAsia" w:cs="宋体"/>
          <w:color w:val="auto"/>
        </w:rPr>
      </w:pPr>
      <w:r>
        <w:rPr>
          <w:rFonts w:hint="eastAsia" w:cs="宋体"/>
          <w:color w:val="auto"/>
        </w:rPr>
        <w:t xml:space="preserve">举报电话：市扫黑办 0579-86655381      </w:t>
      </w:r>
    </w:p>
    <w:p w14:paraId="2371703F">
      <w:pPr>
        <w:pStyle w:val="43"/>
        <w:spacing w:before="0" w:beforeAutospacing="0" w:after="0" w:afterAutospacing="0" w:line="360" w:lineRule="auto"/>
        <w:ind w:firstLine="1200" w:firstLineChars="500"/>
        <w:rPr>
          <w:rFonts w:cs="宋体"/>
          <w:color w:val="auto"/>
        </w:rPr>
      </w:pPr>
      <w:r>
        <w:rPr>
          <w:rFonts w:hint="eastAsia" w:cs="宋体"/>
          <w:color w:val="auto"/>
        </w:rPr>
        <w:t>市公安局 110、0579-86096000</w:t>
      </w:r>
    </w:p>
    <w:p w14:paraId="7E4D0E7E">
      <w:pPr>
        <w:pStyle w:val="43"/>
        <w:spacing w:before="0" w:beforeAutospacing="0" w:after="0" w:afterAutospacing="0" w:line="360" w:lineRule="auto"/>
        <w:ind w:firstLine="1200" w:firstLineChars="500"/>
        <w:jc w:val="both"/>
        <w:rPr>
          <w:rFonts w:hint="eastAsia" w:cs="宋体"/>
          <w:color w:val="auto"/>
        </w:rPr>
      </w:pPr>
      <w:r>
        <w:rPr>
          <w:rFonts w:hint="eastAsia" w:cs="宋体"/>
          <w:color w:val="auto"/>
        </w:rPr>
        <w:t xml:space="preserve">市检察院 0579-86642000      </w:t>
      </w:r>
    </w:p>
    <w:p w14:paraId="7FCA0589">
      <w:pPr>
        <w:pStyle w:val="43"/>
        <w:spacing w:before="0" w:beforeAutospacing="0" w:after="0" w:afterAutospacing="0" w:line="360" w:lineRule="auto"/>
        <w:ind w:firstLine="1200" w:firstLineChars="500"/>
        <w:jc w:val="both"/>
        <w:rPr>
          <w:rFonts w:cs="宋体"/>
          <w:color w:val="auto"/>
        </w:rPr>
      </w:pPr>
      <w:r>
        <w:rPr>
          <w:rFonts w:hint="eastAsia" w:cs="宋体"/>
          <w:color w:val="auto"/>
        </w:rPr>
        <w:t>市法院  0579-86620148</w:t>
      </w:r>
    </w:p>
    <w:p w14:paraId="19BC6F97">
      <w:pPr>
        <w:pStyle w:val="43"/>
        <w:spacing w:before="0" w:beforeAutospacing="0" w:after="0" w:afterAutospacing="0" w:line="360" w:lineRule="auto"/>
        <w:ind w:firstLine="1200" w:firstLineChars="500"/>
        <w:rPr>
          <w:rFonts w:hint="eastAsia" w:cs="宋体"/>
          <w:color w:val="auto"/>
        </w:rPr>
      </w:pPr>
      <w:r>
        <w:rPr>
          <w:rFonts w:hint="eastAsia" w:cs="宋体"/>
          <w:color w:val="auto"/>
        </w:rPr>
        <w:t xml:space="preserve">市公共资源办 0579-86691835  </w:t>
      </w:r>
    </w:p>
    <w:p w14:paraId="300F2D12">
      <w:pPr>
        <w:pStyle w:val="43"/>
        <w:spacing w:before="0" w:beforeAutospacing="0" w:after="0" w:afterAutospacing="0" w:line="360" w:lineRule="auto"/>
        <w:ind w:firstLine="1200" w:firstLineChars="500"/>
        <w:rPr>
          <w:rFonts w:cs="宋体"/>
        </w:rPr>
      </w:pPr>
      <w:r>
        <w:rPr>
          <w:rFonts w:hint="eastAsia" w:cs="宋体"/>
          <w:color w:val="auto"/>
        </w:rPr>
        <w:t>市公共资源交易中心 0579-86691729</w:t>
      </w:r>
    </w:p>
    <w:p w14:paraId="7C2984D9">
      <w:pPr>
        <w:spacing w:line="360" w:lineRule="auto"/>
        <w:jc w:val="right"/>
        <w:rPr>
          <w:rFonts w:ascii="宋体" w:hAnsi="宋体" w:cs="宋体"/>
          <w:sz w:val="24"/>
        </w:rPr>
      </w:pPr>
    </w:p>
    <w:p w14:paraId="2A25843F">
      <w:pPr>
        <w:spacing w:line="360" w:lineRule="auto"/>
        <w:jc w:val="right"/>
        <w:rPr>
          <w:rFonts w:hint="eastAsia" w:ascii="宋体" w:hAnsi="宋体" w:cs="宋体"/>
          <w:sz w:val="24"/>
        </w:rPr>
      </w:pPr>
    </w:p>
    <w:p w14:paraId="1A418F80">
      <w:pPr>
        <w:spacing w:line="360" w:lineRule="auto"/>
        <w:jc w:val="right"/>
        <w:rPr>
          <w:rFonts w:hint="eastAsia" w:ascii="宋体" w:hAnsi="宋体" w:cs="宋体"/>
          <w:sz w:val="24"/>
        </w:rPr>
      </w:pPr>
      <w:r>
        <w:rPr>
          <w:rFonts w:hint="eastAsia" w:ascii="宋体" w:hAnsi="宋体" w:cs="宋体"/>
          <w:sz w:val="24"/>
          <w:lang w:eastAsia="zh-CN"/>
        </w:rPr>
        <w:t>浙江省东阳市巍山高级中学</w:t>
      </w:r>
      <w:r>
        <w:rPr>
          <w:rFonts w:hint="eastAsia" w:ascii="宋体" w:hAnsi="宋体" w:cs="宋体"/>
          <w:sz w:val="24"/>
        </w:rPr>
        <w:t xml:space="preserve">　                        </w:t>
      </w:r>
    </w:p>
    <w:p w14:paraId="455B7561">
      <w:pPr>
        <w:spacing w:line="360" w:lineRule="auto"/>
        <w:jc w:val="right"/>
        <w:rPr>
          <w:rFonts w:hint="eastAsia" w:ascii="宋体" w:hAnsi="宋体" w:eastAsia="宋体" w:cs="宋体"/>
          <w:sz w:val="24"/>
          <w:lang w:eastAsia="zh-CN"/>
        </w:rPr>
      </w:pPr>
      <w:r>
        <w:rPr>
          <w:rFonts w:hint="eastAsia" w:ascii="宋体" w:hAnsi="宋体" w:cs="宋体"/>
          <w:sz w:val="24"/>
          <w:lang w:eastAsia="zh-CN"/>
        </w:rPr>
        <w:t>浙江省房地产管理咨询有限公司</w:t>
      </w:r>
    </w:p>
    <w:p w14:paraId="13A4E24B">
      <w:pPr>
        <w:spacing w:line="360" w:lineRule="auto"/>
        <w:jc w:val="right"/>
        <w:rPr>
          <w:rFonts w:ascii="宋体" w:hAnsi="宋体" w:cs="宋体"/>
          <w:b/>
          <w:sz w:val="24"/>
        </w:rPr>
      </w:pPr>
      <w:r>
        <w:rPr>
          <w:rFonts w:hint="eastAsia" w:ascii="宋体" w:hAnsi="宋体" w:cs="宋体"/>
          <w:sz w:val="24"/>
        </w:rPr>
        <w:t xml:space="preserve">                                                     2024年10月</w:t>
      </w:r>
      <w:r>
        <w:rPr>
          <w:rFonts w:hint="eastAsia" w:ascii="宋体" w:hAnsi="宋体" w:cs="宋体"/>
          <w:sz w:val="24"/>
          <w:lang w:val="en-US" w:eastAsia="zh-CN"/>
        </w:rPr>
        <w:t>30</w:t>
      </w:r>
      <w:r>
        <w:rPr>
          <w:rFonts w:hint="eastAsia" w:ascii="宋体" w:hAnsi="宋体" w:cs="宋体"/>
          <w:sz w:val="24"/>
        </w:rPr>
        <w:t>日</w:t>
      </w:r>
    </w:p>
    <w:p w14:paraId="5EE585CE">
      <w:pPr>
        <w:spacing w:line="460" w:lineRule="exact"/>
        <w:rPr>
          <w:rFonts w:ascii="宋体" w:hAnsi="宋体" w:cs="宋体"/>
          <w:sz w:val="24"/>
        </w:rPr>
      </w:pPr>
      <w:r>
        <w:rPr>
          <w:rFonts w:hint="eastAsia" w:ascii="宋体" w:hAnsi="宋体" w:cs="宋体"/>
          <w:sz w:val="24"/>
        </w:rPr>
        <w:br w:type="page"/>
      </w:r>
    </w:p>
    <w:p w14:paraId="33F8B4D2">
      <w:pPr>
        <w:pStyle w:val="5"/>
        <w:spacing w:before="0" w:after="0" w:line="240" w:lineRule="auto"/>
        <w:jc w:val="center"/>
        <w:rPr>
          <w:rFonts w:ascii="宋体" w:hAnsi="宋体" w:eastAsia="宋体" w:cs="宋体"/>
          <w:sz w:val="36"/>
          <w:szCs w:val="36"/>
        </w:rPr>
      </w:pPr>
      <w:bookmarkStart w:id="2" w:name="_Toc452457413"/>
      <w:bookmarkStart w:id="3" w:name="_Toc26206"/>
      <w:r>
        <w:rPr>
          <w:rFonts w:hint="eastAsia" w:ascii="宋体" w:hAnsi="宋体" w:eastAsia="宋体" w:cs="宋体"/>
          <w:sz w:val="36"/>
          <w:szCs w:val="36"/>
        </w:rPr>
        <w:t>第二章  供应商须知</w:t>
      </w:r>
    </w:p>
    <w:p w14:paraId="0D5D1F80">
      <w:pPr>
        <w:jc w:val="right"/>
      </w:pPr>
      <w:r>
        <w:rPr>
          <w:rFonts w:hint="eastAsia" w:ascii="宋体" w:hAnsi="宋体"/>
          <w:bCs/>
          <w:sz w:val="24"/>
        </w:rPr>
        <w:t>前附表</w:t>
      </w:r>
    </w:p>
    <w:bookmarkEnd w:id="2"/>
    <w:bookmarkEnd w:id="3"/>
    <w:tbl>
      <w:tblPr>
        <w:tblStyle w:val="4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
        <w:gridCol w:w="8227"/>
      </w:tblGrid>
      <w:tr w14:paraId="56A72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2F3C0117">
            <w:pPr>
              <w:snapToGrid w:val="0"/>
              <w:spacing w:line="480" w:lineRule="exac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序号</w:t>
            </w:r>
          </w:p>
        </w:tc>
        <w:tc>
          <w:tcPr>
            <w:tcW w:w="4542" w:type="pct"/>
            <w:tcBorders>
              <w:top w:val="single" w:color="auto" w:sz="4" w:space="0"/>
              <w:left w:val="single" w:color="auto" w:sz="4" w:space="0"/>
              <w:bottom w:val="single" w:color="auto" w:sz="4" w:space="0"/>
              <w:right w:val="single" w:color="auto" w:sz="4" w:space="0"/>
            </w:tcBorders>
            <w:vAlign w:val="center"/>
          </w:tcPr>
          <w:p w14:paraId="5163B8BE">
            <w:pPr>
              <w:snapToGrid w:val="0"/>
              <w:spacing w:line="480" w:lineRule="exac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内容、要求</w:t>
            </w:r>
          </w:p>
        </w:tc>
      </w:tr>
      <w:tr w14:paraId="2CEDE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E73864B">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4542" w:type="pct"/>
            <w:tcBorders>
              <w:top w:val="single" w:color="auto" w:sz="4" w:space="0"/>
              <w:left w:val="single" w:color="auto" w:sz="4" w:space="0"/>
              <w:bottom w:val="single" w:color="auto" w:sz="4" w:space="0"/>
              <w:right w:val="single" w:color="auto" w:sz="4" w:space="0"/>
            </w:tcBorders>
            <w:vAlign w:val="center"/>
          </w:tcPr>
          <w:p w14:paraId="0BFC5487">
            <w:pPr>
              <w:snapToGrid w:val="0"/>
              <w:spacing w:line="48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项目名</w:t>
            </w:r>
            <w:r>
              <w:rPr>
                <w:rFonts w:hint="eastAsia" w:ascii="宋体" w:hAnsi="宋体"/>
                <w:sz w:val="24"/>
              </w:rPr>
              <w:t>称：</w:t>
            </w:r>
            <w:r>
              <w:rPr>
                <w:rFonts w:hint="eastAsia" w:ascii="宋体" w:hAnsi="宋体" w:cs="宋体"/>
                <w:bCs/>
                <w:sz w:val="24"/>
              </w:rPr>
              <w:t>“新鲜水果进校园，助力学生健康成长”服务采购项目</w:t>
            </w:r>
          </w:p>
        </w:tc>
      </w:tr>
      <w:tr w14:paraId="46A46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2D3AC883">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4542" w:type="pct"/>
            <w:tcBorders>
              <w:top w:val="single" w:color="auto" w:sz="4" w:space="0"/>
              <w:left w:val="single" w:color="auto" w:sz="4" w:space="0"/>
              <w:bottom w:val="single" w:color="auto" w:sz="4" w:space="0"/>
              <w:right w:val="single" w:color="auto" w:sz="4" w:space="0"/>
            </w:tcBorders>
            <w:vAlign w:val="center"/>
          </w:tcPr>
          <w:p w14:paraId="008C6B23">
            <w:pPr>
              <w:spacing w:line="400" w:lineRule="exact"/>
              <w:rPr>
                <w:rFonts w:ascii="宋体" w:hAnsi="宋体"/>
                <w:color w:val="0D0D0D"/>
                <w:sz w:val="24"/>
              </w:rPr>
            </w:pPr>
            <w:r>
              <w:rPr>
                <w:rFonts w:hint="eastAsia" w:ascii="宋体" w:hAnsi="宋体" w:cs="宋体"/>
                <w:sz w:val="24"/>
              </w:rPr>
              <w:t>磋商</w:t>
            </w:r>
            <w:r>
              <w:rPr>
                <w:rFonts w:hint="eastAsia" w:ascii="宋体" w:hAnsi="宋体"/>
                <w:color w:val="0D0D0D"/>
                <w:sz w:val="24"/>
              </w:rPr>
              <w:t>报价及费用：</w:t>
            </w:r>
          </w:p>
          <w:p w14:paraId="038BA3FC">
            <w:pPr>
              <w:spacing w:line="400" w:lineRule="exact"/>
              <w:rPr>
                <w:rFonts w:ascii="宋体" w:hAnsi="宋体"/>
                <w:color w:val="0D0D0D"/>
                <w:sz w:val="24"/>
              </w:rPr>
            </w:pPr>
            <w:r>
              <w:rPr>
                <w:rFonts w:ascii="宋体" w:hAnsi="宋体"/>
                <w:color w:val="0D0D0D"/>
                <w:sz w:val="24"/>
              </w:rPr>
              <w:t>1</w:t>
            </w:r>
            <w:r>
              <w:rPr>
                <w:rFonts w:hint="eastAsia" w:ascii="宋体" w:hAnsi="宋体"/>
                <w:color w:val="0D0D0D"/>
                <w:sz w:val="24"/>
              </w:rPr>
              <w:t>、本项目</w:t>
            </w:r>
            <w:r>
              <w:rPr>
                <w:rFonts w:hint="eastAsia" w:ascii="宋体" w:hAnsi="宋体" w:cs="宋体"/>
                <w:sz w:val="24"/>
              </w:rPr>
              <w:t>磋商</w:t>
            </w:r>
            <w:r>
              <w:rPr>
                <w:rFonts w:hint="eastAsia" w:ascii="宋体" w:hAnsi="宋体"/>
                <w:color w:val="0D0D0D"/>
                <w:sz w:val="24"/>
              </w:rPr>
              <w:t>应以售价折扣率报价。</w:t>
            </w:r>
          </w:p>
          <w:p w14:paraId="3494AA21">
            <w:pPr>
              <w:spacing w:line="400" w:lineRule="exact"/>
              <w:rPr>
                <w:rFonts w:ascii="宋体" w:hAnsi="宋体"/>
                <w:sz w:val="24"/>
              </w:rPr>
            </w:pPr>
            <w:r>
              <w:rPr>
                <w:rFonts w:hint="eastAsia" w:ascii="宋体" w:hAnsi="宋体"/>
                <w:color w:val="000000"/>
                <w:sz w:val="24"/>
              </w:rPr>
              <w:t>2</w:t>
            </w:r>
            <w:r>
              <w:rPr>
                <w:rFonts w:hint="eastAsia" w:ascii="宋体" w:hAnsi="宋体"/>
                <w:sz w:val="24"/>
              </w:rPr>
              <w:t>、</w:t>
            </w:r>
            <w:r>
              <w:rPr>
                <w:rFonts w:hint="eastAsia" w:ascii="宋体" w:hAnsi="宋体" w:cs="宋体"/>
                <w:b/>
                <w:sz w:val="24"/>
              </w:rPr>
              <w:t>本项目最高限价详见采购需求。</w:t>
            </w:r>
            <w:r>
              <w:rPr>
                <w:rFonts w:hint="eastAsia" w:ascii="宋体" w:hAnsi="宋体" w:cs="宋体"/>
                <w:sz w:val="24"/>
              </w:rPr>
              <w:t>供应商必须按采购需求的要求报价，并且报价不得高于或等于最高限价，否则作废标处理。</w:t>
            </w:r>
          </w:p>
          <w:p w14:paraId="5DD53C54">
            <w:pPr>
              <w:pStyle w:val="3"/>
              <w:snapToGrid w:val="0"/>
              <w:spacing w:line="480" w:lineRule="exact"/>
              <w:ind w:firstLine="0"/>
              <w:jc w:val="left"/>
              <w:rPr>
                <w:sz w:val="24"/>
              </w:rPr>
            </w:pPr>
            <w:r>
              <w:rPr>
                <w:rFonts w:hint="eastAsia" w:hAnsi="宋体"/>
                <w:sz w:val="24"/>
              </w:rPr>
              <w:t>3、不论</w:t>
            </w:r>
            <w:r>
              <w:rPr>
                <w:rFonts w:hint="eastAsia" w:hAnsi="宋体"/>
                <w:sz w:val="24"/>
                <w:szCs w:val="24"/>
              </w:rPr>
              <w:t>磋商</w:t>
            </w:r>
            <w:r>
              <w:rPr>
                <w:rFonts w:hint="eastAsia" w:hAnsi="宋体"/>
                <w:sz w:val="24"/>
              </w:rPr>
              <w:t>结果如何，</w:t>
            </w:r>
            <w:r>
              <w:rPr>
                <w:rFonts w:hint="eastAsia" w:hAnsi="宋体"/>
                <w:sz w:val="24"/>
                <w:szCs w:val="24"/>
              </w:rPr>
              <w:t>磋商响应</w:t>
            </w:r>
            <w:r>
              <w:rPr>
                <w:rFonts w:hint="eastAsia" w:hAnsi="宋体"/>
                <w:sz w:val="24"/>
              </w:rPr>
              <w:t>人均应</w:t>
            </w:r>
            <w:r>
              <w:rPr>
                <w:rFonts w:hint="eastAsia" w:hAnsi="宋体"/>
                <w:color w:val="0D0D0D"/>
                <w:sz w:val="24"/>
              </w:rPr>
              <w:t>自行承担所有与</w:t>
            </w:r>
            <w:r>
              <w:rPr>
                <w:rFonts w:hint="eastAsia" w:hAnsi="宋体"/>
                <w:sz w:val="24"/>
                <w:szCs w:val="24"/>
              </w:rPr>
              <w:t>磋商</w:t>
            </w:r>
            <w:r>
              <w:rPr>
                <w:rFonts w:hint="eastAsia" w:hAnsi="宋体"/>
                <w:color w:val="0D0D0D"/>
                <w:sz w:val="24"/>
              </w:rPr>
              <w:t>有关的全部费用。</w:t>
            </w:r>
          </w:p>
        </w:tc>
      </w:tr>
      <w:tr w14:paraId="6BE43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1682B6BE">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4542" w:type="pct"/>
            <w:tcBorders>
              <w:top w:val="single" w:color="auto" w:sz="4" w:space="0"/>
              <w:left w:val="single" w:color="auto" w:sz="4" w:space="0"/>
              <w:bottom w:val="single" w:color="auto" w:sz="4" w:space="0"/>
              <w:right w:val="single" w:color="auto" w:sz="4" w:space="0"/>
            </w:tcBorders>
            <w:vAlign w:val="center"/>
          </w:tcPr>
          <w:p w14:paraId="0A539993">
            <w:pPr>
              <w:snapToGrid w:val="0"/>
              <w:spacing w:line="480" w:lineRule="exact"/>
              <w:rPr>
                <w:rFonts w:asciiTheme="minorEastAsia" w:hAnsiTheme="minorEastAsia" w:eastAsiaTheme="minorEastAsia"/>
                <w:color w:val="000000"/>
                <w:sz w:val="24"/>
              </w:rPr>
            </w:pPr>
            <w:r>
              <w:rPr>
                <w:rFonts w:hint="eastAsia" w:ascii="宋体" w:hAnsi="宋体" w:cs="宋体"/>
                <w:sz w:val="24"/>
              </w:rPr>
              <w:t>答疑与澄清：</w:t>
            </w:r>
            <w:r>
              <w:rPr>
                <w:rFonts w:hint="eastAsia" w:hAnsi="宋体"/>
                <w:sz w:val="24"/>
              </w:rPr>
              <w:t>磋商响应</w:t>
            </w:r>
            <w:r>
              <w:rPr>
                <w:rFonts w:hint="eastAsia" w:ascii="宋体" w:hAnsi="宋体" w:cs="宋体"/>
                <w:sz w:val="24"/>
                <w:highlight w:val="none"/>
              </w:rPr>
              <w:t>人如认为</w:t>
            </w:r>
            <w:r>
              <w:rPr>
                <w:rFonts w:hint="eastAsia" w:ascii="宋体" w:hAnsi="宋体" w:cs="宋体"/>
                <w:bCs/>
                <w:sz w:val="24"/>
                <w:highlight w:val="none"/>
              </w:rPr>
              <w:t>磋商</w:t>
            </w:r>
            <w:r>
              <w:rPr>
                <w:rFonts w:hint="eastAsia" w:ascii="宋体" w:hAnsi="宋体" w:cs="宋体"/>
                <w:sz w:val="24"/>
                <w:highlight w:val="none"/>
              </w:rPr>
              <w:t>文件表述不清晰、存在歧视性、排他性或者其他违法内容，应当于</w:t>
            </w:r>
            <w:r>
              <w:rPr>
                <w:rFonts w:ascii="宋体" w:hAnsi="宋体" w:cs="宋体"/>
                <w:sz w:val="24"/>
                <w:highlight w:val="none"/>
              </w:rPr>
              <w:t>20</w:t>
            </w:r>
            <w:r>
              <w:rPr>
                <w:rFonts w:hint="eastAsia" w:ascii="宋体" w:hAnsi="宋体" w:cs="宋体"/>
                <w:sz w:val="24"/>
                <w:highlight w:val="none"/>
              </w:rPr>
              <w:t>24年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w:t>
            </w:r>
            <w:r>
              <w:rPr>
                <w:rFonts w:ascii="宋体" w:hAnsi="宋体" w:cs="宋体"/>
                <w:sz w:val="24"/>
                <w:highlight w:val="none"/>
              </w:rPr>
              <w:t>1</w:t>
            </w:r>
            <w:r>
              <w:rPr>
                <w:rFonts w:hint="eastAsia" w:ascii="宋体" w:hAnsi="宋体" w:cs="宋体"/>
                <w:sz w:val="24"/>
                <w:highlight w:val="none"/>
              </w:rPr>
              <w:t>7</w:t>
            </w:r>
            <w:r>
              <w:rPr>
                <w:rFonts w:ascii="宋体" w:hAnsi="宋体" w:cs="宋体"/>
                <w:sz w:val="24"/>
                <w:highlight w:val="none"/>
              </w:rPr>
              <w:t>:00</w:t>
            </w:r>
            <w:r>
              <w:rPr>
                <w:rFonts w:hint="eastAsia" w:ascii="宋体" w:hAnsi="宋体" w:cs="宋体"/>
                <w:sz w:val="24"/>
                <w:highlight w:val="none"/>
              </w:rPr>
              <w:t>前，以书面形式要求采购单位作出书面解释、澄清或者向</w:t>
            </w:r>
            <w:r>
              <w:rPr>
                <w:rFonts w:hint="eastAsia" w:ascii="宋体" w:hAnsi="宋体" w:cs="宋体"/>
                <w:bCs/>
                <w:sz w:val="24"/>
                <w:highlight w:val="none"/>
              </w:rPr>
              <w:t>磋商</w:t>
            </w:r>
            <w:r>
              <w:rPr>
                <w:rFonts w:hint="eastAsia" w:ascii="宋体" w:hAnsi="宋体" w:cs="宋体"/>
                <w:sz w:val="24"/>
                <w:highlight w:val="none"/>
              </w:rPr>
              <w:t>采购单位提出书面质疑（超过此规定时间的质疑函将不予受理）。答疑内容将于</w:t>
            </w:r>
            <w:r>
              <w:rPr>
                <w:rFonts w:hint="eastAsia" w:hAnsi="宋体"/>
                <w:sz w:val="24"/>
                <w:highlight w:val="none"/>
              </w:rPr>
              <w:t>磋商响应</w:t>
            </w:r>
            <w:r>
              <w:rPr>
                <w:rFonts w:hint="eastAsia" w:ascii="宋体" w:hAnsi="宋体" w:cs="宋体"/>
                <w:sz w:val="24"/>
                <w:highlight w:val="none"/>
              </w:rPr>
              <w:t>截止日期</w:t>
            </w:r>
            <w:r>
              <w:rPr>
                <w:rFonts w:ascii="宋体" w:hAnsi="宋体" w:cs="宋体"/>
                <w:sz w:val="24"/>
                <w:highlight w:val="none"/>
              </w:rPr>
              <w:t>5</w:t>
            </w:r>
            <w:r>
              <w:rPr>
                <w:rFonts w:hint="eastAsia" w:ascii="宋体" w:hAnsi="宋体" w:cs="宋体"/>
                <w:sz w:val="24"/>
              </w:rPr>
              <w:t>天前以网上发布公告的形式通知；如果答疑、澄清或修改的内容可能影响</w:t>
            </w:r>
            <w:r>
              <w:rPr>
                <w:rFonts w:hint="eastAsia" w:hAnsi="宋体"/>
                <w:sz w:val="24"/>
              </w:rPr>
              <w:t>磋商响应</w:t>
            </w:r>
            <w:r>
              <w:rPr>
                <w:rFonts w:hint="eastAsia" w:ascii="宋体" w:hAnsi="宋体" w:cs="宋体"/>
                <w:sz w:val="24"/>
              </w:rPr>
              <w:t>文件编制，</w:t>
            </w:r>
            <w:r>
              <w:rPr>
                <w:rFonts w:hint="eastAsia" w:ascii="宋体" w:hAnsi="宋体" w:cs="宋体"/>
                <w:bCs/>
                <w:sz w:val="24"/>
              </w:rPr>
              <w:t>磋商</w:t>
            </w:r>
            <w:r>
              <w:rPr>
                <w:rFonts w:hint="eastAsia" w:ascii="宋体" w:hAnsi="宋体" w:cs="宋体"/>
                <w:sz w:val="24"/>
              </w:rPr>
              <w:t>采购单位将于</w:t>
            </w:r>
            <w:r>
              <w:rPr>
                <w:rFonts w:hint="eastAsia" w:hAnsi="宋体"/>
                <w:sz w:val="24"/>
              </w:rPr>
              <w:t>磋商响应</w:t>
            </w:r>
            <w:r>
              <w:rPr>
                <w:rFonts w:hint="eastAsia" w:ascii="宋体" w:hAnsi="宋体" w:cs="宋体"/>
                <w:sz w:val="24"/>
              </w:rPr>
              <w:t>截止日期</w:t>
            </w:r>
            <w:r>
              <w:rPr>
                <w:rFonts w:ascii="宋体" w:hAnsi="宋体" w:cs="宋体"/>
                <w:sz w:val="24"/>
              </w:rPr>
              <w:t>15</w:t>
            </w:r>
            <w:r>
              <w:rPr>
                <w:rFonts w:hint="eastAsia" w:ascii="宋体" w:hAnsi="宋体" w:cs="宋体"/>
                <w:sz w:val="24"/>
              </w:rPr>
              <w:t>天前以网上公告的形式通知所有已报名的</w:t>
            </w:r>
            <w:r>
              <w:rPr>
                <w:rFonts w:hint="eastAsia" w:hAnsi="宋体"/>
                <w:sz w:val="24"/>
              </w:rPr>
              <w:t>磋商响应</w:t>
            </w:r>
            <w:r>
              <w:rPr>
                <w:rFonts w:hint="eastAsia" w:ascii="宋体" w:hAnsi="宋体" w:cs="宋体"/>
                <w:sz w:val="24"/>
              </w:rPr>
              <w:t>人，答疑内容是</w:t>
            </w:r>
            <w:r>
              <w:rPr>
                <w:rFonts w:hint="eastAsia" w:ascii="宋体" w:hAnsi="宋体" w:cs="宋体"/>
                <w:bCs/>
                <w:sz w:val="24"/>
              </w:rPr>
              <w:t>磋商</w:t>
            </w:r>
            <w:r>
              <w:rPr>
                <w:rFonts w:hint="eastAsia" w:ascii="宋体" w:hAnsi="宋体" w:cs="宋体"/>
                <w:sz w:val="24"/>
              </w:rPr>
              <w:t>文件的组成部分。</w:t>
            </w:r>
          </w:p>
        </w:tc>
      </w:tr>
      <w:tr w14:paraId="4F751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4C88FD2">
            <w:pPr>
              <w:snapToGrid w:val="0"/>
              <w:spacing w:line="480" w:lineRule="exact"/>
              <w:jc w:val="center"/>
              <w:rPr>
                <w:rFonts w:ascii="宋体" w:hAnsi="宋体" w:cs="宋体"/>
                <w:sz w:val="24"/>
              </w:rPr>
            </w:pPr>
            <w:r>
              <w:rPr>
                <w:rFonts w:hint="eastAsia" w:ascii="宋体" w:hAnsi="宋体" w:cs="宋体"/>
                <w:sz w:val="24"/>
              </w:rPr>
              <w:t>4</w:t>
            </w:r>
          </w:p>
        </w:tc>
        <w:tc>
          <w:tcPr>
            <w:tcW w:w="4542" w:type="pct"/>
            <w:tcBorders>
              <w:top w:val="single" w:color="auto" w:sz="4" w:space="0"/>
              <w:left w:val="single" w:color="auto" w:sz="4" w:space="0"/>
              <w:bottom w:val="single" w:color="auto" w:sz="4" w:space="0"/>
              <w:right w:val="single" w:color="auto" w:sz="4" w:space="0"/>
            </w:tcBorders>
            <w:vAlign w:val="center"/>
          </w:tcPr>
          <w:p w14:paraId="54F2CE87">
            <w:pPr>
              <w:spacing w:line="440" w:lineRule="exact"/>
              <w:rPr>
                <w:rFonts w:ascii="宋体" w:hAnsi="宋体" w:cs="宋体"/>
                <w:sz w:val="24"/>
              </w:rPr>
            </w:pPr>
            <w:r>
              <w:rPr>
                <w:rFonts w:hint="eastAsia" w:ascii="宋体" w:hAnsi="宋体" w:cs="宋体"/>
                <w:sz w:val="24"/>
              </w:rPr>
              <w:t>磋商办法：综合评分法（其中报价分为两轮）</w:t>
            </w:r>
          </w:p>
        </w:tc>
      </w:tr>
      <w:tr w14:paraId="50F75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24FD6D2">
            <w:pPr>
              <w:snapToGrid w:val="0"/>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542" w:type="pct"/>
            <w:tcBorders>
              <w:top w:val="single" w:color="auto" w:sz="4" w:space="0"/>
              <w:left w:val="single" w:color="auto" w:sz="4" w:space="0"/>
              <w:bottom w:val="single" w:color="auto" w:sz="4" w:space="0"/>
              <w:right w:val="single" w:color="auto" w:sz="4" w:space="0"/>
            </w:tcBorders>
            <w:vAlign w:val="center"/>
          </w:tcPr>
          <w:p w14:paraId="36D84A94">
            <w:pPr>
              <w:spacing w:line="440" w:lineRule="exact"/>
              <w:rPr>
                <w:rFonts w:asciiTheme="minorEastAsia" w:hAnsiTheme="minorEastAsia" w:eastAsiaTheme="minorEastAsia"/>
                <w:sz w:val="24"/>
              </w:rPr>
            </w:pPr>
            <w:r>
              <w:rPr>
                <w:rFonts w:hint="eastAsia" w:hAnsi="宋体"/>
                <w:sz w:val="24"/>
              </w:rPr>
              <w:t>磋商响应</w:t>
            </w:r>
            <w:r>
              <w:rPr>
                <w:rFonts w:hint="eastAsia" w:ascii="宋体" w:hAnsi="宋体" w:cs="宋体"/>
                <w:sz w:val="24"/>
              </w:rPr>
              <w:t>文件组成：</w:t>
            </w:r>
            <w:r>
              <w:rPr>
                <w:rFonts w:hint="eastAsia" w:ascii="宋体" w:hAnsi="宋体" w:cs="宋体"/>
                <w:bCs/>
                <w:sz w:val="24"/>
              </w:rPr>
              <w:t>由资格审查资料、资信商务及技术文件、磋商报价文件三部份组成。磋商响应单位应携带相关原件备查。</w:t>
            </w:r>
          </w:p>
        </w:tc>
      </w:tr>
      <w:tr w14:paraId="41DEB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B4D2E6F">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4542" w:type="pct"/>
            <w:tcBorders>
              <w:top w:val="single" w:color="auto" w:sz="4" w:space="0"/>
              <w:left w:val="single" w:color="auto" w:sz="4" w:space="0"/>
              <w:bottom w:val="single" w:color="auto" w:sz="4" w:space="0"/>
              <w:right w:val="single" w:color="auto" w:sz="4" w:space="0"/>
            </w:tcBorders>
            <w:shd w:val="clear" w:color="auto" w:fill="auto"/>
            <w:vAlign w:val="center"/>
          </w:tcPr>
          <w:p w14:paraId="58703074">
            <w:pPr>
              <w:snapToGrid w:val="0"/>
              <w:spacing w:line="480" w:lineRule="exact"/>
              <w:rPr>
                <w:rFonts w:cs="Arial" w:asciiTheme="minorEastAsia" w:hAnsiTheme="minorEastAsia" w:eastAsiaTheme="minorEastAsia"/>
                <w:sz w:val="24"/>
                <w:highlight w:val="none"/>
              </w:rPr>
            </w:pPr>
            <w:r>
              <w:rPr>
                <w:rFonts w:hint="eastAsia" w:hAnsi="宋体"/>
                <w:sz w:val="24"/>
              </w:rPr>
              <w:t>磋商响应</w:t>
            </w:r>
            <w:r>
              <w:rPr>
                <w:rFonts w:hint="eastAsia" w:asciiTheme="minorEastAsia" w:hAnsiTheme="minorEastAsia" w:eastAsiaTheme="minorEastAsia"/>
                <w:sz w:val="24"/>
              </w:rPr>
              <w:t>截止时间</w:t>
            </w:r>
            <w:r>
              <w:rPr>
                <w:rFonts w:hint="eastAsia" w:asciiTheme="minorEastAsia" w:hAnsiTheme="minorEastAsia" w:eastAsiaTheme="minorEastAsia"/>
                <w:sz w:val="24"/>
                <w:highlight w:val="none"/>
              </w:rPr>
              <w:t>：</w:t>
            </w:r>
            <w:r>
              <w:rPr>
                <w:rFonts w:hint="eastAsia" w:ascii="宋体" w:hAnsi="宋体" w:cs="宋体"/>
                <w:sz w:val="24"/>
                <w:highlight w:val="none"/>
              </w:rPr>
              <w:t>于</w:t>
            </w:r>
            <w:r>
              <w:rPr>
                <w:rFonts w:ascii="宋体" w:hAnsi="宋体" w:cs="宋体"/>
                <w:sz w:val="24"/>
                <w:highlight w:val="none"/>
              </w:rPr>
              <w:t>20</w:t>
            </w:r>
            <w:r>
              <w:rPr>
                <w:rFonts w:hint="eastAsia" w:ascii="宋体" w:hAnsi="宋体" w:cs="宋体"/>
                <w:sz w:val="24"/>
                <w:highlight w:val="none"/>
              </w:rPr>
              <w:t>24年</w:t>
            </w:r>
            <w:r>
              <w:rPr>
                <w:rFonts w:hint="eastAsia" w:ascii="宋体" w:hAnsi="宋体" w:cs="宋体"/>
                <w:sz w:val="24"/>
                <w:highlight w:val="none"/>
                <w:u w:val="none"/>
                <w:lang w:val="en-US" w:eastAsia="zh-CN"/>
              </w:rPr>
              <w:t>11</w:t>
            </w:r>
            <w:r>
              <w:rPr>
                <w:rFonts w:hint="eastAsia" w:ascii="宋体" w:hAnsi="宋体" w:cs="宋体"/>
                <w:sz w:val="24"/>
                <w:highlight w:val="none"/>
                <w:u w:val="none"/>
              </w:rPr>
              <w:t>月</w:t>
            </w:r>
            <w:r>
              <w:rPr>
                <w:rFonts w:hint="eastAsia" w:ascii="宋体" w:hAnsi="宋体" w:cs="宋体"/>
                <w:sz w:val="24"/>
                <w:highlight w:val="none"/>
                <w:u w:val="none"/>
                <w:lang w:val="en-US" w:eastAsia="zh-CN"/>
              </w:rPr>
              <w:t>12</w:t>
            </w:r>
            <w:r>
              <w:rPr>
                <w:rFonts w:hint="eastAsia" w:ascii="宋体" w:hAnsi="宋体" w:cs="宋体"/>
                <w:sz w:val="24"/>
                <w:highlight w:val="none"/>
                <w:u w:val="none"/>
              </w:rPr>
              <w:t>日</w:t>
            </w:r>
            <w:r>
              <w:rPr>
                <w:rFonts w:hint="eastAsia" w:asciiTheme="minorEastAsia" w:hAnsiTheme="minorEastAsia" w:eastAsiaTheme="minorEastAsia"/>
                <w:sz w:val="24"/>
                <w:highlight w:val="none"/>
                <w:lang w:eastAsia="zh-CN"/>
              </w:rPr>
              <w:t>上午9：30</w:t>
            </w:r>
            <w:r>
              <w:rPr>
                <w:rFonts w:hint="eastAsia" w:cs="Arial" w:asciiTheme="minorEastAsia" w:hAnsiTheme="minorEastAsia" w:eastAsiaTheme="minorEastAsia"/>
                <w:sz w:val="24"/>
                <w:highlight w:val="none"/>
              </w:rPr>
              <w:t>时</w:t>
            </w:r>
          </w:p>
          <w:p w14:paraId="495165FA">
            <w:pPr>
              <w:snapToGrid w:val="0"/>
              <w:spacing w:line="480" w:lineRule="exact"/>
              <w:rPr>
                <w:rFonts w:asciiTheme="minorEastAsia" w:hAnsiTheme="minorEastAsia" w:eastAsiaTheme="minorEastAsia"/>
                <w:sz w:val="24"/>
              </w:rPr>
            </w:pPr>
            <w:r>
              <w:rPr>
                <w:rFonts w:hint="eastAsia" w:hAnsi="宋体"/>
                <w:sz w:val="24"/>
                <w:highlight w:val="none"/>
              </w:rPr>
              <w:t>磋商响应</w:t>
            </w:r>
            <w:r>
              <w:rPr>
                <w:rFonts w:hint="eastAsia" w:cs="Arial" w:asciiTheme="minorEastAsia" w:hAnsiTheme="minorEastAsia" w:eastAsiaTheme="minorEastAsia"/>
                <w:sz w:val="24"/>
                <w:highlight w:val="none"/>
              </w:rPr>
              <w:t>文件递交地点：</w:t>
            </w:r>
            <w:r>
              <w:rPr>
                <w:rFonts w:hint="eastAsia" w:ascii="宋体" w:hAnsi="宋体" w:cs="宋体" w:eastAsiaTheme="minorEastAsia"/>
                <w:sz w:val="24"/>
                <w:highlight w:val="none"/>
                <w:lang w:eastAsia="zh-CN"/>
              </w:rPr>
              <w:t>浙江省房地产管理咨询有限公司</w:t>
            </w:r>
            <w:r>
              <w:rPr>
                <w:rFonts w:hint="eastAsia" w:ascii="宋体" w:hAnsi="宋体" w:cs="宋体"/>
                <w:sz w:val="24"/>
                <w:highlight w:val="none"/>
              </w:rPr>
              <w:t>（</w:t>
            </w:r>
            <w:r>
              <w:rPr>
                <w:rFonts w:hint="eastAsia" w:ascii="宋体" w:hAnsi="宋体" w:cs="宋体"/>
                <w:sz w:val="24"/>
                <w:highlight w:val="none"/>
                <w:lang w:eastAsia="zh-CN"/>
              </w:rPr>
              <w:t>东阳市吴宁街道人民路228号</w:t>
            </w:r>
            <w:r>
              <w:rPr>
                <w:rFonts w:hint="eastAsia" w:ascii="宋体" w:hAnsi="宋体" w:cs="宋体"/>
                <w:sz w:val="24"/>
                <w:highlight w:val="none"/>
              </w:rPr>
              <w:t>）</w:t>
            </w:r>
          </w:p>
        </w:tc>
      </w:tr>
      <w:tr w14:paraId="356D2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A19B3F5">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4542" w:type="pct"/>
            <w:tcBorders>
              <w:top w:val="single" w:color="auto" w:sz="4" w:space="0"/>
              <w:left w:val="single" w:color="auto" w:sz="4" w:space="0"/>
              <w:bottom w:val="single" w:color="auto" w:sz="4" w:space="0"/>
              <w:right w:val="single" w:color="auto" w:sz="4" w:space="0"/>
            </w:tcBorders>
            <w:shd w:val="clear" w:color="auto" w:fill="auto"/>
            <w:vAlign w:val="center"/>
          </w:tcPr>
          <w:p w14:paraId="3D72533F">
            <w:pPr>
              <w:snapToGrid w:val="0"/>
              <w:spacing w:line="480" w:lineRule="exact"/>
              <w:rPr>
                <w:rFonts w:cs="Arial" w:asciiTheme="minorEastAsia" w:hAnsiTheme="minorEastAsia" w:eastAsiaTheme="minorEastAsia"/>
                <w:sz w:val="24"/>
                <w:highlight w:val="none"/>
              </w:rPr>
            </w:pPr>
            <w:r>
              <w:rPr>
                <w:rFonts w:hint="eastAsia" w:asciiTheme="minorEastAsia" w:hAnsiTheme="minorEastAsia" w:eastAsiaTheme="minorEastAsia"/>
                <w:sz w:val="24"/>
              </w:rPr>
              <w:t>开标时间：</w:t>
            </w:r>
            <w:r>
              <w:rPr>
                <w:rFonts w:hint="eastAsia" w:ascii="宋体" w:hAnsi="宋体" w:cs="宋体"/>
                <w:sz w:val="24"/>
                <w:highlight w:val="none"/>
              </w:rPr>
              <w:t>于</w:t>
            </w:r>
            <w:r>
              <w:rPr>
                <w:rFonts w:ascii="宋体" w:hAnsi="宋体" w:cs="宋体"/>
                <w:sz w:val="24"/>
                <w:highlight w:val="none"/>
              </w:rPr>
              <w:t>20</w:t>
            </w:r>
            <w:r>
              <w:rPr>
                <w:rFonts w:hint="eastAsia" w:ascii="宋体" w:hAnsi="宋体" w:cs="宋体"/>
                <w:sz w:val="24"/>
                <w:highlight w:val="none"/>
              </w:rPr>
              <w:t>24年</w:t>
            </w:r>
            <w:r>
              <w:rPr>
                <w:rFonts w:hint="eastAsia" w:ascii="宋体" w:hAnsi="宋体" w:cs="宋体"/>
                <w:sz w:val="24"/>
                <w:highlight w:val="none"/>
                <w:u w:val="none"/>
                <w:lang w:val="en-US" w:eastAsia="zh-CN"/>
              </w:rPr>
              <w:t>11</w:t>
            </w:r>
            <w:r>
              <w:rPr>
                <w:rFonts w:hint="eastAsia" w:ascii="宋体" w:hAnsi="宋体" w:cs="宋体"/>
                <w:sz w:val="24"/>
                <w:highlight w:val="none"/>
                <w:u w:val="none"/>
              </w:rPr>
              <w:t>月</w:t>
            </w:r>
            <w:r>
              <w:rPr>
                <w:rFonts w:hint="eastAsia" w:ascii="宋体" w:hAnsi="宋体" w:cs="宋体"/>
                <w:sz w:val="24"/>
                <w:highlight w:val="none"/>
                <w:u w:val="none"/>
                <w:lang w:val="en-US" w:eastAsia="zh-CN"/>
              </w:rPr>
              <w:t>12</w:t>
            </w:r>
            <w:r>
              <w:rPr>
                <w:rFonts w:hint="eastAsia" w:ascii="宋体" w:hAnsi="宋体" w:cs="宋体"/>
                <w:sz w:val="24"/>
                <w:highlight w:val="none"/>
                <w:u w:val="none"/>
              </w:rPr>
              <w:t>日</w:t>
            </w:r>
            <w:r>
              <w:rPr>
                <w:rFonts w:hint="eastAsia" w:asciiTheme="minorEastAsia" w:hAnsiTheme="minorEastAsia" w:eastAsiaTheme="minorEastAsia"/>
                <w:sz w:val="24"/>
                <w:highlight w:val="none"/>
                <w:lang w:eastAsia="zh-CN"/>
              </w:rPr>
              <w:t>上午9：30</w:t>
            </w:r>
            <w:r>
              <w:rPr>
                <w:rFonts w:hint="eastAsia" w:cs="Arial" w:asciiTheme="minorEastAsia" w:hAnsiTheme="minorEastAsia" w:eastAsiaTheme="minorEastAsia"/>
                <w:sz w:val="24"/>
                <w:highlight w:val="none"/>
              </w:rPr>
              <w:t>时</w:t>
            </w:r>
          </w:p>
          <w:p w14:paraId="77E2D9A6">
            <w:pPr>
              <w:snapToGrid w:val="0"/>
              <w:spacing w:line="480" w:lineRule="exact"/>
              <w:rPr>
                <w:rFonts w:asciiTheme="minorEastAsia" w:hAnsiTheme="minorEastAsia" w:eastAsiaTheme="minorEastAsia"/>
                <w:sz w:val="24"/>
              </w:rPr>
            </w:pPr>
            <w:r>
              <w:rPr>
                <w:rFonts w:hint="eastAsia" w:cs="Arial" w:asciiTheme="minorEastAsia" w:hAnsiTheme="minorEastAsia" w:eastAsiaTheme="minorEastAsia"/>
                <w:sz w:val="24"/>
                <w:highlight w:val="none"/>
              </w:rPr>
              <w:t>开标地点：</w:t>
            </w:r>
            <w:r>
              <w:rPr>
                <w:rFonts w:hint="eastAsia" w:ascii="宋体" w:hAnsi="宋体" w:cs="宋体" w:eastAsiaTheme="minorEastAsia"/>
                <w:sz w:val="24"/>
                <w:highlight w:val="none"/>
                <w:lang w:eastAsia="zh-CN"/>
              </w:rPr>
              <w:t>浙江省房</w:t>
            </w:r>
            <w:r>
              <w:rPr>
                <w:rFonts w:hint="eastAsia" w:ascii="宋体" w:hAnsi="宋体" w:cs="宋体" w:eastAsiaTheme="minorEastAsia"/>
                <w:sz w:val="24"/>
                <w:lang w:eastAsia="zh-CN"/>
              </w:rPr>
              <w:t>地产管理咨询有限公司</w:t>
            </w:r>
            <w:r>
              <w:rPr>
                <w:rFonts w:hint="eastAsia" w:ascii="宋体" w:hAnsi="宋体" w:cs="宋体"/>
                <w:sz w:val="24"/>
                <w:highlight w:val="none"/>
              </w:rPr>
              <w:t>（</w:t>
            </w:r>
            <w:r>
              <w:rPr>
                <w:rFonts w:hint="eastAsia" w:ascii="宋体" w:hAnsi="宋体" w:cs="宋体"/>
                <w:sz w:val="24"/>
                <w:highlight w:val="none"/>
                <w:lang w:eastAsia="zh-CN"/>
              </w:rPr>
              <w:t>东阳市吴宁街道人民路228号</w:t>
            </w:r>
            <w:r>
              <w:rPr>
                <w:rFonts w:hint="eastAsia" w:ascii="宋体" w:hAnsi="宋体" w:cs="宋体"/>
                <w:sz w:val="24"/>
                <w:highlight w:val="none"/>
              </w:rPr>
              <w:t>）</w:t>
            </w:r>
          </w:p>
        </w:tc>
      </w:tr>
      <w:tr w14:paraId="67D5D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053AE0E6">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4542" w:type="pct"/>
            <w:tcBorders>
              <w:top w:val="single" w:color="auto" w:sz="4" w:space="0"/>
              <w:left w:val="single" w:color="auto" w:sz="4" w:space="0"/>
              <w:bottom w:val="single" w:color="auto" w:sz="4" w:space="0"/>
              <w:right w:val="single" w:color="auto" w:sz="4" w:space="0"/>
            </w:tcBorders>
            <w:vAlign w:val="center"/>
          </w:tcPr>
          <w:p w14:paraId="280B07EA">
            <w:pPr>
              <w:snapToGrid w:val="0"/>
              <w:spacing w:line="480" w:lineRule="exact"/>
              <w:rPr>
                <w:rFonts w:asciiTheme="minorEastAsia" w:hAnsiTheme="minorEastAsia" w:eastAsiaTheme="minorEastAsia"/>
                <w:color w:val="000000"/>
                <w:sz w:val="24"/>
              </w:rPr>
            </w:pPr>
            <w:r>
              <w:rPr>
                <w:rFonts w:hint="eastAsia" w:ascii="宋体" w:hAnsi="宋体" w:cs="宋体"/>
                <w:sz w:val="24"/>
              </w:rPr>
              <w:t>现场踏勘：供应商自行组织现场踏勘。现场踏勘所发生费用由供应商自行承担，踏勘期间发生人身或交通安全等大小事故，一切责任和经济补偿均由供应商负责。</w:t>
            </w:r>
          </w:p>
        </w:tc>
      </w:tr>
      <w:tr w14:paraId="3705D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9E8CDFA">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4542" w:type="pct"/>
            <w:tcBorders>
              <w:top w:val="single" w:color="auto" w:sz="4" w:space="0"/>
              <w:left w:val="single" w:color="auto" w:sz="4" w:space="0"/>
              <w:bottom w:val="single" w:color="auto" w:sz="4" w:space="0"/>
              <w:right w:val="single" w:color="auto" w:sz="4" w:space="0"/>
            </w:tcBorders>
            <w:vAlign w:val="center"/>
          </w:tcPr>
          <w:p w14:paraId="19BD9543">
            <w:pPr>
              <w:snapToGrid w:val="0"/>
              <w:spacing w:line="480" w:lineRule="exact"/>
              <w:rPr>
                <w:rFonts w:cs="Arial" w:asciiTheme="minorEastAsia" w:hAnsiTheme="minorEastAsia" w:eastAsiaTheme="minorEastAsia"/>
                <w:b/>
                <w:color w:val="000000"/>
                <w:sz w:val="24"/>
              </w:rPr>
            </w:pPr>
            <w:r>
              <w:rPr>
                <w:rFonts w:hint="eastAsia" w:ascii="宋体" w:hAnsi="宋体" w:cs="宋体"/>
                <w:sz w:val="24"/>
              </w:rPr>
              <w:t>中标结果公告：自中标人确定之日起2天内，中标结果公告于浙江省政府采购网(</w:t>
            </w:r>
            <w:r>
              <w:fldChar w:fldCharType="begin"/>
            </w:r>
            <w:r>
              <w:instrText xml:space="preserve"> HYPERLINK "http://www.zjzfcg.gov.cn/" </w:instrText>
            </w:r>
            <w:r>
              <w:fldChar w:fldCharType="separate"/>
            </w:r>
            <w:r>
              <w:rPr>
                <w:rStyle w:val="53"/>
                <w:rFonts w:hint="eastAsia" w:ascii="宋体" w:hAnsi="宋体" w:cs="宋体"/>
                <w:color w:val="auto"/>
                <w:sz w:val="24"/>
              </w:rPr>
              <w:t>https://zfcg.czt.zj.gov.cn/</w:t>
            </w:r>
            <w:r>
              <w:rPr>
                <w:rStyle w:val="53"/>
                <w:rFonts w:hint="eastAsia" w:ascii="宋体" w:hAnsi="宋体" w:cs="宋体"/>
                <w:color w:val="auto"/>
                <w:sz w:val="24"/>
              </w:rPr>
              <w:fldChar w:fldCharType="end"/>
            </w:r>
            <w:r>
              <w:rPr>
                <w:rFonts w:hint="eastAsia" w:ascii="宋体" w:hAnsi="宋体" w:cs="宋体"/>
                <w:sz w:val="24"/>
              </w:rPr>
              <w:t>)；公告1个工作日。</w:t>
            </w:r>
          </w:p>
        </w:tc>
      </w:tr>
      <w:tr w14:paraId="43E2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7C3CF26E">
            <w:pPr>
              <w:snapToGrid w:val="0"/>
              <w:spacing w:line="400" w:lineRule="exact"/>
              <w:jc w:val="center"/>
              <w:rPr>
                <w:rFonts w:ascii="宋体" w:hAnsi="宋体" w:cs="宋体"/>
                <w:sz w:val="24"/>
              </w:rPr>
            </w:pPr>
            <w:r>
              <w:rPr>
                <w:rFonts w:hint="eastAsia" w:ascii="宋体" w:hAnsi="宋体" w:cs="宋体"/>
                <w:sz w:val="24"/>
              </w:rPr>
              <w:t>10</w:t>
            </w:r>
          </w:p>
        </w:tc>
        <w:tc>
          <w:tcPr>
            <w:tcW w:w="4542" w:type="pct"/>
            <w:tcBorders>
              <w:top w:val="single" w:color="auto" w:sz="4" w:space="0"/>
              <w:left w:val="single" w:color="auto" w:sz="4" w:space="0"/>
              <w:bottom w:val="single" w:color="auto" w:sz="4" w:space="0"/>
              <w:right w:val="single" w:color="auto" w:sz="4" w:space="0"/>
            </w:tcBorders>
            <w:vAlign w:val="center"/>
          </w:tcPr>
          <w:p w14:paraId="75099BC4">
            <w:pPr>
              <w:snapToGrid w:val="0"/>
              <w:spacing w:line="400" w:lineRule="exact"/>
              <w:rPr>
                <w:rFonts w:ascii="宋体" w:hAnsi="宋体" w:cs="宋体"/>
                <w:sz w:val="24"/>
              </w:rPr>
            </w:pPr>
            <w:r>
              <w:rPr>
                <w:rFonts w:hint="eastAsia" w:ascii="宋体" w:hAnsi="宋体" w:cs="宋体"/>
                <w:sz w:val="24"/>
              </w:rPr>
              <w:t>中标通知书：确定中标人后，中标人应在三个工作日内，向</w:t>
            </w:r>
            <w:r>
              <w:rPr>
                <w:rFonts w:hint="eastAsia" w:ascii="宋体" w:hAnsi="宋体" w:cs="宋体"/>
                <w:bCs/>
                <w:sz w:val="24"/>
              </w:rPr>
              <w:t>磋商</w:t>
            </w:r>
            <w:r>
              <w:rPr>
                <w:rFonts w:hint="eastAsia" w:ascii="宋体" w:hAnsi="宋体" w:cs="宋体"/>
                <w:color w:val="000000"/>
                <w:sz w:val="24"/>
              </w:rPr>
              <w:t>代理机构</w:t>
            </w:r>
            <w:r>
              <w:rPr>
                <w:rFonts w:hint="eastAsia" w:ascii="宋体" w:hAnsi="宋体" w:cs="宋体"/>
                <w:sz w:val="24"/>
              </w:rPr>
              <w:t>领取《中标通知书》，否则按放弃中标资格处理。</w:t>
            </w:r>
          </w:p>
        </w:tc>
      </w:tr>
      <w:tr w14:paraId="19F76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28F038F3">
            <w:pPr>
              <w:snapToGrid w:val="0"/>
              <w:spacing w:line="480" w:lineRule="exact"/>
              <w:jc w:val="center"/>
              <w:rPr>
                <w:rFonts w:ascii="宋体" w:hAnsi="宋体" w:cs="宋体"/>
                <w:color w:val="000000"/>
                <w:sz w:val="24"/>
              </w:rPr>
            </w:pPr>
            <w:r>
              <w:rPr>
                <w:rFonts w:hint="eastAsia" w:ascii="宋体" w:hAnsi="宋体" w:cs="宋体"/>
                <w:color w:val="000000"/>
                <w:sz w:val="24"/>
              </w:rPr>
              <w:t>11</w:t>
            </w:r>
          </w:p>
        </w:tc>
        <w:tc>
          <w:tcPr>
            <w:tcW w:w="4542" w:type="pct"/>
            <w:tcBorders>
              <w:top w:val="single" w:color="auto" w:sz="4" w:space="0"/>
              <w:left w:val="single" w:color="auto" w:sz="4" w:space="0"/>
              <w:bottom w:val="single" w:color="auto" w:sz="4" w:space="0"/>
              <w:right w:val="single" w:color="auto" w:sz="4" w:space="0"/>
            </w:tcBorders>
            <w:vAlign w:val="center"/>
          </w:tcPr>
          <w:p w14:paraId="6DECE9C4">
            <w:pPr>
              <w:snapToGrid w:val="0"/>
              <w:spacing w:line="400" w:lineRule="exact"/>
              <w:rPr>
                <w:rFonts w:ascii="宋体" w:hAnsi="宋体" w:cs="宋体"/>
                <w:sz w:val="24"/>
              </w:rPr>
            </w:pPr>
            <w:r>
              <w:rPr>
                <w:rFonts w:hint="eastAsia" w:ascii="宋体" w:hAnsi="宋体" w:cs="宋体"/>
                <w:sz w:val="24"/>
              </w:rPr>
              <w:t>履约保证金：</w:t>
            </w:r>
            <w:r>
              <w:rPr>
                <w:rFonts w:hint="eastAsia" w:ascii="宋体" w:hAnsi="宋体"/>
                <w:sz w:val="24"/>
              </w:rPr>
              <w:t>本项目不设</w:t>
            </w:r>
            <w:r>
              <w:rPr>
                <w:rFonts w:hint="eastAsia" w:ascii="宋体" w:hAnsi="宋体" w:cs="宋体"/>
                <w:sz w:val="24"/>
              </w:rPr>
              <w:t>履约保证</w:t>
            </w:r>
            <w:r>
              <w:rPr>
                <w:rFonts w:hint="eastAsia" w:ascii="宋体" w:hAnsi="宋体"/>
                <w:sz w:val="24"/>
              </w:rPr>
              <w:t>金。</w:t>
            </w:r>
          </w:p>
        </w:tc>
      </w:tr>
      <w:tr w14:paraId="12799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EB26AD5">
            <w:pPr>
              <w:snapToGrid w:val="0"/>
              <w:spacing w:line="480" w:lineRule="exact"/>
              <w:jc w:val="center"/>
              <w:rPr>
                <w:rFonts w:ascii="宋体" w:hAnsi="宋体" w:cs="宋体"/>
                <w:color w:val="000000"/>
                <w:sz w:val="24"/>
              </w:rPr>
            </w:pPr>
            <w:r>
              <w:rPr>
                <w:rFonts w:hint="eastAsia" w:ascii="宋体" w:hAnsi="宋体" w:cs="宋体"/>
                <w:color w:val="000000"/>
                <w:sz w:val="24"/>
              </w:rPr>
              <w:t>12</w:t>
            </w:r>
          </w:p>
        </w:tc>
        <w:tc>
          <w:tcPr>
            <w:tcW w:w="4542" w:type="pct"/>
            <w:tcBorders>
              <w:top w:val="single" w:color="auto" w:sz="4" w:space="0"/>
              <w:left w:val="single" w:color="auto" w:sz="4" w:space="0"/>
              <w:bottom w:val="single" w:color="auto" w:sz="4" w:space="0"/>
              <w:right w:val="single" w:color="auto" w:sz="4" w:space="0"/>
            </w:tcBorders>
            <w:vAlign w:val="center"/>
          </w:tcPr>
          <w:p w14:paraId="34BF9318">
            <w:pPr>
              <w:snapToGrid w:val="0"/>
              <w:spacing w:line="400" w:lineRule="exact"/>
              <w:rPr>
                <w:rFonts w:ascii="宋体" w:hAnsi="宋体" w:cs="宋体"/>
                <w:sz w:val="24"/>
              </w:rPr>
            </w:pPr>
            <w:r>
              <w:rPr>
                <w:rFonts w:hint="eastAsia" w:ascii="宋体" w:hAnsi="宋体" w:cs="宋体"/>
                <w:sz w:val="24"/>
              </w:rPr>
              <w:t>签订合同时间：中标通知书发出后10日内。</w:t>
            </w:r>
          </w:p>
        </w:tc>
      </w:tr>
      <w:tr w14:paraId="0E7FA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F2AB85F">
            <w:pPr>
              <w:snapToGrid w:val="0"/>
              <w:spacing w:line="400" w:lineRule="exact"/>
              <w:jc w:val="center"/>
              <w:rPr>
                <w:rFonts w:ascii="宋体" w:hAnsi="宋体" w:cs="宋体"/>
                <w:sz w:val="24"/>
              </w:rPr>
            </w:pPr>
            <w:r>
              <w:rPr>
                <w:rFonts w:hint="eastAsia" w:ascii="宋体" w:hAnsi="宋体" w:cs="宋体"/>
                <w:sz w:val="24"/>
              </w:rPr>
              <w:t>13</w:t>
            </w:r>
          </w:p>
        </w:tc>
        <w:tc>
          <w:tcPr>
            <w:tcW w:w="8227" w:type="dxa"/>
            <w:tcBorders>
              <w:top w:val="single" w:color="auto" w:sz="4" w:space="0"/>
              <w:left w:val="single" w:color="auto" w:sz="4" w:space="0"/>
              <w:bottom w:val="single" w:color="auto" w:sz="4" w:space="0"/>
              <w:right w:val="single" w:color="auto" w:sz="4" w:space="0"/>
            </w:tcBorders>
            <w:vAlign w:val="center"/>
          </w:tcPr>
          <w:p w14:paraId="5C5C3527">
            <w:pPr>
              <w:pStyle w:val="21"/>
            </w:pPr>
            <w:r>
              <w:rPr>
                <w:rFonts w:hint="eastAsia" w:ascii="宋体" w:hAnsi="宋体" w:cs="宋体"/>
                <w:highlight w:val="none"/>
              </w:rPr>
              <w:t>中标人须在领取中标通知书前向</w:t>
            </w:r>
            <w:r>
              <w:rPr>
                <w:rFonts w:hint="eastAsia" w:ascii="宋体" w:hAnsi="宋体" w:cs="宋体"/>
                <w:bCs/>
                <w:highlight w:val="none"/>
              </w:rPr>
              <w:t>磋商</w:t>
            </w:r>
            <w:r>
              <w:rPr>
                <w:rFonts w:hint="eastAsia" w:ascii="宋体" w:hAnsi="宋体" w:cs="宋体"/>
                <w:highlight w:val="none"/>
              </w:rPr>
              <w:t>代理机构交纳中标服务费，</w:t>
            </w:r>
            <w:r>
              <w:rPr>
                <w:rFonts w:hint="eastAsia" w:ascii="宋体" w:hAnsi="宋体" w:cs="宋体"/>
                <w:bCs/>
                <w:highlight w:val="none"/>
              </w:rPr>
              <w:t>磋商</w:t>
            </w:r>
            <w:r>
              <w:rPr>
                <w:rFonts w:hint="eastAsia" w:ascii="宋体" w:hAnsi="宋体"/>
                <w:color w:val="000000"/>
                <w:highlight w:val="none"/>
              </w:rPr>
              <w:t>代理机构开具增值税</w:t>
            </w:r>
            <w:r>
              <w:rPr>
                <w:rFonts w:hint="eastAsia" w:ascii="宋体" w:hAnsi="宋体"/>
                <w:highlight w:val="none"/>
              </w:rPr>
              <w:t>普通发票，本项目的</w:t>
            </w:r>
            <w:r>
              <w:rPr>
                <w:rFonts w:hint="eastAsia" w:ascii="宋体" w:hAnsi="宋体" w:cs="宋体"/>
                <w:highlight w:val="none"/>
              </w:rPr>
              <w:t>中标服务费</w:t>
            </w:r>
            <w:r>
              <w:rPr>
                <w:rFonts w:hint="eastAsia" w:ascii="宋体" w:hAnsi="宋体" w:cs="宋体"/>
                <w:color w:val="0D0D0D"/>
                <w:highlight w:val="none"/>
              </w:rPr>
              <w:t>按</w:t>
            </w:r>
            <w:r>
              <w:rPr>
                <w:rFonts w:hint="eastAsia" w:ascii="宋体" w:hAnsi="宋体" w:cs="宋体"/>
                <w:color w:val="0D0D0D"/>
                <w:highlight w:val="none"/>
                <w:u w:val="single"/>
                <w:lang w:eastAsia="zh-CN"/>
              </w:rPr>
              <w:t>4000</w:t>
            </w:r>
            <w:r>
              <w:rPr>
                <w:rFonts w:hint="eastAsia" w:ascii="宋体" w:hAnsi="宋体" w:cs="宋体"/>
                <w:color w:val="0D0D0D"/>
                <w:highlight w:val="none"/>
              </w:rPr>
              <w:t>元</w:t>
            </w:r>
            <w:r>
              <w:rPr>
                <w:rFonts w:hint="eastAsia" w:ascii="宋体" w:hAnsi="宋体" w:cs="宋体"/>
                <w:highlight w:val="none"/>
              </w:rPr>
              <w:t>计取。</w:t>
            </w:r>
          </w:p>
        </w:tc>
      </w:tr>
      <w:tr w14:paraId="11AFC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8BFF68D">
            <w:pPr>
              <w:snapToGrid w:val="0"/>
              <w:spacing w:line="480" w:lineRule="exact"/>
              <w:jc w:val="center"/>
              <w:rPr>
                <w:rFonts w:ascii="宋体" w:hAnsi="宋体" w:cs="宋体"/>
                <w:color w:val="000000"/>
                <w:sz w:val="24"/>
              </w:rPr>
            </w:pPr>
            <w:r>
              <w:rPr>
                <w:rFonts w:hint="eastAsia" w:ascii="宋体" w:hAnsi="宋体" w:cs="宋体"/>
                <w:color w:val="000000"/>
                <w:sz w:val="24"/>
              </w:rPr>
              <w:t>14</w:t>
            </w:r>
          </w:p>
        </w:tc>
        <w:tc>
          <w:tcPr>
            <w:tcW w:w="4542" w:type="pct"/>
            <w:tcBorders>
              <w:top w:val="single" w:color="auto" w:sz="4" w:space="0"/>
              <w:left w:val="single" w:color="auto" w:sz="4" w:space="0"/>
              <w:bottom w:val="single" w:color="auto" w:sz="4" w:space="0"/>
              <w:right w:val="single" w:color="auto" w:sz="4" w:space="0"/>
            </w:tcBorders>
            <w:vAlign w:val="center"/>
          </w:tcPr>
          <w:p w14:paraId="4F5F92B0">
            <w:pPr>
              <w:pStyle w:val="281"/>
              <w:spacing w:line="450" w:lineRule="exact"/>
              <w:rPr>
                <w:rFonts w:ascii="宋体" w:hAnsi="宋体" w:eastAsia="宋体" w:cs="宋体"/>
                <w:sz w:val="24"/>
              </w:rPr>
            </w:pPr>
            <w:r>
              <w:rPr>
                <w:rFonts w:hint="eastAsia" w:ascii="宋体" w:hAnsi="宋体" w:eastAsia="宋体" w:cs="宋体"/>
                <w:sz w:val="24"/>
                <w:szCs w:val="24"/>
              </w:rPr>
              <w:t>付款方式：详见采购需求。</w:t>
            </w:r>
          </w:p>
        </w:tc>
      </w:tr>
      <w:tr w14:paraId="360E9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7979283">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4542" w:type="pct"/>
            <w:tcBorders>
              <w:top w:val="single" w:color="auto" w:sz="4" w:space="0"/>
              <w:left w:val="single" w:color="auto" w:sz="4" w:space="0"/>
              <w:bottom w:val="single" w:color="auto" w:sz="4" w:space="0"/>
              <w:right w:val="single" w:color="auto" w:sz="4" w:space="0"/>
            </w:tcBorders>
            <w:vAlign w:val="center"/>
          </w:tcPr>
          <w:p w14:paraId="3A751BC5">
            <w:pPr>
              <w:snapToGrid w:val="0"/>
              <w:spacing w:line="400" w:lineRule="exact"/>
              <w:rPr>
                <w:rFonts w:ascii="宋体" w:hAnsi="宋体" w:cs="宋体"/>
                <w:sz w:val="24"/>
              </w:rPr>
            </w:pPr>
            <w:r>
              <w:rPr>
                <w:rFonts w:hint="eastAsia" w:hAnsi="宋体"/>
                <w:sz w:val="24"/>
              </w:rPr>
              <w:t>磋商响应</w:t>
            </w:r>
            <w:r>
              <w:rPr>
                <w:rFonts w:hint="eastAsia" w:ascii="宋体" w:hAnsi="宋体" w:cs="宋体"/>
                <w:sz w:val="24"/>
              </w:rPr>
              <w:t>文件有效期：60天。</w:t>
            </w:r>
          </w:p>
        </w:tc>
      </w:tr>
      <w:tr w14:paraId="7BEA7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9A558C3">
            <w:pPr>
              <w:snapToGrid w:val="0"/>
              <w:spacing w:line="400" w:lineRule="exact"/>
              <w:jc w:val="center"/>
              <w:rPr>
                <w:rFonts w:ascii="宋体" w:hAnsi="宋体" w:cs="宋体"/>
                <w:sz w:val="24"/>
              </w:rPr>
            </w:pPr>
            <w:r>
              <w:rPr>
                <w:rFonts w:hint="eastAsia" w:ascii="宋体" w:hAnsi="宋体" w:cs="宋体"/>
                <w:sz w:val="24"/>
              </w:rPr>
              <w:t>16</w:t>
            </w:r>
          </w:p>
        </w:tc>
        <w:tc>
          <w:tcPr>
            <w:tcW w:w="4542" w:type="pct"/>
            <w:tcBorders>
              <w:top w:val="single" w:color="auto" w:sz="4" w:space="0"/>
              <w:left w:val="single" w:color="auto" w:sz="4" w:space="0"/>
              <w:bottom w:val="single" w:color="auto" w:sz="4" w:space="0"/>
              <w:right w:val="single" w:color="auto" w:sz="4" w:space="0"/>
            </w:tcBorders>
            <w:vAlign w:val="center"/>
          </w:tcPr>
          <w:p w14:paraId="62642DAE">
            <w:pPr>
              <w:snapToGrid w:val="0"/>
              <w:spacing w:line="400" w:lineRule="exact"/>
              <w:rPr>
                <w:rFonts w:ascii="宋体" w:hAnsi="宋体" w:cs="宋体"/>
                <w:sz w:val="24"/>
              </w:rPr>
            </w:pPr>
            <w:r>
              <w:rPr>
                <w:rFonts w:hint="eastAsia" w:ascii="宋体" w:hAnsi="宋体" w:cs="宋体"/>
                <w:sz w:val="24"/>
              </w:rPr>
              <w:t>解释：本竞争性磋商文件的解释权归</w:t>
            </w:r>
            <w:r>
              <w:rPr>
                <w:rFonts w:hint="eastAsia" w:ascii="宋体" w:hAnsi="宋体" w:cs="宋体"/>
                <w:bCs/>
                <w:sz w:val="24"/>
              </w:rPr>
              <w:t>磋商</w:t>
            </w:r>
            <w:r>
              <w:rPr>
                <w:rFonts w:hint="eastAsia" w:ascii="宋体" w:hAnsi="宋体" w:cs="宋体"/>
                <w:sz w:val="24"/>
              </w:rPr>
              <w:t>采购单位。采购代理机构对磋商响应方的落选不作任何解释。</w:t>
            </w:r>
          </w:p>
        </w:tc>
      </w:tr>
    </w:tbl>
    <w:p w14:paraId="647E6673">
      <w:pPr>
        <w:snapToGrid w:val="0"/>
        <w:spacing w:line="360" w:lineRule="auto"/>
        <w:jc w:val="center"/>
        <w:rPr>
          <w:rFonts w:ascii="宋体" w:hAnsi="宋体" w:cs="宋体"/>
          <w:b/>
          <w:kern w:val="44"/>
          <w:sz w:val="32"/>
          <w:szCs w:val="32"/>
        </w:rPr>
      </w:pPr>
      <w:r>
        <w:rPr>
          <w:rFonts w:hint="eastAsia" w:ascii="宋体" w:hAnsi="宋体" w:cs="宋体"/>
          <w:b/>
          <w:kern w:val="44"/>
          <w:sz w:val="32"/>
          <w:szCs w:val="32"/>
        </w:rPr>
        <w:t>一、总则</w:t>
      </w:r>
      <w:bookmarkStart w:id="4" w:name="_Toc20381"/>
    </w:p>
    <w:p w14:paraId="0B6C5A4A">
      <w:pPr>
        <w:spacing w:line="360" w:lineRule="auto"/>
        <w:rPr>
          <w:rFonts w:ascii="宋体" w:hAnsi="宋体" w:cs="宋体"/>
          <w:b/>
          <w:kern w:val="0"/>
          <w:sz w:val="24"/>
        </w:rPr>
      </w:pPr>
      <w:r>
        <w:rPr>
          <w:rFonts w:hint="eastAsia" w:ascii="宋体" w:hAnsi="宋体" w:cs="宋体"/>
          <w:b/>
          <w:sz w:val="24"/>
        </w:rPr>
        <w:t>（一）磋商文件的适用范围</w:t>
      </w:r>
    </w:p>
    <w:bookmarkEnd w:id="4"/>
    <w:p w14:paraId="55B9547F">
      <w:pPr>
        <w:spacing w:line="360" w:lineRule="auto"/>
        <w:ind w:firstLine="480"/>
        <w:jc w:val="left"/>
        <w:rPr>
          <w:rFonts w:ascii="宋体" w:hAnsi="宋体" w:cs="宋体"/>
          <w:color w:val="000000"/>
          <w:sz w:val="24"/>
        </w:rPr>
      </w:pPr>
      <w:r>
        <w:rPr>
          <w:rFonts w:hint="eastAsia" w:ascii="宋体" w:hAnsi="宋体" w:cs="宋体"/>
          <w:color w:val="000000"/>
          <w:sz w:val="24"/>
        </w:rPr>
        <w:t>本磋商文件仅适用于本次</w:t>
      </w:r>
      <w:r>
        <w:rPr>
          <w:rFonts w:hint="eastAsia" w:ascii="宋体" w:hAnsi="宋体" w:cs="宋体"/>
          <w:color w:val="0D0D0D"/>
          <w:sz w:val="24"/>
          <w:u w:val="single"/>
        </w:rPr>
        <w:t>“新鲜水果进校园，助力学生健康成长”服务采购项目</w:t>
      </w:r>
      <w:r>
        <w:rPr>
          <w:rFonts w:hint="eastAsia" w:ascii="宋体" w:hAnsi="宋体" w:cs="宋体"/>
          <w:color w:val="000000"/>
          <w:sz w:val="24"/>
        </w:rPr>
        <w:t>的</w:t>
      </w:r>
      <w:r>
        <w:rPr>
          <w:rFonts w:hint="eastAsia" w:ascii="宋体" w:hAnsi="宋体" w:cs="宋体"/>
          <w:bCs/>
          <w:sz w:val="24"/>
        </w:rPr>
        <w:t>磋商</w:t>
      </w:r>
      <w:r>
        <w:rPr>
          <w:rFonts w:hint="eastAsia" w:ascii="宋体" w:hAnsi="宋体" w:cs="宋体"/>
          <w:color w:val="000000"/>
          <w:sz w:val="24"/>
        </w:rPr>
        <w:t>采购。</w:t>
      </w:r>
    </w:p>
    <w:p w14:paraId="710FB9A1">
      <w:pPr>
        <w:spacing w:line="360" w:lineRule="auto"/>
        <w:jc w:val="left"/>
        <w:rPr>
          <w:rFonts w:ascii="宋体" w:hAnsi="宋体" w:cs="宋体"/>
          <w:b/>
          <w:bCs/>
          <w:color w:val="000000"/>
          <w:sz w:val="24"/>
        </w:rPr>
      </w:pPr>
      <w:r>
        <w:rPr>
          <w:rFonts w:hint="eastAsia" w:ascii="宋体" w:hAnsi="宋体" w:cs="宋体"/>
          <w:b/>
          <w:sz w:val="24"/>
        </w:rPr>
        <w:t>（二）</w:t>
      </w:r>
      <w:r>
        <w:rPr>
          <w:rFonts w:hint="eastAsia" w:ascii="宋体" w:hAnsi="宋体" w:cs="宋体"/>
          <w:b/>
          <w:bCs/>
          <w:color w:val="000000"/>
          <w:sz w:val="24"/>
        </w:rPr>
        <w:t>定义</w:t>
      </w:r>
    </w:p>
    <w:p w14:paraId="69D96C57">
      <w:pPr>
        <w:snapToGrid w:val="0"/>
        <w:spacing w:line="360" w:lineRule="auto"/>
        <w:ind w:firstLine="480" w:firstLineChars="200"/>
        <w:jc w:val="left"/>
        <w:rPr>
          <w:rFonts w:ascii="宋体" w:hAnsi="宋体" w:cs="宋体"/>
          <w:sz w:val="24"/>
        </w:rPr>
      </w:pPr>
      <w:r>
        <w:rPr>
          <w:rFonts w:hint="eastAsia" w:ascii="宋体" w:hAnsi="宋体" w:cs="宋体"/>
          <w:sz w:val="24"/>
        </w:rPr>
        <w:t>1、“采购人”系指本项目采购单位</w:t>
      </w:r>
      <w:r>
        <w:rPr>
          <w:rFonts w:hint="eastAsia" w:ascii="宋体" w:hAnsi="宋体" w:cs="宋体"/>
          <w:color w:val="000000"/>
          <w:sz w:val="24"/>
          <w:u w:val="single"/>
          <w:lang w:eastAsia="zh-CN"/>
        </w:rPr>
        <w:t>浙江省东阳市巍山高级中学</w:t>
      </w:r>
      <w:r>
        <w:rPr>
          <w:rFonts w:hint="eastAsia" w:ascii="宋体" w:hAnsi="宋体" w:cs="宋体"/>
          <w:sz w:val="24"/>
        </w:rPr>
        <w:t>。</w:t>
      </w:r>
    </w:p>
    <w:p w14:paraId="549E1882">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hAnsi="宋体"/>
          <w:sz w:val="24"/>
        </w:rPr>
        <w:t>磋商响应</w:t>
      </w:r>
      <w:r>
        <w:rPr>
          <w:rFonts w:hint="eastAsia" w:ascii="宋体" w:hAnsi="宋体" w:cs="宋体"/>
          <w:sz w:val="24"/>
        </w:rPr>
        <w:t>方”系指向</w:t>
      </w:r>
      <w:r>
        <w:rPr>
          <w:rFonts w:hint="eastAsia" w:ascii="宋体" w:hAnsi="宋体" w:cs="宋体"/>
          <w:bCs/>
          <w:sz w:val="24"/>
        </w:rPr>
        <w:t>磋商</w:t>
      </w:r>
      <w:r>
        <w:rPr>
          <w:rFonts w:hint="eastAsia" w:ascii="宋体" w:hAnsi="宋体" w:cs="宋体"/>
          <w:sz w:val="24"/>
        </w:rPr>
        <w:t>方提交</w:t>
      </w:r>
      <w:r>
        <w:rPr>
          <w:rFonts w:hint="eastAsia" w:hAnsi="宋体"/>
          <w:sz w:val="24"/>
        </w:rPr>
        <w:t>磋商响应</w:t>
      </w:r>
      <w:r>
        <w:rPr>
          <w:rFonts w:hint="eastAsia" w:ascii="宋体" w:hAnsi="宋体" w:cs="宋体"/>
          <w:sz w:val="24"/>
        </w:rPr>
        <w:t>文件的</w:t>
      </w:r>
      <w:r>
        <w:rPr>
          <w:rFonts w:hint="eastAsia" w:ascii="宋体" w:hAnsi="宋体" w:cs="宋体"/>
          <w:color w:val="000000"/>
          <w:sz w:val="24"/>
        </w:rPr>
        <w:t>供应商</w:t>
      </w:r>
      <w:r>
        <w:rPr>
          <w:rFonts w:hint="eastAsia" w:ascii="宋体" w:hAnsi="宋体" w:cs="宋体"/>
          <w:sz w:val="24"/>
        </w:rPr>
        <w:t>。</w:t>
      </w:r>
    </w:p>
    <w:p w14:paraId="4AEBFFEE">
      <w:pPr>
        <w:snapToGrid w:val="0"/>
        <w:spacing w:line="360" w:lineRule="auto"/>
        <w:ind w:firstLine="480" w:firstLineChars="200"/>
        <w:jc w:val="left"/>
        <w:rPr>
          <w:rFonts w:ascii="宋体" w:hAnsi="宋体" w:cs="宋体"/>
          <w:sz w:val="24"/>
        </w:rPr>
      </w:pPr>
      <w:r>
        <w:rPr>
          <w:rFonts w:hint="eastAsia" w:ascii="宋体" w:hAnsi="宋体" w:cs="宋体"/>
          <w:sz w:val="24"/>
        </w:rPr>
        <w:t>3、“采购代理机构”系指</w:t>
      </w:r>
      <w:r>
        <w:rPr>
          <w:rFonts w:hint="eastAsia" w:ascii="宋体" w:hAnsi="宋体" w:cs="宋体"/>
          <w:sz w:val="24"/>
          <w:u w:val="single"/>
          <w:lang w:eastAsia="zh-CN"/>
        </w:rPr>
        <w:t>浙江省房地产管理咨询有限公司</w:t>
      </w:r>
      <w:r>
        <w:rPr>
          <w:rFonts w:hint="eastAsia" w:ascii="宋体" w:hAnsi="宋体" w:cs="宋体"/>
          <w:sz w:val="24"/>
        </w:rPr>
        <w:t>。</w:t>
      </w:r>
    </w:p>
    <w:p w14:paraId="7C92E672">
      <w:pPr>
        <w:snapToGrid w:val="0"/>
        <w:spacing w:line="360" w:lineRule="auto"/>
        <w:ind w:firstLine="480" w:firstLineChars="200"/>
        <w:jc w:val="left"/>
        <w:rPr>
          <w:rFonts w:ascii="宋体" w:hAnsi="宋体" w:cs="宋体"/>
          <w:sz w:val="24"/>
        </w:rPr>
      </w:pPr>
      <w:r>
        <w:rPr>
          <w:rFonts w:hint="eastAsia" w:ascii="宋体" w:hAnsi="宋体" w:cs="宋体"/>
          <w:sz w:val="24"/>
        </w:rPr>
        <w:t>4、“产品”系指响应方按磋商文件规定，须向采购人提供的一切设备、保险、税金、备品备件、工具、手册及其它有关技术资料和材料。</w:t>
      </w:r>
    </w:p>
    <w:p w14:paraId="148ADDFA">
      <w:pPr>
        <w:snapToGrid w:val="0"/>
        <w:spacing w:line="360" w:lineRule="auto"/>
        <w:ind w:firstLine="480" w:firstLineChars="200"/>
        <w:jc w:val="left"/>
        <w:rPr>
          <w:rFonts w:ascii="宋体" w:hAnsi="宋体" w:cs="宋体"/>
          <w:color w:val="000000"/>
          <w:sz w:val="24"/>
        </w:rPr>
      </w:pPr>
      <w:r>
        <w:rPr>
          <w:rFonts w:hint="eastAsia" w:ascii="宋体" w:hAnsi="宋体" w:cs="宋体"/>
          <w:sz w:val="24"/>
        </w:rPr>
        <w:t>5、“服务”系指</w:t>
      </w:r>
      <w:r>
        <w:rPr>
          <w:rFonts w:hint="eastAsia" w:ascii="宋体" w:hAnsi="宋体" w:cs="宋体"/>
          <w:bCs/>
          <w:sz w:val="24"/>
        </w:rPr>
        <w:t>磋商</w:t>
      </w:r>
      <w:r>
        <w:rPr>
          <w:rFonts w:hint="eastAsia" w:ascii="宋体" w:hAnsi="宋体" w:cs="宋体"/>
          <w:sz w:val="24"/>
        </w:rPr>
        <w:t>文件规定</w:t>
      </w:r>
      <w:r>
        <w:rPr>
          <w:rFonts w:hint="eastAsia" w:hAnsi="宋体"/>
          <w:sz w:val="24"/>
        </w:rPr>
        <w:t>磋商响应</w:t>
      </w:r>
      <w:r>
        <w:rPr>
          <w:rFonts w:hint="eastAsia" w:ascii="宋体" w:hAnsi="宋体" w:cs="宋体"/>
          <w:sz w:val="24"/>
        </w:rPr>
        <w:t>人须承担的</w:t>
      </w:r>
      <w:r>
        <w:rPr>
          <w:rFonts w:hint="eastAsia" w:ascii="宋体" w:hAnsi="宋体" w:cs="宋体"/>
          <w:color w:val="0D0D0D"/>
          <w:sz w:val="24"/>
        </w:rPr>
        <w:t>安装、调试、技术协助、培训、</w:t>
      </w:r>
      <w:r>
        <w:rPr>
          <w:rFonts w:hint="eastAsia" w:ascii="宋体" w:hAnsi="宋体" w:cs="宋体"/>
          <w:color w:val="000000"/>
          <w:sz w:val="24"/>
        </w:rPr>
        <w:t>技术指导以及其他类似的附随义务。</w:t>
      </w:r>
    </w:p>
    <w:p w14:paraId="6049820E">
      <w:pPr>
        <w:snapToGrid w:val="0"/>
        <w:spacing w:line="360" w:lineRule="auto"/>
        <w:ind w:firstLine="480" w:firstLineChars="200"/>
        <w:jc w:val="left"/>
        <w:rPr>
          <w:rFonts w:ascii="宋体" w:hAnsi="宋体" w:cs="宋体"/>
          <w:sz w:val="24"/>
        </w:rPr>
      </w:pPr>
      <w:r>
        <w:rPr>
          <w:rFonts w:hint="eastAsia" w:ascii="宋体" w:hAnsi="宋体" w:cs="宋体"/>
          <w:sz w:val="24"/>
        </w:rPr>
        <w:t>6、“项目”系指响应方按磋商文件规定向采购人提供的产品成果和项目服务。</w:t>
      </w:r>
    </w:p>
    <w:p w14:paraId="24D376A8">
      <w:pPr>
        <w:snapToGrid w:val="0"/>
        <w:spacing w:line="360" w:lineRule="auto"/>
        <w:ind w:firstLine="480" w:firstLineChars="200"/>
        <w:jc w:val="left"/>
        <w:rPr>
          <w:rFonts w:ascii="宋体" w:hAnsi="宋体" w:cs="宋体"/>
          <w:sz w:val="24"/>
        </w:rPr>
      </w:pPr>
      <w:r>
        <w:rPr>
          <w:rFonts w:hint="eastAsia" w:ascii="宋体" w:hAnsi="宋体" w:cs="宋体"/>
          <w:sz w:val="24"/>
        </w:rPr>
        <w:t>7、“书面形式”包括信函、传真、电报等。</w:t>
      </w:r>
    </w:p>
    <w:p w14:paraId="0A0CD92E">
      <w:pPr>
        <w:snapToGrid w:val="0"/>
        <w:spacing w:line="360" w:lineRule="auto"/>
        <w:ind w:firstLine="480" w:firstLineChars="200"/>
        <w:jc w:val="left"/>
        <w:rPr>
          <w:rFonts w:ascii="宋体" w:hAnsi="宋体" w:cs="宋体"/>
          <w:sz w:val="24"/>
        </w:rPr>
      </w:pPr>
      <w:r>
        <w:rPr>
          <w:rFonts w:hint="eastAsia" w:ascii="宋体" w:hAnsi="宋体" w:cs="宋体"/>
          <w:sz w:val="24"/>
        </w:rPr>
        <w:t>8、“▲”系指实质性要求条款。</w:t>
      </w:r>
    </w:p>
    <w:p w14:paraId="04DFA92A">
      <w:pPr>
        <w:snapToGrid w:val="0"/>
        <w:spacing w:line="360" w:lineRule="auto"/>
        <w:jc w:val="left"/>
        <w:rPr>
          <w:rFonts w:ascii="宋体" w:hAnsi="宋体" w:cs="宋体"/>
          <w:b/>
          <w:sz w:val="24"/>
        </w:rPr>
      </w:pPr>
      <w:r>
        <w:rPr>
          <w:rFonts w:hint="eastAsia" w:ascii="宋体" w:hAnsi="宋体" w:cs="宋体"/>
          <w:b/>
          <w:sz w:val="24"/>
        </w:rPr>
        <w:t>（三）合格的磋商响应人</w:t>
      </w:r>
    </w:p>
    <w:p w14:paraId="0AADF695">
      <w:pPr>
        <w:spacing w:line="360" w:lineRule="auto"/>
        <w:ind w:firstLine="480" w:firstLineChars="200"/>
        <w:rPr>
          <w:rFonts w:ascii="宋体" w:hAnsi="宋体" w:cs="宋体"/>
          <w:sz w:val="24"/>
        </w:rPr>
      </w:pPr>
      <w:r>
        <w:rPr>
          <w:rFonts w:hint="eastAsia" w:ascii="宋体" w:hAnsi="宋体" w:cs="宋体"/>
          <w:sz w:val="24"/>
        </w:rPr>
        <w:t>1、符合《中华人民共和国政府采购法》第二十二条规定的供应商资格条件；</w:t>
      </w:r>
    </w:p>
    <w:p w14:paraId="733357C1">
      <w:pPr>
        <w:spacing w:line="360" w:lineRule="auto"/>
        <w:ind w:firstLine="480" w:firstLineChars="200"/>
        <w:rPr>
          <w:rFonts w:ascii="宋体" w:hAnsi="宋体" w:cs="宋体"/>
          <w:sz w:val="24"/>
        </w:rPr>
      </w:pPr>
      <w:r>
        <w:rPr>
          <w:rFonts w:hint="eastAsia" w:ascii="宋体" w:hAnsi="宋体" w:cs="宋体"/>
          <w:sz w:val="24"/>
        </w:rPr>
        <w:t>2、本项目仅面向中小型及以下企业可参加磋商。</w:t>
      </w:r>
    </w:p>
    <w:p w14:paraId="33F5C81D">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3、本项目不接受联合体</w:t>
      </w:r>
      <w:r>
        <w:rPr>
          <w:rFonts w:hint="eastAsia" w:hAnsi="宋体"/>
          <w:sz w:val="24"/>
        </w:rPr>
        <w:t>磋商</w:t>
      </w:r>
      <w:r>
        <w:rPr>
          <w:rFonts w:hint="eastAsia" w:ascii="宋体" w:hAnsi="宋体" w:cs="宋体"/>
          <w:sz w:val="24"/>
          <w:shd w:val="clear" w:color="auto" w:fill="FFFFFF"/>
        </w:rPr>
        <w:t>；</w:t>
      </w:r>
    </w:p>
    <w:p w14:paraId="277A045F">
      <w:pPr>
        <w:snapToGrid w:val="0"/>
        <w:spacing w:line="360" w:lineRule="auto"/>
        <w:ind w:firstLine="480" w:firstLineChars="200"/>
        <w:rPr>
          <w:rFonts w:ascii="宋体" w:hAnsi="宋体" w:cs="宋体"/>
          <w:b/>
          <w:bCs/>
          <w:sz w:val="24"/>
        </w:rPr>
      </w:pPr>
      <w:r>
        <w:rPr>
          <w:rFonts w:hint="eastAsia" w:ascii="宋体" w:hAnsi="宋体" w:cs="宋体"/>
          <w:kern w:val="0"/>
          <w:sz w:val="24"/>
        </w:rPr>
        <w:t>4、</w:t>
      </w:r>
      <w:r>
        <w:rPr>
          <w:rFonts w:hint="eastAsia" w:ascii="宋体" w:hAnsi="宋体" w:cs="宋体"/>
          <w:sz w:val="24"/>
        </w:rPr>
        <w:t>供应商未被列入失信被执行人名单、重大税收违法案件当事人名单、政府采购严重违法失信行为记录名单，信用信息以磋商响应截止日信用中国网站（https://www.creditchina.gov.cn/）中国政府采购网（http://www.ccgp.gov.cn/）公布为准。</w:t>
      </w:r>
    </w:p>
    <w:p w14:paraId="08D03A0E">
      <w:pPr>
        <w:spacing w:line="360" w:lineRule="auto"/>
        <w:rPr>
          <w:rFonts w:ascii="宋体" w:hAnsi="宋体" w:cs="宋体"/>
          <w:b/>
          <w:sz w:val="24"/>
        </w:rPr>
      </w:pPr>
      <w:r>
        <w:rPr>
          <w:rFonts w:hint="eastAsia" w:ascii="宋体" w:hAnsi="宋体" w:cs="宋体"/>
          <w:b/>
          <w:sz w:val="24"/>
        </w:rPr>
        <w:t>（四）磋商费用</w:t>
      </w:r>
    </w:p>
    <w:p w14:paraId="37667167">
      <w:pPr>
        <w:spacing w:line="360" w:lineRule="auto"/>
        <w:ind w:firstLine="480" w:firstLineChars="200"/>
        <w:rPr>
          <w:rFonts w:ascii="宋体" w:hAnsi="宋体" w:cs="宋体"/>
          <w:color w:val="0D0D0D"/>
          <w:sz w:val="24"/>
        </w:rPr>
      </w:pPr>
      <w:r>
        <w:rPr>
          <w:rFonts w:hint="eastAsia" w:ascii="宋体" w:hAnsi="宋体" w:cs="宋体"/>
          <w:color w:val="0D0D0D"/>
          <w:sz w:val="24"/>
        </w:rPr>
        <w:t>1、无论</w:t>
      </w:r>
      <w:r>
        <w:rPr>
          <w:rFonts w:hint="eastAsia" w:hAnsi="宋体"/>
          <w:sz w:val="24"/>
        </w:rPr>
        <w:t>磋商</w:t>
      </w:r>
      <w:r>
        <w:rPr>
          <w:rFonts w:hint="eastAsia" w:ascii="宋体" w:hAnsi="宋体" w:cs="宋体"/>
          <w:color w:val="0D0D0D"/>
          <w:sz w:val="24"/>
        </w:rPr>
        <w:t>过程和结果如何，</w:t>
      </w:r>
      <w:r>
        <w:rPr>
          <w:rFonts w:hint="eastAsia" w:hAnsi="宋体"/>
          <w:sz w:val="24"/>
        </w:rPr>
        <w:t>磋商响应</w:t>
      </w:r>
      <w:r>
        <w:rPr>
          <w:rFonts w:hint="eastAsia" w:ascii="宋体" w:hAnsi="宋体" w:cs="宋体"/>
          <w:sz w:val="24"/>
        </w:rPr>
        <w:t>人均应自行承担与本次</w:t>
      </w:r>
      <w:r>
        <w:rPr>
          <w:rFonts w:hint="eastAsia" w:hAnsi="宋体"/>
          <w:sz w:val="24"/>
        </w:rPr>
        <w:t>磋商</w:t>
      </w:r>
      <w:r>
        <w:rPr>
          <w:rFonts w:hint="eastAsia" w:ascii="宋体" w:hAnsi="宋体" w:cs="宋体"/>
          <w:sz w:val="24"/>
        </w:rPr>
        <w:t>有关的全部费用</w:t>
      </w:r>
      <w:r>
        <w:rPr>
          <w:rFonts w:hint="eastAsia" w:ascii="宋体" w:hAnsi="宋体" w:cs="宋体"/>
          <w:color w:val="0D0D0D"/>
          <w:sz w:val="24"/>
        </w:rPr>
        <w:t>。</w:t>
      </w:r>
    </w:p>
    <w:p w14:paraId="490F83F7">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sz w:val="24"/>
          <w:highlight w:val="none"/>
        </w:rPr>
        <w:t>中标人须在领取中标通知书前向</w:t>
      </w:r>
      <w:r>
        <w:rPr>
          <w:rFonts w:hint="eastAsia" w:ascii="宋体" w:hAnsi="宋体" w:cs="宋体"/>
          <w:bCs/>
          <w:sz w:val="24"/>
          <w:highlight w:val="none"/>
        </w:rPr>
        <w:t>磋商</w:t>
      </w:r>
      <w:r>
        <w:rPr>
          <w:rFonts w:hint="eastAsia" w:ascii="宋体" w:hAnsi="宋体"/>
          <w:sz w:val="24"/>
          <w:highlight w:val="none"/>
        </w:rPr>
        <w:t>代理机构交纳中标服务费，本项目</w:t>
      </w:r>
      <w:r>
        <w:rPr>
          <w:rFonts w:hint="eastAsia" w:ascii="宋体" w:hAnsi="宋体" w:cs="宋体"/>
          <w:sz w:val="24"/>
          <w:highlight w:val="none"/>
        </w:rPr>
        <w:t>服务费按</w:t>
      </w:r>
      <w:r>
        <w:rPr>
          <w:rFonts w:hint="eastAsia" w:ascii="宋体" w:hAnsi="宋体" w:cs="宋体"/>
          <w:sz w:val="24"/>
          <w:highlight w:val="none"/>
          <w:u w:val="single"/>
          <w:lang w:eastAsia="zh-CN"/>
        </w:rPr>
        <w:t>4000</w:t>
      </w:r>
      <w:r>
        <w:rPr>
          <w:rFonts w:hint="eastAsia" w:ascii="宋体" w:hAnsi="宋体" w:cs="宋体"/>
          <w:sz w:val="24"/>
          <w:highlight w:val="none"/>
        </w:rPr>
        <w:t>元收取。</w:t>
      </w:r>
    </w:p>
    <w:p w14:paraId="790E973B">
      <w:pPr>
        <w:pStyle w:val="16"/>
        <w:spacing w:after="0"/>
        <w:ind w:firstLine="0" w:firstLineChars="0"/>
        <w:rPr>
          <w:rFonts w:ascii="宋体" w:hAnsi="宋体" w:cs="宋体"/>
          <w:b/>
          <w:szCs w:val="24"/>
        </w:rPr>
      </w:pPr>
      <w:r>
        <w:rPr>
          <w:rFonts w:hint="eastAsia" w:ascii="宋体" w:hAnsi="宋体" w:cs="宋体"/>
          <w:b/>
          <w:szCs w:val="24"/>
        </w:rPr>
        <w:t>（五）</w:t>
      </w:r>
      <w:r>
        <w:rPr>
          <w:rFonts w:hint="eastAsia" w:ascii="宋体" w:hAnsi="宋体" w:cs="宋体"/>
          <w:b/>
        </w:rPr>
        <w:t>磋商</w:t>
      </w:r>
      <w:r>
        <w:rPr>
          <w:rFonts w:hint="eastAsia" w:ascii="宋体" w:hAnsi="宋体" w:cs="宋体"/>
          <w:b/>
          <w:szCs w:val="24"/>
        </w:rPr>
        <w:t>报价</w:t>
      </w:r>
    </w:p>
    <w:p w14:paraId="713F0EF1">
      <w:pPr>
        <w:spacing w:line="360" w:lineRule="auto"/>
        <w:ind w:firstLine="480" w:firstLineChars="200"/>
        <w:rPr>
          <w:rFonts w:ascii="宋体" w:hAnsi="宋体" w:cs="宋体"/>
          <w:sz w:val="24"/>
        </w:rPr>
      </w:pPr>
      <w:r>
        <w:rPr>
          <w:rFonts w:hint="eastAsia" w:ascii="宋体" w:hAnsi="宋体" w:cs="宋体"/>
          <w:sz w:val="24"/>
        </w:rPr>
        <w:t>1、磋商报价应以人民币为结算货币。磋商报价为磋商响应方所能承受的最低、最终一次性报价。磋商响应方的报价为整个采购项目的总报价，磋商报价</w:t>
      </w:r>
      <w:r>
        <w:rPr>
          <w:rFonts w:hint="eastAsia" w:ascii="宋体" w:hAnsi="宋体" w:cs="宋体"/>
          <w:bCs/>
          <w:sz w:val="24"/>
        </w:rPr>
        <w:t>包括本次项目实施所需的设备、水果、日常经营、劳务、办公 、通信、劳保、福利、利润、税金、培训、奖罚措施、保险、管理政策性收费</w:t>
      </w:r>
      <w:r>
        <w:rPr>
          <w:rFonts w:hint="eastAsia" w:ascii="宋体" w:hAnsi="宋体" w:cs="宋体"/>
          <w:sz w:val="24"/>
        </w:rPr>
        <w:t>以及为完成本项目</w:t>
      </w:r>
      <w:r>
        <w:rPr>
          <w:rFonts w:hint="eastAsia" w:ascii="宋体" w:hAnsi="宋体" w:cs="宋体"/>
          <w:bCs/>
          <w:sz w:val="24"/>
        </w:rPr>
        <w:t>磋商</w:t>
      </w:r>
      <w:r>
        <w:rPr>
          <w:rFonts w:hint="eastAsia" w:ascii="宋体" w:hAnsi="宋体" w:cs="宋体"/>
          <w:sz w:val="24"/>
        </w:rPr>
        <w:t>文件规定的所有工作所涉及到的一切相关费用。如有漏项，视同已包含在其总项目中，合同总价不做调整。磋商中标单位应当向采购人开具正式发票，税费由磋商中标单位承担。</w:t>
      </w:r>
    </w:p>
    <w:p w14:paraId="64028AC7">
      <w:pPr>
        <w:snapToGrid w:val="0"/>
        <w:spacing w:line="360" w:lineRule="auto"/>
        <w:ind w:firstLine="480" w:firstLineChars="200"/>
        <w:jc w:val="left"/>
        <w:rPr>
          <w:rFonts w:ascii="宋体" w:hAnsi="宋体" w:cs="宋体"/>
          <w:sz w:val="24"/>
        </w:rPr>
      </w:pPr>
      <w:r>
        <w:rPr>
          <w:rFonts w:hint="eastAsia" w:ascii="宋体" w:hAnsi="宋体" w:cs="宋体"/>
          <w:sz w:val="24"/>
        </w:rPr>
        <w:t>2、磋商响应方应按采购文件的《报价表》格式报价。如果大写与小写有出入，以大写为准。</w:t>
      </w:r>
    </w:p>
    <w:p w14:paraId="08DCC9C4">
      <w:pPr>
        <w:pStyle w:val="28"/>
        <w:widowControl/>
        <w:spacing w:beforeLines="0" w:afterLines="0" w:line="360" w:lineRule="auto"/>
        <w:textAlignment w:val="baseline"/>
        <w:rPr>
          <w:rFonts w:hAnsi="宋体" w:cs="宋体"/>
          <w:b/>
          <w:bCs/>
          <w:color w:val="000000"/>
        </w:rPr>
      </w:pPr>
      <w:r>
        <w:rPr>
          <w:rFonts w:hint="eastAsia" w:hAnsi="宋体" w:cs="宋体"/>
          <w:b/>
          <w:bCs/>
          <w:color w:val="000000"/>
          <w:lang w:eastAsia="zh-CN"/>
        </w:rPr>
        <w:t>（六）磋商</w:t>
      </w:r>
      <w:r>
        <w:rPr>
          <w:rFonts w:hint="eastAsia" w:hAnsi="宋体" w:cs="宋体"/>
          <w:b/>
          <w:bCs/>
          <w:color w:val="000000"/>
        </w:rPr>
        <w:t>保证金</w:t>
      </w:r>
    </w:p>
    <w:p w14:paraId="380C693E">
      <w:pPr>
        <w:pStyle w:val="28"/>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1、</w:t>
      </w:r>
      <w:r>
        <w:rPr>
          <w:rFonts w:hint="eastAsia" w:hAnsi="宋体" w:cs="宋体"/>
          <w:color w:val="000000"/>
          <w:lang w:eastAsia="zh-CN"/>
        </w:rPr>
        <w:t>磋商</w:t>
      </w:r>
      <w:r>
        <w:rPr>
          <w:rFonts w:hint="eastAsia" w:hAnsi="宋体" w:cs="宋体"/>
          <w:color w:val="000000"/>
        </w:rPr>
        <w:t>保证金为</w:t>
      </w:r>
      <w:r>
        <w:rPr>
          <w:rFonts w:hint="eastAsia" w:hAnsi="宋体" w:cs="宋体"/>
          <w:lang w:eastAsia="zh-CN"/>
        </w:rPr>
        <w:t>磋商</w:t>
      </w:r>
      <w:r>
        <w:rPr>
          <w:rFonts w:hint="eastAsia" w:hAnsi="宋体" w:cs="宋体"/>
          <w:color w:val="000000"/>
        </w:rPr>
        <w:t>响应文件的组成部分之一。</w:t>
      </w:r>
    </w:p>
    <w:p w14:paraId="1A1DBA9D">
      <w:pPr>
        <w:widowControl/>
        <w:spacing w:line="360" w:lineRule="auto"/>
        <w:ind w:firstLine="480" w:firstLineChars="200"/>
        <w:jc w:val="left"/>
        <w:textAlignment w:val="baseline"/>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磋商</w:t>
      </w:r>
      <w:r>
        <w:rPr>
          <w:rFonts w:hint="eastAsia" w:ascii="宋体" w:hAnsi="宋体" w:cs="宋体"/>
          <w:color w:val="000000"/>
          <w:sz w:val="24"/>
          <w:szCs w:val="24"/>
        </w:rPr>
        <w:t>响应方应按竞争性</w:t>
      </w:r>
      <w:r>
        <w:rPr>
          <w:rFonts w:hint="eastAsia" w:ascii="宋体" w:hAnsi="宋体" w:cs="宋体"/>
          <w:color w:val="000000"/>
          <w:sz w:val="24"/>
          <w:szCs w:val="24"/>
          <w:lang w:eastAsia="zh-CN"/>
        </w:rPr>
        <w:t>磋商</w:t>
      </w:r>
      <w:r>
        <w:rPr>
          <w:rFonts w:hint="eastAsia" w:ascii="宋体" w:hAnsi="宋体" w:cs="宋体"/>
          <w:color w:val="000000"/>
          <w:sz w:val="24"/>
          <w:szCs w:val="24"/>
        </w:rPr>
        <w:t>公告第</w:t>
      </w:r>
      <w:r>
        <w:rPr>
          <w:rFonts w:hint="eastAsia" w:ascii="宋体" w:hAnsi="宋体" w:cs="宋体"/>
          <w:color w:val="000000"/>
          <w:sz w:val="24"/>
          <w:szCs w:val="24"/>
          <w:lang w:eastAsia="zh-CN"/>
        </w:rPr>
        <w:t>七</w:t>
      </w:r>
      <w:r>
        <w:rPr>
          <w:rFonts w:hint="eastAsia" w:ascii="宋体" w:hAnsi="宋体" w:cs="宋体"/>
          <w:color w:val="000000"/>
          <w:sz w:val="24"/>
          <w:szCs w:val="24"/>
        </w:rPr>
        <w:t>条规定提交相应的</w:t>
      </w:r>
      <w:r>
        <w:rPr>
          <w:rFonts w:hint="eastAsia" w:ascii="宋体" w:hAnsi="宋体" w:cs="宋体"/>
          <w:color w:val="000000"/>
          <w:sz w:val="24"/>
          <w:szCs w:val="24"/>
          <w:lang w:eastAsia="zh-CN"/>
        </w:rPr>
        <w:t>磋商</w:t>
      </w:r>
      <w:r>
        <w:rPr>
          <w:rFonts w:hint="eastAsia" w:ascii="宋体" w:hAnsi="宋体" w:cs="宋体"/>
          <w:color w:val="000000"/>
          <w:sz w:val="24"/>
          <w:szCs w:val="24"/>
        </w:rPr>
        <w:t>保证金。</w:t>
      </w:r>
    </w:p>
    <w:p w14:paraId="1EC174EE">
      <w:pPr>
        <w:pStyle w:val="28"/>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3、未按规定提交</w:t>
      </w:r>
      <w:r>
        <w:rPr>
          <w:rFonts w:hint="eastAsia" w:hAnsi="宋体" w:cs="宋体"/>
          <w:color w:val="000000"/>
          <w:lang w:eastAsia="zh-CN"/>
        </w:rPr>
        <w:t>磋商</w:t>
      </w:r>
      <w:r>
        <w:rPr>
          <w:rFonts w:hint="eastAsia" w:hAnsi="宋体" w:cs="宋体"/>
          <w:color w:val="000000"/>
        </w:rPr>
        <w:t>保证金的</w:t>
      </w:r>
      <w:r>
        <w:rPr>
          <w:rFonts w:hint="eastAsia" w:hAnsi="宋体" w:cs="宋体"/>
          <w:color w:val="000000"/>
          <w:lang w:eastAsia="zh-CN"/>
        </w:rPr>
        <w:t>磋商</w:t>
      </w:r>
      <w:r>
        <w:rPr>
          <w:rFonts w:hint="eastAsia" w:hAnsi="宋体" w:cs="宋体"/>
          <w:color w:val="000000"/>
        </w:rPr>
        <w:t>响应，视为自动放弃本次竞争性</w:t>
      </w:r>
      <w:r>
        <w:rPr>
          <w:rFonts w:hint="eastAsia" w:hAnsi="宋体" w:cs="宋体"/>
          <w:color w:val="000000"/>
          <w:lang w:eastAsia="zh-CN"/>
        </w:rPr>
        <w:t>磋商</w:t>
      </w:r>
      <w:r>
        <w:rPr>
          <w:rFonts w:hint="eastAsia" w:hAnsi="宋体" w:cs="宋体"/>
          <w:color w:val="000000"/>
        </w:rPr>
        <w:t>谈判。</w:t>
      </w:r>
    </w:p>
    <w:p w14:paraId="07139F77">
      <w:pPr>
        <w:pStyle w:val="28"/>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4、若发现有串标者，将被视为无效</w:t>
      </w:r>
      <w:r>
        <w:rPr>
          <w:rFonts w:hint="eastAsia" w:hAnsi="宋体" w:cs="宋体"/>
          <w:color w:val="000000"/>
          <w:lang w:eastAsia="zh-CN"/>
        </w:rPr>
        <w:t>磋商</w:t>
      </w:r>
      <w:r>
        <w:rPr>
          <w:rFonts w:hint="eastAsia" w:hAnsi="宋体" w:cs="宋体"/>
          <w:color w:val="000000"/>
        </w:rPr>
        <w:t>响应，并将被没收其</w:t>
      </w:r>
      <w:r>
        <w:rPr>
          <w:rFonts w:hint="eastAsia" w:hAnsi="宋体" w:cs="宋体"/>
          <w:color w:val="000000"/>
          <w:lang w:eastAsia="zh-CN"/>
        </w:rPr>
        <w:t>磋商</w:t>
      </w:r>
      <w:r>
        <w:rPr>
          <w:rFonts w:hint="eastAsia" w:hAnsi="宋体" w:cs="宋体"/>
          <w:color w:val="000000"/>
        </w:rPr>
        <w:t>保证金。</w:t>
      </w:r>
    </w:p>
    <w:p w14:paraId="3B2A0AE6">
      <w:pPr>
        <w:pStyle w:val="28"/>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5、未中标</w:t>
      </w:r>
      <w:r>
        <w:rPr>
          <w:rFonts w:hint="eastAsia" w:hAnsi="宋体" w:cs="宋体"/>
          <w:lang w:eastAsia="zh-CN"/>
        </w:rPr>
        <w:t>磋商</w:t>
      </w:r>
      <w:r>
        <w:rPr>
          <w:rFonts w:hint="eastAsia" w:hAnsi="宋体" w:cs="宋体"/>
          <w:color w:val="000000"/>
        </w:rPr>
        <w:t>响应方的</w:t>
      </w:r>
      <w:r>
        <w:rPr>
          <w:rFonts w:hint="eastAsia" w:hAnsi="宋体" w:cs="宋体"/>
          <w:color w:val="000000"/>
          <w:lang w:eastAsia="zh-CN"/>
        </w:rPr>
        <w:t>磋商</w:t>
      </w:r>
      <w:r>
        <w:rPr>
          <w:rFonts w:hint="eastAsia" w:hAnsi="宋体" w:cs="宋体"/>
          <w:color w:val="000000"/>
        </w:rPr>
        <w:t>保证金，在确定中标人后3个工作日内退还（无息）。</w:t>
      </w:r>
    </w:p>
    <w:p w14:paraId="3DD27F0B">
      <w:pPr>
        <w:pStyle w:val="28"/>
        <w:widowControl/>
        <w:spacing w:beforeLines="0" w:afterLines="0" w:line="360" w:lineRule="auto"/>
        <w:ind w:firstLine="480" w:firstLineChars="200"/>
        <w:textAlignment w:val="baseline"/>
        <w:rPr>
          <w:rFonts w:hint="eastAsia" w:hAnsi="宋体" w:cs="宋体"/>
          <w:color w:val="000000"/>
        </w:rPr>
      </w:pPr>
      <w:r>
        <w:rPr>
          <w:rFonts w:hint="eastAsia" w:hAnsi="宋体" w:cs="宋体"/>
          <w:color w:val="000000"/>
        </w:rPr>
        <w:t>6、</w:t>
      </w:r>
      <w:r>
        <w:rPr>
          <w:rFonts w:hint="eastAsia" w:hAnsi="宋体" w:cs="宋体"/>
          <w:lang w:eastAsia="zh-CN"/>
        </w:rPr>
        <w:t>磋商</w:t>
      </w:r>
      <w:r>
        <w:rPr>
          <w:rFonts w:hint="eastAsia" w:hAnsi="宋体" w:cs="宋体"/>
          <w:color w:val="000000"/>
        </w:rPr>
        <w:t>响应文件递交截止日后，</w:t>
      </w:r>
      <w:r>
        <w:rPr>
          <w:rFonts w:hint="eastAsia" w:hAnsi="宋体" w:cs="宋体"/>
          <w:lang w:eastAsia="zh-CN"/>
        </w:rPr>
        <w:t>磋商</w:t>
      </w:r>
      <w:r>
        <w:rPr>
          <w:rFonts w:hint="eastAsia" w:hAnsi="宋体" w:cs="宋体"/>
          <w:color w:val="000000"/>
        </w:rPr>
        <w:t>响应方撤回</w:t>
      </w:r>
      <w:r>
        <w:rPr>
          <w:rFonts w:hint="eastAsia" w:hAnsi="宋体" w:cs="宋体"/>
          <w:lang w:eastAsia="zh-CN"/>
        </w:rPr>
        <w:t>磋商</w:t>
      </w:r>
      <w:r>
        <w:rPr>
          <w:rFonts w:hint="eastAsia" w:hAnsi="宋体" w:cs="宋体"/>
          <w:color w:val="000000"/>
        </w:rPr>
        <w:t>响应文件的，</w:t>
      </w:r>
      <w:r>
        <w:rPr>
          <w:rFonts w:hint="eastAsia" w:hAnsi="宋体" w:cs="宋体"/>
          <w:color w:val="000000"/>
          <w:lang w:eastAsia="zh-CN"/>
        </w:rPr>
        <w:t>磋商</w:t>
      </w:r>
      <w:r>
        <w:rPr>
          <w:rFonts w:hint="eastAsia" w:hAnsi="宋体" w:cs="宋体"/>
          <w:color w:val="000000"/>
        </w:rPr>
        <w:t>保证金不予退还。</w:t>
      </w:r>
    </w:p>
    <w:p w14:paraId="5534B6C8">
      <w:pPr>
        <w:pStyle w:val="28"/>
        <w:widowControl/>
        <w:spacing w:beforeLines="0" w:afterLines="0" w:line="360" w:lineRule="auto"/>
        <w:ind w:firstLine="480" w:firstLineChars="200"/>
        <w:textAlignment w:val="baseline"/>
        <w:rPr>
          <w:rFonts w:hint="eastAsia" w:hAnsi="宋体" w:cs="宋体"/>
          <w:color w:val="000000"/>
          <w:lang w:eastAsia="zh-CN"/>
        </w:rPr>
      </w:pPr>
      <w:r>
        <w:rPr>
          <w:rFonts w:hint="eastAsia" w:hAnsi="宋体" w:cs="宋体"/>
          <w:color w:val="000000"/>
        </w:rPr>
        <w:t>7、中标</w:t>
      </w:r>
      <w:r>
        <w:rPr>
          <w:rFonts w:hint="eastAsia" w:hAnsi="宋体" w:cs="宋体"/>
          <w:lang w:eastAsia="zh-CN"/>
        </w:rPr>
        <w:t>磋商</w:t>
      </w:r>
      <w:r>
        <w:rPr>
          <w:rFonts w:hint="eastAsia" w:hAnsi="宋体" w:cs="宋体"/>
          <w:color w:val="000000"/>
        </w:rPr>
        <w:t>响应方的</w:t>
      </w:r>
      <w:r>
        <w:rPr>
          <w:rFonts w:hint="eastAsia" w:hAnsi="宋体" w:cs="宋体"/>
          <w:color w:val="000000"/>
          <w:lang w:eastAsia="zh-CN"/>
        </w:rPr>
        <w:t>磋商</w:t>
      </w:r>
      <w:r>
        <w:rPr>
          <w:rFonts w:hint="eastAsia" w:hAnsi="宋体" w:cs="宋体"/>
          <w:color w:val="000000"/>
        </w:rPr>
        <w:t>保证金在签订合同后3个工作日内退还（无息）</w:t>
      </w:r>
      <w:r>
        <w:rPr>
          <w:rFonts w:hint="eastAsia" w:hAnsi="宋体" w:cs="宋体"/>
          <w:color w:val="000000"/>
          <w:lang w:eastAsia="zh-CN"/>
        </w:rPr>
        <w:t>。</w:t>
      </w:r>
    </w:p>
    <w:p w14:paraId="793A9A87">
      <w:pPr>
        <w:pStyle w:val="28"/>
        <w:widowControl/>
        <w:spacing w:beforeLines="0" w:afterLines="0" w:line="360" w:lineRule="auto"/>
        <w:textAlignment w:val="baseline"/>
        <w:rPr>
          <w:rFonts w:ascii="宋体" w:hAnsi="宋体" w:cs="宋体"/>
          <w:b/>
          <w:bCs/>
          <w:sz w:val="24"/>
        </w:rPr>
      </w:pPr>
      <w:r>
        <w:rPr>
          <w:rFonts w:hint="eastAsia" w:ascii="宋体" w:hAnsi="宋体" w:cs="宋体"/>
          <w:b/>
          <w:bCs/>
          <w:color w:val="000000"/>
          <w:sz w:val="24"/>
        </w:rPr>
        <w:t>（</w:t>
      </w:r>
      <w:r>
        <w:rPr>
          <w:rFonts w:hint="eastAsia" w:hAnsi="宋体" w:cs="宋体"/>
          <w:b/>
          <w:bCs/>
          <w:color w:val="000000"/>
          <w:sz w:val="24"/>
          <w:lang w:eastAsia="zh-CN"/>
        </w:rPr>
        <w:t>七</w:t>
      </w:r>
      <w:r>
        <w:rPr>
          <w:rFonts w:hint="eastAsia" w:ascii="宋体" w:hAnsi="宋体" w:cs="宋体"/>
          <w:b/>
          <w:bCs/>
          <w:color w:val="000000"/>
          <w:sz w:val="24"/>
        </w:rPr>
        <w:t>）磋商响应</w:t>
      </w:r>
      <w:r>
        <w:rPr>
          <w:rFonts w:hint="eastAsia" w:ascii="宋体" w:hAnsi="宋体" w:cs="宋体"/>
          <w:b/>
          <w:bCs/>
          <w:sz w:val="24"/>
        </w:rPr>
        <w:t>文件的有效期</w:t>
      </w:r>
    </w:p>
    <w:p w14:paraId="0FCEF94A">
      <w:pPr>
        <w:spacing w:line="360" w:lineRule="auto"/>
        <w:ind w:firstLine="480" w:firstLineChars="200"/>
        <w:jc w:val="left"/>
        <w:outlineLvl w:val="2"/>
        <w:rPr>
          <w:rFonts w:ascii="宋体" w:hAnsi="宋体" w:cs="宋体"/>
          <w:sz w:val="24"/>
        </w:rPr>
      </w:pPr>
      <w:r>
        <w:rPr>
          <w:rFonts w:hint="eastAsia" w:ascii="宋体" w:hAnsi="宋体" w:cs="宋体"/>
          <w:sz w:val="24"/>
        </w:rPr>
        <w:t>磋商响应文件从</w:t>
      </w:r>
      <w:r>
        <w:rPr>
          <w:rFonts w:hint="eastAsia" w:hAnsi="宋体"/>
          <w:sz w:val="24"/>
        </w:rPr>
        <w:t>磋商响应</w:t>
      </w:r>
      <w:r>
        <w:rPr>
          <w:rFonts w:hint="eastAsia" w:ascii="宋体" w:hAnsi="宋体" w:cs="宋体"/>
          <w:sz w:val="24"/>
        </w:rPr>
        <w:t>截止之日起，</w:t>
      </w:r>
      <w:r>
        <w:rPr>
          <w:rFonts w:hint="eastAsia" w:hAnsi="宋体"/>
          <w:sz w:val="24"/>
        </w:rPr>
        <w:t>磋商响应文件</w:t>
      </w:r>
      <w:r>
        <w:rPr>
          <w:rFonts w:hint="eastAsia" w:ascii="宋体" w:hAnsi="宋体" w:cs="宋体"/>
          <w:sz w:val="24"/>
        </w:rPr>
        <w:t>有效期为60天。</w:t>
      </w:r>
    </w:p>
    <w:p w14:paraId="18A0473A">
      <w:pPr>
        <w:spacing w:line="360" w:lineRule="auto"/>
        <w:jc w:val="left"/>
        <w:outlineLvl w:val="2"/>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八</w:t>
      </w:r>
      <w:r>
        <w:rPr>
          <w:rFonts w:hint="eastAsia" w:ascii="宋体" w:hAnsi="宋体" w:cs="宋体"/>
          <w:b/>
          <w:bCs/>
          <w:sz w:val="24"/>
        </w:rPr>
        <w:t>）特别说明：</w:t>
      </w:r>
    </w:p>
    <w:p w14:paraId="1111576D">
      <w:pPr>
        <w:spacing w:line="440" w:lineRule="exact"/>
        <w:ind w:firstLine="480" w:firstLineChars="200"/>
        <w:rPr>
          <w:rFonts w:ascii="宋体" w:hAnsi="宋体"/>
          <w:b/>
          <w:sz w:val="24"/>
        </w:rPr>
      </w:pPr>
      <w:r>
        <w:rPr>
          <w:rFonts w:hint="eastAsia" w:ascii="宋体" w:hAnsi="宋体" w:cs="宋体"/>
          <w:sz w:val="24"/>
        </w:rPr>
        <w:t>▲</w:t>
      </w:r>
      <w:r>
        <w:rPr>
          <w:rFonts w:ascii="宋体" w:hAnsi="宋体"/>
          <w:b/>
          <w:sz w:val="24"/>
        </w:rPr>
        <w:t>1</w:t>
      </w:r>
      <w:r>
        <w:rPr>
          <w:rFonts w:hint="eastAsia" w:ascii="宋体" w:hAnsi="宋体"/>
          <w:b/>
          <w:sz w:val="24"/>
        </w:rPr>
        <w:t>.</w:t>
      </w:r>
      <w:r>
        <w:rPr>
          <w:rFonts w:hint="eastAsia" w:ascii="宋体" w:hAnsi="宋体"/>
          <w:sz w:val="24"/>
        </w:rPr>
        <w:t>多个供应商参加磋商，如其中两家或两家以上供应商的法定代表人为同一人或相互之间存在投资关系且达到控股的，应当按一个供应商认定。</w:t>
      </w:r>
    </w:p>
    <w:p w14:paraId="16C35AFF">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2.供应商磋商所使用的资格、信誉、荣誉与企业认证必须为本法人所拥有。供应商磋商所使用的采购项目实施人员必须为本法人员工（或必须为本法人或控股公司正式员工）。</w:t>
      </w:r>
    </w:p>
    <w:p w14:paraId="65F48BAF">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3.供应商应仔细阅读磋商文件的所有内容，按照磋商文件的要求提交磋商响应文件，并对所提供的全部资料的真实性承担法律责任。</w:t>
      </w:r>
    </w:p>
    <w:p w14:paraId="1E74674B">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1F5D9025">
      <w:pPr>
        <w:spacing w:line="360" w:lineRule="auto"/>
        <w:ind w:firstLine="480" w:firstLineChars="200"/>
        <w:rPr>
          <w:sz w:val="24"/>
        </w:rPr>
      </w:pPr>
      <w:r>
        <w:rPr>
          <w:rFonts w:hint="eastAsia" w:ascii="宋体" w:hAnsi="宋体" w:cs="宋体"/>
          <w:sz w:val="24"/>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4547D4CC">
      <w:pPr>
        <w:spacing w:line="360" w:lineRule="auto"/>
        <w:ind w:firstLine="480" w:firstLineChars="200"/>
        <w:rPr>
          <w:rFonts w:ascii="宋体" w:hAnsi="宋体"/>
          <w:sz w:val="24"/>
        </w:rPr>
      </w:pPr>
      <w:r>
        <w:rPr>
          <w:rFonts w:hint="eastAsia" w:ascii="宋体" w:hAnsi="宋体" w:cs="宋体"/>
          <w:sz w:val="24"/>
        </w:rPr>
        <w:t>▲</w:t>
      </w:r>
      <w:r>
        <w:rPr>
          <w:rFonts w:hint="eastAsia" w:ascii="宋体" w:hAnsi="宋体"/>
          <w:sz w:val="24"/>
        </w:rPr>
        <w:t>6.</w:t>
      </w:r>
      <w:r>
        <w:rPr>
          <w:rFonts w:ascii="宋体" w:hAnsi="宋体"/>
          <w:sz w:val="24"/>
        </w:rPr>
        <w:t xml:space="preserve"> </w:t>
      </w:r>
      <w:r>
        <w:rPr>
          <w:rFonts w:hint="eastAsia" w:ascii="宋体" w:hAnsi="宋体" w:cs="宋体"/>
          <w:bCs/>
          <w:sz w:val="24"/>
        </w:rPr>
        <w:t>磋商</w:t>
      </w:r>
      <w:r>
        <w:rPr>
          <w:rFonts w:ascii="宋体" w:hAnsi="宋体"/>
          <w:sz w:val="24"/>
        </w:rPr>
        <w:t>方不保证最低报价者为中标方。</w:t>
      </w:r>
    </w:p>
    <w:p w14:paraId="28A27A7C">
      <w:pPr>
        <w:snapToGrid w:val="0"/>
        <w:spacing w:line="360" w:lineRule="auto"/>
        <w:ind w:firstLine="3184" w:firstLineChars="995"/>
        <w:rPr>
          <w:rFonts w:ascii="宋体" w:hAnsi="宋体" w:cs="宋体"/>
          <w:b/>
          <w:sz w:val="24"/>
        </w:rPr>
      </w:pPr>
      <w:r>
        <w:rPr>
          <w:rFonts w:hint="eastAsia" w:ascii="宋体" w:hAnsi="宋体"/>
          <w:b/>
          <w:kern w:val="44"/>
          <w:sz w:val="32"/>
          <w:szCs w:val="32"/>
        </w:rPr>
        <w:t>二、磋商文件</w:t>
      </w:r>
    </w:p>
    <w:p w14:paraId="0A391B2D">
      <w:pPr>
        <w:spacing w:line="360" w:lineRule="auto"/>
        <w:rPr>
          <w:rFonts w:ascii="宋体" w:hAnsi="宋体" w:cs="宋体"/>
          <w:b/>
          <w:sz w:val="24"/>
        </w:rPr>
      </w:pPr>
      <w:r>
        <w:rPr>
          <w:rFonts w:hint="eastAsia" w:ascii="宋体" w:hAnsi="宋体" w:cs="宋体"/>
          <w:b/>
          <w:sz w:val="24"/>
        </w:rPr>
        <w:t>（</w:t>
      </w:r>
      <w:r>
        <w:rPr>
          <w:rFonts w:hint="eastAsia" w:ascii="宋体" w:hAnsi="宋体" w:cs="宋体"/>
          <w:b/>
          <w:sz w:val="24"/>
          <w:lang w:eastAsia="zh-CN"/>
        </w:rPr>
        <w:t>九</w:t>
      </w:r>
      <w:r>
        <w:rPr>
          <w:rFonts w:hint="eastAsia" w:ascii="宋体" w:hAnsi="宋体" w:cs="宋体"/>
          <w:b/>
          <w:sz w:val="24"/>
        </w:rPr>
        <w:t>）磋商</w:t>
      </w:r>
      <w:r>
        <w:rPr>
          <w:rFonts w:hint="eastAsia" w:ascii="宋体" w:hAnsi="宋体" w:cs="宋体"/>
          <w:b/>
          <w:bCs/>
          <w:sz w:val="24"/>
        </w:rPr>
        <w:t>响应</w:t>
      </w:r>
      <w:r>
        <w:rPr>
          <w:rFonts w:hint="eastAsia" w:ascii="宋体" w:hAnsi="宋体" w:cs="宋体"/>
          <w:b/>
          <w:sz w:val="24"/>
        </w:rPr>
        <w:t>文件的组成</w:t>
      </w:r>
    </w:p>
    <w:p w14:paraId="5618A179">
      <w:pPr>
        <w:snapToGrid w:val="0"/>
        <w:spacing w:line="360" w:lineRule="auto"/>
        <w:ind w:firstLine="470" w:firstLineChars="196"/>
        <w:jc w:val="left"/>
        <w:rPr>
          <w:rFonts w:ascii="宋体" w:hAnsi="宋体" w:cs="宋体"/>
          <w:b/>
          <w:sz w:val="24"/>
        </w:rPr>
      </w:pPr>
      <w:r>
        <w:rPr>
          <w:rFonts w:hint="eastAsia" w:ascii="宋体" w:hAnsi="宋体" w:cs="宋体"/>
          <w:b/>
          <w:sz w:val="24"/>
        </w:rPr>
        <w:t>磋商</w:t>
      </w:r>
      <w:r>
        <w:rPr>
          <w:rFonts w:hint="eastAsia" w:ascii="宋体" w:hAnsi="宋体" w:cs="宋体"/>
          <w:b/>
          <w:bCs/>
          <w:sz w:val="24"/>
        </w:rPr>
        <w:t>响应</w:t>
      </w:r>
      <w:r>
        <w:rPr>
          <w:rFonts w:hint="eastAsia" w:ascii="宋体" w:hAnsi="宋体" w:cs="宋体"/>
          <w:b/>
          <w:sz w:val="24"/>
        </w:rPr>
        <w:t>文件由资格审查文件、商务技术文件、报价文件三部分组成。</w:t>
      </w:r>
    </w:p>
    <w:p w14:paraId="79F3EC50">
      <w:pPr>
        <w:snapToGrid w:val="0"/>
        <w:spacing w:line="360" w:lineRule="auto"/>
        <w:ind w:firstLine="480" w:firstLineChars="200"/>
        <w:jc w:val="left"/>
        <w:rPr>
          <w:rFonts w:ascii="宋体" w:hAnsi="宋体" w:cs="宋体"/>
          <w:b/>
          <w:sz w:val="24"/>
        </w:rPr>
      </w:pPr>
      <w:r>
        <w:rPr>
          <w:rFonts w:hint="eastAsia" w:ascii="宋体" w:hAnsi="宋体" w:cs="宋体"/>
          <w:b/>
          <w:sz w:val="24"/>
        </w:rPr>
        <w:t>1.资格审查文件：</w:t>
      </w:r>
    </w:p>
    <w:p w14:paraId="6C7DE50A">
      <w:pPr>
        <w:snapToGrid w:val="0"/>
        <w:spacing w:line="360" w:lineRule="auto"/>
        <w:ind w:firstLine="480" w:firstLineChars="200"/>
        <w:jc w:val="left"/>
        <w:rPr>
          <w:rFonts w:ascii="宋体" w:hAnsi="宋体" w:cs="宋体"/>
          <w:sz w:val="24"/>
        </w:rPr>
      </w:pPr>
      <w:r>
        <w:rPr>
          <w:rFonts w:hint="eastAsia" w:ascii="宋体" w:hAnsi="宋体" w:cs="宋体"/>
          <w:sz w:val="24"/>
        </w:rPr>
        <w:t>（1）有效的企业法人营业执照副本复印件；</w:t>
      </w:r>
    </w:p>
    <w:p w14:paraId="63E1E0C4">
      <w:pPr>
        <w:snapToGrid w:val="0"/>
        <w:spacing w:line="360" w:lineRule="auto"/>
        <w:ind w:firstLine="480" w:firstLineChars="200"/>
        <w:jc w:val="left"/>
        <w:rPr>
          <w:rFonts w:ascii="宋体" w:hAnsi="宋体" w:cs="宋体"/>
          <w:sz w:val="24"/>
        </w:rPr>
      </w:pPr>
      <w:r>
        <w:rPr>
          <w:rFonts w:hint="eastAsia" w:ascii="宋体" w:hAnsi="宋体" w:cs="宋体"/>
          <w:sz w:val="24"/>
        </w:rPr>
        <w:t>（2）合格</w:t>
      </w:r>
      <w:r>
        <w:rPr>
          <w:rFonts w:hint="eastAsia" w:hAnsi="宋体"/>
          <w:sz w:val="24"/>
        </w:rPr>
        <w:t>磋商响应</w:t>
      </w:r>
      <w:r>
        <w:rPr>
          <w:rFonts w:hint="eastAsia" w:ascii="宋体" w:hAnsi="宋体" w:cs="宋体"/>
          <w:sz w:val="24"/>
        </w:rPr>
        <w:t>人资格要求的相关证明复印件；</w:t>
      </w:r>
    </w:p>
    <w:p w14:paraId="37E525EE">
      <w:pPr>
        <w:snapToGrid w:val="0"/>
        <w:spacing w:line="360" w:lineRule="auto"/>
        <w:ind w:firstLine="480" w:firstLineChars="200"/>
        <w:jc w:val="left"/>
        <w:rPr>
          <w:rFonts w:ascii="宋体" w:hAnsi="宋体" w:cs="宋体"/>
          <w:sz w:val="24"/>
        </w:rPr>
      </w:pPr>
      <w:r>
        <w:rPr>
          <w:rFonts w:hint="eastAsia" w:ascii="宋体" w:hAnsi="宋体" w:cs="宋体"/>
          <w:sz w:val="24"/>
        </w:rPr>
        <w:t>（3）磋商声明书 (格式见附件2.1) ；</w:t>
      </w:r>
    </w:p>
    <w:p w14:paraId="217A0F85">
      <w:pPr>
        <w:snapToGrid w:val="0"/>
        <w:spacing w:line="360" w:lineRule="auto"/>
        <w:ind w:firstLine="480" w:firstLineChars="200"/>
        <w:rPr>
          <w:rFonts w:ascii="宋体" w:hAnsi="宋体" w:cs="宋体"/>
          <w:sz w:val="24"/>
        </w:rPr>
      </w:pPr>
      <w:r>
        <w:rPr>
          <w:rFonts w:hint="eastAsia" w:ascii="宋体" w:hAnsi="宋体" w:cs="宋体"/>
          <w:sz w:val="24"/>
        </w:rPr>
        <w:t>（4）中小企业声明函（格式见附件2.2）；</w:t>
      </w:r>
    </w:p>
    <w:p w14:paraId="758409FA">
      <w:pPr>
        <w:snapToGrid w:val="0"/>
        <w:spacing w:line="360" w:lineRule="auto"/>
        <w:ind w:firstLine="480" w:firstLineChars="200"/>
        <w:rPr>
          <w:rFonts w:ascii="宋体" w:hAnsi="宋体" w:cs="宋体"/>
          <w:sz w:val="24"/>
        </w:rPr>
      </w:pPr>
      <w:r>
        <w:rPr>
          <w:rFonts w:hint="eastAsia" w:ascii="宋体" w:hAnsi="宋体" w:cs="宋体"/>
          <w:sz w:val="24"/>
        </w:rPr>
        <w:t>（5）磋商响应方情况介绍；</w:t>
      </w:r>
    </w:p>
    <w:p w14:paraId="09669C3F">
      <w:pPr>
        <w:snapToGrid w:val="0"/>
        <w:spacing w:line="360" w:lineRule="auto"/>
        <w:ind w:firstLine="480" w:firstLineChars="200"/>
        <w:rPr>
          <w:rFonts w:ascii="宋体" w:hAnsi="宋体" w:cs="宋体"/>
          <w:sz w:val="24"/>
        </w:rPr>
      </w:pPr>
      <w:r>
        <w:rPr>
          <w:rFonts w:hint="eastAsia" w:ascii="宋体" w:hAnsi="宋体" w:cs="宋体"/>
          <w:sz w:val="24"/>
        </w:rPr>
        <w:t>（6）磋商响应方认为有必要提供的其它文件。</w:t>
      </w:r>
    </w:p>
    <w:p w14:paraId="2CCBFC8F">
      <w:pPr>
        <w:snapToGrid w:val="0"/>
        <w:spacing w:line="360" w:lineRule="auto"/>
        <w:ind w:firstLine="480" w:firstLineChars="200"/>
        <w:rPr>
          <w:rFonts w:ascii="宋体" w:hAnsi="宋体" w:cs="宋体"/>
          <w:b/>
          <w:bCs/>
          <w:sz w:val="24"/>
        </w:rPr>
      </w:pPr>
      <w:r>
        <w:rPr>
          <w:rFonts w:hint="eastAsia" w:ascii="宋体" w:hAnsi="宋体" w:cs="宋体"/>
          <w:b/>
          <w:bCs/>
          <w:sz w:val="24"/>
        </w:rPr>
        <w:t>备注：</w:t>
      </w:r>
    </w:p>
    <w:p w14:paraId="4BECBB9C">
      <w:pPr>
        <w:snapToGrid w:val="0"/>
        <w:spacing w:line="360" w:lineRule="auto"/>
        <w:ind w:firstLine="480" w:firstLineChars="200"/>
        <w:rPr>
          <w:rFonts w:ascii="宋体" w:hAnsi="宋体" w:cs="宋体"/>
          <w:sz w:val="24"/>
        </w:rPr>
      </w:pPr>
      <w:r>
        <w:rPr>
          <w:rFonts w:hint="eastAsia" w:hAnsi="宋体"/>
          <w:sz w:val="24"/>
        </w:rPr>
        <w:t>磋商响应</w:t>
      </w:r>
      <w:r>
        <w:rPr>
          <w:rFonts w:hint="eastAsia" w:ascii="宋体" w:hAnsi="宋体" w:cs="宋体"/>
          <w:sz w:val="24"/>
        </w:rPr>
        <w:t>人应未被列入失信被执行人名单、重大税收违法案件当事人名单、政府采购严重违法失信行为记录名单，信用信息以</w:t>
      </w:r>
      <w:r>
        <w:rPr>
          <w:rFonts w:hint="eastAsia" w:hAnsi="宋体"/>
          <w:sz w:val="24"/>
        </w:rPr>
        <w:t>磋商响应</w:t>
      </w:r>
      <w:r>
        <w:rPr>
          <w:rFonts w:hint="eastAsia" w:ascii="宋体" w:hAnsi="宋体" w:cs="宋体"/>
          <w:sz w:val="24"/>
        </w:rPr>
        <w:t>截止日信用中国网站（https://www.creditchina.gov.cn/）、中国政府采购网（http://www.ccgp.gov.cn/）公布为准；</w:t>
      </w:r>
    </w:p>
    <w:p w14:paraId="3015D10A">
      <w:pPr>
        <w:snapToGrid w:val="0"/>
        <w:spacing w:line="360" w:lineRule="auto"/>
        <w:ind w:firstLine="480" w:firstLineChars="200"/>
        <w:rPr>
          <w:rFonts w:ascii="宋体" w:hAnsi="宋体" w:cs="宋体"/>
          <w:b/>
          <w:bCs/>
          <w:sz w:val="24"/>
        </w:rPr>
      </w:pPr>
      <w:r>
        <w:rPr>
          <w:rFonts w:hint="eastAsia" w:ascii="宋体" w:hAnsi="宋体" w:cs="宋体"/>
          <w:b/>
          <w:bCs/>
          <w:sz w:val="24"/>
        </w:rPr>
        <w:t>2.商务技术文件</w:t>
      </w:r>
    </w:p>
    <w:p w14:paraId="27CC450A">
      <w:pPr>
        <w:snapToGrid w:val="0"/>
        <w:spacing w:line="360" w:lineRule="auto"/>
        <w:ind w:firstLine="480" w:firstLineChars="200"/>
        <w:rPr>
          <w:rFonts w:ascii="宋体" w:hAnsi="宋体" w:cs="宋体"/>
          <w:sz w:val="24"/>
        </w:rPr>
      </w:pPr>
      <w:r>
        <w:rPr>
          <w:rFonts w:hint="eastAsia" w:ascii="宋体" w:hAnsi="宋体" w:cs="宋体"/>
          <w:sz w:val="24"/>
        </w:rPr>
        <w:t>（1）评分响应表（格式见附件2.3）；</w:t>
      </w:r>
    </w:p>
    <w:p w14:paraId="660C746D">
      <w:pPr>
        <w:snapToGrid w:val="0"/>
        <w:spacing w:line="360" w:lineRule="auto"/>
        <w:ind w:firstLine="480" w:firstLineChars="200"/>
        <w:rPr>
          <w:rFonts w:ascii="宋体" w:hAnsi="宋体" w:cs="宋体"/>
          <w:sz w:val="24"/>
        </w:rPr>
      </w:pPr>
      <w:r>
        <w:rPr>
          <w:rFonts w:hint="eastAsia" w:ascii="宋体" w:hAnsi="宋体" w:cs="宋体"/>
          <w:sz w:val="24"/>
        </w:rPr>
        <w:t>（2）竞争性磋商响应书（格式见附件2.4）；</w:t>
      </w:r>
    </w:p>
    <w:p w14:paraId="60ECC20D">
      <w:pPr>
        <w:snapToGrid w:val="0"/>
        <w:spacing w:line="360" w:lineRule="auto"/>
        <w:ind w:firstLine="470" w:firstLineChars="196"/>
        <w:jc w:val="left"/>
        <w:rPr>
          <w:rFonts w:ascii="宋体" w:hAnsi="宋体" w:cs="宋体"/>
          <w:sz w:val="24"/>
        </w:rPr>
      </w:pPr>
      <w:r>
        <w:rPr>
          <w:rFonts w:hint="eastAsia" w:ascii="宋体" w:hAnsi="宋体" w:cs="宋体"/>
          <w:sz w:val="24"/>
        </w:rPr>
        <w:t>（3）法定代表人授权委托书(格式见附件2.5)；</w:t>
      </w:r>
    </w:p>
    <w:p w14:paraId="2D935DEB">
      <w:pPr>
        <w:snapToGrid w:val="0"/>
        <w:spacing w:line="360" w:lineRule="auto"/>
        <w:ind w:firstLine="470" w:firstLineChars="196"/>
        <w:jc w:val="left"/>
        <w:rPr>
          <w:rFonts w:ascii="宋体" w:hAnsi="宋体" w:cs="宋体"/>
          <w:sz w:val="24"/>
        </w:rPr>
      </w:pPr>
      <w:r>
        <w:rPr>
          <w:rFonts w:hint="eastAsia" w:ascii="宋体" w:hAnsi="宋体" w:cs="宋体"/>
          <w:sz w:val="24"/>
        </w:rPr>
        <w:t>（4）磋商响应方情况表(格式见附件2.6)；</w:t>
      </w:r>
    </w:p>
    <w:p w14:paraId="4FCB2CD5">
      <w:pPr>
        <w:snapToGrid w:val="0"/>
        <w:spacing w:line="360" w:lineRule="auto"/>
        <w:ind w:firstLine="470" w:firstLineChars="196"/>
        <w:jc w:val="left"/>
        <w:rPr>
          <w:rFonts w:ascii="宋体" w:hAnsi="宋体" w:cs="宋体"/>
          <w:sz w:val="24"/>
        </w:rPr>
      </w:pPr>
      <w:r>
        <w:rPr>
          <w:rFonts w:hint="eastAsia" w:ascii="宋体" w:hAnsi="宋体" w:cs="宋体"/>
          <w:sz w:val="24"/>
        </w:rPr>
        <w:t>（5）营业执照副本复印件；</w:t>
      </w:r>
    </w:p>
    <w:p w14:paraId="275DE7EB">
      <w:pPr>
        <w:snapToGrid w:val="0"/>
        <w:spacing w:line="360" w:lineRule="auto"/>
        <w:ind w:firstLine="480" w:firstLineChars="200"/>
        <w:jc w:val="left"/>
        <w:rPr>
          <w:rFonts w:ascii="宋体" w:hAnsi="宋体" w:cs="宋体"/>
          <w:sz w:val="24"/>
        </w:rPr>
      </w:pPr>
      <w:r>
        <w:rPr>
          <w:rFonts w:hint="eastAsia" w:ascii="宋体" w:hAnsi="宋体" w:cs="宋体"/>
          <w:sz w:val="24"/>
        </w:rPr>
        <w:t>（6）磋商响应方项目负责人及实施人员情况一览表（表格见附件2.7）；</w:t>
      </w:r>
    </w:p>
    <w:p w14:paraId="4C64F3A8">
      <w:pPr>
        <w:snapToGrid w:val="0"/>
        <w:spacing w:line="360" w:lineRule="auto"/>
        <w:ind w:firstLine="470" w:firstLineChars="196"/>
        <w:jc w:val="left"/>
        <w:rPr>
          <w:rFonts w:ascii="宋体" w:hAnsi="宋体" w:cs="宋体"/>
          <w:sz w:val="24"/>
        </w:rPr>
      </w:pPr>
      <w:r>
        <w:rPr>
          <w:rFonts w:hint="eastAsia" w:ascii="宋体" w:hAnsi="宋体" w:cs="宋体"/>
          <w:sz w:val="24"/>
        </w:rPr>
        <w:t>（7）磋商响应方成功实施的同类项目的业绩或者案例(格式见附件2.8)；</w:t>
      </w:r>
    </w:p>
    <w:p w14:paraId="6370D85A">
      <w:pPr>
        <w:snapToGrid w:val="0"/>
        <w:spacing w:line="360" w:lineRule="auto"/>
        <w:ind w:firstLine="470" w:firstLineChars="196"/>
        <w:jc w:val="left"/>
        <w:rPr>
          <w:rFonts w:ascii="宋体" w:hAnsi="宋体" w:cs="宋体"/>
          <w:sz w:val="24"/>
        </w:rPr>
      </w:pPr>
      <w:r>
        <w:rPr>
          <w:rFonts w:hint="eastAsia" w:ascii="宋体" w:hAnsi="宋体" w:cs="宋体"/>
          <w:sz w:val="24"/>
        </w:rPr>
        <w:t>（8）项目实施计划及供货方案；</w:t>
      </w:r>
    </w:p>
    <w:p w14:paraId="17A2F972">
      <w:pPr>
        <w:snapToGrid w:val="0"/>
        <w:spacing w:line="360" w:lineRule="auto"/>
        <w:ind w:firstLine="470" w:firstLineChars="196"/>
        <w:jc w:val="left"/>
        <w:rPr>
          <w:rFonts w:ascii="宋体"/>
          <w:sz w:val="24"/>
        </w:rPr>
      </w:pPr>
      <w:r>
        <w:rPr>
          <w:rFonts w:hint="eastAsia" w:ascii="宋体" w:hAnsi="宋体" w:cs="宋体"/>
          <w:color w:val="0D0D0D"/>
          <w:sz w:val="24"/>
        </w:rPr>
        <w:t>（9）技术服务方案；</w:t>
      </w:r>
    </w:p>
    <w:p w14:paraId="49AF3FBA">
      <w:pPr>
        <w:snapToGrid w:val="0"/>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0）</w:t>
      </w:r>
      <w:r>
        <w:rPr>
          <w:rFonts w:hint="eastAsia" w:ascii="宋体"/>
          <w:sz w:val="24"/>
        </w:rPr>
        <w:t>商务响应表（格式见附件2.9）；</w:t>
      </w:r>
    </w:p>
    <w:p w14:paraId="61D6545F">
      <w:pPr>
        <w:snapToGrid w:val="0"/>
        <w:spacing w:line="360" w:lineRule="auto"/>
        <w:ind w:firstLine="480" w:firstLineChars="200"/>
        <w:jc w:val="left"/>
        <w:rPr>
          <w:rFonts w:ascii="宋体"/>
          <w:sz w:val="24"/>
        </w:rPr>
      </w:pPr>
      <w:r>
        <w:rPr>
          <w:rFonts w:hint="eastAsia" w:ascii="宋体"/>
          <w:sz w:val="24"/>
        </w:rPr>
        <w:t>（11）</w:t>
      </w:r>
      <w:r>
        <w:rPr>
          <w:rFonts w:hint="eastAsia"/>
          <w:sz w:val="24"/>
        </w:rPr>
        <w:t>技术响应表（格式见附件</w:t>
      </w:r>
      <w:r>
        <w:rPr>
          <w:rFonts w:hint="eastAsia" w:ascii="宋体" w:hAnsi="宋体" w:cs="宋体"/>
          <w:sz w:val="24"/>
        </w:rPr>
        <w:t>2.10</w:t>
      </w:r>
      <w:r>
        <w:rPr>
          <w:rFonts w:hint="eastAsia"/>
          <w:sz w:val="24"/>
        </w:rPr>
        <w:t>）；</w:t>
      </w:r>
    </w:p>
    <w:p w14:paraId="08098015">
      <w:pPr>
        <w:snapToGrid w:val="0"/>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2）</w:t>
      </w:r>
      <w:r>
        <w:rPr>
          <w:rFonts w:hint="eastAsia" w:hAnsi="宋体"/>
          <w:sz w:val="24"/>
        </w:rPr>
        <w:t>磋商响应</w:t>
      </w:r>
      <w:r>
        <w:rPr>
          <w:rFonts w:hint="eastAsia" w:ascii="宋体" w:hAnsi="宋体"/>
          <w:sz w:val="24"/>
        </w:rPr>
        <w:t>产品服务计划表（格式见附件2</w:t>
      </w:r>
      <w:r>
        <w:rPr>
          <w:rFonts w:ascii="宋体" w:hAnsi="宋体"/>
          <w:sz w:val="24"/>
        </w:rPr>
        <w:t>.</w:t>
      </w:r>
      <w:r>
        <w:rPr>
          <w:rFonts w:hint="eastAsia" w:ascii="宋体" w:hAnsi="宋体"/>
          <w:sz w:val="24"/>
        </w:rPr>
        <w:t>11）；</w:t>
      </w:r>
    </w:p>
    <w:p w14:paraId="31672DF7">
      <w:pPr>
        <w:pStyle w:val="28"/>
        <w:snapToGrid w:val="0"/>
        <w:spacing w:beforeLines="0" w:afterLines="0" w:line="360" w:lineRule="auto"/>
        <w:ind w:firstLine="480" w:firstLineChars="200"/>
        <w:rPr>
          <w:rFonts w:hAnsi="宋体"/>
        </w:rPr>
      </w:pPr>
      <w:r>
        <w:rPr>
          <w:rFonts w:hint="eastAsia" w:hAnsi="宋体"/>
        </w:rPr>
        <w:t>（13）</w:t>
      </w:r>
      <w:r>
        <w:rPr>
          <w:rFonts w:hint="eastAsia" w:hAnsi="宋体"/>
          <w:szCs w:val="24"/>
        </w:rPr>
        <w:t>响应</w:t>
      </w:r>
      <w:r>
        <w:rPr>
          <w:rFonts w:hint="eastAsia" w:hAnsi="宋体"/>
        </w:rPr>
        <w:t>该项目的优势及自我评价；</w:t>
      </w:r>
    </w:p>
    <w:p w14:paraId="0FBECD79">
      <w:pPr>
        <w:snapToGrid w:val="0"/>
        <w:spacing w:line="360" w:lineRule="auto"/>
        <w:ind w:left="480"/>
        <w:jc w:val="left"/>
        <w:rPr>
          <w:rFonts w:ascii="宋体"/>
          <w:sz w:val="24"/>
        </w:rPr>
      </w:pPr>
      <w:r>
        <w:rPr>
          <w:rFonts w:hint="eastAsia" w:ascii="宋体" w:hAnsi="宋体"/>
          <w:sz w:val="24"/>
        </w:rPr>
        <w:t>（14）拟投入本项目的设备（格式见附件2.12）；</w:t>
      </w:r>
    </w:p>
    <w:p w14:paraId="6E5EB15B">
      <w:pPr>
        <w:snapToGrid w:val="0"/>
        <w:spacing w:line="360" w:lineRule="auto"/>
        <w:ind w:firstLine="470" w:firstLineChars="196"/>
        <w:jc w:val="left"/>
        <w:rPr>
          <w:rFonts w:ascii="宋体" w:hAnsi="宋体"/>
          <w:sz w:val="24"/>
        </w:rPr>
      </w:pPr>
      <w:r>
        <w:rPr>
          <w:rFonts w:hint="eastAsia" w:ascii="宋体" w:hAnsi="宋体"/>
          <w:sz w:val="24"/>
        </w:rPr>
        <w:t>（15）优惠条件：</w:t>
      </w:r>
      <w:r>
        <w:rPr>
          <w:rFonts w:hint="eastAsia" w:hAnsi="宋体"/>
          <w:sz w:val="24"/>
        </w:rPr>
        <w:t>磋商响应</w:t>
      </w:r>
      <w:r>
        <w:rPr>
          <w:rFonts w:hint="eastAsia" w:ascii="宋体" w:hAnsi="宋体"/>
          <w:sz w:val="24"/>
        </w:rPr>
        <w:t>人承诺给予</w:t>
      </w:r>
      <w:r>
        <w:rPr>
          <w:rFonts w:hint="eastAsia" w:ascii="宋体" w:hAnsi="宋体" w:cs="宋体"/>
          <w:bCs/>
          <w:sz w:val="24"/>
        </w:rPr>
        <w:t>磋商</w:t>
      </w:r>
      <w:r>
        <w:rPr>
          <w:rFonts w:hint="eastAsia" w:ascii="宋体" w:hAnsi="宋体"/>
          <w:sz w:val="24"/>
        </w:rPr>
        <w:t>人的各种优惠条件，包括售后服务、服务网点、备品备件、专用耗材等方面的优惠；</w:t>
      </w:r>
    </w:p>
    <w:p w14:paraId="2F4FF9FD">
      <w:pPr>
        <w:snapToGrid w:val="0"/>
        <w:spacing w:line="360" w:lineRule="auto"/>
        <w:ind w:firstLine="470" w:firstLineChars="196"/>
        <w:jc w:val="left"/>
        <w:rPr>
          <w:rFonts w:ascii="宋体" w:hAnsi="宋体" w:cs="宋体"/>
          <w:sz w:val="24"/>
        </w:rPr>
      </w:pPr>
      <w:r>
        <w:rPr>
          <w:rFonts w:hint="eastAsia" w:ascii="宋体" w:hAnsi="宋体"/>
          <w:sz w:val="24"/>
        </w:rPr>
        <w:t>（16）</w:t>
      </w:r>
      <w:r>
        <w:rPr>
          <w:rFonts w:hint="eastAsia" w:ascii="宋体" w:hAnsi="宋体" w:cs="宋体"/>
          <w:sz w:val="24"/>
        </w:rPr>
        <w:t>磋商响应方认为需要提供的其他响应文件和资料。</w:t>
      </w:r>
    </w:p>
    <w:p w14:paraId="63FAE051">
      <w:pPr>
        <w:spacing w:line="360" w:lineRule="auto"/>
        <w:ind w:left="525" w:leftChars="250"/>
        <w:rPr>
          <w:rFonts w:ascii="宋体" w:hAnsi="宋体" w:cs="宋体"/>
          <w:b/>
          <w:sz w:val="24"/>
        </w:rPr>
      </w:pPr>
      <w:r>
        <w:rPr>
          <w:rFonts w:hint="eastAsia" w:ascii="宋体" w:hAnsi="宋体" w:cs="宋体"/>
          <w:b/>
          <w:sz w:val="24"/>
        </w:rPr>
        <w:t>3.报价文件</w:t>
      </w:r>
    </w:p>
    <w:p w14:paraId="22DE63AD">
      <w:pPr>
        <w:spacing w:line="360" w:lineRule="auto"/>
        <w:ind w:left="525" w:leftChars="250"/>
        <w:rPr>
          <w:rFonts w:ascii="宋体" w:hAnsi="宋体" w:cs="宋体"/>
          <w:sz w:val="24"/>
        </w:rPr>
      </w:pPr>
      <w:r>
        <w:rPr>
          <w:rFonts w:hint="eastAsia" w:ascii="宋体" w:hAnsi="宋体" w:cs="宋体"/>
          <w:sz w:val="24"/>
        </w:rPr>
        <w:t xml:space="preserve">（1）磋商函（格式见附件3.1）； </w:t>
      </w:r>
    </w:p>
    <w:p w14:paraId="3286CE62">
      <w:pPr>
        <w:spacing w:line="360" w:lineRule="auto"/>
        <w:ind w:left="525" w:leftChars="250"/>
        <w:rPr>
          <w:rFonts w:ascii="宋体" w:hAnsi="宋体" w:cs="宋体"/>
          <w:sz w:val="24"/>
        </w:rPr>
      </w:pPr>
      <w:r>
        <w:rPr>
          <w:rFonts w:hint="eastAsia" w:ascii="宋体" w:hAnsi="宋体" w:cs="宋体"/>
          <w:sz w:val="24"/>
        </w:rPr>
        <w:t xml:space="preserve">（2）磋商初次报价表（格式见附件3.2）； </w:t>
      </w:r>
    </w:p>
    <w:p w14:paraId="40C9B31C">
      <w:pPr>
        <w:spacing w:line="360" w:lineRule="auto"/>
        <w:ind w:left="525" w:leftChars="250"/>
        <w:rPr>
          <w:rFonts w:ascii="宋体" w:hAnsi="宋体" w:cs="宋体"/>
          <w:b/>
          <w:bCs/>
          <w:sz w:val="24"/>
        </w:rPr>
      </w:pPr>
      <w:r>
        <w:rPr>
          <w:rFonts w:hint="eastAsia" w:ascii="宋体" w:hAnsi="宋体" w:cs="宋体"/>
          <w:sz w:val="24"/>
        </w:rPr>
        <w:t>（3）</w:t>
      </w:r>
      <w:r>
        <w:rPr>
          <w:rFonts w:hint="eastAsia" w:ascii="宋体" w:hAnsi="宋体"/>
          <w:sz w:val="24"/>
        </w:rPr>
        <w:t>磋商响应方</w:t>
      </w:r>
      <w:r>
        <w:rPr>
          <w:rFonts w:hint="eastAsia" w:ascii="宋体" w:hAnsi="宋体" w:cs="宋体"/>
          <w:sz w:val="24"/>
        </w:rPr>
        <w:t>针对报价需要说明的其他文件和说明（格式自拟）；</w:t>
      </w:r>
    </w:p>
    <w:p w14:paraId="5FF3E2B1">
      <w:pPr>
        <w:spacing w:line="360" w:lineRule="auto"/>
        <w:ind w:firstLine="480" w:firstLineChars="200"/>
        <w:rPr>
          <w:rFonts w:ascii="宋体" w:hAnsi="宋体" w:cs="宋体"/>
          <w:b/>
          <w:bCs/>
          <w:sz w:val="24"/>
        </w:rPr>
      </w:pPr>
      <w:r>
        <w:rPr>
          <w:rFonts w:hint="eastAsia" w:ascii="宋体" w:hAnsi="宋体" w:cs="宋体"/>
          <w:b/>
          <w:bCs/>
          <w:sz w:val="24"/>
        </w:rPr>
        <w:t>注：以上资料</w:t>
      </w:r>
      <w:r>
        <w:rPr>
          <w:rFonts w:hint="eastAsia" w:ascii="宋体" w:hAnsi="宋体" w:cs="宋体"/>
          <w:b/>
          <w:sz w:val="24"/>
        </w:rPr>
        <w:t>磋商响应</w:t>
      </w:r>
      <w:r>
        <w:rPr>
          <w:rFonts w:hint="eastAsia" w:ascii="宋体" w:hAnsi="宋体" w:cs="宋体"/>
          <w:b/>
          <w:bCs/>
          <w:sz w:val="24"/>
        </w:rPr>
        <w:t>方提供不全的有可能导致响应无效。</w:t>
      </w:r>
    </w:p>
    <w:p w14:paraId="461DC57C">
      <w:pPr>
        <w:spacing w:line="360" w:lineRule="auto"/>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十</w:t>
      </w:r>
      <w:r>
        <w:rPr>
          <w:rFonts w:hint="eastAsia" w:ascii="宋体" w:hAnsi="宋体" w:cs="宋体"/>
          <w:b/>
          <w:bCs/>
          <w:sz w:val="24"/>
        </w:rPr>
        <w:t>）</w:t>
      </w:r>
      <w:r>
        <w:rPr>
          <w:rFonts w:hint="eastAsia" w:ascii="宋体" w:hAnsi="宋体" w:cs="宋体"/>
          <w:b/>
          <w:sz w:val="24"/>
        </w:rPr>
        <w:t>磋商响应</w:t>
      </w:r>
      <w:r>
        <w:rPr>
          <w:rFonts w:hint="eastAsia" w:ascii="宋体" w:hAnsi="宋体" w:cs="宋体"/>
          <w:b/>
          <w:bCs/>
          <w:sz w:val="24"/>
        </w:rPr>
        <w:t>文件的签署和份数</w:t>
      </w:r>
    </w:p>
    <w:p w14:paraId="1365E9D9">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磋商响应方</w:t>
      </w:r>
      <w:r>
        <w:rPr>
          <w:rFonts w:hint="eastAsia" w:ascii="宋体" w:hAnsi="宋体" w:cs="宋体"/>
          <w:sz w:val="24"/>
        </w:rPr>
        <w:t>应提供</w:t>
      </w:r>
      <w:r>
        <w:rPr>
          <w:rFonts w:hint="eastAsia" w:ascii="宋体" w:hAnsi="宋体" w:cs="宋体"/>
          <w:kern w:val="0"/>
          <w:sz w:val="24"/>
        </w:rPr>
        <w:t>磋商</w:t>
      </w:r>
      <w:r>
        <w:rPr>
          <w:rFonts w:hint="eastAsia" w:ascii="宋体" w:hAnsi="宋体" w:cs="宋体"/>
          <w:sz w:val="24"/>
        </w:rPr>
        <w:t>响应资格审查文件一份，商务技术文件正本一份、副本二份，报价文件正本一份、副本二份，并在封面左上角注明正、副本字样，若正本与副本不符，以正本为准；分别编制并单独装订成册。</w:t>
      </w:r>
    </w:p>
    <w:p w14:paraId="262C820E">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kern w:val="0"/>
          <w:sz w:val="24"/>
        </w:rPr>
        <w:t>磋商</w:t>
      </w:r>
      <w:r>
        <w:rPr>
          <w:rFonts w:hint="eastAsia" w:ascii="宋体" w:hAnsi="宋体" w:cs="宋体"/>
          <w:sz w:val="24"/>
        </w:rPr>
        <w:t>响应文件需打印或用不褪色的墨水填写。</w:t>
      </w:r>
      <w:r>
        <w:rPr>
          <w:rFonts w:hint="eastAsia" w:ascii="宋体" w:hAnsi="宋体" w:cs="宋体"/>
          <w:kern w:val="0"/>
          <w:sz w:val="24"/>
        </w:rPr>
        <w:t>磋商</w:t>
      </w:r>
      <w:r>
        <w:rPr>
          <w:rFonts w:hint="eastAsia" w:ascii="宋体" w:hAnsi="宋体" w:cs="宋体"/>
          <w:sz w:val="24"/>
        </w:rPr>
        <w:t>响应文件的装订顺序应按</w:t>
      </w:r>
      <w:r>
        <w:rPr>
          <w:rFonts w:hint="eastAsia" w:ascii="宋体" w:hAnsi="宋体" w:cs="宋体"/>
          <w:kern w:val="0"/>
          <w:sz w:val="24"/>
        </w:rPr>
        <w:t>磋商</w:t>
      </w:r>
      <w:r>
        <w:rPr>
          <w:rFonts w:hint="eastAsia" w:ascii="宋体" w:hAnsi="宋体" w:cs="宋体"/>
          <w:sz w:val="24"/>
        </w:rPr>
        <w:t>须知第（八）条所列顺序装订。</w:t>
      </w:r>
    </w:p>
    <w:p w14:paraId="2F421496">
      <w:pPr>
        <w:spacing w:line="360" w:lineRule="auto"/>
        <w:ind w:firstLine="480" w:firstLineChars="200"/>
        <w:rPr>
          <w:rFonts w:ascii="宋体" w:hAnsi="宋体" w:cs="宋体"/>
          <w:sz w:val="24"/>
        </w:rPr>
      </w:pPr>
      <w:r>
        <w:rPr>
          <w:rFonts w:hint="eastAsia" w:ascii="宋体" w:hAnsi="宋体" w:cs="宋体"/>
          <w:sz w:val="24"/>
        </w:rPr>
        <w:t>3、所有</w:t>
      </w:r>
      <w:r>
        <w:rPr>
          <w:rFonts w:hint="eastAsia" w:ascii="宋体" w:hAnsi="宋体" w:cs="宋体"/>
          <w:kern w:val="0"/>
          <w:sz w:val="24"/>
        </w:rPr>
        <w:t>磋商</w:t>
      </w:r>
      <w:r>
        <w:rPr>
          <w:rFonts w:hint="eastAsia" w:ascii="宋体" w:hAnsi="宋体" w:cs="宋体"/>
          <w:sz w:val="24"/>
        </w:rPr>
        <w:t>响应文件均须由</w:t>
      </w:r>
      <w:r>
        <w:rPr>
          <w:rFonts w:hint="eastAsia" w:ascii="宋体" w:hAnsi="宋体" w:cs="宋体"/>
          <w:bCs/>
          <w:sz w:val="24"/>
        </w:rPr>
        <w:t>磋商响应方</w:t>
      </w:r>
      <w:r>
        <w:rPr>
          <w:rFonts w:hint="eastAsia" w:ascii="宋体" w:hAnsi="宋体" w:cs="宋体"/>
          <w:sz w:val="24"/>
        </w:rPr>
        <w:t>盖章，并由法定代表人或法定代表人授权代表签字，</w:t>
      </w:r>
      <w:r>
        <w:rPr>
          <w:rFonts w:hint="eastAsia" w:ascii="宋体" w:hAnsi="宋体" w:cs="宋体"/>
          <w:bCs/>
          <w:sz w:val="24"/>
        </w:rPr>
        <w:t>磋商响应方</w:t>
      </w:r>
      <w:r>
        <w:rPr>
          <w:rFonts w:hint="eastAsia" w:ascii="宋体" w:hAnsi="宋体" w:cs="宋体"/>
          <w:sz w:val="24"/>
        </w:rPr>
        <w:t>应写全称。</w:t>
      </w:r>
    </w:p>
    <w:p w14:paraId="2B131921">
      <w:pPr>
        <w:tabs>
          <w:tab w:val="left" w:pos="412"/>
        </w:tabs>
        <w:spacing w:line="360" w:lineRule="auto"/>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一</w:t>
      </w:r>
      <w:r>
        <w:rPr>
          <w:rFonts w:hint="eastAsia" w:ascii="宋体" w:hAnsi="宋体" w:cs="宋体"/>
          <w:b/>
          <w:bCs/>
          <w:sz w:val="24"/>
        </w:rPr>
        <w:t>）</w:t>
      </w:r>
      <w:r>
        <w:rPr>
          <w:rFonts w:hint="eastAsia" w:ascii="宋体" w:hAnsi="宋体" w:cs="宋体"/>
          <w:b/>
          <w:sz w:val="24"/>
        </w:rPr>
        <w:t>磋商</w:t>
      </w:r>
      <w:r>
        <w:rPr>
          <w:rFonts w:hint="eastAsia" w:ascii="宋体" w:hAnsi="宋体" w:cs="宋体"/>
          <w:b/>
          <w:bCs/>
          <w:sz w:val="24"/>
        </w:rPr>
        <w:t>响应文件的递交</w:t>
      </w:r>
    </w:p>
    <w:p w14:paraId="10A36537">
      <w:pPr>
        <w:spacing w:line="360" w:lineRule="auto"/>
        <w:ind w:firstLine="480" w:firstLineChars="200"/>
        <w:rPr>
          <w:rFonts w:ascii="宋体" w:hAnsi="宋体" w:cs="宋体"/>
          <w:sz w:val="24"/>
        </w:rPr>
      </w:pPr>
      <w:r>
        <w:rPr>
          <w:rFonts w:hint="eastAsia" w:ascii="宋体" w:hAnsi="宋体" w:cs="宋体"/>
          <w:sz w:val="24"/>
        </w:rPr>
        <w:t>1、磋商响应文件填写字迹必须清楚、工整。</w:t>
      </w:r>
      <w:r>
        <w:rPr>
          <w:rFonts w:hint="eastAsia" w:ascii="宋体" w:hAnsi="宋体" w:cs="宋体"/>
          <w:kern w:val="0"/>
          <w:sz w:val="24"/>
        </w:rPr>
        <w:t>并</w:t>
      </w:r>
      <w:r>
        <w:rPr>
          <w:rFonts w:hint="eastAsia" w:ascii="宋体" w:hAnsi="宋体" w:cs="宋体"/>
          <w:sz w:val="24"/>
        </w:rPr>
        <w:t>按以下方法装袋密封标记：商务技术文件</w:t>
      </w:r>
      <w:r>
        <w:rPr>
          <w:rFonts w:hint="eastAsia" w:ascii="宋体" w:hAnsi="宋体" w:cs="宋体"/>
          <w:color w:val="000000"/>
          <w:sz w:val="24"/>
        </w:rPr>
        <w:t>包装袋内装</w:t>
      </w:r>
      <w:r>
        <w:rPr>
          <w:rFonts w:hint="eastAsia" w:ascii="宋体" w:hAnsi="宋体" w:cs="宋体"/>
          <w:sz w:val="24"/>
        </w:rPr>
        <w:t>商务技术文件</w:t>
      </w:r>
      <w:r>
        <w:rPr>
          <w:rFonts w:hint="eastAsia" w:ascii="宋体" w:hAnsi="宋体" w:cs="宋体"/>
          <w:color w:val="000000"/>
          <w:sz w:val="24"/>
        </w:rPr>
        <w:t>正本1份和副本2份</w:t>
      </w:r>
      <w:r>
        <w:rPr>
          <w:rFonts w:hint="eastAsia" w:ascii="宋体" w:hAnsi="宋体" w:cs="宋体"/>
          <w:b/>
          <w:color w:val="000000"/>
          <w:sz w:val="24"/>
        </w:rPr>
        <w:t>；</w:t>
      </w:r>
      <w:r>
        <w:rPr>
          <w:rFonts w:hint="eastAsia" w:ascii="宋体" w:hAnsi="宋体" w:cs="宋体"/>
          <w:color w:val="0D0D0D"/>
          <w:sz w:val="24"/>
        </w:rPr>
        <w:t>报价文件包装袋内装报价文件正本1份和副本2份;</w:t>
      </w:r>
      <w:r>
        <w:rPr>
          <w:rFonts w:hint="eastAsia" w:ascii="宋体" w:hAnsi="宋体" w:cs="宋体"/>
          <w:sz w:val="24"/>
        </w:rPr>
        <w:t>包装封面上应标明“项目编号、项目名称、商务技术文件</w:t>
      </w:r>
      <w:r>
        <w:rPr>
          <w:rFonts w:hint="eastAsia" w:ascii="宋体" w:hAnsi="宋体" w:cs="宋体"/>
          <w:color w:val="0D0D0D"/>
          <w:sz w:val="24"/>
        </w:rPr>
        <w:t>、报价文件</w:t>
      </w:r>
      <w:r>
        <w:rPr>
          <w:rFonts w:hint="eastAsia" w:ascii="宋体" w:hAnsi="宋体" w:cs="宋体"/>
          <w:sz w:val="24"/>
        </w:rPr>
        <w:t>、</w:t>
      </w:r>
      <w:r>
        <w:rPr>
          <w:rFonts w:hint="eastAsia" w:ascii="宋体" w:hAnsi="宋体" w:cs="宋体"/>
          <w:kern w:val="0"/>
          <w:sz w:val="24"/>
        </w:rPr>
        <w:t>磋商</w:t>
      </w:r>
      <w:r>
        <w:rPr>
          <w:rFonts w:hint="eastAsia" w:ascii="宋体" w:hAnsi="宋体" w:cs="宋体"/>
          <w:sz w:val="24"/>
        </w:rPr>
        <w:t>响应方名称、于</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eastAsia="zh-CN"/>
        </w:rPr>
        <w:t>上午9：30</w:t>
      </w:r>
      <w:r>
        <w:rPr>
          <w:rFonts w:hint="eastAsia" w:ascii="宋体" w:hAnsi="宋体" w:cs="宋体"/>
          <w:color w:val="000000"/>
          <w:sz w:val="24"/>
          <w:highlight w:val="none"/>
        </w:rPr>
        <w:t>前</w:t>
      </w:r>
      <w:r>
        <w:rPr>
          <w:rFonts w:hint="eastAsia" w:ascii="宋体" w:hAnsi="宋体" w:cs="宋体"/>
          <w:sz w:val="24"/>
          <w:highlight w:val="none"/>
        </w:rPr>
        <w:t>不准启</w:t>
      </w:r>
      <w:r>
        <w:rPr>
          <w:rFonts w:hint="eastAsia" w:ascii="宋体" w:hAnsi="宋体" w:cs="宋体"/>
          <w:sz w:val="24"/>
        </w:rPr>
        <w:t>封”等，并在封口加盖磋商响应单位公章。</w:t>
      </w:r>
    </w:p>
    <w:p w14:paraId="3D29BE68">
      <w:pPr>
        <w:spacing w:line="360" w:lineRule="auto"/>
        <w:ind w:firstLine="480" w:firstLineChars="200"/>
        <w:jc w:val="left"/>
        <w:rPr>
          <w:rFonts w:ascii="宋体" w:hAnsi="宋体" w:cs="宋体"/>
          <w:sz w:val="24"/>
        </w:rPr>
      </w:pPr>
      <w:r>
        <w:rPr>
          <w:rFonts w:hint="eastAsia" w:ascii="宋体" w:hAnsi="宋体" w:cs="宋体"/>
          <w:sz w:val="24"/>
        </w:rPr>
        <w:t>否则，采购代理机构对</w:t>
      </w:r>
      <w:r>
        <w:rPr>
          <w:rFonts w:hint="eastAsia" w:ascii="宋体" w:hAnsi="宋体" w:cs="宋体"/>
          <w:kern w:val="0"/>
          <w:sz w:val="24"/>
        </w:rPr>
        <w:t>磋商</w:t>
      </w:r>
      <w:r>
        <w:rPr>
          <w:rFonts w:hint="eastAsia" w:ascii="宋体" w:hAnsi="宋体" w:cs="宋体"/>
          <w:sz w:val="24"/>
        </w:rPr>
        <w:t>响应文件的误投和提前启封等造成的后果不负责任。</w:t>
      </w:r>
    </w:p>
    <w:p w14:paraId="4CD2F83A">
      <w:pPr>
        <w:spacing w:line="360" w:lineRule="auto"/>
        <w:ind w:firstLine="480" w:firstLineChars="200"/>
        <w:jc w:val="left"/>
        <w:rPr>
          <w:rFonts w:ascii="宋体" w:hAnsi="宋体" w:cs="宋体"/>
          <w:b/>
          <w:sz w:val="24"/>
        </w:rPr>
      </w:pPr>
      <w:r>
        <w:rPr>
          <w:rFonts w:hint="eastAsia" w:ascii="宋体" w:hAnsi="宋体" w:cs="宋体"/>
          <w:sz w:val="24"/>
        </w:rPr>
        <w:t>▲</w:t>
      </w:r>
      <w:r>
        <w:rPr>
          <w:rFonts w:hint="eastAsia" w:ascii="宋体" w:hAnsi="宋体" w:cs="宋体"/>
          <w:b/>
          <w:sz w:val="24"/>
        </w:rPr>
        <w:t>未按要求密封的</w:t>
      </w:r>
      <w:r>
        <w:rPr>
          <w:rFonts w:hint="eastAsia" w:ascii="宋体" w:hAnsi="宋体" w:cs="宋体"/>
          <w:b/>
          <w:kern w:val="0"/>
          <w:sz w:val="24"/>
        </w:rPr>
        <w:t>磋商</w:t>
      </w:r>
      <w:r>
        <w:rPr>
          <w:rFonts w:hint="eastAsia" w:ascii="宋体" w:hAnsi="宋体" w:cs="宋体"/>
          <w:b/>
          <w:sz w:val="24"/>
        </w:rPr>
        <w:t>响应文件将拒绝接收。</w:t>
      </w:r>
      <w:bookmarkStart w:id="30" w:name="_GoBack"/>
      <w:bookmarkEnd w:id="30"/>
    </w:p>
    <w:p w14:paraId="52D1621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kern w:val="0"/>
          <w:sz w:val="24"/>
        </w:rPr>
        <w:t>磋商</w:t>
      </w:r>
      <w:r>
        <w:rPr>
          <w:rFonts w:hint="eastAsia" w:ascii="宋体" w:hAnsi="宋体" w:cs="宋体"/>
          <w:sz w:val="24"/>
        </w:rPr>
        <w:t>响应文件的补充和修改</w:t>
      </w:r>
    </w:p>
    <w:p w14:paraId="1790ABFD">
      <w:pPr>
        <w:spacing w:line="360" w:lineRule="auto"/>
        <w:ind w:firstLine="480" w:firstLineChars="200"/>
        <w:rPr>
          <w:rFonts w:ascii="宋体" w:hAnsi="宋体" w:cs="宋体"/>
          <w:sz w:val="24"/>
        </w:rPr>
      </w:pPr>
      <w:r>
        <w:rPr>
          <w:rFonts w:hint="eastAsia" w:ascii="宋体" w:hAnsi="宋体" w:cs="宋体"/>
          <w:bCs/>
          <w:sz w:val="24"/>
        </w:rPr>
        <w:t>磋商响应方</w:t>
      </w:r>
      <w:r>
        <w:rPr>
          <w:rFonts w:hint="eastAsia" w:ascii="宋体" w:hAnsi="宋体" w:cs="宋体"/>
          <w:sz w:val="24"/>
        </w:rPr>
        <w:t>在</w:t>
      </w:r>
      <w:r>
        <w:rPr>
          <w:rFonts w:hint="eastAsia" w:hAnsi="宋体"/>
          <w:sz w:val="24"/>
        </w:rPr>
        <w:t>磋商响应</w:t>
      </w:r>
      <w:r>
        <w:rPr>
          <w:rFonts w:hint="eastAsia" w:ascii="宋体" w:hAnsi="宋体" w:cs="宋体"/>
          <w:sz w:val="24"/>
        </w:rPr>
        <w:t>截止时间前，可以对所递交的磋商响应文件进行补充、修改或者撤回，并书面通知</w:t>
      </w:r>
      <w:r>
        <w:rPr>
          <w:rFonts w:hint="eastAsia" w:ascii="宋体" w:hAnsi="宋体" w:cs="宋体"/>
          <w:bCs/>
          <w:sz w:val="24"/>
        </w:rPr>
        <w:t>磋商响应方</w:t>
      </w:r>
      <w:r>
        <w:rPr>
          <w:rFonts w:hint="eastAsia" w:ascii="宋体" w:hAnsi="宋体" w:cs="宋体"/>
          <w:sz w:val="24"/>
        </w:rPr>
        <w:t>。补充、修改的内容应当按</w:t>
      </w:r>
      <w:r>
        <w:rPr>
          <w:rFonts w:hint="eastAsia" w:ascii="宋体" w:hAnsi="宋体" w:cs="宋体"/>
          <w:kern w:val="0"/>
          <w:sz w:val="24"/>
        </w:rPr>
        <w:t>磋商</w:t>
      </w:r>
      <w:r>
        <w:rPr>
          <w:rFonts w:hint="eastAsia" w:ascii="宋体" w:hAnsi="宋体" w:cs="宋体"/>
          <w:sz w:val="24"/>
        </w:rPr>
        <w:t>文件要求签署、盖章，并作为</w:t>
      </w:r>
      <w:r>
        <w:rPr>
          <w:rFonts w:hint="eastAsia" w:ascii="宋体" w:hAnsi="宋体" w:cs="宋体"/>
          <w:kern w:val="0"/>
          <w:sz w:val="24"/>
        </w:rPr>
        <w:t>磋商</w:t>
      </w:r>
      <w:r>
        <w:rPr>
          <w:rFonts w:hint="eastAsia" w:ascii="宋体" w:hAnsi="宋体" w:cs="宋体"/>
          <w:sz w:val="24"/>
        </w:rPr>
        <w:t>响应文件的组成部分。</w:t>
      </w:r>
    </w:p>
    <w:p w14:paraId="61CCD582">
      <w:pPr>
        <w:numPr>
          <w:ilvl w:val="0"/>
          <w:numId w:val="3"/>
        </w:numPr>
        <w:spacing w:line="460" w:lineRule="exact"/>
        <w:ind w:firstLine="480" w:firstLineChars="200"/>
        <w:jc w:val="left"/>
        <w:rPr>
          <w:rFonts w:ascii="宋体" w:hAnsi="宋体" w:cs="宋体"/>
          <w:sz w:val="24"/>
        </w:rPr>
      </w:pPr>
      <w:r>
        <w:rPr>
          <w:rFonts w:hint="eastAsia" w:ascii="宋体" w:hAnsi="宋体" w:cs="宋体"/>
          <w:kern w:val="0"/>
          <w:sz w:val="24"/>
        </w:rPr>
        <w:t>磋商</w:t>
      </w:r>
      <w:r>
        <w:rPr>
          <w:rFonts w:hint="eastAsia" w:ascii="宋体" w:hAnsi="宋体" w:cs="宋体"/>
          <w:sz w:val="24"/>
        </w:rPr>
        <w:t>响应文件不得涂改和增删，由于字迹模糊或表达不清引起的后果由</w:t>
      </w:r>
      <w:r>
        <w:rPr>
          <w:rFonts w:hint="eastAsia" w:ascii="宋体" w:hAnsi="宋体" w:cs="宋体"/>
          <w:kern w:val="0"/>
          <w:sz w:val="24"/>
        </w:rPr>
        <w:t>磋商</w:t>
      </w:r>
      <w:r>
        <w:rPr>
          <w:rFonts w:hint="eastAsia" w:ascii="宋体" w:hAnsi="宋体" w:cs="宋体"/>
          <w:sz w:val="24"/>
        </w:rPr>
        <w:t>响应方负责。</w:t>
      </w:r>
    </w:p>
    <w:p w14:paraId="32B5D52F">
      <w:pPr>
        <w:spacing w:line="460" w:lineRule="exact"/>
        <w:jc w:val="left"/>
        <w:rPr>
          <w:rFonts w:ascii="宋体" w:hAnsi="宋体" w:cs="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）有下列情况之一者其磋商文件无效</w:t>
      </w:r>
    </w:p>
    <w:p w14:paraId="4E7FEE5B">
      <w:pPr>
        <w:spacing w:line="460" w:lineRule="exact"/>
        <w:ind w:firstLine="480" w:firstLineChars="200"/>
        <w:jc w:val="left"/>
        <w:rPr>
          <w:rFonts w:ascii="宋体" w:hAnsi="宋体" w:cs="宋体"/>
          <w:sz w:val="24"/>
        </w:rPr>
      </w:pPr>
      <w:r>
        <w:rPr>
          <w:rFonts w:hint="eastAsia" w:ascii="宋体" w:hAnsi="宋体" w:cs="宋体"/>
          <w:sz w:val="24"/>
        </w:rPr>
        <w:t>1、在</w:t>
      </w:r>
      <w:r>
        <w:rPr>
          <w:rFonts w:hint="eastAsia" w:ascii="宋体" w:hAnsi="宋体" w:cs="宋体"/>
          <w:kern w:val="0"/>
          <w:sz w:val="24"/>
        </w:rPr>
        <w:t>磋商</w:t>
      </w:r>
      <w:r>
        <w:rPr>
          <w:rFonts w:hint="eastAsia" w:ascii="宋体" w:hAnsi="宋体" w:cs="宋体"/>
          <w:sz w:val="24"/>
        </w:rPr>
        <w:t>响应文件递交截止时间以后送达的</w:t>
      </w:r>
      <w:r>
        <w:rPr>
          <w:rFonts w:hint="eastAsia" w:ascii="宋体" w:hAnsi="宋体" w:cs="宋体"/>
          <w:kern w:val="0"/>
          <w:sz w:val="24"/>
        </w:rPr>
        <w:t>磋商</w:t>
      </w:r>
      <w:r>
        <w:rPr>
          <w:rFonts w:hint="eastAsia" w:ascii="宋体" w:hAnsi="宋体" w:cs="宋体"/>
          <w:sz w:val="24"/>
        </w:rPr>
        <w:t>响应文件不予接收；</w:t>
      </w:r>
    </w:p>
    <w:p w14:paraId="0B4E16D0">
      <w:pPr>
        <w:spacing w:line="460" w:lineRule="exact"/>
        <w:ind w:firstLine="480" w:firstLineChars="200"/>
        <w:jc w:val="left"/>
        <w:rPr>
          <w:rFonts w:ascii="宋体" w:hAnsi="宋体" w:cs="宋体"/>
          <w:sz w:val="24"/>
        </w:rPr>
      </w:pPr>
      <w:r>
        <w:rPr>
          <w:rFonts w:hint="eastAsia" w:ascii="宋体" w:hAnsi="宋体" w:cs="宋体"/>
          <w:sz w:val="24"/>
        </w:rPr>
        <w:t>2、应盖而未盖公章，</w:t>
      </w:r>
      <w:r>
        <w:rPr>
          <w:rFonts w:hint="eastAsia" w:ascii="宋体" w:hAnsi="宋体" w:cs="宋体"/>
          <w:kern w:val="0"/>
          <w:sz w:val="24"/>
        </w:rPr>
        <w:t>磋商</w:t>
      </w:r>
      <w:r>
        <w:rPr>
          <w:rFonts w:hint="eastAsia" w:ascii="宋体" w:hAnsi="宋体" w:cs="宋体"/>
          <w:sz w:val="24"/>
        </w:rPr>
        <w:t>响应书、法定代表人授权书、资格声明函等填写不完整或有涂改的</w:t>
      </w:r>
      <w:r>
        <w:rPr>
          <w:rFonts w:hint="eastAsia" w:ascii="宋体" w:hAnsi="宋体" w:cs="宋体"/>
          <w:kern w:val="0"/>
          <w:sz w:val="24"/>
        </w:rPr>
        <w:t>磋商</w:t>
      </w:r>
      <w:r>
        <w:rPr>
          <w:rFonts w:hint="eastAsia" w:ascii="宋体" w:hAnsi="宋体" w:cs="宋体"/>
          <w:sz w:val="24"/>
        </w:rPr>
        <w:t>响应文件；</w:t>
      </w:r>
    </w:p>
    <w:p w14:paraId="2D9E536D">
      <w:pPr>
        <w:spacing w:line="460" w:lineRule="exact"/>
        <w:ind w:firstLine="480" w:firstLineChars="200"/>
        <w:jc w:val="left"/>
        <w:rPr>
          <w:rFonts w:ascii="宋体" w:hAnsi="宋体" w:cs="宋体"/>
          <w:sz w:val="24"/>
        </w:rPr>
      </w:pPr>
      <w:r>
        <w:rPr>
          <w:rFonts w:hint="eastAsia" w:ascii="宋体" w:hAnsi="宋体" w:cs="宋体"/>
          <w:sz w:val="24"/>
        </w:rPr>
        <w:t>3、与</w:t>
      </w:r>
      <w:r>
        <w:rPr>
          <w:rFonts w:hint="eastAsia" w:ascii="宋体" w:hAnsi="宋体" w:cs="宋体"/>
          <w:kern w:val="0"/>
          <w:sz w:val="24"/>
        </w:rPr>
        <w:t>磋商</w:t>
      </w:r>
      <w:r>
        <w:rPr>
          <w:rFonts w:hint="eastAsia" w:ascii="宋体" w:hAnsi="宋体" w:cs="宋体"/>
          <w:sz w:val="24"/>
        </w:rPr>
        <w:t>文件有重大偏离的</w:t>
      </w:r>
      <w:r>
        <w:rPr>
          <w:rFonts w:hint="eastAsia" w:ascii="宋体" w:hAnsi="宋体" w:cs="宋体"/>
          <w:kern w:val="0"/>
          <w:sz w:val="24"/>
        </w:rPr>
        <w:t>磋商</w:t>
      </w:r>
      <w:r>
        <w:rPr>
          <w:rFonts w:hint="eastAsia" w:ascii="宋体" w:hAnsi="宋体" w:cs="宋体"/>
          <w:sz w:val="24"/>
        </w:rPr>
        <w:t>响应文件；</w:t>
      </w:r>
    </w:p>
    <w:p w14:paraId="2AC6D5CF">
      <w:pPr>
        <w:spacing w:line="4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kern w:val="0"/>
          <w:sz w:val="24"/>
        </w:rPr>
        <w:t>磋商</w:t>
      </w:r>
      <w:r>
        <w:rPr>
          <w:rFonts w:hint="eastAsia" w:ascii="宋体" w:hAnsi="宋体" w:cs="宋体"/>
          <w:sz w:val="24"/>
        </w:rPr>
        <w:t>响应文件的签署未按本须知第八、九条规定的；</w:t>
      </w:r>
    </w:p>
    <w:p w14:paraId="25B17F73">
      <w:pPr>
        <w:spacing w:line="460" w:lineRule="exact"/>
        <w:ind w:firstLine="480" w:firstLineChars="200"/>
        <w:jc w:val="left"/>
        <w:rPr>
          <w:rFonts w:ascii="宋体" w:hAnsi="宋体" w:cs="宋体"/>
          <w:sz w:val="24"/>
        </w:rPr>
      </w:pPr>
      <w:r>
        <w:rPr>
          <w:rFonts w:hint="eastAsia" w:ascii="宋体" w:hAnsi="宋体" w:cs="宋体"/>
          <w:sz w:val="24"/>
        </w:rPr>
        <w:t>5、不符合法律、法规和</w:t>
      </w:r>
      <w:r>
        <w:rPr>
          <w:rFonts w:hint="eastAsia" w:ascii="宋体" w:hAnsi="宋体" w:cs="宋体"/>
          <w:kern w:val="0"/>
          <w:sz w:val="24"/>
        </w:rPr>
        <w:t>磋商</w:t>
      </w:r>
      <w:r>
        <w:rPr>
          <w:rFonts w:hint="eastAsia" w:ascii="宋体" w:hAnsi="宋体" w:cs="宋体"/>
          <w:sz w:val="24"/>
        </w:rPr>
        <w:t>文件规定的其他实质性要求的。</w:t>
      </w:r>
    </w:p>
    <w:p w14:paraId="4274B3BD">
      <w:pPr>
        <w:spacing w:line="460" w:lineRule="exact"/>
        <w:ind w:firstLine="480" w:firstLineChars="200"/>
        <w:jc w:val="left"/>
        <w:rPr>
          <w:rFonts w:ascii="宋体" w:hAnsi="宋体" w:cs="宋体"/>
          <w:sz w:val="24"/>
        </w:rPr>
      </w:pPr>
      <w:r>
        <w:rPr>
          <w:rFonts w:hint="eastAsia" w:ascii="宋体" w:hAnsi="宋体" w:cs="宋体"/>
          <w:sz w:val="24"/>
        </w:rPr>
        <w:t>6、报价评审过程中，磋商小组发现磋商响应方的报价明显低于其他磋商响应方的报价，使得其磋商报价可能低于其成本的，将要求该磋商响应方当场作出书面说明并提供相关证明材料，磋商响应方不能合理说明或不能提供证明材料，磋商小组可以认定磋商响应方以低于成本价竞标，其磋商响应作为废标处理。</w:t>
      </w:r>
    </w:p>
    <w:p w14:paraId="762E9BCC">
      <w:pPr>
        <w:spacing w:line="440" w:lineRule="exact"/>
        <w:ind w:firstLine="480" w:firstLineChars="200"/>
      </w:pPr>
      <w:r>
        <w:rPr>
          <w:rFonts w:hint="eastAsia" w:ascii="宋体" w:hAnsi="宋体" w:cs="宋体"/>
          <w:sz w:val="24"/>
        </w:rPr>
        <w:t>7、明显不符合磋商文件质量标准的，或者与磋商文件中标有“ ▲”的技术指标、主要功能项目发生实质性偏离的。</w:t>
      </w:r>
    </w:p>
    <w:p w14:paraId="3EBC6D86">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jc w:val="center"/>
        <w:rPr>
          <w:rFonts w:ascii="宋体" w:hAnsi="宋体"/>
          <w:b/>
          <w:bCs/>
          <w:color w:val="000000"/>
          <w:kern w:val="0"/>
          <w:sz w:val="32"/>
          <w:szCs w:val="32"/>
        </w:rPr>
      </w:pPr>
      <w:r>
        <w:rPr>
          <w:rFonts w:hint="eastAsia" w:ascii="宋体" w:hAnsi="宋体"/>
          <w:b/>
          <w:kern w:val="44"/>
          <w:sz w:val="32"/>
          <w:szCs w:val="32"/>
        </w:rPr>
        <w:t>三、磋商与评标</w:t>
      </w:r>
    </w:p>
    <w:p w14:paraId="635BF298">
      <w:pPr>
        <w:pStyle w:val="28"/>
        <w:snapToGrid w:val="0"/>
        <w:spacing w:beforeLines="0" w:afterLines="0" w:line="360" w:lineRule="auto"/>
        <w:jc w:val="left"/>
        <w:rPr>
          <w:rFonts w:hAnsi="宋体"/>
          <w:b/>
          <w:szCs w:val="24"/>
        </w:rPr>
      </w:pPr>
      <w:r>
        <w:rPr>
          <w:rFonts w:hint="eastAsia" w:hAnsi="宋体"/>
          <w:b/>
          <w:szCs w:val="24"/>
        </w:rPr>
        <w:t>（十</w:t>
      </w:r>
      <w:r>
        <w:rPr>
          <w:rFonts w:hint="eastAsia" w:hAnsi="宋体"/>
          <w:b/>
          <w:szCs w:val="24"/>
          <w:lang w:eastAsia="zh-CN"/>
        </w:rPr>
        <w:t>三</w:t>
      </w:r>
      <w:r>
        <w:rPr>
          <w:rFonts w:hint="eastAsia" w:hAnsi="宋体"/>
          <w:b/>
          <w:szCs w:val="24"/>
        </w:rPr>
        <w:t>）磋商小组</w:t>
      </w:r>
    </w:p>
    <w:p w14:paraId="1D909720">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采购代理机构在“前附表”中规定的时间、地点，在有关部门的监督下组织竞争性磋商会议。供应商须由法定代表人持有效身份证件或委托代理机构持授权委托书和有效身份证件参加。未能按要求提交证件的视为不合格供应商，将拒绝其进入磋商程序。采购人将根据本次采购的特点，按照《中华人民共和国政府采购法》规定成立磋商小组。磋商小组对</w:t>
      </w:r>
      <w:r>
        <w:rPr>
          <w:rFonts w:hint="eastAsia" w:hAnsi="宋体"/>
          <w:sz w:val="24"/>
        </w:rPr>
        <w:t>磋商响应</w:t>
      </w:r>
      <w:r>
        <w:rPr>
          <w:rFonts w:hint="eastAsia" w:ascii="宋体" w:hAnsi="宋体"/>
          <w:color w:val="000000"/>
          <w:kern w:val="0"/>
          <w:sz w:val="24"/>
        </w:rPr>
        <w:t>文件进行审查、质疑、评估和比较，并进行磋商、定标。</w:t>
      </w:r>
    </w:p>
    <w:p w14:paraId="12F708DB">
      <w:pPr>
        <w:pStyle w:val="28"/>
        <w:keepNext w:val="0"/>
        <w:keepLines w:val="0"/>
        <w:pageBreakBefore w:val="0"/>
        <w:widowControl w:val="0"/>
        <w:kinsoku/>
        <w:wordWrap/>
        <w:overflowPunct/>
        <w:topLinePunct w:val="0"/>
        <w:bidi w:val="0"/>
        <w:snapToGrid w:val="0"/>
        <w:spacing w:beforeLines="0" w:afterLines="0" w:line="360" w:lineRule="auto"/>
        <w:jc w:val="left"/>
        <w:textAlignment w:val="auto"/>
        <w:rPr>
          <w:rFonts w:hAnsi="宋体"/>
          <w:b/>
          <w:szCs w:val="24"/>
        </w:rPr>
      </w:pPr>
      <w:r>
        <w:rPr>
          <w:rFonts w:hint="eastAsia" w:hAnsi="宋体"/>
          <w:b/>
          <w:szCs w:val="24"/>
        </w:rPr>
        <w:t>（十</w:t>
      </w:r>
      <w:r>
        <w:rPr>
          <w:rFonts w:hint="eastAsia" w:hAnsi="宋体"/>
          <w:b/>
          <w:szCs w:val="24"/>
          <w:lang w:eastAsia="zh-CN"/>
        </w:rPr>
        <w:t>四</w:t>
      </w:r>
      <w:r>
        <w:rPr>
          <w:rFonts w:hint="eastAsia" w:hAnsi="宋体"/>
          <w:b/>
          <w:szCs w:val="24"/>
        </w:rPr>
        <w:t>）对“磋商响应文件”的审查和响应性</w:t>
      </w:r>
    </w:p>
    <w:p w14:paraId="3D81831B">
      <w:pPr>
        <w:pStyle w:val="28"/>
        <w:keepNext w:val="0"/>
        <w:keepLines w:val="0"/>
        <w:pageBreakBefore w:val="0"/>
        <w:widowControl w:val="0"/>
        <w:kinsoku/>
        <w:wordWrap/>
        <w:overflowPunct/>
        <w:topLinePunct w:val="0"/>
        <w:bidi w:val="0"/>
        <w:snapToGrid w:val="0"/>
        <w:spacing w:beforeLines="0" w:afterLines="0" w:line="360" w:lineRule="auto"/>
        <w:ind w:firstLine="480" w:firstLineChars="200"/>
        <w:jc w:val="left"/>
        <w:textAlignment w:val="auto"/>
        <w:rPr>
          <w:rFonts w:hAnsi="宋体"/>
          <w:color w:val="000000"/>
          <w:kern w:val="0"/>
          <w:szCs w:val="24"/>
        </w:rPr>
      </w:pPr>
      <w:r>
        <w:rPr>
          <w:rFonts w:hint="eastAsia" w:hAnsi="宋体"/>
          <w:b/>
          <w:color w:val="000000"/>
          <w:kern w:val="0"/>
          <w:szCs w:val="24"/>
        </w:rPr>
        <w:t>1</w:t>
      </w:r>
      <w:r>
        <w:rPr>
          <w:rFonts w:hint="eastAsia" w:hAnsi="宋体"/>
          <w:color w:val="000000"/>
          <w:kern w:val="0"/>
          <w:szCs w:val="24"/>
        </w:rPr>
        <w:t>.磋商小组就所有</w:t>
      </w:r>
      <w:r>
        <w:rPr>
          <w:rFonts w:hint="eastAsia" w:hAnsi="宋体"/>
          <w:szCs w:val="24"/>
        </w:rPr>
        <w:t>磋商响应</w:t>
      </w:r>
      <w:r>
        <w:rPr>
          <w:rFonts w:hint="eastAsia" w:hAnsi="宋体"/>
          <w:color w:val="000000"/>
          <w:kern w:val="0"/>
          <w:szCs w:val="24"/>
        </w:rPr>
        <w:t>文件是否对磋商文件的实质性要求作出完全响应进行资格初审，确定合格</w:t>
      </w:r>
      <w:r>
        <w:rPr>
          <w:rFonts w:hint="eastAsia" w:hAnsi="宋体"/>
          <w:szCs w:val="24"/>
        </w:rPr>
        <w:t>磋商响应</w:t>
      </w:r>
      <w:r>
        <w:rPr>
          <w:rFonts w:hint="eastAsia" w:hAnsi="宋体"/>
          <w:color w:val="000000"/>
          <w:kern w:val="0"/>
          <w:szCs w:val="24"/>
        </w:rPr>
        <w:t>人。</w:t>
      </w:r>
    </w:p>
    <w:p w14:paraId="57D5BCF1">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①磋商小组审查“</w:t>
      </w:r>
      <w:r>
        <w:rPr>
          <w:rFonts w:hint="eastAsia" w:hAnsi="宋体"/>
          <w:sz w:val="24"/>
        </w:rPr>
        <w:t>磋商响应</w:t>
      </w:r>
      <w:r>
        <w:rPr>
          <w:rFonts w:hint="eastAsia" w:ascii="宋体" w:hAnsi="宋体"/>
          <w:color w:val="000000"/>
          <w:kern w:val="0"/>
          <w:sz w:val="24"/>
        </w:rPr>
        <w:t>文件”是否完整；是否有计算错误；文件是否恰当地签署。</w:t>
      </w:r>
    </w:p>
    <w:p w14:paraId="5DBDD143">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②在对“</w:t>
      </w:r>
      <w:r>
        <w:rPr>
          <w:rFonts w:hint="eastAsia" w:hAnsi="宋体"/>
          <w:sz w:val="24"/>
        </w:rPr>
        <w:t>磋商响应</w:t>
      </w:r>
      <w:r>
        <w:rPr>
          <w:rFonts w:hint="eastAsia" w:ascii="宋体" w:hAnsi="宋体"/>
          <w:color w:val="000000"/>
          <w:kern w:val="0"/>
          <w:sz w:val="24"/>
        </w:rPr>
        <w:t>文件”进行详细评估之前，磋商小组将依据</w:t>
      </w:r>
      <w:r>
        <w:rPr>
          <w:rFonts w:hint="eastAsia" w:hAnsi="宋体"/>
          <w:sz w:val="24"/>
        </w:rPr>
        <w:t>磋商响应</w:t>
      </w:r>
      <w:r>
        <w:rPr>
          <w:rFonts w:hint="eastAsia" w:ascii="宋体" w:hAnsi="宋体"/>
          <w:color w:val="000000"/>
          <w:kern w:val="0"/>
          <w:sz w:val="24"/>
        </w:rPr>
        <w:t>方提供的“资信文件”审查</w:t>
      </w:r>
      <w:r>
        <w:rPr>
          <w:rFonts w:hint="eastAsia" w:hAnsi="宋体"/>
          <w:sz w:val="24"/>
        </w:rPr>
        <w:t>磋商响应</w:t>
      </w:r>
      <w:r>
        <w:rPr>
          <w:rFonts w:hint="eastAsia" w:ascii="宋体" w:hAnsi="宋体"/>
          <w:color w:val="000000"/>
          <w:kern w:val="0"/>
          <w:sz w:val="24"/>
        </w:rPr>
        <w:t>方的技术和服务或生产能力。如果确定</w:t>
      </w:r>
      <w:r>
        <w:rPr>
          <w:rFonts w:hint="eastAsia" w:hAnsi="宋体"/>
          <w:sz w:val="24"/>
        </w:rPr>
        <w:t>磋商响应</w:t>
      </w:r>
      <w:r>
        <w:rPr>
          <w:rFonts w:hint="eastAsia" w:ascii="宋体" w:hAnsi="宋体"/>
          <w:color w:val="000000"/>
          <w:kern w:val="0"/>
          <w:sz w:val="24"/>
        </w:rPr>
        <w:t>方无资格履行合同，其</w:t>
      </w:r>
      <w:r>
        <w:rPr>
          <w:rFonts w:hint="eastAsia" w:hAnsi="宋体"/>
          <w:sz w:val="24"/>
        </w:rPr>
        <w:t>磋商响应</w:t>
      </w:r>
      <w:r>
        <w:rPr>
          <w:rFonts w:hint="eastAsia" w:ascii="宋体" w:hAnsi="宋体"/>
          <w:color w:val="000000"/>
          <w:kern w:val="0"/>
          <w:sz w:val="24"/>
        </w:rPr>
        <w:t>将被拒绝。</w:t>
      </w:r>
    </w:p>
    <w:p w14:paraId="7A23FCED">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right="71" w:rightChars="34" w:firstLine="540" w:firstLineChars="225"/>
        <w:jc w:val="left"/>
        <w:textAlignment w:val="auto"/>
        <w:rPr>
          <w:rFonts w:ascii="宋体" w:hAnsi="宋体"/>
          <w:kern w:val="0"/>
          <w:sz w:val="24"/>
        </w:rPr>
      </w:pPr>
      <w:r>
        <w:rPr>
          <w:rFonts w:hint="eastAsia" w:ascii="宋体" w:hAnsi="宋体"/>
          <w:color w:val="000000"/>
          <w:kern w:val="0"/>
          <w:sz w:val="24"/>
        </w:rPr>
        <w:t>③磋商小组将确定每份</w:t>
      </w:r>
      <w:r>
        <w:rPr>
          <w:rFonts w:hint="eastAsia" w:hAnsi="宋体"/>
          <w:sz w:val="24"/>
        </w:rPr>
        <w:t>磋商响应</w:t>
      </w:r>
      <w:r>
        <w:rPr>
          <w:rFonts w:hint="eastAsia" w:ascii="宋体" w:hAnsi="宋体"/>
          <w:color w:val="000000"/>
          <w:kern w:val="0"/>
          <w:sz w:val="24"/>
        </w:rPr>
        <w:t>文件是否对“磋商文件”的要求，作出了实质性的响应而没有重大偏离。实质上响应的</w:t>
      </w:r>
      <w:r>
        <w:rPr>
          <w:rFonts w:hint="eastAsia" w:hAnsi="宋体"/>
          <w:sz w:val="24"/>
        </w:rPr>
        <w:t>磋商响应文件</w:t>
      </w:r>
      <w:r>
        <w:rPr>
          <w:rFonts w:hint="eastAsia" w:ascii="宋体" w:hAnsi="宋体"/>
          <w:color w:val="000000"/>
          <w:kern w:val="0"/>
          <w:sz w:val="24"/>
        </w:rPr>
        <w:t>应该是与磋商文件要求的全部条款、条件和规格相符且没有重大偏离的</w:t>
      </w:r>
      <w:r>
        <w:rPr>
          <w:rFonts w:hint="eastAsia" w:hAnsi="宋体"/>
          <w:sz w:val="24"/>
        </w:rPr>
        <w:t>磋商响应</w:t>
      </w:r>
      <w:r>
        <w:rPr>
          <w:rFonts w:hint="eastAsia" w:ascii="宋体" w:hAnsi="宋体"/>
          <w:color w:val="000000"/>
          <w:kern w:val="0"/>
          <w:sz w:val="24"/>
        </w:rPr>
        <w:t>。对</w:t>
      </w:r>
      <w:r>
        <w:rPr>
          <w:rFonts w:hint="eastAsia" w:hAnsi="宋体"/>
          <w:sz w:val="24"/>
        </w:rPr>
        <w:t>磋商响应</w:t>
      </w:r>
      <w:r>
        <w:rPr>
          <w:rFonts w:hint="eastAsia" w:ascii="宋体" w:hAnsi="宋体"/>
          <w:color w:val="000000"/>
          <w:kern w:val="0"/>
          <w:sz w:val="24"/>
        </w:rPr>
        <w:t>文件中的商务文件和技术文件的负偏离（使采购人无法接受）、反对将被认为是实质上的偏离，而纠正这些偏离将影响到其它提交实质性响应</w:t>
      </w:r>
      <w:r>
        <w:rPr>
          <w:rFonts w:hint="eastAsia" w:hAnsi="宋体"/>
          <w:sz w:val="24"/>
        </w:rPr>
        <w:t>磋商</w:t>
      </w:r>
      <w:r>
        <w:rPr>
          <w:rFonts w:hint="eastAsia" w:ascii="宋体" w:hAnsi="宋体"/>
          <w:color w:val="000000"/>
          <w:kern w:val="0"/>
          <w:sz w:val="24"/>
        </w:rPr>
        <w:t>的</w:t>
      </w:r>
      <w:r>
        <w:rPr>
          <w:rFonts w:hint="eastAsia" w:hAnsi="宋体"/>
          <w:sz w:val="24"/>
        </w:rPr>
        <w:t>磋商响应</w:t>
      </w:r>
      <w:r>
        <w:rPr>
          <w:rFonts w:hint="eastAsia" w:ascii="宋体" w:hAnsi="宋体"/>
          <w:color w:val="000000"/>
          <w:kern w:val="0"/>
          <w:sz w:val="24"/>
        </w:rPr>
        <w:t>人的公平竞争地位。实质偏离除本须知中列明的事项外，还包括：</w:t>
      </w:r>
      <w:r>
        <w:rPr>
          <w:rFonts w:hint="eastAsia" w:hAnsi="宋体"/>
          <w:sz w:val="24"/>
        </w:rPr>
        <w:t>磋商响应</w:t>
      </w:r>
      <w:r>
        <w:rPr>
          <w:rFonts w:hint="eastAsia" w:ascii="宋体" w:hAnsi="宋体"/>
          <w:color w:val="000000"/>
          <w:kern w:val="0"/>
          <w:sz w:val="24"/>
        </w:rPr>
        <w:t>文件未按</w:t>
      </w:r>
      <w:r>
        <w:rPr>
          <w:rFonts w:hint="eastAsia" w:ascii="宋体" w:hAnsi="宋体" w:cs="宋体"/>
          <w:sz w:val="24"/>
        </w:rPr>
        <w:t>第八、九条</w:t>
      </w:r>
      <w:r>
        <w:rPr>
          <w:rFonts w:hint="eastAsia" w:ascii="宋体" w:hAnsi="宋体"/>
          <w:color w:val="000000"/>
          <w:kern w:val="0"/>
          <w:sz w:val="24"/>
        </w:rPr>
        <w:t>的要求签署和盖章；</w:t>
      </w:r>
      <w:r>
        <w:rPr>
          <w:rFonts w:hint="eastAsia" w:hAnsi="宋体"/>
          <w:sz w:val="24"/>
        </w:rPr>
        <w:t>磋商响应</w:t>
      </w:r>
      <w:r>
        <w:rPr>
          <w:rFonts w:hint="eastAsia" w:ascii="宋体" w:hAnsi="宋体"/>
          <w:color w:val="000000"/>
          <w:kern w:val="0"/>
          <w:sz w:val="24"/>
        </w:rPr>
        <w:t>文件明显不满足磋商文件的技术规格、技术标准要求或超出偏差范围。</w:t>
      </w:r>
    </w:p>
    <w:p w14:paraId="43FB6437">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④磋商小组判断“</w:t>
      </w:r>
      <w:r>
        <w:rPr>
          <w:rFonts w:hint="eastAsia" w:hAnsi="宋体"/>
          <w:sz w:val="24"/>
        </w:rPr>
        <w:t>磋商响应</w:t>
      </w:r>
      <w:r>
        <w:rPr>
          <w:rFonts w:hint="eastAsia" w:ascii="宋体" w:hAnsi="宋体"/>
          <w:color w:val="000000"/>
          <w:kern w:val="0"/>
          <w:sz w:val="24"/>
        </w:rPr>
        <w:t>文件”的响应性，仅基于“</w:t>
      </w:r>
      <w:r>
        <w:rPr>
          <w:rFonts w:hint="eastAsia" w:hAnsi="宋体"/>
          <w:sz w:val="24"/>
        </w:rPr>
        <w:t>磋商响应</w:t>
      </w:r>
      <w:r>
        <w:rPr>
          <w:rFonts w:hint="eastAsia" w:ascii="宋体" w:hAnsi="宋体"/>
          <w:color w:val="000000"/>
          <w:kern w:val="0"/>
          <w:sz w:val="24"/>
        </w:rPr>
        <w:t>文件”本身而不靠外部证据。</w:t>
      </w:r>
    </w:p>
    <w:p w14:paraId="27B62112">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⑤采购人将拒绝被磋商小组确定为非实质性响应的</w:t>
      </w:r>
      <w:r>
        <w:rPr>
          <w:rFonts w:hint="eastAsia" w:hAnsi="宋体"/>
          <w:sz w:val="24"/>
        </w:rPr>
        <w:t>磋商响应</w:t>
      </w:r>
      <w:r>
        <w:rPr>
          <w:rFonts w:hint="eastAsia" w:ascii="宋体" w:hAnsi="宋体"/>
          <w:color w:val="000000"/>
          <w:kern w:val="0"/>
          <w:sz w:val="24"/>
        </w:rPr>
        <w:t>方。</w:t>
      </w:r>
      <w:r>
        <w:rPr>
          <w:rFonts w:hint="eastAsia" w:hAnsi="宋体"/>
          <w:sz w:val="24"/>
        </w:rPr>
        <w:t>磋商响应</w:t>
      </w:r>
      <w:r>
        <w:rPr>
          <w:rFonts w:hint="eastAsia" w:ascii="宋体" w:hAnsi="宋体"/>
          <w:color w:val="000000"/>
          <w:kern w:val="0"/>
          <w:sz w:val="24"/>
        </w:rPr>
        <w:t>方不能通过修正或撤销不符之处，而使其</w:t>
      </w:r>
      <w:r>
        <w:rPr>
          <w:rFonts w:hint="eastAsia" w:hAnsi="宋体"/>
          <w:sz w:val="24"/>
        </w:rPr>
        <w:t>磋商响应</w:t>
      </w:r>
      <w:r>
        <w:rPr>
          <w:rFonts w:hint="eastAsia" w:ascii="宋体" w:hAnsi="宋体"/>
          <w:color w:val="000000"/>
          <w:kern w:val="0"/>
          <w:sz w:val="24"/>
        </w:rPr>
        <w:t>成为实质性响应的</w:t>
      </w:r>
      <w:r>
        <w:rPr>
          <w:rFonts w:hint="eastAsia" w:hAnsi="宋体"/>
          <w:sz w:val="24"/>
        </w:rPr>
        <w:t>磋商响应</w:t>
      </w:r>
      <w:r>
        <w:rPr>
          <w:rFonts w:hint="eastAsia" w:ascii="宋体" w:hAnsi="宋体"/>
          <w:color w:val="000000"/>
          <w:kern w:val="0"/>
          <w:sz w:val="24"/>
        </w:rPr>
        <w:t>。</w:t>
      </w:r>
    </w:p>
    <w:p w14:paraId="43A41FEF">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w:t>
      </w:r>
      <w:r>
        <w:rPr>
          <w:rFonts w:hint="eastAsia" w:ascii="宋体" w:hAnsi="宋体"/>
          <w:b/>
          <w:bCs/>
          <w:color w:val="000000"/>
          <w:kern w:val="0"/>
          <w:sz w:val="24"/>
        </w:rPr>
        <w:t>磋商响应无效</w:t>
      </w:r>
      <w:r>
        <w:rPr>
          <w:rFonts w:hint="eastAsia" w:ascii="宋体" w:hAnsi="宋体"/>
          <w:b/>
          <w:color w:val="000000"/>
          <w:kern w:val="0"/>
          <w:sz w:val="24"/>
        </w:rPr>
        <w:t>的情形</w:t>
      </w:r>
    </w:p>
    <w:p w14:paraId="058D0BDD">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实质上没有响应</w:t>
      </w:r>
      <w:r>
        <w:rPr>
          <w:rFonts w:hint="eastAsia" w:ascii="宋体" w:hAnsi="宋体" w:cs="宋体"/>
          <w:bCs/>
          <w:sz w:val="24"/>
        </w:rPr>
        <w:t>磋商</w:t>
      </w:r>
      <w:r>
        <w:rPr>
          <w:rFonts w:hint="eastAsia" w:ascii="宋体" w:hAnsi="宋体"/>
          <w:color w:val="000000"/>
          <w:kern w:val="0"/>
          <w:sz w:val="24"/>
        </w:rPr>
        <w:t>文件要求的</w:t>
      </w:r>
      <w:r>
        <w:rPr>
          <w:rFonts w:hint="eastAsia" w:hAnsi="宋体"/>
          <w:sz w:val="24"/>
        </w:rPr>
        <w:t>磋商响应</w:t>
      </w:r>
      <w:r>
        <w:rPr>
          <w:rFonts w:hint="eastAsia" w:ascii="宋体" w:hAnsi="宋体"/>
          <w:color w:val="000000"/>
          <w:kern w:val="0"/>
          <w:sz w:val="24"/>
        </w:rPr>
        <w:t>将被视为无效</w:t>
      </w:r>
      <w:r>
        <w:rPr>
          <w:rFonts w:hint="eastAsia" w:hAnsi="宋体"/>
          <w:sz w:val="24"/>
        </w:rPr>
        <w:t>磋商响应</w:t>
      </w:r>
      <w:r>
        <w:rPr>
          <w:rFonts w:hint="eastAsia" w:ascii="宋体" w:hAnsi="宋体"/>
          <w:color w:val="000000"/>
          <w:kern w:val="0"/>
          <w:sz w:val="24"/>
        </w:rPr>
        <w:t>。</w:t>
      </w:r>
      <w:r>
        <w:rPr>
          <w:rFonts w:hint="eastAsia" w:hAnsi="宋体"/>
          <w:sz w:val="24"/>
        </w:rPr>
        <w:t>磋商响应</w:t>
      </w:r>
      <w:r>
        <w:rPr>
          <w:rFonts w:hint="eastAsia" w:ascii="宋体" w:hAnsi="宋体"/>
          <w:color w:val="000000"/>
          <w:kern w:val="0"/>
          <w:sz w:val="24"/>
        </w:rPr>
        <w:t>人不得通过修正或撤消不合要求的偏离或保留从而使其</w:t>
      </w:r>
      <w:r>
        <w:rPr>
          <w:rFonts w:hint="eastAsia" w:hAnsi="宋体"/>
          <w:sz w:val="24"/>
        </w:rPr>
        <w:t>磋商响应</w:t>
      </w:r>
      <w:r>
        <w:rPr>
          <w:rFonts w:hint="eastAsia" w:ascii="宋体" w:hAnsi="宋体"/>
          <w:color w:val="000000"/>
          <w:kern w:val="0"/>
          <w:sz w:val="24"/>
        </w:rPr>
        <w:t>成为实质上响应的</w:t>
      </w:r>
      <w:r>
        <w:rPr>
          <w:rFonts w:hint="eastAsia" w:hAnsi="宋体"/>
          <w:sz w:val="24"/>
        </w:rPr>
        <w:t>磋商响应</w:t>
      </w:r>
      <w:r>
        <w:rPr>
          <w:rFonts w:hint="eastAsia" w:ascii="宋体" w:hAnsi="宋体"/>
          <w:color w:val="000000"/>
          <w:kern w:val="0"/>
          <w:sz w:val="24"/>
        </w:rPr>
        <w:t>，但经评标委员会认定属于</w:t>
      </w:r>
      <w:r>
        <w:rPr>
          <w:rFonts w:hint="eastAsia" w:hAnsi="宋体"/>
          <w:sz w:val="24"/>
        </w:rPr>
        <w:t>磋商响应</w:t>
      </w:r>
      <w:r>
        <w:rPr>
          <w:rFonts w:hint="eastAsia" w:ascii="宋体" w:hAnsi="宋体"/>
          <w:color w:val="000000"/>
          <w:kern w:val="0"/>
          <w:sz w:val="24"/>
        </w:rPr>
        <w:t>人疏忽、笔误所造成的差错，应当允许其在评标结束之前进行修改或者补正（可以是复印件、传真件等，原件必须加盖单位公章）。修改或者补正</w:t>
      </w:r>
      <w:r>
        <w:rPr>
          <w:rFonts w:hint="eastAsia" w:hAnsi="宋体"/>
          <w:sz w:val="24"/>
        </w:rPr>
        <w:t>磋商响应</w:t>
      </w:r>
      <w:r>
        <w:rPr>
          <w:rFonts w:hint="eastAsia" w:ascii="宋体" w:hAnsi="宋体"/>
          <w:color w:val="000000"/>
          <w:kern w:val="0"/>
          <w:sz w:val="24"/>
        </w:rPr>
        <w:t>文件必须以书面形式进行，并应在中标结果公告之前查核原件。限期内不补正或经补正后仍不符合</w:t>
      </w:r>
      <w:r>
        <w:rPr>
          <w:rFonts w:hint="eastAsia" w:ascii="宋体" w:hAnsi="宋体" w:cs="宋体"/>
          <w:bCs/>
          <w:sz w:val="24"/>
        </w:rPr>
        <w:t>磋商</w:t>
      </w:r>
      <w:r>
        <w:rPr>
          <w:rFonts w:hint="eastAsia" w:ascii="宋体" w:hAnsi="宋体"/>
          <w:color w:val="000000"/>
          <w:kern w:val="0"/>
          <w:sz w:val="24"/>
        </w:rPr>
        <w:t>文件要求的，应认定其</w:t>
      </w:r>
      <w:r>
        <w:rPr>
          <w:rFonts w:hint="eastAsia" w:hAnsi="宋体"/>
          <w:sz w:val="24"/>
        </w:rPr>
        <w:t>磋商响应</w:t>
      </w:r>
      <w:r>
        <w:rPr>
          <w:rFonts w:hint="eastAsia" w:ascii="宋体" w:hAnsi="宋体"/>
          <w:color w:val="000000"/>
          <w:kern w:val="0"/>
          <w:sz w:val="24"/>
        </w:rPr>
        <w:t>无效。</w:t>
      </w:r>
      <w:r>
        <w:rPr>
          <w:rFonts w:hint="eastAsia" w:hAnsi="宋体"/>
          <w:sz w:val="24"/>
        </w:rPr>
        <w:t>磋商响应</w:t>
      </w:r>
      <w:r>
        <w:rPr>
          <w:rFonts w:hint="eastAsia" w:ascii="宋体" w:hAnsi="宋体"/>
          <w:color w:val="000000"/>
          <w:kern w:val="0"/>
          <w:sz w:val="24"/>
        </w:rPr>
        <w:t>人修改、补正</w:t>
      </w:r>
      <w:r>
        <w:rPr>
          <w:rFonts w:hint="eastAsia"/>
          <w:sz w:val="24"/>
        </w:rPr>
        <w:t>磋商响应</w:t>
      </w:r>
      <w:r>
        <w:rPr>
          <w:rFonts w:hint="eastAsia" w:ascii="宋体" w:hAnsi="宋体"/>
          <w:color w:val="000000"/>
          <w:kern w:val="0"/>
          <w:sz w:val="24"/>
        </w:rPr>
        <w:t>文件后，不影响评标委员会对其</w:t>
      </w:r>
      <w:r>
        <w:rPr>
          <w:rFonts w:hint="eastAsia" w:hAnsi="宋体"/>
          <w:sz w:val="24"/>
        </w:rPr>
        <w:t>磋商响应</w:t>
      </w:r>
      <w:r>
        <w:rPr>
          <w:rFonts w:hint="eastAsia" w:ascii="宋体" w:hAnsi="宋体"/>
          <w:color w:val="000000"/>
          <w:kern w:val="0"/>
          <w:sz w:val="24"/>
        </w:rPr>
        <w:t>文件所作的评价和评分结果。</w:t>
      </w:r>
    </w:p>
    <w:p w14:paraId="5B4D02A6">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240" w:firstLineChars="100"/>
        <w:jc w:val="left"/>
        <w:rPr>
          <w:rFonts w:ascii="宋体" w:hAnsi="宋体"/>
          <w:b/>
          <w:kern w:val="0"/>
          <w:sz w:val="24"/>
        </w:rPr>
      </w:pPr>
      <w:r>
        <w:rPr>
          <w:rFonts w:hint="eastAsia" w:ascii="宋体" w:hAnsi="宋体"/>
          <w:b/>
          <w:kern w:val="0"/>
          <w:sz w:val="24"/>
        </w:rPr>
        <w:t>（1）在符合性审查和商务技术评审时，如发现下列情形之一的，磋商响应文件将被视为无效：</w:t>
      </w:r>
    </w:p>
    <w:p w14:paraId="48FB5BB2">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①资格文件不全的，或者不符合</w:t>
      </w:r>
      <w:r>
        <w:rPr>
          <w:rFonts w:hint="eastAsia" w:ascii="宋体" w:hAnsi="宋体" w:cs="宋体"/>
          <w:bCs/>
          <w:sz w:val="24"/>
        </w:rPr>
        <w:t>磋商</w:t>
      </w:r>
      <w:r>
        <w:rPr>
          <w:rFonts w:hint="eastAsia" w:ascii="宋体" w:hAnsi="宋体"/>
          <w:kern w:val="0"/>
          <w:sz w:val="24"/>
        </w:rPr>
        <w:t>文件标明的资格要求的；</w:t>
      </w:r>
    </w:p>
    <w:p w14:paraId="3AE0E8A5">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②</w:t>
      </w:r>
      <w:r>
        <w:rPr>
          <w:rFonts w:hint="eastAsia" w:hAnsi="宋体"/>
          <w:sz w:val="24"/>
        </w:rPr>
        <w:t>磋商响应</w:t>
      </w:r>
      <w:r>
        <w:rPr>
          <w:rFonts w:hint="eastAsia" w:ascii="宋体" w:hAnsi="宋体"/>
          <w:kern w:val="0"/>
          <w:sz w:val="24"/>
        </w:rPr>
        <w:t>文件无法定代表人签字,或未提供法定代表人授权委托书、</w:t>
      </w:r>
      <w:r>
        <w:rPr>
          <w:rFonts w:hint="eastAsia" w:hAnsi="宋体"/>
          <w:sz w:val="24"/>
        </w:rPr>
        <w:t>磋商响应</w:t>
      </w:r>
      <w:r>
        <w:rPr>
          <w:rFonts w:hint="eastAsia" w:ascii="宋体" w:hAnsi="宋体"/>
          <w:kern w:val="0"/>
          <w:sz w:val="24"/>
        </w:rPr>
        <w:t>声明书或者填写项目不齐全的；</w:t>
      </w:r>
    </w:p>
    <w:p w14:paraId="651260C6">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③</w:t>
      </w:r>
      <w:r>
        <w:rPr>
          <w:rFonts w:hint="eastAsia" w:hAnsi="宋体"/>
          <w:sz w:val="24"/>
        </w:rPr>
        <w:t>磋商响应</w:t>
      </w:r>
      <w:r>
        <w:rPr>
          <w:rFonts w:hint="eastAsia" w:ascii="宋体" w:hAnsi="宋体"/>
          <w:kern w:val="0"/>
          <w:sz w:val="24"/>
        </w:rPr>
        <w:t xml:space="preserve">代表人未能出具身份证或与法定代表人授权委托人身份不符的； </w:t>
      </w:r>
    </w:p>
    <w:p w14:paraId="34D63B05">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④</w:t>
      </w:r>
      <w:r>
        <w:rPr>
          <w:rFonts w:hint="eastAsia" w:hAnsi="宋体"/>
          <w:sz w:val="24"/>
        </w:rPr>
        <w:t>磋商响应</w:t>
      </w:r>
      <w:r>
        <w:rPr>
          <w:rFonts w:hint="eastAsia" w:ascii="宋体" w:hAnsi="宋体"/>
          <w:kern w:val="0"/>
          <w:sz w:val="24"/>
        </w:rPr>
        <w:t xml:space="preserve">文件格式不规范、项目不齐全或者提供不真实资料的； </w:t>
      </w:r>
    </w:p>
    <w:p w14:paraId="43E9DF2B">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⑤</w:t>
      </w:r>
      <w:r>
        <w:rPr>
          <w:rFonts w:hint="eastAsia" w:hAnsi="宋体"/>
          <w:sz w:val="24"/>
        </w:rPr>
        <w:t>磋商响应</w:t>
      </w:r>
      <w:r>
        <w:rPr>
          <w:rFonts w:hint="eastAsia" w:ascii="宋体" w:hAnsi="宋体"/>
          <w:kern w:val="0"/>
          <w:sz w:val="24"/>
        </w:rPr>
        <w:t>文件的实质性内容未使用中文表述、意思表述不明确、前后矛盾或者使用计量单位不符合</w:t>
      </w:r>
      <w:r>
        <w:rPr>
          <w:rFonts w:hint="eastAsia" w:ascii="宋体" w:hAnsi="宋体" w:cs="宋体"/>
          <w:bCs/>
          <w:sz w:val="24"/>
        </w:rPr>
        <w:t>磋商</w:t>
      </w:r>
      <w:r>
        <w:rPr>
          <w:rFonts w:hint="eastAsia" w:ascii="宋体" w:hAnsi="宋体"/>
          <w:kern w:val="0"/>
          <w:sz w:val="24"/>
        </w:rPr>
        <w:t>文件要求的（经评标委员会认定并允许其当场更正的笔误除外）；</w:t>
      </w:r>
    </w:p>
    <w:p w14:paraId="5376CB2E">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⑥</w:t>
      </w:r>
      <w:r>
        <w:rPr>
          <w:rFonts w:hint="eastAsia" w:hAnsi="宋体"/>
          <w:sz w:val="24"/>
        </w:rPr>
        <w:t>磋商响应</w:t>
      </w:r>
      <w:r>
        <w:rPr>
          <w:rFonts w:hint="eastAsia" w:ascii="宋体" w:hAnsi="宋体"/>
          <w:kern w:val="0"/>
          <w:sz w:val="24"/>
        </w:rPr>
        <w:t>有效期、交货时间、质保期、付款方式等商务条款不能满足</w:t>
      </w:r>
      <w:r>
        <w:rPr>
          <w:rFonts w:hint="eastAsia" w:ascii="宋体" w:hAnsi="宋体" w:cs="宋体"/>
          <w:bCs/>
          <w:sz w:val="24"/>
        </w:rPr>
        <w:t>磋商</w:t>
      </w:r>
      <w:r>
        <w:rPr>
          <w:rFonts w:hint="eastAsia" w:ascii="宋体" w:hAnsi="宋体"/>
          <w:kern w:val="0"/>
          <w:sz w:val="24"/>
        </w:rPr>
        <w:t>文件要求的；</w:t>
      </w:r>
    </w:p>
    <w:p w14:paraId="18452904">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cs="宋体"/>
          <w:kern w:val="0"/>
          <w:sz w:val="24"/>
        </w:rPr>
        <w:t>⑦</w:t>
      </w:r>
      <w:r>
        <w:rPr>
          <w:rFonts w:hint="eastAsia" w:hAnsi="宋体"/>
          <w:sz w:val="24"/>
        </w:rPr>
        <w:t>磋商响应</w:t>
      </w:r>
      <w:r>
        <w:rPr>
          <w:rFonts w:hint="eastAsia" w:ascii="宋体" w:hAnsi="宋体"/>
          <w:kern w:val="0"/>
          <w:sz w:val="24"/>
        </w:rPr>
        <w:t>技术方案不明确，存在一个或一个以上备选（替代）</w:t>
      </w:r>
      <w:r>
        <w:rPr>
          <w:rFonts w:hint="eastAsia" w:hAnsi="宋体"/>
          <w:sz w:val="24"/>
        </w:rPr>
        <w:t>磋商响应</w:t>
      </w:r>
      <w:r>
        <w:rPr>
          <w:rFonts w:hint="eastAsia" w:ascii="宋体" w:hAnsi="宋体"/>
          <w:kern w:val="0"/>
          <w:sz w:val="24"/>
        </w:rPr>
        <w:t>方案的；</w:t>
      </w:r>
    </w:p>
    <w:p w14:paraId="3A173238">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cs="宋体"/>
          <w:kern w:val="0"/>
          <w:sz w:val="24"/>
        </w:rPr>
        <w:t>⑧</w:t>
      </w:r>
      <w:r>
        <w:rPr>
          <w:rFonts w:hint="eastAsia" w:ascii="宋体" w:hAnsi="宋体"/>
          <w:kern w:val="0"/>
          <w:sz w:val="24"/>
        </w:rPr>
        <w:t>与其他参加本次</w:t>
      </w:r>
      <w:r>
        <w:rPr>
          <w:rFonts w:hint="eastAsia" w:hAnsi="宋体"/>
          <w:sz w:val="24"/>
        </w:rPr>
        <w:t>磋商响应</w:t>
      </w:r>
      <w:r>
        <w:rPr>
          <w:rFonts w:hint="eastAsia" w:ascii="宋体" w:hAnsi="宋体"/>
          <w:kern w:val="0"/>
          <w:sz w:val="24"/>
        </w:rPr>
        <w:t>供应商的</w:t>
      </w:r>
      <w:r>
        <w:rPr>
          <w:rFonts w:hint="eastAsia" w:hAnsi="宋体"/>
          <w:sz w:val="24"/>
        </w:rPr>
        <w:t>磋商响应</w:t>
      </w:r>
      <w:r>
        <w:rPr>
          <w:rFonts w:hint="eastAsia" w:ascii="宋体" w:hAnsi="宋体"/>
          <w:kern w:val="0"/>
          <w:sz w:val="24"/>
        </w:rPr>
        <w:t>文件（技术文件）的文字表述内容相同连续20行以上或者差错相同2处以上的；</w:t>
      </w:r>
    </w:p>
    <w:p w14:paraId="6694FF98">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b/>
          <w:kern w:val="0"/>
          <w:sz w:val="24"/>
        </w:rPr>
      </w:pPr>
      <w:r>
        <w:rPr>
          <w:rFonts w:hint="eastAsia" w:ascii="宋体" w:hAnsi="宋体" w:cs="宋体"/>
          <w:kern w:val="0"/>
          <w:sz w:val="24"/>
        </w:rPr>
        <w:t>⑨</w:t>
      </w:r>
      <w:r>
        <w:rPr>
          <w:rFonts w:hint="eastAsia" w:ascii="宋体" w:hAnsi="宋体"/>
          <w:kern w:val="0"/>
          <w:sz w:val="24"/>
        </w:rPr>
        <w:t>未实质性响应</w:t>
      </w:r>
      <w:r>
        <w:rPr>
          <w:rFonts w:hint="eastAsia" w:ascii="宋体" w:hAnsi="宋体" w:cs="宋体"/>
          <w:bCs/>
          <w:sz w:val="24"/>
        </w:rPr>
        <w:t>磋商</w:t>
      </w:r>
      <w:r>
        <w:rPr>
          <w:rFonts w:hint="eastAsia" w:ascii="宋体" w:hAnsi="宋体"/>
          <w:kern w:val="0"/>
          <w:sz w:val="24"/>
        </w:rPr>
        <w:t>文件要求或</w:t>
      </w:r>
      <w:r>
        <w:rPr>
          <w:rFonts w:hint="eastAsia" w:hAnsi="宋体"/>
          <w:sz w:val="24"/>
        </w:rPr>
        <w:t>磋商响应</w:t>
      </w:r>
      <w:r>
        <w:rPr>
          <w:rFonts w:hint="eastAsia" w:ascii="宋体" w:hAnsi="宋体"/>
          <w:kern w:val="0"/>
          <w:sz w:val="24"/>
        </w:rPr>
        <w:t>文件有</w:t>
      </w:r>
      <w:r>
        <w:rPr>
          <w:rFonts w:hint="eastAsia" w:ascii="宋体" w:hAnsi="宋体" w:cs="宋体"/>
          <w:bCs/>
          <w:sz w:val="24"/>
        </w:rPr>
        <w:t>磋商</w:t>
      </w:r>
      <w:r>
        <w:rPr>
          <w:rFonts w:hint="eastAsia" w:ascii="宋体" w:hAnsi="宋体"/>
          <w:kern w:val="0"/>
          <w:sz w:val="24"/>
        </w:rPr>
        <w:t>方不能接受的附加条件的。</w:t>
      </w:r>
    </w:p>
    <w:p w14:paraId="41BCFF1E">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240" w:firstLineChars="100"/>
        <w:jc w:val="left"/>
        <w:rPr>
          <w:rFonts w:ascii="宋体" w:hAnsi="宋体"/>
          <w:b/>
          <w:kern w:val="0"/>
          <w:sz w:val="24"/>
        </w:rPr>
      </w:pPr>
      <w:r>
        <w:rPr>
          <w:rFonts w:hint="eastAsia" w:ascii="宋体" w:hAnsi="宋体"/>
          <w:b/>
          <w:kern w:val="0"/>
          <w:sz w:val="24"/>
        </w:rPr>
        <w:t>（2）在报价评审时，如发现下列情形之一的，磋商响应文件将被视为无效：</w:t>
      </w:r>
    </w:p>
    <w:p w14:paraId="5DF6A722">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①未采用人民币报价或者未按照</w:t>
      </w:r>
      <w:r>
        <w:rPr>
          <w:rFonts w:hint="eastAsia" w:ascii="宋体" w:hAnsi="宋体" w:cs="宋体"/>
          <w:bCs/>
          <w:sz w:val="24"/>
        </w:rPr>
        <w:t>磋商</w:t>
      </w:r>
      <w:r>
        <w:rPr>
          <w:rFonts w:hint="eastAsia" w:ascii="宋体" w:hAnsi="宋体"/>
          <w:kern w:val="0"/>
          <w:sz w:val="24"/>
        </w:rPr>
        <w:t>文件标明的币种报价的；</w:t>
      </w:r>
    </w:p>
    <w:p w14:paraId="26FBC929">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②报价超出最高限价的；</w:t>
      </w:r>
    </w:p>
    <w:p w14:paraId="024638C2">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③</w:t>
      </w:r>
      <w:r>
        <w:rPr>
          <w:rFonts w:hint="eastAsia" w:hAnsi="宋体"/>
          <w:sz w:val="24"/>
        </w:rPr>
        <w:t>磋商响应</w:t>
      </w:r>
      <w:r>
        <w:rPr>
          <w:rFonts w:hint="eastAsia" w:ascii="宋体" w:hAnsi="宋体"/>
          <w:color w:val="000000"/>
          <w:kern w:val="0"/>
          <w:sz w:val="24"/>
        </w:rPr>
        <w:t>报价具有选择性，或者开标价格与</w:t>
      </w:r>
      <w:r>
        <w:rPr>
          <w:rFonts w:hint="eastAsia" w:hAnsi="宋体"/>
          <w:sz w:val="24"/>
        </w:rPr>
        <w:t>磋商响应</w:t>
      </w:r>
      <w:r>
        <w:rPr>
          <w:rFonts w:hint="eastAsia" w:ascii="宋体" w:hAnsi="宋体"/>
          <w:color w:val="000000"/>
          <w:kern w:val="0"/>
          <w:sz w:val="24"/>
        </w:rPr>
        <w:t>文件承诺的优惠（折扣）价格不一致的；</w:t>
      </w:r>
    </w:p>
    <w:p w14:paraId="5658B46A">
      <w:pPr>
        <w:pStyle w:val="28"/>
        <w:snapToGrid w:val="0"/>
        <w:spacing w:beforeLines="0" w:afterLines="0" w:line="360" w:lineRule="auto"/>
        <w:jc w:val="left"/>
        <w:rPr>
          <w:rFonts w:hAnsi="宋体"/>
          <w:b/>
          <w:szCs w:val="24"/>
        </w:rPr>
      </w:pPr>
      <w:r>
        <w:rPr>
          <w:rFonts w:hint="eastAsia" w:hAnsi="宋体"/>
          <w:b/>
          <w:szCs w:val="24"/>
        </w:rPr>
        <w:t>（十</w:t>
      </w:r>
      <w:r>
        <w:rPr>
          <w:rFonts w:hint="eastAsia" w:hAnsi="宋体"/>
          <w:b/>
          <w:szCs w:val="24"/>
          <w:lang w:eastAsia="zh-CN"/>
        </w:rPr>
        <w:t>五</w:t>
      </w:r>
      <w:r>
        <w:rPr>
          <w:rFonts w:hint="eastAsia" w:hAnsi="宋体"/>
          <w:b/>
          <w:szCs w:val="24"/>
        </w:rPr>
        <w:t>）磋商与评审</w:t>
      </w:r>
    </w:p>
    <w:p w14:paraId="25F56462">
      <w:pPr>
        <w:pStyle w:val="28"/>
        <w:snapToGrid w:val="0"/>
        <w:spacing w:beforeLines="0" w:afterLines="0" w:line="360" w:lineRule="auto"/>
        <w:ind w:firstLine="588" w:firstLineChars="245"/>
        <w:jc w:val="left"/>
        <w:rPr>
          <w:rFonts w:hAnsi="宋体"/>
          <w:color w:val="000000"/>
          <w:kern w:val="0"/>
          <w:szCs w:val="24"/>
        </w:rPr>
      </w:pPr>
      <w:r>
        <w:rPr>
          <w:rFonts w:hint="eastAsia" w:hAnsi="宋体"/>
          <w:color w:val="000000"/>
          <w:kern w:val="0"/>
          <w:szCs w:val="24"/>
        </w:rPr>
        <w:t>1．采购人根据需要对合格</w:t>
      </w:r>
      <w:r>
        <w:rPr>
          <w:rFonts w:hint="eastAsia" w:hAnsi="宋体"/>
          <w:szCs w:val="24"/>
        </w:rPr>
        <w:t>磋商响应</w:t>
      </w:r>
      <w:r>
        <w:rPr>
          <w:rFonts w:hint="eastAsia" w:hAnsi="宋体"/>
          <w:color w:val="000000"/>
          <w:kern w:val="0"/>
          <w:szCs w:val="24"/>
        </w:rPr>
        <w:t>方进行磋商。</w:t>
      </w:r>
    </w:p>
    <w:p w14:paraId="37FA4DE0">
      <w:pPr>
        <w:pStyle w:val="28"/>
        <w:snapToGrid w:val="0"/>
        <w:spacing w:beforeLines="0" w:afterLines="0" w:line="360" w:lineRule="auto"/>
        <w:ind w:firstLine="588" w:firstLineChars="245"/>
        <w:jc w:val="left"/>
        <w:rPr>
          <w:rFonts w:hAnsi="宋体"/>
          <w:b/>
          <w:color w:val="000000"/>
          <w:kern w:val="0"/>
          <w:szCs w:val="24"/>
          <w:u w:val="single"/>
        </w:rPr>
      </w:pPr>
      <w:r>
        <w:rPr>
          <w:rFonts w:hint="eastAsia" w:hAnsi="宋体"/>
          <w:color w:val="000000"/>
          <w:kern w:val="0"/>
          <w:szCs w:val="24"/>
        </w:rPr>
        <w:t>2．磋商小组成员与资格审查合格供应商进行谈判。</w:t>
      </w:r>
      <w:r>
        <w:rPr>
          <w:rFonts w:hint="eastAsia" w:hAnsi="宋体"/>
          <w:szCs w:val="24"/>
        </w:rPr>
        <w:t>磋商响应</w:t>
      </w:r>
      <w:r>
        <w:rPr>
          <w:rFonts w:hint="eastAsia" w:hAnsi="宋体"/>
          <w:color w:val="000000"/>
          <w:kern w:val="0"/>
          <w:szCs w:val="24"/>
        </w:rPr>
        <w:t>方应由法人代表或法人代表授权的</w:t>
      </w:r>
      <w:r>
        <w:rPr>
          <w:rFonts w:hint="eastAsia" w:hAnsi="宋体"/>
          <w:szCs w:val="24"/>
        </w:rPr>
        <w:t>磋商响应</w:t>
      </w:r>
      <w:r>
        <w:rPr>
          <w:rFonts w:hint="eastAsia" w:hAnsi="宋体"/>
          <w:color w:val="000000"/>
          <w:kern w:val="0"/>
          <w:szCs w:val="24"/>
        </w:rPr>
        <w:t>人进行磋商。磋商的内容主要有技术规格、产品质量、售后服务、合同草案，包括当事人的权利和义务、履约期限和方式、资金支付要求、验收标准等</w:t>
      </w:r>
      <w:r>
        <w:rPr>
          <w:rFonts w:hint="eastAsia" w:hAnsi="宋体"/>
          <w:szCs w:val="24"/>
        </w:rPr>
        <w:t>磋商响应</w:t>
      </w:r>
      <w:r>
        <w:rPr>
          <w:rFonts w:hint="eastAsia" w:hAnsi="宋体"/>
          <w:color w:val="000000"/>
          <w:kern w:val="0"/>
          <w:szCs w:val="24"/>
        </w:rPr>
        <w:t>人所作的重要答复均应补充以书面形式，并经法定代表人或授权人签署，作为</w:t>
      </w:r>
      <w:r>
        <w:rPr>
          <w:rFonts w:hint="eastAsia" w:hAnsi="宋体"/>
          <w:szCs w:val="24"/>
        </w:rPr>
        <w:t>磋商响应</w:t>
      </w:r>
      <w:r>
        <w:rPr>
          <w:rFonts w:hint="eastAsia" w:hAnsi="宋体"/>
          <w:color w:val="000000"/>
          <w:kern w:val="0"/>
          <w:szCs w:val="24"/>
        </w:rPr>
        <w:t>文件的一部分，对</w:t>
      </w:r>
      <w:r>
        <w:rPr>
          <w:rFonts w:hint="eastAsia" w:hAnsi="宋体"/>
          <w:szCs w:val="24"/>
        </w:rPr>
        <w:t>磋商响应</w:t>
      </w:r>
      <w:r>
        <w:rPr>
          <w:rFonts w:hint="eastAsia" w:hAnsi="宋体"/>
          <w:color w:val="000000"/>
          <w:kern w:val="0"/>
          <w:szCs w:val="24"/>
        </w:rPr>
        <w:t>人有约束力，但不得对</w:t>
      </w:r>
      <w:r>
        <w:rPr>
          <w:rFonts w:hint="eastAsia" w:hAnsi="宋体"/>
          <w:szCs w:val="24"/>
        </w:rPr>
        <w:t>磋商响应</w:t>
      </w:r>
      <w:r>
        <w:rPr>
          <w:rFonts w:hint="eastAsia" w:hAnsi="宋体"/>
          <w:color w:val="000000"/>
          <w:kern w:val="0"/>
          <w:szCs w:val="24"/>
        </w:rPr>
        <w:t>内容进行实质性修改。在磋商中，磋商的任何一方不得透露与磋商有关的其他供应商的技术资料、价格和其他信息。专家询标期间，</w:t>
      </w:r>
      <w:r>
        <w:rPr>
          <w:rFonts w:hint="eastAsia" w:hAnsi="宋体"/>
          <w:szCs w:val="24"/>
        </w:rPr>
        <w:t>磋商响应</w:t>
      </w:r>
      <w:r>
        <w:rPr>
          <w:rFonts w:hint="eastAsia" w:hAnsi="宋体"/>
          <w:color w:val="000000"/>
          <w:kern w:val="0"/>
          <w:szCs w:val="24"/>
        </w:rPr>
        <w:t>方法定代表人或委托代理人必须在场。</w:t>
      </w:r>
    </w:p>
    <w:p w14:paraId="3E5B267E">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3．为了更好地实现采购目标，磋商小组可能对部分设备进行增删或技术规格、质量要求以及磋商文件的其他条款进行修改，但涉及实质性变动的，要以书面形式通知所有参加磋商的供应商。供应商收到修改磋商文件的通知后，可以决定是否继续参加磋商活动。</w:t>
      </w:r>
    </w:p>
    <w:p w14:paraId="3CC268BE">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4．如对磋商文件中的设备及规格要求没有更改的，即对商务部分进行评审。如果有更改的则按照新的规定，并在启封商务标之前要求所有参加磋商的供应商对修改磋商文件的通知进行签字，在规定时间内再次报价。超过规定时间提交的报价作无效处理。</w:t>
      </w:r>
    </w:p>
    <w:p w14:paraId="6F7C51FE">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kern w:val="0"/>
          <w:sz w:val="24"/>
        </w:rPr>
        <w:t>5</w:t>
      </w:r>
      <w:r>
        <w:rPr>
          <w:rFonts w:hint="eastAsia"/>
          <w:kern w:val="0"/>
          <w:sz w:val="24"/>
        </w:rPr>
        <w:t>．</w:t>
      </w:r>
      <w:r>
        <w:rPr>
          <w:rFonts w:hint="eastAsia" w:ascii="宋体" w:hAnsi="宋体"/>
          <w:color w:val="000000"/>
          <w:kern w:val="0"/>
          <w:sz w:val="24"/>
        </w:rPr>
        <w:t>在评标过程中，如磋商小组在某个评标阶段发现前一阶段评标过程中出现漏评、错评等特殊情形的，可以由磋商小组遵循公开、公正原则，采取投票方式按照少数服从多数原则做出书面评标意见，当场复评更正评标错误，但此复评仅限于供应商出现重大偏离或未实质性响应</w:t>
      </w:r>
      <w:r>
        <w:rPr>
          <w:rFonts w:hint="eastAsia" w:ascii="宋体" w:hAnsi="宋体" w:cs="宋体"/>
          <w:bCs/>
          <w:sz w:val="24"/>
        </w:rPr>
        <w:t>磋商</w:t>
      </w:r>
      <w:r>
        <w:rPr>
          <w:rFonts w:hint="eastAsia" w:ascii="宋体" w:hAnsi="宋体"/>
          <w:color w:val="000000"/>
          <w:kern w:val="0"/>
          <w:sz w:val="24"/>
        </w:rPr>
        <w:t>要求的情形，不得涉及供应商评分得分的更正修改。为此，可能造成的供应商</w:t>
      </w:r>
      <w:r>
        <w:rPr>
          <w:rFonts w:hint="eastAsia" w:hAnsi="宋体"/>
          <w:sz w:val="24"/>
        </w:rPr>
        <w:t>磋商响应</w:t>
      </w:r>
      <w:r>
        <w:rPr>
          <w:rFonts w:hint="eastAsia" w:ascii="宋体" w:hAnsi="宋体"/>
          <w:color w:val="000000"/>
          <w:kern w:val="0"/>
          <w:sz w:val="24"/>
        </w:rPr>
        <w:t>文件的开启拆封，评标顺序的变更，采购人、采购组织机构与磋商小组不承担责任。</w:t>
      </w:r>
    </w:p>
    <w:p w14:paraId="5BFD2DFF">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6．如本项目参与</w:t>
      </w:r>
      <w:r>
        <w:rPr>
          <w:rFonts w:hint="eastAsia" w:hAnsi="宋体"/>
          <w:sz w:val="24"/>
        </w:rPr>
        <w:t>磋商响应</w:t>
      </w:r>
      <w:r>
        <w:rPr>
          <w:rFonts w:hint="eastAsia" w:ascii="宋体" w:hAnsi="宋体"/>
          <w:color w:val="000000"/>
          <w:kern w:val="0"/>
          <w:sz w:val="24"/>
        </w:rPr>
        <w:t>的供应商不足三家的，本项目做流标处理；如本项目在评审过程中出现有效供应商不足三家的，根据实际情况，可以流标；也可以按《浙江省财政厅、省监察厅关于进一步规范政府采购活动的若干意见》【浙财采监字〔2007〕2号】文件规定执行。</w:t>
      </w:r>
    </w:p>
    <w:p w14:paraId="7C56DADE">
      <w:pPr>
        <w:pStyle w:val="28"/>
        <w:snapToGrid w:val="0"/>
        <w:spacing w:beforeLines="0" w:afterLines="0" w:line="360" w:lineRule="auto"/>
        <w:jc w:val="center"/>
        <w:rPr>
          <w:rFonts w:hAnsi="宋体" w:cs="宋体"/>
          <w:b/>
          <w:color w:val="000000"/>
          <w:kern w:val="0"/>
          <w:sz w:val="32"/>
          <w:szCs w:val="32"/>
        </w:rPr>
      </w:pPr>
      <w:r>
        <w:rPr>
          <w:rFonts w:hint="eastAsia" w:hAnsi="宋体" w:cs="宋体"/>
          <w:b/>
          <w:color w:val="000000"/>
          <w:kern w:val="0"/>
          <w:sz w:val="32"/>
          <w:szCs w:val="32"/>
        </w:rPr>
        <w:t>四、磋商程序</w:t>
      </w:r>
    </w:p>
    <w:p w14:paraId="319DA57A">
      <w:pPr>
        <w:pStyle w:val="28"/>
        <w:snapToGrid w:val="0"/>
        <w:spacing w:beforeLines="0" w:afterLines="0" w:line="360" w:lineRule="auto"/>
        <w:jc w:val="left"/>
        <w:rPr>
          <w:rFonts w:hAnsi="宋体" w:cs="宋体"/>
          <w:b/>
          <w:szCs w:val="24"/>
        </w:rPr>
      </w:pPr>
      <w:r>
        <w:rPr>
          <w:rFonts w:hint="eastAsia" w:hAnsi="宋体" w:cs="宋体"/>
          <w:b/>
          <w:szCs w:val="24"/>
        </w:rPr>
        <w:t>（十</w:t>
      </w:r>
      <w:r>
        <w:rPr>
          <w:rFonts w:hint="eastAsia" w:hAnsi="宋体" w:cs="宋体"/>
          <w:b/>
          <w:szCs w:val="24"/>
          <w:lang w:eastAsia="zh-CN"/>
        </w:rPr>
        <w:t>六</w:t>
      </w:r>
      <w:r>
        <w:rPr>
          <w:rFonts w:hint="eastAsia" w:hAnsi="宋体" w:cs="宋体"/>
          <w:b/>
          <w:szCs w:val="24"/>
        </w:rPr>
        <w:t>）磋商程序</w:t>
      </w:r>
    </w:p>
    <w:p w14:paraId="5B8C0A81">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s="宋体"/>
          <w:color w:val="000000"/>
          <w:kern w:val="0"/>
          <w:sz w:val="24"/>
        </w:rPr>
        <w:t>1．初审和初评：</w:t>
      </w:r>
      <w:r>
        <w:rPr>
          <w:rFonts w:hint="eastAsia" w:ascii="宋体" w:hAnsi="宋体" w:cs="宋体"/>
          <w:color w:val="000000"/>
          <w:kern w:val="0"/>
          <w:sz w:val="24"/>
          <w:highlight w:val="none"/>
        </w:rPr>
        <w:t>磋商小组由有关专家共三人以上的单数组成,</w:t>
      </w:r>
      <w:r>
        <w:rPr>
          <w:rFonts w:hint="eastAsia" w:ascii="宋体" w:hAnsi="宋体" w:cs="宋体"/>
          <w:color w:val="000000"/>
          <w:kern w:val="0"/>
          <w:sz w:val="24"/>
        </w:rPr>
        <w:t>磋商小组对所磋商单位的磋商响应书进行初审和初评，</w:t>
      </w:r>
      <w:r>
        <w:rPr>
          <w:rFonts w:hint="eastAsia" w:ascii="宋体" w:hAnsi="宋体" w:cs="宋体"/>
          <w:b/>
          <w:bCs/>
          <w:kern w:val="0"/>
          <w:sz w:val="24"/>
        </w:rPr>
        <w:t>并在最终报价前</w:t>
      </w:r>
      <w:r>
        <w:rPr>
          <w:rFonts w:hint="eastAsia" w:ascii="宋体" w:hAnsi="宋体" w:cs="宋体"/>
          <w:b/>
          <w:bCs/>
          <w:sz w:val="24"/>
        </w:rPr>
        <w:t>公开资格审查和技术商务评审结果</w:t>
      </w:r>
      <w:r>
        <w:rPr>
          <w:rFonts w:hint="eastAsia" w:ascii="宋体" w:hAnsi="宋体" w:cs="宋体"/>
          <w:color w:val="000000"/>
          <w:kern w:val="0"/>
          <w:sz w:val="24"/>
        </w:rPr>
        <w:t>。根据初审和初评的情况，磋商小组</w:t>
      </w:r>
      <w:r>
        <w:rPr>
          <w:rFonts w:hint="eastAsia" w:ascii="宋体" w:hAnsi="宋体"/>
          <w:color w:val="000000"/>
          <w:kern w:val="0"/>
          <w:sz w:val="24"/>
        </w:rPr>
        <w:t>有权决定对初评中最差的磋商单位将取消参加竞争性磋商资格的权力；磋商响应文件存在“▲”项不允许实质性负偏离，或非实质性负偏离超过本文件规定项数的，磋商响应文件无效。</w:t>
      </w:r>
    </w:p>
    <w:p w14:paraId="582BF2B5">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2．第一轮磋商：对进入第一轮磋商的磋商单位再次进行评审、质疑和澄清。在此阶段，磋商小组依据磋商单位递交的磋商响应书进行技术规格、服务和商务磋商，根据评审情况要求磋商单位进行重新承诺服务和第二次商务报价，以满足业主最大需求。</w:t>
      </w:r>
    </w:p>
    <w:p w14:paraId="71AC2ACD">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3．根据第一轮磋商的情况，磋商小组有权决定对第一轮磋商中排名较差的磋商单位将取消参加竞争性磋商资格的权力；</w:t>
      </w:r>
    </w:p>
    <w:p w14:paraId="4A85A3E2">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4．第二轮磋商：对第一轮磋商结果不满意，磋商小组可以再次要求磋商单位进行第二轮磋商，磋商内容及要求跟第一轮磋商一样, 磋商小组有权决定对第二轮磋商中排名较差的磋商单位将取消参加竞争性磋商资格的权力。</w:t>
      </w:r>
    </w:p>
    <w:p w14:paraId="15BD356B">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5．最终磋商：磋商小组对第一、二轮磋商结果都不满意，可以进行第三轮磋商，磋商单位必须在第三轮磋商结束前对磋商服务的技术要求、价格、服务承诺及优惠条件等需求进行最后的承诺，本项目的磋商不少于一轮。</w:t>
      </w:r>
    </w:p>
    <w:p w14:paraId="293DE221">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6．磋商时，磋商供应商应派代表在采购机构指定的地点参加磋商。磋商供应商人员必须及时解释和澄清磋商响应书内容及重新作出承诺，并以书面的形式签署确定等，后一轮磋商的价格、服务承诺及优惠条件等必须优于或等于前一轮磋商的价格、服务承诺及优惠条件等。</w:t>
      </w:r>
    </w:p>
    <w:p w14:paraId="2B47947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7．如果最后一轮的磋商结果不能满足采购单位的需求，此次竞争性磋商失败，采购单位和采购机构另行组织采购。</w:t>
      </w:r>
    </w:p>
    <w:p w14:paraId="6678D501">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8．在磋商期间，采购机构可要求磋商供应商对其磋商响应文件进行澄清，但不得寻求、提供或允许实质性内容做任何更改。有关澄清的要求和答复均应以书面形式提交。</w:t>
      </w:r>
    </w:p>
    <w:p w14:paraId="3C01F7F3">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9．出席磋商的有关人员：监督审查小组和磋商小组成员；监督审查小组负责现场监督。磋商单位的所有磋商响应文件(包括每次报价及重新承诺)截至时间前接收，任何参与磋商的个人均不得私自拆封。磋商小组负责本次项目所有磋商任务，包括全程磋商、推荐磋商成交候选人、填写磋商采购结果报告等。</w:t>
      </w:r>
    </w:p>
    <w:p w14:paraId="5EE0526D">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b/>
          <w:color w:val="000000"/>
          <w:kern w:val="0"/>
          <w:sz w:val="24"/>
        </w:rPr>
      </w:pPr>
      <w:r>
        <w:rPr>
          <w:rFonts w:hint="eastAsia" w:ascii="宋体" w:hAnsi="宋体"/>
          <w:b/>
          <w:color w:val="000000"/>
          <w:kern w:val="0"/>
          <w:sz w:val="24"/>
        </w:rPr>
        <w:t>磋商采购结果确定的原则：</w:t>
      </w:r>
    </w:p>
    <w:p w14:paraId="196B3933">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1．结果确定规则方案：磋商工作必须遵循公平、公正的竞争原则。最大限度地保护当事人的权益，磋商小组应严格按照磋商文件的技术、商务要求，对磋商响应书进行综合分析评价，编制磋商报告。磋商人员必须严格遵守保密规定，不得泄露磋商有关的情况，不得索贿受贿，不得参加影响磋商的任何活动。</w:t>
      </w:r>
    </w:p>
    <w:p w14:paraId="7E2C476D">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b/>
          <w:color w:val="000000"/>
          <w:kern w:val="0"/>
          <w:sz w:val="24"/>
        </w:rPr>
      </w:pPr>
      <w:r>
        <w:rPr>
          <w:rFonts w:hint="eastAsia" w:ascii="宋体" w:hAnsi="宋体"/>
          <w:b/>
          <w:color w:val="000000"/>
          <w:kern w:val="0"/>
          <w:sz w:val="24"/>
        </w:rPr>
        <w:t>2．本次磋商采用综合评分法</w:t>
      </w:r>
    </w:p>
    <w:p w14:paraId="5B272E00">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50" w:lineRule="exact"/>
        <w:ind w:firstLine="540" w:firstLineChars="225"/>
        <w:jc w:val="left"/>
        <w:textAlignment w:val="auto"/>
        <w:rPr>
          <w:rFonts w:hAnsi="宋体"/>
          <w:b/>
          <w:sz w:val="24"/>
        </w:rPr>
      </w:pPr>
      <w:r>
        <w:rPr>
          <w:rFonts w:hint="eastAsia" w:ascii="宋体" w:hAnsi="宋体"/>
          <w:color w:val="000000"/>
          <w:kern w:val="0"/>
          <w:sz w:val="24"/>
        </w:rPr>
        <w:t>本项目磋商单位的确定将以提交的磋商响应文件及澄清文件为依据，在最大限度满足本次磋商的要求（包括服务承诺及国家质量规范标准）的前提下，充分考虑磋商单位的服务承诺，优惠条件等综合比较价格、服务质量、信誉等因素，</w:t>
      </w:r>
      <w:r>
        <w:rPr>
          <w:rFonts w:hint="eastAsia" w:ascii="宋体" w:hAnsi="宋体"/>
          <w:b/>
          <w:bCs/>
          <w:color w:val="000000"/>
          <w:kern w:val="0"/>
          <w:sz w:val="24"/>
        </w:rPr>
        <w:t>由磋商小组推荐综合得分最高的磋商单位作为磋商成交候选人</w:t>
      </w:r>
      <w:r>
        <w:rPr>
          <w:rFonts w:hint="eastAsia" w:ascii="宋体" w:hAnsi="宋体"/>
          <w:color w:val="000000"/>
          <w:kern w:val="0"/>
          <w:sz w:val="24"/>
        </w:rPr>
        <w:t>，磋商小组填写磋商采购结果报告书。</w:t>
      </w:r>
      <w:r>
        <w:rPr>
          <w:rFonts w:hint="eastAsia" w:hAnsi="宋体"/>
          <w:b/>
          <w:sz w:val="24"/>
        </w:rPr>
        <w:t>（十</w:t>
      </w:r>
      <w:r>
        <w:rPr>
          <w:rFonts w:hint="eastAsia" w:hAnsi="宋体"/>
          <w:b/>
          <w:sz w:val="24"/>
          <w:lang w:eastAsia="zh-CN"/>
        </w:rPr>
        <w:t>七</w:t>
      </w:r>
      <w:r>
        <w:rPr>
          <w:rFonts w:hint="eastAsia" w:hAnsi="宋体"/>
          <w:b/>
          <w:sz w:val="24"/>
        </w:rPr>
        <w:t>）</w:t>
      </w:r>
      <w:r>
        <w:rPr>
          <w:rFonts w:hint="eastAsia" w:ascii="宋体" w:hAnsi="宋体" w:cs="宋体"/>
          <w:b/>
          <w:sz w:val="24"/>
        </w:rPr>
        <w:t>磋商</w:t>
      </w:r>
      <w:r>
        <w:rPr>
          <w:rFonts w:hint="eastAsia" w:ascii="宋体" w:hAnsi="宋体" w:cs="宋体"/>
          <w:b/>
          <w:bCs/>
          <w:sz w:val="24"/>
        </w:rPr>
        <w:t>响应</w:t>
      </w:r>
      <w:r>
        <w:rPr>
          <w:rFonts w:hint="eastAsia" w:hAnsi="宋体"/>
          <w:b/>
          <w:sz w:val="24"/>
        </w:rPr>
        <w:t>文件的澄清</w:t>
      </w:r>
    </w:p>
    <w:p w14:paraId="2A29734C">
      <w:pPr>
        <w:pStyle w:val="28"/>
        <w:keepNext w:val="0"/>
        <w:keepLines w:val="0"/>
        <w:pageBreakBefore w:val="0"/>
        <w:widowControl w:val="0"/>
        <w:kinsoku/>
        <w:wordWrap/>
        <w:overflowPunct/>
        <w:topLinePunct w:val="0"/>
        <w:bidi w:val="0"/>
        <w:snapToGrid w:val="0"/>
        <w:spacing w:beforeLines="0" w:afterLines="0" w:line="450" w:lineRule="exact"/>
        <w:ind w:firstLine="480" w:firstLineChars="200"/>
        <w:jc w:val="left"/>
        <w:textAlignment w:val="auto"/>
        <w:rPr>
          <w:rFonts w:hAnsi="宋体"/>
          <w:color w:val="000000"/>
          <w:kern w:val="0"/>
          <w:szCs w:val="24"/>
        </w:rPr>
      </w:pPr>
      <w:r>
        <w:rPr>
          <w:rFonts w:hint="eastAsia" w:hAnsi="宋体"/>
          <w:color w:val="000000"/>
          <w:kern w:val="0"/>
          <w:szCs w:val="24"/>
        </w:rPr>
        <w:t>1．评标时磋商小组有权请</w:t>
      </w:r>
      <w:r>
        <w:rPr>
          <w:rFonts w:hint="eastAsia" w:hAnsi="宋体"/>
          <w:szCs w:val="24"/>
        </w:rPr>
        <w:t>磋商响应</w:t>
      </w:r>
      <w:r>
        <w:rPr>
          <w:rFonts w:hint="eastAsia" w:hAnsi="宋体"/>
          <w:color w:val="000000"/>
          <w:kern w:val="0"/>
          <w:szCs w:val="24"/>
        </w:rPr>
        <w:t>人就</w:t>
      </w:r>
      <w:r>
        <w:rPr>
          <w:rFonts w:hint="eastAsia" w:hAnsi="宋体"/>
          <w:szCs w:val="24"/>
        </w:rPr>
        <w:t>磋商响应</w:t>
      </w:r>
      <w:r>
        <w:rPr>
          <w:rFonts w:hint="eastAsia" w:hAnsi="宋体"/>
          <w:color w:val="000000"/>
          <w:kern w:val="0"/>
          <w:szCs w:val="24"/>
        </w:rPr>
        <w:t>文件加以澄清。</w:t>
      </w:r>
      <w:r>
        <w:rPr>
          <w:rFonts w:hint="eastAsia" w:hAnsi="宋体"/>
          <w:szCs w:val="24"/>
        </w:rPr>
        <w:t>磋商响应</w:t>
      </w:r>
      <w:r>
        <w:rPr>
          <w:rFonts w:hint="eastAsia" w:hAnsi="宋体"/>
          <w:color w:val="000000"/>
          <w:kern w:val="0"/>
          <w:szCs w:val="24"/>
        </w:rPr>
        <w:t>人对要求澄清的问题应以书面形式明确答复，并应有法定代表人或法人授权代表的签署。</w:t>
      </w:r>
      <w:r>
        <w:rPr>
          <w:rFonts w:hint="eastAsia" w:hAnsi="宋体"/>
          <w:szCs w:val="24"/>
        </w:rPr>
        <w:t>磋商响应</w:t>
      </w:r>
      <w:r>
        <w:rPr>
          <w:rFonts w:hint="eastAsia" w:hAnsi="宋体"/>
          <w:color w:val="000000"/>
          <w:kern w:val="0"/>
          <w:szCs w:val="24"/>
        </w:rPr>
        <w:t>人的澄清文件是</w:t>
      </w:r>
      <w:r>
        <w:rPr>
          <w:rFonts w:hint="eastAsia" w:hAnsi="宋体"/>
          <w:szCs w:val="24"/>
        </w:rPr>
        <w:t>磋商响应</w:t>
      </w:r>
      <w:r>
        <w:rPr>
          <w:rFonts w:hint="eastAsia" w:hAnsi="宋体"/>
          <w:color w:val="000000"/>
          <w:kern w:val="0"/>
          <w:szCs w:val="24"/>
        </w:rPr>
        <w:t>文件的组成部分，</w:t>
      </w:r>
      <w:r>
        <w:rPr>
          <w:rFonts w:hint="eastAsia" w:hAnsi="宋体"/>
          <w:szCs w:val="24"/>
        </w:rPr>
        <w:t>磋商响应</w:t>
      </w:r>
      <w:r>
        <w:rPr>
          <w:rFonts w:hint="eastAsia" w:hAnsi="宋体"/>
          <w:color w:val="000000"/>
          <w:kern w:val="0"/>
          <w:szCs w:val="24"/>
        </w:rPr>
        <w:t>文件的澄清不得改变</w:t>
      </w:r>
      <w:r>
        <w:rPr>
          <w:rFonts w:hint="eastAsia" w:hAnsi="宋体"/>
          <w:szCs w:val="24"/>
        </w:rPr>
        <w:t>磋商响应</w:t>
      </w:r>
      <w:r>
        <w:rPr>
          <w:rFonts w:hint="eastAsia" w:hAnsi="宋体"/>
          <w:color w:val="000000"/>
          <w:kern w:val="0"/>
          <w:szCs w:val="24"/>
        </w:rPr>
        <w:t>的实质内容。</w:t>
      </w:r>
    </w:p>
    <w:p w14:paraId="25AA779F">
      <w:pPr>
        <w:pStyle w:val="28"/>
        <w:keepNext w:val="0"/>
        <w:keepLines w:val="0"/>
        <w:pageBreakBefore w:val="0"/>
        <w:widowControl w:val="0"/>
        <w:kinsoku/>
        <w:wordWrap/>
        <w:overflowPunct/>
        <w:topLinePunct w:val="0"/>
        <w:bidi w:val="0"/>
        <w:snapToGrid w:val="0"/>
        <w:spacing w:beforeLines="0" w:afterLines="0" w:line="450" w:lineRule="exact"/>
        <w:ind w:firstLine="480" w:firstLineChars="200"/>
        <w:jc w:val="left"/>
        <w:textAlignment w:val="auto"/>
        <w:rPr>
          <w:rFonts w:hAnsi="宋体"/>
          <w:color w:val="000000"/>
          <w:kern w:val="0"/>
          <w:szCs w:val="24"/>
        </w:rPr>
      </w:pPr>
      <w:r>
        <w:rPr>
          <w:rFonts w:hint="eastAsia" w:hAnsi="宋体"/>
          <w:color w:val="000000"/>
          <w:kern w:val="0"/>
          <w:szCs w:val="24"/>
        </w:rPr>
        <w:t>2．算术的错误将按以下方法修正：小写与大写金额不一致的，以大写金额为准修正；单价金额与总价金额不一致的，以单价为准修正，单价金额小数点有明显错误的，以总价为准；文字与数字不符的，以文字为准修正；磋商响应人不同意上述修正的，其</w:t>
      </w:r>
      <w:r>
        <w:rPr>
          <w:rFonts w:hint="eastAsia" w:hAnsi="宋体"/>
          <w:szCs w:val="24"/>
        </w:rPr>
        <w:t>磋商响应</w:t>
      </w:r>
      <w:r>
        <w:rPr>
          <w:rFonts w:hint="eastAsia" w:hAnsi="宋体"/>
          <w:color w:val="000000"/>
          <w:kern w:val="0"/>
          <w:szCs w:val="24"/>
        </w:rPr>
        <w:t>将被拒绝。</w:t>
      </w:r>
      <w:bookmarkStart w:id="5" w:name="_Toc44759273"/>
      <w:bookmarkStart w:id="6" w:name="_Toc44759085"/>
      <w:bookmarkStart w:id="7" w:name="_Toc15805936"/>
      <w:bookmarkStart w:id="8" w:name="_Toc114115351"/>
      <w:bookmarkStart w:id="9" w:name="_Toc15813253"/>
    </w:p>
    <w:p w14:paraId="259B5DC3">
      <w:pPr>
        <w:keepNext w:val="0"/>
        <w:keepLines w:val="0"/>
        <w:pageBreakBefore w:val="0"/>
        <w:widowControl w:val="0"/>
        <w:kinsoku/>
        <w:wordWrap/>
        <w:overflowPunct/>
        <w:topLinePunct w:val="0"/>
        <w:bidi w:val="0"/>
        <w:snapToGrid w:val="0"/>
        <w:spacing w:line="450" w:lineRule="exact"/>
        <w:jc w:val="center"/>
        <w:textAlignment w:val="auto"/>
        <w:rPr>
          <w:rFonts w:ascii="宋体" w:hAnsi="宋体" w:cs="宋体"/>
          <w:b/>
          <w:kern w:val="44"/>
          <w:sz w:val="32"/>
          <w:szCs w:val="32"/>
        </w:rPr>
      </w:pPr>
      <w:r>
        <w:rPr>
          <w:rFonts w:hint="eastAsia" w:ascii="宋体" w:hAnsi="宋体" w:cs="宋体"/>
          <w:b/>
          <w:kern w:val="44"/>
          <w:sz w:val="32"/>
          <w:szCs w:val="32"/>
        </w:rPr>
        <w:t>五、授予合同</w:t>
      </w:r>
      <w:bookmarkEnd w:id="5"/>
      <w:bookmarkEnd w:id="6"/>
      <w:bookmarkEnd w:id="7"/>
      <w:bookmarkEnd w:id="8"/>
      <w:bookmarkEnd w:id="9"/>
    </w:p>
    <w:p w14:paraId="4B19F73F">
      <w:pPr>
        <w:keepNext w:val="0"/>
        <w:keepLines w:val="0"/>
        <w:pageBreakBefore w:val="0"/>
        <w:widowControl w:val="0"/>
        <w:kinsoku/>
        <w:wordWrap/>
        <w:overflowPunct/>
        <w:topLinePunct w:val="0"/>
        <w:bidi w:val="0"/>
        <w:snapToGrid w:val="0"/>
        <w:spacing w:line="450" w:lineRule="exact"/>
        <w:textAlignment w:val="auto"/>
        <w:rPr>
          <w:rFonts w:ascii="宋体" w:hAnsi="宋体" w:cs="宋体"/>
          <w:b/>
          <w:sz w:val="24"/>
        </w:rPr>
      </w:pPr>
      <w:r>
        <w:rPr>
          <w:rFonts w:hint="eastAsia" w:ascii="宋体" w:hAnsi="宋体" w:cs="宋体"/>
          <w:b/>
          <w:sz w:val="24"/>
        </w:rPr>
        <w:t>（十</w:t>
      </w:r>
      <w:r>
        <w:rPr>
          <w:rFonts w:hint="eastAsia" w:ascii="宋体" w:hAnsi="宋体" w:cs="宋体"/>
          <w:b/>
          <w:sz w:val="24"/>
          <w:lang w:eastAsia="zh-CN"/>
        </w:rPr>
        <w:t>八</w:t>
      </w:r>
      <w:r>
        <w:rPr>
          <w:rFonts w:hint="eastAsia" w:ascii="宋体" w:hAnsi="宋体" w:cs="宋体"/>
          <w:b/>
          <w:sz w:val="24"/>
        </w:rPr>
        <w:t>）合同授予标准</w:t>
      </w:r>
    </w:p>
    <w:p w14:paraId="233DD1CD">
      <w:pPr>
        <w:pStyle w:val="28"/>
        <w:keepNext w:val="0"/>
        <w:keepLines w:val="0"/>
        <w:pageBreakBefore w:val="0"/>
        <w:widowControl w:val="0"/>
        <w:kinsoku/>
        <w:wordWrap/>
        <w:overflowPunct/>
        <w:topLinePunct w:val="0"/>
        <w:bidi w:val="0"/>
        <w:snapToGrid w:val="0"/>
        <w:spacing w:beforeLines="0" w:afterLines="0" w:line="450" w:lineRule="exact"/>
        <w:ind w:firstLine="480" w:firstLineChars="200"/>
        <w:jc w:val="left"/>
        <w:textAlignment w:val="auto"/>
        <w:rPr>
          <w:rFonts w:hAnsi="宋体" w:cs="宋体"/>
          <w:color w:val="000000"/>
          <w:kern w:val="0"/>
          <w:szCs w:val="24"/>
        </w:rPr>
      </w:pPr>
      <w:r>
        <w:rPr>
          <w:rFonts w:hint="eastAsia" w:hAnsi="宋体" w:cs="宋体"/>
          <w:color w:val="000000"/>
          <w:kern w:val="0"/>
          <w:szCs w:val="24"/>
        </w:rPr>
        <w:t>在审标、询标及调查考核的基础上，磋商小组按照平等、客观、公正的原则，根据评标办法进行综合评定。本项目响应文件基本符合竞争性磋商采购要求，</w:t>
      </w:r>
      <w:r>
        <w:rPr>
          <w:rFonts w:hint="eastAsia" w:hAnsi="宋体" w:cs="宋体"/>
          <w:b/>
          <w:color w:val="000000"/>
          <w:kern w:val="0"/>
          <w:szCs w:val="24"/>
        </w:rPr>
        <w:t>能够最大限度满足竞争性磋商采购中规定的各项综合评价标准.</w:t>
      </w:r>
    </w:p>
    <w:p w14:paraId="3DC392BC">
      <w:pPr>
        <w:pStyle w:val="28"/>
        <w:keepNext w:val="0"/>
        <w:keepLines w:val="0"/>
        <w:pageBreakBefore w:val="0"/>
        <w:widowControl w:val="0"/>
        <w:kinsoku/>
        <w:wordWrap/>
        <w:overflowPunct/>
        <w:topLinePunct w:val="0"/>
        <w:bidi w:val="0"/>
        <w:snapToGrid w:val="0"/>
        <w:spacing w:beforeLines="0" w:afterLines="0" w:line="450" w:lineRule="exact"/>
        <w:jc w:val="left"/>
        <w:textAlignment w:val="auto"/>
        <w:rPr>
          <w:rFonts w:hAnsi="宋体" w:cs="宋体"/>
          <w:b/>
          <w:szCs w:val="24"/>
        </w:rPr>
      </w:pPr>
      <w:r>
        <w:rPr>
          <w:rFonts w:hint="eastAsia" w:hAnsi="宋体" w:cs="宋体"/>
          <w:b/>
          <w:szCs w:val="24"/>
        </w:rPr>
        <w:t>（十</w:t>
      </w:r>
      <w:r>
        <w:rPr>
          <w:rFonts w:hint="eastAsia" w:hAnsi="宋体" w:cs="宋体"/>
          <w:b/>
          <w:szCs w:val="24"/>
          <w:lang w:eastAsia="zh-CN"/>
        </w:rPr>
        <w:t>九</w:t>
      </w:r>
      <w:r>
        <w:rPr>
          <w:rFonts w:hint="eastAsia" w:hAnsi="宋体" w:cs="宋体"/>
          <w:b/>
          <w:szCs w:val="24"/>
        </w:rPr>
        <w:t>）中标通知书</w:t>
      </w:r>
    </w:p>
    <w:p w14:paraId="3647BD43">
      <w:pPr>
        <w:keepNext w:val="0"/>
        <w:keepLines w:val="0"/>
        <w:pageBreakBefore w:val="0"/>
        <w:widowControl w:val="0"/>
        <w:kinsoku/>
        <w:wordWrap/>
        <w:overflowPunct/>
        <w:topLinePunct w:val="0"/>
        <w:bidi w:val="0"/>
        <w:spacing w:line="450" w:lineRule="exact"/>
        <w:ind w:firstLine="480" w:firstLineChars="200"/>
        <w:textAlignment w:val="auto"/>
        <w:rPr>
          <w:rFonts w:ascii="宋体" w:hAnsi="宋体"/>
          <w:b/>
          <w:sz w:val="24"/>
        </w:rPr>
      </w:pPr>
      <w:r>
        <w:rPr>
          <w:rFonts w:hint="eastAsia" w:ascii="宋体" w:hAnsi="宋体" w:cs="宋体"/>
          <w:sz w:val="24"/>
        </w:rPr>
        <w:t>1．磋商结束后，自中标、成交供应商确定之日起2个工作</w:t>
      </w:r>
      <w:r>
        <w:rPr>
          <w:rFonts w:hint="eastAsia" w:ascii="宋体" w:hAnsi="宋体"/>
          <w:sz w:val="24"/>
        </w:rPr>
        <w:t>日内，发《中标通知书》，并在浙江省政府采购网上发布中标、成交结果公告。</w:t>
      </w:r>
    </w:p>
    <w:p w14:paraId="653A3FCF">
      <w:pPr>
        <w:keepNext w:val="0"/>
        <w:keepLines w:val="0"/>
        <w:pageBreakBefore w:val="0"/>
        <w:widowControl w:val="0"/>
        <w:kinsoku/>
        <w:wordWrap/>
        <w:overflowPunct/>
        <w:topLinePunct w:val="0"/>
        <w:bidi w:val="0"/>
        <w:spacing w:line="450" w:lineRule="exact"/>
        <w:ind w:firstLine="480" w:firstLineChars="200"/>
        <w:textAlignment w:val="auto"/>
        <w:rPr>
          <w:rFonts w:ascii="宋体" w:hAnsi="宋体"/>
          <w:b/>
          <w:sz w:val="24"/>
        </w:rPr>
      </w:pPr>
      <w:r>
        <w:rPr>
          <w:rFonts w:hint="eastAsia" w:ascii="宋体" w:hAnsi="宋体"/>
          <w:sz w:val="24"/>
        </w:rPr>
        <w:t>2．中标通知书发出后，若成交供应商放弃中标，应当承担相应的法律责任，中标通知书对采购人和成交供应商具有同等法律效力。</w:t>
      </w:r>
    </w:p>
    <w:p w14:paraId="228A92BF">
      <w:pPr>
        <w:pStyle w:val="28"/>
        <w:keepNext w:val="0"/>
        <w:keepLines w:val="0"/>
        <w:pageBreakBefore w:val="0"/>
        <w:widowControl w:val="0"/>
        <w:kinsoku/>
        <w:wordWrap/>
        <w:overflowPunct/>
        <w:topLinePunct w:val="0"/>
        <w:bidi w:val="0"/>
        <w:snapToGrid w:val="0"/>
        <w:spacing w:beforeLines="0" w:afterLines="0" w:line="450" w:lineRule="exact"/>
        <w:jc w:val="left"/>
        <w:textAlignment w:val="auto"/>
        <w:rPr>
          <w:rFonts w:hAnsi="宋体"/>
          <w:b/>
          <w:szCs w:val="24"/>
        </w:rPr>
      </w:pPr>
      <w:r>
        <w:rPr>
          <w:rFonts w:hint="eastAsia" w:hAnsi="宋体"/>
          <w:b/>
          <w:szCs w:val="24"/>
        </w:rPr>
        <w:t>（</w:t>
      </w:r>
      <w:r>
        <w:rPr>
          <w:rFonts w:hint="eastAsia" w:hAnsi="宋体"/>
          <w:b/>
          <w:szCs w:val="24"/>
          <w:lang w:eastAsia="zh-CN"/>
        </w:rPr>
        <w:t>二十</w:t>
      </w:r>
      <w:r>
        <w:rPr>
          <w:rFonts w:hint="eastAsia" w:hAnsi="宋体"/>
          <w:b/>
          <w:szCs w:val="24"/>
        </w:rPr>
        <w:t>）签订合同</w:t>
      </w:r>
    </w:p>
    <w:p w14:paraId="3AC43997">
      <w:pPr>
        <w:keepNext w:val="0"/>
        <w:keepLines w:val="0"/>
        <w:pageBreakBefore w:val="0"/>
        <w:widowControl w:val="0"/>
        <w:kinsoku/>
        <w:wordWrap/>
        <w:overflowPunct/>
        <w:topLinePunct w:val="0"/>
        <w:bidi w:val="0"/>
        <w:spacing w:line="450" w:lineRule="exact"/>
        <w:ind w:firstLine="480" w:firstLineChars="200"/>
        <w:textAlignment w:val="auto"/>
        <w:rPr>
          <w:rFonts w:ascii="黑体" w:hAnsi="黑体" w:eastAsia="黑体" w:cs="宋体"/>
          <w:b/>
          <w:bCs/>
          <w:sz w:val="24"/>
        </w:rPr>
      </w:pPr>
      <w:r>
        <w:rPr>
          <w:rFonts w:hint="eastAsia" w:ascii="宋体" w:hAnsi="宋体" w:cs="宋体"/>
          <w:sz w:val="24"/>
        </w:rPr>
        <w:t>采购人与中标供应商应当在《中标通知书》发出之日起10日内签订采购合同，如中标供应商拖延、拒签合同，在10日内未完成合同签订的，按自动放弃中标处理，并承担相应的法律责任，中标通知书对采购人和中标供应商具有同等法律效力。当确定的中标供应商放弃中标，采购人可以依此类推，由第二预中标供应商中标，或重新组织</w:t>
      </w:r>
      <w:r>
        <w:rPr>
          <w:rFonts w:hint="eastAsia" w:ascii="宋体" w:hAnsi="宋体" w:cs="宋体"/>
          <w:bCs/>
          <w:sz w:val="24"/>
        </w:rPr>
        <w:t>磋商</w:t>
      </w:r>
      <w:r>
        <w:rPr>
          <w:rFonts w:hint="eastAsia" w:ascii="宋体" w:hAnsi="宋体" w:cs="宋体"/>
          <w:sz w:val="24"/>
        </w:rPr>
        <w:t>。</w:t>
      </w:r>
    </w:p>
    <w:p w14:paraId="1C0377E8">
      <w:pPr>
        <w:pStyle w:val="28"/>
        <w:keepNext w:val="0"/>
        <w:keepLines w:val="0"/>
        <w:pageBreakBefore w:val="0"/>
        <w:widowControl w:val="0"/>
        <w:kinsoku/>
        <w:wordWrap/>
        <w:overflowPunct/>
        <w:topLinePunct w:val="0"/>
        <w:bidi w:val="0"/>
        <w:snapToGrid w:val="0"/>
        <w:spacing w:beforeLines="0" w:afterLines="0" w:line="450" w:lineRule="exact"/>
        <w:jc w:val="left"/>
        <w:textAlignment w:val="auto"/>
        <w:rPr>
          <w:rFonts w:hAnsi="宋体"/>
          <w:b/>
          <w:szCs w:val="24"/>
        </w:rPr>
      </w:pPr>
      <w:r>
        <w:rPr>
          <w:rFonts w:hint="eastAsia" w:hAnsi="宋体"/>
          <w:b/>
          <w:szCs w:val="24"/>
        </w:rPr>
        <w:t>（二十</w:t>
      </w:r>
      <w:r>
        <w:rPr>
          <w:rFonts w:hint="eastAsia" w:hAnsi="宋体"/>
          <w:b/>
          <w:szCs w:val="24"/>
          <w:lang w:eastAsia="zh-CN"/>
        </w:rPr>
        <w:t>一</w:t>
      </w:r>
      <w:r>
        <w:rPr>
          <w:rFonts w:hint="eastAsia" w:hAnsi="宋体"/>
          <w:b/>
          <w:szCs w:val="24"/>
        </w:rPr>
        <w:t>）履约保证金</w:t>
      </w:r>
    </w:p>
    <w:p w14:paraId="30C9E819">
      <w:pPr>
        <w:keepNext w:val="0"/>
        <w:keepLines w:val="0"/>
        <w:pageBreakBefore w:val="0"/>
        <w:widowControl w:val="0"/>
        <w:kinsoku/>
        <w:wordWrap/>
        <w:overflowPunct/>
        <w:topLinePunct w:val="0"/>
        <w:bidi w:val="0"/>
        <w:spacing w:line="450" w:lineRule="exact"/>
        <w:ind w:firstLine="480" w:firstLineChars="200"/>
        <w:textAlignment w:val="auto"/>
        <w:rPr>
          <w:rFonts w:ascii="Calibri" w:hAnsi="Calibri"/>
          <w:b/>
          <w:bCs/>
          <w:kern w:val="44"/>
          <w:sz w:val="36"/>
          <w:szCs w:val="44"/>
        </w:rPr>
      </w:pPr>
      <w:r>
        <w:rPr>
          <w:rFonts w:hint="eastAsia" w:hAnsi="宋体"/>
          <w:kern w:val="0"/>
          <w:sz w:val="24"/>
        </w:rPr>
        <w:t>本项目不设履约保证金。</w:t>
      </w:r>
      <w:r>
        <w:rPr>
          <w:rFonts w:hint="eastAsia" w:ascii="Calibri" w:hAnsi="Calibri"/>
          <w:b/>
          <w:bCs/>
          <w:kern w:val="44"/>
          <w:sz w:val="36"/>
          <w:szCs w:val="44"/>
        </w:rPr>
        <w:br w:type="page"/>
      </w:r>
    </w:p>
    <w:p w14:paraId="0B7E086A">
      <w:pPr>
        <w:numPr>
          <w:ilvl w:val="0"/>
          <w:numId w:val="4"/>
        </w:numPr>
        <w:spacing w:line="360" w:lineRule="auto"/>
        <w:jc w:val="center"/>
        <w:rPr>
          <w:rFonts w:ascii="宋体" w:hAnsi="宋体" w:cs="宋体"/>
          <w:b/>
          <w:bCs/>
          <w:kern w:val="44"/>
          <w:sz w:val="36"/>
          <w:szCs w:val="36"/>
        </w:rPr>
      </w:pPr>
      <w:r>
        <w:rPr>
          <w:rFonts w:hint="eastAsia" w:ascii="宋体" w:hAnsi="宋体" w:cs="宋体"/>
          <w:b/>
          <w:bCs/>
          <w:kern w:val="44"/>
          <w:sz w:val="36"/>
          <w:szCs w:val="36"/>
        </w:rPr>
        <w:t xml:space="preserve"> 采购需求</w:t>
      </w:r>
    </w:p>
    <w:p w14:paraId="4E922809">
      <w:pPr>
        <w:pStyle w:val="28"/>
        <w:spacing w:beforeLines="0" w:afterLines="0" w:line="360" w:lineRule="auto"/>
        <w:ind w:firstLine="240" w:firstLineChars="100"/>
        <w:outlineLvl w:val="0"/>
        <w:rPr>
          <w:rFonts w:hAnsi="宋体" w:cs="宋体"/>
          <w:b/>
          <w:bCs/>
          <w:color w:val="0D0D0D"/>
          <w:szCs w:val="24"/>
        </w:rPr>
      </w:pPr>
      <w:r>
        <w:rPr>
          <w:rFonts w:hint="eastAsia" w:hAnsi="宋体" w:cs="宋体"/>
          <w:b/>
          <w:bCs/>
          <w:color w:val="0D0D0D"/>
          <w:szCs w:val="24"/>
        </w:rPr>
        <w:t>一、项目基本情况</w:t>
      </w:r>
    </w:p>
    <w:p w14:paraId="3A9936A1">
      <w:pPr>
        <w:pStyle w:val="28"/>
        <w:spacing w:beforeLines="0" w:afterLines="0" w:line="360" w:lineRule="auto"/>
        <w:ind w:firstLine="480" w:firstLineChars="200"/>
        <w:rPr>
          <w:rFonts w:hint="eastAsia" w:hAnsi="宋体" w:cs="宋体"/>
          <w:color w:val="0D0D0D"/>
          <w:szCs w:val="24"/>
          <w:lang w:eastAsia="zh-CN"/>
        </w:rPr>
      </w:pPr>
      <w:r>
        <w:rPr>
          <w:rFonts w:hint="eastAsia" w:hAnsi="宋体" w:cs="宋体"/>
          <w:color w:val="0D0D0D"/>
          <w:szCs w:val="24"/>
        </w:rPr>
        <w:t>1、项目编号：</w:t>
      </w:r>
      <w:r>
        <w:rPr>
          <w:rFonts w:hint="eastAsia" w:hAnsi="宋体" w:cs="宋体"/>
          <w:color w:val="0D0D0D"/>
          <w:szCs w:val="24"/>
          <w:lang w:eastAsia="zh-CN"/>
        </w:rPr>
        <w:t>浙房东招2024002号</w:t>
      </w:r>
    </w:p>
    <w:p w14:paraId="13E08AA0">
      <w:pPr>
        <w:pStyle w:val="28"/>
        <w:spacing w:beforeLines="0" w:afterLines="0" w:line="360" w:lineRule="auto"/>
        <w:ind w:firstLine="480" w:firstLineChars="200"/>
        <w:rPr>
          <w:rFonts w:hAnsi="宋体" w:cs="宋体"/>
          <w:szCs w:val="24"/>
        </w:rPr>
      </w:pPr>
      <w:r>
        <w:rPr>
          <w:rFonts w:hint="eastAsia" w:hAnsi="宋体" w:cs="宋体"/>
          <w:szCs w:val="24"/>
        </w:rPr>
        <w:t>2、项目名称：</w:t>
      </w:r>
      <w:r>
        <w:rPr>
          <w:rFonts w:hint="eastAsia" w:hAnsi="宋体" w:cs="宋体"/>
          <w:bCs/>
          <w:szCs w:val="24"/>
        </w:rPr>
        <w:t>“新鲜水果进校园，助力学生健康成长”服务采购项目</w:t>
      </w:r>
    </w:p>
    <w:p w14:paraId="738F79DE">
      <w:pPr>
        <w:spacing w:line="360" w:lineRule="auto"/>
        <w:ind w:firstLine="240" w:firstLineChars="100"/>
        <w:rPr>
          <w:rFonts w:ascii="宋体" w:hAnsi="宋体" w:cs="宋体"/>
          <w:b/>
          <w:bCs/>
          <w:sz w:val="24"/>
        </w:rPr>
      </w:pPr>
      <w:r>
        <w:rPr>
          <w:rFonts w:hint="eastAsia" w:ascii="宋体" w:hAnsi="宋体" w:cs="宋体"/>
          <w:b/>
          <w:sz w:val="24"/>
        </w:rPr>
        <w:t>二、项目概况</w:t>
      </w:r>
    </w:p>
    <w:p w14:paraId="59A4FEBE">
      <w:pPr>
        <w:pStyle w:val="8"/>
        <w:spacing w:line="360" w:lineRule="auto"/>
        <w:ind w:firstLine="480" w:firstLineChars="200"/>
        <w:rPr>
          <w:rFonts w:ascii="宋体" w:hAnsi="宋体" w:cs="宋体"/>
          <w:kern w:val="0"/>
          <w:sz w:val="24"/>
          <w:szCs w:val="24"/>
        </w:rPr>
      </w:pPr>
      <w:r>
        <w:rPr>
          <w:rFonts w:hint="eastAsia" w:ascii="宋体" w:hAnsi="宋体" w:cs="宋体"/>
          <w:sz w:val="24"/>
          <w:szCs w:val="24"/>
        </w:rPr>
        <w:t>为满足学生对购买新鲜水果的需求，助力学生健康成长</w:t>
      </w:r>
      <w:r>
        <w:rPr>
          <w:rFonts w:hint="eastAsia" w:ascii="宋体" w:hAnsi="宋体" w:cs="宋体"/>
          <w:kern w:val="0"/>
          <w:sz w:val="24"/>
          <w:szCs w:val="24"/>
        </w:rPr>
        <w:t>，</w:t>
      </w:r>
      <w:r>
        <w:rPr>
          <w:rFonts w:hint="eastAsia" w:ascii="宋体" w:hAnsi="宋体" w:cs="宋体"/>
          <w:sz w:val="24"/>
          <w:szCs w:val="24"/>
        </w:rPr>
        <w:t>通过社会化、市场化、专业化运作，依照“廉洁、服务、节俭”的原则，引进一家专业公司进行服务。</w:t>
      </w:r>
    </w:p>
    <w:p w14:paraId="6870FE06">
      <w:pPr>
        <w:spacing w:line="360" w:lineRule="auto"/>
        <w:ind w:firstLine="240" w:firstLineChars="100"/>
        <w:jc w:val="left"/>
        <w:rPr>
          <w:rFonts w:ascii="宋体" w:hAnsi="宋体" w:cs="宋体"/>
          <w:bCs/>
          <w:sz w:val="24"/>
        </w:rPr>
      </w:pPr>
      <w:r>
        <w:rPr>
          <w:rFonts w:hint="eastAsia" w:ascii="宋体" w:hAnsi="宋体" w:cs="宋体"/>
          <w:b/>
          <w:kern w:val="0"/>
          <w:sz w:val="24"/>
        </w:rPr>
        <w:t>三、项目主要服务内容</w:t>
      </w:r>
    </w:p>
    <w:p w14:paraId="105AC72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1.供应商在</w:t>
      </w:r>
      <w:r>
        <w:rPr>
          <w:rFonts w:hint="eastAsia" w:ascii="宋体" w:hAnsi="宋体" w:cs="宋体"/>
          <w:bCs/>
          <w:color w:val="0D0D0D"/>
          <w:sz w:val="24"/>
          <w:lang w:eastAsia="zh-CN"/>
        </w:rPr>
        <w:t>浙江省东阳市巍山高级中学</w:t>
      </w:r>
      <w:r>
        <w:rPr>
          <w:rFonts w:hint="eastAsia" w:ascii="宋体" w:hAnsi="宋体" w:cs="宋体"/>
          <w:sz w:val="24"/>
        </w:rPr>
        <w:t>摆放</w:t>
      </w:r>
      <w:r>
        <w:rPr>
          <w:rFonts w:hint="eastAsia" w:ascii="宋体" w:hAnsi="宋体" w:cs="宋体"/>
          <w:kern w:val="0"/>
          <w:sz w:val="24"/>
        </w:rPr>
        <w:t>水果自助售卖机</w:t>
      </w:r>
      <w:r>
        <w:rPr>
          <w:rFonts w:hint="eastAsia" w:ascii="宋体" w:hAnsi="宋体" w:cs="宋体"/>
          <w:sz w:val="24"/>
        </w:rPr>
        <w:t>，</w:t>
      </w:r>
      <w:r>
        <w:rPr>
          <w:rFonts w:hint="eastAsia" w:ascii="宋体" w:hAnsi="宋体" w:cs="宋体"/>
          <w:kern w:val="0"/>
          <w:sz w:val="24"/>
        </w:rPr>
        <w:t>具体点位和数量按采购人要求</w:t>
      </w:r>
      <w:r>
        <w:rPr>
          <w:rFonts w:hint="eastAsia" w:ascii="宋体" w:hAnsi="宋体" w:cs="宋体"/>
          <w:sz w:val="24"/>
        </w:rPr>
        <w:t>。</w:t>
      </w:r>
    </w:p>
    <w:p w14:paraId="2723C767">
      <w:pPr>
        <w:spacing w:line="360" w:lineRule="auto"/>
        <w:ind w:firstLine="480" w:firstLineChars="200"/>
        <w:jc w:val="left"/>
        <w:rPr>
          <w:rFonts w:ascii="宋体" w:hAnsi="宋体" w:cs="宋体"/>
          <w:sz w:val="24"/>
        </w:rPr>
      </w:pPr>
      <w:r>
        <w:rPr>
          <w:rFonts w:hint="eastAsia" w:ascii="宋体" w:hAnsi="宋体" w:cs="宋体"/>
          <w:bCs/>
          <w:sz w:val="24"/>
        </w:rPr>
        <w:t>2.供应商应按照采购人指定</w:t>
      </w:r>
      <w:r>
        <w:rPr>
          <w:rFonts w:hint="eastAsia" w:ascii="宋体" w:hAnsi="宋体" w:cs="宋体"/>
          <w:sz w:val="24"/>
        </w:rPr>
        <w:t>水果品种</w:t>
      </w:r>
      <w:r>
        <w:rPr>
          <w:rFonts w:hint="eastAsia" w:ascii="宋体" w:hAnsi="宋体" w:cs="宋体"/>
          <w:bCs/>
          <w:sz w:val="24"/>
        </w:rPr>
        <w:t>进行</w:t>
      </w:r>
      <w:r>
        <w:rPr>
          <w:rFonts w:hint="eastAsia" w:ascii="宋体" w:hAnsi="宋体" w:cs="宋体"/>
          <w:kern w:val="0"/>
          <w:sz w:val="24"/>
        </w:rPr>
        <w:t>售卖，并且有150平方以上的水果操作间（包括仓库、清洗、去皮、切配、包装等操作间），运营公司与设备提供商为同一家公司，并拥有技术专利证书等，配备一辆冷链运输车。</w:t>
      </w:r>
    </w:p>
    <w:p w14:paraId="77EECF3D">
      <w:pPr>
        <w:spacing w:line="360" w:lineRule="auto"/>
        <w:ind w:firstLine="480" w:firstLineChars="200"/>
        <w:rPr>
          <w:rFonts w:ascii="宋体" w:hAnsi="宋体" w:cs="宋体"/>
          <w:sz w:val="24"/>
          <w:shd w:val="clear" w:color="auto" w:fill="FFFFFF"/>
        </w:rPr>
      </w:pPr>
      <w:r>
        <w:rPr>
          <w:rFonts w:hint="eastAsia" w:ascii="宋体" w:hAnsi="宋体" w:cs="宋体"/>
          <w:bCs/>
          <w:sz w:val="24"/>
        </w:rPr>
        <w:t>3.</w:t>
      </w:r>
      <w:r>
        <w:rPr>
          <w:rFonts w:hint="eastAsia" w:ascii="宋体" w:hAnsi="宋体" w:cs="宋体"/>
          <w:sz w:val="24"/>
          <w:shd w:val="clear" w:color="auto" w:fill="FFFFFF"/>
        </w:rPr>
        <w:t>供应商提供的水果自助售卖机各项技术符合国家质量及使用安全标准，水果自助售卖机外观风格须与学校环境一致，保证外形美观协调。</w:t>
      </w:r>
    </w:p>
    <w:p w14:paraId="3A0D4D78">
      <w:pPr>
        <w:spacing w:line="360" w:lineRule="auto"/>
        <w:ind w:firstLine="480" w:firstLineChars="200"/>
        <w:rPr>
          <w:rFonts w:ascii="宋体" w:hAnsi="宋体" w:cs="宋体"/>
          <w:bCs/>
          <w:sz w:val="24"/>
        </w:rPr>
      </w:pPr>
      <w:r>
        <w:rPr>
          <w:rFonts w:hint="eastAsia" w:ascii="宋体" w:hAnsi="宋体" w:cs="宋体"/>
          <w:sz w:val="24"/>
          <w:shd w:val="clear" w:color="auto" w:fill="FFFFFF"/>
        </w:rPr>
        <w:t>4.供应商提供的水果自助售卖机，产权归供应商所有，自行承担设备维修维护，并保证设施24小时正常运行，</w:t>
      </w:r>
      <w:r>
        <w:rPr>
          <w:rFonts w:hint="eastAsia" w:ascii="宋体" w:hAnsi="宋体" w:cs="宋体"/>
          <w:bCs/>
          <w:sz w:val="24"/>
        </w:rPr>
        <w:t>负责日常经营、服务、管理，自负盈亏，</w:t>
      </w:r>
      <w:r>
        <w:rPr>
          <w:rFonts w:hint="eastAsia" w:ascii="宋体" w:hAnsi="宋体" w:cs="宋体"/>
          <w:sz w:val="24"/>
          <w:shd w:val="clear" w:color="auto" w:fill="FFFFFF"/>
        </w:rPr>
        <w:t>不允许转包他人经营</w:t>
      </w:r>
      <w:r>
        <w:rPr>
          <w:rFonts w:hint="eastAsia" w:ascii="宋体" w:hAnsi="宋体" w:cs="宋体"/>
          <w:bCs/>
          <w:sz w:val="24"/>
        </w:rPr>
        <w:t>。</w:t>
      </w:r>
    </w:p>
    <w:p w14:paraId="3E8418E7">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5.采购人为供应商提供</w:t>
      </w:r>
      <w:r>
        <w:rPr>
          <w:rFonts w:hint="eastAsia" w:ascii="宋体" w:hAnsi="宋体" w:cs="宋体"/>
          <w:sz w:val="24"/>
          <w:shd w:val="clear" w:color="auto" w:fill="FFFFFF"/>
        </w:rPr>
        <w:t>场地和固定电源</w:t>
      </w:r>
      <w:r>
        <w:rPr>
          <w:rFonts w:hint="eastAsia" w:ascii="宋体" w:hAnsi="宋体" w:cs="宋体"/>
          <w:sz w:val="24"/>
        </w:rPr>
        <w:t>。供应商在服务期间，所有网络费、营业税、工商、环保、卫生、城管、治安等费用，均由供应商自负。水、电费供应商每季按表（供应商必须在每个</w:t>
      </w:r>
      <w:r>
        <w:rPr>
          <w:rFonts w:hint="eastAsia" w:ascii="宋体" w:hAnsi="宋体" w:cs="宋体"/>
          <w:kern w:val="0"/>
          <w:sz w:val="24"/>
        </w:rPr>
        <w:t>点位的</w:t>
      </w:r>
      <w:r>
        <w:rPr>
          <w:rFonts w:hint="eastAsia" w:ascii="宋体" w:hAnsi="宋体" w:cs="宋体"/>
          <w:sz w:val="24"/>
        </w:rPr>
        <w:t>水果自助售卖机旁安装电表）按时缴纳。逾期将停电停水处理。</w:t>
      </w:r>
    </w:p>
    <w:p w14:paraId="7EC25EDB">
      <w:pPr>
        <w:widowControl/>
        <w:snapToGrid w:val="0"/>
        <w:spacing w:line="360" w:lineRule="auto"/>
        <w:ind w:firstLine="480" w:firstLineChars="200"/>
        <w:jc w:val="left"/>
        <w:rPr>
          <w:rFonts w:ascii="宋体" w:hAnsi="宋体" w:cs="宋体"/>
          <w:sz w:val="24"/>
        </w:rPr>
      </w:pPr>
      <w:r>
        <w:rPr>
          <w:rFonts w:hint="eastAsia" w:ascii="宋体" w:hAnsi="宋体" w:cs="宋体"/>
          <w:sz w:val="24"/>
        </w:rPr>
        <w:t>6.供应商必须遵守国家的法律、法规，遵守采购人的规章制度，做到优质服务，文明经营。供应商必须服从采购人的管理、监督以及有关部门的检查。在服务期间，如发生食物中毒、治安、环卫、消防等重大责任事故，供应商独立承担相应法律责任，并承担与事故相关的其它所有费用。</w:t>
      </w:r>
    </w:p>
    <w:p w14:paraId="5FDFC2B5">
      <w:pPr>
        <w:spacing w:line="360" w:lineRule="auto"/>
        <w:ind w:firstLine="480" w:firstLineChars="200"/>
        <w:rPr>
          <w:rFonts w:ascii="宋体" w:hAnsi="宋体" w:cs="宋体"/>
          <w:sz w:val="24"/>
        </w:rPr>
      </w:pPr>
      <w:r>
        <w:rPr>
          <w:rFonts w:hint="eastAsia" w:ascii="宋体" w:hAnsi="宋体" w:cs="宋体"/>
          <w:sz w:val="24"/>
        </w:rPr>
        <w:t>7.供应商必须严格遵守《中华人民共和国食品安全法》、《中华人民</w:t>
      </w:r>
      <w:r>
        <w:rPr>
          <w:rFonts w:hint="eastAsia" w:ascii="宋体" w:hAnsi="宋体" w:cs="宋体"/>
          <w:kern w:val="0"/>
          <w:sz w:val="24"/>
        </w:rPr>
        <w:t>共和国产品质量法》等相关规定</w:t>
      </w:r>
      <w:r>
        <w:rPr>
          <w:rFonts w:hint="eastAsia" w:ascii="宋体" w:hAnsi="宋体" w:cs="宋体"/>
          <w:sz w:val="24"/>
        </w:rPr>
        <w:t xml:space="preserve">。 </w:t>
      </w:r>
    </w:p>
    <w:p w14:paraId="4808EDD0">
      <w:pPr>
        <w:pStyle w:val="28"/>
        <w:spacing w:beforeLines="0" w:afterLines="0" w:line="360" w:lineRule="auto"/>
        <w:ind w:firstLine="480" w:firstLineChars="200"/>
        <w:rPr>
          <w:rFonts w:hAnsi="宋体" w:cs="宋体"/>
          <w:szCs w:val="24"/>
        </w:rPr>
      </w:pPr>
      <w:r>
        <w:rPr>
          <w:rFonts w:hint="eastAsia" w:hAnsi="宋体" w:cs="宋体"/>
          <w:szCs w:val="24"/>
        </w:rPr>
        <w:t>8.</w:t>
      </w:r>
      <w:r>
        <w:rPr>
          <w:rFonts w:hint="eastAsia" w:hAnsi="宋体" w:cs="宋体"/>
          <w:bCs/>
          <w:szCs w:val="24"/>
        </w:rPr>
        <w:t>服务期</w:t>
      </w:r>
      <w:r>
        <w:rPr>
          <w:rFonts w:hint="eastAsia" w:hAnsi="宋体" w:cs="宋体"/>
          <w:szCs w:val="24"/>
        </w:rPr>
        <w:t>内供应商劳动用工必须符合相关法律法规，如有违法违规用工行为，责任由供应商自行承担。</w:t>
      </w:r>
    </w:p>
    <w:p w14:paraId="6EA49838">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bCs/>
          <w:sz w:val="24"/>
        </w:rPr>
        <w:t>供应商应</w:t>
      </w:r>
      <w:r>
        <w:rPr>
          <w:rFonts w:hint="eastAsia" w:ascii="宋体" w:hAnsi="宋体" w:cs="宋体"/>
          <w:sz w:val="24"/>
        </w:rPr>
        <w:t>依法申办工商、税务、公安、卫生等证件，取得合法经营资格，费用自负。供应商及其从业人员须具有身份证、健康证、暂住证以及从业人员资格证。</w:t>
      </w:r>
    </w:p>
    <w:p w14:paraId="0FF3E9B5">
      <w:pPr>
        <w:spacing w:line="360" w:lineRule="auto"/>
        <w:ind w:firstLine="480" w:firstLineChars="200"/>
        <w:rPr>
          <w:rFonts w:ascii="宋体" w:hAnsi="宋体" w:cs="宋体"/>
          <w:sz w:val="24"/>
        </w:rPr>
      </w:pPr>
      <w:r>
        <w:rPr>
          <w:rFonts w:hint="eastAsia" w:ascii="宋体" w:hAnsi="宋体" w:cs="宋体"/>
          <w:sz w:val="24"/>
        </w:rPr>
        <w:t>10.服务期间中标人必须服从采购人的现场管理。</w:t>
      </w:r>
    </w:p>
    <w:p w14:paraId="0D80194D">
      <w:pPr>
        <w:spacing w:line="360" w:lineRule="auto"/>
        <w:ind w:firstLine="240" w:firstLineChars="100"/>
        <w:jc w:val="left"/>
        <w:rPr>
          <w:rFonts w:ascii="宋体" w:hAnsi="宋体" w:cs="宋体"/>
          <w:sz w:val="24"/>
          <w:shd w:val="clear" w:color="auto" w:fill="FFFFFF"/>
        </w:rPr>
      </w:pPr>
      <w:r>
        <w:rPr>
          <w:rFonts w:hint="eastAsia" w:ascii="宋体" w:hAnsi="宋体" w:cs="宋体"/>
          <w:b/>
          <w:bCs/>
          <w:sz w:val="24"/>
          <w:shd w:val="clear" w:color="auto" w:fill="FFFFFF"/>
        </w:rPr>
        <w:t>四、服务要求</w:t>
      </w:r>
    </w:p>
    <w:p w14:paraId="6A8118B3">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1.供应商必须承诺售卖水果的种类、数量、满足学校要求。</w:t>
      </w:r>
    </w:p>
    <w:p w14:paraId="59FF163E">
      <w:pPr>
        <w:spacing w:line="360" w:lineRule="auto"/>
        <w:ind w:firstLine="480" w:firstLineChars="200"/>
        <w:jc w:val="left"/>
        <w:rPr>
          <w:rFonts w:ascii="宋体" w:hAnsi="宋体" w:cs="宋体"/>
          <w:sz w:val="24"/>
        </w:rPr>
      </w:pPr>
      <w:r>
        <w:rPr>
          <w:rFonts w:hint="eastAsia" w:ascii="宋体" w:hAnsi="宋体" w:cs="宋体"/>
          <w:sz w:val="24"/>
        </w:rPr>
        <w:t>2.每天必须保障2次 (上午11时之前、下午16时之前) 更新盒装水果 (盒装水果注明上架日期，采用密封、充氮保鲜包装) ，整果48小时必须全部下架更新。</w:t>
      </w:r>
    </w:p>
    <w:p w14:paraId="3478A336">
      <w:pPr>
        <w:spacing w:line="360" w:lineRule="auto"/>
        <w:ind w:firstLine="480" w:firstLineChars="200"/>
        <w:jc w:val="left"/>
        <w:rPr>
          <w:rFonts w:ascii="宋体" w:hAnsi="宋体" w:cs="宋体"/>
          <w:sz w:val="24"/>
        </w:rPr>
      </w:pPr>
      <w:r>
        <w:rPr>
          <w:rFonts w:hint="eastAsia" w:ascii="宋体" w:hAnsi="宋体" w:cs="宋体"/>
          <w:sz w:val="24"/>
        </w:rPr>
        <w:t>3.新鲜水果全程冷藏车配送到学校，温控在0-10°C。</w:t>
      </w:r>
    </w:p>
    <w:p w14:paraId="5682A91C">
      <w:pPr>
        <w:spacing w:line="360" w:lineRule="auto"/>
        <w:ind w:firstLine="480" w:firstLineChars="200"/>
        <w:jc w:val="left"/>
        <w:rPr>
          <w:rFonts w:ascii="宋体" w:hAnsi="宋体" w:cs="宋体"/>
          <w:sz w:val="24"/>
        </w:rPr>
      </w:pPr>
      <w:r>
        <w:rPr>
          <w:rFonts w:hint="eastAsia" w:ascii="宋体" w:hAnsi="宋体" w:cs="宋体"/>
          <w:sz w:val="24"/>
        </w:rPr>
        <w:t>4.每天同步提供新鲜水果农残检测报告，及第三方检测机构报告 (菌落总数、大肠菌群.沙门氏菌、金黄色葡萄球菌、单核细胞增生李斯特氏菌等检测报告)。</w:t>
      </w:r>
    </w:p>
    <w:p w14:paraId="12C02ACB">
      <w:pPr>
        <w:spacing w:line="360" w:lineRule="auto"/>
        <w:ind w:firstLine="480" w:firstLineChars="200"/>
        <w:jc w:val="left"/>
        <w:rPr>
          <w:rFonts w:ascii="宋体" w:hAnsi="宋体" w:cs="宋体"/>
          <w:sz w:val="24"/>
        </w:rPr>
      </w:pPr>
      <w:r>
        <w:rPr>
          <w:rFonts w:hint="eastAsia" w:ascii="宋体" w:hAnsi="宋体" w:cs="宋体"/>
          <w:sz w:val="24"/>
        </w:rPr>
        <w:t>5.提供智慧反馈终端设备，高效受理、解决师生售后问题。</w:t>
      </w:r>
    </w:p>
    <w:p w14:paraId="7734518D">
      <w:pPr>
        <w:spacing w:line="360" w:lineRule="auto"/>
        <w:ind w:firstLine="480" w:firstLineChars="200"/>
        <w:jc w:val="left"/>
        <w:rPr>
          <w:rFonts w:ascii="宋体" w:hAnsi="宋体" w:cs="宋体"/>
          <w:sz w:val="24"/>
        </w:rPr>
      </w:pPr>
      <w:r>
        <w:rPr>
          <w:rFonts w:hint="eastAsia" w:ascii="宋体" w:hAnsi="宋体" w:cs="宋体"/>
          <w:sz w:val="24"/>
        </w:rPr>
        <w:t>6.兼容校园一卡通、刷脸、手机扫码等多种支付方式。</w:t>
      </w:r>
    </w:p>
    <w:p w14:paraId="3D0DA0E3">
      <w:pPr>
        <w:widowControl/>
        <w:wordWrap w:val="0"/>
        <w:spacing w:line="360" w:lineRule="auto"/>
        <w:ind w:firstLine="480" w:firstLineChars="200"/>
        <w:jc w:val="left"/>
        <w:rPr>
          <w:rFonts w:ascii="宋体" w:hAnsi="宋体" w:cs="宋体"/>
          <w:sz w:val="24"/>
        </w:rPr>
      </w:pPr>
      <w:r>
        <w:rPr>
          <w:rFonts w:hint="eastAsia" w:ascii="宋体" w:hAnsi="宋体" w:cs="宋体"/>
          <w:sz w:val="24"/>
        </w:rPr>
        <w:t>7.水果必须保证新鲜，当季水果，外形正常，成熟度良好，口感好，色泽鲜明，无发霉发黄，无变质，无虫害、无虫咬，且大小均匀，农药残留不超标。</w:t>
      </w:r>
      <w:r>
        <w:rPr>
          <w:rFonts w:hint="eastAsia" w:ascii="宋体" w:hAnsi="宋体" w:cs="宋体"/>
          <w:sz w:val="24"/>
        </w:rPr>
        <w:tab/>
      </w:r>
    </w:p>
    <w:p w14:paraId="4A23B74F">
      <w:pPr>
        <w:pStyle w:val="255"/>
        <w:spacing w:line="360" w:lineRule="auto"/>
        <w:ind w:firstLine="480"/>
        <w:jc w:val="left"/>
        <w:rPr>
          <w:rFonts w:ascii="宋体" w:hAnsi="宋体" w:cs="宋体"/>
          <w:bCs/>
          <w:sz w:val="24"/>
        </w:rPr>
      </w:pPr>
      <w:r>
        <w:rPr>
          <w:rFonts w:hint="eastAsia" w:ascii="宋体" w:hAnsi="宋体" w:cs="宋体"/>
          <w:bCs/>
          <w:sz w:val="24"/>
        </w:rPr>
        <w:t>8.供应商所提供的水果必须符合国家有关食品卫生、安全质量等方面的要求。所提供的水果质量，必须经采购人验收，验收合格后才能进行售卖。如验收达不到采购人要求，则应立刻退回，若供应商不听劝告，一再坚持错误继续售卖，采购人有权终止与供应商的采购合同，由此造成的一切损失由供应商承担。</w:t>
      </w:r>
    </w:p>
    <w:p w14:paraId="45ACE85C">
      <w:pPr>
        <w:spacing w:line="360" w:lineRule="auto"/>
        <w:ind w:firstLine="480" w:firstLineChars="200"/>
        <w:rPr>
          <w:rFonts w:ascii="宋体" w:hAnsi="宋体" w:cs="宋体"/>
          <w:sz w:val="24"/>
          <w:shd w:val="clear" w:color="auto" w:fill="FFFFFF"/>
        </w:rPr>
      </w:pPr>
      <w:r>
        <w:rPr>
          <w:rFonts w:hint="eastAsia" w:ascii="宋体" w:hAnsi="宋体" w:cs="宋体"/>
          <w:sz w:val="24"/>
        </w:rPr>
        <w:t>9.运输和装卸食品的容器、工具和设备应当安全、无害，保持清洁，防止食品污染，并符合保证食品安全所需的温度、湿度等特殊要求，不得将食品与有毒、有害物品一同贮存、运输。</w:t>
      </w:r>
    </w:p>
    <w:p w14:paraId="1C20F97C">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10.水果自助售卖机发生故障后供应商承诺在24小时内修理完毕。</w:t>
      </w:r>
    </w:p>
    <w:p w14:paraId="1F57181E">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11.水果自助售卖机售卖造成的安全事故或纠纷由供应商自行处理并要圆满解决，采购人可提供协助。如果发生有效投诉的，采购人将对供应商进行处罚。</w:t>
      </w:r>
    </w:p>
    <w:p w14:paraId="41C12EAC">
      <w:pPr>
        <w:spacing w:line="360" w:lineRule="auto"/>
        <w:ind w:firstLine="480" w:firstLineChars="200"/>
        <w:jc w:val="left"/>
        <w:rPr>
          <w:rFonts w:ascii="宋体" w:hAnsi="宋体" w:cs="宋体"/>
          <w:b/>
          <w:bCs/>
          <w:kern w:val="0"/>
          <w:sz w:val="24"/>
        </w:rPr>
      </w:pPr>
      <w:r>
        <w:rPr>
          <w:rFonts w:hint="eastAsia" w:ascii="宋体" w:hAnsi="宋体" w:cs="宋体"/>
          <w:sz w:val="24"/>
          <w:shd w:val="clear" w:color="auto" w:fill="FFFFFF"/>
        </w:rPr>
        <w:t>12.供应商须承诺在合同签定后30天内将设备投入使用。</w:t>
      </w:r>
    </w:p>
    <w:p w14:paraId="3FE356AD">
      <w:pPr>
        <w:spacing w:line="360" w:lineRule="auto"/>
        <w:ind w:firstLine="240" w:firstLineChars="100"/>
        <w:jc w:val="left"/>
        <w:rPr>
          <w:rFonts w:ascii="宋体" w:hAnsi="宋体" w:cs="宋体"/>
          <w:b/>
          <w:bCs/>
          <w:sz w:val="24"/>
        </w:rPr>
      </w:pPr>
      <w:r>
        <w:rPr>
          <w:rFonts w:hint="eastAsia" w:ascii="宋体" w:hAnsi="宋体" w:cs="宋体"/>
          <w:b/>
          <w:bCs/>
          <w:kern w:val="0"/>
          <w:sz w:val="24"/>
        </w:rPr>
        <w:t>五、</w:t>
      </w:r>
      <w:r>
        <w:rPr>
          <w:rFonts w:hint="eastAsia" w:ascii="宋体" w:hAnsi="宋体" w:cs="宋体"/>
          <w:b/>
          <w:bCs/>
          <w:sz w:val="24"/>
        </w:rPr>
        <w:t>现场踏勘</w:t>
      </w:r>
    </w:p>
    <w:p w14:paraId="210AD05F">
      <w:pPr>
        <w:spacing w:line="360" w:lineRule="auto"/>
        <w:ind w:firstLine="480" w:firstLineChars="200"/>
        <w:jc w:val="left"/>
        <w:rPr>
          <w:rFonts w:ascii="宋体" w:hAnsi="宋体" w:cs="宋体"/>
          <w:sz w:val="24"/>
        </w:rPr>
      </w:pPr>
      <w:r>
        <w:rPr>
          <w:rFonts w:hint="eastAsia" w:ascii="宋体" w:hAnsi="宋体" w:cs="宋体"/>
          <w:sz w:val="24"/>
        </w:rPr>
        <w:t>1.供应商可根据需要自行前往项目位置和周围环境进行勘察，以便获取编制</w:t>
      </w:r>
      <w:r>
        <w:rPr>
          <w:rFonts w:hint="eastAsia" w:ascii="宋体" w:hAnsi="宋体" w:cs="宋体"/>
          <w:kern w:val="0"/>
          <w:sz w:val="24"/>
        </w:rPr>
        <w:t>响应文件等</w:t>
      </w:r>
      <w:r>
        <w:rPr>
          <w:rFonts w:hint="eastAsia" w:ascii="宋体" w:hAnsi="宋体" w:cs="宋体"/>
          <w:sz w:val="24"/>
        </w:rPr>
        <w:t>所需的一切资料，勘察现场所发生的费用、责任与风险均由供应商自己承担。</w:t>
      </w:r>
    </w:p>
    <w:p w14:paraId="7BB5C76E">
      <w:pPr>
        <w:spacing w:line="360" w:lineRule="auto"/>
        <w:ind w:firstLine="480" w:firstLineChars="200"/>
        <w:jc w:val="left"/>
        <w:rPr>
          <w:rFonts w:ascii="宋体" w:hAnsi="宋体" w:cs="宋体"/>
          <w:sz w:val="24"/>
        </w:rPr>
      </w:pPr>
      <w:r>
        <w:rPr>
          <w:rFonts w:hint="eastAsia" w:ascii="宋体" w:hAnsi="宋体" w:cs="宋体"/>
          <w:sz w:val="24"/>
        </w:rPr>
        <w:t>2.现场勘察时，供应商可向采购人询问项目位置的地形、原有设施拆除、水文地质、水源、电源、交通条件、临时设施等情况，以帮助了解现场条件，并充分了解自己将承担的风险、义务和责任。</w:t>
      </w:r>
    </w:p>
    <w:p w14:paraId="499D8579">
      <w:pPr>
        <w:spacing w:line="360" w:lineRule="auto"/>
        <w:ind w:firstLine="480" w:firstLineChars="200"/>
        <w:jc w:val="left"/>
        <w:rPr>
          <w:rFonts w:ascii="宋体" w:hAnsi="宋体" w:cs="宋体"/>
          <w:sz w:val="24"/>
        </w:rPr>
      </w:pPr>
      <w:r>
        <w:rPr>
          <w:rFonts w:hint="eastAsia" w:ascii="宋体" w:hAnsi="宋体" w:cs="宋体"/>
          <w:sz w:val="24"/>
        </w:rPr>
        <w:t>3.中标后, 中标人不得以未对现场勘察或勘察不详为由调整价款或提出其他任何权利主张。</w:t>
      </w:r>
    </w:p>
    <w:p w14:paraId="70B7DBF7">
      <w:pPr>
        <w:spacing w:line="360" w:lineRule="auto"/>
        <w:ind w:firstLine="240" w:firstLineChars="100"/>
        <w:rPr>
          <w:rFonts w:ascii="宋体" w:hAnsi="宋体" w:cs="宋体"/>
          <w:b/>
          <w:color w:val="auto"/>
          <w:sz w:val="24"/>
        </w:rPr>
      </w:pPr>
      <w:r>
        <w:rPr>
          <w:rFonts w:hint="eastAsia" w:ascii="宋体" w:hAnsi="宋体" w:cs="宋体"/>
          <w:color w:val="auto"/>
          <w:sz w:val="24"/>
        </w:rPr>
        <w:t>▲六</w:t>
      </w:r>
      <w:r>
        <w:rPr>
          <w:rFonts w:hint="eastAsia" w:ascii="宋体" w:hAnsi="宋体" w:cs="宋体"/>
          <w:b/>
          <w:color w:val="auto"/>
          <w:sz w:val="24"/>
        </w:rPr>
        <w:t>、价格标准</w:t>
      </w:r>
    </w:p>
    <w:p w14:paraId="730DF072">
      <w:pPr>
        <w:numPr>
          <w:ilvl w:val="0"/>
          <w:numId w:val="5"/>
        </w:numPr>
        <w:spacing w:line="360" w:lineRule="auto"/>
        <w:ind w:firstLine="480" w:firstLineChars="200"/>
        <w:rPr>
          <w:rFonts w:ascii="宋体" w:hAnsi="宋体" w:cs="宋体"/>
          <w:color w:val="auto"/>
          <w:sz w:val="24"/>
        </w:rPr>
      </w:pPr>
      <w:r>
        <w:rPr>
          <w:rFonts w:hint="eastAsia" w:ascii="宋体" w:hAnsi="宋体" w:eastAsia="宋体" w:cs="宋体"/>
          <w:color w:val="auto"/>
          <w:sz w:val="24"/>
          <w:szCs w:val="24"/>
        </w:rPr>
        <w:t>水果售价</w:t>
      </w:r>
      <w:r>
        <w:rPr>
          <w:rStyle w:val="277"/>
          <w:rFonts w:hint="eastAsia" w:ascii="宋体" w:hAnsi="宋体" w:eastAsia="宋体" w:cs="宋体"/>
          <w:color w:val="auto"/>
          <w:sz w:val="24"/>
          <w:szCs w:val="24"/>
        </w:rPr>
        <w:t>必须</w:t>
      </w:r>
      <w:r>
        <w:rPr>
          <w:rStyle w:val="277"/>
          <w:rFonts w:hint="eastAsia" w:ascii="宋体" w:hAnsi="宋体" w:cs="宋体"/>
          <w:color w:val="auto"/>
          <w:sz w:val="24"/>
          <w:szCs w:val="24"/>
          <w:lang w:val="en-US"/>
        </w:rPr>
        <w:t>向</w:t>
      </w:r>
      <w:r>
        <w:rPr>
          <w:rStyle w:val="277"/>
          <w:rFonts w:hint="eastAsia" w:ascii="宋体" w:hAnsi="宋体" w:eastAsia="宋体" w:cs="宋体"/>
          <w:color w:val="auto"/>
          <w:sz w:val="24"/>
          <w:szCs w:val="24"/>
        </w:rPr>
        <w:t>采购人报</w:t>
      </w:r>
      <w:r>
        <w:rPr>
          <w:rStyle w:val="277"/>
          <w:rFonts w:hint="eastAsia" w:ascii="宋体" w:hAnsi="宋体" w:cs="宋体"/>
          <w:color w:val="auto"/>
          <w:sz w:val="24"/>
          <w:szCs w:val="24"/>
          <w:lang w:val="en-US"/>
        </w:rPr>
        <w:t>备</w:t>
      </w:r>
      <w:r>
        <w:rPr>
          <w:rStyle w:val="277"/>
          <w:rFonts w:hint="eastAsia" w:ascii="宋体" w:hAnsi="宋体" w:eastAsia="宋体" w:cs="宋体"/>
          <w:color w:val="auto"/>
          <w:sz w:val="24"/>
          <w:szCs w:val="24"/>
        </w:rPr>
        <w:t>，</w:t>
      </w:r>
      <w:r>
        <w:rPr>
          <w:rStyle w:val="277"/>
          <w:rFonts w:hint="eastAsia" w:ascii="宋体" w:hAnsi="宋体" w:cs="宋体"/>
          <w:color w:val="auto"/>
          <w:sz w:val="24"/>
          <w:szCs w:val="24"/>
          <w:lang w:val="en-US"/>
        </w:rPr>
        <w:t>并</w:t>
      </w:r>
      <w:r>
        <w:rPr>
          <w:rStyle w:val="277"/>
          <w:rFonts w:hint="eastAsia" w:ascii="宋体" w:hAnsi="宋体" w:cs="宋体"/>
          <w:color w:val="auto"/>
          <w:sz w:val="24"/>
        </w:rPr>
        <w:t>在项目实施处“大屏”公示，</w:t>
      </w:r>
      <w:r>
        <w:rPr>
          <w:rFonts w:hint="eastAsia" w:ascii="宋体" w:hAnsi="宋体" w:cs="宋体"/>
          <w:color w:val="auto"/>
          <w:sz w:val="24"/>
        </w:rPr>
        <w:t>不得高于当地大型商超同类同质水果的价格</w:t>
      </w:r>
      <w:r>
        <w:rPr>
          <w:rFonts w:hint="eastAsia" w:ascii="宋体" w:hAnsi="宋体" w:cs="宋体"/>
          <w:color w:val="auto"/>
          <w:sz w:val="24"/>
          <w:shd w:val="clear" w:color="auto" w:fill="FFFFFF"/>
        </w:rPr>
        <w:t>，</w:t>
      </w:r>
      <w:r>
        <w:rPr>
          <w:rFonts w:hint="eastAsia" w:ascii="宋体" w:hAnsi="宋体" w:cs="宋体"/>
          <w:color w:val="auto"/>
          <w:sz w:val="24"/>
        </w:rPr>
        <w:t>销售价格受采购人监督。</w:t>
      </w:r>
    </w:p>
    <w:p w14:paraId="44E769AC">
      <w:pPr>
        <w:spacing w:line="360" w:lineRule="auto"/>
        <w:ind w:firstLine="480" w:firstLineChars="200"/>
        <w:rPr>
          <w:rFonts w:ascii="宋体" w:hAnsi="宋体" w:cs="宋体"/>
          <w:color w:val="auto"/>
          <w:sz w:val="24"/>
        </w:rPr>
      </w:pPr>
      <w:r>
        <w:rPr>
          <w:rFonts w:hint="eastAsia" w:ascii="宋体" w:hAnsi="宋体" w:cs="宋体"/>
          <w:color w:val="auto"/>
          <w:sz w:val="24"/>
        </w:rPr>
        <w:t>2、投标人按</w:t>
      </w:r>
      <w:r>
        <w:rPr>
          <w:rFonts w:hint="eastAsia" w:ascii="宋体" w:hAnsi="宋体" w:cs="宋体"/>
          <w:b/>
          <w:bCs/>
          <w:color w:val="auto"/>
          <w:sz w:val="24"/>
        </w:rPr>
        <w:t>东阳市区世纪联华超市实体店</w:t>
      </w:r>
      <w:r>
        <w:rPr>
          <w:rFonts w:hint="eastAsia" w:ascii="宋体" w:hAnsi="宋体" w:cs="宋体"/>
          <w:color w:val="auto"/>
          <w:sz w:val="24"/>
        </w:rPr>
        <w:t>的实时售卖价格为“基准价”（</w:t>
      </w:r>
      <w:r>
        <w:rPr>
          <w:rFonts w:hint="eastAsia" w:ascii="宋体" w:hAnsi="宋体" w:cs="宋体"/>
          <w:color w:val="auto"/>
          <w:sz w:val="24"/>
          <w:lang w:val="en-US" w:eastAsia="zh-CN"/>
        </w:rPr>
        <w:t>超市搞</w:t>
      </w:r>
      <w:r>
        <w:rPr>
          <w:rFonts w:hint="eastAsia" w:ascii="宋体" w:hAnsi="宋体" w:cs="宋体"/>
          <w:color w:val="auto"/>
          <w:sz w:val="24"/>
        </w:rPr>
        <w:t>促销活动</w:t>
      </w:r>
      <w:r>
        <w:rPr>
          <w:rFonts w:hint="eastAsia" w:ascii="宋体" w:hAnsi="宋体" w:cs="宋体"/>
          <w:color w:val="auto"/>
          <w:sz w:val="24"/>
          <w:lang w:val="en-US" w:eastAsia="zh-CN"/>
        </w:rPr>
        <w:t>的</w:t>
      </w:r>
      <w:r>
        <w:rPr>
          <w:rFonts w:hint="eastAsia" w:ascii="宋体" w:hAnsi="宋体" w:cs="宋体"/>
          <w:color w:val="auto"/>
          <w:sz w:val="24"/>
        </w:rPr>
        <w:t>商品除外），按照投标文件中承诺的折扣率折价销售。</w:t>
      </w:r>
    </w:p>
    <w:p w14:paraId="45348388">
      <w:pPr>
        <w:spacing w:line="360" w:lineRule="auto"/>
        <w:ind w:firstLine="480" w:firstLineChars="200"/>
        <w:rPr>
          <w:rFonts w:ascii="宋体" w:hAnsi="宋体" w:cs="宋体"/>
          <w:color w:val="auto"/>
          <w:sz w:val="24"/>
        </w:rPr>
      </w:pPr>
      <w:r>
        <w:rPr>
          <w:rFonts w:hint="eastAsia" w:ascii="宋体" w:hAnsi="宋体" w:cs="宋体"/>
          <w:color w:val="auto"/>
          <w:sz w:val="24"/>
        </w:rPr>
        <w:t>3、所售商品必须是东阳市区大型超市实体店有售（便于监管和丰富种类），如超出范围必须征得采购人同意并协商确定折扣“基准价”；</w:t>
      </w:r>
    </w:p>
    <w:p w14:paraId="724A3EBA">
      <w:pPr>
        <w:pStyle w:val="284"/>
        <w:widowControl/>
        <w:spacing w:line="360" w:lineRule="auto"/>
        <w:ind w:firstLine="240" w:firstLineChars="100"/>
        <w:rPr>
          <w:rStyle w:val="277"/>
          <w:rFonts w:ascii="宋体" w:hAnsi="宋体" w:cs="宋体"/>
          <w:b/>
          <w:bCs/>
          <w:color w:val="auto"/>
          <w:sz w:val="24"/>
        </w:rPr>
      </w:pPr>
      <w:r>
        <w:rPr>
          <w:rFonts w:hint="eastAsia" w:ascii="宋体" w:hAnsi="宋体" w:eastAsia="宋体" w:cs="宋体"/>
          <w:color w:val="auto"/>
          <w:sz w:val="24"/>
          <w:szCs w:val="24"/>
        </w:rPr>
        <w:t>▲七</w:t>
      </w:r>
      <w:r>
        <w:rPr>
          <w:rStyle w:val="277"/>
          <w:rFonts w:hint="eastAsia" w:ascii="宋体" w:hAnsi="宋体" w:cs="宋体"/>
          <w:b/>
          <w:bCs/>
          <w:color w:val="auto"/>
          <w:sz w:val="24"/>
          <w:lang w:val="zh-CN"/>
        </w:rPr>
        <w:t>、</w:t>
      </w:r>
      <w:r>
        <w:rPr>
          <w:rStyle w:val="277"/>
          <w:rFonts w:hint="eastAsia" w:ascii="宋体" w:hAnsi="宋体" w:cs="宋体"/>
          <w:b/>
          <w:bCs/>
          <w:color w:val="auto"/>
          <w:sz w:val="24"/>
        </w:rPr>
        <w:t>项目安全事项</w:t>
      </w:r>
    </w:p>
    <w:p w14:paraId="699426D3">
      <w:pPr>
        <w:pStyle w:val="284"/>
        <w:widowControl/>
        <w:spacing w:line="360" w:lineRule="auto"/>
        <w:ind w:firstLine="480" w:firstLineChars="200"/>
        <w:rPr>
          <w:rStyle w:val="277"/>
          <w:rFonts w:ascii="宋体" w:hAnsi="宋体" w:cs="宋体"/>
          <w:sz w:val="24"/>
        </w:rPr>
      </w:pPr>
      <w:r>
        <w:rPr>
          <w:rStyle w:val="277"/>
          <w:rFonts w:hint="eastAsia" w:ascii="宋体" w:hAnsi="宋体" w:cs="宋体"/>
          <w:sz w:val="24"/>
        </w:rPr>
        <w:t>1.供应商须按国家有关规定及标准进行</w:t>
      </w:r>
      <w:r>
        <w:rPr>
          <w:rFonts w:hint="eastAsia" w:ascii="宋体" w:hAnsi="宋体" w:eastAsia="宋体" w:cs="宋体"/>
          <w:sz w:val="24"/>
          <w:szCs w:val="24"/>
        </w:rPr>
        <w:t>经营</w:t>
      </w:r>
      <w:r>
        <w:rPr>
          <w:rStyle w:val="277"/>
          <w:rFonts w:hint="eastAsia" w:ascii="宋体" w:hAnsi="宋体" w:cs="宋体"/>
          <w:sz w:val="24"/>
        </w:rPr>
        <w:t>，供应商对</w:t>
      </w:r>
      <w:r>
        <w:rPr>
          <w:rFonts w:hint="eastAsia" w:ascii="宋体" w:hAnsi="宋体" w:eastAsia="宋体" w:cs="宋体"/>
          <w:sz w:val="24"/>
          <w:szCs w:val="24"/>
        </w:rPr>
        <w:t>服务期间</w:t>
      </w:r>
      <w:r>
        <w:rPr>
          <w:rStyle w:val="277"/>
          <w:rFonts w:hint="eastAsia" w:ascii="宋体" w:hAnsi="宋体" w:cs="宋体"/>
          <w:sz w:val="24"/>
        </w:rPr>
        <w:t>的安全性与可靠性负全部责任。</w:t>
      </w:r>
    </w:p>
    <w:p w14:paraId="2C16C589">
      <w:pPr>
        <w:pStyle w:val="284"/>
        <w:widowControl/>
        <w:spacing w:line="360" w:lineRule="auto"/>
        <w:ind w:firstLine="480" w:firstLineChars="200"/>
        <w:rPr>
          <w:rStyle w:val="277"/>
          <w:rFonts w:ascii="宋体" w:hAnsi="宋体" w:cs="宋体"/>
          <w:sz w:val="24"/>
        </w:rPr>
      </w:pPr>
      <w:r>
        <w:rPr>
          <w:rStyle w:val="277"/>
          <w:rFonts w:hint="eastAsia" w:ascii="宋体" w:hAnsi="宋体" w:cs="宋体"/>
          <w:sz w:val="24"/>
        </w:rPr>
        <w:t>2.供应商在</w:t>
      </w:r>
      <w:r>
        <w:rPr>
          <w:rFonts w:hint="eastAsia" w:ascii="宋体" w:hAnsi="宋体" w:eastAsia="宋体" w:cs="宋体"/>
          <w:sz w:val="24"/>
          <w:szCs w:val="24"/>
        </w:rPr>
        <w:t>服务期间</w:t>
      </w:r>
      <w:r>
        <w:rPr>
          <w:rStyle w:val="277"/>
          <w:rFonts w:hint="eastAsia" w:ascii="宋体" w:hAnsi="宋体" w:cs="宋体"/>
          <w:sz w:val="24"/>
        </w:rPr>
        <w:t>必须为完成本项目所招用的所有人员【</w:t>
      </w:r>
      <w:r>
        <w:rPr>
          <w:rStyle w:val="277"/>
          <w:rFonts w:hint="eastAsia" w:ascii="宋体" w:hAnsi="宋体" w:cs="宋体"/>
          <w:bCs/>
          <w:sz w:val="24"/>
        </w:rPr>
        <w:t>劳务人员</w:t>
      </w:r>
      <w:r>
        <w:rPr>
          <w:rStyle w:val="277"/>
          <w:rFonts w:hint="eastAsia" w:ascii="宋体" w:hAnsi="宋体" w:cs="宋体"/>
          <w:sz w:val="24"/>
        </w:rPr>
        <w:t>、技术人员、管理人员等】办理保险。</w:t>
      </w:r>
    </w:p>
    <w:p w14:paraId="361AD7A5">
      <w:pPr>
        <w:pStyle w:val="284"/>
        <w:widowControl/>
        <w:spacing w:line="360" w:lineRule="auto"/>
        <w:ind w:firstLine="480" w:firstLineChars="200"/>
        <w:rPr>
          <w:rFonts w:ascii="宋体" w:hAnsi="宋体" w:eastAsia="宋体" w:cs="宋体"/>
          <w:sz w:val="24"/>
          <w:szCs w:val="24"/>
        </w:rPr>
      </w:pPr>
      <w:r>
        <w:rPr>
          <w:rStyle w:val="277"/>
          <w:rFonts w:hint="eastAsia" w:ascii="宋体" w:hAnsi="宋体" w:cs="宋体"/>
          <w:sz w:val="24"/>
        </w:rPr>
        <w:t>3.供应商应严格执行各项国家地方有关规定，应实施严格的各类安全防护保证措施，做好安全</w:t>
      </w:r>
      <w:r>
        <w:rPr>
          <w:rFonts w:hint="eastAsia" w:ascii="宋体" w:hAnsi="宋体" w:eastAsia="宋体" w:cs="宋体"/>
          <w:sz w:val="24"/>
          <w:szCs w:val="24"/>
        </w:rPr>
        <w:t>经营</w:t>
      </w:r>
      <w:r>
        <w:rPr>
          <w:rStyle w:val="277"/>
          <w:rFonts w:hint="eastAsia" w:ascii="宋体" w:hAnsi="宋体" w:cs="宋体"/>
          <w:sz w:val="24"/>
        </w:rPr>
        <w:t>。供应商在</w:t>
      </w:r>
      <w:r>
        <w:rPr>
          <w:rFonts w:hint="eastAsia" w:ascii="宋体" w:hAnsi="宋体" w:eastAsia="宋体" w:cs="宋体"/>
          <w:sz w:val="24"/>
          <w:szCs w:val="24"/>
        </w:rPr>
        <w:t>服务期间</w:t>
      </w:r>
      <w:r>
        <w:rPr>
          <w:rStyle w:val="277"/>
          <w:rFonts w:hint="eastAsia" w:ascii="宋体" w:hAnsi="宋体" w:cs="宋体"/>
          <w:sz w:val="24"/>
        </w:rPr>
        <w:t>，若发生与本项目相关的安全事故、交通事故等事故，一切法律和经济责任均由供应商承担，采购人概不负责。</w:t>
      </w:r>
    </w:p>
    <w:p w14:paraId="7217437A">
      <w:pPr>
        <w:pStyle w:val="43"/>
        <w:spacing w:before="0" w:beforeAutospacing="0" w:after="0" w:afterAutospacing="0" w:line="360" w:lineRule="auto"/>
        <w:ind w:firstLine="240" w:firstLineChars="100"/>
        <w:rPr>
          <w:rFonts w:cs="宋体"/>
          <w:b/>
        </w:rPr>
      </w:pPr>
      <w:r>
        <w:rPr>
          <w:rFonts w:hint="eastAsia" w:cs="宋体"/>
        </w:rPr>
        <w:t>▲八</w:t>
      </w:r>
      <w:r>
        <w:rPr>
          <w:rFonts w:hint="eastAsia" w:cs="宋体"/>
          <w:b/>
        </w:rPr>
        <w:t>、违约责任</w:t>
      </w:r>
    </w:p>
    <w:p w14:paraId="272299A2">
      <w:pPr>
        <w:pStyle w:val="28"/>
        <w:spacing w:beforeLines="0" w:afterLines="0" w:line="360" w:lineRule="auto"/>
        <w:ind w:firstLine="480" w:firstLineChars="200"/>
        <w:rPr>
          <w:rFonts w:hAnsi="宋体" w:cs="宋体"/>
          <w:szCs w:val="24"/>
        </w:rPr>
      </w:pPr>
      <w:r>
        <w:rPr>
          <w:rFonts w:hint="eastAsia" w:hAnsi="宋体" w:cs="宋体"/>
          <w:szCs w:val="24"/>
        </w:rPr>
        <w:t>供应商有下列情形之一的，采购人有权终止本合同，并由供应商承担相应的责任且赔偿采购人遭受的损失：</w:t>
      </w:r>
    </w:p>
    <w:p w14:paraId="2AA0CF0F">
      <w:pPr>
        <w:pStyle w:val="28"/>
        <w:spacing w:beforeLines="0" w:afterLines="0" w:line="360" w:lineRule="auto"/>
        <w:ind w:firstLine="480" w:firstLineChars="200"/>
        <w:rPr>
          <w:rFonts w:hAnsi="宋体" w:cs="宋体"/>
          <w:szCs w:val="24"/>
        </w:rPr>
      </w:pPr>
      <w:r>
        <w:rPr>
          <w:rFonts w:hint="eastAsia" w:hAnsi="宋体" w:cs="宋体"/>
          <w:szCs w:val="24"/>
        </w:rPr>
        <w:t>1．擅自转租、转让、转借的；</w:t>
      </w:r>
    </w:p>
    <w:p w14:paraId="401C6FEA">
      <w:pPr>
        <w:pStyle w:val="28"/>
        <w:spacing w:beforeLines="0" w:afterLines="0" w:line="360" w:lineRule="auto"/>
        <w:ind w:firstLine="480" w:firstLineChars="200"/>
        <w:rPr>
          <w:rFonts w:hAnsi="宋体" w:cs="宋体"/>
          <w:szCs w:val="24"/>
        </w:rPr>
      </w:pPr>
      <w:r>
        <w:rPr>
          <w:rFonts w:hint="eastAsia" w:hAnsi="宋体" w:cs="宋体"/>
          <w:szCs w:val="24"/>
        </w:rPr>
        <w:t>2．从事不正当经营或非法活动，损害集体和他人利益的；</w:t>
      </w:r>
    </w:p>
    <w:p w14:paraId="56D8C92E">
      <w:pPr>
        <w:pStyle w:val="28"/>
        <w:spacing w:beforeLines="0" w:afterLines="0" w:line="360" w:lineRule="auto"/>
        <w:ind w:firstLine="480" w:firstLineChars="200"/>
        <w:rPr>
          <w:rFonts w:hAnsi="宋体" w:cs="宋体"/>
          <w:szCs w:val="24"/>
        </w:rPr>
      </w:pPr>
      <w:r>
        <w:rPr>
          <w:rFonts w:hint="eastAsia" w:hAnsi="宋体" w:cs="宋体"/>
          <w:szCs w:val="24"/>
        </w:rPr>
        <w:t>3．未按合同约定的经营种类，超范围经营的；</w:t>
      </w:r>
    </w:p>
    <w:p w14:paraId="2F5758F6">
      <w:pPr>
        <w:pStyle w:val="28"/>
        <w:spacing w:beforeLines="0" w:afterLines="0" w:line="360" w:lineRule="auto"/>
        <w:ind w:firstLine="480" w:firstLineChars="200"/>
        <w:rPr>
          <w:rFonts w:hAnsi="宋体" w:cs="宋体"/>
          <w:szCs w:val="24"/>
        </w:rPr>
      </w:pPr>
      <w:r>
        <w:rPr>
          <w:rFonts w:hint="eastAsia" w:hAnsi="宋体" w:cs="宋体"/>
          <w:szCs w:val="24"/>
        </w:rPr>
        <w:t>4．不服从管理，受书面警告达到3次的；</w:t>
      </w:r>
    </w:p>
    <w:p w14:paraId="27641478">
      <w:pPr>
        <w:pStyle w:val="28"/>
        <w:spacing w:beforeLines="0" w:afterLines="0" w:line="360" w:lineRule="auto"/>
        <w:ind w:firstLine="480" w:firstLineChars="200"/>
        <w:rPr>
          <w:rFonts w:hAnsi="宋体" w:cs="宋体"/>
          <w:szCs w:val="24"/>
        </w:rPr>
      </w:pPr>
      <w:r>
        <w:rPr>
          <w:rFonts w:hint="eastAsia" w:hAnsi="宋体" w:cs="宋体"/>
          <w:szCs w:val="24"/>
        </w:rPr>
        <w:t>5.</w:t>
      </w:r>
      <w:r>
        <w:rPr>
          <w:rFonts w:hint="eastAsia" w:hAnsi="宋体" w:cs="宋体"/>
          <w:bCs/>
          <w:szCs w:val="24"/>
        </w:rPr>
        <w:t>考核不合格</w:t>
      </w:r>
      <w:r>
        <w:rPr>
          <w:rFonts w:hint="eastAsia" w:hAnsi="宋体" w:cs="宋体"/>
          <w:szCs w:val="24"/>
        </w:rPr>
        <w:t>（</w:t>
      </w:r>
      <w:r>
        <w:rPr>
          <w:rFonts w:hint="eastAsia" w:hAnsi="宋体" w:cs="宋体"/>
          <w:bCs/>
          <w:szCs w:val="24"/>
        </w:rPr>
        <w:t>在服务期内采购人将制定一套考核办法，对供应商进行考核，考核办法另行制定。</w:t>
      </w:r>
      <w:r>
        <w:rPr>
          <w:rFonts w:hint="eastAsia" w:hAnsi="宋体" w:cs="宋体"/>
          <w:szCs w:val="24"/>
        </w:rPr>
        <w:t>）</w:t>
      </w:r>
    </w:p>
    <w:p w14:paraId="6684764D">
      <w:pPr>
        <w:pStyle w:val="28"/>
        <w:spacing w:beforeLines="0" w:afterLines="0" w:line="360" w:lineRule="auto"/>
        <w:ind w:firstLine="480" w:firstLineChars="200"/>
        <w:rPr>
          <w:rFonts w:hAnsi="宋体" w:cs="宋体"/>
          <w:szCs w:val="24"/>
        </w:rPr>
      </w:pPr>
      <w:r>
        <w:rPr>
          <w:rFonts w:hint="eastAsia" w:hAnsi="宋体" w:cs="宋体"/>
          <w:szCs w:val="24"/>
        </w:rPr>
        <w:t>6．发生重大食品卫生安全事故或其他严重安全事故、公共事件等。</w:t>
      </w:r>
    </w:p>
    <w:p w14:paraId="61700317">
      <w:pPr>
        <w:pStyle w:val="28"/>
        <w:spacing w:beforeLines="0" w:afterLines="0" w:line="360" w:lineRule="auto"/>
        <w:ind w:firstLine="480" w:firstLineChars="200"/>
        <w:rPr>
          <w:rFonts w:hAnsi="宋体" w:cs="宋体"/>
          <w:szCs w:val="24"/>
        </w:rPr>
      </w:pPr>
      <w:r>
        <w:rPr>
          <w:rFonts w:hint="eastAsia" w:hAnsi="宋体" w:cs="宋体"/>
          <w:szCs w:val="24"/>
        </w:rPr>
        <w:t>7.供应商擅自装修、改变位置结构等人为破坏的；</w:t>
      </w:r>
    </w:p>
    <w:p w14:paraId="246091B0">
      <w:pPr>
        <w:pStyle w:val="28"/>
        <w:spacing w:beforeLines="0" w:afterLines="0" w:line="360" w:lineRule="auto"/>
        <w:ind w:firstLine="480" w:firstLineChars="200"/>
        <w:rPr>
          <w:rFonts w:hAnsi="宋体" w:cs="宋体"/>
          <w:szCs w:val="24"/>
        </w:rPr>
      </w:pPr>
      <w:r>
        <w:rPr>
          <w:rFonts w:hint="eastAsia" w:hAnsi="宋体" w:cs="宋体"/>
          <w:szCs w:val="24"/>
        </w:rPr>
        <w:t>8.在合同期内如果因经营不善或投诉产生严重不良影响，采购人责令中标人整改仍未改善的</w:t>
      </w:r>
    </w:p>
    <w:p w14:paraId="506030E0">
      <w:pPr>
        <w:pStyle w:val="28"/>
        <w:spacing w:beforeLines="0" w:afterLines="0" w:line="360" w:lineRule="auto"/>
        <w:ind w:firstLine="480" w:firstLineChars="200"/>
        <w:rPr>
          <w:rFonts w:hAnsi="宋体" w:cs="宋体"/>
          <w:szCs w:val="24"/>
        </w:rPr>
      </w:pPr>
      <w:r>
        <w:rPr>
          <w:rFonts w:hint="eastAsia" w:hAnsi="宋体" w:cs="宋体"/>
          <w:szCs w:val="24"/>
        </w:rPr>
        <w:t>9.其他违反相关法律法规的情形。</w:t>
      </w:r>
    </w:p>
    <w:p w14:paraId="67211762">
      <w:pPr>
        <w:spacing w:line="360" w:lineRule="auto"/>
        <w:ind w:firstLine="240" w:firstLineChars="100"/>
        <w:rPr>
          <w:rFonts w:ascii="宋体" w:hAnsi="宋体" w:cs="宋体"/>
          <w:b/>
          <w:bCs/>
          <w:sz w:val="24"/>
        </w:rPr>
      </w:pPr>
      <w:r>
        <w:rPr>
          <w:rFonts w:hint="eastAsia" w:ascii="宋体" w:hAnsi="宋体" w:cs="宋体"/>
          <w:b/>
          <w:bCs/>
          <w:sz w:val="24"/>
        </w:rPr>
        <w:t>▲九、商务部分</w:t>
      </w:r>
    </w:p>
    <w:p w14:paraId="40456F04">
      <w:pPr>
        <w:spacing w:line="360" w:lineRule="auto"/>
        <w:ind w:firstLine="480"/>
        <w:rPr>
          <w:rFonts w:ascii="宋体" w:hAnsi="宋体" w:cs="宋体"/>
          <w:kern w:val="0"/>
          <w:sz w:val="24"/>
        </w:rPr>
      </w:pPr>
      <w:r>
        <w:rPr>
          <w:rFonts w:hint="eastAsia" w:ascii="宋体" w:hAnsi="宋体" w:cs="宋体"/>
          <w:kern w:val="0"/>
          <w:sz w:val="24"/>
        </w:rPr>
        <w:t>服务期限</w:t>
      </w:r>
    </w:p>
    <w:p w14:paraId="0C595D49">
      <w:pPr>
        <w:spacing w:line="360" w:lineRule="auto"/>
        <w:ind w:firstLine="480"/>
        <w:rPr>
          <w:rFonts w:ascii="宋体" w:hAnsi="宋体" w:cs="宋体"/>
          <w:kern w:val="0"/>
          <w:sz w:val="24"/>
        </w:rPr>
      </w:pPr>
      <w:r>
        <w:rPr>
          <w:rFonts w:hint="eastAsia" w:ascii="宋体" w:hAnsi="宋体" w:cs="宋体"/>
          <w:b/>
          <w:bCs/>
          <w:kern w:val="0"/>
          <w:sz w:val="24"/>
          <w:lang w:eastAsia="zh-CN"/>
        </w:rPr>
        <w:t>1.服务期限到2026年7月底</w:t>
      </w:r>
      <w:r>
        <w:rPr>
          <w:rFonts w:hint="eastAsia" w:ascii="宋体" w:hAnsi="宋体" w:cs="宋体"/>
          <w:kern w:val="0"/>
          <w:sz w:val="24"/>
        </w:rPr>
        <w:t>。</w:t>
      </w:r>
    </w:p>
    <w:p w14:paraId="6A2394D0">
      <w:pPr>
        <w:snapToGrid w:val="0"/>
        <w:spacing w:line="360" w:lineRule="auto"/>
        <w:ind w:firstLine="480" w:firstLineChars="200"/>
        <w:rPr>
          <w:rFonts w:ascii="宋体" w:hAnsi="宋体" w:cs="宋体"/>
          <w:sz w:val="24"/>
        </w:rPr>
      </w:pPr>
      <w:r>
        <w:rPr>
          <w:rFonts w:hint="eastAsia" w:ascii="宋体" w:hAnsi="宋体" w:cs="宋体"/>
          <w:sz w:val="24"/>
        </w:rPr>
        <w:t>2.服务期内因采购人需要，挪换位置，供应商必须无条件服从。</w:t>
      </w:r>
    </w:p>
    <w:p w14:paraId="71EAF994">
      <w:pPr>
        <w:snapToGrid w:val="0"/>
        <w:spacing w:line="360" w:lineRule="auto"/>
        <w:ind w:firstLine="480" w:firstLineChars="200"/>
        <w:rPr>
          <w:rFonts w:ascii="宋体" w:hAnsi="宋体" w:cs="宋体"/>
          <w:sz w:val="24"/>
        </w:rPr>
      </w:pPr>
      <w:r>
        <w:rPr>
          <w:rFonts w:hint="eastAsia" w:ascii="宋体" w:hAnsi="宋体" w:cs="宋体"/>
          <w:sz w:val="24"/>
        </w:rPr>
        <w:t>3.因不可抗力使得本合同的履行不可能、不必要或者无意义的，采购人可以解除本合同。解除合同应通过书面形式提前一个月通知中标人。</w:t>
      </w:r>
    </w:p>
    <w:p w14:paraId="71CBD6AF">
      <w:pPr>
        <w:pStyle w:val="2"/>
        <w:spacing w:line="360" w:lineRule="auto"/>
        <w:ind w:firstLine="466"/>
        <w:rPr>
          <w:rFonts w:hAnsi="宋体" w:cs="宋体"/>
          <w:b/>
          <w:bCs/>
          <w:sz w:val="24"/>
          <w:szCs w:val="24"/>
        </w:rPr>
      </w:pPr>
      <w:r>
        <w:rPr>
          <w:rFonts w:hint="eastAsia" w:hAnsi="宋体" w:cs="宋体"/>
          <w:b/>
          <w:bCs/>
          <w:sz w:val="24"/>
          <w:szCs w:val="24"/>
        </w:rPr>
        <w:t>十、报价要求</w:t>
      </w:r>
    </w:p>
    <w:p w14:paraId="52C081A6">
      <w:pPr>
        <w:pStyle w:val="2"/>
        <w:spacing w:line="360" w:lineRule="auto"/>
        <w:ind w:firstLine="464"/>
        <w:rPr>
          <w:rFonts w:hAnsi="宋体" w:cs="宋体"/>
          <w:sz w:val="24"/>
          <w:szCs w:val="24"/>
        </w:rPr>
      </w:pPr>
      <w:r>
        <w:rPr>
          <w:rFonts w:hint="eastAsia" w:hAnsi="宋体" w:cs="宋体"/>
          <w:sz w:val="24"/>
          <w:szCs w:val="24"/>
        </w:rPr>
        <w:t>1.本次采购采用售价折扣率形式报价。</w:t>
      </w:r>
    </w:p>
    <w:p w14:paraId="190C5DDE">
      <w:pPr>
        <w:pStyle w:val="2"/>
        <w:spacing w:line="360" w:lineRule="auto"/>
        <w:ind w:firstLine="464"/>
        <w:rPr>
          <w:rFonts w:hAnsi="宋体" w:cs="宋体"/>
          <w:sz w:val="24"/>
          <w:szCs w:val="24"/>
        </w:rPr>
      </w:pPr>
      <w:r>
        <w:rPr>
          <w:rFonts w:hint="eastAsia" w:hAnsi="宋体" w:cs="宋体"/>
          <w:sz w:val="24"/>
          <w:szCs w:val="24"/>
        </w:rPr>
        <w:t>2.报价要求：售价折扣率≤100%，高于最高折扣率的报价，视为供应商实质性不响应，作为无效投标处理。</w:t>
      </w:r>
    </w:p>
    <w:p w14:paraId="72C1B575">
      <w:pPr>
        <w:pStyle w:val="2"/>
        <w:spacing w:line="360" w:lineRule="auto"/>
        <w:ind w:firstLine="464"/>
        <w:rPr>
          <w:rFonts w:hAnsi="宋体" w:cs="宋体"/>
          <w:sz w:val="24"/>
          <w:szCs w:val="24"/>
        </w:rPr>
      </w:pPr>
      <w:r>
        <w:rPr>
          <w:rFonts w:hint="eastAsia" w:hAnsi="宋体" w:cs="宋体"/>
          <w:sz w:val="24"/>
          <w:szCs w:val="24"/>
        </w:rPr>
        <w:t>3.水果售价=供应商报价×中标折扣率。</w:t>
      </w:r>
    </w:p>
    <w:p w14:paraId="371508EB">
      <w:pPr>
        <w:pStyle w:val="28"/>
        <w:adjustRightInd w:val="0"/>
        <w:snapToGrid w:val="0"/>
        <w:spacing w:beforeLines="0" w:afterLines="0" w:line="360" w:lineRule="auto"/>
        <w:ind w:firstLine="480" w:firstLineChars="200"/>
        <w:rPr>
          <w:rFonts w:hAnsi="宋体" w:cs="宋体"/>
          <w:b/>
          <w:bCs/>
          <w:szCs w:val="24"/>
        </w:rPr>
      </w:pPr>
      <w:r>
        <w:rPr>
          <w:rFonts w:hint="eastAsia" w:hAnsi="宋体" w:cs="宋体"/>
          <w:b/>
          <w:bCs/>
          <w:szCs w:val="24"/>
        </w:rPr>
        <w:t>十一、其他</w:t>
      </w:r>
    </w:p>
    <w:p w14:paraId="455119FC">
      <w:pPr>
        <w:pStyle w:val="15"/>
        <w:tabs>
          <w:tab w:val="left" w:pos="208"/>
        </w:tabs>
        <w:spacing w:after="0" w:line="360" w:lineRule="auto"/>
        <w:ind w:firstLine="480" w:firstLineChars="200"/>
        <w:rPr>
          <w:rFonts w:hint="eastAsia" w:ascii="宋体" w:hAnsi="宋体" w:cs="宋体"/>
          <w:b/>
          <w:bCs/>
          <w:szCs w:val="24"/>
          <w:lang w:val="zh-CN"/>
        </w:rPr>
      </w:pPr>
      <w:r>
        <w:rPr>
          <w:rFonts w:hint="eastAsia" w:ascii="宋体" w:hAnsi="宋体" w:cs="宋体"/>
          <w:b/>
          <w:bCs/>
          <w:szCs w:val="24"/>
        </w:rPr>
        <w:t>1.</w:t>
      </w:r>
      <w:r>
        <w:rPr>
          <w:rFonts w:hint="eastAsia" w:ascii="宋体" w:hAnsi="宋体" w:cs="宋体"/>
          <w:b/>
          <w:bCs/>
          <w:szCs w:val="24"/>
          <w:lang w:val="zh-CN"/>
        </w:rPr>
        <w:t>中标人未按本项目合同、采购文件和中标人响应文件的规定及政府采购法律、法规的规定履行合同责任和义务，采购人有权解除或终止合同，并提请政府采购监管部门将其列入政府采购不良行为记录名单。</w:t>
      </w:r>
    </w:p>
    <w:p w14:paraId="3493B955">
      <w:pPr>
        <w:pStyle w:val="15"/>
        <w:tabs>
          <w:tab w:val="left" w:pos="208"/>
        </w:tabs>
        <w:spacing w:after="0" w:line="360" w:lineRule="auto"/>
        <w:ind w:firstLine="480" w:firstLineChars="200"/>
        <w:rPr>
          <w:rFonts w:cs="宋体"/>
          <w:iCs/>
          <w:spacing w:val="20"/>
        </w:rPr>
      </w:pPr>
      <w:r>
        <w:rPr>
          <w:rFonts w:hint="eastAsia" w:cs="宋体"/>
        </w:rPr>
        <w:t>2.本项目所涉及的报价，</w:t>
      </w:r>
      <w:r>
        <w:rPr>
          <w:rFonts w:hint="eastAsia" w:cs="宋体"/>
          <w:iCs/>
          <w:spacing w:val="20"/>
        </w:rPr>
        <w:t>应包括本次项目实施所需的设备、水果、日常经营、劳务、办公、通信、劳保、福利、利润、税金、培训、奖罚措施、保险、管理政策性收费以及实施本项目所需的其他一切费用，供应商应列入而未列入其中的费用，均视为已包含在内，风险由供应商承担。</w:t>
      </w:r>
    </w:p>
    <w:p w14:paraId="1C6BD8B7">
      <w:pPr>
        <w:jc w:val="center"/>
        <w:rPr>
          <w:rFonts w:ascii="Calibri" w:hAnsi="Calibri"/>
          <w:b/>
          <w:bCs/>
          <w:sz w:val="36"/>
          <w:szCs w:val="36"/>
        </w:rPr>
      </w:pPr>
    </w:p>
    <w:p w14:paraId="6E71F26D">
      <w:pPr>
        <w:jc w:val="center"/>
        <w:rPr>
          <w:rFonts w:ascii="Calibri" w:hAnsi="Calibri"/>
          <w:b/>
          <w:bCs/>
          <w:sz w:val="36"/>
          <w:szCs w:val="36"/>
        </w:rPr>
      </w:pPr>
    </w:p>
    <w:p w14:paraId="16D33531">
      <w:pPr>
        <w:jc w:val="center"/>
        <w:rPr>
          <w:rFonts w:ascii="Calibri" w:hAnsi="Calibri"/>
          <w:b/>
          <w:bCs/>
          <w:sz w:val="36"/>
          <w:szCs w:val="36"/>
        </w:rPr>
      </w:pPr>
    </w:p>
    <w:p w14:paraId="5F821357">
      <w:pPr>
        <w:jc w:val="center"/>
        <w:rPr>
          <w:rFonts w:ascii="Calibri" w:hAnsi="Calibri"/>
          <w:b/>
          <w:bCs/>
          <w:sz w:val="36"/>
          <w:szCs w:val="36"/>
        </w:rPr>
      </w:pPr>
    </w:p>
    <w:p w14:paraId="3E686DEE">
      <w:pPr>
        <w:jc w:val="center"/>
        <w:rPr>
          <w:rFonts w:ascii="Calibri" w:hAnsi="Calibri"/>
          <w:b/>
          <w:bCs/>
          <w:sz w:val="36"/>
          <w:szCs w:val="36"/>
        </w:rPr>
      </w:pPr>
    </w:p>
    <w:p w14:paraId="03B8451C">
      <w:pPr>
        <w:jc w:val="center"/>
        <w:rPr>
          <w:rFonts w:ascii="Calibri" w:hAnsi="Calibri"/>
          <w:b/>
          <w:bCs/>
          <w:sz w:val="36"/>
          <w:szCs w:val="36"/>
        </w:rPr>
      </w:pPr>
    </w:p>
    <w:p w14:paraId="1F797720">
      <w:pPr>
        <w:jc w:val="center"/>
        <w:rPr>
          <w:rFonts w:ascii="Calibri" w:hAnsi="Calibri"/>
          <w:b/>
          <w:bCs/>
          <w:sz w:val="36"/>
          <w:szCs w:val="36"/>
        </w:rPr>
      </w:pPr>
    </w:p>
    <w:p w14:paraId="0330C1C9">
      <w:pPr>
        <w:jc w:val="center"/>
        <w:rPr>
          <w:rFonts w:ascii="Calibri" w:hAnsi="Calibri"/>
          <w:b/>
          <w:bCs/>
          <w:sz w:val="36"/>
          <w:szCs w:val="36"/>
        </w:rPr>
      </w:pPr>
      <w:r>
        <w:rPr>
          <w:rFonts w:hint="eastAsia" w:ascii="Calibri" w:hAnsi="Calibri"/>
          <w:b/>
          <w:bCs/>
          <w:sz w:val="36"/>
          <w:szCs w:val="36"/>
        </w:rPr>
        <w:t>第四章  评审方法</w:t>
      </w:r>
    </w:p>
    <w:p w14:paraId="30D53489">
      <w:pPr>
        <w:spacing w:line="360" w:lineRule="auto"/>
        <w:ind w:firstLine="480" w:firstLineChars="200"/>
        <w:rPr>
          <w:rFonts w:ascii="宋体" w:hAnsi="宋体" w:cs="宋体"/>
          <w:sz w:val="24"/>
        </w:rPr>
      </w:pPr>
      <w:r>
        <w:rPr>
          <w:rFonts w:hint="eastAsia" w:ascii="宋体" w:hAnsi="宋体" w:cs="宋体"/>
          <w:sz w:val="24"/>
        </w:rPr>
        <w:t>参照</w:t>
      </w:r>
      <w:r>
        <w:rPr>
          <w:rFonts w:hint="eastAsia" w:ascii="宋体" w:hAnsi="宋体"/>
          <w:sz w:val="24"/>
        </w:rPr>
        <w:t>《中华人民共和国政府采购法》</w:t>
      </w:r>
      <w:r>
        <w:rPr>
          <w:rFonts w:hint="eastAsia" w:ascii="宋体" w:hAnsi="宋体" w:cs="宋体"/>
          <w:sz w:val="24"/>
        </w:rPr>
        <w:t>和《中华人民共和国招标投标法》的有关规定，为更好地做到公开、公平、公正，结合本次</w:t>
      </w:r>
      <w:r>
        <w:rPr>
          <w:rFonts w:hint="eastAsia" w:ascii="宋体" w:hAnsi="宋体" w:cs="宋体"/>
          <w:bCs/>
          <w:sz w:val="24"/>
        </w:rPr>
        <w:t>磋商</w:t>
      </w:r>
      <w:r>
        <w:rPr>
          <w:rFonts w:hint="eastAsia" w:ascii="宋体" w:hAnsi="宋体" w:cs="宋体"/>
          <w:sz w:val="24"/>
        </w:rPr>
        <w:t>的特点，特制定本评标细则。</w:t>
      </w:r>
    </w:p>
    <w:p w14:paraId="65C84945">
      <w:pPr>
        <w:spacing w:line="360" w:lineRule="auto"/>
        <w:rPr>
          <w:rFonts w:ascii="宋体" w:hAnsi="宋体" w:cs="宋体"/>
          <w:b/>
          <w:bCs/>
          <w:sz w:val="24"/>
        </w:rPr>
      </w:pPr>
      <w:r>
        <w:rPr>
          <w:rFonts w:hint="eastAsia" w:ascii="宋体" w:hAnsi="宋体" w:cs="宋体"/>
          <w:b/>
          <w:bCs/>
          <w:sz w:val="24"/>
        </w:rPr>
        <w:t>一、评标组织</w:t>
      </w:r>
    </w:p>
    <w:p w14:paraId="72616254">
      <w:pPr>
        <w:spacing w:line="360" w:lineRule="auto"/>
        <w:ind w:firstLine="480" w:firstLineChars="200"/>
        <w:rPr>
          <w:rFonts w:ascii="宋体" w:hAnsi="宋体" w:cs="宋体"/>
          <w:sz w:val="24"/>
        </w:rPr>
      </w:pPr>
      <w:r>
        <w:rPr>
          <w:rFonts w:hint="eastAsia" w:ascii="宋体" w:hAnsi="宋体" w:cs="宋体"/>
          <w:sz w:val="24"/>
        </w:rPr>
        <w:t>评审工作由采购人依法组建的磋商小组负责</w:t>
      </w:r>
      <w:r>
        <w:rPr>
          <w:rFonts w:hint="eastAsia" w:ascii="宋体" w:hAnsi="宋体" w:cs="宋体"/>
          <w:color w:val="000000"/>
          <w:sz w:val="24"/>
        </w:rPr>
        <w:t>，磋商小组由采购人代表以及评审专家共同组成</w:t>
      </w:r>
      <w:r>
        <w:rPr>
          <w:rFonts w:hint="eastAsia" w:ascii="宋体" w:hAnsi="宋体" w:cs="宋体"/>
          <w:sz w:val="24"/>
        </w:rPr>
        <w:t>。</w:t>
      </w:r>
    </w:p>
    <w:p w14:paraId="6697ED49">
      <w:pPr>
        <w:spacing w:line="360" w:lineRule="auto"/>
        <w:rPr>
          <w:rFonts w:ascii="宋体" w:hAnsi="宋体" w:cs="宋体"/>
          <w:b/>
          <w:bCs/>
          <w:sz w:val="24"/>
        </w:rPr>
      </w:pPr>
      <w:r>
        <w:rPr>
          <w:rFonts w:hint="eastAsia" w:ascii="宋体" w:hAnsi="宋体" w:cs="宋体"/>
          <w:b/>
          <w:bCs/>
          <w:sz w:val="24"/>
        </w:rPr>
        <w:t>二、评标原则和评标方法</w:t>
      </w:r>
    </w:p>
    <w:p w14:paraId="41A775AA">
      <w:pPr>
        <w:spacing w:line="360" w:lineRule="auto"/>
        <w:ind w:firstLine="480" w:firstLineChars="200"/>
        <w:rPr>
          <w:rFonts w:ascii="宋体" w:hAnsi="宋体" w:cs="宋体"/>
          <w:sz w:val="24"/>
        </w:rPr>
      </w:pPr>
      <w:r>
        <w:rPr>
          <w:rFonts w:hint="eastAsia" w:ascii="宋体" w:hAnsi="宋体" w:cs="宋体"/>
          <w:sz w:val="24"/>
        </w:rPr>
        <w:t>1.开标后，评标小组首先对</w:t>
      </w:r>
      <w:r>
        <w:rPr>
          <w:rFonts w:hint="eastAsia" w:hAnsi="宋体"/>
          <w:sz w:val="24"/>
        </w:rPr>
        <w:t>磋商响应文件</w:t>
      </w:r>
      <w:r>
        <w:rPr>
          <w:rFonts w:hint="eastAsia" w:ascii="宋体" w:hAnsi="宋体" w:cs="宋体"/>
          <w:sz w:val="24"/>
        </w:rPr>
        <w:t>的完整性、符合性、响应性等进行审查。凡不符合有关规定或不响应</w:t>
      </w:r>
      <w:r>
        <w:rPr>
          <w:rFonts w:hint="eastAsia" w:ascii="宋体" w:hAnsi="宋体" w:cs="宋体"/>
          <w:bCs/>
          <w:sz w:val="24"/>
        </w:rPr>
        <w:t>磋商</w:t>
      </w:r>
      <w:r>
        <w:rPr>
          <w:rFonts w:hint="eastAsia" w:ascii="宋体" w:hAnsi="宋体" w:cs="宋体"/>
          <w:sz w:val="24"/>
        </w:rPr>
        <w:t>文件要求的</w:t>
      </w:r>
      <w:r>
        <w:rPr>
          <w:rFonts w:hint="eastAsia" w:hAnsi="宋体"/>
          <w:sz w:val="24"/>
        </w:rPr>
        <w:t>磋商响应文件</w:t>
      </w:r>
      <w:r>
        <w:rPr>
          <w:rFonts w:hint="eastAsia" w:ascii="宋体" w:hAnsi="宋体" w:cs="宋体"/>
          <w:sz w:val="24"/>
        </w:rPr>
        <w:t>将不进入评标范围。评标专家组以开标、审标、询标情况为基本依据，对有效的</w:t>
      </w:r>
      <w:r>
        <w:rPr>
          <w:rFonts w:hint="eastAsia" w:hAnsi="宋体"/>
          <w:sz w:val="24"/>
        </w:rPr>
        <w:t>磋商响应文件</w:t>
      </w:r>
      <w:r>
        <w:rPr>
          <w:rFonts w:hint="eastAsia" w:ascii="宋体" w:hAnsi="宋体" w:cs="宋体"/>
          <w:sz w:val="24"/>
        </w:rPr>
        <w:t>及其</w:t>
      </w:r>
      <w:r>
        <w:rPr>
          <w:rFonts w:hint="eastAsia" w:hAnsi="宋体"/>
          <w:sz w:val="24"/>
        </w:rPr>
        <w:t>磋商响应</w:t>
      </w:r>
      <w:r>
        <w:rPr>
          <w:rFonts w:hint="eastAsia" w:ascii="宋体" w:hAnsi="宋体" w:cs="宋体"/>
          <w:sz w:val="24"/>
        </w:rPr>
        <w:t>人按评标内容进行分析、评议，先评技术标技术分，再开商务标。</w:t>
      </w:r>
    </w:p>
    <w:p w14:paraId="246931CD">
      <w:pPr>
        <w:spacing w:line="360" w:lineRule="auto"/>
        <w:ind w:firstLine="480" w:firstLineChars="200"/>
        <w:rPr>
          <w:rFonts w:ascii="宋体" w:hAnsi="宋体" w:cs="宋体"/>
          <w:b/>
          <w:sz w:val="24"/>
        </w:rPr>
      </w:pPr>
      <w:r>
        <w:rPr>
          <w:rFonts w:hint="eastAsia" w:ascii="宋体" w:hAnsi="宋体" w:cs="宋体"/>
          <w:sz w:val="24"/>
        </w:rPr>
        <w:t>2.</w:t>
      </w:r>
      <w:r>
        <w:rPr>
          <w:rFonts w:hint="eastAsia" w:ascii="宋体" w:hAnsi="宋体" w:cs="宋体"/>
          <w:b/>
          <w:sz w:val="24"/>
        </w:rPr>
        <w:t>本次采购是根据竞争性磋商采购方式进行，各供应商第一次报价不公开。</w:t>
      </w:r>
    </w:p>
    <w:p w14:paraId="711C67DD">
      <w:pPr>
        <w:spacing w:line="360" w:lineRule="auto"/>
        <w:ind w:firstLine="480" w:firstLineChars="200"/>
        <w:rPr>
          <w:rFonts w:ascii="宋体" w:hAnsi="宋体" w:cs="宋体"/>
          <w:sz w:val="24"/>
        </w:rPr>
      </w:pPr>
      <w:r>
        <w:rPr>
          <w:rFonts w:hint="eastAsia" w:ascii="宋体" w:hAnsi="宋体" w:cs="宋体"/>
          <w:sz w:val="24"/>
        </w:rPr>
        <w:t>3.磋商小组负责审查响应文件是否符合竞争性磋商文件的要求，并作出评价。磋商小组认为必要时，可向供应商进行质疑。磋商小组有权决定全部或部分供应商响应文件无效。</w:t>
      </w:r>
    </w:p>
    <w:p w14:paraId="30CBAB8C">
      <w:pPr>
        <w:spacing w:line="360" w:lineRule="auto"/>
        <w:ind w:firstLine="480" w:firstLineChars="200"/>
        <w:rPr>
          <w:rFonts w:ascii="宋体" w:hAnsi="宋体" w:cs="宋体"/>
          <w:sz w:val="24"/>
        </w:rPr>
      </w:pPr>
      <w:r>
        <w:rPr>
          <w:rFonts w:hint="eastAsia" w:ascii="宋体" w:hAnsi="宋体" w:cs="宋体"/>
          <w:sz w:val="24"/>
        </w:rPr>
        <w:t xml:space="preserve">4.磋商小组将综合分析合格供应商的各项指标，而不是以单项指标的优劣评选出成交的供应商。   </w:t>
      </w:r>
    </w:p>
    <w:p w14:paraId="656380ED">
      <w:pPr>
        <w:spacing w:line="360" w:lineRule="auto"/>
        <w:ind w:firstLine="480" w:firstLineChars="200"/>
        <w:rPr>
          <w:rFonts w:ascii="宋体" w:hAnsi="宋体" w:cs="宋体"/>
          <w:sz w:val="24"/>
        </w:rPr>
      </w:pPr>
      <w:r>
        <w:rPr>
          <w:rFonts w:hint="eastAsia" w:ascii="宋体" w:hAnsi="宋体" w:cs="宋体"/>
          <w:sz w:val="24"/>
        </w:rPr>
        <w:t>5.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72F354C">
      <w:pPr>
        <w:spacing w:line="360" w:lineRule="auto"/>
        <w:ind w:firstLine="480" w:firstLineChars="200"/>
        <w:rPr>
          <w:rFonts w:ascii="宋体" w:hAnsi="宋体" w:cs="宋体"/>
          <w:b/>
          <w:bCs/>
          <w:sz w:val="24"/>
        </w:rPr>
      </w:pPr>
      <w:r>
        <w:rPr>
          <w:rFonts w:hint="eastAsia" w:ascii="宋体" w:hAnsi="宋体" w:cs="宋体"/>
          <w:b/>
          <w:sz w:val="24"/>
        </w:rPr>
        <w:t>本次评审采用综合评分法，总分100分。磋商小组根据竞争性磋商文件制定的评审办法对供应商进行评审排序，将综合得分第一的供应商向采购人推荐其为成交供应商。</w:t>
      </w:r>
    </w:p>
    <w:p w14:paraId="2F1C6E8D">
      <w:pPr>
        <w:spacing w:line="360" w:lineRule="auto"/>
        <w:ind w:firstLine="480" w:firstLineChars="200"/>
        <w:rPr>
          <w:rFonts w:ascii="宋体" w:hAnsi="宋体" w:cs="宋体"/>
          <w:b/>
          <w:bCs/>
          <w:sz w:val="24"/>
        </w:rPr>
      </w:pPr>
      <w:r>
        <w:rPr>
          <w:rFonts w:hint="eastAsia" w:ascii="宋体" w:hAnsi="宋体" w:cs="宋体"/>
          <w:b/>
          <w:bCs/>
          <w:sz w:val="24"/>
        </w:rPr>
        <w:t>商务资信/技术分（80分）</w:t>
      </w:r>
    </w:p>
    <w:tbl>
      <w:tblPr>
        <w:tblStyle w:val="46"/>
        <w:tblW w:w="931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217"/>
        <w:gridCol w:w="6571"/>
        <w:gridCol w:w="824"/>
      </w:tblGrid>
      <w:tr w14:paraId="110698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706" w:type="dxa"/>
            <w:tcBorders>
              <w:bottom w:val="single" w:color="auto" w:sz="4" w:space="0"/>
            </w:tcBorders>
            <w:tcMar>
              <w:top w:w="0" w:type="dxa"/>
              <w:left w:w="108" w:type="dxa"/>
              <w:bottom w:w="0" w:type="dxa"/>
              <w:right w:w="108" w:type="dxa"/>
            </w:tcMar>
            <w:vAlign w:val="center"/>
          </w:tcPr>
          <w:p w14:paraId="7803C632">
            <w:pPr>
              <w:widowControl/>
              <w:jc w:val="center"/>
              <w:rPr>
                <w:rFonts w:ascii="宋体" w:hAnsi="宋体" w:cs="宋体"/>
                <w:color w:val="auto"/>
                <w:kern w:val="0"/>
                <w:sz w:val="24"/>
              </w:rPr>
            </w:pPr>
            <w:r>
              <w:rPr>
                <w:rFonts w:hint="eastAsia" w:ascii="宋体" w:hAnsi="宋体" w:cs="宋体"/>
                <w:b/>
                <w:bCs/>
                <w:color w:val="auto"/>
                <w:sz w:val="24"/>
              </w:rPr>
              <w:t>序号</w:t>
            </w:r>
          </w:p>
        </w:tc>
        <w:tc>
          <w:tcPr>
            <w:tcW w:w="1217" w:type="dxa"/>
            <w:tcBorders>
              <w:bottom w:val="single" w:color="auto" w:sz="4" w:space="0"/>
            </w:tcBorders>
            <w:tcMar>
              <w:top w:w="0" w:type="dxa"/>
              <w:left w:w="108" w:type="dxa"/>
              <w:bottom w:w="0" w:type="dxa"/>
              <w:right w:w="108" w:type="dxa"/>
            </w:tcMar>
            <w:vAlign w:val="center"/>
          </w:tcPr>
          <w:p w14:paraId="336DE69C">
            <w:pPr>
              <w:widowControl/>
              <w:jc w:val="center"/>
              <w:rPr>
                <w:rFonts w:ascii="宋体" w:hAnsi="宋体" w:cs="宋体"/>
                <w:color w:val="auto"/>
                <w:kern w:val="0"/>
                <w:sz w:val="24"/>
              </w:rPr>
            </w:pPr>
            <w:r>
              <w:rPr>
                <w:rFonts w:hint="eastAsia" w:ascii="宋体" w:hAnsi="宋体" w:cs="宋体"/>
                <w:b/>
                <w:bCs/>
                <w:color w:val="auto"/>
                <w:sz w:val="24"/>
              </w:rPr>
              <w:t>评审内容</w:t>
            </w:r>
          </w:p>
        </w:tc>
        <w:tc>
          <w:tcPr>
            <w:tcW w:w="6571" w:type="dxa"/>
            <w:tcBorders>
              <w:bottom w:val="single" w:color="auto" w:sz="4" w:space="0"/>
            </w:tcBorders>
            <w:tcMar>
              <w:top w:w="0" w:type="dxa"/>
              <w:left w:w="108" w:type="dxa"/>
              <w:bottom w:w="0" w:type="dxa"/>
              <w:right w:w="108" w:type="dxa"/>
            </w:tcMar>
            <w:vAlign w:val="center"/>
          </w:tcPr>
          <w:p w14:paraId="0EBB8FCF">
            <w:pPr>
              <w:widowControl/>
              <w:jc w:val="center"/>
              <w:rPr>
                <w:rFonts w:ascii="宋体" w:hAnsi="宋体" w:cs="宋体"/>
                <w:color w:val="auto"/>
                <w:kern w:val="0"/>
                <w:sz w:val="24"/>
              </w:rPr>
            </w:pPr>
            <w:r>
              <w:rPr>
                <w:rFonts w:hint="eastAsia" w:ascii="宋体" w:hAnsi="宋体" w:cs="宋体"/>
                <w:b/>
                <w:bCs/>
                <w:color w:val="auto"/>
                <w:sz w:val="24"/>
              </w:rPr>
              <w:t>评审标准</w:t>
            </w:r>
          </w:p>
        </w:tc>
        <w:tc>
          <w:tcPr>
            <w:tcW w:w="824" w:type="dxa"/>
            <w:tcBorders>
              <w:bottom w:val="single" w:color="auto" w:sz="4" w:space="0"/>
            </w:tcBorders>
            <w:tcMar>
              <w:top w:w="0" w:type="dxa"/>
              <w:left w:w="108" w:type="dxa"/>
              <w:bottom w:w="0" w:type="dxa"/>
              <w:right w:w="108" w:type="dxa"/>
            </w:tcMar>
            <w:vAlign w:val="center"/>
          </w:tcPr>
          <w:p w14:paraId="78442588">
            <w:pPr>
              <w:widowControl/>
              <w:jc w:val="center"/>
              <w:rPr>
                <w:rFonts w:ascii="宋体" w:hAnsi="宋体" w:cs="宋体"/>
                <w:color w:val="auto"/>
                <w:kern w:val="0"/>
                <w:sz w:val="24"/>
              </w:rPr>
            </w:pPr>
            <w:r>
              <w:rPr>
                <w:rFonts w:hint="eastAsia" w:ascii="宋体" w:hAnsi="宋体" w:cs="宋体"/>
                <w:b/>
                <w:bCs/>
                <w:color w:val="auto"/>
                <w:sz w:val="24"/>
              </w:rPr>
              <w:t>分值</w:t>
            </w:r>
          </w:p>
        </w:tc>
      </w:tr>
      <w:tr w14:paraId="201E35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14:paraId="75A07C92">
            <w:pPr>
              <w:widowControl/>
              <w:jc w:val="center"/>
              <w:rPr>
                <w:rFonts w:ascii="宋体" w:hAnsi="宋体" w:cs="宋体"/>
                <w:b/>
                <w:bCs/>
                <w:color w:val="auto"/>
                <w:sz w:val="24"/>
              </w:rPr>
            </w:pPr>
            <w:r>
              <w:rPr>
                <w:rFonts w:hint="eastAsia" w:ascii="宋体" w:hAnsi="宋体" w:cs="宋体"/>
                <w:color w:val="auto"/>
                <w:sz w:val="24"/>
              </w:rPr>
              <w:t>1</w:t>
            </w:r>
          </w:p>
        </w:tc>
        <w:tc>
          <w:tcPr>
            <w:tcW w:w="1217" w:type="dxa"/>
            <w:tcBorders>
              <w:top w:val="single" w:color="auto" w:sz="4" w:space="0"/>
              <w:bottom w:val="single" w:color="auto" w:sz="4" w:space="0"/>
            </w:tcBorders>
            <w:tcMar>
              <w:top w:w="0" w:type="dxa"/>
              <w:left w:w="108" w:type="dxa"/>
              <w:bottom w:w="0" w:type="dxa"/>
              <w:right w:w="108" w:type="dxa"/>
            </w:tcMar>
            <w:vAlign w:val="center"/>
          </w:tcPr>
          <w:p w14:paraId="3D454692">
            <w:pPr>
              <w:pStyle w:val="30"/>
              <w:ind w:firstLine="0" w:firstLineChars="0"/>
              <w:jc w:val="center"/>
              <w:rPr>
                <w:rFonts w:ascii="宋体" w:cs="宋体"/>
                <w:bCs/>
                <w:color w:val="auto"/>
                <w:szCs w:val="24"/>
              </w:rPr>
            </w:pPr>
            <w:r>
              <w:rPr>
                <w:rFonts w:hint="eastAsia" w:ascii="宋体" w:cs="宋体"/>
                <w:color w:val="auto"/>
                <w:szCs w:val="24"/>
              </w:rPr>
              <w:t>同类项目案例</w:t>
            </w:r>
          </w:p>
        </w:tc>
        <w:tc>
          <w:tcPr>
            <w:tcW w:w="6571" w:type="dxa"/>
            <w:tcBorders>
              <w:top w:val="single" w:color="auto" w:sz="4" w:space="0"/>
              <w:bottom w:val="single" w:color="auto" w:sz="4" w:space="0"/>
            </w:tcBorders>
            <w:tcMar>
              <w:top w:w="0" w:type="dxa"/>
              <w:left w:w="108" w:type="dxa"/>
              <w:bottom w:w="0" w:type="dxa"/>
              <w:right w:w="108" w:type="dxa"/>
            </w:tcMar>
            <w:vAlign w:val="center"/>
          </w:tcPr>
          <w:p w14:paraId="18215776">
            <w:pPr>
              <w:pStyle w:val="286"/>
              <w:ind w:firstLine="50"/>
              <w:jc w:val="left"/>
              <w:rPr>
                <w:rFonts w:hAnsi="宋体" w:cs="宋体"/>
                <w:b/>
                <w:bCs/>
                <w:color w:val="auto"/>
                <w:sz w:val="24"/>
                <w:szCs w:val="24"/>
              </w:rPr>
            </w:pPr>
            <w:r>
              <w:rPr>
                <w:rFonts w:hint="eastAsia" w:hAnsi="宋体" w:cs="宋体"/>
                <w:color w:val="auto"/>
                <w:sz w:val="24"/>
                <w:szCs w:val="24"/>
              </w:rPr>
              <w:t>供应商自2021年1月1日（以签订合同时间为准）以来成功实施过同类项目案例的每个得1分，最高得</w:t>
            </w:r>
            <w:r>
              <w:rPr>
                <w:rFonts w:hint="eastAsia" w:hAnsi="宋体" w:cs="宋体"/>
                <w:color w:val="auto"/>
                <w:sz w:val="24"/>
                <w:szCs w:val="24"/>
                <w:lang w:val="en-US" w:eastAsia="zh-CN"/>
              </w:rPr>
              <w:t>2</w:t>
            </w:r>
            <w:r>
              <w:rPr>
                <w:rFonts w:hint="eastAsia" w:hAnsi="宋体" w:cs="宋体"/>
                <w:color w:val="auto"/>
                <w:sz w:val="24"/>
                <w:szCs w:val="24"/>
              </w:rPr>
              <w:t>分。须提供合同扫描件，不提供不得分（有效同类项目案例以评审专家集体认定为准）。（客观分）</w:t>
            </w:r>
          </w:p>
        </w:tc>
        <w:tc>
          <w:tcPr>
            <w:tcW w:w="824" w:type="dxa"/>
            <w:tcBorders>
              <w:top w:val="single" w:color="auto" w:sz="4" w:space="0"/>
              <w:bottom w:val="single" w:color="auto" w:sz="4" w:space="0"/>
            </w:tcBorders>
            <w:tcMar>
              <w:top w:w="0" w:type="dxa"/>
              <w:left w:w="108" w:type="dxa"/>
              <w:bottom w:w="0" w:type="dxa"/>
              <w:right w:w="108" w:type="dxa"/>
            </w:tcMar>
            <w:vAlign w:val="center"/>
          </w:tcPr>
          <w:p w14:paraId="6CF450CA">
            <w:pPr>
              <w:pStyle w:val="286"/>
              <w:ind w:firstLine="50"/>
              <w:jc w:val="center"/>
              <w:rPr>
                <w:rFonts w:hint="eastAsia" w:hAnsi="宋体" w:eastAsia="宋体" w:cs="宋体"/>
                <w:b/>
                <w:bCs/>
                <w:color w:val="auto"/>
                <w:sz w:val="24"/>
                <w:szCs w:val="24"/>
                <w:lang w:val="en-US" w:eastAsia="zh-CN"/>
              </w:rPr>
            </w:pPr>
            <w:r>
              <w:rPr>
                <w:rFonts w:hint="eastAsia" w:hAnsi="宋体" w:cs="宋体"/>
                <w:color w:val="auto"/>
                <w:sz w:val="24"/>
                <w:szCs w:val="24"/>
              </w:rPr>
              <w:t>0-</w:t>
            </w:r>
            <w:r>
              <w:rPr>
                <w:rFonts w:hint="eastAsia" w:hAnsi="宋体" w:cs="宋体"/>
                <w:color w:val="auto"/>
                <w:sz w:val="24"/>
                <w:szCs w:val="24"/>
                <w:lang w:val="en-US" w:eastAsia="zh-CN"/>
              </w:rPr>
              <w:t>2</w:t>
            </w:r>
          </w:p>
        </w:tc>
      </w:tr>
      <w:tr w14:paraId="7C2DFB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14:paraId="27E868BB">
            <w:pPr>
              <w:widowControl/>
              <w:jc w:val="center"/>
              <w:rPr>
                <w:rFonts w:ascii="宋体" w:hAnsi="宋体" w:cs="宋体"/>
                <w:color w:val="auto"/>
                <w:sz w:val="24"/>
              </w:rPr>
            </w:pPr>
            <w:r>
              <w:rPr>
                <w:rFonts w:hint="eastAsia" w:ascii="宋体" w:hAnsi="宋体" w:cs="宋体"/>
                <w:color w:val="auto"/>
                <w:sz w:val="24"/>
              </w:rPr>
              <w:t>2</w:t>
            </w:r>
          </w:p>
        </w:tc>
        <w:tc>
          <w:tcPr>
            <w:tcW w:w="1217" w:type="dxa"/>
            <w:tcBorders>
              <w:top w:val="single" w:color="auto" w:sz="4" w:space="0"/>
              <w:bottom w:val="single" w:color="auto" w:sz="4" w:space="0"/>
            </w:tcBorders>
            <w:tcMar>
              <w:top w:w="0" w:type="dxa"/>
              <w:left w:w="108" w:type="dxa"/>
              <w:bottom w:w="0" w:type="dxa"/>
              <w:right w:w="108" w:type="dxa"/>
            </w:tcMar>
            <w:vAlign w:val="center"/>
          </w:tcPr>
          <w:p w14:paraId="45317AFF">
            <w:pPr>
              <w:widowControl/>
              <w:jc w:val="center"/>
              <w:rPr>
                <w:rFonts w:ascii="宋体" w:hAnsi="宋体" w:cs="宋体"/>
                <w:color w:val="auto"/>
                <w:sz w:val="24"/>
              </w:rPr>
            </w:pPr>
            <w:r>
              <w:rPr>
                <w:rFonts w:hint="eastAsia" w:ascii="宋体" w:hAnsi="宋体" w:cs="宋体"/>
                <w:color w:val="auto"/>
                <w:sz w:val="24"/>
              </w:rPr>
              <w:t>项目服务方案</w:t>
            </w:r>
          </w:p>
        </w:tc>
        <w:tc>
          <w:tcPr>
            <w:tcW w:w="6571" w:type="dxa"/>
            <w:tcBorders>
              <w:top w:val="single" w:color="auto" w:sz="4" w:space="0"/>
              <w:bottom w:val="single" w:color="auto" w:sz="4" w:space="0"/>
            </w:tcBorders>
            <w:tcMar>
              <w:top w:w="0" w:type="dxa"/>
              <w:left w:w="108" w:type="dxa"/>
              <w:bottom w:w="0" w:type="dxa"/>
              <w:right w:w="108" w:type="dxa"/>
            </w:tcMar>
            <w:vAlign w:val="center"/>
          </w:tcPr>
          <w:p w14:paraId="3EC3912D">
            <w:pPr>
              <w:widowControl/>
              <w:jc w:val="left"/>
              <w:rPr>
                <w:rFonts w:ascii="宋体" w:hAnsi="宋体" w:cs="宋体"/>
                <w:color w:val="auto"/>
                <w:sz w:val="24"/>
              </w:rPr>
            </w:pPr>
            <w:r>
              <w:rPr>
                <w:rFonts w:hint="eastAsia" w:ascii="宋体" w:hAnsi="宋体" w:cs="宋体"/>
                <w:color w:val="auto"/>
                <w:sz w:val="24"/>
              </w:rPr>
              <w:t>项目服务方案完全能满足项目实施要求，内容全面、合理且切实可行的得10分；基本能满足项目实施要求，内容全面但存在不足之处的得7分；基本能满足项目实施要求，但内容不全面、存在缺陷的得4分；基本能满足项目实施要求，但内容不全面、缺陷较多的得1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14:paraId="73D009D7">
            <w:pPr>
              <w:widowControl/>
              <w:jc w:val="center"/>
              <w:rPr>
                <w:rFonts w:ascii="宋体" w:hAnsi="宋体" w:cs="宋体"/>
                <w:color w:val="auto"/>
                <w:sz w:val="24"/>
              </w:rPr>
            </w:pPr>
            <w:r>
              <w:rPr>
                <w:rFonts w:hint="eastAsia" w:ascii="宋体" w:hAnsi="宋体" w:cs="宋体"/>
                <w:color w:val="auto"/>
                <w:sz w:val="24"/>
              </w:rPr>
              <w:t>0-10</w:t>
            </w:r>
          </w:p>
        </w:tc>
      </w:tr>
      <w:tr w14:paraId="4A9321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14:paraId="388A0CB7">
            <w:pPr>
              <w:widowControl/>
              <w:jc w:val="center"/>
              <w:rPr>
                <w:rFonts w:ascii="宋体" w:hAnsi="宋体" w:cs="宋体"/>
                <w:color w:val="auto"/>
                <w:kern w:val="0"/>
                <w:sz w:val="24"/>
              </w:rPr>
            </w:pPr>
            <w:r>
              <w:rPr>
                <w:rFonts w:hint="eastAsia" w:ascii="宋体" w:hAnsi="宋体" w:cs="宋体"/>
                <w:color w:val="auto"/>
                <w:sz w:val="24"/>
              </w:rPr>
              <w:t>3</w:t>
            </w:r>
          </w:p>
        </w:tc>
        <w:tc>
          <w:tcPr>
            <w:tcW w:w="1217" w:type="dxa"/>
            <w:tcBorders>
              <w:top w:val="single" w:color="auto" w:sz="4" w:space="0"/>
              <w:bottom w:val="single" w:color="auto" w:sz="4" w:space="0"/>
            </w:tcBorders>
            <w:tcMar>
              <w:top w:w="0" w:type="dxa"/>
              <w:left w:w="108" w:type="dxa"/>
              <w:bottom w:w="0" w:type="dxa"/>
              <w:right w:w="108" w:type="dxa"/>
            </w:tcMar>
            <w:vAlign w:val="center"/>
          </w:tcPr>
          <w:p w14:paraId="47F0484B">
            <w:pPr>
              <w:pStyle w:val="21"/>
              <w:adjustRightInd w:val="0"/>
              <w:snapToGrid w:val="0"/>
              <w:jc w:val="center"/>
              <w:rPr>
                <w:rFonts w:ascii="宋体" w:hAnsi="宋体" w:cs="宋体"/>
                <w:color w:val="auto"/>
              </w:rPr>
            </w:pPr>
            <w:r>
              <w:rPr>
                <w:rFonts w:hint="eastAsia" w:ascii="宋体" w:hAnsi="宋体" w:cs="宋体"/>
                <w:color w:val="auto"/>
                <w:kern w:val="0"/>
              </w:rPr>
              <w:t>管理规章制度</w:t>
            </w:r>
          </w:p>
        </w:tc>
        <w:tc>
          <w:tcPr>
            <w:tcW w:w="6571" w:type="dxa"/>
            <w:tcBorders>
              <w:top w:val="single" w:color="auto" w:sz="4" w:space="0"/>
              <w:bottom w:val="single" w:color="auto" w:sz="4" w:space="0"/>
            </w:tcBorders>
            <w:tcMar>
              <w:top w:w="0" w:type="dxa"/>
              <w:left w:w="108" w:type="dxa"/>
              <w:bottom w:w="0" w:type="dxa"/>
              <w:right w:w="108" w:type="dxa"/>
            </w:tcMar>
            <w:vAlign w:val="center"/>
          </w:tcPr>
          <w:p w14:paraId="399C6D0F">
            <w:pPr>
              <w:pStyle w:val="21"/>
              <w:adjustRightInd w:val="0"/>
              <w:snapToGrid w:val="0"/>
              <w:spacing w:before="0"/>
              <w:rPr>
                <w:rFonts w:ascii="宋体" w:hAnsi="宋体" w:cs="宋体"/>
                <w:color w:val="auto"/>
              </w:rPr>
            </w:pPr>
            <w:r>
              <w:rPr>
                <w:rFonts w:hint="eastAsia" w:ascii="宋体" w:hAnsi="宋体" w:cs="宋体"/>
                <w:color w:val="auto"/>
                <w:kern w:val="0"/>
              </w:rPr>
              <w:t>管理规章制度</w:t>
            </w:r>
            <w:r>
              <w:rPr>
                <w:rFonts w:hint="eastAsia" w:ascii="宋体" w:hAnsi="宋体" w:cs="宋体"/>
                <w:color w:val="auto"/>
              </w:rPr>
              <w:t>完全能满足项目实施要求，内容全面、合理且切实可行的得7分；基本能满足项目实施要求，内容全面但存在不足之处的得5分；基本能满足项目实施要求，但内容不全面、存在缺陷的得3分；基本能满足项目实施要求，但内容不全面、缺陷较多的得1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14:paraId="3C31C2A3">
            <w:pPr>
              <w:adjustRightInd w:val="0"/>
              <w:snapToGrid w:val="0"/>
              <w:jc w:val="center"/>
              <w:rPr>
                <w:rFonts w:ascii="宋体" w:hAnsi="宋体" w:cs="宋体"/>
                <w:color w:val="auto"/>
                <w:sz w:val="24"/>
              </w:rPr>
            </w:pPr>
            <w:r>
              <w:rPr>
                <w:rFonts w:hint="eastAsia" w:ascii="宋体" w:hAnsi="宋体" w:cs="宋体"/>
                <w:color w:val="auto"/>
                <w:sz w:val="24"/>
              </w:rPr>
              <w:t>0-7</w:t>
            </w:r>
          </w:p>
        </w:tc>
      </w:tr>
      <w:tr w14:paraId="152B55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14:paraId="5861271D">
            <w:pPr>
              <w:widowControl/>
              <w:jc w:val="center"/>
              <w:rPr>
                <w:rFonts w:ascii="宋体" w:hAnsi="宋体" w:cs="宋体"/>
                <w:color w:val="auto"/>
                <w:sz w:val="24"/>
              </w:rPr>
            </w:pPr>
            <w:r>
              <w:rPr>
                <w:rFonts w:hint="eastAsia" w:ascii="宋体" w:hAnsi="宋体" w:cs="宋体"/>
                <w:color w:val="auto"/>
                <w:sz w:val="24"/>
              </w:rPr>
              <w:t>4</w:t>
            </w:r>
          </w:p>
        </w:tc>
        <w:tc>
          <w:tcPr>
            <w:tcW w:w="1217" w:type="dxa"/>
            <w:tcBorders>
              <w:top w:val="single" w:color="auto" w:sz="4" w:space="0"/>
              <w:bottom w:val="single" w:color="auto" w:sz="4" w:space="0"/>
            </w:tcBorders>
            <w:tcMar>
              <w:top w:w="0" w:type="dxa"/>
              <w:left w:w="108" w:type="dxa"/>
              <w:bottom w:w="0" w:type="dxa"/>
              <w:right w:w="108" w:type="dxa"/>
            </w:tcMar>
            <w:vAlign w:val="center"/>
          </w:tcPr>
          <w:p w14:paraId="112856D7">
            <w:pPr>
              <w:jc w:val="center"/>
              <w:rPr>
                <w:rFonts w:ascii="宋体" w:hAnsi="宋体" w:cs="宋体"/>
                <w:color w:val="auto"/>
                <w:kern w:val="0"/>
                <w:sz w:val="24"/>
              </w:rPr>
            </w:pPr>
            <w:r>
              <w:rPr>
                <w:rFonts w:hint="eastAsia" w:ascii="宋体" w:hAnsi="宋体" w:cs="宋体"/>
                <w:color w:val="auto"/>
                <w:sz w:val="24"/>
              </w:rPr>
              <w:t>水果自助售卖机</w:t>
            </w:r>
          </w:p>
        </w:tc>
        <w:tc>
          <w:tcPr>
            <w:tcW w:w="6571" w:type="dxa"/>
            <w:tcBorders>
              <w:top w:val="single" w:color="auto" w:sz="4" w:space="0"/>
              <w:bottom w:val="single" w:color="auto" w:sz="4" w:space="0"/>
            </w:tcBorders>
            <w:tcMar>
              <w:top w:w="0" w:type="dxa"/>
              <w:left w:w="108" w:type="dxa"/>
              <w:bottom w:w="0" w:type="dxa"/>
              <w:right w:w="108" w:type="dxa"/>
            </w:tcMar>
            <w:vAlign w:val="center"/>
          </w:tcPr>
          <w:p w14:paraId="34CF903F">
            <w:pPr>
              <w:widowControl/>
              <w:jc w:val="left"/>
              <w:rPr>
                <w:rFonts w:ascii="宋体" w:hAnsi="宋体" w:cs="宋体"/>
                <w:color w:val="auto"/>
                <w:sz w:val="24"/>
              </w:rPr>
            </w:pPr>
            <w:r>
              <w:rPr>
                <w:rFonts w:hint="eastAsia" w:ascii="宋体" w:hAnsi="宋体" w:cs="宋体"/>
                <w:color w:val="auto"/>
                <w:sz w:val="24"/>
              </w:rPr>
              <w:t>根据供应商提供的水果自助售卖机的外观、技术指标、安全指标、功能等相关证明材料优劣打分：</w:t>
            </w:r>
          </w:p>
          <w:p w14:paraId="61B81C37">
            <w:pPr>
              <w:pStyle w:val="21"/>
              <w:adjustRightInd w:val="0"/>
              <w:snapToGrid w:val="0"/>
              <w:spacing w:before="0"/>
              <w:rPr>
                <w:rFonts w:ascii="宋体" w:hAnsi="宋体" w:cs="宋体"/>
                <w:color w:val="auto"/>
                <w:kern w:val="0"/>
                <w:lang w:bidi="ar"/>
              </w:rPr>
            </w:pPr>
            <w:r>
              <w:rPr>
                <w:rFonts w:hint="eastAsia" w:ascii="宋体" w:hAnsi="宋体" w:cs="宋体"/>
                <w:color w:val="auto"/>
              </w:rPr>
              <w:t>1.最优</w:t>
            </w:r>
            <w:r>
              <w:rPr>
                <w:rFonts w:hint="eastAsia" w:ascii="宋体" w:hAnsi="宋体" w:cs="宋体"/>
                <w:color w:val="auto"/>
                <w:kern w:val="0"/>
                <w:lang w:bidi="ar"/>
              </w:rPr>
              <w:t>的得15分。</w:t>
            </w:r>
          </w:p>
          <w:p w14:paraId="37A2184C">
            <w:pPr>
              <w:pStyle w:val="21"/>
              <w:adjustRightInd w:val="0"/>
              <w:snapToGrid w:val="0"/>
              <w:spacing w:before="0"/>
              <w:rPr>
                <w:rFonts w:ascii="宋体" w:hAnsi="宋体" w:cs="宋体"/>
                <w:color w:val="auto"/>
                <w:kern w:val="0"/>
                <w:lang w:bidi="ar"/>
              </w:rPr>
            </w:pPr>
            <w:r>
              <w:rPr>
                <w:rFonts w:hint="eastAsia" w:ascii="宋体" w:hAnsi="宋体" w:cs="宋体"/>
                <w:color w:val="auto"/>
                <w:kern w:val="0"/>
                <w:lang w:bidi="ar"/>
              </w:rPr>
              <w:t>2.</w:t>
            </w:r>
            <w:r>
              <w:rPr>
                <w:rFonts w:hint="eastAsia" w:ascii="宋体" w:hAnsi="宋体" w:cs="宋体"/>
                <w:color w:val="auto"/>
              </w:rPr>
              <w:t>较优</w:t>
            </w:r>
            <w:r>
              <w:rPr>
                <w:rFonts w:hint="eastAsia" w:ascii="宋体" w:hAnsi="宋体" w:cs="宋体"/>
                <w:color w:val="auto"/>
                <w:kern w:val="0"/>
                <w:lang w:bidi="ar"/>
              </w:rPr>
              <w:t>的得12分</w:t>
            </w:r>
            <w:r>
              <w:rPr>
                <w:rFonts w:hint="eastAsia" w:ascii="宋体" w:hAnsi="宋体" w:cs="宋体"/>
                <w:color w:val="auto"/>
              </w:rPr>
              <w:t>；</w:t>
            </w:r>
          </w:p>
          <w:p w14:paraId="46F052B2">
            <w:pPr>
              <w:pStyle w:val="21"/>
              <w:adjustRightInd w:val="0"/>
              <w:snapToGrid w:val="0"/>
              <w:spacing w:before="0"/>
              <w:rPr>
                <w:rFonts w:ascii="宋体" w:hAnsi="宋体" w:cs="宋体"/>
                <w:color w:val="auto"/>
              </w:rPr>
            </w:pPr>
            <w:r>
              <w:rPr>
                <w:rFonts w:hint="eastAsia" w:ascii="宋体" w:hAnsi="宋体" w:cs="宋体"/>
                <w:color w:val="auto"/>
                <w:kern w:val="0"/>
                <w:lang w:bidi="ar"/>
              </w:rPr>
              <w:t>3.</w:t>
            </w:r>
            <w:r>
              <w:rPr>
                <w:rFonts w:hint="eastAsia" w:ascii="宋体" w:hAnsi="宋体" w:cs="宋体"/>
                <w:color w:val="auto"/>
              </w:rPr>
              <w:t>一遍</w:t>
            </w:r>
            <w:r>
              <w:rPr>
                <w:rFonts w:hint="eastAsia" w:ascii="宋体" w:hAnsi="宋体" w:cs="宋体"/>
                <w:color w:val="auto"/>
                <w:kern w:val="0"/>
                <w:lang w:bidi="ar"/>
              </w:rPr>
              <w:t>的得9分</w:t>
            </w:r>
            <w:r>
              <w:rPr>
                <w:rFonts w:hint="eastAsia" w:ascii="宋体" w:hAnsi="宋体" w:cs="宋体"/>
                <w:color w:val="auto"/>
              </w:rPr>
              <w:t>；</w:t>
            </w:r>
          </w:p>
          <w:p w14:paraId="6476AD59">
            <w:pPr>
              <w:pStyle w:val="16"/>
              <w:tabs>
                <w:tab w:val="left" w:pos="208"/>
              </w:tabs>
              <w:spacing w:after="0" w:line="240" w:lineRule="auto"/>
              <w:ind w:firstLine="0" w:firstLineChars="0"/>
              <w:rPr>
                <w:rFonts w:ascii="宋体" w:hAnsi="宋体" w:cs="宋体"/>
                <w:color w:val="auto"/>
                <w:szCs w:val="24"/>
              </w:rPr>
            </w:pPr>
            <w:r>
              <w:rPr>
                <w:rFonts w:hint="eastAsia" w:ascii="宋体" w:hAnsi="宋体" w:cs="宋体"/>
                <w:color w:val="auto"/>
                <w:kern w:val="0"/>
                <w:szCs w:val="24"/>
              </w:rPr>
              <w:t>4.</w:t>
            </w:r>
            <w:r>
              <w:rPr>
                <w:rFonts w:hint="eastAsia" w:ascii="宋体" w:hAnsi="宋体" w:cs="宋体"/>
                <w:color w:val="auto"/>
                <w:szCs w:val="24"/>
              </w:rPr>
              <w:t>较差</w:t>
            </w:r>
            <w:r>
              <w:rPr>
                <w:rFonts w:hint="eastAsia" w:ascii="宋体" w:hAnsi="宋体" w:cs="宋体"/>
                <w:color w:val="auto"/>
                <w:kern w:val="0"/>
                <w:szCs w:val="24"/>
                <w:lang w:bidi="ar"/>
              </w:rPr>
              <w:t>的得6分</w:t>
            </w:r>
            <w:r>
              <w:rPr>
                <w:rFonts w:hint="eastAsia" w:ascii="宋体" w:hAnsi="宋体" w:cs="宋体"/>
                <w:color w:val="auto"/>
                <w:szCs w:val="24"/>
              </w:rPr>
              <w:t>；</w:t>
            </w:r>
          </w:p>
          <w:p w14:paraId="7DCAD7B3">
            <w:pPr>
              <w:pStyle w:val="21"/>
              <w:adjustRightInd w:val="0"/>
              <w:snapToGrid w:val="0"/>
              <w:spacing w:before="0"/>
              <w:rPr>
                <w:rFonts w:ascii="宋体" w:hAnsi="宋体" w:cs="宋体"/>
                <w:color w:val="auto"/>
              </w:rPr>
            </w:pPr>
            <w:r>
              <w:rPr>
                <w:rFonts w:hint="eastAsia" w:ascii="宋体" w:hAnsi="宋体" w:cs="宋体"/>
                <w:color w:val="auto"/>
                <w:kern w:val="0"/>
                <w:lang w:bidi="ar"/>
              </w:rPr>
              <w:t>5.</w:t>
            </w:r>
            <w:r>
              <w:rPr>
                <w:rFonts w:hint="eastAsia" w:ascii="宋体" w:hAnsi="宋体" w:cs="宋体"/>
                <w:color w:val="auto"/>
              </w:rPr>
              <w:t>差</w:t>
            </w:r>
            <w:r>
              <w:rPr>
                <w:rFonts w:hint="eastAsia" w:ascii="宋体" w:hAnsi="宋体" w:cs="宋体"/>
                <w:color w:val="auto"/>
                <w:kern w:val="0"/>
                <w:lang w:bidi="ar"/>
              </w:rPr>
              <w:t>的得3分</w:t>
            </w:r>
            <w:r>
              <w:rPr>
                <w:rFonts w:hint="eastAsia" w:ascii="宋体" w:hAnsi="宋体" w:cs="宋体"/>
                <w:color w:val="auto"/>
              </w:rPr>
              <w:t>；</w:t>
            </w:r>
          </w:p>
          <w:p w14:paraId="2A569FF1">
            <w:pPr>
              <w:widowControl/>
              <w:jc w:val="left"/>
              <w:rPr>
                <w:rFonts w:ascii="宋体" w:hAnsi="宋体" w:cs="宋体"/>
                <w:color w:val="auto"/>
                <w:sz w:val="24"/>
              </w:rPr>
            </w:pPr>
            <w:r>
              <w:rPr>
                <w:rFonts w:hint="eastAsia" w:ascii="宋体" w:hAnsi="宋体" w:cs="宋体"/>
                <w:color w:val="auto"/>
                <w:sz w:val="24"/>
              </w:rPr>
              <w:t>6.未提供相关证明材料的不得分。（客观分）</w:t>
            </w:r>
          </w:p>
        </w:tc>
        <w:tc>
          <w:tcPr>
            <w:tcW w:w="824" w:type="dxa"/>
            <w:tcBorders>
              <w:top w:val="single" w:color="auto" w:sz="4" w:space="0"/>
              <w:bottom w:val="single" w:color="auto" w:sz="4" w:space="0"/>
            </w:tcBorders>
            <w:tcMar>
              <w:top w:w="0" w:type="dxa"/>
              <w:left w:w="108" w:type="dxa"/>
              <w:bottom w:w="0" w:type="dxa"/>
              <w:right w:w="108" w:type="dxa"/>
            </w:tcMar>
            <w:vAlign w:val="center"/>
          </w:tcPr>
          <w:p w14:paraId="7BE47EF3">
            <w:pPr>
              <w:widowControl/>
              <w:snapToGrid w:val="0"/>
              <w:jc w:val="center"/>
              <w:rPr>
                <w:rFonts w:ascii="宋体" w:hAnsi="宋体" w:cs="宋体"/>
                <w:color w:val="auto"/>
                <w:sz w:val="24"/>
              </w:rPr>
            </w:pPr>
            <w:r>
              <w:rPr>
                <w:rFonts w:hint="eastAsia" w:ascii="宋体" w:hAnsi="宋体" w:cs="宋体"/>
                <w:color w:val="auto"/>
                <w:sz w:val="24"/>
              </w:rPr>
              <w:t>0-15</w:t>
            </w:r>
          </w:p>
        </w:tc>
      </w:tr>
      <w:tr w14:paraId="68C1EF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3"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14:paraId="4679D6AD">
            <w:pPr>
              <w:widowControl/>
              <w:jc w:val="center"/>
              <w:rPr>
                <w:rFonts w:ascii="宋体" w:hAnsi="宋体" w:cs="宋体"/>
                <w:color w:val="auto"/>
                <w:sz w:val="24"/>
              </w:rPr>
            </w:pPr>
            <w:r>
              <w:rPr>
                <w:rFonts w:hint="eastAsia" w:ascii="宋体" w:hAnsi="宋体" w:cs="宋体"/>
                <w:color w:val="auto"/>
                <w:sz w:val="24"/>
              </w:rPr>
              <w:t>5</w:t>
            </w:r>
          </w:p>
        </w:tc>
        <w:tc>
          <w:tcPr>
            <w:tcW w:w="1217" w:type="dxa"/>
            <w:tcBorders>
              <w:top w:val="single" w:color="auto" w:sz="4" w:space="0"/>
              <w:bottom w:val="single" w:color="auto" w:sz="4" w:space="0"/>
            </w:tcBorders>
            <w:tcMar>
              <w:top w:w="0" w:type="dxa"/>
              <w:left w:w="108" w:type="dxa"/>
              <w:bottom w:w="0" w:type="dxa"/>
              <w:right w:w="108" w:type="dxa"/>
            </w:tcMar>
            <w:vAlign w:val="center"/>
          </w:tcPr>
          <w:p w14:paraId="40B64043">
            <w:pPr>
              <w:pStyle w:val="30"/>
              <w:ind w:firstLine="0" w:firstLineChars="0"/>
              <w:jc w:val="center"/>
              <w:rPr>
                <w:rFonts w:ascii="宋体" w:cs="宋体"/>
                <w:color w:val="auto"/>
                <w:szCs w:val="24"/>
              </w:rPr>
            </w:pPr>
            <w:r>
              <w:rPr>
                <w:rFonts w:hint="eastAsia" w:ascii="宋体" w:cs="宋体"/>
                <w:color w:val="auto"/>
                <w:szCs w:val="24"/>
              </w:rPr>
              <w:t>水果</w:t>
            </w:r>
            <w:r>
              <w:rPr>
                <w:rFonts w:hint="eastAsia" w:ascii="宋体" w:cs="宋体"/>
                <w:b w:val="0"/>
                <w:color w:val="auto"/>
                <w:szCs w:val="24"/>
              </w:rPr>
              <w:t>采购方案</w:t>
            </w:r>
          </w:p>
        </w:tc>
        <w:tc>
          <w:tcPr>
            <w:tcW w:w="6571" w:type="dxa"/>
            <w:tcBorders>
              <w:top w:val="single" w:color="auto" w:sz="4" w:space="0"/>
              <w:bottom w:val="single" w:color="auto" w:sz="4" w:space="0"/>
            </w:tcBorders>
            <w:tcMar>
              <w:top w:w="0" w:type="dxa"/>
              <w:left w:w="108" w:type="dxa"/>
              <w:bottom w:w="0" w:type="dxa"/>
              <w:right w:w="108" w:type="dxa"/>
            </w:tcMar>
            <w:vAlign w:val="center"/>
          </w:tcPr>
          <w:p w14:paraId="5AA2B640">
            <w:pPr>
              <w:widowControl/>
              <w:jc w:val="left"/>
              <w:rPr>
                <w:rFonts w:ascii="宋体" w:hAnsi="宋体" w:cs="宋体"/>
                <w:color w:val="auto"/>
                <w:sz w:val="24"/>
              </w:rPr>
            </w:pPr>
            <w:r>
              <w:rPr>
                <w:rFonts w:hint="eastAsia" w:ascii="宋体" w:hAnsi="宋体" w:cs="宋体"/>
                <w:color w:val="auto"/>
                <w:sz w:val="24"/>
              </w:rPr>
              <w:t>水果采购方案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14:paraId="339B8131">
            <w:pPr>
              <w:widowControl/>
              <w:snapToGrid w:val="0"/>
              <w:jc w:val="center"/>
              <w:rPr>
                <w:rFonts w:ascii="宋体" w:hAnsi="宋体" w:cs="宋体"/>
                <w:color w:val="auto"/>
                <w:sz w:val="24"/>
              </w:rPr>
            </w:pPr>
            <w:r>
              <w:rPr>
                <w:rFonts w:hint="eastAsia" w:ascii="宋体" w:hAnsi="宋体" w:cs="宋体"/>
                <w:color w:val="auto"/>
                <w:sz w:val="24"/>
              </w:rPr>
              <w:t>0-8</w:t>
            </w:r>
          </w:p>
        </w:tc>
      </w:tr>
      <w:tr w14:paraId="2CB754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14:paraId="31BCABEA">
            <w:pPr>
              <w:widowControl/>
              <w:jc w:val="center"/>
              <w:rPr>
                <w:rFonts w:ascii="宋体" w:hAnsi="宋体" w:cs="宋体"/>
                <w:color w:val="auto"/>
                <w:sz w:val="24"/>
              </w:rPr>
            </w:pPr>
            <w:r>
              <w:rPr>
                <w:rFonts w:hint="eastAsia" w:ascii="宋体" w:hAnsi="宋体" w:cs="宋体"/>
                <w:color w:val="auto"/>
                <w:sz w:val="24"/>
              </w:rPr>
              <w:t>6</w:t>
            </w:r>
          </w:p>
        </w:tc>
        <w:tc>
          <w:tcPr>
            <w:tcW w:w="1217" w:type="dxa"/>
            <w:tcBorders>
              <w:top w:val="single" w:color="auto" w:sz="4" w:space="0"/>
              <w:bottom w:val="single" w:color="auto" w:sz="4" w:space="0"/>
            </w:tcBorders>
            <w:tcMar>
              <w:top w:w="0" w:type="dxa"/>
              <w:left w:w="108" w:type="dxa"/>
              <w:bottom w:w="0" w:type="dxa"/>
              <w:right w:w="108" w:type="dxa"/>
            </w:tcMar>
            <w:vAlign w:val="center"/>
          </w:tcPr>
          <w:p w14:paraId="17E6E9C8">
            <w:pPr>
              <w:widowControl/>
              <w:jc w:val="center"/>
              <w:rPr>
                <w:rFonts w:ascii="宋体" w:hAnsi="宋体" w:cs="宋体"/>
                <w:color w:val="auto"/>
                <w:sz w:val="24"/>
              </w:rPr>
            </w:pPr>
            <w:r>
              <w:rPr>
                <w:rFonts w:hint="eastAsia" w:ascii="宋体" w:hAnsi="宋体" w:cs="宋体"/>
                <w:color w:val="auto"/>
                <w:sz w:val="24"/>
              </w:rPr>
              <w:t>水果</w:t>
            </w:r>
            <w:r>
              <w:rPr>
                <w:rStyle w:val="277"/>
                <w:rFonts w:hint="eastAsia" w:ascii="宋体" w:hAnsi="宋体" w:cs="宋体"/>
                <w:color w:val="auto"/>
                <w:sz w:val="24"/>
              </w:rPr>
              <w:t>安全保证方案</w:t>
            </w:r>
          </w:p>
        </w:tc>
        <w:tc>
          <w:tcPr>
            <w:tcW w:w="6571" w:type="dxa"/>
            <w:tcBorders>
              <w:top w:val="single" w:color="auto" w:sz="4" w:space="0"/>
              <w:bottom w:val="single" w:color="auto" w:sz="4" w:space="0"/>
            </w:tcBorders>
            <w:tcMar>
              <w:top w:w="0" w:type="dxa"/>
              <w:left w:w="108" w:type="dxa"/>
              <w:bottom w:w="0" w:type="dxa"/>
              <w:right w:w="108" w:type="dxa"/>
            </w:tcMar>
            <w:vAlign w:val="center"/>
          </w:tcPr>
          <w:p w14:paraId="55370DB7">
            <w:pPr>
              <w:widowControl/>
              <w:jc w:val="left"/>
              <w:rPr>
                <w:rFonts w:ascii="宋体" w:hAnsi="宋体" w:cs="宋体"/>
                <w:color w:val="auto"/>
                <w:sz w:val="24"/>
              </w:rPr>
            </w:pPr>
            <w:r>
              <w:rPr>
                <w:rFonts w:hint="eastAsia" w:ascii="宋体" w:hAnsi="宋体" w:cs="宋体"/>
                <w:color w:val="auto"/>
                <w:sz w:val="24"/>
              </w:rPr>
              <w:t>水果</w:t>
            </w:r>
            <w:r>
              <w:rPr>
                <w:rStyle w:val="277"/>
                <w:rFonts w:hint="eastAsia" w:ascii="宋体" w:hAnsi="宋体" w:cs="宋体"/>
                <w:color w:val="auto"/>
                <w:sz w:val="24"/>
              </w:rPr>
              <w:t>安全保证方案</w:t>
            </w:r>
            <w:r>
              <w:rPr>
                <w:rFonts w:hint="eastAsia" w:ascii="宋体" w:hAnsi="宋体" w:cs="宋体"/>
                <w:color w:val="auto"/>
                <w:sz w:val="24"/>
              </w:rPr>
              <w:t>完全能满足项目实施要求，内容全面、合理且切实可行的得</w:t>
            </w:r>
            <w:r>
              <w:rPr>
                <w:rFonts w:hint="eastAsia" w:ascii="宋体" w:hAnsi="宋体" w:cs="宋体"/>
                <w:color w:val="auto"/>
                <w:sz w:val="24"/>
                <w:lang w:val="en-US" w:eastAsia="zh-CN"/>
              </w:rPr>
              <w:t>8</w:t>
            </w:r>
            <w:r>
              <w:rPr>
                <w:rFonts w:hint="eastAsia" w:ascii="宋体" w:hAnsi="宋体" w:cs="宋体"/>
                <w:color w:val="auto"/>
                <w:sz w:val="24"/>
              </w:rPr>
              <w:t>分；基本能满足项目实施要求，内容全面但存在不足之处的得</w:t>
            </w:r>
            <w:r>
              <w:rPr>
                <w:rFonts w:hint="eastAsia" w:ascii="宋体" w:hAnsi="宋体" w:cs="宋体"/>
                <w:color w:val="auto"/>
                <w:sz w:val="24"/>
                <w:lang w:val="en-US" w:eastAsia="zh-CN"/>
              </w:rPr>
              <w:t>6</w:t>
            </w:r>
            <w:r>
              <w:rPr>
                <w:rFonts w:hint="eastAsia" w:ascii="宋体" w:hAnsi="宋体" w:cs="宋体"/>
                <w:color w:val="auto"/>
                <w:sz w:val="24"/>
              </w:rPr>
              <w:t>分；基本能满足项目实施要求，但内容不全面、存在缺陷的得</w:t>
            </w:r>
            <w:r>
              <w:rPr>
                <w:rFonts w:hint="eastAsia" w:ascii="宋体" w:hAnsi="宋体" w:cs="宋体"/>
                <w:color w:val="auto"/>
                <w:sz w:val="24"/>
                <w:lang w:val="en-US" w:eastAsia="zh-CN"/>
              </w:rPr>
              <w:t>4</w:t>
            </w:r>
            <w:r>
              <w:rPr>
                <w:rFonts w:hint="eastAsia" w:ascii="宋体" w:hAnsi="宋体" w:cs="宋体"/>
                <w:color w:val="auto"/>
                <w:sz w:val="24"/>
              </w:rPr>
              <w:t>分；基本能满足项目实施要求，但内容不全面、缺陷较多的得</w:t>
            </w:r>
            <w:r>
              <w:rPr>
                <w:rFonts w:hint="eastAsia" w:ascii="宋体" w:hAnsi="宋体" w:cs="宋体"/>
                <w:color w:val="auto"/>
                <w:sz w:val="24"/>
                <w:lang w:val="en-US" w:eastAsia="zh-CN"/>
              </w:rPr>
              <w:t>2</w:t>
            </w:r>
            <w:r>
              <w:rPr>
                <w:rFonts w:hint="eastAsia" w:ascii="宋体" w:hAnsi="宋体" w:cs="宋体"/>
                <w:color w:val="auto"/>
                <w:sz w:val="24"/>
              </w:rPr>
              <w:t>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14:paraId="7955379D">
            <w:pPr>
              <w:widowControl/>
              <w:snapToGrid w:val="0"/>
              <w:jc w:val="center"/>
              <w:rPr>
                <w:rFonts w:hint="eastAsia" w:ascii="宋体" w:hAnsi="宋体" w:eastAsia="宋体" w:cs="宋体"/>
                <w:color w:val="auto"/>
                <w:sz w:val="24"/>
                <w:lang w:val="en-US" w:eastAsia="zh-CN"/>
              </w:rPr>
            </w:pPr>
            <w:r>
              <w:rPr>
                <w:rFonts w:hint="eastAsia" w:ascii="宋体" w:hAnsi="宋体" w:cs="宋体"/>
                <w:color w:val="auto"/>
                <w:sz w:val="24"/>
              </w:rPr>
              <w:t>0-</w:t>
            </w:r>
            <w:r>
              <w:rPr>
                <w:rFonts w:hint="eastAsia" w:ascii="宋体" w:hAnsi="宋体" w:cs="宋体"/>
                <w:color w:val="auto"/>
                <w:sz w:val="24"/>
                <w:lang w:val="en-US" w:eastAsia="zh-CN"/>
              </w:rPr>
              <w:t>8</w:t>
            </w:r>
          </w:p>
        </w:tc>
      </w:tr>
      <w:tr w14:paraId="4F103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14:paraId="6021DFFF">
            <w:pPr>
              <w:widowControl/>
              <w:jc w:val="center"/>
              <w:rPr>
                <w:rFonts w:ascii="宋体" w:hAnsi="宋体" w:cs="宋体"/>
                <w:color w:val="auto"/>
                <w:sz w:val="24"/>
              </w:rPr>
            </w:pPr>
            <w:r>
              <w:rPr>
                <w:rFonts w:hint="eastAsia" w:ascii="宋体" w:hAnsi="宋体" w:cs="宋体"/>
                <w:color w:val="auto"/>
                <w:sz w:val="24"/>
              </w:rPr>
              <w:t>7</w:t>
            </w:r>
          </w:p>
        </w:tc>
        <w:tc>
          <w:tcPr>
            <w:tcW w:w="1217" w:type="dxa"/>
            <w:tcBorders>
              <w:top w:val="single" w:color="auto" w:sz="4" w:space="0"/>
              <w:bottom w:val="single" w:color="auto" w:sz="4" w:space="0"/>
            </w:tcBorders>
            <w:tcMar>
              <w:top w:w="0" w:type="dxa"/>
              <w:left w:w="108" w:type="dxa"/>
              <w:bottom w:w="0" w:type="dxa"/>
              <w:right w:w="108" w:type="dxa"/>
            </w:tcMar>
            <w:vAlign w:val="center"/>
          </w:tcPr>
          <w:p w14:paraId="18323675">
            <w:pPr>
              <w:pStyle w:val="30"/>
              <w:ind w:firstLine="0" w:firstLineChars="0"/>
              <w:jc w:val="center"/>
              <w:rPr>
                <w:rFonts w:ascii="宋体" w:cs="宋体"/>
                <w:color w:val="auto"/>
                <w:szCs w:val="24"/>
              </w:rPr>
            </w:pPr>
            <w:r>
              <w:rPr>
                <w:rFonts w:hint="eastAsia" w:ascii="宋体" w:cs="宋体"/>
                <w:color w:val="auto"/>
                <w:szCs w:val="24"/>
              </w:rPr>
              <w:t>水果</w:t>
            </w:r>
            <w:r>
              <w:rPr>
                <w:rStyle w:val="277"/>
                <w:rFonts w:hint="eastAsia" w:ascii="宋体" w:hAnsi="宋体" w:cs="宋体"/>
                <w:color w:val="auto"/>
                <w:sz w:val="24"/>
              </w:rPr>
              <w:t>质量保证方案</w:t>
            </w:r>
          </w:p>
        </w:tc>
        <w:tc>
          <w:tcPr>
            <w:tcW w:w="6571" w:type="dxa"/>
            <w:tcBorders>
              <w:top w:val="single" w:color="auto" w:sz="4" w:space="0"/>
              <w:bottom w:val="single" w:color="auto" w:sz="4" w:space="0"/>
            </w:tcBorders>
            <w:tcMar>
              <w:top w:w="0" w:type="dxa"/>
              <w:left w:w="108" w:type="dxa"/>
              <w:bottom w:w="0" w:type="dxa"/>
              <w:right w:w="108" w:type="dxa"/>
            </w:tcMar>
            <w:vAlign w:val="center"/>
          </w:tcPr>
          <w:p w14:paraId="6448F7ED">
            <w:pPr>
              <w:widowControl/>
              <w:jc w:val="left"/>
              <w:rPr>
                <w:rFonts w:ascii="宋体" w:hAnsi="宋体" w:cs="宋体"/>
                <w:color w:val="auto"/>
                <w:sz w:val="24"/>
              </w:rPr>
            </w:pPr>
            <w:r>
              <w:rPr>
                <w:rFonts w:hint="eastAsia" w:ascii="宋体" w:hAnsi="宋体" w:cs="宋体"/>
                <w:color w:val="auto"/>
                <w:sz w:val="24"/>
              </w:rPr>
              <w:t>水果</w:t>
            </w:r>
            <w:r>
              <w:rPr>
                <w:rStyle w:val="277"/>
                <w:rFonts w:hint="eastAsia" w:ascii="宋体" w:hAnsi="宋体" w:cs="宋体"/>
                <w:color w:val="auto"/>
                <w:sz w:val="24"/>
              </w:rPr>
              <w:t>质量保证方案</w:t>
            </w:r>
            <w:r>
              <w:rPr>
                <w:rFonts w:hint="eastAsia" w:ascii="宋体" w:hAnsi="宋体" w:cs="宋体"/>
                <w:color w:val="auto"/>
                <w:sz w:val="24"/>
              </w:rPr>
              <w:t>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14:paraId="5B9F81C8">
            <w:pPr>
              <w:widowControl/>
              <w:snapToGrid w:val="0"/>
              <w:jc w:val="center"/>
              <w:rPr>
                <w:rFonts w:ascii="宋体" w:hAnsi="宋体" w:cs="宋体"/>
                <w:color w:val="auto"/>
                <w:sz w:val="24"/>
              </w:rPr>
            </w:pPr>
            <w:r>
              <w:rPr>
                <w:rFonts w:hint="eastAsia" w:ascii="宋体" w:hAnsi="宋体" w:cs="宋体"/>
                <w:color w:val="auto"/>
                <w:sz w:val="24"/>
              </w:rPr>
              <w:t>0-8</w:t>
            </w:r>
          </w:p>
        </w:tc>
      </w:tr>
      <w:tr w14:paraId="33CC5C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706" w:type="dxa"/>
            <w:tcBorders>
              <w:top w:val="single" w:color="auto" w:sz="4" w:space="0"/>
              <w:bottom w:val="single" w:color="auto" w:sz="4" w:space="0"/>
            </w:tcBorders>
            <w:tcMar>
              <w:top w:w="0" w:type="dxa"/>
              <w:left w:w="108" w:type="dxa"/>
              <w:bottom w:w="0" w:type="dxa"/>
              <w:right w:w="108" w:type="dxa"/>
            </w:tcMar>
            <w:vAlign w:val="center"/>
          </w:tcPr>
          <w:p w14:paraId="02C2DF08">
            <w:pPr>
              <w:widowControl/>
              <w:jc w:val="center"/>
              <w:rPr>
                <w:rFonts w:ascii="宋体" w:hAnsi="宋体" w:cs="宋体"/>
                <w:color w:val="auto"/>
                <w:sz w:val="24"/>
              </w:rPr>
            </w:pPr>
            <w:r>
              <w:rPr>
                <w:rFonts w:hint="eastAsia" w:ascii="宋体" w:hAnsi="宋体" w:cs="宋体"/>
                <w:color w:val="auto"/>
                <w:sz w:val="24"/>
              </w:rPr>
              <w:t>8</w:t>
            </w:r>
          </w:p>
        </w:tc>
        <w:tc>
          <w:tcPr>
            <w:tcW w:w="1217" w:type="dxa"/>
            <w:tcBorders>
              <w:top w:val="single" w:color="auto" w:sz="4" w:space="0"/>
              <w:bottom w:val="single" w:color="auto" w:sz="4" w:space="0"/>
            </w:tcBorders>
            <w:tcMar>
              <w:top w:w="0" w:type="dxa"/>
              <w:left w:w="108" w:type="dxa"/>
              <w:bottom w:w="0" w:type="dxa"/>
              <w:right w:w="108" w:type="dxa"/>
            </w:tcMar>
            <w:vAlign w:val="center"/>
          </w:tcPr>
          <w:p w14:paraId="2E7860FF">
            <w:pPr>
              <w:jc w:val="center"/>
              <w:rPr>
                <w:rFonts w:ascii="宋体" w:hAnsi="宋体" w:cs="宋体"/>
                <w:color w:val="auto"/>
                <w:sz w:val="24"/>
              </w:rPr>
            </w:pPr>
            <w:r>
              <w:rPr>
                <w:rFonts w:hint="eastAsia" w:ascii="宋体" w:hAnsi="宋体" w:cs="宋体"/>
                <w:color w:val="auto"/>
                <w:sz w:val="24"/>
              </w:rPr>
              <w:t>项目人员配置</w:t>
            </w:r>
          </w:p>
        </w:tc>
        <w:tc>
          <w:tcPr>
            <w:tcW w:w="6571" w:type="dxa"/>
            <w:tcBorders>
              <w:top w:val="single" w:color="auto" w:sz="4" w:space="0"/>
              <w:bottom w:val="single" w:color="auto" w:sz="4" w:space="0"/>
            </w:tcBorders>
            <w:tcMar>
              <w:top w:w="0" w:type="dxa"/>
              <w:left w:w="108" w:type="dxa"/>
              <w:bottom w:w="0" w:type="dxa"/>
              <w:right w:w="108" w:type="dxa"/>
            </w:tcMar>
            <w:vAlign w:val="center"/>
          </w:tcPr>
          <w:p w14:paraId="6C83B31A">
            <w:pPr>
              <w:widowControl/>
              <w:jc w:val="left"/>
              <w:rPr>
                <w:rFonts w:ascii="宋体" w:hAnsi="宋体" w:cs="宋体"/>
                <w:color w:val="auto"/>
                <w:sz w:val="24"/>
              </w:rPr>
            </w:pPr>
            <w:r>
              <w:rPr>
                <w:rFonts w:hint="eastAsia" w:ascii="宋体" w:hAnsi="宋体" w:cs="宋体"/>
                <w:color w:val="auto"/>
                <w:sz w:val="24"/>
              </w:rPr>
              <w:t>项目人员配置完全能满足项目实施要求，内容全面、合理且切实可行的得7分；基本能满足项目实施要求，内容全面但存在不足之处的得5分；基本能满足项目实施要求，但内容不全面、存在缺陷的得3分；基本能满足项目实施要求，但内容不全面、缺陷较多的得1分；无法满足项目实施要求的得0分。（主观分）</w:t>
            </w:r>
          </w:p>
        </w:tc>
        <w:tc>
          <w:tcPr>
            <w:tcW w:w="824" w:type="dxa"/>
            <w:tcBorders>
              <w:top w:val="single" w:color="auto" w:sz="4" w:space="0"/>
              <w:bottom w:val="single" w:color="auto" w:sz="4" w:space="0"/>
            </w:tcBorders>
            <w:tcMar>
              <w:top w:w="0" w:type="dxa"/>
              <w:left w:w="108" w:type="dxa"/>
              <w:bottom w:w="0" w:type="dxa"/>
              <w:right w:w="108" w:type="dxa"/>
            </w:tcMar>
            <w:vAlign w:val="center"/>
          </w:tcPr>
          <w:p w14:paraId="46EA3679">
            <w:pPr>
              <w:jc w:val="center"/>
              <w:rPr>
                <w:rFonts w:ascii="宋体" w:hAnsi="宋体" w:cs="宋体"/>
                <w:color w:val="auto"/>
                <w:sz w:val="24"/>
              </w:rPr>
            </w:pPr>
            <w:r>
              <w:rPr>
                <w:rFonts w:hint="eastAsia" w:ascii="宋体" w:hAnsi="宋体" w:cs="宋体"/>
                <w:color w:val="auto"/>
                <w:sz w:val="24"/>
              </w:rPr>
              <w:t>0-7</w:t>
            </w:r>
          </w:p>
        </w:tc>
      </w:tr>
      <w:tr w14:paraId="4211CA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706"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14:paraId="66B2A48D">
            <w:pPr>
              <w:widowControl/>
              <w:jc w:val="center"/>
              <w:rPr>
                <w:rFonts w:ascii="宋体" w:hAnsi="宋体" w:cs="宋体"/>
                <w:color w:val="auto"/>
                <w:sz w:val="24"/>
              </w:rPr>
            </w:pPr>
            <w:r>
              <w:rPr>
                <w:rFonts w:hint="eastAsia" w:ascii="宋体" w:hAnsi="宋体" w:cs="宋体"/>
                <w:color w:val="auto"/>
                <w:sz w:val="24"/>
              </w:rPr>
              <w:t>9</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9161F7">
            <w:pPr>
              <w:widowControl/>
              <w:jc w:val="center"/>
              <w:rPr>
                <w:rFonts w:ascii="宋体" w:hAnsi="宋体" w:cs="宋体"/>
                <w:color w:val="auto"/>
                <w:sz w:val="24"/>
              </w:rPr>
            </w:pPr>
            <w:r>
              <w:rPr>
                <w:rFonts w:hint="eastAsia" w:ascii="宋体" w:hAnsi="宋体" w:cs="宋体"/>
                <w:color w:val="auto"/>
                <w:sz w:val="24"/>
              </w:rPr>
              <w:t>突发事件或重大活动保障措施</w:t>
            </w:r>
          </w:p>
        </w:tc>
        <w:tc>
          <w:tcPr>
            <w:tcW w:w="65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78D820">
            <w:pPr>
              <w:widowControl/>
              <w:rPr>
                <w:rFonts w:ascii="宋体" w:hAnsi="宋体" w:cs="宋体"/>
                <w:color w:val="auto"/>
                <w:sz w:val="24"/>
              </w:rPr>
            </w:pPr>
            <w:r>
              <w:rPr>
                <w:rFonts w:hint="eastAsia" w:ascii="宋体" w:hAnsi="宋体" w:cs="宋体"/>
                <w:color w:val="auto"/>
                <w:sz w:val="24"/>
              </w:rPr>
              <w:t>突发事件或重大活动保障措施完全能满足项目实施要求，内容全面、合理且切实可行的得7分；基本能满足项目实施要求，内容全面但存在不足之处的得5分；基本能满足项目实施要求，但内容不全面、存在缺陷的得3分；基本能满足项目实施要求，但内容不全面、缺陷较多的得1分；无法满足项目实施要求的得0分。（主观分）</w:t>
            </w:r>
          </w:p>
        </w:tc>
        <w:tc>
          <w:tcPr>
            <w:tcW w:w="8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C0C847">
            <w:pPr>
              <w:widowControl/>
              <w:jc w:val="center"/>
              <w:rPr>
                <w:rFonts w:ascii="宋体" w:hAnsi="宋体" w:cs="宋体"/>
                <w:color w:val="auto"/>
                <w:sz w:val="24"/>
              </w:rPr>
            </w:pPr>
            <w:r>
              <w:rPr>
                <w:rFonts w:hint="eastAsia" w:ascii="宋体" w:hAnsi="宋体" w:cs="宋体"/>
                <w:color w:val="auto"/>
                <w:sz w:val="24"/>
              </w:rPr>
              <w:t>0-7</w:t>
            </w:r>
          </w:p>
        </w:tc>
      </w:tr>
      <w:tr w14:paraId="165D9D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706"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14:paraId="5E8B8015">
            <w:pPr>
              <w:widowControl/>
              <w:jc w:val="center"/>
              <w:rPr>
                <w:rFonts w:ascii="宋体" w:hAnsi="宋体" w:cs="宋体"/>
                <w:color w:val="auto"/>
                <w:sz w:val="24"/>
              </w:rPr>
            </w:pPr>
            <w:r>
              <w:rPr>
                <w:rFonts w:hint="eastAsia" w:ascii="宋体" w:hAnsi="宋体" w:cs="宋体"/>
                <w:color w:val="auto"/>
                <w:sz w:val="24"/>
              </w:rPr>
              <w:t>10</w:t>
            </w:r>
          </w:p>
        </w:tc>
        <w:tc>
          <w:tcPr>
            <w:tcW w:w="12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DBE0E3">
            <w:pPr>
              <w:widowControl/>
              <w:jc w:val="center"/>
              <w:rPr>
                <w:rFonts w:ascii="宋体" w:hAnsi="宋体" w:cs="宋体"/>
                <w:color w:val="auto"/>
                <w:sz w:val="24"/>
              </w:rPr>
            </w:pPr>
            <w:r>
              <w:rPr>
                <w:rFonts w:hint="eastAsia" w:ascii="宋体" w:hAnsi="宋体" w:cs="宋体"/>
                <w:color w:val="auto"/>
                <w:sz w:val="24"/>
              </w:rPr>
              <w:t>项目履行保证方案</w:t>
            </w:r>
          </w:p>
        </w:tc>
        <w:tc>
          <w:tcPr>
            <w:tcW w:w="65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7BE78A">
            <w:pPr>
              <w:jc w:val="left"/>
              <w:rPr>
                <w:rFonts w:ascii="宋体" w:hAnsi="宋体" w:cs="宋体"/>
                <w:color w:val="auto"/>
                <w:sz w:val="24"/>
              </w:rPr>
            </w:pPr>
            <w:r>
              <w:rPr>
                <w:rFonts w:hint="eastAsia" w:ascii="宋体" w:hAnsi="宋体" w:cs="宋体"/>
                <w:color w:val="auto"/>
                <w:sz w:val="24"/>
              </w:rPr>
              <w:t>项目履行保证方案完全能满足项目实施要求，内容全面、合理且切实可行的得8分；基本能满足项目实施要求，内容全面但存在不足之处的得6分；基本能满足项目实施要求，但内容不全面、存在缺陷的得4分；基本能满足项目实施要求，但内容不全面、缺陷较多的得2分；无法满足项目实施要求的得0分。（主观分）</w:t>
            </w:r>
          </w:p>
        </w:tc>
        <w:tc>
          <w:tcPr>
            <w:tcW w:w="8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595724">
            <w:pPr>
              <w:jc w:val="center"/>
              <w:rPr>
                <w:rFonts w:ascii="宋体" w:hAnsi="宋体" w:cs="宋体"/>
                <w:color w:val="auto"/>
                <w:sz w:val="24"/>
              </w:rPr>
            </w:pPr>
            <w:r>
              <w:rPr>
                <w:rFonts w:hint="eastAsia" w:ascii="宋体" w:hAnsi="宋体" w:cs="宋体"/>
                <w:color w:val="auto"/>
                <w:sz w:val="24"/>
              </w:rPr>
              <w:t>0-8</w:t>
            </w:r>
          </w:p>
        </w:tc>
      </w:tr>
    </w:tbl>
    <w:p w14:paraId="0E97506E">
      <w:pPr>
        <w:spacing w:line="360" w:lineRule="auto"/>
        <w:ind w:firstLine="480" w:firstLineChars="200"/>
        <w:rPr>
          <w:rFonts w:ascii="宋体" w:hAnsi="宋体" w:cs="宋体"/>
          <w:b/>
          <w:color w:val="FF0000"/>
          <w:sz w:val="24"/>
        </w:rPr>
      </w:pPr>
      <w:r>
        <w:rPr>
          <w:rFonts w:hint="eastAsia" w:ascii="宋体" w:hAnsi="宋体" w:cs="宋体"/>
          <w:sz w:val="24"/>
        </w:rPr>
        <w:t>评标委员会根据评分细则，对各</w:t>
      </w:r>
      <w:r>
        <w:rPr>
          <w:rFonts w:hint="eastAsia" w:hAnsi="宋体"/>
          <w:sz w:val="24"/>
        </w:rPr>
        <w:t>磋商响应</w:t>
      </w:r>
      <w:r>
        <w:rPr>
          <w:rFonts w:hint="eastAsia" w:ascii="宋体" w:hAnsi="宋体" w:cs="宋体"/>
          <w:sz w:val="24"/>
        </w:rPr>
        <w:t>单位的技术标进行书面审核和评论后，由各专家独立酌情给分，打分时保留小数1位，每人一份评分表，并签名。</w:t>
      </w:r>
      <w:r>
        <w:rPr>
          <w:rFonts w:hint="eastAsia" w:hAnsi="宋体"/>
          <w:sz w:val="24"/>
        </w:rPr>
        <w:t>磋商响应</w:t>
      </w:r>
      <w:r>
        <w:rPr>
          <w:rFonts w:hint="eastAsia" w:ascii="宋体" w:hAnsi="宋体" w:cs="宋体"/>
          <w:sz w:val="24"/>
        </w:rPr>
        <w:t>人资信、业绩及技术性能等的最终得分为评标专家组成员的有效评分。</w:t>
      </w:r>
    </w:p>
    <w:p w14:paraId="5B51B8EF">
      <w:pPr>
        <w:pStyle w:val="30"/>
        <w:tabs>
          <w:tab w:val="left" w:pos="0"/>
          <w:tab w:val="left" w:pos="720"/>
          <w:tab w:val="left" w:pos="2160"/>
          <w:tab w:val="left" w:pos="2880"/>
          <w:tab w:val="left" w:pos="3600"/>
          <w:tab w:val="left" w:pos="4320"/>
          <w:tab w:val="left" w:pos="5040"/>
          <w:tab w:val="left" w:pos="5760"/>
        </w:tabs>
        <w:spacing w:line="360" w:lineRule="auto"/>
        <w:ind w:firstLine="0" w:firstLineChars="0"/>
        <w:rPr>
          <w:rFonts w:ascii="宋体" w:cs="宋体"/>
          <w:bCs/>
          <w:color w:val="auto"/>
          <w:szCs w:val="24"/>
        </w:rPr>
      </w:pPr>
      <w:r>
        <w:rPr>
          <w:rFonts w:hint="eastAsia" w:ascii="宋体" w:cs="宋体"/>
          <w:bCs/>
          <w:color w:val="auto"/>
          <w:szCs w:val="24"/>
        </w:rPr>
        <w:t>三、商务报价</w:t>
      </w:r>
    </w:p>
    <w:p w14:paraId="7F0DB000">
      <w:pPr>
        <w:pStyle w:val="30"/>
        <w:tabs>
          <w:tab w:val="left" w:pos="0"/>
          <w:tab w:val="left" w:pos="720"/>
          <w:tab w:val="left" w:pos="2160"/>
          <w:tab w:val="left" w:pos="2880"/>
          <w:tab w:val="left" w:pos="3600"/>
          <w:tab w:val="left" w:pos="4320"/>
          <w:tab w:val="left" w:pos="5040"/>
          <w:tab w:val="left" w:pos="5760"/>
        </w:tabs>
        <w:spacing w:line="360" w:lineRule="auto"/>
        <w:ind w:firstLine="480" w:firstLineChars="200"/>
        <w:rPr>
          <w:rFonts w:ascii="宋体" w:cs="宋体"/>
        </w:rPr>
      </w:pPr>
      <w:r>
        <w:rPr>
          <w:rFonts w:hint="eastAsia" w:ascii="宋体" w:cs="宋体"/>
        </w:rPr>
        <w:t>1.以满足磋商文件要求且最后报价最低的供应商的价格为磋商基准价，其价格分为满分。其他供应商的价格分统一按照下列公式计算：</w:t>
      </w:r>
    </w:p>
    <w:p w14:paraId="5A39D450">
      <w:pPr>
        <w:pStyle w:val="30"/>
        <w:tabs>
          <w:tab w:val="left" w:pos="0"/>
          <w:tab w:val="left" w:pos="720"/>
          <w:tab w:val="left" w:pos="2160"/>
          <w:tab w:val="left" w:pos="2880"/>
          <w:tab w:val="left" w:pos="3600"/>
          <w:tab w:val="left" w:pos="4320"/>
          <w:tab w:val="left" w:pos="5040"/>
          <w:tab w:val="left" w:pos="5760"/>
        </w:tabs>
        <w:spacing w:line="360" w:lineRule="auto"/>
        <w:ind w:firstLine="480" w:firstLineChars="200"/>
        <w:rPr>
          <w:rFonts w:ascii="宋体" w:cs="宋体"/>
          <w:color w:val="auto"/>
        </w:rPr>
      </w:pPr>
      <w:r>
        <w:rPr>
          <w:rFonts w:hint="eastAsia" w:ascii="宋体" w:cs="宋体"/>
          <w:color w:val="auto"/>
        </w:rPr>
        <w:t>2．磋商报价得分=（磋商基准价/最终轮磋商报价）×20</w:t>
      </w:r>
    </w:p>
    <w:p w14:paraId="6BF40886">
      <w:pPr>
        <w:spacing w:line="360" w:lineRule="auto"/>
        <w:ind w:firstLine="480" w:firstLineChars="200"/>
        <w:rPr>
          <w:rFonts w:ascii="宋体" w:hAnsi="宋体"/>
          <w:sz w:val="24"/>
        </w:rPr>
      </w:pPr>
      <w:r>
        <w:rPr>
          <w:rFonts w:hint="eastAsia" w:ascii="宋体" w:hAnsi="宋体"/>
          <w:sz w:val="24"/>
        </w:rPr>
        <w:t>3.分析总报价及各个分项报价是否合理、报价范围是否完整、有否重大错漏项。如磋商小组一致认为最低</w:t>
      </w:r>
      <w:r>
        <w:rPr>
          <w:rFonts w:hint="eastAsia" w:hAnsi="宋体"/>
          <w:sz w:val="24"/>
        </w:rPr>
        <w:t>磋商响应</w:t>
      </w:r>
      <w:r>
        <w:rPr>
          <w:rFonts w:hint="eastAsia" w:ascii="宋体" w:hAnsi="宋体"/>
          <w:sz w:val="24"/>
        </w:rPr>
        <w:t>报价或某些分项明显不合理，有降低质量、不能诚信履约的可能时，磋商小组有权通知</w:t>
      </w:r>
      <w:r>
        <w:rPr>
          <w:rFonts w:hint="eastAsia"/>
          <w:sz w:val="24"/>
        </w:rPr>
        <w:t>磋商响应</w:t>
      </w:r>
      <w:r>
        <w:rPr>
          <w:rFonts w:hint="eastAsia" w:ascii="宋体" w:hAnsi="宋体"/>
          <w:sz w:val="24"/>
        </w:rPr>
        <w:t>方限期进行解释。如</w:t>
      </w:r>
      <w:r>
        <w:rPr>
          <w:rFonts w:hint="eastAsia"/>
          <w:sz w:val="24"/>
        </w:rPr>
        <w:t>磋商响应</w:t>
      </w:r>
      <w:r>
        <w:rPr>
          <w:rFonts w:hint="eastAsia" w:ascii="宋体" w:hAnsi="宋体"/>
          <w:sz w:val="24"/>
        </w:rPr>
        <w:t>方未在规定期限内做出解释，或所作解释不合理，经磋商小组取得一致意见后，可确定该</w:t>
      </w:r>
      <w:r>
        <w:rPr>
          <w:rFonts w:hint="eastAsia"/>
          <w:sz w:val="24"/>
        </w:rPr>
        <w:t>磋商响应</w:t>
      </w:r>
      <w:r>
        <w:rPr>
          <w:rFonts w:hint="eastAsia" w:ascii="宋体" w:hAnsi="宋体"/>
          <w:sz w:val="24"/>
        </w:rPr>
        <w:t>为无效标。</w:t>
      </w:r>
    </w:p>
    <w:p w14:paraId="1D8694D5">
      <w:pPr>
        <w:spacing w:line="360" w:lineRule="auto"/>
        <w:rPr>
          <w:rFonts w:ascii="宋体" w:hAnsi="宋体"/>
          <w:color w:val="000000"/>
          <w:sz w:val="24"/>
        </w:rPr>
      </w:pPr>
      <w:r>
        <w:rPr>
          <w:rFonts w:hint="eastAsia" w:ascii="宋体" w:hAnsi="宋体"/>
          <w:b/>
          <w:bCs/>
          <w:color w:val="000000"/>
          <w:sz w:val="24"/>
        </w:rPr>
        <w:t>四、定标办法</w:t>
      </w:r>
      <w:r>
        <w:rPr>
          <w:rFonts w:hint="eastAsia" w:ascii="宋体" w:hAnsi="宋体"/>
          <w:color w:val="000000"/>
          <w:sz w:val="24"/>
        </w:rPr>
        <w:t xml:space="preserve"> </w:t>
      </w:r>
    </w:p>
    <w:p w14:paraId="0CB39BAB">
      <w:pPr>
        <w:spacing w:line="360" w:lineRule="auto"/>
        <w:ind w:firstLine="480" w:firstLineChars="200"/>
        <w:rPr>
          <w:rFonts w:ascii="宋体" w:hAnsi="宋体"/>
          <w:color w:val="000000"/>
          <w:sz w:val="24"/>
        </w:rPr>
      </w:pPr>
      <w:r>
        <w:rPr>
          <w:rFonts w:hint="eastAsia" w:ascii="宋体" w:hAnsi="宋体"/>
          <w:sz w:val="24"/>
        </w:rPr>
        <w:t>1．</w:t>
      </w:r>
      <w:r>
        <w:rPr>
          <w:rFonts w:hint="eastAsia" w:ascii="宋体" w:hAnsi="宋体"/>
          <w:b/>
          <w:color w:val="000000"/>
          <w:sz w:val="24"/>
        </w:rPr>
        <w:t>决标</w:t>
      </w:r>
    </w:p>
    <w:p w14:paraId="2FFC2E7D">
      <w:pPr>
        <w:spacing w:line="360" w:lineRule="auto"/>
        <w:ind w:firstLine="480" w:firstLineChars="200"/>
        <w:rPr>
          <w:rFonts w:ascii="宋体" w:hAnsi="宋体"/>
          <w:sz w:val="24"/>
        </w:rPr>
      </w:pPr>
      <w:r>
        <w:rPr>
          <w:rFonts w:hint="eastAsia" w:ascii="宋体" w:hAnsi="宋体"/>
          <w:sz w:val="24"/>
        </w:rPr>
        <w:t>1）每个供应商最终得分=技术资信部分分值（所有磋商小组成员打分的算术平均值）＋商务报价部分分值。</w:t>
      </w:r>
    </w:p>
    <w:p w14:paraId="7C899607">
      <w:pPr>
        <w:spacing w:line="360" w:lineRule="auto"/>
        <w:ind w:firstLine="480" w:firstLineChars="200"/>
        <w:rPr>
          <w:rFonts w:ascii="宋体" w:hAnsi="宋体"/>
          <w:sz w:val="24"/>
        </w:rPr>
      </w:pPr>
      <w:r>
        <w:rPr>
          <w:rFonts w:hint="eastAsia" w:ascii="宋体" w:hAnsi="宋体"/>
          <w:sz w:val="24"/>
        </w:rPr>
        <w:t>2）磋商小组推荐综合得分最高的供应商为预成交供应商（如果得分相同则按报价从低到高顺序依次推荐为预中标单位）；如果得分相同，以报价低的优先；报价也相同，以抽签决定，并编写采购报告。</w:t>
      </w:r>
    </w:p>
    <w:p w14:paraId="380FC49D">
      <w:pPr>
        <w:spacing w:line="360" w:lineRule="auto"/>
        <w:ind w:firstLine="480" w:firstLineChars="200"/>
        <w:rPr>
          <w:rFonts w:ascii="宋体" w:hAnsi="宋体"/>
          <w:sz w:val="24"/>
        </w:rPr>
      </w:pPr>
      <w:r>
        <w:rPr>
          <w:rFonts w:hint="eastAsia" w:ascii="宋体" w:hAnsi="宋体"/>
          <w:sz w:val="24"/>
        </w:rPr>
        <w:t>2.所有分值计算保留小数点后二位，小数点后三位四舍五入。</w:t>
      </w:r>
    </w:p>
    <w:p w14:paraId="7F47DF88">
      <w:pPr>
        <w:spacing w:line="360" w:lineRule="auto"/>
        <w:ind w:firstLine="480" w:firstLineChars="200"/>
        <w:rPr>
          <w:rFonts w:ascii="宋体" w:hAnsi="宋体"/>
          <w:sz w:val="24"/>
          <w:u w:val="single"/>
        </w:rPr>
      </w:pPr>
      <w:r>
        <w:rPr>
          <w:rFonts w:hint="eastAsia" w:ascii="宋体" w:hAnsi="宋体"/>
          <w:sz w:val="24"/>
          <w:u w:val="single"/>
        </w:rPr>
        <w:t>3.▲报价超过最高限价的，二次报价高于第一次报价的，为无效标。</w:t>
      </w:r>
    </w:p>
    <w:p w14:paraId="7F7EA7BF">
      <w:pPr>
        <w:spacing w:line="360" w:lineRule="auto"/>
        <w:rPr>
          <w:rFonts w:ascii="Calibri" w:hAnsi="Calibri"/>
          <w:bCs/>
          <w:sz w:val="36"/>
          <w:szCs w:val="44"/>
        </w:rPr>
      </w:pPr>
      <w:r>
        <w:rPr>
          <w:rFonts w:hint="eastAsia" w:ascii="Calibri" w:hAnsi="Calibri"/>
          <w:bCs/>
          <w:sz w:val="36"/>
          <w:szCs w:val="44"/>
        </w:rPr>
        <w:br w:type="page"/>
      </w:r>
    </w:p>
    <w:p w14:paraId="170B3753">
      <w:pPr>
        <w:pStyle w:val="4"/>
        <w:spacing w:before="120" w:after="120" w:line="360" w:lineRule="auto"/>
        <w:jc w:val="center"/>
        <w:rPr>
          <w:rFonts w:ascii="Calibri" w:hAnsi="Calibri"/>
          <w:bCs/>
          <w:sz w:val="36"/>
          <w:szCs w:val="44"/>
        </w:rPr>
      </w:pPr>
      <w:r>
        <w:rPr>
          <w:rFonts w:hint="eastAsia" w:ascii="Calibri" w:hAnsi="Calibri"/>
          <w:bCs/>
          <w:sz w:val="36"/>
          <w:szCs w:val="44"/>
        </w:rPr>
        <w:t>第五章  附件</w:t>
      </w:r>
    </w:p>
    <w:p w14:paraId="43B4AB2F">
      <w:pPr>
        <w:snapToGrid w:val="0"/>
        <w:spacing w:before="156" w:beforeLines="50" w:after="156" w:afterLines="50" w:line="360" w:lineRule="auto"/>
        <w:outlineLvl w:val="1"/>
        <w:rPr>
          <w:rFonts w:ascii="宋体" w:hAnsi="宋体" w:cs="宋体"/>
          <w:b/>
          <w:color w:val="0D0D0D"/>
          <w:sz w:val="24"/>
        </w:rPr>
      </w:pPr>
      <w:r>
        <w:rPr>
          <w:rFonts w:hint="eastAsia" w:ascii="宋体" w:hAnsi="宋体" w:cs="宋体"/>
          <w:b/>
          <w:bCs/>
          <w:sz w:val="24"/>
        </w:rPr>
        <w:t>1</w:t>
      </w:r>
      <w:r>
        <w:rPr>
          <w:rFonts w:hint="eastAsia" w:ascii="宋体" w:hAnsi="宋体" w:cs="宋体"/>
          <w:b/>
          <w:color w:val="0D0D0D"/>
          <w:sz w:val="24"/>
        </w:rPr>
        <w:t>.所有磋商文件的外包装封面格式：</w:t>
      </w:r>
    </w:p>
    <w:p w14:paraId="197ECA54">
      <w:pPr>
        <w:snapToGrid w:val="0"/>
        <w:spacing w:before="156" w:beforeLines="50" w:after="156" w:afterLines="50" w:line="360" w:lineRule="auto"/>
        <w:jc w:val="center"/>
        <w:rPr>
          <w:rFonts w:ascii="宋体" w:hAnsi="宋体" w:cs="宋体"/>
          <w:bCs/>
          <w:color w:val="0D0D0D"/>
          <w:sz w:val="24"/>
        </w:rPr>
      </w:pPr>
      <w:r>
        <w:rPr>
          <w:rFonts w:hint="eastAsia" w:ascii="宋体" w:hAnsi="宋体" w:cs="宋体"/>
          <w:bCs/>
          <w:color w:val="0D0D0D"/>
          <w:sz w:val="24"/>
        </w:rPr>
        <w:t>磋商响应文件</w:t>
      </w:r>
    </w:p>
    <w:p w14:paraId="4208303A">
      <w:pPr>
        <w:pStyle w:val="28"/>
        <w:snapToGrid w:val="0"/>
        <w:spacing w:before="156" w:after="156" w:line="360" w:lineRule="auto"/>
        <w:ind w:left="1190" w:hanging="1190" w:hangingChars="496"/>
        <w:rPr>
          <w:rFonts w:hAnsi="宋体" w:cs="Arial"/>
        </w:rPr>
      </w:pPr>
      <w:r>
        <w:rPr>
          <w:rFonts w:hint="eastAsia" w:hAnsi="宋体"/>
          <w:bCs/>
        </w:rPr>
        <w:t>项目名称：</w:t>
      </w:r>
      <w:r>
        <w:rPr>
          <w:rFonts w:hint="eastAsia" w:hAnsi="宋体" w:cs="Arial"/>
        </w:rPr>
        <w:t>“新鲜水果进校园，助力学生健康成长”服务采购项目</w:t>
      </w:r>
    </w:p>
    <w:p w14:paraId="4CFFEF31">
      <w:pPr>
        <w:pStyle w:val="28"/>
        <w:snapToGrid w:val="0"/>
        <w:spacing w:before="156" w:after="156" w:line="360" w:lineRule="auto"/>
        <w:ind w:left="1190" w:hanging="1190" w:hangingChars="496"/>
        <w:rPr>
          <w:rFonts w:hint="eastAsia" w:hAnsi="宋体"/>
          <w:bCs/>
          <w:lang w:eastAsia="zh-CN"/>
        </w:rPr>
      </w:pPr>
      <w:r>
        <w:rPr>
          <w:rFonts w:hint="eastAsia" w:hAnsi="宋体"/>
          <w:bCs/>
        </w:rPr>
        <w:t>项目编号：</w:t>
      </w:r>
      <w:r>
        <w:rPr>
          <w:rFonts w:hint="eastAsia" w:hAnsi="宋体"/>
          <w:bCs/>
          <w:lang w:eastAsia="zh-CN"/>
        </w:rPr>
        <w:t>浙房东招2024002号</w:t>
      </w:r>
    </w:p>
    <w:p w14:paraId="6C999492">
      <w:pPr>
        <w:pStyle w:val="28"/>
        <w:snapToGrid w:val="0"/>
        <w:spacing w:before="156" w:after="156" w:line="360" w:lineRule="auto"/>
        <w:ind w:left="1190" w:hanging="1190" w:hangingChars="496"/>
        <w:rPr>
          <w:rFonts w:hAnsi="宋体" w:cs="宋体"/>
          <w:bCs/>
          <w:color w:val="0D0D0D"/>
          <w:szCs w:val="24"/>
        </w:rPr>
      </w:pPr>
      <w:r>
        <w:rPr>
          <w:rFonts w:hint="eastAsia" w:hAnsi="宋体" w:cs="宋体"/>
          <w:bCs/>
          <w:color w:val="0D0D0D"/>
          <w:szCs w:val="24"/>
        </w:rPr>
        <w:t>磋商响应文件名称：</w:t>
      </w:r>
      <w:r>
        <w:rPr>
          <w:rFonts w:hint="eastAsia" w:hAnsi="宋体" w:cs="宋体"/>
          <w:b/>
          <w:bCs/>
        </w:rPr>
        <w:t>资格审查文件、商务技术文件、报价文件</w:t>
      </w:r>
    </w:p>
    <w:p w14:paraId="76AD6D2A">
      <w:pPr>
        <w:pStyle w:val="28"/>
        <w:snapToGrid w:val="0"/>
        <w:spacing w:before="156" w:after="156" w:line="360" w:lineRule="auto"/>
        <w:ind w:left="1190" w:hanging="1190" w:hangingChars="496"/>
        <w:rPr>
          <w:bCs/>
        </w:rPr>
      </w:pPr>
      <w:r>
        <w:rPr>
          <w:rFonts w:hint="eastAsia" w:hAnsi="宋体"/>
          <w:bCs/>
        </w:rPr>
        <w:t>磋商响应方名称：</w:t>
      </w:r>
    </w:p>
    <w:p w14:paraId="4483580D">
      <w:pPr>
        <w:snapToGrid w:val="0"/>
        <w:spacing w:before="156" w:beforeLines="50" w:after="156" w:afterLines="50" w:line="360" w:lineRule="auto"/>
        <w:rPr>
          <w:rFonts w:ascii="宋体"/>
          <w:bCs/>
          <w:sz w:val="24"/>
        </w:rPr>
      </w:pPr>
      <w:r>
        <w:rPr>
          <w:rFonts w:hint="eastAsia" w:ascii="宋体" w:hAnsi="宋体"/>
          <w:bCs/>
          <w:sz w:val="24"/>
        </w:rPr>
        <w:t>磋商响应方地址：</w:t>
      </w:r>
    </w:p>
    <w:p w14:paraId="66BD4783">
      <w:pPr>
        <w:snapToGrid w:val="0"/>
        <w:spacing w:line="360" w:lineRule="auto"/>
        <w:ind w:firstLine="1068" w:firstLineChars="445"/>
        <w:rPr>
          <w:rFonts w:ascii="宋体" w:hAnsi="宋体" w:cs="宋体"/>
          <w:bCs/>
          <w:color w:val="0D0D0D"/>
          <w:sz w:val="24"/>
        </w:rPr>
      </w:pPr>
    </w:p>
    <w:p w14:paraId="7A9F3CDD">
      <w:pPr>
        <w:snapToGrid w:val="0"/>
        <w:spacing w:line="360" w:lineRule="auto"/>
        <w:ind w:firstLine="1068" w:firstLineChars="445"/>
        <w:rPr>
          <w:rFonts w:ascii="宋体" w:hAnsi="宋体" w:cs="宋体"/>
          <w:bCs/>
          <w:color w:val="0D0D0D"/>
          <w:sz w:val="24"/>
        </w:rPr>
      </w:pPr>
      <w:r>
        <w:rPr>
          <w:rFonts w:hint="eastAsia" w:ascii="宋体" w:hAnsi="宋体" w:cs="宋体"/>
          <w:bCs/>
          <w:color w:val="0D0D0D"/>
          <w:sz w:val="24"/>
        </w:rPr>
        <w:t>在 2024年</w:t>
      </w:r>
      <w:r>
        <w:rPr>
          <w:rFonts w:hint="eastAsia" w:ascii="宋体" w:hAnsi="宋体" w:cs="宋体"/>
          <w:bCs/>
          <w:color w:val="0D0D0D"/>
          <w:sz w:val="24"/>
          <w:lang w:val="en-US" w:eastAsia="zh-CN"/>
        </w:rPr>
        <w:t>10</w:t>
      </w:r>
      <w:r>
        <w:rPr>
          <w:rFonts w:hint="eastAsia" w:ascii="宋体" w:hAnsi="宋体" w:cs="宋体"/>
          <w:bCs/>
          <w:color w:val="0D0D0D"/>
          <w:sz w:val="24"/>
        </w:rPr>
        <w:t>月</w:t>
      </w:r>
      <w:r>
        <w:rPr>
          <w:rFonts w:hint="eastAsia" w:ascii="宋体" w:hAnsi="宋体" w:cs="宋体"/>
          <w:bCs/>
          <w:color w:val="0D0D0D"/>
          <w:sz w:val="24"/>
          <w:lang w:val="en-US" w:eastAsia="zh-CN"/>
        </w:rPr>
        <w:t>21</w:t>
      </w:r>
      <w:r>
        <w:rPr>
          <w:rFonts w:hint="eastAsia" w:ascii="宋体" w:hAnsi="宋体" w:cs="宋体"/>
          <w:bCs/>
          <w:color w:val="0D0D0D"/>
          <w:sz w:val="24"/>
        </w:rPr>
        <w:t>日14时00分之前不得启封</w:t>
      </w:r>
    </w:p>
    <w:p w14:paraId="04DB6A26">
      <w:pPr>
        <w:snapToGrid w:val="0"/>
        <w:spacing w:before="156" w:beforeLines="50" w:after="50" w:line="360" w:lineRule="auto"/>
        <w:ind w:firstLine="645"/>
        <w:jc w:val="center"/>
        <w:rPr>
          <w:rFonts w:ascii="宋体"/>
          <w:sz w:val="24"/>
        </w:rPr>
      </w:pPr>
      <w:r>
        <w:rPr>
          <w:rFonts w:hint="eastAsia" w:ascii="宋体" w:hAnsi="宋体"/>
          <w:sz w:val="24"/>
        </w:rPr>
        <w:t xml:space="preserve">                                 年月日</w:t>
      </w:r>
    </w:p>
    <w:p w14:paraId="63C8861D">
      <w:pPr>
        <w:snapToGrid w:val="0"/>
        <w:spacing w:line="480" w:lineRule="exact"/>
        <w:outlineLvl w:val="1"/>
        <w:rPr>
          <w:rFonts w:ascii="宋体" w:hAnsi="宋体" w:cs="宋体"/>
          <w:b/>
          <w:bCs/>
          <w:sz w:val="24"/>
        </w:rPr>
      </w:pPr>
    </w:p>
    <w:p w14:paraId="425ADB56">
      <w:pPr>
        <w:snapToGrid w:val="0"/>
        <w:spacing w:line="480" w:lineRule="exact"/>
        <w:outlineLvl w:val="1"/>
        <w:rPr>
          <w:rFonts w:ascii="宋体" w:hAnsi="宋体" w:cs="宋体"/>
          <w:b/>
          <w:color w:val="0D0D0D"/>
          <w:sz w:val="24"/>
        </w:rPr>
      </w:pPr>
      <w:r>
        <w:rPr>
          <w:rFonts w:hint="eastAsia" w:ascii="宋体" w:hAnsi="宋体" w:cs="宋体"/>
          <w:b/>
          <w:bCs/>
          <w:sz w:val="24"/>
        </w:rPr>
        <w:t>2</w:t>
      </w:r>
      <w:r>
        <w:rPr>
          <w:rFonts w:hint="eastAsia" w:ascii="宋体" w:hAnsi="宋体" w:cs="宋体"/>
          <w:b/>
          <w:color w:val="0D0D0D"/>
          <w:sz w:val="24"/>
        </w:rPr>
        <w:t>.所有磋商文件封面格式：</w:t>
      </w:r>
    </w:p>
    <w:p w14:paraId="1ECC6CB3">
      <w:pPr>
        <w:snapToGrid w:val="0"/>
        <w:spacing w:line="480" w:lineRule="exact"/>
        <w:ind w:firstLine="5736" w:firstLineChars="2390"/>
        <w:rPr>
          <w:rFonts w:ascii="宋体" w:hAnsi="宋体" w:cs="宋体"/>
          <w:b/>
          <w:bCs/>
          <w:color w:val="0D0D0D"/>
          <w:sz w:val="24"/>
        </w:rPr>
      </w:pPr>
      <w:r>
        <w:rPr>
          <w:rFonts w:hint="eastAsia" w:ascii="宋体" w:hAnsi="宋体" w:cs="宋体"/>
          <w:b/>
          <w:bCs/>
          <w:color w:val="0D0D0D"/>
          <w:sz w:val="24"/>
        </w:rPr>
        <w:t>正本/或副本</w:t>
      </w:r>
    </w:p>
    <w:p w14:paraId="6DBCF8BB">
      <w:pPr>
        <w:pStyle w:val="28"/>
        <w:snapToGrid w:val="0"/>
        <w:spacing w:before="156" w:after="156" w:line="360" w:lineRule="auto"/>
        <w:ind w:left="1195" w:hanging="1190" w:hangingChars="496"/>
        <w:jc w:val="center"/>
        <w:rPr>
          <w:rFonts w:hAnsi="宋体" w:cs="宋体"/>
          <w:b/>
          <w:bCs/>
          <w:color w:val="0D0D0D"/>
          <w:szCs w:val="24"/>
        </w:rPr>
      </w:pPr>
      <w:r>
        <w:rPr>
          <w:rFonts w:hint="eastAsia" w:hAnsi="宋体" w:cs="宋体"/>
          <w:b/>
          <w:bCs/>
        </w:rPr>
        <w:t>资格审查文件、商务技术文件、报价文件</w:t>
      </w:r>
    </w:p>
    <w:p w14:paraId="6C9D4DE6">
      <w:pPr>
        <w:pStyle w:val="28"/>
        <w:snapToGrid w:val="0"/>
        <w:spacing w:before="156" w:after="156" w:line="360" w:lineRule="auto"/>
        <w:ind w:left="1190" w:hanging="1190" w:hangingChars="496"/>
        <w:rPr>
          <w:rFonts w:hAnsi="宋体" w:cs="宋体"/>
          <w:szCs w:val="24"/>
        </w:rPr>
      </w:pPr>
      <w:r>
        <w:rPr>
          <w:rFonts w:hint="eastAsia" w:hAnsi="宋体" w:cs="宋体"/>
          <w:bCs/>
          <w:color w:val="0D0D0D"/>
          <w:szCs w:val="24"/>
        </w:rPr>
        <w:t>项目名称：</w:t>
      </w:r>
      <w:r>
        <w:rPr>
          <w:rFonts w:hint="eastAsia" w:hAnsi="宋体" w:cs="宋体"/>
          <w:szCs w:val="24"/>
        </w:rPr>
        <w:t>“新鲜水果进校园，助力学生健康成长”服务采购项目</w:t>
      </w:r>
    </w:p>
    <w:p w14:paraId="0897CBC1">
      <w:pPr>
        <w:pStyle w:val="28"/>
        <w:snapToGrid w:val="0"/>
        <w:spacing w:before="156" w:after="156" w:line="360" w:lineRule="auto"/>
        <w:ind w:left="1190" w:hanging="1190" w:hangingChars="496"/>
        <w:rPr>
          <w:rFonts w:hint="eastAsia" w:hAnsi="宋体" w:cs="宋体"/>
          <w:bCs/>
          <w:szCs w:val="24"/>
          <w:lang w:eastAsia="zh-CN"/>
        </w:rPr>
      </w:pPr>
      <w:r>
        <w:rPr>
          <w:rFonts w:hint="eastAsia" w:hAnsi="宋体" w:cs="宋体"/>
          <w:bCs/>
          <w:color w:val="0D0D0D"/>
          <w:szCs w:val="24"/>
        </w:rPr>
        <w:t>项目编号：</w:t>
      </w:r>
      <w:r>
        <w:rPr>
          <w:rFonts w:hint="eastAsia" w:hAnsi="宋体" w:cs="宋体"/>
          <w:bCs/>
          <w:szCs w:val="24"/>
          <w:lang w:eastAsia="zh-CN"/>
        </w:rPr>
        <w:t>浙房东招2024002号</w:t>
      </w:r>
    </w:p>
    <w:p w14:paraId="77BDB27D">
      <w:pPr>
        <w:pStyle w:val="28"/>
        <w:snapToGrid w:val="0"/>
        <w:spacing w:before="156" w:after="156" w:line="360" w:lineRule="auto"/>
        <w:ind w:left="1190" w:hanging="1190" w:hangingChars="496"/>
        <w:rPr>
          <w:rFonts w:hAnsi="宋体" w:cs="宋体"/>
          <w:bCs/>
          <w:color w:val="0D0D0D"/>
          <w:szCs w:val="24"/>
        </w:rPr>
      </w:pPr>
      <w:r>
        <w:rPr>
          <w:rFonts w:hint="eastAsia" w:hAnsi="宋体" w:cs="宋体"/>
          <w:bCs/>
          <w:color w:val="0D0D0D"/>
          <w:szCs w:val="24"/>
        </w:rPr>
        <w:t>磋商响应文件名称：</w:t>
      </w:r>
      <w:r>
        <w:rPr>
          <w:rFonts w:hint="eastAsia" w:hAnsi="宋体" w:cs="宋体"/>
        </w:rPr>
        <w:t>资格审查文件、商务技术文件、报价文件</w:t>
      </w:r>
    </w:p>
    <w:p w14:paraId="4D32C2AA">
      <w:pPr>
        <w:spacing w:before="156" w:beforeLines="50" w:after="156" w:afterLines="50" w:line="360" w:lineRule="auto"/>
        <w:rPr>
          <w:rFonts w:ascii="宋体" w:hAnsi="宋体" w:cs="宋体"/>
          <w:bCs/>
          <w:color w:val="0D0D0D"/>
          <w:sz w:val="24"/>
        </w:rPr>
      </w:pPr>
      <w:r>
        <w:rPr>
          <w:rFonts w:hint="eastAsia" w:ascii="宋体" w:hAnsi="宋体" w:cs="宋体"/>
          <w:bCs/>
          <w:color w:val="0D0D0D"/>
          <w:sz w:val="24"/>
        </w:rPr>
        <w:t>磋商响应人名称：</w:t>
      </w:r>
    </w:p>
    <w:p w14:paraId="03FBB25A">
      <w:pPr>
        <w:spacing w:before="156" w:beforeLines="50" w:after="156" w:afterLines="50" w:line="360" w:lineRule="auto"/>
        <w:rPr>
          <w:rFonts w:ascii="宋体" w:hAnsi="宋体" w:cs="宋体"/>
          <w:bCs/>
          <w:color w:val="0D0D0D"/>
          <w:sz w:val="24"/>
        </w:rPr>
      </w:pPr>
      <w:r>
        <w:rPr>
          <w:rFonts w:hint="eastAsia" w:ascii="宋体" w:hAnsi="宋体" w:cs="宋体"/>
          <w:bCs/>
          <w:color w:val="0D0D0D"/>
          <w:sz w:val="24"/>
        </w:rPr>
        <w:t>磋商响应人地址：</w:t>
      </w:r>
    </w:p>
    <w:p w14:paraId="231349FD">
      <w:pPr>
        <w:snapToGrid w:val="0"/>
        <w:spacing w:line="480" w:lineRule="exact"/>
        <w:ind w:firstLine="645"/>
        <w:jc w:val="center"/>
        <w:rPr>
          <w:rFonts w:ascii="宋体" w:hAnsi="宋体" w:cs="宋体"/>
          <w:color w:val="0D0D0D"/>
          <w:sz w:val="24"/>
        </w:rPr>
      </w:pPr>
      <w:r>
        <w:rPr>
          <w:rFonts w:hint="eastAsia" w:ascii="宋体" w:hAnsi="宋体" w:cs="宋体"/>
          <w:color w:val="0D0D0D"/>
          <w:sz w:val="24"/>
        </w:rPr>
        <w:t xml:space="preserve">          年  月  日</w:t>
      </w:r>
    </w:p>
    <w:p w14:paraId="3342CDB1">
      <w:pPr>
        <w:snapToGrid w:val="0"/>
        <w:spacing w:line="360" w:lineRule="auto"/>
        <w:ind w:firstLine="470" w:firstLineChars="196"/>
        <w:jc w:val="left"/>
        <w:rPr>
          <w:rFonts w:ascii="宋体" w:hAnsi="宋体"/>
          <w:b/>
          <w:bCs/>
          <w:sz w:val="24"/>
        </w:rPr>
      </w:pPr>
    </w:p>
    <w:p w14:paraId="0EDAE1E1">
      <w:pPr>
        <w:pStyle w:val="57"/>
        <w:spacing w:before="156"/>
        <w:rPr>
          <w:rFonts w:ascii="宋体" w:hAnsi="宋体"/>
          <w:b/>
          <w:bCs/>
        </w:rPr>
      </w:pPr>
    </w:p>
    <w:p w14:paraId="7E86A25C">
      <w:pPr>
        <w:rPr>
          <w:rFonts w:ascii="宋体" w:hAnsi="宋体" w:cs="宋体"/>
          <w:b/>
          <w:sz w:val="24"/>
        </w:rPr>
      </w:pPr>
      <w:r>
        <w:rPr>
          <w:rFonts w:hint="eastAsia" w:ascii="宋体" w:hAnsi="宋体" w:cs="宋体"/>
          <w:b/>
          <w:sz w:val="24"/>
        </w:rPr>
        <w:br w:type="page"/>
      </w:r>
    </w:p>
    <w:p w14:paraId="2B9187F4">
      <w:pPr>
        <w:snapToGrid w:val="0"/>
        <w:spacing w:line="360" w:lineRule="auto"/>
        <w:jc w:val="left"/>
        <w:rPr>
          <w:rFonts w:ascii="宋体" w:hAnsi="宋体" w:cs="宋体"/>
          <w:b/>
          <w:sz w:val="24"/>
        </w:rPr>
      </w:pPr>
      <w:r>
        <w:rPr>
          <w:rFonts w:hint="eastAsia" w:ascii="宋体" w:hAnsi="宋体" w:cs="宋体"/>
          <w:b/>
          <w:sz w:val="24"/>
        </w:rPr>
        <w:t>1.资格审查文件目录：</w:t>
      </w:r>
    </w:p>
    <w:p w14:paraId="7ABC03DF">
      <w:pPr>
        <w:snapToGrid w:val="0"/>
        <w:spacing w:line="360" w:lineRule="auto"/>
        <w:ind w:firstLine="480" w:firstLineChars="200"/>
        <w:jc w:val="left"/>
        <w:rPr>
          <w:rFonts w:ascii="宋体" w:hAnsi="宋体" w:cs="宋体"/>
          <w:sz w:val="24"/>
        </w:rPr>
      </w:pPr>
      <w:r>
        <w:rPr>
          <w:rFonts w:hint="eastAsia" w:ascii="宋体" w:hAnsi="宋体" w:cs="宋体"/>
          <w:sz w:val="24"/>
        </w:rPr>
        <w:t>（1）有效的企业法人营业执照副本复印件；</w:t>
      </w:r>
    </w:p>
    <w:p w14:paraId="3A01D11F">
      <w:pPr>
        <w:snapToGrid w:val="0"/>
        <w:spacing w:line="360" w:lineRule="auto"/>
        <w:ind w:firstLine="480" w:firstLineChars="200"/>
        <w:jc w:val="left"/>
        <w:rPr>
          <w:rFonts w:ascii="宋体" w:hAnsi="宋体" w:cs="宋体"/>
          <w:sz w:val="24"/>
        </w:rPr>
      </w:pPr>
      <w:r>
        <w:rPr>
          <w:rFonts w:hint="eastAsia" w:ascii="宋体" w:hAnsi="宋体" w:cs="宋体"/>
          <w:sz w:val="24"/>
        </w:rPr>
        <w:t>（2）合格</w:t>
      </w:r>
      <w:r>
        <w:rPr>
          <w:rFonts w:hint="eastAsia" w:hAnsi="宋体"/>
          <w:sz w:val="24"/>
        </w:rPr>
        <w:t>磋商响应</w:t>
      </w:r>
      <w:r>
        <w:rPr>
          <w:rFonts w:hint="eastAsia" w:ascii="宋体" w:hAnsi="宋体" w:cs="宋体"/>
          <w:sz w:val="24"/>
        </w:rPr>
        <w:t>人资格要求的相关证明复印件；</w:t>
      </w:r>
    </w:p>
    <w:p w14:paraId="0C2CDD34">
      <w:pPr>
        <w:snapToGrid w:val="0"/>
        <w:spacing w:line="360" w:lineRule="auto"/>
        <w:ind w:firstLine="480" w:firstLineChars="200"/>
        <w:jc w:val="left"/>
        <w:rPr>
          <w:rFonts w:ascii="宋体" w:hAnsi="宋体" w:cs="宋体"/>
          <w:sz w:val="24"/>
        </w:rPr>
      </w:pPr>
      <w:r>
        <w:rPr>
          <w:rFonts w:hint="eastAsia" w:ascii="宋体" w:hAnsi="宋体" w:cs="宋体"/>
          <w:sz w:val="24"/>
        </w:rPr>
        <w:t>（3）磋商声明书 (格式见附件2.1) ；</w:t>
      </w:r>
    </w:p>
    <w:p w14:paraId="158F0FF6">
      <w:pPr>
        <w:snapToGrid w:val="0"/>
        <w:spacing w:line="360" w:lineRule="auto"/>
        <w:ind w:firstLine="480" w:firstLineChars="200"/>
        <w:rPr>
          <w:rFonts w:ascii="宋体" w:hAnsi="宋体" w:cs="宋体"/>
          <w:sz w:val="24"/>
        </w:rPr>
      </w:pPr>
      <w:r>
        <w:rPr>
          <w:rFonts w:hint="eastAsia" w:ascii="宋体" w:hAnsi="宋体" w:cs="宋体"/>
          <w:sz w:val="24"/>
        </w:rPr>
        <w:t>（4）中小企业声明函（格式见附件2.2）；</w:t>
      </w:r>
    </w:p>
    <w:p w14:paraId="5A80315E">
      <w:pPr>
        <w:snapToGrid w:val="0"/>
        <w:spacing w:line="360" w:lineRule="auto"/>
        <w:ind w:firstLine="480" w:firstLineChars="200"/>
        <w:rPr>
          <w:rFonts w:ascii="宋体" w:hAnsi="宋体" w:cs="宋体"/>
          <w:sz w:val="24"/>
        </w:rPr>
      </w:pPr>
      <w:r>
        <w:rPr>
          <w:rFonts w:hint="eastAsia" w:ascii="宋体" w:hAnsi="宋体" w:cs="宋体"/>
          <w:sz w:val="24"/>
        </w:rPr>
        <w:t>（5）磋商响应方情况介绍；</w:t>
      </w:r>
    </w:p>
    <w:p w14:paraId="328FC111">
      <w:pPr>
        <w:snapToGrid w:val="0"/>
        <w:spacing w:line="360" w:lineRule="auto"/>
        <w:ind w:firstLine="480" w:firstLineChars="200"/>
        <w:rPr>
          <w:rFonts w:ascii="宋体" w:hAnsi="宋体" w:cs="宋体"/>
          <w:sz w:val="24"/>
        </w:rPr>
      </w:pPr>
      <w:r>
        <w:rPr>
          <w:rFonts w:hint="eastAsia" w:ascii="宋体" w:hAnsi="宋体" w:cs="宋体"/>
          <w:sz w:val="24"/>
        </w:rPr>
        <w:t>（6）磋商响应方认为有必要提供的其它文件。</w:t>
      </w:r>
    </w:p>
    <w:p w14:paraId="58218D57">
      <w:pPr>
        <w:spacing w:line="360" w:lineRule="auto"/>
        <w:rPr>
          <w:rFonts w:ascii="宋体" w:hAnsi="宋体" w:cs="宋体"/>
          <w:b/>
          <w:sz w:val="24"/>
        </w:rPr>
      </w:pPr>
      <w:r>
        <w:rPr>
          <w:rFonts w:hint="eastAsia" w:ascii="宋体" w:hAnsi="宋体" w:cs="宋体"/>
          <w:b/>
          <w:bCs/>
          <w:sz w:val="24"/>
        </w:rPr>
        <w:t>2、商务技术文件</w:t>
      </w:r>
      <w:r>
        <w:rPr>
          <w:rFonts w:hint="eastAsia" w:ascii="宋体" w:hAnsi="宋体" w:cs="宋体"/>
          <w:b/>
          <w:sz w:val="24"/>
        </w:rPr>
        <w:t>目录：</w:t>
      </w:r>
    </w:p>
    <w:p w14:paraId="56577E73">
      <w:pPr>
        <w:snapToGrid w:val="0"/>
        <w:spacing w:line="360" w:lineRule="auto"/>
        <w:ind w:firstLine="480" w:firstLineChars="200"/>
        <w:rPr>
          <w:rFonts w:ascii="宋体" w:hAnsi="宋体" w:cs="宋体"/>
          <w:sz w:val="24"/>
        </w:rPr>
      </w:pPr>
      <w:r>
        <w:rPr>
          <w:rFonts w:hint="eastAsia" w:ascii="宋体" w:hAnsi="宋体" w:cs="宋体"/>
          <w:sz w:val="24"/>
        </w:rPr>
        <w:t>（1）评分响应表（格式见附件2.3）；</w:t>
      </w:r>
    </w:p>
    <w:p w14:paraId="3DE66060">
      <w:pPr>
        <w:snapToGrid w:val="0"/>
        <w:spacing w:line="360" w:lineRule="auto"/>
        <w:ind w:firstLine="480" w:firstLineChars="200"/>
        <w:rPr>
          <w:rFonts w:ascii="宋体" w:hAnsi="宋体" w:cs="宋体"/>
          <w:sz w:val="24"/>
        </w:rPr>
      </w:pPr>
      <w:r>
        <w:rPr>
          <w:rFonts w:hint="eastAsia" w:ascii="宋体" w:hAnsi="宋体" w:cs="宋体"/>
          <w:sz w:val="24"/>
        </w:rPr>
        <w:t>（2）竞争性磋商响应书（格式见附件2.4）；</w:t>
      </w:r>
    </w:p>
    <w:p w14:paraId="4F8ABE94">
      <w:pPr>
        <w:snapToGrid w:val="0"/>
        <w:spacing w:line="360" w:lineRule="auto"/>
        <w:ind w:firstLine="470" w:firstLineChars="196"/>
        <w:jc w:val="left"/>
        <w:rPr>
          <w:rFonts w:ascii="宋体" w:hAnsi="宋体" w:cs="宋体"/>
          <w:sz w:val="24"/>
        </w:rPr>
      </w:pPr>
      <w:r>
        <w:rPr>
          <w:rFonts w:hint="eastAsia" w:ascii="宋体" w:hAnsi="宋体" w:cs="宋体"/>
          <w:sz w:val="24"/>
        </w:rPr>
        <w:t>（3）法定代表人授权委托书(格式见附件2.5)；</w:t>
      </w:r>
    </w:p>
    <w:p w14:paraId="1E78A3F7">
      <w:pPr>
        <w:snapToGrid w:val="0"/>
        <w:spacing w:line="360" w:lineRule="auto"/>
        <w:ind w:firstLine="470" w:firstLineChars="196"/>
        <w:jc w:val="left"/>
        <w:rPr>
          <w:rFonts w:ascii="宋体" w:hAnsi="宋体" w:cs="宋体"/>
          <w:sz w:val="24"/>
        </w:rPr>
      </w:pPr>
      <w:r>
        <w:rPr>
          <w:rFonts w:hint="eastAsia" w:ascii="宋体" w:hAnsi="宋体" w:cs="宋体"/>
          <w:sz w:val="24"/>
        </w:rPr>
        <w:t>（4）磋商响应方情况表(格式见附件2.6)；</w:t>
      </w:r>
    </w:p>
    <w:p w14:paraId="48F5573E">
      <w:pPr>
        <w:snapToGrid w:val="0"/>
        <w:spacing w:line="360" w:lineRule="auto"/>
        <w:ind w:firstLine="470" w:firstLineChars="196"/>
        <w:jc w:val="left"/>
        <w:rPr>
          <w:rFonts w:ascii="宋体" w:hAnsi="宋体" w:cs="宋体"/>
          <w:sz w:val="24"/>
        </w:rPr>
      </w:pPr>
      <w:r>
        <w:rPr>
          <w:rFonts w:hint="eastAsia" w:ascii="宋体" w:hAnsi="宋体" w:cs="宋体"/>
          <w:sz w:val="24"/>
        </w:rPr>
        <w:t>（5）营业执照副本复印件；</w:t>
      </w:r>
    </w:p>
    <w:p w14:paraId="5A02AA85">
      <w:pPr>
        <w:snapToGrid w:val="0"/>
        <w:spacing w:line="360" w:lineRule="auto"/>
        <w:ind w:firstLine="480" w:firstLineChars="200"/>
        <w:jc w:val="left"/>
        <w:rPr>
          <w:rFonts w:ascii="宋体" w:hAnsi="宋体" w:cs="宋体"/>
          <w:sz w:val="24"/>
        </w:rPr>
      </w:pPr>
      <w:r>
        <w:rPr>
          <w:rFonts w:hint="eastAsia" w:ascii="宋体" w:hAnsi="宋体" w:cs="宋体"/>
          <w:sz w:val="24"/>
        </w:rPr>
        <w:t>（6）磋商响应方项目负责人及实施人员情况一览表（表格见附件2.7）；</w:t>
      </w:r>
    </w:p>
    <w:p w14:paraId="56592CB6">
      <w:pPr>
        <w:snapToGrid w:val="0"/>
        <w:spacing w:line="360" w:lineRule="auto"/>
        <w:ind w:firstLine="470" w:firstLineChars="196"/>
        <w:jc w:val="left"/>
        <w:rPr>
          <w:rFonts w:ascii="宋体" w:hAnsi="宋体" w:cs="宋体"/>
          <w:sz w:val="24"/>
        </w:rPr>
      </w:pPr>
      <w:r>
        <w:rPr>
          <w:rFonts w:hint="eastAsia" w:ascii="宋体" w:hAnsi="宋体" w:cs="宋体"/>
          <w:sz w:val="24"/>
        </w:rPr>
        <w:t>（7）磋商响应方成功实施的同类项目的业绩或者案例(格式见附件2.8)；</w:t>
      </w:r>
    </w:p>
    <w:p w14:paraId="7AA6EB87">
      <w:pPr>
        <w:snapToGrid w:val="0"/>
        <w:spacing w:line="360" w:lineRule="auto"/>
        <w:ind w:firstLine="470" w:firstLineChars="196"/>
        <w:jc w:val="left"/>
        <w:rPr>
          <w:rFonts w:ascii="宋体" w:hAnsi="宋体" w:cs="宋体"/>
          <w:sz w:val="24"/>
        </w:rPr>
      </w:pPr>
      <w:r>
        <w:rPr>
          <w:rFonts w:hint="eastAsia" w:ascii="宋体" w:hAnsi="宋体" w:cs="宋体"/>
          <w:sz w:val="24"/>
        </w:rPr>
        <w:t>（8）项目实施计划及供货方案；</w:t>
      </w:r>
    </w:p>
    <w:p w14:paraId="6B721B28">
      <w:pPr>
        <w:snapToGrid w:val="0"/>
        <w:spacing w:line="360" w:lineRule="auto"/>
        <w:ind w:firstLine="470" w:firstLineChars="196"/>
        <w:jc w:val="left"/>
        <w:rPr>
          <w:rFonts w:ascii="宋体"/>
          <w:sz w:val="24"/>
        </w:rPr>
      </w:pPr>
      <w:r>
        <w:rPr>
          <w:rFonts w:hint="eastAsia" w:ascii="宋体" w:hAnsi="宋体" w:cs="宋体"/>
          <w:color w:val="0D0D0D"/>
          <w:sz w:val="24"/>
        </w:rPr>
        <w:t>（9）技术服务方案；</w:t>
      </w:r>
    </w:p>
    <w:p w14:paraId="21AA0C72">
      <w:pPr>
        <w:snapToGrid w:val="0"/>
        <w:spacing w:line="360" w:lineRule="auto"/>
        <w:ind w:firstLine="480" w:firstLineChars="200"/>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0）</w:t>
      </w:r>
      <w:r>
        <w:rPr>
          <w:rFonts w:hint="eastAsia" w:ascii="宋体"/>
          <w:sz w:val="24"/>
        </w:rPr>
        <w:t>商务响应表（格式见附件2.9）；</w:t>
      </w:r>
    </w:p>
    <w:p w14:paraId="288141E1">
      <w:pPr>
        <w:snapToGrid w:val="0"/>
        <w:spacing w:line="360" w:lineRule="auto"/>
        <w:ind w:firstLine="480" w:firstLineChars="200"/>
        <w:jc w:val="left"/>
        <w:rPr>
          <w:rFonts w:ascii="宋体"/>
          <w:sz w:val="24"/>
        </w:rPr>
      </w:pPr>
      <w:r>
        <w:rPr>
          <w:rFonts w:hint="eastAsia" w:ascii="宋体"/>
          <w:sz w:val="24"/>
        </w:rPr>
        <w:t>（11）</w:t>
      </w:r>
      <w:r>
        <w:rPr>
          <w:rFonts w:hint="eastAsia"/>
          <w:sz w:val="24"/>
        </w:rPr>
        <w:t>技术响应表（格式见附件</w:t>
      </w:r>
      <w:r>
        <w:rPr>
          <w:rFonts w:hint="eastAsia" w:ascii="宋体" w:hAnsi="宋体" w:cs="宋体"/>
          <w:sz w:val="24"/>
        </w:rPr>
        <w:t>2.10</w:t>
      </w:r>
      <w:r>
        <w:rPr>
          <w:rFonts w:hint="eastAsia"/>
          <w:sz w:val="24"/>
        </w:rPr>
        <w:t>）；</w:t>
      </w:r>
    </w:p>
    <w:p w14:paraId="56B0F409">
      <w:pPr>
        <w:snapToGrid w:val="0"/>
        <w:spacing w:line="360" w:lineRule="auto"/>
        <w:ind w:firstLine="480" w:firstLineChars="200"/>
        <w:jc w:val="left"/>
        <w:rPr>
          <w:rFonts w:ascii="宋体" w:hAnsi="宋体" w:cs="宋体"/>
          <w:sz w:val="24"/>
        </w:rPr>
      </w:pPr>
      <w:r>
        <w:rPr>
          <w:rFonts w:hint="eastAsia" w:ascii="宋体" w:hAnsi="宋体" w:cs="宋体"/>
          <w:sz w:val="24"/>
        </w:rPr>
        <w:t>（12）磋商响应产品服务计划表（格式见附件2.11）；</w:t>
      </w:r>
    </w:p>
    <w:p w14:paraId="5CDC59E2">
      <w:pPr>
        <w:snapToGrid w:val="0"/>
        <w:spacing w:line="360" w:lineRule="auto"/>
        <w:ind w:firstLine="470" w:firstLineChars="196"/>
        <w:jc w:val="left"/>
        <w:rPr>
          <w:rFonts w:ascii="宋体" w:hAnsi="宋体" w:cs="宋体"/>
          <w:sz w:val="24"/>
        </w:rPr>
      </w:pPr>
      <w:r>
        <w:rPr>
          <w:rFonts w:hint="eastAsia" w:ascii="宋体" w:hAnsi="宋体" w:cs="宋体"/>
          <w:sz w:val="24"/>
        </w:rPr>
        <w:t>（13）响应该项目的优势及自我评价；</w:t>
      </w:r>
    </w:p>
    <w:p w14:paraId="350B2A87">
      <w:pPr>
        <w:snapToGrid w:val="0"/>
        <w:spacing w:line="360" w:lineRule="auto"/>
        <w:ind w:left="480"/>
        <w:jc w:val="left"/>
        <w:rPr>
          <w:rFonts w:ascii="宋体" w:hAnsi="宋体" w:cs="宋体"/>
          <w:sz w:val="24"/>
        </w:rPr>
      </w:pPr>
      <w:r>
        <w:rPr>
          <w:rFonts w:hint="eastAsia" w:ascii="宋体" w:hAnsi="宋体" w:cs="宋体"/>
          <w:sz w:val="24"/>
        </w:rPr>
        <w:t>（14）拟投入本项目的设备（格式见附件2.12）；</w:t>
      </w:r>
    </w:p>
    <w:p w14:paraId="720207D2">
      <w:pPr>
        <w:snapToGrid w:val="0"/>
        <w:spacing w:line="360" w:lineRule="auto"/>
        <w:ind w:firstLine="470" w:firstLineChars="196"/>
        <w:jc w:val="left"/>
        <w:rPr>
          <w:rFonts w:ascii="宋体" w:hAnsi="宋体" w:cs="宋体"/>
          <w:sz w:val="24"/>
        </w:rPr>
      </w:pPr>
      <w:r>
        <w:rPr>
          <w:rFonts w:hint="eastAsia" w:ascii="宋体" w:hAnsi="宋体" w:cs="宋体"/>
          <w:sz w:val="24"/>
        </w:rPr>
        <w:t>（15）优惠条件：磋商响应人承诺给予</w:t>
      </w:r>
      <w:r>
        <w:rPr>
          <w:rFonts w:hint="eastAsia" w:ascii="宋体" w:hAnsi="宋体" w:cs="宋体"/>
          <w:bCs/>
          <w:sz w:val="24"/>
        </w:rPr>
        <w:t>磋商</w:t>
      </w:r>
      <w:r>
        <w:rPr>
          <w:rFonts w:hint="eastAsia" w:ascii="宋体" w:hAnsi="宋体" w:cs="宋体"/>
          <w:sz w:val="24"/>
        </w:rPr>
        <w:t>人的各种优惠条件，包括售后服务、服务网点、备品备件、专用耗材等方面的优惠；</w:t>
      </w:r>
    </w:p>
    <w:p w14:paraId="1FF4008C">
      <w:pPr>
        <w:snapToGrid w:val="0"/>
        <w:spacing w:line="360" w:lineRule="auto"/>
        <w:ind w:firstLine="470" w:firstLineChars="196"/>
        <w:jc w:val="left"/>
        <w:rPr>
          <w:rFonts w:ascii="宋体" w:hAnsi="宋体" w:cs="宋体"/>
          <w:sz w:val="24"/>
        </w:rPr>
      </w:pPr>
      <w:r>
        <w:rPr>
          <w:rFonts w:hint="eastAsia" w:ascii="宋体" w:hAnsi="宋体" w:cs="宋体"/>
          <w:sz w:val="24"/>
        </w:rPr>
        <w:t>（16）磋商响应方认为需要提供的其他响应文件和资料。</w:t>
      </w:r>
    </w:p>
    <w:p w14:paraId="01066527">
      <w:pPr>
        <w:ind w:firstLine="480" w:firstLineChars="200"/>
        <w:rPr>
          <w:rFonts w:ascii="宋体" w:hAnsi="宋体" w:cs="宋体"/>
          <w:b/>
          <w:bCs/>
          <w:sz w:val="24"/>
        </w:rPr>
      </w:pPr>
      <w:r>
        <w:rPr>
          <w:rFonts w:hint="eastAsia" w:ascii="宋体" w:hAnsi="宋体" w:cs="宋体"/>
          <w:b/>
          <w:bCs/>
          <w:sz w:val="24"/>
        </w:rPr>
        <w:br w:type="page"/>
      </w:r>
    </w:p>
    <w:p w14:paraId="722D2A0A">
      <w:pPr>
        <w:pageBreakBefore/>
        <w:spacing w:line="360" w:lineRule="auto"/>
        <w:outlineLvl w:val="1"/>
        <w:rPr>
          <w:rFonts w:ascii="宋体" w:hAnsi="宋体" w:cs="宋体"/>
          <w:b/>
          <w:sz w:val="24"/>
        </w:rPr>
      </w:pPr>
      <w:bookmarkStart w:id="10" w:name="_Toc14307"/>
      <w:bookmarkStart w:id="11" w:name="_Toc19515"/>
      <w:bookmarkStart w:id="12" w:name="_Toc24603"/>
      <w:bookmarkStart w:id="13" w:name="_Toc2801"/>
      <w:r>
        <w:rPr>
          <w:rFonts w:hint="eastAsia" w:ascii="宋体" w:hAnsi="宋体" w:cs="宋体"/>
          <w:b/>
          <w:sz w:val="24"/>
        </w:rPr>
        <w:t>2.1磋商声明书</w:t>
      </w:r>
      <w:bookmarkEnd w:id="10"/>
      <w:bookmarkEnd w:id="11"/>
      <w:bookmarkEnd w:id="12"/>
      <w:bookmarkEnd w:id="13"/>
    </w:p>
    <w:p w14:paraId="1ADBD741">
      <w:pPr>
        <w:snapToGrid w:val="0"/>
        <w:spacing w:before="156" w:beforeLines="50" w:after="50" w:line="276" w:lineRule="auto"/>
        <w:jc w:val="center"/>
        <w:rPr>
          <w:rFonts w:ascii="宋体" w:hAnsi="宋体" w:cs="宋体"/>
          <w:b/>
          <w:sz w:val="24"/>
        </w:rPr>
      </w:pPr>
      <w:r>
        <w:rPr>
          <w:rFonts w:hint="eastAsia" w:ascii="宋体" w:hAnsi="宋体" w:cs="宋体"/>
          <w:b/>
          <w:sz w:val="24"/>
        </w:rPr>
        <w:t>磋商声明书</w:t>
      </w:r>
    </w:p>
    <w:p w14:paraId="3975B5B7">
      <w:pPr>
        <w:snapToGrid w:val="0"/>
        <w:spacing w:before="156" w:beforeLines="50" w:after="50" w:line="276"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（采购单位名称）：</w:t>
      </w:r>
    </w:p>
    <w:p w14:paraId="71BE1716">
      <w:pPr>
        <w:snapToGrid w:val="0"/>
        <w:spacing w:before="156" w:beforeLines="50" w:after="50" w:line="276" w:lineRule="auto"/>
        <w:ind w:firstLine="720" w:firstLineChars="3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0910C813">
      <w:pPr>
        <w:snapToGrid w:val="0"/>
        <w:spacing w:before="156" w:beforeLines="50" w:after="50" w:line="276" w:lineRule="auto"/>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（供应商名称）的法定代表人，我方愿意参加贵方组织的 </w:t>
      </w:r>
      <w:r>
        <w:rPr>
          <w:rFonts w:hint="eastAsia" w:ascii="宋体" w:hAnsi="宋体" w:cs="宋体"/>
          <w:sz w:val="24"/>
          <w:u w:val="single"/>
        </w:rPr>
        <w:t xml:space="preserve">                    </w:t>
      </w:r>
      <w:r>
        <w:rPr>
          <w:rFonts w:hint="eastAsia" w:ascii="宋体" w:hAnsi="宋体" w:cs="宋体"/>
          <w:sz w:val="24"/>
        </w:rPr>
        <w:t xml:space="preserve"> 项目的磋商，为便于贵方公正、择优地确定中标人及其磋商服务，我方就本次磋商有关事项郑重声明如下：</w:t>
      </w:r>
    </w:p>
    <w:p w14:paraId="2D26DB8B">
      <w:pPr>
        <w:spacing w:line="360" w:lineRule="auto"/>
        <w:ind w:firstLine="480" w:firstLineChars="200"/>
        <w:rPr>
          <w:rFonts w:ascii="宋体" w:hAnsi="宋体" w:cs="宋体"/>
          <w:sz w:val="24"/>
        </w:rPr>
      </w:pPr>
      <w:r>
        <w:rPr>
          <w:rFonts w:hint="eastAsia" w:ascii="宋体" w:hAnsi="宋体" w:cs="宋体"/>
          <w:sz w:val="24"/>
        </w:rPr>
        <w:t>1.我方向贵方提交的所有磋商响应文件、资料都是准确的和真实的。若有违背，我公司愿为由此而产生的一切后果负责。</w:t>
      </w:r>
    </w:p>
    <w:p w14:paraId="3339B67B">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714B3756">
      <w:pPr>
        <w:snapToGrid w:val="0"/>
        <w:spacing w:before="156" w:beforeLines="50" w:line="276" w:lineRule="auto"/>
        <w:ind w:firstLine="480" w:firstLineChars="200"/>
        <w:rPr>
          <w:rFonts w:ascii="宋体" w:hAnsi="宋体" w:cs="宋体"/>
          <w:sz w:val="24"/>
        </w:rPr>
      </w:pPr>
      <w:r>
        <w:rPr>
          <w:rFonts w:hint="eastAsia" w:ascii="宋体" w:hAnsi="宋体" w:cs="宋体"/>
          <w:sz w:val="24"/>
        </w:rPr>
        <w:t>3. 我方诚意提请贵方关注：近期有</w:t>
      </w:r>
      <w:r>
        <w:rPr>
          <w:rFonts w:hint="eastAsia" w:ascii="宋体" w:hAnsi="宋体" w:cs="宋体"/>
          <w:sz w:val="24"/>
          <w:u w:val="single"/>
        </w:rPr>
        <w:t xml:space="preserve">                   （采购内容）</w:t>
      </w:r>
      <w:r>
        <w:rPr>
          <w:rFonts w:hint="eastAsia" w:ascii="宋体" w:hAnsi="宋体" w:cs="宋体"/>
          <w:sz w:val="24"/>
        </w:rPr>
        <w:t>等方面的重大决策和事项有：</w:t>
      </w:r>
    </w:p>
    <w:p w14:paraId="14FB748F">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3AC3F2AC">
      <w:pPr>
        <w:snapToGrid w:val="0"/>
        <w:spacing w:before="156" w:beforeLines="50" w:line="276" w:lineRule="auto"/>
        <w:ind w:firstLine="480" w:firstLineChars="200"/>
        <w:rPr>
          <w:rFonts w:ascii="宋体" w:hAnsi="宋体" w:cs="宋体"/>
          <w:sz w:val="24"/>
        </w:rPr>
      </w:pPr>
      <w:r>
        <w:rPr>
          <w:rFonts w:hint="eastAsia" w:ascii="宋体" w:hAnsi="宋体" w:cs="宋体"/>
          <w:sz w:val="24"/>
          <w:u w:val="single"/>
        </w:rPr>
        <w:t>　　　　　　　　　　　　　　　　　　　　　　　　　　　</w:t>
      </w:r>
    </w:p>
    <w:p w14:paraId="634FC73D">
      <w:pPr>
        <w:snapToGrid w:val="0"/>
        <w:spacing w:after="120" w:line="276" w:lineRule="auto"/>
        <w:ind w:left="420" w:leftChars="200"/>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1A005C8C">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5F58F7E6">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581806EF">
      <w:pPr>
        <w:snapToGrid w:val="0"/>
        <w:spacing w:line="276" w:lineRule="auto"/>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18C51B42">
      <w:pPr>
        <w:tabs>
          <w:tab w:val="left" w:pos="939"/>
        </w:tabs>
        <w:snapToGrid w:val="0"/>
        <w:spacing w:line="276" w:lineRule="auto"/>
        <w:ind w:left="773" w:leftChars="150" w:hanging="458" w:hangingChars="191"/>
        <w:rPr>
          <w:rFonts w:ascii="宋体" w:hAnsi="宋体" w:cs="宋体"/>
          <w:sz w:val="24"/>
        </w:rPr>
      </w:pPr>
    </w:p>
    <w:p w14:paraId="0B928ACD">
      <w:pPr>
        <w:snapToGrid w:val="0"/>
        <w:spacing w:before="156" w:beforeLines="50" w:line="276" w:lineRule="auto"/>
        <w:ind w:firstLine="200"/>
        <w:rPr>
          <w:rFonts w:ascii="宋体" w:hAnsi="宋体" w:cs="宋体"/>
          <w:sz w:val="24"/>
        </w:rPr>
      </w:pPr>
    </w:p>
    <w:p w14:paraId="1319E61B">
      <w:pPr>
        <w:snapToGrid w:val="0"/>
        <w:spacing w:before="156" w:beforeLines="50" w:line="276" w:lineRule="auto"/>
        <w:ind w:firstLine="319" w:firstLineChars="133"/>
        <w:rPr>
          <w:rFonts w:ascii="宋体" w:hAnsi="宋体" w:cs="宋体"/>
          <w:sz w:val="24"/>
          <w:u w:val="single"/>
        </w:rPr>
      </w:pPr>
      <w:r>
        <w:rPr>
          <w:rFonts w:hint="eastAsia" w:ascii="宋体" w:hAnsi="宋体" w:cs="宋体"/>
          <w:sz w:val="24"/>
        </w:rPr>
        <w:t>法定代表人或委托代理人签字：</w:t>
      </w:r>
      <w:r>
        <w:rPr>
          <w:rFonts w:hint="eastAsia" w:ascii="宋体" w:hAnsi="宋体" w:cs="宋体"/>
          <w:sz w:val="24"/>
          <w:u w:val="single"/>
        </w:rPr>
        <w:t xml:space="preserve">             </w:t>
      </w:r>
    </w:p>
    <w:p w14:paraId="0DB19E46">
      <w:pPr>
        <w:snapToGrid w:val="0"/>
        <w:spacing w:before="156" w:beforeLines="50" w:after="50" w:line="276" w:lineRule="auto"/>
        <w:ind w:firstLine="360" w:firstLineChars="150"/>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14:paraId="6756A34B">
      <w:pPr>
        <w:snapToGrid w:val="0"/>
        <w:spacing w:before="156" w:beforeLines="50" w:after="50" w:line="276" w:lineRule="auto"/>
        <w:ind w:firstLine="6240" w:firstLineChars="2600"/>
        <w:rPr>
          <w:rFonts w:ascii="宋体" w:hAnsi="宋体" w:cs="宋体"/>
          <w:sz w:val="24"/>
        </w:rPr>
      </w:pPr>
      <w:r>
        <w:rPr>
          <w:rFonts w:hint="eastAsia" w:ascii="宋体" w:hAnsi="宋体" w:cs="宋体"/>
          <w:sz w:val="24"/>
        </w:rPr>
        <w:t>年    月    日</w:t>
      </w:r>
      <w:bookmarkStart w:id="14" w:name="_Toc30843"/>
      <w:bookmarkStart w:id="15" w:name="_Toc5501"/>
      <w:bookmarkStart w:id="16" w:name="_Toc8399"/>
      <w:bookmarkStart w:id="17" w:name="_Toc23315"/>
      <w:bookmarkStart w:id="18" w:name="_Toc10320"/>
      <w:bookmarkStart w:id="19" w:name="_Toc24340"/>
      <w:bookmarkStart w:id="20" w:name="_Toc16938"/>
      <w:bookmarkStart w:id="21" w:name="_Toc3669"/>
      <w:bookmarkStart w:id="22" w:name="_Toc25066"/>
    </w:p>
    <w:p w14:paraId="0B372A4A">
      <w:pPr>
        <w:snapToGrid w:val="0"/>
        <w:spacing w:before="156" w:beforeLines="50" w:after="50" w:line="276" w:lineRule="auto"/>
        <w:jc w:val="center"/>
        <w:rPr>
          <w:rFonts w:ascii="宋体" w:hAnsi="宋体" w:cs="宋体"/>
          <w:b/>
          <w:sz w:val="24"/>
        </w:rPr>
      </w:pPr>
      <w:r>
        <w:rPr>
          <w:rFonts w:hint="eastAsia" w:ascii="宋体" w:hAnsi="宋体" w:cs="宋体"/>
          <w:sz w:val="24"/>
        </w:rPr>
        <w:br w:type="page"/>
      </w:r>
      <w:bookmarkEnd w:id="14"/>
      <w:bookmarkEnd w:id="15"/>
      <w:bookmarkEnd w:id="16"/>
      <w:bookmarkEnd w:id="17"/>
      <w:bookmarkEnd w:id="18"/>
      <w:bookmarkEnd w:id="19"/>
      <w:bookmarkEnd w:id="20"/>
      <w:bookmarkEnd w:id="21"/>
      <w:bookmarkEnd w:id="22"/>
    </w:p>
    <w:p w14:paraId="6179F376">
      <w:pPr>
        <w:pageBreakBefore/>
        <w:spacing w:line="360" w:lineRule="auto"/>
        <w:outlineLvl w:val="1"/>
        <w:rPr>
          <w:rFonts w:ascii="宋体" w:hAnsi="宋体" w:cs="宋体"/>
          <w:b/>
          <w:sz w:val="24"/>
        </w:rPr>
      </w:pPr>
      <w:bookmarkStart w:id="23" w:name="_Toc13442"/>
      <w:bookmarkStart w:id="24" w:name="_Toc15842"/>
      <w:bookmarkStart w:id="25" w:name="_Toc13405"/>
      <w:bookmarkStart w:id="26" w:name="_Toc14899"/>
      <w:r>
        <w:rPr>
          <w:rFonts w:hint="eastAsia" w:ascii="宋体" w:hAnsi="宋体" w:cs="宋体"/>
          <w:b/>
          <w:sz w:val="24"/>
        </w:rPr>
        <w:t>2.2：中小企业声明函</w:t>
      </w:r>
      <w:bookmarkEnd w:id="23"/>
      <w:bookmarkEnd w:id="24"/>
      <w:bookmarkEnd w:id="25"/>
      <w:bookmarkEnd w:id="26"/>
    </w:p>
    <w:p w14:paraId="61D87AAF">
      <w:pPr>
        <w:spacing w:after="120"/>
        <w:ind w:left="420" w:leftChars="200"/>
      </w:pPr>
    </w:p>
    <w:p w14:paraId="71C383F1">
      <w:pPr>
        <w:tabs>
          <w:tab w:val="left" w:pos="420"/>
        </w:tabs>
        <w:ind w:firstLine="480" w:firstLineChars="200"/>
        <w:jc w:val="center"/>
        <w:rPr>
          <w:rFonts w:ascii="宋体" w:hAnsi="宋体" w:cs="Arial"/>
          <w:b/>
          <w:bCs/>
          <w:kern w:val="0"/>
          <w:sz w:val="24"/>
        </w:rPr>
      </w:pPr>
      <w:r>
        <w:rPr>
          <w:rFonts w:hint="eastAsia" w:ascii="宋体" w:hAnsi="宋体" w:cs="Arial"/>
          <w:b/>
          <w:bCs/>
          <w:kern w:val="0"/>
          <w:sz w:val="24"/>
        </w:rPr>
        <w:t>中小企业声明函（服务）</w:t>
      </w:r>
    </w:p>
    <w:p w14:paraId="02EFD112"/>
    <w:p w14:paraId="2D3B5248">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44A281B9">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rPr>
        <w:t xml:space="preserve">              </w:t>
      </w:r>
      <w:r>
        <w:rPr>
          <w:rFonts w:hint="eastAsia" w:ascii="宋体" w:hAnsi="宋体" w:cs="Arial"/>
          <w:bCs/>
          <w:kern w:val="0"/>
          <w:sz w:val="24"/>
        </w:rPr>
        <w:t>（标的名称），属于</w:t>
      </w:r>
      <w:r>
        <w:rPr>
          <w:rFonts w:hint="eastAsia" w:ascii="宋体" w:hAnsi="宋体" w:cs="Arial"/>
          <w:bCs/>
          <w:kern w:val="0"/>
          <w:sz w:val="24"/>
          <w:u w:val="single"/>
        </w:rPr>
        <w:t xml:space="preserve">              </w:t>
      </w:r>
      <w:r>
        <w:rPr>
          <w:rFonts w:hint="eastAsia" w:ascii="宋体" w:hAnsi="宋体" w:cs="Arial"/>
          <w:bCs/>
          <w:kern w:val="0"/>
          <w:sz w:val="24"/>
        </w:rPr>
        <w:t xml:space="preserve">（采购文件中明确的所属行业）行业；承接企业为 </w:t>
      </w:r>
      <w:r>
        <w:rPr>
          <w:rFonts w:hint="eastAsia" w:ascii="宋体" w:hAnsi="宋体" w:cs="Arial"/>
          <w:bCs/>
          <w:kern w:val="0"/>
          <w:sz w:val="24"/>
          <w:u w:val="single"/>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w:t>
      </w:r>
    </w:p>
    <w:p w14:paraId="58287B3E">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7CF1F85A">
      <w:pPr>
        <w:tabs>
          <w:tab w:val="left" w:pos="420"/>
        </w:tabs>
        <w:spacing w:line="360" w:lineRule="auto"/>
        <w:ind w:firstLine="480" w:firstLineChars="200"/>
        <w:jc w:val="left"/>
        <w:rPr>
          <w:rFonts w:ascii="宋体" w:hAnsi="宋体" w:cs="Arial"/>
          <w:bCs/>
          <w:kern w:val="0"/>
          <w:sz w:val="24"/>
        </w:rPr>
      </w:pPr>
    </w:p>
    <w:p w14:paraId="52A79BA9">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36935A64">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14:paraId="20E2F3A5">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6F376982">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14:paraId="2A785ECB">
      <w:pPr>
        <w:spacing w:line="500" w:lineRule="exact"/>
        <w:rPr>
          <w:rFonts w:ascii="宋体"/>
          <w:sz w:val="24"/>
        </w:rPr>
      </w:pPr>
      <w:r>
        <w:rPr>
          <w:rFonts w:hint="eastAsia" w:ascii="宋体" w:hAnsi="宋体"/>
          <w:b/>
          <w:szCs w:val="21"/>
        </w:rPr>
        <w:t>2、如中标人声明为小微企业，本声明函将随中标结果同时公告，接受社会监督。</w:t>
      </w:r>
    </w:p>
    <w:p w14:paraId="0D5F6EA4">
      <w:pPr>
        <w:spacing w:line="360" w:lineRule="auto"/>
        <w:rPr>
          <w:rFonts w:ascii="宋体" w:hAnsi="宋体" w:cs="宋体"/>
          <w:b/>
          <w:bCs/>
          <w:sz w:val="24"/>
        </w:rPr>
      </w:pPr>
    </w:p>
    <w:p w14:paraId="1C756BB0">
      <w:pPr>
        <w:rPr>
          <w:rFonts w:ascii="宋体" w:hAnsi="宋体"/>
          <w:b/>
          <w:sz w:val="24"/>
        </w:rPr>
      </w:pPr>
      <w:r>
        <w:rPr>
          <w:rFonts w:hint="eastAsia" w:ascii="宋体" w:hAnsi="宋体"/>
          <w:b/>
          <w:sz w:val="24"/>
        </w:rPr>
        <w:br w:type="page"/>
      </w:r>
    </w:p>
    <w:p w14:paraId="352BA030">
      <w:pPr>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3 评分响应表格式：</w:t>
      </w:r>
    </w:p>
    <w:p w14:paraId="60211307">
      <w:pPr>
        <w:snapToGrid w:val="0"/>
        <w:spacing w:before="50" w:after="50" w:line="400" w:lineRule="exact"/>
        <w:rPr>
          <w:rFonts w:ascii="宋体"/>
          <w:b/>
          <w:sz w:val="24"/>
          <w:u w:val="single"/>
        </w:rPr>
      </w:pPr>
      <w:r>
        <w:rPr>
          <w:rFonts w:hint="eastAsia" w:ascii="宋体" w:hAnsi="宋体"/>
          <w:b/>
          <w:sz w:val="24"/>
        </w:rPr>
        <w:t xml:space="preserve">项目名称：                                                </w:t>
      </w:r>
    </w:p>
    <w:tbl>
      <w:tblPr>
        <w:tblStyle w:val="46"/>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69"/>
        <w:gridCol w:w="2673"/>
        <w:gridCol w:w="996"/>
        <w:gridCol w:w="2860"/>
      </w:tblGrid>
      <w:tr w14:paraId="0D7AD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14:paraId="709F5637">
            <w:pPr>
              <w:pStyle w:val="39"/>
              <w:spacing w:line="400" w:lineRule="exact"/>
              <w:ind w:firstLine="0" w:firstLineChars="0"/>
              <w:rPr>
                <w:rFonts w:ascii="宋体" w:eastAsia="宋体"/>
                <w:b/>
                <w:bCs/>
                <w:color w:val="auto"/>
                <w:szCs w:val="24"/>
              </w:rPr>
            </w:pPr>
            <w:r>
              <w:rPr>
                <w:rFonts w:hint="eastAsia" w:ascii="宋体" w:eastAsia="宋体"/>
                <w:b/>
                <w:bCs/>
                <w:color w:val="auto"/>
                <w:szCs w:val="24"/>
              </w:rPr>
              <w:t>序号</w:t>
            </w:r>
          </w:p>
        </w:tc>
        <w:tc>
          <w:tcPr>
            <w:tcW w:w="1769" w:type="dxa"/>
            <w:tcBorders>
              <w:top w:val="single" w:color="auto" w:sz="4" w:space="0"/>
              <w:left w:val="single" w:color="auto" w:sz="4" w:space="0"/>
              <w:bottom w:val="single" w:color="auto" w:sz="4" w:space="0"/>
              <w:right w:val="single" w:color="auto" w:sz="4" w:space="0"/>
            </w:tcBorders>
            <w:vAlign w:val="center"/>
          </w:tcPr>
          <w:p w14:paraId="5067BDC1">
            <w:pPr>
              <w:pStyle w:val="39"/>
              <w:spacing w:line="400" w:lineRule="exact"/>
              <w:ind w:firstLine="0" w:firstLineChars="0"/>
              <w:rPr>
                <w:rFonts w:ascii="宋体" w:eastAsia="宋体"/>
                <w:b/>
                <w:bCs/>
                <w:color w:val="auto"/>
                <w:szCs w:val="24"/>
              </w:rPr>
            </w:pPr>
            <w:r>
              <w:rPr>
                <w:rFonts w:hint="eastAsia" w:ascii="宋体" w:eastAsia="宋体"/>
                <w:b/>
                <w:bCs/>
                <w:color w:val="auto"/>
                <w:szCs w:val="24"/>
              </w:rPr>
              <w:t>评审内容</w:t>
            </w:r>
          </w:p>
        </w:tc>
        <w:tc>
          <w:tcPr>
            <w:tcW w:w="2673" w:type="dxa"/>
            <w:tcBorders>
              <w:top w:val="single" w:color="auto" w:sz="4" w:space="0"/>
              <w:left w:val="single" w:color="auto" w:sz="4" w:space="0"/>
              <w:bottom w:val="single" w:color="auto" w:sz="4" w:space="0"/>
              <w:right w:val="single" w:color="auto" w:sz="4" w:space="0"/>
            </w:tcBorders>
            <w:vAlign w:val="center"/>
          </w:tcPr>
          <w:p w14:paraId="5E3C8001">
            <w:pPr>
              <w:pStyle w:val="39"/>
              <w:spacing w:line="400" w:lineRule="exact"/>
              <w:ind w:left="367" w:leftChars="175" w:firstLine="482"/>
              <w:rPr>
                <w:rFonts w:ascii="宋体" w:eastAsia="宋体"/>
                <w:b/>
                <w:bCs/>
                <w:color w:val="auto"/>
                <w:szCs w:val="24"/>
              </w:rPr>
            </w:pPr>
            <w:r>
              <w:rPr>
                <w:rFonts w:hint="eastAsia" w:ascii="宋体" w:eastAsia="宋体"/>
                <w:b/>
                <w:bCs/>
                <w:color w:val="auto"/>
                <w:szCs w:val="24"/>
              </w:rPr>
              <w:t>评分标准</w:t>
            </w:r>
          </w:p>
        </w:tc>
        <w:tc>
          <w:tcPr>
            <w:tcW w:w="996" w:type="dxa"/>
            <w:tcBorders>
              <w:top w:val="single" w:color="auto" w:sz="4" w:space="0"/>
              <w:left w:val="single" w:color="auto" w:sz="4" w:space="0"/>
              <w:bottom w:val="single" w:color="auto" w:sz="4" w:space="0"/>
              <w:right w:val="single" w:color="auto" w:sz="4" w:space="0"/>
            </w:tcBorders>
            <w:vAlign w:val="center"/>
          </w:tcPr>
          <w:p w14:paraId="15B6AB9E">
            <w:pPr>
              <w:pStyle w:val="39"/>
              <w:spacing w:line="400" w:lineRule="exact"/>
              <w:ind w:firstLine="0" w:firstLineChars="0"/>
              <w:rPr>
                <w:rFonts w:ascii="宋体" w:eastAsia="宋体"/>
                <w:b/>
                <w:bCs/>
                <w:color w:val="auto"/>
                <w:szCs w:val="24"/>
              </w:rPr>
            </w:pPr>
            <w:r>
              <w:rPr>
                <w:rFonts w:hint="eastAsia" w:ascii="宋体" w:eastAsia="宋体"/>
                <w:b/>
                <w:bCs/>
                <w:color w:val="auto"/>
                <w:szCs w:val="24"/>
              </w:rPr>
              <w:t>分值</w:t>
            </w:r>
          </w:p>
        </w:tc>
        <w:tc>
          <w:tcPr>
            <w:tcW w:w="2860" w:type="dxa"/>
            <w:tcBorders>
              <w:top w:val="single" w:color="auto" w:sz="4" w:space="0"/>
              <w:left w:val="single" w:color="auto" w:sz="4" w:space="0"/>
              <w:bottom w:val="single" w:color="auto" w:sz="4" w:space="0"/>
            </w:tcBorders>
            <w:vAlign w:val="center"/>
          </w:tcPr>
          <w:p w14:paraId="202E6939">
            <w:pPr>
              <w:pStyle w:val="39"/>
              <w:spacing w:line="400" w:lineRule="exact"/>
              <w:ind w:left="480" w:firstLine="482"/>
              <w:rPr>
                <w:rFonts w:ascii="宋体" w:eastAsia="宋体"/>
                <w:b/>
                <w:bCs/>
                <w:color w:val="auto"/>
                <w:szCs w:val="24"/>
              </w:rPr>
            </w:pPr>
            <w:r>
              <w:rPr>
                <w:rFonts w:hint="eastAsia" w:ascii="宋体" w:eastAsia="宋体"/>
                <w:b/>
                <w:bCs/>
                <w:color w:val="auto"/>
                <w:szCs w:val="24"/>
              </w:rPr>
              <w:t>页码</w:t>
            </w:r>
          </w:p>
        </w:tc>
      </w:tr>
      <w:tr w14:paraId="6325F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14:paraId="50F51BFE">
            <w:pPr>
              <w:spacing w:line="400" w:lineRule="exact"/>
              <w:rPr>
                <w:rFonts w:ascii="宋体"/>
                <w:sz w:val="24"/>
              </w:rPr>
            </w:pPr>
            <w:r>
              <w:rPr>
                <w:rFonts w:ascii="宋体" w:hAnsi="宋体"/>
                <w:sz w:val="24"/>
              </w:rPr>
              <w:t>1</w:t>
            </w:r>
          </w:p>
        </w:tc>
        <w:tc>
          <w:tcPr>
            <w:tcW w:w="1769" w:type="dxa"/>
            <w:tcBorders>
              <w:top w:val="single" w:color="auto" w:sz="4" w:space="0"/>
              <w:left w:val="single" w:color="auto" w:sz="4" w:space="0"/>
              <w:bottom w:val="single" w:color="auto" w:sz="4" w:space="0"/>
              <w:right w:val="single" w:color="auto" w:sz="4" w:space="0"/>
            </w:tcBorders>
            <w:vAlign w:val="center"/>
          </w:tcPr>
          <w:p w14:paraId="19FF0762">
            <w:pPr>
              <w:spacing w:line="400" w:lineRule="exact"/>
              <w:rPr>
                <w:rFonts w:ascii="宋体"/>
                <w:sz w:val="24"/>
              </w:rPr>
            </w:pPr>
          </w:p>
        </w:tc>
        <w:tc>
          <w:tcPr>
            <w:tcW w:w="2673" w:type="dxa"/>
            <w:tcBorders>
              <w:top w:val="single" w:color="auto" w:sz="4" w:space="0"/>
              <w:left w:val="single" w:color="auto" w:sz="4" w:space="0"/>
              <w:right w:val="single" w:color="auto" w:sz="4" w:space="0"/>
            </w:tcBorders>
            <w:vAlign w:val="center"/>
          </w:tcPr>
          <w:p w14:paraId="6D5D5666">
            <w:pPr>
              <w:spacing w:line="400" w:lineRule="exact"/>
              <w:rPr>
                <w:rFonts w:ascii="宋体"/>
                <w:sz w:val="24"/>
              </w:rPr>
            </w:pPr>
          </w:p>
        </w:tc>
        <w:tc>
          <w:tcPr>
            <w:tcW w:w="996" w:type="dxa"/>
            <w:tcBorders>
              <w:top w:val="single" w:color="auto" w:sz="4" w:space="0"/>
              <w:left w:val="single" w:color="auto" w:sz="4" w:space="0"/>
              <w:right w:val="single" w:color="auto" w:sz="4" w:space="0"/>
            </w:tcBorders>
            <w:vAlign w:val="center"/>
          </w:tcPr>
          <w:p w14:paraId="57B85844">
            <w:pPr>
              <w:spacing w:line="400" w:lineRule="exact"/>
              <w:jc w:val="center"/>
              <w:rPr>
                <w:rFonts w:ascii="宋体"/>
                <w:bCs/>
                <w:sz w:val="24"/>
              </w:rPr>
            </w:pPr>
          </w:p>
        </w:tc>
        <w:tc>
          <w:tcPr>
            <w:tcW w:w="2860" w:type="dxa"/>
            <w:tcBorders>
              <w:top w:val="single" w:color="auto" w:sz="4" w:space="0"/>
              <w:left w:val="single" w:color="auto" w:sz="4" w:space="0"/>
            </w:tcBorders>
            <w:vAlign w:val="center"/>
          </w:tcPr>
          <w:p w14:paraId="25F0C1D3">
            <w:pPr>
              <w:spacing w:line="400" w:lineRule="exact"/>
              <w:jc w:val="center"/>
              <w:rPr>
                <w:rFonts w:ascii="宋体"/>
                <w:bCs/>
                <w:sz w:val="24"/>
              </w:rPr>
            </w:pPr>
            <w:r>
              <w:rPr>
                <w:rFonts w:hint="eastAsia" w:ascii="宋体" w:hAnsi="宋体"/>
                <w:bCs/>
                <w:sz w:val="24"/>
              </w:rPr>
              <w:t>详见资信商务及技术文件第几页</w:t>
            </w:r>
          </w:p>
        </w:tc>
      </w:tr>
      <w:tr w14:paraId="6F25B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14:paraId="3B7308EF">
            <w:pPr>
              <w:spacing w:line="400" w:lineRule="exact"/>
              <w:rPr>
                <w:rFonts w:ascii="宋体"/>
                <w:sz w:val="24"/>
              </w:rPr>
            </w:pPr>
            <w:r>
              <w:rPr>
                <w:rFonts w:ascii="宋体" w:hAnsi="宋体"/>
                <w:sz w:val="24"/>
              </w:rPr>
              <w:t>2</w:t>
            </w:r>
          </w:p>
        </w:tc>
        <w:tc>
          <w:tcPr>
            <w:tcW w:w="1769" w:type="dxa"/>
            <w:tcBorders>
              <w:top w:val="single" w:color="auto" w:sz="4" w:space="0"/>
              <w:left w:val="single" w:color="auto" w:sz="4" w:space="0"/>
              <w:bottom w:val="single" w:color="auto" w:sz="4" w:space="0"/>
              <w:right w:val="single" w:color="auto" w:sz="4" w:space="0"/>
            </w:tcBorders>
            <w:vAlign w:val="center"/>
          </w:tcPr>
          <w:p w14:paraId="2FBE8BB9">
            <w:pPr>
              <w:spacing w:line="400" w:lineRule="exact"/>
              <w:rPr>
                <w:rFonts w:ascii="宋体"/>
                <w:sz w:val="24"/>
              </w:rPr>
            </w:pPr>
          </w:p>
        </w:tc>
        <w:tc>
          <w:tcPr>
            <w:tcW w:w="2673" w:type="dxa"/>
            <w:tcBorders>
              <w:top w:val="single" w:color="auto" w:sz="4" w:space="0"/>
              <w:left w:val="single" w:color="auto" w:sz="4" w:space="0"/>
              <w:right w:val="single" w:color="auto" w:sz="4" w:space="0"/>
            </w:tcBorders>
            <w:vAlign w:val="center"/>
          </w:tcPr>
          <w:p w14:paraId="5770A32E">
            <w:pPr>
              <w:spacing w:line="400" w:lineRule="exact"/>
              <w:rPr>
                <w:rFonts w:ascii="宋体" w:cs="宋体"/>
                <w:sz w:val="24"/>
              </w:rPr>
            </w:pPr>
          </w:p>
        </w:tc>
        <w:tc>
          <w:tcPr>
            <w:tcW w:w="996" w:type="dxa"/>
            <w:tcBorders>
              <w:top w:val="single" w:color="auto" w:sz="4" w:space="0"/>
              <w:left w:val="single" w:color="auto" w:sz="4" w:space="0"/>
              <w:right w:val="single" w:color="auto" w:sz="4" w:space="0"/>
            </w:tcBorders>
            <w:vAlign w:val="center"/>
          </w:tcPr>
          <w:p w14:paraId="72AB96D0">
            <w:pPr>
              <w:spacing w:line="400" w:lineRule="exact"/>
              <w:jc w:val="center"/>
              <w:rPr>
                <w:rFonts w:ascii="宋体"/>
                <w:bCs/>
                <w:sz w:val="24"/>
              </w:rPr>
            </w:pPr>
          </w:p>
        </w:tc>
        <w:tc>
          <w:tcPr>
            <w:tcW w:w="2860" w:type="dxa"/>
            <w:tcBorders>
              <w:top w:val="single" w:color="auto" w:sz="4" w:space="0"/>
              <w:left w:val="single" w:color="auto" w:sz="4" w:space="0"/>
            </w:tcBorders>
            <w:vAlign w:val="center"/>
          </w:tcPr>
          <w:p w14:paraId="1FEBC73A">
            <w:pPr>
              <w:spacing w:line="400" w:lineRule="exact"/>
              <w:jc w:val="center"/>
              <w:rPr>
                <w:rFonts w:ascii="宋体"/>
                <w:bCs/>
                <w:sz w:val="24"/>
              </w:rPr>
            </w:pPr>
            <w:r>
              <w:rPr>
                <w:rFonts w:hint="eastAsia" w:ascii="宋体" w:hAnsi="宋体"/>
                <w:bCs/>
                <w:sz w:val="24"/>
              </w:rPr>
              <w:t>……</w:t>
            </w:r>
          </w:p>
        </w:tc>
      </w:tr>
      <w:tr w14:paraId="32636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14:paraId="754D44ED">
            <w:pPr>
              <w:spacing w:line="400" w:lineRule="exact"/>
              <w:rPr>
                <w:rFonts w:ascii="宋体"/>
                <w:sz w:val="24"/>
              </w:rPr>
            </w:pPr>
            <w:r>
              <w:rPr>
                <w:rFonts w:hint="eastAsia" w:ascii="宋体" w:hAnsi="宋体"/>
                <w:sz w:val="24"/>
              </w:rPr>
              <w:t>……</w:t>
            </w:r>
          </w:p>
        </w:tc>
        <w:tc>
          <w:tcPr>
            <w:tcW w:w="1769" w:type="dxa"/>
            <w:tcBorders>
              <w:left w:val="single" w:color="auto" w:sz="4" w:space="0"/>
              <w:bottom w:val="single" w:color="auto" w:sz="4" w:space="0"/>
              <w:right w:val="single" w:color="auto" w:sz="4" w:space="0"/>
            </w:tcBorders>
            <w:vAlign w:val="center"/>
          </w:tcPr>
          <w:p w14:paraId="47DD248B">
            <w:pPr>
              <w:spacing w:line="400" w:lineRule="exact"/>
              <w:rPr>
                <w:rFonts w:ascii="宋体" w:cs="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09A8AE3E">
            <w:pPr>
              <w:spacing w:line="400" w:lineRule="exact"/>
              <w:ind w:left="54" w:leftChars="26"/>
              <w:rPr>
                <w:rFonts w:ascii="宋体" w:cs="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62739B49">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14:paraId="49E9E4C7">
            <w:pPr>
              <w:spacing w:line="400" w:lineRule="exact"/>
              <w:jc w:val="center"/>
              <w:rPr>
                <w:rFonts w:ascii="宋体"/>
                <w:bCs/>
                <w:sz w:val="24"/>
              </w:rPr>
            </w:pPr>
          </w:p>
        </w:tc>
      </w:tr>
      <w:tr w14:paraId="4BC25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14:paraId="31772D70">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648BEFF4">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00EF6DC6">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052F75EA">
            <w:pPr>
              <w:pStyle w:val="39"/>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14:paraId="125534E9">
            <w:pPr>
              <w:spacing w:line="400" w:lineRule="exact"/>
              <w:jc w:val="center"/>
              <w:rPr>
                <w:rFonts w:ascii="宋体"/>
                <w:bCs/>
                <w:sz w:val="24"/>
              </w:rPr>
            </w:pPr>
          </w:p>
        </w:tc>
      </w:tr>
      <w:tr w14:paraId="3CF5A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60E674B4">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49445718">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15B797B7">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05878BC4">
            <w:pPr>
              <w:pStyle w:val="39"/>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14:paraId="69ECCCFB">
            <w:pPr>
              <w:pStyle w:val="39"/>
              <w:spacing w:line="400" w:lineRule="exact"/>
              <w:ind w:left="480"/>
              <w:jc w:val="both"/>
              <w:rPr>
                <w:rFonts w:ascii="宋体" w:eastAsia="宋体"/>
                <w:color w:val="auto"/>
                <w:szCs w:val="24"/>
              </w:rPr>
            </w:pPr>
          </w:p>
        </w:tc>
      </w:tr>
      <w:tr w14:paraId="1AE8E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5C294C13">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6DD3AE9C">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4B70478B">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453E52FD">
            <w:pPr>
              <w:pStyle w:val="39"/>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14:paraId="19C95B37">
            <w:pPr>
              <w:pStyle w:val="39"/>
              <w:spacing w:line="400" w:lineRule="exact"/>
              <w:ind w:left="480"/>
              <w:jc w:val="center"/>
              <w:rPr>
                <w:rFonts w:ascii="宋体" w:eastAsia="宋体"/>
                <w:color w:val="auto"/>
                <w:szCs w:val="24"/>
              </w:rPr>
            </w:pPr>
          </w:p>
        </w:tc>
      </w:tr>
      <w:tr w14:paraId="348B7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bottom w:val="single" w:color="auto" w:sz="4" w:space="0"/>
              <w:right w:val="single" w:color="auto" w:sz="4" w:space="0"/>
            </w:tcBorders>
            <w:vAlign w:val="center"/>
          </w:tcPr>
          <w:p w14:paraId="5CFBDB1B">
            <w:pPr>
              <w:spacing w:line="400" w:lineRule="exact"/>
              <w:rPr>
                <w:rFonts w:ascii="宋体"/>
                <w:sz w:val="24"/>
              </w:rPr>
            </w:pPr>
          </w:p>
        </w:tc>
        <w:tc>
          <w:tcPr>
            <w:tcW w:w="1769" w:type="dxa"/>
            <w:tcBorders>
              <w:left w:val="single" w:color="auto" w:sz="4" w:space="0"/>
              <w:bottom w:val="single" w:color="auto" w:sz="4" w:space="0"/>
              <w:right w:val="single" w:color="auto" w:sz="4" w:space="0"/>
            </w:tcBorders>
            <w:vAlign w:val="center"/>
          </w:tcPr>
          <w:p w14:paraId="5792431A">
            <w:pPr>
              <w:spacing w:line="400" w:lineRule="exact"/>
              <w:rPr>
                <w:rFonts w:ascii="宋体"/>
                <w:b/>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35EF9EFF">
            <w:pPr>
              <w:pStyle w:val="39"/>
              <w:spacing w:line="400" w:lineRule="exact"/>
              <w:ind w:left="480"/>
              <w:jc w:val="both"/>
              <w:rPr>
                <w:rFonts w:ascii="宋体" w:eastAsia="宋体"/>
                <w:color w:val="auto"/>
                <w:szCs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35F3E0EE">
            <w:pPr>
              <w:spacing w:line="400" w:lineRule="exact"/>
              <w:jc w:val="center"/>
              <w:rPr>
                <w:rFonts w:ascii="宋体"/>
                <w:b/>
                <w:sz w:val="24"/>
              </w:rPr>
            </w:pPr>
          </w:p>
        </w:tc>
        <w:tc>
          <w:tcPr>
            <w:tcW w:w="2860" w:type="dxa"/>
            <w:tcBorders>
              <w:top w:val="single" w:color="auto" w:sz="4" w:space="0"/>
              <w:left w:val="single" w:color="auto" w:sz="4" w:space="0"/>
              <w:bottom w:val="single" w:color="auto" w:sz="4" w:space="0"/>
            </w:tcBorders>
            <w:vAlign w:val="center"/>
          </w:tcPr>
          <w:p w14:paraId="01366FD5">
            <w:pPr>
              <w:spacing w:line="400" w:lineRule="exact"/>
              <w:jc w:val="center"/>
              <w:rPr>
                <w:rFonts w:ascii="宋体"/>
                <w:b/>
                <w:sz w:val="24"/>
              </w:rPr>
            </w:pPr>
          </w:p>
        </w:tc>
      </w:tr>
      <w:tr w14:paraId="3409D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bottom w:val="single" w:color="auto" w:sz="4" w:space="0"/>
              <w:right w:val="single" w:color="auto" w:sz="4" w:space="0"/>
            </w:tcBorders>
            <w:vAlign w:val="center"/>
          </w:tcPr>
          <w:p w14:paraId="59D21277">
            <w:pPr>
              <w:spacing w:line="400" w:lineRule="exact"/>
              <w:rPr>
                <w:rFonts w:ascii="宋体"/>
                <w:sz w:val="24"/>
              </w:rPr>
            </w:pPr>
          </w:p>
        </w:tc>
        <w:tc>
          <w:tcPr>
            <w:tcW w:w="1769" w:type="dxa"/>
            <w:tcBorders>
              <w:left w:val="single" w:color="auto" w:sz="4" w:space="0"/>
              <w:bottom w:val="single" w:color="auto" w:sz="4" w:space="0"/>
              <w:right w:val="single" w:color="auto" w:sz="4" w:space="0"/>
            </w:tcBorders>
            <w:vAlign w:val="center"/>
          </w:tcPr>
          <w:p w14:paraId="738B1A37">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37D29755">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24BF162E">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14:paraId="2435FF16">
            <w:pPr>
              <w:spacing w:line="400" w:lineRule="exact"/>
              <w:jc w:val="center"/>
              <w:rPr>
                <w:rFonts w:ascii="宋体"/>
                <w:bCs/>
                <w:sz w:val="24"/>
              </w:rPr>
            </w:pPr>
          </w:p>
        </w:tc>
      </w:tr>
      <w:tr w14:paraId="72B95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vAlign w:val="center"/>
          </w:tcPr>
          <w:p w14:paraId="28591815">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1F96B7FA">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3524510A">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18EA37E4">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14:paraId="27AF384C">
            <w:pPr>
              <w:spacing w:line="400" w:lineRule="exact"/>
              <w:jc w:val="center"/>
              <w:rPr>
                <w:rFonts w:ascii="宋体"/>
                <w:bCs/>
                <w:sz w:val="24"/>
              </w:rPr>
            </w:pPr>
          </w:p>
        </w:tc>
      </w:tr>
      <w:tr w14:paraId="353F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vAlign w:val="center"/>
          </w:tcPr>
          <w:p w14:paraId="246D0691">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5DFB137E">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0AFA8BD9">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3CCFE7BF">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14:paraId="7F1031B6">
            <w:pPr>
              <w:spacing w:line="400" w:lineRule="exact"/>
              <w:jc w:val="center"/>
              <w:rPr>
                <w:rFonts w:ascii="宋体"/>
                <w:bCs/>
                <w:sz w:val="24"/>
              </w:rPr>
            </w:pPr>
          </w:p>
        </w:tc>
      </w:tr>
    </w:tbl>
    <w:p w14:paraId="7FB43717">
      <w:pPr>
        <w:snapToGrid w:val="0"/>
        <w:spacing w:before="50" w:after="50" w:line="400" w:lineRule="exact"/>
        <w:rPr>
          <w:rFonts w:ascii="宋体"/>
          <w:sz w:val="24"/>
        </w:rPr>
      </w:pPr>
      <w:r>
        <w:rPr>
          <w:rFonts w:hint="eastAsia" w:ascii="宋体" w:hAnsi="宋体"/>
          <w:sz w:val="24"/>
        </w:rPr>
        <w:t>注：</w:t>
      </w:r>
      <w:r>
        <w:rPr>
          <w:rFonts w:hint="eastAsia" w:ascii="宋体" w:hAnsi="宋体" w:cs="宋体"/>
          <w:sz w:val="24"/>
        </w:rPr>
        <w:t>磋商响应方根据所</w:t>
      </w:r>
      <w:r>
        <w:rPr>
          <w:rFonts w:hint="eastAsia" w:hAnsi="宋体"/>
          <w:sz w:val="24"/>
        </w:rPr>
        <w:t>磋商</w:t>
      </w:r>
      <w:r>
        <w:rPr>
          <w:rFonts w:hint="eastAsia" w:ascii="宋体" w:hAnsi="宋体" w:cs="宋体"/>
          <w:sz w:val="24"/>
        </w:rPr>
        <w:t>项的评分表内容，按此格式提供并置于资信商务及技术文件第</w:t>
      </w:r>
      <w:r>
        <w:rPr>
          <w:rFonts w:ascii="宋体" w:hAnsi="宋体" w:cs="宋体"/>
          <w:sz w:val="24"/>
        </w:rPr>
        <w:t>1</w:t>
      </w:r>
      <w:r>
        <w:rPr>
          <w:rFonts w:hint="eastAsia" w:ascii="宋体" w:hAnsi="宋体" w:cs="宋体"/>
          <w:sz w:val="24"/>
        </w:rPr>
        <w:t>页。</w:t>
      </w:r>
    </w:p>
    <w:p w14:paraId="28F5C01E">
      <w:pPr>
        <w:rPr>
          <w:rFonts w:ascii="宋体" w:hAnsi="宋体" w:cs="宋体"/>
          <w:b/>
          <w:bCs/>
          <w:sz w:val="24"/>
        </w:rPr>
      </w:pPr>
      <w:r>
        <w:rPr>
          <w:rFonts w:hint="eastAsia" w:ascii="宋体" w:hAnsi="宋体" w:cs="宋体"/>
          <w:b/>
          <w:bCs/>
          <w:sz w:val="24"/>
        </w:rPr>
        <w:br w:type="page"/>
      </w:r>
    </w:p>
    <w:p w14:paraId="17F24E40">
      <w:pPr>
        <w:snapToGrid w:val="0"/>
        <w:spacing w:before="50" w:after="156" w:afterLines="50" w:line="360" w:lineRule="auto"/>
        <w:jc w:val="left"/>
        <w:outlineLvl w:val="2"/>
        <w:rPr>
          <w:rFonts w:ascii="宋体"/>
          <w:b/>
          <w:sz w:val="24"/>
        </w:rPr>
      </w:pPr>
      <w:r>
        <w:rPr>
          <w:rFonts w:hint="eastAsia" w:ascii="宋体" w:hAnsi="宋体" w:cs="宋体"/>
          <w:b/>
          <w:bCs/>
          <w:sz w:val="24"/>
        </w:rPr>
        <w:t>2.4：</w:t>
      </w:r>
      <w:r>
        <w:rPr>
          <w:rFonts w:hint="eastAsia" w:ascii="宋体" w:hAnsi="宋体"/>
          <w:b/>
          <w:sz w:val="24"/>
        </w:rPr>
        <w:t>磋商响应书格式：</w:t>
      </w:r>
    </w:p>
    <w:p w14:paraId="1D578785">
      <w:pPr>
        <w:snapToGrid w:val="0"/>
        <w:spacing w:before="50" w:after="156" w:afterLines="50" w:line="360" w:lineRule="auto"/>
        <w:jc w:val="center"/>
        <w:outlineLvl w:val="2"/>
        <w:rPr>
          <w:rFonts w:ascii="宋体" w:hAnsi="宋体"/>
          <w:b/>
          <w:sz w:val="24"/>
        </w:rPr>
      </w:pPr>
      <w:r>
        <w:rPr>
          <w:rFonts w:hint="eastAsia" w:ascii="宋体" w:hAnsi="宋体"/>
          <w:b/>
          <w:sz w:val="24"/>
        </w:rPr>
        <w:t>磋商响应书</w:t>
      </w:r>
    </w:p>
    <w:p w14:paraId="696B83B9">
      <w:pPr>
        <w:spacing w:line="360" w:lineRule="auto"/>
        <w:ind w:firstLine="480" w:firstLineChars="200"/>
        <w:rPr>
          <w:sz w:val="24"/>
        </w:rPr>
      </w:pPr>
      <w:r>
        <w:rPr>
          <w:rFonts w:hAnsi="宋体"/>
          <w:sz w:val="24"/>
        </w:rPr>
        <w:t>致</w:t>
      </w:r>
      <w:r>
        <w:rPr>
          <w:rFonts w:hint="eastAsia" w:hAnsi="宋体"/>
          <w:sz w:val="24"/>
        </w:rPr>
        <w:t>：</w:t>
      </w:r>
      <w:r>
        <w:rPr>
          <w:rFonts w:hint="eastAsia" w:ascii="宋体" w:hAnsi="宋体" w:cs="宋体"/>
          <w:sz w:val="24"/>
          <w:u w:val="single"/>
          <w:lang w:eastAsia="zh-CN"/>
        </w:rPr>
        <w:t>浙江省房地产管理咨询有限公司</w:t>
      </w:r>
      <w:r>
        <w:rPr>
          <w:rFonts w:hint="eastAsia" w:ascii="宋体" w:hAnsi="宋体" w:cs="宋体"/>
          <w:sz w:val="24"/>
          <w:u w:val="single"/>
        </w:rPr>
        <w:t>：</w:t>
      </w:r>
    </w:p>
    <w:p w14:paraId="0566F4A5">
      <w:pPr>
        <w:spacing w:line="360" w:lineRule="auto"/>
        <w:ind w:firstLine="480" w:firstLineChars="200"/>
        <w:rPr>
          <w:sz w:val="24"/>
        </w:rPr>
      </w:pPr>
      <w:r>
        <w:rPr>
          <w:rFonts w:hint="eastAsia" w:hAnsi="宋体"/>
          <w:sz w:val="24"/>
          <w:u w:val="single"/>
        </w:rPr>
        <w:t xml:space="preserve"> 磋商响应方  </w:t>
      </w:r>
      <w:r>
        <w:rPr>
          <w:rFonts w:hAnsi="宋体"/>
          <w:sz w:val="24"/>
        </w:rPr>
        <w:t>授权</w:t>
      </w:r>
      <w:r>
        <w:rPr>
          <w:rFonts w:hint="eastAsia" w:hAnsi="宋体"/>
          <w:sz w:val="24"/>
          <w:u w:val="single"/>
        </w:rPr>
        <w:t xml:space="preserve">       </w:t>
      </w:r>
      <w:r>
        <w:rPr>
          <w:rFonts w:hAnsi="宋体"/>
          <w:sz w:val="24"/>
        </w:rPr>
        <w:t>为全权代表，参加贵方组织的</w:t>
      </w:r>
      <w:r>
        <w:rPr>
          <w:rFonts w:hint="eastAsia" w:ascii="宋体" w:hAnsi="宋体"/>
          <w:bCs/>
          <w:sz w:val="24"/>
          <w:u w:val="single"/>
        </w:rPr>
        <w:t>“新鲜水果进校园，助力学生健康成长”服务采购项目</w:t>
      </w:r>
      <w:r>
        <w:rPr>
          <w:rFonts w:hAnsi="宋体"/>
          <w:sz w:val="24"/>
        </w:rPr>
        <w:t>（编号</w:t>
      </w:r>
      <w:r>
        <w:rPr>
          <w:rFonts w:hint="eastAsia" w:hAnsi="宋体"/>
          <w:sz w:val="24"/>
          <w:lang w:eastAsia="zh-CN"/>
        </w:rPr>
        <w:t>：</w:t>
      </w:r>
      <w:r>
        <w:rPr>
          <w:rFonts w:hint="eastAsia" w:hAnsi="宋体"/>
          <w:sz w:val="24"/>
          <w:u w:val="single"/>
        </w:rPr>
        <w:t>浙房东招2024002号</w:t>
      </w:r>
      <w:r>
        <w:rPr>
          <w:rFonts w:hAnsi="宋体"/>
          <w:sz w:val="24"/>
        </w:rPr>
        <w:t>）采购有关活动，并进行竞争性</w:t>
      </w:r>
      <w:r>
        <w:rPr>
          <w:rFonts w:hint="eastAsia" w:hAnsi="宋体"/>
          <w:sz w:val="24"/>
        </w:rPr>
        <w:t>磋商</w:t>
      </w:r>
      <w:r>
        <w:rPr>
          <w:rFonts w:hAnsi="宋体"/>
          <w:sz w:val="24"/>
        </w:rPr>
        <w:t>。为此：</w:t>
      </w:r>
    </w:p>
    <w:p w14:paraId="49ED7A86">
      <w:pPr>
        <w:spacing w:line="360" w:lineRule="auto"/>
        <w:ind w:firstLine="480" w:firstLineChars="200"/>
        <w:jc w:val="left"/>
        <w:rPr>
          <w:rFonts w:ascii="宋体" w:hAnsi="宋体" w:cs="宋体"/>
          <w:sz w:val="24"/>
        </w:rPr>
      </w:pPr>
      <w:r>
        <w:rPr>
          <w:rFonts w:hint="eastAsia" w:ascii="宋体" w:hAnsi="宋体" w:cs="宋体"/>
          <w:sz w:val="24"/>
        </w:rPr>
        <w:t>1、提供磋商须知规定的全部磋商响应文件。</w:t>
      </w:r>
    </w:p>
    <w:p w14:paraId="3151438E">
      <w:pPr>
        <w:spacing w:line="360" w:lineRule="auto"/>
        <w:ind w:firstLine="480" w:firstLineChars="200"/>
        <w:jc w:val="left"/>
        <w:rPr>
          <w:rFonts w:ascii="宋体" w:hAnsi="宋体" w:cs="宋体"/>
          <w:sz w:val="24"/>
        </w:rPr>
      </w:pPr>
      <w:r>
        <w:rPr>
          <w:rFonts w:hint="eastAsia" w:ascii="宋体" w:hAnsi="宋体" w:cs="宋体"/>
          <w:sz w:val="24"/>
        </w:rPr>
        <w:t>2、所附初次报价表中规定的应提供和支付的总价。</w:t>
      </w:r>
    </w:p>
    <w:p w14:paraId="02CEE1F4">
      <w:pPr>
        <w:spacing w:line="360" w:lineRule="auto"/>
        <w:ind w:firstLine="480" w:firstLineChars="200"/>
        <w:jc w:val="left"/>
        <w:rPr>
          <w:rFonts w:ascii="宋体" w:hAnsi="宋体" w:cs="宋体"/>
          <w:sz w:val="24"/>
        </w:rPr>
      </w:pPr>
      <w:r>
        <w:rPr>
          <w:rFonts w:hint="eastAsia" w:ascii="宋体" w:hAnsi="宋体" w:cs="宋体"/>
          <w:sz w:val="24"/>
        </w:rPr>
        <w:t>3、我方已详细审查全部磋商文件，同意竞争性磋商须知的各项要求。</w:t>
      </w:r>
    </w:p>
    <w:p w14:paraId="19503C85">
      <w:pPr>
        <w:spacing w:line="360" w:lineRule="auto"/>
        <w:ind w:firstLine="480" w:firstLineChars="200"/>
        <w:jc w:val="left"/>
        <w:rPr>
          <w:rFonts w:ascii="宋体" w:hAnsi="宋体" w:cs="宋体"/>
          <w:sz w:val="24"/>
        </w:rPr>
      </w:pPr>
      <w:r>
        <w:rPr>
          <w:rFonts w:hint="eastAsia" w:ascii="宋体" w:hAnsi="宋体" w:cs="宋体"/>
          <w:sz w:val="24"/>
        </w:rPr>
        <w:t>4、若中标，我方将按磋商文件规定履行合同责任和义务。</w:t>
      </w:r>
    </w:p>
    <w:p w14:paraId="60857C04">
      <w:pPr>
        <w:spacing w:line="360" w:lineRule="auto"/>
        <w:ind w:firstLine="480" w:firstLineChars="200"/>
        <w:jc w:val="left"/>
        <w:rPr>
          <w:rFonts w:ascii="宋体" w:hAnsi="宋体" w:cs="宋体"/>
          <w:sz w:val="24"/>
        </w:rPr>
      </w:pPr>
      <w:r>
        <w:rPr>
          <w:rFonts w:hint="eastAsia" w:ascii="宋体" w:hAnsi="宋体" w:cs="宋体"/>
          <w:sz w:val="24"/>
        </w:rPr>
        <w:t>5、磋商响应文件自磋商当日起有效期为</w:t>
      </w:r>
      <w:r>
        <w:rPr>
          <w:rFonts w:hint="eastAsia" w:ascii="宋体" w:hAnsi="宋体" w:cs="宋体"/>
          <w:sz w:val="24"/>
          <w:u w:val="single"/>
        </w:rPr>
        <w:t xml:space="preserve">  60  </w:t>
      </w:r>
      <w:r>
        <w:rPr>
          <w:rFonts w:hint="eastAsia" w:ascii="宋体" w:hAnsi="宋体" w:cs="宋体"/>
          <w:sz w:val="24"/>
        </w:rPr>
        <w:t>天。</w:t>
      </w:r>
    </w:p>
    <w:p w14:paraId="36BE919C">
      <w:pPr>
        <w:spacing w:line="360" w:lineRule="auto"/>
        <w:ind w:firstLine="480" w:firstLineChars="200"/>
        <w:rPr>
          <w:rFonts w:ascii="宋体" w:hAnsi="宋体" w:cs="宋体"/>
          <w:sz w:val="24"/>
        </w:rPr>
      </w:pPr>
      <w:r>
        <w:rPr>
          <w:rFonts w:hint="eastAsia" w:ascii="宋体" w:hAnsi="宋体" w:cs="宋体"/>
          <w:sz w:val="24"/>
        </w:rPr>
        <w:t>6、如果在规定的磋商截止时间后，我方在磋商有效期内撤回</w:t>
      </w:r>
      <w:r>
        <w:rPr>
          <w:rFonts w:hint="eastAsia" w:hAnsi="宋体"/>
          <w:sz w:val="24"/>
        </w:rPr>
        <w:t>磋商响应</w:t>
      </w:r>
      <w:r>
        <w:rPr>
          <w:rFonts w:hint="eastAsia" w:ascii="宋体" w:hAnsi="宋体" w:cs="宋体"/>
          <w:sz w:val="24"/>
        </w:rPr>
        <w:t>或放弃中标，保证金将被贵方没收。</w:t>
      </w:r>
    </w:p>
    <w:p w14:paraId="1C332ECE">
      <w:pPr>
        <w:spacing w:line="360" w:lineRule="auto"/>
        <w:ind w:firstLine="480" w:firstLineChars="200"/>
        <w:jc w:val="left"/>
        <w:rPr>
          <w:rFonts w:ascii="宋体" w:hAnsi="宋体" w:cs="宋体"/>
          <w:sz w:val="24"/>
        </w:rPr>
      </w:pPr>
      <w:r>
        <w:rPr>
          <w:rFonts w:hint="eastAsia" w:ascii="宋体" w:hAnsi="宋体" w:cs="宋体"/>
          <w:sz w:val="24"/>
        </w:rPr>
        <w:t>7、我方同意提供按照贵方可能要求的与其磋商有关的一切数据或资料，并保证其真实性、合法性。</w:t>
      </w:r>
    </w:p>
    <w:p w14:paraId="697C5ABF">
      <w:pPr>
        <w:spacing w:line="360" w:lineRule="auto"/>
        <w:ind w:firstLine="480" w:firstLineChars="200"/>
        <w:jc w:val="left"/>
        <w:rPr>
          <w:sz w:val="24"/>
        </w:rPr>
      </w:pPr>
      <w:r>
        <w:rPr>
          <w:rFonts w:hint="eastAsia" w:ascii="宋体" w:hAnsi="宋体" w:cs="宋体"/>
          <w:sz w:val="24"/>
        </w:rPr>
        <w:t>8、我方与本磋商有关的一切正式来往通讯请寄：</w:t>
      </w:r>
    </w:p>
    <w:p w14:paraId="7F4FFBEB">
      <w:pPr>
        <w:spacing w:line="360" w:lineRule="auto"/>
        <w:ind w:left="540" w:firstLine="30"/>
        <w:jc w:val="left"/>
        <w:rPr>
          <w:sz w:val="24"/>
        </w:rPr>
      </w:pPr>
    </w:p>
    <w:p w14:paraId="55D76C8A">
      <w:pPr>
        <w:spacing w:line="360" w:lineRule="auto"/>
        <w:ind w:left="540" w:firstLine="30"/>
        <w:jc w:val="left"/>
        <w:rPr>
          <w:sz w:val="24"/>
        </w:rPr>
      </w:pPr>
      <w:r>
        <w:rPr>
          <w:rFonts w:hAnsi="宋体"/>
          <w:sz w:val="24"/>
        </w:rPr>
        <w:t>地址：</w:t>
      </w:r>
      <w:r>
        <w:rPr>
          <w:rFonts w:hint="eastAsia" w:hAnsi="宋体"/>
          <w:sz w:val="24"/>
        </w:rPr>
        <w:t xml:space="preserve">                     </w:t>
      </w:r>
      <w:r>
        <w:rPr>
          <w:rFonts w:hAnsi="宋体"/>
          <w:sz w:val="24"/>
        </w:rPr>
        <w:t>邮编：</w:t>
      </w:r>
    </w:p>
    <w:p w14:paraId="39690E65">
      <w:pPr>
        <w:spacing w:line="360" w:lineRule="auto"/>
        <w:ind w:left="540" w:firstLine="30"/>
        <w:jc w:val="left"/>
        <w:rPr>
          <w:sz w:val="24"/>
        </w:rPr>
      </w:pPr>
      <w:r>
        <w:rPr>
          <w:rFonts w:hAnsi="宋体"/>
          <w:sz w:val="24"/>
        </w:rPr>
        <w:t>电话：</w:t>
      </w:r>
      <w:r>
        <w:rPr>
          <w:rFonts w:hint="eastAsia" w:hAnsi="宋体"/>
          <w:sz w:val="24"/>
        </w:rPr>
        <w:t xml:space="preserve">                     </w:t>
      </w:r>
      <w:r>
        <w:rPr>
          <w:rFonts w:hAnsi="宋体"/>
          <w:sz w:val="24"/>
        </w:rPr>
        <w:t>传真：</w:t>
      </w:r>
    </w:p>
    <w:p w14:paraId="3FAA0BF4">
      <w:pPr>
        <w:spacing w:line="360" w:lineRule="auto"/>
        <w:ind w:left="540" w:firstLine="30"/>
        <w:jc w:val="left"/>
        <w:rPr>
          <w:sz w:val="24"/>
        </w:rPr>
      </w:pPr>
    </w:p>
    <w:p w14:paraId="70D2B03D">
      <w:pPr>
        <w:spacing w:line="360" w:lineRule="auto"/>
        <w:ind w:left="539" w:leftChars="257" w:firstLine="148" w:firstLineChars="62"/>
        <w:jc w:val="left"/>
        <w:rPr>
          <w:rFonts w:hAnsi="宋体"/>
          <w:sz w:val="24"/>
        </w:rPr>
      </w:pPr>
      <w:r>
        <w:rPr>
          <w:rFonts w:hint="eastAsia" w:hAnsi="宋体"/>
          <w:sz w:val="24"/>
        </w:rPr>
        <w:t>磋商</w:t>
      </w:r>
      <w:r>
        <w:rPr>
          <w:rFonts w:hAnsi="宋体"/>
          <w:sz w:val="24"/>
        </w:rPr>
        <w:t>响应方名称：（公章）</w:t>
      </w:r>
    </w:p>
    <w:p w14:paraId="25D9F4EC">
      <w:pPr>
        <w:spacing w:line="360" w:lineRule="auto"/>
        <w:ind w:left="539" w:leftChars="257" w:firstLine="148" w:firstLineChars="62"/>
        <w:jc w:val="left"/>
        <w:rPr>
          <w:sz w:val="24"/>
        </w:rPr>
      </w:pPr>
      <w:r>
        <w:rPr>
          <w:rFonts w:hAnsi="宋体"/>
          <w:sz w:val="24"/>
        </w:rPr>
        <w:t>全权代表签字：</w:t>
      </w:r>
    </w:p>
    <w:p w14:paraId="7C2CE1EB">
      <w:pPr>
        <w:spacing w:line="360" w:lineRule="auto"/>
        <w:ind w:left="539" w:leftChars="257" w:firstLine="148" w:firstLineChars="62"/>
        <w:jc w:val="left"/>
        <w:rPr>
          <w:rFonts w:hAnsi="宋体"/>
          <w:sz w:val="24"/>
        </w:rPr>
      </w:pPr>
      <w:r>
        <w:rPr>
          <w:rFonts w:hint="eastAsia" w:hAnsi="宋体"/>
          <w:sz w:val="24"/>
        </w:rPr>
        <w:t>磋商</w:t>
      </w:r>
      <w:r>
        <w:rPr>
          <w:rFonts w:hAnsi="宋体"/>
          <w:sz w:val="24"/>
        </w:rPr>
        <w:t>响应文件递交日期：年月日</w:t>
      </w:r>
    </w:p>
    <w:p w14:paraId="73C4730B">
      <w:pPr>
        <w:snapToGrid w:val="0"/>
        <w:spacing w:before="50" w:after="156" w:afterLines="50" w:line="360" w:lineRule="auto"/>
        <w:jc w:val="left"/>
        <w:outlineLvl w:val="2"/>
        <w:rPr>
          <w:rFonts w:ascii="宋体"/>
          <w:sz w:val="24"/>
        </w:rPr>
      </w:pPr>
      <w:r>
        <w:rPr>
          <w:rFonts w:ascii="宋体"/>
          <w:sz w:val="24"/>
        </w:rPr>
        <w:br w:type="page"/>
      </w:r>
      <w:r>
        <w:rPr>
          <w:rFonts w:hint="eastAsia" w:ascii="宋体" w:hAnsi="宋体" w:cs="宋体"/>
          <w:b/>
          <w:bCs/>
          <w:sz w:val="24"/>
        </w:rPr>
        <w:t>2.5：</w:t>
      </w:r>
      <w:r>
        <w:rPr>
          <w:rFonts w:hint="eastAsia" w:ascii="宋体" w:hAnsi="宋体"/>
          <w:b/>
          <w:sz w:val="24"/>
        </w:rPr>
        <w:t>法定代表人授权委托书格式：</w:t>
      </w:r>
    </w:p>
    <w:p w14:paraId="2A751564">
      <w:pPr>
        <w:snapToGrid w:val="0"/>
        <w:spacing w:before="156" w:beforeLines="50" w:after="50" w:line="360" w:lineRule="auto"/>
        <w:jc w:val="center"/>
        <w:rPr>
          <w:rFonts w:ascii="宋体"/>
          <w:b/>
          <w:sz w:val="24"/>
        </w:rPr>
      </w:pPr>
      <w:r>
        <w:rPr>
          <w:rFonts w:hint="eastAsia" w:ascii="宋体" w:hAnsi="宋体"/>
          <w:b/>
          <w:sz w:val="24"/>
        </w:rPr>
        <w:t>法定代表人授权委托书</w:t>
      </w:r>
    </w:p>
    <w:p w14:paraId="6F2AC3B1">
      <w:pPr>
        <w:snapToGrid w:val="0"/>
        <w:spacing w:before="156" w:beforeLines="50" w:after="50" w:line="360" w:lineRule="auto"/>
        <w:rPr>
          <w:rFonts w:ascii="宋体"/>
          <w:b/>
          <w:bCs/>
          <w:sz w:val="24"/>
        </w:rPr>
      </w:pPr>
      <w:r>
        <w:rPr>
          <w:rFonts w:hint="eastAsia" w:ascii="宋体" w:hAnsi="宋体"/>
          <w:bCs/>
          <w:sz w:val="24"/>
        </w:rPr>
        <w:t>致：</w:t>
      </w:r>
      <w:r>
        <w:rPr>
          <w:rFonts w:ascii="宋体" w:hAnsi="宋体"/>
          <w:sz w:val="24"/>
          <w:u w:val="single"/>
        </w:rPr>
        <w:t>_</w:t>
      </w:r>
      <w:r>
        <w:rPr>
          <w:rFonts w:hint="eastAsia" w:ascii="宋体" w:hAnsi="宋体"/>
          <w:sz w:val="24"/>
          <w:u w:val="single"/>
          <w:lang w:eastAsia="zh-CN"/>
        </w:rPr>
        <w:t>浙江省房地产管理咨询有限公司</w:t>
      </w:r>
      <w:r>
        <w:rPr>
          <w:rFonts w:ascii="宋体" w:hAnsi="宋体"/>
          <w:sz w:val="24"/>
          <w:u w:val="single"/>
        </w:rPr>
        <w:t>_</w:t>
      </w:r>
      <w:r>
        <w:rPr>
          <w:rFonts w:hint="eastAsia" w:ascii="宋体" w:hAnsi="宋体"/>
          <w:sz w:val="24"/>
        </w:rPr>
        <w:t>：</w:t>
      </w:r>
    </w:p>
    <w:p w14:paraId="28C8E3B6">
      <w:pPr>
        <w:spacing w:before="156" w:beforeLines="50" w:after="156" w:afterLines="50" w:line="360" w:lineRule="auto"/>
        <w:ind w:firstLine="480" w:firstLineChars="200"/>
        <w:rPr>
          <w:rFonts w:ascii="宋体"/>
          <w:sz w:val="24"/>
        </w:rPr>
      </w:pPr>
      <w:r>
        <w:rPr>
          <w:rFonts w:hint="eastAsia" w:ascii="宋体" w:hAnsi="宋体"/>
          <w:sz w:val="24"/>
        </w:rPr>
        <w:t>我</w:t>
      </w:r>
      <w:r>
        <w:rPr>
          <w:rFonts w:ascii="宋体" w:hAnsi="宋体"/>
          <w:sz w:val="24"/>
          <w:u w:val="single"/>
        </w:rPr>
        <w:t>____</w:t>
      </w:r>
      <w:r>
        <w:rPr>
          <w:rFonts w:hint="eastAsia" w:ascii="宋体" w:hAnsi="宋体"/>
          <w:sz w:val="24"/>
          <w:u w:val="single"/>
        </w:rPr>
        <w:t>（姓名）</w:t>
      </w:r>
      <w:r>
        <w:rPr>
          <w:rFonts w:hint="eastAsia" w:ascii="宋体" w:hAnsi="宋体"/>
          <w:sz w:val="24"/>
        </w:rPr>
        <w:t>系</w:t>
      </w:r>
      <w:r>
        <w:rPr>
          <w:rFonts w:ascii="宋体" w:hAnsi="宋体"/>
          <w:sz w:val="24"/>
        </w:rPr>
        <w:t>__</w:t>
      </w:r>
      <w:r>
        <w:rPr>
          <w:rFonts w:ascii="宋体" w:hAnsi="宋体"/>
          <w:sz w:val="24"/>
          <w:u w:val="single"/>
        </w:rPr>
        <w:t>______</w:t>
      </w:r>
      <w:r>
        <w:rPr>
          <w:rFonts w:hint="eastAsia" w:ascii="宋体" w:hAnsi="宋体"/>
          <w:sz w:val="24"/>
          <w:u w:val="single"/>
        </w:rPr>
        <w:t>（磋商响应方名称）</w:t>
      </w:r>
      <w:r>
        <w:rPr>
          <w:rFonts w:hint="eastAsia" w:ascii="宋体" w:hAnsi="宋体"/>
          <w:sz w:val="24"/>
        </w:rPr>
        <w:t>的法定代表人，现授权委托本单位在职职工</w:t>
      </w:r>
      <w:r>
        <w:rPr>
          <w:rFonts w:hint="eastAsia" w:ascii="宋体" w:hAnsi="宋体"/>
          <w:sz w:val="24"/>
          <w:u w:val="single"/>
        </w:rPr>
        <w:t>（姓名）</w:t>
      </w:r>
      <w:r>
        <w:rPr>
          <w:rFonts w:hint="eastAsia" w:ascii="宋体" w:hAnsi="宋体"/>
          <w:sz w:val="24"/>
        </w:rPr>
        <w:t>以我方的名义参加</w:t>
      </w:r>
      <w:r>
        <w:rPr>
          <w:rFonts w:hint="eastAsia" w:ascii="宋体" w:hAnsi="宋体" w:cs="Arial"/>
          <w:sz w:val="24"/>
          <w:u w:val="single"/>
        </w:rPr>
        <w:t>“新鲜水果进校园，助力学生健康成长”服务采购项目</w:t>
      </w:r>
      <w:r>
        <w:rPr>
          <w:rFonts w:hint="eastAsia" w:hAnsi="宋体" w:cs="宋体"/>
          <w:sz w:val="24"/>
        </w:rPr>
        <w:t>的</w:t>
      </w:r>
      <w:r>
        <w:rPr>
          <w:rFonts w:hint="eastAsia" w:ascii="宋体" w:hAnsi="宋体"/>
          <w:sz w:val="24"/>
        </w:rPr>
        <w:t>磋商活动，并代表我方全权办理针对上述项目的磋商、开标、评标、签约等具体事务和签署相关文件。</w:t>
      </w:r>
    </w:p>
    <w:p w14:paraId="150E1986">
      <w:pPr>
        <w:snapToGrid w:val="0"/>
        <w:spacing w:before="156" w:beforeLines="50" w:after="50" w:line="360" w:lineRule="auto"/>
        <w:ind w:firstLine="480" w:firstLineChars="200"/>
        <w:rPr>
          <w:rFonts w:ascii="宋体"/>
          <w:sz w:val="24"/>
        </w:rPr>
      </w:pPr>
      <w:r>
        <w:rPr>
          <w:rFonts w:hint="eastAsia" w:ascii="宋体" w:hAnsi="宋体"/>
          <w:sz w:val="24"/>
        </w:rPr>
        <w:t>我方对被授权人的签名事项负全部责任。</w:t>
      </w:r>
    </w:p>
    <w:p w14:paraId="120C348F">
      <w:pPr>
        <w:snapToGrid w:val="0"/>
        <w:spacing w:before="156" w:beforeLines="50" w:after="50" w:line="360" w:lineRule="auto"/>
        <w:ind w:firstLine="480"/>
        <w:rPr>
          <w:rFonts w:asci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ACB2A10">
      <w:pPr>
        <w:snapToGrid w:val="0"/>
        <w:spacing w:before="156" w:beforeLines="50" w:after="50" w:line="360" w:lineRule="auto"/>
        <w:ind w:firstLine="480"/>
        <w:rPr>
          <w:rFonts w:ascii="宋体"/>
          <w:sz w:val="24"/>
        </w:rPr>
      </w:pPr>
      <w:r>
        <w:rPr>
          <w:rFonts w:hint="eastAsia" w:ascii="宋体" w:hAnsi="宋体"/>
          <w:sz w:val="24"/>
        </w:rPr>
        <w:t>被授权人无转委托权，特此委托。</w:t>
      </w:r>
    </w:p>
    <w:p w14:paraId="67443CD5">
      <w:pPr>
        <w:snapToGrid w:val="0"/>
        <w:spacing w:before="156" w:beforeLines="50" w:after="50" w:line="360" w:lineRule="auto"/>
        <w:rPr>
          <w:rFonts w:ascii="宋体"/>
          <w:sz w:val="24"/>
          <w:u w:val="single"/>
        </w:rPr>
      </w:pPr>
      <w:r>
        <w:rPr>
          <w:rFonts w:hint="eastAsia" w:ascii="宋体" w:hAnsi="宋体"/>
          <w:sz w:val="24"/>
        </w:rPr>
        <w:t>被授权人签名：                              法定代表人签名：</w:t>
      </w:r>
    </w:p>
    <w:p w14:paraId="718C29D4">
      <w:pPr>
        <w:snapToGrid w:val="0"/>
        <w:spacing w:before="156" w:beforeLines="50" w:after="50" w:line="360" w:lineRule="auto"/>
        <w:rPr>
          <w:rFonts w:ascii="宋体"/>
          <w:sz w:val="24"/>
        </w:rPr>
      </w:pPr>
      <w:r>
        <w:rPr>
          <w:rFonts w:hint="eastAsia" w:ascii="宋体" w:hAnsi="宋体"/>
          <w:sz w:val="24"/>
        </w:rPr>
        <w:t>职务：                                      职务：</w:t>
      </w:r>
    </w:p>
    <w:p w14:paraId="2F5A92BD">
      <w:pPr>
        <w:snapToGrid w:val="0"/>
        <w:spacing w:before="156" w:beforeLines="50" w:after="50" w:line="360" w:lineRule="auto"/>
        <w:rPr>
          <w:rFonts w:ascii="宋体" w:hAnsi="宋体"/>
          <w:sz w:val="24"/>
        </w:rPr>
      </w:pPr>
      <w:r>
        <w:rPr>
          <w:rFonts w:hint="eastAsia" w:ascii="宋体" w:hAnsi="宋体"/>
          <w:sz w:val="24"/>
        </w:rPr>
        <w:t>联系电话：                                  联系电话：</w:t>
      </w:r>
    </w:p>
    <w:p w14:paraId="006A94D4">
      <w:pPr>
        <w:snapToGrid w:val="0"/>
        <w:spacing w:before="156" w:beforeLines="50" w:after="50" w:line="360" w:lineRule="auto"/>
        <w:rPr>
          <w:rFonts w:ascii="宋体"/>
          <w:sz w:val="24"/>
        </w:rPr>
      </w:pPr>
      <w:r>
        <w:rPr>
          <w:rFonts w:hint="eastAsia" w:ascii="宋体" w:hAnsi="宋体"/>
          <w:sz w:val="24"/>
        </w:rPr>
        <w:t>被授权人身份证复印件：</w:t>
      </w:r>
    </w:p>
    <w:p w14:paraId="2DEF47CA">
      <w:pPr>
        <w:snapToGrid w:val="0"/>
        <w:spacing w:before="156" w:beforeLines="50" w:after="50" w:line="360" w:lineRule="auto"/>
        <w:rPr>
          <w:rFonts w:ascii="宋体"/>
          <w:sz w:val="24"/>
        </w:rPr>
      </w:pPr>
    </w:p>
    <w:p w14:paraId="213F7F59">
      <w:pPr>
        <w:snapToGrid w:val="0"/>
        <w:spacing w:before="156" w:beforeLines="50" w:after="50" w:line="360" w:lineRule="auto"/>
        <w:rPr>
          <w:rFonts w:ascii="宋体"/>
          <w:sz w:val="24"/>
        </w:rPr>
      </w:pPr>
    </w:p>
    <w:p w14:paraId="5AAE0D70">
      <w:pPr>
        <w:snapToGrid w:val="0"/>
        <w:spacing w:before="156" w:beforeLines="50" w:after="50" w:line="360" w:lineRule="auto"/>
        <w:rPr>
          <w:rFonts w:ascii="宋体"/>
          <w:sz w:val="24"/>
        </w:rPr>
      </w:pPr>
    </w:p>
    <w:p w14:paraId="1ABE7D42">
      <w:pPr>
        <w:snapToGrid w:val="0"/>
        <w:spacing w:before="156" w:beforeLines="50" w:after="50" w:line="360" w:lineRule="auto"/>
        <w:rPr>
          <w:rFonts w:ascii="宋体"/>
          <w:sz w:val="24"/>
        </w:rPr>
      </w:pPr>
      <w:r>
        <w:rPr>
          <w:rFonts w:hint="eastAsia"/>
          <w:sz w:val="24"/>
        </w:rPr>
        <w:t>磋商响应</w:t>
      </w:r>
      <w:r>
        <w:rPr>
          <w:sz w:val="24"/>
        </w:rPr>
        <w:t>单位</w:t>
      </w:r>
      <w:r>
        <w:rPr>
          <w:rFonts w:hint="eastAsia" w:ascii="宋体" w:hAnsi="宋体"/>
          <w:sz w:val="24"/>
        </w:rPr>
        <w:t>公章：</w:t>
      </w:r>
    </w:p>
    <w:p w14:paraId="1E92D663">
      <w:pPr>
        <w:snapToGrid w:val="0"/>
        <w:spacing w:before="156" w:beforeLines="50" w:after="50" w:line="360" w:lineRule="auto"/>
        <w:jc w:val="center"/>
        <w:rPr>
          <w:rFonts w:ascii="宋体"/>
          <w:sz w:val="24"/>
        </w:rPr>
      </w:pPr>
    </w:p>
    <w:p w14:paraId="45766523">
      <w:pPr>
        <w:snapToGrid w:val="0"/>
        <w:spacing w:before="156" w:beforeLines="50" w:after="50" w:line="360" w:lineRule="auto"/>
        <w:jc w:val="center"/>
        <w:rPr>
          <w:rFonts w:ascii="宋体" w:hAnsi="宋体"/>
          <w:sz w:val="24"/>
        </w:rPr>
      </w:pPr>
      <w:r>
        <w:rPr>
          <w:rFonts w:hint="eastAsia" w:ascii="宋体" w:hAnsi="宋体"/>
          <w:sz w:val="24"/>
        </w:rPr>
        <w:t>年月日</w:t>
      </w:r>
    </w:p>
    <w:p w14:paraId="529D953F">
      <w:pPr>
        <w:snapToGrid w:val="0"/>
        <w:spacing w:before="156" w:beforeLines="50" w:after="50" w:line="360" w:lineRule="auto"/>
        <w:jc w:val="center"/>
        <w:rPr>
          <w:rFonts w:ascii="宋体" w:hAnsi="宋体"/>
          <w:sz w:val="24"/>
        </w:rPr>
      </w:pPr>
    </w:p>
    <w:p w14:paraId="79A3DAEF">
      <w:pPr>
        <w:snapToGrid w:val="0"/>
        <w:spacing w:before="156" w:beforeLines="50" w:after="50" w:line="360" w:lineRule="auto"/>
        <w:jc w:val="center"/>
        <w:rPr>
          <w:rFonts w:ascii="宋体" w:hAnsi="宋体"/>
          <w:sz w:val="24"/>
        </w:rPr>
      </w:pPr>
    </w:p>
    <w:p w14:paraId="19B2DB0D">
      <w:pPr>
        <w:rPr>
          <w:rFonts w:ascii="宋体" w:hAnsi="宋体" w:cs="宋体"/>
          <w:b/>
          <w:bCs/>
          <w:sz w:val="24"/>
        </w:rPr>
      </w:pPr>
      <w:r>
        <w:rPr>
          <w:rFonts w:hint="eastAsia" w:ascii="宋体" w:hAnsi="宋体" w:cs="宋体"/>
          <w:b/>
          <w:bCs/>
          <w:sz w:val="24"/>
        </w:rPr>
        <w:br w:type="page"/>
      </w:r>
    </w:p>
    <w:p w14:paraId="608D18FE">
      <w:pPr>
        <w:snapToGrid w:val="0"/>
        <w:spacing w:before="50" w:after="156" w:afterLines="50" w:line="360" w:lineRule="auto"/>
        <w:jc w:val="left"/>
        <w:outlineLvl w:val="2"/>
        <w:rPr>
          <w:rFonts w:ascii="宋体"/>
          <w:b/>
          <w:sz w:val="24"/>
        </w:rPr>
      </w:pPr>
      <w:r>
        <w:rPr>
          <w:rFonts w:hint="eastAsia" w:ascii="宋体" w:hAnsi="宋体" w:cs="宋体"/>
          <w:b/>
          <w:bCs/>
          <w:sz w:val="24"/>
        </w:rPr>
        <w:t>2.6：</w:t>
      </w:r>
      <w:r>
        <w:rPr>
          <w:rFonts w:hint="eastAsia" w:ascii="宋体" w:hAnsi="宋体"/>
          <w:b/>
          <w:sz w:val="24"/>
        </w:rPr>
        <w:t>磋商响应方情况表：</w:t>
      </w:r>
    </w:p>
    <w:p w14:paraId="65630C19">
      <w:pPr>
        <w:snapToGrid w:val="0"/>
        <w:spacing w:before="156" w:beforeLines="50" w:after="50" w:line="360" w:lineRule="auto"/>
        <w:jc w:val="center"/>
        <w:rPr>
          <w:rFonts w:ascii="宋体"/>
          <w:b/>
          <w:sz w:val="24"/>
        </w:rPr>
      </w:pPr>
      <w:r>
        <w:rPr>
          <w:rFonts w:hint="eastAsia" w:ascii="宋体" w:hAnsi="宋体"/>
          <w:b/>
          <w:sz w:val="24"/>
        </w:rPr>
        <w:t>磋商响应方情况表</w:t>
      </w:r>
    </w:p>
    <w:p w14:paraId="6F31001B">
      <w:pPr>
        <w:pStyle w:val="28"/>
        <w:spacing w:before="156" w:after="156" w:line="360" w:lineRule="auto"/>
        <w:rPr>
          <w:rFonts w:ascii="Times New Roman" w:hAnsi="Times New Roman"/>
        </w:rPr>
      </w:pPr>
      <w:r>
        <w:rPr>
          <w:rFonts w:hint="eastAsia" w:ascii="Times New Roman" w:hAnsi="Times New Roman"/>
        </w:rPr>
        <w:t>磋商响应方：                                   填表日期：</w:t>
      </w:r>
    </w:p>
    <w:tbl>
      <w:tblPr>
        <w:tblStyle w:val="46"/>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0E3E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149012DF">
            <w:pPr>
              <w:pStyle w:val="28"/>
              <w:spacing w:before="156" w:after="156" w:line="360" w:lineRule="auto"/>
              <w:rPr>
                <w:rFonts w:ascii="Times New Roman" w:hAnsi="Times New Roman"/>
                <w:szCs w:val="24"/>
              </w:rPr>
            </w:pPr>
            <w:r>
              <w:rPr>
                <w:rFonts w:hint="eastAsia" w:ascii="Times New Roman" w:hAnsi="Times New Roman"/>
                <w:szCs w:val="24"/>
              </w:rPr>
              <w:t>单位名称</w:t>
            </w:r>
          </w:p>
        </w:tc>
        <w:tc>
          <w:tcPr>
            <w:tcW w:w="2887" w:type="dxa"/>
            <w:vAlign w:val="center"/>
          </w:tcPr>
          <w:p w14:paraId="59A84626">
            <w:pPr>
              <w:widowControl/>
              <w:spacing w:line="360" w:lineRule="auto"/>
              <w:jc w:val="center"/>
              <w:rPr>
                <w:sz w:val="24"/>
              </w:rPr>
            </w:pPr>
          </w:p>
        </w:tc>
        <w:tc>
          <w:tcPr>
            <w:tcW w:w="1388" w:type="dxa"/>
            <w:gridSpan w:val="2"/>
            <w:vAlign w:val="center"/>
          </w:tcPr>
          <w:p w14:paraId="58EB31D0">
            <w:pPr>
              <w:pStyle w:val="28"/>
              <w:spacing w:before="156" w:after="156" w:line="360" w:lineRule="auto"/>
              <w:rPr>
                <w:rFonts w:ascii="Times New Roman" w:hAnsi="Times New Roman"/>
                <w:szCs w:val="24"/>
              </w:rPr>
            </w:pPr>
            <w:r>
              <w:rPr>
                <w:rFonts w:hint="eastAsia" w:ascii="Times New Roman" w:hAnsi="Times New Roman"/>
                <w:szCs w:val="24"/>
              </w:rPr>
              <w:t>电  话</w:t>
            </w:r>
          </w:p>
        </w:tc>
        <w:tc>
          <w:tcPr>
            <w:tcW w:w="2534" w:type="dxa"/>
            <w:vAlign w:val="center"/>
          </w:tcPr>
          <w:p w14:paraId="05D1E597">
            <w:pPr>
              <w:pStyle w:val="28"/>
              <w:spacing w:before="156" w:after="156" w:line="360" w:lineRule="auto"/>
              <w:jc w:val="center"/>
              <w:rPr>
                <w:rFonts w:ascii="Times New Roman" w:hAnsi="Times New Roman"/>
                <w:szCs w:val="24"/>
              </w:rPr>
            </w:pPr>
          </w:p>
        </w:tc>
      </w:tr>
      <w:tr w14:paraId="1925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7BD3488E">
            <w:pPr>
              <w:pStyle w:val="28"/>
              <w:spacing w:before="156" w:after="156" w:line="360" w:lineRule="auto"/>
              <w:rPr>
                <w:rFonts w:ascii="Times New Roman" w:hAnsi="Times New Roman"/>
                <w:szCs w:val="24"/>
              </w:rPr>
            </w:pPr>
            <w:r>
              <w:rPr>
                <w:rFonts w:hint="eastAsia" w:ascii="Times New Roman" w:hAnsi="Times New Roman"/>
                <w:szCs w:val="24"/>
              </w:rPr>
              <w:t>地   址</w:t>
            </w:r>
          </w:p>
        </w:tc>
        <w:tc>
          <w:tcPr>
            <w:tcW w:w="2887" w:type="dxa"/>
            <w:vAlign w:val="center"/>
          </w:tcPr>
          <w:p w14:paraId="21165160">
            <w:pPr>
              <w:pStyle w:val="28"/>
              <w:spacing w:before="156" w:after="156" w:line="360" w:lineRule="auto"/>
              <w:jc w:val="center"/>
              <w:rPr>
                <w:rFonts w:ascii="Times New Roman" w:hAnsi="Times New Roman"/>
                <w:szCs w:val="24"/>
              </w:rPr>
            </w:pPr>
          </w:p>
        </w:tc>
        <w:tc>
          <w:tcPr>
            <w:tcW w:w="1388" w:type="dxa"/>
            <w:gridSpan w:val="2"/>
            <w:vAlign w:val="center"/>
          </w:tcPr>
          <w:p w14:paraId="7A2A0651">
            <w:pPr>
              <w:pStyle w:val="28"/>
              <w:spacing w:before="156" w:after="156" w:line="360" w:lineRule="auto"/>
              <w:rPr>
                <w:rFonts w:ascii="Times New Roman" w:hAnsi="Times New Roman"/>
                <w:szCs w:val="24"/>
              </w:rPr>
            </w:pPr>
            <w:r>
              <w:rPr>
                <w:rFonts w:hint="eastAsia" w:ascii="Times New Roman" w:hAnsi="Times New Roman"/>
                <w:szCs w:val="24"/>
              </w:rPr>
              <w:t>传  真</w:t>
            </w:r>
          </w:p>
        </w:tc>
        <w:tc>
          <w:tcPr>
            <w:tcW w:w="2534" w:type="dxa"/>
            <w:vAlign w:val="center"/>
          </w:tcPr>
          <w:p w14:paraId="525764F8">
            <w:pPr>
              <w:pStyle w:val="28"/>
              <w:spacing w:before="156" w:after="156" w:line="360" w:lineRule="auto"/>
              <w:jc w:val="center"/>
              <w:rPr>
                <w:rFonts w:ascii="Times New Roman" w:hAnsi="Times New Roman"/>
                <w:szCs w:val="24"/>
              </w:rPr>
            </w:pPr>
          </w:p>
        </w:tc>
      </w:tr>
      <w:tr w14:paraId="73FC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024098EE">
            <w:pPr>
              <w:pStyle w:val="28"/>
              <w:spacing w:before="156" w:after="156" w:line="360" w:lineRule="auto"/>
              <w:rPr>
                <w:rFonts w:ascii="Times New Roman" w:hAnsi="Times New Roman"/>
                <w:szCs w:val="24"/>
              </w:rPr>
            </w:pPr>
            <w:r>
              <w:rPr>
                <w:rFonts w:hint="eastAsia" w:ascii="Times New Roman" w:hAnsi="Times New Roman"/>
                <w:szCs w:val="24"/>
              </w:rPr>
              <w:t>主管部门</w:t>
            </w:r>
          </w:p>
        </w:tc>
        <w:tc>
          <w:tcPr>
            <w:tcW w:w="2887" w:type="dxa"/>
            <w:vAlign w:val="center"/>
          </w:tcPr>
          <w:p w14:paraId="3C8FB672">
            <w:pPr>
              <w:pStyle w:val="28"/>
              <w:spacing w:before="156" w:after="156" w:line="360" w:lineRule="auto"/>
              <w:jc w:val="center"/>
              <w:rPr>
                <w:rFonts w:ascii="Times New Roman" w:hAnsi="Times New Roman"/>
                <w:szCs w:val="24"/>
              </w:rPr>
            </w:pPr>
          </w:p>
        </w:tc>
        <w:tc>
          <w:tcPr>
            <w:tcW w:w="1388" w:type="dxa"/>
            <w:gridSpan w:val="2"/>
            <w:vAlign w:val="center"/>
          </w:tcPr>
          <w:p w14:paraId="7A6CE5D9">
            <w:pPr>
              <w:pStyle w:val="28"/>
              <w:spacing w:before="156" w:after="156" w:line="360" w:lineRule="auto"/>
              <w:rPr>
                <w:rFonts w:ascii="Times New Roman" w:hAnsi="Times New Roman"/>
                <w:szCs w:val="24"/>
              </w:rPr>
            </w:pPr>
            <w:r>
              <w:rPr>
                <w:rFonts w:hint="eastAsia" w:ascii="Times New Roman" w:hAnsi="Times New Roman"/>
                <w:szCs w:val="24"/>
              </w:rPr>
              <w:t>企业性质</w:t>
            </w:r>
          </w:p>
        </w:tc>
        <w:tc>
          <w:tcPr>
            <w:tcW w:w="2534" w:type="dxa"/>
            <w:vAlign w:val="center"/>
          </w:tcPr>
          <w:p w14:paraId="78703154">
            <w:pPr>
              <w:pStyle w:val="28"/>
              <w:spacing w:before="156" w:after="156" w:line="360" w:lineRule="auto"/>
              <w:jc w:val="center"/>
              <w:rPr>
                <w:rFonts w:ascii="Times New Roman" w:hAnsi="Times New Roman"/>
                <w:szCs w:val="24"/>
              </w:rPr>
            </w:pPr>
          </w:p>
        </w:tc>
      </w:tr>
      <w:tr w14:paraId="2130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7C376AD3">
            <w:pPr>
              <w:pStyle w:val="28"/>
              <w:spacing w:before="156" w:after="156" w:line="360" w:lineRule="auto"/>
              <w:rPr>
                <w:rFonts w:ascii="Times New Roman" w:hAnsi="Times New Roman"/>
                <w:szCs w:val="24"/>
              </w:rPr>
            </w:pPr>
            <w:r>
              <w:rPr>
                <w:rFonts w:hint="eastAsia" w:ascii="Times New Roman" w:hAnsi="Times New Roman"/>
                <w:szCs w:val="24"/>
              </w:rPr>
              <w:t>企业法人</w:t>
            </w:r>
          </w:p>
        </w:tc>
        <w:tc>
          <w:tcPr>
            <w:tcW w:w="2887" w:type="dxa"/>
            <w:vAlign w:val="center"/>
          </w:tcPr>
          <w:p w14:paraId="5EAC65A3">
            <w:pPr>
              <w:pStyle w:val="28"/>
              <w:spacing w:before="156" w:after="156" w:line="360" w:lineRule="auto"/>
              <w:jc w:val="center"/>
              <w:rPr>
                <w:rFonts w:ascii="Times New Roman" w:hAnsi="Times New Roman"/>
                <w:szCs w:val="24"/>
              </w:rPr>
            </w:pPr>
          </w:p>
        </w:tc>
        <w:tc>
          <w:tcPr>
            <w:tcW w:w="1388" w:type="dxa"/>
            <w:gridSpan w:val="2"/>
            <w:vAlign w:val="center"/>
          </w:tcPr>
          <w:p w14:paraId="0E43A7AE">
            <w:pPr>
              <w:pStyle w:val="28"/>
              <w:spacing w:before="156" w:after="156" w:line="360" w:lineRule="auto"/>
              <w:rPr>
                <w:rFonts w:ascii="Times New Roman" w:hAnsi="Times New Roman"/>
                <w:szCs w:val="24"/>
              </w:rPr>
            </w:pPr>
            <w:r>
              <w:rPr>
                <w:rFonts w:hint="eastAsia"/>
                <w:szCs w:val="24"/>
              </w:rPr>
              <w:t>资质等级</w:t>
            </w:r>
          </w:p>
        </w:tc>
        <w:tc>
          <w:tcPr>
            <w:tcW w:w="2534" w:type="dxa"/>
            <w:vAlign w:val="center"/>
          </w:tcPr>
          <w:p w14:paraId="7F33CF28">
            <w:pPr>
              <w:pStyle w:val="28"/>
              <w:spacing w:before="156" w:after="156" w:line="360" w:lineRule="auto"/>
              <w:jc w:val="center"/>
              <w:rPr>
                <w:rFonts w:ascii="Times New Roman" w:hAnsi="Times New Roman"/>
                <w:szCs w:val="24"/>
              </w:rPr>
            </w:pPr>
          </w:p>
        </w:tc>
      </w:tr>
      <w:tr w14:paraId="479A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2A49ED04">
            <w:pPr>
              <w:pStyle w:val="28"/>
              <w:spacing w:before="156" w:after="156" w:line="360" w:lineRule="auto"/>
              <w:rPr>
                <w:rFonts w:ascii="Times New Roman" w:hAnsi="Times New Roman"/>
                <w:szCs w:val="24"/>
              </w:rPr>
            </w:pPr>
            <w:r>
              <w:rPr>
                <w:rFonts w:hint="eastAsia" w:ascii="Times New Roman" w:hAnsi="Times New Roman"/>
                <w:szCs w:val="24"/>
              </w:rPr>
              <w:t>授权代表</w:t>
            </w:r>
          </w:p>
        </w:tc>
        <w:tc>
          <w:tcPr>
            <w:tcW w:w="2887" w:type="dxa"/>
            <w:vAlign w:val="center"/>
          </w:tcPr>
          <w:p w14:paraId="0FA53BAA">
            <w:pPr>
              <w:pStyle w:val="28"/>
              <w:spacing w:before="156" w:after="156" w:line="360" w:lineRule="auto"/>
              <w:jc w:val="center"/>
              <w:rPr>
                <w:rFonts w:ascii="Times New Roman" w:hAnsi="Times New Roman"/>
                <w:szCs w:val="24"/>
              </w:rPr>
            </w:pPr>
          </w:p>
        </w:tc>
        <w:tc>
          <w:tcPr>
            <w:tcW w:w="1388" w:type="dxa"/>
            <w:gridSpan w:val="2"/>
            <w:vAlign w:val="center"/>
          </w:tcPr>
          <w:p w14:paraId="7C13FDEE">
            <w:pPr>
              <w:pStyle w:val="28"/>
              <w:spacing w:before="156" w:after="156" w:line="360" w:lineRule="auto"/>
              <w:rPr>
                <w:rFonts w:ascii="Times New Roman" w:hAnsi="Times New Roman"/>
                <w:szCs w:val="24"/>
              </w:rPr>
            </w:pPr>
            <w:r>
              <w:rPr>
                <w:rFonts w:hint="eastAsia" w:ascii="Times New Roman" w:hAnsi="Times New Roman"/>
                <w:szCs w:val="24"/>
              </w:rPr>
              <w:t>职务</w:t>
            </w:r>
          </w:p>
        </w:tc>
        <w:tc>
          <w:tcPr>
            <w:tcW w:w="2534" w:type="dxa"/>
            <w:vAlign w:val="center"/>
          </w:tcPr>
          <w:p w14:paraId="0F07D50A">
            <w:pPr>
              <w:pStyle w:val="28"/>
              <w:spacing w:before="156" w:after="156" w:line="360" w:lineRule="auto"/>
              <w:jc w:val="center"/>
              <w:rPr>
                <w:rFonts w:ascii="Times New Roman" w:hAnsi="Times New Roman"/>
                <w:szCs w:val="24"/>
              </w:rPr>
            </w:pPr>
          </w:p>
        </w:tc>
      </w:tr>
      <w:tr w14:paraId="7B3A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6B37E04B">
            <w:pPr>
              <w:pStyle w:val="28"/>
              <w:spacing w:before="156" w:after="156" w:line="360" w:lineRule="auto"/>
              <w:ind w:firstLine="720" w:firstLineChars="300"/>
              <w:jc w:val="center"/>
              <w:rPr>
                <w:rFonts w:ascii="Times New Roman" w:hAnsi="Times New Roman"/>
                <w:szCs w:val="24"/>
              </w:rPr>
            </w:pPr>
          </w:p>
          <w:p w14:paraId="75742860">
            <w:pPr>
              <w:pStyle w:val="28"/>
              <w:spacing w:before="156" w:after="156" w:line="360" w:lineRule="auto"/>
              <w:jc w:val="center"/>
              <w:rPr>
                <w:rFonts w:ascii="Times New Roman" w:hAnsi="Times New Roman"/>
                <w:szCs w:val="24"/>
              </w:rPr>
            </w:pPr>
            <w:r>
              <w:rPr>
                <w:rFonts w:hint="eastAsia" w:ascii="Times New Roman" w:hAnsi="Times New Roman"/>
                <w:szCs w:val="24"/>
              </w:rPr>
              <w:t>单位概况</w:t>
            </w:r>
          </w:p>
          <w:p w14:paraId="1E15A3C9">
            <w:pPr>
              <w:pStyle w:val="28"/>
              <w:spacing w:before="156" w:after="156" w:line="360" w:lineRule="auto"/>
              <w:ind w:firstLine="720" w:firstLineChars="300"/>
              <w:jc w:val="center"/>
              <w:rPr>
                <w:rFonts w:ascii="Times New Roman" w:hAnsi="Times New Roman"/>
                <w:szCs w:val="24"/>
              </w:rPr>
            </w:pPr>
          </w:p>
          <w:p w14:paraId="400FC7E4">
            <w:pPr>
              <w:pStyle w:val="28"/>
              <w:spacing w:before="156" w:after="156" w:line="360" w:lineRule="auto"/>
              <w:ind w:firstLine="720" w:firstLineChars="300"/>
              <w:jc w:val="center"/>
              <w:rPr>
                <w:rFonts w:ascii="Times New Roman" w:hAnsi="Times New Roman"/>
                <w:szCs w:val="24"/>
              </w:rPr>
            </w:pPr>
          </w:p>
          <w:p w14:paraId="33835414">
            <w:pPr>
              <w:pStyle w:val="28"/>
              <w:spacing w:before="156" w:after="156" w:line="360" w:lineRule="auto"/>
              <w:ind w:firstLine="720" w:firstLineChars="300"/>
              <w:jc w:val="center"/>
              <w:rPr>
                <w:rFonts w:ascii="Times New Roman" w:hAnsi="Times New Roman"/>
                <w:szCs w:val="24"/>
              </w:rPr>
            </w:pPr>
          </w:p>
          <w:p w14:paraId="3FF04DD1">
            <w:pPr>
              <w:pStyle w:val="28"/>
              <w:spacing w:before="156" w:after="156" w:line="360" w:lineRule="auto"/>
              <w:ind w:firstLine="720" w:firstLineChars="300"/>
              <w:jc w:val="center"/>
              <w:rPr>
                <w:rFonts w:ascii="Times New Roman" w:hAnsi="Times New Roman"/>
                <w:szCs w:val="24"/>
              </w:rPr>
            </w:pPr>
          </w:p>
        </w:tc>
        <w:tc>
          <w:tcPr>
            <w:tcW w:w="1260" w:type="dxa"/>
            <w:vMerge w:val="restart"/>
            <w:vAlign w:val="center"/>
          </w:tcPr>
          <w:p w14:paraId="30B2B690">
            <w:pPr>
              <w:spacing w:line="360" w:lineRule="auto"/>
              <w:jc w:val="center"/>
              <w:rPr>
                <w:sz w:val="24"/>
              </w:rPr>
            </w:pPr>
            <w:r>
              <w:rPr>
                <w:rFonts w:hint="eastAsia"/>
                <w:sz w:val="24"/>
              </w:rPr>
              <w:t>职工总数</w:t>
            </w:r>
          </w:p>
        </w:tc>
        <w:tc>
          <w:tcPr>
            <w:tcW w:w="2887" w:type="dxa"/>
            <w:vAlign w:val="center"/>
          </w:tcPr>
          <w:p w14:paraId="0A3A534E">
            <w:pPr>
              <w:pStyle w:val="28"/>
              <w:spacing w:before="156" w:after="156" w:line="360" w:lineRule="auto"/>
              <w:rPr>
                <w:rFonts w:ascii="Times New Roman" w:hAnsi="Times New Roman"/>
                <w:szCs w:val="24"/>
              </w:rPr>
            </w:pPr>
            <w:r>
              <w:rPr>
                <w:rFonts w:hint="eastAsia" w:ascii="Times New Roman" w:hAnsi="Times New Roman"/>
                <w:szCs w:val="24"/>
              </w:rPr>
              <w:t>员工：人</w:t>
            </w:r>
          </w:p>
        </w:tc>
        <w:tc>
          <w:tcPr>
            <w:tcW w:w="3922" w:type="dxa"/>
            <w:gridSpan w:val="3"/>
            <w:vAlign w:val="center"/>
          </w:tcPr>
          <w:p w14:paraId="73121BEE">
            <w:pPr>
              <w:pStyle w:val="28"/>
              <w:spacing w:before="156" w:after="156" w:line="360" w:lineRule="auto"/>
              <w:rPr>
                <w:rFonts w:ascii="Times New Roman" w:hAnsi="Times New Roman"/>
                <w:szCs w:val="24"/>
              </w:rPr>
            </w:pPr>
            <w:r>
              <w:rPr>
                <w:rFonts w:hint="eastAsia" w:ascii="Times New Roman" w:hAnsi="Times New Roman"/>
                <w:szCs w:val="24"/>
              </w:rPr>
              <w:t>初级职称：人</w:t>
            </w:r>
          </w:p>
        </w:tc>
      </w:tr>
      <w:tr w14:paraId="5200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0C494F8E">
            <w:pPr>
              <w:pStyle w:val="28"/>
              <w:spacing w:before="156" w:after="156" w:line="360" w:lineRule="auto"/>
              <w:ind w:firstLine="720" w:firstLineChars="300"/>
              <w:jc w:val="center"/>
              <w:rPr>
                <w:rFonts w:ascii="Times New Roman" w:hAnsi="Times New Roman"/>
                <w:szCs w:val="24"/>
              </w:rPr>
            </w:pPr>
          </w:p>
        </w:tc>
        <w:tc>
          <w:tcPr>
            <w:tcW w:w="1260" w:type="dxa"/>
            <w:vMerge w:val="continue"/>
            <w:vAlign w:val="center"/>
          </w:tcPr>
          <w:p w14:paraId="65A3A48B">
            <w:pPr>
              <w:widowControl/>
              <w:spacing w:line="360" w:lineRule="auto"/>
              <w:jc w:val="center"/>
              <w:rPr>
                <w:sz w:val="24"/>
              </w:rPr>
            </w:pPr>
          </w:p>
        </w:tc>
        <w:tc>
          <w:tcPr>
            <w:tcW w:w="2887" w:type="dxa"/>
            <w:vAlign w:val="center"/>
          </w:tcPr>
          <w:p w14:paraId="143A6EF1">
            <w:pPr>
              <w:pStyle w:val="28"/>
              <w:spacing w:before="156" w:after="156" w:line="360" w:lineRule="auto"/>
              <w:rPr>
                <w:szCs w:val="24"/>
              </w:rPr>
            </w:pPr>
            <w:r>
              <w:rPr>
                <w:rFonts w:hint="eastAsia"/>
                <w:szCs w:val="24"/>
              </w:rPr>
              <w:t>高级职称：人</w:t>
            </w:r>
          </w:p>
        </w:tc>
        <w:tc>
          <w:tcPr>
            <w:tcW w:w="3922" w:type="dxa"/>
            <w:gridSpan w:val="3"/>
            <w:vAlign w:val="center"/>
          </w:tcPr>
          <w:p w14:paraId="5FCB92F8">
            <w:pPr>
              <w:pStyle w:val="28"/>
              <w:spacing w:before="156" w:after="156" w:line="360" w:lineRule="auto"/>
              <w:rPr>
                <w:szCs w:val="24"/>
              </w:rPr>
            </w:pPr>
            <w:r>
              <w:rPr>
                <w:rFonts w:hint="eastAsia"/>
                <w:szCs w:val="24"/>
              </w:rPr>
              <w:t>中级职称：人</w:t>
            </w:r>
          </w:p>
        </w:tc>
      </w:tr>
      <w:tr w14:paraId="4828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09CD7833">
            <w:pPr>
              <w:pStyle w:val="28"/>
              <w:spacing w:before="156" w:after="156" w:line="360" w:lineRule="auto"/>
              <w:ind w:firstLine="720" w:firstLineChars="300"/>
              <w:jc w:val="center"/>
              <w:rPr>
                <w:rFonts w:ascii="Times New Roman" w:hAnsi="Times New Roman"/>
                <w:szCs w:val="24"/>
              </w:rPr>
            </w:pPr>
          </w:p>
        </w:tc>
        <w:tc>
          <w:tcPr>
            <w:tcW w:w="1260" w:type="dxa"/>
            <w:vAlign w:val="center"/>
          </w:tcPr>
          <w:p w14:paraId="7A026712">
            <w:pPr>
              <w:pStyle w:val="28"/>
              <w:spacing w:before="156" w:after="156" w:line="360" w:lineRule="auto"/>
              <w:jc w:val="center"/>
              <w:rPr>
                <w:szCs w:val="24"/>
              </w:rPr>
            </w:pPr>
            <w:r>
              <w:rPr>
                <w:rFonts w:hint="eastAsia"/>
                <w:szCs w:val="24"/>
              </w:rPr>
              <w:t>流动资金</w:t>
            </w:r>
          </w:p>
        </w:tc>
        <w:tc>
          <w:tcPr>
            <w:tcW w:w="2887" w:type="dxa"/>
            <w:vAlign w:val="center"/>
          </w:tcPr>
          <w:p w14:paraId="3DA17DA0">
            <w:pPr>
              <w:pStyle w:val="28"/>
              <w:spacing w:before="156" w:after="156" w:line="360" w:lineRule="auto"/>
              <w:jc w:val="center"/>
              <w:rPr>
                <w:szCs w:val="24"/>
              </w:rPr>
            </w:pPr>
          </w:p>
        </w:tc>
        <w:tc>
          <w:tcPr>
            <w:tcW w:w="1222" w:type="dxa"/>
            <w:vAlign w:val="center"/>
          </w:tcPr>
          <w:p w14:paraId="58D45525">
            <w:pPr>
              <w:pStyle w:val="28"/>
              <w:spacing w:before="156" w:after="156" w:line="360" w:lineRule="auto"/>
              <w:jc w:val="center"/>
              <w:rPr>
                <w:szCs w:val="24"/>
              </w:rPr>
            </w:pPr>
          </w:p>
        </w:tc>
        <w:tc>
          <w:tcPr>
            <w:tcW w:w="2700" w:type="dxa"/>
            <w:gridSpan w:val="2"/>
            <w:vAlign w:val="center"/>
          </w:tcPr>
          <w:p w14:paraId="5F9BACE0">
            <w:pPr>
              <w:pStyle w:val="28"/>
              <w:spacing w:before="156" w:after="156" w:line="360" w:lineRule="auto"/>
              <w:jc w:val="center"/>
              <w:rPr>
                <w:szCs w:val="24"/>
              </w:rPr>
            </w:pPr>
          </w:p>
        </w:tc>
      </w:tr>
      <w:tr w14:paraId="3C0C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59923492">
            <w:pPr>
              <w:pStyle w:val="28"/>
              <w:spacing w:before="156" w:after="156" w:line="360" w:lineRule="auto"/>
              <w:ind w:firstLine="720" w:firstLineChars="300"/>
              <w:jc w:val="center"/>
              <w:rPr>
                <w:rFonts w:ascii="Times New Roman" w:hAnsi="Times New Roman"/>
                <w:szCs w:val="24"/>
              </w:rPr>
            </w:pPr>
          </w:p>
        </w:tc>
        <w:tc>
          <w:tcPr>
            <w:tcW w:w="1260" w:type="dxa"/>
            <w:vAlign w:val="center"/>
          </w:tcPr>
          <w:p w14:paraId="6BBB0202">
            <w:pPr>
              <w:pStyle w:val="28"/>
              <w:spacing w:before="156" w:after="156" w:line="360" w:lineRule="auto"/>
              <w:jc w:val="center"/>
              <w:rPr>
                <w:szCs w:val="24"/>
              </w:rPr>
            </w:pPr>
            <w:r>
              <w:rPr>
                <w:rFonts w:hint="eastAsia"/>
                <w:szCs w:val="24"/>
              </w:rPr>
              <w:t>固定资金</w:t>
            </w:r>
          </w:p>
        </w:tc>
        <w:tc>
          <w:tcPr>
            <w:tcW w:w="2887" w:type="dxa"/>
            <w:vAlign w:val="center"/>
          </w:tcPr>
          <w:p w14:paraId="4CC326B2">
            <w:pPr>
              <w:widowControl/>
              <w:spacing w:line="360" w:lineRule="auto"/>
              <w:jc w:val="center"/>
              <w:rPr>
                <w:sz w:val="24"/>
              </w:rPr>
            </w:pPr>
          </w:p>
        </w:tc>
        <w:tc>
          <w:tcPr>
            <w:tcW w:w="1222" w:type="dxa"/>
            <w:vAlign w:val="center"/>
          </w:tcPr>
          <w:p w14:paraId="5AC5AE65">
            <w:pPr>
              <w:pStyle w:val="28"/>
              <w:spacing w:before="156" w:after="156" w:line="360" w:lineRule="auto"/>
              <w:jc w:val="center"/>
              <w:rPr>
                <w:szCs w:val="24"/>
              </w:rPr>
            </w:pPr>
            <w:r>
              <w:rPr>
                <w:rFonts w:hint="eastAsia"/>
                <w:szCs w:val="24"/>
              </w:rPr>
              <w:t>服务网点</w:t>
            </w:r>
          </w:p>
        </w:tc>
        <w:tc>
          <w:tcPr>
            <w:tcW w:w="2700" w:type="dxa"/>
            <w:gridSpan w:val="2"/>
            <w:vAlign w:val="center"/>
          </w:tcPr>
          <w:p w14:paraId="745D0ADF">
            <w:pPr>
              <w:widowControl/>
              <w:spacing w:line="360" w:lineRule="auto"/>
              <w:jc w:val="center"/>
              <w:rPr>
                <w:sz w:val="24"/>
              </w:rPr>
            </w:pPr>
          </w:p>
        </w:tc>
      </w:tr>
      <w:tr w14:paraId="2B31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48D54446">
            <w:pPr>
              <w:pStyle w:val="28"/>
              <w:spacing w:before="156" w:after="156" w:line="360" w:lineRule="auto"/>
              <w:jc w:val="center"/>
              <w:rPr>
                <w:rFonts w:ascii="Times New Roman" w:hAnsi="Times New Roman"/>
                <w:szCs w:val="24"/>
              </w:rPr>
            </w:pPr>
            <w:r>
              <w:rPr>
                <w:rFonts w:hint="eastAsia" w:ascii="Times New Roman" w:hAnsi="Times New Roman"/>
                <w:szCs w:val="24"/>
              </w:rPr>
              <w:t>单位简历</w:t>
            </w:r>
          </w:p>
        </w:tc>
        <w:tc>
          <w:tcPr>
            <w:tcW w:w="8069" w:type="dxa"/>
            <w:gridSpan w:val="5"/>
          </w:tcPr>
          <w:p w14:paraId="28652265">
            <w:pPr>
              <w:spacing w:line="360" w:lineRule="auto"/>
              <w:jc w:val="left"/>
              <w:rPr>
                <w:sz w:val="24"/>
              </w:rPr>
            </w:pPr>
          </w:p>
        </w:tc>
      </w:tr>
      <w:tr w14:paraId="5E6F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18F8089B">
            <w:pPr>
              <w:pStyle w:val="28"/>
              <w:spacing w:before="156" w:after="156" w:line="360" w:lineRule="auto"/>
              <w:jc w:val="center"/>
              <w:rPr>
                <w:rFonts w:ascii="Times New Roman" w:hAnsi="Times New Roman"/>
                <w:szCs w:val="24"/>
              </w:rPr>
            </w:pPr>
            <w:r>
              <w:rPr>
                <w:rFonts w:hint="eastAsia" w:ascii="Times New Roman" w:hAnsi="Times New Roman"/>
                <w:szCs w:val="24"/>
              </w:rPr>
              <w:t>优势及特长</w:t>
            </w:r>
          </w:p>
        </w:tc>
        <w:tc>
          <w:tcPr>
            <w:tcW w:w="8069" w:type="dxa"/>
            <w:gridSpan w:val="5"/>
          </w:tcPr>
          <w:p w14:paraId="60360161">
            <w:pPr>
              <w:spacing w:line="360" w:lineRule="auto"/>
              <w:jc w:val="left"/>
              <w:rPr>
                <w:sz w:val="24"/>
              </w:rPr>
            </w:pPr>
          </w:p>
        </w:tc>
      </w:tr>
    </w:tbl>
    <w:p w14:paraId="23C75C11">
      <w:pPr>
        <w:snapToGrid w:val="0"/>
        <w:spacing w:before="50" w:after="156" w:afterLines="50"/>
        <w:jc w:val="left"/>
        <w:rPr>
          <w:rFonts w:ascii="宋体"/>
          <w:b/>
          <w:sz w:val="24"/>
        </w:rPr>
      </w:pPr>
    </w:p>
    <w:p w14:paraId="08FCE695">
      <w:pPr>
        <w:rPr>
          <w:rFonts w:ascii="宋体" w:hAnsi="宋体" w:cs="宋体"/>
          <w:b/>
          <w:bCs/>
          <w:sz w:val="24"/>
        </w:rPr>
      </w:pPr>
      <w:r>
        <w:rPr>
          <w:rFonts w:hint="eastAsia" w:ascii="宋体" w:hAnsi="宋体" w:cs="宋体"/>
          <w:b/>
          <w:bCs/>
          <w:sz w:val="24"/>
        </w:rPr>
        <w:br w:type="page"/>
      </w:r>
    </w:p>
    <w:p w14:paraId="75601FA8">
      <w:pPr>
        <w:spacing w:before="50" w:after="50" w:line="500" w:lineRule="exact"/>
        <w:jc w:val="left"/>
        <w:outlineLvl w:val="2"/>
        <w:rPr>
          <w:rFonts w:ascii="宋体"/>
          <w:b/>
          <w:bCs/>
          <w:sz w:val="24"/>
        </w:rPr>
      </w:pPr>
      <w:r>
        <w:rPr>
          <w:rFonts w:hint="eastAsia" w:ascii="宋体" w:hAnsi="宋体" w:cs="宋体"/>
          <w:b/>
          <w:bCs/>
          <w:sz w:val="24"/>
        </w:rPr>
        <w:t>2.7：本项目拟派人员一览表</w:t>
      </w:r>
    </w:p>
    <w:p w14:paraId="2B8C0B56">
      <w:pPr>
        <w:spacing w:before="50" w:after="50" w:line="500" w:lineRule="exact"/>
        <w:ind w:firstLine="480" w:firstLineChars="200"/>
        <w:jc w:val="center"/>
        <w:rPr>
          <w:rFonts w:ascii="宋体"/>
          <w:b/>
          <w:bCs/>
          <w:sz w:val="24"/>
        </w:rPr>
      </w:pPr>
    </w:p>
    <w:tbl>
      <w:tblPr>
        <w:tblStyle w:val="46"/>
        <w:tblW w:w="949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70"/>
        <w:gridCol w:w="930"/>
        <w:gridCol w:w="1050"/>
        <w:gridCol w:w="1140"/>
        <w:gridCol w:w="1275"/>
        <w:gridCol w:w="1470"/>
        <w:gridCol w:w="1844"/>
      </w:tblGrid>
      <w:tr w14:paraId="1A9A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911" w:type="dxa"/>
            <w:vAlign w:val="center"/>
          </w:tcPr>
          <w:p w14:paraId="4EAA510E">
            <w:pPr>
              <w:snapToGrid w:val="0"/>
              <w:spacing w:before="50" w:after="50" w:line="500" w:lineRule="exact"/>
              <w:jc w:val="center"/>
              <w:rPr>
                <w:rFonts w:ascii="宋体"/>
                <w:sz w:val="24"/>
              </w:rPr>
            </w:pPr>
            <w:r>
              <w:rPr>
                <w:rFonts w:hint="eastAsia" w:ascii="宋体" w:hAnsi="宋体" w:cs="宋体"/>
                <w:sz w:val="24"/>
              </w:rPr>
              <w:t>姓名</w:t>
            </w:r>
          </w:p>
        </w:tc>
        <w:tc>
          <w:tcPr>
            <w:tcW w:w="870" w:type="dxa"/>
            <w:vAlign w:val="center"/>
          </w:tcPr>
          <w:p w14:paraId="4F21334C">
            <w:pPr>
              <w:snapToGrid w:val="0"/>
              <w:spacing w:before="50" w:after="50" w:line="500" w:lineRule="exact"/>
              <w:jc w:val="center"/>
              <w:rPr>
                <w:rFonts w:ascii="宋体"/>
                <w:sz w:val="24"/>
              </w:rPr>
            </w:pPr>
            <w:r>
              <w:rPr>
                <w:rFonts w:hint="eastAsia" w:ascii="宋体" w:hAnsi="宋体" w:cs="宋体"/>
                <w:sz w:val="24"/>
              </w:rPr>
              <w:t>性别</w:t>
            </w:r>
          </w:p>
        </w:tc>
        <w:tc>
          <w:tcPr>
            <w:tcW w:w="930" w:type="dxa"/>
            <w:vAlign w:val="center"/>
          </w:tcPr>
          <w:p w14:paraId="4B33A662">
            <w:pPr>
              <w:snapToGrid w:val="0"/>
              <w:spacing w:before="50" w:after="50" w:line="500" w:lineRule="exact"/>
              <w:jc w:val="center"/>
              <w:rPr>
                <w:rFonts w:ascii="宋体"/>
                <w:sz w:val="24"/>
              </w:rPr>
            </w:pPr>
            <w:r>
              <w:rPr>
                <w:rFonts w:hint="eastAsia" w:ascii="宋体" w:hAnsi="宋体" w:cs="宋体"/>
                <w:sz w:val="24"/>
              </w:rPr>
              <w:t>年龄</w:t>
            </w:r>
          </w:p>
        </w:tc>
        <w:tc>
          <w:tcPr>
            <w:tcW w:w="1050" w:type="dxa"/>
            <w:vAlign w:val="center"/>
          </w:tcPr>
          <w:p w14:paraId="3785D703">
            <w:pPr>
              <w:snapToGrid w:val="0"/>
              <w:spacing w:before="50" w:after="50" w:line="500" w:lineRule="exact"/>
              <w:jc w:val="center"/>
              <w:rPr>
                <w:rFonts w:ascii="宋体"/>
                <w:sz w:val="24"/>
              </w:rPr>
            </w:pPr>
            <w:r>
              <w:rPr>
                <w:rFonts w:hint="eastAsia" w:ascii="宋体" w:hAnsi="宋体" w:cs="宋体"/>
                <w:sz w:val="24"/>
              </w:rPr>
              <w:t>文化</w:t>
            </w:r>
          </w:p>
          <w:p w14:paraId="564E8380">
            <w:pPr>
              <w:snapToGrid w:val="0"/>
              <w:spacing w:before="50" w:after="50" w:line="500" w:lineRule="exact"/>
              <w:jc w:val="center"/>
              <w:rPr>
                <w:rFonts w:ascii="宋体"/>
                <w:sz w:val="24"/>
              </w:rPr>
            </w:pPr>
            <w:r>
              <w:rPr>
                <w:rFonts w:hint="eastAsia" w:ascii="宋体" w:hAnsi="宋体" w:cs="宋体"/>
                <w:sz w:val="24"/>
              </w:rPr>
              <w:t>程度</w:t>
            </w:r>
          </w:p>
        </w:tc>
        <w:tc>
          <w:tcPr>
            <w:tcW w:w="1140" w:type="dxa"/>
            <w:vAlign w:val="center"/>
          </w:tcPr>
          <w:p w14:paraId="7DD28A7C">
            <w:pPr>
              <w:snapToGrid w:val="0"/>
              <w:spacing w:before="50" w:after="50" w:line="500" w:lineRule="exact"/>
              <w:jc w:val="center"/>
              <w:rPr>
                <w:rFonts w:ascii="宋体"/>
                <w:sz w:val="24"/>
              </w:rPr>
            </w:pPr>
            <w:r>
              <w:rPr>
                <w:rFonts w:hint="eastAsia" w:ascii="宋体" w:hAnsi="宋体" w:cs="宋体"/>
                <w:sz w:val="24"/>
              </w:rPr>
              <w:t>从事</w:t>
            </w:r>
          </w:p>
          <w:p w14:paraId="4C3DF9E1">
            <w:pPr>
              <w:snapToGrid w:val="0"/>
              <w:spacing w:before="50" w:after="50" w:line="500" w:lineRule="exact"/>
              <w:jc w:val="center"/>
              <w:rPr>
                <w:rFonts w:ascii="宋体"/>
                <w:sz w:val="24"/>
              </w:rPr>
            </w:pPr>
            <w:r>
              <w:rPr>
                <w:rFonts w:hint="eastAsia" w:ascii="宋体" w:hAnsi="宋体" w:cs="宋体"/>
                <w:sz w:val="24"/>
              </w:rPr>
              <w:t>专业</w:t>
            </w:r>
          </w:p>
        </w:tc>
        <w:tc>
          <w:tcPr>
            <w:tcW w:w="1275" w:type="dxa"/>
            <w:vAlign w:val="center"/>
          </w:tcPr>
          <w:p w14:paraId="0F7F2883">
            <w:pPr>
              <w:snapToGrid w:val="0"/>
              <w:spacing w:before="50" w:after="50" w:line="500" w:lineRule="exact"/>
              <w:jc w:val="center"/>
              <w:rPr>
                <w:rFonts w:ascii="宋体"/>
                <w:sz w:val="24"/>
              </w:rPr>
            </w:pPr>
            <w:r>
              <w:rPr>
                <w:rFonts w:hint="eastAsia" w:ascii="宋体" w:hAnsi="宋体" w:cs="宋体"/>
                <w:sz w:val="24"/>
              </w:rPr>
              <w:t>从事专业工作时间</w:t>
            </w:r>
          </w:p>
        </w:tc>
        <w:tc>
          <w:tcPr>
            <w:tcW w:w="1470" w:type="dxa"/>
            <w:vAlign w:val="center"/>
          </w:tcPr>
          <w:p w14:paraId="073D1AF2">
            <w:pPr>
              <w:snapToGrid w:val="0"/>
              <w:spacing w:before="50" w:after="50" w:line="500" w:lineRule="exact"/>
              <w:ind w:left="-107" w:leftChars="-51" w:firstLine="91" w:firstLineChars="38"/>
              <w:jc w:val="center"/>
              <w:rPr>
                <w:rFonts w:ascii="宋体"/>
                <w:sz w:val="24"/>
              </w:rPr>
            </w:pPr>
            <w:r>
              <w:rPr>
                <w:rFonts w:hint="eastAsia" w:ascii="宋体" w:hAnsi="宋体" w:cs="宋体"/>
                <w:sz w:val="24"/>
              </w:rPr>
              <w:t>职称</w:t>
            </w:r>
          </w:p>
        </w:tc>
        <w:tc>
          <w:tcPr>
            <w:tcW w:w="1844" w:type="dxa"/>
            <w:vAlign w:val="center"/>
          </w:tcPr>
          <w:p w14:paraId="04ECEE2E">
            <w:pPr>
              <w:snapToGrid w:val="0"/>
              <w:spacing w:before="50" w:after="50" w:line="500" w:lineRule="exact"/>
              <w:jc w:val="center"/>
              <w:rPr>
                <w:rFonts w:ascii="宋体"/>
                <w:sz w:val="24"/>
              </w:rPr>
            </w:pPr>
            <w:r>
              <w:rPr>
                <w:rFonts w:hint="eastAsia" w:ascii="宋体" w:hAnsi="宋体" w:cs="宋体"/>
                <w:sz w:val="24"/>
              </w:rPr>
              <w:t>拟派岗位</w:t>
            </w:r>
          </w:p>
        </w:tc>
      </w:tr>
      <w:tr w14:paraId="558F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24AB3CCB">
            <w:pPr>
              <w:spacing w:before="50" w:after="50" w:line="500" w:lineRule="exact"/>
              <w:jc w:val="left"/>
              <w:rPr>
                <w:rFonts w:ascii="宋体"/>
                <w:sz w:val="24"/>
              </w:rPr>
            </w:pPr>
          </w:p>
        </w:tc>
        <w:tc>
          <w:tcPr>
            <w:tcW w:w="870" w:type="dxa"/>
          </w:tcPr>
          <w:p w14:paraId="75EAAE6C">
            <w:pPr>
              <w:spacing w:before="50" w:after="50" w:line="500" w:lineRule="exact"/>
              <w:jc w:val="left"/>
              <w:rPr>
                <w:rFonts w:ascii="宋体"/>
                <w:sz w:val="24"/>
              </w:rPr>
            </w:pPr>
          </w:p>
        </w:tc>
        <w:tc>
          <w:tcPr>
            <w:tcW w:w="930" w:type="dxa"/>
          </w:tcPr>
          <w:p w14:paraId="3DCD3D0E">
            <w:pPr>
              <w:spacing w:before="50" w:after="50" w:line="500" w:lineRule="exact"/>
              <w:jc w:val="left"/>
              <w:rPr>
                <w:rFonts w:ascii="宋体"/>
                <w:sz w:val="24"/>
              </w:rPr>
            </w:pPr>
          </w:p>
        </w:tc>
        <w:tc>
          <w:tcPr>
            <w:tcW w:w="1050" w:type="dxa"/>
          </w:tcPr>
          <w:p w14:paraId="28EC0B99">
            <w:pPr>
              <w:spacing w:before="50" w:after="50" w:line="500" w:lineRule="exact"/>
              <w:jc w:val="left"/>
              <w:rPr>
                <w:rFonts w:ascii="宋体"/>
                <w:sz w:val="24"/>
              </w:rPr>
            </w:pPr>
          </w:p>
        </w:tc>
        <w:tc>
          <w:tcPr>
            <w:tcW w:w="1140" w:type="dxa"/>
          </w:tcPr>
          <w:p w14:paraId="791F0411">
            <w:pPr>
              <w:spacing w:before="50" w:after="50" w:line="500" w:lineRule="exact"/>
              <w:jc w:val="left"/>
              <w:rPr>
                <w:rFonts w:ascii="宋体"/>
                <w:sz w:val="24"/>
              </w:rPr>
            </w:pPr>
          </w:p>
        </w:tc>
        <w:tc>
          <w:tcPr>
            <w:tcW w:w="1275" w:type="dxa"/>
          </w:tcPr>
          <w:p w14:paraId="2C556F28">
            <w:pPr>
              <w:spacing w:before="50" w:after="50" w:line="500" w:lineRule="exact"/>
              <w:jc w:val="left"/>
              <w:rPr>
                <w:rFonts w:ascii="宋体"/>
                <w:sz w:val="24"/>
              </w:rPr>
            </w:pPr>
          </w:p>
        </w:tc>
        <w:tc>
          <w:tcPr>
            <w:tcW w:w="1470" w:type="dxa"/>
          </w:tcPr>
          <w:p w14:paraId="63EBBC6F">
            <w:pPr>
              <w:spacing w:before="50" w:after="50" w:line="500" w:lineRule="exact"/>
              <w:jc w:val="left"/>
              <w:rPr>
                <w:rFonts w:ascii="宋体"/>
                <w:sz w:val="24"/>
              </w:rPr>
            </w:pPr>
          </w:p>
        </w:tc>
        <w:tc>
          <w:tcPr>
            <w:tcW w:w="1844" w:type="dxa"/>
          </w:tcPr>
          <w:p w14:paraId="41272B81">
            <w:pPr>
              <w:spacing w:before="50" w:after="50" w:line="500" w:lineRule="exact"/>
              <w:jc w:val="left"/>
              <w:rPr>
                <w:rFonts w:ascii="宋体"/>
                <w:sz w:val="24"/>
              </w:rPr>
            </w:pPr>
          </w:p>
        </w:tc>
      </w:tr>
      <w:tr w14:paraId="5C97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E3D3713">
            <w:pPr>
              <w:spacing w:before="50" w:after="50" w:line="500" w:lineRule="exact"/>
              <w:jc w:val="left"/>
              <w:rPr>
                <w:rFonts w:ascii="宋体"/>
                <w:sz w:val="24"/>
              </w:rPr>
            </w:pPr>
          </w:p>
        </w:tc>
        <w:tc>
          <w:tcPr>
            <w:tcW w:w="870" w:type="dxa"/>
          </w:tcPr>
          <w:p w14:paraId="52287949">
            <w:pPr>
              <w:spacing w:before="50" w:after="50" w:line="500" w:lineRule="exact"/>
              <w:jc w:val="left"/>
              <w:rPr>
                <w:rFonts w:ascii="宋体"/>
                <w:sz w:val="24"/>
              </w:rPr>
            </w:pPr>
          </w:p>
        </w:tc>
        <w:tc>
          <w:tcPr>
            <w:tcW w:w="930" w:type="dxa"/>
          </w:tcPr>
          <w:p w14:paraId="78B9BC0F">
            <w:pPr>
              <w:spacing w:before="50" w:after="50" w:line="500" w:lineRule="exact"/>
              <w:jc w:val="left"/>
              <w:rPr>
                <w:rFonts w:ascii="宋体"/>
                <w:sz w:val="24"/>
              </w:rPr>
            </w:pPr>
          </w:p>
        </w:tc>
        <w:tc>
          <w:tcPr>
            <w:tcW w:w="1050" w:type="dxa"/>
          </w:tcPr>
          <w:p w14:paraId="205E5987">
            <w:pPr>
              <w:spacing w:before="50" w:after="50" w:line="500" w:lineRule="exact"/>
              <w:jc w:val="left"/>
              <w:rPr>
                <w:rFonts w:ascii="宋体"/>
                <w:sz w:val="24"/>
              </w:rPr>
            </w:pPr>
          </w:p>
        </w:tc>
        <w:tc>
          <w:tcPr>
            <w:tcW w:w="1140" w:type="dxa"/>
          </w:tcPr>
          <w:p w14:paraId="34C2C8FA">
            <w:pPr>
              <w:spacing w:before="50" w:after="50" w:line="500" w:lineRule="exact"/>
              <w:jc w:val="left"/>
              <w:rPr>
                <w:rFonts w:ascii="宋体"/>
                <w:sz w:val="24"/>
              </w:rPr>
            </w:pPr>
          </w:p>
        </w:tc>
        <w:tc>
          <w:tcPr>
            <w:tcW w:w="1275" w:type="dxa"/>
          </w:tcPr>
          <w:p w14:paraId="107C0F3C">
            <w:pPr>
              <w:spacing w:before="50" w:after="50" w:line="500" w:lineRule="exact"/>
              <w:jc w:val="left"/>
              <w:rPr>
                <w:rFonts w:ascii="宋体"/>
                <w:sz w:val="24"/>
              </w:rPr>
            </w:pPr>
          </w:p>
        </w:tc>
        <w:tc>
          <w:tcPr>
            <w:tcW w:w="1470" w:type="dxa"/>
          </w:tcPr>
          <w:p w14:paraId="6536D1BF">
            <w:pPr>
              <w:spacing w:before="50" w:after="50" w:line="500" w:lineRule="exact"/>
              <w:jc w:val="left"/>
              <w:rPr>
                <w:rFonts w:ascii="宋体"/>
                <w:sz w:val="24"/>
              </w:rPr>
            </w:pPr>
          </w:p>
        </w:tc>
        <w:tc>
          <w:tcPr>
            <w:tcW w:w="1844" w:type="dxa"/>
          </w:tcPr>
          <w:p w14:paraId="2CAD06D1">
            <w:pPr>
              <w:spacing w:before="50" w:after="50" w:line="500" w:lineRule="exact"/>
              <w:jc w:val="left"/>
              <w:rPr>
                <w:rFonts w:ascii="宋体"/>
                <w:sz w:val="24"/>
              </w:rPr>
            </w:pPr>
          </w:p>
        </w:tc>
      </w:tr>
      <w:tr w14:paraId="3288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262E59E">
            <w:pPr>
              <w:spacing w:before="50" w:after="50" w:line="500" w:lineRule="exact"/>
              <w:jc w:val="left"/>
              <w:rPr>
                <w:rFonts w:ascii="宋体"/>
                <w:sz w:val="24"/>
              </w:rPr>
            </w:pPr>
          </w:p>
        </w:tc>
        <w:tc>
          <w:tcPr>
            <w:tcW w:w="870" w:type="dxa"/>
          </w:tcPr>
          <w:p w14:paraId="0B3CA1DA">
            <w:pPr>
              <w:spacing w:before="50" w:after="50" w:line="500" w:lineRule="exact"/>
              <w:jc w:val="left"/>
              <w:rPr>
                <w:rFonts w:ascii="宋体"/>
                <w:sz w:val="24"/>
              </w:rPr>
            </w:pPr>
          </w:p>
        </w:tc>
        <w:tc>
          <w:tcPr>
            <w:tcW w:w="930" w:type="dxa"/>
          </w:tcPr>
          <w:p w14:paraId="36839145">
            <w:pPr>
              <w:spacing w:before="50" w:after="50" w:line="500" w:lineRule="exact"/>
              <w:jc w:val="left"/>
              <w:rPr>
                <w:rFonts w:ascii="宋体"/>
                <w:sz w:val="24"/>
              </w:rPr>
            </w:pPr>
          </w:p>
        </w:tc>
        <w:tc>
          <w:tcPr>
            <w:tcW w:w="1050" w:type="dxa"/>
          </w:tcPr>
          <w:p w14:paraId="1D959FD0">
            <w:pPr>
              <w:spacing w:before="50" w:after="50" w:line="500" w:lineRule="exact"/>
              <w:jc w:val="left"/>
              <w:rPr>
                <w:rFonts w:ascii="宋体"/>
                <w:sz w:val="24"/>
              </w:rPr>
            </w:pPr>
          </w:p>
        </w:tc>
        <w:tc>
          <w:tcPr>
            <w:tcW w:w="1140" w:type="dxa"/>
          </w:tcPr>
          <w:p w14:paraId="6D6DED02">
            <w:pPr>
              <w:spacing w:before="50" w:after="50" w:line="500" w:lineRule="exact"/>
              <w:jc w:val="left"/>
              <w:rPr>
                <w:rFonts w:ascii="宋体"/>
                <w:sz w:val="24"/>
              </w:rPr>
            </w:pPr>
          </w:p>
        </w:tc>
        <w:tc>
          <w:tcPr>
            <w:tcW w:w="1275" w:type="dxa"/>
          </w:tcPr>
          <w:p w14:paraId="314B69FA">
            <w:pPr>
              <w:spacing w:before="50" w:after="50" w:line="500" w:lineRule="exact"/>
              <w:jc w:val="left"/>
              <w:rPr>
                <w:rFonts w:ascii="宋体"/>
                <w:sz w:val="24"/>
              </w:rPr>
            </w:pPr>
          </w:p>
        </w:tc>
        <w:tc>
          <w:tcPr>
            <w:tcW w:w="1470" w:type="dxa"/>
          </w:tcPr>
          <w:p w14:paraId="13D82338">
            <w:pPr>
              <w:spacing w:before="50" w:after="50" w:line="500" w:lineRule="exact"/>
              <w:jc w:val="left"/>
              <w:rPr>
                <w:rFonts w:ascii="宋体"/>
                <w:sz w:val="24"/>
              </w:rPr>
            </w:pPr>
          </w:p>
        </w:tc>
        <w:tc>
          <w:tcPr>
            <w:tcW w:w="1844" w:type="dxa"/>
          </w:tcPr>
          <w:p w14:paraId="26C6AE70">
            <w:pPr>
              <w:spacing w:before="50" w:after="50" w:line="500" w:lineRule="exact"/>
              <w:jc w:val="left"/>
              <w:rPr>
                <w:rFonts w:ascii="宋体"/>
                <w:sz w:val="24"/>
              </w:rPr>
            </w:pPr>
          </w:p>
        </w:tc>
      </w:tr>
      <w:tr w14:paraId="259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389B9FF6">
            <w:pPr>
              <w:spacing w:before="50" w:after="50" w:line="500" w:lineRule="exact"/>
              <w:jc w:val="left"/>
              <w:rPr>
                <w:rFonts w:ascii="宋体"/>
                <w:sz w:val="24"/>
              </w:rPr>
            </w:pPr>
          </w:p>
        </w:tc>
        <w:tc>
          <w:tcPr>
            <w:tcW w:w="870" w:type="dxa"/>
          </w:tcPr>
          <w:p w14:paraId="0D5126D2">
            <w:pPr>
              <w:spacing w:before="50" w:after="50" w:line="500" w:lineRule="exact"/>
              <w:jc w:val="left"/>
              <w:rPr>
                <w:rFonts w:ascii="宋体"/>
                <w:sz w:val="24"/>
              </w:rPr>
            </w:pPr>
          </w:p>
        </w:tc>
        <w:tc>
          <w:tcPr>
            <w:tcW w:w="930" w:type="dxa"/>
          </w:tcPr>
          <w:p w14:paraId="57A84DA0">
            <w:pPr>
              <w:spacing w:before="50" w:after="50" w:line="500" w:lineRule="exact"/>
              <w:jc w:val="left"/>
              <w:rPr>
                <w:rFonts w:ascii="宋体"/>
                <w:sz w:val="24"/>
              </w:rPr>
            </w:pPr>
          </w:p>
        </w:tc>
        <w:tc>
          <w:tcPr>
            <w:tcW w:w="1050" w:type="dxa"/>
          </w:tcPr>
          <w:p w14:paraId="632AEED8">
            <w:pPr>
              <w:spacing w:before="50" w:after="50" w:line="500" w:lineRule="exact"/>
              <w:jc w:val="left"/>
              <w:rPr>
                <w:rFonts w:ascii="宋体"/>
                <w:sz w:val="24"/>
              </w:rPr>
            </w:pPr>
          </w:p>
        </w:tc>
        <w:tc>
          <w:tcPr>
            <w:tcW w:w="1140" w:type="dxa"/>
          </w:tcPr>
          <w:p w14:paraId="7A744D9B">
            <w:pPr>
              <w:spacing w:before="50" w:after="50" w:line="500" w:lineRule="exact"/>
              <w:jc w:val="left"/>
              <w:rPr>
                <w:rFonts w:ascii="宋体"/>
                <w:sz w:val="24"/>
              </w:rPr>
            </w:pPr>
          </w:p>
        </w:tc>
        <w:tc>
          <w:tcPr>
            <w:tcW w:w="1275" w:type="dxa"/>
          </w:tcPr>
          <w:p w14:paraId="0CC82C6E">
            <w:pPr>
              <w:spacing w:before="50" w:after="50" w:line="500" w:lineRule="exact"/>
              <w:jc w:val="left"/>
              <w:rPr>
                <w:rFonts w:ascii="宋体"/>
                <w:sz w:val="24"/>
              </w:rPr>
            </w:pPr>
          </w:p>
        </w:tc>
        <w:tc>
          <w:tcPr>
            <w:tcW w:w="1470" w:type="dxa"/>
          </w:tcPr>
          <w:p w14:paraId="5841B53B">
            <w:pPr>
              <w:spacing w:before="50" w:after="50" w:line="500" w:lineRule="exact"/>
              <w:jc w:val="left"/>
              <w:rPr>
                <w:rFonts w:ascii="宋体"/>
                <w:sz w:val="24"/>
              </w:rPr>
            </w:pPr>
          </w:p>
        </w:tc>
        <w:tc>
          <w:tcPr>
            <w:tcW w:w="1844" w:type="dxa"/>
          </w:tcPr>
          <w:p w14:paraId="2A942D18">
            <w:pPr>
              <w:spacing w:before="50" w:after="50" w:line="500" w:lineRule="exact"/>
              <w:jc w:val="left"/>
              <w:rPr>
                <w:rFonts w:ascii="宋体"/>
                <w:sz w:val="24"/>
              </w:rPr>
            </w:pPr>
          </w:p>
        </w:tc>
      </w:tr>
      <w:tr w14:paraId="46E7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4DEB995">
            <w:pPr>
              <w:spacing w:before="50" w:after="50" w:line="500" w:lineRule="exact"/>
              <w:jc w:val="left"/>
              <w:rPr>
                <w:rFonts w:ascii="宋体"/>
                <w:sz w:val="24"/>
              </w:rPr>
            </w:pPr>
          </w:p>
        </w:tc>
        <w:tc>
          <w:tcPr>
            <w:tcW w:w="870" w:type="dxa"/>
          </w:tcPr>
          <w:p w14:paraId="5B0B99B7">
            <w:pPr>
              <w:spacing w:before="50" w:after="50" w:line="500" w:lineRule="exact"/>
              <w:jc w:val="left"/>
              <w:rPr>
                <w:rFonts w:ascii="宋体"/>
                <w:sz w:val="24"/>
              </w:rPr>
            </w:pPr>
          </w:p>
        </w:tc>
        <w:tc>
          <w:tcPr>
            <w:tcW w:w="930" w:type="dxa"/>
          </w:tcPr>
          <w:p w14:paraId="2D4A1E61">
            <w:pPr>
              <w:spacing w:before="50" w:after="50" w:line="500" w:lineRule="exact"/>
              <w:jc w:val="left"/>
              <w:rPr>
                <w:rFonts w:ascii="宋体"/>
                <w:sz w:val="24"/>
              </w:rPr>
            </w:pPr>
          </w:p>
        </w:tc>
        <w:tc>
          <w:tcPr>
            <w:tcW w:w="1050" w:type="dxa"/>
          </w:tcPr>
          <w:p w14:paraId="25A51DD5">
            <w:pPr>
              <w:spacing w:before="50" w:after="50" w:line="500" w:lineRule="exact"/>
              <w:jc w:val="left"/>
              <w:rPr>
                <w:rFonts w:ascii="宋体"/>
                <w:sz w:val="24"/>
              </w:rPr>
            </w:pPr>
          </w:p>
        </w:tc>
        <w:tc>
          <w:tcPr>
            <w:tcW w:w="1140" w:type="dxa"/>
          </w:tcPr>
          <w:p w14:paraId="60DFB646">
            <w:pPr>
              <w:spacing w:before="50" w:after="50" w:line="500" w:lineRule="exact"/>
              <w:jc w:val="left"/>
              <w:rPr>
                <w:rFonts w:ascii="宋体"/>
                <w:sz w:val="24"/>
              </w:rPr>
            </w:pPr>
          </w:p>
        </w:tc>
        <w:tc>
          <w:tcPr>
            <w:tcW w:w="1275" w:type="dxa"/>
          </w:tcPr>
          <w:p w14:paraId="479FD238">
            <w:pPr>
              <w:spacing w:before="50" w:after="50" w:line="500" w:lineRule="exact"/>
              <w:jc w:val="left"/>
              <w:rPr>
                <w:rFonts w:ascii="宋体"/>
                <w:sz w:val="24"/>
              </w:rPr>
            </w:pPr>
          </w:p>
        </w:tc>
        <w:tc>
          <w:tcPr>
            <w:tcW w:w="1470" w:type="dxa"/>
          </w:tcPr>
          <w:p w14:paraId="1750333A">
            <w:pPr>
              <w:spacing w:before="50" w:after="50" w:line="500" w:lineRule="exact"/>
              <w:jc w:val="left"/>
              <w:rPr>
                <w:rFonts w:ascii="宋体"/>
                <w:sz w:val="24"/>
              </w:rPr>
            </w:pPr>
          </w:p>
        </w:tc>
        <w:tc>
          <w:tcPr>
            <w:tcW w:w="1844" w:type="dxa"/>
          </w:tcPr>
          <w:p w14:paraId="6840A8CA">
            <w:pPr>
              <w:spacing w:before="50" w:after="50" w:line="500" w:lineRule="exact"/>
              <w:jc w:val="left"/>
              <w:rPr>
                <w:rFonts w:ascii="宋体"/>
                <w:sz w:val="24"/>
              </w:rPr>
            </w:pPr>
          </w:p>
        </w:tc>
      </w:tr>
      <w:tr w14:paraId="2CB7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6BD89DC0">
            <w:pPr>
              <w:spacing w:before="50" w:after="50" w:line="500" w:lineRule="exact"/>
              <w:jc w:val="left"/>
              <w:rPr>
                <w:rFonts w:ascii="宋体"/>
                <w:sz w:val="24"/>
              </w:rPr>
            </w:pPr>
          </w:p>
        </w:tc>
        <w:tc>
          <w:tcPr>
            <w:tcW w:w="870" w:type="dxa"/>
          </w:tcPr>
          <w:p w14:paraId="161C8325">
            <w:pPr>
              <w:spacing w:before="50" w:after="50" w:line="500" w:lineRule="exact"/>
              <w:jc w:val="left"/>
              <w:rPr>
                <w:rFonts w:ascii="宋体"/>
                <w:sz w:val="24"/>
              </w:rPr>
            </w:pPr>
          </w:p>
        </w:tc>
        <w:tc>
          <w:tcPr>
            <w:tcW w:w="930" w:type="dxa"/>
          </w:tcPr>
          <w:p w14:paraId="205550F0">
            <w:pPr>
              <w:spacing w:before="50" w:after="50" w:line="500" w:lineRule="exact"/>
              <w:jc w:val="left"/>
              <w:rPr>
                <w:rFonts w:ascii="宋体"/>
                <w:sz w:val="24"/>
              </w:rPr>
            </w:pPr>
          </w:p>
        </w:tc>
        <w:tc>
          <w:tcPr>
            <w:tcW w:w="1050" w:type="dxa"/>
          </w:tcPr>
          <w:p w14:paraId="33D39A12">
            <w:pPr>
              <w:spacing w:before="50" w:after="50" w:line="500" w:lineRule="exact"/>
              <w:jc w:val="left"/>
              <w:rPr>
                <w:rFonts w:ascii="宋体"/>
                <w:sz w:val="24"/>
              </w:rPr>
            </w:pPr>
          </w:p>
        </w:tc>
        <w:tc>
          <w:tcPr>
            <w:tcW w:w="1140" w:type="dxa"/>
          </w:tcPr>
          <w:p w14:paraId="65095236">
            <w:pPr>
              <w:spacing w:before="50" w:after="50" w:line="500" w:lineRule="exact"/>
              <w:jc w:val="left"/>
              <w:rPr>
                <w:rFonts w:ascii="宋体"/>
                <w:sz w:val="24"/>
              </w:rPr>
            </w:pPr>
          </w:p>
        </w:tc>
        <w:tc>
          <w:tcPr>
            <w:tcW w:w="1275" w:type="dxa"/>
          </w:tcPr>
          <w:p w14:paraId="4A359002">
            <w:pPr>
              <w:spacing w:before="50" w:after="50" w:line="500" w:lineRule="exact"/>
              <w:jc w:val="left"/>
              <w:rPr>
                <w:rFonts w:ascii="宋体"/>
                <w:sz w:val="24"/>
              </w:rPr>
            </w:pPr>
          </w:p>
        </w:tc>
        <w:tc>
          <w:tcPr>
            <w:tcW w:w="1470" w:type="dxa"/>
          </w:tcPr>
          <w:p w14:paraId="0AA1389E">
            <w:pPr>
              <w:spacing w:before="50" w:after="50" w:line="500" w:lineRule="exact"/>
              <w:jc w:val="left"/>
              <w:rPr>
                <w:rFonts w:ascii="宋体"/>
                <w:sz w:val="24"/>
              </w:rPr>
            </w:pPr>
          </w:p>
        </w:tc>
        <w:tc>
          <w:tcPr>
            <w:tcW w:w="1844" w:type="dxa"/>
          </w:tcPr>
          <w:p w14:paraId="73DDC568">
            <w:pPr>
              <w:spacing w:before="50" w:after="50" w:line="500" w:lineRule="exact"/>
              <w:jc w:val="left"/>
              <w:rPr>
                <w:rFonts w:ascii="宋体"/>
                <w:sz w:val="24"/>
              </w:rPr>
            </w:pPr>
          </w:p>
        </w:tc>
      </w:tr>
      <w:tr w14:paraId="29E1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7C2FDE5F">
            <w:pPr>
              <w:spacing w:before="50" w:after="50" w:line="500" w:lineRule="exact"/>
              <w:jc w:val="left"/>
              <w:rPr>
                <w:rFonts w:ascii="宋体"/>
                <w:sz w:val="24"/>
              </w:rPr>
            </w:pPr>
          </w:p>
        </w:tc>
        <w:tc>
          <w:tcPr>
            <w:tcW w:w="870" w:type="dxa"/>
          </w:tcPr>
          <w:p w14:paraId="18C26476">
            <w:pPr>
              <w:spacing w:before="50" w:after="50" w:line="500" w:lineRule="exact"/>
              <w:jc w:val="left"/>
              <w:rPr>
                <w:rFonts w:ascii="宋体"/>
                <w:sz w:val="24"/>
              </w:rPr>
            </w:pPr>
          </w:p>
        </w:tc>
        <w:tc>
          <w:tcPr>
            <w:tcW w:w="930" w:type="dxa"/>
          </w:tcPr>
          <w:p w14:paraId="6317F481">
            <w:pPr>
              <w:spacing w:before="50" w:after="50" w:line="500" w:lineRule="exact"/>
              <w:jc w:val="left"/>
              <w:rPr>
                <w:rFonts w:ascii="宋体"/>
                <w:sz w:val="24"/>
              </w:rPr>
            </w:pPr>
          </w:p>
        </w:tc>
        <w:tc>
          <w:tcPr>
            <w:tcW w:w="1050" w:type="dxa"/>
          </w:tcPr>
          <w:p w14:paraId="12C73782">
            <w:pPr>
              <w:spacing w:before="50" w:after="50" w:line="500" w:lineRule="exact"/>
              <w:jc w:val="left"/>
              <w:rPr>
                <w:rFonts w:ascii="宋体"/>
                <w:sz w:val="24"/>
              </w:rPr>
            </w:pPr>
          </w:p>
        </w:tc>
        <w:tc>
          <w:tcPr>
            <w:tcW w:w="1140" w:type="dxa"/>
          </w:tcPr>
          <w:p w14:paraId="0D712CBE">
            <w:pPr>
              <w:spacing w:before="50" w:after="50" w:line="500" w:lineRule="exact"/>
              <w:jc w:val="left"/>
              <w:rPr>
                <w:rFonts w:ascii="宋体"/>
                <w:sz w:val="24"/>
              </w:rPr>
            </w:pPr>
          </w:p>
        </w:tc>
        <w:tc>
          <w:tcPr>
            <w:tcW w:w="1275" w:type="dxa"/>
          </w:tcPr>
          <w:p w14:paraId="6D06D5FC">
            <w:pPr>
              <w:spacing w:before="50" w:after="50" w:line="500" w:lineRule="exact"/>
              <w:jc w:val="left"/>
              <w:rPr>
                <w:rFonts w:ascii="宋体"/>
                <w:sz w:val="24"/>
              </w:rPr>
            </w:pPr>
          </w:p>
        </w:tc>
        <w:tc>
          <w:tcPr>
            <w:tcW w:w="1470" w:type="dxa"/>
          </w:tcPr>
          <w:p w14:paraId="20401D1F">
            <w:pPr>
              <w:spacing w:before="50" w:after="50" w:line="500" w:lineRule="exact"/>
              <w:jc w:val="left"/>
              <w:rPr>
                <w:rFonts w:ascii="宋体"/>
                <w:sz w:val="24"/>
              </w:rPr>
            </w:pPr>
          </w:p>
        </w:tc>
        <w:tc>
          <w:tcPr>
            <w:tcW w:w="1844" w:type="dxa"/>
          </w:tcPr>
          <w:p w14:paraId="4D9E06A7">
            <w:pPr>
              <w:spacing w:before="50" w:after="50" w:line="500" w:lineRule="exact"/>
              <w:jc w:val="left"/>
              <w:rPr>
                <w:rFonts w:ascii="宋体"/>
                <w:sz w:val="24"/>
              </w:rPr>
            </w:pPr>
          </w:p>
        </w:tc>
      </w:tr>
      <w:tr w14:paraId="6100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026C8951">
            <w:pPr>
              <w:spacing w:before="50" w:after="50" w:line="500" w:lineRule="exact"/>
              <w:jc w:val="left"/>
              <w:rPr>
                <w:rFonts w:ascii="宋体"/>
                <w:sz w:val="24"/>
              </w:rPr>
            </w:pPr>
          </w:p>
        </w:tc>
        <w:tc>
          <w:tcPr>
            <w:tcW w:w="870" w:type="dxa"/>
          </w:tcPr>
          <w:p w14:paraId="70AFA7B4">
            <w:pPr>
              <w:spacing w:before="50" w:after="50" w:line="500" w:lineRule="exact"/>
              <w:jc w:val="left"/>
              <w:rPr>
                <w:rFonts w:ascii="宋体"/>
                <w:sz w:val="24"/>
              </w:rPr>
            </w:pPr>
          </w:p>
        </w:tc>
        <w:tc>
          <w:tcPr>
            <w:tcW w:w="930" w:type="dxa"/>
          </w:tcPr>
          <w:p w14:paraId="019ADBF3">
            <w:pPr>
              <w:spacing w:before="50" w:after="50" w:line="500" w:lineRule="exact"/>
              <w:jc w:val="left"/>
              <w:rPr>
                <w:rFonts w:ascii="宋体"/>
                <w:sz w:val="24"/>
              </w:rPr>
            </w:pPr>
          </w:p>
        </w:tc>
        <w:tc>
          <w:tcPr>
            <w:tcW w:w="1050" w:type="dxa"/>
          </w:tcPr>
          <w:p w14:paraId="0347C68F">
            <w:pPr>
              <w:spacing w:before="50" w:after="50" w:line="500" w:lineRule="exact"/>
              <w:jc w:val="left"/>
              <w:rPr>
                <w:rFonts w:ascii="宋体"/>
                <w:sz w:val="24"/>
              </w:rPr>
            </w:pPr>
          </w:p>
        </w:tc>
        <w:tc>
          <w:tcPr>
            <w:tcW w:w="1140" w:type="dxa"/>
          </w:tcPr>
          <w:p w14:paraId="1715643B">
            <w:pPr>
              <w:spacing w:before="50" w:after="50" w:line="500" w:lineRule="exact"/>
              <w:jc w:val="left"/>
              <w:rPr>
                <w:rFonts w:ascii="宋体"/>
                <w:sz w:val="24"/>
              </w:rPr>
            </w:pPr>
          </w:p>
        </w:tc>
        <w:tc>
          <w:tcPr>
            <w:tcW w:w="1275" w:type="dxa"/>
          </w:tcPr>
          <w:p w14:paraId="48F3616C">
            <w:pPr>
              <w:spacing w:before="50" w:after="50" w:line="500" w:lineRule="exact"/>
              <w:jc w:val="left"/>
              <w:rPr>
                <w:rFonts w:ascii="宋体"/>
                <w:sz w:val="24"/>
              </w:rPr>
            </w:pPr>
          </w:p>
        </w:tc>
        <w:tc>
          <w:tcPr>
            <w:tcW w:w="1470" w:type="dxa"/>
          </w:tcPr>
          <w:p w14:paraId="5C7FAE95">
            <w:pPr>
              <w:spacing w:before="50" w:after="50" w:line="500" w:lineRule="exact"/>
              <w:jc w:val="left"/>
              <w:rPr>
                <w:rFonts w:ascii="宋体"/>
                <w:sz w:val="24"/>
              </w:rPr>
            </w:pPr>
          </w:p>
        </w:tc>
        <w:tc>
          <w:tcPr>
            <w:tcW w:w="1844" w:type="dxa"/>
          </w:tcPr>
          <w:p w14:paraId="7AEE2F28">
            <w:pPr>
              <w:spacing w:before="50" w:after="50" w:line="500" w:lineRule="exact"/>
              <w:jc w:val="left"/>
              <w:rPr>
                <w:rFonts w:ascii="宋体"/>
                <w:sz w:val="24"/>
              </w:rPr>
            </w:pPr>
          </w:p>
        </w:tc>
      </w:tr>
      <w:tr w14:paraId="467C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349C9E7A">
            <w:pPr>
              <w:spacing w:before="50" w:after="50" w:line="500" w:lineRule="exact"/>
              <w:jc w:val="left"/>
              <w:rPr>
                <w:rFonts w:ascii="宋体"/>
                <w:sz w:val="24"/>
              </w:rPr>
            </w:pPr>
          </w:p>
        </w:tc>
        <w:tc>
          <w:tcPr>
            <w:tcW w:w="870" w:type="dxa"/>
          </w:tcPr>
          <w:p w14:paraId="4DDC4293">
            <w:pPr>
              <w:spacing w:before="50" w:after="50" w:line="500" w:lineRule="exact"/>
              <w:jc w:val="left"/>
              <w:rPr>
                <w:rFonts w:ascii="宋体"/>
                <w:sz w:val="24"/>
              </w:rPr>
            </w:pPr>
          </w:p>
        </w:tc>
        <w:tc>
          <w:tcPr>
            <w:tcW w:w="930" w:type="dxa"/>
          </w:tcPr>
          <w:p w14:paraId="1F912329">
            <w:pPr>
              <w:spacing w:before="50" w:after="50" w:line="500" w:lineRule="exact"/>
              <w:jc w:val="left"/>
              <w:rPr>
                <w:rFonts w:ascii="宋体"/>
                <w:sz w:val="24"/>
              </w:rPr>
            </w:pPr>
          </w:p>
        </w:tc>
        <w:tc>
          <w:tcPr>
            <w:tcW w:w="1050" w:type="dxa"/>
          </w:tcPr>
          <w:p w14:paraId="4FA69C29">
            <w:pPr>
              <w:spacing w:before="50" w:after="50" w:line="500" w:lineRule="exact"/>
              <w:jc w:val="left"/>
              <w:rPr>
                <w:rFonts w:ascii="宋体"/>
                <w:sz w:val="24"/>
              </w:rPr>
            </w:pPr>
          </w:p>
        </w:tc>
        <w:tc>
          <w:tcPr>
            <w:tcW w:w="1140" w:type="dxa"/>
          </w:tcPr>
          <w:p w14:paraId="15F3F32D">
            <w:pPr>
              <w:spacing w:before="50" w:after="50" w:line="500" w:lineRule="exact"/>
              <w:jc w:val="left"/>
              <w:rPr>
                <w:rFonts w:ascii="宋体"/>
                <w:sz w:val="24"/>
              </w:rPr>
            </w:pPr>
          </w:p>
        </w:tc>
        <w:tc>
          <w:tcPr>
            <w:tcW w:w="1275" w:type="dxa"/>
          </w:tcPr>
          <w:p w14:paraId="000C770E">
            <w:pPr>
              <w:spacing w:before="50" w:after="50" w:line="500" w:lineRule="exact"/>
              <w:jc w:val="left"/>
              <w:rPr>
                <w:rFonts w:ascii="宋体"/>
                <w:sz w:val="24"/>
              </w:rPr>
            </w:pPr>
          </w:p>
        </w:tc>
        <w:tc>
          <w:tcPr>
            <w:tcW w:w="1470" w:type="dxa"/>
          </w:tcPr>
          <w:p w14:paraId="64127116">
            <w:pPr>
              <w:spacing w:before="50" w:after="50" w:line="500" w:lineRule="exact"/>
              <w:jc w:val="left"/>
              <w:rPr>
                <w:rFonts w:ascii="宋体"/>
                <w:sz w:val="24"/>
              </w:rPr>
            </w:pPr>
          </w:p>
        </w:tc>
        <w:tc>
          <w:tcPr>
            <w:tcW w:w="1844" w:type="dxa"/>
          </w:tcPr>
          <w:p w14:paraId="30824D87">
            <w:pPr>
              <w:spacing w:before="50" w:after="50" w:line="500" w:lineRule="exact"/>
              <w:jc w:val="left"/>
              <w:rPr>
                <w:rFonts w:ascii="宋体"/>
                <w:sz w:val="24"/>
              </w:rPr>
            </w:pPr>
          </w:p>
        </w:tc>
      </w:tr>
      <w:tr w14:paraId="2610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11" w:type="dxa"/>
          </w:tcPr>
          <w:p w14:paraId="5044B5AF">
            <w:pPr>
              <w:spacing w:before="50" w:after="50" w:line="500" w:lineRule="exact"/>
              <w:jc w:val="left"/>
              <w:rPr>
                <w:rFonts w:ascii="宋体"/>
                <w:sz w:val="24"/>
              </w:rPr>
            </w:pPr>
          </w:p>
        </w:tc>
        <w:tc>
          <w:tcPr>
            <w:tcW w:w="870" w:type="dxa"/>
          </w:tcPr>
          <w:p w14:paraId="7CB50584">
            <w:pPr>
              <w:spacing w:before="50" w:after="50" w:line="500" w:lineRule="exact"/>
              <w:jc w:val="left"/>
              <w:rPr>
                <w:rFonts w:ascii="宋体"/>
                <w:sz w:val="24"/>
              </w:rPr>
            </w:pPr>
          </w:p>
        </w:tc>
        <w:tc>
          <w:tcPr>
            <w:tcW w:w="930" w:type="dxa"/>
          </w:tcPr>
          <w:p w14:paraId="60C07CF5">
            <w:pPr>
              <w:spacing w:before="50" w:after="50" w:line="500" w:lineRule="exact"/>
              <w:jc w:val="left"/>
              <w:rPr>
                <w:rFonts w:ascii="宋体"/>
                <w:sz w:val="24"/>
              </w:rPr>
            </w:pPr>
          </w:p>
        </w:tc>
        <w:tc>
          <w:tcPr>
            <w:tcW w:w="1050" w:type="dxa"/>
          </w:tcPr>
          <w:p w14:paraId="6ECD498E">
            <w:pPr>
              <w:spacing w:before="50" w:after="50" w:line="500" w:lineRule="exact"/>
              <w:jc w:val="left"/>
              <w:rPr>
                <w:rFonts w:ascii="宋体"/>
                <w:sz w:val="24"/>
              </w:rPr>
            </w:pPr>
          </w:p>
        </w:tc>
        <w:tc>
          <w:tcPr>
            <w:tcW w:w="1140" w:type="dxa"/>
          </w:tcPr>
          <w:p w14:paraId="2AD5AA31">
            <w:pPr>
              <w:spacing w:before="50" w:after="50" w:line="500" w:lineRule="exact"/>
              <w:jc w:val="left"/>
              <w:rPr>
                <w:rFonts w:ascii="宋体"/>
                <w:sz w:val="24"/>
              </w:rPr>
            </w:pPr>
          </w:p>
        </w:tc>
        <w:tc>
          <w:tcPr>
            <w:tcW w:w="1275" w:type="dxa"/>
          </w:tcPr>
          <w:p w14:paraId="3E60698A">
            <w:pPr>
              <w:spacing w:before="50" w:after="50" w:line="500" w:lineRule="exact"/>
              <w:jc w:val="left"/>
              <w:rPr>
                <w:rFonts w:ascii="宋体"/>
                <w:sz w:val="24"/>
              </w:rPr>
            </w:pPr>
          </w:p>
        </w:tc>
        <w:tc>
          <w:tcPr>
            <w:tcW w:w="1470" w:type="dxa"/>
          </w:tcPr>
          <w:p w14:paraId="601EDF68">
            <w:pPr>
              <w:spacing w:before="50" w:after="50" w:line="500" w:lineRule="exact"/>
              <w:jc w:val="left"/>
              <w:rPr>
                <w:rFonts w:ascii="宋体"/>
                <w:sz w:val="24"/>
              </w:rPr>
            </w:pPr>
          </w:p>
        </w:tc>
        <w:tc>
          <w:tcPr>
            <w:tcW w:w="1844" w:type="dxa"/>
          </w:tcPr>
          <w:p w14:paraId="7FDC4443">
            <w:pPr>
              <w:spacing w:before="50" w:after="50" w:line="500" w:lineRule="exact"/>
              <w:jc w:val="left"/>
              <w:rPr>
                <w:rFonts w:ascii="宋体"/>
                <w:sz w:val="24"/>
              </w:rPr>
            </w:pPr>
          </w:p>
        </w:tc>
      </w:tr>
    </w:tbl>
    <w:p w14:paraId="58EA1EC7">
      <w:pPr>
        <w:spacing w:before="50" w:after="50" w:line="500" w:lineRule="exact"/>
        <w:rPr>
          <w:rFonts w:ascii="宋体"/>
          <w:b/>
          <w:bCs/>
          <w:sz w:val="24"/>
        </w:rPr>
      </w:pPr>
    </w:p>
    <w:p w14:paraId="04AB7673">
      <w:pPr>
        <w:pStyle w:val="28"/>
        <w:tabs>
          <w:tab w:val="left" w:pos="4312"/>
        </w:tabs>
        <w:spacing w:before="156" w:after="156" w:line="360" w:lineRule="auto"/>
        <w:rPr>
          <w:rFonts w:ascii="Times New Roman" w:hAnsi="Times New Roman"/>
          <w:szCs w:val="24"/>
        </w:rPr>
      </w:pPr>
      <w:r>
        <w:rPr>
          <w:rFonts w:hint="eastAsia" w:ascii="Times New Roman" w:hAnsi="Times New Roman"/>
          <w:szCs w:val="24"/>
        </w:rPr>
        <w:t>磋商响应</w:t>
      </w:r>
      <w:r>
        <w:rPr>
          <w:rFonts w:ascii="Times New Roman" w:hAnsi="Times New Roman"/>
          <w:szCs w:val="24"/>
        </w:rPr>
        <w:t>单位（公章）：</w:t>
      </w:r>
    </w:p>
    <w:p w14:paraId="7EA818FA">
      <w:pPr>
        <w:pStyle w:val="28"/>
        <w:tabs>
          <w:tab w:val="left" w:pos="4312"/>
        </w:tabs>
        <w:spacing w:before="156" w:after="156" w:line="360" w:lineRule="auto"/>
        <w:rPr>
          <w:rFonts w:ascii="Times New Roman" w:hAnsi="Times New Roman"/>
          <w:szCs w:val="24"/>
        </w:rPr>
      </w:pPr>
      <w:r>
        <w:rPr>
          <w:rFonts w:ascii="Times New Roman" w:hAnsi="Times New Roman"/>
          <w:szCs w:val="24"/>
        </w:rPr>
        <w:t>授权代表签字：</w:t>
      </w:r>
    </w:p>
    <w:p w14:paraId="0D42A0CF">
      <w:pPr>
        <w:pStyle w:val="28"/>
        <w:tabs>
          <w:tab w:val="left" w:pos="4312"/>
        </w:tabs>
        <w:spacing w:before="156" w:after="156" w:line="360" w:lineRule="auto"/>
        <w:rPr>
          <w:rFonts w:ascii="Times New Roman" w:hAnsi="Times New Roman"/>
          <w:szCs w:val="24"/>
        </w:rPr>
      </w:pPr>
      <w:r>
        <w:rPr>
          <w:rFonts w:ascii="Times New Roman" w:hAnsi="Times New Roman"/>
          <w:szCs w:val="24"/>
        </w:rPr>
        <w:t>日期：</w:t>
      </w:r>
    </w:p>
    <w:p w14:paraId="08446F76">
      <w:pPr>
        <w:snapToGrid w:val="0"/>
        <w:spacing w:before="50" w:after="156" w:afterLines="50"/>
        <w:jc w:val="left"/>
        <w:rPr>
          <w:rFonts w:ascii="宋体"/>
          <w:b/>
          <w:bCs/>
          <w:sz w:val="24"/>
        </w:rPr>
      </w:pPr>
    </w:p>
    <w:p w14:paraId="1C66E955">
      <w:pPr>
        <w:snapToGrid w:val="0"/>
        <w:spacing w:before="50" w:after="156" w:afterLines="50"/>
        <w:jc w:val="left"/>
        <w:rPr>
          <w:rFonts w:ascii="宋体"/>
          <w:b/>
          <w:bCs/>
          <w:sz w:val="24"/>
        </w:rPr>
      </w:pPr>
    </w:p>
    <w:p w14:paraId="13A9722C">
      <w:pPr>
        <w:snapToGrid w:val="0"/>
        <w:spacing w:before="50" w:after="156" w:afterLines="50"/>
        <w:jc w:val="left"/>
        <w:rPr>
          <w:rFonts w:ascii="宋体"/>
          <w:b/>
          <w:bCs/>
          <w:sz w:val="24"/>
        </w:rPr>
      </w:pPr>
    </w:p>
    <w:p w14:paraId="7D2C9314">
      <w:pPr>
        <w:snapToGrid w:val="0"/>
        <w:spacing w:before="50" w:after="156" w:afterLines="50"/>
        <w:jc w:val="left"/>
        <w:rPr>
          <w:rFonts w:ascii="宋体"/>
          <w:b/>
          <w:bCs/>
          <w:sz w:val="24"/>
        </w:rPr>
      </w:pPr>
    </w:p>
    <w:p w14:paraId="014B6B35">
      <w:pPr>
        <w:snapToGrid w:val="0"/>
        <w:spacing w:before="50" w:after="156" w:afterLines="50"/>
        <w:jc w:val="left"/>
        <w:rPr>
          <w:rFonts w:ascii="宋体"/>
          <w:b/>
          <w:bCs/>
          <w:sz w:val="24"/>
        </w:rPr>
      </w:pPr>
    </w:p>
    <w:p w14:paraId="6A9F186B">
      <w:pPr>
        <w:rPr>
          <w:rFonts w:ascii="宋体" w:hAnsi="宋体" w:cs="宋体"/>
          <w:b/>
          <w:bCs/>
          <w:spacing w:val="-3"/>
          <w:kern w:val="0"/>
          <w:sz w:val="24"/>
        </w:rPr>
      </w:pPr>
      <w:r>
        <w:rPr>
          <w:rFonts w:hint="eastAsia" w:ascii="宋体" w:hAnsi="宋体" w:cs="宋体"/>
          <w:b/>
          <w:bCs/>
          <w:spacing w:val="-3"/>
          <w:kern w:val="0"/>
          <w:sz w:val="24"/>
        </w:rPr>
        <w:br w:type="page"/>
      </w:r>
    </w:p>
    <w:p w14:paraId="2D8020C6">
      <w:pPr>
        <w:autoSpaceDE w:val="0"/>
        <w:autoSpaceDN w:val="0"/>
        <w:adjustRightInd w:val="0"/>
        <w:snapToGrid w:val="0"/>
        <w:spacing w:before="100" w:beforeAutospacing="1" w:after="100" w:afterAutospacing="1"/>
        <w:jc w:val="center"/>
        <w:rPr>
          <w:rFonts w:ascii="宋体"/>
          <w:b/>
          <w:bCs/>
          <w:spacing w:val="-3"/>
          <w:kern w:val="0"/>
          <w:sz w:val="24"/>
        </w:rPr>
      </w:pPr>
      <w:r>
        <w:rPr>
          <w:rFonts w:hint="eastAsia" w:ascii="宋体" w:hAnsi="宋体" w:cs="宋体"/>
          <w:b/>
          <w:bCs/>
          <w:spacing w:val="-3"/>
          <w:kern w:val="0"/>
          <w:sz w:val="24"/>
        </w:rPr>
        <w:t>项目负责人主要简历表</w:t>
      </w:r>
    </w:p>
    <w:tbl>
      <w:tblPr>
        <w:tblStyle w:val="46"/>
        <w:tblW w:w="9242"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24"/>
        <w:gridCol w:w="1235"/>
        <w:gridCol w:w="1386"/>
        <w:gridCol w:w="2002"/>
        <w:gridCol w:w="2307"/>
      </w:tblGrid>
      <w:tr w14:paraId="11E08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tcBorders>
              <w:top w:val="single" w:color="auto" w:sz="12" w:space="0"/>
            </w:tcBorders>
            <w:vAlign w:val="center"/>
          </w:tcPr>
          <w:p w14:paraId="5487899D">
            <w:pPr>
              <w:jc w:val="center"/>
              <w:rPr>
                <w:rFonts w:ascii="宋体"/>
                <w:sz w:val="24"/>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p>
        </w:tc>
        <w:tc>
          <w:tcPr>
            <w:tcW w:w="1124" w:type="dxa"/>
            <w:tcBorders>
              <w:top w:val="single" w:color="auto" w:sz="12" w:space="0"/>
            </w:tcBorders>
            <w:vAlign w:val="center"/>
          </w:tcPr>
          <w:p w14:paraId="3D38C573">
            <w:pPr>
              <w:jc w:val="center"/>
              <w:rPr>
                <w:rFonts w:ascii="宋体"/>
                <w:sz w:val="24"/>
              </w:rPr>
            </w:pPr>
          </w:p>
        </w:tc>
        <w:tc>
          <w:tcPr>
            <w:tcW w:w="1235" w:type="dxa"/>
            <w:tcBorders>
              <w:top w:val="single" w:color="auto" w:sz="12" w:space="0"/>
            </w:tcBorders>
            <w:vAlign w:val="center"/>
          </w:tcPr>
          <w:p w14:paraId="1963DAD6">
            <w:pPr>
              <w:jc w:val="center"/>
              <w:rPr>
                <w:rFonts w:ascii="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龄</w:t>
            </w:r>
          </w:p>
        </w:tc>
        <w:tc>
          <w:tcPr>
            <w:tcW w:w="1386" w:type="dxa"/>
            <w:tcBorders>
              <w:top w:val="single" w:color="auto" w:sz="12" w:space="0"/>
            </w:tcBorders>
            <w:vAlign w:val="center"/>
          </w:tcPr>
          <w:p w14:paraId="0046FE58">
            <w:pPr>
              <w:jc w:val="center"/>
              <w:rPr>
                <w:rFonts w:ascii="宋体"/>
                <w:sz w:val="24"/>
              </w:rPr>
            </w:pPr>
          </w:p>
        </w:tc>
        <w:tc>
          <w:tcPr>
            <w:tcW w:w="2002" w:type="dxa"/>
            <w:tcBorders>
              <w:top w:val="single" w:color="auto" w:sz="12" w:space="0"/>
            </w:tcBorders>
            <w:vAlign w:val="center"/>
          </w:tcPr>
          <w:p w14:paraId="646B3DD5">
            <w:pPr>
              <w:jc w:val="center"/>
              <w:rPr>
                <w:rFonts w:ascii="宋体"/>
                <w:sz w:val="24"/>
              </w:rPr>
            </w:pPr>
            <w:r>
              <w:rPr>
                <w:rFonts w:hint="eastAsia" w:ascii="宋体" w:hAnsi="宋体" w:cs="宋体"/>
                <w:sz w:val="24"/>
              </w:rPr>
              <w:t>学历</w:t>
            </w:r>
          </w:p>
        </w:tc>
        <w:tc>
          <w:tcPr>
            <w:tcW w:w="2307" w:type="dxa"/>
            <w:tcBorders>
              <w:top w:val="single" w:color="auto" w:sz="12" w:space="0"/>
            </w:tcBorders>
            <w:vAlign w:val="center"/>
          </w:tcPr>
          <w:p w14:paraId="2CB8913C">
            <w:pPr>
              <w:jc w:val="center"/>
              <w:rPr>
                <w:rFonts w:ascii="宋体"/>
                <w:sz w:val="24"/>
              </w:rPr>
            </w:pPr>
          </w:p>
        </w:tc>
      </w:tr>
      <w:tr w14:paraId="3EB12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295A0932">
            <w:pPr>
              <w:jc w:val="center"/>
              <w:rPr>
                <w:rFonts w:ascii="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称</w:t>
            </w:r>
          </w:p>
        </w:tc>
        <w:tc>
          <w:tcPr>
            <w:tcW w:w="1124" w:type="dxa"/>
            <w:vAlign w:val="center"/>
          </w:tcPr>
          <w:p w14:paraId="7CFDF070">
            <w:pPr>
              <w:jc w:val="center"/>
              <w:rPr>
                <w:rFonts w:ascii="宋体"/>
                <w:sz w:val="24"/>
              </w:rPr>
            </w:pPr>
          </w:p>
        </w:tc>
        <w:tc>
          <w:tcPr>
            <w:tcW w:w="1235" w:type="dxa"/>
            <w:vAlign w:val="center"/>
          </w:tcPr>
          <w:p w14:paraId="039E1D49">
            <w:pPr>
              <w:jc w:val="center"/>
              <w:rPr>
                <w:rFonts w:ascii="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p>
        </w:tc>
        <w:tc>
          <w:tcPr>
            <w:tcW w:w="1386" w:type="dxa"/>
            <w:vAlign w:val="center"/>
          </w:tcPr>
          <w:p w14:paraId="1258F57F">
            <w:pPr>
              <w:jc w:val="center"/>
              <w:rPr>
                <w:rFonts w:ascii="宋体"/>
                <w:sz w:val="24"/>
              </w:rPr>
            </w:pPr>
          </w:p>
        </w:tc>
        <w:tc>
          <w:tcPr>
            <w:tcW w:w="2002" w:type="dxa"/>
            <w:vAlign w:val="center"/>
          </w:tcPr>
          <w:p w14:paraId="14F2466C">
            <w:pPr>
              <w:jc w:val="center"/>
              <w:rPr>
                <w:rFonts w:ascii="宋体"/>
                <w:sz w:val="24"/>
              </w:rPr>
            </w:pPr>
            <w:r>
              <w:rPr>
                <w:rFonts w:hint="eastAsia" w:ascii="宋体" w:hAnsi="宋体" w:cs="宋体"/>
                <w:sz w:val="24"/>
              </w:rPr>
              <w:t>拟在本工程</w:t>
            </w:r>
          </w:p>
          <w:p w14:paraId="302437F7">
            <w:pPr>
              <w:jc w:val="center"/>
              <w:rPr>
                <w:rFonts w:ascii="宋体"/>
                <w:sz w:val="24"/>
              </w:rPr>
            </w:pPr>
            <w:r>
              <w:rPr>
                <w:rFonts w:hint="eastAsia" w:ascii="宋体" w:hAnsi="宋体" w:cs="宋体"/>
                <w:sz w:val="24"/>
              </w:rPr>
              <w:t>任职</w:t>
            </w:r>
          </w:p>
        </w:tc>
        <w:tc>
          <w:tcPr>
            <w:tcW w:w="2307" w:type="dxa"/>
            <w:vAlign w:val="center"/>
          </w:tcPr>
          <w:p w14:paraId="0A79AD54">
            <w:pPr>
              <w:jc w:val="center"/>
              <w:rPr>
                <w:rFonts w:ascii="宋体"/>
                <w:sz w:val="24"/>
              </w:rPr>
            </w:pPr>
            <w:r>
              <w:rPr>
                <w:rFonts w:hint="eastAsia" w:ascii="宋体" w:hAnsi="宋体" w:cs="宋体"/>
                <w:sz w:val="24"/>
              </w:rPr>
              <w:t>项目负责人</w:t>
            </w:r>
          </w:p>
        </w:tc>
      </w:tr>
      <w:tr w14:paraId="062AF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537BA08E">
            <w:pPr>
              <w:jc w:val="center"/>
              <w:rPr>
                <w:rFonts w:ascii="宋体"/>
                <w:sz w:val="24"/>
              </w:rPr>
            </w:pPr>
            <w:r>
              <w:rPr>
                <w:rFonts w:hint="eastAsia" w:ascii="宋体" w:hAnsi="宋体" w:cs="宋体"/>
                <w:sz w:val="24"/>
              </w:rPr>
              <w:t>毕业</w:t>
            </w:r>
          </w:p>
          <w:p w14:paraId="004959A4">
            <w:pPr>
              <w:jc w:val="center"/>
              <w:rPr>
                <w:rFonts w:ascii="宋体"/>
                <w:sz w:val="24"/>
              </w:rPr>
            </w:pPr>
            <w:r>
              <w:rPr>
                <w:rFonts w:hint="eastAsia" w:ascii="宋体" w:hAnsi="宋体" w:cs="宋体"/>
                <w:sz w:val="24"/>
              </w:rPr>
              <w:t>学校</w:t>
            </w:r>
          </w:p>
        </w:tc>
        <w:tc>
          <w:tcPr>
            <w:tcW w:w="8054" w:type="dxa"/>
            <w:gridSpan w:val="5"/>
            <w:vAlign w:val="center"/>
          </w:tcPr>
          <w:p w14:paraId="1325CF5A">
            <w:pPr>
              <w:ind w:firstLine="960" w:firstLineChars="400"/>
              <w:rPr>
                <w:rFonts w:ascii="宋体"/>
                <w:sz w:val="24"/>
              </w:rPr>
            </w:pPr>
            <w:r>
              <w:rPr>
                <w:rFonts w:hint="eastAsia" w:ascii="宋体" w:hAnsi="宋体" w:cs="宋体"/>
                <w:sz w:val="24"/>
              </w:rPr>
              <w:t>年毕业于</w:t>
            </w:r>
            <w:r>
              <w:rPr>
                <w:rFonts w:ascii="宋体" w:hAnsi="宋体" w:cs="宋体"/>
                <w:sz w:val="24"/>
              </w:rPr>
              <w:t xml:space="preserve">                  </w:t>
            </w:r>
            <w:r>
              <w:rPr>
                <w:rFonts w:hint="eastAsia" w:ascii="宋体" w:hAnsi="宋体" w:cs="宋体"/>
                <w:sz w:val="24"/>
              </w:rPr>
              <w:t>学校</w:t>
            </w:r>
            <w:r>
              <w:rPr>
                <w:rFonts w:ascii="宋体" w:hAnsi="宋体" w:cs="宋体"/>
                <w:sz w:val="24"/>
              </w:rPr>
              <w:t xml:space="preserve">            </w:t>
            </w:r>
            <w:r>
              <w:rPr>
                <w:rFonts w:hint="eastAsia" w:ascii="宋体" w:hAnsi="宋体" w:cs="宋体"/>
                <w:sz w:val="24"/>
              </w:rPr>
              <w:t>专业</w:t>
            </w:r>
          </w:p>
        </w:tc>
      </w:tr>
      <w:tr w14:paraId="2263D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242" w:type="dxa"/>
            <w:gridSpan w:val="6"/>
            <w:vAlign w:val="center"/>
          </w:tcPr>
          <w:p w14:paraId="45BA5D6A">
            <w:pPr>
              <w:jc w:val="center"/>
              <w:rPr>
                <w:rFonts w:ascii="宋体"/>
                <w:sz w:val="24"/>
              </w:rPr>
            </w:pPr>
            <w:r>
              <w:rPr>
                <w:rFonts w:hint="eastAsia" w:ascii="宋体" w:hAnsi="宋体" w:cs="宋体"/>
                <w:sz w:val="24"/>
              </w:rPr>
              <w:t>担任过</w:t>
            </w:r>
            <w:r>
              <w:rPr>
                <w:rFonts w:ascii="宋体" w:hAnsi="宋体" w:cs="宋体"/>
                <w:sz w:val="24"/>
              </w:rPr>
              <w:t xml:space="preserve">         </w:t>
            </w:r>
            <w:r>
              <w:rPr>
                <w:rFonts w:hint="eastAsia" w:ascii="宋体" w:hAnsi="宋体" w:cs="宋体"/>
                <w:sz w:val="24"/>
              </w:rPr>
              <w:t>项目负责人的业绩</w:t>
            </w:r>
          </w:p>
        </w:tc>
      </w:tr>
      <w:tr w14:paraId="59542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4F0328AC">
            <w:pPr>
              <w:jc w:val="center"/>
              <w:rPr>
                <w:rFonts w:ascii="宋体"/>
                <w:sz w:val="24"/>
              </w:rPr>
            </w:pPr>
            <w:r>
              <w:rPr>
                <w:rFonts w:hint="eastAsia" w:ascii="宋体" w:hAnsi="宋体" w:cs="宋体"/>
                <w:sz w:val="24"/>
              </w:rPr>
              <w:t>时</w:t>
            </w:r>
            <w:r>
              <w:rPr>
                <w:rFonts w:ascii="宋体" w:hAnsi="宋体" w:cs="宋体"/>
                <w:sz w:val="24"/>
              </w:rPr>
              <w:t xml:space="preserve">  </w:t>
            </w:r>
            <w:r>
              <w:rPr>
                <w:rFonts w:hint="eastAsia" w:ascii="宋体" w:hAnsi="宋体" w:cs="宋体"/>
                <w:sz w:val="24"/>
              </w:rPr>
              <w:t>间</w:t>
            </w:r>
          </w:p>
        </w:tc>
        <w:tc>
          <w:tcPr>
            <w:tcW w:w="3745" w:type="dxa"/>
            <w:gridSpan w:val="3"/>
            <w:vAlign w:val="center"/>
          </w:tcPr>
          <w:p w14:paraId="7A175622">
            <w:pPr>
              <w:jc w:val="center"/>
              <w:rPr>
                <w:rFonts w:ascii="宋体"/>
                <w:sz w:val="24"/>
              </w:rPr>
            </w:pPr>
            <w:r>
              <w:rPr>
                <w:rFonts w:hint="eastAsia" w:ascii="宋体" w:hAnsi="宋体" w:cs="宋体"/>
                <w:sz w:val="24"/>
              </w:rPr>
              <w:t>项目名称</w:t>
            </w:r>
          </w:p>
        </w:tc>
        <w:tc>
          <w:tcPr>
            <w:tcW w:w="2002" w:type="dxa"/>
            <w:vAlign w:val="center"/>
          </w:tcPr>
          <w:p w14:paraId="27935966">
            <w:pPr>
              <w:jc w:val="center"/>
              <w:rPr>
                <w:rFonts w:ascii="宋体"/>
                <w:sz w:val="24"/>
              </w:rPr>
            </w:pPr>
            <w:r>
              <w:rPr>
                <w:rFonts w:hint="eastAsia" w:ascii="宋体" w:hAnsi="宋体" w:cs="宋体"/>
                <w:sz w:val="24"/>
              </w:rPr>
              <w:t>项目概况说明</w:t>
            </w:r>
          </w:p>
        </w:tc>
        <w:tc>
          <w:tcPr>
            <w:tcW w:w="2307" w:type="dxa"/>
            <w:vAlign w:val="center"/>
          </w:tcPr>
          <w:p w14:paraId="44461155">
            <w:pPr>
              <w:jc w:val="center"/>
              <w:rPr>
                <w:rFonts w:ascii="宋体"/>
                <w:sz w:val="24"/>
              </w:rPr>
            </w:pPr>
            <w:r>
              <w:rPr>
                <w:rFonts w:hint="eastAsia" w:ascii="宋体" w:hAnsi="宋体" w:cs="宋体"/>
                <w:sz w:val="24"/>
              </w:rPr>
              <w:t>发包人及联系电话</w:t>
            </w:r>
          </w:p>
        </w:tc>
      </w:tr>
      <w:tr w14:paraId="4ED2A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3EE8B167">
            <w:pPr>
              <w:jc w:val="center"/>
              <w:rPr>
                <w:rFonts w:ascii="宋体"/>
                <w:sz w:val="24"/>
              </w:rPr>
            </w:pPr>
          </w:p>
        </w:tc>
        <w:tc>
          <w:tcPr>
            <w:tcW w:w="3745" w:type="dxa"/>
            <w:gridSpan w:val="3"/>
            <w:vAlign w:val="center"/>
          </w:tcPr>
          <w:p w14:paraId="4FF26B18">
            <w:pPr>
              <w:jc w:val="center"/>
              <w:rPr>
                <w:rFonts w:ascii="宋体"/>
                <w:sz w:val="24"/>
              </w:rPr>
            </w:pPr>
          </w:p>
        </w:tc>
        <w:tc>
          <w:tcPr>
            <w:tcW w:w="2002" w:type="dxa"/>
            <w:vAlign w:val="center"/>
          </w:tcPr>
          <w:p w14:paraId="045EDAFB">
            <w:pPr>
              <w:jc w:val="center"/>
              <w:rPr>
                <w:rFonts w:ascii="宋体"/>
                <w:sz w:val="24"/>
              </w:rPr>
            </w:pPr>
          </w:p>
        </w:tc>
        <w:tc>
          <w:tcPr>
            <w:tcW w:w="2307" w:type="dxa"/>
            <w:vAlign w:val="center"/>
          </w:tcPr>
          <w:p w14:paraId="43F583D9">
            <w:pPr>
              <w:jc w:val="center"/>
              <w:rPr>
                <w:rFonts w:ascii="宋体"/>
                <w:sz w:val="24"/>
              </w:rPr>
            </w:pPr>
          </w:p>
        </w:tc>
      </w:tr>
      <w:tr w14:paraId="2BB51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3988436A">
            <w:pPr>
              <w:jc w:val="center"/>
              <w:rPr>
                <w:rFonts w:ascii="宋体"/>
                <w:sz w:val="24"/>
              </w:rPr>
            </w:pPr>
          </w:p>
        </w:tc>
        <w:tc>
          <w:tcPr>
            <w:tcW w:w="3745" w:type="dxa"/>
            <w:gridSpan w:val="3"/>
            <w:vAlign w:val="center"/>
          </w:tcPr>
          <w:p w14:paraId="57490600">
            <w:pPr>
              <w:jc w:val="center"/>
              <w:rPr>
                <w:rFonts w:ascii="宋体"/>
                <w:sz w:val="24"/>
              </w:rPr>
            </w:pPr>
          </w:p>
        </w:tc>
        <w:tc>
          <w:tcPr>
            <w:tcW w:w="2002" w:type="dxa"/>
            <w:vAlign w:val="center"/>
          </w:tcPr>
          <w:p w14:paraId="5E18A7B2">
            <w:pPr>
              <w:jc w:val="center"/>
              <w:rPr>
                <w:rFonts w:ascii="宋体"/>
                <w:sz w:val="24"/>
              </w:rPr>
            </w:pPr>
          </w:p>
        </w:tc>
        <w:tc>
          <w:tcPr>
            <w:tcW w:w="2307" w:type="dxa"/>
            <w:vAlign w:val="center"/>
          </w:tcPr>
          <w:p w14:paraId="1FC9946C">
            <w:pPr>
              <w:jc w:val="center"/>
              <w:rPr>
                <w:rFonts w:ascii="宋体"/>
                <w:sz w:val="24"/>
              </w:rPr>
            </w:pPr>
          </w:p>
        </w:tc>
      </w:tr>
      <w:tr w14:paraId="62A96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40E614EE">
            <w:pPr>
              <w:jc w:val="center"/>
              <w:rPr>
                <w:rFonts w:ascii="宋体"/>
                <w:sz w:val="24"/>
              </w:rPr>
            </w:pPr>
          </w:p>
        </w:tc>
        <w:tc>
          <w:tcPr>
            <w:tcW w:w="3745" w:type="dxa"/>
            <w:gridSpan w:val="3"/>
            <w:vAlign w:val="center"/>
          </w:tcPr>
          <w:p w14:paraId="7405F9CF">
            <w:pPr>
              <w:jc w:val="center"/>
              <w:rPr>
                <w:rFonts w:ascii="宋体"/>
                <w:sz w:val="24"/>
              </w:rPr>
            </w:pPr>
          </w:p>
        </w:tc>
        <w:tc>
          <w:tcPr>
            <w:tcW w:w="2002" w:type="dxa"/>
            <w:vAlign w:val="center"/>
          </w:tcPr>
          <w:p w14:paraId="2BE7A323">
            <w:pPr>
              <w:jc w:val="center"/>
              <w:rPr>
                <w:rFonts w:ascii="宋体"/>
                <w:sz w:val="24"/>
              </w:rPr>
            </w:pPr>
          </w:p>
        </w:tc>
        <w:tc>
          <w:tcPr>
            <w:tcW w:w="2307" w:type="dxa"/>
            <w:vAlign w:val="center"/>
          </w:tcPr>
          <w:p w14:paraId="468175F9">
            <w:pPr>
              <w:jc w:val="center"/>
              <w:rPr>
                <w:rFonts w:ascii="宋体"/>
                <w:sz w:val="24"/>
              </w:rPr>
            </w:pPr>
          </w:p>
        </w:tc>
      </w:tr>
      <w:tr w14:paraId="688A4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3EE23EA1">
            <w:pPr>
              <w:jc w:val="center"/>
              <w:rPr>
                <w:rFonts w:ascii="宋体"/>
                <w:sz w:val="24"/>
              </w:rPr>
            </w:pPr>
          </w:p>
        </w:tc>
        <w:tc>
          <w:tcPr>
            <w:tcW w:w="3745" w:type="dxa"/>
            <w:gridSpan w:val="3"/>
            <w:vAlign w:val="center"/>
          </w:tcPr>
          <w:p w14:paraId="47A2FFE2">
            <w:pPr>
              <w:jc w:val="center"/>
              <w:rPr>
                <w:rFonts w:ascii="宋体"/>
                <w:sz w:val="24"/>
              </w:rPr>
            </w:pPr>
          </w:p>
        </w:tc>
        <w:tc>
          <w:tcPr>
            <w:tcW w:w="2002" w:type="dxa"/>
            <w:vAlign w:val="center"/>
          </w:tcPr>
          <w:p w14:paraId="425AF0C4">
            <w:pPr>
              <w:jc w:val="center"/>
              <w:rPr>
                <w:rFonts w:ascii="宋体"/>
                <w:sz w:val="24"/>
              </w:rPr>
            </w:pPr>
          </w:p>
        </w:tc>
        <w:tc>
          <w:tcPr>
            <w:tcW w:w="2307" w:type="dxa"/>
            <w:vAlign w:val="center"/>
          </w:tcPr>
          <w:p w14:paraId="224F79F0">
            <w:pPr>
              <w:jc w:val="center"/>
              <w:rPr>
                <w:rFonts w:ascii="宋体"/>
                <w:sz w:val="24"/>
              </w:rPr>
            </w:pPr>
          </w:p>
        </w:tc>
      </w:tr>
      <w:tr w14:paraId="16DE7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59605B03">
            <w:pPr>
              <w:jc w:val="center"/>
              <w:rPr>
                <w:rFonts w:ascii="宋体"/>
                <w:sz w:val="24"/>
              </w:rPr>
            </w:pPr>
          </w:p>
        </w:tc>
        <w:tc>
          <w:tcPr>
            <w:tcW w:w="3745" w:type="dxa"/>
            <w:gridSpan w:val="3"/>
            <w:vAlign w:val="center"/>
          </w:tcPr>
          <w:p w14:paraId="0F273E14">
            <w:pPr>
              <w:jc w:val="center"/>
              <w:rPr>
                <w:rFonts w:ascii="宋体"/>
                <w:sz w:val="24"/>
              </w:rPr>
            </w:pPr>
          </w:p>
        </w:tc>
        <w:tc>
          <w:tcPr>
            <w:tcW w:w="2002" w:type="dxa"/>
            <w:vAlign w:val="center"/>
          </w:tcPr>
          <w:p w14:paraId="0B6A0EAC">
            <w:pPr>
              <w:jc w:val="center"/>
              <w:rPr>
                <w:rFonts w:ascii="宋体"/>
                <w:sz w:val="24"/>
              </w:rPr>
            </w:pPr>
          </w:p>
        </w:tc>
        <w:tc>
          <w:tcPr>
            <w:tcW w:w="2307" w:type="dxa"/>
            <w:vAlign w:val="center"/>
          </w:tcPr>
          <w:p w14:paraId="1E37676D">
            <w:pPr>
              <w:jc w:val="center"/>
              <w:rPr>
                <w:rFonts w:ascii="宋体"/>
                <w:sz w:val="24"/>
              </w:rPr>
            </w:pPr>
          </w:p>
        </w:tc>
      </w:tr>
      <w:tr w14:paraId="3C0ED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tcBorders>
              <w:bottom w:val="single" w:color="auto" w:sz="12" w:space="0"/>
            </w:tcBorders>
            <w:vAlign w:val="center"/>
          </w:tcPr>
          <w:p w14:paraId="741B2814">
            <w:pPr>
              <w:jc w:val="center"/>
              <w:rPr>
                <w:rFonts w:ascii="宋体"/>
                <w:sz w:val="24"/>
              </w:rPr>
            </w:pPr>
          </w:p>
        </w:tc>
        <w:tc>
          <w:tcPr>
            <w:tcW w:w="3745" w:type="dxa"/>
            <w:gridSpan w:val="3"/>
            <w:tcBorders>
              <w:bottom w:val="single" w:color="auto" w:sz="12" w:space="0"/>
            </w:tcBorders>
            <w:vAlign w:val="center"/>
          </w:tcPr>
          <w:p w14:paraId="44B7D145">
            <w:pPr>
              <w:jc w:val="center"/>
              <w:rPr>
                <w:rFonts w:ascii="宋体"/>
                <w:sz w:val="24"/>
              </w:rPr>
            </w:pPr>
          </w:p>
        </w:tc>
        <w:tc>
          <w:tcPr>
            <w:tcW w:w="2002" w:type="dxa"/>
            <w:tcBorders>
              <w:bottom w:val="single" w:color="auto" w:sz="12" w:space="0"/>
            </w:tcBorders>
            <w:vAlign w:val="center"/>
          </w:tcPr>
          <w:p w14:paraId="1ACA9DB1">
            <w:pPr>
              <w:jc w:val="center"/>
              <w:rPr>
                <w:rFonts w:ascii="宋体"/>
                <w:sz w:val="24"/>
              </w:rPr>
            </w:pPr>
          </w:p>
        </w:tc>
        <w:tc>
          <w:tcPr>
            <w:tcW w:w="2307" w:type="dxa"/>
            <w:tcBorders>
              <w:bottom w:val="single" w:color="auto" w:sz="12" w:space="0"/>
            </w:tcBorders>
            <w:vAlign w:val="center"/>
          </w:tcPr>
          <w:p w14:paraId="2B5E4A93">
            <w:pPr>
              <w:jc w:val="center"/>
              <w:rPr>
                <w:rFonts w:ascii="宋体"/>
                <w:sz w:val="24"/>
              </w:rPr>
            </w:pPr>
          </w:p>
        </w:tc>
      </w:tr>
    </w:tbl>
    <w:p w14:paraId="5E12B98A">
      <w:pPr>
        <w:rPr>
          <w:rFonts w:hAnsi="宋体" w:cs="宋体"/>
          <w:b/>
          <w:bCs/>
          <w:kern w:val="58"/>
          <w:sz w:val="24"/>
        </w:rPr>
      </w:pPr>
    </w:p>
    <w:p w14:paraId="0D230548">
      <w:pPr>
        <w:rPr>
          <w:rFonts w:hAnsi="宋体" w:cs="宋体"/>
          <w:b/>
          <w:bCs/>
          <w:kern w:val="58"/>
          <w:sz w:val="24"/>
        </w:rPr>
      </w:pPr>
    </w:p>
    <w:p w14:paraId="296BE156">
      <w:pPr>
        <w:rPr>
          <w:rFonts w:hAnsi="宋体" w:cs="宋体"/>
          <w:b/>
          <w:bCs/>
          <w:kern w:val="58"/>
          <w:sz w:val="24"/>
        </w:rPr>
      </w:pPr>
    </w:p>
    <w:p w14:paraId="3AE5191C">
      <w:pPr>
        <w:rPr>
          <w:rFonts w:hAnsi="宋体" w:cs="宋体"/>
          <w:b/>
          <w:bCs/>
          <w:kern w:val="58"/>
          <w:sz w:val="24"/>
        </w:rPr>
      </w:pPr>
    </w:p>
    <w:p w14:paraId="0ED207CF">
      <w:pPr>
        <w:rPr>
          <w:rFonts w:hAnsi="宋体" w:cs="宋体"/>
          <w:b/>
          <w:bCs/>
          <w:kern w:val="58"/>
          <w:sz w:val="24"/>
        </w:rPr>
      </w:pPr>
    </w:p>
    <w:p w14:paraId="6757C664">
      <w:pPr>
        <w:snapToGrid w:val="0"/>
        <w:spacing w:before="50" w:after="156" w:afterLines="50" w:line="360" w:lineRule="auto"/>
        <w:jc w:val="left"/>
        <w:outlineLvl w:val="2"/>
        <w:rPr>
          <w:rFonts w:ascii="宋体" w:hAnsi="宋体"/>
          <w:b/>
          <w:sz w:val="24"/>
        </w:rPr>
      </w:pPr>
    </w:p>
    <w:p w14:paraId="205C6F0E">
      <w:pPr>
        <w:snapToGrid w:val="0"/>
        <w:spacing w:before="50" w:after="156" w:afterLines="50" w:line="360" w:lineRule="auto"/>
        <w:jc w:val="left"/>
        <w:outlineLvl w:val="2"/>
        <w:rPr>
          <w:rFonts w:ascii="宋体" w:hAnsi="宋体"/>
          <w:b/>
          <w:sz w:val="24"/>
        </w:rPr>
      </w:pPr>
    </w:p>
    <w:p w14:paraId="0A5D11B4">
      <w:pPr>
        <w:snapToGrid w:val="0"/>
        <w:spacing w:before="50" w:after="156" w:afterLines="50" w:line="360" w:lineRule="auto"/>
        <w:jc w:val="left"/>
        <w:outlineLvl w:val="2"/>
        <w:rPr>
          <w:rFonts w:ascii="宋体" w:hAnsi="宋体"/>
          <w:b/>
          <w:sz w:val="24"/>
        </w:rPr>
      </w:pPr>
    </w:p>
    <w:p w14:paraId="235B8E71">
      <w:pPr>
        <w:snapToGrid w:val="0"/>
        <w:spacing w:before="50" w:after="156" w:afterLines="50" w:line="360" w:lineRule="auto"/>
        <w:jc w:val="left"/>
        <w:outlineLvl w:val="2"/>
        <w:rPr>
          <w:rFonts w:ascii="宋体" w:hAnsi="宋体"/>
          <w:b/>
          <w:sz w:val="24"/>
        </w:rPr>
      </w:pPr>
    </w:p>
    <w:p w14:paraId="7DBEB511">
      <w:pPr>
        <w:snapToGrid w:val="0"/>
        <w:spacing w:before="50" w:after="156" w:afterLines="50" w:line="360" w:lineRule="auto"/>
        <w:jc w:val="left"/>
        <w:outlineLvl w:val="2"/>
        <w:rPr>
          <w:rFonts w:ascii="宋体" w:hAnsi="宋体"/>
          <w:b/>
          <w:sz w:val="24"/>
        </w:rPr>
      </w:pPr>
    </w:p>
    <w:p w14:paraId="0B3BB6D7">
      <w:pPr>
        <w:snapToGrid w:val="0"/>
        <w:spacing w:before="50" w:after="156" w:afterLines="50" w:line="360" w:lineRule="auto"/>
        <w:jc w:val="left"/>
        <w:outlineLvl w:val="2"/>
        <w:rPr>
          <w:rFonts w:ascii="宋体" w:hAnsi="宋体"/>
          <w:b/>
          <w:sz w:val="24"/>
        </w:rPr>
      </w:pPr>
    </w:p>
    <w:p w14:paraId="2E0BFC65">
      <w:pPr>
        <w:snapToGrid w:val="0"/>
        <w:spacing w:before="50" w:after="156" w:afterLines="50" w:line="360" w:lineRule="auto"/>
        <w:jc w:val="left"/>
        <w:outlineLvl w:val="2"/>
        <w:rPr>
          <w:rFonts w:ascii="宋体" w:hAnsi="宋体"/>
          <w:b/>
          <w:sz w:val="24"/>
        </w:rPr>
      </w:pPr>
    </w:p>
    <w:p w14:paraId="08CF0286">
      <w:pPr>
        <w:rPr>
          <w:rFonts w:ascii="宋体" w:hAnsi="宋体"/>
          <w:b/>
          <w:sz w:val="24"/>
        </w:rPr>
      </w:pPr>
    </w:p>
    <w:p w14:paraId="257B8DFA">
      <w:pPr>
        <w:rPr>
          <w:rFonts w:ascii="宋体" w:cs="宋体"/>
          <w:b/>
          <w:bCs/>
          <w:sz w:val="24"/>
        </w:rPr>
      </w:pPr>
      <w:r>
        <w:rPr>
          <w:rFonts w:hint="eastAsia" w:ascii="宋体" w:cs="宋体"/>
          <w:b/>
          <w:bCs/>
          <w:sz w:val="24"/>
        </w:rPr>
        <w:br w:type="page"/>
      </w:r>
    </w:p>
    <w:p w14:paraId="19EBEE46">
      <w:pPr>
        <w:snapToGrid w:val="0"/>
        <w:spacing w:before="50" w:after="156" w:afterLines="50"/>
        <w:jc w:val="left"/>
        <w:rPr>
          <w:rFonts w:ascii="宋体" w:cs="宋体"/>
          <w:b/>
          <w:bCs/>
          <w:sz w:val="24"/>
        </w:rPr>
      </w:pPr>
      <w:r>
        <w:rPr>
          <w:rFonts w:hint="eastAsia" w:ascii="宋体" w:cs="宋体"/>
          <w:b/>
          <w:bCs/>
          <w:sz w:val="24"/>
        </w:rPr>
        <w:t>2.8：</w:t>
      </w:r>
    </w:p>
    <w:p w14:paraId="00F04AE4">
      <w:pPr>
        <w:snapToGrid w:val="0"/>
        <w:spacing w:before="50" w:after="156" w:afterLines="50"/>
        <w:ind w:firstLine="1920" w:firstLineChars="800"/>
        <w:jc w:val="left"/>
        <w:rPr>
          <w:rFonts w:ascii="宋体"/>
          <w:b/>
          <w:bCs/>
          <w:sz w:val="24"/>
        </w:rPr>
      </w:pPr>
      <w:r>
        <w:rPr>
          <w:rFonts w:hint="eastAsia" w:ascii="宋体" w:hAnsi="宋体" w:cs="宋体"/>
          <w:b/>
          <w:bCs/>
          <w:sz w:val="24"/>
        </w:rPr>
        <w:t>磋商响应方成功实施的同类项目的业绩或者案例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045"/>
        <w:gridCol w:w="972"/>
        <w:gridCol w:w="1970"/>
        <w:gridCol w:w="1943"/>
      </w:tblGrid>
      <w:tr w14:paraId="0850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103" w:type="dxa"/>
            <w:vAlign w:val="center"/>
          </w:tcPr>
          <w:p w14:paraId="57516D6C">
            <w:pPr>
              <w:snapToGrid w:val="0"/>
              <w:spacing w:before="50" w:after="50" w:line="500" w:lineRule="exact"/>
              <w:jc w:val="center"/>
              <w:rPr>
                <w:rFonts w:ascii="宋体"/>
                <w:sz w:val="24"/>
              </w:rPr>
            </w:pPr>
            <w:r>
              <w:rPr>
                <w:rFonts w:hint="eastAsia" w:ascii="宋体" w:hAnsi="宋体" w:cs="宋体"/>
                <w:sz w:val="24"/>
              </w:rPr>
              <w:t>项目名称</w:t>
            </w:r>
          </w:p>
        </w:tc>
        <w:tc>
          <w:tcPr>
            <w:tcW w:w="1045" w:type="dxa"/>
            <w:vAlign w:val="center"/>
          </w:tcPr>
          <w:p w14:paraId="1100B8A2">
            <w:pPr>
              <w:snapToGrid w:val="0"/>
              <w:spacing w:before="50" w:after="50" w:line="500" w:lineRule="exact"/>
              <w:ind w:right="-113" w:rightChars="-54"/>
              <w:jc w:val="center"/>
              <w:rPr>
                <w:rFonts w:ascii="宋体"/>
                <w:sz w:val="24"/>
              </w:rPr>
            </w:pPr>
            <w:r>
              <w:rPr>
                <w:rFonts w:hint="eastAsia" w:ascii="宋体" w:hAnsi="宋体" w:cs="宋体"/>
                <w:sz w:val="24"/>
              </w:rPr>
              <w:t>类型</w:t>
            </w:r>
          </w:p>
        </w:tc>
        <w:tc>
          <w:tcPr>
            <w:tcW w:w="972" w:type="dxa"/>
            <w:vAlign w:val="center"/>
          </w:tcPr>
          <w:p w14:paraId="7A63CEDA">
            <w:pPr>
              <w:snapToGrid w:val="0"/>
              <w:spacing w:before="50" w:after="50" w:line="500" w:lineRule="exact"/>
              <w:jc w:val="center"/>
              <w:rPr>
                <w:rFonts w:ascii="宋体"/>
                <w:sz w:val="24"/>
              </w:rPr>
            </w:pPr>
            <w:r>
              <w:rPr>
                <w:rFonts w:hint="eastAsia" w:ascii="宋体" w:hAnsi="宋体" w:cs="宋体"/>
                <w:sz w:val="24"/>
              </w:rPr>
              <w:t>地点</w:t>
            </w:r>
          </w:p>
        </w:tc>
        <w:tc>
          <w:tcPr>
            <w:tcW w:w="1970" w:type="dxa"/>
            <w:vAlign w:val="center"/>
          </w:tcPr>
          <w:p w14:paraId="67DFBC20">
            <w:pPr>
              <w:snapToGrid w:val="0"/>
              <w:spacing w:before="50" w:after="50" w:line="500" w:lineRule="exact"/>
              <w:jc w:val="center"/>
              <w:rPr>
                <w:rFonts w:ascii="宋体"/>
                <w:sz w:val="24"/>
              </w:rPr>
            </w:pPr>
            <w:r>
              <w:rPr>
                <w:rFonts w:hint="eastAsia" w:ascii="宋体" w:hAnsi="宋体" w:cs="宋体"/>
                <w:sz w:val="24"/>
              </w:rPr>
              <w:t>委托</w:t>
            </w:r>
          </w:p>
          <w:p w14:paraId="5B31C3C9">
            <w:pPr>
              <w:snapToGrid w:val="0"/>
              <w:spacing w:before="50" w:after="50" w:line="500" w:lineRule="exact"/>
              <w:jc w:val="center"/>
              <w:rPr>
                <w:rFonts w:ascii="宋体"/>
                <w:sz w:val="24"/>
              </w:rPr>
            </w:pPr>
            <w:r>
              <w:rPr>
                <w:rFonts w:hint="eastAsia" w:ascii="宋体" w:hAnsi="宋体" w:cs="宋体"/>
                <w:sz w:val="24"/>
              </w:rPr>
              <w:t>单位</w:t>
            </w:r>
          </w:p>
        </w:tc>
        <w:tc>
          <w:tcPr>
            <w:tcW w:w="1943" w:type="dxa"/>
            <w:vAlign w:val="center"/>
          </w:tcPr>
          <w:p w14:paraId="23BDBD57">
            <w:pPr>
              <w:snapToGrid w:val="0"/>
              <w:spacing w:before="50" w:after="50" w:line="500" w:lineRule="exact"/>
              <w:jc w:val="center"/>
              <w:rPr>
                <w:rFonts w:ascii="宋体"/>
                <w:sz w:val="24"/>
              </w:rPr>
            </w:pPr>
            <w:r>
              <w:rPr>
                <w:rFonts w:hint="eastAsia" w:ascii="宋体" w:hAnsi="宋体" w:cs="宋体"/>
                <w:sz w:val="24"/>
              </w:rPr>
              <w:t>中标日期或合同签订日期</w:t>
            </w:r>
          </w:p>
        </w:tc>
      </w:tr>
      <w:tr w14:paraId="44B7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7439B281">
            <w:pPr>
              <w:spacing w:before="50" w:after="50" w:line="500" w:lineRule="exact"/>
              <w:jc w:val="left"/>
              <w:rPr>
                <w:rFonts w:ascii="宋体"/>
                <w:sz w:val="24"/>
              </w:rPr>
            </w:pPr>
          </w:p>
        </w:tc>
        <w:tc>
          <w:tcPr>
            <w:tcW w:w="1045" w:type="dxa"/>
          </w:tcPr>
          <w:p w14:paraId="4018DA14">
            <w:pPr>
              <w:spacing w:before="50" w:after="50" w:line="500" w:lineRule="exact"/>
              <w:jc w:val="left"/>
              <w:rPr>
                <w:rFonts w:ascii="宋体"/>
                <w:sz w:val="24"/>
              </w:rPr>
            </w:pPr>
          </w:p>
        </w:tc>
        <w:tc>
          <w:tcPr>
            <w:tcW w:w="972" w:type="dxa"/>
          </w:tcPr>
          <w:p w14:paraId="40A454A5">
            <w:pPr>
              <w:spacing w:before="50" w:after="50" w:line="500" w:lineRule="exact"/>
              <w:jc w:val="left"/>
              <w:rPr>
                <w:rFonts w:ascii="宋体"/>
                <w:sz w:val="24"/>
              </w:rPr>
            </w:pPr>
          </w:p>
        </w:tc>
        <w:tc>
          <w:tcPr>
            <w:tcW w:w="1970" w:type="dxa"/>
          </w:tcPr>
          <w:p w14:paraId="120B35CA">
            <w:pPr>
              <w:spacing w:before="50" w:after="50" w:line="500" w:lineRule="exact"/>
              <w:jc w:val="left"/>
              <w:rPr>
                <w:rFonts w:ascii="宋体"/>
                <w:sz w:val="24"/>
              </w:rPr>
            </w:pPr>
          </w:p>
        </w:tc>
        <w:tc>
          <w:tcPr>
            <w:tcW w:w="1943" w:type="dxa"/>
          </w:tcPr>
          <w:p w14:paraId="55D28401">
            <w:pPr>
              <w:spacing w:before="50" w:after="50" w:line="500" w:lineRule="exact"/>
              <w:jc w:val="left"/>
              <w:rPr>
                <w:rFonts w:ascii="宋体"/>
                <w:sz w:val="24"/>
              </w:rPr>
            </w:pPr>
          </w:p>
        </w:tc>
      </w:tr>
      <w:tr w14:paraId="7DDE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24005C21">
            <w:pPr>
              <w:spacing w:before="50" w:after="50" w:line="500" w:lineRule="exact"/>
              <w:jc w:val="left"/>
              <w:rPr>
                <w:rFonts w:ascii="宋体"/>
                <w:sz w:val="24"/>
              </w:rPr>
            </w:pPr>
          </w:p>
        </w:tc>
        <w:tc>
          <w:tcPr>
            <w:tcW w:w="1045" w:type="dxa"/>
          </w:tcPr>
          <w:p w14:paraId="55E427BD">
            <w:pPr>
              <w:spacing w:before="50" w:after="50" w:line="500" w:lineRule="exact"/>
              <w:jc w:val="left"/>
              <w:rPr>
                <w:rFonts w:ascii="宋体"/>
                <w:sz w:val="24"/>
              </w:rPr>
            </w:pPr>
          </w:p>
        </w:tc>
        <w:tc>
          <w:tcPr>
            <w:tcW w:w="972" w:type="dxa"/>
          </w:tcPr>
          <w:p w14:paraId="181CEAE8">
            <w:pPr>
              <w:spacing w:before="50" w:after="50" w:line="500" w:lineRule="exact"/>
              <w:jc w:val="left"/>
              <w:rPr>
                <w:rFonts w:ascii="宋体"/>
                <w:sz w:val="24"/>
              </w:rPr>
            </w:pPr>
          </w:p>
        </w:tc>
        <w:tc>
          <w:tcPr>
            <w:tcW w:w="1970" w:type="dxa"/>
          </w:tcPr>
          <w:p w14:paraId="2EF1F314">
            <w:pPr>
              <w:spacing w:before="50" w:after="50" w:line="500" w:lineRule="exact"/>
              <w:jc w:val="left"/>
              <w:rPr>
                <w:rFonts w:ascii="宋体"/>
                <w:sz w:val="24"/>
              </w:rPr>
            </w:pPr>
          </w:p>
        </w:tc>
        <w:tc>
          <w:tcPr>
            <w:tcW w:w="1943" w:type="dxa"/>
          </w:tcPr>
          <w:p w14:paraId="643EF74A">
            <w:pPr>
              <w:spacing w:before="50" w:after="50" w:line="500" w:lineRule="exact"/>
              <w:jc w:val="left"/>
              <w:rPr>
                <w:rFonts w:ascii="宋体"/>
                <w:sz w:val="24"/>
              </w:rPr>
            </w:pPr>
          </w:p>
        </w:tc>
      </w:tr>
      <w:tr w14:paraId="76B5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01463644">
            <w:pPr>
              <w:spacing w:before="50" w:after="50" w:line="500" w:lineRule="exact"/>
              <w:jc w:val="left"/>
              <w:rPr>
                <w:rFonts w:ascii="宋体"/>
                <w:sz w:val="24"/>
              </w:rPr>
            </w:pPr>
          </w:p>
        </w:tc>
        <w:tc>
          <w:tcPr>
            <w:tcW w:w="1045" w:type="dxa"/>
          </w:tcPr>
          <w:p w14:paraId="2F803429">
            <w:pPr>
              <w:spacing w:before="50" w:after="50" w:line="500" w:lineRule="exact"/>
              <w:jc w:val="left"/>
              <w:rPr>
                <w:rFonts w:ascii="宋体"/>
                <w:sz w:val="24"/>
              </w:rPr>
            </w:pPr>
          </w:p>
        </w:tc>
        <w:tc>
          <w:tcPr>
            <w:tcW w:w="972" w:type="dxa"/>
          </w:tcPr>
          <w:p w14:paraId="5A7BC6A9">
            <w:pPr>
              <w:spacing w:before="50" w:after="50" w:line="500" w:lineRule="exact"/>
              <w:jc w:val="left"/>
              <w:rPr>
                <w:rFonts w:ascii="宋体"/>
                <w:sz w:val="24"/>
              </w:rPr>
            </w:pPr>
          </w:p>
        </w:tc>
        <w:tc>
          <w:tcPr>
            <w:tcW w:w="1970" w:type="dxa"/>
          </w:tcPr>
          <w:p w14:paraId="6D91F667">
            <w:pPr>
              <w:spacing w:before="50" w:after="50" w:line="500" w:lineRule="exact"/>
              <w:jc w:val="left"/>
              <w:rPr>
                <w:rFonts w:ascii="宋体"/>
                <w:sz w:val="24"/>
              </w:rPr>
            </w:pPr>
          </w:p>
        </w:tc>
        <w:tc>
          <w:tcPr>
            <w:tcW w:w="1943" w:type="dxa"/>
          </w:tcPr>
          <w:p w14:paraId="6EE8C291">
            <w:pPr>
              <w:spacing w:before="50" w:after="50" w:line="500" w:lineRule="exact"/>
              <w:jc w:val="left"/>
              <w:rPr>
                <w:rFonts w:ascii="宋体"/>
                <w:sz w:val="24"/>
              </w:rPr>
            </w:pPr>
          </w:p>
        </w:tc>
      </w:tr>
      <w:tr w14:paraId="3F04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03" w:type="dxa"/>
          </w:tcPr>
          <w:p w14:paraId="13F8522A">
            <w:pPr>
              <w:spacing w:before="50" w:after="50" w:line="500" w:lineRule="exact"/>
              <w:jc w:val="left"/>
              <w:rPr>
                <w:rFonts w:ascii="宋体"/>
                <w:sz w:val="24"/>
              </w:rPr>
            </w:pPr>
          </w:p>
        </w:tc>
        <w:tc>
          <w:tcPr>
            <w:tcW w:w="1045" w:type="dxa"/>
          </w:tcPr>
          <w:p w14:paraId="6E54A706">
            <w:pPr>
              <w:spacing w:before="50" w:after="50" w:line="500" w:lineRule="exact"/>
              <w:jc w:val="left"/>
              <w:rPr>
                <w:rFonts w:ascii="宋体"/>
                <w:sz w:val="24"/>
              </w:rPr>
            </w:pPr>
          </w:p>
        </w:tc>
        <w:tc>
          <w:tcPr>
            <w:tcW w:w="972" w:type="dxa"/>
          </w:tcPr>
          <w:p w14:paraId="71906D97">
            <w:pPr>
              <w:spacing w:before="50" w:after="50" w:line="500" w:lineRule="exact"/>
              <w:jc w:val="left"/>
              <w:rPr>
                <w:rFonts w:ascii="宋体"/>
                <w:sz w:val="24"/>
              </w:rPr>
            </w:pPr>
          </w:p>
        </w:tc>
        <w:tc>
          <w:tcPr>
            <w:tcW w:w="1970" w:type="dxa"/>
          </w:tcPr>
          <w:p w14:paraId="3FA5B018">
            <w:pPr>
              <w:spacing w:before="50" w:after="50" w:line="500" w:lineRule="exact"/>
              <w:jc w:val="left"/>
              <w:rPr>
                <w:rFonts w:ascii="宋体"/>
                <w:sz w:val="24"/>
              </w:rPr>
            </w:pPr>
          </w:p>
        </w:tc>
        <w:tc>
          <w:tcPr>
            <w:tcW w:w="1943" w:type="dxa"/>
          </w:tcPr>
          <w:p w14:paraId="27DC291B">
            <w:pPr>
              <w:spacing w:before="50" w:after="50" w:line="500" w:lineRule="exact"/>
              <w:jc w:val="left"/>
              <w:rPr>
                <w:rFonts w:ascii="宋体"/>
                <w:sz w:val="24"/>
              </w:rPr>
            </w:pPr>
          </w:p>
        </w:tc>
      </w:tr>
      <w:tr w14:paraId="0C63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2D118F28">
            <w:pPr>
              <w:spacing w:before="50" w:after="50" w:line="500" w:lineRule="exact"/>
              <w:jc w:val="left"/>
              <w:rPr>
                <w:rFonts w:ascii="宋体"/>
                <w:sz w:val="24"/>
              </w:rPr>
            </w:pPr>
          </w:p>
        </w:tc>
        <w:tc>
          <w:tcPr>
            <w:tcW w:w="1045" w:type="dxa"/>
          </w:tcPr>
          <w:p w14:paraId="643EAE57">
            <w:pPr>
              <w:spacing w:before="50" w:after="50" w:line="500" w:lineRule="exact"/>
              <w:jc w:val="left"/>
              <w:rPr>
                <w:rFonts w:ascii="宋体"/>
                <w:sz w:val="24"/>
              </w:rPr>
            </w:pPr>
          </w:p>
        </w:tc>
        <w:tc>
          <w:tcPr>
            <w:tcW w:w="972" w:type="dxa"/>
          </w:tcPr>
          <w:p w14:paraId="7F027F0B">
            <w:pPr>
              <w:spacing w:before="50" w:after="50" w:line="500" w:lineRule="exact"/>
              <w:jc w:val="left"/>
              <w:rPr>
                <w:rFonts w:ascii="宋体"/>
                <w:sz w:val="24"/>
              </w:rPr>
            </w:pPr>
          </w:p>
        </w:tc>
        <w:tc>
          <w:tcPr>
            <w:tcW w:w="1970" w:type="dxa"/>
          </w:tcPr>
          <w:p w14:paraId="5BD853C4">
            <w:pPr>
              <w:spacing w:before="50" w:after="50" w:line="500" w:lineRule="exact"/>
              <w:jc w:val="left"/>
              <w:rPr>
                <w:rFonts w:ascii="宋体"/>
                <w:sz w:val="24"/>
              </w:rPr>
            </w:pPr>
          </w:p>
        </w:tc>
        <w:tc>
          <w:tcPr>
            <w:tcW w:w="1943" w:type="dxa"/>
          </w:tcPr>
          <w:p w14:paraId="2B560174">
            <w:pPr>
              <w:spacing w:before="50" w:after="50" w:line="500" w:lineRule="exact"/>
              <w:jc w:val="left"/>
              <w:rPr>
                <w:rFonts w:ascii="宋体"/>
                <w:sz w:val="24"/>
              </w:rPr>
            </w:pPr>
          </w:p>
        </w:tc>
      </w:tr>
      <w:tr w14:paraId="127E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5459D7D0">
            <w:pPr>
              <w:spacing w:before="50" w:after="50" w:line="500" w:lineRule="exact"/>
              <w:jc w:val="left"/>
              <w:rPr>
                <w:rFonts w:ascii="宋体"/>
                <w:sz w:val="24"/>
              </w:rPr>
            </w:pPr>
          </w:p>
        </w:tc>
        <w:tc>
          <w:tcPr>
            <w:tcW w:w="1045" w:type="dxa"/>
          </w:tcPr>
          <w:p w14:paraId="5096ADD7">
            <w:pPr>
              <w:spacing w:before="50" w:after="50" w:line="500" w:lineRule="exact"/>
              <w:jc w:val="left"/>
              <w:rPr>
                <w:rFonts w:ascii="宋体"/>
                <w:sz w:val="24"/>
              </w:rPr>
            </w:pPr>
          </w:p>
        </w:tc>
        <w:tc>
          <w:tcPr>
            <w:tcW w:w="972" w:type="dxa"/>
          </w:tcPr>
          <w:p w14:paraId="0370D468">
            <w:pPr>
              <w:spacing w:before="50" w:after="50" w:line="500" w:lineRule="exact"/>
              <w:jc w:val="left"/>
              <w:rPr>
                <w:rFonts w:ascii="宋体"/>
                <w:sz w:val="24"/>
              </w:rPr>
            </w:pPr>
          </w:p>
        </w:tc>
        <w:tc>
          <w:tcPr>
            <w:tcW w:w="1970" w:type="dxa"/>
          </w:tcPr>
          <w:p w14:paraId="3D18E56C">
            <w:pPr>
              <w:spacing w:before="50" w:after="50" w:line="500" w:lineRule="exact"/>
              <w:jc w:val="left"/>
              <w:rPr>
                <w:rFonts w:ascii="宋体"/>
                <w:sz w:val="24"/>
              </w:rPr>
            </w:pPr>
          </w:p>
        </w:tc>
        <w:tc>
          <w:tcPr>
            <w:tcW w:w="1943" w:type="dxa"/>
          </w:tcPr>
          <w:p w14:paraId="2BBFBE20">
            <w:pPr>
              <w:spacing w:before="50" w:after="50" w:line="500" w:lineRule="exact"/>
              <w:jc w:val="left"/>
              <w:rPr>
                <w:rFonts w:ascii="宋体"/>
                <w:sz w:val="24"/>
              </w:rPr>
            </w:pPr>
          </w:p>
        </w:tc>
      </w:tr>
      <w:tr w14:paraId="39B6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60B99B04">
            <w:pPr>
              <w:spacing w:before="50" w:after="50" w:line="500" w:lineRule="exact"/>
              <w:jc w:val="left"/>
              <w:rPr>
                <w:rFonts w:ascii="宋体"/>
                <w:sz w:val="24"/>
              </w:rPr>
            </w:pPr>
          </w:p>
        </w:tc>
        <w:tc>
          <w:tcPr>
            <w:tcW w:w="1045" w:type="dxa"/>
          </w:tcPr>
          <w:p w14:paraId="734799CE">
            <w:pPr>
              <w:spacing w:before="50" w:after="50" w:line="500" w:lineRule="exact"/>
              <w:jc w:val="left"/>
              <w:rPr>
                <w:rFonts w:ascii="宋体"/>
                <w:sz w:val="24"/>
              </w:rPr>
            </w:pPr>
          </w:p>
        </w:tc>
        <w:tc>
          <w:tcPr>
            <w:tcW w:w="972" w:type="dxa"/>
          </w:tcPr>
          <w:p w14:paraId="4F6C7DCC">
            <w:pPr>
              <w:spacing w:before="50" w:after="50" w:line="500" w:lineRule="exact"/>
              <w:jc w:val="left"/>
              <w:rPr>
                <w:rFonts w:ascii="宋体"/>
                <w:sz w:val="24"/>
              </w:rPr>
            </w:pPr>
          </w:p>
        </w:tc>
        <w:tc>
          <w:tcPr>
            <w:tcW w:w="1970" w:type="dxa"/>
          </w:tcPr>
          <w:p w14:paraId="0284C154">
            <w:pPr>
              <w:spacing w:before="50" w:after="50" w:line="500" w:lineRule="exact"/>
              <w:jc w:val="left"/>
              <w:rPr>
                <w:rFonts w:ascii="宋体"/>
                <w:sz w:val="24"/>
              </w:rPr>
            </w:pPr>
          </w:p>
        </w:tc>
        <w:tc>
          <w:tcPr>
            <w:tcW w:w="1943" w:type="dxa"/>
          </w:tcPr>
          <w:p w14:paraId="15A48235">
            <w:pPr>
              <w:spacing w:before="50" w:after="50" w:line="500" w:lineRule="exact"/>
              <w:jc w:val="left"/>
              <w:rPr>
                <w:rFonts w:ascii="宋体"/>
                <w:sz w:val="24"/>
              </w:rPr>
            </w:pPr>
          </w:p>
        </w:tc>
      </w:tr>
      <w:tr w14:paraId="7CBB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6F8E1C73">
            <w:pPr>
              <w:spacing w:before="50" w:after="50" w:line="500" w:lineRule="exact"/>
              <w:jc w:val="left"/>
              <w:rPr>
                <w:rFonts w:ascii="宋体"/>
                <w:sz w:val="24"/>
              </w:rPr>
            </w:pPr>
          </w:p>
        </w:tc>
        <w:tc>
          <w:tcPr>
            <w:tcW w:w="1045" w:type="dxa"/>
          </w:tcPr>
          <w:p w14:paraId="146E1B3D">
            <w:pPr>
              <w:spacing w:before="50" w:after="50" w:line="500" w:lineRule="exact"/>
              <w:jc w:val="left"/>
              <w:rPr>
                <w:rFonts w:ascii="宋体"/>
                <w:sz w:val="24"/>
              </w:rPr>
            </w:pPr>
          </w:p>
        </w:tc>
        <w:tc>
          <w:tcPr>
            <w:tcW w:w="972" w:type="dxa"/>
          </w:tcPr>
          <w:p w14:paraId="18316A7F">
            <w:pPr>
              <w:spacing w:before="50" w:after="50" w:line="500" w:lineRule="exact"/>
              <w:jc w:val="left"/>
              <w:rPr>
                <w:rFonts w:ascii="宋体"/>
                <w:sz w:val="24"/>
              </w:rPr>
            </w:pPr>
          </w:p>
        </w:tc>
        <w:tc>
          <w:tcPr>
            <w:tcW w:w="1970" w:type="dxa"/>
          </w:tcPr>
          <w:p w14:paraId="328E6DD2">
            <w:pPr>
              <w:spacing w:before="50" w:after="50" w:line="500" w:lineRule="exact"/>
              <w:jc w:val="left"/>
              <w:rPr>
                <w:rFonts w:ascii="宋体"/>
                <w:sz w:val="24"/>
              </w:rPr>
            </w:pPr>
          </w:p>
        </w:tc>
        <w:tc>
          <w:tcPr>
            <w:tcW w:w="1943" w:type="dxa"/>
          </w:tcPr>
          <w:p w14:paraId="46EDA2DD">
            <w:pPr>
              <w:spacing w:before="50" w:after="50" w:line="500" w:lineRule="exact"/>
              <w:jc w:val="left"/>
              <w:rPr>
                <w:rFonts w:ascii="宋体"/>
                <w:sz w:val="24"/>
              </w:rPr>
            </w:pPr>
          </w:p>
        </w:tc>
      </w:tr>
      <w:tr w14:paraId="5964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2BE8A321">
            <w:pPr>
              <w:spacing w:before="50" w:after="50" w:line="500" w:lineRule="exact"/>
              <w:jc w:val="left"/>
              <w:rPr>
                <w:rFonts w:ascii="宋体"/>
                <w:sz w:val="24"/>
              </w:rPr>
            </w:pPr>
          </w:p>
        </w:tc>
        <w:tc>
          <w:tcPr>
            <w:tcW w:w="1045" w:type="dxa"/>
          </w:tcPr>
          <w:p w14:paraId="5A03CD75">
            <w:pPr>
              <w:spacing w:before="50" w:after="50" w:line="500" w:lineRule="exact"/>
              <w:jc w:val="left"/>
              <w:rPr>
                <w:rFonts w:ascii="宋体"/>
                <w:sz w:val="24"/>
              </w:rPr>
            </w:pPr>
          </w:p>
        </w:tc>
        <w:tc>
          <w:tcPr>
            <w:tcW w:w="972" w:type="dxa"/>
          </w:tcPr>
          <w:p w14:paraId="49446763">
            <w:pPr>
              <w:spacing w:before="50" w:after="50" w:line="500" w:lineRule="exact"/>
              <w:jc w:val="left"/>
              <w:rPr>
                <w:rFonts w:ascii="宋体"/>
                <w:sz w:val="24"/>
              </w:rPr>
            </w:pPr>
          </w:p>
        </w:tc>
        <w:tc>
          <w:tcPr>
            <w:tcW w:w="1970" w:type="dxa"/>
          </w:tcPr>
          <w:p w14:paraId="081BA50C">
            <w:pPr>
              <w:spacing w:before="50" w:after="50" w:line="500" w:lineRule="exact"/>
              <w:jc w:val="left"/>
              <w:rPr>
                <w:rFonts w:ascii="宋体"/>
                <w:sz w:val="24"/>
              </w:rPr>
            </w:pPr>
          </w:p>
        </w:tc>
        <w:tc>
          <w:tcPr>
            <w:tcW w:w="1943" w:type="dxa"/>
          </w:tcPr>
          <w:p w14:paraId="13CED8F3">
            <w:pPr>
              <w:spacing w:before="50" w:after="50" w:line="500" w:lineRule="exact"/>
              <w:jc w:val="left"/>
              <w:rPr>
                <w:rFonts w:ascii="宋体"/>
                <w:sz w:val="24"/>
              </w:rPr>
            </w:pPr>
          </w:p>
        </w:tc>
      </w:tr>
      <w:tr w14:paraId="6BA6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1AEF993C">
            <w:pPr>
              <w:spacing w:before="50" w:after="50" w:line="500" w:lineRule="exact"/>
              <w:jc w:val="left"/>
              <w:rPr>
                <w:rFonts w:ascii="宋体"/>
                <w:sz w:val="24"/>
              </w:rPr>
            </w:pPr>
          </w:p>
        </w:tc>
        <w:tc>
          <w:tcPr>
            <w:tcW w:w="1045" w:type="dxa"/>
          </w:tcPr>
          <w:p w14:paraId="2EA9FE5B">
            <w:pPr>
              <w:spacing w:before="50" w:after="50" w:line="500" w:lineRule="exact"/>
              <w:jc w:val="left"/>
              <w:rPr>
                <w:rFonts w:ascii="宋体"/>
                <w:sz w:val="24"/>
              </w:rPr>
            </w:pPr>
          </w:p>
        </w:tc>
        <w:tc>
          <w:tcPr>
            <w:tcW w:w="972" w:type="dxa"/>
          </w:tcPr>
          <w:p w14:paraId="261769D6">
            <w:pPr>
              <w:spacing w:before="50" w:after="50" w:line="500" w:lineRule="exact"/>
              <w:jc w:val="left"/>
              <w:rPr>
                <w:rFonts w:ascii="宋体"/>
                <w:sz w:val="24"/>
              </w:rPr>
            </w:pPr>
          </w:p>
        </w:tc>
        <w:tc>
          <w:tcPr>
            <w:tcW w:w="1970" w:type="dxa"/>
          </w:tcPr>
          <w:p w14:paraId="6EFB905A">
            <w:pPr>
              <w:spacing w:before="50" w:after="50" w:line="500" w:lineRule="exact"/>
              <w:jc w:val="left"/>
              <w:rPr>
                <w:rFonts w:ascii="宋体"/>
                <w:sz w:val="24"/>
              </w:rPr>
            </w:pPr>
          </w:p>
        </w:tc>
        <w:tc>
          <w:tcPr>
            <w:tcW w:w="1943" w:type="dxa"/>
          </w:tcPr>
          <w:p w14:paraId="0E26B97C">
            <w:pPr>
              <w:spacing w:before="50" w:after="50" w:line="500" w:lineRule="exact"/>
              <w:jc w:val="left"/>
              <w:rPr>
                <w:rFonts w:ascii="宋体"/>
                <w:sz w:val="24"/>
              </w:rPr>
            </w:pPr>
          </w:p>
        </w:tc>
      </w:tr>
      <w:tr w14:paraId="6518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29DE938C">
            <w:pPr>
              <w:spacing w:before="50" w:after="50" w:line="500" w:lineRule="exact"/>
              <w:jc w:val="left"/>
              <w:rPr>
                <w:rFonts w:ascii="宋体"/>
                <w:sz w:val="24"/>
              </w:rPr>
            </w:pPr>
          </w:p>
        </w:tc>
        <w:tc>
          <w:tcPr>
            <w:tcW w:w="1045" w:type="dxa"/>
          </w:tcPr>
          <w:p w14:paraId="2AA0CE1A">
            <w:pPr>
              <w:spacing w:before="50" w:after="50" w:line="500" w:lineRule="exact"/>
              <w:jc w:val="left"/>
              <w:rPr>
                <w:rFonts w:ascii="宋体"/>
                <w:sz w:val="24"/>
              </w:rPr>
            </w:pPr>
          </w:p>
        </w:tc>
        <w:tc>
          <w:tcPr>
            <w:tcW w:w="972" w:type="dxa"/>
          </w:tcPr>
          <w:p w14:paraId="3D559901">
            <w:pPr>
              <w:spacing w:before="50" w:after="50" w:line="500" w:lineRule="exact"/>
              <w:jc w:val="left"/>
              <w:rPr>
                <w:rFonts w:ascii="宋体"/>
                <w:sz w:val="24"/>
              </w:rPr>
            </w:pPr>
          </w:p>
        </w:tc>
        <w:tc>
          <w:tcPr>
            <w:tcW w:w="1970" w:type="dxa"/>
          </w:tcPr>
          <w:p w14:paraId="339B8F19">
            <w:pPr>
              <w:spacing w:before="50" w:after="50" w:line="500" w:lineRule="exact"/>
              <w:jc w:val="left"/>
              <w:rPr>
                <w:rFonts w:ascii="宋体"/>
                <w:sz w:val="24"/>
              </w:rPr>
            </w:pPr>
          </w:p>
        </w:tc>
        <w:tc>
          <w:tcPr>
            <w:tcW w:w="1943" w:type="dxa"/>
          </w:tcPr>
          <w:p w14:paraId="1E5F5B66">
            <w:pPr>
              <w:spacing w:before="50" w:after="50" w:line="500" w:lineRule="exact"/>
              <w:jc w:val="left"/>
              <w:rPr>
                <w:rFonts w:ascii="宋体"/>
                <w:sz w:val="24"/>
              </w:rPr>
            </w:pPr>
          </w:p>
        </w:tc>
      </w:tr>
      <w:tr w14:paraId="5568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03" w:type="dxa"/>
          </w:tcPr>
          <w:p w14:paraId="01BC02F5">
            <w:pPr>
              <w:spacing w:before="50" w:after="50" w:line="500" w:lineRule="exact"/>
              <w:jc w:val="left"/>
              <w:rPr>
                <w:rFonts w:ascii="宋体"/>
                <w:sz w:val="24"/>
              </w:rPr>
            </w:pPr>
          </w:p>
        </w:tc>
        <w:tc>
          <w:tcPr>
            <w:tcW w:w="1045" w:type="dxa"/>
          </w:tcPr>
          <w:p w14:paraId="26CCF048">
            <w:pPr>
              <w:spacing w:before="50" w:after="50" w:line="500" w:lineRule="exact"/>
              <w:jc w:val="left"/>
              <w:rPr>
                <w:rFonts w:ascii="宋体"/>
                <w:sz w:val="24"/>
              </w:rPr>
            </w:pPr>
          </w:p>
        </w:tc>
        <w:tc>
          <w:tcPr>
            <w:tcW w:w="972" w:type="dxa"/>
          </w:tcPr>
          <w:p w14:paraId="3ECA7D43">
            <w:pPr>
              <w:spacing w:before="50" w:after="50" w:line="500" w:lineRule="exact"/>
              <w:jc w:val="left"/>
              <w:rPr>
                <w:rFonts w:ascii="宋体"/>
                <w:sz w:val="24"/>
              </w:rPr>
            </w:pPr>
          </w:p>
        </w:tc>
        <w:tc>
          <w:tcPr>
            <w:tcW w:w="1970" w:type="dxa"/>
          </w:tcPr>
          <w:p w14:paraId="75170CF9">
            <w:pPr>
              <w:spacing w:before="50" w:after="50" w:line="500" w:lineRule="exact"/>
              <w:jc w:val="left"/>
              <w:rPr>
                <w:rFonts w:ascii="宋体"/>
                <w:sz w:val="24"/>
              </w:rPr>
            </w:pPr>
          </w:p>
        </w:tc>
        <w:tc>
          <w:tcPr>
            <w:tcW w:w="1943" w:type="dxa"/>
          </w:tcPr>
          <w:p w14:paraId="5E1AA712">
            <w:pPr>
              <w:spacing w:before="50" w:after="50" w:line="500" w:lineRule="exact"/>
              <w:jc w:val="left"/>
              <w:rPr>
                <w:rFonts w:ascii="宋体"/>
                <w:sz w:val="24"/>
              </w:rPr>
            </w:pPr>
          </w:p>
        </w:tc>
      </w:tr>
    </w:tbl>
    <w:p w14:paraId="6F7EB4CE">
      <w:pPr>
        <w:rPr>
          <w:rFonts w:ascii="宋体"/>
          <w:sz w:val="24"/>
        </w:rPr>
      </w:pPr>
    </w:p>
    <w:p w14:paraId="16E63D28">
      <w:pPr>
        <w:snapToGrid w:val="0"/>
        <w:spacing w:before="50" w:after="156" w:afterLines="50"/>
        <w:jc w:val="left"/>
        <w:rPr>
          <w:rFonts w:ascii="宋体"/>
          <w:b/>
          <w:bCs/>
          <w:sz w:val="24"/>
        </w:rPr>
      </w:pPr>
    </w:p>
    <w:p w14:paraId="011E2222">
      <w:pPr>
        <w:pStyle w:val="28"/>
        <w:tabs>
          <w:tab w:val="left" w:pos="4312"/>
        </w:tabs>
        <w:spacing w:before="156" w:after="156" w:line="360" w:lineRule="auto"/>
        <w:rPr>
          <w:rFonts w:hAnsi="宋体"/>
          <w:szCs w:val="24"/>
        </w:rPr>
      </w:pPr>
      <w:r>
        <w:rPr>
          <w:rFonts w:hint="eastAsia" w:hAnsi="宋体"/>
          <w:szCs w:val="24"/>
        </w:rPr>
        <w:t>日期：</w:t>
      </w:r>
    </w:p>
    <w:p w14:paraId="14FCDACF">
      <w:pPr>
        <w:snapToGrid w:val="0"/>
        <w:spacing w:before="50" w:after="156" w:afterLines="50"/>
        <w:jc w:val="left"/>
        <w:rPr>
          <w:rFonts w:ascii="宋体"/>
          <w:b/>
          <w:sz w:val="24"/>
        </w:rPr>
      </w:pPr>
    </w:p>
    <w:p w14:paraId="1951A294">
      <w:pPr>
        <w:spacing w:before="50" w:after="50" w:line="500" w:lineRule="exact"/>
        <w:jc w:val="left"/>
        <w:outlineLvl w:val="2"/>
        <w:rPr>
          <w:rFonts w:ascii="宋体" w:hAnsi="宋体"/>
          <w:b/>
          <w:sz w:val="24"/>
        </w:rPr>
      </w:pPr>
    </w:p>
    <w:p w14:paraId="125963E7">
      <w:pPr>
        <w:spacing w:before="50" w:after="50" w:line="500" w:lineRule="exact"/>
        <w:jc w:val="left"/>
        <w:outlineLvl w:val="2"/>
        <w:rPr>
          <w:rFonts w:ascii="宋体" w:hAnsi="宋体"/>
          <w:b/>
          <w:sz w:val="24"/>
        </w:rPr>
      </w:pPr>
    </w:p>
    <w:p w14:paraId="6C27C70A">
      <w:pPr>
        <w:spacing w:before="50" w:after="50" w:line="500" w:lineRule="exact"/>
        <w:jc w:val="left"/>
        <w:outlineLvl w:val="2"/>
        <w:rPr>
          <w:rFonts w:ascii="宋体" w:hAnsi="宋体"/>
          <w:b/>
          <w:sz w:val="24"/>
        </w:rPr>
      </w:pPr>
    </w:p>
    <w:p w14:paraId="1EF39EB8">
      <w:pPr>
        <w:spacing w:before="50" w:after="50" w:line="500" w:lineRule="exact"/>
        <w:jc w:val="left"/>
        <w:outlineLvl w:val="2"/>
        <w:rPr>
          <w:rFonts w:ascii="宋体" w:hAnsi="宋体"/>
          <w:b/>
          <w:sz w:val="24"/>
        </w:rPr>
      </w:pPr>
      <w:r>
        <w:rPr>
          <w:rFonts w:hint="eastAsia" w:ascii="宋体" w:hAnsi="宋体"/>
          <w:b/>
          <w:sz w:val="24"/>
        </w:rPr>
        <w:t>2.9</w:t>
      </w:r>
    </w:p>
    <w:p w14:paraId="65A861CA">
      <w:pPr>
        <w:snapToGrid w:val="0"/>
        <w:spacing w:before="50" w:after="156" w:afterLines="50"/>
        <w:jc w:val="center"/>
        <w:rPr>
          <w:rFonts w:ascii="宋体"/>
          <w:b/>
          <w:sz w:val="24"/>
        </w:rPr>
      </w:pPr>
      <w:r>
        <w:rPr>
          <w:rFonts w:hint="eastAsia" w:ascii="宋体"/>
          <w:b/>
          <w:sz w:val="24"/>
        </w:rPr>
        <w:t>商务响应表</w:t>
      </w:r>
    </w:p>
    <w:tbl>
      <w:tblPr>
        <w:tblStyle w:val="46"/>
        <w:tblW w:w="89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1977"/>
        <w:gridCol w:w="2058"/>
        <w:gridCol w:w="2640"/>
      </w:tblGrid>
      <w:tr w14:paraId="6F65D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tcPr>
          <w:p w14:paraId="06DBD14F">
            <w:pPr>
              <w:snapToGrid w:val="0"/>
              <w:spacing w:before="156" w:beforeLines="50"/>
              <w:rPr>
                <w:rFonts w:ascii="宋体"/>
                <w:sz w:val="24"/>
                <w:szCs w:val="20"/>
              </w:rPr>
            </w:pPr>
            <w:r>
              <w:rPr>
                <w:rFonts w:hint="eastAsia" w:ascii="宋体"/>
                <w:sz w:val="24"/>
              </w:rPr>
              <w:t>项目</w:t>
            </w:r>
          </w:p>
        </w:tc>
        <w:tc>
          <w:tcPr>
            <w:tcW w:w="1977" w:type="dxa"/>
            <w:tcBorders>
              <w:top w:val="single" w:color="auto" w:sz="4" w:space="0"/>
              <w:left w:val="single" w:color="auto" w:sz="4" w:space="0"/>
              <w:bottom w:val="single" w:color="auto" w:sz="4" w:space="0"/>
              <w:right w:val="single" w:color="auto" w:sz="4" w:space="0"/>
            </w:tcBorders>
          </w:tcPr>
          <w:p w14:paraId="46C87B30">
            <w:pPr>
              <w:snapToGrid w:val="0"/>
              <w:spacing w:before="156" w:beforeLines="50"/>
              <w:rPr>
                <w:rFonts w:ascii="宋体"/>
                <w:sz w:val="24"/>
                <w:szCs w:val="20"/>
              </w:rPr>
            </w:pPr>
            <w:r>
              <w:rPr>
                <w:rFonts w:hint="eastAsia" w:ascii="宋体" w:hAnsi="宋体" w:cs="宋体"/>
                <w:bCs/>
                <w:sz w:val="24"/>
              </w:rPr>
              <w:t>磋商</w:t>
            </w:r>
            <w:r>
              <w:rPr>
                <w:rFonts w:hint="eastAsia" w:ascii="宋体"/>
                <w:sz w:val="24"/>
              </w:rPr>
              <w:t>文件要求</w:t>
            </w:r>
          </w:p>
        </w:tc>
        <w:tc>
          <w:tcPr>
            <w:tcW w:w="2058" w:type="dxa"/>
            <w:tcBorders>
              <w:top w:val="single" w:color="auto" w:sz="4" w:space="0"/>
              <w:left w:val="single" w:color="auto" w:sz="4" w:space="0"/>
              <w:bottom w:val="single" w:color="auto" w:sz="4" w:space="0"/>
              <w:right w:val="single" w:color="auto" w:sz="4" w:space="0"/>
            </w:tcBorders>
          </w:tcPr>
          <w:p w14:paraId="4AEA9A98">
            <w:pPr>
              <w:snapToGrid w:val="0"/>
              <w:spacing w:before="156" w:beforeLines="50"/>
              <w:rPr>
                <w:rFonts w:ascii="宋体"/>
                <w:sz w:val="24"/>
                <w:szCs w:val="20"/>
              </w:rPr>
            </w:pPr>
            <w:r>
              <w:rPr>
                <w:rFonts w:hint="eastAsia" w:ascii="宋体"/>
                <w:sz w:val="24"/>
              </w:rPr>
              <w:t>响应及偏离情况</w:t>
            </w:r>
          </w:p>
        </w:tc>
        <w:tc>
          <w:tcPr>
            <w:tcW w:w="2640" w:type="dxa"/>
            <w:tcBorders>
              <w:top w:val="single" w:color="auto" w:sz="4" w:space="0"/>
              <w:left w:val="single" w:color="auto" w:sz="4" w:space="0"/>
              <w:bottom w:val="single" w:color="auto" w:sz="4" w:space="0"/>
              <w:right w:val="single" w:color="auto" w:sz="4" w:space="0"/>
            </w:tcBorders>
          </w:tcPr>
          <w:p w14:paraId="1331C70F">
            <w:pPr>
              <w:snapToGrid w:val="0"/>
              <w:spacing w:before="156" w:beforeLines="50"/>
              <w:rPr>
                <w:rFonts w:ascii="宋体"/>
                <w:sz w:val="24"/>
                <w:szCs w:val="20"/>
              </w:rPr>
            </w:pPr>
            <w:r>
              <w:rPr>
                <w:rFonts w:hint="eastAsia" w:hAnsi="宋体"/>
                <w:sz w:val="24"/>
              </w:rPr>
              <w:t>磋商响应</w:t>
            </w:r>
            <w:r>
              <w:rPr>
                <w:rFonts w:hint="eastAsia" w:ascii="宋体"/>
                <w:sz w:val="24"/>
              </w:rPr>
              <w:t>人的承诺或说明</w:t>
            </w:r>
          </w:p>
        </w:tc>
      </w:tr>
      <w:tr w14:paraId="44E4B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5D64B035">
            <w:pPr>
              <w:pStyle w:val="28"/>
              <w:snapToGrid w:val="0"/>
              <w:spacing w:before="156" w:after="156" w:line="240" w:lineRule="auto"/>
              <w:outlineLvl w:val="0"/>
            </w:pPr>
            <w:r>
              <w:rPr>
                <w:rFonts w:hint="eastAsia"/>
              </w:rPr>
              <w:t>一、免费质保期</w:t>
            </w:r>
          </w:p>
        </w:tc>
        <w:tc>
          <w:tcPr>
            <w:tcW w:w="1977" w:type="dxa"/>
            <w:tcBorders>
              <w:top w:val="single" w:color="auto" w:sz="4" w:space="0"/>
              <w:left w:val="single" w:color="auto" w:sz="4" w:space="0"/>
              <w:bottom w:val="single" w:color="auto" w:sz="4" w:space="0"/>
              <w:right w:val="single" w:color="auto" w:sz="4" w:space="0"/>
            </w:tcBorders>
          </w:tcPr>
          <w:p w14:paraId="59374C3B">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7BE5A6F1">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717620D">
            <w:pPr>
              <w:snapToGrid w:val="0"/>
              <w:spacing w:before="156" w:beforeLines="50"/>
              <w:rPr>
                <w:rFonts w:ascii="宋体"/>
                <w:sz w:val="24"/>
              </w:rPr>
            </w:pPr>
          </w:p>
        </w:tc>
      </w:tr>
      <w:tr w14:paraId="50F2D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0542AA87">
            <w:pPr>
              <w:pStyle w:val="28"/>
              <w:snapToGrid w:val="0"/>
              <w:spacing w:before="156" w:after="156" w:line="240" w:lineRule="auto"/>
              <w:outlineLvl w:val="0"/>
            </w:pPr>
            <w:r>
              <w:rPr>
                <w:rFonts w:hint="eastAsia"/>
              </w:rPr>
              <w:t>二、售后服务要求</w:t>
            </w:r>
          </w:p>
        </w:tc>
        <w:tc>
          <w:tcPr>
            <w:tcW w:w="1977" w:type="dxa"/>
            <w:tcBorders>
              <w:top w:val="single" w:color="auto" w:sz="4" w:space="0"/>
              <w:left w:val="single" w:color="auto" w:sz="4" w:space="0"/>
              <w:bottom w:val="single" w:color="auto" w:sz="4" w:space="0"/>
              <w:right w:val="single" w:color="auto" w:sz="4" w:space="0"/>
            </w:tcBorders>
          </w:tcPr>
          <w:p w14:paraId="012ED086">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44694798">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555C9842">
            <w:pPr>
              <w:snapToGrid w:val="0"/>
              <w:spacing w:before="156" w:beforeLines="50"/>
              <w:rPr>
                <w:rFonts w:ascii="宋体"/>
                <w:sz w:val="24"/>
              </w:rPr>
            </w:pPr>
          </w:p>
        </w:tc>
      </w:tr>
      <w:tr w14:paraId="47812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717DDE83">
            <w:pPr>
              <w:pStyle w:val="28"/>
              <w:snapToGrid w:val="0"/>
              <w:spacing w:before="156" w:after="156" w:line="240" w:lineRule="auto"/>
              <w:outlineLvl w:val="0"/>
            </w:pPr>
            <w:r>
              <w:rPr>
                <w:rFonts w:hint="eastAsia"/>
              </w:rPr>
              <w:t>三、售后服务保障或维修响应时间要求</w:t>
            </w:r>
          </w:p>
        </w:tc>
        <w:tc>
          <w:tcPr>
            <w:tcW w:w="1977" w:type="dxa"/>
            <w:tcBorders>
              <w:top w:val="single" w:color="auto" w:sz="4" w:space="0"/>
              <w:left w:val="single" w:color="auto" w:sz="4" w:space="0"/>
              <w:bottom w:val="single" w:color="auto" w:sz="4" w:space="0"/>
              <w:right w:val="single" w:color="auto" w:sz="4" w:space="0"/>
            </w:tcBorders>
          </w:tcPr>
          <w:p w14:paraId="73244096">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4AF26715">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0517F72C">
            <w:pPr>
              <w:snapToGrid w:val="0"/>
              <w:spacing w:before="156" w:beforeLines="50"/>
              <w:rPr>
                <w:rFonts w:ascii="宋体"/>
                <w:sz w:val="24"/>
              </w:rPr>
            </w:pPr>
          </w:p>
        </w:tc>
      </w:tr>
      <w:tr w14:paraId="71501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2CA767BE">
            <w:pPr>
              <w:pStyle w:val="28"/>
              <w:snapToGrid w:val="0"/>
              <w:spacing w:before="156" w:after="156" w:line="240" w:lineRule="auto"/>
              <w:outlineLvl w:val="0"/>
            </w:pPr>
            <w:r>
              <w:rPr>
                <w:rFonts w:hint="eastAsia"/>
              </w:rPr>
              <w:t>四、交货时间及地点</w:t>
            </w:r>
          </w:p>
        </w:tc>
        <w:tc>
          <w:tcPr>
            <w:tcW w:w="1977" w:type="dxa"/>
            <w:tcBorders>
              <w:top w:val="single" w:color="auto" w:sz="4" w:space="0"/>
              <w:left w:val="single" w:color="auto" w:sz="4" w:space="0"/>
              <w:bottom w:val="single" w:color="auto" w:sz="4" w:space="0"/>
              <w:right w:val="single" w:color="auto" w:sz="4" w:space="0"/>
            </w:tcBorders>
          </w:tcPr>
          <w:p w14:paraId="3D6790BD">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64F5004">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29BC3457">
            <w:pPr>
              <w:snapToGrid w:val="0"/>
              <w:spacing w:before="156" w:beforeLines="50"/>
              <w:rPr>
                <w:rFonts w:ascii="宋体"/>
                <w:sz w:val="24"/>
              </w:rPr>
            </w:pPr>
          </w:p>
        </w:tc>
      </w:tr>
      <w:tr w14:paraId="35662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5A6E2EDA">
            <w:pPr>
              <w:pStyle w:val="28"/>
              <w:snapToGrid w:val="0"/>
              <w:spacing w:before="156" w:after="156" w:line="240" w:lineRule="auto"/>
              <w:outlineLvl w:val="0"/>
            </w:pPr>
            <w:r>
              <w:rPr>
                <w:rFonts w:hint="eastAsia"/>
              </w:rPr>
              <w:t>五、付款方式</w:t>
            </w:r>
          </w:p>
        </w:tc>
        <w:tc>
          <w:tcPr>
            <w:tcW w:w="1977" w:type="dxa"/>
            <w:tcBorders>
              <w:top w:val="single" w:color="auto" w:sz="4" w:space="0"/>
              <w:left w:val="single" w:color="auto" w:sz="4" w:space="0"/>
              <w:bottom w:val="single" w:color="auto" w:sz="4" w:space="0"/>
              <w:right w:val="single" w:color="auto" w:sz="4" w:space="0"/>
            </w:tcBorders>
          </w:tcPr>
          <w:p w14:paraId="65C7A2AB">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2F1D5EA9">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82144E7">
            <w:pPr>
              <w:snapToGrid w:val="0"/>
              <w:spacing w:before="156" w:beforeLines="50"/>
              <w:rPr>
                <w:rFonts w:ascii="宋体"/>
                <w:sz w:val="24"/>
              </w:rPr>
            </w:pPr>
          </w:p>
        </w:tc>
      </w:tr>
      <w:tr w14:paraId="4418D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42DBEC2C">
            <w:pPr>
              <w:pStyle w:val="28"/>
              <w:snapToGrid w:val="0"/>
              <w:spacing w:before="156" w:after="156" w:line="240" w:lineRule="auto"/>
              <w:outlineLvl w:val="0"/>
            </w:pPr>
            <w:r>
              <w:rPr>
                <w:rFonts w:hint="eastAsia"/>
              </w:rPr>
              <w:t>六、安装</w:t>
            </w:r>
          </w:p>
        </w:tc>
        <w:tc>
          <w:tcPr>
            <w:tcW w:w="1977" w:type="dxa"/>
            <w:tcBorders>
              <w:top w:val="single" w:color="auto" w:sz="4" w:space="0"/>
              <w:left w:val="single" w:color="auto" w:sz="4" w:space="0"/>
              <w:bottom w:val="single" w:color="auto" w:sz="4" w:space="0"/>
              <w:right w:val="single" w:color="auto" w:sz="4" w:space="0"/>
            </w:tcBorders>
          </w:tcPr>
          <w:p w14:paraId="79958B77">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24BD5E32">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4875EBD7">
            <w:pPr>
              <w:snapToGrid w:val="0"/>
              <w:spacing w:before="156" w:beforeLines="50"/>
              <w:rPr>
                <w:rFonts w:ascii="宋体"/>
                <w:sz w:val="24"/>
              </w:rPr>
            </w:pPr>
          </w:p>
        </w:tc>
      </w:tr>
      <w:tr w14:paraId="1F989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13484A22">
            <w:pPr>
              <w:pStyle w:val="28"/>
              <w:snapToGrid w:val="0"/>
              <w:spacing w:before="156" w:after="156" w:line="240" w:lineRule="auto"/>
              <w:outlineLvl w:val="0"/>
            </w:pPr>
            <w:r>
              <w:rPr>
                <w:rFonts w:hint="eastAsia"/>
              </w:rPr>
              <w:t>七、培训</w:t>
            </w:r>
          </w:p>
        </w:tc>
        <w:tc>
          <w:tcPr>
            <w:tcW w:w="1977" w:type="dxa"/>
            <w:tcBorders>
              <w:top w:val="single" w:color="auto" w:sz="4" w:space="0"/>
              <w:left w:val="single" w:color="auto" w:sz="4" w:space="0"/>
              <w:bottom w:val="single" w:color="auto" w:sz="4" w:space="0"/>
              <w:right w:val="single" w:color="auto" w:sz="4" w:space="0"/>
            </w:tcBorders>
          </w:tcPr>
          <w:p w14:paraId="04946549">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62B61D2A">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7113E08D">
            <w:pPr>
              <w:snapToGrid w:val="0"/>
              <w:spacing w:before="156" w:beforeLines="50"/>
              <w:rPr>
                <w:rFonts w:ascii="宋体"/>
                <w:sz w:val="24"/>
              </w:rPr>
            </w:pPr>
          </w:p>
        </w:tc>
      </w:tr>
      <w:tr w14:paraId="4DB01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60EE8E25">
            <w:pPr>
              <w:pStyle w:val="28"/>
              <w:snapToGrid w:val="0"/>
              <w:spacing w:before="156" w:after="156" w:line="240" w:lineRule="auto"/>
              <w:outlineLvl w:val="0"/>
            </w:pPr>
            <w:r>
              <w:rPr>
                <w:rFonts w:hint="eastAsia"/>
              </w:rPr>
              <w:t>……</w:t>
            </w:r>
          </w:p>
        </w:tc>
        <w:tc>
          <w:tcPr>
            <w:tcW w:w="1977" w:type="dxa"/>
            <w:tcBorders>
              <w:top w:val="single" w:color="auto" w:sz="4" w:space="0"/>
              <w:left w:val="single" w:color="auto" w:sz="4" w:space="0"/>
              <w:bottom w:val="single" w:color="auto" w:sz="4" w:space="0"/>
              <w:right w:val="single" w:color="auto" w:sz="4" w:space="0"/>
            </w:tcBorders>
          </w:tcPr>
          <w:p w14:paraId="68411044">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595C38A1">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30A93B0B">
            <w:pPr>
              <w:snapToGrid w:val="0"/>
              <w:spacing w:before="156" w:beforeLines="50"/>
              <w:rPr>
                <w:rFonts w:ascii="宋体"/>
                <w:sz w:val="24"/>
              </w:rPr>
            </w:pPr>
          </w:p>
        </w:tc>
      </w:tr>
      <w:tr w14:paraId="2FC1F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68" w:type="dxa"/>
            <w:tcBorders>
              <w:top w:val="single" w:color="auto" w:sz="4" w:space="0"/>
              <w:left w:val="single" w:color="auto" w:sz="4" w:space="0"/>
              <w:bottom w:val="single" w:color="auto" w:sz="4" w:space="0"/>
              <w:right w:val="single" w:color="auto" w:sz="4" w:space="0"/>
            </w:tcBorders>
            <w:vAlign w:val="center"/>
          </w:tcPr>
          <w:p w14:paraId="78658163">
            <w:pPr>
              <w:pStyle w:val="28"/>
              <w:snapToGrid w:val="0"/>
              <w:spacing w:before="156" w:after="156" w:line="240" w:lineRule="auto"/>
              <w:outlineLvl w:val="0"/>
            </w:pPr>
            <w:r>
              <w:rPr>
                <w:rFonts w:hint="eastAsia"/>
              </w:rPr>
              <w:t>……</w:t>
            </w:r>
          </w:p>
        </w:tc>
        <w:tc>
          <w:tcPr>
            <w:tcW w:w="1977" w:type="dxa"/>
            <w:tcBorders>
              <w:top w:val="single" w:color="auto" w:sz="4" w:space="0"/>
              <w:left w:val="single" w:color="auto" w:sz="4" w:space="0"/>
              <w:bottom w:val="single" w:color="auto" w:sz="4" w:space="0"/>
              <w:right w:val="single" w:color="auto" w:sz="4" w:space="0"/>
            </w:tcBorders>
          </w:tcPr>
          <w:p w14:paraId="1C040315">
            <w:pPr>
              <w:snapToGrid w:val="0"/>
              <w:spacing w:before="156" w:beforeLines="50"/>
              <w:rPr>
                <w:rFonts w:ascii="宋体"/>
                <w:sz w:val="24"/>
              </w:rPr>
            </w:pPr>
          </w:p>
        </w:tc>
        <w:tc>
          <w:tcPr>
            <w:tcW w:w="2058" w:type="dxa"/>
            <w:tcBorders>
              <w:top w:val="single" w:color="auto" w:sz="4" w:space="0"/>
              <w:left w:val="single" w:color="auto" w:sz="4" w:space="0"/>
              <w:bottom w:val="single" w:color="auto" w:sz="4" w:space="0"/>
              <w:right w:val="single" w:color="auto" w:sz="4" w:space="0"/>
            </w:tcBorders>
          </w:tcPr>
          <w:p w14:paraId="7AC47673">
            <w:pPr>
              <w:snapToGrid w:val="0"/>
              <w:spacing w:before="156" w:beforeLines="50"/>
              <w:rPr>
                <w:rFonts w:ascii="宋体"/>
                <w:sz w:val="24"/>
              </w:rPr>
            </w:pPr>
          </w:p>
        </w:tc>
        <w:tc>
          <w:tcPr>
            <w:tcW w:w="2640" w:type="dxa"/>
            <w:tcBorders>
              <w:top w:val="single" w:color="auto" w:sz="4" w:space="0"/>
              <w:left w:val="single" w:color="auto" w:sz="4" w:space="0"/>
              <w:bottom w:val="single" w:color="auto" w:sz="4" w:space="0"/>
              <w:right w:val="single" w:color="auto" w:sz="4" w:space="0"/>
            </w:tcBorders>
          </w:tcPr>
          <w:p w14:paraId="147449DD">
            <w:pPr>
              <w:snapToGrid w:val="0"/>
              <w:spacing w:before="156" w:beforeLines="50"/>
              <w:rPr>
                <w:rFonts w:ascii="宋体"/>
                <w:sz w:val="24"/>
              </w:rPr>
            </w:pPr>
          </w:p>
        </w:tc>
      </w:tr>
    </w:tbl>
    <w:p w14:paraId="43204542">
      <w:pPr>
        <w:snapToGrid w:val="0"/>
        <w:spacing w:before="156" w:beforeLines="50"/>
        <w:rPr>
          <w:rFonts w:ascii="宋体"/>
          <w:sz w:val="24"/>
          <w:szCs w:val="20"/>
        </w:rPr>
      </w:pPr>
    </w:p>
    <w:p w14:paraId="2CED4817">
      <w:pPr>
        <w:snapToGrid w:val="0"/>
        <w:spacing w:before="50" w:after="50"/>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14:paraId="0AB64758">
      <w:pPr>
        <w:snapToGrid w:val="0"/>
        <w:spacing w:before="50" w:after="50"/>
        <w:rPr>
          <w:rFonts w:ascii="宋体"/>
          <w:spacing w:val="20"/>
          <w:sz w:val="24"/>
          <w:u w:val="single"/>
        </w:rPr>
      </w:pPr>
      <w:r>
        <w:rPr>
          <w:rFonts w:hint="eastAsia"/>
          <w:sz w:val="24"/>
        </w:rPr>
        <w:t>磋商响应</w:t>
      </w:r>
      <w:r>
        <w:rPr>
          <w:sz w:val="24"/>
        </w:rPr>
        <w:t>单位</w:t>
      </w:r>
      <w:r>
        <w:rPr>
          <w:rFonts w:hint="eastAsia" w:ascii="宋体"/>
          <w:spacing w:val="20"/>
          <w:sz w:val="24"/>
        </w:rPr>
        <w:t>盖章：              日 期：</w:t>
      </w:r>
    </w:p>
    <w:p w14:paraId="6DDBDC28">
      <w:pPr>
        <w:rPr>
          <w:rFonts w:ascii="宋体" w:hAnsi="宋体"/>
          <w:b/>
          <w:sz w:val="24"/>
        </w:rPr>
      </w:pPr>
      <w:r>
        <w:rPr>
          <w:rFonts w:hint="eastAsia" w:ascii="宋体" w:hAnsi="宋体"/>
          <w:b/>
          <w:sz w:val="24"/>
        </w:rPr>
        <w:br w:type="page"/>
      </w:r>
    </w:p>
    <w:p w14:paraId="33BD99F9">
      <w:pPr>
        <w:spacing w:before="50" w:after="50" w:line="500" w:lineRule="exact"/>
        <w:outlineLvl w:val="2"/>
        <w:rPr>
          <w:rFonts w:ascii="宋体" w:hAnsi="宋体"/>
          <w:b/>
          <w:sz w:val="24"/>
        </w:rPr>
      </w:pPr>
      <w:r>
        <w:rPr>
          <w:rFonts w:hint="eastAsia" w:ascii="宋体" w:hAnsi="宋体"/>
          <w:b/>
          <w:sz w:val="24"/>
        </w:rPr>
        <w:t>2.10</w:t>
      </w:r>
    </w:p>
    <w:p w14:paraId="1E6D9390">
      <w:pPr>
        <w:spacing w:before="50" w:after="50" w:line="500" w:lineRule="exact"/>
        <w:jc w:val="center"/>
        <w:outlineLvl w:val="2"/>
        <w:rPr>
          <w:rFonts w:ascii="宋体" w:hAnsi="宋体"/>
          <w:b/>
          <w:sz w:val="24"/>
        </w:rPr>
      </w:pPr>
      <w:r>
        <w:rPr>
          <w:rFonts w:hint="eastAsia" w:ascii="宋体" w:hAnsi="宋体"/>
          <w:b/>
          <w:sz w:val="24"/>
        </w:rPr>
        <w:t>技术响应表格式：</w:t>
      </w:r>
    </w:p>
    <w:tbl>
      <w:tblPr>
        <w:tblStyle w:val="4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2"/>
        <w:gridCol w:w="1922"/>
        <w:gridCol w:w="1746"/>
        <w:gridCol w:w="2332"/>
      </w:tblGrid>
      <w:tr w14:paraId="7E78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vAlign w:val="center"/>
          </w:tcPr>
          <w:p w14:paraId="77F0570D">
            <w:pPr>
              <w:jc w:val="center"/>
              <w:rPr>
                <w:rFonts w:ascii="宋体" w:hAnsi="宋体"/>
                <w:sz w:val="24"/>
              </w:rPr>
            </w:pPr>
            <w:r>
              <w:rPr>
                <w:rFonts w:ascii="宋体" w:hAnsi="宋体"/>
                <w:sz w:val="24"/>
              </w:rPr>
              <w:t>序号</w:t>
            </w:r>
          </w:p>
        </w:tc>
        <w:tc>
          <w:tcPr>
            <w:tcW w:w="2342" w:type="dxa"/>
            <w:tcBorders>
              <w:bottom w:val="single" w:color="auto" w:sz="4" w:space="0"/>
            </w:tcBorders>
            <w:vAlign w:val="center"/>
          </w:tcPr>
          <w:p w14:paraId="64B920BB">
            <w:pPr>
              <w:jc w:val="center"/>
              <w:rPr>
                <w:rFonts w:ascii="宋体" w:hAnsi="宋体"/>
                <w:sz w:val="24"/>
              </w:rPr>
            </w:pPr>
            <w:r>
              <w:rPr>
                <w:rFonts w:ascii="宋体" w:hAnsi="宋体"/>
                <w:sz w:val="24"/>
              </w:rPr>
              <w:t>内  容</w:t>
            </w:r>
          </w:p>
        </w:tc>
        <w:tc>
          <w:tcPr>
            <w:tcW w:w="1922" w:type="dxa"/>
            <w:tcBorders>
              <w:bottom w:val="single" w:color="auto" w:sz="4" w:space="0"/>
            </w:tcBorders>
            <w:vAlign w:val="center"/>
          </w:tcPr>
          <w:p w14:paraId="31E9DF2D">
            <w:pPr>
              <w:jc w:val="center"/>
              <w:rPr>
                <w:rFonts w:ascii="宋体" w:hAnsi="宋体"/>
                <w:sz w:val="24"/>
              </w:rPr>
            </w:pPr>
            <w:r>
              <w:rPr>
                <w:rFonts w:hint="eastAsia" w:ascii="宋体" w:hAnsi="宋体"/>
                <w:sz w:val="24"/>
              </w:rPr>
              <w:t>竞争性磋商文件</w:t>
            </w:r>
          </w:p>
          <w:p w14:paraId="12C379E2">
            <w:pPr>
              <w:jc w:val="center"/>
              <w:rPr>
                <w:rFonts w:ascii="宋体" w:hAnsi="宋体"/>
                <w:sz w:val="24"/>
              </w:rPr>
            </w:pPr>
            <w:r>
              <w:rPr>
                <w:rFonts w:ascii="宋体" w:hAnsi="宋体"/>
                <w:sz w:val="24"/>
              </w:rPr>
              <w:t>规范要求</w:t>
            </w:r>
          </w:p>
        </w:tc>
        <w:tc>
          <w:tcPr>
            <w:tcW w:w="1746" w:type="dxa"/>
            <w:tcBorders>
              <w:bottom w:val="single" w:color="auto" w:sz="4" w:space="0"/>
            </w:tcBorders>
            <w:vAlign w:val="center"/>
          </w:tcPr>
          <w:p w14:paraId="20D58433">
            <w:pPr>
              <w:jc w:val="center"/>
              <w:rPr>
                <w:rFonts w:ascii="宋体" w:hAnsi="宋体"/>
                <w:sz w:val="24"/>
              </w:rPr>
            </w:pPr>
            <w:r>
              <w:rPr>
                <w:rFonts w:hint="eastAsia" w:ascii="宋体" w:hAnsi="宋体"/>
                <w:sz w:val="24"/>
              </w:rPr>
              <w:t>磋商响应文件</w:t>
            </w:r>
          </w:p>
          <w:p w14:paraId="4D3F3D09">
            <w:pPr>
              <w:jc w:val="center"/>
              <w:rPr>
                <w:rFonts w:ascii="宋体" w:hAnsi="宋体"/>
                <w:sz w:val="24"/>
              </w:rPr>
            </w:pPr>
            <w:r>
              <w:rPr>
                <w:rFonts w:ascii="宋体" w:hAnsi="宋体"/>
                <w:sz w:val="24"/>
              </w:rPr>
              <w:t>对应规范</w:t>
            </w:r>
          </w:p>
        </w:tc>
        <w:tc>
          <w:tcPr>
            <w:tcW w:w="2332" w:type="dxa"/>
            <w:tcBorders>
              <w:bottom w:val="single" w:color="auto" w:sz="4" w:space="0"/>
            </w:tcBorders>
            <w:vAlign w:val="center"/>
          </w:tcPr>
          <w:p w14:paraId="20F365EA">
            <w:pPr>
              <w:jc w:val="center"/>
              <w:rPr>
                <w:rFonts w:ascii="宋体" w:hAnsi="宋体"/>
                <w:sz w:val="24"/>
              </w:rPr>
            </w:pPr>
            <w:r>
              <w:rPr>
                <w:rFonts w:hint="eastAsia" w:ascii="宋体" w:hAnsi="宋体"/>
                <w:sz w:val="24"/>
              </w:rPr>
              <w:t>偏离情况</w:t>
            </w:r>
          </w:p>
          <w:p w14:paraId="22FAB3B1">
            <w:pPr>
              <w:jc w:val="center"/>
              <w:rPr>
                <w:rFonts w:ascii="宋体" w:hAnsi="宋体"/>
                <w:sz w:val="24"/>
              </w:rPr>
            </w:pPr>
            <w:r>
              <w:rPr>
                <w:rFonts w:hint="eastAsia" w:ascii="宋体" w:hAnsi="宋体"/>
                <w:sz w:val="24"/>
              </w:rPr>
              <w:t>（注明正偏离、负偏离或无偏离）</w:t>
            </w:r>
          </w:p>
        </w:tc>
      </w:tr>
      <w:tr w14:paraId="3CBC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445238BB">
            <w:pPr>
              <w:spacing w:line="360" w:lineRule="auto"/>
              <w:jc w:val="center"/>
              <w:rPr>
                <w:rFonts w:ascii="宋体" w:hAnsi="宋体"/>
                <w:sz w:val="24"/>
              </w:rPr>
            </w:pPr>
          </w:p>
        </w:tc>
        <w:tc>
          <w:tcPr>
            <w:tcW w:w="2342" w:type="dxa"/>
          </w:tcPr>
          <w:p w14:paraId="736F838F">
            <w:pPr>
              <w:spacing w:line="360" w:lineRule="auto"/>
              <w:rPr>
                <w:rFonts w:ascii="宋体" w:hAnsi="宋体"/>
                <w:sz w:val="24"/>
              </w:rPr>
            </w:pPr>
          </w:p>
        </w:tc>
        <w:tc>
          <w:tcPr>
            <w:tcW w:w="1922" w:type="dxa"/>
          </w:tcPr>
          <w:p w14:paraId="3426BF78">
            <w:pPr>
              <w:spacing w:line="360" w:lineRule="auto"/>
              <w:rPr>
                <w:rFonts w:ascii="宋体" w:hAnsi="宋体"/>
                <w:sz w:val="24"/>
              </w:rPr>
            </w:pPr>
          </w:p>
        </w:tc>
        <w:tc>
          <w:tcPr>
            <w:tcW w:w="1746" w:type="dxa"/>
          </w:tcPr>
          <w:p w14:paraId="46C0D60B">
            <w:pPr>
              <w:spacing w:line="360" w:lineRule="auto"/>
              <w:rPr>
                <w:rFonts w:ascii="宋体" w:hAnsi="宋体"/>
                <w:sz w:val="24"/>
              </w:rPr>
            </w:pPr>
          </w:p>
        </w:tc>
        <w:tc>
          <w:tcPr>
            <w:tcW w:w="2332" w:type="dxa"/>
          </w:tcPr>
          <w:p w14:paraId="5EC587EE">
            <w:pPr>
              <w:spacing w:line="360" w:lineRule="auto"/>
              <w:rPr>
                <w:rFonts w:ascii="宋体" w:hAnsi="宋体"/>
                <w:sz w:val="24"/>
              </w:rPr>
            </w:pPr>
          </w:p>
        </w:tc>
      </w:tr>
      <w:tr w14:paraId="2CE6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3DFD9232">
            <w:pPr>
              <w:spacing w:line="360" w:lineRule="auto"/>
              <w:rPr>
                <w:rFonts w:ascii="宋体" w:hAnsi="宋体"/>
                <w:sz w:val="24"/>
              </w:rPr>
            </w:pPr>
          </w:p>
        </w:tc>
        <w:tc>
          <w:tcPr>
            <w:tcW w:w="2342" w:type="dxa"/>
          </w:tcPr>
          <w:p w14:paraId="600064C8">
            <w:pPr>
              <w:spacing w:line="360" w:lineRule="auto"/>
              <w:rPr>
                <w:rFonts w:ascii="宋体" w:hAnsi="宋体"/>
                <w:sz w:val="24"/>
              </w:rPr>
            </w:pPr>
          </w:p>
        </w:tc>
        <w:tc>
          <w:tcPr>
            <w:tcW w:w="1922" w:type="dxa"/>
          </w:tcPr>
          <w:p w14:paraId="1EB95B71">
            <w:pPr>
              <w:spacing w:line="360" w:lineRule="auto"/>
              <w:rPr>
                <w:rFonts w:ascii="宋体" w:hAnsi="宋体"/>
                <w:sz w:val="24"/>
              </w:rPr>
            </w:pPr>
          </w:p>
        </w:tc>
        <w:tc>
          <w:tcPr>
            <w:tcW w:w="1746" w:type="dxa"/>
          </w:tcPr>
          <w:p w14:paraId="67C634B1">
            <w:pPr>
              <w:spacing w:line="360" w:lineRule="auto"/>
              <w:rPr>
                <w:rFonts w:ascii="宋体" w:hAnsi="宋体"/>
                <w:sz w:val="24"/>
              </w:rPr>
            </w:pPr>
          </w:p>
        </w:tc>
        <w:tc>
          <w:tcPr>
            <w:tcW w:w="2332" w:type="dxa"/>
          </w:tcPr>
          <w:p w14:paraId="2ED1EBA4">
            <w:pPr>
              <w:spacing w:line="360" w:lineRule="auto"/>
              <w:rPr>
                <w:rFonts w:ascii="宋体" w:hAnsi="宋体"/>
                <w:sz w:val="24"/>
              </w:rPr>
            </w:pPr>
          </w:p>
        </w:tc>
      </w:tr>
      <w:tr w14:paraId="0F80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3C5C13F7">
            <w:pPr>
              <w:spacing w:line="360" w:lineRule="auto"/>
              <w:rPr>
                <w:rFonts w:ascii="宋体" w:hAnsi="宋体"/>
                <w:sz w:val="24"/>
              </w:rPr>
            </w:pPr>
          </w:p>
        </w:tc>
        <w:tc>
          <w:tcPr>
            <w:tcW w:w="2342" w:type="dxa"/>
          </w:tcPr>
          <w:p w14:paraId="0D8494FC">
            <w:pPr>
              <w:spacing w:line="360" w:lineRule="auto"/>
              <w:rPr>
                <w:rFonts w:ascii="宋体" w:hAnsi="宋体"/>
                <w:sz w:val="24"/>
              </w:rPr>
            </w:pPr>
          </w:p>
        </w:tc>
        <w:tc>
          <w:tcPr>
            <w:tcW w:w="1922" w:type="dxa"/>
          </w:tcPr>
          <w:p w14:paraId="4A959F21">
            <w:pPr>
              <w:spacing w:line="360" w:lineRule="auto"/>
              <w:rPr>
                <w:rFonts w:ascii="宋体" w:hAnsi="宋体"/>
                <w:sz w:val="24"/>
              </w:rPr>
            </w:pPr>
          </w:p>
        </w:tc>
        <w:tc>
          <w:tcPr>
            <w:tcW w:w="1746" w:type="dxa"/>
          </w:tcPr>
          <w:p w14:paraId="0488C5DE">
            <w:pPr>
              <w:spacing w:line="360" w:lineRule="auto"/>
              <w:rPr>
                <w:rFonts w:ascii="宋体" w:hAnsi="宋体"/>
                <w:sz w:val="24"/>
              </w:rPr>
            </w:pPr>
          </w:p>
        </w:tc>
        <w:tc>
          <w:tcPr>
            <w:tcW w:w="2332" w:type="dxa"/>
          </w:tcPr>
          <w:p w14:paraId="437121B6">
            <w:pPr>
              <w:spacing w:line="360" w:lineRule="auto"/>
              <w:rPr>
                <w:rFonts w:ascii="宋体" w:hAnsi="宋体"/>
                <w:sz w:val="24"/>
              </w:rPr>
            </w:pPr>
          </w:p>
        </w:tc>
      </w:tr>
      <w:tr w14:paraId="5D74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tcPr>
          <w:p w14:paraId="4851A848">
            <w:pPr>
              <w:spacing w:line="360" w:lineRule="auto"/>
              <w:rPr>
                <w:rFonts w:ascii="宋体" w:hAnsi="宋体"/>
                <w:sz w:val="24"/>
              </w:rPr>
            </w:pPr>
          </w:p>
        </w:tc>
        <w:tc>
          <w:tcPr>
            <w:tcW w:w="2342" w:type="dxa"/>
          </w:tcPr>
          <w:p w14:paraId="585A95C2">
            <w:pPr>
              <w:spacing w:line="360" w:lineRule="auto"/>
              <w:rPr>
                <w:rFonts w:ascii="宋体" w:hAnsi="宋体"/>
                <w:sz w:val="24"/>
              </w:rPr>
            </w:pPr>
          </w:p>
        </w:tc>
        <w:tc>
          <w:tcPr>
            <w:tcW w:w="1922" w:type="dxa"/>
          </w:tcPr>
          <w:p w14:paraId="3756FF7B">
            <w:pPr>
              <w:spacing w:line="360" w:lineRule="auto"/>
              <w:rPr>
                <w:rFonts w:ascii="宋体" w:hAnsi="宋体"/>
                <w:sz w:val="24"/>
              </w:rPr>
            </w:pPr>
          </w:p>
        </w:tc>
        <w:tc>
          <w:tcPr>
            <w:tcW w:w="1746" w:type="dxa"/>
          </w:tcPr>
          <w:p w14:paraId="521AAA05">
            <w:pPr>
              <w:spacing w:line="360" w:lineRule="auto"/>
              <w:rPr>
                <w:rFonts w:ascii="宋体" w:hAnsi="宋体"/>
                <w:sz w:val="24"/>
              </w:rPr>
            </w:pPr>
          </w:p>
        </w:tc>
        <w:tc>
          <w:tcPr>
            <w:tcW w:w="2332" w:type="dxa"/>
          </w:tcPr>
          <w:p w14:paraId="27A17E01">
            <w:pPr>
              <w:spacing w:line="360" w:lineRule="auto"/>
              <w:rPr>
                <w:rFonts w:ascii="宋体" w:hAnsi="宋体"/>
                <w:sz w:val="24"/>
              </w:rPr>
            </w:pPr>
          </w:p>
        </w:tc>
      </w:tr>
      <w:tr w14:paraId="3F08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7D6659C0">
            <w:pPr>
              <w:spacing w:line="360" w:lineRule="auto"/>
              <w:rPr>
                <w:rFonts w:ascii="宋体" w:hAnsi="宋体"/>
                <w:sz w:val="24"/>
              </w:rPr>
            </w:pPr>
          </w:p>
        </w:tc>
        <w:tc>
          <w:tcPr>
            <w:tcW w:w="2342" w:type="dxa"/>
          </w:tcPr>
          <w:p w14:paraId="33B677CF">
            <w:pPr>
              <w:spacing w:line="360" w:lineRule="auto"/>
              <w:rPr>
                <w:rFonts w:ascii="宋体" w:hAnsi="宋体"/>
                <w:sz w:val="24"/>
              </w:rPr>
            </w:pPr>
          </w:p>
        </w:tc>
        <w:tc>
          <w:tcPr>
            <w:tcW w:w="1922" w:type="dxa"/>
          </w:tcPr>
          <w:p w14:paraId="17071DF9">
            <w:pPr>
              <w:spacing w:line="360" w:lineRule="auto"/>
              <w:rPr>
                <w:rFonts w:ascii="宋体" w:hAnsi="宋体"/>
                <w:sz w:val="24"/>
              </w:rPr>
            </w:pPr>
          </w:p>
        </w:tc>
        <w:tc>
          <w:tcPr>
            <w:tcW w:w="1746" w:type="dxa"/>
          </w:tcPr>
          <w:p w14:paraId="2FFF105C">
            <w:pPr>
              <w:spacing w:line="360" w:lineRule="auto"/>
              <w:rPr>
                <w:rFonts w:ascii="宋体" w:hAnsi="宋体"/>
                <w:sz w:val="24"/>
              </w:rPr>
            </w:pPr>
          </w:p>
        </w:tc>
        <w:tc>
          <w:tcPr>
            <w:tcW w:w="2332" w:type="dxa"/>
          </w:tcPr>
          <w:p w14:paraId="687BD541">
            <w:pPr>
              <w:spacing w:line="360" w:lineRule="auto"/>
              <w:rPr>
                <w:rFonts w:ascii="宋体" w:hAnsi="宋体"/>
                <w:sz w:val="24"/>
              </w:rPr>
            </w:pPr>
          </w:p>
        </w:tc>
      </w:tr>
      <w:tr w14:paraId="4BE5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61BA26F1">
            <w:pPr>
              <w:spacing w:line="360" w:lineRule="auto"/>
              <w:rPr>
                <w:rFonts w:ascii="宋体" w:hAnsi="宋体"/>
                <w:sz w:val="24"/>
              </w:rPr>
            </w:pPr>
          </w:p>
        </w:tc>
        <w:tc>
          <w:tcPr>
            <w:tcW w:w="2342" w:type="dxa"/>
          </w:tcPr>
          <w:p w14:paraId="3E3A0A5C">
            <w:pPr>
              <w:spacing w:line="360" w:lineRule="auto"/>
              <w:rPr>
                <w:rFonts w:ascii="宋体" w:hAnsi="宋体"/>
                <w:sz w:val="24"/>
              </w:rPr>
            </w:pPr>
          </w:p>
        </w:tc>
        <w:tc>
          <w:tcPr>
            <w:tcW w:w="1922" w:type="dxa"/>
          </w:tcPr>
          <w:p w14:paraId="239D5F2D">
            <w:pPr>
              <w:spacing w:line="360" w:lineRule="auto"/>
              <w:rPr>
                <w:rFonts w:ascii="宋体" w:hAnsi="宋体"/>
                <w:sz w:val="24"/>
              </w:rPr>
            </w:pPr>
          </w:p>
        </w:tc>
        <w:tc>
          <w:tcPr>
            <w:tcW w:w="1746" w:type="dxa"/>
          </w:tcPr>
          <w:p w14:paraId="1A6B091C">
            <w:pPr>
              <w:spacing w:line="360" w:lineRule="auto"/>
              <w:rPr>
                <w:rFonts w:ascii="宋体" w:hAnsi="宋体"/>
                <w:sz w:val="24"/>
              </w:rPr>
            </w:pPr>
          </w:p>
        </w:tc>
        <w:tc>
          <w:tcPr>
            <w:tcW w:w="2332" w:type="dxa"/>
          </w:tcPr>
          <w:p w14:paraId="4D0C1918">
            <w:pPr>
              <w:spacing w:line="360" w:lineRule="auto"/>
              <w:rPr>
                <w:rFonts w:ascii="宋体" w:hAnsi="宋体"/>
                <w:sz w:val="24"/>
              </w:rPr>
            </w:pPr>
          </w:p>
        </w:tc>
      </w:tr>
      <w:tr w14:paraId="5AE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264C1668">
            <w:pPr>
              <w:spacing w:line="360" w:lineRule="auto"/>
              <w:rPr>
                <w:rFonts w:ascii="宋体" w:hAnsi="宋体"/>
                <w:sz w:val="24"/>
              </w:rPr>
            </w:pPr>
          </w:p>
        </w:tc>
        <w:tc>
          <w:tcPr>
            <w:tcW w:w="2342" w:type="dxa"/>
          </w:tcPr>
          <w:p w14:paraId="19CC3927">
            <w:pPr>
              <w:spacing w:line="360" w:lineRule="auto"/>
              <w:rPr>
                <w:rFonts w:ascii="宋体" w:hAnsi="宋体"/>
                <w:sz w:val="24"/>
              </w:rPr>
            </w:pPr>
          </w:p>
        </w:tc>
        <w:tc>
          <w:tcPr>
            <w:tcW w:w="1922" w:type="dxa"/>
          </w:tcPr>
          <w:p w14:paraId="309E077E">
            <w:pPr>
              <w:spacing w:line="360" w:lineRule="auto"/>
              <w:rPr>
                <w:rFonts w:ascii="宋体" w:hAnsi="宋体"/>
                <w:sz w:val="24"/>
              </w:rPr>
            </w:pPr>
          </w:p>
        </w:tc>
        <w:tc>
          <w:tcPr>
            <w:tcW w:w="1746" w:type="dxa"/>
          </w:tcPr>
          <w:p w14:paraId="5E242582">
            <w:pPr>
              <w:spacing w:line="360" w:lineRule="auto"/>
              <w:rPr>
                <w:rFonts w:ascii="宋体" w:hAnsi="宋体"/>
                <w:sz w:val="24"/>
              </w:rPr>
            </w:pPr>
          </w:p>
        </w:tc>
        <w:tc>
          <w:tcPr>
            <w:tcW w:w="2332" w:type="dxa"/>
          </w:tcPr>
          <w:p w14:paraId="5D1C0180">
            <w:pPr>
              <w:spacing w:line="360" w:lineRule="auto"/>
              <w:rPr>
                <w:rFonts w:ascii="宋体" w:hAnsi="宋体"/>
                <w:sz w:val="24"/>
              </w:rPr>
            </w:pPr>
          </w:p>
        </w:tc>
      </w:tr>
      <w:tr w14:paraId="3F18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6D43006B">
            <w:pPr>
              <w:spacing w:line="360" w:lineRule="auto"/>
              <w:rPr>
                <w:rFonts w:ascii="宋体" w:hAnsi="宋体"/>
                <w:sz w:val="24"/>
              </w:rPr>
            </w:pPr>
          </w:p>
        </w:tc>
        <w:tc>
          <w:tcPr>
            <w:tcW w:w="2342" w:type="dxa"/>
          </w:tcPr>
          <w:p w14:paraId="2D0BAC0D">
            <w:pPr>
              <w:spacing w:line="360" w:lineRule="auto"/>
              <w:rPr>
                <w:rFonts w:ascii="宋体" w:hAnsi="宋体"/>
                <w:sz w:val="24"/>
              </w:rPr>
            </w:pPr>
          </w:p>
        </w:tc>
        <w:tc>
          <w:tcPr>
            <w:tcW w:w="1922" w:type="dxa"/>
          </w:tcPr>
          <w:p w14:paraId="31CC92AF">
            <w:pPr>
              <w:spacing w:line="360" w:lineRule="auto"/>
              <w:rPr>
                <w:rFonts w:ascii="宋体" w:hAnsi="宋体"/>
                <w:sz w:val="24"/>
              </w:rPr>
            </w:pPr>
          </w:p>
        </w:tc>
        <w:tc>
          <w:tcPr>
            <w:tcW w:w="1746" w:type="dxa"/>
          </w:tcPr>
          <w:p w14:paraId="6989430C">
            <w:pPr>
              <w:spacing w:line="360" w:lineRule="auto"/>
              <w:rPr>
                <w:rFonts w:ascii="宋体" w:hAnsi="宋体"/>
                <w:sz w:val="24"/>
              </w:rPr>
            </w:pPr>
          </w:p>
        </w:tc>
        <w:tc>
          <w:tcPr>
            <w:tcW w:w="2332" w:type="dxa"/>
          </w:tcPr>
          <w:p w14:paraId="079613EC">
            <w:pPr>
              <w:spacing w:line="360" w:lineRule="auto"/>
              <w:rPr>
                <w:rFonts w:ascii="宋体" w:hAnsi="宋体"/>
                <w:sz w:val="24"/>
              </w:rPr>
            </w:pPr>
          </w:p>
        </w:tc>
      </w:tr>
      <w:tr w14:paraId="339F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4EEA437E">
            <w:pPr>
              <w:spacing w:line="360" w:lineRule="auto"/>
              <w:rPr>
                <w:rFonts w:ascii="宋体" w:hAnsi="宋体"/>
                <w:sz w:val="24"/>
              </w:rPr>
            </w:pPr>
          </w:p>
        </w:tc>
        <w:tc>
          <w:tcPr>
            <w:tcW w:w="2342" w:type="dxa"/>
          </w:tcPr>
          <w:p w14:paraId="6403371E">
            <w:pPr>
              <w:spacing w:line="360" w:lineRule="auto"/>
              <w:rPr>
                <w:rFonts w:ascii="宋体" w:hAnsi="宋体"/>
                <w:sz w:val="24"/>
              </w:rPr>
            </w:pPr>
          </w:p>
        </w:tc>
        <w:tc>
          <w:tcPr>
            <w:tcW w:w="1922" w:type="dxa"/>
          </w:tcPr>
          <w:p w14:paraId="4B1D2E76">
            <w:pPr>
              <w:spacing w:line="360" w:lineRule="auto"/>
              <w:rPr>
                <w:rFonts w:ascii="宋体" w:hAnsi="宋体"/>
                <w:sz w:val="24"/>
              </w:rPr>
            </w:pPr>
          </w:p>
        </w:tc>
        <w:tc>
          <w:tcPr>
            <w:tcW w:w="1746" w:type="dxa"/>
          </w:tcPr>
          <w:p w14:paraId="6B92A274">
            <w:pPr>
              <w:spacing w:line="360" w:lineRule="auto"/>
              <w:rPr>
                <w:rFonts w:ascii="宋体" w:hAnsi="宋体"/>
                <w:sz w:val="24"/>
              </w:rPr>
            </w:pPr>
          </w:p>
        </w:tc>
        <w:tc>
          <w:tcPr>
            <w:tcW w:w="2332" w:type="dxa"/>
          </w:tcPr>
          <w:p w14:paraId="164312B7">
            <w:pPr>
              <w:spacing w:line="360" w:lineRule="auto"/>
              <w:rPr>
                <w:rFonts w:ascii="宋体" w:hAnsi="宋体"/>
                <w:sz w:val="24"/>
              </w:rPr>
            </w:pPr>
          </w:p>
        </w:tc>
      </w:tr>
      <w:tr w14:paraId="7ADC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26CC82EC">
            <w:pPr>
              <w:spacing w:line="360" w:lineRule="auto"/>
              <w:rPr>
                <w:rFonts w:ascii="宋体" w:hAnsi="宋体"/>
                <w:sz w:val="24"/>
              </w:rPr>
            </w:pPr>
          </w:p>
        </w:tc>
        <w:tc>
          <w:tcPr>
            <w:tcW w:w="2342" w:type="dxa"/>
          </w:tcPr>
          <w:p w14:paraId="1F73FD19">
            <w:pPr>
              <w:spacing w:line="360" w:lineRule="auto"/>
              <w:rPr>
                <w:rFonts w:ascii="宋体" w:hAnsi="宋体"/>
                <w:sz w:val="24"/>
              </w:rPr>
            </w:pPr>
          </w:p>
        </w:tc>
        <w:tc>
          <w:tcPr>
            <w:tcW w:w="1922" w:type="dxa"/>
          </w:tcPr>
          <w:p w14:paraId="42ECAA62">
            <w:pPr>
              <w:spacing w:line="360" w:lineRule="auto"/>
              <w:rPr>
                <w:rFonts w:ascii="宋体" w:hAnsi="宋体"/>
                <w:sz w:val="24"/>
              </w:rPr>
            </w:pPr>
          </w:p>
        </w:tc>
        <w:tc>
          <w:tcPr>
            <w:tcW w:w="1746" w:type="dxa"/>
          </w:tcPr>
          <w:p w14:paraId="262B79B7">
            <w:pPr>
              <w:spacing w:line="360" w:lineRule="auto"/>
              <w:rPr>
                <w:rFonts w:ascii="宋体" w:hAnsi="宋体"/>
                <w:sz w:val="24"/>
              </w:rPr>
            </w:pPr>
          </w:p>
        </w:tc>
        <w:tc>
          <w:tcPr>
            <w:tcW w:w="2332" w:type="dxa"/>
          </w:tcPr>
          <w:p w14:paraId="43963F4F">
            <w:pPr>
              <w:spacing w:line="360" w:lineRule="auto"/>
              <w:rPr>
                <w:rFonts w:ascii="宋体" w:hAnsi="宋体"/>
                <w:sz w:val="24"/>
              </w:rPr>
            </w:pPr>
          </w:p>
        </w:tc>
      </w:tr>
      <w:tr w14:paraId="52E6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00B69BDA">
            <w:pPr>
              <w:spacing w:line="360" w:lineRule="auto"/>
              <w:rPr>
                <w:rFonts w:ascii="宋体" w:hAnsi="宋体"/>
                <w:sz w:val="24"/>
              </w:rPr>
            </w:pPr>
          </w:p>
        </w:tc>
        <w:tc>
          <w:tcPr>
            <w:tcW w:w="2342" w:type="dxa"/>
          </w:tcPr>
          <w:p w14:paraId="3FB0B121">
            <w:pPr>
              <w:spacing w:line="360" w:lineRule="auto"/>
              <w:rPr>
                <w:rFonts w:ascii="宋体" w:hAnsi="宋体"/>
                <w:sz w:val="24"/>
              </w:rPr>
            </w:pPr>
          </w:p>
        </w:tc>
        <w:tc>
          <w:tcPr>
            <w:tcW w:w="1922" w:type="dxa"/>
          </w:tcPr>
          <w:p w14:paraId="6EEDEDD5">
            <w:pPr>
              <w:spacing w:line="360" w:lineRule="auto"/>
              <w:rPr>
                <w:rFonts w:ascii="宋体" w:hAnsi="宋体"/>
                <w:sz w:val="24"/>
              </w:rPr>
            </w:pPr>
          </w:p>
        </w:tc>
        <w:tc>
          <w:tcPr>
            <w:tcW w:w="1746" w:type="dxa"/>
          </w:tcPr>
          <w:p w14:paraId="4B7D59A3">
            <w:pPr>
              <w:spacing w:line="360" w:lineRule="auto"/>
              <w:rPr>
                <w:rFonts w:ascii="宋体" w:hAnsi="宋体"/>
                <w:sz w:val="24"/>
              </w:rPr>
            </w:pPr>
          </w:p>
        </w:tc>
        <w:tc>
          <w:tcPr>
            <w:tcW w:w="2332" w:type="dxa"/>
          </w:tcPr>
          <w:p w14:paraId="0DB283F9">
            <w:pPr>
              <w:spacing w:line="360" w:lineRule="auto"/>
              <w:rPr>
                <w:rFonts w:ascii="宋体" w:hAnsi="宋体"/>
                <w:sz w:val="24"/>
              </w:rPr>
            </w:pPr>
          </w:p>
        </w:tc>
      </w:tr>
      <w:tr w14:paraId="5F15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766D4CF3">
            <w:pPr>
              <w:spacing w:line="360" w:lineRule="auto"/>
              <w:rPr>
                <w:rFonts w:ascii="宋体" w:hAnsi="宋体"/>
                <w:sz w:val="24"/>
              </w:rPr>
            </w:pPr>
          </w:p>
        </w:tc>
        <w:tc>
          <w:tcPr>
            <w:tcW w:w="2342" w:type="dxa"/>
          </w:tcPr>
          <w:p w14:paraId="6D9E8C29">
            <w:pPr>
              <w:spacing w:line="360" w:lineRule="auto"/>
              <w:rPr>
                <w:rFonts w:ascii="宋体" w:hAnsi="宋体"/>
                <w:sz w:val="24"/>
              </w:rPr>
            </w:pPr>
          </w:p>
        </w:tc>
        <w:tc>
          <w:tcPr>
            <w:tcW w:w="1922" w:type="dxa"/>
          </w:tcPr>
          <w:p w14:paraId="0646532E">
            <w:pPr>
              <w:spacing w:line="360" w:lineRule="auto"/>
              <w:rPr>
                <w:rFonts w:ascii="宋体" w:hAnsi="宋体"/>
                <w:sz w:val="24"/>
              </w:rPr>
            </w:pPr>
          </w:p>
        </w:tc>
        <w:tc>
          <w:tcPr>
            <w:tcW w:w="1746" w:type="dxa"/>
          </w:tcPr>
          <w:p w14:paraId="5101B841">
            <w:pPr>
              <w:spacing w:line="360" w:lineRule="auto"/>
              <w:rPr>
                <w:rFonts w:ascii="宋体" w:hAnsi="宋体"/>
                <w:sz w:val="24"/>
              </w:rPr>
            </w:pPr>
          </w:p>
        </w:tc>
        <w:tc>
          <w:tcPr>
            <w:tcW w:w="2332" w:type="dxa"/>
          </w:tcPr>
          <w:p w14:paraId="43CBCF24">
            <w:pPr>
              <w:spacing w:line="360" w:lineRule="auto"/>
              <w:rPr>
                <w:rFonts w:ascii="宋体" w:hAnsi="宋体"/>
                <w:sz w:val="24"/>
              </w:rPr>
            </w:pPr>
          </w:p>
        </w:tc>
      </w:tr>
    </w:tbl>
    <w:p w14:paraId="66DF3E1D">
      <w:pPr>
        <w:pStyle w:val="24"/>
        <w:rPr>
          <w:rFonts w:ascii="宋体"/>
          <w:sz w:val="24"/>
        </w:rPr>
      </w:pPr>
    </w:p>
    <w:p w14:paraId="68124753">
      <w:pPr>
        <w:pStyle w:val="24"/>
        <w:spacing w:line="360" w:lineRule="auto"/>
        <w:rPr>
          <w:rFonts w:ascii="宋体"/>
          <w:b/>
          <w:spacing w:val="20"/>
          <w:sz w:val="24"/>
        </w:rPr>
      </w:pPr>
      <w:r>
        <w:rPr>
          <w:rFonts w:hint="eastAsia" w:ascii="宋体"/>
          <w:b/>
          <w:sz w:val="24"/>
        </w:rPr>
        <w:t>注：磋商响应方应根据磋商响应货物的性能指标、对照竞争性磋商文件要求在“偏离情况”栏注明“正偏离”、“负偏离”或“无偏离”。</w:t>
      </w:r>
    </w:p>
    <w:p w14:paraId="65373E11">
      <w:pPr>
        <w:snapToGrid w:val="0"/>
        <w:spacing w:before="50" w:after="50" w:line="360" w:lineRule="auto"/>
        <w:rPr>
          <w:rFonts w:ascii="宋体" w:hAnsi="宋体"/>
          <w:spacing w:val="20"/>
          <w:sz w:val="24"/>
        </w:rPr>
      </w:pPr>
    </w:p>
    <w:p w14:paraId="02ED70E1">
      <w:pPr>
        <w:snapToGrid w:val="0"/>
        <w:spacing w:before="50" w:after="50" w:line="360" w:lineRule="auto"/>
        <w:rPr>
          <w:rFonts w:ascii="宋体" w:hAnsi="宋体"/>
          <w:spacing w:val="20"/>
          <w:sz w:val="24"/>
          <w:u w:val="single"/>
        </w:rPr>
      </w:pPr>
      <w:r>
        <w:rPr>
          <w:rFonts w:hint="eastAsia" w:ascii="宋体" w:hAnsi="宋体"/>
          <w:sz w:val="24"/>
        </w:rPr>
        <w:t>法定代表人或授权代表签字</w:t>
      </w:r>
      <w:r>
        <w:rPr>
          <w:rFonts w:hint="eastAsia" w:ascii="宋体" w:hAnsi="宋体"/>
          <w:spacing w:val="20"/>
          <w:sz w:val="24"/>
        </w:rPr>
        <w:t>：</w:t>
      </w:r>
    </w:p>
    <w:p w14:paraId="22688685">
      <w:pPr>
        <w:snapToGrid w:val="0"/>
        <w:spacing w:before="50" w:after="50" w:line="360" w:lineRule="auto"/>
        <w:rPr>
          <w:rFonts w:ascii="宋体" w:hAnsi="宋体"/>
          <w:spacing w:val="20"/>
          <w:sz w:val="24"/>
        </w:rPr>
      </w:pPr>
      <w:r>
        <w:rPr>
          <w:rFonts w:hint="eastAsia"/>
          <w:sz w:val="24"/>
        </w:rPr>
        <w:t>磋商响应</w:t>
      </w:r>
      <w:r>
        <w:rPr>
          <w:sz w:val="24"/>
        </w:rPr>
        <w:t>单位</w:t>
      </w:r>
      <w:r>
        <w:rPr>
          <w:rFonts w:hint="eastAsia" w:ascii="宋体" w:hAnsi="宋体"/>
          <w:spacing w:val="20"/>
          <w:sz w:val="24"/>
        </w:rPr>
        <w:t>盖章：</w:t>
      </w:r>
    </w:p>
    <w:p w14:paraId="5F5A5233">
      <w:pPr>
        <w:snapToGrid w:val="0"/>
        <w:spacing w:before="50" w:after="50" w:line="360" w:lineRule="auto"/>
        <w:rPr>
          <w:rFonts w:ascii="宋体" w:hAnsi="宋体"/>
          <w:sz w:val="24"/>
        </w:rPr>
      </w:pPr>
      <w:r>
        <w:rPr>
          <w:rFonts w:hint="eastAsia" w:ascii="宋体" w:hAnsi="宋体"/>
          <w:spacing w:val="20"/>
          <w:sz w:val="24"/>
        </w:rPr>
        <w:t>日 期：</w:t>
      </w:r>
    </w:p>
    <w:p w14:paraId="04604845">
      <w:pPr>
        <w:spacing w:before="50" w:after="50" w:line="500" w:lineRule="exact"/>
        <w:jc w:val="left"/>
        <w:outlineLvl w:val="2"/>
        <w:rPr>
          <w:rFonts w:ascii="宋体" w:hAnsi="宋体"/>
          <w:b/>
          <w:sz w:val="24"/>
        </w:rPr>
      </w:pPr>
    </w:p>
    <w:p w14:paraId="359C432B">
      <w:pPr>
        <w:spacing w:before="50" w:after="50" w:line="500" w:lineRule="exact"/>
        <w:jc w:val="left"/>
        <w:outlineLvl w:val="2"/>
        <w:rPr>
          <w:rFonts w:ascii="宋体" w:hAnsi="宋体"/>
          <w:b/>
          <w:sz w:val="24"/>
        </w:rPr>
      </w:pPr>
    </w:p>
    <w:p w14:paraId="68301804">
      <w:pPr>
        <w:spacing w:before="50" w:after="50" w:line="500" w:lineRule="exact"/>
        <w:jc w:val="left"/>
        <w:outlineLvl w:val="2"/>
        <w:rPr>
          <w:rFonts w:ascii="宋体" w:hAnsi="宋体"/>
          <w:b/>
          <w:sz w:val="24"/>
        </w:rPr>
      </w:pPr>
    </w:p>
    <w:p w14:paraId="71E7CFED">
      <w:pPr>
        <w:spacing w:before="50" w:after="50" w:line="500" w:lineRule="exact"/>
        <w:jc w:val="left"/>
        <w:outlineLvl w:val="2"/>
        <w:rPr>
          <w:rFonts w:ascii="宋体" w:hAnsi="宋体"/>
          <w:b/>
          <w:sz w:val="24"/>
        </w:rPr>
      </w:pPr>
    </w:p>
    <w:p w14:paraId="42A58B47">
      <w:pPr>
        <w:rPr>
          <w:rFonts w:ascii="宋体" w:hAnsi="宋体"/>
          <w:b/>
          <w:sz w:val="24"/>
        </w:rPr>
      </w:pPr>
      <w:bookmarkStart w:id="27" w:name="_Toc449173150"/>
      <w:r>
        <w:rPr>
          <w:rFonts w:hint="eastAsia" w:ascii="宋体" w:hAnsi="宋体"/>
          <w:b/>
          <w:sz w:val="24"/>
        </w:rPr>
        <w:br w:type="page"/>
      </w:r>
    </w:p>
    <w:p w14:paraId="72EAD85D">
      <w:pPr>
        <w:snapToGrid w:val="0"/>
        <w:spacing w:before="50" w:after="156" w:afterLines="50" w:line="360" w:lineRule="auto"/>
        <w:jc w:val="left"/>
        <w:outlineLvl w:val="2"/>
        <w:rPr>
          <w:rFonts w:ascii="宋体"/>
          <w:b/>
          <w:sz w:val="24"/>
        </w:rPr>
      </w:pPr>
      <w:r>
        <w:rPr>
          <w:rFonts w:hint="eastAsia" w:ascii="宋体" w:hAnsi="宋体"/>
          <w:b/>
          <w:sz w:val="24"/>
        </w:rPr>
        <w:t>2.11磋商响应产品服务计划表：</w:t>
      </w:r>
    </w:p>
    <w:p w14:paraId="2166FF7B">
      <w:pPr>
        <w:snapToGrid w:val="0"/>
        <w:spacing w:before="156" w:beforeLines="50" w:after="50" w:line="360" w:lineRule="auto"/>
        <w:jc w:val="center"/>
        <w:rPr>
          <w:rFonts w:ascii="宋体"/>
          <w:b/>
          <w:color w:val="0D0D0D"/>
          <w:sz w:val="24"/>
        </w:rPr>
      </w:pPr>
      <w:r>
        <w:rPr>
          <w:rFonts w:hint="eastAsia" w:ascii="宋体" w:hAnsi="宋体"/>
          <w:b/>
          <w:sz w:val="24"/>
        </w:rPr>
        <w:t>磋商响应</w:t>
      </w:r>
      <w:r>
        <w:rPr>
          <w:rFonts w:hint="eastAsia" w:ascii="宋体" w:hAnsi="宋体"/>
          <w:b/>
          <w:color w:val="0D0D0D"/>
          <w:sz w:val="24"/>
        </w:rPr>
        <w:t>产品服务计划表</w:t>
      </w:r>
    </w:p>
    <w:p w14:paraId="40350788">
      <w:pPr>
        <w:snapToGrid w:val="0"/>
        <w:spacing w:before="156" w:beforeLines="50" w:after="50" w:line="360" w:lineRule="auto"/>
        <w:jc w:val="center"/>
        <w:rPr>
          <w:rFonts w:ascii="宋体"/>
          <w:b/>
          <w:color w:val="0D0D0D"/>
          <w:sz w:val="24"/>
        </w:rPr>
      </w:pP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699"/>
        <w:gridCol w:w="1865"/>
        <w:gridCol w:w="1896"/>
      </w:tblGrid>
      <w:tr w14:paraId="2ADD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DAA491B">
            <w:pPr>
              <w:spacing w:before="156" w:beforeLines="50" w:after="156" w:afterLines="50" w:line="360" w:lineRule="auto"/>
              <w:jc w:val="center"/>
              <w:rPr>
                <w:rFonts w:ascii="宋体"/>
                <w:color w:val="0D0D0D"/>
                <w:sz w:val="24"/>
              </w:rPr>
            </w:pPr>
            <w:r>
              <w:rPr>
                <w:rFonts w:hint="eastAsia" w:ascii="宋体" w:hAnsi="宋体"/>
                <w:color w:val="0D0D0D"/>
                <w:sz w:val="24"/>
              </w:rPr>
              <w:t>序号</w:t>
            </w:r>
          </w:p>
        </w:tc>
        <w:tc>
          <w:tcPr>
            <w:tcW w:w="4699" w:type="dxa"/>
            <w:vAlign w:val="center"/>
          </w:tcPr>
          <w:p w14:paraId="496E4DBB">
            <w:pPr>
              <w:spacing w:before="156" w:beforeLines="50" w:after="156" w:afterLines="50" w:line="360" w:lineRule="auto"/>
              <w:jc w:val="center"/>
              <w:rPr>
                <w:rFonts w:ascii="宋体"/>
                <w:color w:val="0D0D0D"/>
                <w:sz w:val="24"/>
              </w:rPr>
            </w:pPr>
            <w:r>
              <w:rPr>
                <w:rFonts w:hint="eastAsia" w:ascii="宋体" w:hAnsi="宋体"/>
                <w:color w:val="0D0D0D"/>
                <w:sz w:val="24"/>
              </w:rPr>
              <w:t>质量保障措施及服务内容</w:t>
            </w:r>
          </w:p>
        </w:tc>
        <w:tc>
          <w:tcPr>
            <w:tcW w:w="1865" w:type="dxa"/>
            <w:vAlign w:val="center"/>
          </w:tcPr>
          <w:p w14:paraId="668C456B">
            <w:pPr>
              <w:spacing w:before="156" w:beforeLines="50" w:after="156" w:afterLines="50" w:line="360" w:lineRule="auto"/>
              <w:jc w:val="center"/>
              <w:rPr>
                <w:rFonts w:ascii="宋体"/>
                <w:color w:val="0D0D0D"/>
                <w:sz w:val="24"/>
              </w:rPr>
            </w:pPr>
            <w:r>
              <w:rPr>
                <w:rFonts w:hint="eastAsia" w:ascii="宋体" w:hAnsi="宋体"/>
                <w:color w:val="0D0D0D"/>
                <w:sz w:val="24"/>
              </w:rPr>
              <w:t>承诺</w:t>
            </w:r>
          </w:p>
        </w:tc>
        <w:tc>
          <w:tcPr>
            <w:tcW w:w="1896" w:type="dxa"/>
            <w:vAlign w:val="center"/>
          </w:tcPr>
          <w:p w14:paraId="76EB19CD">
            <w:pPr>
              <w:spacing w:before="156" w:beforeLines="50" w:after="156" w:afterLines="50" w:line="360" w:lineRule="auto"/>
              <w:jc w:val="center"/>
              <w:rPr>
                <w:rFonts w:ascii="宋体"/>
                <w:color w:val="0D0D0D"/>
                <w:sz w:val="24"/>
              </w:rPr>
            </w:pPr>
            <w:r>
              <w:rPr>
                <w:rFonts w:hint="eastAsia" w:ascii="宋体" w:hAnsi="宋体"/>
                <w:color w:val="0D0D0D"/>
                <w:sz w:val="24"/>
              </w:rPr>
              <w:t>备注</w:t>
            </w:r>
          </w:p>
        </w:tc>
      </w:tr>
      <w:tr w14:paraId="2573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F385C2D">
            <w:pPr>
              <w:spacing w:before="156" w:beforeLines="50" w:after="156" w:afterLines="50" w:line="360" w:lineRule="auto"/>
              <w:jc w:val="center"/>
              <w:rPr>
                <w:rFonts w:ascii="宋体"/>
                <w:color w:val="0D0D0D"/>
                <w:sz w:val="24"/>
              </w:rPr>
            </w:pPr>
            <w:r>
              <w:rPr>
                <w:rFonts w:ascii="宋体" w:hAnsi="宋体"/>
                <w:color w:val="0D0D0D"/>
                <w:sz w:val="24"/>
              </w:rPr>
              <w:t>1</w:t>
            </w:r>
          </w:p>
        </w:tc>
        <w:tc>
          <w:tcPr>
            <w:tcW w:w="4699" w:type="dxa"/>
            <w:vAlign w:val="center"/>
          </w:tcPr>
          <w:p w14:paraId="5203BB86">
            <w:pPr>
              <w:spacing w:before="156" w:beforeLines="50" w:after="156" w:afterLines="50" w:line="360" w:lineRule="auto"/>
              <w:rPr>
                <w:rFonts w:ascii="宋体"/>
                <w:color w:val="0D0D0D"/>
                <w:sz w:val="24"/>
              </w:rPr>
            </w:pPr>
            <w:r>
              <w:rPr>
                <w:rFonts w:hint="eastAsia" w:ascii="宋体" w:hAnsi="宋体"/>
                <w:color w:val="0D0D0D"/>
                <w:sz w:val="24"/>
              </w:rPr>
              <w:t>整机保修</w:t>
            </w:r>
          </w:p>
        </w:tc>
        <w:tc>
          <w:tcPr>
            <w:tcW w:w="1865" w:type="dxa"/>
          </w:tcPr>
          <w:p w14:paraId="7C4184DE">
            <w:pPr>
              <w:spacing w:before="156" w:beforeLines="50" w:after="156" w:afterLines="50" w:line="360" w:lineRule="auto"/>
              <w:rPr>
                <w:rFonts w:ascii="宋体"/>
                <w:b/>
                <w:color w:val="0D0D0D"/>
                <w:sz w:val="24"/>
                <w:u w:val="single"/>
              </w:rPr>
            </w:pPr>
          </w:p>
        </w:tc>
        <w:tc>
          <w:tcPr>
            <w:tcW w:w="1896" w:type="dxa"/>
          </w:tcPr>
          <w:p w14:paraId="742EF559">
            <w:pPr>
              <w:spacing w:before="156" w:beforeLines="50" w:after="156" w:afterLines="50" w:line="360" w:lineRule="auto"/>
              <w:rPr>
                <w:rFonts w:ascii="宋体"/>
                <w:b/>
                <w:color w:val="0D0D0D"/>
                <w:sz w:val="24"/>
                <w:u w:val="single"/>
              </w:rPr>
            </w:pPr>
          </w:p>
        </w:tc>
      </w:tr>
      <w:tr w14:paraId="7E53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43915EC">
            <w:pPr>
              <w:spacing w:before="156" w:beforeLines="50" w:after="156" w:afterLines="50" w:line="360" w:lineRule="auto"/>
              <w:jc w:val="center"/>
              <w:rPr>
                <w:rFonts w:ascii="宋体"/>
                <w:color w:val="0D0D0D"/>
                <w:sz w:val="24"/>
              </w:rPr>
            </w:pPr>
            <w:r>
              <w:rPr>
                <w:rFonts w:ascii="宋体" w:hAnsi="宋体"/>
                <w:color w:val="0D0D0D"/>
                <w:sz w:val="24"/>
              </w:rPr>
              <w:t>2</w:t>
            </w:r>
          </w:p>
        </w:tc>
        <w:tc>
          <w:tcPr>
            <w:tcW w:w="4699" w:type="dxa"/>
            <w:vAlign w:val="center"/>
          </w:tcPr>
          <w:p w14:paraId="474E951C">
            <w:pPr>
              <w:spacing w:before="156" w:beforeLines="50" w:after="156" w:afterLines="50" w:line="360" w:lineRule="auto"/>
              <w:rPr>
                <w:rFonts w:ascii="宋体"/>
                <w:color w:val="0D0D0D"/>
                <w:sz w:val="24"/>
              </w:rPr>
            </w:pPr>
            <w:r>
              <w:rPr>
                <w:rFonts w:hint="eastAsia" w:ascii="宋体" w:hAnsi="宋体"/>
                <w:color w:val="0D0D0D"/>
                <w:sz w:val="24"/>
              </w:rPr>
              <w:t>有关技术人员现场免费提供安装、调试服务</w:t>
            </w:r>
          </w:p>
        </w:tc>
        <w:tc>
          <w:tcPr>
            <w:tcW w:w="1865" w:type="dxa"/>
          </w:tcPr>
          <w:p w14:paraId="5610BDF9">
            <w:pPr>
              <w:spacing w:before="156" w:beforeLines="50" w:after="156" w:afterLines="50" w:line="360" w:lineRule="auto"/>
              <w:rPr>
                <w:rFonts w:ascii="宋体"/>
                <w:b/>
                <w:color w:val="0D0D0D"/>
                <w:sz w:val="24"/>
                <w:u w:val="single"/>
              </w:rPr>
            </w:pPr>
          </w:p>
        </w:tc>
        <w:tc>
          <w:tcPr>
            <w:tcW w:w="1896" w:type="dxa"/>
          </w:tcPr>
          <w:p w14:paraId="29FED1E2">
            <w:pPr>
              <w:spacing w:before="156" w:beforeLines="50" w:after="156" w:afterLines="50" w:line="360" w:lineRule="auto"/>
              <w:rPr>
                <w:rFonts w:ascii="宋体"/>
                <w:b/>
                <w:color w:val="0D0D0D"/>
                <w:sz w:val="24"/>
                <w:u w:val="single"/>
              </w:rPr>
            </w:pPr>
          </w:p>
        </w:tc>
      </w:tr>
      <w:tr w14:paraId="7D1C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37A4453">
            <w:pPr>
              <w:spacing w:before="156" w:beforeLines="50" w:after="156" w:afterLines="50" w:line="360" w:lineRule="auto"/>
              <w:jc w:val="center"/>
              <w:rPr>
                <w:rFonts w:ascii="宋体"/>
                <w:color w:val="0D0D0D"/>
                <w:sz w:val="24"/>
              </w:rPr>
            </w:pPr>
            <w:r>
              <w:rPr>
                <w:rFonts w:ascii="宋体" w:hAnsi="宋体"/>
                <w:color w:val="0D0D0D"/>
                <w:sz w:val="24"/>
              </w:rPr>
              <w:t>3</w:t>
            </w:r>
          </w:p>
        </w:tc>
        <w:tc>
          <w:tcPr>
            <w:tcW w:w="4699" w:type="dxa"/>
            <w:vAlign w:val="center"/>
          </w:tcPr>
          <w:p w14:paraId="3F017E5B">
            <w:pPr>
              <w:spacing w:before="156" w:beforeLines="50" w:after="156" w:afterLines="50" w:line="360" w:lineRule="auto"/>
              <w:rPr>
                <w:rFonts w:ascii="宋体"/>
                <w:color w:val="0D0D0D"/>
                <w:sz w:val="24"/>
              </w:rPr>
            </w:pPr>
            <w:r>
              <w:rPr>
                <w:rFonts w:hint="eastAsia" w:ascii="宋体" w:hAnsi="宋体"/>
                <w:color w:val="0D0D0D"/>
                <w:sz w:val="24"/>
              </w:rPr>
              <w:t>整机免费换货期限</w:t>
            </w:r>
          </w:p>
        </w:tc>
        <w:tc>
          <w:tcPr>
            <w:tcW w:w="1865" w:type="dxa"/>
          </w:tcPr>
          <w:p w14:paraId="3155B482">
            <w:pPr>
              <w:spacing w:before="156" w:beforeLines="50" w:after="156" w:afterLines="50" w:line="360" w:lineRule="auto"/>
              <w:rPr>
                <w:rFonts w:ascii="宋体"/>
                <w:b/>
                <w:color w:val="0D0D0D"/>
                <w:sz w:val="24"/>
                <w:u w:val="single"/>
              </w:rPr>
            </w:pPr>
          </w:p>
        </w:tc>
        <w:tc>
          <w:tcPr>
            <w:tcW w:w="1896" w:type="dxa"/>
          </w:tcPr>
          <w:p w14:paraId="2537699A">
            <w:pPr>
              <w:spacing w:before="156" w:beforeLines="50" w:after="156" w:afterLines="50" w:line="360" w:lineRule="auto"/>
              <w:rPr>
                <w:rFonts w:ascii="宋体"/>
                <w:b/>
                <w:color w:val="0D0D0D"/>
                <w:sz w:val="24"/>
                <w:u w:val="single"/>
              </w:rPr>
            </w:pPr>
          </w:p>
        </w:tc>
      </w:tr>
      <w:tr w14:paraId="62E7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8A24F56">
            <w:pPr>
              <w:spacing w:before="156" w:beforeLines="50" w:after="156" w:afterLines="50" w:line="360" w:lineRule="auto"/>
              <w:jc w:val="center"/>
              <w:rPr>
                <w:rFonts w:ascii="宋体"/>
                <w:color w:val="0D0D0D"/>
                <w:sz w:val="24"/>
              </w:rPr>
            </w:pPr>
            <w:r>
              <w:rPr>
                <w:rFonts w:ascii="宋体" w:hAnsi="宋体"/>
                <w:color w:val="0D0D0D"/>
                <w:sz w:val="24"/>
              </w:rPr>
              <w:t>4</w:t>
            </w:r>
          </w:p>
        </w:tc>
        <w:tc>
          <w:tcPr>
            <w:tcW w:w="4699" w:type="dxa"/>
            <w:vAlign w:val="center"/>
          </w:tcPr>
          <w:p w14:paraId="6CC52A69">
            <w:pPr>
              <w:spacing w:before="156" w:beforeLines="50" w:after="156" w:afterLines="50" w:line="360" w:lineRule="auto"/>
              <w:rPr>
                <w:rFonts w:ascii="宋体"/>
                <w:color w:val="0D0D0D"/>
                <w:sz w:val="24"/>
              </w:rPr>
            </w:pPr>
            <w:r>
              <w:rPr>
                <w:rFonts w:hint="eastAsia" w:ascii="宋体" w:hAnsi="宋体"/>
                <w:color w:val="0D0D0D"/>
                <w:sz w:val="24"/>
              </w:rPr>
              <w:t>免费上门服务期限</w:t>
            </w:r>
          </w:p>
        </w:tc>
        <w:tc>
          <w:tcPr>
            <w:tcW w:w="1865" w:type="dxa"/>
          </w:tcPr>
          <w:p w14:paraId="514C090D">
            <w:pPr>
              <w:spacing w:before="156" w:beforeLines="50" w:after="156" w:afterLines="50" w:line="360" w:lineRule="auto"/>
              <w:rPr>
                <w:rFonts w:ascii="宋体"/>
                <w:b/>
                <w:color w:val="0D0D0D"/>
                <w:sz w:val="24"/>
                <w:u w:val="single"/>
              </w:rPr>
            </w:pPr>
          </w:p>
        </w:tc>
        <w:tc>
          <w:tcPr>
            <w:tcW w:w="1896" w:type="dxa"/>
          </w:tcPr>
          <w:p w14:paraId="2518D54C">
            <w:pPr>
              <w:spacing w:before="156" w:beforeLines="50" w:after="156" w:afterLines="50" w:line="360" w:lineRule="auto"/>
              <w:rPr>
                <w:rFonts w:ascii="宋体"/>
                <w:b/>
                <w:color w:val="0D0D0D"/>
                <w:sz w:val="24"/>
                <w:u w:val="single"/>
              </w:rPr>
            </w:pPr>
          </w:p>
        </w:tc>
      </w:tr>
      <w:tr w14:paraId="196A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FBD7858">
            <w:pPr>
              <w:spacing w:before="156" w:beforeLines="50" w:after="156" w:afterLines="50" w:line="360" w:lineRule="auto"/>
              <w:jc w:val="center"/>
              <w:rPr>
                <w:rFonts w:ascii="宋体"/>
                <w:color w:val="0D0D0D"/>
                <w:sz w:val="24"/>
              </w:rPr>
            </w:pPr>
            <w:r>
              <w:rPr>
                <w:rFonts w:ascii="宋体" w:hAnsi="宋体"/>
                <w:color w:val="0D0D0D"/>
                <w:sz w:val="24"/>
              </w:rPr>
              <w:t>5</w:t>
            </w:r>
          </w:p>
        </w:tc>
        <w:tc>
          <w:tcPr>
            <w:tcW w:w="4699" w:type="dxa"/>
            <w:vAlign w:val="center"/>
          </w:tcPr>
          <w:p w14:paraId="1795CA66">
            <w:pPr>
              <w:spacing w:before="156" w:beforeLines="50" w:after="156" w:afterLines="50" w:line="360" w:lineRule="auto"/>
              <w:rPr>
                <w:rFonts w:ascii="宋体"/>
                <w:color w:val="0D0D0D"/>
                <w:sz w:val="24"/>
              </w:rPr>
            </w:pPr>
            <w:r>
              <w:rPr>
                <w:rFonts w:hint="eastAsia" w:ascii="宋体" w:hAnsi="宋体"/>
                <w:color w:val="0D0D0D"/>
                <w:sz w:val="24"/>
              </w:rPr>
              <w:t>质保期内产品故障服务响应时限</w:t>
            </w:r>
          </w:p>
        </w:tc>
        <w:tc>
          <w:tcPr>
            <w:tcW w:w="1865" w:type="dxa"/>
          </w:tcPr>
          <w:p w14:paraId="603C14D7">
            <w:pPr>
              <w:spacing w:before="156" w:beforeLines="50" w:after="156" w:afterLines="50" w:line="360" w:lineRule="auto"/>
              <w:rPr>
                <w:rFonts w:ascii="宋体"/>
                <w:b/>
                <w:color w:val="0D0D0D"/>
                <w:sz w:val="24"/>
                <w:u w:val="single"/>
              </w:rPr>
            </w:pPr>
          </w:p>
        </w:tc>
        <w:tc>
          <w:tcPr>
            <w:tcW w:w="1896" w:type="dxa"/>
          </w:tcPr>
          <w:p w14:paraId="51638521">
            <w:pPr>
              <w:spacing w:before="156" w:beforeLines="50" w:after="156" w:afterLines="50" w:line="360" w:lineRule="auto"/>
              <w:rPr>
                <w:rFonts w:ascii="宋体"/>
                <w:b/>
                <w:color w:val="0D0D0D"/>
                <w:sz w:val="24"/>
                <w:u w:val="single"/>
              </w:rPr>
            </w:pPr>
          </w:p>
        </w:tc>
      </w:tr>
      <w:tr w14:paraId="2105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7DA051FB">
            <w:pPr>
              <w:spacing w:before="156" w:beforeLines="50" w:after="156" w:afterLines="50" w:line="360" w:lineRule="auto"/>
              <w:jc w:val="center"/>
              <w:rPr>
                <w:rFonts w:ascii="宋体"/>
                <w:color w:val="0D0D0D"/>
                <w:sz w:val="24"/>
              </w:rPr>
            </w:pPr>
            <w:r>
              <w:rPr>
                <w:rFonts w:ascii="宋体" w:hAnsi="宋体"/>
                <w:color w:val="0D0D0D"/>
                <w:sz w:val="24"/>
              </w:rPr>
              <w:t>6</w:t>
            </w:r>
          </w:p>
        </w:tc>
        <w:tc>
          <w:tcPr>
            <w:tcW w:w="4699" w:type="dxa"/>
            <w:vAlign w:val="center"/>
          </w:tcPr>
          <w:p w14:paraId="01A023CE">
            <w:pPr>
              <w:spacing w:before="156" w:beforeLines="50" w:after="156" w:afterLines="50" w:line="360" w:lineRule="auto"/>
              <w:rPr>
                <w:rFonts w:ascii="宋体"/>
                <w:color w:val="0D0D0D"/>
                <w:sz w:val="24"/>
              </w:rPr>
            </w:pPr>
            <w:r>
              <w:rPr>
                <w:rFonts w:hint="eastAsia" w:ascii="宋体" w:hAnsi="宋体"/>
                <w:color w:val="0D0D0D"/>
                <w:sz w:val="24"/>
              </w:rPr>
              <w:t>服务时间响应</w:t>
            </w:r>
          </w:p>
        </w:tc>
        <w:tc>
          <w:tcPr>
            <w:tcW w:w="1865" w:type="dxa"/>
          </w:tcPr>
          <w:p w14:paraId="2D4A1300">
            <w:pPr>
              <w:spacing w:before="156" w:beforeLines="50" w:after="156" w:afterLines="50" w:line="360" w:lineRule="auto"/>
              <w:rPr>
                <w:rFonts w:ascii="宋体"/>
                <w:b/>
                <w:color w:val="0D0D0D"/>
                <w:sz w:val="24"/>
                <w:u w:val="single"/>
              </w:rPr>
            </w:pPr>
          </w:p>
        </w:tc>
        <w:tc>
          <w:tcPr>
            <w:tcW w:w="1896" w:type="dxa"/>
          </w:tcPr>
          <w:p w14:paraId="541476EC">
            <w:pPr>
              <w:spacing w:before="156" w:beforeLines="50" w:after="156" w:afterLines="50" w:line="360" w:lineRule="auto"/>
              <w:rPr>
                <w:rFonts w:ascii="宋体"/>
                <w:b/>
                <w:color w:val="0D0D0D"/>
                <w:sz w:val="24"/>
                <w:u w:val="single"/>
              </w:rPr>
            </w:pPr>
          </w:p>
        </w:tc>
      </w:tr>
      <w:tr w14:paraId="1126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EDC1973">
            <w:pPr>
              <w:spacing w:before="156" w:beforeLines="50" w:after="156" w:afterLines="50" w:line="360" w:lineRule="auto"/>
              <w:jc w:val="center"/>
              <w:rPr>
                <w:rFonts w:ascii="宋体"/>
                <w:color w:val="0D0D0D"/>
                <w:sz w:val="24"/>
              </w:rPr>
            </w:pPr>
            <w:r>
              <w:rPr>
                <w:rFonts w:ascii="宋体" w:hAnsi="宋体"/>
                <w:color w:val="0D0D0D"/>
                <w:sz w:val="24"/>
              </w:rPr>
              <w:t>7</w:t>
            </w:r>
          </w:p>
        </w:tc>
        <w:tc>
          <w:tcPr>
            <w:tcW w:w="4699" w:type="dxa"/>
            <w:vAlign w:val="center"/>
          </w:tcPr>
          <w:p w14:paraId="7CD050E9">
            <w:pPr>
              <w:spacing w:before="156" w:beforeLines="50" w:after="156" w:afterLines="50" w:line="360" w:lineRule="auto"/>
              <w:rPr>
                <w:rFonts w:ascii="宋体"/>
                <w:color w:val="0D0D0D"/>
                <w:sz w:val="24"/>
              </w:rPr>
            </w:pPr>
            <w:r>
              <w:rPr>
                <w:rFonts w:hint="eastAsia" w:ascii="宋体" w:hAnsi="宋体"/>
                <w:color w:val="0D0D0D"/>
                <w:sz w:val="24"/>
              </w:rPr>
              <w:t>质保期满的保修服务费用</w:t>
            </w:r>
          </w:p>
        </w:tc>
        <w:tc>
          <w:tcPr>
            <w:tcW w:w="1865" w:type="dxa"/>
          </w:tcPr>
          <w:p w14:paraId="595B1E33">
            <w:pPr>
              <w:spacing w:before="156" w:beforeLines="50" w:after="156" w:afterLines="50" w:line="360" w:lineRule="auto"/>
              <w:rPr>
                <w:rFonts w:ascii="宋体"/>
                <w:b/>
                <w:color w:val="0D0D0D"/>
                <w:sz w:val="24"/>
                <w:u w:val="single"/>
              </w:rPr>
            </w:pPr>
          </w:p>
        </w:tc>
        <w:tc>
          <w:tcPr>
            <w:tcW w:w="1896" w:type="dxa"/>
          </w:tcPr>
          <w:p w14:paraId="2B17D4B3">
            <w:pPr>
              <w:spacing w:before="156" w:beforeLines="50" w:after="156" w:afterLines="50" w:line="360" w:lineRule="auto"/>
              <w:rPr>
                <w:rFonts w:ascii="宋体"/>
                <w:b/>
                <w:color w:val="0D0D0D"/>
                <w:sz w:val="24"/>
                <w:u w:val="single"/>
              </w:rPr>
            </w:pPr>
          </w:p>
        </w:tc>
      </w:tr>
      <w:tr w14:paraId="1BA5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5872221">
            <w:pPr>
              <w:spacing w:before="156" w:beforeLines="50" w:after="156" w:afterLines="50" w:line="360" w:lineRule="auto"/>
              <w:jc w:val="center"/>
              <w:rPr>
                <w:rFonts w:ascii="宋体"/>
                <w:color w:val="0D0D0D"/>
                <w:sz w:val="24"/>
              </w:rPr>
            </w:pPr>
            <w:r>
              <w:rPr>
                <w:rFonts w:ascii="宋体" w:hAnsi="宋体"/>
                <w:color w:val="0D0D0D"/>
                <w:sz w:val="24"/>
              </w:rPr>
              <w:t>8</w:t>
            </w:r>
          </w:p>
        </w:tc>
        <w:tc>
          <w:tcPr>
            <w:tcW w:w="4699" w:type="dxa"/>
            <w:vAlign w:val="center"/>
          </w:tcPr>
          <w:p w14:paraId="7EE119FE">
            <w:pPr>
              <w:spacing w:before="156" w:beforeLines="50" w:after="156" w:afterLines="50" w:line="360" w:lineRule="auto"/>
              <w:rPr>
                <w:rFonts w:ascii="宋体"/>
                <w:color w:val="0D0D0D"/>
                <w:sz w:val="24"/>
              </w:rPr>
            </w:pPr>
            <w:r>
              <w:rPr>
                <w:rFonts w:hint="eastAsia" w:ascii="宋体" w:hAnsi="宋体"/>
                <w:color w:val="0D0D0D"/>
                <w:sz w:val="24"/>
              </w:rPr>
              <w:t>交货时间</w:t>
            </w:r>
          </w:p>
        </w:tc>
        <w:tc>
          <w:tcPr>
            <w:tcW w:w="1865" w:type="dxa"/>
          </w:tcPr>
          <w:p w14:paraId="34D9763D">
            <w:pPr>
              <w:spacing w:before="156" w:beforeLines="50" w:after="156" w:afterLines="50" w:line="360" w:lineRule="auto"/>
              <w:rPr>
                <w:rFonts w:ascii="宋体"/>
                <w:b/>
                <w:color w:val="0D0D0D"/>
                <w:sz w:val="24"/>
                <w:u w:val="single"/>
              </w:rPr>
            </w:pPr>
          </w:p>
        </w:tc>
        <w:tc>
          <w:tcPr>
            <w:tcW w:w="1896" w:type="dxa"/>
          </w:tcPr>
          <w:p w14:paraId="6088CCBE">
            <w:pPr>
              <w:spacing w:before="156" w:beforeLines="50" w:after="156" w:afterLines="50" w:line="360" w:lineRule="auto"/>
              <w:rPr>
                <w:rFonts w:ascii="宋体"/>
                <w:b/>
                <w:color w:val="0D0D0D"/>
                <w:sz w:val="24"/>
                <w:u w:val="single"/>
              </w:rPr>
            </w:pPr>
          </w:p>
        </w:tc>
      </w:tr>
    </w:tbl>
    <w:p w14:paraId="4429F5C5">
      <w:pPr>
        <w:rPr>
          <w:rFonts w:ascii="宋体" w:hAnsi="宋体" w:cs="宋体"/>
          <w:b/>
          <w:sz w:val="24"/>
        </w:rPr>
      </w:pPr>
    </w:p>
    <w:p w14:paraId="231C6451">
      <w:pPr>
        <w:spacing w:before="156" w:beforeLines="50" w:after="156" w:afterLines="50" w:line="360" w:lineRule="auto"/>
        <w:ind w:firstLine="4800" w:firstLineChars="2000"/>
        <w:rPr>
          <w:color w:val="0D0D0D"/>
          <w:sz w:val="24"/>
        </w:rPr>
      </w:pPr>
      <w:r>
        <w:rPr>
          <w:rFonts w:hint="eastAsia"/>
          <w:sz w:val="24"/>
        </w:rPr>
        <w:t>磋商响应</w:t>
      </w:r>
      <w:r>
        <w:rPr>
          <w:sz w:val="24"/>
        </w:rPr>
        <w:t>单位</w:t>
      </w:r>
      <w:r>
        <w:rPr>
          <w:rFonts w:hint="eastAsia"/>
          <w:color w:val="0D0D0D"/>
          <w:sz w:val="24"/>
        </w:rPr>
        <w:t>（公章）：</w:t>
      </w:r>
    </w:p>
    <w:p w14:paraId="1DD12FDB">
      <w:pPr>
        <w:spacing w:before="156" w:beforeLines="50" w:after="156" w:afterLines="50" w:line="360" w:lineRule="auto"/>
        <w:ind w:firstLine="720" w:firstLineChars="300"/>
        <w:jc w:val="center"/>
        <w:rPr>
          <w:color w:val="0D0D0D"/>
          <w:sz w:val="24"/>
        </w:rPr>
      </w:pPr>
      <w:r>
        <w:rPr>
          <w:rFonts w:hint="eastAsia"/>
          <w:color w:val="0D0D0D"/>
          <w:sz w:val="24"/>
        </w:rPr>
        <w:t xml:space="preserve">                       </w:t>
      </w:r>
      <w:r>
        <w:rPr>
          <w:rFonts w:hint="eastAsia"/>
          <w:sz w:val="24"/>
        </w:rPr>
        <w:t>磋商响应</w:t>
      </w:r>
      <w:r>
        <w:rPr>
          <w:rFonts w:hint="eastAsia"/>
          <w:color w:val="0D0D0D"/>
          <w:sz w:val="24"/>
        </w:rPr>
        <w:t>方授权代表签字：</w:t>
      </w:r>
    </w:p>
    <w:p w14:paraId="26AE1554">
      <w:pPr>
        <w:spacing w:before="156" w:beforeLines="50" w:after="156" w:afterLines="50" w:line="360" w:lineRule="auto"/>
        <w:ind w:firstLine="6000" w:firstLineChars="2500"/>
        <w:rPr>
          <w:color w:val="0D0D0D"/>
          <w:sz w:val="24"/>
        </w:rPr>
      </w:pPr>
      <w:r>
        <w:rPr>
          <w:rFonts w:hint="eastAsia"/>
          <w:color w:val="0D0D0D"/>
          <w:sz w:val="24"/>
        </w:rPr>
        <w:t>日期：</w:t>
      </w:r>
    </w:p>
    <w:p w14:paraId="31FD46EE">
      <w:pPr>
        <w:rPr>
          <w:rFonts w:ascii="宋体" w:hAnsi="宋体"/>
          <w:b/>
          <w:sz w:val="24"/>
        </w:rPr>
      </w:pPr>
      <w:r>
        <w:rPr>
          <w:rFonts w:hint="eastAsia" w:ascii="宋体" w:hAnsi="宋体"/>
          <w:b/>
          <w:sz w:val="24"/>
        </w:rPr>
        <w:br w:type="page"/>
      </w:r>
    </w:p>
    <w:p w14:paraId="33F6A71D">
      <w:pPr>
        <w:autoSpaceDE w:val="0"/>
        <w:autoSpaceDN w:val="0"/>
        <w:adjustRightInd w:val="0"/>
        <w:snapToGrid w:val="0"/>
        <w:spacing w:before="100" w:beforeAutospacing="1" w:after="100" w:afterAutospacing="1"/>
        <w:rPr>
          <w:rFonts w:ascii="宋体"/>
          <w:b/>
          <w:bCs/>
          <w:spacing w:val="-3"/>
          <w:kern w:val="0"/>
          <w:sz w:val="24"/>
        </w:rPr>
      </w:pPr>
      <w:r>
        <w:rPr>
          <w:rFonts w:hint="eastAsia" w:ascii="宋体" w:hAnsi="宋体"/>
          <w:b/>
          <w:color w:val="0D0D0D"/>
          <w:sz w:val="24"/>
        </w:rPr>
        <w:t>2.12</w:t>
      </w:r>
    </w:p>
    <w:p w14:paraId="5CCFC345">
      <w:pPr>
        <w:snapToGrid w:val="0"/>
        <w:spacing w:before="50" w:after="156" w:afterLines="50"/>
        <w:jc w:val="center"/>
        <w:rPr>
          <w:rFonts w:ascii="宋体"/>
          <w:b/>
          <w:sz w:val="24"/>
        </w:rPr>
      </w:pPr>
      <w:r>
        <w:rPr>
          <w:rFonts w:hint="eastAsia" w:ascii="宋体"/>
          <w:b/>
          <w:sz w:val="24"/>
        </w:rPr>
        <w:t>拟投入本项目的设备表</w:t>
      </w:r>
    </w:p>
    <w:p w14:paraId="0A8B7DE4">
      <w:pPr>
        <w:pStyle w:val="28"/>
        <w:spacing w:before="156" w:after="156" w:line="360" w:lineRule="auto"/>
        <w:ind w:right="904"/>
        <w:rPr>
          <w:rFonts w:ascii="Times New Roman" w:hAnsi="Times New Roman"/>
        </w:rPr>
      </w:pPr>
      <w:r>
        <w:rPr>
          <w:rFonts w:hint="eastAsia" w:ascii="Times New Roman" w:hAnsi="Times New Roman"/>
        </w:rPr>
        <w:t>项目名称：</w:t>
      </w:r>
    </w:p>
    <w:p w14:paraId="2E8338CE">
      <w:pPr>
        <w:pStyle w:val="28"/>
        <w:spacing w:before="156" w:after="156" w:line="360" w:lineRule="auto"/>
        <w:ind w:right="904"/>
        <w:rPr>
          <w:rFonts w:ascii="Times New Roman" w:hAnsi="Times New Roman"/>
        </w:rPr>
      </w:pPr>
      <w:r>
        <w:rPr>
          <w:rFonts w:hint="eastAsia" w:hAnsi="宋体" w:cs="宋体"/>
          <w:bCs/>
        </w:rPr>
        <w:t>磋商</w:t>
      </w:r>
      <w:r>
        <w:rPr>
          <w:rFonts w:hint="eastAsia" w:ascii="Times New Roman" w:hAnsi="Times New Roman"/>
        </w:rPr>
        <w:t>编号：</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295"/>
        <w:gridCol w:w="2396"/>
        <w:gridCol w:w="1140"/>
        <w:gridCol w:w="1151"/>
      </w:tblGrid>
      <w:tr w14:paraId="6C40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93" w:type="pct"/>
            <w:vAlign w:val="center"/>
          </w:tcPr>
          <w:p w14:paraId="267FAFD1">
            <w:pPr>
              <w:jc w:val="center"/>
              <w:rPr>
                <w:rFonts w:ascii="宋体"/>
                <w:sz w:val="24"/>
              </w:rPr>
            </w:pPr>
            <w:r>
              <w:rPr>
                <w:rFonts w:hint="eastAsia" w:ascii="宋体"/>
                <w:sz w:val="24"/>
              </w:rPr>
              <w:t>序号</w:t>
            </w:r>
          </w:p>
        </w:tc>
        <w:tc>
          <w:tcPr>
            <w:tcW w:w="1818" w:type="pct"/>
            <w:vAlign w:val="center"/>
          </w:tcPr>
          <w:p w14:paraId="0CF53472">
            <w:pPr>
              <w:jc w:val="center"/>
              <w:rPr>
                <w:rFonts w:ascii="宋体"/>
                <w:sz w:val="24"/>
              </w:rPr>
            </w:pPr>
            <w:r>
              <w:rPr>
                <w:rFonts w:hint="eastAsia" w:ascii="宋体"/>
                <w:sz w:val="24"/>
              </w:rPr>
              <w:t>设备名称</w:t>
            </w:r>
          </w:p>
        </w:tc>
        <w:tc>
          <w:tcPr>
            <w:tcW w:w="1322" w:type="pct"/>
            <w:vAlign w:val="center"/>
          </w:tcPr>
          <w:p w14:paraId="4AE46221">
            <w:pPr>
              <w:jc w:val="center"/>
              <w:rPr>
                <w:rFonts w:ascii="宋体"/>
                <w:sz w:val="24"/>
              </w:rPr>
            </w:pPr>
            <w:r>
              <w:rPr>
                <w:rFonts w:hint="eastAsia" w:ascii="宋体"/>
                <w:sz w:val="24"/>
              </w:rPr>
              <w:t>规格型号</w:t>
            </w:r>
          </w:p>
        </w:tc>
        <w:tc>
          <w:tcPr>
            <w:tcW w:w="629" w:type="pct"/>
            <w:vAlign w:val="center"/>
          </w:tcPr>
          <w:p w14:paraId="713A6832">
            <w:pPr>
              <w:jc w:val="center"/>
              <w:rPr>
                <w:rFonts w:ascii="宋体"/>
                <w:sz w:val="24"/>
              </w:rPr>
            </w:pPr>
            <w:r>
              <w:rPr>
                <w:rFonts w:hint="eastAsia" w:ascii="宋体"/>
                <w:sz w:val="24"/>
              </w:rPr>
              <w:t>数量</w:t>
            </w:r>
          </w:p>
        </w:tc>
        <w:tc>
          <w:tcPr>
            <w:tcW w:w="635" w:type="pct"/>
            <w:vAlign w:val="center"/>
          </w:tcPr>
          <w:p w14:paraId="5AB50624">
            <w:pPr>
              <w:jc w:val="center"/>
              <w:rPr>
                <w:rFonts w:ascii="宋体"/>
                <w:sz w:val="24"/>
              </w:rPr>
            </w:pPr>
            <w:r>
              <w:rPr>
                <w:rFonts w:hint="eastAsia" w:ascii="宋体"/>
                <w:sz w:val="24"/>
              </w:rPr>
              <w:t>备注</w:t>
            </w:r>
          </w:p>
        </w:tc>
      </w:tr>
      <w:tr w14:paraId="5CF3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3ADC15C4">
            <w:pPr>
              <w:jc w:val="center"/>
              <w:rPr>
                <w:rFonts w:ascii="宋体"/>
                <w:sz w:val="24"/>
              </w:rPr>
            </w:pPr>
          </w:p>
        </w:tc>
        <w:tc>
          <w:tcPr>
            <w:tcW w:w="1818" w:type="pct"/>
          </w:tcPr>
          <w:p w14:paraId="0D0043C6">
            <w:pPr>
              <w:rPr>
                <w:rFonts w:ascii="宋体"/>
                <w:sz w:val="24"/>
              </w:rPr>
            </w:pPr>
          </w:p>
        </w:tc>
        <w:tc>
          <w:tcPr>
            <w:tcW w:w="1322" w:type="pct"/>
          </w:tcPr>
          <w:p w14:paraId="5041ECE0">
            <w:pPr>
              <w:rPr>
                <w:rFonts w:ascii="宋体"/>
                <w:sz w:val="24"/>
              </w:rPr>
            </w:pPr>
          </w:p>
        </w:tc>
        <w:tc>
          <w:tcPr>
            <w:tcW w:w="629" w:type="pct"/>
          </w:tcPr>
          <w:p w14:paraId="762B4308">
            <w:pPr>
              <w:rPr>
                <w:rFonts w:ascii="宋体"/>
                <w:sz w:val="24"/>
              </w:rPr>
            </w:pPr>
          </w:p>
        </w:tc>
        <w:tc>
          <w:tcPr>
            <w:tcW w:w="635" w:type="pct"/>
          </w:tcPr>
          <w:p w14:paraId="4B9D342B">
            <w:pPr>
              <w:rPr>
                <w:rFonts w:ascii="宋体"/>
                <w:sz w:val="24"/>
              </w:rPr>
            </w:pPr>
          </w:p>
        </w:tc>
      </w:tr>
      <w:tr w14:paraId="0024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5F5C6F21">
            <w:pPr>
              <w:rPr>
                <w:rFonts w:ascii="宋体"/>
                <w:sz w:val="24"/>
              </w:rPr>
            </w:pPr>
          </w:p>
        </w:tc>
        <w:tc>
          <w:tcPr>
            <w:tcW w:w="1818" w:type="pct"/>
          </w:tcPr>
          <w:p w14:paraId="2BDDF4CE">
            <w:pPr>
              <w:rPr>
                <w:rFonts w:ascii="宋体"/>
                <w:sz w:val="24"/>
              </w:rPr>
            </w:pPr>
          </w:p>
        </w:tc>
        <w:tc>
          <w:tcPr>
            <w:tcW w:w="1322" w:type="pct"/>
          </w:tcPr>
          <w:p w14:paraId="525BFB60">
            <w:pPr>
              <w:rPr>
                <w:rFonts w:ascii="宋体"/>
                <w:sz w:val="24"/>
              </w:rPr>
            </w:pPr>
          </w:p>
        </w:tc>
        <w:tc>
          <w:tcPr>
            <w:tcW w:w="629" w:type="pct"/>
          </w:tcPr>
          <w:p w14:paraId="795288DF">
            <w:pPr>
              <w:rPr>
                <w:rFonts w:ascii="宋体"/>
                <w:sz w:val="24"/>
              </w:rPr>
            </w:pPr>
          </w:p>
        </w:tc>
        <w:tc>
          <w:tcPr>
            <w:tcW w:w="635" w:type="pct"/>
          </w:tcPr>
          <w:p w14:paraId="70FFA212">
            <w:pPr>
              <w:rPr>
                <w:rFonts w:ascii="宋体"/>
                <w:sz w:val="24"/>
              </w:rPr>
            </w:pPr>
          </w:p>
        </w:tc>
      </w:tr>
      <w:tr w14:paraId="28B0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518E9852">
            <w:pPr>
              <w:rPr>
                <w:rFonts w:ascii="宋体"/>
                <w:sz w:val="24"/>
              </w:rPr>
            </w:pPr>
          </w:p>
        </w:tc>
        <w:tc>
          <w:tcPr>
            <w:tcW w:w="1818" w:type="pct"/>
          </w:tcPr>
          <w:p w14:paraId="35072118">
            <w:pPr>
              <w:rPr>
                <w:rFonts w:ascii="宋体"/>
                <w:sz w:val="24"/>
              </w:rPr>
            </w:pPr>
          </w:p>
        </w:tc>
        <w:tc>
          <w:tcPr>
            <w:tcW w:w="1322" w:type="pct"/>
          </w:tcPr>
          <w:p w14:paraId="66A10B4D">
            <w:pPr>
              <w:rPr>
                <w:rFonts w:ascii="宋体"/>
                <w:sz w:val="24"/>
              </w:rPr>
            </w:pPr>
          </w:p>
        </w:tc>
        <w:tc>
          <w:tcPr>
            <w:tcW w:w="629" w:type="pct"/>
          </w:tcPr>
          <w:p w14:paraId="53387244">
            <w:pPr>
              <w:rPr>
                <w:rFonts w:ascii="宋体"/>
                <w:sz w:val="24"/>
              </w:rPr>
            </w:pPr>
          </w:p>
        </w:tc>
        <w:tc>
          <w:tcPr>
            <w:tcW w:w="635" w:type="pct"/>
          </w:tcPr>
          <w:p w14:paraId="6B167DE5">
            <w:pPr>
              <w:rPr>
                <w:rFonts w:ascii="宋体"/>
                <w:sz w:val="24"/>
              </w:rPr>
            </w:pPr>
          </w:p>
        </w:tc>
      </w:tr>
      <w:tr w14:paraId="7D04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1D3D669C">
            <w:pPr>
              <w:rPr>
                <w:rFonts w:ascii="宋体"/>
                <w:sz w:val="24"/>
              </w:rPr>
            </w:pPr>
          </w:p>
        </w:tc>
        <w:tc>
          <w:tcPr>
            <w:tcW w:w="1818" w:type="pct"/>
          </w:tcPr>
          <w:p w14:paraId="56571772">
            <w:pPr>
              <w:rPr>
                <w:rFonts w:ascii="宋体"/>
                <w:sz w:val="24"/>
              </w:rPr>
            </w:pPr>
          </w:p>
        </w:tc>
        <w:tc>
          <w:tcPr>
            <w:tcW w:w="1322" w:type="pct"/>
          </w:tcPr>
          <w:p w14:paraId="14E58B0F">
            <w:pPr>
              <w:rPr>
                <w:rFonts w:ascii="宋体"/>
                <w:sz w:val="24"/>
              </w:rPr>
            </w:pPr>
          </w:p>
        </w:tc>
        <w:tc>
          <w:tcPr>
            <w:tcW w:w="629" w:type="pct"/>
          </w:tcPr>
          <w:p w14:paraId="25FE9035">
            <w:pPr>
              <w:rPr>
                <w:rFonts w:ascii="宋体"/>
                <w:sz w:val="24"/>
              </w:rPr>
            </w:pPr>
          </w:p>
        </w:tc>
        <w:tc>
          <w:tcPr>
            <w:tcW w:w="635" w:type="pct"/>
          </w:tcPr>
          <w:p w14:paraId="516A5A5C">
            <w:pPr>
              <w:rPr>
                <w:rFonts w:ascii="宋体"/>
                <w:sz w:val="24"/>
              </w:rPr>
            </w:pPr>
          </w:p>
        </w:tc>
      </w:tr>
      <w:tr w14:paraId="285F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69E39E22">
            <w:pPr>
              <w:rPr>
                <w:rFonts w:ascii="宋体"/>
                <w:sz w:val="24"/>
              </w:rPr>
            </w:pPr>
          </w:p>
        </w:tc>
        <w:tc>
          <w:tcPr>
            <w:tcW w:w="1818" w:type="pct"/>
          </w:tcPr>
          <w:p w14:paraId="070FF0D0">
            <w:pPr>
              <w:rPr>
                <w:rFonts w:ascii="宋体"/>
                <w:sz w:val="24"/>
              </w:rPr>
            </w:pPr>
          </w:p>
        </w:tc>
        <w:tc>
          <w:tcPr>
            <w:tcW w:w="1322" w:type="pct"/>
          </w:tcPr>
          <w:p w14:paraId="00DAA335">
            <w:pPr>
              <w:rPr>
                <w:rFonts w:ascii="宋体"/>
                <w:sz w:val="24"/>
              </w:rPr>
            </w:pPr>
          </w:p>
        </w:tc>
        <w:tc>
          <w:tcPr>
            <w:tcW w:w="629" w:type="pct"/>
          </w:tcPr>
          <w:p w14:paraId="5645A599">
            <w:pPr>
              <w:rPr>
                <w:rFonts w:ascii="宋体"/>
                <w:sz w:val="24"/>
              </w:rPr>
            </w:pPr>
          </w:p>
        </w:tc>
        <w:tc>
          <w:tcPr>
            <w:tcW w:w="635" w:type="pct"/>
          </w:tcPr>
          <w:p w14:paraId="6A690E15">
            <w:pPr>
              <w:rPr>
                <w:rFonts w:ascii="宋体"/>
                <w:sz w:val="24"/>
              </w:rPr>
            </w:pPr>
          </w:p>
        </w:tc>
      </w:tr>
      <w:tr w14:paraId="7161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7485F625">
            <w:pPr>
              <w:rPr>
                <w:rFonts w:ascii="宋体"/>
                <w:sz w:val="24"/>
              </w:rPr>
            </w:pPr>
          </w:p>
        </w:tc>
        <w:tc>
          <w:tcPr>
            <w:tcW w:w="1818" w:type="pct"/>
          </w:tcPr>
          <w:p w14:paraId="4A1BD65C">
            <w:pPr>
              <w:rPr>
                <w:rFonts w:ascii="宋体"/>
                <w:sz w:val="24"/>
              </w:rPr>
            </w:pPr>
          </w:p>
        </w:tc>
        <w:tc>
          <w:tcPr>
            <w:tcW w:w="1322" w:type="pct"/>
          </w:tcPr>
          <w:p w14:paraId="3DDA5792">
            <w:pPr>
              <w:rPr>
                <w:rFonts w:ascii="宋体"/>
                <w:sz w:val="24"/>
              </w:rPr>
            </w:pPr>
          </w:p>
        </w:tc>
        <w:tc>
          <w:tcPr>
            <w:tcW w:w="629" w:type="pct"/>
          </w:tcPr>
          <w:p w14:paraId="0D1F94DB">
            <w:pPr>
              <w:rPr>
                <w:rFonts w:ascii="宋体"/>
                <w:sz w:val="24"/>
              </w:rPr>
            </w:pPr>
          </w:p>
        </w:tc>
        <w:tc>
          <w:tcPr>
            <w:tcW w:w="635" w:type="pct"/>
          </w:tcPr>
          <w:p w14:paraId="58EC3463">
            <w:pPr>
              <w:rPr>
                <w:rFonts w:ascii="宋体"/>
                <w:sz w:val="24"/>
              </w:rPr>
            </w:pPr>
          </w:p>
        </w:tc>
      </w:tr>
      <w:tr w14:paraId="3C90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3A4C8321">
            <w:pPr>
              <w:rPr>
                <w:rFonts w:ascii="宋体"/>
                <w:sz w:val="24"/>
              </w:rPr>
            </w:pPr>
          </w:p>
        </w:tc>
        <w:tc>
          <w:tcPr>
            <w:tcW w:w="1818" w:type="pct"/>
          </w:tcPr>
          <w:p w14:paraId="6BF8DC67">
            <w:pPr>
              <w:rPr>
                <w:rFonts w:ascii="宋体"/>
                <w:sz w:val="24"/>
              </w:rPr>
            </w:pPr>
          </w:p>
        </w:tc>
        <w:tc>
          <w:tcPr>
            <w:tcW w:w="1322" w:type="pct"/>
          </w:tcPr>
          <w:p w14:paraId="0AF2CCF3">
            <w:pPr>
              <w:rPr>
                <w:rFonts w:ascii="宋体"/>
                <w:sz w:val="24"/>
              </w:rPr>
            </w:pPr>
          </w:p>
        </w:tc>
        <w:tc>
          <w:tcPr>
            <w:tcW w:w="629" w:type="pct"/>
          </w:tcPr>
          <w:p w14:paraId="6D2DE1D9">
            <w:pPr>
              <w:rPr>
                <w:rFonts w:ascii="宋体"/>
                <w:sz w:val="24"/>
              </w:rPr>
            </w:pPr>
          </w:p>
        </w:tc>
        <w:tc>
          <w:tcPr>
            <w:tcW w:w="635" w:type="pct"/>
          </w:tcPr>
          <w:p w14:paraId="3714F77E">
            <w:pPr>
              <w:rPr>
                <w:rFonts w:ascii="宋体"/>
                <w:sz w:val="24"/>
              </w:rPr>
            </w:pPr>
          </w:p>
        </w:tc>
      </w:tr>
      <w:tr w14:paraId="45F3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143FD0E5">
            <w:pPr>
              <w:rPr>
                <w:rFonts w:ascii="宋体"/>
                <w:sz w:val="24"/>
              </w:rPr>
            </w:pPr>
          </w:p>
        </w:tc>
        <w:tc>
          <w:tcPr>
            <w:tcW w:w="1818" w:type="pct"/>
          </w:tcPr>
          <w:p w14:paraId="58ECA34B">
            <w:pPr>
              <w:rPr>
                <w:rFonts w:ascii="宋体"/>
                <w:sz w:val="24"/>
              </w:rPr>
            </w:pPr>
          </w:p>
        </w:tc>
        <w:tc>
          <w:tcPr>
            <w:tcW w:w="1322" w:type="pct"/>
          </w:tcPr>
          <w:p w14:paraId="25FD35BE">
            <w:pPr>
              <w:rPr>
                <w:rFonts w:ascii="宋体"/>
                <w:sz w:val="24"/>
              </w:rPr>
            </w:pPr>
          </w:p>
        </w:tc>
        <w:tc>
          <w:tcPr>
            <w:tcW w:w="629" w:type="pct"/>
          </w:tcPr>
          <w:p w14:paraId="55454175">
            <w:pPr>
              <w:rPr>
                <w:rFonts w:ascii="宋体"/>
                <w:sz w:val="24"/>
              </w:rPr>
            </w:pPr>
          </w:p>
        </w:tc>
        <w:tc>
          <w:tcPr>
            <w:tcW w:w="635" w:type="pct"/>
          </w:tcPr>
          <w:p w14:paraId="281E0849">
            <w:pPr>
              <w:rPr>
                <w:rFonts w:ascii="宋体"/>
                <w:sz w:val="24"/>
              </w:rPr>
            </w:pPr>
          </w:p>
        </w:tc>
      </w:tr>
      <w:tr w14:paraId="01FF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73820C3D">
            <w:pPr>
              <w:rPr>
                <w:rFonts w:ascii="宋体"/>
                <w:sz w:val="24"/>
              </w:rPr>
            </w:pPr>
          </w:p>
        </w:tc>
        <w:tc>
          <w:tcPr>
            <w:tcW w:w="1818" w:type="pct"/>
          </w:tcPr>
          <w:p w14:paraId="7E2051E4">
            <w:pPr>
              <w:rPr>
                <w:rFonts w:ascii="宋体"/>
                <w:sz w:val="24"/>
              </w:rPr>
            </w:pPr>
          </w:p>
        </w:tc>
        <w:tc>
          <w:tcPr>
            <w:tcW w:w="1322" w:type="pct"/>
          </w:tcPr>
          <w:p w14:paraId="095B6FEA">
            <w:pPr>
              <w:rPr>
                <w:rFonts w:ascii="宋体"/>
                <w:sz w:val="24"/>
              </w:rPr>
            </w:pPr>
          </w:p>
        </w:tc>
        <w:tc>
          <w:tcPr>
            <w:tcW w:w="629" w:type="pct"/>
          </w:tcPr>
          <w:p w14:paraId="1A9D2CEE">
            <w:pPr>
              <w:rPr>
                <w:rFonts w:ascii="宋体"/>
                <w:sz w:val="24"/>
              </w:rPr>
            </w:pPr>
          </w:p>
        </w:tc>
        <w:tc>
          <w:tcPr>
            <w:tcW w:w="635" w:type="pct"/>
          </w:tcPr>
          <w:p w14:paraId="3A57845D">
            <w:pPr>
              <w:rPr>
                <w:rFonts w:ascii="宋体"/>
                <w:sz w:val="24"/>
              </w:rPr>
            </w:pPr>
          </w:p>
        </w:tc>
      </w:tr>
      <w:tr w14:paraId="4C9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39FB7C22">
            <w:pPr>
              <w:rPr>
                <w:rFonts w:ascii="宋体"/>
                <w:sz w:val="24"/>
              </w:rPr>
            </w:pPr>
          </w:p>
        </w:tc>
        <w:tc>
          <w:tcPr>
            <w:tcW w:w="1818" w:type="pct"/>
          </w:tcPr>
          <w:p w14:paraId="2E6542E8">
            <w:pPr>
              <w:rPr>
                <w:rFonts w:ascii="宋体"/>
                <w:sz w:val="24"/>
              </w:rPr>
            </w:pPr>
          </w:p>
        </w:tc>
        <w:tc>
          <w:tcPr>
            <w:tcW w:w="1322" w:type="pct"/>
          </w:tcPr>
          <w:p w14:paraId="066E0C70">
            <w:pPr>
              <w:rPr>
                <w:rFonts w:ascii="宋体"/>
                <w:sz w:val="24"/>
              </w:rPr>
            </w:pPr>
          </w:p>
        </w:tc>
        <w:tc>
          <w:tcPr>
            <w:tcW w:w="629" w:type="pct"/>
          </w:tcPr>
          <w:p w14:paraId="0B55A266">
            <w:pPr>
              <w:rPr>
                <w:rFonts w:ascii="宋体"/>
                <w:sz w:val="24"/>
              </w:rPr>
            </w:pPr>
          </w:p>
        </w:tc>
        <w:tc>
          <w:tcPr>
            <w:tcW w:w="635" w:type="pct"/>
          </w:tcPr>
          <w:p w14:paraId="2B28C3CB">
            <w:pPr>
              <w:rPr>
                <w:rFonts w:ascii="宋体"/>
                <w:sz w:val="24"/>
              </w:rPr>
            </w:pPr>
          </w:p>
        </w:tc>
      </w:tr>
      <w:tr w14:paraId="77CD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6EFCB32F">
            <w:pPr>
              <w:rPr>
                <w:rFonts w:ascii="宋体"/>
                <w:sz w:val="24"/>
              </w:rPr>
            </w:pPr>
          </w:p>
        </w:tc>
        <w:tc>
          <w:tcPr>
            <w:tcW w:w="1818" w:type="pct"/>
          </w:tcPr>
          <w:p w14:paraId="43DA79F6">
            <w:pPr>
              <w:rPr>
                <w:rFonts w:ascii="宋体"/>
                <w:sz w:val="24"/>
              </w:rPr>
            </w:pPr>
          </w:p>
        </w:tc>
        <w:tc>
          <w:tcPr>
            <w:tcW w:w="1322" w:type="pct"/>
          </w:tcPr>
          <w:p w14:paraId="20C64280">
            <w:pPr>
              <w:rPr>
                <w:rFonts w:ascii="宋体"/>
                <w:sz w:val="24"/>
              </w:rPr>
            </w:pPr>
          </w:p>
        </w:tc>
        <w:tc>
          <w:tcPr>
            <w:tcW w:w="629" w:type="pct"/>
          </w:tcPr>
          <w:p w14:paraId="474A00D9">
            <w:pPr>
              <w:rPr>
                <w:rFonts w:ascii="宋体"/>
                <w:sz w:val="24"/>
              </w:rPr>
            </w:pPr>
          </w:p>
        </w:tc>
        <w:tc>
          <w:tcPr>
            <w:tcW w:w="635" w:type="pct"/>
          </w:tcPr>
          <w:p w14:paraId="53C340B5">
            <w:pPr>
              <w:rPr>
                <w:rFonts w:ascii="宋体"/>
                <w:sz w:val="24"/>
              </w:rPr>
            </w:pPr>
          </w:p>
        </w:tc>
      </w:tr>
      <w:tr w14:paraId="196B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210458D6">
            <w:pPr>
              <w:rPr>
                <w:rFonts w:ascii="宋体"/>
                <w:sz w:val="24"/>
              </w:rPr>
            </w:pPr>
          </w:p>
        </w:tc>
        <w:tc>
          <w:tcPr>
            <w:tcW w:w="1818" w:type="pct"/>
          </w:tcPr>
          <w:p w14:paraId="748A70D2">
            <w:pPr>
              <w:rPr>
                <w:rFonts w:ascii="宋体"/>
                <w:sz w:val="24"/>
              </w:rPr>
            </w:pPr>
          </w:p>
        </w:tc>
        <w:tc>
          <w:tcPr>
            <w:tcW w:w="1322" w:type="pct"/>
          </w:tcPr>
          <w:p w14:paraId="5C6F1B08">
            <w:pPr>
              <w:rPr>
                <w:rFonts w:ascii="宋体"/>
                <w:sz w:val="24"/>
              </w:rPr>
            </w:pPr>
          </w:p>
        </w:tc>
        <w:tc>
          <w:tcPr>
            <w:tcW w:w="629" w:type="pct"/>
          </w:tcPr>
          <w:p w14:paraId="4C9013A3">
            <w:pPr>
              <w:rPr>
                <w:rFonts w:ascii="宋体"/>
                <w:sz w:val="24"/>
              </w:rPr>
            </w:pPr>
          </w:p>
        </w:tc>
        <w:tc>
          <w:tcPr>
            <w:tcW w:w="635" w:type="pct"/>
          </w:tcPr>
          <w:p w14:paraId="5CDCB45D">
            <w:pPr>
              <w:rPr>
                <w:rFonts w:ascii="宋体"/>
                <w:sz w:val="24"/>
              </w:rPr>
            </w:pPr>
          </w:p>
        </w:tc>
      </w:tr>
    </w:tbl>
    <w:p w14:paraId="3108A312">
      <w:pPr>
        <w:snapToGrid w:val="0"/>
        <w:spacing w:before="50" w:after="156" w:afterLines="50"/>
        <w:jc w:val="left"/>
        <w:rPr>
          <w:rFonts w:ascii="宋体"/>
          <w:b/>
          <w:sz w:val="24"/>
        </w:rPr>
      </w:pPr>
    </w:p>
    <w:p w14:paraId="522237AE">
      <w:pPr>
        <w:snapToGrid w:val="0"/>
        <w:spacing w:before="50" w:after="50" w:line="360" w:lineRule="auto"/>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14:paraId="767477DA">
      <w:pPr>
        <w:snapToGrid w:val="0"/>
        <w:spacing w:before="50" w:line="360" w:lineRule="auto"/>
        <w:jc w:val="left"/>
        <w:outlineLvl w:val="1"/>
        <w:rPr>
          <w:rFonts w:ascii="宋体"/>
          <w:spacing w:val="20"/>
          <w:sz w:val="24"/>
        </w:rPr>
      </w:pPr>
      <w:r>
        <w:rPr>
          <w:rFonts w:hint="eastAsia"/>
          <w:sz w:val="24"/>
        </w:rPr>
        <w:t>磋商响应</w:t>
      </w:r>
      <w:r>
        <w:rPr>
          <w:sz w:val="24"/>
        </w:rPr>
        <w:t>单位</w:t>
      </w:r>
      <w:r>
        <w:rPr>
          <w:rFonts w:hint="eastAsia"/>
          <w:color w:val="0D0D0D"/>
          <w:sz w:val="24"/>
        </w:rPr>
        <w:t>盖章</w:t>
      </w:r>
      <w:r>
        <w:rPr>
          <w:rFonts w:hint="eastAsia" w:ascii="宋体"/>
          <w:spacing w:val="20"/>
          <w:sz w:val="24"/>
        </w:rPr>
        <w:t>：</w:t>
      </w:r>
    </w:p>
    <w:p w14:paraId="4E57380A">
      <w:pPr>
        <w:snapToGrid w:val="0"/>
        <w:spacing w:before="50" w:line="360" w:lineRule="auto"/>
        <w:jc w:val="left"/>
        <w:outlineLvl w:val="1"/>
        <w:rPr>
          <w:rFonts w:ascii="宋体"/>
          <w:spacing w:val="20"/>
          <w:sz w:val="24"/>
        </w:rPr>
      </w:pPr>
      <w:r>
        <w:rPr>
          <w:rFonts w:hint="eastAsia" w:ascii="宋体"/>
          <w:spacing w:val="20"/>
          <w:sz w:val="24"/>
        </w:rPr>
        <w:t>日期：</w:t>
      </w:r>
    </w:p>
    <w:p w14:paraId="293A823D">
      <w:pPr>
        <w:rPr>
          <w:rFonts w:ascii="宋体"/>
          <w:spacing w:val="20"/>
          <w:sz w:val="24"/>
        </w:rPr>
      </w:pPr>
      <w:r>
        <w:rPr>
          <w:rFonts w:hint="eastAsia" w:ascii="宋体"/>
          <w:spacing w:val="20"/>
          <w:sz w:val="24"/>
        </w:rPr>
        <w:br w:type="page"/>
      </w:r>
    </w:p>
    <w:p w14:paraId="27566C22">
      <w:pPr>
        <w:snapToGrid w:val="0"/>
        <w:spacing w:before="50" w:line="360" w:lineRule="auto"/>
        <w:jc w:val="left"/>
        <w:outlineLvl w:val="1"/>
        <w:rPr>
          <w:rFonts w:ascii="宋体"/>
          <w:b/>
          <w:sz w:val="24"/>
        </w:rPr>
      </w:pPr>
      <w:r>
        <w:rPr>
          <w:rFonts w:hint="eastAsia" w:ascii="宋体" w:hAnsi="宋体"/>
          <w:b/>
          <w:sz w:val="24"/>
        </w:rPr>
        <w:t>3</w:t>
      </w:r>
      <w:r>
        <w:rPr>
          <w:rFonts w:ascii="宋体" w:hAnsi="宋体"/>
          <w:b/>
          <w:sz w:val="24"/>
        </w:rPr>
        <w:t>.</w:t>
      </w:r>
      <w:r>
        <w:rPr>
          <w:rFonts w:hint="eastAsia" w:ascii="宋体" w:hAnsi="宋体"/>
          <w:b/>
          <w:sz w:val="24"/>
        </w:rPr>
        <w:t>报价文件目录</w:t>
      </w:r>
    </w:p>
    <w:p w14:paraId="65127E2F">
      <w:pPr>
        <w:spacing w:line="360" w:lineRule="auto"/>
        <w:ind w:left="525" w:leftChars="250"/>
        <w:rPr>
          <w:rFonts w:ascii="宋体" w:hAnsi="宋体" w:cs="宋体"/>
          <w:sz w:val="24"/>
        </w:rPr>
      </w:pPr>
      <w:r>
        <w:rPr>
          <w:rFonts w:hint="eastAsia" w:ascii="宋体" w:hAnsi="宋体" w:cs="宋体"/>
          <w:sz w:val="24"/>
        </w:rPr>
        <w:t xml:space="preserve">（1）磋商函（格式见附件3.1）； </w:t>
      </w:r>
    </w:p>
    <w:p w14:paraId="3AB340BF">
      <w:pPr>
        <w:spacing w:line="450" w:lineRule="exact"/>
        <w:ind w:left="525" w:leftChars="250"/>
        <w:rPr>
          <w:rFonts w:ascii="宋体" w:hAnsi="宋体" w:cs="宋体"/>
          <w:sz w:val="24"/>
        </w:rPr>
      </w:pPr>
      <w:r>
        <w:rPr>
          <w:rFonts w:hint="eastAsia" w:ascii="宋体" w:hAnsi="宋体" w:cs="宋体"/>
          <w:sz w:val="24"/>
        </w:rPr>
        <w:t xml:space="preserve">（2）磋商初次报价表（格式见附件3.2）； </w:t>
      </w:r>
    </w:p>
    <w:p w14:paraId="1B92EE74">
      <w:pPr>
        <w:spacing w:line="450" w:lineRule="exact"/>
        <w:ind w:left="525" w:leftChars="250"/>
        <w:rPr>
          <w:rFonts w:ascii="宋体" w:hAnsi="宋体" w:cs="宋体"/>
          <w:b/>
          <w:bCs/>
          <w:sz w:val="24"/>
        </w:rPr>
      </w:pPr>
      <w:r>
        <w:rPr>
          <w:rFonts w:hint="eastAsia" w:ascii="宋体" w:hAnsi="宋体" w:cs="宋体"/>
          <w:sz w:val="24"/>
        </w:rPr>
        <w:t>（3）</w:t>
      </w:r>
      <w:r>
        <w:rPr>
          <w:rFonts w:hint="eastAsia" w:ascii="宋体" w:hAnsi="宋体"/>
          <w:sz w:val="24"/>
        </w:rPr>
        <w:t>磋商响应方</w:t>
      </w:r>
      <w:r>
        <w:rPr>
          <w:rFonts w:hint="eastAsia" w:ascii="宋体" w:hAnsi="宋体" w:cs="宋体"/>
          <w:sz w:val="24"/>
        </w:rPr>
        <w:t>针对报价需要说明的其他文件和说明（格式自拟）；</w:t>
      </w:r>
    </w:p>
    <w:p w14:paraId="329CBAD3">
      <w:pPr>
        <w:spacing w:line="360" w:lineRule="auto"/>
        <w:ind w:left="525" w:leftChars="250"/>
        <w:rPr>
          <w:rFonts w:ascii="宋体" w:hAnsi="宋体" w:cs="宋体"/>
          <w:b/>
          <w:bCs/>
          <w:sz w:val="24"/>
        </w:rPr>
      </w:pPr>
    </w:p>
    <w:p w14:paraId="726AA676">
      <w:pPr>
        <w:rPr>
          <w:rFonts w:ascii="宋体" w:hAnsi="宋体"/>
          <w:sz w:val="24"/>
        </w:rPr>
      </w:pPr>
      <w:r>
        <w:rPr>
          <w:rFonts w:ascii="宋体" w:hAnsi="宋体"/>
          <w:b/>
          <w:sz w:val="24"/>
        </w:rPr>
        <w:br w:type="page"/>
      </w:r>
      <w:bookmarkEnd w:id="27"/>
    </w:p>
    <w:p w14:paraId="1123B1DC">
      <w:pPr>
        <w:snapToGrid w:val="0"/>
        <w:spacing w:line="360" w:lineRule="auto"/>
        <w:jc w:val="left"/>
        <w:outlineLvl w:val="2"/>
        <w:rPr>
          <w:rFonts w:ascii="宋体"/>
          <w:b/>
          <w:sz w:val="24"/>
        </w:rPr>
      </w:pPr>
      <w:r>
        <w:rPr>
          <w:rFonts w:hint="eastAsia" w:ascii="宋体" w:hAnsi="宋体"/>
          <w:b/>
          <w:sz w:val="24"/>
        </w:rPr>
        <w:t>3.1</w:t>
      </w:r>
      <w:r>
        <w:rPr>
          <w:rFonts w:hint="eastAsia" w:ascii="宋体" w:hAnsi="宋体" w:cs="宋体"/>
          <w:b/>
          <w:sz w:val="24"/>
        </w:rPr>
        <w:t>磋商函格式</w:t>
      </w:r>
      <w:r>
        <w:rPr>
          <w:rFonts w:hint="eastAsia" w:ascii="宋体" w:hAnsi="宋体"/>
          <w:b/>
          <w:sz w:val="24"/>
        </w:rPr>
        <w:t>：</w:t>
      </w:r>
    </w:p>
    <w:p w14:paraId="4551659A">
      <w:pPr>
        <w:pStyle w:val="28"/>
        <w:spacing w:beforeLines="0" w:afterLines="0" w:line="360" w:lineRule="auto"/>
        <w:jc w:val="center"/>
        <w:rPr>
          <w:rFonts w:hAnsi="宋体"/>
          <w:b/>
          <w:sz w:val="28"/>
          <w:szCs w:val="21"/>
        </w:rPr>
      </w:pPr>
      <w:r>
        <w:rPr>
          <w:rFonts w:hint="eastAsia" w:hAnsi="宋体"/>
          <w:b/>
          <w:sz w:val="28"/>
          <w:szCs w:val="21"/>
        </w:rPr>
        <w:t>磋商函</w:t>
      </w:r>
    </w:p>
    <w:p w14:paraId="33C1DAED">
      <w:pPr>
        <w:pStyle w:val="28"/>
        <w:spacing w:beforeLines="0" w:afterLines="0" w:line="360" w:lineRule="auto"/>
        <w:rPr>
          <w:rFonts w:hAnsi="宋体" w:cs="宋体"/>
        </w:rPr>
      </w:pPr>
      <w:r>
        <w:rPr>
          <w:rFonts w:hint="eastAsia" w:hAnsi="宋体" w:cs="宋体"/>
        </w:rPr>
        <w:t>致：</w:t>
      </w:r>
      <w:r>
        <w:rPr>
          <w:rFonts w:hint="eastAsia" w:hAnsi="宋体" w:cs="宋体"/>
          <w:u w:val="single"/>
          <w:lang w:eastAsia="zh-CN"/>
        </w:rPr>
        <w:t>浙江省房地产管理咨询有限公司</w:t>
      </w:r>
      <w:r>
        <w:rPr>
          <w:rFonts w:hint="eastAsia" w:hAnsi="宋体" w:cs="宋体"/>
        </w:rPr>
        <w:t>：</w:t>
      </w:r>
    </w:p>
    <w:p w14:paraId="7319F813">
      <w:pPr>
        <w:pStyle w:val="28"/>
        <w:spacing w:beforeLines="0" w:afterLines="0" w:line="360" w:lineRule="auto"/>
        <w:ind w:firstLine="482"/>
        <w:rPr>
          <w:rFonts w:hAnsi="宋体"/>
          <w:szCs w:val="24"/>
        </w:rPr>
      </w:pPr>
      <w:r>
        <w:rPr>
          <w:rFonts w:hint="eastAsia" w:hAnsi="宋体"/>
          <w:szCs w:val="24"/>
        </w:rPr>
        <w:t>根据贵方</w:t>
      </w:r>
      <w:r>
        <w:rPr>
          <w:rFonts w:hint="eastAsia" w:hAnsi="宋体"/>
          <w:szCs w:val="24"/>
          <w:u w:val="single"/>
        </w:rPr>
        <w:t>（磋商项目名称）</w:t>
      </w:r>
      <w:r>
        <w:rPr>
          <w:rFonts w:hint="eastAsia" w:hAnsi="宋体"/>
          <w:szCs w:val="24"/>
        </w:rPr>
        <w:t>项目磋商文件编号</w:t>
      </w:r>
      <w:r>
        <w:rPr>
          <w:rFonts w:hint="eastAsia" w:hAnsi="宋体"/>
          <w:szCs w:val="24"/>
          <w:u w:val="single"/>
        </w:rPr>
        <w:t xml:space="preserve">    （磋商编号）    </w:t>
      </w:r>
      <w:r>
        <w:rPr>
          <w:rFonts w:hint="eastAsia" w:hAnsi="宋体"/>
          <w:szCs w:val="24"/>
        </w:rPr>
        <w:t>，正式授权下述签字人</w:t>
      </w:r>
      <w:r>
        <w:rPr>
          <w:rFonts w:hint="eastAsia" w:hAnsi="宋体"/>
          <w:szCs w:val="24"/>
          <w:u w:val="single"/>
        </w:rPr>
        <w:t xml:space="preserve">   （姓名和职务） </w:t>
      </w:r>
      <w:r>
        <w:rPr>
          <w:rFonts w:hint="eastAsia" w:hAnsi="宋体"/>
          <w:szCs w:val="24"/>
        </w:rPr>
        <w:t>全权代表</w:t>
      </w:r>
      <w:r>
        <w:rPr>
          <w:rFonts w:hint="eastAsia" w:hAnsi="宋体"/>
          <w:szCs w:val="24"/>
          <w:u w:val="single"/>
        </w:rPr>
        <w:t>磋商响应</w:t>
      </w:r>
      <w:r>
        <w:rPr>
          <w:rFonts w:hint="eastAsia" w:hAnsi="宋体"/>
          <w:szCs w:val="24"/>
        </w:rPr>
        <w:t>人</w:t>
      </w:r>
      <w:r>
        <w:rPr>
          <w:rFonts w:hint="eastAsia" w:hAnsi="宋体"/>
          <w:szCs w:val="24"/>
          <w:u w:val="single"/>
        </w:rPr>
        <w:t xml:space="preserve">   （磋商响应人全称）</w:t>
      </w:r>
      <w:r>
        <w:rPr>
          <w:rFonts w:hint="eastAsia" w:hAnsi="宋体"/>
          <w:szCs w:val="24"/>
        </w:rPr>
        <w:t>参加贵方组织的有关谈判活动，并提交下述文件</w:t>
      </w:r>
      <w:r>
        <w:rPr>
          <w:rFonts w:hint="eastAsia" w:hAnsi="宋体"/>
          <w:color w:val="000000"/>
          <w:szCs w:val="24"/>
        </w:rPr>
        <w:t>：</w:t>
      </w:r>
    </w:p>
    <w:p w14:paraId="6F89C19F">
      <w:pPr>
        <w:pStyle w:val="28"/>
        <w:numPr>
          <w:ilvl w:val="0"/>
          <w:numId w:val="6"/>
        </w:numPr>
        <w:spacing w:beforeLines="0" w:afterLines="0" w:line="360" w:lineRule="auto"/>
        <w:rPr>
          <w:rFonts w:hAnsi="宋体"/>
          <w:szCs w:val="24"/>
        </w:rPr>
      </w:pPr>
      <w:r>
        <w:rPr>
          <w:rFonts w:hint="eastAsia" w:hAnsi="宋体"/>
          <w:szCs w:val="24"/>
        </w:rPr>
        <w:t>磋商文件规定的技术文件正本</w:t>
      </w:r>
      <w:r>
        <w:rPr>
          <w:rFonts w:hint="eastAsia" w:hAnsi="宋体"/>
          <w:szCs w:val="24"/>
          <w:u w:val="single"/>
        </w:rPr>
        <w:t xml:space="preserve">  </w:t>
      </w:r>
      <w:r>
        <w:rPr>
          <w:rFonts w:hint="eastAsia" w:hAnsi="宋体"/>
          <w:szCs w:val="24"/>
        </w:rPr>
        <w:t>份，副本</w:t>
      </w:r>
      <w:r>
        <w:rPr>
          <w:rFonts w:hint="eastAsia" w:hAnsi="宋体"/>
          <w:szCs w:val="24"/>
          <w:u w:val="single"/>
        </w:rPr>
        <w:t xml:space="preserve">   </w:t>
      </w:r>
      <w:r>
        <w:rPr>
          <w:rFonts w:hint="eastAsia" w:hAnsi="宋体"/>
          <w:szCs w:val="24"/>
        </w:rPr>
        <w:t>份。</w:t>
      </w:r>
    </w:p>
    <w:p w14:paraId="26001522">
      <w:pPr>
        <w:pStyle w:val="28"/>
        <w:numPr>
          <w:ilvl w:val="0"/>
          <w:numId w:val="6"/>
        </w:numPr>
        <w:spacing w:beforeLines="0" w:afterLines="0" w:line="360" w:lineRule="auto"/>
        <w:rPr>
          <w:rFonts w:hAnsi="宋体"/>
          <w:szCs w:val="24"/>
        </w:rPr>
      </w:pPr>
      <w:r>
        <w:rPr>
          <w:rFonts w:hint="eastAsia" w:hAnsi="宋体"/>
          <w:szCs w:val="24"/>
        </w:rPr>
        <w:t>磋商文件规定的商务文件正本</w:t>
      </w:r>
      <w:r>
        <w:rPr>
          <w:rFonts w:hint="eastAsia" w:hAnsi="宋体"/>
          <w:szCs w:val="24"/>
          <w:u w:val="single"/>
        </w:rPr>
        <w:t xml:space="preserve">  </w:t>
      </w:r>
      <w:r>
        <w:rPr>
          <w:rFonts w:hint="eastAsia" w:hAnsi="宋体"/>
          <w:szCs w:val="24"/>
        </w:rPr>
        <w:t>份，副本</w:t>
      </w:r>
      <w:r>
        <w:rPr>
          <w:rFonts w:hint="eastAsia" w:hAnsi="宋体"/>
          <w:szCs w:val="24"/>
          <w:u w:val="single"/>
        </w:rPr>
        <w:t xml:space="preserve">   </w:t>
      </w:r>
      <w:r>
        <w:rPr>
          <w:rFonts w:hint="eastAsia" w:hAnsi="宋体"/>
          <w:szCs w:val="24"/>
        </w:rPr>
        <w:t>份。</w:t>
      </w:r>
    </w:p>
    <w:p w14:paraId="2F07243D">
      <w:pPr>
        <w:pStyle w:val="28"/>
        <w:spacing w:beforeLines="0" w:afterLines="0" w:line="360" w:lineRule="auto"/>
        <w:ind w:firstLine="480" w:firstLineChars="200"/>
        <w:rPr>
          <w:rFonts w:hAnsi="宋体"/>
          <w:szCs w:val="24"/>
        </w:rPr>
      </w:pPr>
      <w:r>
        <w:rPr>
          <w:rFonts w:hint="eastAsia" w:hAnsi="宋体"/>
          <w:szCs w:val="24"/>
        </w:rPr>
        <w:t>据此函，签字人兹宣布同意如下：</w:t>
      </w:r>
    </w:p>
    <w:p w14:paraId="05DAE3EC">
      <w:pPr>
        <w:pStyle w:val="28"/>
        <w:spacing w:beforeLines="0" w:afterLines="0" w:line="360" w:lineRule="auto"/>
        <w:ind w:firstLine="360" w:firstLineChars="150"/>
        <w:rPr>
          <w:rFonts w:hAnsi="宋体"/>
          <w:szCs w:val="24"/>
        </w:rPr>
      </w:pPr>
      <w:r>
        <w:rPr>
          <w:rFonts w:hint="eastAsia" w:hAnsi="宋体"/>
          <w:szCs w:val="24"/>
        </w:rPr>
        <w:t>（1）我们承担根据磋商文件的规定，完成合同的责任和义务。</w:t>
      </w:r>
    </w:p>
    <w:p w14:paraId="37551EDA">
      <w:pPr>
        <w:pStyle w:val="28"/>
        <w:spacing w:beforeLines="0" w:afterLines="0" w:line="360" w:lineRule="auto"/>
        <w:ind w:firstLine="360" w:firstLineChars="150"/>
        <w:rPr>
          <w:rFonts w:hAnsi="宋体"/>
          <w:szCs w:val="24"/>
        </w:rPr>
      </w:pPr>
      <w:r>
        <w:rPr>
          <w:rFonts w:hint="eastAsia" w:hAnsi="宋体"/>
          <w:szCs w:val="24"/>
        </w:rPr>
        <w:t>（2）我们已详细审核全部磋商文件、参考资料及有关附件，我们知道必须放弃提出含糊不清或误解问题的权利。</w:t>
      </w:r>
    </w:p>
    <w:p w14:paraId="441BD8CC">
      <w:pPr>
        <w:pStyle w:val="28"/>
        <w:spacing w:beforeLines="0" w:afterLines="0" w:line="360" w:lineRule="auto"/>
        <w:ind w:firstLine="360" w:firstLineChars="150"/>
        <w:rPr>
          <w:rFonts w:hAnsi="宋体"/>
          <w:szCs w:val="24"/>
        </w:rPr>
      </w:pPr>
      <w:r>
        <w:rPr>
          <w:rFonts w:hint="eastAsia" w:hAnsi="宋体"/>
          <w:szCs w:val="24"/>
        </w:rPr>
        <w:t>（3）我们同意在供应商须知规定的开标日期起遵循本</w:t>
      </w:r>
      <w:r>
        <w:rPr>
          <w:rFonts w:hint="eastAsia" w:ascii="Times New Roman" w:hAnsi="Times New Roman"/>
          <w:szCs w:val="24"/>
        </w:rPr>
        <w:t>磋商</w:t>
      </w:r>
      <w:r>
        <w:rPr>
          <w:rFonts w:hint="eastAsia" w:hAnsi="宋体"/>
          <w:szCs w:val="24"/>
        </w:rPr>
        <w:t>文件，并在供应商须知规定的</w:t>
      </w:r>
      <w:r>
        <w:rPr>
          <w:rFonts w:hint="eastAsia" w:ascii="Times New Roman" w:hAnsi="Times New Roman"/>
          <w:szCs w:val="24"/>
        </w:rPr>
        <w:t>磋商响应</w:t>
      </w:r>
      <w:r>
        <w:rPr>
          <w:rFonts w:hint="eastAsia" w:hAnsi="宋体"/>
          <w:szCs w:val="24"/>
        </w:rPr>
        <w:t>有效期满之前均具有约束力，并有可能中标。</w:t>
      </w:r>
    </w:p>
    <w:p w14:paraId="72E714E1">
      <w:pPr>
        <w:pStyle w:val="28"/>
        <w:spacing w:beforeLines="0" w:afterLines="0" w:line="360" w:lineRule="auto"/>
        <w:ind w:firstLine="360" w:firstLineChars="150"/>
        <w:rPr>
          <w:rFonts w:hAnsi="宋体"/>
          <w:szCs w:val="24"/>
        </w:rPr>
      </w:pPr>
      <w:r>
        <w:rPr>
          <w:rFonts w:hint="eastAsia" w:hAnsi="宋体"/>
          <w:szCs w:val="24"/>
        </w:rPr>
        <w:t>（4）如果在开标后规定的</w:t>
      </w:r>
      <w:r>
        <w:rPr>
          <w:rFonts w:hint="eastAsia" w:ascii="Times New Roman" w:hAnsi="Times New Roman"/>
          <w:szCs w:val="24"/>
        </w:rPr>
        <w:t>磋商响应</w:t>
      </w:r>
      <w:r>
        <w:rPr>
          <w:rFonts w:hint="eastAsia" w:hAnsi="宋体"/>
          <w:szCs w:val="24"/>
        </w:rPr>
        <w:t>有效期内撤回</w:t>
      </w:r>
      <w:r>
        <w:rPr>
          <w:rFonts w:hint="eastAsia" w:ascii="Times New Roman" w:hAnsi="Times New Roman"/>
          <w:szCs w:val="24"/>
        </w:rPr>
        <w:t>磋商响应</w:t>
      </w:r>
      <w:r>
        <w:rPr>
          <w:rFonts w:hint="eastAsia" w:hAnsi="宋体"/>
          <w:szCs w:val="24"/>
        </w:rPr>
        <w:t>或者有其他违约行为，可按相关法律法规进行处罚。</w:t>
      </w:r>
    </w:p>
    <w:p w14:paraId="586458A9">
      <w:pPr>
        <w:pStyle w:val="28"/>
        <w:spacing w:beforeLines="0" w:afterLines="0" w:line="360" w:lineRule="auto"/>
        <w:ind w:firstLine="360" w:firstLineChars="150"/>
        <w:rPr>
          <w:rFonts w:hAnsi="宋体"/>
          <w:szCs w:val="24"/>
        </w:rPr>
      </w:pPr>
      <w:r>
        <w:rPr>
          <w:rFonts w:hint="eastAsia" w:hAnsi="宋体"/>
          <w:szCs w:val="24"/>
        </w:rPr>
        <w:t>（5）同意向贵方提供贵方可能要求的与本</w:t>
      </w:r>
      <w:r>
        <w:rPr>
          <w:rFonts w:hint="eastAsia" w:ascii="Times New Roman" w:hAnsi="Times New Roman"/>
          <w:szCs w:val="24"/>
        </w:rPr>
        <w:t>磋商响应</w:t>
      </w:r>
      <w:r>
        <w:rPr>
          <w:rFonts w:hint="eastAsia" w:hAnsi="宋体"/>
          <w:szCs w:val="24"/>
        </w:rPr>
        <w:t>有关的任何数据或资料。</w:t>
      </w:r>
    </w:p>
    <w:p w14:paraId="50CF901F">
      <w:pPr>
        <w:pStyle w:val="28"/>
        <w:spacing w:beforeLines="0" w:afterLines="0" w:line="360" w:lineRule="auto"/>
        <w:ind w:firstLine="360" w:firstLineChars="150"/>
        <w:rPr>
          <w:rFonts w:hAnsi="宋体"/>
          <w:szCs w:val="24"/>
        </w:rPr>
      </w:pPr>
      <w:r>
        <w:rPr>
          <w:rFonts w:hint="eastAsia" w:hAnsi="宋体"/>
          <w:szCs w:val="24"/>
        </w:rPr>
        <w:t>（6）我们完全理解贵方不一定要接受最低报价或收到的任何</w:t>
      </w:r>
      <w:r>
        <w:rPr>
          <w:rFonts w:hint="eastAsia" w:ascii="Times New Roman" w:hAnsi="Times New Roman"/>
          <w:szCs w:val="24"/>
        </w:rPr>
        <w:t>磋商响应</w:t>
      </w:r>
      <w:r>
        <w:rPr>
          <w:rFonts w:hint="eastAsia" w:hAnsi="宋体"/>
          <w:szCs w:val="24"/>
        </w:rPr>
        <w:t>。</w:t>
      </w:r>
    </w:p>
    <w:p w14:paraId="0B5A160F">
      <w:pPr>
        <w:pStyle w:val="28"/>
        <w:spacing w:beforeLines="0" w:afterLines="0" w:line="360" w:lineRule="auto"/>
        <w:ind w:firstLine="420"/>
        <w:rPr>
          <w:rFonts w:hAnsi="宋体"/>
          <w:b/>
          <w:szCs w:val="24"/>
        </w:rPr>
      </w:pPr>
      <w:r>
        <w:rPr>
          <w:rFonts w:hint="eastAsia" w:hAnsi="宋体"/>
          <w:b/>
          <w:szCs w:val="24"/>
        </w:rPr>
        <w:t>与本磋商响应有关的正式通讯地址为：</w:t>
      </w:r>
    </w:p>
    <w:p w14:paraId="0A167129">
      <w:pPr>
        <w:pStyle w:val="28"/>
        <w:spacing w:beforeLines="0" w:afterLines="0" w:line="360" w:lineRule="auto"/>
        <w:ind w:firstLine="420"/>
        <w:rPr>
          <w:rFonts w:hAnsi="宋体"/>
          <w:szCs w:val="24"/>
        </w:rPr>
      </w:pPr>
      <w:r>
        <w:rPr>
          <w:rFonts w:hint="eastAsia" w:hAnsi="宋体"/>
          <w:szCs w:val="24"/>
        </w:rPr>
        <w:t>地址：___________邮政编码：__________</w:t>
      </w:r>
    </w:p>
    <w:p w14:paraId="3330F01B">
      <w:pPr>
        <w:pStyle w:val="28"/>
        <w:spacing w:beforeLines="0" w:afterLines="0" w:line="360" w:lineRule="auto"/>
        <w:ind w:firstLine="420"/>
        <w:rPr>
          <w:rFonts w:hAnsi="宋体"/>
          <w:szCs w:val="24"/>
        </w:rPr>
      </w:pPr>
      <w:r>
        <w:rPr>
          <w:rFonts w:hint="eastAsia" w:hAnsi="宋体"/>
          <w:szCs w:val="24"/>
        </w:rPr>
        <w:t>电话、传真：________________</w:t>
      </w:r>
    </w:p>
    <w:p w14:paraId="4C603142">
      <w:pPr>
        <w:pStyle w:val="28"/>
        <w:spacing w:beforeLines="0" w:afterLines="0" w:line="360" w:lineRule="auto"/>
        <w:ind w:firstLine="420"/>
        <w:rPr>
          <w:rFonts w:hAnsi="宋体"/>
          <w:szCs w:val="24"/>
        </w:rPr>
      </w:pPr>
      <w:r>
        <w:rPr>
          <w:rFonts w:hint="eastAsia" w:hAnsi="宋体"/>
          <w:szCs w:val="24"/>
        </w:rPr>
        <w:t>电子邮件：___________</w:t>
      </w:r>
    </w:p>
    <w:p w14:paraId="11D6BB06">
      <w:pPr>
        <w:pStyle w:val="28"/>
        <w:spacing w:beforeLines="0" w:afterLines="0" w:line="360" w:lineRule="auto"/>
        <w:ind w:firstLine="420"/>
        <w:rPr>
          <w:rFonts w:hAnsi="宋体"/>
          <w:szCs w:val="24"/>
        </w:rPr>
      </w:pPr>
      <w:r>
        <w:rPr>
          <w:rFonts w:hint="eastAsia" w:hAnsi="宋体"/>
          <w:szCs w:val="24"/>
        </w:rPr>
        <w:t>法定代表人或全权代表人签名：__________</w:t>
      </w:r>
    </w:p>
    <w:p w14:paraId="0FF6453B">
      <w:pPr>
        <w:pStyle w:val="28"/>
        <w:spacing w:beforeLines="0" w:afterLines="0" w:line="360" w:lineRule="auto"/>
        <w:ind w:firstLine="420"/>
        <w:rPr>
          <w:rFonts w:hAnsi="宋体"/>
          <w:szCs w:val="24"/>
        </w:rPr>
      </w:pPr>
      <w:r>
        <w:rPr>
          <w:rFonts w:hint="eastAsia" w:hAnsi="宋体"/>
          <w:szCs w:val="24"/>
        </w:rPr>
        <w:t>磋商响应人公章：_________________</w:t>
      </w:r>
    </w:p>
    <w:p w14:paraId="16728D2B">
      <w:pPr>
        <w:pStyle w:val="28"/>
        <w:spacing w:beforeLines="0" w:afterLines="0" w:line="360" w:lineRule="auto"/>
        <w:ind w:firstLine="420"/>
        <w:rPr>
          <w:rFonts w:hAnsi="宋体"/>
          <w:szCs w:val="24"/>
        </w:rPr>
      </w:pPr>
      <w:r>
        <w:rPr>
          <w:rFonts w:hint="eastAsia" w:hAnsi="宋体"/>
          <w:szCs w:val="24"/>
        </w:rPr>
        <w:t>日   期：__________________</w:t>
      </w:r>
    </w:p>
    <w:p w14:paraId="24E3FCC9">
      <w:pPr>
        <w:spacing w:line="480" w:lineRule="exact"/>
        <w:rPr>
          <w:rFonts w:ascii="宋体" w:hAnsi="宋体"/>
          <w:b/>
          <w:sz w:val="24"/>
        </w:rPr>
      </w:pPr>
    </w:p>
    <w:p w14:paraId="45D0DEE9">
      <w:pPr>
        <w:spacing w:line="360" w:lineRule="auto"/>
        <w:ind w:left="539" w:leftChars="257" w:firstLine="148" w:firstLineChars="62"/>
        <w:jc w:val="left"/>
        <w:rPr>
          <w:rFonts w:hAnsi="宋体"/>
          <w:sz w:val="24"/>
        </w:rPr>
      </w:pPr>
    </w:p>
    <w:p w14:paraId="74BBC199">
      <w:pPr>
        <w:snapToGrid w:val="0"/>
        <w:spacing w:before="50" w:after="156" w:afterLines="50" w:line="360" w:lineRule="auto"/>
        <w:jc w:val="left"/>
        <w:outlineLvl w:val="2"/>
        <w:rPr>
          <w:b/>
          <w:bCs/>
          <w:sz w:val="24"/>
        </w:rPr>
      </w:pPr>
      <w:r>
        <w:rPr>
          <w:b/>
          <w:sz w:val="24"/>
        </w:rPr>
        <w:br w:type="page"/>
      </w:r>
      <w:bookmarkStart w:id="28" w:name="_Toc449173147"/>
      <w:r>
        <w:rPr>
          <w:rFonts w:hint="eastAsia" w:ascii="宋体" w:hAnsi="宋体" w:cs="宋体"/>
          <w:b/>
          <w:sz w:val="24"/>
        </w:rPr>
        <w:t>3.2：</w:t>
      </w:r>
    </w:p>
    <w:p w14:paraId="12CBC258">
      <w:pPr>
        <w:snapToGrid w:val="0"/>
        <w:spacing w:before="50" w:after="156" w:afterLines="50"/>
        <w:jc w:val="center"/>
        <w:rPr>
          <w:rFonts w:ascii="宋体"/>
          <w:sz w:val="28"/>
          <w:szCs w:val="28"/>
        </w:rPr>
      </w:pPr>
      <w:r>
        <w:rPr>
          <w:rFonts w:hint="eastAsia" w:ascii="宋体" w:hAnsi="宋体" w:cs="宋体"/>
          <w:b/>
          <w:bCs/>
          <w:sz w:val="28"/>
          <w:szCs w:val="28"/>
        </w:rPr>
        <w:t>磋商初次报价一览表</w:t>
      </w:r>
    </w:p>
    <w:p w14:paraId="43CA5E64">
      <w:pPr>
        <w:snapToGrid w:val="0"/>
        <w:spacing w:before="50" w:after="50" w:line="360" w:lineRule="auto"/>
        <w:rPr>
          <w:rFonts w:ascii="宋体"/>
          <w:sz w:val="24"/>
        </w:rPr>
      </w:pPr>
      <w:r>
        <w:rPr>
          <w:rFonts w:hint="eastAsia" w:ascii="宋体"/>
          <w:sz w:val="24"/>
        </w:rPr>
        <w:t>磋商响应方名称：（盖章）</w:t>
      </w:r>
    </w:p>
    <w:p w14:paraId="6B4016C6">
      <w:pPr>
        <w:snapToGrid w:val="0"/>
        <w:spacing w:before="50" w:after="50" w:line="360" w:lineRule="auto"/>
        <w:rPr>
          <w:rFonts w:hint="eastAsia" w:ascii="宋体" w:hAnsi="宋体"/>
          <w:bCs/>
          <w:sz w:val="24"/>
          <w:u w:val="single"/>
          <w:lang w:eastAsia="zh-CN"/>
        </w:rPr>
      </w:pPr>
      <w:r>
        <w:rPr>
          <w:rFonts w:hint="eastAsia" w:ascii="宋体" w:hAnsi="宋体" w:cs="宋体"/>
          <w:bCs/>
          <w:sz w:val="24"/>
        </w:rPr>
        <w:t>磋商</w:t>
      </w:r>
      <w:r>
        <w:rPr>
          <w:rFonts w:hint="eastAsia" w:ascii="宋体"/>
          <w:sz w:val="24"/>
        </w:rPr>
        <w:t>编号：</w:t>
      </w:r>
      <w:r>
        <w:rPr>
          <w:rFonts w:hint="eastAsia" w:ascii="宋体" w:hAnsi="宋体"/>
          <w:bCs/>
          <w:sz w:val="24"/>
          <w:u w:val="single"/>
          <w:lang w:eastAsia="zh-CN"/>
        </w:rPr>
        <w:t>浙房东招2024002号</w:t>
      </w:r>
    </w:p>
    <w:p w14:paraId="56464249">
      <w:pPr>
        <w:snapToGrid w:val="0"/>
        <w:spacing w:before="50" w:after="50" w:line="360" w:lineRule="auto"/>
        <w:rPr>
          <w:rFonts w:ascii="宋体" w:hAnsi="宋体" w:cs="Arial"/>
          <w:sz w:val="24"/>
          <w:u w:val="single"/>
        </w:rPr>
      </w:pPr>
      <w:r>
        <w:rPr>
          <w:rFonts w:hint="eastAsia" w:ascii="宋体"/>
          <w:sz w:val="24"/>
        </w:rPr>
        <w:t>项目名称：</w:t>
      </w:r>
      <w:r>
        <w:rPr>
          <w:rFonts w:hint="eastAsia" w:ascii="宋体" w:hAnsi="宋体" w:cs="Arial"/>
          <w:sz w:val="24"/>
          <w:u w:val="single"/>
        </w:rPr>
        <w:t>“新鲜水果进校园，助力学生健康成长”服务采购项目</w:t>
      </w:r>
    </w:p>
    <w:p w14:paraId="69C500DA">
      <w:pPr>
        <w:snapToGrid w:val="0"/>
        <w:spacing w:before="50" w:after="50" w:line="360" w:lineRule="auto"/>
        <w:ind w:firstLine="2400" w:firstLineChars="1000"/>
        <w:rPr>
          <w:rFonts w:ascii="宋体" w:hAnsi="宋体"/>
          <w:color w:val="0D0D0D"/>
          <w:sz w:val="24"/>
        </w:rPr>
      </w:pPr>
      <w:r>
        <w:rPr>
          <w:rFonts w:hint="eastAsia" w:ascii="宋体" w:hAnsi="宋体" w:cs="宋体"/>
          <w:color w:val="000000"/>
          <w:sz w:val="24"/>
        </w:rPr>
        <w:t xml:space="preserve">                                             单位：</w:t>
      </w:r>
      <w:r>
        <w:rPr>
          <w:rFonts w:hint="eastAsia" w:ascii="宋体" w:hAnsi="宋体" w:cs="宋体"/>
          <w:sz w:val="24"/>
        </w:rPr>
        <w:t>%</w:t>
      </w:r>
    </w:p>
    <w:bookmarkEnd w:id="28"/>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4278"/>
        <w:gridCol w:w="2582"/>
        <w:gridCol w:w="1285"/>
      </w:tblGrid>
      <w:tr w14:paraId="74B3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3" w:type="pct"/>
            <w:tcBorders>
              <w:top w:val="single" w:color="auto" w:sz="4" w:space="0"/>
              <w:left w:val="single" w:color="auto" w:sz="4" w:space="0"/>
              <w:bottom w:val="single" w:color="auto" w:sz="4" w:space="0"/>
              <w:right w:val="single" w:color="auto" w:sz="4" w:space="0"/>
            </w:tcBorders>
            <w:vAlign w:val="center"/>
          </w:tcPr>
          <w:p w14:paraId="50BA4C5C">
            <w:pPr>
              <w:spacing w:line="360" w:lineRule="auto"/>
              <w:jc w:val="center"/>
              <w:rPr>
                <w:rFonts w:ascii="宋体" w:hAnsi="宋体"/>
                <w:sz w:val="24"/>
              </w:rPr>
            </w:pPr>
            <w:r>
              <w:rPr>
                <w:rFonts w:hint="eastAsia" w:ascii="宋体" w:hAnsi="宋体"/>
                <w:sz w:val="24"/>
              </w:rPr>
              <w:t>序号</w:t>
            </w:r>
          </w:p>
        </w:tc>
        <w:tc>
          <w:tcPr>
            <w:tcW w:w="2361" w:type="pct"/>
            <w:tcBorders>
              <w:top w:val="single" w:color="auto" w:sz="4" w:space="0"/>
              <w:left w:val="single" w:color="auto" w:sz="4" w:space="0"/>
              <w:bottom w:val="single" w:color="auto" w:sz="4" w:space="0"/>
              <w:right w:val="single" w:color="auto" w:sz="4" w:space="0"/>
            </w:tcBorders>
            <w:vAlign w:val="center"/>
          </w:tcPr>
          <w:p w14:paraId="15378E7E">
            <w:pPr>
              <w:spacing w:line="360" w:lineRule="auto"/>
              <w:jc w:val="center"/>
              <w:rPr>
                <w:rFonts w:ascii="宋体" w:hAnsi="宋体"/>
                <w:sz w:val="24"/>
              </w:rPr>
            </w:pPr>
            <w:r>
              <w:rPr>
                <w:rFonts w:hint="eastAsia" w:ascii="宋体" w:hAnsi="宋体"/>
                <w:sz w:val="24"/>
              </w:rPr>
              <w:t>服务项目名称</w:t>
            </w:r>
          </w:p>
        </w:tc>
        <w:tc>
          <w:tcPr>
            <w:tcW w:w="1425" w:type="pct"/>
            <w:tcBorders>
              <w:top w:val="single" w:color="auto" w:sz="4" w:space="0"/>
              <w:left w:val="single" w:color="auto" w:sz="4" w:space="0"/>
              <w:bottom w:val="single" w:color="auto" w:sz="4" w:space="0"/>
              <w:right w:val="single" w:color="auto" w:sz="4" w:space="0"/>
            </w:tcBorders>
            <w:vAlign w:val="center"/>
          </w:tcPr>
          <w:p w14:paraId="7EF677E8">
            <w:pPr>
              <w:spacing w:line="360" w:lineRule="auto"/>
              <w:jc w:val="center"/>
              <w:rPr>
                <w:sz w:val="24"/>
              </w:rPr>
            </w:pPr>
            <w:r>
              <w:rPr>
                <w:rFonts w:hint="eastAsia" w:ascii="宋体" w:hAnsi="宋体"/>
                <w:sz w:val="24"/>
              </w:rPr>
              <w:t>磋商报价</w:t>
            </w:r>
            <w:r>
              <w:rPr>
                <w:rFonts w:hint="eastAsia" w:ascii="宋体" w:hAnsi="宋体" w:cs="宋体"/>
                <w:sz w:val="24"/>
              </w:rPr>
              <w:t>折扣率</w:t>
            </w:r>
            <w:r>
              <w:rPr>
                <w:rFonts w:hint="eastAsia" w:ascii="宋体" w:hAnsi="宋体"/>
                <w:sz w:val="24"/>
              </w:rPr>
              <w:t>（%）</w:t>
            </w:r>
          </w:p>
        </w:tc>
        <w:tc>
          <w:tcPr>
            <w:tcW w:w="709" w:type="pct"/>
            <w:tcBorders>
              <w:top w:val="single" w:color="auto" w:sz="4" w:space="0"/>
              <w:left w:val="single" w:color="auto" w:sz="4" w:space="0"/>
              <w:bottom w:val="single" w:color="auto" w:sz="4" w:space="0"/>
              <w:right w:val="single" w:color="auto" w:sz="4" w:space="0"/>
            </w:tcBorders>
            <w:vAlign w:val="center"/>
          </w:tcPr>
          <w:p w14:paraId="41A99808">
            <w:pPr>
              <w:spacing w:line="360" w:lineRule="auto"/>
              <w:jc w:val="center"/>
              <w:rPr>
                <w:sz w:val="24"/>
              </w:rPr>
            </w:pPr>
            <w:r>
              <w:rPr>
                <w:rFonts w:hint="eastAsia" w:ascii="宋体" w:hAnsi="宋体"/>
                <w:sz w:val="24"/>
              </w:rPr>
              <w:t>服务期限</w:t>
            </w:r>
          </w:p>
        </w:tc>
      </w:tr>
      <w:tr w14:paraId="03CA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3" w:type="pct"/>
            <w:tcBorders>
              <w:top w:val="single" w:color="auto" w:sz="4" w:space="0"/>
              <w:left w:val="single" w:color="auto" w:sz="4" w:space="0"/>
              <w:bottom w:val="single" w:color="auto" w:sz="4" w:space="0"/>
              <w:right w:val="single" w:color="auto" w:sz="4" w:space="0"/>
            </w:tcBorders>
            <w:vAlign w:val="center"/>
          </w:tcPr>
          <w:p w14:paraId="0EAA2B29">
            <w:pPr>
              <w:snapToGrid w:val="0"/>
              <w:spacing w:before="50" w:after="50" w:line="360" w:lineRule="auto"/>
              <w:jc w:val="center"/>
            </w:pPr>
            <w:r>
              <w:rPr>
                <w:rFonts w:hint="eastAsia"/>
              </w:rPr>
              <w:t>1</w:t>
            </w:r>
          </w:p>
        </w:tc>
        <w:tc>
          <w:tcPr>
            <w:tcW w:w="2361" w:type="pct"/>
            <w:tcBorders>
              <w:top w:val="single" w:color="auto" w:sz="4" w:space="0"/>
              <w:left w:val="single" w:color="auto" w:sz="4" w:space="0"/>
              <w:bottom w:val="single" w:color="auto" w:sz="4" w:space="0"/>
              <w:right w:val="single" w:color="auto" w:sz="4" w:space="0"/>
            </w:tcBorders>
            <w:vAlign w:val="center"/>
          </w:tcPr>
          <w:p w14:paraId="1EF4F037">
            <w:pPr>
              <w:snapToGrid w:val="0"/>
              <w:spacing w:before="50" w:after="50" w:line="360" w:lineRule="auto"/>
              <w:jc w:val="center"/>
              <w:rPr>
                <w:rFonts w:ascii="宋体" w:hAnsi="宋体"/>
                <w:sz w:val="24"/>
              </w:rPr>
            </w:pPr>
            <w:r>
              <w:rPr>
                <w:rFonts w:hint="eastAsia" w:ascii="宋体" w:hAnsi="宋体" w:cs="Arial"/>
                <w:sz w:val="24"/>
              </w:rPr>
              <w:t>“新鲜水果进校园，助力学生健康成长”服务采购项目</w:t>
            </w:r>
          </w:p>
        </w:tc>
        <w:tc>
          <w:tcPr>
            <w:tcW w:w="1425" w:type="pct"/>
            <w:tcBorders>
              <w:top w:val="single" w:color="auto" w:sz="4" w:space="0"/>
              <w:left w:val="single" w:color="auto" w:sz="4" w:space="0"/>
              <w:bottom w:val="single" w:color="auto" w:sz="4" w:space="0"/>
              <w:right w:val="single" w:color="auto" w:sz="4" w:space="0"/>
            </w:tcBorders>
            <w:vAlign w:val="center"/>
          </w:tcPr>
          <w:p w14:paraId="31B69622">
            <w:pPr>
              <w:spacing w:line="360" w:lineRule="auto"/>
              <w:rPr>
                <w:rFonts w:ascii="宋体" w:hAnsi="宋体"/>
                <w:sz w:val="24"/>
              </w:rPr>
            </w:pPr>
          </w:p>
        </w:tc>
        <w:tc>
          <w:tcPr>
            <w:tcW w:w="709" w:type="pct"/>
            <w:tcBorders>
              <w:top w:val="single" w:color="auto" w:sz="4" w:space="0"/>
              <w:left w:val="single" w:color="auto" w:sz="4" w:space="0"/>
              <w:bottom w:val="single" w:color="auto" w:sz="4" w:space="0"/>
              <w:right w:val="single" w:color="auto" w:sz="4" w:space="0"/>
            </w:tcBorders>
            <w:vAlign w:val="center"/>
          </w:tcPr>
          <w:p w14:paraId="1F4111CD">
            <w:pPr>
              <w:spacing w:line="360" w:lineRule="auto"/>
              <w:rPr>
                <w:rFonts w:ascii="宋体" w:hAnsi="宋体"/>
                <w:sz w:val="24"/>
              </w:rPr>
            </w:pPr>
          </w:p>
        </w:tc>
      </w:tr>
    </w:tbl>
    <w:p w14:paraId="1FA5D3EC">
      <w:pPr>
        <w:spacing w:before="156" w:beforeLines="50" w:line="360" w:lineRule="auto"/>
        <w:rPr>
          <w:rFonts w:ascii="宋体" w:hAnsi="宋体" w:cs="宋体"/>
          <w:b/>
          <w:bCs/>
          <w:sz w:val="24"/>
          <w:u w:val="single"/>
        </w:rPr>
      </w:pPr>
    </w:p>
    <w:p w14:paraId="3175C483">
      <w:pPr>
        <w:spacing w:line="360" w:lineRule="auto"/>
        <w:jc w:val="left"/>
        <w:rPr>
          <w:rFonts w:ascii="宋体" w:hAnsi="宋体"/>
          <w:sz w:val="24"/>
        </w:rPr>
      </w:pPr>
      <w:r>
        <w:rPr>
          <w:rFonts w:ascii="宋体" w:hAnsi="宋体"/>
          <w:sz w:val="24"/>
        </w:rPr>
        <w:t>注：</w:t>
      </w:r>
      <w:r>
        <w:rPr>
          <w:rFonts w:hint="eastAsia" w:ascii="宋体" w:hAnsi="宋体"/>
          <w:sz w:val="24"/>
        </w:rPr>
        <w:t>1、磋商报价一栏必须填写，否则其磋商作无效标处理。</w:t>
      </w:r>
    </w:p>
    <w:p w14:paraId="5465F61B">
      <w:pPr>
        <w:spacing w:line="360" w:lineRule="auto"/>
        <w:ind w:firstLine="480" w:firstLineChars="200"/>
        <w:jc w:val="left"/>
        <w:rPr>
          <w:rFonts w:ascii="宋体" w:hAnsi="宋体"/>
          <w:sz w:val="24"/>
        </w:rPr>
      </w:pPr>
      <w:r>
        <w:rPr>
          <w:rFonts w:hint="eastAsia" w:ascii="宋体" w:hAnsi="宋体"/>
          <w:sz w:val="24"/>
        </w:rPr>
        <w:t>2、磋商报价一经涂改，应在涂改处加盖单位公章或者由法定代表人或授权委托人签字或盖章，否则其磋商作无效标处理</w:t>
      </w:r>
      <w:r>
        <w:rPr>
          <w:rFonts w:hint="eastAsia" w:ascii="宋体" w:hAnsi="宋体" w:cs="Arial"/>
          <w:bCs/>
          <w:sz w:val="24"/>
        </w:rPr>
        <w:t>；</w:t>
      </w:r>
    </w:p>
    <w:p w14:paraId="2156F14A">
      <w:pPr>
        <w:spacing w:line="360" w:lineRule="auto"/>
        <w:ind w:firstLine="480" w:firstLineChars="200"/>
        <w:rPr>
          <w:rFonts w:ascii="宋体" w:hAnsi="宋体" w:cs="宋体"/>
          <w:bCs/>
          <w:sz w:val="24"/>
        </w:rPr>
      </w:pPr>
      <w:r>
        <w:rPr>
          <w:rFonts w:hint="eastAsia" w:ascii="宋体" w:hAnsi="宋体"/>
          <w:sz w:val="24"/>
        </w:rPr>
        <w:t>3、</w:t>
      </w:r>
      <w:r>
        <w:rPr>
          <w:rFonts w:hint="eastAsia" w:ascii="宋体" w:hAnsi="宋体" w:cs="宋体"/>
          <w:sz w:val="24"/>
        </w:rPr>
        <w:t>磋商响应方的报价为整个采购项目的总报价，</w:t>
      </w:r>
      <w:r>
        <w:rPr>
          <w:rFonts w:hint="eastAsia" w:ascii="宋体" w:hAnsi="宋体" w:cs="宋体"/>
          <w:bCs/>
          <w:sz w:val="24"/>
        </w:rPr>
        <w:t>本次报价采用综合报价，应包括本次项目实施所需的设备、水果、日常经营、劳务、办公 、通信、劳保、福利、利润、税金、培训、奖罚措施、保险、管理政策性收费以及实施本项目所需的其他一切费用，供应商应列入而未列入其中的费用，均视为已包含在内，风险由供应商承担。</w:t>
      </w:r>
    </w:p>
    <w:p w14:paraId="78A4BEF4">
      <w:pPr>
        <w:spacing w:line="360" w:lineRule="auto"/>
        <w:ind w:firstLine="480" w:firstLineChars="200"/>
        <w:jc w:val="left"/>
        <w:rPr>
          <w:rFonts w:ascii="宋体" w:hAnsi="宋体"/>
          <w:sz w:val="24"/>
        </w:rPr>
      </w:pPr>
      <w:r>
        <w:rPr>
          <w:rFonts w:hint="eastAsia" w:ascii="宋体" w:hAnsi="宋体"/>
          <w:sz w:val="24"/>
        </w:rPr>
        <w:t>4、以上表格在不改变表式的情况下，可自行制作，项目服务时间必须填写。</w:t>
      </w:r>
    </w:p>
    <w:p w14:paraId="01DD7876">
      <w:pPr>
        <w:spacing w:line="360" w:lineRule="auto"/>
        <w:ind w:firstLine="240" w:firstLineChars="100"/>
        <w:rPr>
          <w:rFonts w:ascii="宋体" w:hAnsi="宋体" w:cs="宋体"/>
          <w:bCs/>
          <w:sz w:val="24"/>
        </w:rPr>
      </w:pPr>
    </w:p>
    <w:p w14:paraId="19E53F3F">
      <w:pPr>
        <w:spacing w:line="360" w:lineRule="auto"/>
        <w:ind w:firstLine="3240" w:firstLineChars="1350"/>
        <w:rPr>
          <w:rFonts w:ascii="宋体" w:hAnsi="宋体" w:cs="宋体"/>
          <w:spacing w:val="20"/>
          <w:sz w:val="24"/>
          <w:szCs w:val="22"/>
          <w:u w:val="single"/>
        </w:rPr>
      </w:pPr>
      <w:r>
        <w:rPr>
          <w:rFonts w:hint="eastAsia" w:ascii="宋体" w:hAnsi="宋体" w:cs="宋体"/>
          <w:sz w:val="24"/>
        </w:rPr>
        <w:t>磋商响应方代表</w:t>
      </w:r>
      <w:r>
        <w:rPr>
          <w:rFonts w:hint="eastAsia" w:ascii="宋体" w:hAnsi="宋体" w:cs="宋体"/>
          <w:spacing w:val="20"/>
          <w:sz w:val="24"/>
          <w:szCs w:val="22"/>
        </w:rPr>
        <w:t>签字或盖章：</w:t>
      </w:r>
      <w:r>
        <w:rPr>
          <w:rFonts w:hint="eastAsia" w:ascii="宋体" w:hAnsi="宋体" w:cs="宋体"/>
          <w:spacing w:val="20"/>
          <w:sz w:val="24"/>
          <w:szCs w:val="22"/>
          <w:u w:val="single"/>
        </w:rPr>
        <w:t xml:space="preserve">            </w:t>
      </w:r>
    </w:p>
    <w:p w14:paraId="01F23AEE">
      <w:pPr>
        <w:spacing w:line="360" w:lineRule="auto"/>
        <w:ind w:firstLine="560" w:firstLineChars="200"/>
        <w:rPr>
          <w:rFonts w:ascii="宋体" w:hAnsi="宋体" w:cs="宋体"/>
          <w:spacing w:val="20"/>
          <w:sz w:val="24"/>
          <w:szCs w:val="22"/>
          <w:u w:val="single"/>
        </w:rPr>
      </w:pPr>
      <w:r>
        <w:rPr>
          <w:rFonts w:hint="eastAsia" w:ascii="宋体" w:hAnsi="宋体" w:cs="宋体"/>
          <w:spacing w:val="20"/>
          <w:sz w:val="24"/>
          <w:szCs w:val="22"/>
        </w:rPr>
        <w:t xml:space="preserve">                           供应商盖章：</w:t>
      </w:r>
      <w:r>
        <w:rPr>
          <w:rFonts w:hint="eastAsia" w:ascii="宋体" w:hAnsi="宋体" w:cs="宋体"/>
          <w:spacing w:val="20"/>
          <w:sz w:val="24"/>
          <w:szCs w:val="22"/>
          <w:u w:val="single"/>
        </w:rPr>
        <w:t xml:space="preserve">            </w:t>
      </w:r>
    </w:p>
    <w:p w14:paraId="21C3FEFC">
      <w:pPr>
        <w:pStyle w:val="287"/>
        <w:spacing w:line="360" w:lineRule="auto"/>
        <w:ind w:firstLine="4760" w:firstLineChars="1700"/>
        <w:rPr>
          <w:rFonts w:ascii="宋体" w:hAnsi="宋体"/>
          <w:sz w:val="24"/>
        </w:rPr>
        <w:sectPr>
          <w:headerReference r:id="rId7" w:type="default"/>
          <w:footerReference r:id="rId8" w:type="default"/>
          <w:footerReference r:id="rId9" w:type="even"/>
          <w:pgSz w:w="11906" w:h="16838"/>
          <w:pgMar w:top="1361" w:right="1531" w:bottom="1361" w:left="1531" w:header="283" w:footer="992" w:gutter="0"/>
          <w:pgNumType w:fmt="numberInDash"/>
          <w:cols w:space="720" w:num="1"/>
          <w:docGrid w:type="linesAndChars" w:linePitch="312" w:charSpace="0"/>
        </w:sectPr>
      </w:pPr>
      <w:r>
        <w:rPr>
          <w:rFonts w:hint="eastAsia" w:ascii="宋体" w:hAnsi="宋体" w:cs="宋体"/>
          <w:spacing w:val="20"/>
          <w:sz w:val="24"/>
          <w:szCs w:val="22"/>
        </w:rPr>
        <w:t>日     期：</w:t>
      </w:r>
      <w:r>
        <w:rPr>
          <w:rFonts w:hint="eastAsia" w:ascii="宋体" w:hAnsi="宋体" w:cs="宋体"/>
          <w:spacing w:val="20"/>
          <w:sz w:val="24"/>
          <w:szCs w:val="22"/>
          <w:u w:val="single"/>
        </w:rPr>
        <w:t xml:space="preserve">           </w:t>
      </w:r>
    </w:p>
    <w:p w14:paraId="5366265D">
      <w:pPr>
        <w:spacing w:line="360" w:lineRule="auto"/>
        <w:jc w:val="center"/>
        <w:rPr>
          <w:rFonts w:ascii="黑体" w:eastAsia="黑体" w:cs="黑体"/>
          <w:sz w:val="36"/>
          <w:szCs w:val="36"/>
        </w:rPr>
      </w:pPr>
      <w:r>
        <w:rPr>
          <w:rFonts w:hint="eastAsia" w:ascii="宋体" w:hAnsi="宋体" w:cs="宋体"/>
          <w:b/>
          <w:bCs/>
          <w:sz w:val="36"/>
          <w:szCs w:val="36"/>
        </w:rPr>
        <w:t xml:space="preserve">第六章  </w:t>
      </w:r>
      <w:r>
        <w:rPr>
          <w:rFonts w:hint="eastAsia" w:ascii="黑体" w:eastAsia="黑体" w:cs="黑体"/>
          <w:sz w:val="36"/>
          <w:szCs w:val="36"/>
        </w:rPr>
        <w:t>政府采购合同主要条款</w:t>
      </w:r>
      <w:bookmarkStart w:id="29" w:name="_Toc414870806"/>
    </w:p>
    <w:p w14:paraId="133127E4">
      <w:pPr>
        <w:spacing w:line="360" w:lineRule="auto"/>
        <w:jc w:val="center"/>
        <w:rPr>
          <w:rFonts w:ascii="宋体" w:hAnsi="宋体" w:cs="宋体"/>
          <w:b/>
          <w:sz w:val="36"/>
          <w:szCs w:val="36"/>
        </w:rPr>
      </w:pPr>
      <w:r>
        <w:rPr>
          <w:rFonts w:hint="eastAsia" w:ascii="宋体" w:cs="宋体"/>
          <w:b/>
          <w:bCs/>
          <w:sz w:val="30"/>
          <w:szCs w:val="30"/>
        </w:rPr>
        <w:t>东阳市政府采购合同（样本）</w:t>
      </w:r>
      <w:bookmarkEnd w:id="29"/>
    </w:p>
    <w:p w14:paraId="4A6390BE">
      <w:pPr>
        <w:snapToGrid w:val="0"/>
        <w:spacing w:before="156" w:beforeLines="50" w:after="156" w:afterLines="50" w:line="360" w:lineRule="auto"/>
        <w:outlineLvl w:val="0"/>
        <w:rPr>
          <w:rFonts w:ascii="宋体" w:hAnsi="宋体" w:cs="Arial"/>
          <w:sz w:val="24"/>
          <w:u w:val="single"/>
        </w:rPr>
      </w:pPr>
      <w:r>
        <w:rPr>
          <w:rFonts w:hint="eastAsia" w:ascii="宋体" w:hAnsi="宋体"/>
          <w:sz w:val="24"/>
        </w:rPr>
        <w:t>项目名称：</w:t>
      </w:r>
      <w:r>
        <w:rPr>
          <w:rFonts w:hint="eastAsia" w:ascii="宋体" w:hAnsi="宋体" w:cs="Arial"/>
          <w:sz w:val="24"/>
          <w:u w:val="single"/>
        </w:rPr>
        <w:t>“新鲜水果进校园，助力学生健康成长”服务采购项目</w:t>
      </w:r>
    </w:p>
    <w:p w14:paraId="1EAF7307">
      <w:pPr>
        <w:snapToGrid w:val="0"/>
        <w:spacing w:before="156" w:beforeLines="50" w:after="156" w:afterLines="50" w:line="360" w:lineRule="auto"/>
        <w:outlineLvl w:val="0"/>
        <w:rPr>
          <w:rFonts w:hint="eastAsia" w:ascii="宋体" w:hAnsi="宋体" w:cs="宋体"/>
          <w:sz w:val="24"/>
          <w:lang w:eastAsia="zh-CN"/>
        </w:rPr>
      </w:pPr>
      <w:r>
        <w:rPr>
          <w:rFonts w:hint="eastAsia" w:ascii="宋体" w:hAnsi="宋体" w:cs="宋体"/>
          <w:sz w:val="24"/>
        </w:rPr>
        <w:t>项目编号：</w:t>
      </w:r>
      <w:r>
        <w:rPr>
          <w:rFonts w:hint="eastAsia" w:ascii="宋体" w:hAnsi="宋体" w:cs="宋体"/>
          <w:sz w:val="24"/>
          <w:lang w:eastAsia="zh-CN"/>
        </w:rPr>
        <w:t>浙房东招2024002号</w:t>
      </w:r>
    </w:p>
    <w:p w14:paraId="0ABE78FA">
      <w:pPr>
        <w:snapToGrid w:val="0"/>
        <w:spacing w:before="156" w:beforeLines="50" w:after="156" w:afterLines="50" w:line="360" w:lineRule="auto"/>
        <w:outlineLvl w:val="0"/>
        <w:rPr>
          <w:rFonts w:hAnsi="宋体"/>
          <w:sz w:val="24"/>
        </w:rPr>
      </w:pPr>
      <w:r>
        <w:rPr>
          <w:rFonts w:hint="eastAsia" w:hAnsi="宋体"/>
          <w:sz w:val="24"/>
        </w:rPr>
        <w:t>甲方（采购方）：</w:t>
      </w:r>
    </w:p>
    <w:p w14:paraId="46A47053">
      <w:pPr>
        <w:snapToGrid w:val="0"/>
        <w:spacing w:before="156" w:beforeLines="50" w:after="156" w:afterLines="50" w:line="360" w:lineRule="auto"/>
        <w:outlineLvl w:val="0"/>
        <w:rPr>
          <w:rFonts w:hAnsi="宋体"/>
          <w:sz w:val="24"/>
        </w:rPr>
      </w:pPr>
      <w:r>
        <w:rPr>
          <w:rFonts w:hint="eastAsia" w:hAnsi="宋体"/>
          <w:sz w:val="24"/>
        </w:rPr>
        <w:t>乙方（中标单位）：</w:t>
      </w:r>
    </w:p>
    <w:p w14:paraId="7C4EB677">
      <w:pPr>
        <w:pStyle w:val="28"/>
        <w:snapToGrid w:val="0"/>
        <w:spacing w:beforeLines="0" w:afterLines="0" w:line="360" w:lineRule="auto"/>
        <w:ind w:firstLine="480" w:firstLineChars="200"/>
        <w:rPr>
          <w:rFonts w:hAnsi="宋体"/>
          <w:szCs w:val="24"/>
        </w:rPr>
      </w:pPr>
      <w:r>
        <w:rPr>
          <w:rFonts w:hint="eastAsia" w:hAnsi="宋体" w:cs="宋体"/>
        </w:rPr>
        <w:t>根据</w:t>
      </w:r>
      <w:r>
        <w:rPr>
          <w:rFonts w:hint="eastAsia" w:hAnsi="宋体" w:cs="宋体"/>
          <w:u w:val="single"/>
        </w:rPr>
        <w:t>2024年</w:t>
      </w:r>
      <w:r>
        <w:rPr>
          <w:rFonts w:hint="eastAsia" w:hAnsi="宋体" w:cs="宋体"/>
          <w:u w:val="single"/>
          <w:lang w:val="en-US" w:eastAsia="zh-CN"/>
        </w:rPr>
        <w:t>11</w:t>
      </w:r>
      <w:r>
        <w:rPr>
          <w:rFonts w:hint="eastAsia" w:hAnsi="宋体" w:cs="宋体"/>
          <w:u w:val="single"/>
        </w:rPr>
        <w:t>月</w:t>
      </w:r>
      <w:r>
        <w:rPr>
          <w:rFonts w:hint="eastAsia" w:hAnsi="宋体" w:cs="宋体"/>
          <w:u w:val="single"/>
          <w:lang w:val="en-US" w:eastAsia="zh-CN"/>
        </w:rPr>
        <w:t>12</w:t>
      </w:r>
      <w:r>
        <w:rPr>
          <w:rFonts w:hint="eastAsia" w:hAnsi="宋体" w:cs="宋体"/>
          <w:u w:val="single"/>
        </w:rPr>
        <w:t>日</w:t>
      </w:r>
      <w:r>
        <w:rPr>
          <w:rFonts w:hint="eastAsia" w:hAnsi="宋体" w:cs="宋体"/>
          <w:lang w:eastAsia="zh-CN"/>
        </w:rPr>
        <w:t>浙江省房地产管理咨询有限公司</w:t>
      </w:r>
      <w:r>
        <w:rPr>
          <w:rFonts w:hint="eastAsia" w:hAnsi="宋体" w:cs="宋体"/>
        </w:rPr>
        <w:t>关于</w:t>
      </w:r>
      <w:r>
        <w:rPr>
          <w:rFonts w:hint="eastAsia" w:hAnsi="宋体" w:cs="Arial"/>
          <w:szCs w:val="24"/>
          <w:u w:val="single"/>
        </w:rPr>
        <w:t>“新鲜水果进校园，助力学生健康成长”服务采购项目</w:t>
      </w:r>
      <w:r>
        <w:rPr>
          <w:rFonts w:hint="eastAsia" w:hAnsi="宋体" w:cs="宋体"/>
        </w:rPr>
        <w:t>项目</w:t>
      </w:r>
      <w:r>
        <w:rPr>
          <w:rFonts w:hint="eastAsia" w:hAnsi="宋体"/>
          <w:szCs w:val="24"/>
        </w:rPr>
        <w:t>竞争性磋商的结果</w:t>
      </w:r>
      <w:r>
        <w:rPr>
          <w:rFonts w:hint="eastAsia" w:hAnsi="宋体" w:cs="宋体"/>
        </w:rPr>
        <w:t>，确定</w:t>
      </w:r>
      <w:r>
        <w:rPr>
          <w:rFonts w:hint="eastAsia" w:hAnsi="宋体" w:cs="宋体"/>
          <w:u w:val="single"/>
        </w:rPr>
        <w:t xml:space="preserve">       </w:t>
      </w:r>
      <w:r>
        <w:rPr>
          <w:rFonts w:hint="eastAsia" w:hAnsi="宋体"/>
          <w:color w:val="0D0D0D"/>
        </w:rPr>
        <w:t>为本项目的</w:t>
      </w:r>
      <w:r>
        <w:rPr>
          <w:rFonts w:hint="eastAsia" w:hAnsi="宋体"/>
        </w:rPr>
        <w:t>中标单位</w:t>
      </w:r>
      <w:r>
        <w:rPr>
          <w:rFonts w:hint="eastAsia" w:hAnsi="宋体" w:cs="宋体"/>
        </w:rPr>
        <w:t>。并经甲、乙双方进一步协商一致，签订本合同共同执行</w:t>
      </w:r>
      <w:r>
        <w:rPr>
          <w:rFonts w:hint="eastAsia" w:hAnsi="宋体" w:cs="宋体"/>
          <w:color w:val="000000"/>
        </w:rPr>
        <w:t>。</w:t>
      </w:r>
    </w:p>
    <w:p w14:paraId="626407AD">
      <w:pPr>
        <w:pStyle w:val="28"/>
        <w:snapToGrid w:val="0"/>
        <w:spacing w:beforeLines="0" w:afterLines="0" w:line="360" w:lineRule="auto"/>
        <w:ind w:firstLine="480" w:firstLineChars="200"/>
        <w:rPr>
          <w:rFonts w:hAnsi="宋体" w:cs="宋体"/>
          <w:b/>
          <w:bCs/>
          <w:szCs w:val="24"/>
        </w:rPr>
      </w:pPr>
      <w:r>
        <w:rPr>
          <w:rFonts w:hint="eastAsia" w:hAnsi="宋体" w:cs="宋体"/>
          <w:b/>
          <w:bCs/>
          <w:szCs w:val="24"/>
        </w:rPr>
        <w:t>一、合同文件：</w:t>
      </w:r>
      <w:r>
        <w:rPr>
          <w:rFonts w:hint="eastAsia" w:hAnsi="宋体" w:cs="宋体"/>
          <w:b/>
          <w:bCs/>
        </w:rPr>
        <w:t>磋商文件、磋商响应文件及磋商形成经双方确认的所有磋商资料都是构成本合同不可分割的一部分，与本合同具有同等法律效力</w:t>
      </w:r>
      <w:r>
        <w:rPr>
          <w:rFonts w:hint="eastAsia" w:hAnsi="宋体" w:cs="宋体"/>
          <w:b/>
          <w:bCs/>
          <w:szCs w:val="24"/>
        </w:rPr>
        <w:t>，如文件之间、文件与本合同之间有相互矛盾之处，以有利于甲方之解释为准。</w:t>
      </w:r>
    </w:p>
    <w:p w14:paraId="5A93FEB6">
      <w:pPr>
        <w:spacing w:line="360" w:lineRule="auto"/>
        <w:ind w:firstLine="480" w:firstLineChars="200"/>
        <w:rPr>
          <w:rFonts w:ascii="宋体" w:hAnsi="宋体" w:cs="宋体"/>
          <w:b/>
          <w:bCs/>
          <w:sz w:val="24"/>
        </w:rPr>
      </w:pPr>
      <w:r>
        <w:rPr>
          <w:rFonts w:hint="eastAsia" w:ascii="宋体" w:hAnsi="宋体" w:cs="宋体"/>
          <w:b/>
          <w:bCs/>
          <w:sz w:val="24"/>
        </w:rPr>
        <w:t>二、</w:t>
      </w:r>
      <w:r>
        <w:rPr>
          <w:rFonts w:hint="eastAsia" w:ascii="宋体" w:hAnsi="宋体" w:cs="宋体"/>
          <w:b/>
          <w:color w:val="0D0D0D"/>
          <w:sz w:val="24"/>
        </w:rPr>
        <w:t>采购</w:t>
      </w:r>
      <w:r>
        <w:rPr>
          <w:rFonts w:hint="eastAsia" w:ascii="宋体" w:hAnsi="宋体" w:cs="宋体"/>
          <w:b/>
          <w:sz w:val="24"/>
        </w:rPr>
        <w:t>内容及要求：</w:t>
      </w:r>
    </w:p>
    <w:p w14:paraId="293648F9">
      <w:pPr>
        <w:spacing w:line="360" w:lineRule="auto"/>
        <w:ind w:firstLine="480" w:firstLineChars="200"/>
        <w:rPr>
          <w:rFonts w:ascii="宋体" w:hAnsi="宋体" w:cs="宋体"/>
          <w:b/>
          <w:bCs/>
          <w:sz w:val="24"/>
        </w:rPr>
      </w:pPr>
      <w:r>
        <w:rPr>
          <w:rFonts w:hint="eastAsia" w:ascii="宋体" w:hAnsi="宋体" w:cs="宋体"/>
          <w:b/>
          <w:bCs/>
          <w:sz w:val="24"/>
        </w:rPr>
        <w:t>三、服务期限：</w:t>
      </w:r>
    </w:p>
    <w:p w14:paraId="339C9237">
      <w:pPr>
        <w:pStyle w:val="28"/>
        <w:spacing w:beforeLines="0" w:afterLines="0" w:line="360" w:lineRule="auto"/>
        <w:ind w:firstLine="480" w:firstLineChars="200"/>
        <w:rPr>
          <w:rFonts w:hAnsi="宋体" w:cs="宋体"/>
          <w:szCs w:val="24"/>
        </w:rPr>
      </w:pPr>
      <w:r>
        <w:rPr>
          <w:rFonts w:hint="eastAsia" w:hAnsi="宋体"/>
          <w:b/>
          <w:bCs/>
        </w:rPr>
        <w:t>四、合同金额</w:t>
      </w:r>
    </w:p>
    <w:p w14:paraId="0CB5A6B1">
      <w:pPr>
        <w:spacing w:line="360" w:lineRule="auto"/>
        <w:ind w:firstLine="480" w:firstLineChars="200"/>
        <w:rPr>
          <w:rFonts w:ascii="宋体" w:hAnsi="宋体" w:cs="宋体"/>
          <w:sz w:val="24"/>
        </w:rPr>
      </w:pPr>
      <w:r>
        <w:rPr>
          <w:rFonts w:hint="eastAsia" w:ascii="宋体" w:hAnsi="宋体" w:cs="宋体"/>
          <w:b/>
          <w:sz w:val="24"/>
        </w:rPr>
        <w:t>五、付款方式</w:t>
      </w:r>
    </w:p>
    <w:p w14:paraId="05016A65">
      <w:pPr>
        <w:spacing w:line="360" w:lineRule="auto"/>
        <w:ind w:firstLine="480" w:firstLineChars="200"/>
        <w:rPr>
          <w:rFonts w:ascii="宋体" w:hAnsi="宋体" w:cs="宋体"/>
          <w:b/>
          <w:sz w:val="24"/>
        </w:rPr>
      </w:pPr>
      <w:r>
        <w:rPr>
          <w:rFonts w:hint="eastAsia" w:ascii="宋体" w:hAnsi="宋体" w:cs="宋体"/>
          <w:b/>
          <w:sz w:val="24"/>
        </w:rPr>
        <w:t>六、技术资料</w:t>
      </w:r>
    </w:p>
    <w:p w14:paraId="231601F6">
      <w:pPr>
        <w:pStyle w:val="28"/>
        <w:spacing w:beforeLines="0" w:afterLines="0" w:line="360" w:lineRule="auto"/>
        <w:ind w:firstLine="480" w:firstLineChars="200"/>
        <w:rPr>
          <w:rFonts w:hAnsi="宋体"/>
        </w:rPr>
      </w:pPr>
      <w:r>
        <w:rPr>
          <w:rFonts w:hint="eastAsia" w:hAnsi="宋体"/>
        </w:rPr>
        <w:t>1、乙方应按</w:t>
      </w:r>
      <w:r>
        <w:rPr>
          <w:rFonts w:hint="eastAsia" w:hAnsi="宋体" w:cs="宋体"/>
          <w:bCs/>
        </w:rPr>
        <w:t>磋商</w:t>
      </w:r>
      <w:r>
        <w:rPr>
          <w:rFonts w:hint="eastAsia" w:hAnsi="宋体"/>
        </w:rPr>
        <w:t>文件规定的时间向甲方提供有关技术资料。</w:t>
      </w:r>
    </w:p>
    <w:p w14:paraId="4EA0F278">
      <w:pPr>
        <w:pStyle w:val="28"/>
        <w:spacing w:beforeLines="0" w:afterLines="0" w:line="360" w:lineRule="auto"/>
        <w:ind w:firstLine="480" w:firstLineChars="200"/>
        <w:rPr>
          <w:rFonts w:hAnsi="宋体"/>
        </w:rPr>
      </w:pPr>
      <w:r>
        <w:rPr>
          <w:rFonts w:hint="eastAsia" w:hAnsi="宋体"/>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334663BB">
      <w:pPr>
        <w:pStyle w:val="28"/>
        <w:spacing w:beforeLines="0" w:afterLines="0" w:line="360" w:lineRule="auto"/>
        <w:ind w:firstLine="480" w:firstLineChars="200"/>
        <w:rPr>
          <w:rFonts w:hAnsi="宋体"/>
          <w:b/>
          <w:bCs/>
        </w:rPr>
      </w:pPr>
      <w:r>
        <w:rPr>
          <w:rFonts w:hint="eastAsia" w:hAnsi="宋体"/>
          <w:b/>
          <w:bCs/>
        </w:rPr>
        <w:t>七、知识产权</w:t>
      </w:r>
    </w:p>
    <w:p w14:paraId="5B79756E">
      <w:pPr>
        <w:pStyle w:val="28"/>
        <w:spacing w:beforeLines="0" w:afterLines="0" w:line="360" w:lineRule="auto"/>
        <w:ind w:firstLine="480" w:firstLineChars="200"/>
        <w:rPr>
          <w:rFonts w:hAnsi="宋体"/>
          <w:b/>
          <w:bCs/>
        </w:rPr>
      </w:pPr>
      <w:r>
        <w:rPr>
          <w:rFonts w:hint="eastAsia" w:hAnsi="宋体"/>
        </w:rPr>
        <w:t>乙方应保证所提供的服务及任何部分均不会侵犯任何第三方的知识产权。</w:t>
      </w:r>
    </w:p>
    <w:p w14:paraId="5AB54127">
      <w:pPr>
        <w:pStyle w:val="28"/>
        <w:spacing w:beforeLines="0" w:afterLines="0" w:line="360" w:lineRule="auto"/>
        <w:ind w:firstLine="480" w:firstLineChars="200"/>
        <w:rPr>
          <w:rFonts w:hAnsi="宋体"/>
          <w:b/>
          <w:bCs/>
        </w:rPr>
      </w:pPr>
      <w:r>
        <w:rPr>
          <w:rFonts w:hint="eastAsia" w:hAnsi="宋体"/>
          <w:b/>
          <w:bCs/>
        </w:rPr>
        <w:t>八、履约保证金</w:t>
      </w:r>
    </w:p>
    <w:p w14:paraId="2716F8A9">
      <w:pPr>
        <w:spacing w:line="360" w:lineRule="auto"/>
        <w:ind w:firstLine="480" w:firstLineChars="200"/>
        <w:rPr>
          <w:rFonts w:ascii="宋体" w:hAnsi="宋体" w:cs="宋体"/>
          <w:sz w:val="24"/>
        </w:rPr>
      </w:pPr>
      <w:r>
        <w:rPr>
          <w:rFonts w:hint="eastAsia" w:ascii="宋体" w:hAnsi="宋体" w:cs="宋体"/>
          <w:sz w:val="24"/>
        </w:rPr>
        <w:t>本项目不设履约保证金。</w:t>
      </w:r>
    </w:p>
    <w:p w14:paraId="470E8CF4">
      <w:pPr>
        <w:spacing w:line="360" w:lineRule="auto"/>
        <w:ind w:firstLine="480" w:firstLineChars="200"/>
        <w:rPr>
          <w:rFonts w:ascii="宋体" w:hAnsi="宋体" w:cs="宋体"/>
          <w:b/>
          <w:bCs/>
          <w:sz w:val="24"/>
        </w:rPr>
      </w:pPr>
      <w:r>
        <w:rPr>
          <w:rFonts w:hint="eastAsia" w:ascii="宋体" w:hAnsi="宋体" w:cs="宋体"/>
          <w:b/>
          <w:bCs/>
          <w:sz w:val="24"/>
        </w:rPr>
        <w:t>九、税费</w:t>
      </w:r>
    </w:p>
    <w:p w14:paraId="467F7A21">
      <w:pPr>
        <w:widowControl/>
        <w:spacing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14:paraId="739444F7">
      <w:pPr>
        <w:pStyle w:val="28"/>
        <w:spacing w:beforeLines="0" w:afterLines="0" w:line="360" w:lineRule="auto"/>
        <w:ind w:firstLine="480" w:firstLineChars="200"/>
        <w:rPr>
          <w:rFonts w:hAnsi="宋体"/>
        </w:rPr>
      </w:pPr>
      <w:r>
        <w:rPr>
          <w:rFonts w:hint="eastAsia" w:hAnsi="宋体"/>
          <w:b/>
          <w:bCs/>
        </w:rPr>
        <w:t>十、</w:t>
      </w:r>
      <w:r>
        <w:rPr>
          <w:rFonts w:hint="eastAsia" w:hAnsi="宋体"/>
          <w:b/>
        </w:rPr>
        <w:t>质量保证及后续服务</w:t>
      </w:r>
    </w:p>
    <w:p w14:paraId="2382F33E">
      <w:pPr>
        <w:pStyle w:val="28"/>
        <w:spacing w:beforeLines="0" w:afterLines="0" w:line="360" w:lineRule="auto"/>
        <w:ind w:firstLine="480" w:firstLineChars="200"/>
        <w:rPr>
          <w:rFonts w:hAnsi="宋体"/>
        </w:rPr>
      </w:pPr>
      <w:r>
        <w:rPr>
          <w:rFonts w:hint="eastAsia" w:hAnsi="宋体"/>
        </w:rPr>
        <w:t>1、乙方应按</w:t>
      </w:r>
      <w:r>
        <w:rPr>
          <w:rFonts w:hint="eastAsia" w:hAnsi="宋体" w:cs="宋体"/>
          <w:bCs/>
        </w:rPr>
        <w:t>磋商</w:t>
      </w:r>
      <w:r>
        <w:rPr>
          <w:rFonts w:hint="eastAsia" w:hAnsi="宋体"/>
        </w:rPr>
        <w:t>文件规定向甲方提供服务。</w:t>
      </w:r>
    </w:p>
    <w:p w14:paraId="081FA13A">
      <w:pPr>
        <w:pStyle w:val="28"/>
        <w:spacing w:beforeLines="0" w:afterLines="0" w:line="360" w:lineRule="auto"/>
        <w:ind w:firstLine="480" w:firstLineChars="200"/>
        <w:rPr>
          <w:rFonts w:hAnsi="宋体"/>
        </w:rPr>
      </w:pPr>
      <w:r>
        <w:rPr>
          <w:rFonts w:hint="eastAsia" w:hAnsi="宋体"/>
        </w:rPr>
        <w:t>2、乙方提供的服务成果在服务质量保证期内发生故障，乙方应负责免费提供后续服务。对达不到要求者，根据实际情况，经双方协商，可按以下办法处理：</w:t>
      </w:r>
    </w:p>
    <w:p w14:paraId="604E0390">
      <w:pPr>
        <w:pStyle w:val="28"/>
        <w:spacing w:beforeLines="0" w:afterLines="0" w:line="360" w:lineRule="auto"/>
        <w:ind w:firstLine="480" w:firstLineChars="200"/>
        <w:rPr>
          <w:rFonts w:hAnsi="宋体"/>
        </w:rPr>
      </w:pPr>
      <w:r>
        <w:rPr>
          <w:rFonts w:hint="eastAsia" w:hAnsi="宋体"/>
        </w:rPr>
        <w:t>（1）重做：由乙方承担所发生的全部费用。</w:t>
      </w:r>
    </w:p>
    <w:p w14:paraId="479DE1B3">
      <w:pPr>
        <w:pStyle w:val="28"/>
        <w:spacing w:beforeLines="0" w:afterLines="0" w:line="360" w:lineRule="auto"/>
        <w:ind w:firstLine="480" w:firstLineChars="200"/>
        <w:rPr>
          <w:rFonts w:hAnsi="宋体"/>
        </w:rPr>
      </w:pPr>
      <w:r>
        <w:rPr>
          <w:rFonts w:hint="eastAsia" w:hAnsi="宋体"/>
        </w:rPr>
        <w:t>（2）解除合同。</w:t>
      </w:r>
    </w:p>
    <w:p w14:paraId="2D8B0F3F">
      <w:pPr>
        <w:pStyle w:val="28"/>
        <w:spacing w:beforeLines="0" w:afterLines="0" w:line="360" w:lineRule="auto"/>
        <w:ind w:firstLine="480" w:firstLineChars="200"/>
        <w:rPr>
          <w:rFonts w:hAnsi="宋体"/>
        </w:rPr>
      </w:pPr>
      <w:r>
        <w:rPr>
          <w:rFonts w:hint="eastAsia" w:hAnsi="宋体"/>
        </w:rPr>
        <w:t>3、如在使用过程中发生问题，乙方在接到甲方通知后</w:t>
      </w:r>
      <w:r>
        <w:rPr>
          <w:rFonts w:hint="eastAsia" w:hAnsi="宋体"/>
          <w:u w:val="single"/>
        </w:rPr>
        <w:t xml:space="preserve"> 1 </w:t>
      </w:r>
      <w:r>
        <w:rPr>
          <w:rFonts w:hint="eastAsia" w:hAnsi="宋体"/>
        </w:rPr>
        <w:t>小时内到达甲方现场。</w:t>
      </w:r>
    </w:p>
    <w:p w14:paraId="63566E31">
      <w:pPr>
        <w:pStyle w:val="28"/>
        <w:spacing w:beforeLines="0" w:afterLines="0" w:line="360" w:lineRule="auto"/>
        <w:ind w:firstLine="480" w:firstLineChars="200"/>
        <w:rPr>
          <w:rFonts w:hAnsi="宋体"/>
          <w:b/>
          <w:bCs/>
        </w:rPr>
      </w:pPr>
      <w:r>
        <w:rPr>
          <w:rFonts w:hint="eastAsia" w:hAnsi="宋体"/>
        </w:rPr>
        <w:t>4、在</w:t>
      </w:r>
      <w:r>
        <w:rPr>
          <w:rFonts w:hint="eastAsia" w:hAnsi="宋体"/>
          <w:b/>
        </w:rPr>
        <w:t>服务质量保证期</w:t>
      </w:r>
      <w:r>
        <w:rPr>
          <w:rFonts w:hint="eastAsia" w:hAnsi="宋体"/>
        </w:rPr>
        <w:t>内，乙方应对出现的质量及安全问题负责处理解决并承担一切费用。</w:t>
      </w:r>
    </w:p>
    <w:p w14:paraId="13E7447C">
      <w:pPr>
        <w:pStyle w:val="28"/>
        <w:spacing w:beforeLines="0" w:afterLines="0" w:line="360" w:lineRule="auto"/>
        <w:ind w:firstLine="480" w:firstLineChars="200"/>
        <w:rPr>
          <w:rFonts w:hAnsi="宋体"/>
          <w:b/>
          <w:bCs/>
        </w:rPr>
      </w:pPr>
      <w:r>
        <w:rPr>
          <w:rFonts w:hint="eastAsia" w:hAnsi="宋体"/>
          <w:b/>
          <w:bCs/>
        </w:rPr>
        <w:t>十一、违约责任：</w:t>
      </w:r>
    </w:p>
    <w:p w14:paraId="28DD1E3B">
      <w:pPr>
        <w:pStyle w:val="28"/>
        <w:spacing w:beforeLines="0" w:afterLines="0" w:line="360" w:lineRule="auto"/>
        <w:ind w:firstLine="480" w:firstLineChars="200"/>
        <w:rPr>
          <w:rFonts w:hAnsi="宋体"/>
        </w:rPr>
      </w:pPr>
      <w:r>
        <w:rPr>
          <w:rFonts w:hint="eastAsia" w:hAnsi="宋体"/>
        </w:rPr>
        <w:t>1、甲方无正当理由拒收接受服务的，甲方向乙方偿付合同款项百分之五作为违约金。</w:t>
      </w:r>
    </w:p>
    <w:p w14:paraId="2A375C8A">
      <w:pPr>
        <w:pStyle w:val="28"/>
        <w:spacing w:beforeLines="0" w:afterLines="0" w:line="360" w:lineRule="auto"/>
        <w:ind w:firstLine="480" w:firstLineChars="200"/>
        <w:rPr>
          <w:rFonts w:hAnsi="宋体"/>
        </w:rPr>
      </w:pPr>
      <w:r>
        <w:rPr>
          <w:rFonts w:hint="eastAsia" w:hAnsi="宋体"/>
        </w:rPr>
        <w:t>2、甲方无故逾期验收和办理款项支付手续的,甲方应按逾期付款总额每日万分之五向乙方支付违约金。</w:t>
      </w:r>
    </w:p>
    <w:p w14:paraId="622CE10B">
      <w:pPr>
        <w:pStyle w:val="28"/>
        <w:spacing w:beforeLines="0" w:afterLines="0" w:line="360" w:lineRule="auto"/>
        <w:ind w:firstLine="480" w:firstLineChars="200"/>
        <w:rPr>
          <w:rFonts w:hAnsi="宋体"/>
        </w:rPr>
      </w:pPr>
      <w:r>
        <w:rPr>
          <w:rFonts w:hint="eastAsia" w:hAnsi="宋体"/>
        </w:rPr>
        <w:t>3、乙方未能如期提供服务的，每日向甲方支付合同款项的千分之六作为违约金。乙方超过约定日期10个工作日仍不能提供服务，甲方可解除本合同。乙方因未能如期提供服务或因其他违约行为导致甲方解除合同的，乙方应向甲方支付合同总值5%的违约金，如造成甲方损失超过违约金的，超出部分由乙方继续承担赔偿任。</w:t>
      </w:r>
    </w:p>
    <w:p w14:paraId="48F6F6C8">
      <w:pPr>
        <w:pStyle w:val="28"/>
        <w:spacing w:beforeLines="0" w:afterLines="0" w:line="360" w:lineRule="auto"/>
        <w:ind w:firstLine="480" w:firstLineChars="200"/>
        <w:rPr>
          <w:rFonts w:hAnsi="宋体"/>
          <w:b/>
        </w:rPr>
      </w:pPr>
      <w:r>
        <w:rPr>
          <w:rFonts w:hint="eastAsia" w:hAnsi="宋体"/>
          <w:b/>
          <w:bCs/>
        </w:rPr>
        <w:t>十二、</w:t>
      </w:r>
      <w:r>
        <w:rPr>
          <w:rFonts w:hint="eastAsia" w:hAnsi="宋体"/>
          <w:b/>
        </w:rPr>
        <w:t>不可抗力事件处理</w:t>
      </w:r>
    </w:p>
    <w:p w14:paraId="47CA284D">
      <w:pPr>
        <w:pStyle w:val="28"/>
        <w:spacing w:beforeLines="0" w:afterLines="0" w:line="360" w:lineRule="auto"/>
        <w:ind w:firstLine="480" w:firstLineChars="200"/>
        <w:rPr>
          <w:rFonts w:hAnsi="宋体"/>
        </w:rPr>
      </w:pPr>
      <w:r>
        <w:rPr>
          <w:rFonts w:hint="eastAsia" w:hAnsi="宋体"/>
        </w:rPr>
        <w:t>1、在合同有效期内，任何一方因不可抗力事件导致不能履行合同，则合同履行期可延长，其延长期与不可抗力影响期相同。</w:t>
      </w:r>
    </w:p>
    <w:p w14:paraId="3FC5CA09">
      <w:pPr>
        <w:pStyle w:val="28"/>
        <w:spacing w:beforeLines="0" w:afterLines="0" w:line="360" w:lineRule="auto"/>
        <w:ind w:firstLine="480" w:firstLineChars="200"/>
        <w:rPr>
          <w:rFonts w:hAnsi="宋体"/>
        </w:rPr>
      </w:pPr>
      <w:r>
        <w:rPr>
          <w:rFonts w:hint="eastAsia" w:hAnsi="宋体"/>
        </w:rPr>
        <w:t>2、不可抗力事件发生后，应立即通知对方，并寄送有关权威机构出具的证明。</w:t>
      </w:r>
    </w:p>
    <w:p w14:paraId="27067A32">
      <w:pPr>
        <w:pStyle w:val="28"/>
        <w:spacing w:beforeLines="0" w:afterLines="0" w:line="360" w:lineRule="auto"/>
        <w:ind w:firstLine="480" w:firstLineChars="200"/>
        <w:rPr>
          <w:rFonts w:hAnsi="宋体"/>
        </w:rPr>
      </w:pPr>
      <w:r>
        <w:rPr>
          <w:rFonts w:hint="eastAsia" w:hAnsi="宋体"/>
        </w:rPr>
        <w:t>3、不可抗力事件延续120天以上，双方应通过友好协商，确定是否继续履行合同。</w:t>
      </w:r>
    </w:p>
    <w:p w14:paraId="0069A697">
      <w:pPr>
        <w:pStyle w:val="28"/>
        <w:spacing w:beforeLines="0" w:afterLines="0" w:line="360" w:lineRule="auto"/>
        <w:ind w:firstLine="480" w:firstLineChars="200"/>
        <w:rPr>
          <w:rFonts w:hAnsi="宋体"/>
          <w:b/>
        </w:rPr>
      </w:pPr>
      <w:r>
        <w:rPr>
          <w:rFonts w:hint="eastAsia" w:hAnsi="宋体"/>
          <w:b/>
          <w:bCs/>
        </w:rPr>
        <w:t>十三、</w:t>
      </w:r>
      <w:r>
        <w:rPr>
          <w:rFonts w:hint="eastAsia" w:hAnsi="宋体"/>
          <w:b/>
        </w:rPr>
        <w:t>诉讼</w:t>
      </w:r>
    </w:p>
    <w:p w14:paraId="01B3D41F">
      <w:pPr>
        <w:pStyle w:val="28"/>
        <w:spacing w:beforeLines="0" w:afterLines="0" w:line="360" w:lineRule="auto"/>
        <w:ind w:firstLine="480" w:firstLineChars="200"/>
        <w:rPr>
          <w:rFonts w:hAnsi="宋体"/>
          <w:b/>
          <w:bCs/>
        </w:rPr>
      </w:pPr>
      <w:r>
        <w:rPr>
          <w:rFonts w:hint="eastAsia" w:hAnsi="宋体"/>
          <w:b/>
          <w:bCs/>
        </w:rPr>
        <w:t>本合同发生争议，双方协商解决，协商不成由东阳市人民法院受理。</w:t>
      </w:r>
    </w:p>
    <w:p w14:paraId="34505A70">
      <w:pPr>
        <w:pStyle w:val="28"/>
        <w:spacing w:beforeLines="0" w:afterLines="0" w:line="360" w:lineRule="auto"/>
        <w:ind w:firstLine="480" w:firstLineChars="200"/>
        <w:rPr>
          <w:rFonts w:hAnsi="宋体"/>
          <w:b/>
          <w:bCs/>
          <w:color w:val="000000"/>
        </w:rPr>
      </w:pPr>
      <w:r>
        <w:rPr>
          <w:rFonts w:hint="eastAsia" w:hAnsi="宋体"/>
          <w:b/>
          <w:bCs/>
          <w:color w:val="000000"/>
        </w:rPr>
        <w:t>十四、合同生效</w:t>
      </w:r>
    </w:p>
    <w:p w14:paraId="442EDEE7">
      <w:pPr>
        <w:pStyle w:val="28"/>
        <w:spacing w:beforeLines="0" w:afterLines="0" w:line="360" w:lineRule="auto"/>
        <w:ind w:firstLine="480" w:firstLineChars="200"/>
        <w:rPr>
          <w:rFonts w:hAnsi="宋体"/>
          <w:color w:val="000000"/>
        </w:rPr>
      </w:pPr>
      <w:r>
        <w:rPr>
          <w:rFonts w:hint="eastAsia" w:hAnsi="宋体"/>
          <w:color w:val="000000"/>
        </w:rPr>
        <w:t>1.合同经双方法定代表人或授权代表签字并加盖单位公章</w:t>
      </w:r>
      <w:r>
        <w:rPr>
          <w:rFonts w:hint="eastAsia" w:hAnsi="宋体"/>
        </w:rPr>
        <w:t>后生效</w:t>
      </w:r>
      <w:r>
        <w:rPr>
          <w:rFonts w:hint="eastAsia" w:hAnsi="宋体"/>
          <w:color w:val="000000"/>
        </w:rPr>
        <w:t>。</w:t>
      </w:r>
    </w:p>
    <w:p w14:paraId="687582A5">
      <w:pPr>
        <w:pStyle w:val="28"/>
        <w:spacing w:beforeLines="0" w:afterLines="0" w:line="360" w:lineRule="auto"/>
        <w:ind w:firstLine="480" w:firstLineChars="200"/>
        <w:rPr>
          <w:rFonts w:hAnsi="宋体"/>
          <w:color w:val="000000"/>
        </w:rPr>
      </w:pPr>
      <w:r>
        <w:rPr>
          <w:rFonts w:hint="eastAsia" w:hAnsi="宋体"/>
          <w:color w:val="000000"/>
        </w:rPr>
        <w:t>2.合同执行中涉及采购资金和采购内容修改或补充的，须经审批，并签书面补充协议备案，方可作为主合同不可分割的一部分。</w:t>
      </w:r>
    </w:p>
    <w:p w14:paraId="453011F5">
      <w:pPr>
        <w:pStyle w:val="28"/>
        <w:spacing w:beforeLines="0" w:afterLines="0" w:line="360" w:lineRule="auto"/>
        <w:ind w:firstLine="480" w:firstLineChars="200"/>
        <w:rPr>
          <w:rFonts w:hAnsi="宋体"/>
          <w:color w:val="000000"/>
        </w:rPr>
      </w:pPr>
      <w:r>
        <w:rPr>
          <w:rFonts w:hint="eastAsia" w:hAnsi="宋体"/>
          <w:color w:val="000000"/>
        </w:rPr>
        <w:t>3.本合同未尽事宜，遵照《中华人民共和国民法典》有关条文执行。</w:t>
      </w:r>
    </w:p>
    <w:p w14:paraId="32DF9D11">
      <w:pPr>
        <w:pStyle w:val="28"/>
        <w:spacing w:beforeLines="0" w:afterLines="0" w:line="360" w:lineRule="auto"/>
        <w:ind w:firstLine="480" w:firstLineChars="200"/>
        <w:rPr>
          <w:rFonts w:hAnsi="宋体"/>
          <w:b/>
        </w:rPr>
      </w:pPr>
      <w:r>
        <w:rPr>
          <w:rFonts w:hint="eastAsia" w:hAnsi="宋体"/>
          <w:color w:val="000000"/>
        </w:rPr>
        <w:t>4.本合同正本一式五份，具有同等法律效力，甲乙双方各执二份；采购代理机构存档一份。</w:t>
      </w:r>
    </w:p>
    <w:p w14:paraId="4D9BE4FC">
      <w:pPr>
        <w:snapToGrid w:val="0"/>
        <w:spacing w:line="460" w:lineRule="exact"/>
        <w:jc w:val="left"/>
        <w:rPr>
          <w:rFonts w:ascii="宋体" w:hAnsi="宋体" w:cs="宋体"/>
          <w:sz w:val="24"/>
        </w:rPr>
      </w:pPr>
    </w:p>
    <w:p w14:paraId="30857A21">
      <w:pPr>
        <w:spacing w:line="460" w:lineRule="exact"/>
        <w:rPr>
          <w:rFonts w:ascii="宋体" w:hAnsi="宋体" w:cs="宋体"/>
          <w:sz w:val="24"/>
        </w:rPr>
      </w:pPr>
      <w:r>
        <w:rPr>
          <w:rFonts w:hint="eastAsia" w:ascii="宋体" w:hAnsi="宋体" w:cs="宋体"/>
          <w:sz w:val="24"/>
        </w:rPr>
        <w:t>甲方（公章）：                      乙方（公章）：</w:t>
      </w:r>
    </w:p>
    <w:p w14:paraId="3D67C639">
      <w:pPr>
        <w:spacing w:line="460" w:lineRule="exact"/>
        <w:rPr>
          <w:rFonts w:ascii="宋体" w:hAnsi="宋体" w:cs="宋体"/>
          <w:sz w:val="24"/>
        </w:rPr>
      </w:pPr>
      <w:r>
        <w:rPr>
          <w:rFonts w:hint="eastAsia" w:ascii="宋体" w:hAnsi="宋体" w:cs="宋体"/>
          <w:sz w:val="24"/>
        </w:rPr>
        <w:t>法定代表人或委托人                  法定代表人或委托人</w:t>
      </w:r>
    </w:p>
    <w:p w14:paraId="7143C06A">
      <w:pPr>
        <w:spacing w:line="460" w:lineRule="exact"/>
        <w:rPr>
          <w:rFonts w:ascii="宋体" w:hAnsi="宋体" w:cs="宋体"/>
          <w:sz w:val="24"/>
        </w:rPr>
      </w:pPr>
      <w:r>
        <w:rPr>
          <w:rFonts w:hint="eastAsia" w:ascii="宋体" w:hAnsi="宋体" w:cs="宋体"/>
          <w:sz w:val="24"/>
        </w:rPr>
        <w:t>（签字）                            （签字）</w:t>
      </w:r>
    </w:p>
    <w:p w14:paraId="0AB0F4D9">
      <w:pPr>
        <w:spacing w:line="460" w:lineRule="exact"/>
        <w:rPr>
          <w:rFonts w:ascii="宋体" w:hAnsi="宋体" w:cs="宋体"/>
          <w:sz w:val="24"/>
        </w:rPr>
      </w:pPr>
      <w:r>
        <w:rPr>
          <w:rFonts w:hint="eastAsia" w:ascii="宋体" w:hAnsi="宋体" w:cs="宋体"/>
          <w:sz w:val="24"/>
        </w:rPr>
        <w:t>电话：                              电话：</w:t>
      </w:r>
    </w:p>
    <w:p w14:paraId="5ED7905F">
      <w:pPr>
        <w:spacing w:line="460" w:lineRule="exact"/>
        <w:rPr>
          <w:rFonts w:ascii="宋体" w:hAnsi="宋体" w:cs="宋体"/>
          <w:sz w:val="24"/>
        </w:rPr>
      </w:pPr>
    </w:p>
    <w:p w14:paraId="794F537E">
      <w:pPr>
        <w:spacing w:line="460" w:lineRule="exact"/>
        <w:rPr>
          <w:rFonts w:hint="eastAsia" w:ascii="宋体" w:hAnsi="宋体" w:eastAsia="宋体" w:cs="宋体"/>
          <w:bCs/>
          <w:sz w:val="24"/>
          <w:lang w:eastAsia="zh-CN"/>
        </w:rPr>
      </w:pPr>
      <w:r>
        <w:rPr>
          <w:rFonts w:hint="eastAsia" w:ascii="宋体" w:hAnsi="宋体" w:cs="宋体"/>
          <w:bCs/>
          <w:sz w:val="24"/>
        </w:rPr>
        <w:t>磋商代理机构（公章）：</w:t>
      </w:r>
      <w:r>
        <w:rPr>
          <w:rFonts w:hint="eastAsia" w:ascii="宋体" w:hAnsi="宋体" w:cs="宋体"/>
          <w:bCs/>
          <w:sz w:val="24"/>
          <w:lang w:eastAsia="zh-CN"/>
        </w:rPr>
        <w:t>浙江省房地产管理咨询有限公司</w:t>
      </w:r>
    </w:p>
    <w:p w14:paraId="669B685B">
      <w:pPr>
        <w:spacing w:line="460" w:lineRule="exact"/>
        <w:rPr>
          <w:rFonts w:ascii="宋体" w:hAnsi="宋体" w:cs="宋体"/>
          <w:bCs/>
          <w:sz w:val="24"/>
        </w:rPr>
      </w:pPr>
      <w:r>
        <w:rPr>
          <w:rFonts w:hint="eastAsia" w:ascii="宋体" w:hAnsi="宋体" w:cs="宋体"/>
          <w:bCs/>
          <w:sz w:val="24"/>
        </w:rPr>
        <w:t xml:space="preserve">法定代表人或委托人         </w:t>
      </w:r>
    </w:p>
    <w:p w14:paraId="5D2B1911">
      <w:pPr>
        <w:spacing w:line="460" w:lineRule="exact"/>
        <w:rPr>
          <w:rFonts w:ascii="宋体" w:hAnsi="宋体" w:cs="宋体"/>
          <w:sz w:val="24"/>
        </w:rPr>
      </w:pPr>
      <w:r>
        <w:rPr>
          <w:rFonts w:hint="eastAsia" w:ascii="宋体" w:hAnsi="宋体" w:cs="宋体"/>
          <w:sz w:val="24"/>
        </w:rPr>
        <w:t xml:space="preserve">（签字）                            </w:t>
      </w:r>
    </w:p>
    <w:p w14:paraId="4C09ACF2">
      <w:pPr>
        <w:spacing w:line="460" w:lineRule="exact"/>
        <w:rPr>
          <w:rFonts w:ascii="宋体" w:hAnsi="宋体" w:cs="宋体"/>
          <w:sz w:val="24"/>
        </w:rPr>
      </w:pPr>
    </w:p>
    <w:p w14:paraId="6233CF4A">
      <w:pPr>
        <w:spacing w:line="460" w:lineRule="exact"/>
        <w:rPr>
          <w:rFonts w:ascii="宋体" w:hAnsi="宋体" w:cs="宋体"/>
          <w:sz w:val="24"/>
        </w:rPr>
      </w:pPr>
      <w:r>
        <w:rPr>
          <w:rFonts w:hint="eastAsia" w:ascii="宋体" w:hAnsi="宋体" w:cs="宋体"/>
          <w:sz w:val="24"/>
        </w:rPr>
        <w:t>签约时间：    年   月   日              签约地点：</w:t>
      </w:r>
    </w:p>
    <w:p w14:paraId="43FD1820">
      <w:pPr>
        <w:pStyle w:val="28"/>
        <w:snapToGrid w:val="0"/>
        <w:spacing w:beforeLines="0" w:afterLines="0" w:line="460" w:lineRule="exact"/>
        <w:rPr>
          <w:rFonts w:hAnsi="宋体" w:cs="宋体"/>
        </w:rPr>
      </w:pPr>
    </w:p>
    <w:p w14:paraId="0BCBEB51">
      <w:pPr>
        <w:pStyle w:val="28"/>
        <w:snapToGrid w:val="0"/>
        <w:spacing w:beforeLines="0" w:afterLines="0" w:line="460" w:lineRule="exact"/>
        <w:rPr>
          <w:rFonts w:hAnsi="宋体" w:cs="宋体"/>
        </w:rPr>
      </w:pPr>
    </w:p>
    <w:p w14:paraId="139B7E17">
      <w:pPr>
        <w:pStyle w:val="28"/>
        <w:snapToGrid w:val="0"/>
        <w:spacing w:beforeLines="0" w:afterLines="0" w:line="460" w:lineRule="exact"/>
        <w:rPr>
          <w:rFonts w:hAnsi="宋体" w:cs="宋体"/>
        </w:rPr>
      </w:pPr>
    </w:p>
    <w:p w14:paraId="5DC7427B">
      <w:pPr>
        <w:pStyle w:val="28"/>
        <w:snapToGrid w:val="0"/>
        <w:spacing w:beforeLines="0" w:afterLines="0" w:line="460" w:lineRule="exact"/>
        <w:rPr>
          <w:rFonts w:hAnsi="宋体" w:cs="宋体"/>
        </w:rPr>
      </w:pPr>
    </w:p>
    <w:p w14:paraId="6D2DE614">
      <w:pPr>
        <w:pStyle w:val="28"/>
        <w:snapToGrid w:val="0"/>
        <w:spacing w:beforeLines="0" w:afterLines="0" w:line="460" w:lineRule="exact"/>
        <w:rPr>
          <w:rFonts w:hAnsi="宋体" w:cs="宋体"/>
        </w:rPr>
      </w:pPr>
    </w:p>
    <w:p w14:paraId="7ED16532">
      <w:pPr>
        <w:pStyle w:val="28"/>
        <w:snapToGrid w:val="0"/>
        <w:spacing w:beforeLines="0" w:afterLines="0" w:line="460" w:lineRule="exact"/>
        <w:rPr>
          <w:rFonts w:hAnsi="宋体" w:cs="宋体"/>
        </w:rPr>
      </w:pPr>
    </w:p>
    <w:p w14:paraId="13EA2622">
      <w:pPr>
        <w:pStyle w:val="28"/>
        <w:snapToGrid w:val="0"/>
        <w:spacing w:beforeLines="0" w:afterLines="0" w:line="460" w:lineRule="exact"/>
        <w:rPr>
          <w:rFonts w:hAnsi="宋体" w:cs="宋体"/>
        </w:rPr>
      </w:pPr>
    </w:p>
    <w:p w14:paraId="1E29A558">
      <w:pPr>
        <w:pStyle w:val="28"/>
        <w:snapToGrid w:val="0"/>
        <w:spacing w:beforeLines="0" w:afterLines="0" w:line="460" w:lineRule="exact"/>
        <w:rPr>
          <w:rFonts w:hAnsi="宋体" w:cs="宋体"/>
        </w:rPr>
      </w:pPr>
    </w:p>
    <w:p w14:paraId="39549A75">
      <w:pPr>
        <w:pStyle w:val="28"/>
        <w:snapToGrid w:val="0"/>
        <w:spacing w:beforeLines="0" w:afterLines="0" w:line="460" w:lineRule="exact"/>
        <w:rPr>
          <w:rFonts w:hAnsi="宋体" w:cs="宋体"/>
        </w:rPr>
      </w:pPr>
    </w:p>
    <w:p w14:paraId="5D75F992">
      <w:pPr>
        <w:pStyle w:val="28"/>
        <w:snapToGrid w:val="0"/>
        <w:spacing w:beforeLines="0" w:afterLines="0" w:line="460" w:lineRule="exact"/>
        <w:rPr>
          <w:rFonts w:hAnsi="宋体" w:cs="宋体"/>
        </w:rPr>
      </w:pPr>
    </w:p>
    <w:p w14:paraId="071690D0">
      <w:pPr>
        <w:pStyle w:val="28"/>
        <w:snapToGrid w:val="0"/>
        <w:spacing w:beforeLines="0" w:afterLines="0" w:line="460" w:lineRule="exact"/>
        <w:rPr>
          <w:rFonts w:hAnsi="宋体" w:cs="宋体"/>
        </w:rPr>
      </w:pPr>
    </w:p>
    <w:p w14:paraId="153D8EAD">
      <w:pPr>
        <w:pStyle w:val="28"/>
        <w:snapToGrid w:val="0"/>
        <w:spacing w:beforeLines="0" w:afterLines="0" w:line="460" w:lineRule="exact"/>
        <w:rPr>
          <w:rFonts w:hAnsi="宋体" w:cs="宋体"/>
        </w:rPr>
      </w:pPr>
    </w:p>
    <w:p w14:paraId="1FF97676">
      <w:pPr>
        <w:pStyle w:val="28"/>
        <w:snapToGrid w:val="0"/>
        <w:spacing w:beforeLines="0" w:afterLines="0" w:line="360" w:lineRule="auto"/>
        <w:rPr>
          <w:rFonts w:hAnsi="宋体" w:cs="宋体"/>
        </w:rPr>
      </w:pPr>
    </w:p>
    <w:sectPr>
      <w:headerReference r:id="rId10" w:type="default"/>
      <w:footerReference r:id="rId11" w:type="default"/>
      <w:pgSz w:w="11906" w:h="16838"/>
      <w:pgMar w:top="1327" w:right="1531" w:bottom="1327" w:left="1531"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9F1C">
    <w:pPr>
      <w:pStyle w:val="33"/>
      <w:jc w:val="center"/>
    </w:pPr>
    <w:r>
      <w:fldChar w:fldCharType="begin"/>
    </w:r>
    <w:r>
      <w:instrText xml:space="preserve"> PAGE  \* MERGEFORMAT </w:instrText>
    </w:r>
    <w:r>
      <w:fldChar w:fldCharType="separate"/>
    </w:r>
    <w: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0A9EC">
    <w:pPr>
      <w:pStyle w:val="33"/>
      <w:framePr w:wrap="around" w:vAnchor="text" w:hAnchor="margin" w:xAlign="outside" w:y="1"/>
      <w:rPr>
        <w:rStyle w:val="50"/>
      </w:rPr>
    </w:pPr>
    <w:r>
      <w:rPr>
        <w:rStyle w:val="50"/>
      </w:rPr>
      <w:fldChar w:fldCharType="begin"/>
    </w:r>
    <w:r>
      <w:rPr>
        <w:rStyle w:val="50"/>
      </w:rPr>
      <w:instrText xml:space="preserve">PAGE  </w:instrText>
    </w:r>
    <w:r>
      <w:rPr>
        <w:rStyle w:val="50"/>
      </w:rPr>
      <w:fldChar w:fldCharType="separate"/>
    </w:r>
    <w:r>
      <w:rPr>
        <w:rStyle w:val="50"/>
      </w:rPr>
      <w:t>32</w:t>
    </w:r>
    <w:r>
      <w:rPr>
        <w:rStyle w:val="50"/>
      </w:rPr>
      <w:fldChar w:fldCharType="end"/>
    </w:r>
  </w:p>
  <w:p w14:paraId="0A8EF70F">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0368">
    <w:pPr>
      <w:pStyle w:val="33"/>
      <w:framePr w:wrap="around" w:vAnchor="text" w:hAnchor="margin" w:xAlign="outside" w:y="1"/>
      <w:rPr>
        <w:rStyle w:val="50"/>
        <w:rFonts w:ascii="宋体" w:hAnsi="宋体" w:eastAsia="宋体"/>
        <w:sz w:val="28"/>
        <w:szCs w:val="28"/>
      </w:rPr>
    </w:pPr>
  </w:p>
  <w:p w14:paraId="43D10B93">
    <w:pPr>
      <w:pStyle w:val="33"/>
      <w:ind w:right="720" w:firstLine="180" w:firstLineChars="100"/>
      <w:jc w:val="both"/>
    </w:pPr>
    <w:r>
      <w:t xml:space="preserve">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CA46">
    <w:pPr>
      <w:pStyle w:val="33"/>
      <w:jc w:val="center"/>
    </w:pPr>
    <w:r>
      <w:fldChar w:fldCharType="begin"/>
    </w:r>
    <w:r>
      <w:instrText xml:space="preserve"> PAGE  \* MERGEFORMAT </w:instrText>
    </w:r>
    <w:r>
      <w:fldChar w:fldCharType="separate"/>
    </w:r>
    <w:r>
      <w:t>- 21 -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0CE9">
    <w:pPr>
      <w:pStyle w:val="33"/>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6E312560">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5C30">
    <w:pPr>
      <w:pStyle w:val="33"/>
      <w:jc w:val="center"/>
    </w:pPr>
    <w:r>
      <w:fldChar w:fldCharType="begin"/>
    </w:r>
    <w:r>
      <w:instrText xml:space="preserve"> PAGE  \* MERGEFORMAT </w:instrText>
    </w:r>
    <w:r>
      <w:fldChar w:fldCharType="separate"/>
    </w:r>
    <w:r>
      <w:t>- 45 -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416CC">
    <w:pPr>
      <w:pStyle w:val="34"/>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6A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FF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9E76A"/>
    <w:multiLevelType w:val="singleLevel"/>
    <w:tmpl w:val="BC39E76A"/>
    <w:lvl w:ilvl="0" w:tentative="0">
      <w:start w:val="1"/>
      <w:numFmt w:val="decimal"/>
      <w:suff w:val="nothing"/>
      <w:lvlText w:val="%1、"/>
      <w:lvlJc w:val="left"/>
    </w:lvl>
  </w:abstractNum>
  <w:abstractNum w:abstractNumId="1">
    <w:nsid w:val="FF1124C9"/>
    <w:multiLevelType w:val="singleLevel"/>
    <w:tmpl w:val="FF1124C9"/>
    <w:lvl w:ilvl="0" w:tentative="0">
      <w:start w:val="3"/>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7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408931F"/>
    <w:multiLevelType w:val="singleLevel"/>
    <w:tmpl w:val="4408931F"/>
    <w:lvl w:ilvl="0" w:tentative="0">
      <w:start w:val="3"/>
      <w:numFmt w:val="chineseCounting"/>
      <w:suff w:val="space"/>
      <w:lvlText w:val="第%1章"/>
      <w:lvlJc w:val="left"/>
      <w:rPr>
        <w:rFonts w:hint="eastAsia"/>
      </w:rPr>
    </w:lvl>
  </w:abstractNum>
  <w:abstractNum w:abstractNumId="4">
    <w:nsid w:val="762A79E0"/>
    <w:multiLevelType w:val="multilevel"/>
    <w:tmpl w:val="762A79E0"/>
    <w:lvl w:ilvl="0" w:tentative="0">
      <w:start w:val="1"/>
      <w:numFmt w:val="chineseCountingThousand"/>
      <w:pStyle w:val="261"/>
      <w:suff w:val="space"/>
      <w:lvlText w:val="第%1章"/>
      <w:lvlJc w:val="left"/>
      <w:pPr>
        <w:ind w:left="0" w:firstLine="0"/>
      </w:pPr>
      <w:rPr>
        <w:rFonts w:hint="eastAsia"/>
      </w:rPr>
    </w:lvl>
    <w:lvl w:ilvl="1" w:tentative="0">
      <w:start w:val="1"/>
      <w:numFmt w:val="decimal"/>
      <w:pStyle w:val="263"/>
      <w:isLgl/>
      <w:suff w:val="space"/>
      <w:lvlText w:val="%1.%2."/>
      <w:lvlJc w:val="left"/>
      <w:pPr>
        <w:ind w:left="0" w:firstLine="0"/>
      </w:pPr>
      <w:rPr>
        <w:rFonts w:hint="eastAsia"/>
      </w:rPr>
    </w:lvl>
    <w:lvl w:ilvl="2" w:tentative="0">
      <w:start w:val="1"/>
      <w:numFmt w:val="decimal"/>
      <w:pStyle w:val="265"/>
      <w:isLgl/>
      <w:lvlText w:val="%1.%2.%3."/>
      <w:lvlJc w:val="left"/>
      <w:pPr>
        <w:ind w:left="0" w:firstLine="0"/>
      </w:pP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266"/>
      <w:isLg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A80438C"/>
    <w:multiLevelType w:val="multilevel"/>
    <w:tmpl w:val="7A80438C"/>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num>
  <w:num w:numId="2">
    <w:abstractNumId w:val="2"/>
  </w:num>
  <w:num w:numId="3">
    <w:abstractNumId w:val="1"/>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ZDcyNDIyMTMyMzI2NTAzOGEyZjcwZTlkZDRmYTYifQ=="/>
  </w:docVars>
  <w:rsids>
    <w:rsidRoot w:val="007706A5"/>
    <w:rsid w:val="000000D1"/>
    <w:rsid w:val="000002A2"/>
    <w:rsid w:val="00000340"/>
    <w:rsid w:val="000006C3"/>
    <w:rsid w:val="00000DCA"/>
    <w:rsid w:val="0000135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E6"/>
    <w:rsid w:val="00007291"/>
    <w:rsid w:val="00007A56"/>
    <w:rsid w:val="00010555"/>
    <w:rsid w:val="00010DAC"/>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70D"/>
    <w:rsid w:val="00017B58"/>
    <w:rsid w:val="00020546"/>
    <w:rsid w:val="00020694"/>
    <w:rsid w:val="000209DD"/>
    <w:rsid w:val="000209DF"/>
    <w:rsid w:val="00020AD1"/>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6F9E"/>
    <w:rsid w:val="00027140"/>
    <w:rsid w:val="00027465"/>
    <w:rsid w:val="00027623"/>
    <w:rsid w:val="000277B1"/>
    <w:rsid w:val="00027E31"/>
    <w:rsid w:val="00030010"/>
    <w:rsid w:val="00030029"/>
    <w:rsid w:val="0003004A"/>
    <w:rsid w:val="00030527"/>
    <w:rsid w:val="00031018"/>
    <w:rsid w:val="00031987"/>
    <w:rsid w:val="00031997"/>
    <w:rsid w:val="000319DA"/>
    <w:rsid w:val="00031C2E"/>
    <w:rsid w:val="00032B05"/>
    <w:rsid w:val="00032B28"/>
    <w:rsid w:val="000339F7"/>
    <w:rsid w:val="00033B46"/>
    <w:rsid w:val="00033CA6"/>
    <w:rsid w:val="00034021"/>
    <w:rsid w:val="00034EA7"/>
    <w:rsid w:val="00035005"/>
    <w:rsid w:val="000352EC"/>
    <w:rsid w:val="0003568B"/>
    <w:rsid w:val="0003613C"/>
    <w:rsid w:val="00036568"/>
    <w:rsid w:val="000366E3"/>
    <w:rsid w:val="00037345"/>
    <w:rsid w:val="000377F6"/>
    <w:rsid w:val="0003788B"/>
    <w:rsid w:val="000379B8"/>
    <w:rsid w:val="00040139"/>
    <w:rsid w:val="000401F4"/>
    <w:rsid w:val="00040A37"/>
    <w:rsid w:val="0004122D"/>
    <w:rsid w:val="00041488"/>
    <w:rsid w:val="00041B03"/>
    <w:rsid w:val="00041BFA"/>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2FE3"/>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199"/>
    <w:rsid w:val="00070801"/>
    <w:rsid w:val="0007096D"/>
    <w:rsid w:val="00070B65"/>
    <w:rsid w:val="00071901"/>
    <w:rsid w:val="00071A99"/>
    <w:rsid w:val="00071F17"/>
    <w:rsid w:val="00072BA1"/>
    <w:rsid w:val="00072D2C"/>
    <w:rsid w:val="00072D2E"/>
    <w:rsid w:val="00073031"/>
    <w:rsid w:val="00073BC5"/>
    <w:rsid w:val="00074094"/>
    <w:rsid w:val="000744EA"/>
    <w:rsid w:val="00074586"/>
    <w:rsid w:val="00074682"/>
    <w:rsid w:val="00074B32"/>
    <w:rsid w:val="00075DD1"/>
    <w:rsid w:val="00076B4A"/>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3A59"/>
    <w:rsid w:val="00084863"/>
    <w:rsid w:val="000849AC"/>
    <w:rsid w:val="000849AF"/>
    <w:rsid w:val="00084EA2"/>
    <w:rsid w:val="000857BE"/>
    <w:rsid w:val="000860C3"/>
    <w:rsid w:val="000862D7"/>
    <w:rsid w:val="00086BF9"/>
    <w:rsid w:val="00086DF1"/>
    <w:rsid w:val="00086E50"/>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CF"/>
    <w:rsid w:val="00095EEF"/>
    <w:rsid w:val="000963A0"/>
    <w:rsid w:val="00096A58"/>
    <w:rsid w:val="00097712"/>
    <w:rsid w:val="00097914"/>
    <w:rsid w:val="000979B7"/>
    <w:rsid w:val="000A01B3"/>
    <w:rsid w:val="000A062B"/>
    <w:rsid w:val="000A0F96"/>
    <w:rsid w:val="000A11CC"/>
    <w:rsid w:val="000A13D3"/>
    <w:rsid w:val="000A17F0"/>
    <w:rsid w:val="000A1EF1"/>
    <w:rsid w:val="000A1EF5"/>
    <w:rsid w:val="000A2196"/>
    <w:rsid w:val="000A22C1"/>
    <w:rsid w:val="000A2595"/>
    <w:rsid w:val="000A282E"/>
    <w:rsid w:val="000A374D"/>
    <w:rsid w:val="000A3B2C"/>
    <w:rsid w:val="000A458D"/>
    <w:rsid w:val="000A48F4"/>
    <w:rsid w:val="000A4E54"/>
    <w:rsid w:val="000A53E7"/>
    <w:rsid w:val="000A555B"/>
    <w:rsid w:val="000A5803"/>
    <w:rsid w:val="000A5D1A"/>
    <w:rsid w:val="000A5ED4"/>
    <w:rsid w:val="000A62F2"/>
    <w:rsid w:val="000A6B19"/>
    <w:rsid w:val="000A7109"/>
    <w:rsid w:val="000A71AC"/>
    <w:rsid w:val="000A7272"/>
    <w:rsid w:val="000A7D5B"/>
    <w:rsid w:val="000B02A5"/>
    <w:rsid w:val="000B0514"/>
    <w:rsid w:val="000B0692"/>
    <w:rsid w:val="000B0F89"/>
    <w:rsid w:val="000B1454"/>
    <w:rsid w:val="000B1AD5"/>
    <w:rsid w:val="000B2314"/>
    <w:rsid w:val="000B289B"/>
    <w:rsid w:val="000B296D"/>
    <w:rsid w:val="000B298B"/>
    <w:rsid w:val="000B2B6D"/>
    <w:rsid w:val="000B34F0"/>
    <w:rsid w:val="000B350F"/>
    <w:rsid w:val="000B3668"/>
    <w:rsid w:val="000B3E38"/>
    <w:rsid w:val="000B41DE"/>
    <w:rsid w:val="000B4283"/>
    <w:rsid w:val="000B45A1"/>
    <w:rsid w:val="000B5599"/>
    <w:rsid w:val="000B5D4A"/>
    <w:rsid w:val="000B6150"/>
    <w:rsid w:val="000B6D06"/>
    <w:rsid w:val="000B6F53"/>
    <w:rsid w:val="000B729C"/>
    <w:rsid w:val="000B73D4"/>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D07"/>
    <w:rsid w:val="000C3FFB"/>
    <w:rsid w:val="000C410C"/>
    <w:rsid w:val="000C4147"/>
    <w:rsid w:val="000C427E"/>
    <w:rsid w:val="000C49E2"/>
    <w:rsid w:val="000C4C0B"/>
    <w:rsid w:val="000C5BA4"/>
    <w:rsid w:val="000C6028"/>
    <w:rsid w:val="000C61CB"/>
    <w:rsid w:val="000C66BE"/>
    <w:rsid w:val="000C6DCD"/>
    <w:rsid w:val="000C7237"/>
    <w:rsid w:val="000C72E2"/>
    <w:rsid w:val="000C7B74"/>
    <w:rsid w:val="000D022F"/>
    <w:rsid w:val="000D07D1"/>
    <w:rsid w:val="000D0DC1"/>
    <w:rsid w:val="000D134D"/>
    <w:rsid w:val="000D13F5"/>
    <w:rsid w:val="000D18A3"/>
    <w:rsid w:val="000D2726"/>
    <w:rsid w:val="000D2790"/>
    <w:rsid w:val="000D2907"/>
    <w:rsid w:val="000D311D"/>
    <w:rsid w:val="000D4867"/>
    <w:rsid w:val="000D4A39"/>
    <w:rsid w:val="000D4CF1"/>
    <w:rsid w:val="000D50BC"/>
    <w:rsid w:val="000D5631"/>
    <w:rsid w:val="000D5C55"/>
    <w:rsid w:val="000D5D1D"/>
    <w:rsid w:val="000D5F10"/>
    <w:rsid w:val="000D6AE5"/>
    <w:rsid w:val="000D6EB9"/>
    <w:rsid w:val="000D6F4F"/>
    <w:rsid w:val="000D7988"/>
    <w:rsid w:val="000D7DF4"/>
    <w:rsid w:val="000E080F"/>
    <w:rsid w:val="000E10BD"/>
    <w:rsid w:val="000E13A3"/>
    <w:rsid w:val="000E1919"/>
    <w:rsid w:val="000E19A7"/>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0A7"/>
    <w:rsid w:val="000E5664"/>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3F3F"/>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0FB"/>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087B"/>
    <w:rsid w:val="0012113F"/>
    <w:rsid w:val="001213E2"/>
    <w:rsid w:val="0012191D"/>
    <w:rsid w:val="00122889"/>
    <w:rsid w:val="00122934"/>
    <w:rsid w:val="0012341D"/>
    <w:rsid w:val="00123770"/>
    <w:rsid w:val="00123FE5"/>
    <w:rsid w:val="0012436B"/>
    <w:rsid w:val="00124652"/>
    <w:rsid w:val="001249BA"/>
    <w:rsid w:val="00124E0A"/>
    <w:rsid w:val="001252B5"/>
    <w:rsid w:val="00125932"/>
    <w:rsid w:val="00125D29"/>
    <w:rsid w:val="00126231"/>
    <w:rsid w:val="00126DE1"/>
    <w:rsid w:val="00126FCB"/>
    <w:rsid w:val="00127230"/>
    <w:rsid w:val="00127449"/>
    <w:rsid w:val="00127B05"/>
    <w:rsid w:val="00127DC2"/>
    <w:rsid w:val="00130534"/>
    <w:rsid w:val="00130ED0"/>
    <w:rsid w:val="001310CD"/>
    <w:rsid w:val="001311BB"/>
    <w:rsid w:val="00131901"/>
    <w:rsid w:val="00131A38"/>
    <w:rsid w:val="00131BCA"/>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219"/>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19"/>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995"/>
    <w:rsid w:val="00155A78"/>
    <w:rsid w:val="00155DA2"/>
    <w:rsid w:val="00155E9F"/>
    <w:rsid w:val="00156279"/>
    <w:rsid w:val="00157EA4"/>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065"/>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6EC"/>
    <w:rsid w:val="00172A1E"/>
    <w:rsid w:val="00172EA3"/>
    <w:rsid w:val="001732D9"/>
    <w:rsid w:val="00173C45"/>
    <w:rsid w:val="00173CC1"/>
    <w:rsid w:val="00173F6A"/>
    <w:rsid w:val="00174832"/>
    <w:rsid w:val="00174BB3"/>
    <w:rsid w:val="00174DC9"/>
    <w:rsid w:val="001752F1"/>
    <w:rsid w:val="001759DE"/>
    <w:rsid w:val="001761FE"/>
    <w:rsid w:val="0017679C"/>
    <w:rsid w:val="00176916"/>
    <w:rsid w:val="00176970"/>
    <w:rsid w:val="00177E06"/>
    <w:rsid w:val="0018010F"/>
    <w:rsid w:val="00180226"/>
    <w:rsid w:val="001804BC"/>
    <w:rsid w:val="001806FF"/>
    <w:rsid w:val="001809AD"/>
    <w:rsid w:val="00181066"/>
    <w:rsid w:val="00181308"/>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0FC5"/>
    <w:rsid w:val="0019156B"/>
    <w:rsid w:val="0019161B"/>
    <w:rsid w:val="00191832"/>
    <w:rsid w:val="001918A0"/>
    <w:rsid w:val="00191946"/>
    <w:rsid w:val="00191B21"/>
    <w:rsid w:val="00191EA2"/>
    <w:rsid w:val="001920FF"/>
    <w:rsid w:val="00192711"/>
    <w:rsid w:val="00193292"/>
    <w:rsid w:val="001945BC"/>
    <w:rsid w:val="00194ADD"/>
    <w:rsid w:val="001959C8"/>
    <w:rsid w:val="00195DFA"/>
    <w:rsid w:val="00196246"/>
    <w:rsid w:val="001966F5"/>
    <w:rsid w:val="00196C84"/>
    <w:rsid w:val="00196E85"/>
    <w:rsid w:val="00196EC4"/>
    <w:rsid w:val="00197367"/>
    <w:rsid w:val="00197565"/>
    <w:rsid w:val="001A07B0"/>
    <w:rsid w:val="001A0E37"/>
    <w:rsid w:val="001A11F8"/>
    <w:rsid w:val="001A135D"/>
    <w:rsid w:val="001A1C07"/>
    <w:rsid w:val="001A1DCF"/>
    <w:rsid w:val="001A2321"/>
    <w:rsid w:val="001A23A2"/>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03"/>
    <w:rsid w:val="001B7A14"/>
    <w:rsid w:val="001B7BB7"/>
    <w:rsid w:val="001B7CD2"/>
    <w:rsid w:val="001B7EE7"/>
    <w:rsid w:val="001C03C4"/>
    <w:rsid w:val="001C040C"/>
    <w:rsid w:val="001C0600"/>
    <w:rsid w:val="001C09AA"/>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9AA"/>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6E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A37"/>
    <w:rsid w:val="001E6B2D"/>
    <w:rsid w:val="001E6CC0"/>
    <w:rsid w:val="001E6E6B"/>
    <w:rsid w:val="001E7932"/>
    <w:rsid w:val="001F0E08"/>
    <w:rsid w:val="001F1721"/>
    <w:rsid w:val="001F1AFC"/>
    <w:rsid w:val="001F1B90"/>
    <w:rsid w:val="001F2D97"/>
    <w:rsid w:val="001F2FF8"/>
    <w:rsid w:val="001F374E"/>
    <w:rsid w:val="001F3A4D"/>
    <w:rsid w:val="001F3DEB"/>
    <w:rsid w:val="001F487D"/>
    <w:rsid w:val="001F4A9F"/>
    <w:rsid w:val="001F4C7C"/>
    <w:rsid w:val="001F4F5B"/>
    <w:rsid w:val="001F5035"/>
    <w:rsid w:val="001F555E"/>
    <w:rsid w:val="001F556B"/>
    <w:rsid w:val="001F5D1A"/>
    <w:rsid w:val="001F5D57"/>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00F"/>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6EC"/>
    <w:rsid w:val="002127D7"/>
    <w:rsid w:val="002131A0"/>
    <w:rsid w:val="0021337F"/>
    <w:rsid w:val="00213697"/>
    <w:rsid w:val="0021402D"/>
    <w:rsid w:val="002146E8"/>
    <w:rsid w:val="00215052"/>
    <w:rsid w:val="002151DA"/>
    <w:rsid w:val="002155B3"/>
    <w:rsid w:val="0021587D"/>
    <w:rsid w:val="00215A10"/>
    <w:rsid w:val="0021630C"/>
    <w:rsid w:val="002163F2"/>
    <w:rsid w:val="00216D65"/>
    <w:rsid w:val="00217380"/>
    <w:rsid w:val="00217933"/>
    <w:rsid w:val="00217E03"/>
    <w:rsid w:val="00220732"/>
    <w:rsid w:val="00220AA4"/>
    <w:rsid w:val="00221237"/>
    <w:rsid w:val="00221F48"/>
    <w:rsid w:val="0022223C"/>
    <w:rsid w:val="00222835"/>
    <w:rsid w:val="002228C3"/>
    <w:rsid w:val="0022296F"/>
    <w:rsid w:val="002230A4"/>
    <w:rsid w:val="00223A96"/>
    <w:rsid w:val="00223D04"/>
    <w:rsid w:val="00223DA3"/>
    <w:rsid w:val="00224745"/>
    <w:rsid w:val="002247D3"/>
    <w:rsid w:val="00224DD2"/>
    <w:rsid w:val="00224E07"/>
    <w:rsid w:val="0022532A"/>
    <w:rsid w:val="00225519"/>
    <w:rsid w:val="00225690"/>
    <w:rsid w:val="00225BFC"/>
    <w:rsid w:val="002261DD"/>
    <w:rsid w:val="002264E1"/>
    <w:rsid w:val="00226B24"/>
    <w:rsid w:val="00226CB7"/>
    <w:rsid w:val="00227776"/>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C1"/>
    <w:rsid w:val="00243BD4"/>
    <w:rsid w:val="00244CBD"/>
    <w:rsid w:val="00245628"/>
    <w:rsid w:val="00245F1F"/>
    <w:rsid w:val="002475DE"/>
    <w:rsid w:val="002476AD"/>
    <w:rsid w:val="0024780E"/>
    <w:rsid w:val="002506F7"/>
    <w:rsid w:val="002511AF"/>
    <w:rsid w:val="0025123A"/>
    <w:rsid w:val="002514D1"/>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5EA4"/>
    <w:rsid w:val="0025609D"/>
    <w:rsid w:val="00256275"/>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67E87"/>
    <w:rsid w:val="002702BA"/>
    <w:rsid w:val="0027034C"/>
    <w:rsid w:val="0027177E"/>
    <w:rsid w:val="00271B2A"/>
    <w:rsid w:val="00271F12"/>
    <w:rsid w:val="00272020"/>
    <w:rsid w:val="0027203C"/>
    <w:rsid w:val="002724E8"/>
    <w:rsid w:val="0027257B"/>
    <w:rsid w:val="00273214"/>
    <w:rsid w:val="002735D1"/>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CC5"/>
    <w:rsid w:val="00282E84"/>
    <w:rsid w:val="00283137"/>
    <w:rsid w:val="002837FF"/>
    <w:rsid w:val="00283FCF"/>
    <w:rsid w:val="0028426E"/>
    <w:rsid w:val="002842C8"/>
    <w:rsid w:val="002842F8"/>
    <w:rsid w:val="00284860"/>
    <w:rsid w:val="002850D0"/>
    <w:rsid w:val="002852C6"/>
    <w:rsid w:val="002853AE"/>
    <w:rsid w:val="0028557E"/>
    <w:rsid w:val="0028593A"/>
    <w:rsid w:val="00285BD9"/>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2B74"/>
    <w:rsid w:val="00293067"/>
    <w:rsid w:val="0029311D"/>
    <w:rsid w:val="0029318C"/>
    <w:rsid w:val="0029362A"/>
    <w:rsid w:val="00293D60"/>
    <w:rsid w:val="002947F1"/>
    <w:rsid w:val="00294D09"/>
    <w:rsid w:val="002960DF"/>
    <w:rsid w:val="002964E0"/>
    <w:rsid w:val="00296B32"/>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404"/>
    <w:rsid w:val="002B4CFC"/>
    <w:rsid w:val="002B4F49"/>
    <w:rsid w:val="002B5AE7"/>
    <w:rsid w:val="002B5B0B"/>
    <w:rsid w:val="002B5F80"/>
    <w:rsid w:val="002B6313"/>
    <w:rsid w:val="002B6DBD"/>
    <w:rsid w:val="002B6DE3"/>
    <w:rsid w:val="002B720E"/>
    <w:rsid w:val="002B7739"/>
    <w:rsid w:val="002C0720"/>
    <w:rsid w:val="002C1B43"/>
    <w:rsid w:val="002C2134"/>
    <w:rsid w:val="002C279F"/>
    <w:rsid w:val="002C2980"/>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621"/>
    <w:rsid w:val="002F2B0C"/>
    <w:rsid w:val="002F2D0D"/>
    <w:rsid w:val="002F3716"/>
    <w:rsid w:val="002F3B74"/>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3FCB"/>
    <w:rsid w:val="003041CB"/>
    <w:rsid w:val="003041D6"/>
    <w:rsid w:val="0030493C"/>
    <w:rsid w:val="0030495C"/>
    <w:rsid w:val="00304C52"/>
    <w:rsid w:val="00304F98"/>
    <w:rsid w:val="003051A9"/>
    <w:rsid w:val="003059D1"/>
    <w:rsid w:val="00305BE6"/>
    <w:rsid w:val="00305FD7"/>
    <w:rsid w:val="00306093"/>
    <w:rsid w:val="0030656F"/>
    <w:rsid w:val="003069D6"/>
    <w:rsid w:val="00307C93"/>
    <w:rsid w:val="00310152"/>
    <w:rsid w:val="003103BA"/>
    <w:rsid w:val="00310449"/>
    <w:rsid w:val="003104B9"/>
    <w:rsid w:val="00310928"/>
    <w:rsid w:val="00311075"/>
    <w:rsid w:val="00311CB8"/>
    <w:rsid w:val="00311DCE"/>
    <w:rsid w:val="003122A2"/>
    <w:rsid w:val="00312345"/>
    <w:rsid w:val="003124AC"/>
    <w:rsid w:val="00312B56"/>
    <w:rsid w:val="003136A4"/>
    <w:rsid w:val="00314EA9"/>
    <w:rsid w:val="0031558C"/>
    <w:rsid w:val="00315755"/>
    <w:rsid w:val="00315D8E"/>
    <w:rsid w:val="00315DCF"/>
    <w:rsid w:val="003169C4"/>
    <w:rsid w:val="00316B20"/>
    <w:rsid w:val="00317248"/>
    <w:rsid w:val="003175FA"/>
    <w:rsid w:val="00317960"/>
    <w:rsid w:val="003179C6"/>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98C"/>
    <w:rsid w:val="00330A97"/>
    <w:rsid w:val="00331CB7"/>
    <w:rsid w:val="00331E70"/>
    <w:rsid w:val="00332910"/>
    <w:rsid w:val="00332D4E"/>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F2F"/>
    <w:rsid w:val="0034084B"/>
    <w:rsid w:val="00340A5A"/>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5E5D"/>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12E"/>
    <w:rsid w:val="00357C89"/>
    <w:rsid w:val="0036054A"/>
    <w:rsid w:val="00360752"/>
    <w:rsid w:val="00360B4B"/>
    <w:rsid w:val="00360E12"/>
    <w:rsid w:val="00361480"/>
    <w:rsid w:val="0036186C"/>
    <w:rsid w:val="00361CD6"/>
    <w:rsid w:val="0036261B"/>
    <w:rsid w:val="00362916"/>
    <w:rsid w:val="00362A49"/>
    <w:rsid w:val="00362C35"/>
    <w:rsid w:val="00362C7D"/>
    <w:rsid w:val="00362EAA"/>
    <w:rsid w:val="003636B1"/>
    <w:rsid w:val="003638EA"/>
    <w:rsid w:val="003639DB"/>
    <w:rsid w:val="00363ECD"/>
    <w:rsid w:val="00364692"/>
    <w:rsid w:val="003652EE"/>
    <w:rsid w:val="00365487"/>
    <w:rsid w:val="00365799"/>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0CD9"/>
    <w:rsid w:val="003814C2"/>
    <w:rsid w:val="00381DF6"/>
    <w:rsid w:val="003821DE"/>
    <w:rsid w:val="00382203"/>
    <w:rsid w:val="0038333E"/>
    <w:rsid w:val="00383720"/>
    <w:rsid w:val="003840F8"/>
    <w:rsid w:val="00384121"/>
    <w:rsid w:val="00384D88"/>
    <w:rsid w:val="0038555C"/>
    <w:rsid w:val="003859D4"/>
    <w:rsid w:val="00385C88"/>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98"/>
    <w:rsid w:val="00394AD2"/>
    <w:rsid w:val="00395342"/>
    <w:rsid w:val="003954DF"/>
    <w:rsid w:val="0039551E"/>
    <w:rsid w:val="0039562B"/>
    <w:rsid w:val="00395B04"/>
    <w:rsid w:val="00395DF3"/>
    <w:rsid w:val="0039638F"/>
    <w:rsid w:val="00396F2B"/>
    <w:rsid w:val="00397786"/>
    <w:rsid w:val="00397A8F"/>
    <w:rsid w:val="003A0456"/>
    <w:rsid w:val="003A0689"/>
    <w:rsid w:val="003A0D5B"/>
    <w:rsid w:val="003A10C4"/>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A7A"/>
    <w:rsid w:val="003D2B64"/>
    <w:rsid w:val="003D30AC"/>
    <w:rsid w:val="003D32C1"/>
    <w:rsid w:val="003D3528"/>
    <w:rsid w:val="003D360A"/>
    <w:rsid w:val="003D3805"/>
    <w:rsid w:val="003D3C00"/>
    <w:rsid w:val="003D41AD"/>
    <w:rsid w:val="003D4495"/>
    <w:rsid w:val="003D4549"/>
    <w:rsid w:val="003D4A84"/>
    <w:rsid w:val="003D4B3A"/>
    <w:rsid w:val="003D4B6A"/>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101A"/>
    <w:rsid w:val="003E18BA"/>
    <w:rsid w:val="003E2285"/>
    <w:rsid w:val="003E260D"/>
    <w:rsid w:val="003E2782"/>
    <w:rsid w:val="003E2EA7"/>
    <w:rsid w:val="003E3027"/>
    <w:rsid w:val="003E3D33"/>
    <w:rsid w:val="003E3DBC"/>
    <w:rsid w:val="003E4283"/>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2C5"/>
    <w:rsid w:val="003F1359"/>
    <w:rsid w:val="003F1E39"/>
    <w:rsid w:val="003F2060"/>
    <w:rsid w:val="003F262C"/>
    <w:rsid w:val="003F277F"/>
    <w:rsid w:val="003F2783"/>
    <w:rsid w:val="003F2DC1"/>
    <w:rsid w:val="003F3169"/>
    <w:rsid w:val="003F321F"/>
    <w:rsid w:val="003F3505"/>
    <w:rsid w:val="003F464A"/>
    <w:rsid w:val="003F4897"/>
    <w:rsid w:val="003F5483"/>
    <w:rsid w:val="003F569F"/>
    <w:rsid w:val="003F5801"/>
    <w:rsid w:val="003F5D48"/>
    <w:rsid w:val="003F5DAA"/>
    <w:rsid w:val="003F5E01"/>
    <w:rsid w:val="003F5F7B"/>
    <w:rsid w:val="003F6358"/>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3CE3"/>
    <w:rsid w:val="0040403A"/>
    <w:rsid w:val="00404609"/>
    <w:rsid w:val="004046D8"/>
    <w:rsid w:val="0040492F"/>
    <w:rsid w:val="00404F1D"/>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4227"/>
    <w:rsid w:val="00424C53"/>
    <w:rsid w:val="00425814"/>
    <w:rsid w:val="00425BE8"/>
    <w:rsid w:val="00425C5F"/>
    <w:rsid w:val="00426286"/>
    <w:rsid w:val="00426F6A"/>
    <w:rsid w:val="00427A24"/>
    <w:rsid w:val="00427F6B"/>
    <w:rsid w:val="0043073D"/>
    <w:rsid w:val="0043139F"/>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4FB"/>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8"/>
    <w:rsid w:val="00463E7F"/>
    <w:rsid w:val="00464220"/>
    <w:rsid w:val="004643A5"/>
    <w:rsid w:val="00464576"/>
    <w:rsid w:val="0046483D"/>
    <w:rsid w:val="00464CD5"/>
    <w:rsid w:val="00465676"/>
    <w:rsid w:val="00465D99"/>
    <w:rsid w:val="00465E0A"/>
    <w:rsid w:val="00465EAB"/>
    <w:rsid w:val="00465F8B"/>
    <w:rsid w:val="00466031"/>
    <w:rsid w:val="004661ED"/>
    <w:rsid w:val="00466ED0"/>
    <w:rsid w:val="00467766"/>
    <w:rsid w:val="0047067C"/>
    <w:rsid w:val="00470AC0"/>
    <w:rsid w:val="00470CA0"/>
    <w:rsid w:val="00471073"/>
    <w:rsid w:val="0047209E"/>
    <w:rsid w:val="0047248C"/>
    <w:rsid w:val="00472690"/>
    <w:rsid w:val="00472A2E"/>
    <w:rsid w:val="00472C21"/>
    <w:rsid w:val="00472D72"/>
    <w:rsid w:val="00473361"/>
    <w:rsid w:val="00473B88"/>
    <w:rsid w:val="00473CDA"/>
    <w:rsid w:val="0047483B"/>
    <w:rsid w:val="00474BBA"/>
    <w:rsid w:val="00474C8F"/>
    <w:rsid w:val="00474FAC"/>
    <w:rsid w:val="00474FDA"/>
    <w:rsid w:val="00475118"/>
    <w:rsid w:val="004751F8"/>
    <w:rsid w:val="004752C3"/>
    <w:rsid w:val="00475531"/>
    <w:rsid w:val="00475CDC"/>
    <w:rsid w:val="00475D82"/>
    <w:rsid w:val="00475F1D"/>
    <w:rsid w:val="0047619E"/>
    <w:rsid w:val="00476B39"/>
    <w:rsid w:val="00476BEC"/>
    <w:rsid w:val="00476D30"/>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21D"/>
    <w:rsid w:val="00492418"/>
    <w:rsid w:val="00492D83"/>
    <w:rsid w:val="00493EA2"/>
    <w:rsid w:val="004949D4"/>
    <w:rsid w:val="004950BB"/>
    <w:rsid w:val="00495248"/>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105"/>
    <w:rsid w:val="004A52CA"/>
    <w:rsid w:val="004A53A1"/>
    <w:rsid w:val="004A5E16"/>
    <w:rsid w:val="004A5FF9"/>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2C2F"/>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639"/>
    <w:rsid w:val="004C1977"/>
    <w:rsid w:val="004C19AF"/>
    <w:rsid w:val="004C1B6D"/>
    <w:rsid w:val="004C1B7E"/>
    <w:rsid w:val="004C23F8"/>
    <w:rsid w:val="004C2769"/>
    <w:rsid w:val="004C2FD6"/>
    <w:rsid w:val="004C3CA8"/>
    <w:rsid w:val="004C3D5E"/>
    <w:rsid w:val="004C3E43"/>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921"/>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913"/>
    <w:rsid w:val="004E4A2F"/>
    <w:rsid w:val="004E5C33"/>
    <w:rsid w:val="004E6BEE"/>
    <w:rsid w:val="004E6E7D"/>
    <w:rsid w:val="004E6EAC"/>
    <w:rsid w:val="004E76C4"/>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5A8D"/>
    <w:rsid w:val="004F602C"/>
    <w:rsid w:val="004F707F"/>
    <w:rsid w:val="004F7223"/>
    <w:rsid w:val="004F7468"/>
    <w:rsid w:val="004F75F3"/>
    <w:rsid w:val="00500B92"/>
    <w:rsid w:val="005011E3"/>
    <w:rsid w:val="005012A4"/>
    <w:rsid w:val="00501837"/>
    <w:rsid w:val="00501886"/>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D89"/>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88B"/>
    <w:rsid w:val="0052092B"/>
    <w:rsid w:val="00520A22"/>
    <w:rsid w:val="00520FF4"/>
    <w:rsid w:val="0052102A"/>
    <w:rsid w:val="00521076"/>
    <w:rsid w:val="005215E4"/>
    <w:rsid w:val="00521842"/>
    <w:rsid w:val="00521A30"/>
    <w:rsid w:val="00521B1B"/>
    <w:rsid w:val="00521E64"/>
    <w:rsid w:val="00522267"/>
    <w:rsid w:val="005222D7"/>
    <w:rsid w:val="0052248E"/>
    <w:rsid w:val="00522504"/>
    <w:rsid w:val="00522DAB"/>
    <w:rsid w:val="00522FC8"/>
    <w:rsid w:val="00523127"/>
    <w:rsid w:val="00523157"/>
    <w:rsid w:val="00523976"/>
    <w:rsid w:val="00523CF3"/>
    <w:rsid w:val="00525139"/>
    <w:rsid w:val="00525D61"/>
    <w:rsid w:val="00525DEC"/>
    <w:rsid w:val="0052622B"/>
    <w:rsid w:val="005265AA"/>
    <w:rsid w:val="005279F4"/>
    <w:rsid w:val="00527DEB"/>
    <w:rsid w:val="00527E5A"/>
    <w:rsid w:val="005301E4"/>
    <w:rsid w:val="00530745"/>
    <w:rsid w:val="00530857"/>
    <w:rsid w:val="00530ABE"/>
    <w:rsid w:val="00530E49"/>
    <w:rsid w:val="00531062"/>
    <w:rsid w:val="0053126F"/>
    <w:rsid w:val="005320EF"/>
    <w:rsid w:val="00532260"/>
    <w:rsid w:val="00533464"/>
    <w:rsid w:val="00533918"/>
    <w:rsid w:val="00533AD4"/>
    <w:rsid w:val="00533FAD"/>
    <w:rsid w:val="00534906"/>
    <w:rsid w:val="005349E2"/>
    <w:rsid w:val="00534AE7"/>
    <w:rsid w:val="00534F77"/>
    <w:rsid w:val="0053517B"/>
    <w:rsid w:val="005352F3"/>
    <w:rsid w:val="005353E8"/>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15"/>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3D80"/>
    <w:rsid w:val="0055456C"/>
    <w:rsid w:val="00554F99"/>
    <w:rsid w:val="005559B0"/>
    <w:rsid w:val="00555E55"/>
    <w:rsid w:val="00555EBF"/>
    <w:rsid w:val="005565E4"/>
    <w:rsid w:val="0055689F"/>
    <w:rsid w:val="00556977"/>
    <w:rsid w:val="00556BF6"/>
    <w:rsid w:val="005570B4"/>
    <w:rsid w:val="00557B39"/>
    <w:rsid w:val="00557C77"/>
    <w:rsid w:val="00557E84"/>
    <w:rsid w:val="00557F86"/>
    <w:rsid w:val="00557FCB"/>
    <w:rsid w:val="00560086"/>
    <w:rsid w:val="0056026B"/>
    <w:rsid w:val="00560511"/>
    <w:rsid w:val="00560C02"/>
    <w:rsid w:val="00561555"/>
    <w:rsid w:val="00561908"/>
    <w:rsid w:val="00561A8C"/>
    <w:rsid w:val="005625F4"/>
    <w:rsid w:val="00562755"/>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67DDD"/>
    <w:rsid w:val="0057055C"/>
    <w:rsid w:val="005712CA"/>
    <w:rsid w:val="005717E1"/>
    <w:rsid w:val="005719C8"/>
    <w:rsid w:val="00571F48"/>
    <w:rsid w:val="005722A6"/>
    <w:rsid w:val="005726A9"/>
    <w:rsid w:val="00572C99"/>
    <w:rsid w:val="00572F27"/>
    <w:rsid w:val="00572F85"/>
    <w:rsid w:val="00574642"/>
    <w:rsid w:val="00574684"/>
    <w:rsid w:val="00574F90"/>
    <w:rsid w:val="00574F9B"/>
    <w:rsid w:val="005750E4"/>
    <w:rsid w:val="00575DA2"/>
    <w:rsid w:val="00576443"/>
    <w:rsid w:val="00576823"/>
    <w:rsid w:val="00577335"/>
    <w:rsid w:val="00580189"/>
    <w:rsid w:val="00580681"/>
    <w:rsid w:val="00580E63"/>
    <w:rsid w:val="00580F15"/>
    <w:rsid w:val="0058135D"/>
    <w:rsid w:val="00581786"/>
    <w:rsid w:val="00581F3C"/>
    <w:rsid w:val="005822E7"/>
    <w:rsid w:val="00582A1F"/>
    <w:rsid w:val="00582C55"/>
    <w:rsid w:val="005830E8"/>
    <w:rsid w:val="0058313E"/>
    <w:rsid w:val="00584402"/>
    <w:rsid w:val="00584E55"/>
    <w:rsid w:val="00584F0C"/>
    <w:rsid w:val="00584FBD"/>
    <w:rsid w:val="00585425"/>
    <w:rsid w:val="0058565E"/>
    <w:rsid w:val="005857AA"/>
    <w:rsid w:val="00585CDC"/>
    <w:rsid w:val="00585E1E"/>
    <w:rsid w:val="00585E2A"/>
    <w:rsid w:val="0058634D"/>
    <w:rsid w:val="005864B1"/>
    <w:rsid w:val="00586859"/>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827"/>
    <w:rsid w:val="00597C24"/>
    <w:rsid w:val="00597F3D"/>
    <w:rsid w:val="005A0064"/>
    <w:rsid w:val="005A0301"/>
    <w:rsid w:val="005A0A7B"/>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6CD3"/>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F89"/>
    <w:rsid w:val="005C30AB"/>
    <w:rsid w:val="005C31CD"/>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1AA1"/>
    <w:rsid w:val="005D275E"/>
    <w:rsid w:val="005D2D3B"/>
    <w:rsid w:val="005D3592"/>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9E6"/>
    <w:rsid w:val="005E2B11"/>
    <w:rsid w:val="005E2B35"/>
    <w:rsid w:val="005E30A1"/>
    <w:rsid w:val="005E3340"/>
    <w:rsid w:val="005E34B8"/>
    <w:rsid w:val="005E36C1"/>
    <w:rsid w:val="005E3997"/>
    <w:rsid w:val="005E3B31"/>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EB4"/>
    <w:rsid w:val="005F1F61"/>
    <w:rsid w:val="005F1F95"/>
    <w:rsid w:val="005F20A6"/>
    <w:rsid w:val="005F2A9C"/>
    <w:rsid w:val="005F3036"/>
    <w:rsid w:val="005F37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07C0D"/>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3DFA"/>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3CF8"/>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5A6"/>
    <w:rsid w:val="0064267D"/>
    <w:rsid w:val="00642A41"/>
    <w:rsid w:val="00642A56"/>
    <w:rsid w:val="00642B3F"/>
    <w:rsid w:val="00643194"/>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0DBE"/>
    <w:rsid w:val="00650E77"/>
    <w:rsid w:val="0065116A"/>
    <w:rsid w:val="00651A5E"/>
    <w:rsid w:val="00651EF4"/>
    <w:rsid w:val="0065240B"/>
    <w:rsid w:val="00652763"/>
    <w:rsid w:val="006527E4"/>
    <w:rsid w:val="00653B15"/>
    <w:rsid w:val="00653C58"/>
    <w:rsid w:val="00654C2B"/>
    <w:rsid w:val="00654F5A"/>
    <w:rsid w:val="00655300"/>
    <w:rsid w:val="00656644"/>
    <w:rsid w:val="00656718"/>
    <w:rsid w:val="00657254"/>
    <w:rsid w:val="00657291"/>
    <w:rsid w:val="00657313"/>
    <w:rsid w:val="006575BC"/>
    <w:rsid w:val="00657C3D"/>
    <w:rsid w:val="00657D9B"/>
    <w:rsid w:val="00657F0F"/>
    <w:rsid w:val="00657FAA"/>
    <w:rsid w:val="00660253"/>
    <w:rsid w:val="006604D2"/>
    <w:rsid w:val="006612FC"/>
    <w:rsid w:val="0066196B"/>
    <w:rsid w:val="00661989"/>
    <w:rsid w:val="00661A46"/>
    <w:rsid w:val="00661B56"/>
    <w:rsid w:val="00661BF9"/>
    <w:rsid w:val="00661CA2"/>
    <w:rsid w:val="00661E87"/>
    <w:rsid w:val="00661FC1"/>
    <w:rsid w:val="00662327"/>
    <w:rsid w:val="00662795"/>
    <w:rsid w:val="006629EC"/>
    <w:rsid w:val="00662A36"/>
    <w:rsid w:val="006631CB"/>
    <w:rsid w:val="0066369F"/>
    <w:rsid w:val="00663802"/>
    <w:rsid w:val="00663DA3"/>
    <w:rsid w:val="00664132"/>
    <w:rsid w:val="00664392"/>
    <w:rsid w:val="006644DF"/>
    <w:rsid w:val="00664B90"/>
    <w:rsid w:val="00664C5F"/>
    <w:rsid w:val="00664DCB"/>
    <w:rsid w:val="00666608"/>
    <w:rsid w:val="00666899"/>
    <w:rsid w:val="00666D48"/>
    <w:rsid w:val="00666DCF"/>
    <w:rsid w:val="00667139"/>
    <w:rsid w:val="0066715D"/>
    <w:rsid w:val="006671DD"/>
    <w:rsid w:val="00667241"/>
    <w:rsid w:val="006674B5"/>
    <w:rsid w:val="0066752A"/>
    <w:rsid w:val="006678BC"/>
    <w:rsid w:val="00667998"/>
    <w:rsid w:val="00670971"/>
    <w:rsid w:val="00671A36"/>
    <w:rsid w:val="006722AC"/>
    <w:rsid w:val="006726B6"/>
    <w:rsid w:val="0067278A"/>
    <w:rsid w:val="00672E10"/>
    <w:rsid w:val="00673005"/>
    <w:rsid w:val="00673E7B"/>
    <w:rsid w:val="0067417E"/>
    <w:rsid w:val="006742D9"/>
    <w:rsid w:val="0067433D"/>
    <w:rsid w:val="00674502"/>
    <w:rsid w:val="006745BC"/>
    <w:rsid w:val="006747F9"/>
    <w:rsid w:val="00674901"/>
    <w:rsid w:val="00674966"/>
    <w:rsid w:val="00674B9E"/>
    <w:rsid w:val="00674DD4"/>
    <w:rsid w:val="00675F6F"/>
    <w:rsid w:val="00676247"/>
    <w:rsid w:val="0067650C"/>
    <w:rsid w:val="00676599"/>
    <w:rsid w:val="006766C0"/>
    <w:rsid w:val="00676BA1"/>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75D"/>
    <w:rsid w:val="00693CC0"/>
    <w:rsid w:val="00694BCB"/>
    <w:rsid w:val="00695364"/>
    <w:rsid w:val="006956C2"/>
    <w:rsid w:val="006959F0"/>
    <w:rsid w:val="00695A7A"/>
    <w:rsid w:val="00695DA8"/>
    <w:rsid w:val="00695F26"/>
    <w:rsid w:val="006965CB"/>
    <w:rsid w:val="00696A35"/>
    <w:rsid w:val="00696A4F"/>
    <w:rsid w:val="006977C9"/>
    <w:rsid w:val="0069796C"/>
    <w:rsid w:val="00697F11"/>
    <w:rsid w:val="006A031E"/>
    <w:rsid w:val="006A0F3B"/>
    <w:rsid w:val="006A1091"/>
    <w:rsid w:val="006A177C"/>
    <w:rsid w:val="006A29B5"/>
    <w:rsid w:val="006A2FF3"/>
    <w:rsid w:val="006A3464"/>
    <w:rsid w:val="006A374E"/>
    <w:rsid w:val="006A3D3C"/>
    <w:rsid w:val="006A4059"/>
    <w:rsid w:val="006A44E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BA9"/>
    <w:rsid w:val="006B0FFF"/>
    <w:rsid w:val="006B1828"/>
    <w:rsid w:val="006B1E65"/>
    <w:rsid w:val="006B2403"/>
    <w:rsid w:val="006B25A7"/>
    <w:rsid w:val="006B267A"/>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C088E"/>
    <w:rsid w:val="006C1746"/>
    <w:rsid w:val="006C1DF2"/>
    <w:rsid w:val="006C2037"/>
    <w:rsid w:val="006C25F3"/>
    <w:rsid w:val="006C366B"/>
    <w:rsid w:val="006C3676"/>
    <w:rsid w:val="006C39BF"/>
    <w:rsid w:val="006C39C3"/>
    <w:rsid w:val="006C4600"/>
    <w:rsid w:val="006C4B17"/>
    <w:rsid w:val="006C503B"/>
    <w:rsid w:val="006C5660"/>
    <w:rsid w:val="006C5D15"/>
    <w:rsid w:val="006C5E1E"/>
    <w:rsid w:val="006C63AC"/>
    <w:rsid w:val="006C721C"/>
    <w:rsid w:val="006C7320"/>
    <w:rsid w:val="006C7465"/>
    <w:rsid w:val="006C75E6"/>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4C0B"/>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495"/>
    <w:rsid w:val="00702635"/>
    <w:rsid w:val="0070323D"/>
    <w:rsid w:val="00703465"/>
    <w:rsid w:val="0070385E"/>
    <w:rsid w:val="0070388F"/>
    <w:rsid w:val="00703F47"/>
    <w:rsid w:val="00704383"/>
    <w:rsid w:val="0070561F"/>
    <w:rsid w:val="0070605D"/>
    <w:rsid w:val="0070679C"/>
    <w:rsid w:val="00706B99"/>
    <w:rsid w:val="007070E0"/>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0A1"/>
    <w:rsid w:val="00717E72"/>
    <w:rsid w:val="00720704"/>
    <w:rsid w:val="00720F38"/>
    <w:rsid w:val="00721216"/>
    <w:rsid w:val="0072128E"/>
    <w:rsid w:val="00721326"/>
    <w:rsid w:val="00721874"/>
    <w:rsid w:val="007218D9"/>
    <w:rsid w:val="00721A25"/>
    <w:rsid w:val="0072283D"/>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344"/>
    <w:rsid w:val="00732743"/>
    <w:rsid w:val="00732C53"/>
    <w:rsid w:val="007333C0"/>
    <w:rsid w:val="0073361E"/>
    <w:rsid w:val="00734A7D"/>
    <w:rsid w:val="00734AB7"/>
    <w:rsid w:val="007350E4"/>
    <w:rsid w:val="00735389"/>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67D"/>
    <w:rsid w:val="007468F5"/>
    <w:rsid w:val="00746AFF"/>
    <w:rsid w:val="007471A3"/>
    <w:rsid w:val="007473AB"/>
    <w:rsid w:val="007474EA"/>
    <w:rsid w:val="007475F6"/>
    <w:rsid w:val="00747A80"/>
    <w:rsid w:val="00747E9B"/>
    <w:rsid w:val="00747EF7"/>
    <w:rsid w:val="00750949"/>
    <w:rsid w:val="007509EF"/>
    <w:rsid w:val="00750E4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339B"/>
    <w:rsid w:val="00763665"/>
    <w:rsid w:val="00763A7C"/>
    <w:rsid w:val="00763CBD"/>
    <w:rsid w:val="00764F78"/>
    <w:rsid w:val="007651AF"/>
    <w:rsid w:val="007661F5"/>
    <w:rsid w:val="007670E9"/>
    <w:rsid w:val="00767457"/>
    <w:rsid w:val="00767EBD"/>
    <w:rsid w:val="00770055"/>
    <w:rsid w:val="00770089"/>
    <w:rsid w:val="007700A3"/>
    <w:rsid w:val="007705FD"/>
    <w:rsid w:val="007706A5"/>
    <w:rsid w:val="00770765"/>
    <w:rsid w:val="00770FA6"/>
    <w:rsid w:val="00771197"/>
    <w:rsid w:val="00771373"/>
    <w:rsid w:val="00771417"/>
    <w:rsid w:val="0077163B"/>
    <w:rsid w:val="0077188E"/>
    <w:rsid w:val="00771DD7"/>
    <w:rsid w:val="00771ECE"/>
    <w:rsid w:val="0077276E"/>
    <w:rsid w:val="00772AC0"/>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1356"/>
    <w:rsid w:val="0078136C"/>
    <w:rsid w:val="007813C7"/>
    <w:rsid w:val="00781DDF"/>
    <w:rsid w:val="007825A9"/>
    <w:rsid w:val="007826F1"/>
    <w:rsid w:val="00782710"/>
    <w:rsid w:val="00782BDF"/>
    <w:rsid w:val="00782DE8"/>
    <w:rsid w:val="00782FBF"/>
    <w:rsid w:val="007830AF"/>
    <w:rsid w:val="0078334F"/>
    <w:rsid w:val="007837B5"/>
    <w:rsid w:val="007838C4"/>
    <w:rsid w:val="00783F2B"/>
    <w:rsid w:val="00784108"/>
    <w:rsid w:val="00784604"/>
    <w:rsid w:val="007847CE"/>
    <w:rsid w:val="0078481A"/>
    <w:rsid w:val="00784DAE"/>
    <w:rsid w:val="00785176"/>
    <w:rsid w:val="00785460"/>
    <w:rsid w:val="00785ADC"/>
    <w:rsid w:val="00785B9B"/>
    <w:rsid w:val="00787107"/>
    <w:rsid w:val="0078729D"/>
    <w:rsid w:val="00787318"/>
    <w:rsid w:val="007875F6"/>
    <w:rsid w:val="007879D4"/>
    <w:rsid w:val="007903A9"/>
    <w:rsid w:val="00790580"/>
    <w:rsid w:val="0079129D"/>
    <w:rsid w:val="0079130C"/>
    <w:rsid w:val="007913C9"/>
    <w:rsid w:val="007922A6"/>
    <w:rsid w:val="0079240C"/>
    <w:rsid w:val="007925C0"/>
    <w:rsid w:val="00792CDE"/>
    <w:rsid w:val="00793720"/>
    <w:rsid w:val="00793CAC"/>
    <w:rsid w:val="00793CFD"/>
    <w:rsid w:val="00793FC3"/>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6A5"/>
    <w:rsid w:val="007A1DE4"/>
    <w:rsid w:val="007A2048"/>
    <w:rsid w:val="007A211D"/>
    <w:rsid w:val="007A22C2"/>
    <w:rsid w:val="007A25E0"/>
    <w:rsid w:val="007A276E"/>
    <w:rsid w:val="007A2DB4"/>
    <w:rsid w:val="007A3302"/>
    <w:rsid w:val="007A3335"/>
    <w:rsid w:val="007A36D1"/>
    <w:rsid w:val="007A39D8"/>
    <w:rsid w:val="007A3C41"/>
    <w:rsid w:val="007A3FA7"/>
    <w:rsid w:val="007A406F"/>
    <w:rsid w:val="007A4F0F"/>
    <w:rsid w:val="007A5A90"/>
    <w:rsid w:val="007A5B25"/>
    <w:rsid w:val="007A5BC0"/>
    <w:rsid w:val="007A645A"/>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42A"/>
    <w:rsid w:val="007B3B27"/>
    <w:rsid w:val="007B3FE2"/>
    <w:rsid w:val="007B4382"/>
    <w:rsid w:val="007B479F"/>
    <w:rsid w:val="007B494D"/>
    <w:rsid w:val="007B575F"/>
    <w:rsid w:val="007B5BB5"/>
    <w:rsid w:val="007B5BFF"/>
    <w:rsid w:val="007B5F19"/>
    <w:rsid w:val="007B5F59"/>
    <w:rsid w:val="007B634F"/>
    <w:rsid w:val="007B63E1"/>
    <w:rsid w:val="007B6C56"/>
    <w:rsid w:val="007B73C6"/>
    <w:rsid w:val="007B7636"/>
    <w:rsid w:val="007B77EF"/>
    <w:rsid w:val="007B77F0"/>
    <w:rsid w:val="007B791E"/>
    <w:rsid w:val="007C0094"/>
    <w:rsid w:val="007C0E21"/>
    <w:rsid w:val="007C10A5"/>
    <w:rsid w:val="007C132C"/>
    <w:rsid w:val="007C15FA"/>
    <w:rsid w:val="007C16EE"/>
    <w:rsid w:val="007C1AAA"/>
    <w:rsid w:val="007C1EA5"/>
    <w:rsid w:val="007C1EB6"/>
    <w:rsid w:val="007C1F49"/>
    <w:rsid w:val="007C2051"/>
    <w:rsid w:val="007C2737"/>
    <w:rsid w:val="007C2D3D"/>
    <w:rsid w:val="007C3069"/>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6F09"/>
    <w:rsid w:val="007C6FC4"/>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E79A1"/>
    <w:rsid w:val="007F033E"/>
    <w:rsid w:val="007F083E"/>
    <w:rsid w:val="007F193B"/>
    <w:rsid w:val="007F285D"/>
    <w:rsid w:val="007F2993"/>
    <w:rsid w:val="007F2C29"/>
    <w:rsid w:val="007F2CD7"/>
    <w:rsid w:val="007F34E8"/>
    <w:rsid w:val="007F3FA8"/>
    <w:rsid w:val="007F40A6"/>
    <w:rsid w:val="007F42FD"/>
    <w:rsid w:val="007F4694"/>
    <w:rsid w:val="007F4AD9"/>
    <w:rsid w:val="007F5625"/>
    <w:rsid w:val="007F58A5"/>
    <w:rsid w:val="007F6124"/>
    <w:rsid w:val="007F65C3"/>
    <w:rsid w:val="007F683C"/>
    <w:rsid w:val="007F7AF2"/>
    <w:rsid w:val="007F7DCC"/>
    <w:rsid w:val="00800AA6"/>
    <w:rsid w:val="0080124D"/>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2"/>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117"/>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692"/>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6B9"/>
    <w:rsid w:val="00861B3C"/>
    <w:rsid w:val="00861BB9"/>
    <w:rsid w:val="00861C2F"/>
    <w:rsid w:val="0086218E"/>
    <w:rsid w:val="0086255C"/>
    <w:rsid w:val="00863008"/>
    <w:rsid w:val="008630C8"/>
    <w:rsid w:val="008632F0"/>
    <w:rsid w:val="008633E5"/>
    <w:rsid w:val="008637BA"/>
    <w:rsid w:val="00863A36"/>
    <w:rsid w:val="00863C2F"/>
    <w:rsid w:val="008641A3"/>
    <w:rsid w:val="00864952"/>
    <w:rsid w:val="00865355"/>
    <w:rsid w:val="00866887"/>
    <w:rsid w:val="00866A4E"/>
    <w:rsid w:val="008672A0"/>
    <w:rsid w:val="00870651"/>
    <w:rsid w:val="008707D8"/>
    <w:rsid w:val="00870B91"/>
    <w:rsid w:val="00871394"/>
    <w:rsid w:val="00871497"/>
    <w:rsid w:val="00871849"/>
    <w:rsid w:val="0087198C"/>
    <w:rsid w:val="00871E08"/>
    <w:rsid w:val="008722B3"/>
    <w:rsid w:val="00872BE4"/>
    <w:rsid w:val="00873D85"/>
    <w:rsid w:val="008742B2"/>
    <w:rsid w:val="0087446D"/>
    <w:rsid w:val="00874708"/>
    <w:rsid w:val="008750FF"/>
    <w:rsid w:val="0087550A"/>
    <w:rsid w:val="0087668F"/>
    <w:rsid w:val="008768EC"/>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6F2"/>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1916"/>
    <w:rsid w:val="008B2416"/>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00E"/>
    <w:rsid w:val="008C04B5"/>
    <w:rsid w:val="008C090F"/>
    <w:rsid w:val="008C0911"/>
    <w:rsid w:val="008C0A1D"/>
    <w:rsid w:val="008C1260"/>
    <w:rsid w:val="008C1881"/>
    <w:rsid w:val="008C1AD5"/>
    <w:rsid w:val="008C2069"/>
    <w:rsid w:val="008C2F60"/>
    <w:rsid w:val="008C3636"/>
    <w:rsid w:val="008C3C47"/>
    <w:rsid w:val="008C46B6"/>
    <w:rsid w:val="008C4BDC"/>
    <w:rsid w:val="008C56D0"/>
    <w:rsid w:val="008C5C50"/>
    <w:rsid w:val="008C6CCD"/>
    <w:rsid w:val="008C71A7"/>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503"/>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46EE"/>
    <w:rsid w:val="008F5F7F"/>
    <w:rsid w:val="008F6009"/>
    <w:rsid w:val="008F649D"/>
    <w:rsid w:val="008F6CB5"/>
    <w:rsid w:val="008F6FE3"/>
    <w:rsid w:val="008F7AAC"/>
    <w:rsid w:val="0090009A"/>
    <w:rsid w:val="009006CB"/>
    <w:rsid w:val="00900CAD"/>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7FE"/>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8D5"/>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39B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6E12"/>
    <w:rsid w:val="009274C2"/>
    <w:rsid w:val="0092784B"/>
    <w:rsid w:val="00927934"/>
    <w:rsid w:val="00927F6C"/>
    <w:rsid w:val="00930133"/>
    <w:rsid w:val="00930A02"/>
    <w:rsid w:val="009313F7"/>
    <w:rsid w:val="00931404"/>
    <w:rsid w:val="009317E9"/>
    <w:rsid w:val="0093229C"/>
    <w:rsid w:val="0093277D"/>
    <w:rsid w:val="00932803"/>
    <w:rsid w:val="00932D0C"/>
    <w:rsid w:val="00933016"/>
    <w:rsid w:val="00934104"/>
    <w:rsid w:val="009348F2"/>
    <w:rsid w:val="00934971"/>
    <w:rsid w:val="009353C1"/>
    <w:rsid w:val="00936212"/>
    <w:rsid w:val="00936342"/>
    <w:rsid w:val="009367B7"/>
    <w:rsid w:val="00936CE7"/>
    <w:rsid w:val="009371DC"/>
    <w:rsid w:val="00937965"/>
    <w:rsid w:val="00937EB2"/>
    <w:rsid w:val="009401AB"/>
    <w:rsid w:val="00940255"/>
    <w:rsid w:val="0094048F"/>
    <w:rsid w:val="00940668"/>
    <w:rsid w:val="00940FF0"/>
    <w:rsid w:val="00941223"/>
    <w:rsid w:val="00941A75"/>
    <w:rsid w:val="00941F98"/>
    <w:rsid w:val="009431F3"/>
    <w:rsid w:val="0094367E"/>
    <w:rsid w:val="009436BF"/>
    <w:rsid w:val="00943DD3"/>
    <w:rsid w:val="00944298"/>
    <w:rsid w:val="0094496F"/>
    <w:rsid w:val="00944E46"/>
    <w:rsid w:val="00945464"/>
    <w:rsid w:val="009456A0"/>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65"/>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2DE7"/>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551"/>
    <w:rsid w:val="00972849"/>
    <w:rsid w:val="0097297E"/>
    <w:rsid w:val="00972F47"/>
    <w:rsid w:val="00973502"/>
    <w:rsid w:val="00973D62"/>
    <w:rsid w:val="00974357"/>
    <w:rsid w:val="0097484A"/>
    <w:rsid w:val="00974AC6"/>
    <w:rsid w:val="00974FB9"/>
    <w:rsid w:val="0097515D"/>
    <w:rsid w:val="00975399"/>
    <w:rsid w:val="009754B6"/>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AEA"/>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5A71"/>
    <w:rsid w:val="009A60B3"/>
    <w:rsid w:val="009A6F9B"/>
    <w:rsid w:val="009A7534"/>
    <w:rsid w:val="009B0037"/>
    <w:rsid w:val="009B0450"/>
    <w:rsid w:val="009B04AB"/>
    <w:rsid w:val="009B1600"/>
    <w:rsid w:val="009B1630"/>
    <w:rsid w:val="009B1A3C"/>
    <w:rsid w:val="009B1A4C"/>
    <w:rsid w:val="009B2757"/>
    <w:rsid w:val="009B29E9"/>
    <w:rsid w:val="009B2B0D"/>
    <w:rsid w:val="009B2F38"/>
    <w:rsid w:val="009B3212"/>
    <w:rsid w:val="009B3390"/>
    <w:rsid w:val="009B4335"/>
    <w:rsid w:val="009B4CC3"/>
    <w:rsid w:val="009B4DE6"/>
    <w:rsid w:val="009B5378"/>
    <w:rsid w:val="009B5EF5"/>
    <w:rsid w:val="009B66B9"/>
    <w:rsid w:val="009B6779"/>
    <w:rsid w:val="009B734B"/>
    <w:rsid w:val="009B74D2"/>
    <w:rsid w:val="009B74F6"/>
    <w:rsid w:val="009B7EC7"/>
    <w:rsid w:val="009C06CA"/>
    <w:rsid w:val="009C0A54"/>
    <w:rsid w:val="009C0B30"/>
    <w:rsid w:val="009C0C8C"/>
    <w:rsid w:val="009C1409"/>
    <w:rsid w:val="009C1692"/>
    <w:rsid w:val="009C192E"/>
    <w:rsid w:val="009C34C9"/>
    <w:rsid w:val="009C4C0F"/>
    <w:rsid w:val="009C552B"/>
    <w:rsid w:val="009C560C"/>
    <w:rsid w:val="009C6CA8"/>
    <w:rsid w:val="009C6D7E"/>
    <w:rsid w:val="009C6DA9"/>
    <w:rsid w:val="009C7A18"/>
    <w:rsid w:val="009C7D16"/>
    <w:rsid w:val="009C7D2E"/>
    <w:rsid w:val="009C7F8C"/>
    <w:rsid w:val="009D0AFD"/>
    <w:rsid w:val="009D2987"/>
    <w:rsid w:val="009D29A5"/>
    <w:rsid w:val="009D2C34"/>
    <w:rsid w:val="009D3F0F"/>
    <w:rsid w:val="009D434D"/>
    <w:rsid w:val="009D43E3"/>
    <w:rsid w:val="009D4B4D"/>
    <w:rsid w:val="009D500C"/>
    <w:rsid w:val="009D59B0"/>
    <w:rsid w:val="009D5CB5"/>
    <w:rsid w:val="009D5D63"/>
    <w:rsid w:val="009D670A"/>
    <w:rsid w:val="009D70C9"/>
    <w:rsid w:val="009D743B"/>
    <w:rsid w:val="009D76E7"/>
    <w:rsid w:val="009D7D89"/>
    <w:rsid w:val="009E0A1C"/>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2A1"/>
    <w:rsid w:val="009F1531"/>
    <w:rsid w:val="009F168B"/>
    <w:rsid w:val="009F1D27"/>
    <w:rsid w:val="009F2042"/>
    <w:rsid w:val="009F234D"/>
    <w:rsid w:val="009F2C28"/>
    <w:rsid w:val="009F2F3A"/>
    <w:rsid w:val="009F329A"/>
    <w:rsid w:val="009F3946"/>
    <w:rsid w:val="009F41F2"/>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9F6"/>
    <w:rsid w:val="00A10D21"/>
    <w:rsid w:val="00A11331"/>
    <w:rsid w:val="00A119B1"/>
    <w:rsid w:val="00A12767"/>
    <w:rsid w:val="00A127EC"/>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5E0"/>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450"/>
    <w:rsid w:val="00A35668"/>
    <w:rsid w:val="00A35917"/>
    <w:rsid w:val="00A359CE"/>
    <w:rsid w:val="00A35EB1"/>
    <w:rsid w:val="00A362A6"/>
    <w:rsid w:val="00A367B8"/>
    <w:rsid w:val="00A36832"/>
    <w:rsid w:val="00A36DBC"/>
    <w:rsid w:val="00A373F9"/>
    <w:rsid w:val="00A3765F"/>
    <w:rsid w:val="00A37C4D"/>
    <w:rsid w:val="00A40C61"/>
    <w:rsid w:val="00A4136E"/>
    <w:rsid w:val="00A429E5"/>
    <w:rsid w:val="00A43009"/>
    <w:rsid w:val="00A4328E"/>
    <w:rsid w:val="00A435BA"/>
    <w:rsid w:val="00A43731"/>
    <w:rsid w:val="00A437B2"/>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350"/>
    <w:rsid w:val="00A54D49"/>
    <w:rsid w:val="00A54D82"/>
    <w:rsid w:val="00A550E0"/>
    <w:rsid w:val="00A5522E"/>
    <w:rsid w:val="00A553E8"/>
    <w:rsid w:val="00A55401"/>
    <w:rsid w:val="00A55D8A"/>
    <w:rsid w:val="00A5609F"/>
    <w:rsid w:val="00A561BE"/>
    <w:rsid w:val="00A56F89"/>
    <w:rsid w:val="00A601F4"/>
    <w:rsid w:val="00A604CF"/>
    <w:rsid w:val="00A60EF3"/>
    <w:rsid w:val="00A61752"/>
    <w:rsid w:val="00A61948"/>
    <w:rsid w:val="00A622EA"/>
    <w:rsid w:val="00A62A0A"/>
    <w:rsid w:val="00A630A6"/>
    <w:rsid w:val="00A63763"/>
    <w:rsid w:val="00A63826"/>
    <w:rsid w:val="00A63B1D"/>
    <w:rsid w:val="00A6448C"/>
    <w:rsid w:val="00A64578"/>
    <w:rsid w:val="00A649D4"/>
    <w:rsid w:val="00A64BE8"/>
    <w:rsid w:val="00A64D33"/>
    <w:rsid w:val="00A65292"/>
    <w:rsid w:val="00A662B6"/>
    <w:rsid w:val="00A66447"/>
    <w:rsid w:val="00A66A19"/>
    <w:rsid w:val="00A66AAE"/>
    <w:rsid w:val="00A66DB5"/>
    <w:rsid w:val="00A671C5"/>
    <w:rsid w:val="00A67A31"/>
    <w:rsid w:val="00A67CD8"/>
    <w:rsid w:val="00A703BF"/>
    <w:rsid w:val="00A70448"/>
    <w:rsid w:val="00A70D9B"/>
    <w:rsid w:val="00A70F55"/>
    <w:rsid w:val="00A71813"/>
    <w:rsid w:val="00A71B83"/>
    <w:rsid w:val="00A71C2D"/>
    <w:rsid w:val="00A71C52"/>
    <w:rsid w:val="00A72053"/>
    <w:rsid w:val="00A721B5"/>
    <w:rsid w:val="00A72568"/>
    <w:rsid w:val="00A72581"/>
    <w:rsid w:val="00A7262F"/>
    <w:rsid w:val="00A72FD8"/>
    <w:rsid w:val="00A73887"/>
    <w:rsid w:val="00A739EE"/>
    <w:rsid w:val="00A740D5"/>
    <w:rsid w:val="00A74106"/>
    <w:rsid w:val="00A7469A"/>
    <w:rsid w:val="00A74CCA"/>
    <w:rsid w:val="00A74D65"/>
    <w:rsid w:val="00A74EC2"/>
    <w:rsid w:val="00A7515A"/>
    <w:rsid w:val="00A75A10"/>
    <w:rsid w:val="00A75ED2"/>
    <w:rsid w:val="00A7656A"/>
    <w:rsid w:val="00A76681"/>
    <w:rsid w:val="00A76745"/>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4F3D"/>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0FC2"/>
    <w:rsid w:val="00AA12EC"/>
    <w:rsid w:val="00AA160D"/>
    <w:rsid w:val="00AA1840"/>
    <w:rsid w:val="00AA1B82"/>
    <w:rsid w:val="00AA1BA9"/>
    <w:rsid w:val="00AA1DC8"/>
    <w:rsid w:val="00AA1E51"/>
    <w:rsid w:val="00AA1E96"/>
    <w:rsid w:val="00AA2519"/>
    <w:rsid w:val="00AA3371"/>
    <w:rsid w:val="00AA36FD"/>
    <w:rsid w:val="00AA404F"/>
    <w:rsid w:val="00AA4917"/>
    <w:rsid w:val="00AA4E9F"/>
    <w:rsid w:val="00AA5159"/>
    <w:rsid w:val="00AA653A"/>
    <w:rsid w:val="00AA6599"/>
    <w:rsid w:val="00AA70ED"/>
    <w:rsid w:val="00AA7106"/>
    <w:rsid w:val="00AA7FBE"/>
    <w:rsid w:val="00AB024A"/>
    <w:rsid w:val="00AB0EB5"/>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C0907"/>
    <w:rsid w:val="00AC12F9"/>
    <w:rsid w:val="00AC15B1"/>
    <w:rsid w:val="00AC19E0"/>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8AA"/>
    <w:rsid w:val="00AD2143"/>
    <w:rsid w:val="00AD28FB"/>
    <w:rsid w:val="00AD2BDA"/>
    <w:rsid w:val="00AD2E6D"/>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186A"/>
    <w:rsid w:val="00AE23A2"/>
    <w:rsid w:val="00AE2795"/>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33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4E7B"/>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5EFC"/>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964"/>
    <w:rsid w:val="00B23B7C"/>
    <w:rsid w:val="00B23B85"/>
    <w:rsid w:val="00B23CD0"/>
    <w:rsid w:val="00B23D70"/>
    <w:rsid w:val="00B23F1B"/>
    <w:rsid w:val="00B2430E"/>
    <w:rsid w:val="00B24431"/>
    <w:rsid w:val="00B2466A"/>
    <w:rsid w:val="00B247B5"/>
    <w:rsid w:val="00B24B8C"/>
    <w:rsid w:val="00B251F9"/>
    <w:rsid w:val="00B25503"/>
    <w:rsid w:val="00B25F34"/>
    <w:rsid w:val="00B26FED"/>
    <w:rsid w:val="00B2771D"/>
    <w:rsid w:val="00B27E2A"/>
    <w:rsid w:val="00B30301"/>
    <w:rsid w:val="00B303B1"/>
    <w:rsid w:val="00B30E36"/>
    <w:rsid w:val="00B30EC4"/>
    <w:rsid w:val="00B318D2"/>
    <w:rsid w:val="00B31C20"/>
    <w:rsid w:val="00B31DEF"/>
    <w:rsid w:val="00B329DB"/>
    <w:rsid w:val="00B329FC"/>
    <w:rsid w:val="00B33D87"/>
    <w:rsid w:val="00B34F2C"/>
    <w:rsid w:val="00B34FCD"/>
    <w:rsid w:val="00B34FF3"/>
    <w:rsid w:val="00B3574D"/>
    <w:rsid w:val="00B357C9"/>
    <w:rsid w:val="00B35BA1"/>
    <w:rsid w:val="00B36144"/>
    <w:rsid w:val="00B36724"/>
    <w:rsid w:val="00B36853"/>
    <w:rsid w:val="00B37823"/>
    <w:rsid w:val="00B3798C"/>
    <w:rsid w:val="00B37C8F"/>
    <w:rsid w:val="00B37D10"/>
    <w:rsid w:val="00B37E8E"/>
    <w:rsid w:val="00B40947"/>
    <w:rsid w:val="00B40F0B"/>
    <w:rsid w:val="00B40F3E"/>
    <w:rsid w:val="00B4153C"/>
    <w:rsid w:val="00B4285C"/>
    <w:rsid w:val="00B42AF3"/>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47D"/>
    <w:rsid w:val="00B645F8"/>
    <w:rsid w:val="00B64909"/>
    <w:rsid w:val="00B64A5A"/>
    <w:rsid w:val="00B64D5E"/>
    <w:rsid w:val="00B6687D"/>
    <w:rsid w:val="00B670DF"/>
    <w:rsid w:val="00B672DC"/>
    <w:rsid w:val="00B674D4"/>
    <w:rsid w:val="00B67B3B"/>
    <w:rsid w:val="00B701A1"/>
    <w:rsid w:val="00B70270"/>
    <w:rsid w:val="00B7030C"/>
    <w:rsid w:val="00B708EF"/>
    <w:rsid w:val="00B70A25"/>
    <w:rsid w:val="00B70DC7"/>
    <w:rsid w:val="00B711C8"/>
    <w:rsid w:val="00B71F97"/>
    <w:rsid w:val="00B722BE"/>
    <w:rsid w:val="00B7324B"/>
    <w:rsid w:val="00B7328F"/>
    <w:rsid w:val="00B7495B"/>
    <w:rsid w:val="00B75230"/>
    <w:rsid w:val="00B7555F"/>
    <w:rsid w:val="00B761CB"/>
    <w:rsid w:val="00B766DB"/>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D81"/>
    <w:rsid w:val="00B851A5"/>
    <w:rsid w:val="00B856F4"/>
    <w:rsid w:val="00B85F4C"/>
    <w:rsid w:val="00B85F9D"/>
    <w:rsid w:val="00B86155"/>
    <w:rsid w:val="00B86162"/>
    <w:rsid w:val="00B86573"/>
    <w:rsid w:val="00B8686C"/>
    <w:rsid w:val="00B869F7"/>
    <w:rsid w:val="00B87599"/>
    <w:rsid w:val="00B9015B"/>
    <w:rsid w:val="00B902A8"/>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968"/>
    <w:rsid w:val="00B97BA8"/>
    <w:rsid w:val="00BA015C"/>
    <w:rsid w:val="00BA03C2"/>
    <w:rsid w:val="00BA0673"/>
    <w:rsid w:val="00BA0953"/>
    <w:rsid w:val="00BA0F31"/>
    <w:rsid w:val="00BA0F62"/>
    <w:rsid w:val="00BA1338"/>
    <w:rsid w:val="00BA17E8"/>
    <w:rsid w:val="00BA2846"/>
    <w:rsid w:val="00BA2917"/>
    <w:rsid w:val="00BA3113"/>
    <w:rsid w:val="00BA325C"/>
    <w:rsid w:val="00BA3EA7"/>
    <w:rsid w:val="00BA4065"/>
    <w:rsid w:val="00BA4DBD"/>
    <w:rsid w:val="00BA4E82"/>
    <w:rsid w:val="00BA4F0D"/>
    <w:rsid w:val="00BA4F82"/>
    <w:rsid w:val="00BA52C1"/>
    <w:rsid w:val="00BA5B3A"/>
    <w:rsid w:val="00BA5DF0"/>
    <w:rsid w:val="00BA61A3"/>
    <w:rsid w:val="00BA70DA"/>
    <w:rsid w:val="00BA7977"/>
    <w:rsid w:val="00BA7A69"/>
    <w:rsid w:val="00BA7B13"/>
    <w:rsid w:val="00BA7F2A"/>
    <w:rsid w:val="00BB08F1"/>
    <w:rsid w:val="00BB13CF"/>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6F4C"/>
    <w:rsid w:val="00BB70C2"/>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BE"/>
    <w:rsid w:val="00BC3FFF"/>
    <w:rsid w:val="00BC525C"/>
    <w:rsid w:val="00BC53BA"/>
    <w:rsid w:val="00BC543D"/>
    <w:rsid w:val="00BC58CB"/>
    <w:rsid w:val="00BC5D5B"/>
    <w:rsid w:val="00BC5D7A"/>
    <w:rsid w:val="00BC5DFC"/>
    <w:rsid w:val="00BC5EEA"/>
    <w:rsid w:val="00BC6A40"/>
    <w:rsid w:val="00BC6AAE"/>
    <w:rsid w:val="00BC6ACE"/>
    <w:rsid w:val="00BC6B11"/>
    <w:rsid w:val="00BC6CC5"/>
    <w:rsid w:val="00BC7516"/>
    <w:rsid w:val="00BC7637"/>
    <w:rsid w:val="00BC7AEC"/>
    <w:rsid w:val="00BC7CFE"/>
    <w:rsid w:val="00BC7D1F"/>
    <w:rsid w:val="00BD045D"/>
    <w:rsid w:val="00BD0BAC"/>
    <w:rsid w:val="00BD11AF"/>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797"/>
    <w:rsid w:val="00BD6B63"/>
    <w:rsid w:val="00BD6D5E"/>
    <w:rsid w:val="00BD6DAF"/>
    <w:rsid w:val="00BD6E40"/>
    <w:rsid w:val="00BD73C1"/>
    <w:rsid w:val="00BD76E3"/>
    <w:rsid w:val="00BE022E"/>
    <w:rsid w:val="00BE0D1C"/>
    <w:rsid w:val="00BE185A"/>
    <w:rsid w:val="00BE2666"/>
    <w:rsid w:val="00BE2886"/>
    <w:rsid w:val="00BE2C7E"/>
    <w:rsid w:val="00BE32D2"/>
    <w:rsid w:val="00BE3A95"/>
    <w:rsid w:val="00BE3C4D"/>
    <w:rsid w:val="00BE4156"/>
    <w:rsid w:val="00BE426B"/>
    <w:rsid w:val="00BE42A3"/>
    <w:rsid w:val="00BE43D7"/>
    <w:rsid w:val="00BE4AEB"/>
    <w:rsid w:val="00BE5012"/>
    <w:rsid w:val="00BE5025"/>
    <w:rsid w:val="00BE531C"/>
    <w:rsid w:val="00BE5493"/>
    <w:rsid w:val="00BE55B6"/>
    <w:rsid w:val="00BE6112"/>
    <w:rsid w:val="00BE615C"/>
    <w:rsid w:val="00BE652D"/>
    <w:rsid w:val="00BE68CD"/>
    <w:rsid w:val="00BE68D0"/>
    <w:rsid w:val="00BE6CE8"/>
    <w:rsid w:val="00BE7177"/>
    <w:rsid w:val="00BE72AA"/>
    <w:rsid w:val="00BE7307"/>
    <w:rsid w:val="00BE74F0"/>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5F89"/>
    <w:rsid w:val="00C06959"/>
    <w:rsid w:val="00C06A6B"/>
    <w:rsid w:val="00C06A82"/>
    <w:rsid w:val="00C06B94"/>
    <w:rsid w:val="00C06BBE"/>
    <w:rsid w:val="00C071C2"/>
    <w:rsid w:val="00C0763A"/>
    <w:rsid w:val="00C10368"/>
    <w:rsid w:val="00C1087D"/>
    <w:rsid w:val="00C1096E"/>
    <w:rsid w:val="00C10D01"/>
    <w:rsid w:val="00C10F22"/>
    <w:rsid w:val="00C1135F"/>
    <w:rsid w:val="00C1146A"/>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305"/>
    <w:rsid w:val="00C15B8A"/>
    <w:rsid w:val="00C16247"/>
    <w:rsid w:val="00C16900"/>
    <w:rsid w:val="00C1702C"/>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23F"/>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7F5"/>
    <w:rsid w:val="00C36903"/>
    <w:rsid w:val="00C36B4E"/>
    <w:rsid w:val="00C36B9C"/>
    <w:rsid w:val="00C36D3F"/>
    <w:rsid w:val="00C37333"/>
    <w:rsid w:val="00C373C8"/>
    <w:rsid w:val="00C374A7"/>
    <w:rsid w:val="00C37A75"/>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3DF3"/>
    <w:rsid w:val="00C6407C"/>
    <w:rsid w:val="00C641FD"/>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565"/>
    <w:rsid w:val="00C8392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293"/>
    <w:rsid w:val="00C93B9C"/>
    <w:rsid w:val="00C93CA9"/>
    <w:rsid w:val="00C93E28"/>
    <w:rsid w:val="00C943B4"/>
    <w:rsid w:val="00C94D91"/>
    <w:rsid w:val="00C95414"/>
    <w:rsid w:val="00C962EB"/>
    <w:rsid w:val="00C96746"/>
    <w:rsid w:val="00C969FC"/>
    <w:rsid w:val="00C96D0C"/>
    <w:rsid w:val="00C97419"/>
    <w:rsid w:val="00CA0171"/>
    <w:rsid w:val="00CA072E"/>
    <w:rsid w:val="00CA0BBF"/>
    <w:rsid w:val="00CA0D4E"/>
    <w:rsid w:val="00CA10A8"/>
    <w:rsid w:val="00CA10DE"/>
    <w:rsid w:val="00CA1BD2"/>
    <w:rsid w:val="00CA1F7F"/>
    <w:rsid w:val="00CA215F"/>
    <w:rsid w:val="00CA2903"/>
    <w:rsid w:val="00CA3146"/>
    <w:rsid w:val="00CA375E"/>
    <w:rsid w:val="00CA40C1"/>
    <w:rsid w:val="00CA4105"/>
    <w:rsid w:val="00CA4C73"/>
    <w:rsid w:val="00CA4CB3"/>
    <w:rsid w:val="00CA5767"/>
    <w:rsid w:val="00CA5846"/>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3295"/>
    <w:rsid w:val="00CC347C"/>
    <w:rsid w:val="00CC3A94"/>
    <w:rsid w:val="00CC4704"/>
    <w:rsid w:val="00CC513B"/>
    <w:rsid w:val="00CC52A5"/>
    <w:rsid w:val="00CC5AAA"/>
    <w:rsid w:val="00CC5CAA"/>
    <w:rsid w:val="00CC6EB0"/>
    <w:rsid w:val="00CC713F"/>
    <w:rsid w:val="00CC7818"/>
    <w:rsid w:val="00CC785D"/>
    <w:rsid w:val="00CD0482"/>
    <w:rsid w:val="00CD0845"/>
    <w:rsid w:val="00CD0A6E"/>
    <w:rsid w:val="00CD0FBD"/>
    <w:rsid w:val="00CD16C6"/>
    <w:rsid w:val="00CD1CD7"/>
    <w:rsid w:val="00CD1D09"/>
    <w:rsid w:val="00CD232D"/>
    <w:rsid w:val="00CD264E"/>
    <w:rsid w:val="00CD29A2"/>
    <w:rsid w:val="00CD3515"/>
    <w:rsid w:val="00CD3B2C"/>
    <w:rsid w:val="00CD4179"/>
    <w:rsid w:val="00CD41E5"/>
    <w:rsid w:val="00CD440B"/>
    <w:rsid w:val="00CD441E"/>
    <w:rsid w:val="00CD4598"/>
    <w:rsid w:val="00CD4B79"/>
    <w:rsid w:val="00CD52FB"/>
    <w:rsid w:val="00CD53A8"/>
    <w:rsid w:val="00CD53DD"/>
    <w:rsid w:val="00CD55D4"/>
    <w:rsid w:val="00CD573B"/>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352F"/>
    <w:rsid w:val="00CF455C"/>
    <w:rsid w:val="00CF4EFD"/>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2B7F"/>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E8A"/>
    <w:rsid w:val="00D22ED7"/>
    <w:rsid w:val="00D236A3"/>
    <w:rsid w:val="00D23729"/>
    <w:rsid w:val="00D23834"/>
    <w:rsid w:val="00D24260"/>
    <w:rsid w:val="00D2456C"/>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0FFA"/>
    <w:rsid w:val="00D41D6B"/>
    <w:rsid w:val="00D41DED"/>
    <w:rsid w:val="00D42069"/>
    <w:rsid w:val="00D42084"/>
    <w:rsid w:val="00D4252C"/>
    <w:rsid w:val="00D42DD3"/>
    <w:rsid w:val="00D432BB"/>
    <w:rsid w:val="00D4360E"/>
    <w:rsid w:val="00D43851"/>
    <w:rsid w:val="00D4388D"/>
    <w:rsid w:val="00D44514"/>
    <w:rsid w:val="00D44845"/>
    <w:rsid w:val="00D4487F"/>
    <w:rsid w:val="00D44AC3"/>
    <w:rsid w:val="00D44B33"/>
    <w:rsid w:val="00D45349"/>
    <w:rsid w:val="00D454BD"/>
    <w:rsid w:val="00D458E4"/>
    <w:rsid w:val="00D45C95"/>
    <w:rsid w:val="00D45F23"/>
    <w:rsid w:val="00D47246"/>
    <w:rsid w:val="00D47A08"/>
    <w:rsid w:val="00D47C3D"/>
    <w:rsid w:val="00D47C65"/>
    <w:rsid w:val="00D500D0"/>
    <w:rsid w:val="00D50282"/>
    <w:rsid w:val="00D5078D"/>
    <w:rsid w:val="00D508A6"/>
    <w:rsid w:val="00D5144C"/>
    <w:rsid w:val="00D5175B"/>
    <w:rsid w:val="00D51903"/>
    <w:rsid w:val="00D51E21"/>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33"/>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867"/>
    <w:rsid w:val="00D65A9A"/>
    <w:rsid w:val="00D65BE8"/>
    <w:rsid w:val="00D65CFA"/>
    <w:rsid w:val="00D65F68"/>
    <w:rsid w:val="00D662A0"/>
    <w:rsid w:val="00D662EF"/>
    <w:rsid w:val="00D664B4"/>
    <w:rsid w:val="00D66C7F"/>
    <w:rsid w:val="00D679D8"/>
    <w:rsid w:val="00D67A2B"/>
    <w:rsid w:val="00D7090A"/>
    <w:rsid w:val="00D711D1"/>
    <w:rsid w:val="00D718F9"/>
    <w:rsid w:val="00D7198E"/>
    <w:rsid w:val="00D720BE"/>
    <w:rsid w:val="00D7242A"/>
    <w:rsid w:val="00D72565"/>
    <w:rsid w:val="00D72897"/>
    <w:rsid w:val="00D72AD9"/>
    <w:rsid w:val="00D72BB5"/>
    <w:rsid w:val="00D730CB"/>
    <w:rsid w:val="00D733D3"/>
    <w:rsid w:val="00D736BE"/>
    <w:rsid w:val="00D73A15"/>
    <w:rsid w:val="00D73ACE"/>
    <w:rsid w:val="00D747E0"/>
    <w:rsid w:val="00D74E67"/>
    <w:rsid w:val="00D74FD9"/>
    <w:rsid w:val="00D75250"/>
    <w:rsid w:val="00D7561C"/>
    <w:rsid w:val="00D75DA2"/>
    <w:rsid w:val="00D761EA"/>
    <w:rsid w:val="00D763AF"/>
    <w:rsid w:val="00D765F2"/>
    <w:rsid w:val="00D76C0D"/>
    <w:rsid w:val="00D76CFA"/>
    <w:rsid w:val="00D77024"/>
    <w:rsid w:val="00D77404"/>
    <w:rsid w:val="00D7745B"/>
    <w:rsid w:val="00D776C2"/>
    <w:rsid w:val="00D779D9"/>
    <w:rsid w:val="00D77D91"/>
    <w:rsid w:val="00D8094B"/>
    <w:rsid w:val="00D80DE0"/>
    <w:rsid w:val="00D818FC"/>
    <w:rsid w:val="00D81BA7"/>
    <w:rsid w:val="00D81D3A"/>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CEC"/>
    <w:rsid w:val="00D92F05"/>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83"/>
    <w:rsid w:val="00DA3F5A"/>
    <w:rsid w:val="00DA55C0"/>
    <w:rsid w:val="00DA57D6"/>
    <w:rsid w:val="00DA5EF1"/>
    <w:rsid w:val="00DA62F5"/>
    <w:rsid w:val="00DA62F7"/>
    <w:rsid w:val="00DA6B12"/>
    <w:rsid w:val="00DA6FD0"/>
    <w:rsid w:val="00DA7370"/>
    <w:rsid w:val="00DA7CF6"/>
    <w:rsid w:val="00DB0235"/>
    <w:rsid w:val="00DB02EE"/>
    <w:rsid w:val="00DB06EB"/>
    <w:rsid w:val="00DB0902"/>
    <w:rsid w:val="00DB1538"/>
    <w:rsid w:val="00DB1C5E"/>
    <w:rsid w:val="00DB1F21"/>
    <w:rsid w:val="00DB2294"/>
    <w:rsid w:val="00DB2BD8"/>
    <w:rsid w:val="00DB335D"/>
    <w:rsid w:val="00DB365F"/>
    <w:rsid w:val="00DB3752"/>
    <w:rsid w:val="00DB444C"/>
    <w:rsid w:val="00DB55AD"/>
    <w:rsid w:val="00DB57B9"/>
    <w:rsid w:val="00DB5A59"/>
    <w:rsid w:val="00DB5BE9"/>
    <w:rsid w:val="00DB6384"/>
    <w:rsid w:val="00DB6558"/>
    <w:rsid w:val="00DB6851"/>
    <w:rsid w:val="00DB68E2"/>
    <w:rsid w:val="00DB6D07"/>
    <w:rsid w:val="00DB71AB"/>
    <w:rsid w:val="00DB7237"/>
    <w:rsid w:val="00DB72D6"/>
    <w:rsid w:val="00DC0114"/>
    <w:rsid w:val="00DC014D"/>
    <w:rsid w:val="00DC0D44"/>
    <w:rsid w:val="00DC0FC9"/>
    <w:rsid w:val="00DC125E"/>
    <w:rsid w:val="00DC14AA"/>
    <w:rsid w:val="00DC1604"/>
    <w:rsid w:val="00DC16B9"/>
    <w:rsid w:val="00DC174C"/>
    <w:rsid w:val="00DC1D03"/>
    <w:rsid w:val="00DC1F2D"/>
    <w:rsid w:val="00DC2E11"/>
    <w:rsid w:val="00DC3A3C"/>
    <w:rsid w:val="00DC5429"/>
    <w:rsid w:val="00DC5F94"/>
    <w:rsid w:val="00DC620C"/>
    <w:rsid w:val="00DC662C"/>
    <w:rsid w:val="00DC68E6"/>
    <w:rsid w:val="00DC6925"/>
    <w:rsid w:val="00DC6E3F"/>
    <w:rsid w:val="00DC73A9"/>
    <w:rsid w:val="00DC7582"/>
    <w:rsid w:val="00DC7586"/>
    <w:rsid w:val="00DC7AC8"/>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4192"/>
    <w:rsid w:val="00DD57CD"/>
    <w:rsid w:val="00DD5978"/>
    <w:rsid w:val="00DD6790"/>
    <w:rsid w:val="00DD6A1C"/>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E7F61"/>
    <w:rsid w:val="00DF0ED3"/>
    <w:rsid w:val="00DF0F3A"/>
    <w:rsid w:val="00DF1275"/>
    <w:rsid w:val="00DF1521"/>
    <w:rsid w:val="00DF15F9"/>
    <w:rsid w:val="00DF187E"/>
    <w:rsid w:val="00DF2032"/>
    <w:rsid w:val="00DF27B1"/>
    <w:rsid w:val="00DF28EF"/>
    <w:rsid w:val="00DF2ED3"/>
    <w:rsid w:val="00DF363D"/>
    <w:rsid w:val="00DF397E"/>
    <w:rsid w:val="00DF4745"/>
    <w:rsid w:val="00DF491A"/>
    <w:rsid w:val="00DF5070"/>
    <w:rsid w:val="00DF549A"/>
    <w:rsid w:val="00DF54EA"/>
    <w:rsid w:val="00DF5A2E"/>
    <w:rsid w:val="00DF673E"/>
    <w:rsid w:val="00DF69E7"/>
    <w:rsid w:val="00DF6A1D"/>
    <w:rsid w:val="00DF6DD1"/>
    <w:rsid w:val="00DF6E39"/>
    <w:rsid w:val="00DF758E"/>
    <w:rsid w:val="00DF7623"/>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E23"/>
    <w:rsid w:val="00E071F1"/>
    <w:rsid w:val="00E0767D"/>
    <w:rsid w:val="00E07754"/>
    <w:rsid w:val="00E07757"/>
    <w:rsid w:val="00E07C16"/>
    <w:rsid w:val="00E101D9"/>
    <w:rsid w:val="00E107D5"/>
    <w:rsid w:val="00E108AA"/>
    <w:rsid w:val="00E1092D"/>
    <w:rsid w:val="00E10CE5"/>
    <w:rsid w:val="00E10D1C"/>
    <w:rsid w:val="00E10FD5"/>
    <w:rsid w:val="00E11EEE"/>
    <w:rsid w:val="00E1277F"/>
    <w:rsid w:val="00E12892"/>
    <w:rsid w:val="00E12EF6"/>
    <w:rsid w:val="00E13718"/>
    <w:rsid w:val="00E13C8F"/>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332"/>
    <w:rsid w:val="00E2245E"/>
    <w:rsid w:val="00E2248D"/>
    <w:rsid w:val="00E22BC7"/>
    <w:rsid w:val="00E22E0C"/>
    <w:rsid w:val="00E23B90"/>
    <w:rsid w:val="00E23C14"/>
    <w:rsid w:val="00E23E24"/>
    <w:rsid w:val="00E242FC"/>
    <w:rsid w:val="00E246E5"/>
    <w:rsid w:val="00E24B2C"/>
    <w:rsid w:val="00E24D04"/>
    <w:rsid w:val="00E258EA"/>
    <w:rsid w:val="00E26186"/>
    <w:rsid w:val="00E26416"/>
    <w:rsid w:val="00E26F4F"/>
    <w:rsid w:val="00E3014C"/>
    <w:rsid w:val="00E305E4"/>
    <w:rsid w:val="00E31120"/>
    <w:rsid w:val="00E3118C"/>
    <w:rsid w:val="00E318C1"/>
    <w:rsid w:val="00E3256A"/>
    <w:rsid w:val="00E3297E"/>
    <w:rsid w:val="00E32FF4"/>
    <w:rsid w:val="00E333AF"/>
    <w:rsid w:val="00E335F4"/>
    <w:rsid w:val="00E337D6"/>
    <w:rsid w:val="00E33B0A"/>
    <w:rsid w:val="00E33DB6"/>
    <w:rsid w:val="00E343CE"/>
    <w:rsid w:val="00E346AB"/>
    <w:rsid w:val="00E34B41"/>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3C85"/>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781"/>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85E"/>
    <w:rsid w:val="00E60C66"/>
    <w:rsid w:val="00E61167"/>
    <w:rsid w:val="00E61388"/>
    <w:rsid w:val="00E6193F"/>
    <w:rsid w:val="00E61CC7"/>
    <w:rsid w:val="00E61DE5"/>
    <w:rsid w:val="00E622F2"/>
    <w:rsid w:val="00E624FE"/>
    <w:rsid w:val="00E628D6"/>
    <w:rsid w:val="00E62941"/>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601"/>
    <w:rsid w:val="00E717E0"/>
    <w:rsid w:val="00E71878"/>
    <w:rsid w:val="00E71ED3"/>
    <w:rsid w:val="00E7272E"/>
    <w:rsid w:val="00E7298E"/>
    <w:rsid w:val="00E72EFC"/>
    <w:rsid w:val="00E736A3"/>
    <w:rsid w:val="00E73F21"/>
    <w:rsid w:val="00E74757"/>
    <w:rsid w:val="00E74C63"/>
    <w:rsid w:val="00E75567"/>
    <w:rsid w:val="00E75847"/>
    <w:rsid w:val="00E75973"/>
    <w:rsid w:val="00E759EB"/>
    <w:rsid w:val="00E75B93"/>
    <w:rsid w:val="00E75DFD"/>
    <w:rsid w:val="00E75F70"/>
    <w:rsid w:val="00E760A6"/>
    <w:rsid w:val="00E76595"/>
    <w:rsid w:val="00E76DEA"/>
    <w:rsid w:val="00E76EFA"/>
    <w:rsid w:val="00E77049"/>
    <w:rsid w:val="00E77883"/>
    <w:rsid w:val="00E804EA"/>
    <w:rsid w:val="00E80ACB"/>
    <w:rsid w:val="00E80F3A"/>
    <w:rsid w:val="00E810B0"/>
    <w:rsid w:val="00E813C0"/>
    <w:rsid w:val="00E81424"/>
    <w:rsid w:val="00E81B2E"/>
    <w:rsid w:val="00E81F3A"/>
    <w:rsid w:val="00E827FC"/>
    <w:rsid w:val="00E82ACA"/>
    <w:rsid w:val="00E82C12"/>
    <w:rsid w:val="00E833A7"/>
    <w:rsid w:val="00E835B7"/>
    <w:rsid w:val="00E836B5"/>
    <w:rsid w:val="00E83E01"/>
    <w:rsid w:val="00E83EDA"/>
    <w:rsid w:val="00E842C2"/>
    <w:rsid w:val="00E84448"/>
    <w:rsid w:val="00E8458F"/>
    <w:rsid w:val="00E845A1"/>
    <w:rsid w:val="00E84655"/>
    <w:rsid w:val="00E84959"/>
    <w:rsid w:val="00E84DBD"/>
    <w:rsid w:val="00E85210"/>
    <w:rsid w:val="00E85236"/>
    <w:rsid w:val="00E85DF2"/>
    <w:rsid w:val="00E87330"/>
    <w:rsid w:val="00E873A1"/>
    <w:rsid w:val="00E87440"/>
    <w:rsid w:val="00E90557"/>
    <w:rsid w:val="00E905BE"/>
    <w:rsid w:val="00E9090B"/>
    <w:rsid w:val="00E90CD0"/>
    <w:rsid w:val="00E91FF1"/>
    <w:rsid w:val="00E9267D"/>
    <w:rsid w:val="00E92CC0"/>
    <w:rsid w:val="00E9345B"/>
    <w:rsid w:val="00E937CA"/>
    <w:rsid w:val="00E93B51"/>
    <w:rsid w:val="00E93C24"/>
    <w:rsid w:val="00E944BD"/>
    <w:rsid w:val="00E94707"/>
    <w:rsid w:val="00E949FD"/>
    <w:rsid w:val="00E94C66"/>
    <w:rsid w:val="00E95A45"/>
    <w:rsid w:val="00E95B64"/>
    <w:rsid w:val="00E95E7D"/>
    <w:rsid w:val="00E9605F"/>
    <w:rsid w:val="00E968A8"/>
    <w:rsid w:val="00E97E33"/>
    <w:rsid w:val="00E97F75"/>
    <w:rsid w:val="00EA035B"/>
    <w:rsid w:val="00EA0C4C"/>
    <w:rsid w:val="00EA0F51"/>
    <w:rsid w:val="00EA1131"/>
    <w:rsid w:val="00EA19A9"/>
    <w:rsid w:val="00EA1AE3"/>
    <w:rsid w:val="00EA1C03"/>
    <w:rsid w:val="00EA2376"/>
    <w:rsid w:val="00EA2751"/>
    <w:rsid w:val="00EA2964"/>
    <w:rsid w:val="00EA2F4B"/>
    <w:rsid w:val="00EA310C"/>
    <w:rsid w:val="00EA32E4"/>
    <w:rsid w:val="00EA34E8"/>
    <w:rsid w:val="00EA3822"/>
    <w:rsid w:val="00EA3EA5"/>
    <w:rsid w:val="00EA3EB0"/>
    <w:rsid w:val="00EA4E2E"/>
    <w:rsid w:val="00EA5192"/>
    <w:rsid w:val="00EA5375"/>
    <w:rsid w:val="00EA5702"/>
    <w:rsid w:val="00EA608C"/>
    <w:rsid w:val="00EA6A66"/>
    <w:rsid w:val="00EA6DA4"/>
    <w:rsid w:val="00EA71AC"/>
    <w:rsid w:val="00EA79B4"/>
    <w:rsid w:val="00EA7ACE"/>
    <w:rsid w:val="00EA7CAB"/>
    <w:rsid w:val="00EB00B3"/>
    <w:rsid w:val="00EB026F"/>
    <w:rsid w:val="00EB058C"/>
    <w:rsid w:val="00EB0EC4"/>
    <w:rsid w:val="00EB145F"/>
    <w:rsid w:val="00EB16FE"/>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6660"/>
    <w:rsid w:val="00EB7500"/>
    <w:rsid w:val="00EB7C9B"/>
    <w:rsid w:val="00EC0098"/>
    <w:rsid w:val="00EC0A2A"/>
    <w:rsid w:val="00EC0F7E"/>
    <w:rsid w:val="00EC1378"/>
    <w:rsid w:val="00EC13C1"/>
    <w:rsid w:val="00EC19E5"/>
    <w:rsid w:val="00EC1CA7"/>
    <w:rsid w:val="00EC1E8F"/>
    <w:rsid w:val="00EC208D"/>
    <w:rsid w:val="00EC21C2"/>
    <w:rsid w:val="00EC21CD"/>
    <w:rsid w:val="00EC2507"/>
    <w:rsid w:val="00EC2727"/>
    <w:rsid w:val="00EC2E2E"/>
    <w:rsid w:val="00EC3797"/>
    <w:rsid w:val="00EC3DA4"/>
    <w:rsid w:val="00EC3FE4"/>
    <w:rsid w:val="00EC4902"/>
    <w:rsid w:val="00EC4DC9"/>
    <w:rsid w:val="00EC4FCD"/>
    <w:rsid w:val="00EC4FFC"/>
    <w:rsid w:val="00EC54D5"/>
    <w:rsid w:val="00EC580D"/>
    <w:rsid w:val="00EC59BF"/>
    <w:rsid w:val="00EC5F40"/>
    <w:rsid w:val="00EC652D"/>
    <w:rsid w:val="00EC723E"/>
    <w:rsid w:val="00EC73B6"/>
    <w:rsid w:val="00EC74D0"/>
    <w:rsid w:val="00EC77CD"/>
    <w:rsid w:val="00EC77FE"/>
    <w:rsid w:val="00ED042B"/>
    <w:rsid w:val="00ED1708"/>
    <w:rsid w:val="00ED2073"/>
    <w:rsid w:val="00ED2B8A"/>
    <w:rsid w:val="00ED30B9"/>
    <w:rsid w:val="00ED3397"/>
    <w:rsid w:val="00ED3748"/>
    <w:rsid w:val="00ED3BE2"/>
    <w:rsid w:val="00ED3C4C"/>
    <w:rsid w:val="00ED4235"/>
    <w:rsid w:val="00ED4668"/>
    <w:rsid w:val="00ED47B0"/>
    <w:rsid w:val="00ED4BDB"/>
    <w:rsid w:val="00ED4C0D"/>
    <w:rsid w:val="00ED529F"/>
    <w:rsid w:val="00ED5844"/>
    <w:rsid w:val="00ED69DE"/>
    <w:rsid w:val="00ED6F39"/>
    <w:rsid w:val="00ED722D"/>
    <w:rsid w:val="00ED73B6"/>
    <w:rsid w:val="00ED750A"/>
    <w:rsid w:val="00ED7909"/>
    <w:rsid w:val="00ED7BC9"/>
    <w:rsid w:val="00ED7D9E"/>
    <w:rsid w:val="00EE0537"/>
    <w:rsid w:val="00EE057D"/>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5EE4"/>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82D"/>
    <w:rsid w:val="00EF43E8"/>
    <w:rsid w:val="00EF4747"/>
    <w:rsid w:val="00EF5126"/>
    <w:rsid w:val="00EF51B0"/>
    <w:rsid w:val="00EF51CB"/>
    <w:rsid w:val="00EF5C92"/>
    <w:rsid w:val="00EF65B5"/>
    <w:rsid w:val="00EF68E3"/>
    <w:rsid w:val="00EF6D1C"/>
    <w:rsid w:val="00EF6ECF"/>
    <w:rsid w:val="00EF73E2"/>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6A6"/>
    <w:rsid w:val="00F11B44"/>
    <w:rsid w:val="00F11BED"/>
    <w:rsid w:val="00F11C2F"/>
    <w:rsid w:val="00F11E8F"/>
    <w:rsid w:val="00F12414"/>
    <w:rsid w:val="00F126BC"/>
    <w:rsid w:val="00F12742"/>
    <w:rsid w:val="00F12966"/>
    <w:rsid w:val="00F12C18"/>
    <w:rsid w:val="00F12F2F"/>
    <w:rsid w:val="00F12FC6"/>
    <w:rsid w:val="00F1304A"/>
    <w:rsid w:val="00F134D3"/>
    <w:rsid w:val="00F1350D"/>
    <w:rsid w:val="00F1369F"/>
    <w:rsid w:val="00F13A5C"/>
    <w:rsid w:val="00F13F84"/>
    <w:rsid w:val="00F146D6"/>
    <w:rsid w:val="00F14B40"/>
    <w:rsid w:val="00F14BC3"/>
    <w:rsid w:val="00F1523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2E47"/>
    <w:rsid w:val="00F2442B"/>
    <w:rsid w:val="00F249E5"/>
    <w:rsid w:val="00F25146"/>
    <w:rsid w:val="00F25D10"/>
    <w:rsid w:val="00F2690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2043"/>
    <w:rsid w:val="00F42294"/>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4E5"/>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60555"/>
    <w:rsid w:val="00F605D3"/>
    <w:rsid w:val="00F607DC"/>
    <w:rsid w:val="00F60871"/>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4B44"/>
    <w:rsid w:val="00F65A68"/>
    <w:rsid w:val="00F65CA6"/>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8CF"/>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507"/>
    <w:rsid w:val="00F87C75"/>
    <w:rsid w:val="00F87FC9"/>
    <w:rsid w:val="00F90954"/>
    <w:rsid w:val="00F90DDA"/>
    <w:rsid w:val="00F91066"/>
    <w:rsid w:val="00F919B1"/>
    <w:rsid w:val="00F92200"/>
    <w:rsid w:val="00F92A0F"/>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46F3"/>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536"/>
    <w:rsid w:val="00FB0F2E"/>
    <w:rsid w:val="00FB1606"/>
    <w:rsid w:val="00FB16D7"/>
    <w:rsid w:val="00FB1800"/>
    <w:rsid w:val="00FB1C07"/>
    <w:rsid w:val="00FB21A3"/>
    <w:rsid w:val="00FB2A29"/>
    <w:rsid w:val="00FB503C"/>
    <w:rsid w:val="00FB55F0"/>
    <w:rsid w:val="00FB5FF1"/>
    <w:rsid w:val="00FB6017"/>
    <w:rsid w:val="00FB620A"/>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C7A90"/>
    <w:rsid w:val="00FD02AE"/>
    <w:rsid w:val="00FD03FC"/>
    <w:rsid w:val="00FD0AAB"/>
    <w:rsid w:val="00FD0F6A"/>
    <w:rsid w:val="00FD0FE1"/>
    <w:rsid w:val="00FD1029"/>
    <w:rsid w:val="00FD113F"/>
    <w:rsid w:val="00FD1444"/>
    <w:rsid w:val="00FD153D"/>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581"/>
    <w:rsid w:val="00FE5A5B"/>
    <w:rsid w:val="00FE5D2D"/>
    <w:rsid w:val="00FE616A"/>
    <w:rsid w:val="00FE6447"/>
    <w:rsid w:val="00FE66AE"/>
    <w:rsid w:val="00FE69E3"/>
    <w:rsid w:val="00FE6E4B"/>
    <w:rsid w:val="00FE7DE7"/>
    <w:rsid w:val="00FF0077"/>
    <w:rsid w:val="00FF02CD"/>
    <w:rsid w:val="00FF0AAF"/>
    <w:rsid w:val="00FF0E78"/>
    <w:rsid w:val="00FF110E"/>
    <w:rsid w:val="00FF121C"/>
    <w:rsid w:val="00FF1919"/>
    <w:rsid w:val="00FF2155"/>
    <w:rsid w:val="00FF23F9"/>
    <w:rsid w:val="00FF2684"/>
    <w:rsid w:val="00FF29B8"/>
    <w:rsid w:val="00FF2A97"/>
    <w:rsid w:val="00FF2E1C"/>
    <w:rsid w:val="00FF369A"/>
    <w:rsid w:val="00FF3A85"/>
    <w:rsid w:val="00FF3DDC"/>
    <w:rsid w:val="00FF50EE"/>
    <w:rsid w:val="00FF51F9"/>
    <w:rsid w:val="00FF5421"/>
    <w:rsid w:val="00FF5783"/>
    <w:rsid w:val="00FF585E"/>
    <w:rsid w:val="00FF5998"/>
    <w:rsid w:val="00FF64B4"/>
    <w:rsid w:val="00FF6B61"/>
    <w:rsid w:val="00FF6BCE"/>
    <w:rsid w:val="00FF6CB6"/>
    <w:rsid w:val="00FF6FCD"/>
    <w:rsid w:val="00FF71B8"/>
    <w:rsid w:val="00FF734A"/>
    <w:rsid w:val="00FF73FD"/>
    <w:rsid w:val="00FF7C73"/>
    <w:rsid w:val="01230FF8"/>
    <w:rsid w:val="012C41AE"/>
    <w:rsid w:val="01370251"/>
    <w:rsid w:val="01546C03"/>
    <w:rsid w:val="01840D23"/>
    <w:rsid w:val="01C523EB"/>
    <w:rsid w:val="0240483A"/>
    <w:rsid w:val="02443EBF"/>
    <w:rsid w:val="028F7835"/>
    <w:rsid w:val="02D849EC"/>
    <w:rsid w:val="02F01FC8"/>
    <w:rsid w:val="030B0588"/>
    <w:rsid w:val="03125C24"/>
    <w:rsid w:val="032D0C4E"/>
    <w:rsid w:val="03622BC3"/>
    <w:rsid w:val="03884282"/>
    <w:rsid w:val="03AE680D"/>
    <w:rsid w:val="03EA585B"/>
    <w:rsid w:val="042335BA"/>
    <w:rsid w:val="04325E85"/>
    <w:rsid w:val="04674129"/>
    <w:rsid w:val="046E20F9"/>
    <w:rsid w:val="04873719"/>
    <w:rsid w:val="04CF4903"/>
    <w:rsid w:val="04CF61CD"/>
    <w:rsid w:val="04DC7CED"/>
    <w:rsid w:val="04F06240"/>
    <w:rsid w:val="050F7033"/>
    <w:rsid w:val="0525137B"/>
    <w:rsid w:val="052949F8"/>
    <w:rsid w:val="05352FCE"/>
    <w:rsid w:val="0579428C"/>
    <w:rsid w:val="059A5838"/>
    <w:rsid w:val="05A61685"/>
    <w:rsid w:val="05EB13F2"/>
    <w:rsid w:val="060B5B68"/>
    <w:rsid w:val="06196A46"/>
    <w:rsid w:val="062D66EE"/>
    <w:rsid w:val="06452A65"/>
    <w:rsid w:val="06493026"/>
    <w:rsid w:val="064B16EB"/>
    <w:rsid w:val="0689668C"/>
    <w:rsid w:val="069A2CD1"/>
    <w:rsid w:val="06B26E55"/>
    <w:rsid w:val="06C11103"/>
    <w:rsid w:val="06E958A4"/>
    <w:rsid w:val="06FB5E9D"/>
    <w:rsid w:val="073A1421"/>
    <w:rsid w:val="07851D6E"/>
    <w:rsid w:val="07AF1279"/>
    <w:rsid w:val="07F563F7"/>
    <w:rsid w:val="08221539"/>
    <w:rsid w:val="086361B9"/>
    <w:rsid w:val="08664BF1"/>
    <w:rsid w:val="087628FD"/>
    <w:rsid w:val="08B052CB"/>
    <w:rsid w:val="08EE2A4A"/>
    <w:rsid w:val="094A1567"/>
    <w:rsid w:val="094B6021"/>
    <w:rsid w:val="09562F75"/>
    <w:rsid w:val="09651F9A"/>
    <w:rsid w:val="09690880"/>
    <w:rsid w:val="09E46783"/>
    <w:rsid w:val="09E50F66"/>
    <w:rsid w:val="09FB296B"/>
    <w:rsid w:val="0A405FB0"/>
    <w:rsid w:val="0A451405"/>
    <w:rsid w:val="0AAE3D3C"/>
    <w:rsid w:val="0AEF4DA2"/>
    <w:rsid w:val="0B0C74E3"/>
    <w:rsid w:val="0B686A05"/>
    <w:rsid w:val="0B867A90"/>
    <w:rsid w:val="0B9755B2"/>
    <w:rsid w:val="0C0E1075"/>
    <w:rsid w:val="0C295E89"/>
    <w:rsid w:val="0C4F3346"/>
    <w:rsid w:val="0C5646FE"/>
    <w:rsid w:val="0C591FE7"/>
    <w:rsid w:val="0C651FF1"/>
    <w:rsid w:val="0C8A2C23"/>
    <w:rsid w:val="0D005082"/>
    <w:rsid w:val="0D0608D6"/>
    <w:rsid w:val="0D1A3721"/>
    <w:rsid w:val="0D341A8F"/>
    <w:rsid w:val="0D5225D9"/>
    <w:rsid w:val="0D5A1BC5"/>
    <w:rsid w:val="0D6E62AF"/>
    <w:rsid w:val="0DB97A81"/>
    <w:rsid w:val="0DE76237"/>
    <w:rsid w:val="0E337610"/>
    <w:rsid w:val="0E540B6A"/>
    <w:rsid w:val="0EB22FED"/>
    <w:rsid w:val="0EC14BA3"/>
    <w:rsid w:val="0EC73999"/>
    <w:rsid w:val="0ECC63D3"/>
    <w:rsid w:val="0ED66184"/>
    <w:rsid w:val="0ED960F2"/>
    <w:rsid w:val="0F3167E5"/>
    <w:rsid w:val="0F3A28E2"/>
    <w:rsid w:val="0F4E1281"/>
    <w:rsid w:val="0F9A09BE"/>
    <w:rsid w:val="0FA46131"/>
    <w:rsid w:val="0FC601FA"/>
    <w:rsid w:val="0FE52441"/>
    <w:rsid w:val="0FF652DD"/>
    <w:rsid w:val="0FF759BE"/>
    <w:rsid w:val="101D20C8"/>
    <w:rsid w:val="10263719"/>
    <w:rsid w:val="10995400"/>
    <w:rsid w:val="11036706"/>
    <w:rsid w:val="1105338F"/>
    <w:rsid w:val="11114239"/>
    <w:rsid w:val="11586E4C"/>
    <w:rsid w:val="11644EED"/>
    <w:rsid w:val="11875C36"/>
    <w:rsid w:val="11B132B7"/>
    <w:rsid w:val="11E61964"/>
    <w:rsid w:val="11F51383"/>
    <w:rsid w:val="11FE7D5F"/>
    <w:rsid w:val="120B0F45"/>
    <w:rsid w:val="120F3ACD"/>
    <w:rsid w:val="121557F7"/>
    <w:rsid w:val="121B6F0E"/>
    <w:rsid w:val="12A27113"/>
    <w:rsid w:val="13546205"/>
    <w:rsid w:val="13573F3B"/>
    <w:rsid w:val="136B6742"/>
    <w:rsid w:val="138D1341"/>
    <w:rsid w:val="13CB2F56"/>
    <w:rsid w:val="13EA3C70"/>
    <w:rsid w:val="13F4131F"/>
    <w:rsid w:val="14092411"/>
    <w:rsid w:val="142148D7"/>
    <w:rsid w:val="14395983"/>
    <w:rsid w:val="14D233B9"/>
    <w:rsid w:val="14F55732"/>
    <w:rsid w:val="15061D4E"/>
    <w:rsid w:val="150A2791"/>
    <w:rsid w:val="151F6752"/>
    <w:rsid w:val="156D6108"/>
    <w:rsid w:val="15755DD1"/>
    <w:rsid w:val="15AA0CAD"/>
    <w:rsid w:val="15EE5CA7"/>
    <w:rsid w:val="161D2B42"/>
    <w:rsid w:val="166213BA"/>
    <w:rsid w:val="16844462"/>
    <w:rsid w:val="168E61D7"/>
    <w:rsid w:val="16954E6F"/>
    <w:rsid w:val="16A0034D"/>
    <w:rsid w:val="16B83DCF"/>
    <w:rsid w:val="16C73561"/>
    <w:rsid w:val="16E313B3"/>
    <w:rsid w:val="17101991"/>
    <w:rsid w:val="176C3394"/>
    <w:rsid w:val="17732419"/>
    <w:rsid w:val="1791369D"/>
    <w:rsid w:val="17A00BB3"/>
    <w:rsid w:val="17D33B8E"/>
    <w:rsid w:val="17FE3EE4"/>
    <w:rsid w:val="180E08E1"/>
    <w:rsid w:val="18196D26"/>
    <w:rsid w:val="181C3A9D"/>
    <w:rsid w:val="18296E49"/>
    <w:rsid w:val="183B3D84"/>
    <w:rsid w:val="187D5677"/>
    <w:rsid w:val="1889197C"/>
    <w:rsid w:val="18B96600"/>
    <w:rsid w:val="18D65DFE"/>
    <w:rsid w:val="18DD1CDA"/>
    <w:rsid w:val="19016C45"/>
    <w:rsid w:val="19076499"/>
    <w:rsid w:val="19387C7B"/>
    <w:rsid w:val="19642B5C"/>
    <w:rsid w:val="19815690"/>
    <w:rsid w:val="19BF2896"/>
    <w:rsid w:val="19CB52FA"/>
    <w:rsid w:val="19FD6728"/>
    <w:rsid w:val="1A0D3A6C"/>
    <w:rsid w:val="1A7F5B53"/>
    <w:rsid w:val="1A82510B"/>
    <w:rsid w:val="1AA1711E"/>
    <w:rsid w:val="1AE033C7"/>
    <w:rsid w:val="1AF24ADA"/>
    <w:rsid w:val="1AF41766"/>
    <w:rsid w:val="1B181367"/>
    <w:rsid w:val="1B620B6E"/>
    <w:rsid w:val="1B696E99"/>
    <w:rsid w:val="1B7F1E83"/>
    <w:rsid w:val="1B9333D7"/>
    <w:rsid w:val="1BBE3C53"/>
    <w:rsid w:val="1BCC3D5C"/>
    <w:rsid w:val="1BFF0BBB"/>
    <w:rsid w:val="1C2D18F0"/>
    <w:rsid w:val="1C38073B"/>
    <w:rsid w:val="1C380F8C"/>
    <w:rsid w:val="1C4C0EAB"/>
    <w:rsid w:val="1C612E14"/>
    <w:rsid w:val="1CEF7BC8"/>
    <w:rsid w:val="1D133281"/>
    <w:rsid w:val="1D56710C"/>
    <w:rsid w:val="1D7513D6"/>
    <w:rsid w:val="1D7F3E07"/>
    <w:rsid w:val="1D856966"/>
    <w:rsid w:val="1DA93D26"/>
    <w:rsid w:val="1DB22B6B"/>
    <w:rsid w:val="1DDC4D1A"/>
    <w:rsid w:val="1DF30DBE"/>
    <w:rsid w:val="1DF3266B"/>
    <w:rsid w:val="1E651F9D"/>
    <w:rsid w:val="1E8C3F85"/>
    <w:rsid w:val="1F851168"/>
    <w:rsid w:val="1F8E57BA"/>
    <w:rsid w:val="1FAE69B8"/>
    <w:rsid w:val="1FC3740D"/>
    <w:rsid w:val="20166D26"/>
    <w:rsid w:val="203355D2"/>
    <w:rsid w:val="20442961"/>
    <w:rsid w:val="205A17CB"/>
    <w:rsid w:val="208057D2"/>
    <w:rsid w:val="20887FB8"/>
    <w:rsid w:val="20EC4110"/>
    <w:rsid w:val="20F60F11"/>
    <w:rsid w:val="20FB48FC"/>
    <w:rsid w:val="210E7201"/>
    <w:rsid w:val="21142C6D"/>
    <w:rsid w:val="212E56A3"/>
    <w:rsid w:val="21385634"/>
    <w:rsid w:val="214A3E4F"/>
    <w:rsid w:val="21681417"/>
    <w:rsid w:val="2199384F"/>
    <w:rsid w:val="21DB34DC"/>
    <w:rsid w:val="225472B9"/>
    <w:rsid w:val="225D6794"/>
    <w:rsid w:val="22726F52"/>
    <w:rsid w:val="22902DE7"/>
    <w:rsid w:val="229A2306"/>
    <w:rsid w:val="22B11AE5"/>
    <w:rsid w:val="22EA0977"/>
    <w:rsid w:val="23004C72"/>
    <w:rsid w:val="23466651"/>
    <w:rsid w:val="23473951"/>
    <w:rsid w:val="23950110"/>
    <w:rsid w:val="23BF6ADE"/>
    <w:rsid w:val="23F8694E"/>
    <w:rsid w:val="241D4C3B"/>
    <w:rsid w:val="24470277"/>
    <w:rsid w:val="24811A31"/>
    <w:rsid w:val="248779A4"/>
    <w:rsid w:val="248B6F0F"/>
    <w:rsid w:val="24D861DA"/>
    <w:rsid w:val="24E63334"/>
    <w:rsid w:val="24F9002D"/>
    <w:rsid w:val="250214D6"/>
    <w:rsid w:val="2520284B"/>
    <w:rsid w:val="255634CE"/>
    <w:rsid w:val="255F2871"/>
    <w:rsid w:val="257B402C"/>
    <w:rsid w:val="25815FD3"/>
    <w:rsid w:val="258646B2"/>
    <w:rsid w:val="258D467E"/>
    <w:rsid w:val="25AC2CC4"/>
    <w:rsid w:val="26363656"/>
    <w:rsid w:val="26457852"/>
    <w:rsid w:val="264D7D28"/>
    <w:rsid w:val="264D7E55"/>
    <w:rsid w:val="26955AC7"/>
    <w:rsid w:val="26B776C7"/>
    <w:rsid w:val="277D0DD7"/>
    <w:rsid w:val="27F0280E"/>
    <w:rsid w:val="27FE1015"/>
    <w:rsid w:val="28916895"/>
    <w:rsid w:val="28E223C0"/>
    <w:rsid w:val="2960459B"/>
    <w:rsid w:val="29DA1326"/>
    <w:rsid w:val="2A2C69CF"/>
    <w:rsid w:val="2A3763F1"/>
    <w:rsid w:val="2A6B6ACA"/>
    <w:rsid w:val="2A7F614D"/>
    <w:rsid w:val="2A8F181C"/>
    <w:rsid w:val="2A9E1C4B"/>
    <w:rsid w:val="2AB128DE"/>
    <w:rsid w:val="2ABA4BDA"/>
    <w:rsid w:val="2AE35562"/>
    <w:rsid w:val="2B3148C7"/>
    <w:rsid w:val="2B6F3C13"/>
    <w:rsid w:val="2B7E1521"/>
    <w:rsid w:val="2B867E70"/>
    <w:rsid w:val="2BC519A0"/>
    <w:rsid w:val="2BF34A45"/>
    <w:rsid w:val="2C1139E6"/>
    <w:rsid w:val="2C2E4FDD"/>
    <w:rsid w:val="2C392E8C"/>
    <w:rsid w:val="2C755A5C"/>
    <w:rsid w:val="2CD00446"/>
    <w:rsid w:val="2CD21EC3"/>
    <w:rsid w:val="2CEC54F3"/>
    <w:rsid w:val="2CFB3C06"/>
    <w:rsid w:val="2D092DC9"/>
    <w:rsid w:val="2D1037FC"/>
    <w:rsid w:val="2D294F8C"/>
    <w:rsid w:val="2D2F463D"/>
    <w:rsid w:val="2E075F1C"/>
    <w:rsid w:val="2E216CF2"/>
    <w:rsid w:val="2E4610B2"/>
    <w:rsid w:val="2E4C0935"/>
    <w:rsid w:val="2E817FC1"/>
    <w:rsid w:val="2E870E83"/>
    <w:rsid w:val="2EAE4880"/>
    <w:rsid w:val="2EB521F5"/>
    <w:rsid w:val="2F1A7290"/>
    <w:rsid w:val="2F7B2870"/>
    <w:rsid w:val="2FE765A3"/>
    <w:rsid w:val="30172FA4"/>
    <w:rsid w:val="304B7F8C"/>
    <w:rsid w:val="30506C49"/>
    <w:rsid w:val="30896680"/>
    <w:rsid w:val="30B254A1"/>
    <w:rsid w:val="30E047C3"/>
    <w:rsid w:val="31096850"/>
    <w:rsid w:val="31214DF7"/>
    <w:rsid w:val="3121700E"/>
    <w:rsid w:val="31301F0B"/>
    <w:rsid w:val="317371BD"/>
    <w:rsid w:val="31C0321A"/>
    <w:rsid w:val="31DE5DBF"/>
    <w:rsid w:val="320F140E"/>
    <w:rsid w:val="321020A6"/>
    <w:rsid w:val="323A6A37"/>
    <w:rsid w:val="32512E65"/>
    <w:rsid w:val="329847A9"/>
    <w:rsid w:val="32CC6D9C"/>
    <w:rsid w:val="330E6D0C"/>
    <w:rsid w:val="3314488D"/>
    <w:rsid w:val="33781B16"/>
    <w:rsid w:val="33A4365B"/>
    <w:rsid w:val="33B404DC"/>
    <w:rsid w:val="33C72A66"/>
    <w:rsid w:val="33D22550"/>
    <w:rsid w:val="33EC0EEE"/>
    <w:rsid w:val="34054F2C"/>
    <w:rsid w:val="341425B6"/>
    <w:rsid w:val="34394601"/>
    <w:rsid w:val="34477D1D"/>
    <w:rsid w:val="3461127D"/>
    <w:rsid w:val="34DC1DF1"/>
    <w:rsid w:val="350A7096"/>
    <w:rsid w:val="351D0AA8"/>
    <w:rsid w:val="352B373E"/>
    <w:rsid w:val="35471098"/>
    <w:rsid w:val="355E3D20"/>
    <w:rsid w:val="35837334"/>
    <w:rsid w:val="358A1460"/>
    <w:rsid w:val="35BB2335"/>
    <w:rsid w:val="36240D01"/>
    <w:rsid w:val="36266DB4"/>
    <w:rsid w:val="363C1FA9"/>
    <w:rsid w:val="36A26B19"/>
    <w:rsid w:val="36A50B59"/>
    <w:rsid w:val="36B35EB4"/>
    <w:rsid w:val="36ED6539"/>
    <w:rsid w:val="372616F3"/>
    <w:rsid w:val="37636B1B"/>
    <w:rsid w:val="37DB047C"/>
    <w:rsid w:val="37EB2C74"/>
    <w:rsid w:val="37F67806"/>
    <w:rsid w:val="3802202F"/>
    <w:rsid w:val="38183F76"/>
    <w:rsid w:val="382D4319"/>
    <w:rsid w:val="383C75F5"/>
    <w:rsid w:val="38CE0445"/>
    <w:rsid w:val="38FA1728"/>
    <w:rsid w:val="39097E2F"/>
    <w:rsid w:val="397E3D99"/>
    <w:rsid w:val="399B4E0F"/>
    <w:rsid w:val="399E5C78"/>
    <w:rsid w:val="39CC1A7F"/>
    <w:rsid w:val="3A011836"/>
    <w:rsid w:val="3A050D77"/>
    <w:rsid w:val="3A0E3F33"/>
    <w:rsid w:val="3A2B7F68"/>
    <w:rsid w:val="3A664DE2"/>
    <w:rsid w:val="3A6D2229"/>
    <w:rsid w:val="3A774FF1"/>
    <w:rsid w:val="3A7B2F4D"/>
    <w:rsid w:val="3AD81F71"/>
    <w:rsid w:val="3ADA1B74"/>
    <w:rsid w:val="3B0F76D9"/>
    <w:rsid w:val="3B446D0A"/>
    <w:rsid w:val="3B697D24"/>
    <w:rsid w:val="3B92551B"/>
    <w:rsid w:val="3B9308AE"/>
    <w:rsid w:val="3BCF56B7"/>
    <w:rsid w:val="3BDF11E2"/>
    <w:rsid w:val="3BFD010D"/>
    <w:rsid w:val="3C143C61"/>
    <w:rsid w:val="3C39735A"/>
    <w:rsid w:val="3C3C11E2"/>
    <w:rsid w:val="3C6445D1"/>
    <w:rsid w:val="3C793F4A"/>
    <w:rsid w:val="3CB43F1F"/>
    <w:rsid w:val="3CD348D6"/>
    <w:rsid w:val="3D366FB4"/>
    <w:rsid w:val="3D8141C6"/>
    <w:rsid w:val="3DBE0D0D"/>
    <w:rsid w:val="3DC1613E"/>
    <w:rsid w:val="3E016E42"/>
    <w:rsid w:val="3E3135A0"/>
    <w:rsid w:val="3E3F2CB9"/>
    <w:rsid w:val="3E5709F7"/>
    <w:rsid w:val="3E6337A6"/>
    <w:rsid w:val="3E872C04"/>
    <w:rsid w:val="3E907498"/>
    <w:rsid w:val="3EDB2C44"/>
    <w:rsid w:val="3EDD63BF"/>
    <w:rsid w:val="3F1F53E4"/>
    <w:rsid w:val="3F233941"/>
    <w:rsid w:val="3F4B5C64"/>
    <w:rsid w:val="3F4E1F09"/>
    <w:rsid w:val="3F991D2C"/>
    <w:rsid w:val="3FB07D68"/>
    <w:rsid w:val="3FC252CB"/>
    <w:rsid w:val="3FD6645B"/>
    <w:rsid w:val="404A60CA"/>
    <w:rsid w:val="405532C4"/>
    <w:rsid w:val="4062520D"/>
    <w:rsid w:val="40C0157E"/>
    <w:rsid w:val="40D53788"/>
    <w:rsid w:val="413565D1"/>
    <w:rsid w:val="41510F6D"/>
    <w:rsid w:val="41826890"/>
    <w:rsid w:val="4184148D"/>
    <w:rsid w:val="41AB115D"/>
    <w:rsid w:val="41C85D2B"/>
    <w:rsid w:val="41FF0A9A"/>
    <w:rsid w:val="423A3A5D"/>
    <w:rsid w:val="424A2D2E"/>
    <w:rsid w:val="425C5FB5"/>
    <w:rsid w:val="42A517C6"/>
    <w:rsid w:val="42AD45EC"/>
    <w:rsid w:val="42EF721E"/>
    <w:rsid w:val="43023801"/>
    <w:rsid w:val="43025BA5"/>
    <w:rsid w:val="432428E8"/>
    <w:rsid w:val="43433C4B"/>
    <w:rsid w:val="43496E5B"/>
    <w:rsid w:val="43540F3D"/>
    <w:rsid w:val="4367724B"/>
    <w:rsid w:val="437A09FB"/>
    <w:rsid w:val="43921F89"/>
    <w:rsid w:val="4393617C"/>
    <w:rsid w:val="43972662"/>
    <w:rsid w:val="43A56A1E"/>
    <w:rsid w:val="444D3E58"/>
    <w:rsid w:val="44751191"/>
    <w:rsid w:val="44767F39"/>
    <w:rsid w:val="449E04D5"/>
    <w:rsid w:val="44EA3E4B"/>
    <w:rsid w:val="44F2377A"/>
    <w:rsid w:val="44F52628"/>
    <w:rsid w:val="45C042E6"/>
    <w:rsid w:val="45DC2839"/>
    <w:rsid w:val="45E604F1"/>
    <w:rsid w:val="45E93B98"/>
    <w:rsid w:val="45F2528E"/>
    <w:rsid w:val="46107F64"/>
    <w:rsid w:val="46170F6D"/>
    <w:rsid w:val="46200F21"/>
    <w:rsid w:val="46487638"/>
    <w:rsid w:val="4657470B"/>
    <w:rsid w:val="469F700F"/>
    <w:rsid w:val="46B93951"/>
    <w:rsid w:val="4728571D"/>
    <w:rsid w:val="473E5A4C"/>
    <w:rsid w:val="47817E02"/>
    <w:rsid w:val="47DB0659"/>
    <w:rsid w:val="47E0168C"/>
    <w:rsid w:val="47EB17E0"/>
    <w:rsid w:val="47FB1CDD"/>
    <w:rsid w:val="481754A6"/>
    <w:rsid w:val="48223316"/>
    <w:rsid w:val="484271F0"/>
    <w:rsid w:val="48AC5848"/>
    <w:rsid w:val="48B80F82"/>
    <w:rsid w:val="48F15C28"/>
    <w:rsid w:val="48FA5C20"/>
    <w:rsid w:val="493039B9"/>
    <w:rsid w:val="4938597C"/>
    <w:rsid w:val="49532EE1"/>
    <w:rsid w:val="49AF560C"/>
    <w:rsid w:val="49E8252C"/>
    <w:rsid w:val="49F67854"/>
    <w:rsid w:val="4A1D4AD4"/>
    <w:rsid w:val="4A2D2F27"/>
    <w:rsid w:val="4A401FE6"/>
    <w:rsid w:val="4A5C0BC6"/>
    <w:rsid w:val="4AF2653C"/>
    <w:rsid w:val="4B2447D7"/>
    <w:rsid w:val="4B63508A"/>
    <w:rsid w:val="4B706B6C"/>
    <w:rsid w:val="4B822EF8"/>
    <w:rsid w:val="4B82511D"/>
    <w:rsid w:val="4BA82AAC"/>
    <w:rsid w:val="4BBD0443"/>
    <w:rsid w:val="4BC35A11"/>
    <w:rsid w:val="4C2A3794"/>
    <w:rsid w:val="4C571A48"/>
    <w:rsid w:val="4CAD015B"/>
    <w:rsid w:val="4CBE6FA8"/>
    <w:rsid w:val="4D0B27DB"/>
    <w:rsid w:val="4D46631A"/>
    <w:rsid w:val="4D532397"/>
    <w:rsid w:val="4D5E3AB5"/>
    <w:rsid w:val="4D720A19"/>
    <w:rsid w:val="4D7367CD"/>
    <w:rsid w:val="4D941BCF"/>
    <w:rsid w:val="4D9E7DCC"/>
    <w:rsid w:val="4DAC5DCB"/>
    <w:rsid w:val="4DCD2E97"/>
    <w:rsid w:val="4DD93727"/>
    <w:rsid w:val="4E204E9B"/>
    <w:rsid w:val="4E21750C"/>
    <w:rsid w:val="4E3F0252"/>
    <w:rsid w:val="4E6936E6"/>
    <w:rsid w:val="4EFD3A3D"/>
    <w:rsid w:val="4F034DFF"/>
    <w:rsid w:val="4F535630"/>
    <w:rsid w:val="4F844CD5"/>
    <w:rsid w:val="4FBD0783"/>
    <w:rsid w:val="4FDF5361"/>
    <w:rsid w:val="4FE04607"/>
    <w:rsid w:val="4FF8181C"/>
    <w:rsid w:val="50555226"/>
    <w:rsid w:val="5081423E"/>
    <w:rsid w:val="50B93A6A"/>
    <w:rsid w:val="51A72EFC"/>
    <w:rsid w:val="52377171"/>
    <w:rsid w:val="5257222D"/>
    <w:rsid w:val="52B576B7"/>
    <w:rsid w:val="52D85120"/>
    <w:rsid w:val="52FF168C"/>
    <w:rsid w:val="53023F53"/>
    <w:rsid w:val="530E7FF6"/>
    <w:rsid w:val="534331DB"/>
    <w:rsid w:val="539A29F7"/>
    <w:rsid w:val="53B815CC"/>
    <w:rsid w:val="53BB47C5"/>
    <w:rsid w:val="53C20905"/>
    <w:rsid w:val="53CB2C45"/>
    <w:rsid w:val="53FD74FB"/>
    <w:rsid w:val="54033AB1"/>
    <w:rsid w:val="540D4A91"/>
    <w:rsid w:val="54283C97"/>
    <w:rsid w:val="54614F2D"/>
    <w:rsid w:val="54702C1E"/>
    <w:rsid w:val="550E2DBE"/>
    <w:rsid w:val="552A39B0"/>
    <w:rsid w:val="556F3F7A"/>
    <w:rsid w:val="558F33EB"/>
    <w:rsid w:val="562048FF"/>
    <w:rsid w:val="568B4FC6"/>
    <w:rsid w:val="56B54986"/>
    <w:rsid w:val="56DB7422"/>
    <w:rsid w:val="56E12D98"/>
    <w:rsid w:val="56EF5B8A"/>
    <w:rsid w:val="56FE23F5"/>
    <w:rsid w:val="57074E66"/>
    <w:rsid w:val="57344A1C"/>
    <w:rsid w:val="573C7890"/>
    <w:rsid w:val="574B2302"/>
    <w:rsid w:val="57554435"/>
    <w:rsid w:val="575C2B2B"/>
    <w:rsid w:val="57796F63"/>
    <w:rsid w:val="57BE085A"/>
    <w:rsid w:val="57CA04C3"/>
    <w:rsid w:val="57CB766E"/>
    <w:rsid w:val="57D67482"/>
    <w:rsid w:val="57E020A2"/>
    <w:rsid w:val="580E1729"/>
    <w:rsid w:val="584D4288"/>
    <w:rsid w:val="58896936"/>
    <w:rsid w:val="5899652F"/>
    <w:rsid w:val="589A3721"/>
    <w:rsid w:val="58A720A2"/>
    <w:rsid w:val="58DF7AEE"/>
    <w:rsid w:val="58FB64F2"/>
    <w:rsid w:val="590630EC"/>
    <w:rsid w:val="590E2B9C"/>
    <w:rsid w:val="59167026"/>
    <w:rsid w:val="595742EA"/>
    <w:rsid w:val="596B4479"/>
    <w:rsid w:val="597A47EB"/>
    <w:rsid w:val="59B52DF3"/>
    <w:rsid w:val="59DB1E23"/>
    <w:rsid w:val="5A0B3F27"/>
    <w:rsid w:val="5A1D79F1"/>
    <w:rsid w:val="5A235BD4"/>
    <w:rsid w:val="5A290EEB"/>
    <w:rsid w:val="5A7A0E21"/>
    <w:rsid w:val="5A870496"/>
    <w:rsid w:val="5AA036F3"/>
    <w:rsid w:val="5AA5407F"/>
    <w:rsid w:val="5AD30723"/>
    <w:rsid w:val="5AF012E9"/>
    <w:rsid w:val="5B381A52"/>
    <w:rsid w:val="5B4D58FA"/>
    <w:rsid w:val="5B554377"/>
    <w:rsid w:val="5B641B31"/>
    <w:rsid w:val="5B6E7D92"/>
    <w:rsid w:val="5B6F170C"/>
    <w:rsid w:val="5B932C33"/>
    <w:rsid w:val="5BC60F66"/>
    <w:rsid w:val="5C2359ED"/>
    <w:rsid w:val="5C2A0400"/>
    <w:rsid w:val="5C73122C"/>
    <w:rsid w:val="5C9B7FB0"/>
    <w:rsid w:val="5CB65CCC"/>
    <w:rsid w:val="5D351D8F"/>
    <w:rsid w:val="5D5A76F0"/>
    <w:rsid w:val="5D782D01"/>
    <w:rsid w:val="5D85388A"/>
    <w:rsid w:val="5DC867D9"/>
    <w:rsid w:val="5E061C3D"/>
    <w:rsid w:val="5E0D1E80"/>
    <w:rsid w:val="5E39435C"/>
    <w:rsid w:val="5E3E038A"/>
    <w:rsid w:val="5E8557EF"/>
    <w:rsid w:val="5EAD5062"/>
    <w:rsid w:val="5EB065FA"/>
    <w:rsid w:val="5EBE607C"/>
    <w:rsid w:val="5EC843DC"/>
    <w:rsid w:val="5ECE5C2F"/>
    <w:rsid w:val="5ED1242A"/>
    <w:rsid w:val="5EDC2437"/>
    <w:rsid w:val="5F2D3077"/>
    <w:rsid w:val="5F4C2137"/>
    <w:rsid w:val="5F610928"/>
    <w:rsid w:val="5F7D7B6B"/>
    <w:rsid w:val="5F8B6B54"/>
    <w:rsid w:val="5FAC3391"/>
    <w:rsid w:val="60221C37"/>
    <w:rsid w:val="60531E6E"/>
    <w:rsid w:val="60664F57"/>
    <w:rsid w:val="606F5F56"/>
    <w:rsid w:val="60C0446E"/>
    <w:rsid w:val="60E93AA7"/>
    <w:rsid w:val="60EC748E"/>
    <w:rsid w:val="61021356"/>
    <w:rsid w:val="610824BF"/>
    <w:rsid w:val="613A20AC"/>
    <w:rsid w:val="613C334A"/>
    <w:rsid w:val="613E5C1D"/>
    <w:rsid w:val="61662BDC"/>
    <w:rsid w:val="617F105B"/>
    <w:rsid w:val="619743F4"/>
    <w:rsid w:val="61CB4CD1"/>
    <w:rsid w:val="61DF0CF1"/>
    <w:rsid w:val="61E0148A"/>
    <w:rsid w:val="6210469A"/>
    <w:rsid w:val="62326256"/>
    <w:rsid w:val="624C5183"/>
    <w:rsid w:val="62741ED8"/>
    <w:rsid w:val="6277675C"/>
    <w:rsid w:val="627E3634"/>
    <w:rsid w:val="6298395E"/>
    <w:rsid w:val="63287DD9"/>
    <w:rsid w:val="639F52E6"/>
    <w:rsid w:val="63CA3E90"/>
    <w:rsid w:val="63E257C7"/>
    <w:rsid w:val="640302A1"/>
    <w:rsid w:val="644466C4"/>
    <w:rsid w:val="646334F7"/>
    <w:rsid w:val="646D554A"/>
    <w:rsid w:val="64AD3F25"/>
    <w:rsid w:val="651008F6"/>
    <w:rsid w:val="65165B9C"/>
    <w:rsid w:val="65554306"/>
    <w:rsid w:val="65BB733F"/>
    <w:rsid w:val="65C34F12"/>
    <w:rsid w:val="65D37571"/>
    <w:rsid w:val="661C6EC1"/>
    <w:rsid w:val="661E2D6B"/>
    <w:rsid w:val="663C287A"/>
    <w:rsid w:val="663E4475"/>
    <w:rsid w:val="66657908"/>
    <w:rsid w:val="6673441B"/>
    <w:rsid w:val="66924937"/>
    <w:rsid w:val="66B20069"/>
    <w:rsid w:val="66E35713"/>
    <w:rsid w:val="66E35E61"/>
    <w:rsid w:val="671E7502"/>
    <w:rsid w:val="67A245F8"/>
    <w:rsid w:val="67E91DFE"/>
    <w:rsid w:val="67F31CCF"/>
    <w:rsid w:val="683668BD"/>
    <w:rsid w:val="684A3D7A"/>
    <w:rsid w:val="686F3E8C"/>
    <w:rsid w:val="68BB59D8"/>
    <w:rsid w:val="68CF7538"/>
    <w:rsid w:val="6909000C"/>
    <w:rsid w:val="6911482C"/>
    <w:rsid w:val="69207100"/>
    <w:rsid w:val="69321091"/>
    <w:rsid w:val="695600A2"/>
    <w:rsid w:val="697A4977"/>
    <w:rsid w:val="697D0C37"/>
    <w:rsid w:val="69C272B4"/>
    <w:rsid w:val="6A481515"/>
    <w:rsid w:val="6A61786F"/>
    <w:rsid w:val="6A655104"/>
    <w:rsid w:val="6A67588C"/>
    <w:rsid w:val="6A803445"/>
    <w:rsid w:val="6ACC099E"/>
    <w:rsid w:val="6AE54697"/>
    <w:rsid w:val="6AF04A32"/>
    <w:rsid w:val="6AFC3365"/>
    <w:rsid w:val="6B2E6F54"/>
    <w:rsid w:val="6B5E0794"/>
    <w:rsid w:val="6B9A389A"/>
    <w:rsid w:val="6B9E3E0B"/>
    <w:rsid w:val="6BAB1D99"/>
    <w:rsid w:val="6BAC2023"/>
    <w:rsid w:val="6BD776AA"/>
    <w:rsid w:val="6C2875C5"/>
    <w:rsid w:val="6C326222"/>
    <w:rsid w:val="6C3E22BA"/>
    <w:rsid w:val="6C5A3443"/>
    <w:rsid w:val="6C6C4531"/>
    <w:rsid w:val="6C7C556D"/>
    <w:rsid w:val="6CAD7057"/>
    <w:rsid w:val="6CC73E5D"/>
    <w:rsid w:val="6D2F4FFF"/>
    <w:rsid w:val="6D3B7A0F"/>
    <w:rsid w:val="6D4C405A"/>
    <w:rsid w:val="6D6802AC"/>
    <w:rsid w:val="6DCC4DBA"/>
    <w:rsid w:val="6DE83137"/>
    <w:rsid w:val="6DF4428A"/>
    <w:rsid w:val="6E47278A"/>
    <w:rsid w:val="6E4D72D5"/>
    <w:rsid w:val="6E7972A6"/>
    <w:rsid w:val="6E86457C"/>
    <w:rsid w:val="6E9B2ED2"/>
    <w:rsid w:val="6EA44233"/>
    <w:rsid w:val="6EBD4278"/>
    <w:rsid w:val="6F1428B1"/>
    <w:rsid w:val="6F42340E"/>
    <w:rsid w:val="6F5467A0"/>
    <w:rsid w:val="6F5F2B18"/>
    <w:rsid w:val="6FB31558"/>
    <w:rsid w:val="6FE7157F"/>
    <w:rsid w:val="6FEB138A"/>
    <w:rsid w:val="70254122"/>
    <w:rsid w:val="70441C0F"/>
    <w:rsid w:val="70524C09"/>
    <w:rsid w:val="706D083E"/>
    <w:rsid w:val="7094628A"/>
    <w:rsid w:val="70994C18"/>
    <w:rsid w:val="70AB7874"/>
    <w:rsid w:val="70B8322B"/>
    <w:rsid w:val="70EE7819"/>
    <w:rsid w:val="70F848E4"/>
    <w:rsid w:val="70FD7F62"/>
    <w:rsid w:val="71061D22"/>
    <w:rsid w:val="711F1E07"/>
    <w:rsid w:val="71346E86"/>
    <w:rsid w:val="7150119D"/>
    <w:rsid w:val="718538F0"/>
    <w:rsid w:val="718A14F4"/>
    <w:rsid w:val="71912563"/>
    <w:rsid w:val="71A766D2"/>
    <w:rsid w:val="71AE4E0C"/>
    <w:rsid w:val="71DC6050"/>
    <w:rsid w:val="71EB5C11"/>
    <w:rsid w:val="720930EC"/>
    <w:rsid w:val="720A65F0"/>
    <w:rsid w:val="7224199D"/>
    <w:rsid w:val="723825FF"/>
    <w:rsid w:val="724C103C"/>
    <w:rsid w:val="7278144F"/>
    <w:rsid w:val="727F3F0B"/>
    <w:rsid w:val="72AD4A44"/>
    <w:rsid w:val="72C13499"/>
    <w:rsid w:val="72C93C85"/>
    <w:rsid w:val="736162BE"/>
    <w:rsid w:val="73816CB2"/>
    <w:rsid w:val="73843DE0"/>
    <w:rsid w:val="739934A7"/>
    <w:rsid w:val="73B947DD"/>
    <w:rsid w:val="73E564F0"/>
    <w:rsid w:val="73FF748F"/>
    <w:rsid w:val="742348AB"/>
    <w:rsid w:val="744B2F44"/>
    <w:rsid w:val="748B11F3"/>
    <w:rsid w:val="74946A41"/>
    <w:rsid w:val="74AF1364"/>
    <w:rsid w:val="75477563"/>
    <w:rsid w:val="757851B9"/>
    <w:rsid w:val="75A409DC"/>
    <w:rsid w:val="75BA507F"/>
    <w:rsid w:val="75C53BE7"/>
    <w:rsid w:val="75D90367"/>
    <w:rsid w:val="75FE2B32"/>
    <w:rsid w:val="7607033B"/>
    <w:rsid w:val="760B1DD2"/>
    <w:rsid w:val="76276FE0"/>
    <w:rsid w:val="769C5DA0"/>
    <w:rsid w:val="76E546A4"/>
    <w:rsid w:val="76EF3789"/>
    <w:rsid w:val="76F94484"/>
    <w:rsid w:val="770355BD"/>
    <w:rsid w:val="77261677"/>
    <w:rsid w:val="7739793B"/>
    <w:rsid w:val="77501515"/>
    <w:rsid w:val="7771315E"/>
    <w:rsid w:val="778610E0"/>
    <w:rsid w:val="7880143C"/>
    <w:rsid w:val="78933F53"/>
    <w:rsid w:val="789A36A2"/>
    <w:rsid w:val="78B005C9"/>
    <w:rsid w:val="78D015CC"/>
    <w:rsid w:val="78E41666"/>
    <w:rsid w:val="79015D88"/>
    <w:rsid w:val="7927688B"/>
    <w:rsid w:val="79995536"/>
    <w:rsid w:val="79EE103D"/>
    <w:rsid w:val="79F241F3"/>
    <w:rsid w:val="7A0D2B67"/>
    <w:rsid w:val="7A7B0E2A"/>
    <w:rsid w:val="7AC2149B"/>
    <w:rsid w:val="7ADE6FD5"/>
    <w:rsid w:val="7AF54306"/>
    <w:rsid w:val="7AF911F9"/>
    <w:rsid w:val="7B0B1C4E"/>
    <w:rsid w:val="7B375F65"/>
    <w:rsid w:val="7B503344"/>
    <w:rsid w:val="7B5E11F8"/>
    <w:rsid w:val="7B8C5D86"/>
    <w:rsid w:val="7BAD3157"/>
    <w:rsid w:val="7C207756"/>
    <w:rsid w:val="7C23083F"/>
    <w:rsid w:val="7C4F6725"/>
    <w:rsid w:val="7C567566"/>
    <w:rsid w:val="7C714DA0"/>
    <w:rsid w:val="7C8520A8"/>
    <w:rsid w:val="7CC04988"/>
    <w:rsid w:val="7CC51DFC"/>
    <w:rsid w:val="7CD975F7"/>
    <w:rsid w:val="7CE008BA"/>
    <w:rsid w:val="7CF759FD"/>
    <w:rsid w:val="7D43500E"/>
    <w:rsid w:val="7D6F5B00"/>
    <w:rsid w:val="7D7322AC"/>
    <w:rsid w:val="7D767EE1"/>
    <w:rsid w:val="7D7D4268"/>
    <w:rsid w:val="7D8D35C0"/>
    <w:rsid w:val="7DA06C6B"/>
    <w:rsid w:val="7DA108D5"/>
    <w:rsid w:val="7DA1385F"/>
    <w:rsid w:val="7DA52E0C"/>
    <w:rsid w:val="7DED6275"/>
    <w:rsid w:val="7E0F214F"/>
    <w:rsid w:val="7E262E46"/>
    <w:rsid w:val="7E4852D4"/>
    <w:rsid w:val="7E485E1D"/>
    <w:rsid w:val="7E7C19BE"/>
    <w:rsid w:val="7ED62C84"/>
    <w:rsid w:val="7EF001BF"/>
    <w:rsid w:val="7EF663D7"/>
    <w:rsid w:val="7EF956C5"/>
    <w:rsid w:val="7F113539"/>
    <w:rsid w:val="7F210855"/>
    <w:rsid w:val="7F445CBA"/>
    <w:rsid w:val="7F774D4F"/>
    <w:rsid w:val="7F8270E2"/>
    <w:rsid w:val="7FB8743A"/>
    <w:rsid w:val="7FDE4A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iPriority="99" w:name="toc 2" w:locked="1"/>
    <w:lsdException w:uiPriority="39" w:name="toc 3" w:locked="1"/>
    <w:lsdException w:qFormat="1" w:unhideWhenUsed="0" w:uiPriority="0" w:semiHidden="0"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6"/>
    <w:qFormat/>
    <w:uiPriority w:val="99"/>
    <w:pPr>
      <w:keepNext/>
      <w:keepLines/>
      <w:spacing w:before="340" w:after="330" w:line="578" w:lineRule="auto"/>
      <w:outlineLvl w:val="0"/>
    </w:pPr>
    <w:rPr>
      <w:b/>
      <w:kern w:val="44"/>
      <w:sz w:val="44"/>
      <w:szCs w:val="20"/>
    </w:rPr>
  </w:style>
  <w:style w:type="paragraph" w:styleId="5">
    <w:name w:val="heading 2"/>
    <w:basedOn w:val="1"/>
    <w:next w:val="1"/>
    <w:link w:val="282"/>
    <w:qFormat/>
    <w:uiPriority w:val="99"/>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61"/>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8"/>
    <w:link w:val="62"/>
    <w:qFormat/>
    <w:uiPriority w:val="99"/>
    <w:pPr>
      <w:keepNext/>
      <w:keepLines/>
      <w:spacing w:before="280" w:after="290" w:line="376" w:lineRule="auto"/>
      <w:outlineLvl w:val="3"/>
    </w:pPr>
    <w:rPr>
      <w:rFonts w:ascii="Arial" w:hAnsi="Arial" w:eastAsia="黑体"/>
      <w:b/>
      <w:sz w:val="28"/>
      <w:szCs w:val="20"/>
    </w:rPr>
  </w:style>
  <w:style w:type="paragraph" w:styleId="9">
    <w:name w:val="heading 5"/>
    <w:basedOn w:val="1"/>
    <w:next w:val="1"/>
    <w:link w:val="63"/>
    <w:qFormat/>
    <w:uiPriority w:val="99"/>
    <w:pPr>
      <w:keepNext/>
      <w:keepLines/>
      <w:spacing w:before="280" w:after="290" w:line="376" w:lineRule="auto"/>
      <w:outlineLvl w:val="4"/>
    </w:pPr>
    <w:rPr>
      <w:b/>
      <w:bCs/>
      <w:kern w:val="0"/>
      <w:sz w:val="28"/>
      <w:szCs w:val="28"/>
    </w:rPr>
  </w:style>
  <w:style w:type="paragraph" w:styleId="10">
    <w:name w:val="heading 6"/>
    <w:basedOn w:val="1"/>
    <w:next w:val="1"/>
    <w:link w:val="64"/>
    <w:qFormat/>
    <w:uiPriority w:val="99"/>
    <w:pPr>
      <w:keepNext/>
      <w:keepLines/>
      <w:spacing w:before="240" w:after="64" w:line="320" w:lineRule="auto"/>
      <w:outlineLvl w:val="5"/>
    </w:pPr>
    <w:rPr>
      <w:rFonts w:ascii="Cambria" w:hAnsi="Cambria"/>
      <w:b/>
      <w:bCs/>
      <w:kern w:val="0"/>
      <w:sz w:val="24"/>
    </w:rPr>
  </w:style>
  <w:style w:type="paragraph" w:styleId="11">
    <w:name w:val="heading 7"/>
    <w:basedOn w:val="1"/>
    <w:next w:val="1"/>
    <w:link w:val="65"/>
    <w:qFormat/>
    <w:uiPriority w:val="99"/>
    <w:pPr>
      <w:keepNext/>
      <w:keepLines/>
      <w:adjustRightInd w:val="0"/>
      <w:spacing w:before="240" w:after="64" w:line="320" w:lineRule="atLeast"/>
      <w:textAlignment w:val="baseline"/>
      <w:outlineLvl w:val="6"/>
    </w:pPr>
    <w:rPr>
      <w:b/>
      <w:bCs/>
      <w:kern w:val="0"/>
      <w:sz w:val="24"/>
    </w:rPr>
  </w:style>
  <w:style w:type="paragraph" w:styleId="12">
    <w:name w:val="heading 8"/>
    <w:basedOn w:val="1"/>
    <w:next w:val="1"/>
    <w:link w:val="66"/>
    <w:qFormat/>
    <w:uiPriority w:val="99"/>
    <w:pPr>
      <w:keepNext/>
      <w:keepLines/>
      <w:adjustRightInd w:val="0"/>
      <w:spacing w:before="240" w:after="64" w:line="320" w:lineRule="atLeast"/>
      <w:textAlignment w:val="baseline"/>
      <w:outlineLvl w:val="7"/>
    </w:pPr>
    <w:rPr>
      <w:rFonts w:ascii="Cambria" w:hAnsi="Cambria"/>
      <w:kern w:val="0"/>
      <w:sz w:val="24"/>
    </w:rPr>
  </w:style>
  <w:style w:type="paragraph" w:styleId="13">
    <w:name w:val="heading 9"/>
    <w:basedOn w:val="1"/>
    <w:next w:val="1"/>
    <w:link w:val="67"/>
    <w:qFormat/>
    <w:uiPriority w:val="99"/>
    <w:pPr>
      <w:keepNext/>
      <w:keepLines/>
      <w:adjustRightInd w:val="0"/>
      <w:spacing w:before="240" w:after="64" w:line="320" w:lineRule="atLeast"/>
      <w:textAlignment w:val="baseline"/>
      <w:outlineLvl w:val="8"/>
    </w:pPr>
    <w:rPr>
      <w:rFonts w:ascii="Cambria" w:hAnsi="Cambria"/>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link w:val="68"/>
    <w:qFormat/>
    <w:uiPriority w:val="99"/>
    <w:pPr>
      <w:spacing w:line="200" w:lineRule="exact"/>
      <w:ind w:firstLine="301"/>
    </w:pPr>
    <w:rPr>
      <w:rFonts w:ascii="宋体" w:hAnsi="Courier New"/>
      <w:spacing w:val="-4"/>
      <w:sz w:val="18"/>
      <w:szCs w:val="20"/>
    </w:rPr>
  </w:style>
  <w:style w:type="paragraph" w:styleId="8">
    <w:name w:val="Normal Indent"/>
    <w:basedOn w:val="1"/>
    <w:next w:val="3"/>
    <w:link w:val="100"/>
    <w:qFormat/>
    <w:uiPriority w:val="99"/>
    <w:pPr>
      <w:ind w:firstLine="420"/>
    </w:pPr>
    <w:rPr>
      <w:szCs w:val="20"/>
    </w:rPr>
  </w:style>
  <w:style w:type="paragraph" w:styleId="14">
    <w:name w:val="List Number"/>
    <w:basedOn w:val="1"/>
    <w:next w:val="15"/>
    <w:qFormat/>
    <w:uiPriority w:val="99"/>
    <w:pPr>
      <w:widowControl/>
      <w:tabs>
        <w:tab w:val="left" w:pos="454"/>
        <w:tab w:val="left" w:pos="720"/>
      </w:tabs>
      <w:spacing w:afterLines="50"/>
      <w:ind w:left="454" w:hanging="284"/>
      <w:jc w:val="left"/>
    </w:pPr>
    <w:rPr>
      <w:kern w:val="0"/>
      <w:sz w:val="24"/>
      <w:szCs w:val="20"/>
    </w:rPr>
  </w:style>
  <w:style w:type="paragraph" w:styleId="15">
    <w:name w:val="Body Text"/>
    <w:basedOn w:val="1"/>
    <w:next w:val="16"/>
    <w:link w:val="71"/>
    <w:qFormat/>
    <w:uiPriority w:val="0"/>
    <w:pPr>
      <w:spacing w:after="120"/>
    </w:pPr>
    <w:rPr>
      <w:sz w:val="24"/>
      <w:szCs w:val="20"/>
    </w:rPr>
  </w:style>
  <w:style w:type="paragraph" w:styleId="16">
    <w:name w:val="Body Text First Indent"/>
    <w:basedOn w:val="15"/>
    <w:next w:val="17"/>
    <w:link w:val="72"/>
    <w:qFormat/>
    <w:uiPriority w:val="99"/>
    <w:pPr>
      <w:spacing w:line="360" w:lineRule="auto"/>
      <w:ind w:firstLine="200" w:firstLineChars="200"/>
      <w:jc w:val="left"/>
    </w:pPr>
  </w:style>
  <w:style w:type="paragraph" w:styleId="17">
    <w:name w:val="toc 6"/>
    <w:basedOn w:val="1"/>
    <w:next w:val="1"/>
    <w:unhideWhenUsed/>
    <w:qFormat/>
    <w:locked/>
    <w:uiPriority w:val="39"/>
    <w:pPr>
      <w:ind w:left="2100" w:leftChars="1000"/>
    </w:p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20">
    <w:name w:val="Document Map"/>
    <w:basedOn w:val="1"/>
    <w:link w:val="73"/>
    <w:semiHidden/>
    <w:qFormat/>
    <w:uiPriority w:val="99"/>
    <w:pPr>
      <w:shd w:val="clear" w:color="auto" w:fill="000080"/>
    </w:pPr>
    <w:rPr>
      <w:sz w:val="24"/>
    </w:rPr>
  </w:style>
  <w:style w:type="paragraph" w:styleId="21">
    <w:name w:val="toa heading"/>
    <w:basedOn w:val="1"/>
    <w:next w:val="1"/>
    <w:qFormat/>
    <w:locked/>
    <w:uiPriority w:val="0"/>
    <w:pPr>
      <w:spacing w:before="120"/>
    </w:pPr>
    <w:rPr>
      <w:rFonts w:ascii="Arial" w:hAnsi="Arial"/>
      <w:sz w:val="24"/>
    </w:rPr>
  </w:style>
  <w:style w:type="paragraph" w:styleId="22">
    <w:name w:val="annotation text"/>
    <w:basedOn w:val="1"/>
    <w:link w:val="69"/>
    <w:semiHidden/>
    <w:qFormat/>
    <w:uiPriority w:val="99"/>
    <w:pPr>
      <w:jc w:val="left"/>
    </w:pPr>
    <w:rPr>
      <w:sz w:val="24"/>
      <w:szCs w:val="20"/>
    </w:rPr>
  </w:style>
  <w:style w:type="paragraph" w:styleId="23">
    <w:name w:val="Salutation"/>
    <w:basedOn w:val="1"/>
    <w:next w:val="1"/>
    <w:link w:val="74"/>
    <w:qFormat/>
    <w:uiPriority w:val="99"/>
    <w:rPr>
      <w:kern w:val="0"/>
      <w:sz w:val="24"/>
    </w:rPr>
  </w:style>
  <w:style w:type="paragraph" w:styleId="24">
    <w:name w:val="Body Text 3"/>
    <w:basedOn w:val="1"/>
    <w:link w:val="75"/>
    <w:qFormat/>
    <w:uiPriority w:val="99"/>
    <w:pPr>
      <w:snapToGrid w:val="0"/>
      <w:spacing w:before="50" w:after="50"/>
    </w:pPr>
    <w:rPr>
      <w:kern w:val="0"/>
      <w:sz w:val="16"/>
      <w:szCs w:val="16"/>
    </w:rPr>
  </w:style>
  <w:style w:type="paragraph" w:styleId="25">
    <w:name w:val="List Number 3"/>
    <w:basedOn w:val="1"/>
    <w:qFormat/>
    <w:uiPriority w:val="99"/>
    <w:pPr>
      <w:tabs>
        <w:tab w:val="left" w:pos="1200"/>
      </w:tabs>
      <w:ind w:left="1200" w:leftChars="400" w:hanging="360" w:hangingChars="200"/>
    </w:pPr>
  </w:style>
  <w:style w:type="paragraph" w:styleId="26">
    <w:name w:val="List 2"/>
    <w:basedOn w:val="1"/>
    <w:qFormat/>
    <w:uiPriority w:val="99"/>
    <w:pPr>
      <w:ind w:left="100" w:leftChars="200" w:hanging="200" w:hangingChars="200"/>
    </w:pPr>
    <w:rPr>
      <w:sz w:val="28"/>
    </w:rPr>
  </w:style>
  <w:style w:type="paragraph" w:styleId="27">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8">
    <w:name w:val="Plain Text"/>
    <w:basedOn w:val="1"/>
    <w:next w:val="1"/>
    <w:link w:val="76"/>
    <w:qFormat/>
    <w:uiPriority w:val="0"/>
    <w:pPr>
      <w:spacing w:beforeLines="50" w:afterLines="50" w:line="400" w:lineRule="exact"/>
    </w:pPr>
    <w:rPr>
      <w:rFonts w:ascii="宋体" w:hAnsi="Courier New"/>
      <w:sz w:val="24"/>
      <w:szCs w:val="20"/>
    </w:rPr>
  </w:style>
  <w:style w:type="paragraph" w:styleId="29">
    <w:name w:val="Date"/>
    <w:basedOn w:val="1"/>
    <w:next w:val="1"/>
    <w:link w:val="77"/>
    <w:qFormat/>
    <w:uiPriority w:val="99"/>
    <w:pPr>
      <w:ind w:left="2500" w:leftChars="2500"/>
    </w:pPr>
    <w:rPr>
      <w:kern w:val="0"/>
      <w:sz w:val="24"/>
    </w:rPr>
  </w:style>
  <w:style w:type="paragraph" w:styleId="30">
    <w:name w:val="Body Text Indent 2"/>
    <w:basedOn w:val="1"/>
    <w:link w:val="78"/>
    <w:qFormat/>
    <w:uiPriority w:val="0"/>
    <w:pPr>
      <w:snapToGrid w:val="0"/>
      <w:ind w:firstLine="542" w:firstLineChars="225"/>
    </w:pPr>
    <w:rPr>
      <w:rFonts w:ascii="仿宋_GB2312" w:hAnsi="宋体"/>
      <w:b/>
      <w:color w:val="000000"/>
      <w:sz w:val="24"/>
      <w:szCs w:val="20"/>
    </w:rPr>
  </w:style>
  <w:style w:type="paragraph" w:styleId="31">
    <w:name w:val="endnote text"/>
    <w:basedOn w:val="1"/>
    <w:link w:val="79"/>
    <w:semiHidden/>
    <w:qFormat/>
    <w:uiPriority w:val="99"/>
    <w:pPr>
      <w:snapToGrid w:val="0"/>
      <w:spacing w:afterLines="50"/>
      <w:jc w:val="left"/>
    </w:pPr>
    <w:rPr>
      <w:kern w:val="0"/>
      <w:sz w:val="24"/>
    </w:rPr>
  </w:style>
  <w:style w:type="paragraph" w:styleId="32">
    <w:name w:val="Balloon Text"/>
    <w:basedOn w:val="1"/>
    <w:link w:val="80"/>
    <w:semiHidden/>
    <w:qFormat/>
    <w:uiPriority w:val="99"/>
    <w:rPr>
      <w:sz w:val="18"/>
      <w:szCs w:val="18"/>
    </w:rPr>
  </w:style>
  <w:style w:type="paragraph" w:styleId="33">
    <w:name w:val="footer"/>
    <w:basedOn w:val="1"/>
    <w:link w:val="81"/>
    <w:qFormat/>
    <w:uiPriority w:val="99"/>
    <w:pPr>
      <w:tabs>
        <w:tab w:val="center" w:pos="4153"/>
        <w:tab w:val="right" w:pos="8306"/>
      </w:tabs>
      <w:snapToGrid w:val="0"/>
      <w:jc w:val="left"/>
    </w:pPr>
    <w:rPr>
      <w:rFonts w:eastAsia="黑体"/>
      <w:snapToGrid w:val="0"/>
      <w:kern w:val="0"/>
      <w:sz w:val="18"/>
      <w:szCs w:val="20"/>
    </w:rPr>
  </w:style>
  <w:style w:type="paragraph" w:styleId="34">
    <w:name w:val="header"/>
    <w:basedOn w:val="1"/>
    <w:link w:val="82"/>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semiHidden/>
    <w:qFormat/>
    <w:uiPriority w:val="99"/>
  </w:style>
  <w:style w:type="paragraph" w:styleId="36">
    <w:name w:val="toc 4"/>
    <w:basedOn w:val="1"/>
    <w:next w:val="1"/>
    <w:qFormat/>
    <w:locked/>
    <w:uiPriority w:val="0"/>
    <w:pPr>
      <w:ind w:left="630"/>
      <w:jc w:val="left"/>
    </w:pPr>
    <w:rPr>
      <w:sz w:val="18"/>
      <w:szCs w:val="18"/>
    </w:rPr>
  </w:style>
  <w:style w:type="paragraph" w:styleId="37">
    <w:name w:val="Subtitle"/>
    <w:basedOn w:val="1"/>
    <w:link w:val="83"/>
    <w:qFormat/>
    <w:uiPriority w:val="99"/>
    <w:pPr>
      <w:spacing w:afterLines="50"/>
      <w:jc w:val="center"/>
    </w:pPr>
    <w:rPr>
      <w:rFonts w:ascii="Cambria" w:hAnsi="Cambria"/>
      <w:b/>
      <w:bCs/>
      <w:kern w:val="28"/>
      <w:sz w:val="32"/>
      <w:szCs w:val="32"/>
    </w:rPr>
  </w:style>
  <w:style w:type="paragraph" w:styleId="38">
    <w:name w:val="List"/>
    <w:basedOn w:val="1"/>
    <w:qFormat/>
    <w:uiPriority w:val="0"/>
    <w:pPr>
      <w:ind w:left="200" w:hanging="200" w:hangingChars="200"/>
    </w:pPr>
    <w:rPr>
      <w:sz w:val="28"/>
    </w:rPr>
  </w:style>
  <w:style w:type="paragraph" w:styleId="39">
    <w:name w:val="Body Text Indent 3"/>
    <w:basedOn w:val="1"/>
    <w:next w:val="1"/>
    <w:link w:val="84"/>
    <w:qFormat/>
    <w:uiPriority w:val="99"/>
    <w:pPr>
      <w:snapToGrid w:val="0"/>
      <w:ind w:firstLine="480" w:firstLineChars="200"/>
      <w:jc w:val="left"/>
    </w:pPr>
    <w:rPr>
      <w:rFonts w:ascii="仿宋_GB2312" w:hAnsi="宋体" w:eastAsia="仿宋_GB2312"/>
      <w:color w:val="000000"/>
      <w:sz w:val="24"/>
      <w:szCs w:val="20"/>
    </w:rPr>
  </w:style>
  <w:style w:type="paragraph" w:styleId="40">
    <w:name w:val="toc 2"/>
    <w:basedOn w:val="1"/>
    <w:next w:val="1"/>
    <w:semiHidden/>
    <w:unhideWhenUsed/>
    <w:qFormat/>
    <w:locked/>
    <w:uiPriority w:val="99"/>
    <w:pPr>
      <w:ind w:left="200" w:leftChars="200"/>
    </w:pPr>
    <w:rPr>
      <w:szCs w:val="20"/>
    </w:rPr>
  </w:style>
  <w:style w:type="paragraph" w:styleId="41">
    <w:name w:val="Body Text 2"/>
    <w:basedOn w:val="1"/>
    <w:link w:val="85"/>
    <w:qFormat/>
    <w:uiPriority w:val="99"/>
    <w:pPr>
      <w:widowControl/>
      <w:snapToGrid w:val="0"/>
      <w:spacing w:before="50" w:afterLines="50" w:line="400" w:lineRule="exact"/>
      <w:jc w:val="left"/>
    </w:pPr>
    <w:rPr>
      <w:kern w:val="0"/>
      <w:sz w:val="24"/>
    </w:rPr>
  </w:style>
  <w:style w:type="paragraph" w:styleId="42">
    <w:name w:val="HTML Preformatted"/>
    <w:basedOn w:val="1"/>
    <w:link w:val="86"/>
    <w:qFormat/>
    <w:uiPriority w:val="99"/>
    <w:rPr>
      <w:rFonts w:ascii="Courier New" w:hAnsi="Courier New"/>
      <w:kern w:val="0"/>
      <w:sz w:val="20"/>
      <w:szCs w:val="20"/>
    </w:rPr>
  </w:style>
  <w:style w:type="paragraph" w:styleId="43">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44">
    <w:name w:val="Title"/>
    <w:basedOn w:val="1"/>
    <w:link w:val="87"/>
    <w:qFormat/>
    <w:uiPriority w:val="99"/>
    <w:pPr>
      <w:widowControl/>
      <w:overflowPunct w:val="0"/>
      <w:autoSpaceDE w:val="0"/>
      <w:autoSpaceDN w:val="0"/>
      <w:adjustRightInd w:val="0"/>
      <w:jc w:val="center"/>
      <w:textAlignment w:val="baseline"/>
    </w:pPr>
    <w:rPr>
      <w:rFonts w:ascii="Cambria" w:hAnsi="Cambria"/>
      <w:b/>
      <w:bCs/>
      <w:kern w:val="0"/>
      <w:sz w:val="32"/>
      <w:szCs w:val="32"/>
    </w:rPr>
  </w:style>
  <w:style w:type="paragraph" w:styleId="45">
    <w:name w:val="annotation subject"/>
    <w:basedOn w:val="22"/>
    <w:next w:val="22"/>
    <w:link w:val="70"/>
    <w:semiHidden/>
    <w:qFormat/>
    <w:uiPriority w:val="99"/>
    <w:rPr>
      <w:b/>
      <w:bCs/>
    </w:r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rPr>
  </w:style>
  <w:style w:type="character" w:styleId="50">
    <w:name w:val="page number"/>
    <w:basedOn w:val="48"/>
    <w:qFormat/>
    <w:uiPriority w:val="0"/>
    <w:rPr>
      <w:rFonts w:cs="Times New Roman"/>
    </w:rPr>
  </w:style>
  <w:style w:type="character" w:styleId="51">
    <w:name w:val="FollowedHyperlink"/>
    <w:qFormat/>
    <w:uiPriority w:val="99"/>
    <w:rPr>
      <w:rFonts w:cs="Times New Roman"/>
      <w:color w:val="800080"/>
      <w:u w:val="single"/>
    </w:rPr>
  </w:style>
  <w:style w:type="character" w:styleId="52">
    <w:name w:val="Emphasis"/>
    <w:basedOn w:val="48"/>
    <w:qFormat/>
    <w:locked/>
    <w:uiPriority w:val="99"/>
    <w:rPr>
      <w:i/>
      <w:iCs/>
    </w:rPr>
  </w:style>
  <w:style w:type="character" w:styleId="53">
    <w:name w:val="Hyperlink"/>
    <w:basedOn w:val="48"/>
    <w:qFormat/>
    <w:uiPriority w:val="99"/>
    <w:rPr>
      <w:rFonts w:cs="Times New Roman"/>
      <w:color w:val="0000FF"/>
      <w:u w:val="single"/>
    </w:rPr>
  </w:style>
  <w:style w:type="character" w:styleId="54">
    <w:name w:val="annotation reference"/>
    <w:qFormat/>
    <w:uiPriority w:val="99"/>
    <w:rPr>
      <w:rFonts w:cs="Times New Roman"/>
      <w:sz w:val="21"/>
    </w:rPr>
  </w:style>
  <w:style w:type="character" w:styleId="55">
    <w:name w:val="HTML Sample"/>
    <w:basedOn w:val="48"/>
    <w:semiHidden/>
    <w:unhideWhenUsed/>
    <w:qFormat/>
    <w:locked/>
    <w:uiPriority w:val="99"/>
    <w:rPr>
      <w:rFonts w:ascii="Courier New" w:hAnsi="Courier New"/>
    </w:rPr>
  </w:style>
  <w:style w:type="paragraph" w:customStyle="1" w:styleId="5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7">
    <w:name w:val="章正文"/>
    <w:basedOn w:val="1"/>
    <w:qFormat/>
    <w:uiPriority w:val="99"/>
    <w:pPr>
      <w:spacing w:beforeLines="50" w:after="120" w:line="300" w:lineRule="auto"/>
      <w:ind w:firstLine="480"/>
    </w:pPr>
    <w:rPr>
      <w:rFonts w:ascii="Helvetica" w:hAnsi="Helvetica"/>
      <w:kern w:val="0"/>
      <w:sz w:val="24"/>
    </w:rPr>
  </w:style>
  <w:style w:type="paragraph" w:customStyle="1" w:styleId="5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59">
    <w:name w:val="Heading 1 Char"/>
    <w:qFormat/>
    <w:locked/>
    <w:uiPriority w:val="99"/>
    <w:rPr>
      <w:rFonts w:cs="Times New Roman"/>
      <w:b/>
      <w:kern w:val="44"/>
      <w:sz w:val="44"/>
    </w:rPr>
  </w:style>
  <w:style w:type="character" w:customStyle="1" w:styleId="60">
    <w:name w:val="标题 2 Char"/>
    <w:qFormat/>
    <w:locked/>
    <w:uiPriority w:val="99"/>
    <w:rPr>
      <w:rFonts w:ascii="Arial" w:hAnsi="Arial" w:eastAsia="黑体" w:cs="Times New Roman"/>
      <w:b/>
      <w:kern w:val="2"/>
      <w:sz w:val="32"/>
      <w:lang w:val="en-US" w:eastAsia="zh-CN"/>
    </w:rPr>
  </w:style>
  <w:style w:type="character" w:customStyle="1" w:styleId="61">
    <w:name w:val="标题 3 Char1"/>
    <w:link w:val="6"/>
    <w:qFormat/>
    <w:locked/>
    <w:uiPriority w:val="99"/>
    <w:rPr>
      <w:rFonts w:ascii="宋体" w:eastAsia="宋体" w:cs="Times New Roman"/>
      <w:b/>
      <w:sz w:val="24"/>
      <w:u w:val="single"/>
      <w:lang w:val="en-US" w:eastAsia="zh-CN"/>
    </w:rPr>
  </w:style>
  <w:style w:type="character" w:customStyle="1" w:styleId="62">
    <w:name w:val="标题 4 Char"/>
    <w:link w:val="7"/>
    <w:qFormat/>
    <w:locked/>
    <w:uiPriority w:val="99"/>
    <w:rPr>
      <w:rFonts w:ascii="Arial" w:hAnsi="Arial" w:eastAsia="黑体" w:cs="Times New Roman"/>
      <w:b/>
      <w:kern w:val="2"/>
      <w:sz w:val="28"/>
      <w:lang w:val="en-US" w:eastAsia="zh-CN"/>
    </w:rPr>
  </w:style>
  <w:style w:type="character" w:customStyle="1" w:styleId="63">
    <w:name w:val="标题 5 Char"/>
    <w:link w:val="9"/>
    <w:semiHidden/>
    <w:qFormat/>
    <w:locked/>
    <w:uiPriority w:val="99"/>
    <w:rPr>
      <w:rFonts w:cs="Times New Roman"/>
      <w:b/>
      <w:bCs/>
      <w:sz w:val="28"/>
      <w:szCs w:val="28"/>
    </w:rPr>
  </w:style>
  <w:style w:type="character" w:customStyle="1" w:styleId="64">
    <w:name w:val="标题 6 Char"/>
    <w:link w:val="10"/>
    <w:semiHidden/>
    <w:qFormat/>
    <w:locked/>
    <w:uiPriority w:val="99"/>
    <w:rPr>
      <w:rFonts w:ascii="Cambria" w:hAnsi="Cambria" w:eastAsia="宋体" w:cs="Times New Roman"/>
      <w:b/>
      <w:bCs/>
      <w:sz w:val="24"/>
      <w:szCs w:val="24"/>
    </w:rPr>
  </w:style>
  <w:style w:type="character" w:customStyle="1" w:styleId="65">
    <w:name w:val="标题 7 Char"/>
    <w:link w:val="11"/>
    <w:semiHidden/>
    <w:qFormat/>
    <w:locked/>
    <w:uiPriority w:val="99"/>
    <w:rPr>
      <w:rFonts w:cs="Times New Roman"/>
      <w:b/>
      <w:bCs/>
      <w:sz w:val="24"/>
      <w:szCs w:val="24"/>
    </w:rPr>
  </w:style>
  <w:style w:type="character" w:customStyle="1" w:styleId="66">
    <w:name w:val="标题 8 Char"/>
    <w:link w:val="12"/>
    <w:semiHidden/>
    <w:qFormat/>
    <w:locked/>
    <w:uiPriority w:val="99"/>
    <w:rPr>
      <w:rFonts w:ascii="Cambria" w:hAnsi="Cambria" w:eastAsia="宋体" w:cs="Times New Roman"/>
      <w:sz w:val="24"/>
      <w:szCs w:val="24"/>
    </w:rPr>
  </w:style>
  <w:style w:type="character" w:customStyle="1" w:styleId="67">
    <w:name w:val="标题 9 Char"/>
    <w:link w:val="13"/>
    <w:semiHidden/>
    <w:qFormat/>
    <w:locked/>
    <w:uiPriority w:val="99"/>
    <w:rPr>
      <w:rFonts w:ascii="Cambria" w:hAnsi="Cambria" w:eastAsia="宋体" w:cs="Times New Roman"/>
      <w:sz w:val="21"/>
      <w:szCs w:val="21"/>
    </w:rPr>
  </w:style>
  <w:style w:type="character" w:customStyle="1" w:styleId="68">
    <w:name w:val="正文文本缩进 Char"/>
    <w:link w:val="3"/>
    <w:qFormat/>
    <w:locked/>
    <w:uiPriority w:val="99"/>
    <w:rPr>
      <w:rFonts w:ascii="宋体" w:hAnsi="Courier New" w:cs="Times New Roman"/>
      <w:spacing w:val="-4"/>
      <w:kern w:val="2"/>
      <w:sz w:val="18"/>
    </w:rPr>
  </w:style>
  <w:style w:type="character" w:customStyle="1" w:styleId="69">
    <w:name w:val="批注文字 Char"/>
    <w:link w:val="22"/>
    <w:qFormat/>
    <w:locked/>
    <w:uiPriority w:val="99"/>
    <w:rPr>
      <w:rFonts w:eastAsia="宋体" w:cs="Times New Roman"/>
      <w:kern w:val="2"/>
      <w:sz w:val="24"/>
      <w:lang w:val="en-US" w:eastAsia="zh-CN"/>
    </w:rPr>
  </w:style>
  <w:style w:type="character" w:customStyle="1" w:styleId="70">
    <w:name w:val="批注主题 Char"/>
    <w:link w:val="45"/>
    <w:semiHidden/>
    <w:qFormat/>
    <w:locked/>
    <w:uiPriority w:val="99"/>
    <w:rPr>
      <w:rFonts w:eastAsia="宋体" w:cs="Times New Roman"/>
      <w:b/>
      <w:bCs/>
      <w:kern w:val="2"/>
      <w:sz w:val="24"/>
      <w:szCs w:val="24"/>
      <w:lang w:val="en-US" w:eastAsia="zh-CN"/>
    </w:rPr>
  </w:style>
  <w:style w:type="character" w:customStyle="1" w:styleId="71">
    <w:name w:val="正文文本 Char"/>
    <w:link w:val="15"/>
    <w:qFormat/>
    <w:locked/>
    <w:uiPriority w:val="0"/>
    <w:rPr>
      <w:rFonts w:eastAsia="宋体" w:cs="Times New Roman"/>
      <w:kern w:val="2"/>
      <w:sz w:val="24"/>
      <w:lang w:val="en-US" w:eastAsia="zh-CN"/>
    </w:rPr>
  </w:style>
  <w:style w:type="character" w:customStyle="1" w:styleId="72">
    <w:name w:val="正文首行缩进 Char"/>
    <w:link w:val="16"/>
    <w:semiHidden/>
    <w:qFormat/>
    <w:locked/>
    <w:uiPriority w:val="99"/>
    <w:rPr>
      <w:rFonts w:eastAsia="宋体" w:cs="Times New Roman"/>
      <w:kern w:val="2"/>
      <w:sz w:val="24"/>
      <w:szCs w:val="24"/>
      <w:lang w:val="en-US" w:eastAsia="zh-CN"/>
    </w:rPr>
  </w:style>
  <w:style w:type="character" w:customStyle="1" w:styleId="73">
    <w:name w:val="文档结构图 Char"/>
    <w:link w:val="20"/>
    <w:qFormat/>
    <w:locked/>
    <w:uiPriority w:val="99"/>
    <w:rPr>
      <w:rFonts w:eastAsia="宋体" w:cs="Times New Roman"/>
      <w:kern w:val="2"/>
      <w:sz w:val="24"/>
      <w:szCs w:val="24"/>
      <w:lang w:val="en-US" w:eastAsia="zh-CN" w:bidi="ar-SA"/>
    </w:rPr>
  </w:style>
  <w:style w:type="character" w:customStyle="1" w:styleId="74">
    <w:name w:val="称呼 Char"/>
    <w:link w:val="23"/>
    <w:semiHidden/>
    <w:qFormat/>
    <w:locked/>
    <w:uiPriority w:val="99"/>
    <w:rPr>
      <w:rFonts w:cs="Times New Roman"/>
      <w:sz w:val="24"/>
      <w:szCs w:val="24"/>
    </w:rPr>
  </w:style>
  <w:style w:type="character" w:customStyle="1" w:styleId="75">
    <w:name w:val="正文文本 3 Char"/>
    <w:link w:val="24"/>
    <w:semiHidden/>
    <w:qFormat/>
    <w:locked/>
    <w:uiPriority w:val="99"/>
    <w:rPr>
      <w:rFonts w:cs="Times New Roman"/>
      <w:sz w:val="16"/>
      <w:szCs w:val="16"/>
    </w:rPr>
  </w:style>
  <w:style w:type="character" w:customStyle="1" w:styleId="76">
    <w:name w:val="纯文本 Char"/>
    <w:link w:val="28"/>
    <w:qFormat/>
    <w:locked/>
    <w:uiPriority w:val="0"/>
    <w:rPr>
      <w:rFonts w:ascii="宋体" w:hAnsi="Courier New" w:eastAsia="宋体" w:cs="Times New Roman"/>
      <w:kern w:val="2"/>
      <w:sz w:val="24"/>
      <w:lang w:val="en-US" w:eastAsia="zh-CN"/>
    </w:rPr>
  </w:style>
  <w:style w:type="character" w:customStyle="1" w:styleId="77">
    <w:name w:val="日期 Char"/>
    <w:link w:val="29"/>
    <w:semiHidden/>
    <w:qFormat/>
    <w:locked/>
    <w:uiPriority w:val="99"/>
    <w:rPr>
      <w:rFonts w:cs="Times New Roman"/>
      <w:sz w:val="24"/>
      <w:szCs w:val="24"/>
    </w:rPr>
  </w:style>
  <w:style w:type="character" w:customStyle="1" w:styleId="78">
    <w:name w:val="正文文本缩进 2 Char"/>
    <w:link w:val="30"/>
    <w:qFormat/>
    <w:locked/>
    <w:uiPriority w:val="0"/>
    <w:rPr>
      <w:rFonts w:ascii="仿宋_GB2312" w:hAnsi="宋体" w:eastAsia="宋体" w:cs="Times New Roman"/>
      <w:b/>
      <w:color w:val="000000"/>
      <w:kern w:val="2"/>
      <w:sz w:val="24"/>
      <w:lang w:val="en-US" w:eastAsia="zh-CN"/>
    </w:rPr>
  </w:style>
  <w:style w:type="character" w:customStyle="1" w:styleId="79">
    <w:name w:val="尾注文本 Char"/>
    <w:link w:val="31"/>
    <w:semiHidden/>
    <w:qFormat/>
    <w:locked/>
    <w:uiPriority w:val="99"/>
    <w:rPr>
      <w:rFonts w:cs="Times New Roman"/>
      <w:sz w:val="24"/>
      <w:szCs w:val="24"/>
    </w:rPr>
  </w:style>
  <w:style w:type="character" w:customStyle="1" w:styleId="80">
    <w:name w:val="批注框文本 Char"/>
    <w:link w:val="32"/>
    <w:qFormat/>
    <w:locked/>
    <w:uiPriority w:val="99"/>
    <w:rPr>
      <w:rFonts w:eastAsia="宋体" w:cs="Times New Roman"/>
      <w:kern w:val="2"/>
      <w:sz w:val="18"/>
      <w:szCs w:val="18"/>
      <w:lang w:val="en-US" w:eastAsia="zh-CN" w:bidi="ar-SA"/>
    </w:rPr>
  </w:style>
  <w:style w:type="character" w:customStyle="1" w:styleId="81">
    <w:name w:val="页脚 Char"/>
    <w:link w:val="33"/>
    <w:qFormat/>
    <w:locked/>
    <w:uiPriority w:val="99"/>
    <w:rPr>
      <w:rFonts w:eastAsia="黑体" w:cs="Times New Roman"/>
      <w:snapToGrid w:val="0"/>
      <w:sz w:val="18"/>
      <w:lang w:val="en-US" w:eastAsia="zh-CN"/>
    </w:rPr>
  </w:style>
  <w:style w:type="character" w:customStyle="1" w:styleId="82">
    <w:name w:val="页眉 Char"/>
    <w:link w:val="34"/>
    <w:qFormat/>
    <w:locked/>
    <w:uiPriority w:val="99"/>
    <w:rPr>
      <w:rFonts w:eastAsia="仿宋_GB2312" w:cs="Times New Roman"/>
      <w:kern w:val="2"/>
      <w:sz w:val="18"/>
      <w:lang w:val="en-US" w:eastAsia="zh-CN"/>
    </w:rPr>
  </w:style>
  <w:style w:type="character" w:customStyle="1" w:styleId="83">
    <w:name w:val="副标题 Char"/>
    <w:link w:val="37"/>
    <w:qFormat/>
    <w:locked/>
    <w:uiPriority w:val="99"/>
    <w:rPr>
      <w:rFonts w:ascii="Cambria" w:hAnsi="Cambria" w:cs="Times New Roman"/>
      <w:b/>
      <w:bCs/>
      <w:kern w:val="28"/>
      <w:sz w:val="32"/>
      <w:szCs w:val="32"/>
    </w:rPr>
  </w:style>
  <w:style w:type="character" w:customStyle="1" w:styleId="84">
    <w:name w:val="正文文本缩进 3 Char"/>
    <w:link w:val="39"/>
    <w:qFormat/>
    <w:locked/>
    <w:uiPriority w:val="99"/>
    <w:rPr>
      <w:rFonts w:ascii="仿宋_GB2312" w:hAnsi="宋体" w:eastAsia="仿宋_GB2312" w:cs="Times New Roman"/>
      <w:color w:val="000000"/>
      <w:kern w:val="2"/>
      <w:sz w:val="24"/>
      <w:lang w:val="en-US" w:eastAsia="zh-CN"/>
    </w:rPr>
  </w:style>
  <w:style w:type="character" w:customStyle="1" w:styleId="85">
    <w:name w:val="正文文本 2 Char"/>
    <w:link w:val="41"/>
    <w:semiHidden/>
    <w:qFormat/>
    <w:locked/>
    <w:uiPriority w:val="99"/>
    <w:rPr>
      <w:rFonts w:cs="Times New Roman"/>
      <w:sz w:val="24"/>
      <w:szCs w:val="24"/>
    </w:rPr>
  </w:style>
  <w:style w:type="character" w:customStyle="1" w:styleId="86">
    <w:name w:val="HTML 预设格式 Char"/>
    <w:link w:val="42"/>
    <w:semiHidden/>
    <w:qFormat/>
    <w:locked/>
    <w:uiPriority w:val="99"/>
    <w:rPr>
      <w:rFonts w:ascii="Courier New" w:hAnsi="Courier New" w:cs="Courier New"/>
      <w:sz w:val="20"/>
      <w:szCs w:val="20"/>
    </w:rPr>
  </w:style>
  <w:style w:type="character" w:customStyle="1" w:styleId="87">
    <w:name w:val="标题 Char"/>
    <w:link w:val="44"/>
    <w:qFormat/>
    <w:locked/>
    <w:uiPriority w:val="99"/>
    <w:rPr>
      <w:rFonts w:ascii="Cambria" w:hAnsi="Cambria" w:cs="Times New Roman"/>
      <w:b/>
      <w:bCs/>
      <w:sz w:val="32"/>
      <w:szCs w:val="32"/>
    </w:rPr>
  </w:style>
  <w:style w:type="character" w:customStyle="1" w:styleId="88">
    <w:name w:val="tw4winInternal"/>
    <w:qFormat/>
    <w:uiPriority w:val="99"/>
    <w:rPr>
      <w:rFonts w:ascii="Courier New" w:hAnsi="Courier New"/>
      <w:color w:val="FF0000"/>
    </w:rPr>
  </w:style>
  <w:style w:type="character" w:customStyle="1" w:styleId="89">
    <w:name w:val="Char Char3"/>
    <w:qFormat/>
    <w:uiPriority w:val="99"/>
    <w:rPr>
      <w:rFonts w:ascii="仿宋_GB2312" w:hAnsi="宋体" w:eastAsia="仿宋_GB2312"/>
      <w:color w:val="000000"/>
      <w:sz w:val="24"/>
    </w:rPr>
  </w:style>
  <w:style w:type="character" w:customStyle="1" w:styleId="90">
    <w:name w:val="标题 1 Char Char"/>
    <w:qFormat/>
    <w:uiPriority w:val="99"/>
    <w:rPr>
      <w:rFonts w:eastAsia="宋体"/>
      <w:b/>
      <w:spacing w:val="-2"/>
      <w:sz w:val="24"/>
      <w:lang w:val="en-US" w:eastAsia="zh-CN"/>
    </w:rPr>
  </w:style>
  <w:style w:type="character" w:customStyle="1" w:styleId="91">
    <w:name w:val="tw4winMark"/>
    <w:qFormat/>
    <w:uiPriority w:val="99"/>
    <w:rPr>
      <w:rFonts w:ascii="Courier New" w:hAnsi="Courier New"/>
      <w:vanish/>
      <w:color w:val="800080"/>
      <w:vertAlign w:val="subscript"/>
    </w:rPr>
  </w:style>
  <w:style w:type="character" w:customStyle="1" w:styleId="92">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93">
    <w:name w:val="style11"/>
    <w:qFormat/>
    <w:uiPriority w:val="99"/>
    <w:rPr>
      <w:rFonts w:eastAsia="宋体"/>
      <w:kern w:val="2"/>
      <w:sz w:val="21"/>
      <w:lang w:val="en-US" w:eastAsia="zh-CN"/>
    </w:rPr>
  </w:style>
  <w:style w:type="character" w:customStyle="1" w:styleId="94">
    <w:name w:val="font2"/>
    <w:qFormat/>
    <w:uiPriority w:val="99"/>
    <w:rPr>
      <w:rFonts w:ascii="Arial" w:hAnsi="Arial"/>
      <w:color w:val="333333"/>
      <w:spacing w:val="0"/>
      <w:sz w:val="18"/>
    </w:rPr>
  </w:style>
  <w:style w:type="character" w:customStyle="1" w:styleId="95">
    <w:name w:val="b titlename wangputoptitle"/>
    <w:qFormat/>
    <w:uiPriority w:val="99"/>
    <w:rPr>
      <w:rFonts w:cs="Times New Roman"/>
    </w:rPr>
  </w:style>
  <w:style w:type="character" w:customStyle="1" w:styleId="96">
    <w:name w:val="tw4winTerm"/>
    <w:qFormat/>
    <w:uiPriority w:val="99"/>
    <w:rPr>
      <w:color w:val="0000FF"/>
    </w:rPr>
  </w:style>
  <w:style w:type="character" w:customStyle="1" w:styleId="97">
    <w:name w:val="样式 小四"/>
    <w:qFormat/>
    <w:uiPriority w:val="99"/>
    <w:rPr>
      <w:sz w:val="21"/>
    </w:rPr>
  </w:style>
  <w:style w:type="character" w:customStyle="1" w:styleId="98">
    <w:name w:val="para"/>
    <w:qFormat/>
    <w:uiPriority w:val="99"/>
    <w:rPr>
      <w:rFonts w:cs="Times New Roman"/>
    </w:rPr>
  </w:style>
  <w:style w:type="character" w:customStyle="1" w:styleId="99">
    <w:name w:val="tw4winError"/>
    <w:qFormat/>
    <w:uiPriority w:val="99"/>
    <w:rPr>
      <w:rFonts w:ascii="Courier New" w:hAnsi="Courier New"/>
      <w:color w:val="00FF00"/>
      <w:sz w:val="40"/>
    </w:rPr>
  </w:style>
  <w:style w:type="character" w:customStyle="1" w:styleId="100">
    <w:name w:val="正文缩进 Char"/>
    <w:link w:val="8"/>
    <w:qFormat/>
    <w:locked/>
    <w:uiPriority w:val="99"/>
    <w:rPr>
      <w:rFonts w:eastAsia="宋体"/>
      <w:kern w:val="2"/>
      <w:sz w:val="21"/>
      <w:lang w:val="en-US" w:eastAsia="zh-CN"/>
    </w:rPr>
  </w:style>
  <w:style w:type="character" w:customStyle="1" w:styleId="101">
    <w:name w:val="style31"/>
    <w:qFormat/>
    <w:uiPriority w:val="99"/>
    <w:rPr>
      <w:color w:val="4B4B4B"/>
    </w:rPr>
  </w:style>
  <w:style w:type="character" w:customStyle="1" w:styleId="102">
    <w:name w:val="!我的正文 Ctr+Q Char"/>
    <w:link w:val="103"/>
    <w:qFormat/>
    <w:locked/>
    <w:uiPriority w:val="99"/>
    <w:rPr>
      <w:rFonts w:ascii="Arial" w:hAnsi="Arial" w:eastAsia="宋体"/>
      <w:kern w:val="2"/>
      <w:sz w:val="21"/>
      <w:lang w:val="en-US" w:eastAsia="zh-CN"/>
    </w:rPr>
  </w:style>
  <w:style w:type="paragraph" w:customStyle="1" w:styleId="103">
    <w:name w:val="!我的正文 Ctr+Q"/>
    <w:basedOn w:val="1"/>
    <w:link w:val="102"/>
    <w:qFormat/>
    <w:uiPriority w:val="99"/>
    <w:pPr>
      <w:adjustRightInd w:val="0"/>
      <w:snapToGrid w:val="0"/>
      <w:spacing w:line="360" w:lineRule="auto"/>
      <w:ind w:firstLine="480" w:firstLineChars="200"/>
    </w:pPr>
    <w:rPr>
      <w:rFonts w:ascii="Arial" w:hAnsi="Arial"/>
      <w:szCs w:val="20"/>
    </w:rPr>
  </w:style>
  <w:style w:type="character" w:customStyle="1" w:styleId="104">
    <w:name w:val="font3"/>
    <w:qFormat/>
    <w:uiPriority w:val="99"/>
    <w:rPr>
      <w:rFonts w:cs="Times New Roman"/>
    </w:rPr>
  </w:style>
  <w:style w:type="character" w:customStyle="1" w:styleId="105">
    <w:name w:val="tw4winExternal"/>
    <w:qFormat/>
    <w:uiPriority w:val="99"/>
    <w:rPr>
      <w:rFonts w:ascii="Courier New" w:hAnsi="Courier New"/>
      <w:color w:val="808080"/>
    </w:rPr>
  </w:style>
  <w:style w:type="character" w:customStyle="1" w:styleId="106">
    <w:name w:val="标题 1 Char"/>
    <w:link w:val="4"/>
    <w:qFormat/>
    <w:locked/>
    <w:uiPriority w:val="99"/>
    <w:rPr>
      <w:rFonts w:eastAsia="宋体"/>
      <w:b/>
      <w:kern w:val="44"/>
      <w:sz w:val="44"/>
      <w:lang w:val="en-US" w:eastAsia="zh-CN"/>
    </w:rPr>
  </w:style>
  <w:style w:type="character" w:customStyle="1" w:styleId="107">
    <w:name w:val="point_normal1"/>
    <w:qFormat/>
    <w:uiPriority w:val="99"/>
    <w:rPr>
      <w:rFonts w:ascii="Arial" w:hAnsi="Arial"/>
      <w:sz w:val="18"/>
    </w:rPr>
  </w:style>
  <w:style w:type="character" w:customStyle="1" w:styleId="108">
    <w:name w:val="fontblank12"/>
    <w:qFormat/>
    <w:uiPriority w:val="99"/>
    <w:rPr>
      <w:rFonts w:cs="Times New Roman"/>
    </w:rPr>
  </w:style>
  <w:style w:type="character" w:customStyle="1" w:styleId="109">
    <w:name w:val="huide001"/>
    <w:qFormat/>
    <w:uiPriority w:val="99"/>
    <w:rPr>
      <w:rFonts w:ascii="Arial" w:hAnsi="Arial"/>
      <w:color w:val="666666"/>
      <w:sz w:val="18"/>
    </w:rPr>
  </w:style>
  <w:style w:type="character" w:customStyle="1" w:styleId="110">
    <w:name w:val="tw4winPopup"/>
    <w:qFormat/>
    <w:uiPriority w:val="99"/>
    <w:rPr>
      <w:rFonts w:ascii="Courier New" w:hAnsi="Courier New"/>
      <w:color w:val="008000"/>
    </w:rPr>
  </w:style>
  <w:style w:type="character" w:customStyle="1" w:styleId="111">
    <w:name w:val="标题 3 Char"/>
    <w:qFormat/>
    <w:uiPriority w:val="99"/>
    <w:rPr>
      <w:rFonts w:eastAsia="宋体"/>
      <w:b/>
      <w:kern w:val="2"/>
      <w:sz w:val="32"/>
      <w:lang w:val="en-US" w:eastAsia="zh-CN"/>
    </w:rPr>
  </w:style>
  <w:style w:type="character" w:customStyle="1" w:styleId="112">
    <w:name w:val="unnamed11"/>
    <w:qFormat/>
    <w:uiPriority w:val="99"/>
    <w:rPr>
      <w:sz w:val="20"/>
    </w:rPr>
  </w:style>
  <w:style w:type="character" w:customStyle="1" w:styleId="113">
    <w:name w:val="pagetitle"/>
    <w:qFormat/>
    <w:uiPriority w:val="99"/>
    <w:rPr>
      <w:rFonts w:cs="Times New Roman"/>
    </w:rPr>
  </w:style>
  <w:style w:type="character" w:customStyle="1" w:styleId="114">
    <w:name w:val="line1"/>
    <w:qFormat/>
    <w:uiPriority w:val="99"/>
    <w:rPr>
      <w:u w:val="none"/>
    </w:rPr>
  </w:style>
  <w:style w:type="character" w:customStyle="1" w:styleId="115">
    <w:name w:val="text11"/>
    <w:qFormat/>
    <w:uiPriority w:val="99"/>
    <w:rPr>
      <w:rFonts w:ascii="Verdana" w:hAnsi="Verdana"/>
      <w:color w:val="4E4E4E"/>
      <w:sz w:val="18"/>
    </w:rPr>
  </w:style>
  <w:style w:type="character" w:customStyle="1" w:styleId="116">
    <w:name w:val="样式 样式3 + 宋体 五号 Char Char Char Char"/>
    <w:qFormat/>
    <w:uiPriority w:val="99"/>
    <w:rPr>
      <w:rFonts w:ascii="宋体" w:hAnsi="宋体" w:eastAsia="宋体"/>
      <w:b/>
      <w:kern w:val="2"/>
      <w:sz w:val="24"/>
      <w:lang w:val="en-US" w:eastAsia="zh-CN"/>
    </w:rPr>
  </w:style>
  <w:style w:type="character" w:customStyle="1" w:styleId="117">
    <w:name w:val="A C"/>
    <w:qFormat/>
    <w:uiPriority w:val="99"/>
    <w:rPr>
      <w:rFonts w:ascii="仿宋_GB2312"/>
      <w:sz w:val="24"/>
    </w:rPr>
  </w:style>
  <w:style w:type="character" w:customStyle="1" w:styleId="118">
    <w:name w:val="tw4winJump"/>
    <w:qFormat/>
    <w:uiPriority w:val="99"/>
    <w:rPr>
      <w:rFonts w:ascii="Courier New" w:hAnsi="Courier New"/>
      <w:color w:val="008080"/>
    </w:rPr>
  </w:style>
  <w:style w:type="character" w:customStyle="1" w:styleId="119">
    <w:name w:val="Char Char7"/>
    <w:qFormat/>
    <w:uiPriority w:val="99"/>
    <w:rPr>
      <w:rFonts w:ascii="Cambria" w:hAnsi="Cambria" w:eastAsia="宋体"/>
      <w:b/>
      <w:sz w:val="32"/>
    </w:rPr>
  </w:style>
  <w:style w:type="character" w:customStyle="1" w:styleId="120">
    <w:name w:val="style101"/>
    <w:qFormat/>
    <w:uiPriority w:val="99"/>
    <w:rPr>
      <w:color w:val="FFFFFF"/>
    </w:rPr>
  </w:style>
  <w:style w:type="paragraph" w:customStyle="1" w:styleId="121">
    <w:name w:val="样式2"/>
    <w:basedOn w:val="5"/>
    <w:qFormat/>
    <w:uiPriority w:val="99"/>
    <w:pPr>
      <w:tabs>
        <w:tab w:val="left" w:pos="600"/>
      </w:tabs>
      <w:ind w:left="600" w:hanging="600"/>
    </w:pPr>
    <w:rPr>
      <w:rFonts w:eastAsia="宋体"/>
    </w:rPr>
  </w:style>
  <w:style w:type="paragraph" w:customStyle="1" w:styleId="122">
    <w:name w:val="p0"/>
    <w:basedOn w:val="1"/>
    <w:qFormat/>
    <w:uiPriority w:val="0"/>
    <w:pPr>
      <w:widowControl/>
      <w:spacing w:after="50"/>
    </w:pPr>
    <w:rPr>
      <w:kern w:val="0"/>
      <w:szCs w:val="21"/>
    </w:rPr>
  </w:style>
  <w:style w:type="paragraph" w:customStyle="1" w:styleId="123">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12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25">
    <w:name w:val="Paragraph2"/>
    <w:basedOn w:val="1"/>
    <w:qFormat/>
    <w:uiPriority w:val="99"/>
    <w:pPr>
      <w:spacing w:before="80" w:afterLines="50"/>
      <w:ind w:left="720"/>
    </w:pPr>
    <w:rPr>
      <w:rFonts w:ascii="宋体"/>
      <w:color w:val="000000"/>
      <w:kern w:val="0"/>
      <w:szCs w:val="20"/>
      <w:lang w:val="en-AU"/>
    </w:rPr>
  </w:style>
  <w:style w:type="paragraph" w:customStyle="1" w:styleId="126">
    <w:name w:val="Char Char Char Char Char Char Char Char Char Char"/>
    <w:basedOn w:val="20"/>
    <w:qFormat/>
    <w:uiPriority w:val="99"/>
    <w:rPr>
      <w:rFonts w:ascii="Tahoma" w:hAnsi="Tahoma"/>
    </w:rPr>
  </w:style>
  <w:style w:type="paragraph" w:customStyle="1" w:styleId="127">
    <w:name w:val="P3"/>
    <w:basedOn w:val="1"/>
    <w:qFormat/>
    <w:uiPriority w:val="99"/>
    <w:pPr>
      <w:widowControl/>
      <w:spacing w:before="240" w:line="240" w:lineRule="atLeast"/>
      <w:ind w:left="1152"/>
      <w:jc w:val="left"/>
    </w:pPr>
    <w:rPr>
      <w:b/>
      <w:kern w:val="0"/>
      <w:szCs w:val="21"/>
      <w:lang w:val="en-AU" w:eastAsia="en-US"/>
    </w:rPr>
  </w:style>
  <w:style w:type="paragraph" w:customStyle="1" w:styleId="128">
    <w:name w:val="Char1 Char Char Char Char Char Char"/>
    <w:basedOn w:val="1"/>
    <w:qFormat/>
    <w:uiPriority w:val="99"/>
    <w:rPr>
      <w:rFonts w:ascii="Tahoma" w:hAnsi="Tahoma"/>
      <w:sz w:val="24"/>
      <w:szCs w:val="20"/>
    </w:rPr>
  </w:style>
  <w:style w:type="paragraph" w:customStyle="1" w:styleId="129">
    <w:name w:val="Paragraph4"/>
    <w:basedOn w:val="1"/>
    <w:qFormat/>
    <w:uiPriority w:val="99"/>
    <w:pPr>
      <w:spacing w:before="80" w:afterLines="50"/>
      <w:ind w:left="2250"/>
    </w:pPr>
    <w:rPr>
      <w:rFonts w:ascii="宋体"/>
      <w:kern w:val="0"/>
      <w:szCs w:val="20"/>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样式 标题 3Chapter X.X.X. + 五号 段后: 0.5 行"/>
    <w:basedOn w:val="6"/>
    <w:qFormat/>
    <w:uiPriority w:val="99"/>
    <w:pPr>
      <w:keepLines w:val="0"/>
      <w:autoSpaceDE/>
      <w:autoSpaceDN/>
      <w:adjustRightInd/>
      <w:spacing w:before="120" w:afterLines="50"/>
    </w:pPr>
    <w:rPr>
      <w:rFonts w:cs="宋体"/>
      <w:bCs/>
      <w:sz w:val="21"/>
      <w:u w:val="none"/>
    </w:rPr>
  </w:style>
  <w:style w:type="paragraph" w:customStyle="1" w:styleId="132">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3">
    <w:name w:val="TableTextLeft"/>
    <w:qFormat/>
    <w:uiPriority w:val="99"/>
    <w:rPr>
      <w:rFonts w:ascii="Century Gothic" w:hAnsi="Century Gothic" w:eastAsia="宋体" w:cs="Times New Roman"/>
      <w:szCs w:val="18"/>
      <w:lang w:val="en-US" w:eastAsia="en-US" w:bidi="ar-SA"/>
    </w:rPr>
  </w:style>
  <w:style w:type="paragraph" w:customStyle="1" w:styleId="134">
    <w:name w:val="Body"/>
    <w:basedOn w:val="1"/>
    <w:qFormat/>
    <w:uiPriority w:val="99"/>
    <w:pPr>
      <w:widowControl/>
      <w:spacing w:before="120" w:afterLines="50"/>
    </w:pPr>
    <w:rPr>
      <w:rFonts w:ascii="宋体"/>
      <w:kern w:val="0"/>
      <w:szCs w:val="20"/>
    </w:rPr>
  </w:style>
  <w:style w:type="paragraph" w:customStyle="1" w:styleId="135">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6">
    <w:name w:val="标准标题2"/>
    <w:basedOn w:val="5"/>
    <w:qFormat/>
    <w:uiPriority w:val="99"/>
    <w:pPr>
      <w:spacing w:line="360" w:lineRule="auto"/>
    </w:pPr>
    <w:rPr>
      <w:rFonts w:eastAsia="仿宋_GB2312"/>
      <w:sz w:val="28"/>
    </w:rPr>
  </w:style>
  <w:style w:type="paragraph" w:customStyle="1" w:styleId="137">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138">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139">
    <w:name w:val="Char Char Char Char Char Char Char Char Char Char Char Char Char Char Char Char"/>
    <w:basedOn w:val="1"/>
    <w:qFormat/>
    <w:uiPriority w:val="99"/>
    <w:pPr>
      <w:tabs>
        <w:tab w:val="left" w:pos="360"/>
      </w:tabs>
    </w:pPr>
    <w:rPr>
      <w:sz w:val="24"/>
    </w:rPr>
  </w:style>
  <w:style w:type="paragraph" w:customStyle="1" w:styleId="140">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141">
    <w:name w:val="Char3 Char Char Char"/>
    <w:basedOn w:val="1"/>
    <w:qFormat/>
    <w:uiPriority w:val="99"/>
    <w:pPr>
      <w:tabs>
        <w:tab w:val="left" w:pos="1455"/>
      </w:tabs>
      <w:ind w:left="1455" w:hanging="1275"/>
    </w:pPr>
    <w:rPr>
      <w:sz w:val="24"/>
    </w:rPr>
  </w:style>
  <w:style w:type="paragraph" w:customStyle="1" w:styleId="142">
    <w:name w:val="样式　标题4"/>
    <w:basedOn w:val="143"/>
    <w:next w:val="1"/>
    <w:qFormat/>
    <w:uiPriority w:val="99"/>
  </w:style>
  <w:style w:type="paragraph" w:customStyle="1" w:styleId="143">
    <w:name w:val="样式 标题 4Chapter X.X.X. + 段后: 0.5 行1"/>
    <w:basedOn w:val="7"/>
    <w:next w:val="7"/>
    <w:qFormat/>
    <w:uiPriority w:val="99"/>
    <w:pPr>
      <w:keepLines w:val="0"/>
      <w:spacing w:before="120" w:afterLines="50" w:line="240" w:lineRule="auto"/>
      <w:ind w:left="425" w:hanging="425"/>
      <w:jc w:val="left"/>
    </w:pPr>
    <w:rPr>
      <w:rFonts w:ascii="宋体" w:hAnsi="Times New Roman" w:eastAsia="宋体" w:cs="宋体"/>
      <w:kern w:val="0"/>
      <w:sz w:val="21"/>
    </w:rPr>
  </w:style>
  <w:style w:type="paragraph" w:customStyle="1" w:styleId="144">
    <w:name w:val="样式 标题 2 + 五号"/>
    <w:basedOn w:val="5"/>
    <w:qFormat/>
    <w:uiPriority w:val="99"/>
    <w:pPr>
      <w:spacing w:before="0" w:after="0" w:line="240" w:lineRule="auto"/>
    </w:pPr>
    <w:rPr>
      <w:rFonts w:ascii="宋体" w:hAnsi="宋体" w:eastAsia="宋体"/>
      <w:sz w:val="21"/>
    </w:rPr>
  </w:style>
  <w:style w:type="paragraph" w:customStyle="1" w:styleId="145">
    <w:name w:val="Main Title"/>
    <w:basedOn w:val="1"/>
    <w:qFormat/>
    <w:uiPriority w:val="99"/>
    <w:pPr>
      <w:spacing w:before="480" w:afterLines="50"/>
      <w:jc w:val="center"/>
    </w:pPr>
    <w:rPr>
      <w:rFonts w:ascii="宋体"/>
      <w:b/>
      <w:kern w:val="28"/>
      <w:sz w:val="32"/>
      <w:szCs w:val="20"/>
    </w:rPr>
  </w:style>
  <w:style w:type="paragraph" w:customStyle="1" w:styleId="146">
    <w:name w:val="表格内容"/>
    <w:basedOn w:val="15"/>
    <w:qFormat/>
    <w:uiPriority w:val="99"/>
    <w:pPr>
      <w:suppressLineNumbers/>
      <w:suppressAutoHyphens/>
    </w:pPr>
    <w:rPr>
      <w:kern w:val="1"/>
      <w:sz w:val="21"/>
      <w:lang w:eastAsia="ar-SA"/>
    </w:rPr>
  </w:style>
  <w:style w:type="paragraph" w:customStyle="1" w:styleId="14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S4-L15-C"/>
    <w:basedOn w:val="1"/>
    <w:qFormat/>
    <w:uiPriority w:val="99"/>
    <w:pPr>
      <w:spacing w:after="120" w:line="360" w:lineRule="auto"/>
      <w:jc w:val="center"/>
    </w:pPr>
    <w:rPr>
      <w:szCs w:val="21"/>
    </w:rPr>
  </w:style>
  <w:style w:type="paragraph" w:customStyle="1" w:styleId="149">
    <w:name w:val="样式 标题 4 + 段后: 0.5 行"/>
    <w:basedOn w:val="7"/>
    <w:qFormat/>
    <w:uiPriority w:val="99"/>
    <w:pPr>
      <w:keepLines w:val="0"/>
      <w:spacing w:before="120" w:afterLines="50" w:line="240" w:lineRule="auto"/>
      <w:jc w:val="left"/>
    </w:pPr>
    <w:rPr>
      <w:rFonts w:ascii="宋体" w:hAnsi="Times New Roman" w:eastAsia="宋体" w:cs="宋体"/>
      <w:kern w:val="0"/>
      <w:sz w:val="21"/>
    </w:rPr>
  </w:style>
  <w:style w:type="paragraph" w:customStyle="1" w:styleId="150">
    <w:name w:val="样式 标题 4"/>
    <w:basedOn w:val="151"/>
    <w:next w:val="152"/>
    <w:qFormat/>
    <w:uiPriority w:val="99"/>
    <w:pPr>
      <w:tabs>
        <w:tab w:val="left" w:pos="2100"/>
      </w:tabs>
      <w:spacing w:after="50"/>
      <w:ind w:left="2100" w:hanging="420"/>
    </w:pPr>
  </w:style>
  <w:style w:type="paragraph" w:customStyle="1" w:styleId="151">
    <w:name w:val="样式 标题 4Chapter X.X.X.X. + 段后: 0.5 行1"/>
    <w:basedOn w:val="149"/>
    <w:qFormat/>
    <w:uiPriority w:val="99"/>
    <w:pPr>
      <w:spacing w:after="120"/>
    </w:pPr>
  </w:style>
  <w:style w:type="paragraph" w:customStyle="1" w:styleId="152">
    <w:name w:val="样式 正文"/>
    <w:basedOn w:val="1"/>
    <w:next w:val="1"/>
    <w:qFormat/>
    <w:uiPriority w:val="99"/>
    <w:pPr>
      <w:spacing w:afterLines="50"/>
      <w:jc w:val="left"/>
    </w:pPr>
    <w:rPr>
      <w:rFonts w:ascii="宋体" w:cs="宋体"/>
      <w:kern w:val="0"/>
      <w:szCs w:val="20"/>
    </w:rPr>
  </w:style>
  <w:style w:type="paragraph" w:customStyle="1" w:styleId="153">
    <w:name w:val="Char Char"/>
    <w:basedOn w:val="1"/>
    <w:qFormat/>
    <w:uiPriority w:val="99"/>
    <w:pPr>
      <w:spacing w:line="240" w:lineRule="atLeast"/>
      <w:ind w:left="420" w:firstLine="420"/>
    </w:pPr>
    <w:rPr>
      <w:kern w:val="0"/>
      <w:szCs w:val="21"/>
    </w:rPr>
  </w:style>
  <w:style w:type="paragraph" w:customStyle="1" w:styleId="154">
    <w:name w:val="表格标题"/>
    <w:basedOn w:val="146"/>
    <w:qFormat/>
    <w:uiPriority w:val="99"/>
    <w:pPr>
      <w:jc w:val="center"/>
    </w:pPr>
    <w:rPr>
      <w:b/>
      <w:bCs/>
      <w:i/>
      <w:iCs/>
    </w:rPr>
  </w:style>
  <w:style w:type="paragraph" w:customStyle="1" w:styleId="155">
    <w:name w:val="样式 标题 1 + 段后: 0.5 行"/>
    <w:basedOn w:val="4"/>
    <w:qFormat/>
    <w:uiPriority w:val="99"/>
    <w:pPr>
      <w:keepLines w:val="0"/>
      <w:spacing w:before="120" w:afterLines="50" w:line="240" w:lineRule="auto"/>
      <w:jc w:val="left"/>
    </w:pPr>
    <w:rPr>
      <w:rFonts w:ascii="宋体" w:cs="宋体"/>
      <w:kern w:val="0"/>
      <w:sz w:val="28"/>
    </w:rPr>
  </w:style>
  <w:style w:type="paragraph" w:customStyle="1" w:styleId="156">
    <w:name w:val="最新标题3"/>
    <w:basedOn w:val="157"/>
    <w:next w:val="158"/>
    <w:qFormat/>
    <w:uiPriority w:val="99"/>
  </w:style>
  <w:style w:type="paragraph" w:customStyle="1" w:styleId="157">
    <w:name w:val="样式 标题 3"/>
    <w:basedOn w:val="6"/>
    <w:next w:val="158"/>
    <w:qFormat/>
    <w:uiPriority w:val="99"/>
    <w:pPr>
      <w:keepLines w:val="0"/>
      <w:autoSpaceDE/>
      <w:autoSpaceDN/>
      <w:adjustRightInd/>
      <w:spacing w:before="120" w:afterLines="50"/>
    </w:pPr>
    <w:rPr>
      <w:rFonts w:cs="宋体"/>
      <w:bCs/>
      <w:u w:val="none"/>
    </w:rPr>
  </w:style>
  <w:style w:type="paragraph" w:customStyle="1" w:styleId="158">
    <w:name w:val="最新标题4"/>
    <w:basedOn w:val="150"/>
    <w:next w:val="1"/>
    <w:qFormat/>
    <w:uiPriority w:val="99"/>
    <w:pPr>
      <w:tabs>
        <w:tab w:val="clear" w:pos="2100"/>
      </w:tabs>
      <w:spacing w:after="120"/>
      <w:ind w:left="0" w:firstLine="0"/>
    </w:pPr>
  </w:style>
  <w:style w:type="paragraph" w:customStyle="1" w:styleId="159">
    <w:name w:val="Char Char Char1 Char Char Char Char"/>
    <w:basedOn w:val="1"/>
    <w:qFormat/>
    <w:uiPriority w:val="99"/>
    <w:rPr>
      <w:rFonts w:ascii="仿宋_GB2312" w:eastAsia="仿宋_GB2312"/>
      <w:b/>
      <w:sz w:val="32"/>
      <w:szCs w:val="32"/>
    </w:rPr>
  </w:style>
  <w:style w:type="paragraph" w:customStyle="1" w:styleId="160">
    <w:name w:val="样式 标题 3Chapter X.X.X. + 段后: 0.5 行"/>
    <w:basedOn w:val="6"/>
    <w:qFormat/>
    <w:uiPriority w:val="99"/>
    <w:pPr>
      <w:keepLines w:val="0"/>
      <w:autoSpaceDE/>
      <w:autoSpaceDN/>
      <w:adjustRightInd/>
      <w:spacing w:before="120" w:afterLines="50"/>
    </w:pPr>
    <w:rPr>
      <w:rFonts w:cs="宋体"/>
      <w:bCs/>
      <w:u w:val="none"/>
    </w:rPr>
  </w:style>
  <w:style w:type="paragraph" w:customStyle="1" w:styleId="16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2">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3">
    <w:name w:val="标准标题3"/>
    <w:basedOn w:val="6"/>
    <w:qFormat/>
    <w:uiPriority w:val="99"/>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64">
    <w:name w:val="样式 样式 正文文本缩进 + 仿宋_GB2312 小四 首行缩进:  0 厘米 行距: 1.5 倍行距 + (中文) 仿宋_GB... Char Char"/>
    <w:basedOn w:val="123"/>
    <w:qFormat/>
    <w:uiPriority w:val="99"/>
    <w:pPr>
      <w:ind w:firstLine="480" w:firstLineChars="200"/>
    </w:pPr>
  </w:style>
  <w:style w:type="paragraph" w:customStyle="1" w:styleId="165">
    <w:name w:val="样式 标题 3Chapter X.X.X. + 段后: 0.5 行1"/>
    <w:basedOn w:val="6"/>
    <w:next w:val="1"/>
    <w:qFormat/>
    <w:uiPriority w:val="99"/>
    <w:pPr>
      <w:keepLines w:val="0"/>
      <w:autoSpaceDE/>
      <w:autoSpaceDN/>
      <w:adjustRightInd/>
      <w:spacing w:before="120" w:afterLines="50"/>
    </w:pPr>
    <w:rPr>
      <w:rFonts w:cs="宋体"/>
      <w:bCs/>
      <w:u w:val="none"/>
    </w:rPr>
  </w:style>
  <w:style w:type="paragraph" w:customStyle="1" w:styleId="166">
    <w:name w:val="最新标题1"/>
    <w:basedOn w:val="167"/>
    <w:next w:val="168"/>
    <w:qFormat/>
    <w:uiPriority w:val="99"/>
    <w:pPr>
      <w:tabs>
        <w:tab w:val="left" w:pos="1140"/>
      </w:tabs>
      <w:spacing w:after="120"/>
    </w:pPr>
    <w:rPr>
      <w:bCs/>
    </w:rPr>
  </w:style>
  <w:style w:type="paragraph" w:customStyle="1" w:styleId="167">
    <w:name w:val="样式 标题1"/>
    <w:basedOn w:val="155"/>
    <w:next w:val="168"/>
    <w:qFormat/>
    <w:uiPriority w:val="99"/>
    <w:pPr>
      <w:tabs>
        <w:tab w:val="left" w:pos="1140"/>
      </w:tabs>
      <w:spacing w:after="50"/>
      <w:ind w:left="1140" w:hanging="720"/>
    </w:pPr>
    <w:rPr>
      <w:sz w:val="32"/>
    </w:rPr>
  </w:style>
  <w:style w:type="paragraph" w:customStyle="1" w:styleId="168">
    <w:name w:val="最新标题2"/>
    <w:basedOn w:val="169"/>
    <w:next w:val="156"/>
    <w:qFormat/>
    <w:uiPriority w:val="99"/>
    <w:pPr>
      <w:spacing w:after="120"/>
    </w:pPr>
  </w:style>
  <w:style w:type="paragraph" w:customStyle="1" w:styleId="169">
    <w:name w:val="样式 标题 2"/>
    <w:basedOn w:val="5"/>
    <w:next w:val="156"/>
    <w:qFormat/>
    <w:uiPriority w:val="99"/>
    <w:pPr>
      <w:keepLines w:val="0"/>
      <w:spacing w:before="120" w:afterLines="50" w:line="240" w:lineRule="auto"/>
      <w:ind w:left="380" w:hanging="380"/>
      <w:jc w:val="left"/>
    </w:pPr>
    <w:rPr>
      <w:rFonts w:ascii="宋体" w:hAnsi="Times New Roman" w:eastAsia="宋体" w:cs="宋体"/>
      <w:kern w:val="0"/>
      <w:sz w:val="28"/>
    </w:rPr>
  </w:style>
  <w:style w:type="paragraph" w:customStyle="1" w:styleId="170">
    <w:name w:val="样式 样式 标题 3Chapter X.X.X. + 段后: 0.5 行 + 段后: 0.5 行"/>
    <w:basedOn w:val="160"/>
    <w:qFormat/>
    <w:uiPriority w:val="99"/>
  </w:style>
  <w:style w:type="paragraph" w:customStyle="1" w:styleId="171">
    <w:name w:val="正文1"/>
    <w:basedOn w:val="20"/>
    <w:next w:val="1"/>
    <w:qFormat/>
    <w:uiPriority w:val="99"/>
    <w:pPr>
      <w:adjustRightInd w:val="0"/>
      <w:spacing w:line="360" w:lineRule="atLeast"/>
      <w:jc w:val="left"/>
      <w:textAlignment w:val="baseline"/>
    </w:pPr>
    <w:rPr>
      <w:kern w:val="0"/>
      <w:szCs w:val="20"/>
    </w:rPr>
  </w:style>
  <w:style w:type="paragraph" w:customStyle="1" w:styleId="172">
    <w:name w:val="样式 样式 样式 标题 3Chapter X.X.X. + 段后: 0.5 行 + 段后: 0.5 行 + 段后: 0.5 行"/>
    <w:basedOn w:val="170"/>
    <w:qFormat/>
    <w:uiPriority w:val="99"/>
  </w:style>
  <w:style w:type="paragraph" w:customStyle="1" w:styleId="173">
    <w:name w:val="Char Char Char"/>
    <w:basedOn w:val="1"/>
    <w:qFormat/>
    <w:uiPriority w:val="99"/>
    <w:rPr>
      <w:rFonts w:ascii="Tahoma" w:hAnsi="Tahoma"/>
      <w:sz w:val="24"/>
      <w:szCs w:val="20"/>
    </w:rPr>
  </w:style>
  <w:style w:type="paragraph" w:customStyle="1" w:styleId="174">
    <w:name w:val="IBM 正文"/>
    <w:basedOn w:val="1"/>
    <w:qFormat/>
    <w:uiPriority w:val="99"/>
    <w:pPr>
      <w:spacing w:line="360" w:lineRule="atLeast"/>
    </w:pPr>
    <w:rPr>
      <w:sz w:val="24"/>
      <w:szCs w:val="20"/>
    </w:rPr>
  </w:style>
  <w:style w:type="paragraph" w:customStyle="1" w:styleId="175">
    <w:name w:val="第1.3标题"/>
    <w:basedOn w:val="6"/>
    <w:next w:val="1"/>
    <w:qFormat/>
    <w:uiPriority w:val="99"/>
    <w:pPr>
      <w:keepNext w:val="0"/>
      <w:widowControl/>
      <w:spacing w:beforeLines="50" w:afterLines="50" w:line="360" w:lineRule="auto"/>
      <w:textAlignment w:val="baseline"/>
    </w:pPr>
    <w:rPr>
      <w:rFonts w:ascii="Times New Roman"/>
      <w:sz w:val="30"/>
      <w:u w:val="none"/>
    </w:rPr>
  </w:style>
  <w:style w:type="paragraph" w:customStyle="1" w:styleId="176">
    <w:name w:val="Paragraph1"/>
    <w:basedOn w:val="1"/>
    <w:qFormat/>
    <w:uiPriority w:val="99"/>
    <w:pPr>
      <w:spacing w:before="80" w:afterLines="50"/>
    </w:pPr>
    <w:rPr>
      <w:rFonts w:ascii="宋体"/>
      <w:kern w:val="0"/>
      <w:szCs w:val="20"/>
    </w:rPr>
  </w:style>
  <w:style w:type="paragraph" w:customStyle="1" w:styleId="177">
    <w:name w:val="Tabletext"/>
    <w:basedOn w:val="1"/>
    <w:qFormat/>
    <w:uiPriority w:val="99"/>
    <w:pPr>
      <w:keepLines/>
      <w:spacing w:afterLines="50"/>
      <w:jc w:val="left"/>
    </w:pPr>
    <w:rPr>
      <w:rFonts w:ascii="宋体"/>
      <w:kern w:val="0"/>
      <w:szCs w:val="20"/>
    </w:rPr>
  </w:style>
  <w:style w:type="paragraph" w:customStyle="1" w:styleId="178">
    <w:name w:val="Char"/>
    <w:basedOn w:val="1"/>
    <w:qFormat/>
    <w:uiPriority w:val="99"/>
    <w:rPr>
      <w:szCs w:val="20"/>
    </w:rPr>
  </w:style>
  <w:style w:type="paragraph" w:customStyle="1" w:styleId="179">
    <w:name w:val="Char Char7 Char"/>
    <w:basedOn w:val="1"/>
    <w:qFormat/>
    <w:uiPriority w:val="99"/>
    <w:pPr>
      <w:tabs>
        <w:tab w:val="left" w:pos="425"/>
      </w:tabs>
      <w:ind w:left="420" w:leftChars="200" w:firstLine="270" w:firstLineChars="150"/>
    </w:pPr>
    <w:rPr>
      <w:szCs w:val="20"/>
    </w:rPr>
  </w:style>
  <w:style w:type="paragraph" w:customStyle="1" w:styleId="18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182">
    <w:name w:val="此正文"/>
    <w:basedOn w:val="1"/>
    <w:qFormat/>
    <w:uiPriority w:val="99"/>
    <w:pPr>
      <w:spacing w:line="360" w:lineRule="auto"/>
      <w:ind w:firstLine="200" w:firstLineChars="200"/>
    </w:pPr>
    <w:rPr>
      <w:sz w:val="24"/>
      <w:szCs w:val="20"/>
    </w:rPr>
  </w:style>
  <w:style w:type="paragraph" w:customStyle="1" w:styleId="183">
    <w:name w:val="InfoBlue"/>
    <w:basedOn w:val="1"/>
    <w:next w:val="15"/>
    <w:qFormat/>
    <w:uiPriority w:val="99"/>
    <w:pPr>
      <w:spacing w:afterLines="50"/>
      <w:ind w:left="720"/>
      <w:jc w:val="left"/>
    </w:pPr>
    <w:rPr>
      <w:rFonts w:ascii="宋体"/>
      <w:i/>
      <w:color w:val="0000FF"/>
      <w:kern w:val="0"/>
      <w:szCs w:val="20"/>
    </w:rPr>
  </w:style>
  <w:style w:type="paragraph" w:customStyle="1" w:styleId="184">
    <w:name w:val="S4-B-L15"/>
    <w:basedOn w:val="1"/>
    <w:qFormat/>
    <w:uiPriority w:val="99"/>
    <w:pPr>
      <w:spacing w:line="360" w:lineRule="auto"/>
    </w:pPr>
    <w:rPr>
      <w:b/>
      <w:bCs/>
      <w:sz w:val="24"/>
    </w:rPr>
  </w:style>
  <w:style w:type="paragraph" w:customStyle="1" w:styleId="185">
    <w:name w:val="表格(五号)"/>
    <w:basedOn w:val="1"/>
    <w:qFormat/>
    <w:uiPriority w:val="99"/>
    <w:pPr>
      <w:adjustRightInd w:val="0"/>
      <w:snapToGrid w:val="0"/>
      <w:spacing w:line="300" w:lineRule="auto"/>
      <w:jc w:val="center"/>
    </w:pPr>
    <w:rPr>
      <w:kern w:val="0"/>
      <w:sz w:val="18"/>
      <w:szCs w:val="20"/>
    </w:rPr>
  </w:style>
  <w:style w:type="paragraph" w:customStyle="1" w:styleId="18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187">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188">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Cs w:val="18"/>
    </w:rPr>
  </w:style>
  <w:style w:type="paragraph" w:customStyle="1" w:styleId="189">
    <w:name w:val="Char1"/>
    <w:basedOn w:val="1"/>
    <w:qFormat/>
    <w:uiPriority w:val="99"/>
    <w:pPr>
      <w:tabs>
        <w:tab w:val="left" w:pos="432"/>
      </w:tabs>
      <w:spacing w:beforeLines="50" w:afterLines="50"/>
      <w:ind w:left="432" w:hanging="432"/>
    </w:pPr>
    <w:rPr>
      <w:sz w:val="24"/>
    </w:rPr>
  </w:style>
  <w:style w:type="paragraph" w:customStyle="1" w:styleId="190">
    <w:name w:val="样式 标题 2Chapter X.X. Statementh22Header 2l2Level 2 Headhea...1"/>
    <w:basedOn w:val="6"/>
    <w:qFormat/>
    <w:uiPriority w:val="99"/>
    <w:pPr>
      <w:keepLines w:val="0"/>
      <w:autoSpaceDE/>
      <w:autoSpaceDN/>
      <w:adjustRightInd/>
      <w:spacing w:before="120" w:afterLines="50"/>
    </w:pPr>
    <w:rPr>
      <w:rFonts w:cs="宋体"/>
      <w:bCs/>
      <w:u w:val="none"/>
    </w:rPr>
  </w:style>
  <w:style w:type="paragraph" w:customStyle="1" w:styleId="191">
    <w:name w:val="S4-L15"/>
    <w:basedOn w:val="1"/>
    <w:qFormat/>
    <w:uiPriority w:val="99"/>
    <w:pPr>
      <w:spacing w:after="120" w:line="360" w:lineRule="auto"/>
      <w:ind w:left="720" w:firstLine="392"/>
    </w:pPr>
    <w:rPr>
      <w:szCs w:val="21"/>
      <w:lang w:val="fr-FR"/>
    </w:rPr>
  </w:style>
  <w:style w:type="paragraph" w:customStyle="1" w:styleId="192">
    <w:name w:val="标准有序列表（L1）"/>
    <w:basedOn w:val="8"/>
    <w:qFormat/>
    <w:uiPriority w:val="99"/>
    <w:pPr>
      <w:tabs>
        <w:tab w:val="left" w:pos="0"/>
      </w:tabs>
      <w:spacing w:line="360" w:lineRule="auto"/>
      <w:ind w:firstLine="0"/>
    </w:pPr>
    <w:rPr>
      <w:rFonts w:ascii="黑体" w:eastAsia="黑体"/>
      <w:color w:val="000000"/>
      <w:sz w:val="24"/>
    </w:rPr>
  </w:style>
  <w:style w:type="paragraph" w:customStyle="1" w:styleId="193">
    <w:name w:val="Char Char Char Char Char"/>
    <w:basedOn w:val="1"/>
    <w:qFormat/>
    <w:uiPriority w:val="99"/>
    <w:pPr>
      <w:widowControl/>
      <w:adjustRightInd w:val="0"/>
      <w:ind w:firstLine="200" w:firstLineChars="200"/>
      <w:jc w:val="left"/>
      <w:textAlignment w:val="baseline"/>
    </w:pPr>
  </w:style>
  <w:style w:type="paragraph" w:customStyle="1" w:styleId="194">
    <w:name w:val="标题1"/>
    <w:basedOn w:val="28"/>
    <w:qFormat/>
    <w:uiPriority w:val="99"/>
    <w:pPr>
      <w:spacing w:beforeLines="0" w:afterLines="0" w:line="360" w:lineRule="auto"/>
    </w:pPr>
    <w:rPr>
      <w:b/>
      <w:sz w:val="30"/>
    </w:rPr>
  </w:style>
  <w:style w:type="paragraph" w:customStyle="1" w:styleId="195">
    <w:name w:val="沈标题四"/>
    <w:basedOn w:val="7"/>
    <w:next w:val="1"/>
    <w:qFormat/>
    <w:uiPriority w:val="99"/>
    <w:pPr>
      <w:keepNext w:val="0"/>
      <w:keepLines w:val="0"/>
      <w:spacing w:line="377" w:lineRule="auto"/>
    </w:pPr>
    <w:rPr>
      <w:rFonts w:ascii="Arial Narrow" w:hAnsi="Arial Narrow" w:eastAsia="方正姚体"/>
      <w:b w:val="0"/>
      <w:sz w:val="24"/>
      <w:szCs w:val="24"/>
    </w:rPr>
  </w:style>
  <w:style w:type="paragraph" w:customStyle="1" w:styleId="196">
    <w:name w:val="样式 标题 1 + 五号"/>
    <w:basedOn w:val="4"/>
    <w:qFormat/>
    <w:uiPriority w:val="99"/>
    <w:pPr>
      <w:spacing w:before="0" w:after="0" w:line="240" w:lineRule="auto"/>
      <w:jc w:val="center"/>
    </w:pPr>
    <w:rPr>
      <w:sz w:val="32"/>
      <w:szCs w:val="32"/>
    </w:rPr>
  </w:style>
  <w:style w:type="paragraph" w:customStyle="1" w:styleId="197">
    <w:name w:val="表格11"/>
    <w:basedOn w:val="1"/>
    <w:qFormat/>
    <w:uiPriority w:val="99"/>
    <w:pPr>
      <w:widowControl/>
      <w:jc w:val="center"/>
    </w:pPr>
    <w:rPr>
      <w:rFonts w:ascii="宋体" w:hAnsi="宋体" w:cs="宋体"/>
      <w:b/>
      <w:kern w:val="0"/>
      <w:szCs w:val="21"/>
    </w:rPr>
  </w:style>
  <w:style w:type="paragraph" w:customStyle="1" w:styleId="198">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199">
    <w:name w:val="样式 三号 加粗 段后: 0.5 行"/>
    <w:basedOn w:val="1"/>
    <w:qFormat/>
    <w:uiPriority w:val="99"/>
    <w:pPr>
      <w:spacing w:afterLines="50"/>
      <w:jc w:val="left"/>
    </w:pPr>
    <w:rPr>
      <w:rFonts w:ascii="宋体" w:cs="宋体"/>
      <w:b/>
      <w:bCs/>
      <w:kern w:val="0"/>
      <w:sz w:val="32"/>
      <w:szCs w:val="20"/>
    </w:rPr>
  </w:style>
  <w:style w:type="paragraph" w:customStyle="1" w:styleId="200">
    <w:name w:val="Char21"/>
    <w:basedOn w:val="1"/>
    <w:qFormat/>
    <w:uiPriority w:val="99"/>
  </w:style>
  <w:style w:type="paragraph" w:customStyle="1" w:styleId="201">
    <w:name w:val="标题 3Chapter X.X.X. + 段后: 0.5 行 + 段后: 0.5 行 + 段后: 0.5 行1"/>
    <w:basedOn w:val="170"/>
    <w:qFormat/>
    <w:uiPriority w:val="99"/>
  </w:style>
  <w:style w:type="paragraph" w:customStyle="1" w:styleId="202">
    <w:name w:val="S4-I-L15-U"/>
    <w:basedOn w:val="1"/>
    <w:qFormat/>
    <w:uiPriority w:val="99"/>
    <w:pPr>
      <w:spacing w:line="360" w:lineRule="auto"/>
    </w:pPr>
    <w:rPr>
      <w:b/>
      <w:i/>
      <w:sz w:val="24"/>
      <w:u w:val="single"/>
    </w:rPr>
  </w:style>
  <w:style w:type="paragraph" w:customStyle="1" w:styleId="203">
    <w:name w:val="Paragraph3"/>
    <w:basedOn w:val="1"/>
    <w:qFormat/>
    <w:uiPriority w:val="99"/>
    <w:pPr>
      <w:spacing w:before="80" w:afterLines="50"/>
      <w:ind w:left="1530"/>
    </w:pPr>
    <w:rPr>
      <w:rFonts w:ascii="宋体"/>
      <w:kern w:val="0"/>
      <w:szCs w:val="20"/>
    </w:rPr>
  </w:style>
  <w:style w:type="paragraph" w:customStyle="1" w:styleId="204">
    <w:name w:val="样式 样式 正文文本缩进 + 仿宋_GB2312 小四 首行缩进:  0 厘米 行距: 1.5 倍行距 + (中文) 仿宋_GB..."/>
    <w:basedOn w:val="123"/>
    <w:qFormat/>
    <w:uiPriority w:val="99"/>
    <w:pPr>
      <w:ind w:firstLine="480" w:firstLineChars="200"/>
    </w:pPr>
  </w:style>
  <w:style w:type="paragraph" w:customStyle="1" w:styleId="205">
    <w:name w:val="样式 标题 1 + 五号1 Char Char Char Char Char Char Char Char Char Char Char Char Char Char Char Char Char"/>
    <w:basedOn w:val="4"/>
    <w:qFormat/>
    <w:uiPriority w:val="99"/>
    <w:pPr>
      <w:spacing w:before="0" w:after="0" w:line="480" w:lineRule="auto"/>
    </w:pPr>
    <w:rPr>
      <w:sz w:val="21"/>
    </w:rPr>
  </w:style>
  <w:style w:type="paragraph" w:customStyle="1" w:styleId="206">
    <w:name w:val="纯文本1"/>
    <w:basedOn w:val="1"/>
    <w:qFormat/>
    <w:uiPriority w:val="0"/>
    <w:pPr>
      <w:adjustRightInd w:val="0"/>
    </w:pPr>
    <w:rPr>
      <w:rFonts w:ascii="宋体" w:hAnsi="Courier New" w:eastAsia="楷体_GB2312"/>
      <w:sz w:val="28"/>
      <w:szCs w:val="20"/>
    </w:rPr>
  </w:style>
  <w:style w:type="paragraph" w:customStyle="1" w:styleId="207">
    <w:name w:val="Table - Text"/>
    <w:basedOn w:val="1"/>
    <w:qFormat/>
    <w:uiPriority w:val="99"/>
    <w:pPr>
      <w:widowControl/>
      <w:spacing w:before="60" w:afterLines="50"/>
      <w:jc w:val="left"/>
    </w:pPr>
    <w:rPr>
      <w:kern w:val="0"/>
      <w:szCs w:val="20"/>
      <w:lang w:eastAsia="en-US"/>
    </w:rPr>
  </w:style>
  <w:style w:type="paragraph" w:customStyle="1" w:styleId="208">
    <w:name w:val="样式 标题 3(A-3)sect1.2.3h3H3level_3PIM 3Level 3 HeadHeading..."/>
    <w:basedOn w:val="6"/>
    <w:qFormat/>
    <w:uiPriority w:val="99"/>
    <w:pPr>
      <w:autoSpaceDE/>
      <w:autoSpaceDN/>
      <w:adjustRightInd/>
      <w:spacing w:before="260" w:after="260" w:line="416" w:lineRule="auto"/>
      <w:jc w:val="both"/>
    </w:pPr>
    <w:rPr>
      <w:rFonts w:ascii="Arial" w:hAnsi="Arial"/>
      <w:bCs/>
      <w:kern w:val="2"/>
      <w:sz w:val="30"/>
      <w:szCs w:val="32"/>
      <w:u w:val="none"/>
    </w:rPr>
  </w:style>
  <w:style w:type="paragraph" w:customStyle="1" w:styleId="209">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210">
    <w:name w:val="Char Char Char Char Char Char Char Char Char"/>
    <w:basedOn w:val="1"/>
    <w:qFormat/>
    <w:uiPriority w:val="99"/>
    <w:rPr>
      <w:rFonts w:ascii="Tahoma" w:hAnsi="Tahoma" w:eastAsia="仿宋_GB2312"/>
      <w:sz w:val="24"/>
      <w:szCs w:val="20"/>
    </w:rPr>
  </w:style>
  <w:style w:type="paragraph" w:customStyle="1" w:styleId="211">
    <w:name w:val="列出段落1"/>
    <w:basedOn w:val="1"/>
    <w:qFormat/>
    <w:uiPriority w:val="99"/>
    <w:pPr>
      <w:ind w:firstLine="420" w:firstLineChars="200"/>
    </w:pPr>
    <w:rPr>
      <w:rFonts w:ascii="Calibri" w:hAnsi="Calibri"/>
      <w:szCs w:val="22"/>
    </w:rPr>
  </w:style>
  <w:style w:type="paragraph" w:customStyle="1" w:styleId="212">
    <w:name w:val="标准标题1"/>
    <w:basedOn w:val="4"/>
    <w:qFormat/>
    <w:uiPriority w:val="99"/>
    <w:pPr>
      <w:pageBreakBefore/>
      <w:tabs>
        <w:tab w:val="left" w:pos="1080"/>
      </w:tabs>
      <w:ind w:left="425" w:hanging="425"/>
    </w:pPr>
    <w:rPr>
      <w:rFonts w:eastAsia="仿宋_GB2312"/>
      <w:sz w:val="32"/>
    </w:rPr>
  </w:style>
  <w:style w:type="paragraph" w:customStyle="1" w:styleId="213">
    <w:name w:val="Char Char Char Char"/>
    <w:basedOn w:val="1"/>
    <w:qFormat/>
    <w:uiPriority w:val="99"/>
  </w:style>
  <w:style w:type="paragraph" w:customStyle="1" w:styleId="214">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215">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16">
    <w:name w:val="Bullet1"/>
    <w:basedOn w:val="1"/>
    <w:qFormat/>
    <w:uiPriority w:val="99"/>
    <w:pPr>
      <w:spacing w:afterLines="50"/>
      <w:ind w:left="720" w:hanging="432"/>
      <w:jc w:val="left"/>
    </w:pPr>
    <w:rPr>
      <w:rFonts w:ascii="宋体"/>
      <w:kern w:val="0"/>
      <w:szCs w:val="20"/>
    </w:rPr>
  </w:style>
  <w:style w:type="paragraph" w:customStyle="1" w:styleId="217">
    <w:name w:val="列出段落11"/>
    <w:basedOn w:val="1"/>
    <w:qFormat/>
    <w:uiPriority w:val="99"/>
    <w:pPr>
      <w:spacing w:line="360" w:lineRule="auto"/>
      <w:ind w:firstLine="420" w:firstLineChars="200"/>
      <w:jc w:val="left"/>
    </w:pPr>
    <w:rPr>
      <w:rFonts w:ascii="Calibri" w:hAnsi="Calibri"/>
      <w:sz w:val="24"/>
      <w:szCs w:val="22"/>
    </w:rPr>
  </w:style>
  <w:style w:type="paragraph" w:customStyle="1" w:styleId="218">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219">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220">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221">
    <w:name w:val="列表内容"/>
    <w:basedOn w:val="1"/>
    <w:next w:val="1"/>
    <w:qFormat/>
    <w:uiPriority w:val="99"/>
    <w:pPr>
      <w:widowControl/>
      <w:tabs>
        <w:tab w:val="left" w:pos="840"/>
      </w:tabs>
      <w:ind w:left="840" w:hanging="420"/>
      <w:jc w:val="left"/>
    </w:pPr>
    <w:rPr>
      <w:kern w:val="0"/>
      <w:sz w:val="18"/>
      <w:szCs w:val="20"/>
    </w:rPr>
  </w:style>
  <w:style w:type="paragraph" w:customStyle="1" w:styleId="222">
    <w:name w:val="P2"/>
    <w:basedOn w:val="1"/>
    <w:qFormat/>
    <w:uiPriority w:val="99"/>
    <w:pPr>
      <w:widowControl/>
      <w:spacing w:before="240" w:line="240" w:lineRule="atLeast"/>
      <w:ind w:left="578"/>
      <w:jc w:val="left"/>
    </w:pPr>
    <w:rPr>
      <w:b/>
      <w:kern w:val="0"/>
      <w:szCs w:val="21"/>
      <w:lang w:val="en-AU" w:eastAsia="en-US"/>
    </w:rPr>
  </w:style>
  <w:style w:type="paragraph" w:customStyle="1" w:styleId="223">
    <w:name w:val="样式 标题 3Chapter X.X.X"/>
    <w:basedOn w:val="201"/>
    <w:qFormat/>
    <w:uiPriority w:val="99"/>
  </w:style>
  <w:style w:type="paragraph" w:customStyle="1" w:styleId="224">
    <w:name w:val="样式 左侧:  1 厘米 段后: 0.5 行"/>
    <w:basedOn w:val="1"/>
    <w:qFormat/>
    <w:uiPriority w:val="99"/>
    <w:pPr>
      <w:spacing w:afterLines="50"/>
      <w:ind w:firstLine="425"/>
      <w:jc w:val="left"/>
    </w:pPr>
    <w:rPr>
      <w:rFonts w:ascii="宋体" w:cs="宋体"/>
      <w:kern w:val="0"/>
      <w:szCs w:val="20"/>
    </w:rPr>
  </w:style>
  <w:style w:type="paragraph" w:customStyle="1" w:styleId="225">
    <w:name w:val="Style-正文"/>
    <w:basedOn w:val="1"/>
    <w:qFormat/>
    <w:uiPriority w:val="99"/>
    <w:pPr>
      <w:spacing w:line="360" w:lineRule="auto"/>
      <w:ind w:firstLine="420"/>
    </w:pPr>
    <w:rPr>
      <w:rFonts w:ascii="宋体" w:hAnsi="宋体"/>
      <w:sz w:val="24"/>
    </w:rPr>
  </w:style>
  <w:style w:type="paragraph" w:customStyle="1" w:styleId="226">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227">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228">
    <w:name w:val="样式 模板描述"/>
    <w:basedOn w:val="1"/>
    <w:next w:val="152"/>
    <w:qFormat/>
    <w:uiPriority w:val="99"/>
    <w:pPr>
      <w:spacing w:afterLines="50"/>
      <w:jc w:val="left"/>
    </w:pPr>
    <w:rPr>
      <w:rFonts w:ascii="宋体" w:cs="宋体"/>
      <w:i/>
      <w:iCs/>
      <w:color w:val="0000FF"/>
      <w:kern w:val="0"/>
      <w:szCs w:val="21"/>
    </w:rPr>
  </w:style>
  <w:style w:type="paragraph" w:customStyle="1" w:styleId="229">
    <w:name w:val="Char2"/>
    <w:basedOn w:val="1"/>
    <w:qFormat/>
    <w:uiPriority w:val="99"/>
    <w:pPr>
      <w:tabs>
        <w:tab w:val="left" w:pos="432"/>
      </w:tabs>
      <w:spacing w:beforeLines="50" w:afterLines="50"/>
      <w:ind w:left="432" w:hanging="432"/>
    </w:pPr>
    <w:rPr>
      <w:sz w:val="24"/>
    </w:rPr>
  </w:style>
  <w:style w:type="paragraph" w:customStyle="1" w:styleId="230">
    <w:name w:val="Bullet2"/>
    <w:basedOn w:val="1"/>
    <w:qFormat/>
    <w:uiPriority w:val="99"/>
    <w:pPr>
      <w:spacing w:afterLines="50"/>
      <w:ind w:left="1440" w:hanging="360"/>
      <w:jc w:val="left"/>
    </w:pPr>
    <w:rPr>
      <w:rFonts w:ascii="宋体"/>
      <w:color w:val="000080"/>
      <w:kern w:val="0"/>
      <w:szCs w:val="20"/>
    </w:rPr>
  </w:style>
  <w:style w:type="paragraph" w:customStyle="1" w:styleId="231">
    <w:name w:val="S4-I-U-L15-No-dot"/>
    <w:basedOn w:val="1"/>
    <w:qFormat/>
    <w:uiPriority w:val="99"/>
    <w:pPr>
      <w:tabs>
        <w:tab w:val="left" w:pos="1112"/>
      </w:tabs>
      <w:spacing w:after="120" w:line="360" w:lineRule="auto"/>
      <w:ind w:left="1112" w:hanging="420"/>
    </w:pPr>
    <w:rPr>
      <w:i/>
      <w:sz w:val="24"/>
      <w:u w:val="single"/>
    </w:rPr>
  </w:style>
  <w:style w:type="paragraph" w:customStyle="1" w:styleId="232">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3">
    <w:name w:val="样式 样式 标题 4 + 段后: 0.5 行1"/>
    <w:basedOn w:val="149"/>
    <w:next w:val="31"/>
    <w:qFormat/>
    <w:uiPriority w:val="99"/>
    <w:pPr>
      <w:spacing w:after="120"/>
    </w:pPr>
  </w:style>
  <w:style w:type="paragraph" w:customStyle="1" w:styleId="234">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235">
    <w:name w:val="文本框内文字"/>
    <w:basedOn w:val="1"/>
    <w:qFormat/>
    <w:uiPriority w:val="99"/>
    <w:pPr>
      <w:spacing w:line="240" w:lineRule="atLeast"/>
    </w:pPr>
    <w:rPr>
      <w:rFonts w:eastAsia="仿宋_GB2312"/>
      <w:sz w:val="22"/>
    </w:rPr>
  </w:style>
  <w:style w:type="paragraph" w:customStyle="1" w:styleId="236">
    <w:name w:val="样式 样式 标题 4 + 段后: 0.5 行 + 段后: 0.5 行"/>
    <w:basedOn w:val="149"/>
    <w:qFormat/>
    <w:uiPriority w:val="99"/>
  </w:style>
  <w:style w:type="paragraph" w:customStyle="1" w:styleId="237">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238">
    <w:name w:val="paragraph1"/>
    <w:basedOn w:val="1"/>
    <w:qFormat/>
    <w:uiPriority w:val="99"/>
    <w:pPr>
      <w:spacing w:afterLines="30" w:line="360" w:lineRule="auto"/>
      <w:ind w:firstLine="420" w:firstLineChars="200"/>
    </w:pPr>
    <w:rPr>
      <w:rFonts w:eastAsia="楷体_GB2312"/>
      <w:sz w:val="24"/>
      <w:szCs w:val="20"/>
    </w:rPr>
  </w:style>
  <w:style w:type="paragraph" w:customStyle="1" w:styleId="239">
    <w:name w:val="S4-L15-No"/>
    <w:basedOn w:val="191"/>
    <w:qFormat/>
    <w:uiPriority w:val="99"/>
    <w:pPr>
      <w:tabs>
        <w:tab w:val="left" w:pos="720"/>
      </w:tabs>
      <w:ind w:hanging="720"/>
    </w:pPr>
  </w:style>
  <w:style w:type="paragraph" w:customStyle="1" w:styleId="240">
    <w:name w:val="广咨正文"/>
    <w:basedOn w:val="1"/>
    <w:qFormat/>
    <w:uiPriority w:val="99"/>
    <w:pPr>
      <w:snapToGrid w:val="0"/>
      <w:spacing w:line="360" w:lineRule="auto"/>
      <w:ind w:firstLine="480" w:firstLineChars="200"/>
    </w:pPr>
    <w:rPr>
      <w:szCs w:val="20"/>
    </w:rPr>
  </w:style>
  <w:style w:type="paragraph" w:customStyle="1" w:styleId="241">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242">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4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244">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245">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246">
    <w:name w:val="正文段"/>
    <w:basedOn w:val="1"/>
    <w:qFormat/>
    <w:uiPriority w:val="99"/>
    <w:pPr>
      <w:widowControl/>
      <w:snapToGrid w:val="0"/>
      <w:spacing w:afterLines="50"/>
      <w:ind w:firstLine="200" w:firstLineChars="200"/>
    </w:pPr>
    <w:rPr>
      <w:kern w:val="0"/>
      <w:sz w:val="24"/>
      <w:szCs w:val="20"/>
    </w:rPr>
  </w:style>
  <w:style w:type="paragraph" w:customStyle="1" w:styleId="247">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0"/>
    </w:rPr>
  </w:style>
  <w:style w:type="paragraph" w:customStyle="1" w:styleId="248">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249">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250">
    <w:name w:val="样式 标题 4Chapter X.X.X. + 段后: 0.5 行1 + 段后: 0.5 行"/>
    <w:basedOn w:val="143"/>
    <w:qFormat/>
    <w:uiPriority w:val="99"/>
    <w:rPr>
      <w:szCs w:val="21"/>
    </w:rPr>
  </w:style>
  <w:style w:type="paragraph" w:customStyle="1" w:styleId="251">
    <w:name w:val="P1"/>
    <w:basedOn w:val="1"/>
    <w:qFormat/>
    <w:uiPriority w:val="99"/>
    <w:pPr>
      <w:widowControl/>
      <w:spacing w:before="240" w:line="240" w:lineRule="atLeast"/>
      <w:jc w:val="left"/>
    </w:pPr>
    <w:rPr>
      <w:b/>
      <w:kern w:val="0"/>
      <w:szCs w:val="21"/>
      <w:lang w:val="en-AU" w:eastAsia="en-US"/>
    </w:rPr>
  </w:style>
  <w:style w:type="paragraph" w:customStyle="1" w:styleId="252">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53">
    <w:name w:val="Char3 Char Char Char1"/>
    <w:basedOn w:val="1"/>
    <w:qFormat/>
    <w:uiPriority w:val="99"/>
    <w:pPr>
      <w:widowControl/>
      <w:spacing w:after="160" w:line="240" w:lineRule="exact"/>
      <w:jc w:val="left"/>
    </w:pPr>
  </w:style>
  <w:style w:type="paragraph" w:customStyle="1" w:styleId="254">
    <w:name w:val="默认段落字体 Para Char Char Char Char Char Char Char Char Char1 Char Char Char Char"/>
    <w:basedOn w:val="1"/>
    <w:qFormat/>
    <w:uiPriority w:val="99"/>
    <w:rPr>
      <w:rFonts w:ascii="Tahoma" w:hAnsi="Tahoma"/>
      <w:sz w:val="24"/>
      <w:szCs w:val="20"/>
    </w:rPr>
  </w:style>
  <w:style w:type="paragraph" w:styleId="255">
    <w:name w:val="List Paragraph"/>
    <w:basedOn w:val="1"/>
    <w:link w:val="256"/>
    <w:qFormat/>
    <w:uiPriority w:val="34"/>
    <w:pPr>
      <w:ind w:firstLine="420" w:firstLineChars="200"/>
    </w:pPr>
  </w:style>
  <w:style w:type="character" w:customStyle="1" w:styleId="256">
    <w:name w:val="列出段落 Char"/>
    <w:link w:val="255"/>
    <w:qFormat/>
    <w:uiPriority w:val="34"/>
    <w:rPr>
      <w:kern w:val="2"/>
      <w:sz w:val="21"/>
      <w:szCs w:val="24"/>
    </w:rPr>
  </w:style>
  <w:style w:type="character" w:customStyle="1" w:styleId="257">
    <w:name w:val="apple-converted-space"/>
    <w:basedOn w:val="48"/>
    <w:qFormat/>
    <w:uiPriority w:val="99"/>
  </w:style>
  <w:style w:type="character" w:customStyle="1" w:styleId="258">
    <w:name w:val="标题 2 Char1"/>
    <w:qFormat/>
    <w:uiPriority w:val="0"/>
    <w:rPr>
      <w:rFonts w:ascii="Arial" w:hAnsi="Arial" w:eastAsia="宋体"/>
      <w:b/>
      <w:bCs/>
      <w:kern w:val="2"/>
      <w:sz w:val="28"/>
      <w:szCs w:val="32"/>
      <w:lang w:val="en-US" w:eastAsia="zh-CN" w:bidi="ar-SA"/>
    </w:rPr>
  </w:style>
  <w:style w:type="paragraph" w:customStyle="1" w:styleId="259">
    <w:name w:val="msonormal 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0">
    <w:name w:val="msoplaintext msoplain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1">
    <w:name w:val="壹"/>
    <w:basedOn w:val="262"/>
    <w:qFormat/>
    <w:uiPriority w:val="0"/>
    <w:pPr>
      <w:numPr>
        <w:ilvl w:val="0"/>
        <w:numId w:val="1"/>
      </w:numPr>
    </w:pPr>
  </w:style>
  <w:style w:type="paragraph" w:customStyle="1" w:styleId="262">
    <w:name w:val="一级标题"/>
    <w:basedOn w:val="1"/>
    <w:qFormat/>
    <w:uiPriority w:val="0"/>
    <w:pPr>
      <w:spacing w:line="360" w:lineRule="auto"/>
      <w:jc w:val="center"/>
      <w:outlineLvl w:val="0"/>
    </w:pPr>
    <w:rPr>
      <w:rFonts w:eastAsia="黑体"/>
      <w:b/>
      <w:sz w:val="36"/>
    </w:rPr>
  </w:style>
  <w:style w:type="paragraph" w:customStyle="1" w:styleId="263">
    <w:name w:val="贰"/>
    <w:basedOn w:val="264"/>
    <w:qFormat/>
    <w:uiPriority w:val="0"/>
    <w:pPr>
      <w:numPr>
        <w:ilvl w:val="1"/>
        <w:numId w:val="1"/>
      </w:numPr>
    </w:pPr>
    <w:rPr>
      <w:sz w:val="32"/>
    </w:rPr>
  </w:style>
  <w:style w:type="paragraph" w:customStyle="1" w:styleId="264">
    <w:name w:val="二级标题"/>
    <w:basedOn w:val="1"/>
    <w:qFormat/>
    <w:uiPriority w:val="0"/>
    <w:pPr>
      <w:widowControl/>
      <w:autoSpaceDE w:val="0"/>
      <w:autoSpaceDN w:val="0"/>
      <w:adjustRightInd w:val="0"/>
      <w:spacing w:line="360" w:lineRule="auto"/>
      <w:jc w:val="left"/>
      <w:outlineLvl w:val="1"/>
    </w:pPr>
    <w:rPr>
      <w:rFonts w:ascii="宋体" w:hAnsi="宋体" w:eastAsia="黑体"/>
      <w:b/>
      <w:kern w:val="0"/>
      <w:sz w:val="30"/>
      <w:szCs w:val="28"/>
    </w:rPr>
  </w:style>
  <w:style w:type="paragraph" w:customStyle="1" w:styleId="265">
    <w:name w:val="叁"/>
    <w:basedOn w:val="1"/>
    <w:qFormat/>
    <w:uiPriority w:val="0"/>
    <w:pPr>
      <w:numPr>
        <w:ilvl w:val="2"/>
        <w:numId w:val="1"/>
      </w:numPr>
      <w:spacing w:line="360" w:lineRule="auto"/>
      <w:outlineLvl w:val="2"/>
    </w:pPr>
    <w:rPr>
      <w:rFonts w:eastAsia="黑体"/>
      <w:b/>
      <w:sz w:val="30"/>
    </w:rPr>
  </w:style>
  <w:style w:type="paragraph" w:customStyle="1" w:styleId="266">
    <w:name w:val="肆"/>
    <w:basedOn w:val="265"/>
    <w:qFormat/>
    <w:uiPriority w:val="0"/>
    <w:pPr>
      <w:numPr>
        <w:ilvl w:val="3"/>
      </w:numPr>
      <w:outlineLvl w:val="3"/>
    </w:pPr>
    <w:rPr>
      <w:sz w:val="28"/>
    </w:rPr>
  </w:style>
  <w:style w:type="character" w:customStyle="1" w:styleId="267">
    <w:name w:val="font01"/>
    <w:basedOn w:val="48"/>
    <w:qFormat/>
    <w:uiPriority w:val="0"/>
    <w:rPr>
      <w:rFonts w:hint="eastAsia" w:ascii="宋体" w:hAnsi="宋体" w:eastAsia="宋体" w:cs="宋体"/>
      <w:color w:val="000000"/>
      <w:sz w:val="21"/>
      <w:szCs w:val="21"/>
      <w:u w:val="none"/>
    </w:rPr>
  </w:style>
  <w:style w:type="paragraph" w:customStyle="1" w:styleId="268">
    <w:name w:val="表格文字"/>
    <w:basedOn w:val="1"/>
    <w:next w:val="15"/>
    <w:qFormat/>
    <w:uiPriority w:val="0"/>
    <w:pPr>
      <w:jc w:val="center"/>
    </w:pPr>
    <w:rPr>
      <w:sz w:val="24"/>
      <w:szCs w:val="22"/>
    </w:rPr>
  </w:style>
  <w:style w:type="paragraph" w:customStyle="1" w:styleId="269">
    <w:name w:val="unnamed1"/>
    <w:basedOn w:val="1"/>
    <w:qFormat/>
    <w:uiPriority w:val="0"/>
    <w:pPr>
      <w:widowControl/>
      <w:spacing w:before="100" w:beforeAutospacing="1" w:after="100" w:afterAutospacing="1" w:line="288" w:lineRule="auto"/>
      <w:jc w:val="left"/>
    </w:pPr>
    <w:rPr>
      <w:rFonts w:hint="eastAsia" w:ascii="宋体" w:hAnsi="宋体"/>
      <w:kern w:val="0"/>
      <w:szCs w:val="21"/>
    </w:rPr>
  </w:style>
  <w:style w:type="paragraph" w:customStyle="1" w:styleId="270">
    <w:name w:val="Normal Indent1"/>
    <w:basedOn w:val="1"/>
    <w:qFormat/>
    <w:uiPriority w:val="0"/>
    <w:pPr>
      <w:ind w:firstLine="420" w:firstLineChars="200"/>
    </w:pPr>
  </w:style>
  <w:style w:type="paragraph" w:customStyle="1" w:styleId="271">
    <w:name w:val="Table Paragraph"/>
    <w:basedOn w:val="1"/>
    <w:qFormat/>
    <w:uiPriority w:val="1"/>
    <w:rPr>
      <w:rFonts w:ascii="微软雅黑" w:hAnsi="微软雅黑" w:eastAsia="微软雅黑" w:cs="微软雅黑"/>
      <w:lang w:val="zh-CN" w:bidi="zh-CN"/>
    </w:rPr>
  </w:style>
  <w:style w:type="paragraph" w:customStyle="1" w:styleId="272">
    <w:name w:val="样式 表格正文 + 两端对齐"/>
    <w:basedOn w:val="1"/>
    <w:next w:val="171"/>
    <w:qFormat/>
    <w:uiPriority w:val="0"/>
    <w:pPr>
      <w:spacing w:line="300" w:lineRule="auto"/>
    </w:pPr>
  </w:style>
  <w:style w:type="paragraph" w:customStyle="1" w:styleId="273">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74">
    <w:name w:val="PlainText"/>
    <w:basedOn w:val="1"/>
    <w:next w:val="1"/>
    <w:qFormat/>
    <w:uiPriority w:val="0"/>
    <w:pPr>
      <w:spacing w:before="156" w:after="156" w:line="400" w:lineRule="exact"/>
      <w:textAlignment w:val="baseline"/>
    </w:pPr>
    <w:rPr>
      <w:rFonts w:ascii="宋体" w:hAnsi="Courier New"/>
      <w:sz w:val="24"/>
    </w:rPr>
  </w:style>
  <w:style w:type="character" w:customStyle="1" w:styleId="275">
    <w:name w:val="font31"/>
    <w:basedOn w:val="48"/>
    <w:qFormat/>
    <w:uiPriority w:val="0"/>
    <w:rPr>
      <w:rFonts w:hint="default" w:ascii="Times New Roman" w:hAnsi="Times New Roman" w:cs="Times New Roman"/>
      <w:color w:val="000000"/>
      <w:sz w:val="22"/>
      <w:szCs w:val="22"/>
      <w:u w:val="none"/>
    </w:rPr>
  </w:style>
  <w:style w:type="paragraph" w:customStyle="1" w:styleId="276">
    <w:name w:val="纯文本2"/>
    <w:basedOn w:val="1"/>
    <w:next w:val="1"/>
    <w:qFormat/>
    <w:uiPriority w:val="0"/>
    <w:pPr>
      <w:spacing w:before="156" w:beforeLines="50" w:after="156" w:afterLines="50" w:line="400" w:lineRule="exact"/>
    </w:pPr>
    <w:rPr>
      <w:rFonts w:ascii="宋体" w:hAnsi="Courier New"/>
      <w:sz w:val="24"/>
    </w:rPr>
  </w:style>
  <w:style w:type="character" w:customStyle="1" w:styleId="277">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78">
    <w:name w:val="标题 5（有编号）（绿盟科技）"/>
    <w:basedOn w:val="1"/>
    <w:next w:val="279"/>
    <w:qFormat/>
    <w:uiPriority w:val="99"/>
    <w:pPr>
      <w:keepNext/>
      <w:keepLines/>
      <w:numPr>
        <w:ilvl w:val="4"/>
        <w:numId w:val="2"/>
      </w:numPr>
      <w:spacing w:before="280" w:after="156" w:line="377" w:lineRule="auto"/>
      <w:outlineLvl w:val="4"/>
    </w:pPr>
    <w:rPr>
      <w:rFonts w:ascii="Arial" w:hAnsi="Arial" w:eastAsia="黑体" w:cs="Arial"/>
      <w:b/>
      <w:bCs/>
      <w:sz w:val="24"/>
    </w:rPr>
  </w:style>
  <w:style w:type="paragraph" w:customStyle="1" w:styleId="279">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280">
    <w:name w:val="large1"/>
    <w:qFormat/>
    <w:uiPriority w:val="0"/>
    <w:rPr>
      <w:rFonts w:hint="eastAsia" w:ascii="宋体" w:hAnsi="宋体" w:eastAsia="宋体"/>
      <w:sz w:val="21"/>
      <w:szCs w:val="21"/>
    </w:rPr>
  </w:style>
  <w:style w:type="paragraph" w:customStyle="1" w:styleId="281">
    <w:name w:val="无间隔1"/>
    <w:qFormat/>
    <w:uiPriority w:val="0"/>
    <w:rPr>
      <w:rFonts w:ascii="Calibri" w:hAnsi="Calibri" w:eastAsia="Times New Roman" w:cs="Times New Roman"/>
      <w:kern w:val="2"/>
      <w:sz w:val="22"/>
      <w:szCs w:val="22"/>
      <w:lang w:val="en-US" w:eastAsia="zh-CN" w:bidi="ar-SA"/>
    </w:rPr>
  </w:style>
  <w:style w:type="character" w:customStyle="1" w:styleId="282">
    <w:name w:val="标题 2 Char2"/>
    <w:link w:val="5"/>
    <w:qFormat/>
    <w:uiPriority w:val="0"/>
    <w:rPr>
      <w:rFonts w:ascii="Arial" w:hAnsi="Arial" w:eastAsia="宋体"/>
      <w:b/>
      <w:bCs/>
      <w:kern w:val="2"/>
      <w:sz w:val="28"/>
      <w:szCs w:val="32"/>
      <w:lang w:val="en-US" w:eastAsia="zh-CN" w:bidi="ar-SA"/>
    </w:rPr>
  </w:style>
  <w:style w:type="paragraph" w:customStyle="1" w:styleId="283">
    <w:name w:val="UserStyle_41"/>
    <w:basedOn w:val="1"/>
    <w:qFormat/>
    <w:uiPriority w:val="0"/>
    <w:pPr>
      <w:spacing w:line="425" w:lineRule="auto"/>
      <w:ind w:firstLine="400"/>
    </w:pPr>
    <w:rPr>
      <w:rFonts w:ascii="宋体" w:hAnsi="宋体"/>
      <w:szCs w:val="28"/>
      <w:lang w:val="zh-TW" w:eastAsia="zh-TW" w:bidi="zh-TW"/>
    </w:rPr>
  </w:style>
  <w:style w:type="paragraph" w:customStyle="1" w:styleId="284">
    <w:name w:val="BodyText"/>
    <w:basedOn w:val="1"/>
    <w:next w:val="285"/>
    <w:qFormat/>
    <w:uiPriority w:val="0"/>
    <w:pPr>
      <w:tabs>
        <w:tab w:val="left" w:pos="208"/>
      </w:tabs>
      <w:spacing w:line="432" w:lineRule="auto"/>
      <w:textAlignment w:val="baseline"/>
    </w:pPr>
    <w:rPr>
      <w:rFonts w:ascii="仿宋_GB2312" w:eastAsia="仿宋_GB2312"/>
      <w:sz w:val="28"/>
      <w:szCs w:val="22"/>
    </w:rPr>
  </w:style>
  <w:style w:type="paragraph" w:customStyle="1" w:styleId="285">
    <w:name w:val="BodyText1I"/>
    <w:basedOn w:val="284"/>
    <w:qFormat/>
    <w:uiPriority w:val="0"/>
    <w:pPr>
      <w:spacing w:after="120" w:line="240" w:lineRule="auto"/>
      <w:ind w:firstLine="420" w:firstLineChars="100"/>
    </w:pPr>
    <w:rPr>
      <w:rFonts w:ascii="Times New Roman" w:eastAsia="宋体"/>
      <w:sz w:val="21"/>
    </w:rPr>
  </w:style>
  <w:style w:type="paragraph" w:customStyle="1" w:styleId="286">
    <w:name w:val="表格"/>
    <w:basedOn w:val="1"/>
    <w:qFormat/>
    <w:uiPriority w:val="0"/>
    <w:pPr>
      <w:snapToGrid w:val="0"/>
      <w:ind w:firstLine="21" w:firstLineChars="21"/>
    </w:pPr>
    <w:rPr>
      <w:rFonts w:ascii="宋体"/>
      <w:kern w:val="0"/>
      <w:sz w:val="20"/>
      <w:szCs w:val="20"/>
    </w:rPr>
  </w:style>
  <w:style w:type="paragraph" w:customStyle="1" w:styleId="287">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08A215-B8A2-48DA-9054-227F41CADE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14155</Words>
  <Characters>14776</Characters>
  <Lines>170</Lines>
  <Paragraphs>47</Paragraphs>
  <TotalTime>27</TotalTime>
  <ScaleCrop>false</ScaleCrop>
  <LinksUpToDate>false</LinksUpToDate>
  <CharactersWithSpaces>15023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2024-10-07T07:38:00Z</dcterms:created>
  <dc:creator>Administrator</dc:creator>
  <cp:lastModifiedBy>WPS_1675825832</cp:lastModifiedBy>
  <cp:lastPrinted>2024-03-26T05:46:00Z</cp:lastPrinted>
  <dcterms:modified xsi:type="dcterms:W3CDTF">2024-10-30T01:34:00Z</dcterms:modified>
  <dc:title>浙江省政府采购招标文件范本（试行）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A47F585B632C4BD4AE89CC7D21C501DA_13</vt:lpwstr>
  </property>
</Properties>
</file>