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01C2D5EC">
      <w:pPr>
        <w:spacing w:line="360" w:lineRule="auto"/>
        <w:rPr>
          <w:rFonts w:hint="eastAsia" w:ascii="仿宋" w:hAnsi="仿宋" w:eastAsia="仿宋" w:cs="仿宋"/>
          <w:b/>
          <w:sz w:val="28"/>
          <w:szCs w:val="28"/>
        </w:rPr>
      </w:pPr>
      <w:r>
        <w:rPr>
          <w:rFonts w:hint="eastAsia" w:ascii="仿宋" w:hAnsi="仿宋" w:eastAsia="仿宋" w:cs="仿宋"/>
          <w:b/>
          <w:sz w:val="28"/>
          <w:szCs w:val="28"/>
        </w:rPr>
        <w:t>基本格式：</w:t>
      </w:r>
    </w:p>
    <w:p w14:paraId="55B3B01C">
      <w:pPr>
        <w:spacing w:line="360" w:lineRule="auto"/>
        <w:jc w:val="center"/>
        <w:rPr>
          <w:rFonts w:hint="eastAsia" w:ascii="仿宋" w:hAnsi="仿宋" w:eastAsia="仿宋" w:cs="仿宋"/>
          <w:b/>
          <w:sz w:val="32"/>
          <w:szCs w:val="32"/>
        </w:rPr>
      </w:pPr>
      <w:r>
        <w:rPr>
          <w:rFonts w:hint="eastAsia" w:ascii="仿宋" w:hAnsi="仿宋" w:eastAsia="仿宋" w:cs="仿宋"/>
          <w:b/>
          <w:sz w:val="32"/>
          <w:szCs w:val="32"/>
        </w:rPr>
        <w:t>关于对******************项目的意见建议</w:t>
      </w:r>
    </w:p>
    <w:p w14:paraId="56EB9A54">
      <w:pPr>
        <w:spacing w:line="360" w:lineRule="auto"/>
        <w:rPr>
          <w:rFonts w:hint="eastAsia" w:ascii="仿宋" w:hAnsi="仿宋" w:eastAsia="仿宋" w:cs="仿宋"/>
          <w:sz w:val="28"/>
          <w:szCs w:val="28"/>
        </w:rPr>
      </w:pPr>
      <w:r>
        <w:rPr>
          <w:rFonts w:hint="eastAsia" w:ascii="仿宋" w:hAnsi="仿宋" w:eastAsia="仿宋" w:cs="仿宋"/>
          <w:sz w:val="28"/>
          <w:szCs w:val="28"/>
        </w:rPr>
        <w:t>致：诸暨市宸佳工程管理有限公司</w:t>
      </w:r>
    </w:p>
    <w:p w14:paraId="76C38FEF">
      <w:pPr>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对于贵公司于202</w:t>
      </w:r>
      <w:r>
        <w:rPr>
          <w:rFonts w:hint="eastAsia" w:ascii="仿宋" w:hAnsi="仿宋" w:eastAsia="仿宋" w:cs="仿宋"/>
          <w:sz w:val="28"/>
          <w:szCs w:val="28"/>
          <w:lang w:val="en-US" w:eastAsia="zh-CN"/>
        </w:rPr>
        <w:t>5</w:t>
      </w:r>
      <w:r>
        <w:rPr>
          <w:rFonts w:hint="eastAsia" w:ascii="仿宋" w:hAnsi="仿宋" w:eastAsia="仿宋" w:cs="仿宋"/>
          <w:sz w:val="28"/>
          <w:szCs w:val="28"/>
        </w:rPr>
        <w:t>年*月*日公示的*********************项目采购要素，我公司有如下意见建议：</w:t>
      </w:r>
    </w:p>
    <w:tbl>
      <w:tblPr>
        <w:tblStyle w:val="28"/>
        <w:tblW w:w="0" w:type="auto"/>
        <w:jc w:val="center"/>
        <w:tblLayout w:type="fixed"/>
        <w:tblCellMar>
          <w:top w:w="0" w:type="dxa"/>
          <w:left w:w="108" w:type="dxa"/>
          <w:bottom w:w="0" w:type="dxa"/>
          <w:right w:w="108" w:type="dxa"/>
        </w:tblCellMar>
      </w:tblPr>
      <w:tblGrid>
        <w:gridCol w:w="4261"/>
        <w:gridCol w:w="4261"/>
      </w:tblGrid>
      <w:tr w14:paraId="700B6A8C">
        <w:tblPrEx>
          <w:tblCellMar>
            <w:top w:w="0" w:type="dxa"/>
            <w:left w:w="108" w:type="dxa"/>
            <w:bottom w:w="0" w:type="dxa"/>
            <w:right w:w="108" w:type="dxa"/>
          </w:tblCellMar>
        </w:tblPrEx>
        <w:trPr>
          <w:jc w:val="center"/>
        </w:trPr>
        <w:tc>
          <w:tcPr>
            <w:tcW w:w="4261" w:type="dxa"/>
            <w:tcBorders>
              <w:top w:val="single" w:color="auto" w:sz="4" w:space="0"/>
              <w:left w:val="single" w:color="auto" w:sz="4" w:space="0"/>
              <w:bottom w:val="single" w:color="auto" w:sz="4" w:space="0"/>
              <w:right w:val="single" w:color="auto" w:sz="4" w:space="0"/>
            </w:tcBorders>
            <w:noWrap w:val="0"/>
            <w:vAlign w:val="top"/>
          </w:tcPr>
          <w:p w14:paraId="4433329F">
            <w:pPr>
              <w:pBdr>
                <w:top w:val="single" w:color="auto" w:sz="4" w:space="0"/>
                <w:left w:val="single" w:color="auto" w:sz="4" w:space="0"/>
                <w:bottom w:val="single" w:color="auto" w:sz="4" w:space="0"/>
                <w:right w:val="single" w:color="auto" w:sz="4" w:space="0"/>
              </w:pBdr>
              <w:spacing w:before="100" w:beforeAutospacing="1" w:after="100" w:afterAutospacing="1" w:line="360" w:lineRule="auto"/>
              <w:jc w:val="center"/>
              <w:rPr>
                <w:rFonts w:hint="eastAsia" w:ascii="仿宋" w:hAnsi="仿宋" w:eastAsia="仿宋" w:cs="仿宋"/>
                <w:sz w:val="28"/>
                <w:szCs w:val="28"/>
              </w:rPr>
            </w:pPr>
            <w:r>
              <w:rPr>
                <w:rFonts w:hint="eastAsia" w:ascii="仿宋" w:hAnsi="仿宋" w:eastAsia="仿宋" w:cs="仿宋"/>
                <w:sz w:val="28"/>
                <w:szCs w:val="28"/>
              </w:rPr>
              <w:t>原条款</w:t>
            </w:r>
          </w:p>
        </w:tc>
        <w:tc>
          <w:tcPr>
            <w:tcW w:w="4261" w:type="dxa"/>
            <w:tcBorders>
              <w:top w:val="single" w:color="auto" w:sz="4" w:space="0"/>
              <w:left w:val="single" w:color="auto" w:sz="4" w:space="0"/>
              <w:bottom w:val="single" w:color="auto" w:sz="4" w:space="0"/>
              <w:right w:val="single" w:color="auto" w:sz="4" w:space="0"/>
            </w:tcBorders>
            <w:noWrap w:val="0"/>
            <w:vAlign w:val="top"/>
          </w:tcPr>
          <w:p w14:paraId="2D7A3DBA">
            <w:pPr>
              <w:pBdr>
                <w:top w:val="single" w:color="auto" w:sz="4" w:space="0"/>
                <w:left w:val="single" w:color="auto" w:sz="4" w:space="0"/>
                <w:bottom w:val="single" w:color="auto" w:sz="4" w:space="0"/>
                <w:right w:val="single" w:color="auto" w:sz="4" w:space="0"/>
              </w:pBdr>
              <w:spacing w:before="100" w:beforeAutospacing="1" w:after="100" w:afterAutospacing="1" w:line="360" w:lineRule="auto"/>
              <w:jc w:val="center"/>
              <w:rPr>
                <w:rFonts w:hint="eastAsia" w:ascii="仿宋" w:hAnsi="仿宋" w:eastAsia="仿宋" w:cs="仿宋"/>
                <w:sz w:val="28"/>
                <w:szCs w:val="28"/>
              </w:rPr>
            </w:pPr>
            <w:r>
              <w:rPr>
                <w:rFonts w:hint="eastAsia" w:ascii="仿宋" w:hAnsi="仿宋" w:eastAsia="仿宋" w:cs="仿宋"/>
                <w:sz w:val="28"/>
                <w:szCs w:val="28"/>
              </w:rPr>
              <w:t>本公司意见建议</w:t>
            </w:r>
          </w:p>
        </w:tc>
      </w:tr>
      <w:tr w14:paraId="1FB76C11">
        <w:tblPrEx>
          <w:tblCellMar>
            <w:top w:w="0" w:type="dxa"/>
            <w:left w:w="108" w:type="dxa"/>
            <w:bottom w:w="0" w:type="dxa"/>
            <w:right w:w="108" w:type="dxa"/>
          </w:tblCellMar>
        </w:tblPrEx>
        <w:trPr>
          <w:jc w:val="center"/>
        </w:trPr>
        <w:tc>
          <w:tcPr>
            <w:tcW w:w="4261" w:type="dxa"/>
            <w:tcBorders>
              <w:top w:val="single" w:color="auto" w:sz="4" w:space="0"/>
              <w:left w:val="single" w:color="auto" w:sz="4" w:space="0"/>
              <w:bottom w:val="single" w:color="auto" w:sz="4" w:space="0"/>
              <w:right w:val="single" w:color="auto" w:sz="4" w:space="0"/>
            </w:tcBorders>
            <w:noWrap w:val="0"/>
            <w:vAlign w:val="top"/>
          </w:tcPr>
          <w:p w14:paraId="20C69000">
            <w:pPr>
              <w:pBdr>
                <w:top w:val="single" w:color="auto" w:sz="4" w:space="0"/>
                <w:left w:val="single" w:color="auto" w:sz="4" w:space="0"/>
                <w:bottom w:val="single" w:color="auto" w:sz="4" w:space="0"/>
                <w:right w:val="single" w:color="auto" w:sz="4" w:space="0"/>
              </w:pBdr>
              <w:spacing w:before="100" w:beforeAutospacing="1" w:after="100" w:afterAutospacing="1" w:line="360" w:lineRule="auto"/>
              <w:jc w:val="center"/>
              <w:rPr>
                <w:rFonts w:hint="eastAsia" w:ascii="仿宋" w:hAnsi="仿宋" w:eastAsia="仿宋" w:cs="仿宋"/>
                <w:sz w:val="28"/>
                <w:szCs w:val="28"/>
              </w:rPr>
            </w:pPr>
          </w:p>
        </w:tc>
        <w:tc>
          <w:tcPr>
            <w:tcW w:w="4261" w:type="dxa"/>
            <w:tcBorders>
              <w:top w:val="single" w:color="auto" w:sz="4" w:space="0"/>
              <w:left w:val="single" w:color="auto" w:sz="4" w:space="0"/>
              <w:bottom w:val="single" w:color="auto" w:sz="4" w:space="0"/>
              <w:right w:val="single" w:color="auto" w:sz="4" w:space="0"/>
            </w:tcBorders>
            <w:noWrap w:val="0"/>
            <w:vAlign w:val="top"/>
          </w:tcPr>
          <w:p w14:paraId="6627415C">
            <w:pPr>
              <w:pBdr>
                <w:top w:val="single" w:color="auto" w:sz="4" w:space="0"/>
                <w:left w:val="single" w:color="auto" w:sz="4" w:space="0"/>
                <w:bottom w:val="single" w:color="auto" w:sz="4" w:space="0"/>
                <w:right w:val="single" w:color="auto" w:sz="4" w:space="0"/>
              </w:pBdr>
              <w:spacing w:before="100" w:beforeAutospacing="1" w:after="100" w:afterAutospacing="1" w:line="360" w:lineRule="auto"/>
              <w:jc w:val="center"/>
              <w:rPr>
                <w:rFonts w:hint="eastAsia" w:ascii="仿宋" w:hAnsi="仿宋" w:eastAsia="仿宋" w:cs="仿宋"/>
                <w:sz w:val="28"/>
                <w:szCs w:val="28"/>
              </w:rPr>
            </w:pPr>
          </w:p>
        </w:tc>
      </w:tr>
      <w:tr w14:paraId="6D45468C">
        <w:tblPrEx>
          <w:tblCellMar>
            <w:top w:w="0" w:type="dxa"/>
            <w:left w:w="108" w:type="dxa"/>
            <w:bottom w:w="0" w:type="dxa"/>
            <w:right w:w="108" w:type="dxa"/>
          </w:tblCellMar>
        </w:tblPrEx>
        <w:trPr>
          <w:jc w:val="center"/>
        </w:trPr>
        <w:tc>
          <w:tcPr>
            <w:tcW w:w="4261" w:type="dxa"/>
            <w:tcBorders>
              <w:top w:val="single" w:color="auto" w:sz="4" w:space="0"/>
              <w:left w:val="single" w:color="auto" w:sz="4" w:space="0"/>
              <w:bottom w:val="single" w:color="auto" w:sz="4" w:space="0"/>
              <w:right w:val="single" w:color="auto" w:sz="4" w:space="0"/>
            </w:tcBorders>
            <w:noWrap w:val="0"/>
            <w:vAlign w:val="top"/>
          </w:tcPr>
          <w:p w14:paraId="7547C330">
            <w:pPr>
              <w:pBdr>
                <w:top w:val="single" w:color="auto" w:sz="4" w:space="0"/>
                <w:left w:val="single" w:color="auto" w:sz="4" w:space="0"/>
                <w:bottom w:val="single" w:color="auto" w:sz="4" w:space="0"/>
                <w:right w:val="single" w:color="auto" w:sz="4" w:space="0"/>
              </w:pBdr>
              <w:spacing w:before="100" w:beforeAutospacing="1" w:after="100" w:afterAutospacing="1" w:line="360" w:lineRule="auto"/>
              <w:jc w:val="center"/>
              <w:rPr>
                <w:rFonts w:hint="eastAsia" w:ascii="仿宋" w:hAnsi="仿宋" w:eastAsia="仿宋" w:cs="仿宋"/>
                <w:sz w:val="28"/>
                <w:szCs w:val="28"/>
              </w:rPr>
            </w:pPr>
          </w:p>
        </w:tc>
        <w:tc>
          <w:tcPr>
            <w:tcW w:w="4261" w:type="dxa"/>
            <w:tcBorders>
              <w:top w:val="single" w:color="auto" w:sz="4" w:space="0"/>
              <w:left w:val="single" w:color="auto" w:sz="4" w:space="0"/>
              <w:bottom w:val="single" w:color="auto" w:sz="4" w:space="0"/>
              <w:right w:val="single" w:color="auto" w:sz="4" w:space="0"/>
            </w:tcBorders>
            <w:noWrap w:val="0"/>
            <w:vAlign w:val="top"/>
          </w:tcPr>
          <w:p w14:paraId="0F41F6D1">
            <w:pPr>
              <w:pBdr>
                <w:top w:val="single" w:color="auto" w:sz="4" w:space="0"/>
                <w:left w:val="single" w:color="auto" w:sz="4" w:space="0"/>
                <w:bottom w:val="single" w:color="auto" w:sz="4" w:space="0"/>
                <w:right w:val="single" w:color="auto" w:sz="4" w:space="0"/>
              </w:pBdr>
              <w:spacing w:before="100" w:beforeAutospacing="1" w:after="100" w:afterAutospacing="1" w:line="360" w:lineRule="auto"/>
              <w:jc w:val="center"/>
              <w:rPr>
                <w:rFonts w:hint="eastAsia" w:ascii="仿宋" w:hAnsi="仿宋" w:eastAsia="仿宋" w:cs="仿宋"/>
                <w:sz w:val="28"/>
                <w:szCs w:val="28"/>
              </w:rPr>
            </w:pPr>
          </w:p>
        </w:tc>
      </w:tr>
      <w:tr w14:paraId="61FAF6B5">
        <w:tblPrEx>
          <w:tblCellMar>
            <w:top w:w="0" w:type="dxa"/>
            <w:left w:w="108" w:type="dxa"/>
            <w:bottom w:w="0" w:type="dxa"/>
            <w:right w:w="108" w:type="dxa"/>
          </w:tblCellMar>
        </w:tblPrEx>
        <w:trPr>
          <w:jc w:val="center"/>
        </w:trPr>
        <w:tc>
          <w:tcPr>
            <w:tcW w:w="4261" w:type="dxa"/>
            <w:tcBorders>
              <w:top w:val="single" w:color="auto" w:sz="4" w:space="0"/>
              <w:left w:val="single" w:color="auto" w:sz="4" w:space="0"/>
              <w:bottom w:val="single" w:color="auto" w:sz="4" w:space="0"/>
              <w:right w:val="single" w:color="auto" w:sz="4" w:space="0"/>
            </w:tcBorders>
            <w:noWrap w:val="0"/>
            <w:vAlign w:val="top"/>
          </w:tcPr>
          <w:p w14:paraId="058A8259">
            <w:pPr>
              <w:pBdr>
                <w:top w:val="single" w:color="auto" w:sz="4" w:space="0"/>
                <w:left w:val="single" w:color="auto" w:sz="4" w:space="0"/>
                <w:bottom w:val="single" w:color="auto" w:sz="4" w:space="0"/>
                <w:right w:val="single" w:color="auto" w:sz="4" w:space="0"/>
              </w:pBdr>
              <w:spacing w:before="100" w:beforeAutospacing="1" w:after="100" w:afterAutospacing="1" w:line="360" w:lineRule="auto"/>
              <w:jc w:val="center"/>
              <w:rPr>
                <w:rFonts w:hint="eastAsia" w:ascii="仿宋" w:hAnsi="仿宋" w:eastAsia="仿宋" w:cs="仿宋"/>
                <w:sz w:val="28"/>
                <w:szCs w:val="28"/>
              </w:rPr>
            </w:pPr>
          </w:p>
        </w:tc>
        <w:tc>
          <w:tcPr>
            <w:tcW w:w="4261" w:type="dxa"/>
            <w:tcBorders>
              <w:top w:val="single" w:color="auto" w:sz="4" w:space="0"/>
              <w:left w:val="single" w:color="auto" w:sz="4" w:space="0"/>
              <w:bottom w:val="single" w:color="auto" w:sz="4" w:space="0"/>
              <w:right w:val="single" w:color="auto" w:sz="4" w:space="0"/>
            </w:tcBorders>
            <w:noWrap w:val="0"/>
            <w:vAlign w:val="top"/>
          </w:tcPr>
          <w:p w14:paraId="2E6664B3">
            <w:pPr>
              <w:pBdr>
                <w:top w:val="single" w:color="auto" w:sz="4" w:space="0"/>
                <w:left w:val="single" w:color="auto" w:sz="4" w:space="0"/>
                <w:bottom w:val="single" w:color="auto" w:sz="4" w:space="0"/>
                <w:right w:val="single" w:color="auto" w:sz="4" w:space="0"/>
              </w:pBdr>
              <w:spacing w:before="100" w:beforeAutospacing="1" w:after="100" w:afterAutospacing="1" w:line="360" w:lineRule="auto"/>
              <w:jc w:val="center"/>
              <w:rPr>
                <w:rFonts w:hint="eastAsia" w:ascii="仿宋" w:hAnsi="仿宋" w:eastAsia="仿宋" w:cs="仿宋"/>
                <w:sz w:val="28"/>
                <w:szCs w:val="28"/>
              </w:rPr>
            </w:pPr>
          </w:p>
        </w:tc>
      </w:tr>
    </w:tbl>
    <w:p w14:paraId="7F74B79E">
      <w:pPr>
        <w:spacing w:line="360" w:lineRule="auto"/>
        <w:rPr>
          <w:rFonts w:hint="eastAsia" w:ascii="仿宋" w:hAnsi="仿宋" w:eastAsia="仿宋" w:cs="仿宋"/>
          <w:sz w:val="28"/>
          <w:szCs w:val="28"/>
        </w:rPr>
      </w:pPr>
    </w:p>
    <w:p w14:paraId="5B71E373">
      <w:pPr>
        <w:spacing w:line="360" w:lineRule="auto"/>
        <w:rPr>
          <w:rFonts w:hint="eastAsia" w:ascii="仿宋" w:hAnsi="仿宋" w:eastAsia="仿宋" w:cs="仿宋"/>
          <w:sz w:val="28"/>
          <w:szCs w:val="28"/>
        </w:rPr>
      </w:pPr>
      <w:r>
        <w:rPr>
          <w:rFonts w:hint="eastAsia" w:ascii="仿宋" w:hAnsi="仿宋" w:eastAsia="仿宋" w:cs="仿宋"/>
          <w:sz w:val="28"/>
          <w:szCs w:val="28"/>
        </w:rPr>
        <w:t>传真：********</w:t>
      </w:r>
    </w:p>
    <w:p w14:paraId="168AAF0B">
      <w:pPr>
        <w:spacing w:line="360" w:lineRule="auto"/>
        <w:rPr>
          <w:rFonts w:hint="eastAsia" w:ascii="仿宋" w:hAnsi="仿宋" w:eastAsia="仿宋" w:cs="仿宋"/>
          <w:sz w:val="28"/>
          <w:szCs w:val="28"/>
        </w:rPr>
      </w:pPr>
      <w:r>
        <w:rPr>
          <w:rFonts w:hint="eastAsia" w:ascii="仿宋" w:hAnsi="仿宋" w:eastAsia="仿宋" w:cs="仿宋"/>
          <w:sz w:val="28"/>
          <w:szCs w:val="28"/>
        </w:rPr>
        <w:t>联系人：********</w:t>
      </w:r>
    </w:p>
    <w:p w14:paraId="5FB3024C">
      <w:pPr>
        <w:spacing w:line="360" w:lineRule="auto"/>
        <w:rPr>
          <w:rFonts w:hint="eastAsia" w:ascii="仿宋" w:hAnsi="仿宋" w:eastAsia="仿宋" w:cs="仿宋"/>
          <w:sz w:val="28"/>
          <w:szCs w:val="28"/>
        </w:rPr>
      </w:pPr>
      <w:r>
        <w:rPr>
          <w:rFonts w:hint="eastAsia" w:ascii="仿宋" w:hAnsi="仿宋" w:eastAsia="仿宋" w:cs="仿宋"/>
          <w:sz w:val="28"/>
          <w:szCs w:val="28"/>
        </w:rPr>
        <w:t>联系电话：**********</w:t>
      </w:r>
    </w:p>
    <w:p w14:paraId="67EBCD6C">
      <w:pPr>
        <w:spacing w:line="360" w:lineRule="auto"/>
        <w:rPr>
          <w:rFonts w:hint="eastAsia" w:ascii="仿宋" w:hAnsi="仿宋" w:eastAsia="仿宋" w:cs="仿宋"/>
          <w:sz w:val="28"/>
          <w:szCs w:val="28"/>
        </w:rPr>
      </w:pPr>
      <w:r>
        <w:rPr>
          <w:rFonts w:hint="eastAsia" w:ascii="仿宋" w:hAnsi="仿宋" w:eastAsia="仿宋" w:cs="仿宋"/>
          <w:sz w:val="28"/>
          <w:szCs w:val="28"/>
        </w:rPr>
        <w:t>联系手机：**********</w:t>
      </w:r>
    </w:p>
    <w:p w14:paraId="2DEB6DB8">
      <w:pPr>
        <w:spacing w:line="360" w:lineRule="auto"/>
        <w:rPr>
          <w:rFonts w:hint="eastAsia" w:ascii="仿宋" w:hAnsi="仿宋" w:eastAsia="仿宋" w:cs="仿宋"/>
          <w:sz w:val="28"/>
          <w:szCs w:val="28"/>
        </w:rPr>
      </w:pPr>
    </w:p>
    <w:p w14:paraId="399D10A7">
      <w:pPr>
        <w:spacing w:line="360" w:lineRule="auto"/>
        <w:rPr>
          <w:rFonts w:hint="eastAsia" w:ascii="仿宋" w:hAnsi="仿宋" w:eastAsia="仿宋" w:cs="仿宋"/>
          <w:sz w:val="28"/>
          <w:szCs w:val="28"/>
        </w:rPr>
      </w:pPr>
    </w:p>
    <w:p w14:paraId="5B45ED03">
      <w:pPr>
        <w:spacing w:line="360" w:lineRule="auto"/>
        <w:ind w:left="4480" w:hanging="4480" w:hangingChars="1600"/>
        <w:jc w:val="right"/>
        <w:rPr>
          <w:rFonts w:hint="eastAsia" w:ascii="仿宋" w:hAnsi="仿宋" w:eastAsia="仿宋" w:cs="仿宋"/>
          <w:sz w:val="28"/>
          <w:szCs w:val="28"/>
        </w:rPr>
      </w:pPr>
      <w:r>
        <w:rPr>
          <w:rFonts w:hint="eastAsia" w:ascii="仿宋" w:hAnsi="仿宋" w:eastAsia="仿宋" w:cs="仿宋"/>
          <w:sz w:val="28"/>
          <w:szCs w:val="28"/>
        </w:rPr>
        <w:t>单位名称：（加盖公章）</w:t>
      </w:r>
    </w:p>
    <w:p w14:paraId="4DB385E8">
      <w:pPr>
        <w:spacing w:line="360" w:lineRule="auto"/>
        <w:ind w:left="4760" w:hanging="4760" w:hangingChars="1700"/>
        <w:jc w:val="right"/>
        <w:rPr>
          <w:rFonts w:hint="eastAsia" w:ascii="仿宋" w:hAnsi="仿宋" w:eastAsia="仿宋" w:cs="仿宋"/>
          <w:sz w:val="28"/>
          <w:szCs w:val="28"/>
        </w:rPr>
      </w:pPr>
      <w:r>
        <w:rPr>
          <w:rFonts w:hint="eastAsia" w:ascii="仿宋" w:hAnsi="仿宋" w:eastAsia="仿宋" w:cs="仿宋"/>
          <w:sz w:val="28"/>
          <w:szCs w:val="28"/>
        </w:rPr>
        <w:t>二</w:t>
      </w:r>
      <w:r>
        <w:rPr>
          <w:rFonts w:hint="eastAsia" w:ascii="仿宋" w:hAnsi="仿宋" w:eastAsia="仿宋" w:cs="仿宋"/>
          <w:sz w:val="28"/>
          <w:szCs w:val="28"/>
          <w:lang w:val="en-US" w:eastAsia="zh-CN"/>
        </w:rPr>
        <w:t>〇</w:t>
      </w:r>
      <w:r>
        <w:rPr>
          <w:rFonts w:hint="eastAsia" w:ascii="仿宋" w:hAnsi="仿宋" w:eastAsia="仿宋" w:cs="仿宋"/>
          <w:sz w:val="28"/>
          <w:szCs w:val="28"/>
        </w:rPr>
        <w:t>二</w:t>
      </w:r>
      <w:r>
        <w:rPr>
          <w:rFonts w:hint="eastAsia" w:ascii="仿宋" w:hAnsi="仿宋" w:eastAsia="仿宋" w:cs="仿宋"/>
          <w:sz w:val="28"/>
          <w:szCs w:val="28"/>
          <w:lang w:val="en-US" w:eastAsia="zh-CN"/>
        </w:rPr>
        <w:t>五</w:t>
      </w:r>
      <w:r>
        <w:rPr>
          <w:rFonts w:hint="eastAsia" w:ascii="仿宋" w:hAnsi="仿宋" w:eastAsia="仿宋" w:cs="仿宋"/>
          <w:sz w:val="28"/>
          <w:szCs w:val="28"/>
        </w:rPr>
        <w:t>年*月*日</w:t>
      </w:r>
    </w:p>
    <w:p w14:paraId="33C000DA">
      <w:pPr>
        <w:jc w:val="right"/>
        <w:rPr>
          <w:rFonts w:hint="eastAsia" w:ascii="仿宋" w:hAnsi="仿宋" w:eastAsia="仿宋" w:cs="仿宋"/>
          <w:b/>
          <w:sz w:val="36"/>
          <w:szCs w:val="36"/>
        </w:rPr>
        <w:sectPr>
          <w:footerReference r:id="rId5" w:type="first"/>
          <w:headerReference r:id="rId3" w:type="default"/>
          <w:footerReference r:id="rId4" w:type="default"/>
          <w:pgSz w:w="11906" w:h="16838"/>
          <w:pgMar w:top="1134" w:right="1134" w:bottom="1021" w:left="1134" w:header="850" w:footer="567" w:gutter="0"/>
          <w:pgBorders>
            <w:top w:val="none" w:sz="0" w:space="0"/>
            <w:left w:val="none" w:sz="0" w:space="0"/>
            <w:bottom w:val="none" w:sz="0" w:space="0"/>
            <w:right w:val="none" w:sz="0" w:space="0"/>
          </w:pgBorders>
          <w:cols w:space="720" w:num="1"/>
          <w:docGrid w:type="linesAndChars" w:linePitch="312" w:charSpace="0"/>
        </w:sectPr>
      </w:pPr>
    </w:p>
    <w:p w14:paraId="5CB64DA1">
      <w:pPr>
        <w:keepNext w:val="0"/>
        <w:keepLines w:val="0"/>
        <w:pageBreakBefore w:val="0"/>
        <w:widowControl w:val="0"/>
        <w:kinsoku/>
        <w:wordWrap/>
        <w:overflowPunct/>
        <w:topLinePunct w:val="0"/>
        <w:autoSpaceDE/>
        <w:autoSpaceDN/>
        <w:bidi w:val="0"/>
        <w:adjustRightInd w:val="0"/>
        <w:snapToGrid w:val="0"/>
        <w:spacing w:before="120" w:after="120" w:line="420" w:lineRule="atLeast"/>
        <w:jc w:val="center"/>
        <w:textAlignment w:val="auto"/>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姚江镇生活污水治理设施第三方运维服务采购项目采购要素</w:t>
      </w:r>
    </w:p>
    <w:p w14:paraId="52829187">
      <w:pPr>
        <w:keepNext w:val="0"/>
        <w:keepLines w:val="0"/>
        <w:pageBreakBefore w:val="0"/>
        <w:numPr>
          <w:ilvl w:val="0"/>
          <w:numId w:val="0"/>
        </w:numPr>
        <w:kinsoku/>
        <w:wordWrap/>
        <w:overflowPunct/>
        <w:topLinePunct w:val="0"/>
        <w:bidi w:val="0"/>
        <w:adjustRightInd w:val="0"/>
        <w:snapToGrid w:val="0"/>
        <w:spacing w:line="420" w:lineRule="exact"/>
        <w:textAlignment w:val="auto"/>
        <w:rPr>
          <w:rFonts w:hint="eastAsia" w:ascii="仿宋" w:hAnsi="仿宋" w:eastAsia="仿宋" w:cs="仿宋"/>
          <w:color w:val="auto"/>
          <w:sz w:val="24"/>
          <w:highlight w:val="none"/>
          <w:lang w:val="en-US" w:eastAsia="zh-CN"/>
        </w:rPr>
      </w:pPr>
      <w:r>
        <w:rPr>
          <w:rFonts w:hint="eastAsia" w:ascii="仿宋" w:hAnsi="仿宋" w:eastAsia="仿宋" w:cs="仿宋"/>
          <w:b/>
          <w:color w:val="auto"/>
          <w:sz w:val="24"/>
          <w:highlight w:val="none"/>
          <w:lang w:val="en-US" w:eastAsia="zh-CN"/>
        </w:rPr>
        <w:t>一、</w:t>
      </w:r>
      <w:r>
        <w:rPr>
          <w:rFonts w:hint="eastAsia" w:ascii="仿宋" w:hAnsi="仿宋" w:eastAsia="仿宋" w:cs="仿宋"/>
          <w:b/>
          <w:color w:val="auto"/>
          <w:sz w:val="24"/>
          <w:highlight w:val="none"/>
        </w:rPr>
        <w:t>项目名称</w:t>
      </w:r>
      <w:r>
        <w:rPr>
          <w:rFonts w:hint="eastAsia" w:ascii="仿宋" w:hAnsi="仿宋" w:eastAsia="仿宋" w:cs="仿宋"/>
          <w:b/>
          <w:color w:val="auto"/>
          <w:sz w:val="24"/>
          <w:highlight w:val="none"/>
          <w:lang w:eastAsia="zh-CN"/>
        </w:rPr>
        <w:t>：</w:t>
      </w:r>
      <w:r>
        <w:rPr>
          <w:rFonts w:hint="eastAsia" w:ascii="仿宋" w:hAnsi="仿宋" w:eastAsia="仿宋" w:cs="仿宋"/>
          <w:color w:val="auto"/>
          <w:sz w:val="24"/>
          <w:highlight w:val="none"/>
          <w:lang w:val="en-US" w:eastAsia="zh-CN"/>
        </w:rPr>
        <w:t>姚江镇生活污水治理设施第三方运维服务采购项目</w:t>
      </w:r>
    </w:p>
    <w:p w14:paraId="5E960E96">
      <w:pPr>
        <w:pStyle w:val="26"/>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textAlignment w:val="auto"/>
        <w:rPr>
          <w:rFonts w:hint="eastAsia" w:ascii="仿宋" w:hAnsi="仿宋" w:eastAsia="仿宋" w:cs="宋体"/>
          <w:color w:val="auto"/>
          <w:sz w:val="24"/>
          <w:szCs w:val="24"/>
          <w:highlight w:val="none"/>
          <w:lang w:eastAsia="zh-CN"/>
        </w:rPr>
      </w:pPr>
      <w:r>
        <w:rPr>
          <w:rFonts w:hint="eastAsia" w:ascii="仿宋" w:hAnsi="仿宋" w:eastAsia="仿宋" w:cs="仿宋"/>
          <w:b/>
          <w:color w:val="auto"/>
          <w:sz w:val="24"/>
          <w:highlight w:val="none"/>
        </w:rPr>
        <w:t>二、项目内容及规模：</w:t>
      </w:r>
      <w:bookmarkStart w:id="0" w:name="_GoBack"/>
      <w:r>
        <w:rPr>
          <w:rFonts w:hint="eastAsia" w:ascii="仿宋" w:hAnsi="仿宋" w:eastAsia="仿宋" w:cs="仿宋"/>
          <w:color w:val="auto"/>
          <w:sz w:val="24"/>
          <w:highlight w:val="none"/>
          <w:lang w:val="en-US" w:eastAsia="zh-CN"/>
        </w:rPr>
        <w:t>姚江镇生活污水治理设施第三方运维服务采购项目</w:t>
      </w:r>
      <w:bookmarkEnd w:id="0"/>
      <w:r>
        <w:rPr>
          <w:rFonts w:hint="eastAsia" w:ascii="仿宋" w:hAnsi="仿宋" w:eastAsia="仿宋" w:cs="仿宋"/>
          <w:color w:val="auto"/>
          <w:sz w:val="24"/>
          <w:szCs w:val="24"/>
          <w:highlight w:val="none"/>
        </w:rPr>
        <w:t>，采购预算金额为人民币</w:t>
      </w:r>
      <w:r>
        <w:rPr>
          <w:rFonts w:hint="eastAsia" w:ascii="仿宋" w:hAnsi="仿宋" w:eastAsia="仿宋" w:cs="宋体"/>
          <w:color w:val="auto"/>
          <w:sz w:val="24"/>
          <w:szCs w:val="24"/>
          <w:highlight w:val="none"/>
          <w:lang w:val="en-US" w:eastAsia="zh-CN"/>
        </w:rPr>
        <w:t>贰拾伍万</w:t>
      </w:r>
      <w:r>
        <w:rPr>
          <w:rFonts w:hint="eastAsia" w:ascii="仿宋" w:hAnsi="仿宋" w:eastAsia="仿宋" w:cs="宋体"/>
          <w:color w:val="auto"/>
          <w:sz w:val="24"/>
          <w:szCs w:val="24"/>
          <w:highlight w:val="none"/>
        </w:rPr>
        <w:t>元</w:t>
      </w:r>
      <w:r>
        <w:rPr>
          <w:rFonts w:hint="eastAsia" w:ascii="仿宋" w:hAnsi="仿宋" w:eastAsia="仿宋" w:cs="宋体"/>
          <w:bCs/>
          <w:color w:val="auto"/>
          <w:sz w:val="24"/>
          <w:szCs w:val="24"/>
          <w:highlight w:val="none"/>
        </w:rPr>
        <w:t>整</w:t>
      </w:r>
      <w:r>
        <w:rPr>
          <w:rFonts w:hint="eastAsia" w:ascii="仿宋_GB2312" w:hAnsi="仿宋_GB2312" w:eastAsia="仿宋_GB2312" w:cs="仿宋_GB2312"/>
          <w:bCs/>
          <w:color w:val="auto"/>
          <w:sz w:val="24"/>
          <w:szCs w:val="24"/>
          <w:highlight w:val="none"/>
        </w:rPr>
        <w:t>（¥</w:t>
      </w:r>
      <w:r>
        <w:rPr>
          <w:rFonts w:hint="eastAsia" w:ascii="仿宋" w:hAnsi="仿宋" w:eastAsia="仿宋" w:cs="宋体"/>
          <w:bCs/>
          <w:color w:val="auto"/>
          <w:sz w:val="24"/>
          <w:szCs w:val="24"/>
          <w:highlight w:val="none"/>
          <w:lang w:val="en-US" w:eastAsia="zh-CN"/>
        </w:rPr>
        <w:t>250000</w:t>
      </w:r>
      <w:r>
        <w:rPr>
          <w:rFonts w:hint="eastAsia" w:ascii="仿宋" w:hAnsi="仿宋" w:eastAsia="仿宋" w:cs="宋体"/>
          <w:bCs/>
          <w:color w:val="auto"/>
          <w:sz w:val="24"/>
          <w:szCs w:val="24"/>
          <w:highlight w:val="none"/>
        </w:rPr>
        <w:t>.00）</w:t>
      </w:r>
      <w:r>
        <w:rPr>
          <w:rFonts w:hint="eastAsia" w:ascii="仿宋" w:hAnsi="仿宋" w:eastAsia="仿宋" w:cs="宋体"/>
          <w:color w:val="auto"/>
          <w:sz w:val="24"/>
          <w:szCs w:val="24"/>
          <w:highlight w:val="none"/>
        </w:rPr>
        <w:t>，具体内容详见采购需求</w:t>
      </w:r>
      <w:r>
        <w:rPr>
          <w:rFonts w:hint="eastAsia" w:ascii="仿宋" w:hAnsi="仿宋" w:eastAsia="仿宋" w:cs="宋体"/>
          <w:color w:val="auto"/>
          <w:sz w:val="24"/>
          <w:szCs w:val="24"/>
          <w:highlight w:val="none"/>
          <w:lang w:eastAsia="zh-CN"/>
        </w:rPr>
        <w:t>。</w:t>
      </w:r>
    </w:p>
    <w:p w14:paraId="18E523EF">
      <w:pPr>
        <w:pStyle w:val="26"/>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firstLine="482"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b/>
          <w:bCs/>
          <w:color w:val="auto"/>
          <w:highlight w:val="none"/>
        </w:rPr>
        <w:t>合同履行履行期限：</w:t>
      </w:r>
      <w:r>
        <w:rPr>
          <w:rFonts w:hint="eastAsia" w:ascii="仿宋" w:hAnsi="仿宋" w:eastAsia="仿宋" w:cs="仿宋"/>
          <w:color w:val="auto"/>
          <w:sz w:val="24"/>
          <w:szCs w:val="24"/>
          <w:highlight w:val="none"/>
          <w:u w:val="none"/>
          <w:lang w:val="en-US" w:eastAsia="zh-CN"/>
        </w:rPr>
        <w:t>按招标文件要求执行</w:t>
      </w:r>
      <w:r>
        <w:rPr>
          <w:rFonts w:hint="eastAsia" w:ascii="仿宋" w:hAnsi="仿宋" w:eastAsia="仿宋" w:cs="仿宋"/>
          <w:color w:val="auto"/>
          <w:sz w:val="24"/>
          <w:szCs w:val="24"/>
          <w:highlight w:val="none"/>
        </w:rPr>
        <w:t>。</w:t>
      </w:r>
    </w:p>
    <w:p w14:paraId="4B6D0414">
      <w:pPr>
        <w:keepNext w:val="0"/>
        <w:keepLines w:val="0"/>
        <w:pageBreakBefore w:val="0"/>
        <w:kinsoku/>
        <w:wordWrap/>
        <w:overflowPunct/>
        <w:topLinePunct w:val="0"/>
        <w:bidi w:val="0"/>
        <w:adjustRightInd w:val="0"/>
        <w:snapToGrid w:val="0"/>
        <w:spacing w:line="42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三、投标人（供应商）资格要求：</w:t>
      </w:r>
    </w:p>
    <w:p w14:paraId="269F2253">
      <w:pPr>
        <w:keepNext w:val="0"/>
        <w:keepLines w:val="0"/>
        <w:pageBreakBefore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满足《中华人民共和国政府采购法》第二十二条规定</w:t>
      </w:r>
      <w:r>
        <w:rPr>
          <w:rFonts w:hint="eastAsia" w:ascii="仿宋" w:hAnsi="仿宋" w:eastAsia="仿宋" w:cs="仿宋"/>
          <w:color w:val="auto"/>
          <w:sz w:val="24"/>
          <w:szCs w:val="24"/>
          <w:highlight w:val="none"/>
          <w:lang w:eastAsia="zh-CN"/>
        </w:rPr>
        <w:t>。</w:t>
      </w:r>
    </w:p>
    <w:p w14:paraId="14FAC155">
      <w:pPr>
        <w:keepNext w:val="0"/>
        <w:keepLines w:val="0"/>
        <w:pageBreakBefore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未被“信用中国”（www.creditchina.gov.cn）、中国政府采购网（www.ccgp.gov.cn）列入失信被执行人、重大税收违法案件当事人名单、政府采购严重违法失信行为记录名单</w:t>
      </w:r>
      <w:r>
        <w:rPr>
          <w:rFonts w:hint="eastAsia" w:ascii="仿宋" w:hAnsi="仿宋" w:eastAsia="仿宋" w:cs="仿宋"/>
          <w:color w:val="auto"/>
          <w:sz w:val="24"/>
          <w:szCs w:val="24"/>
          <w:highlight w:val="none"/>
          <w:lang w:eastAsia="zh-CN"/>
        </w:rPr>
        <w:t>。</w:t>
      </w:r>
    </w:p>
    <w:p w14:paraId="16C9A01E">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val="en-US" w:eastAsia="zh-CN"/>
        </w:rPr>
        <w:t>3、</w:t>
      </w:r>
      <w:r>
        <w:rPr>
          <w:rFonts w:hint="eastAsia" w:ascii="仿宋" w:hAnsi="仿宋" w:eastAsia="仿宋" w:cs="仿宋"/>
          <w:bCs/>
          <w:color w:val="auto"/>
          <w:sz w:val="24"/>
          <w:szCs w:val="24"/>
          <w:highlight w:val="none"/>
        </w:rPr>
        <w:t>本项目的特定资格要求：</w:t>
      </w:r>
      <w:r>
        <w:rPr>
          <w:rFonts w:hint="eastAsia" w:ascii="仿宋" w:hAnsi="仿宋" w:eastAsia="仿宋" w:cs="仿宋"/>
          <w:b/>
          <w:bCs w:val="0"/>
          <w:color w:val="auto"/>
          <w:sz w:val="24"/>
          <w:szCs w:val="24"/>
          <w:highlight w:val="none"/>
        </w:rPr>
        <w:t>具有环保工程专业承包三级及以上资质或污染治理设施运行服务能力评价（生活污水处理）二级及以上资质</w:t>
      </w:r>
      <w:r>
        <w:rPr>
          <w:rFonts w:hint="eastAsia" w:ascii="仿宋" w:hAnsi="仿宋" w:eastAsia="仿宋" w:cs="仿宋"/>
          <w:bCs/>
          <w:color w:val="auto"/>
          <w:sz w:val="24"/>
          <w:szCs w:val="24"/>
          <w:highlight w:val="none"/>
          <w:lang w:eastAsia="zh-CN"/>
        </w:rPr>
        <w:t>。</w:t>
      </w:r>
    </w:p>
    <w:p w14:paraId="2A7AF04B">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本项目</w:t>
      </w:r>
      <w:r>
        <w:rPr>
          <w:rFonts w:hint="eastAsia" w:ascii="仿宋" w:hAnsi="仿宋" w:eastAsia="仿宋" w:cs="仿宋"/>
          <w:b/>
          <w:bCs/>
          <w:color w:val="auto"/>
          <w:sz w:val="24"/>
          <w:szCs w:val="24"/>
          <w:highlight w:val="none"/>
          <w:u w:val="single"/>
        </w:rPr>
        <w:t>不</w:t>
      </w:r>
      <w:r>
        <w:rPr>
          <w:rFonts w:hint="eastAsia" w:ascii="仿宋" w:hAnsi="仿宋" w:eastAsia="仿宋" w:cs="仿宋"/>
          <w:color w:val="auto"/>
          <w:sz w:val="24"/>
          <w:szCs w:val="24"/>
          <w:highlight w:val="none"/>
        </w:rPr>
        <w:t>接受联合体投标。</w:t>
      </w:r>
    </w:p>
    <w:p w14:paraId="6A8F2F00">
      <w:pPr>
        <w:keepNext w:val="0"/>
        <w:keepLines w:val="0"/>
        <w:pageBreakBefore w:val="0"/>
        <w:kinsoku/>
        <w:wordWrap/>
        <w:overflowPunct/>
        <w:topLinePunct w:val="0"/>
        <w:bidi w:val="0"/>
        <w:adjustRightInd w:val="0"/>
        <w:snapToGrid w:val="0"/>
        <w:spacing w:line="420" w:lineRule="exact"/>
        <w:jc w:val="left"/>
        <w:textAlignment w:val="auto"/>
        <w:rPr>
          <w:rFonts w:hint="eastAsia" w:ascii="仿宋" w:hAnsi="仿宋" w:eastAsia="仿宋" w:cs="仿宋"/>
          <w:b/>
          <w:bCs/>
          <w:color w:val="auto"/>
          <w:sz w:val="24"/>
          <w:highlight w:val="none"/>
        </w:rPr>
      </w:pPr>
      <w:r>
        <w:rPr>
          <w:rFonts w:hint="eastAsia" w:ascii="仿宋" w:hAnsi="仿宋" w:eastAsia="仿宋" w:cs="仿宋"/>
          <w:b/>
          <w:color w:val="auto"/>
          <w:sz w:val="24"/>
          <w:highlight w:val="none"/>
        </w:rPr>
        <w:t>四、评标办法：综合评分法</w:t>
      </w:r>
    </w:p>
    <w:p w14:paraId="32D93634">
      <w:pPr>
        <w:keepNext w:val="0"/>
        <w:keepLines w:val="0"/>
        <w:pageBreakBefore w:val="0"/>
        <w:widowControl w:val="0"/>
        <w:kinsoku/>
        <w:wordWrap/>
        <w:overflowPunct/>
        <w:topLinePunct w:val="0"/>
        <w:autoSpaceDE w:val="0"/>
        <w:autoSpaceDN w:val="0"/>
        <w:bidi w:val="0"/>
        <w:adjustRightInd w:val="0"/>
        <w:snapToGrid/>
        <w:spacing w:line="4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（1）满分为100分。总得分=商务技术得分+报价得分；</w:t>
      </w:r>
    </w:p>
    <w:p w14:paraId="0F591758">
      <w:pPr>
        <w:keepNext w:val="0"/>
        <w:keepLines w:val="0"/>
        <w:pageBreakBefore w:val="0"/>
        <w:widowControl w:val="0"/>
        <w:kinsoku/>
        <w:wordWrap/>
        <w:overflowPunct/>
        <w:topLinePunct w:val="0"/>
        <w:autoSpaceDE w:val="0"/>
        <w:autoSpaceDN w:val="0"/>
        <w:bidi w:val="0"/>
        <w:adjustRightInd w:val="0"/>
        <w:snapToGrid/>
        <w:spacing w:line="4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（2）商务技术得分=商务技术评分，商务技术评分=</w:t>
      </w:r>
      <w:r>
        <w:rPr>
          <w:rFonts w:hint="eastAsia" w:ascii="仿宋" w:hAnsi="仿宋" w:eastAsia="仿宋" w:cs="仿宋"/>
          <w:color w:val="auto"/>
          <w:spacing w:val="-6"/>
          <w:sz w:val="24"/>
          <w:highlight w:val="none"/>
        </w:rPr>
        <w:t>所有评委的有效评分的算术平均数</w:t>
      </w:r>
      <w:r>
        <w:rPr>
          <w:rFonts w:hint="eastAsia" w:ascii="仿宋" w:hAnsi="仿宋" w:eastAsia="仿宋" w:cs="仿宋"/>
          <w:color w:val="auto"/>
          <w:sz w:val="24"/>
          <w:highlight w:val="none"/>
        </w:rPr>
        <w:t>；</w:t>
      </w:r>
    </w:p>
    <w:p w14:paraId="60176D08">
      <w:pPr>
        <w:keepNext w:val="0"/>
        <w:keepLines w:val="0"/>
        <w:pageBreakBefore w:val="0"/>
        <w:widowControl w:val="0"/>
        <w:kinsoku/>
        <w:wordWrap/>
        <w:overflowPunct/>
        <w:topLinePunct w:val="0"/>
        <w:autoSpaceDE w:val="0"/>
        <w:autoSpaceDN w:val="0"/>
        <w:bidi w:val="0"/>
        <w:adjustRightInd w:val="0"/>
        <w:snapToGrid/>
        <w:spacing w:line="4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（3）报价得分=（评标基准价/</w:t>
      </w:r>
      <w:r>
        <w:rPr>
          <w:rFonts w:hint="eastAsia" w:ascii="仿宋" w:hAnsi="仿宋" w:eastAsia="仿宋" w:cs="仿宋"/>
          <w:bCs/>
          <w:color w:val="auto"/>
          <w:sz w:val="24"/>
          <w:highlight w:val="none"/>
        </w:rPr>
        <w:t>投标</w:t>
      </w:r>
      <w:r>
        <w:rPr>
          <w:rFonts w:hint="eastAsia" w:ascii="仿宋" w:hAnsi="仿宋" w:eastAsia="仿宋" w:cs="仿宋"/>
          <w:bCs/>
          <w:color w:val="auto"/>
          <w:sz w:val="24"/>
          <w:highlight w:val="none"/>
          <w:lang w:val="en-US" w:eastAsia="zh-CN"/>
        </w:rPr>
        <w:t>报价</w:t>
      </w:r>
      <w:r>
        <w:rPr>
          <w:rFonts w:hint="eastAsia" w:ascii="仿宋" w:hAnsi="仿宋" w:eastAsia="仿宋" w:cs="仿宋"/>
          <w:color w:val="auto"/>
          <w:sz w:val="24"/>
          <w:highlight w:val="none"/>
        </w:rPr>
        <w:t>）*价格权值*100，评标基准价=有效投标人的最低投标报价，价格权值=</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0%；</w:t>
      </w:r>
    </w:p>
    <w:p w14:paraId="4B8EFC67">
      <w:pPr>
        <w:keepNext w:val="0"/>
        <w:keepLines w:val="0"/>
        <w:pageBreakBefore w:val="0"/>
        <w:widowControl w:val="0"/>
        <w:kinsoku/>
        <w:wordWrap/>
        <w:overflowPunct/>
        <w:topLinePunct w:val="0"/>
        <w:autoSpaceDE w:val="0"/>
        <w:autoSpaceDN w:val="0"/>
        <w:bidi w:val="0"/>
        <w:adjustRightInd w:val="0"/>
        <w:snapToGrid/>
        <w:spacing w:after="10" w:line="4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（4）商务技术分评分细则（</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0分）</w:t>
      </w:r>
    </w:p>
    <w:tbl>
      <w:tblPr>
        <w:tblStyle w:val="28"/>
        <w:tblW w:w="10117"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29"/>
        <w:gridCol w:w="1275"/>
        <w:gridCol w:w="7358"/>
        <w:gridCol w:w="755"/>
      </w:tblGrid>
      <w:tr w14:paraId="464E41A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2" w:hRule="atLeast"/>
          <w:jc w:val="center"/>
        </w:trPr>
        <w:tc>
          <w:tcPr>
            <w:tcW w:w="729" w:type="dxa"/>
            <w:tcBorders>
              <w:tl2br w:val="nil"/>
              <w:tr2bl w:val="nil"/>
            </w:tcBorders>
            <w:noWrap w:val="0"/>
            <w:vAlign w:val="center"/>
          </w:tcPr>
          <w:p w14:paraId="5DF512F9">
            <w:pPr>
              <w:keepNext w:val="0"/>
              <w:keepLines w:val="0"/>
              <w:pageBreakBefore w:val="0"/>
              <w:widowControl w:val="0"/>
              <w:kinsoku/>
              <w:wordWrap/>
              <w:overflowPunct/>
              <w:topLinePunct w:val="0"/>
              <w:autoSpaceDE/>
              <w:autoSpaceDN/>
              <w:bidi w:val="0"/>
              <w:snapToGrid/>
              <w:spacing w:line="340" w:lineRule="exact"/>
              <w:jc w:val="center"/>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序号</w:t>
            </w:r>
          </w:p>
        </w:tc>
        <w:tc>
          <w:tcPr>
            <w:tcW w:w="1275" w:type="dxa"/>
            <w:tcBorders>
              <w:tl2br w:val="nil"/>
              <w:tr2bl w:val="nil"/>
            </w:tcBorders>
            <w:noWrap w:val="0"/>
            <w:vAlign w:val="center"/>
          </w:tcPr>
          <w:p w14:paraId="6A5B4E0D">
            <w:pPr>
              <w:keepNext w:val="0"/>
              <w:keepLines w:val="0"/>
              <w:pageBreakBefore w:val="0"/>
              <w:widowControl w:val="0"/>
              <w:kinsoku/>
              <w:wordWrap/>
              <w:overflowPunct/>
              <w:topLinePunct w:val="0"/>
              <w:autoSpaceDE/>
              <w:autoSpaceDN/>
              <w:bidi w:val="0"/>
              <w:snapToGrid/>
              <w:spacing w:line="340" w:lineRule="exact"/>
              <w:jc w:val="center"/>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项目</w:t>
            </w:r>
          </w:p>
        </w:tc>
        <w:tc>
          <w:tcPr>
            <w:tcW w:w="7358" w:type="dxa"/>
            <w:tcBorders>
              <w:tl2br w:val="nil"/>
              <w:tr2bl w:val="nil"/>
            </w:tcBorders>
            <w:noWrap w:val="0"/>
            <w:vAlign w:val="center"/>
          </w:tcPr>
          <w:p w14:paraId="45F755F9">
            <w:pPr>
              <w:keepNext w:val="0"/>
              <w:keepLines w:val="0"/>
              <w:pageBreakBefore w:val="0"/>
              <w:widowControl w:val="0"/>
              <w:kinsoku/>
              <w:wordWrap/>
              <w:overflowPunct/>
              <w:topLinePunct w:val="0"/>
              <w:autoSpaceDE/>
              <w:autoSpaceDN/>
              <w:bidi w:val="0"/>
              <w:snapToGrid/>
              <w:spacing w:line="340" w:lineRule="exact"/>
              <w:jc w:val="center"/>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评分标准</w:t>
            </w:r>
          </w:p>
        </w:tc>
        <w:tc>
          <w:tcPr>
            <w:tcW w:w="755" w:type="dxa"/>
            <w:tcBorders>
              <w:tl2br w:val="nil"/>
              <w:tr2bl w:val="nil"/>
            </w:tcBorders>
            <w:noWrap w:val="0"/>
            <w:vAlign w:val="center"/>
          </w:tcPr>
          <w:p w14:paraId="0C3028D8">
            <w:pPr>
              <w:keepNext w:val="0"/>
              <w:keepLines w:val="0"/>
              <w:pageBreakBefore w:val="0"/>
              <w:widowControl w:val="0"/>
              <w:kinsoku/>
              <w:wordWrap/>
              <w:overflowPunct/>
              <w:topLinePunct w:val="0"/>
              <w:autoSpaceDE/>
              <w:autoSpaceDN/>
              <w:bidi w:val="0"/>
              <w:snapToGrid/>
              <w:spacing w:line="340" w:lineRule="exact"/>
              <w:jc w:val="center"/>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分值</w:t>
            </w:r>
          </w:p>
        </w:tc>
      </w:tr>
      <w:tr w14:paraId="3C12261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4" w:hRule="atLeast"/>
          <w:jc w:val="center"/>
        </w:trPr>
        <w:tc>
          <w:tcPr>
            <w:tcW w:w="729" w:type="dxa"/>
            <w:vMerge w:val="restart"/>
            <w:tcBorders>
              <w:tl2br w:val="nil"/>
              <w:tr2bl w:val="nil"/>
            </w:tcBorders>
            <w:noWrap w:val="0"/>
            <w:vAlign w:val="center"/>
          </w:tcPr>
          <w:p w14:paraId="4A2593CB">
            <w:pPr>
              <w:keepNext w:val="0"/>
              <w:keepLines w:val="0"/>
              <w:pageBreakBefore w:val="0"/>
              <w:widowControl w:val="0"/>
              <w:kinsoku/>
              <w:wordWrap/>
              <w:overflowPunct/>
              <w:topLinePunct w:val="0"/>
              <w:autoSpaceDE/>
              <w:autoSpaceDN/>
              <w:bidi w:val="0"/>
              <w:snapToGrid/>
              <w:spacing w:line="340" w:lineRule="exact"/>
              <w:jc w:val="center"/>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val="en-US" w:eastAsia="zh-CN"/>
              </w:rPr>
              <w:t>1</w:t>
            </w:r>
          </w:p>
        </w:tc>
        <w:tc>
          <w:tcPr>
            <w:tcW w:w="1275" w:type="dxa"/>
            <w:vMerge w:val="restart"/>
            <w:tcBorders>
              <w:tl2br w:val="nil"/>
              <w:tr2bl w:val="nil"/>
            </w:tcBorders>
            <w:noWrap w:val="0"/>
            <w:vAlign w:val="center"/>
          </w:tcPr>
          <w:p w14:paraId="2A358E28">
            <w:pPr>
              <w:keepNext w:val="0"/>
              <w:keepLines w:val="0"/>
              <w:pageBreakBefore w:val="0"/>
              <w:widowControl w:val="0"/>
              <w:kinsoku/>
              <w:wordWrap/>
              <w:overflowPunct/>
              <w:topLinePunct w:val="0"/>
              <w:autoSpaceDE/>
              <w:autoSpaceDN/>
              <w:bidi w:val="0"/>
              <w:snapToGrid/>
              <w:spacing w:line="340" w:lineRule="exact"/>
              <w:jc w:val="center"/>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公司实力</w:t>
            </w:r>
          </w:p>
        </w:tc>
        <w:tc>
          <w:tcPr>
            <w:tcW w:w="7358" w:type="dxa"/>
            <w:tcBorders>
              <w:tl2br w:val="nil"/>
              <w:tr2bl w:val="nil"/>
            </w:tcBorders>
            <w:noWrap w:val="0"/>
            <w:vAlign w:val="center"/>
          </w:tcPr>
          <w:p w14:paraId="2C66E4D8">
            <w:pPr>
              <w:keepNext w:val="0"/>
              <w:keepLines w:val="0"/>
              <w:pageBreakBefore w:val="0"/>
              <w:widowControl w:val="0"/>
              <w:kinsoku/>
              <w:wordWrap/>
              <w:overflowPunct/>
              <w:topLinePunct w:val="0"/>
              <w:autoSpaceDE/>
              <w:autoSpaceDN/>
              <w:bidi w:val="0"/>
              <w:snapToGrid/>
              <w:spacing w:line="340" w:lineRule="exact"/>
              <w:jc w:val="left"/>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投标人具有有效期内的质量管理体系认证证书、环境管理体系认证、职业健康安全管理体系认证的，每提供一项得2分，本项最高得6分。</w:t>
            </w:r>
          </w:p>
          <w:p w14:paraId="305F2DC5">
            <w:pPr>
              <w:keepNext w:val="0"/>
              <w:keepLines w:val="0"/>
              <w:pageBreakBefore w:val="0"/>
              <w:widowControl w:val="0"/>
              <w:kinsoku/>
              <w:wordWrap/>
              <w:overflowPunct/>
              <w:topLinePunct w:val="0"/>
              <w:autoSpaceDE/>
              <w:autoSpaceDN/>
              <w:bidi w:val="0"/>
              <w:snapToGrid/>
              <w:spacing w:line="340" w:lineRule="exact"/>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val="en-US" w:eastAsia="zh-CN"/>
              </w:rPr>
              <w:t>注：需提供有效期内证书复印件并加盖投标人公章，</w:t>
            </w:r>
            <w:r>
              <w:rPr>
                <w:rFonts w:hint="eastAsia" w:ascii="仿宋" w:hAnsi="仿宋" w:eastAsia="仿宋" w:cs="仿宋"/>
                <w:color w:val="auto"/>
                <w:sz w:val="24"/>
                <w:highlight w:val="none"/>
              </w:rPr>
              <w:t>不提供</w:t>
            </w:r>
            <w:r>
              <w:rPr>
                <w:rFonts w:hint="eastAsia" w:ascii="仿宋" w:hAnsi="仿宋" w:eastAsia="仿宋" w:cs="仿宋"/>
                <w:b w:val="0"/>
                <w:bCs/>
                <w:color w:val="auto"/>
                <w:sz w:val="24"/>
                <w:szCs w:val="24"/>
                <w:highlight w:val="none"/>
                <w:lang w:val="en-US" w:eastAsia="zh-CN"/>
              </w:rPr>
              <w:t>不得分。</w:t>
            </w:r>
          </w:p>
        </w:tc>
        <w:tc>
          <w:tcPr>
            <w:tcW w:w="755" w:type="dxa"/>
            <w:tcBorders>
              <w:tl2br w:val="nil"/>
              <w:tr2bl w:val="nil"/>
            </w:tcBorders>
            <w:noWrap w:val="0"/>
            <w:vAlign w:val="center"/>
          </w:tcPr>
          <w:p w14:paraId="6FB53567">
            <w:pPr>
              <w:keepNext w:val="0"/>
              <w:keepLines w:val="0"/>
              <w:pageBreakBefore w:val="0"/>
              <w:widowControl w:val="0"/>
              <w:kinsoku/>
              <w:wordWrap/>
              <w:overflowPunct/>
              <w:topLinePunct w:val="0"/>
              <w:autoSpaceDE/>
              <w:autoSpaceDN/>
              <w:bidi w:val="0"/>
              <w:snapToGrid/>
              <w:spacing w:line="340" w:lineRule="exact"/>
              <w:jc w:val="center"/>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val="en-US" w:eastAsia="zh-CN"/>
              </w:rPr>
              <w:t>6</w:t>
            </w:r>
            <w:r>
              <w:rPr>
                <w:rFonts w:hint="eastAsia" w:ascii="仿宋" w:hAnsi="仿宋" w:eastAsia="仿宋" w:cs="仿宋"/>
                <w:b/>
                <w:bCs w:val="0"/>
                <w:color w:val="auto"/>
                <w:sz w:val="24"/>
                <w:szCs w:val="24"/>
                <w:highlight w:val="none"/>
              </w:rPr>
              <w:t>分</w:t>
            </w:r>
          </w:p>
        </w:tc>
      </w:tr>
      <w:tr w14:paraId="27F2370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4" w:hRule="atLeast"/>
          <w:jc w:val="center"/>
        </w:trPr>
        <w:tc>
          <w:tcPr>
            <w:tcW w:w="729" w:type="dxa"/>
            <w:vMerge w:val="continue"/>
            <w:tcBorders>
              <w:tl2br w:val="nil"/>
              <w:tr2bl w:val="nil"/>
            </w:tcBorders>
            <w:noWrap w:val="0"/>
            <w:vAlign w:val="center"/>
          </w:tcPr>
          <w:p w14:paraId="6ABF0C96">
            <w:pPr>
              <w:keepNext w:val="0"/>
              <w:keepLines w:val="0"/>
              <w:pageBreakBefore w:val="0"/>
              <w:widowControl w:val="0"/>
              <w:kinsoku/>
              <w:wordWrap/>
              <w:overflowPunct/>
              <w:topLinePunct w:val="0"/>
              <w:autoSpaceDE/>
              <w:autoSpaceDN/>
              <w:bidi w:val="0"/>
              <w:snapToGrid/>
              <w:spacing w:line="340" w:lineRule="exact"/>
              <w:jc w:val="center"/>
              <w:textAlignment w:val="auto"/>
              <w:rPr>
                <w:rFonts w:hint="eastAsia" w:ascii="仿宋" w:hAnsi="仿宋" w:eastAsia="仿宋" w:cs="仿宋"/>
                <w:b/>
                <w:bCs w:val="0"/>
                <w:color w:val="auto"/>
                <w:sz w:val="24"/>
                <w:szCs w:val="24"/>
                <w:highlight w:val="none"/>
                <w:lang w:val="en-US" w:eastAsia="zh-CN"/>
              </w:rPr>
            </w:pPr>
          </w:p>
        </w:tc>
        <w:tc>
          <w:tcPr>
            <w:tcW w:w="1275" w:type="dxa"/>
            <w:vMerge w:val="continue"/>
            <w:tcBorders>
              <w:tl2br w:val="nil"/>
              <w:tr2bl w:val="nil"/>
            </w:tcBorders>
            <w:noWrap w:val="0"/>
            <w:vAlign w:val="center"/>
          </w:tcPr>
          <w:p w14:paraId="02B75F56">
            <w:pPr>
              <w:keepNext w:val="0"/>
              <w:keepLines w:val="0"/>
              <w:pageBreakBefore w:val="0"/>
              <w:widowControl w:val="0"/>
              <w:kinsoku/>
              <w:wordWrap/>
              <w:overflowPunct/>
              <w:topLinePunct w:val="0"/>
              <w:autoSpaceDE/>
              <w:autoSpaceDN/>
              <w:bidi w:val="0"/>
              <w:snapToGrid/>
              <w:spacing w:line="340" w:lineRule="exact"/>
              <w:jc w:val="center"/>
              <w:textAlignment w:val="auto"/>
              <w:rPr>
                <w:rFonts w:hint="eastAsia" w:ascii="仿宋" w:hAnsi="仿宋" w:eastAsia="仿宋" w:cs="仿宋"/>
                <w:b/>
                <w:bCs w:val="0"/>
                <w:color w:val="auto"/>
                <w:sz w:val="24"/>
                <w:szCs w:val="24"/>
                <w:highlight w:val="none"/>
              </w:rPr>
            </w:pPr>
          </w:p>
        </w:tc>
        <w:tc>
          <w:tcPr>
            <w:tcW w:w="7358" w:type="dxa"/>
            <w:tcBorders>
              <w:tl2br w:val="nil"/>
              <w:tr2bl w:val="nil"/>
            </w:tcBorders>
            <w:noWrap w:val="0"/>
            <w:vAlign w:val="center"/>
          </w:tcPr>
          <w:p w14:paraId="5E6C9261">
            <w:pPr>
              <w:keepNext w:val="0"/>
              <w:keepLines w:val="0"/>
              <w:pageBreakBefore w:val="0"/>
              <w:widowControl w:val="0"/>
              <w:kinsoku/>
              <w:wordWrap/>
              <w:overflowPunct/>
              <w:topLinePunct w:val="0"/>
              <w:autoSpaceDE/>
              <w:autoSpaceDN/>
              <w:bidi w:val="0"/>
              <w:snapToGrid/>
              <w:spacing w:line="340" w:lineRule="exact"/>
              <w:jc w:val="left"/>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投标人具有市政公用工程施工总承包资质的，得2分。</w:t>
            </w:r>
          </w:p>
          <w:p w14:paraId="617525AA">
            <w:pPr>
              <w:keepNext w:val="0"/>
              <w:keepLines w:val="0"/>
              <w:pageBreakBefore w:val="0"/>
              <w:widowControl w:val="0"/>
              <w:kinsoku/>
              <w:wordWrap/>
              <w:overflowPunct/>
              <w:topLinePunct w:val="0"/>
              <w:autoSpaceDE/>
              <w:autoSpaceDN/>
              <w:bidi w:val="0"/>
              <w:snapToGrid/>
              <w:spacing w:line="340" w:lineRule="exact"/>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sz w:val="24"/>
                <w:szCs w:val="24"/>
                <w:highlight w:val="none"/>
                <w:lang w:val="en-US" w:eastAsia="zh-CN"/>
              </w:rPr>
              <w:t>注：需提供有效期内证书复印件并加盖投标人公章，</w:t>
            </w:r>
            <w:r>
              <w:rPr>
                <w:rFonts w:hint="eastAsia" w:ascii="仿宋" w:hAnsi="仿宋" w:eastAsia="仿宋" w:cs="仿宋"/>
                <w:color w:val="auto"/>
                <w:sz w:val="24"/>
                <w:highlight w:val="none"/>
              </w:rPr>
              <w:t>不提供</w:t>
            </w:r>
            <w:r>
              <w:rPr>
                <w:rFonts w:hint="eastAsia" w:ascii="仿宋" w:hAnsi="仿宋" w:eastAsia="仿宋" w:cs="仿宋"/>
                <w:b w:val="0"/>
                <w:bCs/>
                <w:color w:val="auto"/>
                <w:sz w:val="24"/>
                <w:szCs w:val="24"/>
                <w:highlight w:val="none"/>
                <w:lang w:val="en-US" w:eastAsia="zh-CN"/>
              </w:rPr>
              <w:t>不得分。</w:t>
            </w:r>
          </w:p>
        </w:tc>
        <w:tc>
          <w:tcPr>
            <w:tcW w:w="755" w:type="dxa"/>
            <w:tcBorders>
              <w:tl2br w:val="nil"/>
              <w:tr2bl w:val="nil"/>
            </w:tcBorders>
            <w:noWrap w:val="0"/>
            <w:vAlign w:val="center"/>
          </w:tcPr>
          <w:p w14:paraId="75E8EC48">
            <w:pPr>
              <w:keepNext w:val="0"/>
              <w:keepLines w:val="0"/>
              <w:pageBreakBefore w:val="0"/>
              <w:widowControl w:val="0"/>
              <w:kinsoku/>
              <w:wordWrap/>
              <w:overflowPunct/>
              <w:topLinePunct w:val="0"/>
              <w:autoSpaceDE/>
              <w:autoSpaceDN/>
              <w:bidi w:val="0"/>
              <w:snapToGrid/>
              <w:spacing w:line="340" w:lineRule="exact"/>
              <w:jc w:val="center"/>
              <w:textAlignment w:val="auto"/>
              <w:rPr>
                <w:rFonts w:hint="eastAsia" w:ascii="仿宋" w:hAnsi="仿宋" w:eastAsia="仿宋" w:cs="仿宋"/>
                <w:b/>
                <w:bCs w:val="0"/>
                <w:color w:val="auto"/>
                <w:kern w:val="2"/>
                <w:sz w:val="24"/>
                <w:szCs w:val="24"/>
                <w:highlight w:val="none"/>
                <w:lang w:val="en-US" w:eastAsia="zh-CN" w:bidi="ar-SA"/>
              </w:rPr>
            </w:pPr>
            <w:r>
              <w:rPr>
                <w:rFonts w:hint="eastAsia" w:ascii="仿宋" w:hAnsi="仿宋" w:eastAsia="仿宋" w:cs="仿宋"/>
                <w:b/>
                <w:bCs w:val="0"/>
                <w:color w:val="auto"/>
                <w:sz w:val="24"/>
                <w:szCs w:val="24"/>
                <w:highlight w:val="none"/>
                <w:lang w:val="en-US" w:eastAsia="zh-CN"/>
              </w:rPr>
              <w:t>2</w:t>
            </w:r>
            <w:r>
              <w:rPr>
                <w:rFonts w:hint="eastAsia" w:ascii="仿宋" w:hAnsi="仿宋" w:eastAsia="仿宋" w:cs="仿宋"/>
                <w:b/>
                <w:bCs w:val="0"/>
                <w:color w:val="auto"/>
                <w:sz w:val="24"/>
                <w:szCs w:val="24"/>
                <w:highlight w:val="none"/>
              </w:rPr>
              <w:t>分</w:t>
            </w:r>
          </w:p>
        </w:tc>
      </w:tr>
      <w:tr w14:paraId="1DA8CFC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729" w:type="dxa"/>
            <w:tcBorders>
              <w:tl2br w:val="nil"/>
              <w:tr2bl w:val="nil"/>
            </w:tcBorders>
            <w:noWrap w:val="0"/>
            <w:vAlign w:val="center"/>
          </w:tcPr>
          <w:p w14:paraId="77F2A89F">
            <w:pPr>
              <w:keepNext w:val="0"/>
              <w:keepLines w:val="0"/>
              <w:pageBreakBefore w:val="0"/>
              <w:widowControl w:val="0"/>
              <w:kinsoku/>
              <w:wordWrap/>
              <w:overflowPunct/>
              <w:topLinePunct w:val="0"/>
              <w:autoSpaceDE/>
              <w:autoSpaceDN/>
              <w:bidi w:val="0"/>
              <w:snapToGrid/>
              <w:spacing w:line="340" w:lineRule="exact"/>
              <w:jc w:val="center"/>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val="en-US" w:eastAsia="zh-CN"/>
              </w:rPr>
              <w:t>2</w:t>
            </w:r>
          </w:p>
        </w:tc>
        <w:tc>
          <w:tcPr>
            <w:tcW w:w="1275" w:type="dxa"/>
            <w:tcBorders>
              <w:tl2br w:val="nil"/>
              <w:tr2bl w:val="nil"/>
            </w:tcBorders>
            <w:noWrap w:val="0"/>
            <w:vAlign w:val="center"/>
          </w:tcPr>
          <w:p w14:paraId="1F70B2FC">
            <w:pPr>
              <w:keepNext w:val="0"/>
              <w:keepLines w:val="0"/>
              <w:pageBreakBefore w:val="0"/>
              <w:widowControl w:val="0"/>
              <w:kinsoku/>
              <w:wordWrap/>
              <w:overflowPunct/>
              <w:topLinePunct w:val="0"/>
              <w:autoSpaceDE/>
              <w:autoSpaceDN/>
              <w:bidi w:val="0"/>
              <w:snapToGrid/>
              <w:spacing w:line="340" w:lineRule="exact"/>
              <w:jc w:val="center"/>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项目经验</w:t>
            </w:r>
          </w:p>
        </w:tc>
        <w:tc>
          <w:tcPr>
            <w:tcW w:w="7358" w:type="dxa"/>
            <w:tcBorders>
              <w:tl2br w:val="nil"/>
              <w:tr2bl w:val="nil"/>
            </w:tcBorders>
            <w:noWrap w:val="0"/>
            <w:vAlign w:val="center"/>
          </w:tcPr>
          <w:p w14:paraId="17F653BC">
            <w:pPr>
              <w:keepNext w:val="0"/>
              <w:keepLines w:val="0"/>
              <w:pageBreakBefore w:val="0"/>
              <w:widowControl w:val="0"/>
              <w:kinsoku/>
              <w:wordWrap/>
              <w:overflowPunct/>
              <w:topLinePunct w:val="0"/>
              <w:autoSpaceDE/>
              <w:autoSpaceDN/>
              <w:bidi w:val="0"/>
              <w:snapToGrid/>
              <w:spacing w:line="340" w:lineRule="exact"/>
              <w:jc w:val="left"/>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投标人自202</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年1月1日至今（以合同签订时间为准），具有承担过类似污水运维项目业绩的，每提供一个得1分，本项最高得2分。</w:t>
            </w:r>
          </w:p>
          <w:p w14:paraId="6A2D4728">
            <w:pPr>
              <w:keepNext w:val="0"/>
              <w:keepLines w:val="0"/>
              <w:pageBreakBefore w:val="0"/>
              <w:widowControl w:val="0"/>
              <w:kinsoku/>
              <w:wordWrap/>
              <w:overflowPunct/>
              <w:topLinePunct w:val="0"/>
              <w:autoSpaceDE/>
              <w:autoSpaceDN/>
              <w:bidi w:val="0"/>
              <w:snapToGrid/>
              <w:spacing w:line="340" w:lineRule="exact"/>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val="en-US" w:eastAsia="zh-CN"/>
              </w:rPr>
              <w:t>注：</w:t>
            </w:r>
            <w:r>
              <w:rPr>
                <w:rFonts w:hint="eastAsia" w:ascii="仿宋" w:hAnsi="仿宋" w:eastAsia="仿宋" w:cs="仿宋"/>
                <w:color w:val="auto"/>
                <w:sz w:val="24"/>
                <w:highlight w:val="none"/>
              </w:rPr>
              <w:t>需提供相关合同扫描件并加盖</w:t>
            </w:r>
            <w:r>
              <w:rPr>
                <w:rFonts w:hint="eastAsia" w:ascii="仿宋" w:hAnsi="仿宋" w:eastAsia="仿宋" w:cs="宋体"/>
                <w:bCs/>
                <w:color w:val="auto"/>
                <w:sz w:val="24"/>
                <w:highlight w:val="none"/>
              </w:rPr>
              <w:t>投标人</w:t>
            </w:r>
            <w:r>
              <w:rPr>
                <w:rFonts w:hint="eastAsia" w:ascii="仿宋" w:hAnsi="仿宋" w:eastAsia="仿宋" w:cs="宋体"/>
                <w:bCs/>
                <w:color w:val="auto"/>
                <w:sz w:val="24"/>
                <w:highlight w:val="none"/>
                <w:lang w:val="en-US" w:eastAsia="zh-CN"/>
              </w:rPr>
              <w:t>公章</w:t>
            </w:r>
            <w:r>
              <w:rPr>
                <w:rFonts w:hint="eastAsia" w:ascii="仿宋" w:hAnsi="仿宋" w:eastAsia="仿宋" w:cs="宋体"/>
                <w:bCs/>
                <w:color w:val="auto"/>
                <w:sz w:val="24"/>
                <w:highlight w:val="none"/>
              </w:rPr>
              <w:t>，</w:t>
            </w:r>
            <w:r>
              <w:rPr>
                <w:rFonts w:hint="eastAsia" w:ascii="仿宋" w:hAnsi="仿宋" w:eastAsia="仿宋" w:cs="宋体"/>
                <w:bCs/>
                <w:color w:val="auto"/>
                <w:sz w:val="24"/>
                <w:highlight w:val="none"/>
                <w:lang w:val="en-US" w:eastAsia="zh-CN"/>
              </w:rPr>
              <w:t>不提供</w:t>
            </w:r>
            <w:r>
              <w:rPr>
                <w:rFonts w:hint="eastAsia" w:ascii="仿宋" w:hAnsi="仿宋" w:eastAsia="仿宋" w:cs="宋体"/>
                <w:bCs/>
                <w:color w:val="auto"/>
                <w:sz w:val="24"/>
                <w:highlight w:val="none"/>
              </w:rPr>
              <w:t>不得分</w:t>
            </w:r>
            <w:r>
              <w:rPr>
                <w:rFonts w:hint="eastAsia" w:ascii="仿宋" w:hAnsi="仿宋" w:eastAsia="仿宋" w:cs="宋体"/>
                <w:bCs/>
                <w:color w:val="auto"/>
                <w:sz w:val="24"/>
                <w:highlight w:val="none"/>
                <w:lang w:eastAsia="zh-CN"/>
              </w:rPr>
              <w:t>。</w:t>
            </w:r>
          </w:p>
        </w:tc>
        <w:tc>
          <w:tcPr>
            <w:tcW w:w="755" w:type="dxa"/>
            <w:tcBorders>
              <w:tl2br w:val="nil"/>
              <w:tr2bl w:val="nil"/>
            </w:tcBorders>
            <w:noWrap w:val="0"/>
            <w:vAlign w:val="center"/>
          </w:tcPr>
          <w:p w14:paraId="064EE9F5">
            <w:pPr>
              <w:keepNext w:val="0"/>
              <w:keepLines w:val="0"/>
              <w:pageBreakBefore w:val="0"/>
              <w:widowControl w:val="0"/>
              <w:kinsoku/>
              <w:wordWrap/>
              <w:overflowPunct/>
              <w:topLinePunct w:val="0"/>
              <w:autoSpaceDE/>
              <w:autoSpaceDN/>
              <w:bidi w:val="0"/>
              <w:snapToGrid/>
              <w:spacing w:line="340" w:lineRule="exact"/>
              <w:jc w:val="center"/>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val="en-US" w:eastAsia="zh-CN"/>
              </w:rPr>
              <w:t>2</w:t>
            </w:r>
            <w:r>
              <w:rPr>
                <w:rFonts w:hint="eastAsia" w:ascii="仿宋" w:hAnsi="仿宋" w:eastAsia="仿宋" w:cs="仿宋"/>
                <w:b/>
                <w:bCs w:val="0"/>
                <w:color w:val="auto"/>
                <w:sz w:val="24"/>
                <w:szCs w:val="24"/>
                <w:highlight w:val="none"/>
              </w:rPr>
              <w:t>分</w:t>
            </w:r>
          </w:p>
        </w:tc>
      </w:tr>
      <w:tr w14:paraId="467C69B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729" w:type="dxa"/>
            <w:vMerge w:val="restart"/>
            <w:tcBorders>
              <w:tl2br w:val="nil"/>
              <w:tr2bl w:val="nil"/>
            </w:tcBorders>
            <w:noWrap w:val="0"/>
            <w:vAlign w:val="center"/>
          </w:tcPr>
          <w:p w14:paraId="456594F9">
            <w:pPr>
              <w:keepNext w:val="0"/>
              <w:keepLines w:val="0"/>
              <w:pageBreakBefore w:val="0"/>
              <w:widowControl w:val="0"/>
              <w:kinsoku/>
              <w:wordWrap/>
              <w:overflowPunct/>
              <w:topLinePunct w:val="0"/>
              <w:autoSpaceDE/>
              <w:autoSpaceDN/>
              <w:bidi w:val="0"/>
              <w:snapToGrid/>
              <w:spacing w:line="340" w:lineRule="exact"/>
              <w:jc w:val="center"/>
              <w:textAlignment w:val="auto"/>
              <w:rPr>
                <w:rFonts w:hint="default" w:ascii="仿宋" w:hAnsi="仿宋" w:eastAsia="仿宋" w:cs="仿宋"/>
                <w:b/>
                <w:bCs w:val="0"/>
                <w:color w:val="auto"/>
                <w:sz w:val="24"/>
                <w:szCs w:val="24"/>
                <w:highlight w:val="none"/>
                <w:lang w:val="en-US" w:eastAsia="zh-CN"/>
              </w:rPr>
            </w:pPr>
            <w:r>
              <w:rPr>
                <w:rFonts w:hint="eastAsia" w:ascii="仿宋" w:hAnsi="仿宋" w:eastAsia="仿宋" w:cs="仿宋"/>
                <w:b/>
                <w:bCs w:val="0"/>
                <w:color w:val="auto"/>
                <w:sz w:val="24"/>
                <w:szCs w:val="24"/>
                <w:highlight w:val="none"/>
                <w:lang w:val="en-US" w:eastAsia="zh-CN"/>
              </w:rPr>
              <w:t>3</w:t>
            </w:r>
          </w:p>
        </w:tc>
        <w:tc>
          <w:tcPr>
            <w:tcW w:w="1275" w:type="dxa"/>
            <w:vMerge w:val="restart"/>
            <w:tcBorders>
              <w:tl2br w:val="nil"/>
              <w:tr2bl w:val="nil"/>
            </w:tcBorders>
            <w:shd w:val="clear" w:color="auto" w:fill="auto"/>
            <w:noWrap w:val="0"/>
            <w:vAlign w:val="center"/>
          </w:tcPr>
          <w:p w14:paraId="28D7CDAE">
            <w:pPr>
              <w:keepNext w:val="0"/>
              <w:keepLines w:val="0"/>
              <w:pageBreakBefore w:val="0"/>
              <w:widowControl w:val="0"/>
              <w:kinsoku/>
              <w:wordWrap/>
              <w:overflowPunct/>
              <w:topLinePunct w:val="0"/>
              <w:autoSpaceDE/>
              <w:autoSpaceDN/>
              <w:bidi w:val="0"/>
              <w:adjustRightInd/>
              <w:spacing w:line="340" w:lineRule="exact"/>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rPr>
              <w:t>人员配备</w:t>
            </w:r>
          </w:p>
        </w:tc>
        <w:tc>
          <w:tcPr>
            <w:tcW w:w="7358" w:type="dxa"/>
            <w:tcBorders>
              <w:tl2br w:val="nil"/>
              <w:tr2bl w:val="nil"/>
            </w:tcBorders>
            <w:shd w:val="clear" w:color="auto" w:fill="auto"/>
            <w:noWrap w:val="0"/>
            <w:vAlign w:val="center"/>
          </w:tcPr>
          <w:p w14:paraId="231AD4CB">
            <w:pPr>
              <w:keepNext w:val="0"/>
              <w:keepLines w:val="0"/>
              <w:pageBreakBefore w:val="0"/>
              <w:widowControl w:val="0"/>
              <w:kinsoku/>
              <w:wordWrap/>
              <w:overflowPunct/>
              <w:topLinePunct w:val="0"/>
              <w:autoSpaceDE/>
              <w:autoSpaceDN/>
              <w:bidi w:val="0"/>
              <w:spacing w:line="340" w:lineRule="exact"/>
              <w:rPr>
                <w:rFonts w:ascii="仿宋" w:hAnsi="仿宋" w:eastAsia="仿宋" w:cs="宋体"/>
                <w:bCs/>
                <w:color w:val="auto"/>
                <w:sz w:val="24"/>
                <w:highlight w:val="none"/>
              </w:rPr>
            </w:pPr>
            <w:r>
              <w:rPr>
                <w:rFonts w:hint="eastAsia" w:ascii="仿宋" w:hAnsi="仿宋" w:eastAsia="仿宋" w:cs="宋体"/>
                <w:bCs/>
                <w:color w:val="auto"/>
                <w:sz w:val="24"/>
                <w:highlight w:val="none"/>
              </w:rPr>
              <w:t>项目负责人具有给排水专业或环境类中级及以上职称证书的，得2分。</w:t>
            </w:r>
          </w:p>
          <w:p w14:paraId="358FB91F">
            <w:pPr>
              <w:keepNext w:val="0"/>
              <w:keepLines w:val="0"/>
              <w:pageBreakBefore w:val="0"/>
              <w:widowControl w:val="0"/>
              <w:kinsoku/>
              <w:wordWrap/>
              <w:overflowPunct/>
              <w:topLinePunct w:val="0"/>
              <w:autoSpaceDE/>
              <w:autoSpaceDN/>
              <w:bidi w:val="0"/>
              <w:adjustRightInd/>
              <w:spacing w:line="340" w:lineRule="exact"/>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color w:val="auto"/>
                <w:sz w:val="24"/>
                <w:highlight w:val="none"/>
              </w:rPr>
              <w:t>注：需提供相关证书复印件及投标人为其缴纳的近三个月社保证明（社保缴纳证明以社保机构出具的社保证明为准）并加盖</w:t>
            </w:r>
            <w:r>
              <w:rPr>
                <w:rFonts w:hint="eastAsia" w:ascii="仿宋" w:hAnsi="仿宋" w:eastAsia="仿宋" w:cs="宋体"/>
                <w:bCs/>
                <w:color w:val="auto"/>
                <w:sz w:val="24"/>
                <w:highlight w:val="none"/>
              </w:rPr>
              <w:t>投标人</w:t>
            </w:r>
            <w:r>
              <w:rPr>
                <w:rFonts w:hint="eastAsia" w:ascii="仿宋" w:hAnsi="仿宋" w:eastAsia="仿宋" w:cs="宋体"/>
                <w:bCs/>
                <w:color w:val="auto"/>
                <w:sz w:val="24"/>
                <w:highlight w:val="none"/>
                <w:lang w:val="en-US" w:eastAsia="zh-CN"/>
              </w:rPr>
              <w:t>公章</w:t>
            </w:r>
            <w:r>
              <w:rPr>
                <w:rFonts w:hint="eastAsia" w:ascii="仿宋" w:hAnsi="仿宋" w:eastAsia="仿宋" w:cs="仿宋"/>
                <w:color w:val="auto"/>
                <w:sz w:val="24"/>
                <w:highlight w:val="none"/>
              </w:rPr>
              <w:t>，不提供或提供不全的不得分。</w:t>
            </w:r>
          </w:p>
        </w:tc>
        <w:tc>
          <w:tcPr>
            <w:tcW w:w="755" w:type="dxa"/>
            <w:tcBorders>
              <w:tl2br w:val="nil"/>
              <w:tr2bl w:val="nil"/>
            </w:tcBorders>
            <w:shd w:val="clear" w:color="auto" w:fill="auto"/>
            <w:noWrap w:val="0"/>
            <w:vAlign w:val="center"/>
          </w:tcPr>
          <w:p w14:paraId="79E24227">
            <w:pPr>
              <w:keepNext w:val="0"/>
              <w:keepLines w:val="0"/>
              <w:pageBreakBefore w:val="0"/>
              <w:widowControl w:val="0"/>
              <w:tabs>
                <w:tab w:val="left" w:pos="0"/>
              </w:tabs>
              <w:kinsoku/>
              <w:wordWrap/>
              <w:overflowPunct/>
              <w:topLinePunct w:val="0"/>
              <w:autoSpaceDE/>
              <w:autoSpaceDN/>
              <w:bidi w:val="0"/>
              <w:snapToGrid w:val="0"/>
              <w:spacing w:line="340" w:lineRule="exact"/>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rPr>
              <w:t>2分</w:t>
            </w:r>
          </w:p>
        </w:tc>
      </w:tr>
      <w:tr w14:paraId="447D466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729" w:type="dxa"/>
            <w:vMerge w:val="continue"/>
            <w:tcBorders>
              <w:tl2br w:val="nil"/>
              <w:tr2bl w:val="nil"/>
            </w:tcBorders>
            <w:noWrap w:val="0"/>
            <w:vAlign w:val="center"/>
          </w:tcPr>
          <w:p w14:paraId="4C4E32EF">
            <w:pPr>
              <w:keepNext w:val="0"/>
              <w:keepLines w:val="0"/>
              <w:pageBreakBefore w:val="0"/>
              <w:widowControl w:val="0"/>
              <w:kinsoku/>
              <w:wordWrap/>
              <w:overflowPunct/>
              <w:topLinePunct w:val="0"/>
              <w:autoSpaceDE/>
              <w:autoSpaceDN/>
              <w:bidi w:val="0"/>
              <w:snapToGrid/>
              <w:spacing w:line="340" w:lineRule="exact"/>
              <w:jc w:val="center"/>
              <w:textAlignment w:val="auto"/>
              <w:rPr>
                <w:rFonts w:hint="eastAsia" w:ascii="仿宋" w:hAnsi="仿宋" w:eastAsia="仿宋" w:cs="仿宋"/>
                <w:b/>
                <w:bCs w:val="0"/>
                <w:color w:val="auto"/>
                <w:sz w:val="24"/>
                <w:szCs w:val="24"/>
                <w:highlight w:val="none"/>
                <w:lang w:val="en-US" w:eastAsia="zh-CN"/>
              </w:rPr>
            </w:pPr>
          </w:p>
        </w:tc>
        <w:tc>
          <w:tcPr>
            <w:tcW w:w="1275" w:type="dxa"/>
            <w:vMerge w:val="continue"/>
            <w:tcBorders>
              <w:tl2br w:val="nil"/>
              <w:tr2bl w:val="nil"/>
            </w:tcBorders>
            <w:shd w:val="clear" w:color="auto" w:fill="auto"/>
            <w:noWrap w:val="0"/>
            <w:vAlign w:val="center"/>
          </w:tcPr>
          <w:p w14:paraId="0E712073">
            <w:pPr>
              <w:keepNext w:val="0"/>
              <w:keepLines w:val="0"/>
              <w:pageBreakBefore w:val="0"/>
              <w:widowControl w:val="0"/>
              <w:kinsoku/>
              <w:wordWrap/>
              <w:overflowPunct/>
              <w:topLinePunct w:val="0"/>
              <w:autoSpaceDE/>
              <w:autoSpaceDN/>
              <w:bidi w:val="0"/>
              <w:adjustRightInd/>
              <w:spacing w:line="340" w:lineRule="exact"/>
              <w:jc w:val="center"/>
              <w:rPr>
                <w:rFonts w:hint="eastAsia" w:ascii="仿宋" w:hAnsi="仿宋" w:eastAsia="仿宋" w:cs="仿宋"/>
                <w:b/>
                <w:bCs/>
                <w:color w:val="auto"/>
                <w:sz w:val="24"/>
                <w:szCs w:val="24"/>
                <w:highlight w:val="none"/>
              </w:rPr>
            </w:pPr>
          </w:p>
        </w:tc>
        <w:tc>
          <w:tcPr>
            <w:tcW w:w="7358" w:type="dxa"/>
            <w:tcBorders>
              <w:tl2br w:val="nil"/>
              <w:tr2bl w:val="nil"/>
            </w:tcBorders>
            <w:shd w:val="clear" w:color="auto" w:fill="auto"/>
            <w:noWrap w:val="0"/>
            <w:vAlign w:val="center"/>
          </w:tcPr>
          <w:p w14:paraId="043F9571">
            <w:pPr>
              <w:keepNext w:val="0"/>
              <w:keepLines w:val="0"/>
              <w:pageBreakBefore w:val="0"/>
              <w:widowControl w:val="0"/>
              <w:kinsoku/>
              <w:wordWrap/>
              <w:overflowPunct/>
              <w:topLinePunct w:val="0"/>
              <w:autoSpaceDE/>
              <w:autoSpaceDN/>
              <w:bidi w:val="0"/>
              <w:adjustRightInd/>
              <w:spacing w:line="3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项目团队成员（项目负责人除外）配备：</w:t>
            </w:r>
          </w:p>
          <w:p w14:paraId="692777BB">
            <w:pPr>
              <w:keepNext w:val="0"/>
              <w:keepLines w:val="0"/>
              <w:pageBreakBefore w:val="0"/>
              <w:widowControl w:val="0"/>
              <w:kinsoku/>
              <w:wordWrap/>
              <w:overflowPunct/>
              <w:topLinePunct w:val="0"/>
              <w:autoSpaceDE/>
              <w:autoSpaceDN/>
              <w:bidi w:val="0"/>
              <w:adjustRightInd/>
              <w:spacing w:line="3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具有环境类中级及以上工程师的，每人得2分，最高得4分；</w:t>
            </w:r>
          </w:p>
          <w:p w14:paraId="5541BCBF">
            <w:pPr>
              <w:keepNext w:val="0"/>
              <w:keepLines w:val="0"/>
              <w:pageBreakBefore w:val="0"/>
              <w:widowControl w:val="0"/>
              <w:kinsoku/>
              <w:wordWrap/>
              <w:overflowPunct/>
              <w:topLinePunct w:val="0"/>
              <w:autoSpaceDE/>
              <w:autoSpaceDN/>
              <w:bidi w:val="0"/>
              <w:adjustRightInd/>
              <w:spacing w:line="3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化验室负责人具有2年以上环境类或化学类化验实验室从业经验的中级工程师及以上职称，每人得2分，最高得2分；</w:t>
            </w:r>
          </w:p>
          <w:p w14:paraId="339A4306">
            <w:pPr>
              <w:keepNext w:val="0"/>
              <w:keepLines w:val="0"/>
              <w:pageBreakBefore w:val="0"/>
              <w:widowControl w:val="0"/>
              <w:kinsoku/>
              <w:wordWrap/>
              <w:overflowPunct/>
              <w:topLinePunct w:val="0"/>
              <w:autoSpaceDE/>
              <w:autoSpaceDN/>
              <w:bidi w:val="0"/>
              <w:adjustRightInd/>
              <w:spacing w:line="3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具有运维养护专业培训的农污运维养护员的，每人得1分，最高得4分；</w:t>
            </w:r>
          </w:p>
          <w:p w14:paraId="7C4A0B0A">
            <w:pPr>
              <w:keepNext w:val="0"/>
              <w:keepLines w:val="0"/>
              <w:pageBreakBefore w:val="0"/>
              <w:widowControl w:val="0"/>
              <w:kinsoku/>
              <w:wordWrap/>
              <w:overflowPunct/>
              <w:topLinePunct w:val="0"/>
              <w:autoSpaceDE/>
              <w:autoSpaceDN/>
              <w:bidi w:val="0"/>
              <w:adjustRightInd/>
              <w:spacing w:line="3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具有管道工职业技能证书的，每人得2分，最高得4分；</w:t>
            </w:r>
          </w:p>
          <w:p w14:paraId="4B1289D1">
            <w:pPr>
              <w:keepNext w:val="0"/>
              <w:keepLines w:val="0"/>
              <w:pageBreakBefore w:val="0"/>
              <w:widowControl w:val="0"/>
              <w:kinsoku/>
              <w:wordWrap/>
              <w:overflowPunct/>
              <w:topLinePunct w:val="0"/>
              <w:autoSpaceDE/>
              <w:autoSpaceDN/>
              <w:bidi w:val="0"/>
              <w:adjustRightInd/>
              <w:spacing w:line="3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具有专职安全生产管理人员（C证）的，每人得1分，最高得1分；</w:t>
            </w:r>
          </w:p>
          <w:p w14:paraId="5FA2EAE3">
            <w:pPr>
              <w:keepNext w:val="0"/>
              <w:keepLines w:val="0"/>
              <w:pageBreakBefore w:val="0"/>
              <w:widowControl w:val="0"/>
              <w:kinsoku/>
              <w:wordWrap/>
              <w:overflowPunct/>
              <w:topLinePunct w:val="0"/>
              <w:autoSpaceDE/>
              <w:autoSpaceDN/>
              <w:bidi w:val="0"/>
              <w:adjustRightInd/>
              <w:spacing w:line="3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具有有毒有害有限空间作业证的，每人得1分，最高得1分。</w:t>
            </w:r>
          </w:p>
          <w:p w14:paraId="1BDD27AF">
            <w:pPr>
              <w:keepNext w:val="0"/>
              <w:keepLines w:val="0"/>
              <w:pageBreakBefore w:val="0"/>
              <w:widowControl w:val="0"/>
              <w:kinsoku/>
              <w:wordWrap/>
              <w:overflowPunct/>
              <w:topLinePunct w:val="0"/>
              <w:autoSpaceDE/>
              <w:autoSpaceDN/>
              <w:bidi w:val="0"/>
              <w:adjustRightInd/>
              <w:spacing w:line="3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注：每人只计一次分；一人多证的，只计其中得分最高的证书，不累加计分。需按上述要求提供相关人员相关证书复印件以及投标人为其缴纳的近三个月社保证明（社保缴纳证明以社保机构出具的社保证明为准）并加盖投标人公章，不提供或提供不全的不得分。</w:t>
            </w:r>
          </w:p>
        </w:tc>
        <w:tc>
          <w:tcPr>
            <w:tcW w:w="755" w:type="dxa"/>
            <w:tcBorders>
              <w:tl2br w:val="nil"/>
              <w:tr2bl w:val="nil"/>
            </w:tcBorders>
            <w:shd w:val="clear" w:color="auto" w:fill="auto"/>
            <w:noWrap w:val="0"/>
            <w:vAlign w:val="center"/>
          </w:tcPr>
          <w:p w14:paraId="09E2A2FA">
            <w:pPr>
              <w:keepNext w:val="0"/>
              <w:keepLines w:val="0"/>
              <w:pageBreakBefore w:val="0"/>
              <w:widowControl w:val="0"/>
              <w:tabs>
                <w:tab w:val="left" w:pos="0"/>
              </w:tabs>
              <w:kinsoku/>
              <w:wordWrap/>
              <w:overflowPunct/>
              <w:topLinePunct w:val="0"/>
              <w:autoSpaceDE/>
              <w:autoSpaceDN/>
              <w:bidi w:val="0"/>
              <w:snapToGrid w:val="0"/>
              <w:spacing w:line="340" w:lineRule="exact"/>
              <w:jc w:val="center"/>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16分</w:t>
            </w:r>
          </w:p>
        </w:tc>
      </w:tr>
      <w:tr w14:paraId="2299218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729" w:type="dxa"/>
            <w:tcBorders>
              <w:tl2br w:val="nil"/>
              <w:tr2bl w:val="nil"/>
            </w:tcBorders>
            <w:shd w:val="clear" w:color="auto" w:fill="auto"/>
            <w:noWrap w:val="0"/>
            <w:vAlign w:val="center"/>
          </w:tcPr>
          <w:p w14:paraId="01C6175F">
            <w:pPr>
              <w:keepNext w:val="0"/>
              <w:keepLines w:val="0"/>
              <w:pageBreakBefore w:val="0"/>
              <w:widowControl w:val="0"/>
              <w:tabs>
                <w:tab w:val="left" w:pos="0"/>
              </w:tabs>
              <w:kinsoku/>
              <w:wordWrap/>
              <w:overflowPunct/>
              <w:topLinePunct w:val="0"/>
              <w:autoSpaceDE/>
              <w:autoSpaceDN/>
              <w:bidi w:val="0"/>
              <w:snapToGrid w:val="0"/>
              <w:spacing w:line="340" w:lineRule="exact"/>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rPr>
              <w:t>4</w:t>
            </w:r>
          </w:p>
        </w:tc>
        <w:tc>
          <w:tcPr>
            <w:tcW w:w="1275" w:type="dxa"/>
            <w:tcBorders>
              <w:tl2br w:val="nil"/>
              <w:tr2bl w:val="nil"/>
            </w:tcBorders>
            <w:shd w:val="clear" w:color="auto" w:fill="auto"/>
            <w:noWrap w:val="0"/>
            <w:vAlign w:val="center"/>
          </w:tcPr>
          <w:p w14:paraId="0E9B7A0E">
            <w:pPr>
              <w:pStyle w:val="2"/>
              <w:keepNext w:val="0"/>
              <w:keepLines w:val="0"/>
              <w:pageBreakBefore w:val="0"/>
              <w:widowControl w:val="0"/>
              <w:kinsoku/>
              <w:wordWrap/>
              <w:overflowPunct/>
              <w:topLinePunct w:val="0"/>
              <w:autoSpaceDE/>
              <w:autoSpaceDN/>
              <w:bidi w:val="0"/>
              <w:spacing w:line="340" w:lineRule="exact"/>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设备配备</w:t>
            </w:r>
          </w:p>
        </w:tc>
        <w:tc>
          <w:tcPr>
            <w:tcW w:w="7358" w:type="dxa"/>
            <w:tcBorders>
              <w:tl2br w:val="nil"/>
              <w:tr2bl w:val="nil"/>
            </w:tcBorders>
            <w:shd w:val="clear" w:color="auto" w:fill="auto"/>
            <w:noWrap w:val="0"/>
            <w:vAlign w:val="center"/>
          </w:tcPr>
          <w:p w14:paraId="0D7399E9">
            <w:pPr>
              <w:pStyle w:val="2"/>
              <w:keepNext w:val="0"/>
              <w:keepLines w:val="0"/>
              <w:pageBreakBefore w:val="0"/>
              <w:widowControl w:val="0"/>
              <w:kinsoku/>
              <w:wordWrap/>
              <w:overflowPunct/>
              <w:topLinePunct w:val="0"/>
              <w:autoSpaceDE/>
              <w:autoSpaceDN/>
              <w:bidi w:val="0"/>
              <w:spacing w:line="340" w:lineRule="exact"/>
              <w:rPr>
                <w:rFonts w:hint="eastAsia" w:ascii="仿宋" w:hAnsi="仿宋" w:eastAsia="仿宋" w:cs="宋体"/>
                <w:bCs/>
                <w:color w:val="auto"/>
                <w:sz w:val="24"/>
                <w:highlight w:val="none"/>
              </w:rPr>
            </w:pPr>
            <w:r>
              <w:rPr>
                <w:rFonts w:hint="eastAsia" w:ascii="仿宋" w:hAnsi="仿宋" w:eastAsia="仿宋" w:cs="宋体"/>
                <w:bCs/>
                <w:color w:val="auto"/>
                <w:sz w:val="24"/>
                <w:highlight w:val="none"/>
              </w:rPr>
              <w:t>拟投入本项目设备：</w:t>
            </w:r>
          </w:p>
          <w:p w14:paraId="7E22E8D1">
            <w:pPr>
              <w:pStyle w:val="2"/>
              <w:keepNext w:val="0"/>
              <w:keepLines w:val="0"/>
              <w:pageBreakBefore w:val="0"/>
              <w:widowControl w:val="0"/>
              <w:kinsoku/>
              <w:wordWrap/>
              <w:overflowPunct/>
              <w:topLinePunct w:val="0"/>
              <w:autoSpaceDE/>
              <w:autoSpaceDN/>
              <w:bidi w:val="0"/>
              <w:spacing w:line="340" w:lineRule="exact"/>
              <w:rPr>
                <w:rFonts w:hint="eastAsia" w:ascii="仿宋" w:hAnsi="仿宋" w:eastAsia="仿宋" w:cs="宋体"/>
                <w:bCs/>
                <w:color w:val="auto"/>
                <w:sz w:val="24"/>
                <w:highlight w:val="none"/>
              </w:rPr>
            </w:pPr>
            <w:r>
              <w:rPr>
                <w:rFonts w:hint="eastAsia" w:ascii="仿宋" w:hAnsi="仿宋" w:eastAsia="仿宋" w:cs="宋体"/>
                <w:bCs/>
                <w:color w:val="auto"/>
                <w:sz w:val="24"/>
                <w:highlight w:val="none"/>
              </w:rPr>
              <w:t>1</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rPr>
              <w:t>配备有吸污车2辆（1辆核定载质量5.5吨（含）以上、1辆核定载质量1.5吨（含）以上）的，得4分；</w:t>
            </w:r>
          </w:p>
          <w:p w14:paraId="060BC65A">
            <w:pPr>
              <w:pStyle w:val="2"/>
              <w:keepNext w:val="0"/>
              <w:keepLines w:val="0"/>
              <w:pageBreakBefore w:val="0"/>
              <w:widowControl w:val="0"/>
              <w:kinsoku/>
              <w:wordWrap/>
              <w:overflowPunct/>
              <w:topLinePunct w:val="0"/>
              <w:autoSpaceDE/>
              <w:autoSpaceDN/>
              <w:bidi w:val="0"/>
              <w:spacing w:line="340" w:lineRule="exact"/>
              <w:rPr>
                <w:rFonts w:hint="eastAsia" w:ascii="仿宋" w:hAnsi="仿宋" w:eastAsia="仿宋" w:cs="宋体"/>
                <w:bCs/>
                <w:color w:val="auto"/>
                <w:sz w:val="24"/>
                <w:highlight w:val="none"/>
              </w:rPr>
            </w:pPr>
            <w:r>
              <w:rPr>
                <w:rFonts w:hint="eastAsia" w:ascii="仿宋" w:hAnsi="仿宋" w:eastAsia="仿宋" w:cs="宋体"/>
                <w:bCs/>
                <w:color w:val="auto"/>
                <w:sz w:val="24"/>
                <w:highlight w:val="none"/>
              </w:rPr>
              <w:t>2</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rPr>
              <w:t>配备CCTV管道检测设备的，得2分；</w:t>
            </w:r>
          </w:p>
          <w:p w14:paraId="200605E8">
            <w:pPr>
              <w:pStyle w:val="2"/>
              <w:keepNext w:val="0"/>
              <w:keepLines w:val="0"/>
              <w:pageBreakBefore w:val="0"/>
              <w:widowControl w:val="0"/>
              <w:kinsoku/>
              <w:wordWrap/>
              <w:overflowPunct/>
              <w:topLinePunct w:val="0"/>
              <w:autoSpaceDE/>
              <w:autoSpaceDN/>
              <w:bidi w:val="0"/>
              <w:spacing w:line="340" w:lineRule="exact"/>
              <w:rPr>
                <w:rFonts w:hint="eastAsia" w:ascii="仿宋" w:hAnsi="仿宋" w:eastAsia="仿宋" w:cs="宋体"/>
                <w:bCs/>
                <w:color w:val="auto"/>
                <w:sz w:val="24"/>
                <w:highlight w:val="none"/>
              </w:rPr>
            </w:pPr>
            <w:r>
              <w:rPr>
                <w:rFonts w:hint="eastAsia" w:ascii="仿宋" w:hAnsi="仿宋" w:eastAsia="仿宋" w:cs="宋体"/>
                <w:bCs/>
                <w:color w:val="auto"/>
                <w:sz w:val="24"/>
                <w:highlight w:val="none"/>
              </w:rPr>
              <w:t>3</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rPr>
              <w:t>配备管道内窥镜设备的，得2分；</w:t>
            </w:r>
          </w:p>
          <w:p w14:paraId="3C6A0A5A">
            <w:pPr>
              <w:pStyle w:val="2"/>
              <w:keepNext w:val="0"/>
              <w:keepLines w:val="0"/>
              <w:pageBreakBefore w:val="0"/>
              <w:widowControl w:val="0"/>
              <w:kinsoku/>
              <w:wordWrap/>
              <w:overflowPunct/>
              <w:topLinePunct w:val="0"/>
              <w:autoSpaceDE/>
              <w:autoSpaceDN/>
              <w:bidi w:val="0"/>
              <w:spacing w:line="340" w:lineRule="exact"/>
              <w:rPr>
                <w:rFonts w:hint="eastAsia" w:ascii="仿宋" w:hAnsi="仿宋" w:eastAsia="仿宋" w:cs="宋体"/>
                <w:bCs/>
                <w:color w:val="auto"/>
                <w:sz w:val="24"/>
                <w:highlight w:val="none"/>
              </w:rPr>
            </w:pPr>
            <w:r>
              <w:rPr>
                <w:rFonts w:hint="eastAsia" w:ascii="仿宋" w:hAnsi="仿宋" w:eastAsia="仿宋" w:cs="宋体"/>
                <w:bCs/>
                <w:color w:val="auto"/>
                <w:sz w:val="24"/>
                <w:highlight w:val="none"/>
              </w:rPr>
              <w:t>4</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rPr>
              <w:t>配备管道潜望镜（QV）设备的，得2分；</w:t>
            </w:r>
          </w:p>
          <w:p w14:paraId="40D67F16">
            <w:pPr>
              <w:pStyle w:val="2"/>
              <w:keepNext w:val="0"/>
              <w:keepLines w:val="0"/>
              <w:pageBreakBefore w:val="0"/>
              <w:widowControl w:val="0"/>
              <w:kinsoku/>
              <w:wordWrap/>
              <w:overflowPunct/>
              <w:topLinePunct w:val="0"/>
              <w:autoSpaceDE/>
              <w:autoSpaceDN/>
              <w:bidi w:val="0"/>
              <w:spacing w:line="340" w:lineRule="exact"/>
              <w:rPr>
                <w:rFonts w:hint="eastAsia" w:ascii="仿宋" w:hAnsi="仿宋" w:eastAsia="仿宋" w:cs="宋体"/>
                <w:bCs/>
                <w:color w:val="auto"/>
                <w:sz w:val="24"/>
                <w:highlight w:val="none"/>
              </w:rPr>
            </w:pPr>
            <w:r>
              <w:rPr>
                <w:rFonts w:hint="eastAsia" w:ascii="仿宋" w:hAnsi="仿宋" w:eastAsia="仿宋" w:cs="宋体"/>
                <w:bCs/>
                <w:color w:val="auto"/>
                <w:sz w:val="24"/>
                <w:highlight w:val="none"/>
              </w:rPr>
              <w:t>5</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rPr>
              <w:t>配备管道疏通车的，得2分；</w:t>
            </w:r>
          </w:p>
          <w:p w14:paraId="2265A614">
            <w:pPr>
              <w:pStyle w:val="2"/>
              <w:keepNext w:val="0"/>
              <w:keepLines w:val="0"/>
              <w:pageBreakBefore w:val="0"/>
              <w:widowControl w:val="0"/>
              <w:kinsoku/>
              <w:wordWrap/>
              <w:overflowPunct/>
              <w:topLinePunct w:val="0"/>
              <w:autoSpaceDE/>
              <w:autoSpaceDN/>
              <w:bidi w:val="0"/>
              <w:spacing w:line="340" w:lineRule="exact"/>
              <w:rPr>
                <w:rFonts w:hint="eastAsia" w:ascii="仿宋" w:hAnsi="仿宋" w:eastAsia="仿宋" w:cs="宋体"/>
                <w:bCs/>
                <w:color w:val="auto"/>
                <w:sz w:val="24"/>
                <w:highlight w:val="none"/>
              </w:rPr>
            </w:pPr>
            <w:r>
              <w:rPr>
                <w:rFonts w:hint="eastAsia" w:ascii="仿宋" w:hAnsi="仿宋" w:eastAsia="仿宋" w:cs="宋体"/>
                <w:bCs/>
                <w:color w:val="auto"/>
                <w:sz w:val="24"/>
                <w:highlight w:val="none"/>
              </w:rPr>
              <w:t>6</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rPr>
              <w:t>配备毒气检测仪的，得2分。</w:t>
            </w:r>
          </w:p>
          <w:p w14:paraId="7DD51CD2">
            <w:pPr>
              <w:pStyle w:val="2"/>
              <w:keepNext w:val="0"/>
              <w:keepLines w:val="0"/>
              <w:pageBreakBefore w:val="0"/>
              <w:widowControl w:val="0"/>
              <w:kinsoku/>
              <w:wordWrap/>
              <w:overflowPunct/>
              <w:topLinePunct w:val="0"/>
              <w:autoSpaceDE/>
              <w:autoSpaceDN/>
              <w:bidi w:val="0"/>
              <w:spacing w:line="340" w:lineRule="exact"/>
              <w:rPr>
                <w:rFonts w:hint="eastAsia" w:ascii="Times New Roman" w:hAnsi="Times New Roman" w:eastAsia="宋体" w:cs="Times New Roman"/>
                <w:color w:val="auto"/>
                <w:kern w:val="2"/>
                <w:sz w:val="21"/>
                <w:szCs w:val="24"/>
                <w:highlight w:val="none"/>
                <w:lang w:val="en-US" w:eastAsia="zh-CN" w:bidi="ar-SA"/>
              </w:rPr>
            </w:pPr>
            <w:r>
              <w:rPr>
                <w:rFonts w:hint="eastAsia" w:ascii="仿宋" w:hAnsi="仿宋" w:eastAsia="仿宋" w:cs="仿宋"/>
                <w:bCs/>
                <w:color w:val="auto"/>
                <w:sz w:val="24"/>
                <w:szCs w:val="24"/>
                <w:highlight w:val="none"/>
              </w:rPr>
              <w:t>注：</w:t>
            </w:r>
            <w:r>
              <w:rPr>
                <w:rFonts w:hint="eastAsia" w:ascii="仿宋" w:hAnsi="仿宋" w:eastAsia="仿宋" w:cs="宋体"/>
                <w:bCs/>
                <w:color w:val="auto"/>
                <w:sz w:val="24"/>
                <w:highlight w:val="none"/>
              </w:rPr>
              <w:t>若车辆或设备为投标人自有的：车辆提供行驶证复印件，其它设备提供购置发票复印件；若车辆或设备为投标人租赁的：车辆提供租赁合同复印件以及车辆行驶证复印件（行驶证所有人必须和租赁合同出租方一致），其它设备提供租赁合同复印件；以上证明材料均需加盖投标人公章，</w:t>
            </w:r>
            <w:r>
              <w:rPr>
                <w:rFonts w:hint="eastAsia" w:ascii="仿宋" w:hAnsi="仿宋" w:eastAsia="仿宋" w:cs="仿宋"/>
                <w:bCs/>
                <w:color w:val="auto"/>
                <w:sz w:val="24"/>
                <w:szCs w:val="24"/>
                <w:highlight w:val="none"/>
              </w:rPr>
              <w:t>不提供或提供不全的不得分</w:t>
            </w:r>
            <w:r>
              <w:rPr>
                <w:rFonts w:hint="eastAsia" w:ascii="仿宋" w:hAnsi="仿宋" w:eastAsia="仿宋" w:cs="宋体"/>
                <w:bCs/>
                <w:color w:val="auto"/>
                <w:sz w:val="24"/>
                <w:highlight w:val="none"/>
              </w:rPr>
              <w:t>。）。</w:t>
            </w:r>
          </w:p>
        </w:tc>
        <w:tc>
          <w:tcPr>
            <w:tcW w:w="755" w:type="dxa"/>
            <w:tcBorders>
              <w:tl2br w:val="nil"/>
              <w:tr2bl w:val="nil"/>
            </w:tcBorders>
            <w:shd w:val="clear" w:color="auto" w:fill="auto"/>
            <w:noWrap w:val="0"/>
            <w:vAlign w:val="center"/>
          </w:tcPr>
          <w:p w14:paraId="247C5EC1">
            <w:pPr>
              <w:keepNext w:val="0"/>
              <w:keepLines w:val="0"/>
              <w:pageBreakBefore w:val="0"/>
              <w:widowControl w:val="0"/>
              <w:tabs>
                <w:tab w:val="left" w:pos="0"/>
              </w:tabs>
              <w:kinsoku/>
              <w:wordWrap/>
              <w:overflowPunct/>
              <w:topLinePunct w:val="0"/>
              <w:autoSpaceDE/>
              <w:autoSpaceDN/>
              <w:bidi w:val="0"/>
              <w:snapToGrid w:val="0"/>
              <w:spacing w:line="340" w:lineRule="exact"/>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val="en-US" w:eastAsia="zh-CN"/>
              </w:rPr>
              <w:t>4</w:t>
            </w:r>
            <w:r>
              <w:rPr>
                <w:rFonts w:hint="eastAsia" w:ascii="仿宋" w:hAnsi="仿宋" w:eastAsia="仿宋" w:cs="仿宋"/>
                <w:b/>
                <w:bCs/>
                <w:color w:val="auto"/>
                <w:sz w:val="24"/>
                <w:szCs w:val="24"/>
                <w:highlight w:val="none"/>
              </w:rPr>
              <w:t>分</w:t>
            </w:r>
          </w:p>
        </w:tc>
      </w:tr>
      <w:tr w14:paraId="4C0010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69" w:hRule="atLeast"/>
          <w:jc w:val="center"/>
        </w:trPr>
        <w:tc>
          <w:tcPr>
            <w:tcW w:w="729" w:type="dxa"/>
            <w:vMerge w:val="restart"/>
            <w:tcBorders>
              <w:tl2br w:val="nil"/>
              <w:tr2bl w:val="nil"/>
            </w:tcBorders>
            <w:noWrap w:val="0"/>
            <w:vAlign w:val="center"/>
          </w:tcPr>
          <w:p w14:paraId="1B5C313A">
            <w:pPr>
              <w:keepNext w:val="0"/>
              <w:keepLines w:val="0"/>
              <w:pageBreakBefore w:val="0"/>
              <w:widowControl w:val="0"/>
              <w:kinsoku/>
              <w:wordWrap/>
              <w:overflowPunct/>
              <w:topLinePunct w:val="0"/>
              <w:autoSpaceDE/>
              <w:autoSpaceDN/>
              <w:bidi w:val="0"/>
              <w:snapToGrid/>
              <w:spacing w:line="340" w:lineRule="exact"/>
              <w:jc w:val="center"/>
              <w:textAlignment w:val="auto"/>
              <w:rPr>
                <w:rFonts w:hint="default" w:ascii="仿宋" w:hAnsi="仿宋" w:eastAsia="仿宋" w:cs="仿宋"/>
                <w:b/>
                <w:bCs w:val="0"/>
                <w:color w:val="auto"/>
                <w:sz w:val="24"/>
                <w:szCs w:val="24"/>
                <w:highlight w:val="none"/>
                <w:lang w:val="en-US" w:eastAsia="zh-CN"/>
              </w:rPr>
            </w:pPr>
            <w:r>
              <w:rPr>
                <w:rFonts w:hint="eastAsia" w:ascii="仿宋" w:hAnsi="仿宋" w:eastAsia="仿宋" w:cs="仿宋"/>
                <w:b/>
                <w:bCs w:val="0"/>
                <w:color w:val="auto"/>
                <w:sz w:val="24"/>
                <w:szCs w:val="24"/>
                <w:highlight w:val="none"/>
                <w:lang w:val="en-US" w:eastAsia="zh-CN"/>
              </w:rPr>
              <w:t>5</w:t>
            </w:r>
          </w:p>
        </w:tc>
        <w:tc>
          <w:tcPr>
            <w:tcW w:w="1275" w:type="dxa"/>
            <w:vMerge w:val="restart"/>
            <w:tcBorders>
              <w:tl2br w:val="nil"/>
              <w:tr2bl w:val="nil"/>
            </w:tcBorders>
            <w:noWrap w:val="0"/>
            <w:vAlign w:val="center"/>
          </w:tcPr>
          <w:p w14:paraId="16F24E1D">
            <w:pPr>
              <w:keepNext w:val="0"/>
              <w:keepLines w:val="0"/>
              <w:pageBreakBefore w:val="0"/>
              <w:widowControl w:val="0"/>
              <w:kinsoku/>
              <w:wordWrap/>
              <w:overflowPunct/>
              <w:topLinePunct w:val="0"/>
              <w:autoSpaceDE/>
              <w:autoSpaceDN/>
              <w:bidi w:val="0"/>
              <w:snapToGrid/>
              <w:spacing w:line="340" w:lineRule="exact"/>
              <w:jc w:val="center"/>
              <w:textAlignment w:val="auto"/>
              <w:rPr>
                <w:rFonts w:hint="eastAsia" w:ascii="仿宋" w:hAnsi="仿宋" w:eastAsia="仿宋" w:cs="仿宋"/>
                <w:b/>
                <w:bCs w:val="0"/>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项目</w:t>
            </w:r>
            <w:r>
              <w:rPr>
                <w:rFonts w:hint="eastAsia" w:ascii="仿宋" w:hAnsi="仿宋" w:eastAsia="仿宋" w:cs="仿宋"/>
                <w:b/>
                <w:bCs/>
                <w:color w:val="auto"/>
                <w:sz w:val="24"/>
                <w:szCs w:val="24"/>
                <w:highlight w:val="none"/>
              </w:rPr>
              <w:t>实施方案</w:t>
            </w:r>
          </w:p>
        </w:tc>
        <w:tc>
          <w:tcPr>
            <w:tcW w:w="7358" w:type="dxa"/>
            <w:tcBorders>
              <w:tl2br w:val="nil"/>
              <w:tr2bl w:val="nil"/>
            </w:tcBorders>
            <w:noWrap w:val="0"/>
            <w:vAlign w:val="center"/>
          </w:tcPr>
          <w:p w14:paraId="73BE0DD9">
            <w:pPr>
              <w:pStyle w:val="2"/>
              <w:keepNext w:val="0"/>
              <w:keepLines w:val="0"/>
              <w:pageBreakBefore w:val="0"/>
              <w:widowControl w:val="0"/>
              <w:kinsoku/>
              <w:wordWrap/>
              <w:overflowPunct/>
              <w:topLinePunct w:val="0"/>
              <w:autoSpaceDE/>
              <w:autoSpaceDN/>
              <w:bidi w:val="0"/>
              <w:spacing w:line="340" w:lineRule="exact"/>
              <w:rPr>
                <w:rFonts w:hint="eastAsia" w:ascii="仿宋" w:hAnsi="仿宋" w:eastAsia="仿宋" w:cs="宋体"/>
                <w:bCs/>
                <w:color w:val="auto"/>
                <w:sz w:val="24"/>
                <w:highlight w:val="none"/>
                <w:lang w:eastAsia="zh-CN"/>
              </w:rPr>
            </w:pPr>
            <w:r>
              <w:rPr>
                <w:rFonts w:hint="eastAsia" w:ascii="仿宋" w:hAnsi="仿宋" w:eastAsia="仿宋" w:cs="宋体"/>
                <w:bCs/>
                <w:color w:val="auto"/>
                <w:sz w:val="24"/>
                <w:highlight w:val="none"/>
              </w:rPr>
              <w:t>管网及终端检测方案：根据投标人提供的管网及终端检测方案（包括检测内容、检测方式方法、异常情况反馈措施等）</w:t>
            </w:r>
            <w:r>
              <w:rPr>
                <w:rFonts w:hint="eastAsia" w:ascii="仿宋" w:hAnsi="仿宋" w:eastAsia="仿宋" w:cs="宋体"/>
                <w:bCs/>
                <w:color w:val="auto"/>
                <w:sz w:val="24"/>
                <w:highlight w:val="none"/>
                <w:lang w:eastAsia="zh-CN"/>
              </w:rPr>
              <w:t>，由评审专家进行综合评分。</w:t>
            </w:r>
          </w:p>
          <w:p w14:paraId="4BDD7C23">
            <w:pPr>
              <w:pStyle w:val="2"/>
              <w:keepNext w:val="0"/>
              <w:keepLines w:val="0"/>
              <w:pageBreakBefore w:val="0"/>
              <w:widowControl w:val="0"/>
              <w:kinsoku/>
              <w:wordWrap/>
              <w:overflowPunct/>
              <w:topLinePunct w:val="0"/>
              <w:autoSpaceDE/>
              <w:autoSpaceDN/>
              <w:bidi w:val="0"/>
              <w:spacing w:line="340" w:lineRule="exact"/>
              <w:rPr>
                <w:rFonts w:hint="eastAsia" w:ascii="仿宋" w:hAnsi="仿宋" w:eastAsia="仿宋" w:cs="宋体"/>
                <w:bCs/>
                <w:color w:val="auto"/>
                <w:sz w:val="24"/>
                <w:highlight w:val="none"/>
                <w:lang w:val="en-US" w:eastAsia="zh-CN"/>
              </w:rPr>
            </w:pPr>
            <w:r>
              <w:rPr>
                <w:rFonts w:hint="eastAsia" w:ascii="仿宋" w:hAnsi="仿宋" w:eastAsia="仿宋" w:cs="宋体"/>
                <w:bCs/>
                <w:color w:val="auto"/>
                <w:sz w:val="24"/>
                <w:highlight w:val="none"/>
                <w:lang w:val="en-US" w:eastAsia="zh-CN"/>
              </w:rPr>
              <w:t>注：</w:t>
            </w:r>
            <w:r>
              <w:rPr>
                <w:rFonts w:hint="eastAsia" w:ascii="仿宋" w:hAnsi="仿宋" w:eastAsia="仿宋" w:cs="宋体"/>
                <w:bCs/>
                <w:color w:val="auto"/>
                <w:sz w:val="24"/>
                <w:highlight w:val="none"/>
              </w:rPr>
              <w:t>内容阐述全面且合理可行的得</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lang w:val="en-US" w:eastAsia="zh-CN"/>
              </w:rPr>
              <w:t>4</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lang w:val="en-US" w:eastAsia="zh-CN"/>
              </w:rPr>
              <w:t>7</w:t>
            </w:r>
            <w:r>
              <w:rPr>
                <w:rFonts w:hint="eastAsia" w:ascii="仿宋" w:hAnsi="仿宋" w:eastAsia="仿宋" w:cs="宋体"/>
                <w:bCs/>
                <w:color w:val="auto"/>
                <w:sz w:val="24"/>
                <w:highlight w:val="none"/>
              </w:rPr>
              <w:t>]分；内容阐述较为全面、基本合理可行的得</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lang w:val="en-US" w:eastAsia="zh-CN"/>
              </w:rPr>
              <w:t>2</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lang w:val="en-US" w:eastAsia="zh-CN"/>
              </w:rPr>
              <w:t>4</w:t>
            </w:r>
            <w:r>
              <w:rPr>
                <w:rFonts w:hint="eastAsia" w:ascii="仿宋" w:hAnsi="仿宋" w:eastAsia="仿宋" w:cs="宋体"/>
                <w:bCs/>
                <w:color w:val="auto"/>
                <w:sz w:val="24"/>
                <w:highlight w:val="none"/>
              </w:rPr>
              <w:t>]分；内容阐述粗略、缺陷较多，合理可行性较欠缺的得</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lang w:val="en-US" w:eastAsia="zh-CN"/>
              </w:rPr>
              <w:t>0，2</w:t>
            </w:r>
            <w:r>
              <w:rPr>
                <w:rFonts w:hint="eastAsia" w:ascii="仿宋" w:hAnsi="仿宋" w:eastAsia="仿宋" w:cs="宋体"/>
                <w:bCs/>
                <w:color w:val="auto"/>
                <w:sz w:val="24"/>
                <w:highlight w:val="none"/>
              </w:rPr>
              <w:t>]分；无相关内容阐述或不符合项目的不得分。</w:t>
            </w:r>
          </w:p>
        </w:tc>
        <w:tc>
          <w:tcPr>
            <w:tcW w:w="755" w:type="dxa"/>
            <w:tcBorders>
              <w:tl2br w:val="nil"/>
              <w:tr2bl w:val="nil"/>
            </w:tcBorders>
            <w:noWrap w:val="0"/>
            <w:vAlign w:val="center"/>
          </w:tcPr>
          <w:p w14:paraId="6BC8840E">
            <w:pPr>
              <w:keepNext w:val="0"/>
              <w:keepLines w:val="0"/>
              <w:pageBreakBefore w:val="0"/>
              <w:widowControl w:val="0"/>
              <w:kinsoku/>
              <w:wordWrap/>
              <w:overflowPunct/>
              <w:topLinePunct w:val="0"/>
              <w:autoSpaceDE/>
              <w:autoSpaceDN/>
              <w:bidi w:val="0"/>
              <w:spacing w:line="340" w:lineRule="exact"/>
              <w:jc w:val="center"/>
              <w:rPr>
                <w:rFonts w:hint="default" w:ascii="仿宋" w:hAnsi="仿宋" w:eastAsia="仿宋" w:cs="仿宋"/>
                <w:b/>
                <w:bCs w:val="0"/>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7</w:t>
            </w:r>
            <w:r>
              <w:rPr>
                <w:rFonts w:hint="eastAsia" w:ascii="仿宋" w:hAnsi="仿宋" w:eastAsia="仿宋" w:cs="仿宋"/>
                <w:b/>
                <w:bCs/>
                <w:color w:val="auto"/>
                <w:sz w:val="24"/>
                <w:szCs w:val="24"/>
                <w:highlight w:val="none"/>
              </w:rPr>
              <w:t>分</w:t>
            </w:r>
          </w:p>
        </w:tc>
      </w:tr>
      <w:tr w14:paraId="2AE9FC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4" w:hRule="atLeast"/>
          <w:jc w:val="center"/>
        </w:trPr>
        <w:tc>
          <w:tcPr>
            <w:tcW w:w="729" w:type="dxa"/>
            <w:vMerge w:val="continue"/>
            <w:tcBorders>
              <w:tl2br w:val="nil"/>
              <w:tr2bl w:val="nil"/>
            </w:tcBorders>
            <w:noWrap w:val="0"/>
            <w:vAlign w:val="center"/>
          </w:tcPr>
          <w:p w14:paraId="60D84788">
            <w:pPr>
              <w:keepNext w:val="0"/>
              <w:keepLines w:val="0"/>
              <w:pageBreakBefore w:val="0"/>
              <w:widowControl w:val="0"/>
              <w:kinsoku/>
              <w:wordWrap/>
              <w:overflowPunct/>
              <w:topLinePunct w:val="0"/>
              <w:autoSpaceDE/>
              <w:autoSpaceDN/>
              <w:bidi w:val="0"/>
              <w:snapToGrid/>
              <w:spacing w:line="340" w:lineRule="exact"/>
              <w:jc w:val="center"/>
              <w:textAlignment w:val="auto"/>
              <w:rPr>
                <w:rFonts w:hint="eastAsia" w:ascii="仿宋" w:hAnsi="仿宋" w:eastAsia="仿宋" w:cs="仿宋"/>
                <w:b/>
                <w:bCs w:val="0"/>
                <w:color w:val="auto"/>
                <w:sz w:val="24"/>
                <w:szCs w:val="24"/>
                <w:highlight w:val="none"/>
                <w:lang w:val="en-US" w:eastAsia="zh-CN"/>
              </w:rPr>
            </w:pPr>
          </w:p>
        </w:tc>
        <w:tc>
          <w:tcPr>
            <w:tcW w:w="1275" w:type="dxa"/>
            <w:vMerge w:val="continue"/>
            <w:tcBorders>
              <w:tl2br w:val="nil"/>
              <w:tr2bl w:val="nil"/>
            </w:tcBorders>
            <w:noWrap w:val="0"/>
            <w:vAlign w:val="center"/>
          </w:tcPr>
          <w:p w14:paraId="68724689">
            <w:pPr>
              <w:keepNext w:val="0"/>
              <w:keepLines w:val="0"/>
              <w:pageBreakBefore w:val="0"/>
              <w:widowControl w:val="0"/>
              <w:kinsoku/>
              <w:wordWrap/>
              <w:overflowPunct/>
              <w:topLinePunct w:val="0"/>
              <w:autoSpaceDE/>
              <w:autoSpaceDN/>
              <w:bidi w:val="0"/>
              <w:snapToGrid/>
              <w:spacing w:line="340" w:lineRule="exact"/>
              <w:jc w:val="center"/>
              <w:textAlignment w:val="auto"/>
              <w:rPr>
                <w:rFonts w:hint="eastAsia" w:ascii="仿宋" w:hAnsi="仿宋" w:eastAsia="仿宋" w:cs="仿宋"/>
                <w:b/>
                <w:bCs/>
                <w:color w:val="auto"/>
                <w:sz w:val="24"/>
                <w:szCs w:val="24"/>
                <w:highlight w:val="none"/>
                <w:lang w:val="en-US" w:eastAsia="zh-CN"/>
              </w:rPr>
            </w:pPr>
          </w:p>
        </w:tc>
        <w:tc>
          <w:tcPr>
            <w:tcW w:w="7358" w:type="dxa"/>
            <w:tcBorders>
              <w:tl2br w:val="nil"/>
              <w:tr2bl w:val="nil"/>
            </w:tcBorders>
            <w:noWrap w:val="0"/>
            <w:vAlign w:val="center"/>
          </w:tcPr>
          <w:p w14:paraId="6B87D93E">
            <w:pPr>
              <w:pStyle w:val="2"/>
              <w:keepNext w:val="0"/>
              <w:keepLines w:val="0"/>
              <w:pageBreakBefore w:val="0"/>
              <w:widowControl w:val="0"/>
              <w:kinsoku/>
              <w:wordWrap/>
              <w:overflowPunct/>
              <w:topLinePunct w:val="0"/>
              <w:autoSpaceDE/>
              <w:autoSpaceDN/>
              <w:bidi w:val="0"/>
              <w:spacing w:line="340" w:lineRule="exact"/>
              <w:rPr>
                <w:rFonts w:hint="eastAsia" w:ascii="仿宋" w:hAnsi="仿宋" w:eastAsia="仿宋" w:cs="宋体"/>
                <w:bCs/>
                <w:color w:val="auto"/>
                <w:sz w:val="24"/>
                <w:highlight w:val="none"/>
                <w:lang w:eastAsia="zh-CN"/>
              </w:rPr>
            </w:pPr>
            <w:r>
              <w:rPr>
                <w:rFonts w:hint="eastAsia" w:ascii="仿宋" w:hAnsi="仿宋" w:eastAsia="仿宋" w:cs="宋体"/>
                <w:bCs/>
                <w:color w:val="auto"/>
                <w:sz w:val="24"/>
                <w:highlight w:val="none"/>
              </w:rPr>
              <w:t>管网及终端修复方案：根据投标人提供的管网及终端修复方案（包括修复工作计划部署、修复方式方法、进度控制措施等）</w:t>
            </w:r>
            <w:r>
              <w:rPr>
                <w:rFonts w:hint="eastAsia" w:ascii="仿宋" w:hAnsi="仿宋" w:eastAsia="仿宋" w:cs="宋体"/>
                <w:bCs/>
                <w:color w:val="auto"/>
                <w:sz w:val="24"/>
                <w:highlight w:val="none"/>
                <w:lang w:eastAsia="zh-CN"/>
              </w:rPr>
              <w:t>，由评审专家进行综合评分。</w:t>
            </w:r>
          </w:p>
          <w:p w14:paraId="77FB1BF1">
            <w:pPr>
              <w:pStyle w:val="2"/>
              <w:keepNext w:val="0"/>
              <w:keepLines w:val="0"/>
              <w:pageBreakBefore w:val="0"/>
              <w:widowControl w:val="0"/>
              <w:kinsoku/>
              <w:wordWrap/>
              <w:overflowPunct/>
              <w:topLinePunct w:val="0"/>
              <w:autoSpaceDE/>
              <w:autoSpaceDN/>
              <w:bidi w:val="0"/>
              <w:spacing w:line="340" w:lineRule="exact"/>
              <w:rPr>
                <w:rFonts w:hint="eastAsia" w:ascii="仿宋" w:hAnsi="仿宋" w:eastAsia="仿宋" w:cs="宋体"/>
                <w:bCs/>
                <w:color w:val="auto"/>
                <w:sz w:val="24"/>
                <w:highlight w:val="none"/>
              </w:rPr>
            </w:pPr>
            <w:r>
              <w:rPr>
                <w:rFonts w:hint="eastAsia" w:ascii="仿宋" w:hAnsi="仿宋" w:eastAsia="仿宋" w:cs="宋体"/>
                <w:bCs/>
                <w:color w:val="auto"/>
                <w:sz w:val="24"/>
                <w:highlight w:val="none"/>
                <w:lang w:val="en-US" w:eastAsia="zh-CN"/>
              </w:rPr>
              <w:t>注：</w:t>
            </w:r>
            <w:r>
              <w:rPr>
                <w:rFonts w:hint="eastAsia" w:ascii="仿宋" w:hAnsi="仿宋" w:eastAsia="仿宋" w:cs="宋体"/>
                <w:bCs/>
                <w:color w:val="auto"/>
                <w:sz w:val="24"/>
                <w:highlight w:val="none"/>
              </w:rPr>
              <w:t>内容阐述全面且合理可行的得</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lang w:val="en-US" w:eastAsia="zh-CN"/>
              </w:rPr>
              <w:t>4</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lang w:val="en-US" w:eastAsia="zh-CN"/>
              </w:rPr>
              <w:t>7</w:t>
            </w:r>
            <w:r>
              <w:rPr>
                <w:rFonts w:hint="eastAsia" w:ascii="仿宋" w:hAnsi="仿宋" w:eastAsia="仿宋" w:cs="宋体"/>
                <w:bCs/>
                <w:color w:val="auto"/>
                <w:sz w:val="24"/>
                <w:highlight w:val="none"/>
              </w:rPr>
              <w:t>]分；内容阐述较为全面、基本合理可行的得</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lang w:val="en-US" w:eastAsia="zh-CN"/>
              </w:rPr>
              <w:t>2</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lang w:val="en-US" w:eastAsia="zh-CN"/>
              </w:rPr>
              <w:t>4</w:t>
            </w:r>
            <w:r>
              <w:rPr>
                <w:rFonts w:hint="eastAsia" w:ascii="仿宋" w:hAnsi="仿宋" w:eastAsia="仿宋" w:cs="宋体"/>
                <w:bCs/>
                <w:color w:val="auto"/>
                <w:sz w:val="24"/>
                <w:highlight w:val="none"/>
              </w:rPr>
              <w:t>]分；内容阐述粗略、缺陷较多，合理可行性较欠缺的得</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lang w:val="en-US" w:eastAsia="zh-CN"/>
              </w:rPr>
              <w:t>0，2</w:t>
            </w:r>
            <w:r>
              <w:rPr>
                <w:rFonts w:hint="eastAsia" w:ascii="仿宋" w:hAnsi="仿宋" w:eastAsia="仿宋" w:cs="宋体"/>
                <w:bCs/>
                <w:color w:val="auto"/>
                <w:sz w:val="24"/>
                <w:highlight w:val="none"/>
              </w:rPr>
              <w:t>]分；无相关内容阐述或不符合项目的不得分。</w:t>
            </w:r>
          </w:p>
        </w:tc>
        <w:tc>
          <w:tcPr>
            <w:tcW w:w="755" w:type="dxa"/>
            <w:tcBorders>
              <w:tl2br w:val="nil"/>
              <w:tr2bl w:val="nil"/>
            </w:tcBorders>
            <w:noWrap w:val="0"/>
            <w:vAlign w:val="center"/>
          </w:tcPr>
          <w:p w14:paraId="6A1397BB">
            <w:pPr>
              <w:keepNext w:val="0"/>
              <w:keepLines w:val="0"/>
              <w:pageBreakBefore w:val="0"/>
              <w:widowControl w:val="0"/>
              <w:kinsoku/>
              <w:wordWrap/>
              <w:overflowPunct/>
              <w:topLinePunct w:val="0"/>
              <w:autoSpaceDE/>
              <w:autoSpaceDN/>
              <w:bidi w:val="0"/>
              <w:spacing w:line="34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7</w:t>
            </w:r>
            <w:r>
              <w:rPr>
                <w:rFonts w:hint="eastAsia" w:ascii="仿宋" w:hAnsi="仿宋" w:eastAsia="仿宋" w:cs="仿宋"/>
                <w:b/>
                <w:bCs/>
                <w:color w:val="auto"/>
                <w:sz w:val="24"/>
                <w:szCs w:val="24"/>
                <w:highlight w:val="none"/>
              </w:rPr>
              <w:t>分</w:t>
            </w:r>
          </w:p>
        </w:tc>
      </w:tr>
      <w:tr w14:paraId="614ECC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69" w:hRule="atLeast"/>
          <w:jc w:val="center"/>
        </w:trPr>
        <w:tc>
          <w:tcPr>
            <w:tcW w:w="729" w:type="dxa"/>
            <w:vMerge w:val="continue"/>
            <w:tcBorders>
              <w:tl2br w:val="nil"/>
              <w:tr2bl w:val="nil"/>
            </w:tcBorders>
            <w:noWrap w:val="0"/>
            <w:vAlign w:val="center"/>
          </w:tcPr>
          <w:p w14:paraId="52EBA89F">
            <w:pPr>
              <w:keepNext w:val="0"/>
              <w:keepLines w:val="0"/>
              <w:pageBreakBefore w:val="0"/>
              <w:widowControl w:val="0"/>
              <w:kinsoku/>
              <w:wordWrap/>
              <w:overflowPunct/>
              <w:topLinePunct w:val="0"/>
              <w:autoSpaceDE/>
              <w:autoSpaceDN/>
              <w:bidi w:val="0"/>
              <w:snapToGrid/>
              <w:spacing w:line="340" w:lineRule="exact"/>
              <w:jc w:val="center"/>
              <w:textAlignment w:val="auto"/>
              <w:rPr>
                <w:rFonts w:hint="eastAsia" w:ascii="仿宋" w:hAnsi="仿宋" w:eastAsia="仿宋" w:cs="仿宋"/>
                <w:b/>
                <w:bCs w:val="0"/>
                <w:color w:val="auto"/>
                <w:sz w:val="24"/>
                <w:szCs w:val="24"/>
                <w:highlight w:val="none"/>
                <w:lang w:val="en-US" w:eastAsia="zh-CN"/>
              </w:rPr>
            </w:pPr>
          </w:p>
        </w:tc>
        <w:tc>
          <w:tcPr>
            <w:tcW w:w="1275" w:type="dxa"/>
            <w:vMerge w:val="continue"/>
            <w:tcBorders>
              <w:tl2br w:val="nil"/>
              <w:tr2bl w:val="nil"/>
            </w:tcBorders>
            <w:noWrap w:val="0"/>
            <w:vAlign w:val="center"/>
          </w:tcPr>
          <w:p w14:paraId="30897710">
            <w:pPr>
              <w:keepNext w:val="0"/>
              <w:keepLines w:val="0"/>
              <w:pageBreakBefore w:val="0"/>
              <w:widowControl w:val="0"/>
              <w:kinsoku/>
              <w:wordWrap/>
              <w:overflowPunct/>
              <w:topLinePunct w:val="0"/>
              <w:autoSpaceDE/>
              <w:autoSpaceDN/>
              <w:bidi w:val="0"/>
              <w:snapToGrid/>
              <w:spacing w:line="340" w:lineRule="exact"/>
              <w:jc w:val="center"/>
              <w:textAlignment w:val="auto"/>
              <w:rPr>
                <w:rFonts w:hint="eastAsia" w:ascii="仿宋" w:hAnsi="仿宋" w:eastAsia="仿宋" w:cs="仿宋"/>
                <w:b/>
                <w:bCs/>
                <w:color w:val="auto"/>
                <w:sz w:val="24"/>
                <w:szCs w:val="24"/>
                <w:highlight w:val="none"/>
                <w:lang w:val="en-US" w:eastAsia="zh-CN"/>
              </w:rPr>
            </w:pPr>
          </w:p>
        </w:tc>
        <w:tc>
          <w:tcPr>
            <w:tcW w:w="7358" w:type="dxa"/>
            <w:tcBorders>
              <w:tl2br w:val="nil"/>
              <w:tr2bl w:val="nil"/>
            </w:tcBorders>
            <w:noWrap w:val="0"/>
            <w:vAlign w:val="center"/>
          </w:tcPr>
          <w:p w14:paraId="69EF4AD8">
            <w:pPr>
              <w:pStyle w:val="2"/>
              <w:keepNext w:val="0"/>
              <w:keepLines w:val="0"/>
              <w:pageBreakBefore w:val="0"/>
              <w:widowControl w:val="0"/>
              <w:kinsoku/>
              <w:wordWrap/>
              <w:overflowPunct/>
              <w:topLinePunct w:val="0"/>
              <w:autoSpaceDE/>
              <w:autoSpaceDN/>
              <w:bidi w:val="0"/>
              <w:spacing w:line="340" w:lineRule="exact"/>
              <w:rPr>
                <w:rFonts w:hint="eastAsia" w:ascii="仿宋" w:hAnsi="仿宋" w:eastAsia="仿宋" w:cs="宋体"/>
                <w:bCs/>
                <w:color w:val="auto"/>
                <w:sz w:val="24"/>
                <w:highlight w:val="none"/>
                <w:lang w:eastAsia="zh-CN"/>
              </w:rPr>
            </w:pPr>
            <w:r>
              <w:rPr>
                <w:rFonts w:hint="eastAsia" w:ascii="仿宋" w:hAnsi="仿宋" w:eastAsia="仿宋" w:cs="宋体"/>
                <w:bCs/>
                <w:color w:val="auto"/>
                <w:sz w:val="24"/>
                <w:highlight w:val="none"/>
              </w:rPr>
              <w:t>应急预案：根据投标人针对运维服务过程中的各类突发应急事件（包括管网突发漏损处理、设备突发故障处理、突发停水（停电）情况处理、防汛抗台等）的应急预案的合理程度及完备程度</w:t>
            </w:r>
            <w:r>
              <w:rPr>
                <w:rFonts w:hint="eastAsia" w:ascii="仿宋" w:hAnsi="仿宋" w:eastAsia="仿宋" w:cs="宋体"/>
                <w:bCs/>
                <w:color w:val="auto"/>
                <w:sz w:val="24"/>
                <w:highlight w:val="none"/>
                <w:lang w:eastAsia="zh-CN"/>
              </w:rPr>
              <w:t>，由评审专家进行综合评分。</w:t>
            </w:r>
          </w:p>
          <w:p w14:paraId="799F1C7A">
            <w:pPr>
              <w:pStyle w:val="2"/>
              <w:keepNext w:val="0"/>
              <w:keepLines w:val="0"/>
              <w:pageBreakBefore w:val="0"/>
              <w:widowControl w:val="0"/>
              <w:kinsoku/>
              <w:wordWrap/>
              <w:overflowPunct/>
              <w:topLinePunct w:val="0"/>
              <w:autoSpaceDE/>
              <w:autoSpaceDN/>
              <w:bidi w:val="0"/>
              <w:spacing w:line="340" w:lineRule="exact"/>
              <w:rPr>
                <w:rFonts w:hint="eastAsia" w:ascii="仿宋" w:hAnsi="仿宋" w:eastAsia="仿宋" w:cs="宋体"/>
                <w:bCs/>
                <w:color w:val="auto"/>
                <w:sz w:val="24"/>
                <w:highlight w:val="none"/>
              </w:rPr>
            </w:pPr>
            <w:r>
              <w:rPr>
                <w:rFonts w:hint="eastAsia" w:ascii="仿宋" w:hAnsi="仿宋" w:eastAsia="仿宋" w:cs="宋体"/>
                <w:bCs/>
                <w:color w:val="auto"/>
                <w:sz w:val="24"/>
                <w:highlight w:val="none"/>
                <w:lang w:val="en-US" w:eastAsia="zh-CN"/>
              </w:rPr>
              <w:t>注：</w:t>
            </w:r>
            <w:r>
              <w:rPr>
                <w:rFonts w:hint="eastAsia" w:ascii="仿宋" w:hAnsi="仿宋" w:eastAsia="仿宋" w:cs="宋体"/>
                <w:bCs/>
                <w:color w:val="auto"/>
                <w:sz w:val="24"/>
                <w:highlight w:val="none"/>
              </w:rPr>
              <w:t>内容阐述全面且合理可行的得</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lang w:val="en-US" w:eastAsia="zh-CN"/>
              </w:rPr>
              <w:t>4</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rPr>
              <w:t>6]分；内容阐述较为全面、基本合理可行的得</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lang w:val="en-US" w:eastAsia="zh-CN"/>
              </w:rPr>
              <w:t>2，</w:t>
            </w:r>
            <w:r>
              <w:rPr>
                <w:rFonts w:hint="eastAsia" w:ascii="仿宋" w:hAnsi="仿宋" w:eastAsia="仿宋" w:cs="宋体"/>
                <w:bCs/>
                <w:color w:val="auto"/>
                <w:sz w:val="24"/>
                <w:highlight w:val="none"/>
              </w:rPr>
              <w:t>4]分；内容阐述粗略、缺陷较多，合理可行性较欠缺的得</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lang w:val="en-US" w:eastAsia="zh-CN"/>
              </w:rPr>
              <w:t>0，</w:t>
            </w:r>
            <w:r>
              <w:rPr>
                <w:rFonts w:hint="eastAsia" w:ascii="仿宋" w:hAnsi="仿宋" w:eastAsia="仿宋" w:cs="宋体"/>
                <w:bCs/>
                <w:color w:val="auto"/>
                <w:sz w:val="24"/>
                <w:highlight w:val="none"/>
              </w:rPr>
              <w:t>2]分；无相关内容阐述或不符合项目的不得分。</w:t>
            </w:r>
          </w:p>
        </w:tc>
        <w:tc>
          <w:tcPr>
            <w:tcW w:w="755" w:type="dxa"/>
            <w:tcBorders>
              <w:tl2br w:val="nil"/>
              <w:tr2bl w:val="nil"/>
            </w:tcBorders>
            <w:noWrap w:val="0"/>
            <w:vAlign w:val="center"/>
          </w:tcPr>
          <w:p w14:paraId="31486AF1">
            <w:pPr>
              <w:keepNext w:val="0"/>
              <w:keepLines w:val="0"/>
              <w:pageBreakBefore w:val="0"/>
              <w:widowControl w:val="0"/>
              <w:kinsoku/>
              <w:wordWrap/>
              <w:overflowPunct/>
              <w:topLinePunct w:val="0"/>
              <w:autoSpaceDE/>
              <w:autoSpaceDN/>
              <w:bidi w:val="0"/>
              <w:spacing w:line="34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6</w:t>
            </w:r>
            <w:r>
              <w:rPr>
                <w:rFonts w:hint="eastAsia" w:ascii="仿宋" w:hAnsi="仿宋" w:eastAsia="仿宋" w:cs="仿宋"/>
                <w:b/>
                <w:bCs/>
                <w:color w:val="auto"/>
                <w:sz w:val="24"/>
                <w:szCs w:val="24"/>
                <w:highlight w:val="none"/>
              </w:rPr>
              <w:t>分</w:t>
            </w:r>
          </w:p>
        </w:tc>
      </w:tr>
      <w:tr w14:paraId="5E16593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69" w:hRule="atLeast"/>
          <w:jc w:val="center"/>
        </w:trPr>
        <w:tc>
          <w:tcPr>
            <w:tcW w:w="729" w:type="dxa"/>
            <w:vMerge w:val="continue"/>
            <w:tcBorders>
              <w:tl2br w:val="nil"/>
              <w:tr2bl w:val="nil"/>
            </w:tcBorders>
            <w:noWrap w:val="0"/>
            <w:vAlign w:val="center"/>
          </w:tcPr>
          <w:p w14:paraId="710F470E">
            <w:pPr>
              <w:keepNext w:val="0"/>
              <w:keepLines w:val="0"/>
              <w:pageBreakBefore w:val="0"/>
              <w:widowControl w:val="0"/>
              <w:kinsoku/>
              <w:wordWrap/>
              <w:overflowPunct/>
              <w:topLinePunct w:val="0"/>
              <w:autoSpaceDE/>
              <w:autoSpaceDN/>
              <w:bidi w:val="0"/>
              <w:snapToGrid/>
              <w:spacing w:line="340" w:lineRule="exact"/>
              <w:jc w:val="center"/>
              <w:textAlignment w:val="auto"/>
              <w:rPr>
                <w:rFonts w:hint="eastAsia" w:ascii="仿宋" w:hAnsi="仿宋" w:eastAsia="仿宋" w:cs="仿宋"/>
                <w:b/>
                <w:bCs w:val="0"/>
                <w:color w:val="auto"/>
                <w:sz w:val="24"/>
                <w:szCs w:val="24"/>
                <w:highlight w:val="none"/>
                <w:lang w:val="en-US" w:eastAsia="zh-CN"/>
              </w:rPr>
            </w:pPr>
          </w:p>
        </w:tc>
        <w:tc>
          <w:tcPr>
            <w:tcW w:w="1275" w:type="dxa"/>
            <w:vMerge w:val="continue"/>
            <w:tcBorders>
              <w:tl2br w:val="nil"/>
              <w:tr2bl w:val="nil"/>
            </w:tcBorders>
            <w:noWrap w:val="0"/>
            <w:vAlign w:val="center"/>
          </w:tcPr>
          <w:p w14:paraId="799C2C8D">
            <w:pPr>
              <w:keepNext w:val="0"/>
              <w:keepLines w:val="0"/>
              <w:pageBreakBefore w:val="0"/>
              <w:widowControl w:val="0"/>
              <w:kinsoku/>
              <w:wordWrap/>
              <w:overflowPunct/>
              <w:topLinePunct w:val="0"/>
              <w:autoSpaceDE/>
              <w:autoSpaceDN/>
              <w:bidi w:val="0"/>
              <w:snapToGrid/>
              <w:spacing w:line="340" w:lineRule="exact"/>
              <w:jc w:val="center"/>
              <w:textAlignment w:val="auto"/>
              <w:rPr>
                <w:rFonts w:hint="eastAsia" w:ascii="仿宋" w:hAnsi="仿宋" w:eastAsia="仿宋" w:cs="仿宋"/>
                <w:b/>
                <w:bCs/>
                <w:color w:val="auto"/>
                <w:sz w:val="24"/>
                <w:szCs w:val="24"/>
                <w:highlight w:val="none"/>
                <w:lang w:val="en-US" w:eastAsia="zh-CN"/>
              </w:rPr>
            </w:pPr>
          </w:p>
        </w:tc>
        <w:tc>
          <w:tcPr>
            <w:tcW w:w="7358" w:type="dxa"/>
            <w:tcBorders>
              <w:tl2br w:val="nil"/>
              <w:tr2bl w:val="nil"/>
            </w:tcBorders>
            <w:noWrap w:val="0"/>
            <w:vAlign w:val="center"/>
          </w:tcPr>
          <w:p w14:paraId="6E95FEEE">
            <w:pPr>
              <w:pStyle w:val="2"/>
              <w:keepNext w:val="0"/>
              <w:keepLines w:val="0"/>
              <w:pageBreakBefore w:val="0"/>
              <w:widowControl w:val="0"/>
              <w:kinsoku/>
              <w:wordWrap/>
              <w:overflowPunct/>
              <w:topLinePunct w:val="0"/>
              <w:autoSpaceDE/>
              <w:autoSpaceDN/>
              <w:bidi w:val="0"/>
              <w:spacing w:line="340" w:lineRule="exact"/>
              <w:rPr>
                <w:rFonts w:hint="eastAsia" w:ascii="仿宋" w:hAnsi="仿宋" w:eastAsia="仿宋" w:cs="宋体"/>
                <w:bCs/>
                <w:color w:val="auto"/>
                <w:sz w:val="24"/>
                <w:highlight w:val="none"/>
                <w:lang w:eastAsia="zh-CN"/>
              </w:rPr>
            </w:pPr>
            <w:r>
              <w:rPr>
                <w:rFonts w:hint="eastAsia" w:ascii="仿宋" w:hAnsi="仿宋" w:eastAsia="仿宋" w:cs="宋体"/>
                <w:bCs/>
                <w:color w:val="auto"/>
                <w:sz w:val="24"/>
                <w:highlight w:val="none"/>
              </w:rPr>
              <w:t>质量保证措施：根据投标人针对运维服务过程中的技术质量监管措施</w:t>
            </w:r>
            <w:r>
              <w:rPr>
                <w:rFonts w:hint="eastAsia" w:ascii="仿宋" w:hAnsi="仿宋" w:eastAsia="仿宋" w:cs="宋体"/>
                <w:bCs/>
                <w:color w:val="auto"/>
                <w:sz w:val="24"/>
                <w:highlight w:val="none"/>
                <w:lang w:eastAsia="zh-CN"/>
              </w:rPr>
              <w:t>，由评审专家进行综合评分。</w:t>
            </w:r>
          </w:p>
          <w:p w14:paraId="23B1370C">
            <w:pPr>
              <w:pStyle w:val="2"/>
              <w:keepNext w:val="0"/>
              <w:keepLines w:val="0"/>
              <w:pageBreakBefore w:val="0"/>
              <w:widowControl w:val="0"/>
              <w:kinsoku/>
              <w:wordWrap/>
              <w:overflowPunct/>
              <w:topLinePunct w:val="0"/>
              <w:autoSpaceDE/>
              <w:autoSpaceDN/>
              <w:bidi w:val="0"/>
              <w:spacing w:line="340" w:lineRule="exact"/>
              <w:rPr>
                <w:rFonts w:hint="eastAsia" w:ascii="仿宋" w:hAnsi="仿宋" w:eastAsia="仿宋" w:cs="宋体"/>
                <w:bCs/>
                <w:color w:val="auto"/>
                <w:sz w:val="24"/>
                <w:highlight w:val="none"/>
              </w:rPr>
            </w:pPr>
            <w:r>
              <w:rPr>
                <w:rFonts w:hint="eastAsia" w:ascii="仿宋" w:hAnsi="仿宋" w:eastAsia="仿宋" w:cs="宋体"/>
                <w:bCs/>
                <w:color w:val="auto"/>
                <w:sz w:val="24"/>
                <w:highlight w:val="none"/>
                <w:lang w:val="en-US" w:eastAsia="zh-CN"/>
              </w:rPr>
              <w:t>注：</w:t>
            </w:r>
            <w:r>
              <w:rPr>
                <w:rFonts w:hint="eastAsia" w:ascii="仿宋" w:hAnsi="仿宋" w:eastAsia="仿宋" w:cs="宋体"/>
                <w:bCs/>
                <w:color w:val="auto"/>
                <w:sz w:val="24"/>
                <w:highlight w:val="none"/>
              </w:rPr>
              <w:t>内容阐述全面且合理可行的得</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lang w:val="en-US" w:eastAsia="zh-CN"/>
              </w:rPr>
              <w:t>4</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rPr>
              <w:t>6]分；内容阐述较为全面、基本合理可行的得</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lang w:val="en-US" w:eastAsia="zh-CN"/>
              </w:rPr>
              <w:t>2，</w:t>
            </w:r>
            <w:r>
              <w:rPr>
                <w:rFonts w:hint="eastAsia" w:ascii="仿宋" w:hAnsi="仿宋" w:eastAsia="仿宋" w:cs="宋体"/>
                <w:bCs/>
                <w:color w:val="auto"/>
                <w:sz w:val="24"/>
                <w:highlight w:val="none"/>
              </w:rPr>
              <w:t>4]分；内容阐述粗略、缺陷较多，合理可行性较欠缺的得</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lang w:val="en-US" w:eastAsia="zh-CN"/>
              </w:rPr>
              <w:t>0，</w:t>
            </w:r>
            <w:r>
              <w:rPr>
                <w:rFonts w:hint="eastAsia" w:ascii="仿宋" w:hAnsi="仿宋" w:eastAsia="仿宋" w:cs="宋体"/>
                <w:bCs/>
                <w:color w:val="auto"/>
                <w:sz w:val="24"/>
                <w:highlight w:val="none"/>
              </w:rPr>
              <w:t>2]分；无相关内容阐述或不符合项目的不得分。</w:t>
            </w:r>
          </w:p>
        </w:tc>
        <w:tc>
          <w:tcPr>
            <w:tcW w:w="755" w:type="dxa"/>
            <w:tcBorders>
              <w:tl2br w:val="nil"/>
              <w:tr2bl w:val="nil"/>
            </w:tcBorders>
            <w:noWrap w:val="0"/>
            <w:vAlign w:val="center"/>
          </w:tcPr>
          <w:p w14:paraId="5F0849DE">
            <w:pPr>
              <w:keepNext w:val="0"/>
              <w:keepLines w:val="0"/>
              <w:pageBreakBefore w:val="0"/>
              <w:widowControl w:val="0"/>
              <w:kinsoku/>
              <w:wordWrap/>
              <w:overflowPunct/>
              <w:topLinePunct w:val="0"/>
              <w:autoSpaceDE/>
              <w:autoSpaceDN/>
              <w:bidi w:val="0"/>
              <w:spacing w:line="34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6</w:t>
            </w:r>
            <w:r>
              <w:rPr>
                <w:rFonts w:hint="eastAsia" w:ascii="仿宋" w:hAnsi="仿宋" w:eastAsia="仿宋" w:cs="仿宋"/>
                <w:b/>
                <w:bCs/>
                <w:color w:val="auto"/>
                <w:sz w:val="24"/>
                <w:szCs w:val="24"/>
                <w:highlight w:val="none"/>
              </w:rPr>
              <w:t>分</w:t>
            </w:r>
          </w:p>
        </w:tc>
      </w:tr>
      <w:tr w14:paraId="790373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69" w:hRule="atLeast"/>
          <w:jc w:val="center"/>
        </w:trPr>
        <w:tc>
          <w:tcPr>
            <w:tcW w:w="729" w:type="dxa"/>
            <w:vMerge w:val="continue"/>
            <w:tcBorders>
              <w:tl2br w:val="nil"/>
              <w:tr2bl w:val="nil"/>
            </w:tcBorders>
            <w:noWrap w:val="0"/>
            <w:vAlign w:val="center"/>
          </w:tcPr>
          <w:p w14:paraId="43D446FF">
            <w:pPr>
              <w:keepNext w:val="0"/>
              <w:keepLines w:val="0"/>
              <w:pageBreakBefore w:val="0"/>
              <w:widowControl w:val="0"/>
              <w:kinsoku/>
              <w:wordWrap/>
              <w:overflowPunct/>
              <w:topLinePunct w:val="0"/>
              <w:autoSpaceDE/>
              <w:autoSpaceDN/>
              <w:bidi w:val="0"/>
              <w:snapToGrid/>
              <w:spacing w:line="340" w:lineRule="exact"/>
              <w:jc w:val="center"/>
              <w:textAlignment w:val="auto"/>
              <w:rPr>
                <w:rFonts w:hint="eastAsia" w:ascii="仿宋" w:hAnsi="仿宋" w:eastAsia="仿宋" w:cs="仿宋"/>
                <w:b/>
                <w:bCs w:val="0"/>
                <w:color w:val="auto"/>
                <w:sz w:val="24"/>
                <w:szCs w:val="24"/>
                <w:highlight w:val="none"/>
                <w:lang w:val="en-US" w:eastAsia="zh-CN"/>
              </w:rPr>
            </w:pPr>
          </w:p>
        </w:tc>
        <w:tc>
          <w:tcPr>
            <w:tcW w:w="1275" w:type="dxa"/>
            <w:vMerge w:val="continue"/>
            <w:tcBorders>
              <w:tl2br w:val="nil"/>
              <w:tr2bl w:val="nil"/>
            </w:tcBorders>
            <w:noWrap w:val="0"/>
            <w:vAlign w:val="center"/>
          </w:tcPr>
          <w:p w14:paraId="279A277B">
            <w:pPr>
              <w:keepNext w:val="0"/>
              <w:keepLines w:val="0"/>
              <w:pageBreakBefore w:val="0"/>
              <w:widowControl w:val="0"/>
              <w:kinsoku/>
              <w:wordWrap/>
              <w:overflowPunct/>
              <w:topLinePunct w:val="0"/>
              <w:autoSpaceDE/>
              <w:autoSpaceDN/>
              <w:bidi w:val="0"/>
              <w:snapToGrid/>
              <w:spacing w:line="340" w:lineRule="exact"/>
              <w:jc w:val="center"/>
              <w:textAlignment w:val="auto"/>
              <w:rPr>
                <w:rFonts w:hint="eastAsia" w:ascii="仿宋" w:hAnsi="仿宋" w:eastAsia="仿宋" w:cs="仿宋"/>
                <w:b/>
                <w:bCs/>
                <w:color w:val="auto"/>
                <w:sz w:val="24"/>
                <w:szCs w:val="24"/>
                <w:highlight w:val="none"/>
                <w:lang w:val="en-US" w:eastAsia="zh-CN"/>
              </w:rPr>
            </w:pPr>
          </w:p>
        </w:tc>
        <w:tc>
          <w:tcPr>
            <w:tcW w:w="7358" w:type="dxa"/>
            <w:tcBorders>
              <w:tl2br w:val="nil"/>
              <w:tr2bl w:val="nil"/>
            </w:tcBorders>
            <w:noWrap w:val="0"/>
            <w:vAlign w:val="center"/>
          </w:tcPr>
          <w:p w14:paraId="6064419D">
            <w:pPr>
              <w:pStyle w:val="2"/>
              <w:keepNext w:val="0"/>
              <w:keepLines w:val="0"/>
              <w:pageBreakBefore w:val="0"/>
              <w:widowControl w:val="0"/>
              <w:kinsoku/>
              <w:wordWrap/>
              <w:overflowPunct/>
              <w:topLinePunct w:val="0"/>
              <w:autoSpaceDE/>
              <w:autoSpaceDN/>
              <w:bidi w:val="0"/>
              <w:spacing w:line="340" w:lineRule="exact"/>
              <w:rPr>
                <w:rFonts w:hint="eastAsia" w:ascii="仿宋" w:hAnsi="仿宋" w:eastAsia="仿宋" w:cs="宋体"/>
                <w:bCs/>
                <w:color w:val="auto"/>
                <w:sz w:val="24"/>
                <w:highlight w:val="none"/>
                <w:lang w:eastAsia="zh-CN"/>
              </w:rPr>
            </w:pPr>
            <w:r>
              <w:rPr>
                <w:rFonts w:hint="eastAsia" w:ascii="仿宋" w:hAnsi="仿宋" w:eastAsia="仿宋" w:cs="宋体"/>
                <w:bCs/>
                <w:color w:val="auto"/>
                <w:sz w:val="24"/>
                <w:highlight w:val="none"/>
              </w:rPr>
              <w:t>安全保证措施：根据投标人针对运维服务过程中的安全监管措施</w:t>
            </w:r>
            <w:r>
              <w:rPr>
                <w:rFonts w:hint="eastAsia" w:ascii="仿宋" w:hAnsi="仿宋" w:eastAsia="仿宋" w:cs="宋体"/>
                <w:bCs/>
                <w:color w:val="auto"/>
                <w:sz w:val="24"/>
                <w:highlight w:val="none"/>
                <w:lang w:eastAsia="zh-CN"/>
              </w:rPr>
              <w:t>，由评审专家进行综合评分。</w:t>
            </w:r>
          </w:p>
          <w:p w14:paraId="0C2F7A58">
            <w:pPr>
              <w:pStyle w:val="2"/>
              <w:keepNext w:val="0"/>
              <w:keepLines w:val="0"/>
              <w:pageBreakBefore w:val="0"/>
              <w:widowControl w:val="0"/>
              <w:kinsoku/>
              <w:wordWrap/>
              <w:overflowPunct/>
              <w:topLinePunct w:val="0"/>
              <w:autoSpaceDE/>
              <w:autoSpaceDN/>
              <w:bidi w:val="0"/>
              <w:spacing w:line="340" w:lineRule="exact"/>
              <w:rPr>
                <w:rFonts w:hint="eastAsia" w:ascii="仿宋" w:hAnsi="仿宋" w:eastAsia="仿宋" w:cs="宋体"/>
                <w:bCs/>
                <w:color w:val="auto"/>
                <w:sz w:val="24"/>
                <w:highlight w:val="none"/>
              </w:rPr>
            </w:pPr>
            <w:r>
              <w:rPr>
                <w:rFonts w:hint="eastAsia" w:ascii="仿宋" w:hAnsi="仿宋" w:eastAsia="仿宋" w:cs="宋体"/>
                <w:bCs/>
                <w:color w:val="auto"/>
                <w:sz w:val="24"/>
                <w:highlight w:val="none"/>
                <w:lang w:val="en-US" w:eastAsia="zh-CN"/>
              </w:rPr>
              <w:t>注：</w:t>
            </w:r>
            <w:r>
              <w:rPr>
                <w:rFonts w:hint="eastAsia" w:ascii="仿宋" w:hAnsi="仿宋" w:eastAsia="仿宋" w:cs="宋体"/>
                <w:bCs/>
                <w:color w:val="auto"/>
                <w:sz w:val="24"/>
                <w:highlight w:val="none"/>
              </w:rPr>
              <w:t>内容阐述全面且合理可行的得</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lang w:val="en-US" w:eastAsia="zh-CN"/>
              </w:rPr>
              <w:t>4</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rPr>
              <w:t>6]分；内容阐述较为全面、基本合理可行的得</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lang w:val="en-US" w:eastAsia="zh-CN"/>
              </w:rPr>
              <w:t>2，</w:t>
            </w:r>
            <w:r>
              <w:rPr>
                <w:rFonts w:hint="eastAsia" w:ascii="仿宋" w:hAnsi="仿宋" w:eastAsia="仿宋" w:cs="宋体"/>
                <w:bCs/>
                <w:color w:val="auto"/>
                <w:sz w:val="24"/>
                <w:highlight w:val="none"/>
              </w:rPr>
              <w:t>4]分；内容阐述粗略、缺陷较多，合理可行性较欠缺的得</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lang w:val="en-US" w:eastAsia="zh-CN"/>
              </w:rPr>
              <w:t>0，</w:t>
            </w:r>
            <w:r>
              <w:rPr>
                <w:rFonts w:hint="eastAsia" w:ascii="仿宋" w:hAnsi="仿宋" w:eastAsia="仿宋" w:cs="宋体"/>
                <w:bCs/>
                <w:color w:val="auto"/>
                <w:sz w:val="24"/>
                <w:highlight w:val="none"/>
              </w:rPr>
              <w:t>2]分；无相关内容阐述或不符合项目的不得分。</w:t>
            </w:r>
          </w:p>
        </w:tc>
        <w:tc>
          <w:tcPr>
            <w:tcW w:w="755" w:type="dxa"/>
            <w:tcBorders>
              <w:tl2br w:val="nil"/>
              <w:tr2bl w:val="nil"/>
            </w:tcBorders>
            <w:noWrap w:val="0"/>
            <w:vAlign w:val="center"/>
          </w:tcPr>
          <w:p w14:paraId="6671CDB2">
            <w:pPr>
              <w:keepNext w:val="0"/>
              <w:keepLines w:val="0"/>
              <w:pageBreakBefore w:val="0"/>
              <w:widowControl w:val="0"/>
              <w:kinsoku/>
              <w:wordWrap/>
              <w:overflowPunct/>
              <w:topLinePunct w:val="0"/>
              <w:autoSpaceDE/>
              <w:autoSpaceDN/>
              <w:bidi w:val="0"/>
              <w:spacing w:line="34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6</w:t>
            </w:r>
            <w:r>
              <w:rPr>
                <w:rFonts w:hint="eastAsia" w:ascii="仿宋" w:hAnsi="仿宋" w:eastAsia="仿宋" w:cs="仿宋"/>
                <w:b/>
                <w:bCs/>
                <w:color w:val="auto"/>
                <w:sz w:val="24"/>
                <w:szCs w:val="24"/>
                <w:highlight w:val="none"/>
              </w:rPr>
              <w:t>分</w:t>
            </w:r>
          </w:p>
        </w:tc>
      </w:tr>
      <w:tr w14:paraId="017AB5C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69" w:hRule="atLeast"/>
          <w:jc w:val="center"/>
        </w:trPr>
        <w:tc>
          <w:tcPr>
            <w:tcW w:w="729" w:type="dxa"/>
            <w:vMerge w:val="continue"/>
            <w:tcBorders>
              <w:tl2br w:val="nil"/>
              <w:tr2bl w:val="nil"/>
            </w:tcBorders>
            <w:noWrap w:val="0"/>
            <w:vAlign w:val="center"/>
          </w:tcPr>
          <w:p w14:paraId="20E59CA8">
            <w:pPr>
              <w:keepNext w:val="0"/>
              <w:keepLines w:val="0"/>
              <w:pageBreakBefore w:val="0"/>
              <w:widowControl w:val="0"/>
              <w:kinsoku/>
              <w:wordWrap/>
              <w:overflowPunct/>
              <w:topLinePunct w:val="0"/>
              <w:autoSpaceDE/>
              <w:autoSpaceDN/>
              <w:bidi w:val="0"/>
              <w:snapToGrid/>
              <w:spacing w:line="340" w:lineRule="exact"/>
              <w:jc w:val="center"/>
              <w:textAlignment w:val="auto"/>
              <w:rPr>
                <w:rFonts w:hint="eastAsia" w:ascii="仿宋" w:hAnsi="仿宋" w:eastAsia="仿宋" w:cs="仿宋"/>
                <w:b/>
                <w:bCs w:val="0"/>
                <w:color w:val="auto"/>
                <w:sz w:val="24"/>
                <w:szCs w:val="24"/>
                <w:highlight w:val="none"/>
                <w:lang w:val="en-US" w:eastAsia="zh-CN"/>
              </w:rPr>
            </w:pPr>
          </w:p>
        </w:tc>
        <w:tc>
          <w:tcPr>
            <w:tcW w:w="1275" w:type="dxa"/>
            <w:vMerge w:val="continue"/>
            <w:tcBorders>
              <w:tl2br w:val="nil"/>
              <w:tr2bl w:val="nil"/>
            </w:tcBorders>
            <w:noWrap w:val="0"/>
            <w:vAlign w:val="center"/>
          </w:tcPr>
          <w:p w14:paraId="0F8E35CE">
            <w:pPr>
              <w:keepNext w:val="0"/>
              <w:keepLines w:val="0"/>
              <w:pageBreakBefore w:val="0"/>
              <w:widowControl w:val="0"/>
              <w:kinsoku/>
              <w:wordWrap/>
              <w:overflowPunct/>
              <w:topLinePunct w:val="0"/>
              <w:autoSpaceDE/>
              <w:autoSpaceDN/>
              <w:bidi w:val="0"/>
              <w:snapToGrid/>
              <w:spacing w:line="340" w:lineRule="exact"/>
              <w:jc w:val="center"/>
              <w:textAlignment w:val="auto"/>
              <w:rPr>
                <w:rFonts w:hint="eastAsia" w:ascii="仿宋" w:hAnsi="仿宋" w:eastAsia="仿宋" w:cs="仿宋"/>
                <w:b/>
                <w:bCs/>
                <w:color w:val="auto"/>
                <w:sz w:val="24"/>
                <w:szCs w:val="24"/>
                <w:highlight w:val="none"/>
                <w:lang w:val="en-US" w:eastAsia="zh-CN"/>
              </w:rPr>
            </w:pPr>
          </w:p>
        </w:tc>
        <w:tc>
          <w:tcPr>
            <w:tcW w:w="7358" w:type="dxa"/>
            <w:tcBorders>
              <w:tl2br w:val="nil"/>
              <w:tr2bl w:val="nil"/>
            </w:tcBorders>
            <w:noWrap w:val="0"/>
            <w:vAlign w:val="center"/>
          </w:tcPr>
          <w:p w14:paraId="7C2963FB">
            <w:pPr>
              <w:pStyle w:val="2"/>
              <w:keepNext w:val="0"/>
              <w:keepLines w:val="0"/>
              <w:pageBreakBefore w:val="0"/>
              <w:widowControl w:val="0"/>
              <w:kinsoku/>
              <w:wordWrap/>
              <w:overflowPunct/>
              <w:topLinePunct w:val="0"/>
              <w:autoSpaceDE/>
              <w:autoSpaceDN/>
              <w:bidi w:val="0"/>
              <w:spacing w:line="340" w:lineRule="exact"/>
              <w:rPr>
                <w:rFonts w:hint="eastAsia" w:ascii="仿宋" w:hAnsi="仿宋" w:eastAsia="仿宋" w:cs="宋体"/>
                <w:bCs/>
                <w:color w:val="auto"/>
                <w:sz w:val="24"/>
                <w:highlight w:val="none"/>
                <w:lang w:eastAsia="zh-CN"/>
              </w:rPr>
            </w:pPr>
            <w:r>
              <w:rPr>
                <w:rFonts w:hint="eastAsia" w:ascii="仿宋" w:hAnsi="仿宋" w:eastAsia="仿宋" w:cs="宋体"/>
                <w:bCs/>
                <w:color w:val="auto"/>
                <w:sz w:val="24"/>
                <w:highlight w:val="none"/>
              </w:rPr>
              <w:t>文明施工及环保措施：根据投标人针对运维服务过程中的文明施工及环保措施</w:t>
            </w:r>
            <w:r>
              <w:rPr>
                <w:rFonts w:hint="eastAsia" w:ascii="仿宋" w:hAnsi="仿宋" w:eastAsia="仿宋" w:cs="宋体"/>
                <w:bCs/>
                <w:color w:val="auto"/>
                <w:sz w:val="24"/>
                <w:highlight w:val="none"/>
                <w:lang w:eastAsia="zh-CN"/>
              </w:rPr>
              <w:t>，由评审专家进行综合评分。</w:t>
            </w:r>
          </w:p>
          <w:p w14:paraId="1220C7F3">
            <w:pPr>
              <w:pStyle w:val="2"/>
              <w:keepNext w:val="0"/>
              <w:keepLines w:val="0"/>
              <w:pageBreakBefore w:val="0"/>
              <w:widowControl w:val="0"/>
              <w:kinsoku/>
              <w:wordWrap/>
              <w:overflowPunct/>
              <w:topLinePunct w:val="0"/>
              <w:autoSpaceDE/>
              <w:autoSpaceDN/>
              <w:bidi w:val="0"/>
              <w:spacing w:line="340" w:lineRule="exact"/>
              <w:rPr>
                <w:rFonts w:hint="eastAsia" w:ascii="仿宋" w:hAnsi="仿宋" w:eastAsia="仿宋" w:cs="宋体"/>
                <w:bCs/>
                <w:color w:val="auto"/>
                <w:sz w:val="24"/>
                <w:highlight w:val="none"/>
              </w:rPr>
            </w:pPr>
            <w:r>
              <w:rPr>
                <w:rFonts w:hint="eastAsia" w:ascii="仿宋" w:hAnsi="仿宋" w:eastAsia="仿宋" w:cs="宋体"/>
                <w:bCs/>
                <w:color w:val="auto"/>
                <w:sz w:val="24"/>
                <w:highlight w:val="none"/>
                <w:lang w:val="en-US" w:eastAsia="zh-CN"/>
              </w:rPr>
              <w:t>注：</w:t>
            </w:r>
            <w:r>
              <w:rPr>
                <w:rFonts w:hint="eastAsia" w:ascii="仿宋" w:hAnsi="仿宋" w:eastAsia="仿宋" w:cs="宋体"/>
                <w:bCs/>
                <w:color w:val="auto"/>
                <w:sz w:val="24"/>
                <w:highlight w:val="none"/>
              </w:rPr>
              <w:t>内容阐述全面且合理可行的得</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lang w:val="en-US" w:eastAsia="zh-CN"/>
              </w:rPr>
              <w:t>4</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rPr>
              <w:t>6]分；内容阐述较为全面、基本合理可行的得</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lang w:val="en-US" w:eastAsia="zh-CN"/>
              </w:rPr>
              <w:t>2，</w:t>
            </w:r>
            <w:r>
              <w:rPr>
                <w:rFonts w:hint="eastAsia" w:ascii="仿宋" w:hAnsi="仿宋" w:eastAsia="仿宋" w:cs="宋体"/>
                <w:bCs/>
                <w:color w:val="auto"/>
                <w:sz w:val="24"/>
                <w:highlight w:val="none"/>
              </w:rPr>
              <w:t>4]分；内容阐述粗略、缺陷较多，合理可行性较欠缺的得</w:t>
            </w:r>
            <w:r>
              <w:rPr>
                <w:rFonts w:hint="eastAsia" w:ascii="仿宋" w:hAnsi="仿宋" w:eastAsia="仿宋" w:cs="宋体"/>
                <w:bCs/>
                <w:color w:val="auto"/>
                <w:sz w:val="24"/>
                <w:highlight w:val="none"/>
                <w:lang w:eastAsia="zh-CN"/>
              </w:rPr>
              <w:t>（</w:t>
            </w:r>
            <w:r>
              <w:rPr>
                <w:rFonts w:hint="eastAsia" w:ascii="仿宋" w:hAnsi="仿宋" w:eastAsia="仿宋" w:cs="宋体"/>
                <w:bCs/>
                <w:color w:val="auto"/>
                <w:sz w:val="24"/>
                <w:highlight w:val="none"/>
                <w:lang w:val="en-US" w:eastAsia="zh-CN"/>
              </w:rPr>
              <w:t>0，</w:t>
            </w:r>
            <w:r>
              <w:rPr>
                <w:rFonts w:hint="eastAsia" w:ascii="仿宋" w:hAnsi="仿宋" w:eastAsia="仿宋" w:cs="宋体"/>
                <w:bCs/>
                <w:color w:val="auto"/>
                <w:sz w:val="24"/>
                <w:highlight w:val="none"/>
              </w:rPr>
              <w:t>2]分；无相关内容阐述或不符合项目的不得分。</w:t>
            </w:r>
          </w:p>
        </w:tc>
        <w:tc>
          <w:tcPr>
            <w:tcW w:w="755" w:type="dxa"/>
            <w:tcBorders>
              <w:tl2br w:val="nil"/>
              <w:tr2bl w:val="nil"/>
            </w:tcBorders>
            <w:noWrap w:val="0"/>
            <w:vAlign w:val="center"/>
          </w:tcPr>
          <w:p w14:paraId="28F4B778">
            <w:pPr>
              <w:keepNext w:val="0"/>
              <w:keepLines w:val="0"/>
              <w:pageBreakBefore w:val="0"/>
              <w:widowControl w:val="0"/>
              <w:kinsoku/>
              <w:wordWrap/>
              <w:overflowPunct/>
              <w:topLinePunct w:val="0"/>
              <w:autoSpaceDE/>
              <w:autoSpaceDN/>
              <w:bidi w:val="0"/>
              <w:spacing w:line="34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6</w:t>
            </w:r>
            <w:r>
              <w:rPr>
                <w:rFonts w:hint="eastAsia" w:ascii="仿宋" w:hAnsi="仿宋" w:eastAsia="仿宋" w:cs="仿宋"/>
                <w:b/>
                <w:bCs/>
                <w:color w:val="auto"/>
                <w:sz w:val="24"/>
                <w:szCs w:val="24"/>
                <w:highlight w:val="none"/>
              </w:rPr>
              <w:t>分</w:t>
            </w:r>
          </w:p>
        </w:tc>
      </w:tr>
    </w:tbl>
    <w:p w14:paraId="293C870B">
      <w:pPr>
        <w:keepNext w:val="0"/>
        <w:keepLines w:val="0"/>
        <w:pageBreakBefore w:val="0"/>
        <w:widowControl w:val="0"/>
        <w:kinsoku/>
        <w:wordWrap/>
        <w:overflowPunct/>
        <w:topLinePunct w:val="0"/>
        <w:bidi w:val="0"/>
        <w:snapToGrid w:val="0"/>
        <w:spacing w:line="420" w:lineRule="exact"/>
        <w:ind w:firstLine="480" w:firstLineChars="200"/>
        <w:textAlignment w:val="auto"/>
        <w:rPr>
          <w:rFonts w:hint="eastAsia" w:ascii="仿宋" w:hAnsi="仿宋" w:eastAsia="仿宋" w:cs="仿宋"/>
          <w:b w:val="0"/>
          <w:bCs/>
          <w:color w:val="auto"/>
          <w:sz w:val="24"/>
          <w:highlight w:val="none"/>
        </w:rPr>
      </w:pPr>
      <w:r>
        <w:rPr>
          <w:rFonts w:hint="eastAsia" w:ascii="仿宋" w:hAnsi="仿宋" w:eastAsia="仿宋" w:cs="宋体"/>
          <w:b w:val="0"/>
          <w:bCs/>
          <w:color w:val="auto"/>
          <w:sz w:val="24"/>
          <w:szCs w:val="24"/>
          <w:highlight w:val="none"/>
          <w:lang w:eastAsia="zh-CN"/>
        </w:rPr>
        <w:t>（</w:t>
      </w:r>
      <w:r>
        <w:rPr>
          <w:rFonts w:hint="eastAsia" w:ascii="仿宋" w:hAnsi="仿宋" w:eastAsia="仿宋" w:cs="宋体"/>
          <w:b w:val="0"/>
          <w:bCs/>
          <w:color w:val="auto"/>
          <w:sz w:val="24"/>
          <w:szCs w:val="24"/>
          <w:highlight w:val="none"/>
          <w:lang w:val="en-US" w:eastAsia="zh-CN"/>
        </w:rPr>
        <w:t>5</w:t>
      </w:r>
      <w:r>
        <w:rPr>
          <w:rFonts w:hint="eastAsia" w:ascii="仿宋" w:hAnsi="仿宋" w:eastAsia="仿宋" w:cs="宋体"/>
          <w:b w:val="0"/>
          <w:bCs/>
          <w:color w:val="auto"/>
          <w:sz w:val="24"/>
          <w:szCs w:val="24"/>
          <w:highlight w:val="none"/>
          <w:lang w:eastAsia="zh-CN"/>
        </w:rPr>
        <w:t>）通过资格评审和符合性评审的投标人全部入围进行报价评审</w:t>
      </w:r>
      <w:r>
        <w:rPr>
          <w:rFonts w:hint="eastAsia" w:ascii="仿宋" w:hAnsi="仿宋" w:eastAsia="仿宋" w:cs="仿宋"/>
          <w:b w:val="0"/>
          <w:bCs/>
          <w:color w:val="auto"/>
          <w:sz w:val="24"/>
          <w:szCs w:val="24"/>
          <w:highlight w:val="none"/>
        </w:rPr>
        <w:t>。</w:t>
      </w:r>
    </w:p>
    <w:p w14:paraId="53A815C3">
      <w:pPr>
        <w:keepNext w:val="0"/>
        <w:keepLines w:val="0"/>
        <w:pageBreakBefore w:val="0"/>
        <w:widowControl w:val="0"/>
        <w:kinsoku/>
        <w:wordWrap/>
        <w:overflowPunct/>
        <w:topLinePunct w:val="0"/>
        <w:autoSpaceDE/>
        <w:autoSpaceDN/>
        <w:bidi w:val="0"/>
        <w:adjustRightInd/>
        <w:snapToGrid w:val="0"/>
        <w:spacing w:line="420" w:lineRule="exact"/>
        <w:ind w:firstLine="480" w:firstLineChars="200"/>
        <w:textAlignment w:val="auto"/>
        <w:rPr>
          <w:rFonts w:hint="eastAsia" w:ascii="仿宋" w:hAnsi="仿宋" w:eastAsia="仿宋" w:cs="仿宋"/>
          <w:b/>
          <w:color w:val="auto"/>
          <w:sz w:val="24"/>
          <w:highlight w:val="none"/>
          <w:lang w:val="en-US" w:eastAsia="zh-CN"/>
        </w:rPr>
      </w:pPr>
      <w:r>
        <w:rPr>
          <w:rFonts w:hint="eastAsia" w:ascii="仿宋" w:hAnsi="仿宋" w:eastAsia="仿宋" w:cs="仿宋"/>
          <w:b w:val="0"/>
          <w:bCs/>
          <w:color w:val="auto"/>
          <w:sz w:val="24"/>
          <w:highlight w:val="none"/>
        </w:rPr>
        <w:t>注：投标人编制投标文件（商务技术文件部分）时，建议按此目录（序</w:t>
      </w:r>
      <w:r>
        <w:rPr>
          <w:rFonts w:hint="eastAsia" w:ascii="仿宋" w:hAnsi="仿宋" w:eastAsia="仿宋" w:cs="仿宋"/>
          <w:color w:val="auto"/>
          <w:sz w:val="24"/>
          <w:highlight w:val="none"/>
        </w:rPr>
        <w:t>号和内容）提供评标标准相应的商务技术资料。</w:t>
      </w:r>
    </w:p>
    <w:p w14:paraId="07713D54">
      <w:pPr>
        <w:keepNext w:val="0"/>
        <w:keepLines w:val="0"/>
        <w:pageBreakBefore w:val="0"/>
        <w:widowControl w:val="0"/>
        <w:numPr>
          <w:ilvl w:val="0"/>
          <w:numId w:val="0"/>
        </w:numPr>
        <w:kinsoku/>
        <w:wordWrap/>
        <w:overflowPunct/>
        <w:topLinePunct w:val="0"/>
        <w:autoSpaceDE/>
        <w:autoSpaceDN/>
        <w:bidi w:val="0"/>
        <w:spacing w:line="420" w:lineRule="exact"/>
        <w:ind w:left="0"/>
        <w:jc w:val="both"/>
        <w:textAlignment w:val="auto"/>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五、采购需求</w:t>
      </w:r>
    </w:p>
    <w:p w14:paraId="33F56EFF">
      <w:pPr>
        <w:keepNext w:val="0"/>
        <w:keepLines w:val="0"/>
        <w:pageBreakBefore w:val="0"/>
        <w:widowControl w:val="0"/>
        <w:kinsoku/>
        <w:wordWrap/>
        <w:overflowPunct/>
        <w:topLinePunct w:val="0"/>
        <w:bidi w:val="0"/>
        <w:spacing w:line="420" w:lineRule="exact"/>
        <w:textAlignment w:val="auto"/>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（一）</w:t>
      </w:r>
      <w:r>
        <w:rPr>
          <w:rFonts w:hint="eastAsia" w:ascii="仿宋" w:hAnsi="仿宋" w:eastAsia="仿宋" w:cs="仿宋"/>
          <w:b/>
          <w:color w:val="auto"/>
          <w:sz w:val="24"/>
          <w:szCs w:val="24"/>
          <w:highlight w:val="none"/>
          <w:lang w:val="en-US" w:eastAsia="zh-CN"/>
        </w:rPr>
        <w:t>服务内容</w:t>
      </w:r>
    </w:p>
    <w:p w14:paraId="637645AC">
      <w:pPr>
        <w:keepNext w:val="0"/>
        <w:keepLines w:val="0"/>
        <w:pageBreakBefore w:val="0"/>
        <w:widowControl/>
        <w:suppressLineNumbers w:val="0"/>
        <w:kinsoku/>
        <w:wordWrap/>
        <w:overflowPunct/>
        <w:topLinePunct w:val="0"/>
        <w:autoSpaceDE/>
        <w:autoSpaceDN/>
        <w:bidi w:val="0"/>
        <w:adjustRightInd/>
        <w:spacing w:line="420" w:lineRule="exact"/>
        <w:ind w:firstLine="480" w:firstLineChars="200"/>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1、建立健全巡查、维修、运维的档案资料。</w:t>
      </w:r>
    </w:p>
    <w:p w14:paraId="44ABAFD7">
      <w:pPr>
        <w:keepNext w:val="0"/>
        <w:keepLines w:val="0"/>
        <w:pageBreakBefore w:val="0"/>
        <w:widowControl/>
        <w:suppressLineNumbers w:val="0"/>
        <w:kinsoku/>
        <w:wordWrap/>
        <w:overflowPunct/>
        <w:topLinePunct w:val="0"/>
        <w:autoSpaceDE/>
        <w:autoSpaceDN/>
        <w:bidi w:val="0"/>
        <w:adjustRightInd/>
        <w:spacing w:line="420" w:lineRule="exact"/>
        <w:ind w:firstLine="480" w:firstLineChars="200"/>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2、区域内农村生活污水日常巡查工作。</w:t>
      </w:r>
    </w:p>
    <w:p w14:paraId="066B7A76">
      <w:pPr>
        <w:keepNext w:val="0"/>
        <w:keepLines w:val="0"/>
        <w:pageBreakBefore w:val="0"/>
        <w:widowControl/>
        <w:suppressLineNumbers w:val="0"/>
        <w:kinsoku/>
        <w:wordWrap/>
        <w:overflowPunct/>
        <w:topLinePunct w:val="0"/>
        <w:autoSpaceDE/>
        <w:autoSpaceDN/>
        <w:bidi w:val="0"/>
        <w:adjustRightInd/>
        <w:spacing w:line="420" w:lineRule="exact"/>
        <w:jc w:val="left"/>
        <w:textAlignment w:val="auto"/>
        <w:rPr>
          <w:rFonts w:hint="default" w:ascii="仿宋" w:hAnsi="仿宋" w:eastAsia="仿宋" w:cs="仿宋"/>
          <w:i w:val="0"/>
          <w:iCs w:val="0"/>
          <w:color w:val="auto"/>
          <w:sz w:val="24"/>
          <w:szCs w:val="24"/>
          <w:highlight w:val="none"/>
          <w:u w:val="single"/>
          <w:lang w:val="en-US"/>
        </w:rPr>
      </w:pPr>
      <w:r>
        <w:rPr>
          <w:rFonts w:hint="eastAsia" w:ascii="仿宋" w:hAnsi="仿宋" w:eastAsia="仿宋" w:cs="仿宋"/>
          <w:b/>
          <w:color w:val="auto"/>
          <w:sz w:val="24"/>
          <w:szCs w:val="24"/>
          <w:highlight w:val="none"/>
          <w:lang w:eastAsia="zh-CN"/>
        </w:rPr>
        <w:t>（</w:t>
      </w:r>
      <w:r>
        <w:rPr>
          <w:rFonts w:hint="eastAsia" w:ascii="仿宋" w:hAnsi="仿宋" w:eastAsia="仿宋" w:cs="仿宋"/>
          <w:b/>
          <w:color w:val="auto"/>
          <w:sz w:val="24"/>
          <w:szCs w:val="24"/>
          <w:highlight w:val="none"/>
        </w:rPr>
        <w:t>二</w:t>
      </w:r>
      <w:r>
        <w:rPr>
          <w:rFonts w:hint="eastAsia" w:ascii="仿宋" w:hAnsi="仿宋" w:eastAsia="仿宋" w:cs="仿宋"/>
          <w:b/>
          <w:color w:val="auto"/>
          <w:sz w:val="24"/>
          <w:szCs w:val="24"/>
          <w:highlight w:val="none"/>
          <w:lang w:eastAsia="zh-CN"/>
        </w:rPr>
        <w:t>）</w:t>
      </w:r>
      <w:r>
        <w:rPr>
          <w:rFonts w:hint="eastAsia" w:ascii="仿宋" w:hAnsi="仿宋" w:eastAsia="仿宋" w:cs="仿宋"/>
          <w:b/>
          <w:bCs/>
          <w:color w:val="auto"/>
          <w:kern w:val="0"/>
          <w:sz w:val="24"/>
          <w:szCs w:val="24"/>
          <w:highlight w:val="none"/>
          <w:lang w:val="en-US" w:eastAsia="zh-CN" w:bidi="ar"/>
        </w:rPr>
        <w:t>运维范围</w:t>
      </w:r>
    </w:p>
    <w:p w14:paraId="6F367DAE">
      <w:pPr>
        <w:widowControl/>
        <w:autoSpaceDN/>
        <w:adjustRightInd/>
        <w:spacing w:line="420" w:lineRule="exact"/>
        <w:ind w:firstLine="480" w:firstLineChars="200"/>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姚江镇范围内各行政村与社区的农村生活污水管网及设备、江藻社区及直埠社区内污水管网的运行维护。江藻社区未移交生活污水终端6个，污水提升泵站7个，直埠社区提升泵站4个，以上17个终端的日常运维工作（包含检修）。</w:t>
      </w:r>
    </w:p>
    <w:p w14:paraId="3941B428">
      <w:pPr>
        <w:pStyle w:val="2"/>
        <w:ind w:firstLine="530" w:firstLineChars="221"/>
        <w:rPr>
          <w:rFonts w:hint="default"/>
          <w:color w:val="auto"/>
          <w:highlight w:val="none"/>
          <w:lang w:val="en-US" w:eastAsia="zh-CN"/>
        </w:rPr>
      </w:pPr>
      <w:r>
        <w:rPr>
          <w:rFonts w:hint="eastAsia" w:ascii="仿宋" w:hAnsi="仿宋" w:eastAsia="仿宋" w:cs="仿宋"/>
          <w:color w:val="auto"/>
          <w:sz w:val="24"/>
          <w:highlight w:val="none"/>
          <w:lang w:val="en-US" w:eastAsia="zh-CN"/>
        </w:rPr>
        <w:t>注：未移交终端的接入农户管路的运维工作，如有设备及配件更换向业主申报经业主确认后进行更换，费用待合同期满一并支付。</w:t>
      </w:r>
    </w:p>
    <w:p w14:paraId="2F4BCE2E">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lang w:eastAsia="zh-CN"/>
        </w:rPr>
        <w:t>（</w:t>
      </w:r>
      <w:r>
        <w:rPr>
          <w:rFonts w:hint="eastAsia" w:ascii="仿宋" w:hAnsi="仿宋" w:eastAsia="仿宋" w:cs="仿宋"/>
          <w:b/>
          <w:color w:val="auto"/>
          <w:sz w:val="24"/>
          <w:szCs w:val="24"/>
          <w:highlight w:val="none"/>
        </w:rPr>
        <w:t>三</w:t>
      </w:r>
      <w:r>
        <w:rPr>
          <w:rFonts w:hint="eastAsia" w:ascii="仿宋" w:hAnsi="仿宋" w:eastAsia="仿宋" w:cs="仿宋"/>
          <w:b/>
          <w:color w:val="auto"/>
          <w:sz w:val="24"/>
          <w:szCs w:val="24"/>
          <w:highlight w:val="none"/>
          <w:lang w:eastAsia="zh-CN"/>
        </w:rPr>
        <w:t>）</w:t>
      </w:r>
      <w:r>
        <w:rPr>
          <w:rFonts w:hint="eastAsia" w:ascii="仿宋" w:hAnsi="仿宋" w:eastAsia="仿宋" w:cs="仿宋"/>
          <w:b/>
          <w:bCs/>
          <w:color w:val="auto"/>
          <w:kern w:val="0"/>
          <w:sz w:val="24"/>
          <w:szCs w:val="24"/>
          <w:highlight w:val="none"/>
          <w:lang w:val="en-US" w:eastAsia="zh-CN" w:bidi="ar"/>
        </w:rPr>
        <w:t xml:space="preserve">采购要求 </w:t>
      </w:r>
    </w:p>
    <w:p w14:paraId="41724171">
      <w:pPr>
        <w:autoSpaceDN/>
        <w:adjustRightInd/>
        <w:spacing w:line="42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1、管网系统及终端维护</w:t>
      </w:r>
    </w:p>
    <w:p w14:paraId="54925F48">
      <w:pPr>
        <w:autoSpaceDN/>
        <w:adjustRightInd/>
        <w:spacing w:line="42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中标供应商必须每周不少于一次对运维范围内污水收集管网系统进行全面巡视检查，并做好巡查记录。发现检查井破损、缺失和污水管破损、堵塞、满溢等现象，及时进行维修，并做好维修记录，对于服务内容外的管网破损、设备损坏等问题及时上报采购人或相关责任单位。</w:t>
      </w:r>
    </w:p>
    <w:p w14:paraId="55851747">
      <w:pPr>
        <w:autoSpaceDN/>
        <w:adjustRightInd/>
        <w:spacing w:line="42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（2）中标供应商必须每周不少于一次对终端设备进行全面巡视检查，并做好记录。</w:t>
      </w:r>
    </w:p>
    <w:p w14:paraId="39494739">
      <w:pPr>
        <w:autoSpaceDN/>
        <w:adjustRightInd/>
        <w:spacing w:line="42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①检查提升泵、风机等设备运行是否正常；</w:t>
      </w:r>
    </w:p>
    <w:p w14:paraId="24848A0E">
      <w:pPr>
        <w:autoSpaceDN/>
        <w:adjustRightInd/>
        <w:spacing w:line="42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②检查格栅井是否堵塞并及时清理；</w:t>
      </w:r>
    </w:p>
    <w:p w14:paraId="3763903B">
      <w:pPr>
        <w:autoSpaceDN/>
        <w:adjustRightInd/>
        <w:spacing w:line="42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③检查厌氧池和化粪池盖板的完整性、安全性，发现盖板上有垃圾、污物、杂物等及时清理，发现盖板破损等不安全因素，第一时间进行维修并报告采购人；</w:t>
      </w:r>
    </w:p>
    <w:p w14:paraId="22627FFC">
      <w:pPr>
        <w:autoSpaceDN/>
        <w:adjustRightInd/>
        <w:spacing w:line="42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④检查终端绿化及人工湿地植物生长状况，需补种的及时报告采购人；</w:t>
      </w:r>
    </w:p>
    <w:p w14:paraId="2BD81FFE">
      <w:pPr>
        <w:autoSpaceDN/>
        <w:adjustRightInd/>
        <w:spacing w:line="42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⑤对终端出水水量和水质进行观察记录，发现异常时应第一时间报告采购人。</w:t>
      </w:r>
    </w:p>
    <w:p w14:paraId="1B5E39F8">
      <w:pPr>
        <w:autoSpaceDN/>
        <w:adjustRightInd/>
        <w:spacing w:line="42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（3）中标供应商对诸暨市姚江镇运维范围内的生活污水问题必须无条件进行处理，无特殊情况下，必须当天完成并确保管网畅通，有特殊情况，需当日向采购人进行说明或上报纸质资料。</w:t>
      </w:r>
    </w:p>
    <w:p w14:paraId="693289FB">
      <w:pPr>
        <w:autoSpaceDN/>
        <w:adjustRightInd/>
        <w:spacing w:line="42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（4）做好农户接户端管网、清扫井的日常保洁和清理。</w:t>
      </w:r>
    </w:p>
    <w:p w14:paraId="61B69100">
      <w:pPr>
        <w:autoSpaceDN/>
        <w:adjustRightInd/>
        <w:spacing w:line="42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（5）配合采购人落实新建农户住房、新开办农家乐（农家餐馆）的污水处理设施配套建设及纳管接入工作。</w:t>
      </w:r>
    </w:p>
    <w:p w14:paraId="79185A85">
      <w:pPr>
        <w:autoSpaceDN/>
        <w:adjustRightInd/>
        <w:spacing w:line="42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2、日常保洁养护</w:t>
      </w:r>
    </w:p>
    <w:p w14:paraId="20879D5C">
      <w:pPr>
        <w:autoSpaceDN/>
        <w:adjustRightInd/>
        <w:spacing w:line="42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（1）中标供应商须落实湿地绿地日常保洁制度，保持湿地功能，做好日常绿地养护工作。</w:t>
      </w:r>
    </w:p>
    <w:p w14:paraId="16E506B7">
      <w:pPr>
        <w:autoSpaceDN/>
        <w:adjustRightInd/>
        <w:spacing w:line="42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（2）中标供应商对于运维过程中产生的清污杂物不能乱堆乱倒，需当天外运处理，确保环境卫生。</w:t>
      </w:r>
    </w:p>
    <w:p w14:paraId="5B3A6ADF">
      <w:pPr>
        <w:autoSpaceDN/>
        <w:adjustRightInd/>
        <w:spacing w:line="42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3、信息报送</w:t>
      </w:r>
    </w:p>
    <w:p w14:paraId="3C30E7B9">
      <w:pPr>
        <w:autoSpaceDN/>
        <w:adjustRightInd/>
        <w:spacing w:line="42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（1）中标供应商在运维期间必须积极配合采购人及上级部门的考核工作，并按照采购方要求提供相关资料。</w:t>
      </w:r>
    </w:p>
    <w:p w14:paraId="525CB219">
      <w:pPr>
        <w:autoSpaceDN/>
        <w:adjustRightInd/>
        <w:spacing w:line="42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（2）中标供应商在运维期间需做好日常运维台账（包括维修记录、日常巡查记录等）。</w:t>
      </w:r>
    </w:p>
    <w:p w14:paraId="380C2891">
      <w:pPr>
        <w:autoSpaceDN/>
        <w:adjustRightInd/>
        <w:spacing w:line="42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（3）中标供应商必须在每月20日前将日常巡查情况报镇至采购人审查。</w:t>
      </w:r>
    </w:p>
    <w:p w14:paraId="5068CE3F">
      <w:pPr>
        <w:autoSpaceDN/>
        <w:adjustRightInd/>
        <w:spacing w:line="42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4、中标供应商在运维过程中，如因实际需要遇到破路维修等情况时，涉及到政策处理问题必须和采购人协商解决，对于路面破损、建筑损坏的由中标供应商及时恢复。</w:t>
      </w:r>
    </w:p>
    <w:p w14:paraId="5ABE5929">
      <w:pPr>
        <w:autoSpaceDN/>
        <w:adjustRightInd/>
        <w:spacing w:line="42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中标供应商在运维过程中遇重大故障、严重问题（如污水收集管网严重漏损需采取工程措施修复，终端出水水质、水量出现异常，设施设备严重故障需大中修等）或因自然、人为因素可能影响污水处理系统正常运行，应立即上报采购人，并协助采购人执行相应的应急措施方案。</w:t>
      </w:r>
    </w:p>
    <w:p w14:paraId="49D3CD38">
      <w:pPr>
        <w:autoSpaceDN/>
        <w:adjustRightInd/>
        <w:spacing w:line="42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6、积极配合采购人要求的其他运维服务工作。</w:t>
      </w:r>
    </w:p>
    <w:p w14:paraId="32117F72">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auto"/>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b/>
          <w:bCs/>
          <w:color w:val="auto"/>
          <w:kern w:val="0"/>
          <w:sz w:val="24"/>
          <w:szCs w:val="24"/>
          <w:highlight w:val="none"/>
          <w:lang w:val="en-US" w:eastAsia="zh-CN" w:bidi="ar"/>
        </w:rPr>
        <w:t>（四）报价要求</w:t>
      </w:r>
    </w:p>
    <w:p w14:paraId="4846B400">
      <w:pPr>
        <w:widowControl/>
        <w:autoSpaceDE/>
        <w:autoSpaceDN/>
        <w:adjustRightInd/>
        <w:spacing w:line="420" w:lineRule="exact"/>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采用总价合同，中标供应商的投标报价是履行合同的最终价格，应包括人工、验收、税费、保险、培训费、其它服务等一切税金、利润和费用。供应商由于考虑不周，漏报、少报而要求追加报价将不会被采购人所接受。供应商应充分考虑并将有关本项目实施所涉及的一切费用均计入投标报价。</w:t>
      </w:r>
    </w:p>
    <w:p w14:paraId="2F90AB9B">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auto"/>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b/>
          <w:bCs/>
          <w:color w:val="auto"/>
          <w:kern w:val="0"/>
          <w:sz w:val="24"/>
          <w:szCs w:val="24"/>
          <w:highlight w:val="none"/>
          <w:lang w:val="en-US" w:eastAsia="zh-CN" w:bidi="ar"/>
        </w:rPr>
        <w:t>（五）服务期限</w:t>
      </w:r>
    </w:p>
    <w:p w14:paraId="7079A439">
      <w:pPr>
        <w:keepNext w:val="0"/>
        <w:keepLines w:val="0"/>
        <w:pageBreakBefore w:val="0"/>
        <w:widowControl w:val="0"/>
        <w:kinsoku/>
        <w:wordWrap/>
        <w:overflowPunct/>
        <w:topLinePunct w:val="0"/>
        <w:autoSpaceDE/>
        <w:autoSpaceDN/>
        <w:bidi w:val="0"/>
        <w:adjustRightInd/>
        <w:snapToGrid/>
        <w:spacing w:line="420" w:lineRule="exact"/>
        <w:ind w:firstLine="480" w:firstLineChars="2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highlight w:val="none"/>
        </w:rPr>
        <w:t>合同履约期限：自合同签订之日起1年。</w:t>
      </w:r>
    </w:p>
    <w:p w14:paraId="5FDCB3BC">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auto"/>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b/>
          <w:bCs/>
          <w:color w:val="auto"/>
          <w:kern w:val="0"/>
          <w:sz w:val="24"/>
          <w:szCs w:val="24"/>
          <w:highlight w:val="none"/>
          <w:lang w:val="en-US" w:eastAsia="zh-CN" w:bidi="ar"/>
        </w:rPr>
        <w:t>（六）其他要求</w:t>
      </w:r>
    </w:p>
    <w:p w14:paraId="5ECFCE9C">
      <w:pPr>
        <w:autoSpaceDN/>
        <w:adjustRightInd/>
        <w:spacing w:line="42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中标供应商应对运维工作人员购买养老保险、医疗保险、意外伤害保险等。中标供应商运维期间发生的人员伤害事故等全部由中标供应商自行负责。</w:t>
      </w:r>
    </w:p>
    <w:p w14:paraId="59FBC72A">
      <w:pPr>
        <w:autoSpaceDN/>
        <w:adjustRightInd/>
        <w:spacing w:line="420" w:lineRule="exact"/>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2</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如中标供应商单月扣分累计达到100分或出现3次及以上未配合采购人工作的，采购人有权终止合同。</w:t>
      </w:r>
    </w:p>
    <w:p w14:paraId="07E63BD4">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auto"/>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b/>
          <w:bCs/>
          <w:color w:val="auto"/>
          <w:kern w:val="0"/>
          <w:sz w:val="24"/>
          <w:szCs w:val="24"/>
          <w:highlight w:val="none"/>
          <w:lang w:val="en-US" w:eastAsia="zh-CN" w:bidi="ar"/>
        </w:rPr>
        <w:t>（七）履约保证金及付款方式</w:t>
      </w:r>
    </w:p>
    <w:p w14:paraId="44E60823">
      <w:pPr>
        <w:keepNext w:val="0"/>
        <w:keepLines w:val="0"/>
        <w:pageBreakBefore w:val="0"/>
        <w:widowControl/>
        <w:suppressLineNumbers w:val="0"/>
        <w:kinsoku/>
        <w:wordWrap/>
        <w:overflowPunct/>
        <w:topLinePunct w:val="0"/>
        <w:autoSpaceDE/>
        <w:autoSpaceDN/>
        <w:bidi w:val="0"/>
        <w:adjustRightInd/>
        <w:snapToGrid/>
        <w:spacing w:line="420" w:lineRule="exact"/>
        <w:ind w:firstLine="482" w:firstLineChars="200"/>
        <w:jc w:val="left"/>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bCs/>
          <w:color w:val="auto"/>
          <w:kern w:val="0"/>
          <w:sz w:val="24"/>
          <w:szCs w:val="24"/>
          <w:highlight w:val="none"/>
          <w:lang w:val="en-US" w:eastAsia="zh-CN" w:bidi="ar"/>
        </w:rPr>
        <w:t>1、履约保证金：</w:t>
      </w:r>
      <w:r>
        <w:rPr>
          <w:rFonts w:hint="eastAsia" w:ascii="仿宋" w:hAnsi="仿宋" w:eastAsia="仿宋" w:cs="仿宋"/>
          <w:b w:val="0"/>
          <w:bCs w:val="0"/>
          <w:color w:val="auto"/>
          <w:kern w:val="0"/>
          <w:sz w:val="24"/>
          <w:szCs w:val="24"/>
          <w:highlight w:val="none"/>
          <w:lang w:val="en-US" w:eastAsia="zh-CN" w:bidi="ar"/>
        </w:rPr>
        <w:t>合同签订前，中标单位须向采购人缴纳中标金额1%的履约保证金，履约保证金在合同到期后且无违约情况下7个工作日内无息退还。</w:t>
      </w:r>
    </w:p>
    <w:p w14:paraId="559670E4">
      <w:pPr>
        <w:keepNext w:val="0"/>
        <w:keepLines w:val="0"/>
        <w:pageBreakBefore w:val="0"/>
        <w:widowControl/>
        <w:suppressLineNumbers w:val="0"/>
        <w:kinsoku/>
        <w:wordWrap/>
        <w:overflowPunct/>
        <w:topLinePunct w:val="0"/>
        <w:autoSpaceDE/>
        <w:autoSpaceDN/>
        <w:bidi w:val="0"/>
        <w:adjustRightInd/>
        <w:snapToGrid/>
        <w:spacing w:line="420" w:lineRule="exact"/>
        <w:ind w:firstLine="482" w:firstLineChars="200"/>
        <w:jc w:val="left"/>
        <w:textAlignment w:val="auto"/>
        <w:rPr>
          <w:rFonts w:hint="default" w:ascii="仿宋" w:hAnsi="仿宋" w:eastAsia="仿宋" w:cs="仿宋"/>
          <w:b w:val="0"/>
          <w:bCs w:val="0"/>
          <w:color w:val="auto"/>
          <w:kern w:val="0"/>
          <w:sz w:val="24"/>
          <w:szCs w:val="24"/>
          <w:highlight w:val="none"/>
          <w:lang w:val="en-US" w:eastAsia="zh-CN" w:bidi="ar"/>
        </w:rPr>
      </w:pPr>
      <w:r>
        <w:rPr>
          <w:rFonts w:hint="eastAsia" w:ascii="仿宋" w:hAnsi="仿宋" w:eastAsia="仿宋" w:cs="仿宋"/>
          <w:b/>
          <w:bCs/>
          <w:color w:val="auto"/>
          <w:kern w:val="0"/>
          <w:sz w:val="24"/>
          <w:szCs w:val="24"/>
          <w:highlight w:val="none"/>
          <w:lang w:val="en-US" w:eastAsia="zh-CN" w:bidi="ar"/>
        </w:rPr>
        <w:t>2、付款方式：</w:t>
      </w:r>
      <w:r>
        <w:rPr>
          <w:rFonts w:hint="eastAsia" w:ascii="仿宋" w:hAnsi="仿宋" w:eastAsia="仿宋" w:cs="仿宋"/>
          <w:color w:val="auto"/>
          <w:sz w:val="24"/>
          <w:szCs w:val="24"/>
          <w:highlight w:val="none"/>
        </w:rPr>
        <w:t>按实际运维效果进行结算，固定运维费用每</w:t>
      </w:r>
      <w:r>
        <w:rPr>
          <w:rFonts w:hint="eastAsia" w:ascii="仿宋" w:hAnsi="仿宋" w:eastAsia="仿宋" w:cs="仿宋"/>
          <w:color w:val="auto"/>
          <w:sz w:val="24"/>
          <w:szCs w:val="24"/>
          <w:highlight w:val="none"/>
          <w:lang w:val="en-US" w:eastAsia="zh-CN"/>
        </w:rPr>
        <w:t>月</w:t>
      </w:r>
      <w:r>
        <w:rPr>
          <w:rFonts w:hint="eastAsia" w:ascii="仿宋" w:hAnsi="仿宋" w:eastAsia="仿宋" w:cs="仿宋"/>
          <w:color w:val="auto"/>
          <w:sz w:val="24"/>
          <w:szCs w:val="24"/>
          <w:highlight w:val="none"/>
        </w:rPr>
        <w:t>结算一次。合同期内如遇政策调整或相关部门要求需终止运维服务的，则中标单位应无条件终止合同</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u w:val="single"/>
        </w:rPr>
        <w:t>（日常考核内容详见附件1）</w:t>
      </w:r>
      <w:r>
        <w:rPr>
          <w:rFonts w:hint="eastAsia" w:ascii="仿宋" w:hAnsi="仿宋" w:eastAsia="仿宋" w:cs="仿宋"/>
          <w:b w:val="0"/>
          <w:bCs w:val="0"/>
          <w:color w:val="auto"/>
          <w:kern w:val="0"/>
          <w:sz w:val="24"/>
          <w:szCs w:val="24"/>
          <w:highlight w:val="none"/>
          <w:lang w:val="en-US" w:eastAsia="zh-CN" w:bidi="ar"/>
        </w:rPr>
        <w:t>。</w:t>
      </w:r>
    </w:p>
    <w:p w14:paraId="1201A25C">
      <w:pPr>
        <w:keepNext w:val="0"/>
        <w:keepLines w:val="0"/>
        <w:pageBreakBefore w:val="0"/>
        <w:kinsoku/>
        <w:wordWrap/>
        <w:overflowPunct/>
        <w:topLinePunct w:val="0"/>
        <w:autoSpaceDE/>
        <w:autoSpaceDN/>
        <w:bidi w:val="0"/>
        <w:adjustRightInd/>
        <w:snapToGrid/>
        <w:spacing w:line="420" w:lineRule="exact"/>
        <w:textAlignment w:val="auto"/>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b/>
          <w:bCs/>
          <w:color w:val="auto"/>
          <w:kern w:val="0"/>
          <w:sz w:val="24"/>
          <w:szCs w:val="24"/>
          <w:highlight w:val="none"/>
          <w:lang w:val="en-US" w:eastAsia="zh-CN" w:bidi="ar"/>
        </w:rPr>
        <w:t>（八）最高限价</w:t>
      </w:r>
    </w:p>
    <w:p w14:paraId="23E7F338">
      <w:pPr>
        <w:keepNext w:val="0"/>
        <w:keepLines w:val="0"/>
        <w:pageBreakBefore w:val="0"/>
        <w:kinsoku/>
        <w:wordWrap/>
        <w:overflowPunct/>
        <w:topLinePunct w:val="0"/>
        <w:autoSpaceDE/>
        <w:autoSpaceDN/>
        <w:bidi w:val="0"/>
        <w:adjustRightInd/>
        <w:snapToGrid/>
        <w:spacing w:line="420" w:lineRule="exact"/>
        <w:ind w:firstLine="482" w:firstLineChars="200"/>
        <w:textAlignment w:val="auto"/>
        <w:rPr>
          <w:rFonts w:hint="eastAsia" w:ascii="宋体" w:hAnsi="宋体" w:cs="宋体"/>
          <w:b/>
          <w:bCs/>
          <w:color w:val="auto"/>
          <w:sz w:val="24"/>
          <w:highlight w:val="none"/>
          <w:lang w:val="en-US" w:eastAsia="zh-CN"/>
        </w:rPr>
      </w:pPr>
      <w:r>
        <w:rPr>
          <w:rFonts w:hint="eastAsia" w:ascii="仿宋" w:hAnsi="仿宋" w:eastAsia="仿宋" w:cs="仿宋"/>
          <w:b/>
          <w:bCs/>
          <w:color w:val="auto"/>
          <w:kern w:val="0"/>
          <w:sz w:val="24"/>
          <w:szCs w:val="24"/>
          <w:highlight w:val="none"/>
          <w:lang w:val="en-US" w:eastAsia="zh-CN" w:bidi="ar-SA"/>
        </w:rPr>
        <w:t>本次采购最高限价为</w:t>
      </w:r>
      <w:r>
        <w:rPr>
          <w:rFonts w:hint="eastAsia" w:ascii="仿宋" w:hAnsi="仿宋" w:eastAsia="仿宋" w:cs="仿宋"/>
          <w:b/>
          <w:bCs/>
          <w:color w:val="auto"/>
          <w:kern w:val="0"/>
          <w:sz w:val="24"/>
          <w:szCs w:val="24"/>
          <w:highlight w:val="none"/>
          <w:u w:val="single"/>
          <w:lang w:val="en-US" w:eastAsia="zh-CN" w:bidi="ar-SA"/>
        </w:rPr>
        <w:t>人民币贰拾伍万元整（¥250000.00）</w:t>
      </w:r>
      <w:r>
        <w:rPr>
          <w:rFonts w:hint="eastAsia" w:ascii="仿宋" w:hAnsi="仿宋" w:eastAsia="仿宋" w:cs="仿宋"/>
          <w:b/>
          <w:bCs/>
          <w:color w:val="auto"/>
          <w:kern w:val="0"/>
          <w:sz w:val="24"/>
          <w:szCs w:val="24"/>
          <w:highlight w:val="none"/>
          <w:lang w:val="en-US" w:eastAsia="zh-CN" w:bidi="ar-SA"/>
        </w:rPr>
        <w:t>，</w:t>
      </w:r>
      <w:r>
        <w:rPr>
          <w:rFonts w:hint="eastAsia" w:ascii="仿宋" w:hAnsi="仿宋" w:eastAsia="仿宋" w:cs="仿宋"/>
          <w:b/>
          <w:bCs/>
          <w:color w:val="auto"/>
          <w:sz w:val="24"/>
          <w:highlight w:val="none"/>
        </w:rPr>
        <w:t>任何超过最高限价的报价将被认定为无效报价（报价包括检测、人员、设备、施工、材料、运输、税费等与本项目项目实施的一切费用）</w:t>
      </w:r>
      <w:r>
        <w:rPr>
          <w:rFonts w:hint="eastAsia" w:ascii="宋体" w:hAnsi="宋体" w:cs="宋体"/>
          <w:b/>
          <w:bCs/>
          <w:color w:val="auto"/>
          <w:sz w:val="24"/>
          <w:highlight w:val="none"/>
          <w:lang w:val="en-US" w:eastAsia="zh-CN"/>
        </w:rPr>
        <w:t>。</w:t>
      </w:r>
    </w:p>
    <w:p w14:paraId="709D8EE9">
      <w:pPr>
        <w:keepNext w:val="0"/>
        <w:keepLines w:val="0"/>
        <w:pageBreakBefore w:val="0"/>
        <w:widowControl w:val="0"/>
        <w:kinsoku w:val="0"/>
        <w:wordWrap/>
        <w:overflowPunct w:val="0"/>
        <w:topLinePunct w:val="0"/>
        <w:autoSpaceDE w:val="0"/>
        <w:autoSpaceDN w:val="0"/>
        <w:bidi w:val="0"/>
        <w:adjustRightInd/>
        <w:snapToGrid/>
        <w:spacing w:line="420" w:lineRule="exact"/>
        <w:textAlignment w:val="auto"/>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b/>
          <w:bCs/>
          <w:color w:val="auto"/>
          <w:kern w:val="0"/>
          <w:sz w:val="24"/>
          <w:szCs w:val="24"/>
          <w:highlight w:val="none"/>
          <w:lang w:val="en-US" w:eastAsia="zh-CN" w:bidi="ar"/>
        </w:rPr>
        <w:t>（九）特别说明</w:t>
      </w:r>
    </w:p>
    <w:p w14:paraId="2ECF8229">
      <w:pPr>
        <w:keepNext w:val="0"/>
        <w:keepLines w:val="0"/>
        <w:pageBreakBefore w:val="0"/>
        <w:widowControl w:val="0"/>
        <w:kinsoku w:val="0"/>
        <w:wordWrap/>
        <w:overflowPunct w:val="0"/>
        <w:topLinePunct w:val="0"/>
        <w:autoSpaceDE w:val="0"/>
        <w:autoSpaceDN w:val="0"/>
        <w:bidi w:val="0"/>
        <w:adjustRightInd/>
        <w:snapToGrid/>
        <w:spacing w:line="420" w:lineRule="exact"/>
        <w:ind w:firstLine="480" w:firstLineChars="200"/>
        <w:jc w:val="left"/>
        <w:textAlignment w:val="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投标人应确保投标文件中提供的复印件真实有效，中标公示期间，采购单位如需对预中标人投标文件中所提供复印件的原件、设备的真实性进行核查。预中标人需无条件配合，如不配合或核查发现存在虚假情况,自动取消中标资格，并通报相关部门严肃处理。</w:t>
      </w:r>
    </w:p>
    <w:p w14:paraId="7FEC2142">
      <w:pPr>
        <w:keepNext w:val="0"/>
        <w:keepLines w:val="0"/>
        <w:pageBreakBefore w:val="0"/>
        <w:widowControl w:val="0"/>
        <w:kinsoku w:val="0"/>
        <w:wordWrap/>
        <w:overflowPunct w:val="0"/>
        <w:topLinePunct w:val="0"/>
        <w:autoSpaceDE w:val="0"/>
        <w:autoSpaceDN w:val="0"/>
        <w:bidi w:val="0"/>
        <w:adjustRightInd/>
        <w:snapToGrid/>
        <w:spacing w:line="42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2、打“★”条款为实质性响应条款，不满足则做废标处理。</w:t>
      </w:r>
      <w:r>
        <w:rPr>
          <w:rFonts w:hint="eastAsia" w:ascii="仿宋" w:hAnsi="仿宋" w:eastAsia="仿宋" w:cs="仿宋"/>
          <w:color w:val="auto"/>
          <w:sz w:val="24"/>
          <w:szCs w:val="24"/>
          <w:highlight w:val="none"/>
          <w:lang w:val="en-US" w:eastAsia="zh-CN"/>
        </w:rPr>
        <w:t>投标人</w:t>
      </w:r>
      <w:r>
        <w:rPr>
          <w:rFonts w:hint="eastAsia" w:ascii="仿宋" w:hAnsi="仿宋" w:eastAsia="仿宋" w:cs="仿宋"/>
          <w:color w:val="auto"/>
          <w:sz w:val="24"/>
          <w:szCs w:val="24"/>
          <w:highlight w:val="none"/>
        </w:rPr>
        <w:t>须在投标文件中提供响应“★”条款的证明材料或相关承诺。</w:t>
      </w:r>
    </w:p>
    <w:p w14:paraId="41444080">
      <w:pPr>
        <w:spacing w:line="360" w:lineRule="auto"/>
        <w:rPr>
          <w:rFonts w:hint="eastAsia" w:ascii="仿宋" w:hAnsi="仿宋" w:eastAsia="仿宋" w:cs="仿宋"/>
          <w:b/>
          <w:color w:val="auto"/>
          <w:sz w:val="24"/>
          <w:szCs w:val="24"/>
          <w:highlight w:val="none"/>
        </w:rPr>
        <w:sectPr>
          <w:headerReference r:id="rId6" w:type="default"/>
          <w:footerReference r:id="rId7" w:type="default"/>
          <w:pgSz w:w="11906" w:h="16838"/>
          <w:pgMar w:top="1440" w:right="1080" w:bottom="1440" w:left="1080" w:header="851" w:footer="992" w:gutter="0"/>
          <w:pgBorders>
            <w:top w:val="none" w:sz="0" w:space="0"/>
            <w:left w:val="none" w:sz="0" w:space="0"/>
            <w:bottom w:val="none" w:sz="0" w:space="0"/>
            <w:right w:val="none" w:sz="0" w:space="0"/>
          </w:pgBorders>
          <w:pgNumType w:fmt="decimal" w:start="1"/>
          <w:cols w:space="720" w:num="1"/>
          <w:docGrid w:type="lines" w:linePitch="312" w:charSpace="0"/>
        </w:sectPr>
      </w:pPr>
    </w:p>
    <w:p w14:paraId="731C5A79">
      <w:pPr>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附件1：</w:t>
      </w:r>
    </w:p>
    <w:p w14:paraId="2408DA0E">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w:t>
      </w:r>
      <w:r>
        <w:rPr>
          <w:rFonts w:hint="eastAsia" w:ascii="仿宋" w:hAnsi="仿宋" w:eastAsia="仿宋" w:cs="仿宋"/>
          <w:b/>
          <w:color w:val="auto"/>
          <w:sz w:val="24"/>
          <w:szCs w:val="24"/>
          <w:highlight w:val="none"/>
          <w:lang w:val="en-US" w:eastAsia="zh-CN"/>
        </w:rPr>
        <w:t>姚江镇</w:t>
      </w:r>
      <w:r>
        <w:rPr>
          <w:rFonts w:hint="eastAsia" w:ascii="仿宋" w:hAnsi="仿宋" w:eastAsia="仿宋" w:cs="仿宋"/>
          <w:b/>
          <w:color w:val="auto"/>
          <w:sz w:val="24"/>
          <w:szCs w:val="24"/>
          <w:highlight w:val="none"/>
          <w:lang w:eastAsia="zh-CN"/>
        </w:rPr>
        <w:t>生活污水治理设施第三方运维服务采购项目</w:t>
      </w:r>
      <w:r>
        <w:rPr>
          <w:rFonts w:hint="eastAsia" w:ascii="仿宋" w:hAnsi="仿宋" w:eastAsia="仿宋" w:cs="仿宋"/>
          <w:b/>
          <w:color w:val="auto"/>
          <w:sz w:val="24"/>
          <w:szCs w:val="24"/>
          <w:highlight w:val="none"/>
        </w:rPr>
        <w:t>考核内容》</w:t>
      </w:r>
    </w:p>
    <w:p w14:paraId="7214900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中标</w:t>
      </w:r>
      <w:r>
        <w:rPr>
          <w:rFonts w:hint="eastAsia" w:ascii="仿宋" w:hAnsi="仿宋" w:eastAsia="仿宋" w:cs="仿宋"/>
          <w:color w:val="auto"/>
          <w:sz w:val="24"/>
          <w:szCs w:val="24"/>
          <w:highlight w:val="none"/>
        </w:rPr>
        <w:t>人完成的工作量和质量由</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进行考核，并作为运维费用支付依据。</w:t>
      </w:r>
    </w:p>
    <w:p w14:paraId="4E6C358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对</w:t>
      </w:r>
      <w:r>
        <w:rPr>
          <w:rFonts w:hint="eastAsia" w:ascii="仿宋" w:hAnsi="仿宋" w:eastAsia="仿宋" w:cs="仿宋"/>
          <w:color w:val="auto"/>
          <w:sz w:val="24"/>
          <w:szCs w:val="24"/>
          <w:highlight w:val="none"/>
          <w:lang w:eastAsia="zh-CN"/>
        </w:rPr>
        <w:t>中标</w:t>
      </w:r>
      <w:r>
        <w:rPr>
          <w:rFonts w:hint="eastAsia" w:ascii="仿宋" w:hAnsi="仿宋" w:eastAsia="仿宋" w:cs="仿宋"/>
          <w:color w:val="auto"/>
          <w:sz w:val="24"/>
          <w:szCs w:val="24"/>
          <w:highlight w:val="none"/>
        </w:rPr>
        <w:t>人日常运维进行考核，每违反一处按相应要求扣分，每扣1分固定运维资金扣100元。</w:t>
      </w:r>
    </w:p>
    <w:p w14:paraId="2909B16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3、具体日常考核细则如下：</w:t>
      </w:r>
    </w:p>
    <w:p w14:paraId="0594773B">
      <w:pPr>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（1）接户端有堵塞、破损等现象，每发现一处扣1分，上级部门检查中发现的加倍扣分。</w:t>
      </w:r>
    </w:p>
    <w:p w14:paraId="1C6837C0">
      <w:pPr>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（2）清扫井、化粪池有满溢现象，每发现一处扣1分，上级部门检查中发现的加倍扣分。</w:t>
      </w:r>
    </w:p>
    <w:p w14:paraId="03E06071">
      <w:pPr>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（3）管道堵塞有淤积物现象，每发现一处扣1分，上级部门检查中发现的加倍扣分。</w:t>
      </w:r>
    </w:p>
    <w:p w14:paraId="23FA355B">
      <w:pPr>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（4）检查井有破损现象，每发现一处扣1分，上级部门检查中发现的加倍扣分。</w:t>
      </w:r>
    </w:p>
    <w:p w14:paraId="22FE9A22">
      <w:pPr>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（5）格栅井有堵塞、变形现象，每发现一处扣1分，上级部门检查中发现的加倍扣分。</w:t>
      </w:r>
    </w:p>
    <w:p w14:paraId="58CC4E71">
      <w:pPr>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（6）电机设备运行不正常，每发现一处扣1分，上级部门检查中发现的加倍扣分。</w:t>
      </w:r>
    </w:p>
    <w:p w14:paraId="3515550C">
      <w:pPr>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（7）人工湿地杂草丛生，每发现一处扣1分，上级部门检查中发现的加倍扣分。</w:t>
      </w:r>
    </w:p>
    <w:p w14:paraId="3EA08BE3">
      <w:pPr>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（8）进出水不正常，每发现一处扣1分，上级部门检查中发现的加倍扣分。</w:t>
      </w:r>
    </w:p>
    <w:p w14:paraId="35A39816">
      <w:pPr>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（9）标志标牌有缺失，每发现一处扣1分，上级部门检查中发现的加倍扣分。</w:t>
      </w:r>
    </w:p>
    <w:p w14:paraId="4AFE8B57">
      <w:pPr>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检查过程中发现台账资料不全，未履行日常巡查职责的，每发生一次扣2分，上级部门检查中发现的加倍扣分。</w:t>
      </w:r>
    </w:p>
    <w:p w14:paraId="5B0E0B38">
      <w:pPr>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走访时群众反响不好的，核实后每发生一次扣2分。</w:t>
      </w:r>
    </w:p>
    <w:p w14:paraId="52C2CC3D">
      <w:pPr>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（12）未积极配合</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工作的，每发生一次扣5分。</w:t>
      </w:r>
    </w:p>
    <w:p w14:paraId="74CE32DB">
      <w:pPr>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（13）发生有效信访的1次扣1分，重复信访的每次扣2分。</w:t>
      </w:r>
    </w:p>
    <w:p w14:paraId="3890C0F0">
      <w:pPr>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（14）上级部门通报批评，每次扣5分。</w:t>
      </w:r>
    </w:p>
    <w:p w14:paraId="231923B8">
      <w:pPr>
        <w:spacing w:line="360" w:lineRule="auto"/>
        <w:ind w:firstLine="360" w:firstLineChars="150"/>
        <w:rPr>
          <w:rFonts w:hint="default"/>
          <w:color w:val="auto"/>
          <w:highlight w:val="none"/>
          <w:lang w:val="en-US" w:eastAsia="zh-CN"/>
        </w:rPr>
      </w:pPr>
      <w:r>
        <w:rPr>
          <w:rFonts w:hint="eastAsia" w:ascii="仿宋" w:hAnsi="仿宋" w:eastAsia="仿宋" w:cs="仿宋"/>
          <w:color w:val="auto"/>
          <w:sz w:val="24"/>
          <w:szCs w:val="24"/>
          <w:highlight w:val="none"/>
        </w:rPr>
        <w:t>（15）发生媒体负面报道的，每次扣5分。</w:t>
      </w:r>
    </w:p>
    <w:sectPr>
      <w:pgSz w:w="11906" w:h="16838"/>
      <w:pgMar w:top="1440" w:right="1080" w:bottom="1440" w:left="1080" w:header="851" w:footer="992" w:gutter="0"/>
      <w:pgBorders>
        <w:top w:val="none" w:sz="0" w:space="0"/>
        <w:left w:val="none" w:sz="0" w:space="0"/>
        <w:bottom w:val="none" w:sz="0" w:space="0"/>
        <w:right w:val="none" w:sz="0" w:space="0"/>
      </w:pgBorders>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Helvetica">
    <w:altName w:val="Arial"/>
    <w:panose1 w:val="020B0604020202020204"/>
    <w:charset w:val="00"/>
    <w:family w:val="swiss"/>
    <w:pitch w:val="default"/>
    <w:sig w:usb0="00000000" w:usb1="00000000" w:usb2="00000009" w:usb3="00000000" w:csb0="000001FF" w:csb1="00000000"/>
  </w:font>
  <w:font w:name="楷体_GB2312">
    <w:panose1 w:val="02010609030101010101"/>
    <w:charset w:val="86"/>
    <w:family w:val="modern"/>
    <w:pitch w:val="default"/>
    <w:sig w:usb0="00000001" w:usb1="080E0000" w:usb2="00000000" w:usb3="00000000" w:csb0="00040000"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Century">
    <w:altName w:val="Times New Roman"/>
    <w:panose1 w:val="02040604050505020304"/>
    <w:charset w:val="00"/>
    <w:family w:val="roman"/>
    <w:pitch w:val="default"/>
    <w:sig w:usb0="00000000" w:usb1="00000000" w:usb2="00000000" w:usb3="00000000" w:csb0="2000009F" w:csb1="DFD7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B5DA52">
    <w:pPr>
      <w:pStyle w:val="20"/>
      <w:jc w:val="center"/>
    </w:pPr>
  </w:p>
  <w:p w14:paraId="3C112373">
    <w:pPr>
      <w:pStyle w:val="2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708E15">
    <w:pPr>
      <w:pStyle w:val="20"/>
      <w:jc w:val="center"/>
    </w:pPr>
  </w:p>
  <w:p w14:paraId="5948A118">
    <w:pPr>
      <w:pStyle w:val="2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78224A">
    <w:pPr>
      <w:pStyle w:val="20"/>
      <w:tabs>
        <w:tab w:val="left" w:pos="5051"/>
        <w:tab w:val="clear" w:pos="4153"/>
      </w:tabs>
      <w:ind w:right="360"/>
      <w:rPr>
        <w:rFonts w:hint="eastAsia" w:eastAsia="宋体"/>
        <w:lang w:eastAsia="zh-CN"/>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31A98E">
                          <w:pPr>
                            <w:pStyle w:val="2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3131A98E">
                    <w:pPr>
                      <w:pStyle w:val="20"/>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lang w:eastAsia="zh-CN"/>
      </w:rPr>
      <w:tab/>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D4E8EC">
    <w:pPr>
      <w:pStyle w:val="21"/>
      <w:rPr>
        <w:rFonts w:hint="eastAsia" w:ascii="宋体" w:hAnsi="宋体" w:eastAsia="宋体" w:cs="宋体"/>
        <w:sz w:val="21"/>
        <w:szCs w:val="21"/>
      </w:rPr>
    </w:pPr>
    <w:r>
      <w:rPr>
        <w:rFonts w:hint="eastAsia" w:ascii="宋体" w:hAnsi="宋体" w:eastAsia="宋体" w:cs="宋体"/>
        <w:sz w:val="21"/>
        <w:szCs w:val="21"/>
      </w:rPr>
      <w:t>诸暨市宸佳工程管理有限公司采购要素文件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41E1B3">
    <w:pPr>
      <w:pStyle w:val="21"/>
      <w:rPr>
        <w:rFonts w:hint="eastAsia" w:ascii="宋体" w:hAnsi="宋体" w:eastAsia="宋体" w:cs="宋体"/>
      </w:rPr>
    </w:pPr>
    <w:r>
      <w:rPr>
        <w:rFonts w:hint="eastAsia" w:ascii="宋体" w:hAnsi="宋体" w:eastAsia="宋体" w:cs="宋体"/>
        <w:sz w:val="21"/>
        <w:szCs w:val="21"/>
      </w:rPr>
      <w:t>诸暨市宸佳工程管理有限公司采购要素文件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595E0FD"/>
    <w:multiLevelType w:val="singleLevel"/>
    <w:tmpl w:val="D595E0FD"/>
    <w:lvl w:ilvl="0" w:tentative="0">
      <w:start w:val="1"/>
      <w:numFmt w:val="decimal"/>
      <w:pStyle w:val="11"/>
      <w:lvlText w:val="%1."/>
      <w:lvlJc w:val="left"/>
      <w:pPr>
        <w:tabs>
          <w:tab w:val="left" w:pos="360"/>
        </w:tabs>
        <w:ind w:left="360" w:hanging="360"/>
      </w:pPr>
    </w:lvl>
  </w:abstractNum>
  <w:abstractNum w:abstractNumId="1">
    <w:nsid w:val="00000000"/>
    <w:multiLevelType w:val="multilevel"/>
    <w:tmpl w:val="00000000"/>
    <w:lvl w:ilvl="0" w:tentative="0">
      <w:start w:val="1"/>
      <w:numFmt w:val="decimal"/>
      <w:pStyle w:val="56"/>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2">
    <w:nsid w:val="00000001"/>
    <w:multiLevelType w:val="multilevel"/>
    <w:tmpl w:val="00000001"/>
    <w:lvl w:ilvl="0" w:tentative="0">
      <w:start w:val="1"/>
      <w:numFmt w:val="japaneseCounting"/>
      <w:lvlText w:val="第%1章"/>
      <w:lvlJc w:val="left"/>
      <w:pPr>
        <w:tabs>
          <w:tab w:val="left" w:pos="1995"/>
        </w:tabs>
        <w:ind w:left="1995" w:hanging="1275"/>
      </w:pPr>
      <w:rPr>
        <w:rFonts w:hint="eastAsia"/>
      </w:rPr>
    </w:lvl>
    <w:lvl w:ilvl="1" w:tentative="0">
      <w:start w:val="1"/>
      <w:numFmt w:val="japaneseCounting"/>
      <w:lvlText w:val="%2、"/>
      <w:lvlJc w:val="left"/>
      <w:pPr>
        <w:tabs>
          <w:tab w:val="left" w:pos="1860"/>
        </w:tabs>
        <w:ind w:left="1860" w:hanging="720"/>
      </w:pPr>
      <w:rPr>
        <w:rFonts w:hint="eastAsia"/>
      </w:rPr>
    </w:lvl>
    <w:lvl w:ilvl="2" w:tentative="0">
      <w:start w:val="1"/>
      <w:numFmt w:val="lowerRoman"/>
      <w:pStyle w:val="67"/>
      <w:lvlText w:val="%3."/>
      <w:lvlJc w:val="right"/>
      <w:pPr>
        <w:tabs>
          <w:tab w:val="left" w:pos="1980"/>
        </w:tabs>
        <w:ind w:left="1980" w:hanging="420"/>
      </w:pPr>
    </w:lvl>
    <w:lvl w:ilvl="3" w:tentative="0">
      <w:start w:val="1"/>
      <w:numFmt w:val="decimal"/>
      <w:lvlText w:val="%4."/>
      <w:lvlJc w:val="left"/>
      <w:pPr>
        <w:tabs>
          <w:tab w:val="left" w:pos="2400"/>
        </w:tabs>
        <w:ind w:left="2400" w:hanging="420"/>
      </w:pPr>
    </w:lvl>
    <w:lvl w:ilvl="4" w:tentative="0">
      <w:start w:val="1"/>
      <w:numFmt w:val="lowerLetter"/>
      <w:lvlText w:val="%5)"/>
      <w:lvlJc w:val="left"/>
      <w:pPr>
        <w:tabs>
          <w:tab w:val="left" w:pos="2820"/>
        </w:tabs>
        <w:ind w:left="2820" w:hanging="420"/>
      </w:pPr>
    </w:lvl>
    <w:lvl w:ilvl="5" w:tentative="0">
      <w:start w:val="1"/>
      <w:numFmt w:val="lowerRoman"/>
      <w:lvlText w:val="%6."/>
      <w:lvlJc w:val="right"/>
      <w:pPr>
        <w:tabs>
          <w:tab w:val="left" w:pos="3240"/>
        </w:tabs>
        <w:ind w:left="3240" w:hanging="420"/>
      </w:pPr>
    </w:lvl>
    <w:lvl w:ilvl="6" w:tentative="0">
      <w:start w:val="1"/>
      <w:numFmt w:val="decimal"/>
      <w:lvlText w:val="%7."/>
      <w:lvlJc w:val="left"/>
      <w:pPr>
        <w:tabs>
          <w:tab w:val="left" w:pos="3660"/>
        </w:tabs>
        <w:ind w:left="3660" w:hanging="420"/>
      </w:pPr>
    </w:lvl>
    <w:lvl w:ilvl="7" w:tentative="0">
      <w:start w:val="1"/>
      <w:numFmt w:val="lowerLetter"/>
      <w:lvlText w:val="%8)"/>
      <w:lvlJc w:val="left"/>
      <w:pPr>
        <w:tabs>
          <w:tab w:val="left" w:pos="4080"/>
        </w:tabs>
        <w:ind w:left="4080" w:hanging="420"/>
      </w:pPr>
    </w:lvl>
    <w:lvl w:ilvl="8" w:tentative="0">
      <w:start w:val="1"/>
      <w:numFmt w:val="lowerRoman"/>
      <w:lvlText w:val="%9."/>
      <w:lvlJc w:val="right"/>
      <w:pPr>
        <w:tabs>
          <w:tab w:val="left" w:pos="4500"/>
        </w:tabs>
        <w:ind w:left="4500" w:hanging="420"/>
      </w:pPr>
    </w:lvl>
  </w:abstractNum>
  <w:abstractNum w:abstractNumId="3">
    <w:nsid w:val="00000002"/>
    <w:multiLevelType w:val="singleLevel"/>
    <w:tmpl w:val="00000002"/>
    <w:lvl w:ilvl="0" w:tentative="0">
      <w:start w:val="1"/>
      <w:numFmt w:val="decimal"/>
      <w:pStyle w:val="16"/>
      <w:lvlText w:val="%1."/>
      <w:lvlJc w:val="left"/>
      <w:pPr>
        <w:tabs>
          <w:tab w:val="left" w:pos="1200"/>
        </w:tabs>
        <w:ind w:left="1200" w:hanging="360"/>
      </w:p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attachedTemplate r:id="rId1"/>
  <w:documentProtection w:enforcement="0"/>
  <w:defaultTabStop w:val="420"/>
  <w:hyphenationZone w:val="360"/>
  <w:drawingGridVerticalSpacing w:val="156"/>
  <w:displayHorizontalDrawingGridEvery w:val="1"/>
  <w:displayVerticalDrawingGridEvery w:val="1"/>
  <w:doNotShadeFormData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ZiOTQwM2Q1MWJhZmQ3MzFmZTU4OTNhNDBlM2Y0MDYifQ=="/>
  </w:docVars>
  <w:rsids>
    <w:rsidRoot w:val="0B866983"/>
    <w:rsid w:val="000D3C7F"/>
    <w:rsid w:val="00144938"/>
    <w:rsid w:val="00315BF5"/>
    <w:rsid w:val="003C0401"/>
    <w:rsid w:val="00424EA3"/>
    <w:rsid w:val="00652195"/>
    <w:rsid w:val="006553C5"/>
    <w:rsid w:val="00836A07"/>
    <w:rsid w:val="0094398B"/>
    <w:rsid w:val="009A7373"/>
    <w:rsid w:val="00A06B6D"/>
    <w:rsid w:val="00B2640A"/>
    <w:rsid w:val="00C7343A"/>
    <w:rsid w:val="00D227EA"/>
    <w:rsid w:val="00D31C19"/>
    <w:rsid w:val="00D93454"/>
    <w:rsid w:val="00DA45EC"/>
    <w:rsid w:val="00EC5B5A"/>
    <w:rsid w:val="014028DB"/>
    <w:rsid w:val="0189021D"/>
    <w:rsid w:val="01DC7E4F"/>
    <w:rsid w:val="02A42670"/>
    <w:rsid w:val="030F7077"/>
    <w:rsid w:val="039E15CC"/>
    <w:rsid w:val="03AA73D4"/>
    <w:rsid w:val="043313F4"/>
    <w:rsid w:val="045F11F9"/>
    <w:rsid w:val="04750A55"/>
    <w:rsid w:val="049F65CF"/>
    <w:rsid w:val="04A10ECD"/>
    <w:rsid w:val="04AC558B"/>
    <w:rsid w:val="04B443CB"/>
    <w:rsid w:val="04EF1AD4"/>
    <w:rsid w:val="05773687"/>
    <w:rsid w:val="05816FE5"/>
    <w:rsid w:val="059B5DCD"/>
    <w:rsid w:val="059D74F7"/>
    <w:rsid w:val="05AF76AE"/>
    <w:rsid w:val="05D11D1B"/>
    <w:rsid w:val="05FE4E3E"/>
    <w:rsid w:val="06B73228"/>
    <w:rsid w:val="06ED645A"/>
    <w:rsid w:val="071C6568"/>
    <w:rsid w:val="072061EE"/>
    <w:rsid w:val="0756268B"/>
    <w:rsid w:val="07F71A34"/>
    <w:rsid w:val="08283748"/>
    <w:rsid w:val="083A1F2B"/>
    <w:rsid w:val="08664804"/>
    <w:rsid w:val="089537EA"/>
    <w:rsid w:val="09244C7B"/>
    <w:rsid w:val="093261C8"/>
    <w:rsid w:val="09684618"/>
    <w:rsid w:val="09AB0AD5"/>
    <w:rsid w:val="09CB4843"/>
    <w:rsid w:val="0A1C68D5"/>
    <w:rsid w:val="0A522B7B"/>
    <w:rsid w:val="0A6025D0"/>
    <w:rsid w:val="0ABA1E84"/>
    <w:rsid w:val="0AF3096D"/>
    <w:rsid w:val="0B0B29D2"/>
    <w:rsid w:val="0B353DB6"/>
    <w:rsid w:val="0B540CD3"/>
    <w:rsid w:val="0B7F2C90"/>
    <w:rsid w:val="0B866983"/>
    <w:rsid w:val="0BB85309"/>
    <w:rsid w:val="0C046E83"/>
    <w:rsid w:val="0C255F57"/>
    <w:rsid w:val="0C5E13E0"/>
    <w:rsid w:val="0C5F7261"/>
    <w:rsid w:val="0C6135B9"/>
    <w:rsid w:val="0D302659"/>
    <w:rsid w:val="0D4111B4"/>
    <w:rsid w:val="0D4E59FF"/>
    <w:rsid w:val="0D891309"/>
    <w:rsid w:val="0D9F5915"/>
    <w:rsid w:val="0DAA5834"/>
    <w:rsid w:val="0DC6347A"/>
    <w:rsid w:val="0DF8167C"/>
    <w:rsid w:val="0E162E85"/>
    <w:rsid w:val="0E921F3A"/>
    <w:rsid w:val="0EB236F4"/>
    <w:rsid w:val="0ECC797F"/>
    <w:rsid w:val="0F3845C8"/>
    <w:rsid w:val="0FB32491"/>
    <w:rsid w:val="0FDA488D"/>
    <w:rsid w:val="10016618"/>
    <w:rsid w:val="1021134F"/>
    <w:rsid w:val="10A062EA"/>
    <w:rsid w:val="10AE34B4"/>
    <w:rsid w:val="10C314BD"/>
    <w:rsid w:val="10CA0562"/>
    <w:rsid w:val="113D4C3F"/>
    <w:rsid w:val="121A0CAB"/>
    <w:rsid w:val="12D82725"/>
    <w:rsid w:val="1311032E"/>
    <w:rsid w:val="13667A48"/>
    <w:rsid w:val="13863A69"/>
    <w:rsid w:val="13972906"/>
    <w:rsid w:val="139859AB"/>
    <w:rsid w:val="13C7650B"/>
    <w:rsid w:val="13F80B52"/>
    <w:rsid w:val="14780201"/>
    <w:rsid w:val="14947AFB"/>
    <w:rsid w:val="14B22D17"/>
    <w:rsid w:val="14B53341"/>
    <w:rsid w:val="14F670A8"/>
    <w:rsid w:val="155A041D"/>
    <w:rsid w:val="15770AE9"/>
    <w:rsid w:val="15886E67"/>
    <w:rsid w:val="15B57D93"/>
    <w:rsid w:val="169A7825"/>
    <w:rsid w:val="16C13E0A"/>
    <w:rsid w:val="16ED510D"/>
    <w:rsid w:val="174A36DB"/>
    <w:rsid w:val="17B52034"/>
    <w:rsid w:val="17B71316"/>
    <w:rsid w:val="17EE1542"/>
    <w:rsid w:val="189D783A"/>
    <w:rsid w:val="193951E7"/>
    <w:rsid w:val="1970498E"/>
    <w:rsid w:val="19B4308D"/>
    <w:rsid w:val="19EA6083"/>
    <w:rsid w:val="1A1F435C"/>
    <w:rsid w:val="1A601E3C"/>
    <w:rsid w:val="1A64341E"/>
    <w:rsid w:val="1A7A7E5C"/>
    <w:rsid w:val="1AB85FB0"/>
    <w:rsid w:val="1AC63078"/>
    <w:rsid w:val="1ACD2659"/>
    <w:rsid w:val="1AF7786B"/>
    <w:rsid w:val="1B733CCE"/>
    <w:rsid w:val="1B754311"/>
    <w:rsid w:val="1B756B4E"/>
    <w:rsid w:val="1C202158"/>
    <w:rsid w:val="1C691F81"/>
    <w:rsid w:val="1C906977"/>
    <w:rsid w:val="1CC014D3"/>
    <w:rsid w:val="1D3A55EB"/>
    <w:rsid w:val="1D5050EB"/>
    <w:rsid w:val="1D5645B6"/>
    <w:rsid w:val="1D610362"/>
    <w:rsid w:val="1DC3554C"/>
    <w:rsid w:val="1DDE33ED"/>
    <w:rsid w:val="1E237BE7"/>
    <w:rsid w:val="1E81650C"/>
    <w:rsid w:val="1E8412C6"/>
    <w:rsid w:val="1E85149C"/>
    <w:rsid w:val="1F297FCA"/>
    <w:rsid w:val="1F4D3D68"/>
    <w:rsid w:val="1F634696"/>
    <w:rsid w:val="1FE826AB"/>
    <w:rsid w:val="20A21226"/>
    <w:rsid w:val="20AC4FFF"/>
    <w:rsid w:val="20DD28B4"/>
    <w:rsid w:val="21354BDD"/>
    <w:rsid w:val="218A57AF"/>
    <w:rsid w:val="22034BB2"/>
    <w:rsid w:val="2279049E"/>
    <w:rsid w:val="22B066AC"/>
    <w:rsid w:val="22C429E7"/>
    <w:rsid w:val="2366764B"/>
    <w:rsid w:val="23695816"/>
    <w:rsid w:val="23B5012E"/>
    <w:rsid w:val="23E623D9"/>
    <w:rsid w:val="23F7096A"/>
    <w:rsid w:val="241C3434"/>
    <w:rsid w:val="245D4732"/>
    <w:rsid w:val="2516191C"/>
    <w:rsid w:val="2557160A"/>
    <w:rsid w:val="255D282B"/>
    <w:rsid w:val="2581740A"/>
    <w:rsid w:val="25DF154D"/>
    <w:rsid w:val="26843677"/>
    <w:rsid w:val="26BA332E"/>
    <w:rsid w:val="26C75CDF"/>
    <w:rsid w:val="26DA1227"/>
    <w:rsid w:val="270218C6"/>
    <w:rsid w:val="272E0923"/>
    <w:rsid w:val="273A2F28"/>
    <w:rsid w:val="274079DC"/>
    <w:rsid w:val="276C144B"/>
    <w:rsid w:val="2799500F"/>
    <w:rsid w:val="28041684"/>
    <w:rsid w:val="280D7C44"/>
    <w:rsid w:val="282D736F"/>
    <w:rsid w:val="28840E74"/>
    <w:rsid w:val="28B549CD"/>
    <w:rsid w:val="28D74BA3"/>
    <w:rsid w:val="28FE0A96"/>
    <w:rsid w:val="290060A6"/>
    <w:rsid w:val="2914136F"/>
    <w:rsid w:val="29627EB4"/>
    <w:rsid w:val="29DD3B05"/>
    <w:rsid w:val="2A1E3F76"/>
    <w:rsid w:val="2A46683F"/>
    <w:rsid w:val="2A983A74"/>
    <w:rsid w:val="2AAB3408"/>
    <w:rsid w:val="2B547FCD"/>
    <w:rsid w:val="2B905F7A"/>
    <w:rsid w:val="2BB12875"/>
    <w:rsid w:val="2BE27F2E"/>
    <w:rsid w:val="2BF51A0F"/>
    <w:rsid w:val="2C04468E"/>
    <w:rsid w:val="2C36731D"/>
    <w:rsid w:val="2C5461C7"/>
    <w:rsid w:val="2C7238E6"/>
    <w:rsid w:val="2C8C000B"/>
    <w:rsid w:val="2CB74F17"/>
    <w:rsid w:val="2CE542FE"/>
    <w:rsid w:val="2CEC01C2"/>
    <w:rsid w:val="2CEE369C"/>
    <w:rsid w:val="2D8E4D9B"/>
    <w:rsid w:val="2D9827FA"/>
    <w:rsid w:val="2DBA5021"/>
    <w:rsid w:val="2DC31A33"/>
    <w:rsid w:val="2E0629C2"/>
    <w:rsid w:val="2E1C520C"/>
    <w:rsid w:val="2E9E04C0"/>
    <w:rsid w:val="2EBA6133"/>
    <w:rsid w:val="2EC96E86"/>
    <w:rsid w:val="2F083808"/>
    <w:rsid w:val="2F261365"/>
    <w:rsid w:val="2F4F4BF5"/>
    <w:rsid w:val="2FCD5520"/>
    <w:rsid w:val="300633DF"/>
    <w:rsid w:val="303659AA"/>
    <w:rsid w:val="303C3610"/>
    <w:rsid w:val="30452D1C"/>
    <w:rsid w:val="30BB0C62"/>
    <w:rsid w:val="30C2441E"/>
    <w:rsid w:val="30F82246"/>
    <w:rsid w:val="315F3043"/>
    <w:rsid w:val="316567D8"/>
    <w:rsid w:val="31794A44"/>
    <w:rsid w:val="31841701"/>
    <w:rsid w:val="318B2E4E"/>
    <w:rsid w:val="31A737AC"/>
    <w:rsid w:val="31DD1C95"/>
    <w:rsid w:val="31E9544A"/>
    <w:rsid w:val="32531D24"/>
    <w:rsid w:val="32773E91"/>
    <w:rsid w:val="32806ADE"/>
    <w:rsid w:val="32857243"/>
    <w:rsid w:val="32FF52D5"/>
    <w:rsid w:val="331210F9"/>
    <w:rsid w:val="3341543E"/>
    <w:rsid w:val="33536440"/>
    <w:rsid w:val="336500C4"/>
    <w:rsid w:val="3365436E"/>
    <w:rsid w:val="352F5C2B"/>
    <w:rsid w:val="35545734"/>
    <w:rsid w:val="356A7B49"/>
    <w:rsid w:val="35747E71"/>
    <w:rsid w:val="358E513C"/>
    <w:rsid w:val="35A04DD9"/>
    <w:rsid w:val="35B00755"/>
    <w:rsid w:val="35B57E04"/>
    <w:rsid w:val="36740C02"/>
    <w:rsid w:val="368D57B6"/>
    <w:rsid w:val="3695175A"/>
    <w:rsid w:val="36C556E2"/>
    <w:rsid w:val="36EF34FF"/>
    <w:rsid w:val="37732382"/>
    <w:rsid w:val="37757AC5"/>
    <w:rsid w:val="37AF23FC"/>
    <w:rsid w:val="37C1055A"/>
    <w:rsid w:val="37C56FEC"/>
    <w:rsid w:val="37CA561C"/>
    <w:rsid w:val="3810712B"/>
    <w:rsid w:val="381535C3"/>
    <w:rsid w:val="38D81B5A"/>
    <w:rsid w:val="39364FB6"/>
    <w:rsid w:val="39572C33"/>
    <w:rsid w:val="39A62258"/>
    <w:rsid w:val="39EF2740"/>
    <w:rsid w:val="3A3A411E"/>
    <w:rsid w:val="3B0D607B"/>
    <w:rsid w:val="3B23472E"/>
    <w:rsid w:val="3B5276C4"/>
    <w:rsid w:val="3B55117D"/>
    <w:rsid w:val="3BBD5F71"/>
    <w:rsid w:val="3C483740"/>
    <w:rsid w:val="3C6D114E"/>
    <w:rsid w:val="3CA728A4"/>
    <w:rsid w:val="3CD704DD"/>
    <w:rsid w:val="3D0A2E41"/>
    <w:rsid w:val="3D625B7C"/>
    <w:rsid w:val="3D876D59"/>
    <w:rsid w:val="3DB03E61"/>
    <w:rsid w:val="3DDD34D6"/>
    <w:rsid w:val="3E042F22"/>
    <w:rsid w:val="3E057DD2"/>
    <w:rsid w:val="3E57313A"/>
    <w:rsid w:val="3EAA2A7A"/>
    <w:rsid w:val="3EBC016B"/>
    <w:rsid w:val="3EE6168C"/>
    <w:rsid w:val="3EE85C79"/>
    <w:rsid w:val="3F1340AC"/>
    <w:rsid w:val="3F6A5E19"/>
    <w:rsid w:val="3F9A4950"/>
    <w:rsid w:val="3F9D3EC4"/>
    <w:rsid w:val="3FA330D9"/>
    <w:rsid w:val="3FAB300F"/>
    <w:rsid w:val="3FAF7C65"/>
    <w:rsid w:val="40B7471D"/>
    <w:rsid w:val="40CD0934"/>
    <w:rsid w:val="40DE7B8B"/>
    <w:rsid w:val="40DF6392"/>
    <w:rsid w:val="417314BA"/>
    <w:rsid w:val="417F497B"/>
    <w:rsid w:val="420A5521"/>
    <w:rsid w:val="42427EF4"/>
    <w:rsid w:val="42733338"/>
    <w:rsid w:val="42A2370B"/>
    <w:rsid w:val="42CD6DEA"/>
    <w:rsid w:val="42F238F2"/>
    <w:rsid w:val="432E265D"/>
    <w:rsid w:val="43513EFC"/>
    <w:rsid w:val="438A5AEF"/>
    <w:rsid w:val="44061F0A"/>
    <w:rsid w:val="440B4E4B"/>
    <w:rsid w:val="440F6DC5"/>
    <w:rsid w:val="443F5AC6"/>
    <w:rsid w:val="444C6E1C"/>
    <w:rsid w:val="44580936"/>
    <w:rsid w:val="451A074A"/>
    <w:rsid w:val="45E4064C"/>
    <w:rsid w:val="461E5753"/>
    <w:rsid w:val="46A676CF"/>
    <w:rsid w:val="46E0403D"/>
    <w:rsid w:val="472B67C3"/>
    <w:rsid w:val="479E4324"/>
    <w:rsid w:val="47E856D7"/>
    <w:rsid w:val="48432720"/>
    <w:rsid w:val="488E4ABD"/>
    <w:rsid w:val="48C93BD4"/>
    <w:rsid w:val="49010A0D"/>
    <w:rsid w:val="49301E81"/>
    <w:rsid w:val="49724563"/>
    <w:rsid w:val="49755C46"/>
    <w:rsid w:val="498707CA"/>
    <w:rsid w:val="498F638C"/>
    <w:rsid w:val="49C26C25"/>
    <w:rsid w:val="49D46CB0"/>
    <w:rsid w:val="49F9466E"/>
    <w:rsid w:val="4A081D25"/>
    <w:rsid w:val="4A156FFB"/>
    <w:rsid w:val="4A1E0625"/>
    <w:rsid w:val="4A250F4B"/>
    <w:rsid w:val="4A631B54"/>
    <w:rsid w:val="4AF6175C"/>
    <w:rsid w:val="4B0C6ADE"/>
    <w:rsid w:val="4B3E1F9C"/>
    <w:rsid w:val="4C1911C5"/>
    <w:rsid w:val="4C270F45"/>
    <w:rsid w:val="4C6820C8"/>
    <w:rsid w:val="4C757679"/>
    <w:rsid w:val="4CAD39C5"/>
    <w:rsid w:val="4CB86415"/>
    <w:rsid w:val="4D3A3052"/>
    <w:rsid w:val="4D414153"/>
    <w:rsid w:val="4D592654"/>
    <w:rsid w:val="4D811007"/>
    <w:rsid w:val="4D8254A6"/>
    <w:rsid w:val="4DAF311B"/>
    <w:rsid w:val="4DD265CD"/>
    <w:rsid w:val="4E770C5E"/>
    <w:rsid w:val="4E855F0E"/>
    <w:rsid w:val="4EA40E15"/>
    <w:rsid w:val="4F990BE7"/>
    <w:rsid w:val="4FC86685"/>
    <w:rsid w:val="4FF93B03"/>
    <w:rsid w:val="50217059"/>
    <w:rsid w:val="50AC3C63"/>
    <w:rsid w:val="50C37EA5"/>
    <w:rsid w:val="50F463E4"/>
    <w:rsid w:val="51334ADB"/>
    <w:rsid w:val="513D513B"/>
    <w:rsid w:val="515D558A"/>
    <w:rsid w:val="51622217"/>
    <w:rsid w:val="51870B8D"/>
    <w:rsid w:val="52072CD9"/>
    <w:rsid w:val="5215316C"/>
    <w:rsid w:val="52416FED"/>
    <w:rsid w:val="52650390"/>
    <w:rsid w:val="52E0112D"/>
    <w:rsid w:val="531F2A61"/>
    <w:rsid w:val="53E00550"/>
    <w:rsid w:val="53FD25F1"/>
    <w:rsid w:val="542063D4"/>
    <w:rsid w:val="543E3FCA"/>
    <w:rsid w:val="54536E63"/>
    <w:rsid w:val="547C74AB"/>
    <w:rsid w:val="549F68B2"/>
    <w:rsid w:val="54AE3C90"/>
    <w:rsid w:val="54DB39F7"/>
    <w:rsid w:val="54F90E1E"/>
    <w:rsid w:val="54FE2E33"/>
    <w:rsid w:val="550B021A"/>
    <w:rsid w:val="5527238A"/>
    <w:rsid w:val="55B87486"/>
    <w:rsid w:val="561C6065"/>
    <w:rsid w:val="565C12CB"/>
    <w:rsid w:val="56EA74EF"/>
    <w:rsid w:val="56EF5983"/>
    <w:rsid w:val="571B13D6"/>
    <w:rsid w:val="572403FF"/>
    <w:rsid w:val="572F08E2"/>
    <w:rsid w:val="57431F00"/>
    <w:rsid w:val="57B80311"/>
    <w:rsid w:val="57F64993"/>
    <w:rsid w:val="5827444F"/>
    <w:rsid w:val="58584251"/>
    <w:rsid w:val="58AB7F37"/>
    <w:rsid w:val="59434B2C"/>
    <w:rsid w:val="595F1AC8"/>
    <w:rsid w:val="59851AF0"/>
    <w:rsid w:val="59AB3A69"/>
    <w:rsid w:val="59E537AB"/>
    <w:rsid w:val="59F979B3"/>
    <w:rsid w:val="5A275064"/>
    <w:rsid w:val="5A5623AB"/>
    <w:rsid w:val="5A93602F"/>
    <w:rsid w:val="5A9F7D20"/>
    <w:rsid w:val="5ACA0EAE"/>
    <w:rsid w:val="5B164FBF"/>
    <w:rsid w:val="5B423FE2"/>
    <w:rsid w:val="5BCF7B23"/>
    <w:rsid w:val="5BDE74F6"/>
    <w:rsid w:val="5C0320BC"/>
    <w:rsid w:val="5C316820"/>
    <w:rsid w:val="5C8F79FB"/>
    <w:rsid w:val="5CA618F9"/>
    <w:rsid w:val="5D3F1695"/>
    <w:rsid w:val="5D5932FD"/>
    <w:rsid w:val="5D854249"/>
    <w:rsid w:val="5DC61589"/>
    <w:rsid w:val="5E036B6F"/>
    <w:rsid w:val="5E077666"/>
    <w:rsid w:val="5E437B09"/>
    <w:rsid w:val="5E694317"/>
    <w:rsid w:val="5E781EA8"/>
    <w:rsid w:val="5F2006DC"/>
    <w:rsid w:val="5F353619"/>
    <w:rsid w:val="5F3A31CA"/>
    <w:rsid w:val="5F4F2C8A"/>
    <w:rsid w:val="5F721090"/>
    <w:rsid w:val="5FA81AA2"/>
    <w:rsid w:val="5FB674F4"/>
    <w:rsid w:val="5FD10582"/>
    <w:rsid w:val="60033A2C"/>
    <w:rsid w:val="607642AD"/>
    <w:rsid w:val="60A30D33"/>
    <w:rsid w:val="60C44682"/>
    <w:rsid w:val="60CF27C1"/>
    <w:rsid w:val="60E44C4E"/>
    <w:rsid w:val="61541695"/>
    <w:rsid w:val="6178384E"/>
    <w:rsid w:val="61E573C4"/>
    <w:rsid w:val="62057B6D"/>
    <w:rsid w:val="621E7371"/>
    <w:rsid w:val="62314CE7"/>
    <w:rsid w:val="629B41A8"/>
    <w:rsid w:val="63354D8E"/>
    <w:rsid w:val="63367153"/>
    <w:rsid w:val="63E155AF"/>
    <w:rsid w:val="641E704E"/>
    <w:rsid w:val="643757A7"/>
    <w:rsid w:val="646138EF"/>
    <w:rsid w:val="64754794"/>
    <w:rsid w:val="64835F8C"/>
    <w:rsid w:val="64AA2233"/>
    <w:rsid w:val="64B925E8"/>
    <w:rsid w:val="64E22122"/>
    <w:rsid w:val="650469DA"/>
    <w:rsid w:val="65291E74"/>
    <w:rsid w:val="657A4002"/>
    <w:rsid w:val="65C15181"/>
    <w:rsid w:val="65CC0F7A"/>
    <w:rsid w:val="65DD7042"/>
    <w:rsid w:val="65E60D9D"/>
    <w:rsid w:val="667659F0"/>
    <w:rsid w:val="66951CCE"/>
    <w:rsid w:val="66E243BE"/>
    <w:rsid w:val="67077884"/>
    <w:rsid w:val="67650AF0"/>
    <w:rsid w:val="67976B38"/>
    <w:rsid w:val="6810652C"/>
    <w:rsid w:val="688B6422"/>
    <w:rsid w:val="68B13416"/>
    <w:rsid w:val="68E10B2C"/>
    <w:rsid w:val="6904558B"/>
    <w:rsid w:val="69B517BB"/>
    <w:rsid w:val="69CE3C2F"/>
    <w:rsid w:val="69F43B0C"/>
    <w:rsid w:val="69FD3262"/>
    <w:rsid w:val="6A624A68"/>
    <w:rsid w:val="6A7826E8"/>
    <w:rsid w:val="6A910EB2"/>
    <w:rsid w:val="6AAF6C52"/>
    <w:rsid w:val="6B1643AE"/>
    <w:rsid w:val="6B494814"/>
    <w:rsid w:val="6B6D5DD4"/>
    <w:rsid w:val="6BDA7CFF"/>
    <w:rsid w:val="6BE52EA3"/>
    <w:rsid w:val="6BF40302"/>
    <w:rsid w:val="6C0615B6"/>
    <w:rsid w:val="6D171789"/>
    <w:rsid w:val="6D8116A5"/>
    <w:rsid w:val="6DB2171D"/>
    <w:rsid w:val="6E451172"/>
    <w:rsid w:val="6E8C0650"/>
    <w:rsid w:val="6E984440"/>
    <w:rsid w:val="6F2779FA"/>
    <w:rsid w:val="6F4E19BC"/>
    <w:rsid w:val="6F8D3271"/>
    <w:rsid w:val="6FA06137"/>
    <w:rsid w:val="6FAE771C"/>
    <w:rsid w:val="6FD27809"/>
    <w:rsid w:val="6FD470DF"/>
    <w:rsid w:val="6FDD3A71"/>
    <w:rsid w:val="70122E03"/>
    <w:rsid w:val="70172021"/>
    <w:rsid w:val="703872D9"/>
    <w:rsid w:val="703B2D36"/>
    <w:rsid w:val="703C797C"/>
    <w:rsid w:val="70AD4135"/>
    <w:rsid w:val="71243C59"/>
    <w:rsid w:val="714E08D3"/>
    <w:rsid w:val="72347EB3"/>
    <w:rsid w:val="72AA66C1"/>
    <w:rsid w:val="72E46276"/>
    <w:rsid w:val="72ED4EAB"/>
    <w:rsid w:val="731B5745"/>
    <w:rsid w:val="740A6D83"/>
    <w:rsid w:val="746E51E2"/>
    <w:rsid w:val="74814BF7"/>
    <w:rsid w:val="75EF39D8"/>
    <w:rsid w:val="762E4374"/>
    <w:rsid w:val="768E058B"/>
    <w:rsid w:val="774626EC"/>
    <w:rsid w:val="774719CA"/>
    <w:rsid w:val="776048C8"/>
    <w:rsid w:val="776B5CAF"/>
    <w:rsid w:val="776F429E"/>
    <w:rsid w:val="777A2396"/>
    <w:rsid w:val="779C2504"/>
    <w:rsid w:val="77FE6B23"/>
    <w:rsid w:val="780D0D05"/>
    <w:rsid w:val="78FC1A12"/>
    <w:rsid w:val="79070ACB"/>
    <w:rsid w:val="794D3878"/>
    <w:rsid w:val="79C96D9D"/>
    <w:rsid w:val="79F37642"/>
    <w:rsid w:val="7A021FB2"/>
    <w:rsid w:val="7A2E1215"/>
    <w:rsid w:val="7A635A42"/>
    <w:rsid w:val="7AB22A12"/>
    <w:rsid w:val="7B2D1E41"/>
    <w:rsid w:val="7B341B20"/>
    <w:rsid w:val="7B4243D6"/>
    <w:rsid w:val="7B66335D"/>
    <w:rsid w:val="7B7F7F7B"/>
    <w:rsid w:val="7BA06ED1"/>
    <w:rsid w:val="7BB90B5B"/>
    <w:rsid w:val="7BC07AB0"/>
    <w:rsid w:val="7C0F6C70"/>
    <w:rsid w:val="7C362005"/>
    <w:rsid w:val="7C5111D1"/>
    <w:rsid w:val="7C730801"/>
    <w:rsid w:val="7C8F68E3"/>
    <w:rsid w:val="7CD6006E"/>
    <w:rsid w:val="7CF7002F"/>
    <w:rsid w:val="7D674381"/>
    <w:rsid w:val="7D684D3E"/>
    <w:rsid w:val="7DA4453E"/>
    <w:rsid w:val="7DFD7EAA"/>
    <w:rsid w:val="7E8A7E0E"/>
    <w:rsid w:val="7E8B05F4"/>
    <w:rsid w:val="7F112F7E"/>
    <w:rsid w:val="7F2866ED"/>
    <w:rsid w:val="7F71001F"/>
    <w:rsid w:val="7F9B53E8"/>
    <w:rsid w:val="7FFA4676"/>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qFormat="1" w:uiPriority="99"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7">
    <w:name w:val="heading 1"/>
    <w:basedOn w:val="1"/>
    <w:next w:val="1"/>
    <w:autoRedefine/>
    <w:qFormat/>
    <w:uiPriority w:val="0"/>
    <w:pPr>
      <w:keepNext/>
      <w:keepLines/>
      <w:spacing w:before="340" w:beforeLines="0" w:after="330" w:afterLines="0" w:line="576" w:lineRule="auto"/>
      <w:outlineLvl w:val="0"/>
    </w:pPr>
    <w:rPr>
      <w:rFonts w:ascii="Times New Roman" w:hAnsi="Times New Roman" w:eastAsia="宋体" w:cs="Times New Roman"/>
      <w:b/>
      <w:kern w:val="44"/>
      <w:sz w:val="44"/>
    </w:rPr>
  </w:style>
  <w:style w:type="paragraph" w:styleId="8">
    <w:name w:val="heading 2"/>
    <w:basedOn w:val="1"/>
    <w:next w:val="1"/>
    <w:autoRedefine/>
    <w:qFormat/>
    <w:uiPriority w:val="0"/>
    <w:pPr>
      <w:keepNext/>
      <w:keepLines/>
      <w:autoSpaceDE/>
      <w:autoSpaceDN/>
      <w:adjustRightInd/>
      <w:spacing w:before="260" w:beforeLines="0" w:after="260" w:afterLines="0" w:line="413" w:lineRule="auto"/>
      <w:outlineLvl w:val="1"/>
    </w:pPr>
    <w:rPr>
      <w:rFonts w:ascii="Arial" w:hAnsi="Arial" w:eastAsia="黑体" w:cs="Times New Roman"/>
      <w:b/>
      <w:bCs/>
      <w:color w:val="auto"/>
      <w:kern w:val="2"/>
      <w:sz w:val="32"/>
      <w:szCs w:val="32"/>
    </w:rPr>
  </w:style>
  <w:style w:type="paragraph" w:styleId="9">
    <w:name w:val="heading 3"/>
    <w:basedOn w:val="1"/>
    <w:next w:val="1"/>
    <w:autoRedefine/>
    <w:qFormat/>
    <w:uiPriority w:val="0"/>
    <w:pPr>
      <w:keepNext/>
      <w:keepLines/>
      <w:autoSpaceDE w:val="0"/>
      <w:autoSpaceDN w:val="0"/>
      <w:adjustRightInd w:val="0"/>
      <w:spacing w:before="260" w:beforeLines="0" w:after="260" w:afterLines="0" w:line="413" w:lineRule="auto"/>
      <w:outlineLvl w:val="2"/>
    </w:pPr>
    <w:rPr>
      <w:rFonts w:ascii="Times New Roman" w:hAnsi="Times New Roman" w:eastAsia="宋体" w:cs="Times New Roman"/>
      <w:b/>
      <w:bCs/>
      <w:color w:val="000000"/>
      <w:kern w:val="0"/>
      <w:sz w:val="32"/>
      <w:szCs w:val="32"/>
    </w:rPr>
  </w:style>
  <w:style w:type="paragraph" w:styleId="10">
    <w:name w:val="heading 4"/>
    <w:basedOn w:val="1"/>
    <w:next w:val="1"/>
    <w:autoRedefine/>
    <w:qFormat/>
    <w:uiPriority w:val="0"/>
    <w:pPr>
      <w:keepNext/>
      <w:keepLines/>
      <w:spacing w:before="280" w:after="290" w:line="377" w:lineRule="auto"/>
      <w:outlineLvl w:val="3"/>
    </w:pPr>
    <w:rPr>
      <w:rFonts w:ascii="Cambria" w:hAnsi="Cambria" w:eastAsia="黑体"/>
      <w:b/>
      <w:bCs/>
      <w:kern w:val="2"/>
      <w:sz w:val="24"/>
      <w:szCs w:val="28"/>
      <w:lang w:val="en-US" w:eastAsia="zh-CN" w:bidi="ar-SA"/>
    </w:rPr>
  </w:style>
  <w:style w:type="character" w:default="1" w:styleId="30">
    <w:name w:val="Default Paragraph Font"/>
    <w:autoRedefine/>
    <w:qFormat/>
    <w:uiPriority w:val="0"/>
    <w:rPr>
      <w:rFonts w:ascii="Tahoma" w:hAnsi="Tahoma" w:eastAsia="宋体" w:cs="Times New Roman"/>
      <w:color w:val="auto"/>
      <w:kern w:val="2"/>
      <w:sz w:val="24"/>
      <w:szCs w:val="20"/>
    </w:rPr>
  </w:style>
  <w:style w:type="table" w:default="1" w:styleId="28">
    <w:name w:val="Normal Table"/>
    <w:autoRedefine/>
    <w:semiHidden/>
    <w:qFormat/>
    <w:uiPriority w:val="0"/>
    <w:tblPr>
      <w:tblCellMar>
        <w:top w:w="0" w:type="dxa"/>
        <w:left w:w="108" w:type="dxa"/>
        <w:bottom w:w="0" w:type="dxa"/>
        <w:right w:w="108" w:type="dxa"/>
      </w:tblCellMar>
    </w:tblPr>
  </w:style>
  <w:style w:type="paragraph" w:customStyle="1" w:styleId="2">
    <w:name w:val="表格文字"/>
    <w:basedOn w:val="3"/>
    <w:next w:val="4"/>
    <w:autoRedefine/>
    <w:qFormat/>
    <w:uiPriority w:val="0"/>
    <w:pPr>
      <w:widowControl w:val="0"/>
      <w:adjustRightInd w:val="0"/>
      <w:spacing w:line="420" w:lineRule="atLeast"/>
      <w:textAlignment w:val="baseline"/>
    </w:pPr>
  </w:style>
  <w:style w:type="paragraph" w:customStyle="1" w:styleId="3">
    <w:name w:val="表格"/>
    <w:basedOn w:val="1"/>
    <w:qFormat/>
    <w:uiPriority w:val="99"/>
    <w:pPr>
      <w:snapToGrid w:val="0"/>
      <w:ind w:firstLine="42" w:firstLineChars="21"/>
    </w:pPr>
    <w:rPr>
      <w:rFonts w:ascii="宋体" w:hAnsi="宋体"/>
      <w:kern w:val="0"/>
      <w:sz w:val="20"/>
      <w:szCs w:val="20"/>
    </w:rPr>
  </w:style>
  <w:style w:type="paragraph" w:styleId="4">
    <w:name w:val="Body Text"/>
    <w:basedOn w:val="1"/>
    <w:next w:val="5"/>
    <w:autoRedefine/>
    <w:qFormat/>
    <w:uiPriority w:val="0"/>
    <w:pPr>
      <w:spacing w:after="120" w:afterLines="0"/>
    </w:pPr>
    <w:rPr>
      <w:rFonts w:ascii="Times New Roman" w:hAnsi="Times New Roman" w:eastAsia="宋体" w:cs="Times New Roman"/>
    </w:rPr>
  </w:style>
  <w:style w:type="paragraph" w:styleId="5">
    <w:name w:val="Body Text First Indent"/>
    <w:basedOn w:val="4"/>
    <w:next w:val="6"/>
    <w:autoRedefine/>
    <w:qFormat/>
    <w:uiPriority w:val="0"/>
    <w:pPr>
      <w:spacing w:line="312" w:lineRule="auto"/>
      <w:ind w:firstLine="420"/>
    </w:pPr>
    <w:rPr>
      <w:szCs w:val="24"/>
    </w:rPr>
  </w:style>
  <w:style w:type="paragraph" w:styleId="6">
    <w:name w:val="toc 6"/>
    <w:basedOn w:val="1"/>
    <w:next w:val="1"/>
    <w:autoRedefine/>
    <w:unhideWhenUsed/>
    <w:qFormat/>
    <w:uiPriority w:val="39"/>
    <w:pPr>
      <w:widowControl w:val="0"/>
      <w:ind w:left="2100" w:leftChars="1000"/>
      <w:jc w:val="both"/>
    </w:pPr>
    <w:rPr>
      <w:rFonts w:ascii="等线" w:hAnsi="等线" w:eastAsia="等线" w:cs="Times New Roman"/>
      <w:kern w:val="2"/>
      <w:sz w:val="21"/>
      <w:szCs w:val="22"/>
      <w:lang w:val="en-US" w:eastAsia="zh-CN" w:bidi="ar-SA"/>
    </w:rPr>
  </w:style>
  <w:style w:type="paragraph" w:styleId="11">
    <w:name w:val="List Number"/>
    <w:basedOn w:val="1"/>
    <w:qFormat/>
    <w:uiPriority w:val="0"/>
    <w:pPr>
      <w:numPr>
        <w:ilvl w:val="0"/>
        <w:numId w:val="1"/>
      </w:numPr>
    </w:pPr>
  </w:style>
  <w:style w:type="paragraph" w:styleId="12">
    <w:name w:val="Normal Indent"/>
    <w:basedOn w:val="1"/>
    <w:next w:val="1"/>
    <w:autoRedefine/>
    <w:qFormat/>
    <w:uiPriority w:val="0"/>
    <w:pPr>
      <w:ind w:firstLine="420"/>
    </w:pPr>
    <w:rPr>
      <w:rFonts w:ascii="Calibri" w:hAnsi="Calibri" w:eastAsia="宋体" w:cs="Times New Roman"/>
      <w:szCs w:val="22"/>
    </w:rPr>
  </w:style>
  <w:style w:type="paragraph" w:styleId="13">
    <w:name w:val="index 5"/>
    <w:basedOn w:val="1"/>
    <w:next w:val="1"/>
    <w:autoRedefine/>
    <w:qFormat/>
    <w:uiPriority w:val="0"/>
    <w:pPr>
      <w:ind w:left="800" w:leftChars="800"/>
    </w:pPr>
  </w:style>
  <w:style w:type="paragraph" w:styleId="14">
    <w:name w:val="annotation text"/>
    <w:basedOn w:val="1"/>
    <w:autoRedefine/>
    <w:unhideWhenUsed/>
    <w:qFormat/>
    <w:uiPriority w:val="0"/>
    <w:pPr>
      <w:jc w:val="left"/>
    </w:pPr>
  </w:style>
  <w:style w:type="paragraph" w:styleId="15">
    <w:name w:val="Body Text Indent"/>
    <w:basedOn w:val="1"/>
    <w:next w:val="1"/>
    <w:link w:val="37"/>
    <w:autoRedefine/>
    <w:qFormat/>
    <w:uiPriority w:val="0"/>
    <w:pPr>
      <w:spacing w:before="156" w:beforeLines="50"/>
      <w:ind w:firstLine="420" w:firstLineChars="200"/>
    </w:pPr>
    <w:rPr>
      <w:rFonts w:ascii="仿宋_GB2312" w:hAnsi="Tahoma" w:eastAsia="仿宋_GB2312"/>
      <w:sz w:val="32"/>
      <w:szCs w:val="21"/>
    </w:rPr>
  </w:style>
  <w:style w:type="paragraph" w:styleId="16">
    <w:name w:val="List Number 3"/>
    <w:basedOn w:val="1"/>
    <w:autoRedefine/>
    <w:qFormat/>
    <w:uiPriority w:val="0"/>
    <w:pPr>
      <w:numPr>
        <w:ilvl w:val="0"/>
        <w:numId w:val="2"/>
      </w:numPr>
    </w:pPr>
    <w:rPr>
      <w:rFonts w:ascii="Times New Roman" w:hAnsi="Times New Roman" w:eastAsia="宋体" w:cs="Times New Roman"/>
    </w:rPr>
  </w:style>
  <w:style w:type="paragraph" w:styleId="17">
    <w:name w:val="Plain Text"/>
    <w:basedOn w:val="1"/>
    <w:next w:val="18"/>
    <w:autoRedefine/>
    <w:qFormat/>
    <w:uiPriority w:val="0"/>
    <w:pPr>
      <w:autoSpaceDE/>
      <w:autoSpaceDN/>
      <w:adjustRightInd/>
    </w:pPr>
    <w:rPr>
      <w:rFonts w:ascii="Times New Roman" w:hAnsi="Times New Roman" w:eastAsia="宋体" w:cs="Times New Roman"/>
      <w:color w:val="auto"/>
      <w:kern w:val="2"/>
      <w:sz w:val="24"/>
      <w:szCs w:val="20"/>
    </w:rPr>
  </w:style>
  <w:style w:type="paragraph" w:styleId="18">
    <w:name w:val="index 7"/>
    <w:basedOn w:val="1"/>
    <w:next w:val="1"/>
    <w:autoRedefine/>
    <w:qFormat/>
    <w:uiPriority w:val="0"/>
    <w:pPr>
      <w:ind w:left="1200" w:leftChars="1200"/>
    </w:pPr>
    <w:rPr>
      <w:rFonts w:ascii="Times New Roman" w:hAnsi="Times New Roman" w:eastAsia="宋体" w:cs="Times New Roman"/>
    </w:rPr>
  </w:style>
  <w:style w:type="paragraph" w:styleId="19">
    <w:name w:val="Balloon Text"/>
    <w:basedOn w:val="1"/>
    <w:autoRedefine/>
    <w:qFormat/>
    <w:uiPriority w:val="0"/>
    <w:rPr>
      <w:rFonts w:ascii="Times New Roman" w:hAnsi="Times New Roman" w:eastAsia="宋体" w:cs="Times New Roman"/>
      <w:sz w:val="18"/>
      <w:szCs w:val="18"/>
    </w:rPr>
  </w:style>
  <w:style w:type="paragraph" w:styleId="20">
    <w:name w:val="footer"/>
    <w:basedOn w:val="1"/>
    <w:autoRedefine/>
    <w:qFormat/>
    <w:uiPriority w:val="0"/>
    <w:pPr>
      <w:tabs>
        <w:tab w:val="center" w:pos="4153"/>
        <w:tab w:val="right" w:pos="8306"/>
      </w:tabs>
      <w:snapToGrid w:val="0"/>
      <w:jc w:val="left"/>
    </w:pPr>
    <w:rPr>
      <w:rFonts w:ascii="Times New Roman" w:hAnsi="Times New Roman" w:eastAsia="宋体" w:cs="Times New Roman"/>
      <w:sz w:val="18"/>
      <w:szCs w:val="18"/>
    </w:rPr>
  </w:style>
  <w:style w:type="paragraph" w:styleId="21">
    <w:name w:val="header"/>
    <w:basedOn w:val="1"/>
    <w:autoRedefine/>
    <w:qFormat/>
    <w:uiPriority w:val="0"/>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paragraph" w:styleId="22">
    <w:name w:val="Body Text Indent 3"/>
    <w:basedOn w:val="1"/>
    <w:autoRedefine/>
    <w:qFormat/>
    <w:uiPriority w:val="0"/>
    <w:pPr>
      <w:autoSpaceDE/>
      <w:autoSpaceDN/>
      <w:adjustRightInd/>
      <w:ind w:firstLine="435"/>
    </w:pPr>
    <w:rPr>
      <w:color w:val="auto"/>
      <w:kern w:val="2"/>
      <w:szCs w:val="24"/>
    </w:rPr>
  </w:style>
  <w:style w:type="paragraph" w:styleId="23">
    <w:name w:val="table of figures"/>
    <w:basedOn w:val="1"/>
    <w:next w:val="1"/>
    <w:unhideWhenUsed/>
    <w:qFormat/>
    <w:uiPriority w:val="99"/>
    <w:pPr>
      <w:tabs>
        <w:tab w:val="left" w:pos="1270"/>
      </w:tabs>
      <w:spacing w:line="360" w:lineRule="auto"/>
      <w:ind w:left="1270" w:hanging="420"/>
      <w:jc w:val="left"/>
    </w:pPr>
    <w:rPr>
      <w:smallCaps/>
      <w:sz w:val="20"/>
      <w:szCs w:val="20"/>
    </w:rPr>
  </w:style>
  <w:style w:type="paragraph" w:styleId="24">
    <w:name w:val="toc 2"/>
    <w:basedOn w:val="1"/>
    <w:next w:val="1"/>
    <w:autoRedefine/>
    <w:qFormat/>
    <w:uiPriority w:val="0"/>
    <w:pPr>
      <w:ind w:left="420" w:leftChars="200"/>
    </w:pPr>
    <w:rPr>
      <w:szCs w:val="20"/>
    </w:rPr>
  </w:style>
  <w:style w:type="paragraph" w:styleId="25">
    <w:name w:val="Body Text 2"/>
    <w:basedOn w:val="1"/>
    <w:next w:val="1"/>
    <w:autoRedefine/>
    <w:qFormat/>
    <w:uiPriority w:val="0"/>
    <w:pPr>
      <w:spacing w:after="120" w:afterLines="0" w:line="480" w:lineRule="auto"/>
    </w:pPr>
  </w:style>
  <w:style w:type="paragraph" w:styleId="26">
    <w:name w:val="Normal (Web)"/>
    <w:basedOn w:val="1"/>
    <w:autoRedefine/>
    <w:qFormat/>
    <w:uiPriority w:val="0"/>
    <w:pPr>
      <w:widowControl/>
      <w:autoSpaceDE/>
      <w:autoSpaceDN/>
      <w:adjustRightInd/>
      <w:spacing w:before="100" w:beforeLines="0" w:beforeAutospacing="1" w:after="100" w:afterLines="0" w:afterAutospacing="1"/>
      <w:jc w:val="left"/>
    </w:pPr>
    <w:rPr>
      <w:rFonts w:ascii="宋体" w:hAnsi="宋体" w:eastAsia="宋体" w:cs="宋体"/>
      <w:color w:val="auto"/>
      <w:sz w:val="24"/>
      <w:szCs w:val="24"/>
    </w:rPr>
  </w:style>
  <w:style w:type="paragraph" w:styleId="27">
    <w:name w:val="Body Text First Indent 2"/>
    <w:basedOn w:val="15"/>
    <w:next w:val="1"/>
    <w:autoRedefine/>
    <w:qFormat/>
    <w:uiPriority w:val="99"/>
    <w:pPr>
      <w:autoSpaceDE/>
      <w:autoSpaceDN/>
      <w:adjustRightInd/>
      <w:spacing w:line="360" w:lineRule="auto"/>
      <w:ind w:firstLine="420" w:firstLineChars="200"/>
    </w:pPr>
    <w:rPr>
      <w:rFonts w:ascii="Calibri" w:hAnsi="Calibri"/>
      <w:color w:val="auto"/>
      <w:kern w:val="2"/>
      <w:sz w:val="24"/>
      <w:szCs w:val="22"/>
    </w:rPr>
  </w:style>
  <w:style w:type="table" w:styleId="29">
    <w:name w:val="Table Grid"/>
    <w:basedOn w:val="28"/>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1">
    <w:name w:val="Strong"/>
    <w:autoRedefine/>
    <w:qFormat/>
    <w:uiPriority w:val="0"/>
    <w:rPr>
      <w:b/>
      <w:bCs/>
    </w:rPr>
  </w:style>
  <w:style w:type="character" w:styleId="32">
    <w:name w:val="page number"/>
    <w:autoRedefine/>
    <w:qFormat/>
    <w:uiPriority w:val="0"/>
    <w:rPr>
      <w:rFonts w:ascii="Times New Roman" w:hAnsi="Times New Roman" w:eastAsia="宋体" w:cs="Times New Roman"/>
      <w:color w:val="auto"/>
      <w:kern w:val="2"/>
      <w:sz w:val="24"/>
      <w:szCs w:val="20"/>
    </w:rPr>
  </w:style>
  <w:style w:type="character" w:styleId="33">
    <w:name w:val="Hyperlink"/>
    <w:basedOn w:val="30"/>
    <w:autoRedefine/>
    <w:unhideWhenUsed/>
    <w:qFormat/>
    <w:uiPriority w:val="99"/>
    <w:rPr>
      <w:color w:val="0000FF"/>
      <w:u w:val="single"/>
    </w:rPr>
  </w:style>
  <w:style w:type="paragraph" w:customStyle="1" w:styleId="34">
    <w:name w:val="Body Text First Indent 21"/>
    <w:basedOn w:val="35"/>
    <w:autoRedefine/>
    <w:qFormat/>
    <w:uiPriority w:val="0"/>
    <w:pPr>
      <w:ind w:firstLine="420"/>
    </w:pPr>
    <w:rPr>
      <w:rFonts w:cs="宋体"/>
    </w:rPr>
  </w:style>
  <w:style w:type="paragraph" w:customStyle="1" w:styleId="35">
    <w:name w:val="Body Text Indent1"/>
    <w:basedOn w:val="1"/>
    <w:next w:val="1"/>
    <w:autoRedefine/>
    <w:qFormat/>
    <w:uiPriority w:val="0"/>
    <w:pPr>
      <w:spacing w:after="120"/>
      <w:ind w:left="420" w:leftChars="200"/>
    </w:pPr>
  </w:style>
  <w:style w:type="paragraph" w:customStyle="1" w:styleId="36">
    <w:name w:val="表格文字（两侧对齐）"/>
    <w:basedOn w:val="1"/>
    <w:autoRedefine/>
    <w:qFormat/>
    <w:uiPriority w:val="0"/>
    <w:pPr>
      <w:snapToGrid w:val="0"/>
    </w:pPr>
    <w:rPr>
      <w:sz w:val="20"/>
      <w:szCs w:val="24"/>
    </w:rPr>
  </w:style>
  <w:style w:type="character" w:customStyle="1" w:styleId="37">
    <w:name w:val="正文文本缩进 Char"/>
    <w:link w:val="15"/>
    <w:autoRedefine/>
    <w:qFormat/>
    <w:uiPriority w:val="0"/>
    <w:rPr>
      <w:rFonts w:ascii="仿宋_GB2312" w:hAnsi="Tahoma" w:eastAsia="仿宋_GB2312" w:cs="Times New Roman"/>
      <w:color w:val="auto"/>
      <w:kern w:val="2"/>
      <w:sz w:val="32"/>
      <w:szCs w:val="21"/>
    </w:rPr>
  </w:style>
  <w:style w:type="paragraph" w:customStyle="1" w:styleId="38">
    <w:name w:val="xl53"/>
    <w:basedOn w:val="1"/>
    <w:next w:val="1"/>
    <w:autoRedefine/>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sz w:val="20"/>
    </w:rPr>
  </w:style>
  <w:style w:type="character" w:customStyle="1" w:styleId="39">
    <w:name w:val="apple-style-span"/>
    <w:autoRedefine/>
    <w:qFormat/>
    <w:uiPriority w:val="0"/>
    <w:rPr>
      <w:rFonts w:ascii="Times New Roman" w:hAnsi="Times New Roman" w:eastAsia="宋体" w:cs="Times New Roman"/>
    </w:rPr>
  </w:style>
  <w:style w:type="character" w:customStyle="1" w:styleId="40">
    <w:name w:val="font41"/>
    <w:basedOn w:val="30"/>
    <w:autoRedefine/>
    <w:qFormat/>
    <w:uiPriority w:val="0"/>
    <w:rPr>
      <w:rFonts w:hint="eastAsia" w:ascii="宋体" w:hAnsi="宋体" w:eastAsia="宋体" w:cs="宋体"/>
      <w:color w:val="000000"/>
      <w:kern w:val="2"/>
      <w:sz w:val="20"/>
      <w:szCs w:val="20"/>
      <w:u w:val="none"/>
    </w:rPr>
  </w:style>
  <w:style w:type="character" w:customStyle="1" w:styleId="41">
    <w:name w:val="font31"/>
    <w:basedOn w:val="30"/>
    <w:autoRedefine/>
    <w:qFormat/>
    <w:uiPriority w:val="0"/>
    <w:rPr>
      <w:rFonts w:hint="eastAsia" w:ascii="宋体" w:hAnsi="宋体" w:eastAsia="宋体" w:cs="宋体"/>
      <w:color w:val="000000"/>
      <w:kern w:val="2"/>
      <w:sz w:val="20"/>
      <w:szCs w:val="20"/>
      <w:u w:val="none"/>
    </w:rPr>
  </w:style>
  <w:style w:type="character" w:customStyle="1" w:styleId="42">
    <w:name w:val="正文文本缩进 字符"/>
    <w:autoRedefine/>
    <w:qFormat/>
    <w:uiPriority w:val="0"/>
    <w:rPr>
      <w:rFonts w:ascii="Tahoma" w:hAnsi="Tahoma" w:eastAsia="宋体" w:cs="Times New Roman"/>
      <w:color w:val="auto"/>
      <w:kern w:val="2"/>
      <w:sz w:val="21"/>
      <w:szCs w:val="24"/>
    </w:rPr>
  </w:style>
  <w:style w:type="character" w:customStyle="1" w:styleId="43">
    <w:name w:val="明显强调1"/>
    <w:autoRedefine/>
    <w:qFormat/>
    <w:uiPriority w:val="0"/>
    <w:rPr>
      <w:rFonts w:ascii="Times New Roman" w:hAnsi="Times New Roman" w:eastAsia="宋体" w:cs="Times New Roman"/>
      <w:b/>
      <w:bCs/>
      <w:i/>
      <w:iCs/>
      <w:color w:val="4F81BD"/>
    </w:rPr>
  </w:style>
  <w:style w:type="character" w:customStyle="1" w:styleId="44">
    <w:name w:val="font01"/>
    <w:autoRedefine/>
    <w:qFormat/>
    <w:uiPriority w:val="0"/>
    <w:rPr>
      <w:rFonts w:hint="eastAsia" w:ascii="宋体" w:hAnsi="宋体" w:eastAsia="宋体" w:cs="宋体"/>
      <w:color w:val="000000"/>
      <w:kern w:val="2"/>
      <w:sz w:val="22"/>
      <w:szCs w:val="22"/>
      <w:u w:val="none"/>
    </w:rPr>
  </w:style>
  <w:style w:type="character" w:customStyle="1" w:styleId="45">
    <w:name w:val="标题 1 Char Char"/>
    <w:autoRedefine/>
    <w:qFormat/>
    <w:uiPriority w:val="0"/>
    <w:rPr>
      <w:rFonts w:ascii="Times New Roman" w:hAnsi="Times New Roman" w:eastAsia="宋体" w:cs="Times New Roman"/>
      <w:b/>
      <w:spacing w:val="-2"/>
      <w:sz w:val="24"/>
      <w:lang w:val="en-US" w:eastAsia="zh-CN"/>
    </w:rPr>
  </w:style>
  <w:style w:type="paragraph" w:customStyle="1" w:styleId="46">
    <w:name w:val=" Char3 Char Char Char"/>
    <w:basedOn w:val="1"/>
    <w:autoRedefine/>
    <w:qFormat/>
    <w:uiPriority w:val="0"/>
    <w:rPr>
      <w:rFonts w:ascii="Tahoma" w:hAnsi="Tahoma" w:eastAsia="宋体" w:cs="Times New Roman"/>
      <w:color w:val="auto"/>
      <w:kern w:val="2"/>
      <w:sz w:val="24"/>
      <w:szCs w:val="20"/>
    </w:rPr>
  </w:style>
  <w:style w:type="paragraph" w:customStyle="1" w:styleId="47">
    <w:name w:val="章正文"/>
    <w:basedOn w:val="1"/>
    <w:autoRedefine/>
    <w:qFormat/>
    <w:uiPriority w:val="0"/>
    <w:pPr>
      <w:spacing w:before="156" w:beforeLines="50" w:after="120" w:line="300" w:lineRule="auto"/>
      <w:ind w:firstLine="480"/>
    </w:pPr>
    <w:rPr>
      <w:rFonts w:ascii="Helvetica" w:hAnsi="Helvetica"/>
      <w:sz w:val="24"/>
      <w:szCs w:val="24"/>
    </w:rPr>
  </w:style>
  <w:style w:type="paragraph" w:customStyle="1" w:styleId="48">
    <w:name w:val="cucd-0"/>
    <w:autoRedefine/>
    <w:qFormat/>
    <w:uiPriority w:val="0"/>
    <w:pPr>
      <w:spacing w:line="360" w:lineRule="auto"/>
      <w:ind w:firstLine="480" w:firstLineChars="200"/>
    </w:pPr>
    <w:rPr>
      <w:rFonts w:ascii="Times New Roman" w:hAnsi="Times New Roman" w:eastAsia="宋体" w:cs="Times New Roman"/>
      <w:kern w:val="2"/>
      <w:sz w:val="24"/>
      <w:szCs w:val="24"/>
      <w:lang w:val="en-US" w:eastAsia="zh-CN" w:bidi="ar-SA"/>
    </w:rPr>
  </w:style>
  <w:style w:type="paragraph" w:customStyle="1" w:styleId="49">
    <w:name w:val="列出段落2"/>
    <w:basedOn w:val="1"/>
    <w:autoRedefine/>
    <w:unhideWhenUsed/>
    <w:qFormat/>
    <w:uiPriority w:val="34"/>
    <w:pPr>
      <w:ind w:firstLine="420" w:firstLineChars="200"/>
    </w:pPr>
    <w:rPr>
      <w:rFonts w:ascii="等线" w:hAnsi="等线" w:eastAsia="等线"/>
      <w:szCs w:val="22"/>
    </w:rPr>
  </w:style>
  <w:style w:type="paragraph" w:customStyle="1" w:styleId="50">
    <w:name w:val="封面标准文稿编辑信息"/>
    <w:autoRedefine/>
    <w:qFormat/>
    <w:uiPriority w:val="0"/>
    <w:pPr>
      <w:spacing w:before="180" w:line="180" w:lineRule="exact"/>
      <w:jc w:val="center"/>
    </w:pPr>
    <w:rPr>
      <w:rFonts w:ascii="宋体" w:hAnsi="Times New Roman" w:eastAsia="宋体" w:cs="Times New Roman"/>
      <w:sz w:val="21"/>
      <w:szCs w:val="22"/>
      <w:lang w:val="en-US" w:eastAsia="zh-CN" w:bidi="ar-SA"/>
    </w:rPr>
  </w:style>
  <w:style w:type="paragraph" w:customStyle="1" w:styleId="51">
    <w:name w:val="Body Text First Indent 2"/>
    <w:basedOn w:val="52"/>
    <w:autoRedefine/>
    <w:qFormat/>
    <w:uiPriority w:val="0"/>
    <w:pPr>
      <w:spacing w:after="120" w:afterLines="0" w:line="240" w:lineRule="auto"/>
      <w:ind w:left="420" w:leftChars="200" w:firstLine="420"/>
    </w:pPr>
    <w:rPr>
      <w:rFonts w:ascii="Times New Roman" w:hAnsi="Times New Roman" w:eastAsia="宋体" w:cs="宋体"/>
      <w:sz w:val="21"/>
      <w:szCs w:val="21"/>
    </w:rPr>
  </w:style>
  <w:style w:type="paragraph" w:customStyle="1" w:styleId="52">
    <w:name w:val="Body Text Indent"/>
    <w:basedOn w:val="1"/>
    <w:next w:val="1"/>
    <w:autoRedefine/>
    <w:qFormat/>
    <w:uiPriority w:val="0"/>
    <w:pPr>
      <w:spacing w:after="120" w:afterLines="0"/>
      <w:ind w:left="420" w:leftChars="200"/>
    </w:pPr>
    <w:rPr>
      <w:color w:val="000000"/>
      <w:sz w:val="21"/>
      <w:szCs w:val="21"/>
    </w:rPr>
  </w:style>
  <w:style w:type="paragraph" w:customStyle="1" w:styleId="53">
    <w:name w:val="列出段落1"/>
    <w:basedOn w:val="1"/>
    <w:autoRedefine/>
    <w:qFormat/>
    <w:uiPriority w:val="0"/>
    <w:pPr>
      <w:autoSpaceDE/>
      <w:autoSpaceDN/>
      <w:adjustRightInd/>
      <w:spacing w:line="360" w:lineRule="auto"/>
      <w:ind w:firstLine="200" w:firstLineChars="200"/>
    </w:pPr>
    <w:rPr>
      <w:rFonts w:ascii="Times New Roman" w:hAnsi="Times New Roman" w:eastAsia="楷体_GB2312" w:cs="Lucida Sans"/>
      <w:color w:val="auto"/>
      <w:kern w:val="2"/>
      <w:sz w:val="24"/>
      <w:szCs w:val="24"/>
    </w:rPr>
  </w:style>
  <w:style w:type="paragraph" w:customStyle="1" w:styleId="54">
    <w:name w:val="正文文本首行缩进11"/>
    <w:basedOn w:val="4"/>
    <w:autoRedefine/>
    <w:qFormat/>
    <w:uiPriority w:val="0"/>
    <w:pPr>
      <w:ind w:firstLine="420" w:firstLineChars="100"/>
    </w:pPr>
  </w:style>
  <w:style w:type="paragraph" w:customStyle="1" w:styleId="55">
    <w:name w:val="p0"/>
    <w:next w:val="18"/>
    <w:autoRedefine/>
    <w:qFormat/>
    <w:uiPriority w:val="0"/>
    <w:pPr>
      <w:snapToGrid w:val="0"/>
    </w:pPr>
    <w:rPr>
      <w:rFonts w:ascii="Times New Roman" w:hAnsi="Times New Roman" w:eastAsia="宋体" w:cs="Times New Roman"/>
      <w:sz w:val="21"/>
      <w:szCs w:val="21"/>
      <w:lang w:val="en-US" w:eastAsia="zh-CN" w:bidi="ar-SA"/>
    </w:rPr>
  </w:style>
  <w:style w:type="paragraph" w:customStyle="1" w:styleId="56">
    <w:name w:val="正文表标题"/>
    <w:next w:val="1"/>
    <w:autoRedefine/>
    <w:qFormat/>
    <w:uiPriority w:val="0"/>
    <w:pPr>
      <w:numPr>
        <w:ilvl w:val="0"/>
        <w:numId w:val="3"/>
      </w:numPr>
      <w:tabs>
        <w:tab w:val="left" w:pos="360"/>
        <w:tab w:val="clear" w:pos="432"/>
      </w:tabs>
      <w:spacing w:before="156" w:beforeLines="50" w:after="156" w:afterLines="50"/>
      <w:jc w:val="center"/>
    </w:pPr>
    <w:rPr>
      <w:rFonts w:ascii="黑体" w:hAnsi="Times New Roman" w:eastAsia="黑体" w:cs="Times New Roman"/>
      <w:sz w:val="21"/>
      <w:szCs w:val="22"/>
      <w:lang w:val="en-US" w:eastAsia="zh-CN" w:bidi="ar-SA"/>
    </w:rPr>
  </w:style>
  <w:style w:type="paragraph" w:customStyle="1" w:styleId="57">
    <w:name w:val="Defaul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58">
    <w:name w:val="正文段"/>
    <w:basedOn w:val="1"/>
    <w:next w:val="13"/>
    <w:autoRedefine/>
    <w:qFormat/>
    <w:uiPriority w:val="0"/>
    <w:pPr>
      <w:widowControl/>
      <w:snapToGrid w:val="0"/>
      <w:spacing w:after="156" w:afterLines="50"/>
      <w:ind w:firstLine="200" w:firstLineChars="200"/>
    </w:pPr>
    <w:rPr>
      <w:rFonts w:ascii="Times New Roman" w:hAnsi="Times New Roman" w:eastAsia="宋体" w:cs="Times New Roman"/>
      <w:kern w:val="0"/>
      <w:sz w:val="24"/>
      <w:szCs w:val="20"/>
    </w:rPr>
  </w:style>
  <w:style w:type="paragraph" w:customStyle="1" w:styleId="59">
    <w:name w:val="xc正文"/>
    <w:basedOn w:val="1"/>
    <w:autoRedefine/>
    <w:qFormat/>
    <w:uiPriority w:val="0"/>
    <w:pPr>
      <w:ind w:firstLine="200" w:firstLineChars="200"/>
    </w:pPr>
    <w:rPr>
      <w:rFonts w:ascii="Times New Roman" w:hAnsi="Times New Roman" w:eastAsia="宋体" w:cs="Times New Roman"/>
      <w:szCs w:val="24"/>
    </w:rPr>
  </w:style>
  <w:style w:type="paragraph" w:customStyle="1" w:styleId="60">
    <w:name w:val="正文01"/>
    <w:basedOn w:val="1"/>
    <w:autoRedefine/>
    <w:qFormat/>
    <w:uiPriority w:val="0"/>
    <w:pPr>
      <w:spacing w:before="60" w:beforeLines="0" w:line="460" w:lineRule="exact"/>
      <w:ind w:firstLine="200" w:firstLineChars="200"/>
    </w:pPr>
    <w:rPr>
      <w:bCs/>
      <w:sz w:val="24"/>
      <w:szCs w:val="24"/>
    </w:rPr>
  </w:style>
  <w:style w:type="paragraph" w:customStyle="1" w:styleId="61">
    <w:name w:val="H 正文"/>
    <w:basedOn w:val="15"/>
    <w:autoRedefine/>
    <w:qFormat/>
    <w:uiPriority w:val="0"/>
    <w:pPr>
      <w:tabs>
        <w:tab w:val="left" w:pos="0"/>
      </w:tabs>
      <w:spacing w:line="360" w:lineRule="auto"/>
      <w:ind w:firstLine="480" w:firstLineChars="196"/>
    </w:pPr>
    <w:rPr>
      <w:rFonts w:ascii="宋体" w:hAnsi="宋体" w:eastAsia="Arial" w:cs="Century"/>
      <w:spacing w:val="2"/>
      <w:sz w:val="24"/>
      <w:szCs w:val="24"/>
      <w:lang w:val="zh-CN"/>
    </w:rPr>
  </w:style>
  <w:style w:type="paragraph" w:customStyle="1" w:styleId="62">
    <w:name w:val="Body Text First Indent"/>
    <w:basedOn w:val="4"/>
    <w:autoRedefine/>
    <w:qFormat/>
    <w:uiPriority w:val="0"/>
    <w:pPr>
      <w:ind w:firstLine="420" w:firstLineChars="100"/>
    </w:pPr>
  </w:style>
  <w:style w:type="paragraph" w:customStyle="1" w:styleId="63">
    <w:name w:val="!我的正文 Ctr+Q"/>
    <w:basedOn w:val="1"/>
    <w:autoRedefine/>
    <w:qFormat/>
    <w:uiPriority w:val="0"/>
    <w:pPr>
      <w:autoSpaceDE/>
      <w:autoSpaceDN/>
      <w:snapToGrid w:val="0"/>
      <w:spacing w:line="360" w:lineRule="auto"/>
      <w:ind w:firstLine="480" w:firstLineChars="200"/>
    </w:pPr>
    <w:rPr>
      <w:rFonts w:ascii="Arial" w:hAnsi="Arial" w:eastAsia="宋体" w:cs="Times New Roman"/>
      <w:color w:val="auto"/>
      <w:sz w:val="24"/>
    </w:rPr>
  </w:style>
  <w:style w:type="paragraph" w:customStyle="1" w:styleId="64">
    <w:name w:val="Char Char Char Char1"/>
    <w:basedOn w:val="1"/>
    <w:autoRedefine/>
    <w:qFormat/>
    <w:uiPriority w:val="0"/>
    <w:pPr>
      <w:autoSpaceDE/>
      <w:autoSpaceDN/>
      <w:adjustRightInd/>
    </w:pPr>
    <w:rPr>
      <w:rFonts w:ascii="Tahoma" w:hAnsi="Tahoma" w:eastAsia="宋体" w:cs="Times New Roman"/>
      <w:color w:val="auto"/>
      <w:kern w:val="2"/>
      <w:sz w:val="24"/>
      <w:szCs w:val="20"/>
    </w:rPr>
  </w:style>
  <w:style w:type="paragraph" w:customStyle="1" w:styleId="65">
    <w:name w:val="正文文字2"/>
    <w:basedOn w:val="4"/>
    <w:next w:val="11"/>
    <w:autoRedefine/>
    <w:qFormat/>
    <w:uiPriority w:val="0"/>
    <w:pPr>
      <w:autoSpaceDE/>
      <w:autoSpaceDN/>
      <w:spacing w:after="60" w:afterLines="0" w:line="360" w:lineRule="atLeast"/>
      <w:ind w:left="72" w:right="72"/>
      <w:jc w:val="center"/>
      <w:textAlignment w:val="baseline"/>
    </w:pPr>
    <w:rPr>
      <w:rFonts w:ascii="Arial" w:hAnsi="Times New Roman" w:eastAsia="黑体" w:cs="Times New Roman"/>
      <w:color w:val="auto"/>
      <w:szCs w:val="20"/>
    </w:rPr>
  </w:style>
  <w:style w:type="paragraph" w:customStyle="1" w:styleId="66">
    <w:name w:val="纯文本1"/>
    <w:basedOn w:val="1"/>
    <w:autoRedefine/>
    <w:qFormat/>
    <w:uiPriority w:val="0"/>
    <w:pPr>
      <w:ind w:firstLine="280" w:firstLineChars="100"/>
    </w:pPr>
    <w:rPr>
      <w:rFonts w:ascii="Times New Roman" w:hAnsi="宋体" w:eastAsia="宋体" w:cs="Courier New"/>
      <w:szCs w:val="21"/>
    </w:rPr>
  </w:style>
  <w:style w:type="paragraph" w:customStyle="1" w:styleId="67">
    <w:name w:val="二级条标题"/>
    <w:basedOn w:val="1"/>
    <w:next w:val="1"/>
    <w:autoRedefine/>
    <w:qFormat/>
    <w:uiPriority w:val="0"/>
    <w:pPr>
      <w:numPr>
        <w:ilvl w:val="2"/>
        <w:numId w:val="4"/>
      </w:numPr>
      <w:adjustRightInd/>
      <w:snapToGrid/>
      <w:spacing w:before="50" w:beforeLines="0" w:after="50" w:afterLines="0"/>
      <w:outlineLvl w:val="3"/>
    </w:pPr>
    <w:rPr>
      <w:rFonts w:ascii="黑体" w:hAnsi="Times New Roman" w:eastAsia="黑体" w:cs="Times New Roman"/>
      <w:sz w:val="21"/>
      <w:szCs w:val="21"/>
    </w:rPr>
  </w:style>
  <w:style w:type="paragraph" w:customStyle="1" w:styleId="68">
    <w:name w:val="Table Paragraph"/>
    <w:basedOn w:val="1"/>
    <w:autoRedefine/>
    <w:qFormat/>
    <w:uiPriority w:val="1"/>
    <w:pPr>
      <w:autoSpaceDE w:val="0"/>
      <w:autoSpaceDN w:val="0"/>
      <w:adjustRightInd w:val="0"/>
      <w:jc w:val="left"/>
    </w:pPr>
    <w:rPr>
      <w:kern w:val="0"/>
      <w:sz w:val="24"/>
    </w:rPr>
  </w:style>
  <w:style w:type="paragraph" w:customStyle="1" w:styleId="69">
    <w:name w:val="四级目录 Char Char Char Char Char"/>
    <w:next w:val="1"/>
    <w:autoRedefine/>
    <w:qFormat/>
    <w:uiPriority w:val="0"/>
    <w:pPr>
      <w:spacing w:line="360" w:lineRule="auto"/>
      <w:ind w:left="200" w:leftChars="200"/>
    </w:pPr>
    <w:rPr>
      <w:rFonts w:ascii="Calibri" w:hAnsi="Calibri" w:eastAsia="宋体" w:cs="Times New Roman"/>
      <w:lang w:val="en-US" w:eastAsia="zh-CN" w:bidi="ar-SA"/>
    </w:rPr>
  </w:style>
  <w:style w:type="paragraph" w:customStyle="1" w:styleId="70">
    <w:name w:val="List Paragraph"/>
    <w:basedOn w:val="1"/>
    <w:autoRedefine/>
    <w:qFormat/>
    <w:uiPriority w:val="0"/>
    <w:pPr>
      <w:ind w:firstLine="420" w:firstLineChars="200"/>
    </w:pPr>
    <w:rPr>
      <w:rFonts w:ascii="Times New Roman" w:hAnsi="Times New Roman" w:eastAsia="宋体" w:cs="Times New Roman"/>
    </w:rPr>
  </w:style>
  <w:style w:type="character" w:customStyle="1" w:styleId="71">
    <w:name w:val="font101"/>
    <w:autoRedefine/>
    <w:qFormat/>
    <w:uiPriority w:val="0"/>
    <w:rPr>
      <w:rFonts w:hint="eastAsia" w:ascii="宋体" w:hAnsi="宋体" w:eastAsia="宋体" w:cs="宋体"/>
      <w:color w:val="000000"/>
      <w:sz w:val="20"/>
      <w:szCs w:val="20"/>
      <w:u w:val="none"/>
    </w:rPr>
  </w:style>
  <w:style w:type="character" w:customStyle="1" w:styleId="72">
    <w:name w:val="font71"/>
    <w:autoRedefine/>
    <w:qFormat/>
    <w:uiPriority w:val="0"/>
    <w:rPr>
      <w:rFonts w:hint="eastAsia" w:ascii="宋体" w:hAnsi="宋体" w:eastAsia="宋体" w:cs="宋体"/>
      <w:color w:val="000000"/>
      <w:sz w:val="20"/>
      <w:szCs w:val="20"/>
      <w:u w:val="none"/>
    </w:rPr>
  </w:style>
  <w:style w:type="paragraph" w:customStyle="1" w:styleId="73">
    <w:name w:val="reader-word-layer reader-word-s19-6"/>
    <w:basedOn w:val="1"/>
    <w:autoRedefine/>
    <w:qFormat/>
    <w:uiPriority w:val="0"/>
    <w:pPr>
      <w:widowControl/>
      <w:autoSpaceDE/>
      <w:autoSpaceDN/>
      <w:adjustRightInd/>
      <w:spacing w:before="100" w:beforeLines="0" w:beforeAutospacing="1" w:after="100" w:afterLines="0" w:afterAutospacing="1"/>
      <w:jc w:val="left"/>
    </w:pPr>
    <w:rPr>
      <w:rFonts w:ascii="宋体" w:hAnsi="宋体" w:cs="宋体"/>
      <w:color w:val="auto"/>
      <w:sz w:val="24"/>
      <w:szCs w:val="24"/>
    </w:rPr>
  </w:style>
  <w:style w:type="paragraph" w:customStyle="1" w:styleId="74">
    <w:name w:val="reader-word-layer reader-word-s19-4"/>
    <w:basedOn w:val="1"/>
    <w:autoRedefine/>
    <w:qFormat/>
    <w:uiPriority w:val="0"/>
    <w:pPr>
      <w:widowControl/>
      <w:autoSpaceDE/>
      <w:autoSpaceDN/>
      <w:adjustRightInd/>
      <w:spacing w:before="100" w:beforeLines="0" w:beforeAutospacing="1" w:after="100" w:afterLines="0" w:afterAutospacing="1"/>
      <w:jc w:val="left"/>
    </w:pPr>
    <w:rPr>
      <w:rFonts w:ascii="宋体" w:hAnsi="宋体" w:cs="宋体"/>
      <w:color w:val="auto"/>
      <w:sz w:val="24"/>
      <w:szCs w:val="24"/>
    </w:rPr>
  </w:style>
  <w:style w:type="character" w:customStyle="1" w:styleId="75">
    <w:name w:val="font122"/>
    <w:basedOn w:val="30"/>
    <w:autoRedefine/>
    <w:qFormat/>
    <w:uiPriority w:val="0"/>
    <w:rPr>
      <w:rFonts w:hint="eastAsia" w:ascii="宋体" w:hAnsi="宋体" w:eastAsia="宋体" w:cs="宋体"/>
      <w:color w:val="000000"/>
      <w:sz w:val="22"/>
      <w:szCs w:val="22"/>
      <w:u w:val="none"/>
      <w:vertAlign w:val="superscript"/>
    </w:rPr>
  </w:style>
  <w:style w:type="paragraph" w:customStyle="1" w:styleId="76">
    <w:name w:val="Body Text 31"/>
    <w:basedOn w:val="1"/>
    <w:autoRedefine/>
    <w:qFormat/>
    <w:uiPriority w:val="0"/>
    <w:pPr>
      <w:spacing w:after="120" w:afterLines="0"/>
    </w:pPr>
    <w:rPr>
      <w:sz w:val="16"/>
      <w:szCs w:val="16"/>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Desktop\&#27425;&#22366;&#38215;&#39135;&#22530;&#37319;&#36141;&#35201;&#32032;&#38468;&#20214;&#21021;&#31295;.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次坞镇食堂采购要素附件初稿</Template>
  <Pages>7</Pages>
  <Words>5084</Words>
  <Characters>5262</Characters>
  <Lines>106</Lines>
  <Paragraphs>29</Paragraphs>
  <TotalTime>26</TotalTime>
  <ScaleCrop>false</ScaleCrop>
  <LinksUpToDate>false</LinksUpToDate>
  <CharactersWithSpaces>5263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2020-04-01T09:02:00Z</dcterms:created>
  <dc:creator>广和政府采购代理</dc:creator>
  <cp:lastModifiedBy>WPS_1655029296</cp:lastModifiedBy>
  <cp:lastPrinted>2024-02-29T01:00:00Z</cp:lastPrinted>
  <dcterms:modified xsi:type="dcterms:W3CDTF">2025-04-01T09:56:41Z</dcterms:modified>
  <dc:title>诸暨市残疾人联合会大病医疗和意外伤害补充商业保险</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690D7A33B192474D8C78368D9FF01407_13</vt:lpwstr>
  </property>
  <property fmtid="{D5CDD505-2E9C-101B-9397-08002B2CF9AE}" pid="4" name="KSOTemplateDocerSaveRecord">
    <vt:lpwstr>eyJoZGlkIjoiY2ZiOTQwM2Q1MWJhZmQ3MzFmZTU4OTNhNDBlM2Y0MDYiLCJ1c2VySWQiOiIxMzgyMTAzOTgzIn0=</vt:lpwstr>
  </property>
</Properties>
</file>