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EE865">
      <w:pPr>
        <w:keepNext w:val="0"/>
        <w:keepLines w:val="0"/>
        <w:pageBreakBefore w:val="0"/>
        <w:widowControl w:val="0"/>
        <w:kinsoku/>
        <w:wordWrap/>
        <w:overflowPunct/>
        <w:topLinePunct w:val="0"/>
        <w:autoSpaceDE/>
        <w:autoSpaceDN/>
        <w:bidi w:val="0"/>
        <w:adjustRightInd w:val="0"/>
        <w:snapToGrid/>
        <w:spacing w:before="952" w:beforeLines="300" w:after="240" w:line="360" w:lineRule="auto"/>
        <w:jc w:val="center"/>
        <w:textAlignment w:val="auto"/>
        <w:rPr>
          <w:rFonts w:hint="eastAsia" w:ascii="宋体" w:hAnsi="宋体" w:cs="宋体"/>
          <w:b/>
          <w:bCs/>
          <w:color w:val="auto"/>
          <w:sz w:val="52"/>
          <w:szCs w:val="52"/>
          <w:highlight w:val="none"/>
          <w:lang w:val="en-US" w:eastAsia="zh-CN"/>
        </w:rPr>
      </w:pPr>
      <w:bookmarkStart w:id="0" w:name="_Toc125344502"/>
      <w:r>
        <w:rPr>
          <w:rFonts w:hint="eastAsia" w:ascii="宋体" w:hAnsi="宋体" w:cs="宋体"/>
          <w:b/>
          <w:bCs/>
          <w:color w:val="auto"/>
          <w:sz w:val="52"/>
          <w:szCs w:val="52"/>
          <w:highlight w:val="none"/>
          <w:lang w:val="en-US" w:eastAsia="zh-CN"/>
        </w:rPr>
        <w:t>诸暨市环境卫生管理集团有限公司2025-2026年度环卫工人综合险服务</w:t>
      </w:r>
    </w:p>
    <w:p w14:paraId="445E5DB1">
      <w:pPr>
        <w:keepNext w:val="0"/>
        <w:keepLines w:val="0"/>
        <w:pageBreakBefore w:val="0"/>
        <w:widowControl w:val="0"/>
        <w:kinsoku/>
        <w:wordWrap/>
        <w:overflowPunct/>
        <w:topLinePunct w:val="0"/>
        <w:autoSpaceDE/>
        <w:autoSpaceDN/>
        <w:bidi w:val="0"/>
        <w:adjustRightInd w:val="0"/>
        <w:snapToGrid/>
        <w:spacing w:after="240" w:line="360" w:lineRule="auto"/>
        <w:jc w:val="center"/>
        <w:textAlignment w:val="auto"/>
        <w:rPr>
          <w:rFonts w:hint="eastAsia" w:ascii="宋体" w:hAnsi="宋体" w:cs="宋体"/>
          <w:b/>
          <w:bCs/>
          <w:color w:val="auto"/>
          <w:sz w:val="52"/>
          <w:szCs w:val="52"/>
          <w:highlight w:val="none"/>
          <w:lang w:val="en-US" w:eastAsia="zh-CN"/>
        </w:rPr>
      </w:pPr>
      <w:r>
        <w:rPr>
          <w:rFonts w:hint="eastAsia" w:ascii="宋体" w:hAnsi="宋体" w:cs="宋体"/>
          <w:b/>
          <w:bCs/>
          <w:color w:val="auto"/>
          <w:sz w:val="52"/>
          <w:szCs w:val="52"/>
          <w:highlight w:val="none"/>
          <w:lang w:val="en-US" w:eastAsia="zh-CN"/>
        </w:rPr>
        <w:t>采购项目</w:t>
      </w:r>
    </w:p>
    <w:p w14:paraId="579D94C1">
      <w:pPr>
        <w:autoSpaceDE/>
        <w:autoSpaceDN/>
        <w:spacing w:line="360" w:lineRule="auto"/>
        <w:jc w:val="center"/>
        <w:rPr>
          <w:rFonts w:ascii="仿宋" w:hAnsi="仿宋" w:eastAsia="仿宋" w:cs="黑体"/>
          <w:b/>
          <w:bCs/>
          <w:color w:val="auto"/>
          <w:sz w:val="32"/>
          <w:szCs w:val="32"/>
          <w:highlight w:val="none"/>
        </w:rPr>
      </w:pPr>
      <w:r>
        <w:rPr>
          <w:rFonts w:hint="eastAsia" w:ascii="仿宋" w:hAnsi="仿宋" w:eastAsia="仿宋" w:cs="黑体"/>
          <w:b/>
          <w:bCs/>
          <w:color w:val="auto"/>
          <w:sz w:val="32"/>
          <w:szCs w:val="32"/>
          <w:highlight w:val="none"/>
        </w:rPr>
        <w:t>（编号：诸宸佳202</w:t>
      </w:r>
      <w:r>
        <w:rPr>
          <w:rFonts w:hint="eastAsia" w:ascii="仿宋" w:hAnsi="仿宋" w:eastAsia="仿宋" w:cs="黑体"/>
          <w:b/>
          <w:bCs/>
          <w:color w:val="auto"/>
          <w:sz w:val="32"/>
          <w:szCs w:val="32"/>
          <w:highlight w:val="none"/>
          <w:lang w:val="en-US" w:eastAsia="zh-CN"/>
        </w:rPr>
        <w:t>5-01</w:t>
      </w:r>
      <w:r>
        <w:rPr>
          <w:rFonts w:hint="eastAsia" w:ascii="仿宋" w:hAnsi="仿宋" w:eastAsia="仿宋" w:cs="黑体"/>
          <w:b/>
          <w:bCs/>
          <w:color w:val="auto"/>
          <w:sz w:val="32"/>
          <w:szCs w:val="32"/>
          <w:highlight w:val="none"/>
        </w:rPr>
        <w:t>-</w:t>
      </w:r>
      <w:r>
        <w:rPr>
          <w:rFonts w:hint="eastAsia" w:ascii="仿宋" w:hAnsi="仿宋" w:eastAsia="仿宋" w:cs="黑体"/>
          <w:b/>
          <w:bCs/>
          <w:color w:val="auto"/>
          <w:sz w:val="32"/>
          <w:szCs w:val="32"/>
          <w:highlight w:val="none"/>
          <w:lang w:val="en-US" w:eastAsia="zh-CN"/>
        </w:rPr>
        <w:t>10</w:t>
      </w:r>
      <w:r>
        <w:rPr>
          <w:rFonts w:hint="eastAsia" w:ascii="仿宋" w:hAnsi="仿宋" w:eastAsia="仿宋" w:cs="黑体"/>
          <w:b/>
          <w:bCs/>
          <w:color w:val="auto"/>
          <w:sz w:val="32"/>
          <w:szCs w:val="32"/>
          <w:highlight w:val="none"/>
        </w:rPr>
        <w:t>）</w:t>
      </w:r>
    </w:p>
    <w:p w14:paraId="0362E7E5">
      <w:pPr>
        <w:spacing w:beforeLines="750" w:line="360" w:lineRule="auto"/>
        <w:jc w:val="center"/>
        <w:rPr>
          <w:rFonts w:ascii="宋体" w:hAnsi="宋体"/>
          <w:b/>
          <w:color w:val="auto"/>
          <w:spacing w:val="-6"/>
          <w:sz w:val="84"/>
          <w:szCs w:val="84"/>
          <w:highlight w:val="none"/>
        </w:rPr>
      </w:pPr>
      <w:r>
        <w:rPr>
          <w:rFonts w:hint="eastAsia" w:ascii="宋体" w:hAnsi="宋体"/>
          <w:b/>
          <w:color w:val="auto"/>
          <w:spacing w:val="-6"/>
          <w:sz w:val="84"/>
          <w:szCs w:val="84"/>
          <w:highlight w:val="none"/>
        </w:rPr>
        <w:t>招 标 文 件</w:t>
      </w:r>
    </w:p>
    <w:p w14:paraId="13116AC2">
      <w:pPr>
        <w:autoSpaceDE/>
        <w:autoSpaceDN/>
        <w:spacing w:afterLines="600" w:line="360" w:lineRule="auto"/>
        <w:jc w:val="center"/>
        <w:rPr>
          <w:rFonts w:ascii="宋体" w:hAnsi="宋体"/>
          <w:b/>
          <w:color w:val="auto"/>
          <w:spacing w:val="36"/>
          <w:sz w:val="36"/>
          <w:highlight w:val="none"/>
        </w:rPr>
      </w:pPr>
      <w:r>
        <w:rPr>
          <w:rFonts w:hint="eastAsia" w:ascii="宋体" w:hAnsi="宋体"/>
          <w:b/>
          <w:color w:val="auto"/>
          <w:spacing w:val="36"/>
          <w:sz w:val="36"/>
          <w:highlight w:val="none"/>
        </w:rPr>
        <w:t>（电子招投标）</w:t>
      </w:r>
    </w:p>
    <w:tbl>
      <w:tblPr>
        <w:tblStyle w:val="5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40"/>
      </w:tblGrid>
      <w:tr w14:paraId="10B0D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40" w:type="dxa"/>
            <w:vAlign w:val="bottom"/>
          </w:tcPr>
          <w:p w14:paraId="1484BF55">
            <w:pPr>
              <w:tabs>
                <w:tab w:val="left" w:pos="3570"/>
              </w:tabs>
              <w:spacing w:line="360" w:lineRule="auto"/>
              <w:rPr>
                <w:rFonts w:ascii="仿宋" w:hAnsi="仿宋" w:eastAsia="仿宋" w:cs="楷体_GB2312"/>
                <w:b/>
                <w:bCs/>
                <w:color w:val="auto"/>
                <w:w w:val="95"/>
                <w:sz w:val="32"/>
                <w:szCs w:val="32"/>
                <w:highlight w:val="none"/>
              </w:rPr>
            </w:pPr>
            <w:r>
              <w:rPr>
                <w:rFonts w:hint="eastAsia" w:ascii="仿宋" w:hAnsi="仿宋" w:eastAsia="仿宋" w:cs="楷体_GB2312"/>
                <w:b/>
                <w:bCs/>
                <w:color w:val="auto"/>
                <w:w w:val="95"/>
                <w:sz w:val="32"/>
                <w:szCs w:val="32"/>
                <w:highlight w:val="none"/>
              </w:rPr>
              <w:t>采购单位：</w:t>
            </w:r>
            <w:r>
              <w:rPr>
                <w:rFonts w:hint="eastAsia" w:ascii="仿宋" w:hAnsi="仿宋" w:eastAsia="仿宋" w:cs="楷体_GB2312"/>
                <w:b/>
                <w:bCs/>
                <w:color w:val="auto"/>
                <w:w w:val="95"/>
                <w:sz w:val="32"/>
                <w:szCs w:val="32"/>
                <w:highlight w:val="none"/>
                <w:lang w:eastAsia="zh-CN"/>
              </w:rPr>
              <w:t>诸暨市环境卫生管理集团有限公司</w:t>
            </w:r>
          </w:p>
        </w:tc>
      </w:tr>
      <w:tr w14:paraId="7CB44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jc w:val="center"/>
        </w:trPr>
        <w:tc>
          <w:tcPr>
            <w:tcW w:w="6740" w:type="dxa"/>
            <w:vAlign w:val="bottom"/>
          </w:tcPr>
          <w:p w14:paraId="03614FF4">
            <w:pPr>
              <w:pStyle w:val="29"/>
              <w:snapToGrid w:val="0"/>
              <w:spacing w:before="120" w:after="120" w:line="360" w:lineRule="auto"/>
              <w:rPr>
                <w:rFonts w:ascii="仿宋" w:hAnsi="仿宋" w:eastAsia="仿宋" w:cs="楷体_GB2312"/>
                <w:b/>
                <w:bCs/>
                <w:color w:val="auto"/>
                <w:w w:val="95"/>
                <w:kern w:val="0"/>
                <w:sz w:val="32"/>
                <w:szCs w:val="32"/>
                <w:highlight w:val="none"/>
              </w:rPr>
            </w:pPr>
            <w:r>
              <w:rPr>
                <w:rFonts w:hint="eastAsia" w:ascii="仿宋" w:hAnsi="仿宋" w:eastAsia="仿宋" w:cs="楷体_GB2312"/>
                <w:b/>
                <w:bCs/>
                <w:color w:val="auto"/>
                <w:w w:val="95"/>
                <w:kern w:val="0"/>
                <w:sz w:val="32"/>
                <w:szCs w:val="32"/>
                <w:highlight w:val="none"/>
              </w:rPr>
              <w:t>采购代理机构：诸暨市宸佳工程管理有限公司</w:t>
            </w:r>
          </w:p>
        </w:tc>
      </w:tr>
    </w:tbl>
    <w:p w14:paraId="46A981D8">
      <w:pPr>
        <w:spacing w:line="360" w:lineRule="auto"/>
        <w:jc w:val="center"/>
        <w:rPr>
          <w:rFonts w:ascii="仿宋" w:hAnsi="仿宋" w:eastAsia="仿宋" w:cs="楷体_GB2312"/>
          <w:b/>
          <w:bCs/>
          <w:color w:val="auto"/>
          <w:w w:val="95"/>
          <w:sz w:val="30"/>
          <w:szCs w:val="30"/>
          <w:highlight w:val="none"/>
        </w:rPr>
      </w:pPr>
      <w:r>
        <w:rPr>
          <w:rFonts w:hint="eastAsia" w:ascii="仿宋" w:hAnsi="仿宋" w:eastAsia="仿宋"/>
          <w:b/>
          <w:bCs/>
          <w:color w:val="auto"/>
          <w:w w:val="95"/>
          <w:sz w:val="30"/>
          <w:szCs w:val="30"/>
          <w:highlight w:val="none"/>
        </w:rPr>
        <w:t>二</w:t>
      </w:r>
      <w:r>
        <w:rPr>
          <w:rFonts w:hint="eastAsia" w:ascii="仿宋" w:hAnsi="仿宋" w:eastAsia="仿宋" w:cs="宋体"/>
          <w:b/>
          <w:bCs/>
          <w:color w:val="auto"/>
          <w:w w:val="95"/>
          <w:sz w:val="30"/>
          <w:szCs w:val="30"/>
          <w:highlight w:val="none"/>
        </w:rPr>
        <w:t>〇</w:t>
      </w:r>
      <w:r>
        <w:rPr>
          <w:rFonts w:hint="eastAsia" w:ascii="仿宋" w:hAnsi="仿宋" w:eastAsia="仿宋" w:cs="楷体_GB2312"/>
          <w:b/>
          <w:bCs/>
          <w:color w:val="auto"/>
          <w:w w:val="95"/>
          <w:sz w:val="30"/>
          <w:szCs w:val="30"/>
          <w:highlight w:val="none"/>
        </w:rPr>
        <w:t>二</w:t>
      </w:r>
      <w:r>
        <w:rPr>
          <w:rFonts w:hint="eastAsia" w:ascii="仿宋" w:hAnsi="仿宋" w:eastAsia="仿宋" w:cs="楷体_GB2312"/>
          <w:b/>
          <w:bCs/>
          <w:color w:val="auto"/>
          <w:w w:val="95"/>
          <w:sz w:val="30"/>
          <w:szCs w:val="30"/>
          <w:highlight w:val="none"/>
          <w:lang w:val="en-US" w:eastAsia="zh-CN"/>
        </w:rPr>
        <w:t>五</w:t>
      </w:r>
      <w:r>
        <w:rPr>
          <w:rFonts w:hint="eastAsia" w:ascii="仿宋" w:hAnsi="仿宋" w:eastAsia="仿宋" w:cs="楷体_GB2312"/>
          <w:b/>
          <w:bCs/>
          <w:color w:val="auto"/>
          <w:w w:val="95"/>
          <w:sz w:val="30"/>
          <w:szCs w:val="30"/>
          <w:highlight w:val="none"/>
        </w:rPr>
        <w:t>年</w:t>
      </w:r>
      <w:r>
        <w:rPr>
          <w:rFonts w:hint="eastAsia" w:ascii="仿宋" w:hAnsi="仿宋" w:eastAsia="仿宋" w:cs="楷体_GB2312"/>
          <w:b/>
          <w:bCs/>
          <w:color w:val="auto"/>
          <w:w w:val="95"/>
          <w:sz w:val="30"/>
          <w:szCs w:val="30"/>
          <w:highlight w:val="none"/>
          <w:lang w:val="en-US" w:eastAsia="zh-CN"/>
        </w:rPr>
        <w:t>二</w:t>
      </w:r>
      <w:r>
        <w:rPr>
          <w:rFonts w:hint="eastAsia" w:ascii="仿宋" w:hAnsi="仿宋" w:eastAsia="仿宋" w:cs="楷体_GB2312"/>
          <w:b/>
          <w:bCs/>
          <w:color w:val="auto"/>
          <w:w w:val="95"/>
          <w:sz w:val="30"/>
          <w:szCs w:val="30"/>
          <w:highlight w:val="none"/>
        </w:rPr>
        <w:t>月</w:t>
      </w:r>
    </w:p>
    <w:p w14:paraId="06A0587A">
      <w:pPr>
        <w:spacing w:line="360" w:lineRule="auto"/>
        <w:rPr>
          <w:rFonts w:ascii="宋体" w:hAnsi="宋体" w:cs="楷体_GB2312"/>
          <w:b/>
          <w:bCs/>
          <w:color w:val="auto"/>
          <w:w w:val="95"/>
          <w:sz w:val="30"/>
          <w:szCs w:val="30"/>
          <w:highlight w:val="none"/>
        </w:rPr>
        <w:sectPr>
          <w:headerReference r:id="rId4" w:type="first"/>
          <w:headerReference r:id="rId3" w:type="default"/>
          <w:footerReference r:id="rId5" w:type="default"/>
          <w:pgSz w:w="11905" w:h="16838"/>
          <w:pgMar w:top="1440" w:right="1083" w:bottom="1440" w:left="1083" w:header="850" w:footer="964" w:gutter="0"/>
          <w:pgBorders>
            <w:top w:val="none" w:sz="0" w:space="0"/>
            <w:left w:val="none" w:sz="0" w:space="0"/>
            <w:bottom w:val="none" w:sz="0" w:space="0"/>
            <w:right w:val="none" w:sz="0" w:space="0"/>
          </w:pgBorders>
          <w:pgNumType w:fmt="numberInDash"/>
          <w:cols w:space="0" w:num="1"/>
          <w:titlePg/>
          <w:rtlGutter w:val="0"/>
          <w:docGrid w:type="lines" w:linePitch="317" w:charSpace="0"/>
        </w:sectPr>
      </w:pPr>
    </w:p>
    <w:p w14:paraId="359480BF">
      <w:pPr>
        <w:keepNext w:val="0"/>
        <w:keepLines w:val="0"/>
        <w:pageBreakBefore w:val="0"/>
        <w:widowControl w:val="0"/>
        <w:kinsoku/>
        <w:wordWrap/>
        <w:overflowPunct/>
        <w:topLinePunct w:val="0"/>
        <w:autoSpaceDE w:val="0"/>
        <w:autoSpaceDN w:val="0"/>
        <w:bidi w:val="0"/>
        <w:adjustRightInd w:val="0"/>
        <w:snapToGrid/>
        <w:spacing w:before="120" w:after="120" w:line="360" w:lineRule="auto"/>
        <w:jc w:val="center"/>
        <w:textAlignment w:val="auto"/>
        <w:rPr>
          <w:rFonts w:ascii="仿宋" w:hAnsi="仿宋" w:eastAsia="仿宋"/>
          <w:b/>
          <w:color w:val="auto"/>
          <w:sz w:val="44"/>
          <w:szCs w:val="44"/>
          <w:highlight w:val="none"/>
        </w:rPr>
      </w:pPr>
      <w:r>
        <w:rPr>
          <w:rFonts w:hint="eastAsia" w:ascii="仿宋" w:hAnsi="仿宋" w:eastAsia="仿宋"/>
          <w:b/>
          <w:color w:val="auto"/>
          <w:sz w:val="44"/>
          <w:szCs w:val="44"/>
          <w:highlight w:val="none"/>
        </w:rPr>
        <w:t>目</w:t>
      </w:r>
      <w:r>
        <w:rPr>
          <w:rFonts w:hint="eastAsia" w:ascii="仿宋" w:hAnsi="仿宋" w:eastAsia="仿宋"/>
          <w:b/>
          <w:color w:val="auto"/>
          <w:sz w:val="44"/>
          <w:szCs w:val="44"/>
          <w:highlight w:val="none"/>
          <w:lang w:val="en-US" w:eastAsia="zh-CN"/>
        </w:rPr>
        <w:t xml:space="preserve"> </w:t>
      </w:r>
      <w:r>
        <w:rPr>
          <w:rFonts w:hint="eastAsia" w:ascii="仿宋" w:hAnsi="仿宋" w:eastAsia="仿宋"/>
          <w:b/>
          <w:color w:val="auto"/>
          <w:sz w:val="44"/>
          <w:szCs w:val="44"/>
          <w:highlight w:val="none"/>
        </w:rPr>
        <w:t>录</w:t>
      </w:r>
    </w:p>
    <w:p w14:paraId="7AE658C7">
      <w:pPr>
        <w:keepNext w:val="0"/>
        <w:keepLines w:val="0"/>
        <w:pageBreakBefore w:val="0"/>
        <w:widowControl w:val="0"/>
        <w:kinsoku/>
        <w:wordWrap/>
        <w:overflowPunct/>
        <w:topLinePunct w:val="0"/>
        <w:autoSpaceDE w:val="0"/>
        <w:autoSpaceDN w:val="0"/>
        <w:bidi w:val="0"/>
        <w:adjustRightInd w:val="0"/>
        <w:snapToGrid w:val="0"/>
        <w:spacing w:before="159" w:beforeLines="50" w:after="144" w:afterLines="50" w:line="360" w:lineRule="auto"/>
        <w:ind w:firstLine="2168" w:firstLineChars="600"/>
        <w:jc w:val="left"/>
        <w:textAlignment w:val="auto"/>
        <w:rPr>
          <w:rFonts w:hint="eastAsia" w:ascii="仿宋" w:hAnsi="仿宋" w:eastAsia="仿宋" w:cs="Times New Roman"/>
          <w:b/>
          <w:color w:val="auto"/>
          <w:sz w:val="36"/>
          <w:szCs w:val="36"/>
        </w:rPr>
      </w:pPr>
      <w:r>
        <w:rPr>
          <w:rFonts w:hint="eastAsia" w:ascii="仿宋" w:hAnsi="仿宋" w:eastAsia="仿宋" w:cs="Times New Roman"/>
          <w:b/>
          <w:color w:val="auto"/>
          <w:sz w:val="36"/>
          <w:szCs w:val="36"/>
        </w:rPr>
        <w:t>第一章    招标公告</w:t>
      </w:r>
    </w:p>
    <w:p w14:paraId="2814F680">
      <w:pPr>
        <w:keepNext w:val="0"/>
        <w:keepLines w:val="0"/>
        <w:pageBreakBefore w:val="0"/>
        <w:widowControl w:val="0"/>
        <w:kinsoku/>
        <w:wordWrap/>
        <w:overflowPunct/>
        <w:topLinePunct w:val="0"/>
        <w:autoSpaceDE w:val="0"/>
        <w:autoSpaceDN w:val="0"/>
        <w:bidi w:val="0"/>
        <w:adjustRightInd w:val="0"/>
        <w:snapToGrid w:val="0"/>
        <w:spacing w:before="159" w:beforeLines="50" w:after="144" w:afterLines="50" w:line="360" w:lineRule="auto"/>
        <w:ind w:firstLine="2168" w:firstLineChars="600"/>
        <w:jc w:val="left"/>
        <w:textAlignment w:val="auto"/>
        <w:rPr>
          <w:rFonts w:hint="eastAsia" w:ascii="仿宋" w:hAnsi="仿宋" w:eastAsia="仿宋" w:cs="Times New Roman"/>
          <w:b/>
          <w:color w:val="auto"/>
          <w:sz w:val="36"/>
          <w:szCs w:val="36"/>
        </w:rPr>
      </w:pPr>
      <w:r>
        <w:rPr>
          <w:rFonts w:hint="eastAsia" w:ascii="仿宋" w:hAnsi="仿宋" w:eastAsia="仿宋" w:cs="Times New Roman"/>
          <w:b/>
          <w:color w:val="auto"/>
          <w:sz w:val="36"/>
          <w:szCs w:val="36"/>
        </w:rPr>
        <w:t>第二章    投标人须知</w:t>
      </w:r>
    </w:p>
    <w:p w14:paraId="6DCE99D4">
      <w:pPr>
        <w:keepNext w:val="0"/>
        <w:keepLines w:val="0"/>
        <w:pageBreakBefore w:val="0"/>
        <w:widowControl w:val="0"/>
        <w:kinsoku/>
        <w:wordWrap/>
        <w:overflowPunct/>
        <w:topLinePunct w:val="0"/>
        <w:autoSpaceDE w:val="0"/>
        <w:autoSpaceDN w:val="0"/>
        <w:bidi w:val="0"/>
        <w:adjustRightInd w:val="0"/>
        <w:snapToGrid w:val="0"/>
        <w:spacing w:before="159" w:beforeLines="50" w:after="144" w:afterLines="50" w:line="360" w:lineRule="auto"/>
        <w:ind w:firstLine="2168" w:firstLineChars="600"/>
        <w:jc w:val="left"/>
        <w:textAlignment w:val="auto"/>
        <w:rPr>
          <w:rFonts w:hint="eastAsia" w:ascii="仿宋" w:hAnsi="仿宋" w:eastAsia="仿宋" w:cs="Times New Roman"/>
          <w:b/>
          <w:color w:val="auto"/>
          <w:sz w:val="36"/>
          <w:szCs w:val="36"/>
        </w:rPr>
      </w:pPr>
      <w:r>
        <w:rPr>
          <w:rFonts w:hint="eastAsia" w:ascii="仿宋" w:hAnsi="仿宋" w:eastAsia="仿宋" w:cs="Times New Roman"/>
          <w:b/>
          <w:color w:val="auto"/>
          <w:sz w:val="36"/>
          <w:szCs w:val="36"/>
        </w:rPr>
        <w:t>第三章    评标方法及评分标准</w:t>
      </w:r>
    </w:p>
    <w:p w14:paraId="5DA3629D">
      <w:pPr>
        <w:keepNext w:val="0"/>
        <w:keepLines w:val="0"/>
        <w:pageBreakBefore w:val="0"/>
        <w:widowControl w:val="0"/>
        <w:kinsoku/>
        <w:wordWrap/>
        <w:overflowPunct/>
        <w:topLinePunct w:val="0"/>
        <w:autoSpaceDE w:val="0"/>
        <w:autoSpaceDN w:val="0"/>
        <w:bidi w:val="0"/>
        <w:adjustRightInd w:val="0"/>
        <w:snapToGrid w:val="0"/>
        <w:spacing w:before="159" w:beforeLines="50" w:after="144" w:afterLines="50" w:line="360" w:lineRule="auto"/>
        <w:ind w:firstLine="2168" w:firstLineChars="600"/>
        <w:jc w:val="left"/>
        <w:textAlignment w:val="auto"/>
        <w:rPr>
          <w:rFonts w:hint="eastAsia" w:ascii="仿宋" w:hAnsi="仿宋" w:eastAsia="仿宋" w:cs="Times New Roman"/>
          <w:b/>
          <w:color w:val="auto"/>
          <w:sz w:val="36"/>
          <w:szCs w:val="36"/>
        </w:rPr>
      </w:pPr>
      <w:r>
        <w:rPr>
          <w:rFonts w:hint="eastAsia" w:ascii="仿宋" w:hAnsi="仿宋" w:eastAsia="仿宋" w:cs="Times New Roman"/>
          <w:b/>
          <w:color w:val="auto"/>
          <w:sz w:val="36"/>
          <w:szCs w:val="36"/>
        </w:rPr>
        <w:t>第四章    采购需求</w:t>
      </w:r>
    </w:p>
    <w:p w14:paraId="05D95061">
      <w:pPr>
        <w:keepNext w:val="0"/>
        <w:keepLines w:val="0"/>
        <w:pageBreakBefore w:val="0"/>
        <w:widowControl w:val="0"/>
        <w:kinsoku/>
        <w:wordWrap/>
        <w:overflowPunct/>
        <w:topLinePunct w:val="0"/>
        <w:autoSpaceDE w:val="0"/>
        <w:autoSpaceDN w:val="0"/>
        <w:bidi w:val="0"/>
        <w:adjustRightInd w:val="0"/>
        <w:snapToGrid w:val="0"/>
        <w:spacing w:before="159" w:beforeLines="50" w:after="144" w:afterLines="50" w:line="360" w:lineRule="auto"/>
        <w:ind w:firstLine="2168" w:firstLineChars="600"/>
        <w:jc w:val="left"/>
        <w:textAlignment w:val="auto"/>
        <w:rPr>
          <w:rFonts w:hint="eastAsia" w:ascii="仿宋" w:hAnsi="仿宋" w:eastAsia="仿宋" w:cs="Times New Roman"/>
          <w:b/>
          <w:color w:val="auto"/>
          <w:sz w:val="36"/>
          <w:szCs w:val="36"/>
          <w:lang w:val="en-US" w:eastAsia="zh-CN"/>
        </w:rPr>
      </w:pPr>
      <w:r>
        <w:rPr>
          <w:rFonts w:hint="eastAsia" w:ascii="仿宋" w:hAnsi="仿宋" w:eastAsia="仿宋" w:cs="Times New Roman"/>
          <w:b/>
          <w:color w:val="auto"/>
          <w:sz w:val="36"/>
          <w:szCs w:val="36"/>
        </w:rPr>
        <w:t xml:space="preserve">第五章    </w:t>
      </w:r>
      <w:r>
        <w:rPr>
          <w:rFonts w:hint="eastAsia" w:ascii="仿宋" w:hAnsi="仿宋" w:eastAsia="仿宋" w:cs="Times New Roman"/>
          <w:b/>
          <w:color w:val="auto"/>
          <w:sz w:val="36"/>
          <w:szCs w:val="36"/>
          <w:lang w:val="en-US" w:eastAsia="zh-CN"/>
        </w:rPr>
        <w:t>采购项目采购合同</w:t>
      </w:r>
    </w:p>
    <w:p w14:paraId="3086F8A5">
      <w:pPr>
        <w:keepNext w:val="0"/>
        <w:keepLines w:val="0"/>
        <w:pageBreakBefore w:val="0"/>
        <w:widowControl w:val="0"/>
        <w:kinsoku/>
        <w:wordWrap/>
        <w:overflowPunct/>
        <w:topLinePunct w:val="0"/>
        <w:autoSpaceDE w:val="0"/>
        <w:autoSpaceDN w:val="0"/>
        <w:bidi w:val="0"/>
        <w:adjustRightInd w:val="0"/>
        <w:snapToGrid w:val="0"/>
        <w:spacing w:before="159" w:beforeLines="50" w:after="144" w:afterLines="50" w:line="360" w:lineRule="auto"/>
        <w:ind w:firstLine="2168" w:firstLineChars="600"/>
        <w:jc w:val="left"/>
        <w:textAlignment w:val="auto"/>
        <w:rPr>
          <w:rFonts w:hint="eastAsia" w:ascii="仿宋" w:hAnsi="仿宋" w:eastAsia="仿宋" w:cs="Times New Roman"/>
          <w:b/>
          <w:color w:val="auto"/>
          <w:sz w:val="36"/>
          <w:szCs w:val="36"/>
        </w:rPr>
      </w:pPr>
      <w:r>
        <w:rPr>
          <w:rFonts w:hint="eastAsia" w:ascii="仿宋" w:hAnsi="仿宋" w:eastAsia="仿宋" w:cs="Times New Roman"/>
          <w:b/>
          <w:color w:val="auto"/>
          <w:sz w:val="36"/>
          <w:szCs w:val="36"/>
        </w:rPr>
        <w:t>第六章    应提交的有关格式范例</w:t>
      </w:r>
    </w:p>
    <w:p w14:paraId="7A196B8C">
      <w:pPr>
        <w:spacing w:beforeLines="100" w:line="360" w:lineRule="auto"/>
        <w:jc w:val="center"/>
        <w:rPr>
          <w:rStyle w:val="58"/>
          <w:rFonts w:ascii="宋体" w:hAnsi="宋体"/>
          <w:color w:val="auto"/>
          <w:sz w:val="30"/>
          <w:highlight w:val="none"/>
        </w:rPr>
        <w:sectPr>
          <w:footerReference r:id="rId6" w:type="default"/>
          <w:pgSz w:w="11905" w:h="16838"/>
          <w:pgMar w:top="1440" w:right="1083" w:bottom="1440" w:left="1083" w:header="850" w:footer="964" w:gutter="0"/>
          <w:pgBorders>
            <w:top w:val="none" w:sz="0" w:space="0"/>
            <w:left w:val="none" w:sz="0" w:space="0"/>
            <w:bottom w:val="none" w:sz="0" w:space="0"/>
            <w:right w:val="none" w:sz="0" w:space="0"/>
          </w:pgBorders>
          <w:pgNumType w:fmt="decimal" w:start="1"/>
          <w:cols w:space="0" w:num="1"/>
          <w:titlePg/>
          <w:rtlGutter w:val="0"/>
          <w:docGrid w:type="lines" w:linePitch="317" w:charSpace="0"/>
        </w:sectPr>
      </w:pPr>
      <w:r>
        <w:rPr>
          <w:rFonts w:hint="eastAsia" w:ascii="仿宋" w:hAnsi="仿宋" w:eastAsia="仿宋"/>
          <w:b/>
          <w:color w:val="auto"/>
          <w:sz w:val="28"/>
          <w:szCs w:val="28"/>
          <w:highlight w:val="none"/>
        </w:rPr>
        <w:t>请各位投标人详细阅读各项条款</w:t>
      </w:r>
    </w:p>
    <w:p w14:paraId="5E71E6D6">
      <w:pPr>
        <w:pStyle w:val="7"/>
        <w:tabs>
          <w:tab w:val="left" w:pos="7607"/>
          <w:tab w:val="left" w:pos="8837"/>
        </w:tabs>
        <w:spacing w:before="0" w:after="240" w:line="400" w:lineRule="exact"/>
        <w:jc w:val="center"/>
        <w:rPr>
          <w:rFonts w:ascii="华文中宋" w:hAnsi="华文中宋" w:eastAsia="华文中宋"/>
          <w:color w:val="auto"/>
          <w:sz w:val="36"/>
          <w:szCs w:val="36"/>
          <w:highlight w:val="none"/>
        </w:rPr>
      </w:pPr>
      <w:bookmarkStart w:id="1" w:name="_Toc125344501"/>
      <w:r>
        <w:rPr>
          <w:rFonts w:hint="eastAsia" w:ascii="华文中宋" w:hAnsi="华文中宋" w:eastAsia="华文中宋"/>
          <w:color w:val="auto"/>
          <w:sz w:val="36"/>
          <w:szCs w:val="36"/>
          <w:highlight w:val="none"/>
        </w:rPr>
        <w:t>第一章  招标公告</w:t>
      </w:r>
      <w:bookmarkEnd w:id="1"/>
      <w:r>
        <w:rPr>
          <w:rFonts w:hint="eastAsia" w:ascii="华文中宋" w:hAnsi="华文中宋" w:eastAsia="华文中宋"/>
          <w:color w:val="auto"/>
          <w:sz w:val="36"/>
          <w:szCs w:val="36"/>
          <w:highlight w:val="none"/>
        </w:rPr>
        <w:t>（非政府采购）</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09067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14:paraId="698C8DF0">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color w:val="auto"/>
                <w:sz w:val="24"/>
                <w:highlight w:val="none"/>
                <w:vertAlign w:val="baseline"/>
              </w:rPr>
            </w:pPr>
            <w:r>
              <w:rPr>
                <w:rFonts w:hint="eastAsia" w:ascii="仿宋" w:hAnsi="仿宋" w:eastAsia="仿宋" w:cs="仿宋"/>
                <w:b/>
                <w:color w:val="auto"/>
                <w:sz w:val="24"/>
                <w:highlight w:val="none"/>
                <w:vertAlign w:val="baseline"/>
              </w:rPr>
              <w:t>项目概况</w:t>
            </w:r>
          </w:p>
          <w:p w14:paraId="0AAAFD15">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b/>
                <w:color w:val="auto"/>
                <w:sz w:val="24"/>
                <w:highlight w:val="none"/>
                <w:vertAlign w:val="baseline"/>
              </w:rPr>
            </w:pPr>
            <w:r>
              <w:rPr>
                <w:rFonts w:hint="eastAsia" w:ascii="仿宋" w:hAnsi="仿宋" w:eastAsia="仿宋" w:cs="仿宋"/>
                <w:b w:val="0"/>
                <w:bCs/>
                <w:color w:val="auto"/>
                <w:kern w:val="2"/>
                <w:sz w:val="24"/>
                <w:szCs w:val="22"/>
                <w:highlight w:val="none"/>
                <w:u w:val="single"/>
                <w:lang w:val="en-US" w:eastAsia="zh-CN" w:bidi="ar-SA"/>
              </w:rPr>
              <w:t>诸暨市环境卫生管理集团有限公司2025-2026年度环卫工人综合险服务采购项目</w:t>
            </w:r>
            <w:r>
              <w:rPr>
                <w:rFonts w:hint="eastAsia" w:ascii="仿宋" w:hAnsi="仿宋" w:eastAsia="仿宋" w:cs="仿宋"/>
                <w:b w:val="0"/>
                <w:bCs/>
                <w:color w:val="auto"/>
                <w:kern w:val="2"/>
                <w:sz w:val="24"/>
                <w:szCs w:val="22"/>
                <w:highlight w:val="none"/>
                <w:lang w:val="en-US" w:eastAsia="zh-CN" w:bidi="ar-SA"/>
              </w:rPr>
              <w:t>的潜在投标人应</w:t>
            </w:r>
            <w:r>
              <w:rPr>
                <w:rFonts w:hint="eastAsia" w:ascii="仿宋" w:hAnsi="仿宋" w:eastAsia="仿宋" w:cs="仿宋"/>
                <w:bCs/>
                <w:color w:val="auto"/>
                <w:sz w:val="24"/>
              </w:rPr>
              <w:t>在</w:t>
            </w:r>
            <w:r>
              <w:rPr>
                <w:rFonts w:hint="eastAsia" w:ascii="仿宋" w:hAnsi="仿宋" w:eastAsia="仿宋" w:cs="仿宋"/>
                <w:bCs/>
                <w:color w:val="auto"/>
                <w:sz w:val="24"/>
                <w:u w:val="single"/>
              </w:rPr>
              <w:t>乐采云平台（www.lecaiyun.com）</w:t>
            </w:r>
            <w:r>
              <w:rPr>
                <w:rFonts w:hint="eastAsia" w:ascii="仿宋" w:hAnsi="仿宋" w:eastAsia="仿宋" w:cs="仿宋"/>
                <w:bCs/>
                <w:color w:val="auto"/>
                <w:sz w:val="24"/>
              </w:rPr>
              <w:t>获取（下载）招标文件，并于</w:t>
            </w:r>
            <w:r>
              <w:rPr>
                <w:rFonts w:hint="eastAsia" w:ascii="仿宋" w:hAnsi="仿宋" w:eastAsia="仿宋" w:cs="仿宋"/>
                <w:bCs/>
                <w:color w:val="auto"/>
                <w:sz w:val="24"/>
                <w:u w:val="single"/>
              </w:rPr>
              <w:t>202</w:t>
            </w:r>
            <w:r>
              <w:rPr>
                <w:rFonts w:hint="eastAsia" w:ascii="仿宋" w:hAnsi="仿宋" w:eastAsia="仿宋" w:cs="仿宋"/>
                <w:bCs/>
                <w:color w:val="auto"/>
                <w:sz w:val="24"/>
                <w:u w:val="single"/>
                <w:lang w:val="en-US" w:eastAsia="zh-CN"/>
              </w:rPr>
              <w:t>5</w:t>
            </w:r>
            <w:r>
              <w:rPr>
                <w:rFonts w:hint="eastAsia" w:ascii="仿宋" w:hAnsi="仿宋" w:eastAsia="仿宋" w:cs="仿宋"/>
                <w:bCs/>
                <w:color w:val="auto"/>
                <w:sz w:val="24"/>
                <w:u w:val="single"/>
              </w:rPr>
              <w:t>年</w:t>
            </w:r>
            <w:r>
              <w:rPr>
                <w:rFonts w:hint="eastAsia" w:ascii="仿宋" w:hAnsi="仿宋" w:eastAsia="仿宋" w:cs="仿宋"/>
                <w:bCs/>
                <w:color w:val="auto"/>
                <w:sz w:val="24"/>
                <w:u w:val="single"/>
                <w:lang w:val="en-US" w:eastAsia="zh-CN"/>
              </w:rPr>
              <w:t>02</w:t>
            </w:r>
            <w:r>
              <w:rPr>
                <w:rFonts w:hint="eastAsia" w:ascii="仿宋" w:hAnsi="仿宋" w:eastAsia="仿宋" w:cs="仿宋"/>
                <w:bCs/>
                <w:color w:val="auto"/>
                <w:sz w:val="24"/>
                <w:u w:val="single"/>
              </w:rPr>
              <w:t>月</w:t>
            </w:r>
            <w:r>
              <w:rPr>
                <w:rFonts w:hint="eastAsia" w:ascii="仿宋" w:hAnsi="仿宋" w:eastAsia="仿宋" w:cs="仿宋"/>
                <w:bCs/>
                <w:color w:val="auto"/>
                <w:sz w:val="24"/>
                <w:u w:val="single"/>
                <w:lang w:val="en-US" w:eastAsia="zh-CN"/>
              </w:rPr>
              <w:t>26</w:t>
            </w:r>
            <w:r>
              <w:rPr>
                <w:rFonts w:hint="eastAsia" w:ascii="仿宋" w:hAnsi="仿宋" w:eastAsia="仿宋" w:cs="仿宋"/>
                <w:bCs/>
                <w:color w:val="auto"/>
                <w:sz w:val="24"/>
                <w:u w:val="single"/>
              </w:rPr>
              <w:t>日</w:t>
            </w:r>
            <w:r>
              <w:rPr>
                <w:rFonts w:hint="eastAsia" w:ascii="仿宋" w:hAnsi="仿宋" w:eastAsia="仿宋" w:cs="仿宋"/>
                <w:bCs/>
                <w:color w:val="auto"/>
                <w:sz w:val="24"/>
                <w:u w:val="single"/>
                <w:lang w:val="en-US" w:eastAsia="zh-CN"/>
              </w:rPr>
              <w:t>09</w:t>
            </w:r>
            <w:r>
              <w:rPr>
                <w:rFonts w:hint="eastAsia" w:ascii="仿宋" w:hAnsi="仿宋" w:eastAsia="仿宋" w:cs="仿宋"/>
                <w:bCs/>
                <w:color w:val="auto"/>
                <w:sz w:val="24"/>
                <w:u w:val="single"/>
                <w:lang w:eastAsia="zh-CN"/>
              </w:rPr>
              <w:t>：</w:t>
            </w:r>
            <w:r>
              <w:rPr>
                <w:rFonts w:hint="eastAsia" w:ascii="仿宋" w:hAnsi="仿宋" w:eastAsia="仿宋" w:cs="仿宋"/>
                <w:bCs/>
                <w:color w:val="auto"/>
                <w:sz w:val="24"/>
                <w:u w:val="single"/>
                <w:lang w:val="en-US" w:eastAsia="zh-CN"/>
              </w:rPr>
              <w:t>30</w:t>
            </w:r>
            <w:r>
              <w:rPr>
                <w:rFonts w:hint="eastAsia" w:ascii="仿宋" w:hAnsi="仿宋" w:eastAsia="仿宋" w:cs="仿宋"/>
                <w:bCs/>
                <w:color w:val="auto"/>
                <w:sz w:val="24"/>
              </w:rPr>
              <w:t>（北京时间）前递交（上传）投标文件。</w:t>
            </w:r>
          </w:p>
        </w:tc>
      </w:tr>
    </w:tbl>
    <w:p w14:paraId="264B6EDE">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350FE830">
      <w:pPr>
        <w:pStyle w:val="29"/>
        <w:keepNext w:val="0"/>
        <w:keepLines w:val="0"/>
        <w:pageBreakBefore w:val="0"/>
        <w:widowControl w:val="0"/>
        <w:kinsoku/>
        <w:wordWrap/>
        <w:overflowPunct/>
        <w:topLinePunct w:val="0"/>
        <w:autoSpaceDE/>
        <w:autoSpaceDN/>
        <w:bidi w:val="0"/>
        <w:adjustRightInd w:val="0"/>
        <w:spacing w:line="420" w:lineRule="exact"/>
        <w:ind w:left="0" w:leftChars="0" w:firstLine="482" w:firstLineChars="200"/>
        <w:jc w:val="left"/>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rPr>
        <w:t>项目名称：</w:t>
      </w:r>
      <w:r>
        <w:rPr>
          <w:rFonts w:hint="eastAsia" w:ascii="仿宋" w:hAnsi="仿宋" w:eastAsia="仿宋" w:cs="仿宋"/>
          <w:b w:val="0"/>
          <w:bCs/>
          <w:color w:val="auto"/>
          <w:sz w:val="24"/>
          <w:highlight w:val="none"/>
          <w:lang w:val="en-US" w:eastAsia="zh-CN"/>
        </w:rPr>
        <w:t>诸暨市环境卫生管理集团有限公司2025-2026年度环卫工人综合险服务采购项目</w:t>
      </w:r>
    </w:p>
    <w:p w14:paraId="1E03FF18">
      <w:pPr>
        <w:pStyle w:val="29"/>
        <w:keepNext w:val="0"/>
        <w:keepLines w:val="0"/>
        <w:pageBreakBefore w:val="0"/>
        <w:widowControl w:val="0"/>
        <w:kinsoku/>
        <w:wordWrap/>
        <w:overflowPunct/>
        <w:topLinePunct w:val="0"/>
        <w:autoSpaceDE/>
        <w:autoSpaceDN/>
        <w:bidi w:val="0"/>
        <w:adjustRightInd w:val="0"/>
        <w:spacing w:line="420" w:lineRule="exact"/>
        <w:ind w:left="0" w:leftChars="0" w:firstLine="482" w:firstLineChars="200"/>
        <w:jc w:val="left"/>
        <w:textAlignment w:val="auto"/>
        <w:rPr>
          <w:rFonts w:hint="default" w:ascii="仿宋" w:hAnsi="仿宋" w:eastAsia="仿宋" w:cs="仿宋"/>
          <w:b/>
          <w:color w:val="auto"/>
          <w:highlight w:val="none"/>
          <w:lang w:val="en-US" w:eastAsia="zh-CN"/>
        </w:rPr>
      </w:pPr>
      <w:r>
        <w:rPr>
          <w:rFonts w:hint="eastAsia" w:ascii="仿宋" w:hAnsi="仿宋" w:eastAsia="仿宋" w:cs="仿宋"/>
          <w:b/>
          <w:color w:val="auto"/>
          <w:highlight w:val="none"/>
        </w:rPr>
        <w:t>项目编号：</w:t>
      </w:r>
      <w:r>
        <w:rPr>
          <w:rFonts w:hint="eastAsia" w:ascii="仿宋" w:hAnsi="仿宋" w:eastAsia="仿宋" w:cs="仿宋"/>
          <w:bCs/>
          <w:color w:val="auto"/>
          <w:highlight w:val="none"/>
        </w:rPr>
        <w:t>诸宸佳20</w:t>
      </w:r>
      <w:r>
        <w:rPr>
          <w:rFonts w:hint="eastAsia" w:ascii="仿宋" w:hAnsi="仿宋" w:eastAsia="仿宋" w:cs="仿宋"/>
          <w:bCs/>
          <w:color w:val="auto"/>
          <w:highlight w:val="none"/>
          <w:lang w:val="en-US" w:eastAsia="zh-CN"/>
        </w:rPr>
        <w:t>25-01</w:t>
      </w:r>
      <w:r>
        <w:rPr>
          <w:rFonts w:hint="eastAsia" w:ascii="仿宋" w:hAnsi="仿宋" w:eastAsia="仿宋" w:cs="仿宋"/>
          <w:bCs/>
          <w:color w:val="auto"/>
          <w:highlight w:val="none"/>
        </w:rPr>
        <w:t>-</w:t>
      </w:r>
      <w:r>
        <w:rPr>
          <w:rFonts w:hint="eastAsia" w:ascii="仿宋" w:hAnsi="仿宋" w:eastAsia="仿宋" w:cs="仿宋"/>
          <w:bCs/>
          <w:color w:val="auto"/>
          <w:highlight w:val="none"/>
          <w:lang w:val="en-US" w:eastAsia="zh-CN"/>
        </w:rPr>
        <w:t>10</w:t>
      </w:r>
    </w:p>
    <w:p w14:paraId="596D4A05">
      <w:pPr>
        <w:keepNext w:val="0"/>
        <w:keepLines w:val="0"/>
        <w:pageBreakBefore w:val="0"/>
        <w:widowControl w:val="0"/>
        <w:kinsoku/>
        <w:wordWrap/>
        <w:overflowPunct/>
        <w:topLinePunct w:val="0"/>
        <w:autoSpaceDE/>
        <w:autoSpaceDN/>
        <w:bidi w:val="0"/>
        <w:adjustRightInd w:val="0"/>
        <w:spacing w:line="420" w:lineRule="exact"/>
        <w:ind w:left="0" w:leftChars="0" w:firstLine="482" w:firstLineChars="200"/>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采购组织类型：</w:t>
      </w:r>
      <w:r>
        <w:rPr>
          <w:rFonts w:hint="eastAsia" w:ascii="仿宋" w:hAnsi="仿宋" w:eastAsia="仿宋" w:cs="仿宋"/>
          <w:bCs/>
          <w:color w:val="auto"/>
          <w:sz w:val="24"/>
          <w:highlight w:val="none"/>
        </w:rPr>
        <w:t>公司采购委托代理</w:t>
      </w:r>
    </w:p>
    <w:p w14:paraId="45AD3AD1">
      <w:pPr>
        <w:keepNext w:val="0"/>
        <w:keepLines w:val="0"/>
        <w:pageBreakBefore w:val="0"/>
        <w:widowControl w:val="0"/>
        <w:kinsoku/>
        <w:wordWrap/>
        <w:overflowPunct/>
        <w:topLinePunct w:val="0"/>
        <w:autoSpaceDE/>
        <w:autoSpaceDN/>
        <w:bidi w:val="0"/>
        <w:adjustRightInd w:val="0"/>
        <w:spacing w:line="420" w:lineRule="exact"/>
        <w:ind w:left="0" w:leftChars="0" w:firstLine="482" w:firstLineChars="200"/>
        <w:textAlignment w:val="auto"/>
        <w:rPr>
          <w:rFonts w:hint="default" w:ascii="仿宋" w:hAnsi="仿宋" w:eastAsia="仿宋" w:cs="仿宋"/>
          <w:bCs/>
          <w:color w:val="auto"/>
          <w:sz w:val="24"/>
          <w:highlight w:val="none"/>
          <w:lang w:val="en-US" w:eastAsia="zh-CN"/>
        </w:rPr>
      </w:pPr>
      <w:r>
        <w:rPr>
          <w:rFonts w:hint="eastAsia" w:ascii="仿宋" w:hAnsi="仿宋" w:eastAsia="仿宋" w:cs="仿宋"/>
          <w:b/>
          <w:color w:val="auto"/>
          <w:sz w:val="24"/>
          <w:highlight w:val="none"/>
        </w:rPr>
        <w:t>预算金额：</w:t>
      </w:r>
      <w:r>
        <w:rPr>
          <w:rFonts w:hint="eastAsia" w:ascii="仿宋" w:hAnsi="仿宋" w:eastAsia="仿宋" w:cs="仿宋"/>
          <w:b w:val="0"/>
          <w:bCs/>
          <w:color w:val="auto"/>
          <w:sz w:val="24"/>
          <w:highlight w:val="none"/>
          <w:lang w:val="en-US" w:eastAsia="zh-CN"/>
        </w:rPr>
        <w:t>480</w:t>
      </w:r>
      <w:r>
        <w:rPr>
          <w:rFonts w:hint="eastAsia" w:ascii="仿宋" w:hAnsi="仿宋" w:eastAsia="仿宋" w:cs="仿宋"/>
          <w:bCs/>
          <w:color w:val="auto"/>
          <w:sz w:val="24"/>
          <w:highlight w:val="none"/>
          <w:lang w:val="en-US" w:eastAsia="zh-CN"/>
        </w:rPr>
        <w:t>万元</w:t>
      </w:r>
    </w:p>
    <w:p w14:paraId="7D971CA0">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color w:val="auto"/>
          <w:sz w:val="24"/>
          <w:highlight w:val="none"/>
        </w:rPr>
        <w:t>采购需求：</w:t>
      </w:r>
      <w:r>
        <w:rPr>
          <w:rFonts w:hint="eastAsia" w:ascii="仿宋" w:hAnsi="仿宋" w:eastAsia="仿宋" w:cs="仿宋"/>
          <w:b w:val="0"/>
          <w:bCs/>
          <w:color w:val="auto"/>
          <w:sz w:val="24"/>
          <w:szCs w:val="24"/>
          <w:highlight w:val="none"/>
          <w:lang w:val="en-US" w:eastAsia="zh-CN"/>
        </w:rPr>
        <w:t>诸暨市环境卫生管理集团有限公司2025-2026年度环卫工人综合险服务采购项目，采购预算金额为人民币肆佰捌拾万元整（¥4800000.00），参保人年龄一般在68周岁以内，投保人数按实结算（参保人数约2000人），最高单价限价1200元/人/年，服务期限为2年，具体内容详见采购需求。</w:t>
      </w:r>
    </w:p>
    <w:p w14:paraId="5BFD133B">
      <w:pPr>
        <w:pStyle w:val="19"/>
        <w:pageBreakBefore w:val="0"/>
        <w:kinsoku/>
        <w:wordWrap/>
        <w:overflowPunct/>
        <w:topLinePunct w:val="0"/>
        <w:bidi w:val="0"/>
        <w:adjustRightInd w:val="0"/>
        <w:spacing w:line="420" w:lineRule="exact"/>
        <w:ind w:firstLine="480"/>
        <w:textAlignment w:val="auto"/>
        <w:rPr>
          <w:rFonts w:ascii="仿宋" w:hAnsi="仿宋" w:eastAsia="仿宋" w:cs="仿宋"/>
          <w:b w:val="0"/>
          <w:bCs/>
          <w:color w:val="auto"/>
          <w:sz w:val="24"/>
          <w:highlight w:val="none"/>
        </w:rPr>
      </w:pPr>
      <w:r>
        <w:rPr>
          <w:rFonts w:hint="eastAsia" w:ascii="仿宋" w:hAnsi="仿宋" w:eastAsia="仿宋" w:cs="仿宋"/>
          <w:b/>
          <w:color w:val="auto"/>
          <w:sz w:val="24"/>
          <w:highlight w:val="none"/>
        </w:rPr>
        <w:t>评标办法：</w:t>
      </w:r>
      <w:r>
        <w:rPr>
          <w:rFonts w:hint="eastAsia" w:ascii="仿宋" w:hAnsi="仿宋" w:eastAsia="仿宋" w:cs="仿宋"/>
          <w:b w:val="0"/>
          <w:bCs/>
          <w:color w:val="auto"/>
          <w:sz w:val="24"/>
          <w:highlight w:val="none"/>
        </w:rPr>
        <w:t>综合评分法</w:t>
      </w:r>
    </w:p>
    <w:p w14:paraId="70738858">
      <w:pPr>
        <w:pageBreakBefore w:val="0"/>
        <w:kinsoku/>
        <w:wordWrap/>
        <w:overflowPunct/>
        <w:topLinePunct w:val="0"/>
        <w:autoSpaceDE/>
        <w:autoSpaceDN/>
        <w:bidi w:val="0"/>
        <w:snapToGrid w:val="0"/>
        <w:spacing w:line="420" w:lineRule="exact"/>
        <w:textAlignment w:val="auto"/>
        <w:rPr>
          <w:rFonts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二、</w:t>
      </w:r>
      <w:r>
        <w:rPr>
          <w:rFonts w:hint="eastAsia" w:ascii="仿宋" w:hAnsi="仿宋" w:eastAsia="仿宋" w:cs="仿宋"/>
          <w:b/>
          <w:bCs/>
          <w:color w:val="auto"/>
          <w:sz w:val="24"/>
          <w:highlight w:val="none"/>
        </w:rPr>
        <w:t>投</w:t>
      </w:r>
      <w:r>
        <w:rPr>
          <w:rFonts w:hint="eastAsia" w:ascii="仿宋" w:hAnsi="仿宋" w:eastAsia="仿宋" w:cs="仿宋"/>
          <w:b/>
          <w:color w:val="auto"/>
          <w:sz w:val="24"/>
          <w:highlight w:val="none"/>
        </w:rPr>
        <w:t>标人（供应商）资格要求</w:t>
      </w:r>
    </w:p>
    <w:p w14:paraId="132BAC03">
      <w:pPr>
        <w:pStyle w:val="47"/>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2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1、供应商参加本项目采购活动应当具备下列资格条件：</w:t>
      </w:r>
    </w:p>
    <w:p w14:paraId="225896DE">
      <w:pPr>
        <w:pStyle w:val="47"/>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2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（1）具有独立承担民事责任的能力；</w:t>
      </w:r>
    </w:p>
    <w:p w14:paraId="524100CD">
      <w:pPr>
        <w:pStyle w:val="47"/>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2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（2）具有良好的商业信誉和健全的财务会计制度；</w:t>
      </w:r>
    </w:p>
    <w:p w14:paraId="3B413A05">
      <w:pPr>
        <w:pStyle w:val="47"/>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2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（3）具有履行合同所必需的设备和专业技术能力；</w:t>
      </w:r>
    </w:p>
    <w:p w14:paraId="5315CF1C">
      <w:pPr>
        <w:pStyle w:val="47"/>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2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（4）有依法缴纳税收和社会保障资金的良好记录；</w:t>
      </w:r>
    </w:p>
    <w:p w14:paraId="24B23ABC">
      <w:pPr>
        <w:pStyle w:val="47"/>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2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（5）参加本次采购活动前三年内，在经营活动中没有重大违法记录；</w:t>
      </w:r>
    </w:p>
    <w:p w14:paraId="7B77FFCF">
      <w:pPr>
        <w:pStyle w:val="47"/>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20" w:lineRule="exact"/>
        <w:ind w:firstLine="480" w:firstLineChars="200"/>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（6）法律、行政法规规定的其他条件。</w:t>
      </w:r>
    </w:p>
    <w:p w14:paraId="41AA5457">
      <w:pPr>
        <w:pStyle w:val="47"/>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20" w:lineRule="exact"/>
        <w:ind w:left="0" w:leftChars="0" w:right="0"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2、未被“信用中国”（www.creditchina.gov.cn）、中国政府采购网（www.ccgp.gov.cn）列入失信被执行人、重大税收违法案件当事人名单、政府采购严重违法失信行为记录名单</w:t>
      </w:r>
      <w:r>
        <w:rPr>
          <w:rFonts w:hint="eastAsia" w:ascii="仿宋" w:hAnsi="仿宋" w:eastAsia="仿宋" w:cs="仿宋"/>
          <w:color w:val="auto"/>
          <w:sz w:val="24"/>
          <w:szCs w:val="24"/>
          <w:highlight w:val="none"/>
          <w:lang w:eastAsia="zh-CN"/>
        </w:rPr>
        <w:t>。</w:t>
      </w:r>
    </w:p>
    <w:p w14:paraId="01234D95">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本项目的特定资格要求：具有保险监督管理机构核准颁发的《经营保险业务许可证》，范围须包含责任险、意外险、健康险。</w:t>
      </w:r>
    </w:p>
    <w:p w14:paraId="39650996">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u w:val="single"/>
        </w:rPr>
        <w:t xml:space="preserve"> 不 </w:t>
      </w:r>
      <w:r>
        <w:rPr>
          <w:rFonts w:hint="eastAsia" w:ascii="仿宋" w:hAnsi="仿宋" w:eastAsia="仿宋" w:cs="仿宋"/>
          <w:color w:val="auto"/>
          <w:sz w:val="24"/>
          <w:szCs w:val="24"/>
          <w:highlight w:val="none"/>
        </w:rPr>
        <w:t>接受联合体投标。</w:t>
      </w:r>
    </w:p>
    <w:p w14:paraId="506B0C70">
      <w:pPr>
        <w:pageBreakBefore w:val="0"/>
        <w:kinsoku/>
        <w:wordWrap/>
        <w:overflowPunct/>
        <w:topLinePunct w:val="0"/>
        <w:bidi w:val="0"/>
        <w:spacing w:line="420" w:lineRule="exact"/>
        <w:textAlignment w:val="auto"/>
        <w:rPr>
          <w:rFonts w:ascii="仿宋" w:hAnsi="仿宋" w:eastAsia="仿宋" w:cs="仿宋"/>
          <w:b/>
          <w:bCs/>
          <w:color w:val="auto"/>
          <w:highlight w:val="none"/>
        </w:rPr>
      </w:pPr>
      <w:r>
        <w:rPr>
          <w:rFonts w:hint="eastAsia" w:ascii="仿宋" w:hAnsi="仿宋" w:eastAsia="仿宋" w:cs="仿宋"/>
          <w:b/>
          <w:bCs/>
          <w:color w:val="auto"/>
          <w:sz w:val="24"/>
          <w:szCs w:val="24"/>
          <w:highlight w:val="none"/>
        </w:rPr>
        <w:t>三、获取招标文件</w:t>
      </w:r>
    </w:p>
    <w:p w14:paraId="4DD20D09">
      <w:pPr>
        <w:pStyle w:val="47"/>
        <w:pageBreakBefore w:val="0"/>
        <w:kinsoku/>
        <w:wordWrap/>
        <w:overflowPunct/>
        <w:topLinePunct w:val="0"/>
        <w:bidi w:val="0"/>
        <w:spacing w:before="0" w:beforeAutospacing="0" w:after="0" w:afterAutospacing="0" w:line="420" w:lineRule="exact"/>
        <w:ind w:firstLine="556"/>
        <w:textAlignment w:val="auto"/>
        <w:rPr>
          <w:rFonts w:ascii="仿宋" w:hAnsi="仿宋" w:eastAsia="仿宋" w:cs="仿宋"/>
          <w:color w:val="auto"/>
          <w:highlight w:val="none"/>
        </w:rPr>
      </w:pPr>
      <w:r>
        <w:rPr>
          <w:rFonts w:hint="eastAsia" w:ascii="仿宋" w:hAnsi="仿宋" w:eastAsia="仿宋" w:cs="仿宋"/>
          <w:color w:val="auto"/>
          <w:highlight w:val="none"/>
        </w:rPr>
        <w:t>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01</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21</w:t>
      </w:r>
      <w:r>
        <w:rPr>
          <w:rFonts w:hint="eastAsia" w:ascii="仿宋" w:hAnsi="仿宋" w:eastAsia="仿宋" w:cs="仿宋"/>
          <w:color w:val="auto"/>
          <w:highlight w:val="none"/>
          <w:u w:val="single"/>
        </w:rPr>
        <w:t>日</w:t>
      </w:r>
      <w:r>
        <w:rPr>
          <w:rFonts w:hint="eastAsia" w:ascii="仿宋" w:hAnsi="仿宋" w:eastAsia="仿宋" w:cs="仿宋"/>
          <w:color w:val="auto"/>
          <w:highlight w:val="none"/>
        </w:rPr>
        <w:t>至</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02</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26</w:t>
      </w:r>
      <w:r>
        <w:rPr>
          <w:rFonts w:hint="eastAsia" w:ascii="仿宋" w:hAnsi="仿宋" w:eastAsia="仿宋" w:cs="仿宋"/>
          <w:color w:val="auto"/>
          <w:highlight w:val="none"/>
          <w:u w:val="single"/>
        </w:rPr>
        <w:t>日</w:t>
      </w:r>
      <w:r>
        <w:rPr>
          <w:rFonts w:hint="eastAsia" w:ascii="仿宋" w:hAnsi="仿宋" w:eastAsia="仿宋" w:cs="仿宋"/>
          <w:color w:val="auto"/>
          <w:highlight w:val="none"/>
        </w:rPr>
        <w:t>，每天上午</w:t>
      </w:r>
      <w:r>
        <w:rPr>
          <w:rFonts w:hint="eastAsia" w:ascii="仿宋" w:hAnsi="仿宋" w:eastAsia="仿宋" w:cs="仿宋"/>
          <w:color w:val="auto"/>
          <w:highlight w:val="none"/>
          <w:u w:val="single"/>
        </w:rPr>
        <w:t>00:00</w:t>
      </w:r>
      <w:r>
        <w:rPr>
          <w:rFonts w:hint="eastAsia" w:ascii="仿宋" w:hAnsi="仿宋" w:eastAsia="仿宋" w:cs="仿宋"/>
          <w:color w:val="auto"/>
          <w:highlight w:val="none"/>
        </w:rPr>
        <w:t>至</w:t>
      </w:r>
      <w:r>
        <w:rPr>
          <w:rFonts w:hint="eastAsia" w:ascii="仿宋" w:hAnsi="仿宋" w:eastAsia="仿宋" w:cs="仿宋"/>
          <w:color w:val="auto"/>
          <w:highlight w:val="none"/>
          <w:u w:val="single"/>
        </w:rPr>
        <w:t>12:00</w:t>
      </w:r>
      <w:r>
        <w:rPr>
          <w:rFonts w:hint="eastAsia" w:ascii="仿宋" w:hAnsi="仿宋" w:eastAsia="仿宋" w:cs="仿宋"/>
          <w:color w:val="auto"/>
          <w:highlight w:val="none"/>
        </w:rPr>
        <w:t>，下午</w:t>
      </w:r>
      <w:r>
        <w:rPr>
          <w:rFonts w:hint="eastAsia" w:ascii="仿宋" w:hAnsi="仿宋" w:eastAsia="仿宋" w:cs="仿宋"/>
          <w:color w:val="auto"/>
          <w:highlight w:val="none"/>
          <w:u w:val="single"/>
        </w:rPr>
        <w:t>12:00</w:t>
      </w:r>
      <w:r>
        <w:rPr>
          <w:rFonts w:hint="eastAsia" w:ascii="仿宋" w:hAnsi="仿宋" w:eastAsia="仿宋" w:cs="仿宋"/>
          <w:color w:val="auto"/>
          <w:highlight w:val="none"/>
        </w:rPr>
        <w:t>至</w:t>
      </w:r>
      <w:r>
        <w:rPr>
          <w:rFonts w:hint="eastAsia" w:ascii="仿宋" w:hAnsi="仿宋" w:eastAsia="仿宋" w:cs="仿宋"/>
          <w:color w:val="auto"/>
          <w:highlight w:val="none"/>
          <w:u w:val="single"/>
        </w:rPr>
        <w:t>23:59</w:t>
      </w:r>
      <w:r>
        <w:rPr>
          <w:rFonts w:hint="eastAsia" w:ascii="仿宋" w:hAnsi="仿宋" w:eastAsia="仿宋" w:cs="仿宋"/>
          <w:color w:val="auto"/>
          <w:highlight w:val="none"/>
        </w:rPr>
        <w:t>（北京时间，线上获取法定节假日均可，线下获取文件法定节假日除外）</w:t>
      </w:r>
    </w:p>
    <w:p w14:paraId="39583A5D">
      <w:pPr>
        <w:pStyle w:val="47"/>
        <w:pageBreakBefore w:val="0"/>
        <w:kinsoku/>
        <w:wordWrap/>
        <w:overflowPunct/>
        <w:topLinePunct w:val="0"/>
        <w:bidi w:val="0"/>
        <w:spacing w:before="0" w:beforeAutospacing="0" w:after="0" w:afterAutospacing="0" w:line="420" w:lineRule="exact"/>
        <w:ind w:firstLine="556"/>
        <w:textAlignment w:val="auto"/>
        <w:rPr>
          <w:rFonts w:hint="eastAsia" w:ascii="仿宋" w:hAnsi="仿宋" w:eastAsia="仿宋" w:cs="仿宋"/>
          <w:color w:val="auto"/>
          <w:highlight w:val="none"/>
        </w:rPr>
      </w:pPr>
      <w:r>
        <w:rPr>
          <w:rFonts w:hint="eastAsia" w:ascii="仿宋" w:hAnsi="仿宋" w:eastAsia="仿宋" w:cs="仿宋"/>
          <w:color w:val="auto"/>
          <w:highlight w:val="none"/>
        </w:rPr>
        <w:t>地点（网址）：乐采云平台（www.lecaiyun.com）</w:t>
      </w:r>
    </w:p>
    <w:p w14:paraId="2391FBC0">
      <w:pPr>
        <w:pStyle w:val="47"/>
        <w:pageBreakBefore w:val="0"/>
        <w:kinsoku/>
        <w:wordWrap/>
        <w:overflowPunct/>
        <w:topLinePunct w:val="0"/>
        <w:bidi w:val="0"/>
        <w:spacing w:before="0" w:beforeAutospacing="0" w:after="0" w:afterAutospacing="0" w:line="420" w:lineRule="exact"/>
        <w:ind w:firstLine="556"/>
        <w:textAlignment w:val="auto"/>
        <w:rPr>
          <w:rFonts w:ascii="仿宋" w:hAnsi="仿宋" w:eastAsia="仿宋" w:cs="仿宋"/>
          <w:color w:val="auto"/>
          <w:highlight w:val="none"/>
        </w:rPr>
      </w:pPr>
      <w:r>
        <w:rPr>
          <w:rFonts w:hint="eastAsia" w:ascii="仿宋" w:hAnsi="仿宋" w:eastAsia="仿宋" w:cs="仿宋"/>
          <w:color w:val="auto"/>
          <w:highlight w:val="none"/>
        </w:rPr>
        <w:t>方式：</w:t>
      </w:r>
      <w:r>
        <w:rPr>
          <w:rStyle w:val="55"/>
          <w:rFonts w:hint="eastAsia" w:ascii="仿宋" w:hAnsi="仿宋" w:eastAsia="仿宋" w:cs="仿宋"/>
          <w:b w:val="0"/>
          <w:color w:val="auto"/>
          <w:highlight w:val="none"/>
        </w:rPr>
        <w:t>潜在供应商登录</w:t>
      </w:r>
      <w:r>
        <w:rPr>
          <w:rStyle w:val="55"/>
          <w:rFonts w:hint="eastAsia" w:ascii="仿宋" w:hAnsi="仿宋" w:eastAsia="仿宋" w:cs="仿宋"/>
          <w:b w:val="0"/>
          <w:color w:val="auto"/>
          <w:highlight w:val="none"/>
          <w:lang w:val="en-US" w:eastAsia="zh-CN"/>
        </w:rPr>
        <w:t>乐</w:t>
      </w:r>
      <w:r>
        <w:rPr>
          <w:rStyle w:val="55"/>
          <w:rFonts w:hint="eastAsia" w:ascii="仿宋" w:hAnsi="仿宋" w:eastAsia="仿宋" w:cs="仿宋"/>
          <w:b w:val="0"/>
          <w:color w:val="auto"/>
          <w:highlight w:val="none"/>
        </w:rPr>
        <w:t>采云平台，在线申请获取招标文件（进入“项目采购”应用，在获取招标文件菜单中选择项目，申请获取招标文件）。</w:t>
      </w:r>
      <w:r>
        <w:rPr>
          <w:rFonts w:hint="eastAsia" w:ascii="仿宋" w:hAnsi="仿宋" w:eastAsia="仿宋" w:cs="仿宋"/>
          <w:color w:val="auto"/>
          <w:highlight w:val="none"/>
        </w:rPr>
        <w:t>仅需浏览招标文件的供应商可点击“游客，浏览招标文件”直接下载招标文件浏览。招标文件发布截止时间之后有潜在供应商提出要求获取招标文件的，允许获取。</w:t>
      </w:r>
    </w:p>
    <w:p w14:paraId="74865A9E">
      <w:pPr>
        <w:pStyle w:val="47"/>
        <w:pageBreakBefore w:val="0"/>
        <w:kinsoku/>
        <w:wordWrap/>
        <w:overflowPunct/>
        <w:topLinePunct w:val="0"/>
        <w:bidi w:val="0"/>
        <w:spacing w:before="0" w:beforeAutospacing="0" w:after="0" w:afterAutospacing="0" w:line="420" w:lineRule="exact"/>
        <w:ind w:firstLine="556"/>
        <w:textAlignment w:val="auto"/>
        <w:rPr>
          <w:rFonts w:ascii="仿宋" w:hAnsi="仿宋" w:eastAsia="仿宋" w:cs="仿宋"/>
          <w:color w:val="auto"/>
          <w:highlight w:val="none"/>
        </w:rPr>
      </w:pPr>
      <w:r>
        <w:rPr>
          <w:rFonts w:hint="eastAsia" w:ascii="仿宋" w:hAnsi="仿宋" w:eastAsia="仿宋" w:cs="仿宋"/>
          <w:color w:val="auto"/>
          <w:highlight w:val="none"/>
        </w:rPr>
        <w:t>售价（元）：0元。</w:t>
      </w:r>
    </w:p>
    <w:p w14:paraId="14BAD764">
      <w:pPr>
        <w:pStyle w:val="8"/>
        <w:pageBreakBefore w:val="0"/>
        <w:kinsoku/>
        <w:wordWrap/>
        <w:overflowPunct/>
        <w:topLinePunct w:val="0"/>
        <w:bidi w:val="0"/>
        <w:spacing w:before="0" w:after="0" w:line="420" w:lineRule="exact"/>
        <w:textAlignment w:val="auto"/>
        <w:rPr>
          <w:rFonts w:ascii="仿宋" w:hAnsi="仿宋" w:eastAsia="仿宋" w:cs="仿宋"/>
          <w:color w:val="auto"/>
          <w:sz w:val="24"/>
          <w:szCs w:val="24"/>
          <w:highlight w:val="none"/>
        </w:rPr>
      </w:pPr>
      <w:r>
        <w:rPr>
          <w:rFonts w:hint="eastAsia" w:ascii="仿宋" w:hAnsi="仿宋" w:eastAsia="仿宋" w:cs="仿宋"/>
          <w:bCs w:val="0"/>
          <w:color w:val="auto"/>
          <w:sz w:val="24"/>
          <w:szCs w:val="24"/>
          <w:highlight w:val="none"/>
        </w:rPr>
        <w:t>四、提交投标文件截止时间、开标时间和地点</w:t>
      </w:r>
    </w:p>
    <w:p w14:paraId="31CFE4B5">
      <w:pPr>
        <w:pStyle w:val="47"/>
        <w:pageBreakBefore w:val="0"/>
        <w:kinsoku/>
        <w:wordWrap/>
        <w:overflowPunct/>
        <w:topLinePunct w:val="0"/>
        <w:bidi w:val="0"/>
        <w:spacing w:before="0" w:beforeAutospacing="0" w:after="0" w:afterAutospacing="0" w:line="420" w:lineRule="exact"/>
        <w:ind w:firstLine="48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提交投标文件截止时间：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02</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26</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09</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（北京时间）</w:t>
      </w:r>
    </w:p>
    <w:p w14:paraId="0815CB08">
      <w:pPr>
        <w:pStyle w:val="47"/>
        <w:pageBreakBefore w:val="0"/>
        <w:kinsoku/>
        <w:wordWrap/>
        <w:overflowPunct/>
        <w:topLinePunct w:val="0"/>
        <w:bidi w:val="0"/>
        <w:spacing w:before="0" w:beforeAutospacing="0" w:after="0" w:afterAutospacing="0" w:line="420" w:lineRule="exact"/>
        <w:ind w:firstLine="48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投标地点（网址）：乐采云平台（www.lecaiyun.com）</w:t>
      </w:r>
    </w:p>
    <w:p w14:paraId="4184A750">
      <w:pPr>
        <w:pStyle w:val="47"/>
        <w:pageBreakBefore w:val="0"/>
        <w:kinsoku/>
        <w:wordWrap/>
        <w:overflowPunct/>
        <w:topLinePunct w:val="0"/>
        <w:bidi w:val="0"/>
        <w:spacing w:before="0" w:beforeAutospacing="0" w:after="0" w:afterAutospacing="0" w:line="420" w:lineRule="exact"/>
        <w:ind w:firstLine="48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开标时间：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02</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26</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09</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（北京时间）</w:t>
      </w:r>
    </w:p>
    <w:p w14:paraId="46E3DAC8">
      <w:pPr>
        <w:pStyle w:val="47"/>
        <w:pageBreakBefore w:val="0"/>
        <w:kinsoku/>
        <w:wordWrap/>
        <w:overflowPunct/>
        <w:topLinePunct w:val="0"/>
        <w:bidi w:val="0"/>
        <w:spacing w:before="0" w:beforeAutospacing="0" w:after="0" w:afterAutospacing="0" w:line="420" w:lineRule="exact"/>
        <w:ind w:firstLine="480" w:firstLineChars="200"/>
        <w:textAlignment w:val="auto"/>
        <w:rPr>
          <w:rStyle w:val="55"/>
          <w:rFonts w:ascii="仿宋" w:hAnsi="仿宋" w:eastAsia="仿宋" w:cs="仿宋"/>
          <w:b w:val="0"/>
          <w:color w:val="auto"/>
          <w:highlight w:val="none"/>
          <w:shd w:val="clear" w:color="auto" w:fill="FFFFFF"/>
        </w:rPr>
      </w:pPr>
      <w:r>
        <w:rPr>
          <w:rFonts w:hint="eastAsia" w:ascii="仿宋" w:hAnsi="仿宋" w:eastAsia="仿宋" w:cs="仿宋"/>
          <w:color w:val="auto"/>
          <w:highlight w:val="none"/>
        </w:rPr>
        <w:t>开标地点（网址）：</w:t>
      </w:r>
      <w:r>
        <w:rPr>
          <w:rStyle w:val="55"/>
          <w:rFonts w:hint="eastAsia" w:ascii="仿宋" w:hAnsi="仿宋" w:eastAsia="仿宋" w:cs="仿宋"/>
          <w:b w:val="0"/>
          <w:color w:val="auto"/>
          <w:highlight w:val="none"/>
          <w:shd w:val="clear" w:color="auto" w:fill="FFFFFF"/>
        </w:rPr>
        <w:t>诸暨市宸佳工程管理有限公司</w:t>
      </w:r>
      <w:r>
        <w:rPr>
          <w:rStyle w:val="55"/>
          <w:rFonts w:hint="eastAsia" w:ascii="仿宋" w:hAnsi="仿宋" w:eastAsia="仿宋" w:cs="仿宋"/>
          <w:b w:val="0"/>
          <w:color w:val="auto"/>
          <w:highlight w:val="none"/>
          <w:shd w:val="clear" w:color="auto" w:fill="FFFFFF"/>
          <w:lang w:val="en-US" w:eastAsia="zh-CN"/>
        </w:rPr>
        <w:t>二</w:t>
      </w:r>
      <w:r>
        <w:rPr>
          <w:rStyle w:val="55"/>
          <w:rFonts w:hint="eastAsia" w:ascii="仿宋" w:hAnsi="仿宋" w:eastAsia="仿宋" w:cs="仿宋"/>
          <w:b w:val="0"/>
          <w:color w:val="auto"/>
          <w:highlight w:val="none"/>
          <w:shd w:val="clear" w:color="auto" w:fill="FFFFFF"/>
        </w:rPr>
        <w:t>楼评标室（诸暨市暨阳街道苎萝东路218号金悦华庭商铺232号）（本项目通过“乐采云平台（www.lecaiyun.com）”实行在线开标）。</w:t>
      </w:r>
    </w:p>
    <w:p w14:paraId="67DE4727">
      <w:pPr>
        <w:pStyle w:val="8"/>
        <w:pageBreakBefore w:val="0"/>
        <w:kinsoku/>
        <w:wordWrap/>
        <w:overflowPunct/>
        <w:topLinePunct w:val="0"/>
        <w:bidi w:val="0"/>
        <w:spacing w:before="0" w:after="0" w:line="420" w:lineRule="exact"/>
        <w:textAlignment w:val="auto"/>
        <w:rPr>
          <w:rFonts w:ascii="仿宋" w:hAnsi="仿宋" w:eastAsia="仿宋" w:cs="仿宋"/>
          <w:color w:val="auto"/>
          <w:sz w:val="24"/>
          <w:szCs w:val="24"/>
          <w:highlight w:val="none"/>
        </w:rPr>
      </w:pPr>
      <w:r>
        <w:rPr>
          <w:rFonts w:hint="eastAsia" w:ascii="仿宋" w:hAnsi="仿宋" w:eastAsia="仿宋" w:cs="仿宋"/>
          <w:bCs w:val="0"/>
          <w:color w:val="auto"/>
          <w:sz w:val="24"/>
          <w:szCs w:val="24"/>
          <w:highlight w:val="none"/>
        </w:rPr>
        <w:t>五、公告期限</w:t>
      </w:r>
    </w:p>
    <w:p w14:paraId="3FE01B40">
      <w:pPr>
        <w:pStyle w:val="47"/>
        <w:pageBreakBefore w:val="0"/>
        <w:kinsoku/>
        <w:wordWrap/>
        <w:overflowPunct/>
        <w:topLinePunct w:val="0"/>
        <w:bidi w:val="0"/>
        <w:spacing w:before="0" w:beforeAutospacing="0" w:after="0" w:afterAutospacing="0" w:line="420" w:lineRule="exact"/>
        <w:ind w:firstLine="556"/>
        <w:textAlignment w:val="auto"/>
        <w:rPr>
          <w:rFonts w:ascii="仿宋" w:hAnsi="仿宋" w:eastAsia="仿宋" w:cs="仿宋"/>
          <w:color w:val="auto"/>
          <w:highlight w:val="none"/>
        </w:rPr>
      </w:pPr>
      <w:r>
        <w:rPr>
          <w:rFonts w:hint="eastAsia" w:ascii="仿宋" w:hAnsi="仿宋" w:eastAsia="仿宋" w:cs="仿宋"/>
          <w:color w:val="auto"/>
          <w:highlight w:val="none"/>
        </w:rPr>
        <w:t>自本公告发布之日起5个工作日。</w:t>
      </w:r>
    </w:p>
    <w:p w14:paraId="112F5571">
      <w:pPr>
        <w:pStyle w:val="8"/>
        <w:pageBreakBefore w:val="0"/>
        <w:kinsoku/>
        <w:wordWrap/>
        <w:overflowPunct/>
        <w:topLinePunct w:val="0"/>
        <w:bidi w:val="0"/>
        <w:spacing w:before="0" w:after="0" w:line="420" w:lineRule="exact"/>
        <w:textAlignment w:val="auto"/>
        <w:rPr>
          <w:rFonts w:ascii="仿宋" w:hAnsi="仿宋" w:eastAsia="仿宋" w:cs="仿宋"/>
          <w:color w:val="auto"/>
          <w:sz w:val="24"/>
          <w:szCs w:val="24"/>
          <w:highlight w:val="none"/>
        </w:rPr>
      </w:pPr>
      <w:r>
        <w:rPr>
          <w:rFonts w:hint="eastAsia" w:ascii="仿宋" w:hAnsi="仿宋" w:eastAsia="仿宋" w:cs="仿宋"/>
          <w:bCs w:val="0"/>
          <w:color w:val="auto"/>
          <w:sz w:val="24"/>
          <w:szCs w:val="24"/>
          <w:highlight w:val="none"/>
        </w:rPr>
        <w:t>六、其他补充事宜</w:t>
      </w:r>
    </w:p>
    <w:p w14:paraId="527DFEB5">
      <w:pPr>
        <w:pageBreakBefore w:val="0"/>
        <w:kinsoku/>
        <w:wordWrap/>
        <w:overflowPunct/>
        <w:topLinePunct w:val="0"/>
        <w:autoSpaceDE/>
        <w:autoSpaceDN/>
        <w:bidi w:val="0"/>
        <w:spacing w:line="42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1、投标人应在开标截止时间10天前以书面形式向采购代理机构提出质疑，逾期提出的，采购代理机构不予受理、答复。采购代理机构与采购人研究后，对认为有必要回答的问题，</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将在开标前将答疑内容以网上发布公告的形式通知所有投标人，投标人自行在网上查阅、下载答疑回复答疑内容是招标文件的组成部分。</w:t>
      </w:r>
    </w:p>
    <w:p w14:paraId="43667806">
      <w:pPr>
        <w:pageBreakBefore w:val="0"/>
        <w:kinsoku/>
        <w:wordWrap/>
        <w:overflowPunct/>
        <w:topLinePunct w:val="0"/>
        <w:autoSpaceDE/>
        <w:autoSpaceDN/>
        <w:bidi w:val="0"/>
        <w:spacing w:line="420" w:lineRule="exact"/>
        <w:ind w:firstLine="482" w:firstLineChars="200"/>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2、其他事项</w:t>
      </w:r>
      <w:r>
        <w:rPr>
          <w:rFonts w:hint="eastAsia" w:ascii="仿宋" w:hAnsi="仿宋" w:eastAsia="仿宋" w:cs="仿宋"/>
          <w:b/>
          <w:bCs/>
          <w:color w:val="auto"/>
          <w:kern w:val="2"/>
          <w:sz w:val="24"/>
          <w:szCs w:val="24"/>
          <w:highlight w:val="none"/>
        </w:rPr>
        <w:t>：详见</w:t>
      </w:r>
      <w:r>
        <w:rPr>
          <w:rFonts w:hint="eastAsia" w:ascii="仿宋" w:hAnsi="仿宋" w:eastAsia="仿宋" w:cs="仿宋"/>
          <w:b/>
          <w:bCs/>
          <w:color w:val="auto"/>
          <w:sz w:val="24"/>
          <w:highlight w:val="none"/>
        </w:rPr>
        <w:t>招标文件。</w:t>
      </w:r>
    </w:p>
    <w:p w14:paraId="01F1E0CE">
      <w:pPr>
        <w:pageBreakBefore w:val="0"/>
        <w:kinsoku/>
        <w:wordWrap/>
        <w:overflowPunct/>
        <w:topLinePunct w:val="0"/>
        <w:autoSpaceDE/>
        <w:autoSpaceDN/>
        <w:bidi w:val="0"/>
        <w:spacing w:line="420" w:lineRule="exact"/>
        <w:textAlignment w:val="auto"/>
        <w:rPr>
          <w:rFonts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七、投标保证金</w:t>
      </w:r>
    </w:p>
    <w:p w14:paraId="662A325B">
      <w:pPr>
        <w:pageBreakBefore w:val="0"/>
        <w:kinsoku/>
        <w:wordWrap/>
        <w:overflowPunct/>
        <w:topLinePunct w:val="0"/>
        <w:autoSpaceDE/>
        <w:autoSpaceDN/>
        <w:bidi w:val="0"/>
        <w:spacing w:line="420" w:lineRule="exact"/>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本项目免收投标保证金。</w:t>
      </w:r>
    </w:p>
    <w:p w14:paraId="1A2A8FA9">
      <w:pPr>
        <w:pageBreakBefore w:val="0"/>
        <w:kinsoku/>
        <w:wordWrap/>
        <w:overflowPunct/>
        <w:topLinePunct w:val="0"/>
        <w:autoSpaceDE/>
        <w:autoSpaceDN/>
        <w:bidi w:val="0"/>
        <w:spacing w:line="420" w:lineRule="exact"/>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八、其他注意事项</w:t>
      </w:r>
    </w:p>
    <w:p w14:paraId="4FCDABAC">
      <w:pPr>
        <w:pageBreakBefore w:val="0"/>
        <w:kinsoku/>
        <w:wordWrap/>
        <w:overflowPunct/>
        <w:topLinePunct w:val="0"/>
        <w:autoSpaceDE/>
        <w:autoSpaceDN/>
        <w:bidi w:val="0"/>
        <w:spacing w:line="420" w:lineRule="exact"/>
        <w:ind w:firstLine="482" w:firstLineChars="200"/>
        <w:textAlignment w:val="auto"/>
        <w:rPr>
          <w:rFonts w:ascii="仿宋" w:hAnsi="仿宋" w:eastAsia="仿宋" w:cs="仿宋"/>
          <w:color w:val="auto"/>
          <w:sz w:val="24"/>
          <w:szCs w:val="32"/>
          <w:highlight w:val="none"/>
        </w:rPr>
      </w:pPr>
      <w:r>
        <w:rPr>
          <w:rFonts w:hint="eastAsia" w:ascii="仿宋" w:hAnsi="仿宋" w:eastAsia="仿宋" w:cs="仿宋"/>
          <w:b/>
          <w:bCs/>
          <w:color w:val="auto"/>
          <w:sz w:val="24"/>
          <w:highlight w:val="none"/>
        </w:rPr>
        <w:t>投标人应于开标时间前按照电子投标要求将电子加密标书上传到“</w:t>
      </w:r>
      <w:r>
        <w:rPr>
          <w:rFonts w:hint="eastAsia" w:ascii="仿宋" w:hAnsi="仿宋" w:eastAsia="仿宋" w:cs="仿宋"/>
          <w:b/>
          <w:bCs/>
          <w:color w:val="auto"/>
          <w:sz w:val="24"/>
          <w:highlight w:val="none"/>
          <w:lang w:eastAsia="zh-CN"/>
        </w:rPr>
        <w:t>乐采云</w:t>
      </w:r>
      <w:r>
        <w:rPr>
          <w:rFonts w:hint="eastAsia" w:ascii="仿宋" w:hAnsi="仿宋" w:eastAsia="仿宋" w:cs="仿宋"/>
          <w:b/>
          <w:bCs/>
          <w:color w:val="auto"/>
          <w:sz w:val="24"/>
          <w:highlight w:val="none"/>
        </w:rPr>
        <w:t>”平台，逾期或未上传成功的将导致无法投标或投标无效。</w:t>
      </w:r>
      <w:r>
        <w:rPr>
          <w:rFonts w:hint="eastAsia" w:ascii="仿宋" w:hAnsi="仿宋" w:eastAsia="仿宋" w:cs="仿宋"/>
          <w:color w:val="auto"/>
          <w:sz w:val="24"/>
          <w:szCs w:val="32"/>
          <w:highlight w:val="none"/>
        </w:rPr>
        <w:t>备注：为确保采购项目顺利实施，避免因</w:t>
      </w:r>
      <w:r>
        <w:rPr>
          <w:rFonts w:hint="eastAsia" w:ascii="仿宋" w:hAnsi="仿宋" w:eastAsia="仿宋" w:cs="仿宋"/>
          <w:color w:val="auto"/>
          <w:sz w:val="24"/>
          <w:szCs w:val="32"/>
          <w:highlight w:val="none"/>
          <w:lang w:eastAsia="zh-CN"/>
        </w:rPr>
        <w:t>乐采云</w:t>
      </w:r>
      <w:r>
        <w:rPr>
          <w:rFonts w:hint="eastAsia" w:ascii="仿宋" w:hAnsi="仿宋" w:eastAsia="仿宋" w:cs="仿宋"/>
          <w:color w:val="auto"/>
          <w:sz w:val="24"/>
          <w:szCs w:val="32"/>
          <w:highlight w:val="none"/>
        </w:rPr>
        <w:t>上电子投标文件解密失败导致投标方投标无效，投标方可在开标时间前将在</w:t>
      </w:r>
      <w:r>
        <w:rPr>
          <w:rFonts w:hint="eastAsia" w:ascii="仿宋" w:hAnsi="仿宋" w:eastAsia="仿宋" w:cs="仿宋"/>
          <w:color w:val="auto"/>
          <w:sz w:val="24"/>
          <w:szCs w:val="32"/>
          <w:highlight w:val="none"/>
          <w:lang w:eastAsia="zh-CN"/>
        </w:rPr>
        <w:t>乐采云</w:t>
      </w:r>
      <w:r>
        <w:rPr>
          <w:rFonts w:hint="eastAsia" w:ascii="仿宋" w:hAnsi="仿宋" w:eastAsia="仿宋" w:cs="仿宋"/>
          <w:color w:val="auto"/>
          <w:sz w:val="24"/>
          <w:szCs w:val="32"/>
          <w:highlight w:val="none"/>
        </w:rPr>
        <w:t>平台上最后生成的具备电子签章的备份加密投标文件（文件名后缀为备份文件四字的首字母）以电子邮件方式传送至诸暨市宸佳工程管理有限公司邮箱2028562254@qq.com，传送的备份电子投标文件需打包压缩并加密，加密密码由投标方自行保管，如</w:t>
      </w:r>
      <w:r>
        <w:rPr>
          <w:rFonts w:hint="eastAsia" w:ascii="仿宋" w:hAnsi="仿宋" w:eastAsia="仿宋" w:cs="仿宋"/>
          <w:color w:val="auto"/>
          <w:sz w:val="24"/>
          <w:szCs w:val="32"/>
          <w:highlight w:val="none"/>
          <w:lang w:eastAsia="zh-CN"/>
        </w:rPr>
        <w:t>乐采云</w:t>
      </w:r>
      <w:r>
        <w:rPr>
          <w:rFonts w:hint="eastAsia" w:ascii="仿宋" w:hAnsi="仿宋" w:eastAsia="仿宋" w:cs="仿宋"/>
          <w:color w:val="auto"/>
          <w:sz w:val="24"/>
          <w:szCs w:val="32"/>
          <w:highlight w:val="none"/>
        </w:rPr>
        <w:t>上电子投标文件出现解密失败情况（开标后30分钟内进行解密），投标方可按照自身意愿确认是否同意提供加密密码解密传送至诸暨市宸佳工程管理有限公司邮箱的备份文件，并以备份文件作为替代电子投标文件，如投标方未按照规定时间前按要求提供有效备份文件，同时</w:t>
      </w:r>
      <w:r>
        <w:rPr>
          <w:rFonts w:hint="eastAsia" w:ascii="仿宋" w:hAnsi="仿宋" w:eastAsia="仿宋" w:cs="仿宋"/>
          <w:color w:val="auto"/>
          <w:sz w:val="24"/>
          <w:szCs w:val="32"/>
          <w:highlight w:val="none"/>
          <w:lang w:eastAsia="zh-CN"/>
        </w:rPr>
        <w:t>乐采云</w:t>
      </w:r>
      <w:r>
        <w:rPr>
          <w:rFonts w:hint="eastAsia" w:ascii="仿宋" w:hAnsi="仿宋" w:eastAsia="仿宋" w:cs="仿宋"/>
          <w:color w:val="auto"/>
          <w:sz w:val="24"/>
          <w:szCs w:val="32"/>
          <w:highlight w:val="none"/>
        </w:rPr>
        <w:t>上投标文件解密失败的，将导致投标无效。</w:t>
      </w:r>
    </w:p>
    <w:p w14:paraId="76ECADAA">
      <w:pPr>
        <w:pStyle w:val="29"/>
        <w:pageBreakBefore w:val="0"/>
        <w:kinsoku/>
        <w:wordWrap/>
        <w:overflowPunct/>
        <w:topLinePunct w:val="0"/>
        <w:autoSpaceDE/>
        <w:autoSpaceDN/>
        <w:bidi w:val="0"/>
        <w:adjustRightInd w:val="0"/>
        <w:snapToGrid w:val="0"/>
        <w:spacing w:line="420" w:lineRule="exact"/>
        <w:ind w:firstLine="482" w:firstLineChars="200"/>
        <w:textAlignment w:val="auto"/>
        <w:rPr>
          <w:rFonts w:ascii="仿宋" w:hAnsi="仿宋" w:eastAsia="仿宋" w:cs="仿宋"/>
          <w:b/>
          <w:color w:val="auto"/>
          <w:kern w:val="0"/>
          <w:szCs w:val="24"/>
          <w:highlight w:val="none"/>
          <w:u w:val="single"/>
        </w:rPr>
      </w:pPr>
      <w:r>
        <w:rPr>
          <w:rFonts w:hint="eastAsia" w:ascii="仿宋" w:hAnsi="仿宋" w:eastAsia="仿宋" w:cs="仿宋"/>
          <w:b/>
          <w:color w:val="auto"/>
          <w:kern w:val="0"/>
          <w:szCs w:val="24"/>
          <w:highlight w:val="none"/>
          <w:u w:val="single"/>
        </w:rPr>
        <w:t>投标方无需在开标当天到达开标现场对电子投标进行解密，可在公司办公场地在规定时间内对电子投标文件进行解密。</w:t>
      </w:r>
    </w:p>
    <w:p w14:paraId="69B6D56F">
      <w:pPr>
        <w:pStyle w:val="29"/>
        <w:pageBreakBefore w:val="0"/>
        <w:kinsoku/>
        <w:wordWrap/>
        <w:overflowPunct/>
        <w:topLinePunct w:val="0"/>
        <w:autoSpaceDE/>
        <w:autoSpaceDN/>
        <w:bidi w:val="0"/>
        <w:adjustRightInd w:val="0"/>
        <w:snapToGrid w:val="0"/>
        <w:spacing w:line="420" w:lineRule="exact"/>
        <w:ind w:firstLine="482" w:firstLineChars="200"/>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开标时间后30分钟内供应商可以登录“</w:t>
      </w:r>
      <w:r>
        <w:rPr>
          <w:rFonts w:hint="eastAsia" w:ascii="仿宋" w:hAnsi="仿宋" w:eastAsia="仿宋" w:cs="仿宋"/>
          <w:b/>
          <w:color w:val="auto"/>
          <w:szCs w:val="24"/>
          <w:highlight w:val="none"/>
          <w:lang w:eastAsia="zh-CN"/>
        </w:rPr>
        <w:t>乐采云</w:t>
      </w:r>
      <w:r>
        <w:rPr>
          <w:rFonts w:hint="eastAsia" w:ascii="仿宋" w:hAnsi="仿宋" w:eastAsia="仿宋" w:cs="仿宋"/>
          <w:b/>
          <w:color w:val="auto"/>
          <w:szCs w:val="24"/>
          <w:highlight w:val="none"/>
        </w:rPr>
        <w:t>”平台，用“项目采购-开标评标”功能进行解密投标文件。若供应商在规定时间内无法解密或解密失败，将导致投标无效或失败。投标人制作电子投标文件和解密投标文件的需为同一把CA。同时为保障项目开标的连贯性、减少电子投标的意外事件，制作电子投标人员与开标人员最好为同一人，预留同一手机号码。</w:t>
      </w:r>
    </w:p>
    <w:p w14:paraId="6C9A878E">
      <w:pPr>
        <w:pStyle w:val="8"/>
        <w:pageBreakBefore w:val="0"/>
        <w:kinsoku/>
        <w:wordWrap/>
        <w:overflowPunct/>
        <w:topLinePunct w:val="0"/>
        <w:autoSpaceDE/>
        <w:autoSpaceDN/>
        <w:bidi w:val="0"/>
        <w:spacing w:before="0" w:after="0" w:line="420" w:lineRule="exact"/>
        <w:textAlignment w:val="auto"/>
        <w:rPr>
          <w:rFonts w:ascii="仿宋" w:hAnsi="仿宋" w:eastAsia="仿宋" w:cs="仿宋"/>
          <w:color w:val="auto"/>
          <w:sz w:val="24"/>
          <w:szCs w:val="24"/>
          <w:highlight w:val="none"/>
        </w:rPr>
      </w:pPr>
      <w:r>
        <w:rPr>
          <w:rFonts w:hint="eastAsia" w:ascii="仿宋" w:hAnsi="仿宋" w:eastAsia="仿宋" w:cs="仿宋"/>
          <w:bCs w:val="0"/>
          <w:color w:val="auto"/>
          <w:sz w:val="24"/>
          <w:szCs w:val="24"/>
          <w:highlight w:val="none"/>
        </w:rPr>
        <w:t>九、业务咨询</w:t>
      </w:r>
    </w:p>
    <w:p w14:paraId="6E3B99DF">
      <w:pPr>
        <w:pStyle w:val="47"/>
        <w:pageBreakBefore w:val="0"/>
        <w:kinsoku/>
        <w:wordWrap/>
        <w:overflowPunct/>
        <w:topLinePunct w:val="0"/>
        <w:autoSpaceDE/>
        <w:autoSpaceDN/>
        <w:bidi w:val="0"/>
        <w:spacing w:before="0" w:beforeAutospacing="0" w:after="0" w:afterAutospacing="0" w:line="420" w:lineRule="exact"/>
        <w:ind w:firstLine="556"/>
        <w:textAlignment w:val="auto"/>
        <w:rPr>
          <w:rFonts w:ascii="仿宋" w:hAnsi="仿宋" w:eastAsia="仿宋" w:cs="仿宋"/>
          <w:color w:val="auto"/>
          <w:highlight w:val="none"/>
        </w:rPr>
      </w:pPr>
      <w:r>
        <w:rPr>
          <w:rFonts w:hint="eastAsia" w:ascii="仿宋" w:hAnsi="仿宋" w:eastAsia="仿宋" w:cs="仿宋"/>
          <w:color w:val="auto"/>
          <w:highlight w:val="none"/>
        </w:rPr>
        <w:t>1.采购人信息</w:t>
      </w:r>
    </w:p>
    <w:p w14:paraId="6BAE899F">
      <w:pPr>
        <w:pStyle w:val="47"/>
        <w:pageBreakBefore w:val="0"/>
        <w:kinsoku/>
        <w:wordWrap/>
        <w:overflowPunct/>
        <w:topLinePunct w:val="0"/>
        <w:autoSpaceDE/>
        <w:autoSpaceDN/>
        <w:bidi w:val="0"/>
        <w:spacing w:before="0" w:beforeAutospacing="0" w:after="0" w:afterAutospacing="0" w:line="420" w:lineRule="exact"/>
        <w:ind w:firstLine="556"/>
        <w:textAlignment w:val="auto"/>
        <w:rPr>
          <w:rFonts w:hint="eastAsia" w:ascii="仿宋" w:hAnsi="仿宋" w:eastAsia="仿宋" w:cs="仿宋"/>
          <w:color w:val="auto"/>
          <w:highlight w:val="none"/>
        </w:rPr>
      </w:pPr>
      <w:r>
        <w:rPr>
          <w:rFonts w:hint="eastAsia" w:ascii="仿宋" w:hAnsi="仿宋" w:eastAsia="仿宋" w:cs="仿宋"/>
          <w:color w:val="auto"/>
          <w:highlight w:val="none"/>
        </w:rPr>
        <w:t>名 称：诸暨市环境卫生管理集团有限公司</w:t>
      </w:r>
    </w:p>
    <w:p w14:paraId="7696FBA7">
      <w:pPr>
        <w:pStyle w:val="47"/>
        <w:pageBreakBefore w:val="0"/>
        <w:kinsoku/>
        <w:wordWrap/>
        <w:overflowPunct/>
        <w:topLinePunct w:val="0"/>
        <w:autoSpaceDE/>
        <w:autoSpaceDN/>
        <w:bidi w:val="0"/>
        <w:spacing w:before="0" w:beforeAutospacing="0" w:after="0" w:afterAutospacing="0" w:line="420" w:lineRule="exact"/>
        <w:ind w:firstLine="556"/>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地 址：</w:t>
      </w:r>
      <w:r>
        <w:rPr>
          <w:rFonts w:hint="eastAsia" w:ascii="仿宋" w:hAnsi="仿宋" w:eastAsia="仿宋" w:cs="仿宋"/>
          <w:color w:val="auto"/>
          <w:highlight w:val="none"/>
          <w:lang w:val="en-US" w:eastAsia="zh-CN"/>
        </w:rPr>
        <w:t>诸暨市浣东街道高湖东路77号</w:t>
      </w:r>
    </w:p>
    <w:p w14:paraId="0B0E3B67">
      <w:pPr>
        <w:pStyle w:val="47"/>
        <w:pageBreakBefore w:val="0"/>
        <w:kinsoku/>
        <w:wordWrap/>
        <w:overflowPunct/>
        <w:topLinePunct w:val="0"/>
        <w:autoSpaceDE/>
        <w:autoSpaceDN/>
        <w:bidi w:val="0"/>
        <w:spacing w:before="0" w:beforeAutospacing="0" w:after="0" w:afterAutospacing="0" w:line="420" w:lineRule="exact"/>
        <w:ind w:firstLine="556"/>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项目联系人：</w:t>
      </w:r>
      <w:r>
        <w:rPr>
          <w:rFonts w:hint="eastAsia" w:ascii="仿宋" w:hAnsi="仿宋" w:eastAsia="仿宋" w:cs="仿宋"/>
          <w:color w:val="auto"/>
          <w:highlight w:val="none"/>
          <w:lang w:val="en-US" w:eastAsia="zh-CN"/>
        </w:rPr>
        <w:t>蒋科毅</w:t>
      </w:r>
    </w:p>
    <w:p w14:paraId="1606EFB2">
      <w:pPr>
        <w:pStyle w:val="47"/>
        <w:pageBreakBefore w:val="0"/>
        <w:kinsoku/>
        <w:wordWrap/>
        <w:overflowPunct/>
        <w:topLinePunct w:val="0"/>
        <w:autoSpaceDE/>
        <w:autoSpaceDN/>
        <w:bidi w:val="0"/>
        <w:spacing w:before="0" w:beforeAutospacing="0" w:after="0" w:afterAutospacing="0" w:line="420" w:lineRule="exact"/>
        <w:ind w:firstLine="556"/>
        <w:textAlignment w:val="auto"/>
        <w:rPr>
          <w:rFonts w:hint="eastAsia" w:ascii="仿宋" w:hAnsi="仿宋" w:eastAsia="仿宋"/>
          <w:color w:val="auto"/>
          <w:highlight w:val="none"/>
        </w:rPr>
      </w:pPr>
      <w:r>
        <w:rPr>
          <w:rFonts w:hint="eastAsia" w:ascii="仿宋" w:hAnsi="仿宋" w:eastAsia="仿宋" w:cs="仿宋"/>
          <w:color w:val="auto"/>
          <w:highlight w:val="none"/>
        </w:rPr>
        <w:t>项目联系方式：</w:t>
      </w:r>
      <w:r>
        <w:rPr>
          <w:rFonts w:hint="eastAsia" w:ascii="仿宋" w:hAnsi="仿宋" w:eastAsia="仿宋"/>
          <w:color w:val="auto"/>
          <w:highlight w:val="none"/>
        </w:rPr>
        <w:t>15068710722</w:t>
      </w:r>
    </w:p>
    <w:p w14:paraId="27C5E58E">
      <w:pPr>
        <w:pStyle w:val="47"/>
        <w:pageBreakBefore w:val="0"/>
        <w:kinsoku/>
        <w:wordWrap/>
        <w:overflowPunct/>
        <w:topLinePunct w:val="0"/>
        <w:autoSpaceDE/>
        <w:autoSpaceDN/>
        <w:bidi w:val="0"/>
        <w:spacing w:before="0" w:beforeAutospacing="0" w:after="0" w:afterAutospacing="0" w:line="420" w:lineRule="exact"/>
        <w:ind w:firstLine="556"/>
        <w:textAlignment w:val="auto"/>
        <w:rPr>
          <w:rFonts w:ascii="仿宋" w:hAnsi="仿宋" w:eastAsia="仿宋" w:cs="仿宋"/>
          <w:color w:val="auto"/>
          <w:highlight w:val="none"/>
        </w:rPr>
      </w:pPr>
      <w:r>
        <w:rPr>
          <w:rFonts w:hint="eastAsia" w:ascii="仿宋" w:hAnsi="仿宋" w:eastAsia="仿宋" w:cs="仿宋"/>
          <w:color w:val="auto"/>
          <w:highlight w:val="none"/>
        </w:rPr>
        <w:t>2.采购代理机构信息</w:t>
      </w:r>
    </w:p>
    <w:p w14:paraId="640BD73E">
      <w:pPr>
        <w:pStyle w:val="47"/>
        <w:pageBreakBefore w:val="0"/>
        <w:kinsoku/>
        <w:wordWrap/>
        <w:overflowPunct/>
        <w:topLinePunct w:val="0"/>
        <w:autoSpaceDE/>
        <w:autoSpaceDN/>
        <w:bidi w:val="0"/>
        <w:spacing w:before="0" w:beforeAutospacing="0" w:after="0" w:afterAutospacing="0" w:line="420" w:lineRule="exact"/>
        <w:ind w:firstLine="556"/>
        <w:textAlignment w:val="auto"/>
        <w:rPr>
          <w:rFonts w:ascii="仿宋" w:hAnsi="仿宋" w:eastAsia="仿宋" w:cs="仿宋"/>
          <w:color w:val="auto"/>
          <w:highlight w:val="none"/>
        </w:rPr>
      </w:pPr>
      <w:r>
        <w:rPr>
          <w:rFonts w:hint="eastAsia" w:ascii="仿宋" w:hAnsi="仿宋" w:eastAsia="仿宋" w:cs="仿宋"/>
          <w:color w:val="auto"/>
          <w:highlight w:val="none"/>
        </w:rPr>
        <w:t>名 称：诸暨市宸佳工程管理有限公司</w:t>
      </w:r>
    </w:p>
    <w:p w14:paraId="6E0B0CFB">
      <w:pPr>
        <w:pStyle w:val="47"/>
        <w:pageBreakBefore w:val="0"/>
        <w:kinsoku/>
        <w:wordWrap/>
        <w:overflowPunct/>
        <w:topLinePunct w:val="0"/>
        <w:autoSpaceDE/>
        <w:autoSpaceDN/>
        <w:bidi w:val="0"/>
        <w:spacing w:before="0" w:beforeAutospacing="0" w:after="0" w:afterAutospacing="0" w:line="420" w:lineRule="exact"/>
        <w:ind w:firstLine="556"/>
        <w:textAlignment w:val="auto"/>
        <w:rPr>
          <w:rFonts w:ascii="仿宋" w:hAnsi="仿宋" w:eastAsia="仿宋" w:cs="仿宋"/>
          <w:color w:val="auto"/>
          <w:highlight w:val="none"/>
        </w:rPr>
      </w:pPr>
      <w:r>
        <w:rPr>
          <w:rFonts w:hint="eastAsia" w:ascii="仿宋" w:hAnsi="仿宋" w:eastAsia="仿宋" w:cs="仿宋"/>
          <w:color w:val="auto"/>
          <w:highlight w:val="none"/>
        </w:rPr>
        <w:t>地 址：诸暨市暨阳街道苎萝东路218号金悦华庭商铺232号</w:t>
      </w:r>
    </w:p>
    <w:p w14:paraId="0726CAEB">
      <w:pPr>
        <w:pStyle w:val="47"/>
        <w:pageBreakBefore w:val="0"/>
        <w:kinsoku/>
        <w:wordWrap/>
        <w:overflowPunct/>
        <w:topLinePunct w:val="0"/>
        <w:autoSpaceDE/>
        <w:autoSpaceDN/>
        <w:bidi w:val="0"/>
        <w:spacing w:before="0" w:beforeAutospacing="0" w:after="0" w:afterAutospacing="0" w:line="420" w:lineRule="exact"/>
        <w:ind w:firstLine="556"/>
        <w:textAlignment w:val="auto"/>
        <w:rPr>
          <w:rFonts w:ascii="仿宋" w:hAnsi="仿宋" w:eastAsia="仿宋" w:cs="仿宋"/>
          <w:color w:val="auto"/>
          <w:highlight w:val="none"/>
        </w:rPr>
      </w:pPr>
      <w:r>
        <w:rPr>
          <w:rFonts w:hint="eastAsia" w:ascii="仿宋" w:hAnsi="仿宋" w:eastAsia="仿宋" w:cs="仿宋"/>
          <w:color w:val="auto"/>
          <w:highlight w:val="none"/>
        </w:rPr>
        <w:t>项目联系人：寿程佳</w:t>
      </w:r>
    </w:p>
    <w:p w14:paraId="3BD61181">
      <w:pPr>
        <w:pStyle w:val="47"/>
        <w:pageBreakBefore w:val="0"/>
        <w:kinsoku/>
        <w:wordWrap/>
        <w:overflowPunct/>
        <w:topLinePunct w:val="0"/>
        <w:autoSpaceDE/>
        <w:autoSpaceDN/>
        <w:bidi w:val="0"/>
        <w:spacing w:before="0" w:beforeAutospacing="0" w:after="0" w:afterAutospacing="0" w:line="420" w:lineRule="exact"/>
        <w:ind w:firstLine="556"/>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项目联系方式：13758513307</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工作电话</w:t>
      </w:r>
      <w:r>
        <w:rPr>
          <w:rFonts w:hint="eastAsia" w:ascii="仿宋" w:hAnsi="仿宋" w:eastAsia="仿宋" w:cs="仿宋"/>
          <w:color w:val="auto"/>
          <w:highlight w:val="none"/>
          <w:lang w:eastAsia="zh-CN"/>
        </w:rPr>
        <w:t>）</w:t>
      </w:r>
    </w:p>
    <w:p w14:paraId="348665AE">
      <w:pPr>
        <w:autoSpaceDE/>
        <w:autoSpaceDN/>
        <w:spacing w:line="420" w:lineRule="exact"/>
        <w:ind w:firstLine="420" w:firstLineChars="200"/>
        <w:rPr>
          <w:rFonts w:hint="eastAsia" w:ascii="仿宋" w:hAnsi="仿宋" w:eastAsia="仿宋" w:cs="仿宋"/>
          <w:color w:val="auto"/>
          <w:highlight w:val="none"/>
        </w:rPr>
      </w:pPr>
    </w:p>
    <w:p w14:paraId="4969E90B">
      <w:pPr>
        <w:autoSpaceDE/>
        <w:autoSpaceDN/>
        <w:spacing w:line="42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若对项目采购电子交易系统操作有疑问，可登录</w:t>
      </w:r>
      <w:r>
        <w:rPr>
          <w:rFonts w:hint="eastAsia" w:ascii="仿宋" w:hAnsi="仿宋" w:eastAsia="仿宋" w:cs="仿宋"/>
          <w:color w:val="auto"/>
          <w:highlight w:val="none"/>
          <w:lang w:eastAsia="zh-CN"/>
        </w:rPr>
        <w:t>乐采云</w:t>
      </w:r>
      <w:r>
        <w:rPr>
          <w:rFonts w:hint="eastAsia" w:ascii="仿宋" w:hAnsi="仿宋" w:eastAsia="仿宋" w:cs="仿宋"/>
          <w:color w:val="auto"/>
          <w:highlight w:val="none"/>
        </w:rPr>
        <w:t>（https://www.lecaiyun.com/），点击右侧咨询小采，获取采小蜜智能服务管家帮助，或拨打</w:t>
      </w:r>
      <w:r>
        <w:rPr>
          <w:rFonts w:hint="eastAsia" w:ascii="仿宋" w:hAnsi="仿宋" w:eastAsia="仿宋" w:cs="仿宋"/>
          <w:color w:val="auto"/>
          <w:highlight w:val="none"/>
          <w:lang w:eastAsia="zh-CN"/>
        </w:rPr>
        <w:t>乐采云</w:t>
      </w:r>
      <w:r>
        <w:rPr>
          <w:rFonts w:hint="eastAsia" w:ascii="仿宋" w:hAnsi="仿宋" w:eastAsia="仿宋" w:cs="仿宋"/>
          <w:color w:val="auto"/>
          <w:highlight w:val="none"/>
        </w:rPr>
        <w:t>服务热线</w:t>
      </w:r>
      <w:r>
        <w:rPr>
          <w:rFonts w:hint="eastAsia" w:ascii="仿宋" w:hAnsi="仿宋" w:eastAsia="仿宋" w:cs="仿宋"/>
          <w:color w:val="auto"/>
          <w:highlight w:val="none"/>
          <w:lang w:val="en-US" w:eastAsia="zh-CN"/>
        </w:rPr>
        <w:t>95763</w:t>
      </w:r>
      <w:r>
        <w:rPr>
          <w:rFonts w:hint="eastAsia" w:ascii="仿宋" w:hAnsi="仿宋" w:eastAsia="仿宋" w:cs="仿宋"/>
          <w:color w:val="auto"/>
          <w:highlight w:val="none"/>
        </w:rPr>
        <w:t>获取热线服务帮助。CA问题联系电话（人工）：汇信CA 400-888-4636；天谷CA 400-087-8198。</w:t>
      </w:r>
    </w:p>
    <w:p w14:paraId="16922C5E">
      <w:pPr>
        <w:spacing w:line="420" w:lineRule="exact"/>
        <w:rPr>
          <w:rFonts w:ascii="仿宋" w:hAnsi="仿宋" w:eastAsia="仿宋" w:cs="仿宋"/>
          <w:color w:val="auto"/>
          <w:highlight w:val="none"/>
        </w:rPr>
        <w:sectPr>
          <w:headerReference r:id="rId8" w:type="first"/>
          <w:footerReference r:id="rId11" w:type="first"/>
          <w:headerReference r:id="rId7" w:type="default"/>
          <w:footerReference r:id="rId9" w:type="default"/>
          <w:footerReference r:id="rId10" w:type="even"/>
          <w:pgSz w:w="11905" w:h="16838"/>
          <w:pgMar w:top="1440" w:right="1083" w:bottom="1440" w:left="1083" w:header="850" w:footer="964" w:gutter="0"/>
          <w:pgBorders>
            <w:top w:val="none" w:sz="0" w:space="0"/>
            <w:left w:val="none" w:sz="0" w:space="0"/>
            <w:bottom w:val="none" w:sz="0" w:space="0"/>
            <w:right w:val="none" w:sz="0" w:space="0"/>
          </w:pgBorders>
          <w:pgNumType w:fmt="decimal" w:start="1"/>
          <w:cols w:space="0" w:num="1"/>
          <w:titlePg/>
          <w:rtlGutter w:val="0"/>
          <w:docGrid w:type="lines" w:linePitch="317" w:charSpace="0"/>
        </w:sectPr>
      </w:pPr>
    </w:p>
    <w:bookmarkEnd w:id="0"/>
    <w:p w14:paraId="39F572AC">
      <w:pPr>
        <w:pStyle w:val="7"/>
        <w:spacing w:before="0" w:after="240" w:line="400" w:lineRule="exact"/>
        <w:jc w:val="center"/>
        <w:rPr>
          <w:rFonts w:ascii="华文中宋" w:hAnsi="华文中宋" w:eastAsia="华文中宋"/>
          <w:color w:val="auto"/>
          <w:sz w:val="36"/>
          <w:szCs w:val="36"/>
          <w:highlight w:val="none"/>
        </w:rPr>
      </w:pPr>
      <w:bookmarkStart w:id="2" w:name="_Toc125344503"/>
      <w:r>
        <w:rPr>
          <w:rFonts w:hint="eastAsia" w:ascii="华文中宋" w:hAnsi="华文中宋" w:eastAsia="华文中宋"/>
          <w:color w:val="auto"/>
          <w:sz w:val="36"/>
          <w:szCs w:val="36"/>
          <w:highlight w:val="none"/>
        </w:rPr>
        <w:t>第二章</w:t>
      </w:r>
      <w:r>
        <w:rPr>
          <w:rFonts w:hint="eastAsia" w:ascii="华文中宋" w:hAnsi="华文中宋" w:eastAsia="华文中宋"/>
          <w:color w:val="auto"/>
          <w:sz w:val="36"/>
          <w:szCs w:val="36"/>
          <w:highlight w:val="none"/>
          <w:lang w:val="en-US" w:eastAsia="zh-CN"/>
        </w:rPr>
        <w:t xml:space="preserve">  </w:t>
      </w:r>
      <w:r>
        <w:rPr>
          <w:rFonts w:hint="eastAsia" w:ascii="华文中宋" w:hAnsi="华文中宋" w:eastAsia="华文中宋"/>
          <w:color w:val="auto"/>
          <w:sz w:val="36"/>
          <w:szCs w:val="36"/>
          <w:highlight w:val="none"/>
        </w:rPr>
        <w:t>投标人须知</w:t>
      </w:r>
    </w:p>
    <w:p w14:paraId="652E54E2">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ascii="华文中宋" w:hAnsi="华文中宋" w:eastAsia="华文中宋"/>
          <w:b/>
          <w:bCs/>
          <w:color w:val="auto"/>
          <w:sz w:val="32"/>
          <w:szCs w:val="32"/>
          <w:highlight w:val="none"/>
        </w:rPr>
      </w:pPr>
      <w:r>
        <w:rPr>
          <w:rFonts w:hint="eastAsia" w:ascii="华文中宋" w:hAnsi="华文中宋" w:eastAsia="华文中宋"/>
          <w:b/>
          <w:bCs/>
          <w:color w:val="auto"/>
          <w:sz w:val="32"/>
          <w:szCs w:val="32"/>
          <w:highlight w:val="none"/>
        </w:rPr>
        <w:t>前  附  表</w:t>
      </w:r>
    </w:p>
    <w:tbl>
      <w:tblPr>
        <w:tblStyle w:val="52"/>
        <w:tblW w:w="1006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4"/>
        <w:gridCol w:w="1747"/>
        <w:gridCol w:w="7618"/>
      </w:tblGrid>
      <w:tr w14:paraId="407179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blHeader/>
          <w:jc w:val="center"/>
        </w:trPr>
        <w:tc>
          <w:tcPr>
            <w:tcW w:w="704" w:type="dxa"/>
            <w:tcBorders>
              <w:top w:val="single" w:color="auto" w:sz="12" w:space="0"/>
              <w:bottom w:val="single" w:color="auto" w:sz="6" w:space="0"/>
            </w:tcBorders>
            <w:shd w:val="clear" w:color="auto" w:fill="DAEBFB"/>
            <w:vAlign w:val="center"/>
          </w:tcPr>
          <w:p w14:paraId="0589E5BC">
            <w:pPr>
              <w:pStyle w:val="29"/>
              <w:keepNext w:val="0"/>
              <w:keepLines w:val="0"/>
              <w:pageBreakBefore w:val="0"/>
              <w:widowControl w:val="0"/>
              <w:kinsoku/>
              <w:wordWrap/>
              <w:overflowPunct/>
              <w:topLinePunct w:val="0"/>
              <w:bidi w:val="0"/>
              <w:spacing w:line="36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序号</w:t>
            </w:r>
          </w:p>
        </w:tc>
        <w:tc>
          <w:tcPr>
            <w:tcW w:w="1747" w:type="dxa"/>
            <w:tcBorders>
              <w:top w:val="single" w:color="auto" w:sz="12" w:space="0"/>
              <w:bottom w:val="single" w:color="auto" w:sz="6" w:space="0"/>
            </w:tcBorders>
            <w:shd w:val="clear" w:color="auto" w:fill="DAEBFB"/>
            <w:vAlign w:val="center"/>
          </w:tcPr>
          <w:p w14:paraId="29A49FC5">
            <w:pPr>
              <w:pStyle w:val="29"/>
              <w:keepNext w:val="0"/>
              <w:keepLines w:val="0"/>
              <w:pageBreakBefore w:val="0"/>
              <w:widowControl w:val="0"/>
              <w:kinsoku/>
              <w:wordWrap/>
              <w:overflowPunct/>
              <w:topLinePunct w:val="0"/>
              <w:bidi w:val="0"/>
              <w:spacing w:line="36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内容</w:t>
            </w:r>
          </w:p>
        </w:tc>
        <w:tc>
          <w:tcPr>
            <w:tcW w:w="7618" w:type="dxa"/>
            <w:tcBorders>
              <w:top w:val="single" w:color="auto" w:sz="12" w:space="0"/>
              <w:bottom w:val="single" w:color="auto" w:sz="6" w:space="0"/>
            </w:tcBorders>
            <w:shd w:val="clear" w:color="auto" w:fill="DAEBFB"/>
            <w:vAlign w:val="center"/>
          </w:tcPr>
          <w:p w14:paraId="49490827">
            <w:pPr>
              <w:pStyle w:val="29"/>
              <w:keepNext w:val="0"/>
              <w:keepLines w:val="0"/>
              <w:pageBreakBefore w:val="0"/>
              <w:widowControl w:val="0"/>
              <w:kinsoku/>
              <w:wordWrap/>
              <w:overflowPunct/>
              <w:topLinePunct w:val="0"/>
              <w:bidi w:val="0"/>
              <w:spacing w:line="36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本项目说明与特别规定</w:t>
            </w:r>
          </w:p>
        </w:tc>
      </w:tr>
      <w:tr w14:paraId="1BB320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tcBorders>
              <w:top w:val="single" w:color="auto" w:sz="6" w:space="0"/>
            </w:tcBorders>
            <w:vAlign w:val="center"/>
          </w:tcPr>
          <w:p w14:paraId="7F811642">
            <w:pPr>
              <w:pStyle w:val="29"/>
              <w:keepNext w:val="0"/>
              <w:keepLines w:val="0"/>
              <w:pageBreakBefore w:val="0"/>
              <w:widowControl w:val="0"/>
              <w:kinsoku/>
              <w:wordWrap/>
              <w:overflowPunct/>
              <w:topLinePunct w:val="0"/>
              <w:bidi w:val="0"/>
              <w:spacing w:line="36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1</w:t>
            </w:r>
          </w:p>
        </w:tc>
        <w:tc>
          <w:tcPr>
            <w:tcW w:w="1747" w:type="dxa"/>
            <w:tcBorders>
              <w:top w:val="single" w:color="auto" w:sz="6" w:space="0"/>
            </w:tcBorders>
            <w:vAlign w:val="center"/>
          </w:tcPr>
          <w:p w14:paraId="3B56F224">
            <w:pPr>
              <w:pStyle w:val="29"/>
              <w:keepNext w:val="0"/>
              <w:keepLines w:val="0"/>
              <w:pageBreakBefore w:val="0"/>
              <w:widowControl w:val="0"/>
              <w:kinsoku/>
              <w:wordWrap/>
              <w:overflowPunct/>
              <w:topLinePunct w:val="0"/>
              <w:bidi w:val="0"/>
              <w:spacing w:line="36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项目名称</w:t>
            </w:r>
          </w:p>
        </w:tc>
        <w:tc>
          <w:tcPr>
            <w:tcW w:w="7618" w:type="dxa"/>
            <w:tcBorders>
              <w:top w:val="single" w:color="auto" w:sz="6" w:space="0"/>
            </w:tcBorders>
            <w:vAlign w:val="center"/>
          </w:tcPr>
          <w:p w14:paraId="64660EF3">
            <w:pPr>
              <w:keepNext w:val="0"/>
              <w:keepLines w:val="0"/>
              <w:pageBreakBefore w:val="0"/>
              <w:widowControl w:val="0"/>
              <w:kinsoku/>
              <w:wordWrap/>
              <w:overflowPunct/>
              <w:topLinePunct w:val="0"/>
              <w:bidi w:val="0"/>
              <w:spacing w:line="360" w:lineRule="exact"/>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诸暨市环境卫生管理集团有限公司2025-2026年度环卫工人综合险服务采购项目</w:t>
            </w:r>
          </w:p>
        </w:tc>
      </w:tr>
      <w:tr w14:paraId="567C3F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513AD2E1">
            <w:pPr>
              <w:pStyle w:val="29"/>
              <w:keepNext w:val="0"/>
              <w:keepLines w:val="0"/>
              <w:pageBreakBefore w:val="0"/>
              <w:widowControl w:val="0"/>
              <w:kinsoku/>
              <w:wordWrap/>
              <w:overflowPunct/>
              <w:topLinePunct w:val="0"/>
              <w:bidi w:val="0"/>
              <w:spacing w:line="36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2</w:t>
            </w:r>
          </w:p>
        </w:tc>
        <w:tc>
          <w:tcPr>
            <w:tcW w:w="1747" w:type="dxa"/>
            <w:vAlign w:val="center"/>
          </w:tcPr>
          <w:p w14:paraId="1C5DAAE5">
            <w:pPr>
              <w:pStyle w:val="29"/>
              <w:keepNext w:val="0"/>
              <w:keepLines w:val="0"/>
              <w:pageBreakBefore w:val="0"/>
              <w:widowControl w:val="0"/>
              <w:kinsoku/>
              <w:wordWrap/>
              <w:overflowPunct/>
              <w:topLinePunct w:val="0"/>
              <w:bidi w:val="0"/>
              <w:spacing w:line="36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采购方式</w:t>
            </w:r>
          </w:p>
        </w:tc>
        <w:tc>
          <w:tcPr>
            <w:tcW w:w="7618" w:type="dxa"/>
            <w:vAlign w:val="center"/>
          </w:tcPr>
          <w:p w14:paraId="6C4D8270">
            <w:pPr>
              <w:keepNext w:val="0"/>
              <w:keepLines w:val="0"/>
              <w:pageBreakBefore w:val="0"/>
              <w:widowControl w:val="0"/>
              <w:kinsoku/>
              <w:wordWrap/>
              <w:overflowPunct/>
              <w:topLinePunct w:val="0"/>
              <w:bidi w:val="0"/>
              <w:spacing w:line="360" w:lineRule="exac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公开招标</w:t>
            </w:r>
          </w:p>
        </w:tc>
      </w:tr>
      <w:tr w14:paraId="78DB58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6A6260E9">
            <w:pPr>
              <w:pStyle w:val="29"/>
              <w:keepNext w:val="0"/>
              <w:keepLines w:val="0"/>
              <w:pageBreakBefore w:val="0"/>
              <w:widowControl w:val="0"/>
              <w:kinsoku/>
              <w:wordWrap/>
              <w:overflowPunct/>
              <w:topLinePunct w:val="0"/>
              <w:bidi w:val="0"/>
              <w:spacing w:line="36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3</w:t>
            </w:r>
          </w:p>
        </w:tc>
        <w:tc>
          <w:tcPr>
            <w:tcW w:w="1747" w:type="dxa"/>
            <w:vAlign w:val="center"/>
          </w:tcPr>
          <w:p w14:paraId="372C1D8C">
            <w:pPr>
              <w:pStyle w:val="29"/>
              <w:keepNext w:val="0"/>
              <w:keepLines w:val="0"/>
              <w:pageBreakBefore w:val="0"/>
              <w:widowControl w:val="0"/>
              <w:kinsoku/>
              <w:wordWrap/>
              <w:overflowPunct/>
              <w:topLinePunct w:val="0"/>
              <w:bidi w:val="0"/>
              <w:spacing w:line="36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评标方法</w:t>
            </w:r>
          </w:p>
        </w:tc>
        <w:tc>
          <w:tcPr>
            <w:tcW w:w="7618" w:type="dxa"/>
            <w:vAlign w:val="center"/>
          </w:tcPr>
          <w:p w14:paraId="2999C967">
            <w:pPr>
              <w:keepNext w:val="0"/>
              <w:keepLines w:val="0"/>
              <w:pageBreakBefore w:val="0"/>
              <w:widowControl w:val="0"/>
              <w:kinsoku/>
              <w:wordWrap/>
              <w:overflowPunct/>
              <w:topLinePunct w:val="0"/>
              <w:bidi w:val="0"/>
              <w:spacing w:line="360" w:lineRule="exac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综合评分法</w:t>
            </w:r>
          </w:p>
        </w:tc>
      </w:tr>
      <w:tr w14:paraId="3DB355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04" w:type="dxa"/>
            <w:vAlign w:val="center"/>
          </w:tcPr>
          <w:p w14:paraId="06C83424">
            <w:pPr>
              <w:pStyle w:val="29"/>
              <w:keepNext w:val="0"/>
              <w:keepLines w:val="0"/>
              <w:pageBreakBefore w:val="0"/>
              <w:widowControl w:val="0"/>
              <w:kinsoku/>
              <w:wordWrap/>
              <w:overflowPunct/>
              <w:topLinePunct w:val="0"/>
              <w:bidi w:val="0"/>
              <w:spacing w:line="36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4</w:t>
            </w:r>
          </w:p>
        </w:tc>
        <w:tc>
          <w:tcPr>
            <w:tcW w:w="1747" w:type="dxa"/>
            <w:vAlign w:val="center"/>
          </w:tcPr>
          <w:p w14:paraId="2D12E691">
            <w:pPr>
              <w:pStyle w:val="29"/>
              <w:keepNext w:val="0"/>
              <w:keepLines w:val="0"/>
              <w:pageBreakBefore w:val="0"/>
              <w:widowControl w:val="0"/>
              <w:kinsoku/>
              <w:wordWrap/>
              <w:overflowPunct/>
              <w:topLinePunct w:val="0"/>
              <w:bidi w:val="0"/>
              <w:spacing w:line="36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最高限价</w:t>
            </w:r>
          </w:p>
        </w:tc>
        <w:tc>
          <w:tcPr>
            <w:tcW w:w="7618" w:type="dxa"/>
            <w:vAlign w:val="center"/>
          </w:tcPr>
          <w:p w14:paraId="76A298C7">
            <w:pPr>
              <w:pStyle w:val="152"/>
              <w:keepNext w:val="0"/>
              <w:keepLines w:val="0"/>
              <w:pageBreakBefore w:val="0"/>
              <w:widowControl w:val="0"/>
              <w:kinsoku/>
              <w:wordWrap/>
              <w:overflowPunct/>
              <w:topLinePunct w:val="0"/>
              <w:bidi w:val="0"/>
              <w:spacing w:line="360" w:lineRule="exact"/>
              <w:ind w:firstLine="0" w:firstLineChars="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本次采购按单价招标，数量按实结算，最高单价限价为人民币壹仟贰佰元每人每年（¥1200.00/人/年），</w:t>
            </w:r>
            <w:r>
              <w:rPr>
                <w:rFonts w:hint="eastAsia" w:ascii="仿宋" w:hAnsi="仿宋" w:eastAsia="仿宋" w:cs="仿宋"/>
                <w:color w:val="auto"/>
                <w:sz w:val="24"/>
                <w:szCs w:val="24"/>
                <w:highlight w:val="none"/>
              </w:rPr>
              <w:t>任何超过最高</w:t>
            </w:r>
            <w:r>
              <w:rPr>
                <w:rFonts w:hint="eastAsia" w:ascii="仿宋" w:hAnsi="仿宋" w:eastAsia="仿宋" w:cs="仿宋"/>
                <w:color w:val="auto"/>
                <w:sz w:val="24"/>
                <w:szCs w:val="24"/>
                <w:highlight w:val="none"/>
                <w:lang w:val="en-US" w:eastAsia="zh-CN"/>
              </w:rPr>
              <w:t>单价</w:t>
            </w:r>
            <w:r>
              <w:rPr>
                <w:rFonts w:hint="eastAsia" w:ascii="仿宋" w:hAnsi="仿宋" w:eastAsia="仿宋" w:cs="仿宋"/>
                <w:color w:val="auto"/>
                <w:sz w:val="24"/>
                <w:szCs w:val="24"/>
                <w:highlight w:val="none"/>
              </w:rPr>
              <w:t>限价的报价将被认定为无效报价</w:t>
            </w:r>
            <w:r>
              <w:rPr>
                <w:rFonts w:hint="eastAsia" w:ascii="仿宋" w:hAnsi="仿宋" w:eastAsia="仿宋" w:cs="仿宋"/>
                <w:color w:val="auto"/>
                <w:sz w:val="24"/>
                <w:szCs w:val="24"/>
                <w:highlight w:val="none"/>
                <w:lang w:eastAsia="zh-CN"/>
              </w:rPr>
              <w:t>。</w:t>
            </w:r>
          </w:p>
        </w:tc>
      </w:tr>
      <w:tr w14:paraId="1A7006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673D9A27">
            <w:pPr>
              <w:pStyle w:val="29"/>
              <w:keepNext w:val="0"/>
              <w:keepLines w:val="0"/>
              <w:pageBreakBefore w:val="0"/>
              <w:widowControl w:val="0"/>
              <w:kinsoku/>
              <w:wordWrap/>
              <w:overflowPunct/>
              <w:topLinePunct w:val="0"/>
              <w:bidi w:val="0"/>
              <w:spacing w:line="36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5</w:t>
            </w:r>
          </w:p>
        </w:tc>
        <w:tc>
          <w:tcPr>
            <w:tcW w:w="1747" w:type="dxa"/>
            <w:vAlign w:val="center"/>
          </w:tcPr>
          <w:p w14:paraId="0F595A5B">
            <w:pPr>
              <w:pStyle w:val="29"/>
              <w:keepNext w:val="0"/>
              <w:keepLines w:val="0"/>
              <w:pageBreakBefore w:val="0"/>
              <w:widowControl w:val="0"/>
              <w:kinsoku/>
              <w:wordWrap/>
              <w:overflowPunct/>
              <w:topLinePunct w:val="0"/>
              <w:bidi w:val="0"/>
              <w:spacing w:line="36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投标人（供应商）资格要求</w:t>
            </w:r>
          </w:p>
        </w:tc>
        <w:tc>
          <w:tcPr>
            <w:tcW w:w="7618" w:type="dxa"/>
            <w:vAlign w:val="center"/>
          </w:tcPr>
          <w:p w14:paraId="5DE8A835">
            <w:pPr>
              <w:pStyle w:val="29"/>
              <w:keepNext w:val="0"/>
              <w:keepLines w:val="0"/>
              <w:pageBreakBefore w:val="0"/>
              <w:widowControl w:val="0"/>
              <w:kinsoku/>
              <w:wordWrap/>
              <w:overflowPunct/>
              <w:topLinePunct w:val="0"/>
              <w:bidi w:val="0"/>
              <w:spacing w:line="360" w:lineRule="exact"/>
              <w:jc w:val="left"/>
              <w:textAlignment w:val="auto"/>
              <w:rPr>
                <w:rFonts w:ascii="仿宋" w:hAnsi="仿宋" w:eastAsia="仿宋" w:cs="仿宋"/>
                <w:b/>
                <w:color w:val="auto"/>
                <w:szCs w:val="24"/>
                <w:highlight w:val="none"/>
              </w:rPr>
            </w:pPr>
            <w:r>
              <w:rPr>
                <w:rFonts w:hint="eastAsia" w:ascii="仿宋" w:hAnsi="仿宋" w:eastAsia="仿宋" w:cs="仿宋"/>
                <w:color w:val="auto"/>
                <w:szCs w:val="24"/>
                <w:highlight w:val="none"/>
              </w:rPr>
              <w:t>详见《第一章 招标公告》</w:t>
            </w:r>
          </w:p>
        </w:tc>
      </w:tr>
      <w:tr w14:paraId="05127F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704" w:type="dxa"/>
            <w:vAlign w:val="center"/>
          </w:tcPr>
          <w:p w14:paraId="72502133">
            <w:pPr>
              <w:pStyle w:val="29"/>
              <w:keepNext w:val="0"/>
              <w:keepLines w:val="0"/>
              <w:pageBreakBefore w:val="0"/>
              <w:widowControl w:val="0"/>
              <w:kinsoku/>
              <w:wordWrap/>
              <w:overflowPunct/>
              <w:topLinePunct w:val="0"/>
              <w:bidi w:val="0"/>
              <w:spacing w:line="36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6</w:t>
            </w:r>
          </w:p>
        </w:tc>
        <w:tc>
          <w:tcPr>
            <w:tcW w:w="1747" w:type="dxa"/>
            <w:vAlign w:val="center"/>
          </w:tcPr>
          <w:p w14:paraId="3D64EB38">
            <w:pPr>
              <w:pStyle w:val="29"/>
              <w:keepNext w:val="0"/>
              <w:keepLines w:val="0"/>
              <w:pageBreakBefore w:val="0"/>
              <w:widowControl w:val="0"/>
              <w:kinsoku/>
              <w:wordWrap/>
              <w:overflowPunct/>
              <w:topLinePunct w:val="0"/>
              <w:bidi w:val="0"/>
              <w:spacing w:line="36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是否接受联合体投标</w:t>
            </w:r>
          </w:p>
        </w:tc>
        <w:tc>
          <w:tcPr>
            <w:tcW w:w="7618" w:type="dxa"/>
            <w:vAlign w:val="center"/>
          </w:tcPr>
          <w:p w14:paraId="58A2F207">
            <w:pPr>
              <w:keepNext w:val="0"/>
              <w:keepLines w:val="0"/>
              <w:pageBreakBefore w:val="0"/>
              <w:widowControl w:val="0"/>
              <w:kinsoku/>
              <w:wordWrap/>
              <w:overflowPunct/>
              <w:topLinePunct w:val="0"/>
              <w:autoSpaceDE/>
              <w:autoSpaceDN/>
              <w:bidi w:val="0"/>
              <w:adjustRightInd/>
              <w:spacing w:line="360" w:lineRule="exac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w:t>
            </w:r>
            <w:r>
              <w:rPr>
                <w:rFonts w:hint="eastAsia" w:ascii="仿宋" w:hAnsi="仿宋" w:eastAsia="仿宋" w:cs="仿宋"/>
                <w:b/>
                <w:bCs/>
                <w:color w:val="auto"/>
                <w:sz w:val="24"/>
                <w:szCs w:val="24"/>
                <w:highlight w:val="none"/>
                <w:u w:val="single"/>
                <w:lang w:val="en-US" w:eastAsia="zh-CN"/>
              </w:rPr>
              <w:t>不</w:t>
            </w:r>
            <w:r>
              <w:rPr>
                <w:rFonts w:hint="eastAsia" w:ascii="仿宋" w:hAnsi="仿宋" w:eastAsia="仿宋" w:cs="仿宋"/>
                <w:b w:val="0"/>
                <w:bCs w:val="0"/>
                <w:color w:val="auto"/>
                <w:sz w:val="24"/>
                <w:szCs w:val="24"/>
                <w:highlight w:val="none"/>
                <w:u w:val="none"/>
              </w:rPr>
              <w:t>接收</w:t>
            </w:r>
            <w:r>
              <w:rPr>
                <w:rFonts w:hint="eastAsia" w:ascii="仿宋" w:hAnsi="仿宋" w:eastAsia="仿宋" w:cs="仿宋"/>
                <w:color w:val="auto"/>
                <w:sz w:val="24"/>
                <w:szCs w:val="24"/>
                <w:highlight w:val="none"/>
              </w:rPr>
              <w:t>联合体投标</w:t>
            </w:r>
          </w:p>
        </w:tc>
      </w:tr>
      <w:tr w14:paraId="6FD11A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63DC6BDD">
            <w:pPr>
              <w:pStyle w:val="29"/>
              <w:keepNext w:val="0"/>
              <w:keepLines w:val="0"/>
              <w:pageBreakBefore w:val="0"/>
              <w:widowControl w:val="0"/>
              <w:kinsoku/>
              <w:wordWrap/>
              <w:overflowPunct/>
              <w:topLinePunct w:val="0"/>
              <w:bidi w:val="0"/>
              <w:spacing w:line="36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7</w:t>
            </w:r>
          </w:p>
        </w:tc>
        <w:tc>
          <w:tcPr>
            <w:tcW w:w="1747" w:type="dxa"/>
            <w:vAlign w:val="center"/>
          </w:tcPr>
          <w:p w14:paraId="4A620839">
            <w:pPr>
              <w:pStyle w:val="29"/>
              <w:keepNext w:val="0"/>
              <w:keepLines w:val="0"/>
              <w:pageBreakBefore w:val="0"/>
              <w:widowControl w:val="0"/>
              <w:kinsoku/>
              <w:wordWrap/>
              <w:overflowPunct/>
              <w:topLinePunct w:val="0"/>
              <w:bidi w:val="0"/>
              <w:spacing w:line="36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标的划分</w:t>
            </w:r>
          </w:p>
        </w:tc>
        <w:tc>
          <w:tcPr>
            <w:tcW w:w="7618" w:type="dxa"/>
            <w:vAlign w:val="center"/>
          </w:tcPr>
          <w:p w14:paraId="5A9DFCFF">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eq \o\ac(□,</w:instrText>
            </w:r>
            <w:r>
              <w:rPr>
                <w:rFonts w:hint="eastAsia" w:ascii="仿宋" w:hAnsi="仿宋" w:eastAsia="仿宋" w:cs="仿宋"/>
                <w:color w:val="auto"/>
                <w:position w:val="2"/>
                <w:sz w:val="16"/>
                <w:szCs w:val="24"/>
                <w:highlight w:val="none"/>
              </w:rPr>
              <w:instrText xml:space="preserve">√</w:instrText>
            </w:r>
            <w:r>
              <w:rPr>
                <w:rFonts w:hint="eastAsia" w:ascii="仿宋" w:hAnsi="仿宋" w:eastAsia="仿宋" w:cs="仿宋"/>
                <w:color w:val="auto"/>
                <w:sz w:val="24"/>
                <w:szCs w:val="24"/>
                <w:highlight w:val="none"/>
              </w:rPr>
              <w:instrText xml:space="preserve">)</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本次招标采购共分</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1</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个标的，采购人将整体择定中标人</w:t>
            </w:r>
            <w:r>
              <w:rPr>
                <w:rFonts w:hint="eastAsia" w:ascii="仿宋" w:hAnsi="仿宋" w:eastAsia="仿宋" w:cs="仿宋"/>
                <w:color w:val="auto"/>
                <w:sz w:val="24"/>
                <w:szCs w:val="24"/>
                <w:highlight w:val="none"/>
                <w:lang w:eastAsia="zh-CN"/>
              </w:rPr>
              <w:t>。</w:t>
            </w:r>
          </w:p>
        </w:tc>
      </w:tr>
      <w:tr w14:paraId="5745E0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028B5B90">
            <w:pPr>
              <w:pStyle w:val="29"/>
              <w:keepNext w:val="0"/>
              <w:keepLines w:val="0"/>
              <w:pageBreakBefore w:val="0"/>
              <w:widowControl w:val="0"/>
              <w:kinsoku/>
              <w:wordWrap/>
              <w:overflowPunct/>
              <w:topLinePunct w:val="0"/>
              <w:bidi w:val="0"/>
              <w:spacing w:line="36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8</w:t>
            </w:r>
          </w:p>
        </w:tc>
        <w:tc>
          <w:tcPr>
            <w:tcW w:w="1747" w:type="dxa"/>
            <w:vAlign w:val="center"/>
          </w:tcPr>
          <w:p w14:paraId="3638E1DC">
            <w:pPr>
              <w:pStyle w:val="29"/>
              <w:keepNext w:val="0"/>
              <w:keepLines w:val="0"/>
              <w:pageBreakBefore w:val="0"/>
              <w:widowControl w:val="0"/>
              <w:kinsoku/>
              <w:wordWrap/>
              <w:overflowPunct/>
              <w:topLinePunct w:val="0"/>
              <w:bidi w:val="0"/>
              <w:spacing w:line="360" w:lineRule="exact"/>
              <w:jc w:val="center"/>
              <w:textAlignment w:val="auto"/>
              <w:rPr>
                <w:rFonts w:ascii="仿宋" w:hAnsi="仿宋" w:eastAsia="仿宋" w:cs="仿宋"/>
                <w:b/>
                <w:color w:val="auto"/>
                <w:highlight w:val="none"/>
              </w:rPr>
            </w:pPr>
            <w:r>
              <w:rPr>
                <w:rFonts w:hint="eastAsia" w:ascii="仿宋" w:hAnsi="仿宋" w:eastAsia="仿宋" w:cs="仿宋"/>
                <w:b/>
                <w:color w:val="auto"/>
                <w:szCs w:val="24"/>
                <w:highlight w:val="none"/>
              </w:rPr>
              <w:t>资格审查方式</w:t>
            </w:r>
          </w:p>
        </w:tc>
        <w:tc>
          <w:tcPr>
            <w:tcW w:w="7618" w:type="dxa"/>
            <w:vAlign w:val="center"/>
          </w:tcPr>
          <w:p w14:paraId="1CBBDB6D">
            <w:pPr>
              <w:keepNext w:val="0"/>
              <w:keepLines w:val="0"/>
              <w:pageBreakBefore w:val="0"/>
              <w:widowControl w:val="0"/>
              <w:kinsoku/>
              <w:wordWrap/>
              <w:overflowPunct/>
              <w:topLinePunct w:val="0"/>
              <w:bidi w:val="0"/>
              <w:snapToGrid w:val="0"/>
              <w:spacing w:line="36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rPr>
              <w:t>资格后审，由</w:t>
            </w:r>
            <w:r>
              <w:rPr>
                <w:rFonts w:hint="eastAsia" w:ascii="仿宋" w:hAnsi="仿宋" w:eastAsia="仿宋" w:cs="仿宋"/>
                <w:color w:val="auto"/>
                <w:kern w:val="2"/>
                <w:sz w:val="24"/>
                <w:szCs w:val="24"/>
                <w:highlight w:val="none"/>
              </w:rPr>
              <w:t>采购人或委托采购代理机构对投标人进行资格审查</w:t>
            </w:r>
            <w:r>
              <w:rPr>
                <w:rFonts w:hint="eastAsia" w:ascii="仿宋" w:hAnsi="仿宋" w:eastAsia="仿宋" w:cs="仿宋"/>
                <w:color w:val="auto"/>
                <w:kern w:val="2"/>
                <w:sz w:val="24"/>
                <w:szCs w:val="24"/>
                <w:highlight w:val="none"/>
                <w:lang w:eastAsia="zh-CN"/>
              </w:rPr>
              <w:t>。</w:t>
            </w:r>
          </w:p>
        </w:tc>
      </w:tr>
      <w:tr w14:paraId="71ED5E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704" w:type="dxa"/>
            <w:vAlign w:val="center"/>
          </w:tcPr>
          <w:p w14:paraId="79092F1E">
            <w:pPr>
              <w:pStyle w:val="29"/>
              <w:keepNext w:val="0"/>
              <w:keepLines w:val="0"/>
              <w:pageBreakBefore w:val="0"/>
              <w:widowControl w:val="0"/>
              <w:kinsoku/>
              <w:wordWrap/>
              <w:overflowPunct/>
              <w:topLinePunct w:val="0"/>
              <w:bidi w:val="0"/>
              <w:spacing w:line="36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9</w:t>
            </w:r>
          </w:p>
        </w:tc>
        <w:tc>
          <w:tcPr>
            <w:tcW w:w="1747" w:type="dxa"/>
            <w:vAlign w:val="center"/>
          </w:tcPr>
          <w:p w14:paraId="64EAC118">
            <w:pPr>
              <w:pStyle w:val="29"/>
              <w:keepNext w:val="0"/>
              <w:keepLines w:val="0"/>
              <w:pageBreakBefore w:val="0"/>
              <w:widowControl w:val="0"/>
              <w:kinsoku/>
              <w:wordWrap/>
              <w:overflowPunct/>
              <w:topLinePunct w:val="0"/>
              <w:bidi w:val="0"/>
              <w:spacing w:line="360" w:lineRule="exact"/>
              <w:jc w:val="center"/>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招标文件的</w:t>
            </w:r>
          </w:p>
          <w:p w14:paraId="565CF7FE">
            <w:pPr>
              <w:pStyle w:val="29"/>
              <w:keepNext w:val="0"/>
              <w:keepLines w:val="0"/>
              <w:pageBreakBefore w:val="0"/>
              <w:widowControl w:val="0"/>
              <w:kinsoku/>
              <w:wordWrap/>
              <w:overflowPunct/>
              <w:topLinePunct w:val="0"/>
              <w:bidi w:val="0"/>
              <w:spacing w:line="360" w:lineRule="exact"/>
              <w:jc w:val="center"/>
              <w:textAlignment w:val="auto"/>
              <w:rPr>
                <w:rFonts w:ascii="仿宋" w:hAnsi="仿宋" w:eastAsia="仿宋" w:cs="仿宋"/>
                <w:b/>
                <w:color w:val="auto"/>
                <w:highlight w:val="none"/>
              </w:rPr>
            </w:pPr>
            <w:r>
              <w:rPr>
                <w:rFonts w:hint="eastAsia" w:ascii="仿宋" w:hAnsi="仿宋" w:eastAsia="仿宋" w:cs="仿宋"/>
                <w:b/>
                <w:color w:val="auto"/>
                <w:szCs w:val="24"/>
                <w:highlight w:val="none"/>
              </w:rPr>
              <w:t>获取</w:t>
            </w:r>
          </w:p>
        </w:tc>
        <w:tc>
          <w:tcPr>
            <w:tcW w:w="7618" w:type="dxa"/>
            <w:vAlign w:val="center"/>
          </w:tcPr>
          <w:p w14:paraId="17B9114C">
            <w:pPr>
              <w:keepNext w:val="0"/>
              <w:keepLines w:val="0"/>
              <w:pageBreakBefore w:val="0"/>
              <w:widowControl w:val="0"/>
              <w:kinsoku/>
              <w:wordWrap/>
              <w:overflowPunct/>
              <w:topLinePunct w:val="0"/>
              <w:bidi w:val="0"/>
              <w:spacing w:line="360" w:lineRule="exact"/>
              <w:textAlignment w:val="auto"/>
              <w:rPr>
                <w:rFonts w:ascii="仿宋" w:hAnsi="仿宋" w:eastAsia="仿宋" w:cs="仿宋"/>
                <w:color w:val="auto"/>
                <w:sz w:val="24"/>
                <w:highlight w:val="none"/>
              </w:rPr>
            </w:pPr>
            <w:r>
              <w:rPr>
                <w:rFonts w:hint="eastAsia" w:ascii="仿宋" w:hAnsi="仿宋" w:eastAsia="仿宋" w:cs="仿宋"/>
                <w:color w:val="auto"/>
                <w:kern w:val="2"/>
                <w:sz w:val="24"/>
                <w:szCs w:val="24"/>
                <w:highlight w:val="none"/>
              </w:rPr>
              <w:t>详见《第一章 招标公告》</w:t>
            </w:r>
          </w:p>
        </w:tc>
      </w:tr>
      <w:tr w14:paraId="794162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704" w:type="dxa"/>
            <w:vAlign w:val="center"/>
          </w:tcPr>
          <w:p w14:paraId="27A90DC9">
            <w:pPr>
              <w:pStyle w:val="29"/>
              <w:keepNext w:val="0"/>
              <w:keepLines w:val="0"/>
              <w:pageBreakBefore w:val="0"/>
              <w:widowControl w:val="0"/>
              <w:kinsoku/>
              <w:wordWrap/>
              <w:overflowPunct/>
              <w:topLinePunct w:val="0"/>
              <w:bidi w:val="0"/>
              <w:spacing w:line="36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10</w:t>
            </w:r>
          </w:p>
        </w:tc>
        <w:tc>
          <w:tcPr>
            <w:tcW w:w="1747" w:type="dxa"/>
            <w:vAlign w:val="center"/>
          </w:tcPr>
          <w:p w14:paraId="7AFF3946">
            <w:pPr>
              <w:pStyle w:val="29"/>
              <w:keepNext w:val="0"/>
              <w:keepLines w:val="0"/>
              <w:pageBreakBefore w:val="0"/>
              <w:widowControl w:val="0"/>
              <w:kinsoku/>
              <w:wordWrap/>
              <w:overflowPunct/>
              <w:topLinePunct w:val="0"/>
              <w:bidi w:val="0"/>
              <w:spacing w:line="360" w:lineRule="exact"/>
              <w:jc w:val="center"/>
              <w:textAlignment w:val="auto"/>
              <w:rPr>
                <w:rFonts w:ascii="仿宋" w:hAnsi="仿宋" w:eastAsia="仿宋" w:cs="仿宋"/>
                <w:b/>
                <w:color w:val="auto"/>
                <w:highlight w:val="none"/>
              </w:rPr>
            </w:pPr>
            <w:r>
              <w:rPr>
                <w:rFonts w:hint="eastAsia" w:ascii="仿宋" w:hAnsi="仿宋" w:eastAsia="仿宋" w:cs="仿宋"/>
                <w:b/>
                <w:color w:val="auto"/>
                <w:szCs w:val="24"/>
                <w:highlight w:val="none"/>
              </w:rPr>
              <w:t>投标保证金</w:t>
            </w:r>
          </w:p>
        </w:tc>
        <w:tc>
          <w:tcPr>
            <w:tcW w:w="7618" w:type="dxa"/>
            <w:vAlign w:val="center"/>
          </w:tcPr>
          <w:p w14:paraId="76F3D50F">
            <w:pPr>
              <w:keepNext w:val="0"/>
              <w:keepLines w:val="0"/>
              <w:pageBreakBefore w:val="0"/>
              <w:widowControl w:val="0"/>
              <w:kinsoku/>
              <w:wordWrap/>
              <w:overflowPunct/>
              <w:topLinePunct w:val="0"/>
              <w:autoSpaceDE/>
              <w:autoSpaceDN/>
              <w:bidi w:val="0"/>
              <w:adjustRightInd/>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本项目免收投标保证金</w:t>
            </w:r>
          </w:p>
        </w:tc>
      </w:tr>
      <w:tr w14:paraId="76AFA6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704" w:type="dxa"/>
            <w:vAlign w:val="center"/>
          </w:tcPr>
          <w:p w14:paraId="5A2E8C1B">
            <w:pPr>
              <w:pStyle w:val="29"/>
              <w:keepNext w:val="0"/>
              <w:keepLines w:val="0"/>
              <w:pageBreakBefore w:val="0"/>
              <w:widowControl w:val="0"/>
              <w:kinsoku/>
              <w:wordWrap/>
              <w:overflowPunct/>
              <w:topLinePunct w:val="0"/>
              <w:bidi w:val="0"/>
              <w:spacing w:line="36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11</w:t>
            </w:r>
          </w:p>
        </w:tc>
        <w:tc>
          <w:tcPr>
            <w:tcW w:w="1747" w:type="dxa"/>
            <w:vAlign w:val="center"/>
          </w:tcPr>
          <w:p w14:paraId="240AD23F">
            <w:pPr>
              <w:pStyle w:val="29"/>
              <w:keepNext w:val="0"/>
              <w:keepLines w:val="0"/>
              <w:pageBreakBefore w:val="0"/>
              <w:widowControl w:val="0"/>
              <w:kinsoku/>
              <w:wordWrap/>
              <w:overflowPunct/>
              <w:topLinePunct w:val="0"/>
              <w:bidi w:val="0"/>
              <w:spacing w:line="36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资格文件</w:t>
            </w:r>
          </w:p>
        </w:tc>
        <w:tc>
          <w:tcPr>
            <w:tcW w:w="7618" w:type="dxa"/>
            <w:vAlign w:val="center"/>
          </w:tcPr>
          <w:p w14:paraId="68CDA4EB">
            <w:pPr>
              <w:keepNext w:val="0"/>
              <w:keepLines w:val="0"/>
              <w:pageBreakBefore w:val="0"/>
              <w:widowControl w:val="0"/>
              <w:kinsoku/>
              <w:wordWrap/>
              <w:overflowPunct/>
              <w:topLinePunct w:val="0"/>
              <w:bidi w:val="0"/>
              <w:snapToGrid w:val="0"/>
              <w:spacing w:line="360" w:lineRule="exact"/>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（1）营业执照复印件（加盖单位公章）；</w:t>
            </w:r>
          </w:p>
          <w:p w14:paraId="3835D06A">
            <w:pPr>
              <w:keepNext w:val="0"/>
              <w:keepLines w:val="0"/>
              <w:pageBreakBefore w:val="0"/>
              <w:widowControl w:val="0"/>
              <w:kinsoku/>
              <w:wordWrap/>
              <w:overflowPunct/>
              <w:topLinePunct w:val="0"/>
              <w:bidi w:val="0"/>
              <w:snapToGrid w:val="0"/>
              <w:spacing w:line="360" w:lineRule="exact"/>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（2）符合参与采购活动资格条件的承诺函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格式见第六章</w:t>
            </w:r>
            <w:r>
              <w:rPr>
                <w:rFonts w:hint="eastAsia" w:ascii="仿宋" w:hAnsi="仿宋" w:eastAsia="仿宋" w:cs="仿宋"/>
                <w:color w:val="auto"/>
                <w:sz w:val="24"/>
                <w:szCs w:val="24"/>
                <w:highlight w:val="none"/>
                <w:lang w:eastAsia="zh-CN"/>
              </w:rPr>
              <w:t>）；</w:t>
            </w:r>
          </w:p>
          <w:p w14:paraId="098B023C">
            <w:pPr>
              <w:keepNext w:val="0"/>
              <w:keepLines w:val="0"/>
              <w:pageBreakBefore w:val="0"/>
              <w:widowControl w:val="0"/>
              <w:kinsoku/>
              <w:wordWrap/>
              <w:overflowPunct/>
              <w:topLinePunct w:val="0"/>
              <w:bidi w:val="0"/>
              <w:snapToGrid w:val="0"/>
              <w:spacing w:line="360" w:lineRule="exact"/>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授权委托书》（说明：法定代表人（或单位负责人）亲自参加的，只需提供法定代表人（或单位负责人）身份证（正反面）复印件并加盖单位公章；法定代表人（或单位负责人）授权委托代表参加的，需提供授权委托书，</w:t>
            </w:r>
            <w:r>
              <w:rPr>
                <w:rFonts w:hint="eastAsia" w:ascii="仿宋" w:hAnsi="仿宋" w:eastAsia="仿宋" w:cs="仿宋"/>
                <w:color w:val="auto"/>
                <w:sz w:val="24"/>
                <w:szCs w:val="24"/>
                <w:highlight w:val="none"/>
                <w:u w:val="none"/>
              </w:rPr>
              <w:t>格式见第六章</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highlight w:val="none"/>
              </w:rPr>
              <w:t>需提供授权代表</w:t>
            </w:r>
            <w:r>
              <w:rPr>
                <w:rFonts w:hint="eastAsia" w:ascii="仿宋" w:hAnsi="仿宋" w:eastAsia="仿宋" w:cs="仿宋"/>
                <w:color w:val="auto"/>
                <w:sz w:val="24"/>
                <w:highlight w:val="none"/>
                <w:lang w:val="en-US" w:eastAsia="zh-CN"/>
              </w:rPr>
              <w:t>近3个月</w:t>
            </w:r>
            <w:r>
              <w:rPr>
                <w:rFonts w:hint="eastAsia" w:ascii="仿宋" w:hAnsi="仿宋" w:eastAsia="仿宋" w:cs="仿宋"/>
                <w:color w:val="auto"/>
                <w:sz w:val="24"/>
                <w:highlight w:val="none"/>
              </w:rPr>
              <w:t>社保证明材料</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rPr>
              <w:t>；</w:t>
            </w:r>
          </w:p>
          <w:p w14:paraId="1AC42F52">
            <w:pPr>
              <w:pStyle w:val="29"/>
              <w:keepNext w:val="0"/>
              <w:keepLines w:val="0"/>
              <w:pageBreakBefore w:val="0"/>
              <w:widowControl w:val="0"/>
              <w:kinsoku/>
              <w:wordWrap/>
              <w:overflowPunct/>
              <w:topLinePunct w:val="0"/>
              <w:bidi w:val="0"/>
              <w:spacing w:line="360" w:lineRule="exact"/>
              <w:textAlignment w:val="auto"/>
              <w:rPr>
                <w:rFonts w:ascii="仿宋" w:hAnsi="仿宋" w:eastAsia="仿宋" w:cs="仿宋"/>
                <w:color w:val="auto"/>
                <w:szCs w:val="24"/>
                <w:highlight w:val="none"/>
              </w:rPr>
            </w:pPr>
            <w:r>
              <w:rPr>
                <w:rFonts w:hint="eastAsia" w:ascii="仿宋" w:hAnsi="仿宋" w:eastAsia="仿宋" w:cs="仿宋"/>
                <w:bCs/>
                <w:color w:val="auto"/>
                <w:highlight w:val="none"/>
              </w:rPr>
              <w:t>（</w:t>
            </w:r>
            <w:r>
              <w:rPr>
                <w:rFonts w:hint="eastAsia" w:ascii="仿宋" w:hAnsi="仿宋" w:eastAsia="仿宋" w:cs="仿宋"/>
                <w:bCs/>
                <w:color w:val="auto"/>
                <w:highlight w:val="none"/>
                <w:lang w:val="en-US" w:eastAsia="zh-CN"/>
              </w:rPr>
              <w:t>4</w:t>
            </w:r>
            <w:r>
              <w:rPr>
                <w:rFonts w:hint="eastAsia" w:ascii="仿宋" w:hAnsi="仿宋" w:eastAsia="仿宋" w:cs="仿宋"/>
                <w:color w:val="auto"/>
                <w:szCs w:val="24"/>
                <w:highlight w:val="none"/>
              </w:rPr>
              <w:t>）提供自招标公告发布之日起至投标截止日内任意时间的“信用中国”网站（www.creditchina.gov.cn）、中国政府采购网（www.ccgp.gov.cn）投标人信用查询网页截图。（以开标当日采购人或由采购人委托的评标委员会核实的查询结果为准）；</w:t>
            </w:r>
          </w:p>
          <w:p w14:paraId="357BAF53">
            <w:pPr>
              <w:keepNext w:val="0"/>
              <w:keepLines w:val="0"/>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5</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提供</w:t>
            </w:r>
            <w:r>
              <w:rPr>
                <w:rFonts w:hint="eastAsia" w:ascii="仿宋" w:hAnsi="仿宋" w:eastAsia="仿宋" w:cs="仿宋"/>
                <w:color w:val="auto"/>
                <w:sz w:val="24"/>
                <w:szCs w:val="24"/>
                <w:highlight w:val="none"/>
                <w:lang w:val="en-US" w:eastAsia="zh-CN"/>
              </w:rPr>
              <w:t>保险监督管理机构核准颁发的《经营保险业务许可证》复印件，范围须包含责任险、意外险、健康险。</w:t>
            </w:r>
          </w:p>
          <w:p w14:paraId="78C137C8">
            <w:pPr>
              <w:keepNext w:val="0"/>
              <w:keepLines w:val="0"/>
              <w:pageBreakBefore w:val="0"/>
              <w:widowControl w:val="0"/>
              <w:kinsoku/>
              <w:wordWrap/>
              <w:overflowPunct/>
              <w:topLinePunct w:val="0"/>
              <w:autoSpaceDE/>
              <w:autoSpaceDN/>
              <w:bidi w:val="0"/>
              <w:spacing w:line="360" w:lineRule="exact"/>
              <w:textAlignment w:val="auto"/>
              <w:rPr>
                <w:rFonts w:ascii="仿宋" w:hAnsi="仿宋" w:eastAsia="仿宋" w:cs="仿宋"/>
                <w:b/>
                <w:color w:val="auto"/>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kern w:val="2"/>
                <w:sz w:val="24"/>
                <w:szCs w:val="24"/>
                <w:highlight w:val="none"/>
              </w:rPr>
              <w:t>其他资格证书（如需要，加盖单位公章）。</w:t>
            </w:r>
          </w:p>
        </w:tc>
      </w:tr>
      <w:tr w14:paraId="27B63B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704" w:type="dxa"/>
            <w:vAlign w:val="center"/>
          </w:tcPr>
          <w:p w14:paraId="58126253">
            <w:pPr>
              <w:pStyle w:val="29"/>
              <w:keepNext w:val="0"/>
              <w:keepLines w:val="0"/>
              <w:pageBreakBefore w:val="0"/>
              <w:widowControl w:val="0"/>
              <w:kinsoku/>
              <w:wordWrap/>
              <w:overflowPunct/>
              <w:topLinePunct w:val="0"/>
              <w:bidi w:val="0"/>
              <w:spacing w:line="360" w:lineRule="exact"/>
              <w:jc w:val="center"/>
              <w:textAlignment w:val="auto"/>
              <w:rPr>
                <w:rFonts w:hint="default" w:ascii="仿宋" w:hAnsi="仿宋" w:eastAsia="仿宋" w:cs="仿宋"/>
                <w:b/>
                <w:color w:val="auto"/>
                <w:szCs w:val="24"/>
                <w:highlight w:val="none"/>
                <w:lang w:val="en-US" w:eastAsia="zh-CN"/>
              </w:rPr>
            </w:pPr>
            <w:r>
              <w:rPr>
                <w:rFonts w:hint="eastAsia" w:ascii="仿宋" w:hAnsi="仿宋" w:eastAsia="仿宋" w:cs="仿宋"/>
                <w:b/>
                <w:color w:val="auto"/>
                <w:szCs w:val="24"/>
                <w:highlight w:val="none"/>
                <w:lang w:val="en-US" w:eastAsia="zh-CN"/>
              </w:rPr>
              <w:t>12</w:t>
            </w:r>
          </w:p>
        </w:tc>
        <w:tc>
          <w:tcPr>
            <w:tcW w:w="1747" w:type="dxa"/>
            <w:vAlign w:val="center"/>
          </w:tcPr>
          <w:p w14:paraId="37803C40">
            <w:pPr>
              <w:pStyle w:val="29"/>
              <w:keepNext w:val="0"/>
              <w:keepLines w:val="0"/>
              <w:pageBreakBefore w:val="0"/>
              <w:widowControl w:val="0"/>
              <w:kinsoku/>
              <w:wordWrap/>
              <w:overflowPunct/>
              <w:topLinePunct w:val="0"/>
              <w:bidi w:val="0"/>
              <w:spacing w:line="360" w:lineRule="exact"/>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Cs w:val="24"/>
                <w:highlight w:val="none"/>
              </w:rPr>
              <w:t>商务技术文件</w:t>
            </w:r>
          </w:p>
        </w:tc>
        <w:tc>
          <w:tcPr>
            <w:tcW w:w="7618" w:type="dxa"/>
            <w:vAlign w:val="center"/>
          </w:tcPr>
          <w:p w14:paraId="699463BA">
            <w:pPr>
              <w:keepNext w:val="0"/>
              <w:keepLines w:val="0"/>
              <w:pageBreakBefore w:val="0"/>
              <w:widowControl w:val="0"/>
              <w:kinsoku/>
              <w:wordWrap/>
              <w:overflowPunct/>
              <w:topLinePunct w:val="0"/>
              <w:bidi w:val="0"/>
              <w:snapToGrid w:val="0"/>
              <w:spacing w:line="360" w:lineRule="exact"/>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（1）投标人基本情况介绍；</w:t>
            </w:r>
          </w:p>
          <w:p w14:paraId="16AA3D0A">
            <w:pPr>
              <w:keepNext w:val="0"/>
              <w:keepLines w:val="0"/>
              <w:pageBreakBefore w:val="0"/>
              <w:widowControl w:val="0"/>
              <w:kinsoku/>
              <w:wordWrap/>
              <w:overflowPunct/>
              <w:topLinePunct w:val="0"/>
              <w:bidi w:val="0"/>
              <w:snapToGrid w:val="0"/>
              <w:spacing w:line="360" w:lineRule="exact"/>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（2）相关资质证明或文件复印件（如需要，加盖单位公章）；</w:t>
            </w:r>
          </w:p>
          <w:p w14:paraId="57E54F3C">
            <w:pPr>
              <w:keepNext w:val="0"/>
              <w:keepLines w:val="0"/>
              <w:pageBreakBefore w:val="0"/>
              <w:widowControl w:val="0"/>
              <w:kinsoku/>
              <w:wordWrap/>
              <w:overflowPunct/>
              <w:topLinePunct w:val="0"/>
              <w:bidi w:val="0"/>
              <w:snapToGrid w:val="0"/>
              <w:spacing w:line="360" w:lineRule="exact"/>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（3）成功案例和业绩证明（如有）；</w:t>
            </w:r>
          </w:p>
          <w:p w14:paraId="26AA01F8">
            <w:pPr>
              <w:keepNext w:val="0"/>
              <w:keepLines w:val="0"/>
              <w:pageBreakBefore w:val="0"/>
              <w:widowControl w:val="0"/>
              <w:kinsoku/>
              <w:wordWrap/>
              <w:overflowPunct/>
              <w:topLinePunct w:val="0"/>
              <w:bidi w:val="0"/>
              <w:snapToGrid w:val="0"/>
              <w:spacing w:line="360" w:lineRule="exact"/>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（4）对本项目总体要求的理解及投标方案描述，提供服务方案说明（如需要）；</w:t>
            </w:r>
          </w:p>
          <w:p w14:paraId="4C8EF4C6">
            <w:pPr>
              <w:keepNext w:val="0"/>
              <w:keepLines w:val="0"/>
              <w:pageBreakBefore w:val="0"/>
              <w:widowControl w:val="0"/>
              <w:kinsoku/>
              <w:wordWrap/>
              <w:overflowPunct/>
              <w:topLinePunct w:val="0"/>
              <w:bidi w:val="0"/>
              <w:snapToGrid w:val="0"/>
              <w:spacing w:line="360" w:lineRule="exact"/>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（5）技术（服务）偏离表（格式见第六章）；</w:t>
            </w:r>
          </w:p>
          <w:p w14:paraId="0CDDC65E">
            <w:pPr>
              <w:keepNext w:val="0"/>
              <w:keepLines w:val="0"/>
              <w:pageBreakBefore w:val="0"/>
              <w:widowControl w:val="0"/>
              <w:kinsoku/>
              <w:wordWrap/>
              <w:overflowPunct/>
              <w:topLinePunct w:val="0"/>
              <w:bidi w:val="0"/>
              <w:snapToGrid w:val="0"/>
              <w:spacing w:line="360" w:lineRule="exact"/>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（6）评分标准相对应的商务技术资料（按商务技术评分细则的顺序提供评分标准中相对应的商务技术资料）；</w:t>
            </w:r>
          </w:p>
          <w:p w14:paraId="5D7D08E8">
            <w:pPr>
              <w:keepNext w:val="0"/>
              <w:keepLines w:val="0"/>
              <w:pageBreakBefore w:val="0"/>
              <w:widowControl w:val="0"/>
              <w:kinsoku/>
              <w:wordWrap/>
              <w:overflowPunct/>
              <w:topLinePunct w:val="0"/>
              <w:bidi w:val="0"/>
              <w:snapToGrid w:val="0"/>
              <w:spacing w:line="360" w:lineRule="exact"/>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（7）招标文件标明的影响投标人资格的其他证明文件（如实质性响应条款、相关承诺、特别约定内容等）（如需要）；</w:t>
            </w:r>
          </w:p>
          <w:p w14:paraId="04043C93">
            <w:pPr>
              <w:keepNext w:val="0"/>
              <w:keepLines w:val="0"/>
              <w:pageBreakBefore w:val="0"/>
              <w:widowControl w:val="0"/>
              <w:kinsoku/>
              <w:wordWrap/>
              <w:overflowPunct/>
              <w:topLinePunct w:val="0"/>
              <w:bidi w:val="0"/>
              <w:snapToGrid w:val="0"/>
              <w:spacing w:line="360" w:lineRule="exact"/>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（8）投标人需要说明的其他文件和说明（格式自拟）。</w:t>
            </w:r>
          </w:p>
          <w:p w14:paraId="4CC97CDE">
            <w:pPr>
              <w:keepNext w:val="0"/>
              <w:keepLines w:val="0"/>
              <w:pageBreakBefore w:val="0"/>
              <w:widowControl w:val="0"/>
              <w:kinsoku/>
              <w:wordWrap/>
              <w:overflowPunct/>
              <w:topLinePunct w:val="0"/>
              <w:bidi w:val="0"/>
              <w:snapToGrid w:val="0"/>
              <w:spacing w:line="360" w:lineRule="exact"/>
              <w:jc w:val="left"/>
              <w:textAlignment w:val="auto"/>
              <w:rPr>
                <w:rFonts w:hint="eastAsia" w:ascii="仿宋" w:hAnsi="仿宋" w:eastAsia="仿宋" w:cs="仿宋"/>
                <w:b/>
                <w:color w:val="auto"/>
                <w:sz w:val="21"/>
                <w:szCs w:val="24"/>
                <w:highlight w:val="none"/>
                <w:lang w:val="en-US" w:eastAsia="zh-CN" w:bidi="ar-SA"/>
              </w:rPr>
            </w:pPr>
            <w:r>
              <w:rPr>
                <w:rFonts w:hint="eastAsia" w:ascii="仿宋" w:hAnsi="仿宋" w:eastAsia="仿宋" w:cs="宋体"/>
                <w:b/>
                <w:bCs/>
                <w:i w:val="0"/>
                <w:iCs w:val="0"/>
                <w:color w:val="auto"/>
                <w:sz w:val="24"/>
                <w:szCs w:val="24"/>
                <w:highlight w:val="none"/>
                <w:lang w:val="en-US" w:eastAsia="zh-CN"/>
              </w:rPr>
              <w:t>注：投标人需按上述要求（包含但不限于）提供相应材料，投标人在“商务技术文件”中应对招标文件作实质性响应，该项内容将作为评标重</w:t>
            </w:r>
            <w:r>
              <w:rPr>
                <w:rFonts w:hint="eastAsia" w:ascii="仿宋" w:hAnsi="仿宋" w:eastAsia="仿宋" w:cs="仿宋"/>
                <w:b/>
                <w:bCs/>
                <w:color w:val="auto"/>
                <w:sz w:val="24"/>
                <w:szCs w:val="24"/>
                <w:highlight w:val="none"/>
              </w:rPr>
              <w:t>要指标。</w:t>
            </w:r>
          </w:p>
        </w:tc>
      </w:tr>
      <w:tr w14:paraId="45C3B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90" w:hRule="atLeast"/>
          <w:jc w:val="center"/>
        </w:trPr>
        <w:tc>
          <w:tcPr>
            <w:tcW w:w="704" w:type="dxa"/>
            <w:vAlign w:val="center"/>
          </w:tcPr>
          <w:p w14:paraId="0E24D399">
            <w:pPr>
              <w:pStyle w:val="29"/>
              <w:keepNext w:val="0"/>
              <w:keepLines w:val="0"/>
              <w:pageBreakBefore w:val="0"/>
              <w:widowControl w:val="0"/>
              <w:kinsoku/>
              <w:wordWrap/>
              <w:overflowPunct/>
              <w:topLinePunct w:val="0"/>
              <w:bidi w:val="0"/>
              <w:spacing w:line="36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3</w:t>
            </w:r>
          </w:p>
        </w:tc>
        <w:tc>
          <w:tcPr>
            <w:tcW w:w="1747" w:type="dxa"/>
            <w:vAlign w:val="center"/>
          </w:tcPr>
          <w:p w14:paraId="1401E270">
            <w:pPr>
              <w:pStyle w:val="29"/>
              <w:keepNext w:val="0"/>
              <w:keepLines w:val="0"/>
              <w:pageBreakBefore w:val="0"/>
              <w:widowControl w:val="0"/>
              <w:kinsoku/>
              <w:wordWrap/>
              <w:overflowPunct/>
              <w:topLinePunct w:val="0"/>
              <w:bidi w:val="0"/>
              <w:spacing w:line="36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报价</w:t>
            </w:r>
            <w:r>
              <w:rPr>
                <w:rFonts w:hint="eastAsia" w:ascii="仿宋" w:hAnsi="仿宋" w:eastAsia="仿宋" w:cs="仿宋"/>
                <w:b/>
                <w:color w:val="auto"/>
                <w:szCs w:val="24"/>
                <w:highlight w:val="none"/>
              </w:rPr>
              <w:t>文件</w:t>
            </w:r>
          </w:p>
        </w:tc>
        <w:tc>
          <w:tcPr>
            <w:tcW w:w="7618" w:type="dxa"/>
            <w:vAlign w:val="center"/>
          </w:tcPr>
          <w:p w14:paraId="5D67BB92">
            <w:pPr>
              <w:keepNext w:val="0"/>
              <w:keepLines w:val="0"/>
              <w:pageBreakBefore w:val="0"/>
              <w:widowControl w:val="0"/>
              <w:tabs>
                <w:tab w:val="left" w:pos="3870"/>
                <w:tab w:val="left" w:pos="4085"/>
              </w:tabs>
              <w:kinsoku/>
              <w:wordWrap/>
              <w:overflowPunct/>
              <w:topLinePunct w:val="0"/>
              <w:bidi w:val="0"/>
              <w:snapToGrid w:val="0"/>
              <w:spacing w:line="360" w:lineRule="exact"/>
              <w:jc w:val="left"/>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（1）投标函（格式见第六章）；</w:t>
            </w:r>
          </w:p>
          <w:p w14:paraId="4C43D610">
            <w:pPr>
              <w:keepNext w:val="0"/>
              <w:keepLines w:val="0"/>
              <w:pageBreakBefore w:val="0"/>
              <w:widowControl w:val="0"/>
              <w:kinsoku/>
              <w:wordWrap/>
              <w:overflowPunct/>
              <w:topLinePunct w:val="0"/>
              <w:bidi w:val="0"/>
              <w:snapToGrid w:val="0"/>
              <w:spacing w:line="360" w:lineRule="exact"/>
              <w:jc w:val="left"/>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（2）开标一览表（格式见第六章）；</w:t>
            </w:r>
          </w:p>
          <w:p w14:paraId="519D20E5">
            <w:pPr>
              <w:keepNext w:val="0"/>
              <w:keepLines w:val="0"/>
              <w:pageBreakBefore w:val="0"/>
              <w:widowControl w:val="0"/>
              <w:kinsoku/>
              <w:wordWrap/>
              <w:overflowPunct/>
              <w:topLinePunct w:val="0"/>
              <w:bidi w:val="0"/>
              <w:snapToGrid w:val="0"/>
              <w:spacing w:line="360" w:lineRule="exact"/>
              <w:jc w:val="left"/>
              <w:textAlignment w:val="auto"/>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（3）投标承诺书（格式见第六章）</w:t>
            </w:r>
            <w:r>
              <w:rPr>
                <w:rFonts w:hint="eastAsia" w:ascii="仿宋" w:hAnsi="仿宋" w:eastAsia="仿宋"/>
                <w:color w:val="auto"/>
                <w:sz w:val="24"/>
                <w:szCs w:val="24"/>
                <w:highlight w:val="none"/>
                <w:lang w:eastAsia="zh-CN"/>
              </w:rPr>
              <w:t>；</w:t>
            </w:r>
          </w:p>
          <w:p w14:paraId="7A1727BB">
            <w:pPr>
              <w:keepNext w:val="0"/>
              <w:keepLines w:val="0"/>
              <w:pageBreakBefore w:val="0"/>
              <w:widowControl w:val="0"/>
              <w:kinsoku/>
              <w:wordWrap/>
              <w:overflowPunct/>
              <w:topLinePunct w:val="0"/>
              <w:bidi w:val="0"/>
              <w:snapToGrid w:val="0"/>
              <w:spacing w:line="360" w:lineRule="exact"/>
              <w:jc w:val="left"/>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投</w:t>
            </w:r>
            <w:r>
              <w:rPr>
                <w:rFonts w:ascii="仿宋" w:hAnsi="仿宋" w:eastAsia="仿宋"/>
                <w:color w:val="auto"/>
                <w:sz w:val="24"/>
                <w:szCs w:val="24"/>
                <w:highlight w:val="none"/>
              </w:rPr>
              <w:t>标人需要说明的其他文件和说明（格式自拟）</w:t>
            </w:r>
            <w:r>
              <w:rPr>
                <w:rFonts w:hint="eastAsia" w:ascii="仿宋" w:hAnsi="仿宋" w:eastAsia="仿宋"/>
                <w:color w:val="auto"/>
                <w:sz w:val="24"/>
                <w:szCs w:val="24"/>
                <w:highlight w:val="none"/>
              </w:rPr>
              <w:t>。</w:t>
            </w:r>
          </w:p>
          <w:p w14:paraId="5E09B93C">
            <w:pPr>
              <w:keepNext w:val="0"/>
              <w:keepLines w:val="0"/>
              <w:pageBreakBefore w:val="0"/>
              <w:widowControl w:val="0"/>
              <w:kinsoku/>
              <w:wordWrap/>
              <w:overflowPunct/>
              <w:topLinePunct w:val="0"/>
              <w:bidi w:val="0"/>
              <w:snapToGrid w:val="0"/>
              <w:spacing w:line="360" w:lineRule="exact"/>
              <w:jc w:val="left"/>
              <w:textAlignment w:val="auto"/>
              <w:rPr>
                <w:rFonts w:ascii="仿宋" w:hAnsi="仿宋" w:eastAsia="仿宋" w:cs="仿宋"/>
                <w:b/>
                <w:color w:val="auto"/>
                <w:szCs w:val="24"/>
                <w:highlight w:val="none"/>
              </w:rPr>
            </w:pPr>
            <w:r>
              <w:rPr>
                <w:rFonts w:ascii="仿宋" w:hAnsi="仿宋" w:eastAsia="仿宋"/>
                <w:b/>
                <w:color w:val="auto"/>
                <w:sz w:val="24"/>
                <w:szCs w:val="24"/>
                <w:highlight w:val="none"/>
              </w:rPr>
              <w:t>注：</w:t>
            </w:r>
            <w:r>
              <w:rPr>
                <w:rFonts w:hint="eastAsia" w:ascii="仿宋" w:hAnsi="仿宋" w:eastAsia="仿宋"/>
                <w:b/>
                <w:color w:val="auto"/>
                <w:sz w:val="24"/>
                <w:szCs w:val="24"/>
                <w:highlight w:val="none"/>
              </w:rPr>
              <w:t>投标函、开标一览表必须加盖单位公章。</w:t>
            </w:r>
          </w:p>
        </w:tc>
      </w:tr>
      <w:tr w14:paraId="2397E6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4891E919">
            <w:pPr>
              <w:pStyle w:val="29"/>
              <w:keepNext w:val="0"/>
              <w:keepLines w:val="0"/>
              <w:pageBreakBefore w:val="0"/>
              <w:widowControl w:val="0"/>
              <w:kinsoku/>
              <w:wordWrap/>
              <w:overflowPunct/>
              <w:topLinePunct w:val="0"/>
              <w:bidi w:val="0"/>
              <w:spacing w:line="360" w:lineRule="exact"/>
              <w:jc w:val="center"/>
              <w:textAlignment w:val="auto"/>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4</w:t>
            </w:r>
          </w:p>
        </w:tc>
        <w:tc>
          <w:tcPr>
            <w:tcW w:w="1747" w:type="dxa"/>
            <w:vAlign w:val="center"/>
          </w:tcPr>
          <w:p w14:paraId="48E38BFE">
            <w:pPr>
              <w:pStyle w:val="29"/>
              <w:keepNext w:val="0"/>
              <w:keepLines w:val="0"/>
              <w:pageBreakBefore w:val="0"/>
              <w:widowControl w:val="0"/>
              <w:kinsoku/>
              <w:wordWrap/>
              <w:overflowPunct/>
              <w:topLinePunct w:val="0"/>
              <w:bidi w:val="0"/>
              <w:spacing w:line="360" w:lineRule="exact"/>
              <w:jc w:val="center"/>
              <w:textAlignment w:val="auto"/>
              <w:rPr>
                <w:rFonts w:ascii="仿宋" w:hAnsi="仿宋" w:eastAsia="仿宋" w:cs="仿宋"/>
                <w:b/>
                <w:color w:val="auto"/>
                <w:highlight w:val="none"/>
              </w:rPr>
            </w:pPr>
            <w:r>
              <w:rPr>
                <w:rFonts w:hint="eastAsia" w:ascii="仿宋" w:hAnsi="仿宋" w:eastAsia="仿宋" w:cs="仿宋"/>
                <w:b/>
                <w:color w:val="auto"/>
                <w:szCs w:val="24"/>
                <w:highlight w:val="none"/>
              </w:rPr>
              <w:t>现场演示</w:t>
            </w:r>
          </w:p>
        </w:tc>
        <w:tc>
          <w:tcPr>
            <w:tcW w:w="7618" w:type="dxa"/>
            <w:vAlign w:val="center"/>
          </w:tcPr>
          <w:p w14:paraId="5EBF8214">
            <w:pPr>
              <w:keepNext w:val="0"/>
              <w:keepLines w:val="0"/>
              <w:pageBreakBefore w:val="0"/>
              <w:widowControl w:val="0"/>
              <w:tabs>
                <w:tab w:val="left" w:pos="3870"/>
                <w:tab w:val="left" w:pos="4085"/>
              </w:tabs>
              <w:kinsoku/>
              <w:wordWrap/>
              <w:overflowPunct/>
              <w:topLinePunct w:val="0"/>
              <w:bidi w:val="0"/>
              <w:snapToGrid w:val="0"/>
              <w:spacing w:line="36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szCs w:val="24"/>
                <w:highlight w:val="none"/>
              </w:rPr>
              <w:t>按招标文件相关要求执行。</w:t>
            </w:r>
          </w:p>
        </w:tc>
      </w:tr>
      <w:tr w14:paraId="52A738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704" w:type="dxa"/>
            <w:vAlign w:val="center"/>
          </w:tcPr>
          <w:p w14:paraId="238E6950">
            <w:pPr>
              <w:pStyle w:val="29"/>
              <w:keepNext w:val="0"/>
              <w:keepLines w:val="0"/>
              <w:pageBreakBefore w:val="0"/>
              <w:widowControl w:val="0"/>
              <w:kinsoku/>
              <w:wordWrap/>
              <w:overflowPunct/>
              <w:topLinePunct w:val="0"/>
              <w:bidi w:val="0"/>
              <w:spacing w:line="360" w:lineRule="exact"/>
              <w:jc w:val="center"/>
              <w:textAlignment w:val="auto"/>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5</w:t>
            </w:r>
          </w:p>
        </w:tc>
        <w:tc>
          <w:tcPr>
            <w:tcW w:w="1747" w:type="dxa"/>
            <w:vAlign w:val="center"/>
          </w:tcPr>
          <w:p w14:paraId="76F5B5C7">
            <w:pPr>
              <w:pStyle w:val="29"/>
              <w:keepNext w:val="0"/>
              <w:keepLines w:val="0"/>
              <w:pageBreakBefore w:val="0"/>
              <w:widowControl w:val="0"/>
              <w:kinsoku/>
              <w:wordWrap/>
              <w:overflowPunct/>
              <w:topLinePunct w:val="0"/>
              <w:bidi w:val="0"/>
              <w:spacing w:line="360" w:lineRule="exact"/>
              <w:jc w:val="center"/>
              <w:textAlignment w:val="auto"/>
              <w:rPr>
                <w:rFonts w:ascii="仿宋" w:hAnsi="仿宋" w:eastAsia="仿宋" w:cs="仿宋"/>
                <w:b/>
                <w:color w:val="auto"/>
                <w:highlight w:val="none"/>
              </w:rPr>
            </w:pPr>
            <w:r>
              <w:rPr>
                <w:rFonts w:hint="eastAsia" w:ascii="仿宋" w:hAnsi="仿宋" w:eastAsia="仿宋" w:cs="仿宋"/>
                <w:b/>
                <w:color w:val="auto"/>
                <w:szCs w:val="24"/>
                <w:highlight w:val="none"/>
              </w:rPr>
              <w:t>投标样品</w:t>
            </w:r>
          </w:p>
        </w:tc>
        <w:tc>
          <w:tcPr>
            <w:tcW w:w="7618" w:type="dxa"/>
            <w:vAlign w:val="center"/>
          </w:tcPr>
          <w:p w14:paraId="36B8CA8D">
            <w:pPr>
              <w:keepNext w:val="0"/>
              <w:keepLines w:val="0"/>
              <w:pageBreakBefore w:val="0"/>
              <w:widowControl w:val="0"/>
              <w:tabs>
                <w:tab w:val="left" w:pos="3870"/>
                <w:tab w:val="left" w:pos="4085"/>
              </w:tabs>
              <w:kinsoku/>
              <w:wordWrap/>
              <w:overflowPunct/>
              <w:topLinePunct w:val="0"/>
              <w:bidi w:val="0"/>
              <w:snapToGrid w:val="0"/>
              <w:spacing w:line="36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szCs w:val="24"/>
                <w:highlight w:val="none"/>
              </w:rPr>
              <w:t>按招标文件相关要求执行。</w:t>
            </w:r>
          </w:p>
        </w:tc>
      </w:tr>
      <w:tr w14:paraId="3725BE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7382D4D4">
            <w:pPr>
              <w:pStyle w:val="29"/>
              <w:keepNext w:val="0"/>
              <w:keepLines w:val="0"/>
              <w:pageBreakBefore w:val="0"/>
              <w:widowControl w:val="0"/>
              <w:kinsoku/>
              <w:wordWrap/>
              <w:overflowPunct/>
              <w:topLinePunct w:val="0"/>
              <w:bidi w:val="0"/>
              <w:spacing w:line="360" w:lineRule="exact"/>
              <w:jc w:val="center"/>
              <w:textAlignment w:val="auto"/>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6</w:t>
            </w:r>
          </w:p>
        </w:tc>
        <w:tc>
          <w:tcPr>
            <w:tcW w:w="1747" w:type="dxa"/>
            <w:vAlign w:val="center"/>
          </w:tcPr>
          <w:p w14:paraId="05A0940C">
            <w:pPr>
              <w:pStyle w:val="29"/>
              <w:keepNext w:val="0"/>
              <w:keepLines w:val="0"/>
              <w:pageBreakBefore w:val="0"/>
              <w:widowControl w:val="0"/>
              <w:kinsoku/>
              <w:wordWrap/>
              <w:overflowPunct/>
              <w:topLinePunct w:val="0"/>
              <w:bidi w:val="0"/>
              <w:spacing w:line="360" w:lineRule="exact"/>
              <w:jc w:val="center"/>
              <w:textAlignment w:val="auto"/>
              <w:rPr>
                <w:rFonts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上传电子投标文件时间</w:t>
            </w:r>
          </w:p>
        </w:tc>
        <w:tc>
          <w:tcPr>
            <w:tcW w:w="7618" w:type="dxa"/>
            <w:vAlign w:val="center"/>
          </w:tcPr>
          <w:p w14:paraId="13C569CB">
            <w:pPr>
              <w:pStyle w:val="29"/>
              <w:keepNext w:val="0"/>
              <w:keepLines w:val="0"/>
              <w:pageBreakBefore w:val="0"/>
              <w:widowControl w:val="0"/>
              <w:kinsoku/>
              <w:wordWrap/>
              <w:overflowPunct/>
              <w:topLinePunct w:val="0"/>
              <w:bidi w:val="0"/>
              <w:spacing w:line="360" w:lineRule="exact"/>
              <w:textAlignment w:val="auto"/>
              <w:rPr>
                <w:rFonts w:ascii="仿宋" w:hAnsi="仿宋" w:eastAsia="仿宋" w:cs="仿宋"/>
                <w:color w:val="auto"/>
                <w:kern w:val="0"/>
                <w:szCs w:val="24"/>
                <w:highlight w:val="none"/>
              </w:rPr>
            </w:pPr>
            <w:r>
              <w:rPr>
                <w:rFonts w:hint="eastAsia" w:ascii="仿宋" w:hAnsi="仿宋" w:eastAsia="仿宋" w:cs="仿宋"/>
                <w:b w:val="0"/>
                <w:bCs w:val="0"/>
                <w:color w:val="auto"/>
                <w:kern w:val="0"/>
                <w:szCs w:val="24"/>
                <w:highlight w:val="none"/>
              </w:rPr>
              <w:t>供应商应于202</w:t>
            </w:r>
            <w:r>
              <w:rPr>
                <w:rFonts w:hint="eastAsia" w:ascii="仿宋" w:hAnsi="仿宋" w:eastAsia="仿宋" w:cs="仿宋"/>
                <w:b w:val="0"/>
                <w:bCs w:val="0"/>
                <w:color w:val="auto"/>
                <w:kern w:val="0"/>
                <w:szCs w:val="24"/>
                <w:highlight w:val="none"/>
                <w:lang w:val="en-US" w:eastAsia="zh-CN"/>
              </w:rPr>
              <w:t>5</w:t>
            </w:r>
            <w:r>
              <w:rPr>
                <w:rFonts w:hint="eastAsia" w:ascii="仿宋" w:hAnsi="仿宋" w:eastAsia="仿宋" w:cs="仿宋"/>
                <w:b w:val="0"/>
                <w:bCs w:val="0"/>
                <w:color w:val="auto"/>
                <w:kern w:val="0"/>
                <w:szCs w:val="24"/>
                <w:highlight w:val="none"/>
              </w:rPr>
              <w:t>年</w:t>
            </w:r>
            <w:r>
              <w:rPr>
                <w:rFonts w:hint="eastAsia" w:ascii="仿宋" w:hAnsi="仿宋" w:eastAsia="仿宋" w:cs="仿宋"/>
                <w:b w:val="0"/>
                <w:bCs w:val="0"/>
                <w:color w:val="auto"/>
                <w:kern w:val="0"/>
                <w:szCs w:val="24"/>
                <w:highlight w:val="none"/>
                <w:lang w:val="en-US" w:eastAsia="zh-CN"/>
              </w:rPr>
              <w:t>02</w:t>
            </w:r>
            <w:r>
              <w:rPr>
                <w:rFonts w:hint="eastAsia" w:ascii="仿宋" w:hAnsi="仿宋" w:eastAsia="仿宋" w:cs="仿宋"/>
                <w:b w:val="0"/>
                <w:bCs w:val="0"/>
                <w:color w:val="auto"/>
                <w:kern w:val="0"/>
                <w:szCs w:val="24"/>
                <w:highlight w:val="none"/>
              </w:rPr>
              <w:t>月</w:t>
            </w:r>
            <w:r>
              <w:rPr>
                <w:rFonts w:hint="eastAsia" w:ascii="仿宋" w:hAnsi="仿宋" w:eastAsia="仿宋" w:cs="仿宋"/>
                <w:b w:val="0"/>
                <w:bCs w:val="0"/>
                <w:color w:val="auto"/>
                <w:kern w:val="0"/>
                <w:szCs w:val="24"/>
                <w:highlight w:val="none"/>
                <w:lang w:val="en-US" w:eastAsia="zh-CN"/>
              </w:rPr>
              <w:t>26</w:t>
            </w:r>
            <w:r>
              <w:rPr>
                <w:rFonts w:hint="eastAsia" w:ascii="仿宋" w:hAnsi="仿宋" w:eastAsia="仿宋" w:cs="仿宋"/>
                <w:b w:val="0"/>
                <w:bCs w:val="0"/>
                <w:color w:val="auto"/>
                <w:kern w:val="0"/>
                <w:szCs w:val="24"/>
                <w:highlight w:val="none"/>
              </w:rPr>
              <w:t>日</w:t>
            </w:r>
            <w:r>
              <w:rPr>
                <w:rFonts w:hint="eastAsia" w:ascii="仿宋" w:hAnsi="仿宋" w:eastAsia="仿宋" w:cs="仿宋"/>
                <w:b w:val="0"/>
                <w:bCs w:val="0"/>
                <w:color w:val="auto"/>
                <w:kern w:val="0"/>
                <w:szCs w:val="24"/>
                <w:highlight w:val="none"/>
                <w:lang w:val="en-US" w:eastAsia="zh-CN"/>
              </w:rPr>
              <w:t>09</w:t>
            </w:r>
            <w:r>
              <w:rPr>
                <w:rFonts w:hint="eastAsia" w:ascii="仿宋" w:hAnsi="仿宋" w:eastAsia="仿宋" w:cs="仿宋"/>
                <w:b w:val="0"/>
                <w:bCs w:val="0"/>
                <w:color w:val="auto"/>
                <w:kern w:val="0"/>
                <w:szCs w:val="24"/>
                <w:highlight w:val="none"/>
              </w:rPr>
              <w:t>:</w:t>
            </w:r>
            <w:r>
              <w:rPr>
                <w:rFonts w:hint="eastAsia" w:ascii="仿宋" w:hAnsi="仿宋" w:eastAsia="仿宋" w:cs="仿宋"/>
                <w:b w:val="0"/>
                <w:bCs w:val="0"/>
                <w:color w:val="auto"/>
                <w:kern w:val="0"/>
                <w:szCs w:val="24"/>
                <w:highlight w:val="none"/>
                <w:lang w:val="en-US" w:eastAsia="zh-CN"/>
              </w:rPr>
              <w:t>30</w:t>
            </w:r>
            <w:r>
              <w:rPr>
                <w:rFonts w:hint="eastAsia" w:ascii="仿宋" w:hAnsi="仿宋" w:eastAsia="仿宋" w:cs="仿宋"/>
                <w:b w:val="0"/>
                <w:bCs w:val="0"/>
                <w:color w:val="auto"/>
                <w:kern w:val="0"/>
                <w:szCs w:val="24"/>
                <w:highlight w:val="none"/>
              </w:rPr>
              <w:t>时整前在“</w:t>
            </w:r>
            <w:r>
              <w:rPr>
                <w:rFonts w:hint="eastAsia" w:ascii="仿宋" w:hAnsi="仿宋" w:eastAsia="仿宋" w:cs="仿宋"/>
                <w:b w:val="0"/>
                <w:bCs w:val="0"/>
                <w:color w:val="auto"/>
                <w:kern w:val="0"/>
                <w:szCs w:val="24"/>
                <w:highlight w:val="none"/>
                <w:lang w:eastAsia="zh-CN"/>
              </w:rPr>
              <w:t>乐采云</w:t>
            </w:r>
            <w:r>
              <w:rPr>
                <w:rFonts w:hint="eastAsia" w:ascii="仿宋" w:hAnsi="仿宋" w:eastAsia="仿宋" w:cs="仿宋"/>
                <w:b w:val="0"/>
                <w:bCs w:val="0"/>
                <w:color w:val="auto"/>
                <w:kern w:val="0"/>
                <w:szCs w:val="24"/>
                <w:highlight w:val="none"/>
              </w:rPr>
              <w:t>”上自行加密上传电子投标文件，逾期上传或未按要求上传的投标文件将予以拒收。</w:t>
            </w:r>
          </w:p>
        </w:tc>
      </w:tr>
      <w:tr w14:paraId="4D2010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390191A1">
            <w:pPr>
              <w:pStyle w:val="29"/>
              <w:keepNext w:val="0"/>
              <w:keepLines w:val="0"/>
              <w:pageBreakBefore w:val="0"/>
              <w:widowControl w:val="0"/>
              <w:kinsoku/>
              <w:wordWrap/>
              <w:overflowPunct/>
              <w:topLinePunct w:val="0"/>
              <w:bidi w:val="0"/>
              <w:spacing w:line="360" w:lineRule="exact"/>
              <w:jc w:val="center"/>
              <w:textAlignment w:val="auto"/>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7</w:t>
            </w:r>
          </w:p>
        </w:tc>
        <w:tc>
          <w:tcPr>
            <w:tcW w:w="1747" w:type="dxa"/>
            <w:vAlign w:val="center"/>
          </w:tcPr>
          <w:p w14:paraId="568E92E2">
            <w:pPr>
              <w:pStyle w:val="29"/>
              <w:keepNext w:val="0"/>
              <w:keepLines w:val="0"/>
              <w:pageBreakBefore w:val="0"/>
              <w:widowControl w:val="0"/>
              <w:kinsoku/>
              <w:wordWrap/>
              <w:overflowPunct/>
              <w:topLinePunct w:val="0"/>
              <w:bidi w:val="0"/>
              <w:spacing w:line="360" w:lineRule="exact"/>
              <w:jc w:val="center"/>
              <w:textAlignment w:val="auto"/>
              <w:rPr>
                <w:rFonts w:ascii="仿宋" w:hAnsi="仿宋" w:eastAsia="仿宋" w:cs="仿宋"/>
                <w:b/>
                <w:color w:val="auto"/>
                <w:highlight w:val="none"/>
              </w:rPr>
            </w:pPr>
            <w:r>
              <w:rPr>
                <w:rFonts w:hint="eastAsia" w:ascii="仿宋" w:hAnsi="仿宋" w:eastAsia="仿宋" w:cs="仿宋"/>
                <w:b/>
                <w:color w:val="auto"/>
                <w:szCs w:val="24"/>
                <w:highlight w:val="none"/>
              </w:rPr>
              <w:t>投标有效期</w:t>
            </w:r>
          </w:p>
        </w:tc>
        <w:tc>
          <w:tcPr>
            <w:tcW w:w="7618" w:type="dxa"/>
            <w:vAlign w:val="center"/>
          </w:tcPr>
          <w:p w14:paraId="739748AE">
            <w:pPr>
              <w:pStyle w:val="29"/>
              <w:keepNext w:val="0"/>
              <w:keepLines w:val="0"/>
              <w:pageBreakBefore w:val="0"/>
              <w:widowControl w:val="0"/>
              <w:kinsoku/>
              <w:wordWrap/>
              <w:overflowPunct/>
              <w:topLinePunct w:val="0"/>
              <w:bidi w:val="0"/>
              <w:spacing w:line="360" w:lineRule="exact"/>
              <w:textAlignment w:val="auto"/>
              <w:rPr>
                <w:rFonts w:ascii="仿宋" w:hAnsi="仿宋" w:eastAsia="仿宋" w:cs="仿宋"/>
                <w:color w:val="auto"/>
                <w:highlight w:val="none"/>
              </w:rPr>
            </w:pPr>
            <w:r>
              <w:rPr>
                <w:rFonts w:hint="eastAsia" w:ascii="仿宋" w:hAnsi="仿宋" w:eastAsia="仿宋" w:cs="仿宋"/>
                <w:color w:val="auto"/>
                <w:szCs w:val="24"/>
                <w:highlight w:val="none"/>
              </w:rPr>
              <w:t>自投标截止日起90天。如采购代理机构认为必要，可延长投标有效期。</w:t>
            </w:r>
          </w:p>
        </w:tc>
      </w:tr>
      <w:tr w14:paraId="53A482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3972D9A1">
            <w:pPr>
              <w:pStyle w:val="29"/>
              <w:keepNext w:val="0"/>
              <w:keepLines w:val="0"/>
              <w:pageBreakBefore w:val="0"/>
              <w:widowControl w:val="0"/>
              <w:kinsoku/>
              <w:wordWrap/>
              <w:overflowPunct/>
              <w:topLinePunct w:val="0"/>
              <w:bidi w:val="0"/>
              <w:spacing w:line="360" w:lineRule="exact"/>
              <w:jc w:val="center"/>
              <w:textAlignment w:val="auto"/>
              <w:rPr>
                <w:rFonts w:hint="eastAsia" w:ascii="仿宋" w:hAnsi="仿宋" w:eastAsia="仿宋" w:cs="仿宋"/>
                <w:b/>
                <w:color w:val="auto"/>
                <w:szCs w:val="24"/>
                <w:highlight w:val="none"/>
                <w:lang w:eastAsia="zh-CN"/>
              </w:rPr>
            </w:pPr>
            <w:r>
              <w:rPr>
                <w:rFonts w:hint="eastAsia" w:ascii="仿宋" w:hAnsi="仿宋" w:eastAsia="仿宋" w:cs="仿宋"/>
                <w:b/>
                <w:bCs/>
                <w:color w:val="auto"/>
                <w:szCs w:val="24"/>
                <w:highlight w:val="none"/>
              </w:rPr>
              <w:t>1</w:t>
            </w:r>
            <w:r>
              <w:rPr>
                <w:rFonts w:hint="eastAsia" w:ascii="仿宋" w:hAnsi="仿宋" w:eastAsia="仿宋" w:cs="仿宋"/>
                <w:b/>
                <w:bCs/>
                <w:color w:val="auto"/>
                <w:szCs w:val="24"/>
                <w:highlight w:val="none"/>
                <w:lang w:val="en-US" w:eastAsia="zh-CN"/>
              </w:rPr>
              <w:t>8</w:t>
            </w:r>
          </w:p>
        </w:tc>
        <w:tc>
          <w:tcPr>
            <w:tcW w:w="1747" w:type="dxa"/>
            <w:vAlign w:val="center"/>
          </w:tcPr>
          <w:p w14:paraId="648F4A66">
            <w:pPr>
              <w:pStyle w:val="29"/>
              <w:keepNext w:val="0"/>
              <w:keepLines w:val="0"/>
              <w:pageBreakBefore w:val="0"/>
              <w:widowControl w:val="0"/>
              <w:kinsoku/>
              <w:wordWrap/>
              <w:overflowPunct/>
              <w:topLinePunct w:val="0"/>
              <w:bidi w:val="0"/>
              <w:spacing w:line="36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签订合同时间</w:t>
            </w:r>
          </w:p>
        </w:tc>
        <w:tc>
          <w:tcPr>
            <w:tcW w:w="7618" w:type="dxa"/>
            <w:vAlign w:val="center"/>
          </w:tcPr>
          <w:p w14:paraId="679FAD68">
            <w:pPr>
              <w:pStyle w:val="29"/>
              <w:keepNext w:val="0"/>
              <w:keepLines w:val="0"/>
              <w:pageBreakBefore w:val="0"/>
              <w:widowControl w:val="0"/>
              <w:kinsoku/>
              <w:wordWrap/>
              <w:overflowPunct/>
              <w:topLinePunct w:val="0"/>
              <w:bidi w:val="0"/>
              <w:spacing w:line="360" w:lineRule="exact"/>
              <w:textAlignment w:val="auto"/>
              <w:rPr>
                <w:rFonts w:ascii="仿宋" w:hAnsi="仿宋" w:eastAsia="仿宋" w:cs="仿宋"/>
                <w:color w:val="auto"/>
                <w:szCs w:val="24"/>
                <w:highlight w:val="none"/>
              </w:rPr>
            </w:pPr>
            <w:r>
              <w:rPr>
                <w:rFonts w:hint="eastAsia" w:ascii="仿宋" w:hAnsi="仿宋" w:eastAsia="仿宋" w:cs="仿宋"/>
                <w:color w:val="auto"/>
                <w:sz w:val="24"/>
                <w:highlight w:val="none"/>
              </w:rPr>
              <w:t>《中标通知书》</w:t>
            </w:r>
            <w:r>
              <w:rPr>
                <w:rFonts w:hint="eastAsia" w:ascii="仿宋" w:hAnsi="仿宋" w:eastAsia="仿宋" w:cs="仿宋"/>
                <w:color w:val="auto"/>
                <w:szCs w:val="24"/>
                <w:highlight w:val="none"/>
              </w:rPr>
              <w:t>发出后30日内。</w:t>
            </w:r>
          </w:p>
        </w:tc>
      </w:tr>
      <w:tr w14:paraId="0370FA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451B961D">
            <w:pPr>
              <w:pStyle w:val="29"/>
              <w:keepNext w:val="0"/>
              <w:keepLines w:val="0"/>
              <w:pageBreakBefore w:val="0"/>
              <w:widowControl w:val="0"/>
              <w:kinsoku/>
              <w:wordWrap/>
              <w:overflowPunct/>
              <w:topLinePunct w:val="0"/>
              <w:bidi w:val="0"/>
              <w:spacing w:line="360" w:lineRule="exact"/>
              <w:jc w:val="center"/>
              <w:textAlignment w:val="auto"/>
              <w:rPr>
                <w:rFonts w:hint="eastAsia" w:ascii="仿宋" w:hAnsi="仿宋" w:eastAsia="仿宋" w:cs="仿宋"/>
                <w:color w:val="auto"/>
                <w:szCs w:val="24"/>
                <w:highlight w:val="none"/>
                <w:lang w:eastAsia="zh-CN"/>
              </w:rPr>
            </w:pPr>
            <w:r>
              <w:rPr>
                <w:rFonts w:hint="eastAsia" w:ascii="仿宋" w:hAnsi="仿宋" w:eastAsia="仿宋" w:cs="仿宋"/>
                <w:b/>
                <w:color w:val="auto"/>
                <w:szCs w:val="24"/>
                <w:highlight w:val="none"/>
                <w:lang w:val="en-US" w:eastAsia="zh-CN"/>
              </w:rPr>
              <w:t>19</w:t>
            </w:r>
          </w:p>
        </w:tc>
        <w:tc>
          <w:tcPr>
            <w:tcW w:w="1747" w:type="dxa"/>
            <w:vAlign w:val="center"/>
          </w:tcPr>
          <w:p w14:paraId="2794CC3F">
            <w:pPr>
              <w:pStyle w:val="29"/>
              <w:keepNext w:val="0"/>
              <w:keepLines w:val="0"/>
              <w:pageBreakBefore w:val="0"/>
              <w:widowControl w:val="0"/>
              <w:kinsoku/>
              <w:wordWrap/>
              <w:overflowPunct/>
              <w:topLinePunct w:val="0"/>
              <w:bidi w:val="0"/>
              <w:spacing w:line="36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转包与分包</w:t>
            </w:r>
          </w:p>
        </w:tc>
        <w:tc>
          <w:tcPr>
            <w:tcW w:w="7618" w:type="dxa"/>
            <w:vAlign w:val="center"/>
          </w:tcPr>
          <w:p w14:paraId="19B2A599">
            <w:pPr>
              <w:pStyle w:val="29"/>
              <w:keepNext w:val="0"/>
              <w:keepLines w:val="0"/>
              <w:pageBreakBefore w:val="0"/>
              <w:widowControl w:val="0"/>
              <w:kinsoku/>
              <w:wordWrap/>
              <w:overflowPunct/>
              <w:topLinePunct w:val="0"/>
              <w:bidi w:val="0"/>
              <w:spacing w:line="36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本项目不允许转包，允许合法分包。</w:t>
            </w:r>
          </w:p>
        </w:tc>
      </w:tr>
      <w:tr w14:paraId="02D128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4" w:type="dxa"/>
            <w:vAlign w:val="center"/>
          </w:tcPr>
          <w:p w14:paraId="69A6E51F">
            <w:pPr>
              <w:pStyle w:val="29"/>
              <w:keepNext w:val="0"/>
              <w:keepLines w:val="0"/>
              <w:pageBreakBefore w:val="0"/>
              <w:widowControl w:val="0"/>
              <w:kinsoku/>
              <w:wordWrap/>
              <w:overflowPunct/>
              <w:topLinePunct w:val="0"/>
              <w:bidi w:val="0"/>
              <w:spacing w:line="360" w:lineRule="exact"/>
              <w:jc w:val="center"/>
              <w:textAlignment w:val="auto"/>
              <w:rPr>
                <w:rFonts w:hint="default" w:ascii="仿宋" w:hAnsi="仿宋" w:eastAsia="仿宋" w:cs="仿宋"/>
                <w:b/>
                <w:color w:val="auto"/>
                <w:szCs w:val="24"/>
                <w:highlight w:val="none"/>
                <w:lang w:val="en-US" w:eastAsia="zh-CN"/>
              </w:rPr>
            </w:pPr>
            <w:r>
              <w:rPr>
                <w:rFonts w:hint="eastAsia" w:ascii="仿宋" w:hAnsi="仿宋" w:eastAsia="仿宋" w:cs="仿宋"/>
                <w:b/>
                <w:color w:val="auto"/>
                <w:szCs w:val="24"/>
                <w:highlight w:val="none"/>
              </w:rPr>
              <w:t>2</w:t>
            </w:r>
            <w:r>
              <w:rPr>
                <w:rFonts w:hint="eastAsia" w:ascii="仿宋" w:hAnsi="仿宋" w:eastAsia="仿宋" w:cs="仿宋"/>
                <w:b/>
                <w:color w:val="auto"/>
                <w:szCs w:val="24"/>
                <w:highlight w:val="none"/>
                <w:lang w:val="en-US" w:eastAsia="zh-CN"/>
              </w:rPr>
              <w:t>0</w:t>
            </w:r>
          </w:p>
        </w:tc>
        <w:tc>
          <w:tcPr>
            <w:tcW w:w="1747" w:type="dxa"/>
            <w:vAlign w:val="center"/>
          </w:tcPr>
          <w:p w14:paraId="36816306">
            <w:pPr>
              <w:pStyle w:val="29"/>
              <w:keepNext w:val="0"/>
              <w:keepLines w:val="0"/>
              <w:pageBreakBefore w:val="0"/>
              <w:widowControl w:val="0"/>
              <w:kinsoku/>
              <w:wordWrap/>
              <w:overflowPunct/>
              <w:topLinePunct w:val="0"/>
              <w:bidi w:val="0"/>
              <w:spacing w:line="36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履约保证金</w:t>
            </w:r>
          </w:p>
        </w:tc>
        <w:tc>
          <w:tcPr>
            <w:tcW w:w="7618" w:type="dxa"/>
            <w:vAlign w:val="center"/>
          </w:tcPr>
          <w:p w14:paraId="6EDD6341">
            <w:pPr>
              <w:keepNext w:val="0"/>
              <w:keepLines w:val="0"/>
              <w:pageBreakBefore w:val="0"/>
              <w:widowControl w:val="0"/>
              <w:numPr>
                <w:ilvl w:val="0"/>
                <w:numId w:val="0"/>
              </w:numPr>
              <w:kinsoku/>
              <w:wordWrap/>
              <w:overflowPunct/>
              <w:topLinePunct w:val="0"/>
              <w:bidi w:val="0"/>
              <w:spacing w:line="360" w:lineRule="exact"/>
              <w:ind w:left="0" w:leftChars="0" w:firstLine="0" w:firstLineChars="0"/>
              <w:textAlignment w:val="auto"/>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按招标文件相关要求执行。</w:t>
            </w:r>
          </w:p>
        </w:tc>
      </w:tr>
      <w:tr w14:paraId="04145A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4E1D7FEB">
            <w:pPr>
              <w:pStyle w:val="29"/>
              <w:keepNext w:val="0"/>
              <w:keepLines w:val="0"/>
              <w:pageBreakBefore w:val="0"/>
              <w:widowControl w:val="0"/>
              <w:kinsoku/>
              <w:wordWrap/>
              <w:overflowPunct/>
              <w:topLinePunct w:val="0"/>
              <w:bidi w:val="0"/>
              <w:spacing w:line="360" w:lineRule="exact"/>
              <w:jc w:val="center"/>
              <w:textAlignment w:val="auto"/>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rPr>
              <w:t>2</w:t>
            </w:r>
            <w:r>
              <w:rPr>
                <w:rFonts w:hint="eastAsia" w:ascii="仿宋" w:hAnsi="仿宋" w:eastAsia="仿宋" w:cs="仿宋"/>
                <w:b/>
                <w:color w:val="auto"/>
                <w:szCs w:val="24"/>
                <w:highlight w:val="none"/>
                <w:lang w:val="en-US" w:eastAsia="zh-CN"/>
              </w:rPr>
              <w:t>1</w:t>
            </w:r>
          </w:p>
        </w:tc>
        <w:tc>
          <w:tcPr>
            <w:tcW w:w="1747" w:type="dxa"/>
            <w:vAlign w:val="center"/>
          </w:tcPr>
          <w:p w14:paraId="35150C5E">
            <w:pPr>
              <w:pStyle w:val="29"/>
              <w:keepNext w:val="0"/>
              <w:keepLines w:val="0"/>
              <w:pageBreakBefore w:val="0"/>
              <w:widowControl w:val="0"/>
              <w:kinsoku/>
              <w:wordWrap/>
              <w:overflowPunct/>
              <w:topLinePunct w:val="0"/>
              <w:bidi w:val="0"/>
              <w:spacing w:line="360" w:lineRule="exact"/>
              <w:jc w:val="center"/>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投标文件递交</w:t>
            </w:r>
          </w:p>
          <w:p w14:paraId="5BFC8373">
            <w:pPr>
              <w:pStyle w:val="29"/>
              <w:keepNext w:val="0"/>
              <w:keepLines w:val="0"/>
              <w:pageBreakBefore w:val="0"/>
              <w:widowControl w:val="0"/>
              <w:kinsoku/>
              <w:wordWrap/>
              <w:overflowPunct/>
              <w:topLinePunct w:val="0"/>
              <w:bidi w:val="0"/>
              <w:spacing w:line="36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地点</w:t>
            </w:r>
          </w:p>
        </w:tc>
        <w:tc>
          <w:tcPr>
            <w:tcW w:w="7618" w:type="dxa"/>
            <w:vAlign w:val="center"/>
          </w:tcPr>
          <w:p w14:paraId="766C0C51">
            <w:pPr>
              <w:keepNext w:val="0"/>
              <w:keepLines w:val="0"/>
              <w:pageBreakBefore w:val="0"/>
              <w:widowControl w:val="0"/>
              <w:kinsoku/>
              <w:wordWrap/>
              <w:overflowPunct/>
              <w:topLinePunct w:val="0"/>
              <w:bidi w:val="0"/>
              <w:snapToGrid w:val="0"/>
              <w:spacing w:line="360" w:lineRule="exact"/>
              <w:textAlignment w:val="auto"/>
              <w:rPr>
                <w:rFonts w:ascii="仿宋" w:hAnsi="仿宋" w:eastAsia="仿宋" w:cs="仿宋"/>
                <w:b/>
                <w:bCs/>
                <w:color w:val="auto"/>
                <w:sz w:val="24"/>
                <w:szCs w:val="24"/>
                <w:highlight w:val="none"/>
              </w:rPr>
            </w:pPr>
            <w:r>
              <w:rPr>
                <w:rFonts w:hint="eastAsia" w:ascii="仿宋" w:hAnsi="仿宋" w:eastAsia="仿宋" w:cs="仿宋"/>
                <w:color w:val="auto"/>
                <w:kern w:val="2"/>
                <w:sz w:val="24"/>
                <w:szCs w:val="24"/>
                <w:highlight w:val="none"/>
                <w:lang w:eastAsia="zh-CN"/>
              </w:rPr>
              <w:t>乐采云平台</w:t>
            </w:r>
            <w:r>
              <w:rPr>
                <w:rFonts w:hint="eastAsia" w:ascii="仿宋" w:hAnsi="仿宋" w:eastAsia="仿宋" w:cs="仿宋"/>
                <w:color w:val="auto"/>
                <w:kern w:val="2"/>
                <w:sz w:val="24"/>
                <w:szCs w:val="24"/>
                <w:highlight w:val="none"/>
              </w:rPr>
              <w:t>（https://</w:t>
            </w:r>
            <w:r>
              <w:rPr>
                <w:rFonts w:hint="eastAsia" w:ascii="仿宋" w:hAnsi="仿宋" w:eastAsia="仿宋" w:cs="仿宋"/>
                <w:color w:val="auto"/>
                <w:kern w:val="2"/>
                <w:sz w:val="24"/>
                <w:szCs w:val="24"/>
                <w:highlight w:val="none"/>
                <w:lang w:eastAsia="zh-CN"/>
              </w:rPr>
              <w:t>www.lecaiyun.com</w:t>
            </w:r>
            <w:r>
              <w:rPr>
                <w:rFonts w:hint="eastAsia" w:ascii="仿宋" w:hAnsi="仿宋" w:eastAsia="仿宋" w:cs="仿宋"/>
                <w:color w:val="auto"/>
                <w:kern w:val="2"/>
                <w:sz w:val="24"/>
                <w:szCs w:val="24"/>
                <w:highlight w:val="none"/>
              </w:rPr>
              <w:t>/）</w:t>
            </w:r>
          </w:p>
        </w:tc>
      </w:tr>
      <w:tr w14:paraId="7AD8AB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51E3E060">
            <w:pPr>
              <w:pStyle w:val="29"/>
              <w:keepNext w:val="0"/>
              <w:keepLines w:val="0"/>
              <w:pageBreakBefore w:val="0"/>
              <w:widowControl w:val="0"/>
              <w:kinsoku/>
              <w:wordWrap/>
              <w:overflowPunct/>
              <w:topLinePunct w:val="0"/>
              <w:bidi w:val="0"/>
              <w:spacing w:line="360" w:lineRule="exact"/>
              <w:jc w:val="center"/>
              <w:textAlignment w:val="auto"/>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rPr>
              <w:t>2</w:t>
            </w:r>
            <w:r>
              <w:rPr>
                <w:rFonts w:hint="eastAsia" w:ascii="仿宋" w:hAnsi="仿宋" w:eastAsia="仿宋" w:cs="仿宋"/>
                <w:b/>
                <w:color w:val="auto"/>
                <w:szCs w:val="24"/>
                <w:highlight w:val="none"/>
                <w:lang w:val="en-US" w:eastAsia="zh-CN"/>
              </w:rPr>
              <w:t>2</w:t>
            </w:r>
          </w:p>
        </w:tc>
        <w:tc>
          <w:tcPr>
            <w:tcW w:w="1747" w:type="dxa"/>
            <w:vAlign w:val="center"/>
          </w:tcPr>
          <w:p w14:paraId="3B1644F2">
            <w:pPr>
              <w:pStyle w:val="29"/>
              <w:keepNext w:val="0"/>
              <w:keepLines w:val="0"/>
              <w:pageBreakBefore w:val="0"/>
              <w:widowControl w:val="0"/>
              <w:kinsoku/>
              <w:wordWrap/>
              <w:overflowPunct/>
              <w:topLinePunct w:val="0"/>
              <w:bidi w:val="0"/>
              <w:spacing w:line="36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投标文件上传截止时间</w:t>
            </w:r>
          </w:p>
        </w:tc>
        <w:tc>
          <w:tcPr>
            <w:tcW w:w="7618" w:type="dxa"/>
            <w:vAlign w:val="center"/>
          </w:tcPr>
          <w:p w14:paraId="20116A63">
            <w:pPr>
              <w:keepNext w:val="0"/>
              <w:keepLines w:val="0"/>
              <w:pageBreakBefore w:val="0"/>
              <w:widowControl w:val="0"/>
              <w:kinsoku/>
              <w:wordWrap/>
              <w:overflowPunct/>
              <w:topLinePunct w:val="0"/>
              <w:bidi w:val="0"/>
              <w:snapToGrid w:val="0"/>
              <w:spacing w:line="360" w:lineRule="exact"/>
              <w:textAlignment w:val="auto"/>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202</w:t>
            </w: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rPr>
              <w:t>年</w:t>
            </w:r>
            <w:r>
              <w:rPr>
                <w:rFonts w:hint="eastAsia" w:ascii="仿宋" w:hAnsi="仿宋" w:eastAsia="仿宋" w:cs="仿宋"/>
                <w:b w:val="0"/>
                <w:bCs/>
                <w:color w:val="auto"/>
                <w:sz w:val="24"/>
                <w:szCs w:val="24"/>
                <w:highlight w:val="none"/>
                <w:lang w:val="en-US" w:eastAsia="zh-CN"/>
              </w:rPr>
              <w:t>02</w:t>
            </w:r>
            <w:r>
              <w:rPr>
                <w:rFonts w:hint="eastAsia" w:ascii="仿宋" w:hAnsi="仿宋" w:eastAsia="仿宋" w:cs="仿宋"/>
                <w:b w:val="0"/>
                <w:bCs/>
                <w:color w:val="auto"/>
                <w:sz w:val="24"/>
                <w:szCs w:val="24"/>
                <w:highlight w:val="none"/>
              </w:rPr>
              <w:t>月</w:t>
            </w:r>
            <w:r>
              <w:rPr>
                <w:rFonts w:hint="eastAsia" w:ascii="仿宋" w:hAnsi="仿宋" w:eastAsia="仿宋" w:cs="仿宋"/>
                <w:b w:val="0"/>
                <w:bCs/>
                <w:color w:val="auto"/>
                <w:sz w:val="24"/>
                <w:szCs w:val="24"/>
                <w:highlight w:val="none"/>
                <w:lang w:val="en-US" w:eastAsia="zh-CN"/>
              </w:rPr>
              <w:t>26</w:t>
            </w:r>
            <w:r>
              <w:rPr>
                <w:rFonts w:hint="eastAsia" w:ascii="仿宋" w:hAnsi="仿宋" w:eastAsia="仿宋" w:cs="仿宋"/>
                <w:b w:val="0"/>
                <w:bCs/>
                <w:color w:val="auto"/>
                <w:sz w:val="24"/>
                <w:szCs w:val="24"/>
                <w:highlight w:val="none"/>
              </w:rPr>
              <w:t>日</w:t>
            </w:r>
            <w:r>
              <w:rPr>
                <w:rFonts w:hint="eastAsia" w:ascii="仿宋" w:hAnsi="仿宋" w:eastAsia="仿宋" w:cs="仿宋"/>
                <w:b w:val="0"/>
                <w:bCs/>
                <w:color w:val="auto"/>
                <w:sz w:val="24"/>
                <w:szCs w:val="24"/>
                <w:highlight w:val="none"/>
                <w:lang w:val="en-US" w:eastAsia="zh-CN"/>
              </w:rPr>
              <w:t>09</w:t>
            </w:r>
            <w:r>
              <w:rPr>
                <w:rFonts w:hint="eastAsia" w:ascii="仿宋" w:hAnsi="仿宋" w:eastAsia="仿宋" w:cs="仿宋"/>
                <w:b w:val="0"/>
                <w:bCs/>
                <w:color w:val="auto"/>
                <w:sz w:val="24"/>
                <w:szCs w:val="24"/>
                <w:highlight w:val="none"/>
              </w:rPr>
              <w:t>点</w:t>
            </w:r>
            <w:r>
              <w:rPr>
                <w:rFonts w:hint="eastAsia" w:ascii="仿宋" w:hAnsi="仿宋" w:eastAsia="仿宋" w:cs="仿宋"/>
                <w:b w:val="0"/>
                <w:bCs/>
                <w:color w:val="auto"/>
                <w:sz w:val="24"/>
                <w:szCs w:val="24"/>
                <w:highlight w:val="none"/>
                <w:lang w:val="en-US" w:eastAsia="zh-CN"/>
              </w:rPr>
              <w:t>30</w:t>
            </w:r>
            <w:r>
              <w:rPr>
                <w:rFonts w:hint="eastAsia" w:ascii="仿宋" w:hAnsi="仿宋" w:eastAsia="仿宋" w:cs="仿宋"/>
                <w:b w:val="0"/>
                <w:bCs/>
                <w:color w:val="auto"/>
                <w:sz w:val="24"/>
                <w:szCs w:val="24"/>
                <w:highlight w:val="none"/>
              </w:rPr>
              <w:t>分（北京时间）</w:t>
            </w:r>
          </w:p>
        </w:tc>
      </w:tr>
      <w:tr w14:paraId="7EA5A6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008E4BB9">
            <w:pPr>
              <w:pStyle w:val="29"/>
              <w:keepNext w:val="0"/>
              <w:keepLines w:val="0"/>
              <w:pageBreakBefore w:val="0"/>
              <w:widowControl w:val="0"/>
              <w:kinsoku/>
              <w:wordWrap/>
              <w:overflowPunct/>
              <w:topLinePunct w:val="0"/>
              <w:bidi w:val="0"/>
              <w:spacing w:line="360" w:lineRule="exact"/>
              <w:jc w:val="center"/>
              <w:textAlignment w:val="auto"/>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rPr>
              <w:t>2</w:t>
            </w:r>
            <w:r>
              <w:rPr>
                <w:rFonts w:hint="eastAsia" w:ascii="仿宋" w:hAnsi="仿宋" w:eastAsia="仿宋" w:cs="仿宋"/>
                <w:b/>
                <w:color w:val="auto"/>
                <w:szCs w:val="24"/>
                <w:highlight w:val="none"/>
                <w:lang w:val="en-US" w:eastAsia="zh-CN"/>
              </w:rPr>
              <w:t>3</w:t>
            </w:r>
          </w:p>
        </w:tc>
        <w:tc>
          <w:tcPr>
            <w:tcW w:w="1747" w:type="dxa"/>
            <w:vAlign w:val="center"/>
          </w:tcPr>
          <w:p w14:paraId="1AAD1020">
            <w:pPr>
              <w:pStyle w:val="29"/>
              <w:keepNext w:val="0"/>
              <w:keepLines w:val="0"/>
              <w:pageBreakBefore w:val="0"/>
              <w:widowControl w:val="0"/>
              <w:kinsoku/>
              <w:wordWrap/>
              <w:overflowPunct/>
              <w:topLinePunct w:val="0"/>
              <w:bidi w:val="0"/>
              <w:spacing w:line="36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开标时间</w:t>
            </w:r>
          </w:p>
        </w:tc>
        <w:tc>
          <w:tcPr>
            <w:tcW w:w="7618" w:type="dxa"/>
            <w:vAlign w:val="center"/>
          </w:tcPr>
          <w:p w14:paraId="0478FA82">
            <w:pPr>
              <w:keepNext w:val="0"/>
              <w:keepLines w:val="0"/>
              <w:pageBreakBefore w:val="0"/>
              <w:widowControl w:val="0"/>
              <w:kinsoku/>
              <w:wordWrap/>
              <w:overflowPunct/>
              <w:topLinePunct w:val="0"/>
              <w:bidi w:val="0"/>
              <w:snapToGrid w:val="0"/>
              <w:spacing w:line="360" w:lineRule="exact"/>
              <w:textAlignment w:val="auto"/>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202</w:t>
            </w: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rPr>
              <w:t>年</w:t>
            </w:r>
            <w:r>
              <w:rPr>
                <w:rFonts w:hint="eastAsia" w:ascii="仿宋" w:hAnsi="仿宋" w:eastAsia="仿宋" w:cs="仿宋"/>
                <w:b w:val="0"/>
                <w:bCs/>
                <w:color w:val="auto"/>
                <w:sz w:val="24"/>
                <w:szCs w:val="24"/>
                <w:highlight w:val="none"/>
                <w:lang w:val="en-US" w:eastAsia="zh-CN"/>
              </w:rPr>
              <w:t>02</w:t>
            </w:r>
            <w:r>
              <w:rPr>
                <w:rFonts w:hint="eastAsia" w:ascii="仿宋" w:hAnsi="仿宋" w:eastAsia="仿宋" w:cs="仿宋"/>
                <w:b w:val="0"/>
                <w:bCs/>
                <w:color w:val="auto"/>
                <w:sz w:val="24"/>
                <w:szCs w:val="24"/>
                <w:highlight w:val="none"/>
              </w:rPr>
              <w:t>月</w:t>
            </w:r>
            <w:r>
              <w:rPr>
                <w:rFonts w:hint="eastAsia" w:ascii="仿宋" w:hAnsi="仿宋" w:eastAsia="仿宋" w:cs="仿宋"/>
                <w:b w:val="0"/>
                <w:bCs/>
                <w:color w:val="auto"/>
                <w:sz w:val="24"/>
                <w:szCs w:val="24"/>
                <w:highlight w:val="none"/>
                <w:lang w:val="en-US" w:eastAsia="zh-CN"/>
              </w:rPr>
              <w:t>26</w:t>
            </w:r>
            <w:r>
              <w:rPr>
                <w:rFonts w:hint="eastAsia" w:ascii="仿宋" w:hAnsi="仿宋" w:eastAsia="仿宋" w:cs="仿宋"/>
                <w:b w:val="0"/>
                <w:bCs/>
                <w:color w:val="auto"/>
                <w:sz w:val="24"/>
                <w:szCs w:val="24"/>
                <w:highlight w:val="none"/>
              </w:rPr>
              <w:t>日</w:t>
            </w:r>
            <w:r>
              <w:rPr>
                <w:rFonts w:hint="eastAsia" w:ascii="仿宋" w:hAnsi="仿宋" w:eastAsia="仿宋" w:cs="仿宋"/>
                <w:b w:val="0"/>
                <w:bCs/>
                <w:color w:val="auto"/>
                <w:sz w:val="24"/>
                <w:szCs w:val="24"/>
                <w:highlight w:val="none"/>
                <w:lang w:val="en-US" w:eastAsia="zh-CN"/>
              </w:rPr>
              <w:t>09</w:t>
            </w:r>
            <w:r>
              <w:rPr>
                <w:rFonts w:hint="eastAsia" w:ascii="仿宋" w:hAnsi="仿宋" w:eastAsia="仿宋" w:cs="仿宋"/>
                <w:b w:val="0"/>
                <w:bCs/>
                <w:color w:val="auto"/>
                <w:sz w:val="24"/>
                <w:szCs w:val="24"/>
                <w:highlight w:val="none"/>
              </w:rPr>
              <w:t>点</w:t>
            </w:r>
            <w:r>
              <w:rPr>
                <w:rFonts w:hint="eastAsia" w:ascii="仿宋" w:hAnsi="仿宋" w:eastAsia="仿宋" w:cs="仿宋"/>
                <w:b w:val="0"/>
                <w:bCs/>
                <w:color w:val="auto"/>
                <w:sz w:val="24"/>
                <w:szCs w:val="24"/>
                <w:highlight w:val="none"/>
                <w:lang w:val="en-US" w:eastAsia="zh-CN"/>
              </w:rPr>
              <w:t>30</w:t>
            </w:r>
            <w:r>
              <w:rPr>
                <w:rFonts w:hint="eastAsia" w:ascii="仿宋" w:hAnsi="仿宋" w:eastAsia="仿宋" w:cs="仿宋"/>
                <w:b w:val="0"/>
                <w:bCs/>
                <w:color w:val="auto"/>
                <w:sz w:val="24"/>
                <w:szCs w:val="24"/>
                <w:highlight w:val="none"/>
              </w:rPr>
              <w:t>分（北京时间）</w:t>
            </w:r>
          </w:p>
        </w:tc>
      </w:tr>
      <w:tr w14:paraId="794D59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704" w:type="dxa"/>
            <w:vAlign w:val="center"/>
          </w:tcPr>
          <w:p w14:paraId="30B6F8CE">
            <w:pPr>
              <w:pStyle w:val="29"/>
              <w:keepNext w:val="0"/>
              <w:keepLines w:val="0"/>
              <w:pageBreakBefore w:val="0"/>
              <w:widowControl w:val="0"/>
              <w:kinsoku/>
              <w:wordWrap/>
              <w:overflowPunct/>
              <w:topLinePunct w:val="0"/>
              <w:bidi w:val="0"/>
              <w:spacing w:line="360" w:lineRule="exact"/>
              <w:jc w:val="center"/>
              <w:textAlignment w:val="auto"/>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rPr>
              <w:t>2</w:t>
            </w:r>
            <w:r>
              <w:rPr>
                <w:rFonts w:hint="eastAsia" w:ascii="仿宋" w:hAnsi="仿宋" w:eastAsia="仿宋" w:cs="仿宋"/>
                <w:b/>
                <w:color w:val="auto"/>
                <w:szCs w:val="24"/>
                <w:highlight w:val="none"/>
                <w:lang w:val="en-US" w:eastAsia="zh-CN"/>
              </w:rPr>
              <w:t>4</w:t>
            </w:r>
          </w:p>
        </w:tc>
        <w:tc>
          <w:tcPr>
            <w:tcW w:w="1747" w:type="dxa"/>
            <w:vAlign w:val="center"/>
          </w:tcPr>
          <w:p w14:paraId="2E0CA4EF">
            <w:pPr>
              <w:pStyle w:val="29"/>
              <w:keepNext w:val="0"/>
              <w:keepLines w:val="0"/>
              <w:pageBreakBefore w:val="0"/>
              <w:widowControl w:val="0"/>
              <w:kinsoku/>
              <w:wordWrap/>
              <w:overflowPunct/>
              <w:topLinePunct w:val="0"/>
              <w:bidi w:val="0"/>
              <w:spacing w:line="36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开标地点</w:t>
            </w:r>
          </w:p>
        </w:tc>
        <w:tc>
          <w:tcPr>
            <w:tcW w:w="7618" w:type="dxa"/>
            <w:vAlign w:val="center"/>
          </w:tcPr>
          <w:p w14:paraId="0917F934">
            <w:pPr>
              <w:keepNext w:val="0"/>
              <w:keepLines w:val="0"/>
              <w:pageBreakBefore w:val="0"/>
              <w:widowControl w:val="0"/>
              <w:kinsoku/>
              <w:wordWrap/>
              <w:overflowPunct/>
              <w:topLinePunct w:val="0"/>
              <w:bidi w:val="0"/>
              <w:snapToGrid w:val="0"/>
              <w:spacing w:line="360" w:lineRule="exact"/>
              <w:textAlignment w:val="auto"/>
              <w:rPr>
                <w:rFonts w:ascii="仿宋" w:hAnsi="仿宋" w:eastAsia="仿宋" w:cs="仿宋"/>
                <w:b/>
                <w:bCs/>
                <w:color w:val="auto"/>
                <w:sz w:val="24"/>
                <w:szCs w:val="24"/>
                <w:highlight w:val="none"/>
              </w:rPr>
            </w:pPr>
            <w:r>
              <w:rPr>
                <w:rFonts w:hint="eastAsia" w:ascii="仿宋" w:hAnsi="仿宋" w:eastAsia="仿宋" w:cs="仿宋"/>
                <w:color w:val="auto"/>
                <w:kern w:val="2"/>
                <w:sz w:val="24"/>
                <w:szCs w:val="24"/>
                <w:highlight w:val="none"/>
              </w:rPr>
              <w:t>诸暨市宸佳工程管理有限公司</w:t>
            </w:r>
            <w:r>
              <w:rPr>
                <w:rFonts w:hint="eastAsia" w:ascii="仿宋" w:hAnsi="仿宋" w:eastAsia="仿宋" w:cs="仿宋"/>
                <w:color w:val="auto"/>
                <w:kern w:val="2"/>
                <w:sz w:val="24"/>
                <w:szCs w:val="24"/>
                <w:highlight w:val="none"/>
                <w:lang w:val="en-US" w:eastAsia="zh-CN"/>
              </w:rPr>
              <w:t>二</w:t>
            </w:r>
            <w:r>
              <w:rPr>
                <w:rFonts w:hint="eastAsia" w:ascii="仿宋" w:hAnsi="仿宋" w:eastAsia="仿宋" w:cs="仿宋"/>
                <w:color w:val="auto"/>
                <w:kern w:val="2"/>
                <w:sz w:val="24"/>
                <w:szCs w:val="24"/>
                <w:highlight w:val="none"/>
              </w:rPr>
              <w:t>楼评标室（</w:t>
            </w:r>
            <w:r>
              <w:rPr>
                <w:rFonts w:hint="eastAsia" w:ascii="仿宋" w:hAnsi="仿宋" w:eastAsia="仿宋" w:cs="仿宋"/>
                <w:color w:val="auto"/>
                <w:kern w:val="2"/>
                <w:sz w:val="24"/>
                <w:szCs w:val="24"/>
                <w:highlight w:val="none"/>
                <w:lang w:eastAsia="zh-CN"/>
              </w:rPr>
              <w:t>诸暨市暨阳街道苎萝东路218号金悦华庭商铺232号</w:t>
            </w:r>
            <w:r>
              <w:rPr>
                <w:rFonts w:hint="eastAsia" w:ascii="仿宋" w:hAnsi="仿宋" w:eastAsia="仿宋" w:cs="仿宋"/>
                <w:color w:val="auto"/>
                <w:kern w:val="2"/>
                <w:sz w:val="24"/>
                <w:szCs w:val="24"/>
                <w:highlight w:val="none"/>
              </w:rPr>
              <w:t>）</w:t>
            </w:r>
          </w:p>
        </w:tc>
      </w:tr>
      <w:tr w14:paraId="2A1100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08E54EF6">
            <w:pPr>
              <w:pStyle w:val="29"/>
              <w:keepNext w:val="0"/>
              <w:keepLines w:val="0"/>
              <w:pageBreakBefore w:val="0"/>
              <w:widowControl w:val="0"/>
              <w:kinsoku/>
              <w:wordWrap/>
              <w:overflowPunct/>
              <w:topLinePunct w:val="0"/>
              <w:bidi w:val="0"/>
              <w:spacing w:line="360" w:lineRule="exact"/>
              <w:jc w:val="center"/>
              <w:textAlignment w:val="auto"/>
              <w:rPr>
                <w:rFonts w:hint="default" w:ascii="仿宋" w:hAnsi="仿宋" w:eastAsia="仿宋" w:cs="仿宋"/>
                <w:b/>
                <w:color w:val="auto"/>
                <w:szCs w:val="24"/>
                <w:highlight w:val="none"/>
                <w:lang w:val="en-US" w:eastAsia="zh-CN"/>
              </w:rPr>
            </w:pPr>
            <w:r>
              <w:rPr>
                <w:rFonts w:hint="eastAsia" w:ascii="仿宋" w:hAnsi="仿宋" w:eastAsia="仿宋" w:cs="仿宋"/>
                <w:b/>
                <w:color w:val="auto"/>
                <w:szCs w:val="24"/>
                <w:highlight w:val="none"/>
                <w:lang w:val="en-US" w:eastAsia="zh-CN"/>
              </w:rPr>
              <w:t>25</w:t>
            </w:r>
          </w:p>
        </w:tc>
        <w:tc>
          <w:tcPr>
            <w:tcW w:w="1747" w:type="dxa"/>
            <w:vAlign w:val="center"/>
          </w:tcPr>
          <w:p w14:paraId="3AB37CA9">
            <w:pPr>
              <w:pStyle w:val="29"/>
              <w:keepNext w:val="0"/>
              <w:keepLines w:val="0"/>
              <w:pageBreakBefore w:val="0"/>
              <w:widowControl w:val="0"/>
              <w:kinsoku/>
              <w:wordWrap/>
              <w:overflowPunct/>
              <w:topLinePunct w:val="0"/>
              <w:bidi w:val="0"/>
              <w:spacing w:line="36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其他</w:t>
            </w:r>
          </w:p>
        </w:tc>
        <w:tc>
          <w:tcPr>
            <w:tcW w:w="7618" w:type="dxa"/>
            <w:vAlign w:val="center"/>
          </w:tcPr>
          <w:p w14:paraId="0DB5EE63">
            <w:pPr>
              <w:pStyle w:val="47"/>
              <w:keepNext w:val="0"/>
              <w:keepLines w:val="0"/>
              <w:pageBreakBefore w:val="0"/>
              <w:widowControl w:val="0"/>
              <w:numPr>
                <w:ilvl w:val="0"/>
                <w:numId w:val="0"/>
              </w:numPr>
              <w:kinsoku/>
              <w:wordWrap/>
              <w:overflowPunct/>
              <w:topLinePunct w:val="0"/>
              <w:autoSpaceDE w:val="0"/>
              <w:bidi w:val="0"/>
              <w:spacing w:before="0" w:beforeAutospacing="0" w:after="0" w:afterAutospacing="0" w:line="360" w:lineRule="exact"/>
              <w:textAlignment w:val="auto"/>
              <w:rPr>
                <w:rFonts w:ascii="仿宋" w:hAnsi="仿宋" w:eastAsia="仿宋" w:cs="仿宋"/>
                <w:color w:val="auto"/>
                <w:highlight w:val="none"/>
                <w:lang w:bidi="ar"/>
              </w:rPr>
            </w:pPr>
            <w:r>
              <w:rPr>
                <w:rFonts w:ascii="仿宋" w:hAnsi="仿宋" w:eastAsia="仿宋" w:cs="仿宋"/>
                <w:color w:val="auto"/>
                <w:kern w:val="2"/>
                <w:sz w:val="24"/>
                <w:szCs w:val="24"/>
                <w:highlight w:val="none"/>
                <w:lang w:val="en-US" w:eastAsia="zh-CN" w:bidi="ar"/>
              </w:rPr>
              <w:t>（1）</w:t>
            </w:r>
            <w:r>
              <w:rPr>
                <w:rFonts w:hint="eastAsia" w:ascii="仿宋" w:hAnsi="仿宋" w:eastAsia="仿宋" w:cs="仿宋"/>
                <w:color w:val="auto"/>
                <w:highlight w:val="none"/>
                <w:lang w:bidi="ar"/>
              </w:rPr>
              <w:t>具体收费标准按诸国资办【2021】5号关于印发《诸暨市国有企业货物和服务采购管理办法》的通知文件执行。</w:t>
            </w:r>
            <w:r>
              <w:rPr>
                <w:rFonts w:hint="eastAsia" w:ascii="仿宋" w:hAnsi="仿宋" w:eastAsia="仿宋" w:cs="仿宋"/>
                <w:color w:val="auto"/>
                <w:highlight w:val="none"/>
                <w:lang w:val="en-US" w:eastAsia="zh-CN" w:bidi="ar"/>
              </w:rPr>
              <w:t>不足3000元按3000元收取，最高不超过15000元。</w:t>
            </w:r>
            <w:r>
              <w:rPr>
                <w:rFonts w:hint="eastAsia" w:ascii="仿宋" w:hAnsi="仿宋" w:eastAsia="仿宋" w:cs="仿宋"/>
                <w:color w:val="auto"/>
                <w:highlight w:val="none"/>
                <w:lang w:bidi="ar"/>
              </w:rPr>
              <w:t>（以上费用请供应商在报价时一并考虑）</w:t>
            </w:r>
          </w:p>
          <w:p w14:paraId="1651E2EE">
            <w:pPr>
              <w:pStyle w:val="47"/>
              <w:keepNext w:val="0"/>
              <w:keepLines w:val="0"/>
              <w:pageBreakBefore w:val="0"/>
              <w:widowControl w:val="0"/>
              <w:kinsoku/>
              <w:wordWrap/>
              <w:overflowPunct/>
              <w:topLinePunct w:val="0"/>
              <w:autoSpaceDE w:val="0"/>
              <w:bidi w:val="0"/>
              <w:spacing w:before="0" w:beforeAutospacing="0" w:after="0" w:afterAutospacing="0" w:line="360" w:lineRule="exact"/>
              <w:textAlignment w:val="auto"/>
              <w:rPr>
                <w:rFonts w:ascii="仿宋" w:hAnsi="仿宋" w:eastAsia="仿宋" w:cs="仿宋"/>
                <w:color w:val="auto"/>
                <w:highlight w:val="none"/>
                <w:lang w:bidi="ar"/>
              </w:rPr>
            </w:pPr>
            <w:r>
              <w:rPr>
                <w:rFonts w:hint="eastAsia" w:ascii="仿宋" w:hAnsi="仿宋" w:eastAsia="仿宋" w:cs="仿宋"/>
                <w:color w:val="auto"/>
                <w:highlight w:val="none"/>
                <w:lang w:bidi="ar"/>
              </w:rPr>
              <w:t>（2）收取方式：本项目的招标代理服务费由中标人支付，在领取</w:t>
            </w:r>
            <w:r>
              <w:rPr>
                <w:rFonts w:hint="eastAsia" w:ascii="仿宋" w:hAnsi="仿宋" w:eastAsia="仿宋" w:cs="仿宋"/>
                <w:color w:val="auto"/>
                <w:highlight w:val="none"/>
                <w:lang w:eastAsia="zh-CN" w:bidi="ar"/>
              </w:rPr>
              <w:t>《</w:t>
            </w:r>
            <w:r>
              <w:rPr>
                <w:rFonts w:hint="eastAsia" w:ascii="仿宋" w:hAnsi="仿宋" w:eastAsia="仿宋" w:cs="仿宋"/>
                <w:color w:val="auto"/>
                <w:highlight w:val="none"/>
                <w:lang w:bidi="ar"/>
              </w:rPr>
              <w:t>中标通知书</w:t>
            </w:r>
            <w:r>
              <w:rPr>
                <w:rFonts w:hint="eastAsia" w:ascii="仿宋" w:hAnsi="仿宋" w:eastAsia="仿宋" w:cs="仿宋"/>
                <w:color w:val="auto"/>
                <w:highlight w:val="none"/>
                <w:lang w:eastAsia="zh-CN" w:bidi="ar"/>
              </w:rPr>
              <w:t>》</w:t>
            </w:r>
            <w:r>
              <w:rPr>
                <w:rFonts w:hint="eastAsia" w:ascii="仿宋" w:hAnsi="仿宋" w:eastAsia="仿宋" w:cs="仿宋"/>
                <w:color w:val="auto"/>
                <w:highlight w:val="none"/>
                <w:lang w:bidi="ar"/>
              </w:rPr>
              <w:t>前，一次性向采购代理机构付清。</w:t>
            </w:r>
          </w:p>
          <w:p w14:paraId="4D855231">
            <w:pPr>
              <w:keepNext w:val="0"/>
              <w:keepLines w:val="0"/>
              <w:pageBreakBefore w:val="0"/>
              <w:widowControl w:val="0"/>
              <w:kinsoku/>
              <w:wordWrap/>
              <w:overflowPunct/>
              <w:topLinePunct w:val="0"/>
              <w:bidi w:val="0"/>
              <w:spacing w:line="360" w:lineRule="exact"/>
              <w:textAlignment w:val="auto"/>
              <w:rPr>
                <w:rFonts w:ascii="仿宋" w:hAnsi="仿宋" w:eastAsia="仿宋" w:cs="仿宋"/>
                <w:b/>
                <w:bCs/>
                <w:color w:val="auto"/>
                <w:sz w:val="24"/>
                <w:szCs w:val="24"/>
                <w:highlight w:val="none"/>
              </w:rPr>
            </w:pPr>
            <w:r>
              <w:rPr>
                <w:rFonts w:hint="eastAsia" w:ascii="仿宋" w:hAnsi="仿宋" w:eastAsia="仿宋" w:cs="仿宋"/>
                <w:color w:val="auto"/>
                <w:kern w:val="2"/>
                <w:sz w:val="24"/>
                <w:szCs w:val="24"/>
                <w:highlight w:val="none"/>
                <w:lang w:bidi="ar"/>
              </w:rPr>
              <w:t>（3）代理费缴纳账户：诸暨市宸佳工程管理有限公司，开户行：诸暨农村商业银行股份有限公司暨阳支行，账号：201000274056269</w:t>
            </w:r>
          </w:p>
        </w:tc>
      </w:tr>
      <w:tr w14:paraId="619840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251813FB">
            <w:pPr>
              <w:pStyle w:val="29"/>
              <w:keepNext w:val="0"/>
              <w:keepLines w:val="0"/>
              <w:pageBreakBefore w:val="0"/>
              <w:widowControl w:val="0"/>
              <w:kinsoku/>
              <w:wordWrap/>
              <w:overflowPunct/>
              <w:topLinePunct w:val="0"/>
              <w:bidi w:val="0"/>
              <w:spacing w:line="360" w:lineRule="exact"/>
              <w:jc w:val="center"/>
              <w:textAlignment w:val="auto"/>
              <w:rPr>
                <w:rFonts w:hint="default" w:ascii="仿宋" w:hAnsi="仿宋" w:eastAsia="仿宋" w:cs="仿宋"/>
                <w:b/>
                <w:color w:val="auto"/>
                <w:szCs w:val="24"/>
                <w:highlight w:val="none"/>
                <w:lang w:val="en-US" w:eastAsia="zh-CN"/>
              </w:rPr>
            </w:pPr>
            <w:r>
              <w:rPr>
                <w:rFonts w:hint="eastAsia" w:ascii="仿宋" w:hAnsi="仿宋" w:eastAsia="仿宋" w:cs="仿宋"/>
                <w:b/>
                <w:color w:val="auto"/>
                <w:szCs w:val="24"/>
                <w:highlight w:val="none"/>
                <w:lang w:val="en-US" w:eastAsia="zh-CN"/>
              </w:rPr>
              <w:t>26</w:t>
            </w:r>
          </w:p>
        </w:tc>
        <w:tc>
          <w:tcPr>
            <w:tcW w:w="1747" w:type="dxa"/>
            <w:vAlign w:val="center"/>
          </w:tcPr>
          <w:p w14:paraId="215AA790">
            <w:pPr>
              <w:pStyle w:val="29"/>
              <w:keepNext w:val="0"/>
              <w:keepLines w:val="0"/>
              <w:pageBreakBefore w:val="0"/>
              <w:widowControl w:val="0"/>
              <w:kinsoku/>
              <w:wordWrap/>
              <w:overflowPunct/>
              <w:topLinePunct w:val="0"/>
              <w:bidi w:val="0"/>
              <w:spacing w:line="36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特别提醒</w:t>
            </w:r>
          </w:p>
        </w:tc>
        <w:tc>
          <w:tcPr>
            <w:tcW w:w="7618" w:type="dxa"/>
            <w:vAlign w:val="center"/>
          </w:tcPr>
          <w:p w14:paraId="6E661759">
            <w:pPr>
              <w:keepNext w:val="0"/>
              <w:keepLines w:val="0"/>
              <w:pageBreakBefore w:val="0"/>
              <w:widowControl w:val="0"/>
              <w:kinsoku/>
              <w:wordWrap/>
              <w:overflowPunct/>
              <w:topLinePunct w:val="0"/>
              <w:bidi w:val="0"/>
              <w:snapToGrid w:val="0"/>
              <w:spacing w:line="360" w:lineRule="exact"/>
              <w:textAlignment w:val="auto"/>
              <w:rPr>
                <w:rFonts w:ascii="仿宋" w:hAnsi="仿宋" w:eastAsia="仿宋" w:cs="仿宋"/>
                <w:color w:val="auto"/>
                <w:szCs w:val="24"/>
                <w:highlight w:val="none"/>
              </w:rPr>
            </w:pPr>
            <w:r>
              <w:rPr>
                <w:rFonts w:hint="eastAsia" w:ascii="仿宋" w:hAnsi="仿宋" w:eastAsia="仿宋" w:cs="仿宋"/>
                <w:b/>
                <w:color w:val="auto"/>
                <w:sz w:val="24"/>
                <w:szCs w:val="24"/>
                <w:highlight w:val="none"/>
              </w:rPr>
              <w:t>请投标人仔细阅读本招标文件，其中若带有“★”标记的条款为实质性内容及要求，投标人必须对带有“★”标记的条款作出实质性响应。</w:t>
            </w:r>
            <w:r>
              <w:rPr>
                <w:rFonts w:hint="eastAsia" w:ascii="仿宋" w:hAnsi="仿宋" w:eastAsia="仿宋" w:cs="仿宋"/>
                <w:b/>
                <w:color w:val="auto"/>
                <w:sz w:val="24"/>
                <w:highlight w:val="none"/>
              </w:rPr>
              <w:t>如任意一条打“★”的条款出现负偏离视为实质性不响应招标文件要求，作无效投标处理。</w:t>
            </w:r>
          </w:p>
        </w:tc>
      </w:tr>
    </w:tbl>
    <w:p w14:paraId="3C6F84EA">
      <w:pPr>
        <w:rPr>
          <w:rFonts w:ascii="宋体" w:hAnsi="宋体"/>
          <w:color w:val="auto"/>
          <w:highlight w:val="none"/>
        </w:rPr>
        <w:sectPr>
          <w:pgSz w:w="11905"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type="lines" w:linePitch="317" w:charSpace="0"/>
        </w:sectPr>
      </w:pPr>
    </w:p>
    <w:bookmarkEnd w:id="2"/>
    <w:p w14:paraId="109FBC03">
      <w:pPr>
        <w:pStyle w:val="8"/>
        <w:spacing w:before="0" w:after="0" w:line="240"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一、总</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则</w:t>
      </w:r>
    </w:p>
    <w:p w14:paraId="0DAE366F">
      <w:pPr>
        <w:spacing w:line="420" w:lineRule="exact"/>
        <w:ind w:firstLine="482" w:firstLineChars="200"/>
        <w:rPr>
          <w:rFonts w:ascii="仿宋" w:hAnsi="仿宋" w:eastAsia="仿宋" w:cs="仿宋"/>
          <w:color w:val="auto"/>
          <w:highlight w:val="none"/>
        </w:rPr>
      </w:pPr>
      <w:r>
        <w:rPr>
          <w:rFonts w:hint="eastAsia" w:ascii="仿宋" w:hAnsi="仿宋" w:eastAsia="仿宋" w:cs="仿宋"/>
          <w:b/>
          <w:bCs/>
          <w:color w:val="auto"/>
          <w:sz w:val="24"/>
          <w:highlight w:val="none"/>
        </w:rPr>
        <w:t>1.</w:t>
      </w:r>
      <w:r>
        <w:rPr>
          <w:rFonts w:hint="eastAsia" w:ascii="仿宋" w:hAnsi="仿宋" w:eastAsia="仿宋" w:cs="仿宋"/>
          <w:b/>
          <w:color w:val="auto"/>
          <w:sz w:val="24"/>
          <w:highlight w:val="none"/>
        </w:rPr>
        <w:t>适用范围</w:t>
      </w:r>
    </w:p>
    <w:p w14:paraId="3D5FCA25">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本招标文件适用于本次所述项目的招标。</w:t>
      </w:r>
    </w:p>
    <w:p w14:paraId="4CB04E7F">
      <w:pPr>
        <w:snapToGrid w:val="0"/>
        <w:spacing w:line="420" w:lineRule="exact"/>
        <w:ind w:firstLine="482" w:firstLineChars="20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3EA1E4E2">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2.1“采购人”系指组织本次招标的单位。</w:t>
      </w:r>
    </w:p>
    <w:p w14:paraId="49C19102">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2.2“采购代理机构”系指诸暨市宸佳工程管理有限公司。</w:t>
      </w:r>
    </w:p>
    <w:p w14:paraId="25B7E4AE">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2.3“投标人”系指向采购人和采购代理机构提交投标文件的供应商。</w:t>
      </w:r>
    </w:p>
    <w:p w14:paraId="68EC122C">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2.4“货物”系指供方按招标文件规定，须向采购人提供的一切设备、保险、税金、备品备件、工具、手册及其它有关技术资料和材料。</w:t>
      </w:r>
    </w:p>
    <w:p w14:paraId="2F0160BD">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2.5“服务”系指招标文件规定投标人须承担的安装、调试、技术协助、校准、培训、技术指导以及其他类似的义务。</w:t>
      </w:r>
    </w:p>
    <w:p w14:paraId="71A19E2B">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2.6“项目”系指投标人按招标文件规定向采购人提供的货物和服务。</w:t>
      </w:r>
    </w:p>
    <w:p w14:paraId="78EB5FA0">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2.7“书面形式”包括信函、传真、电报等。</w:t>
      </w:r>
    </w:p>
    <w:p w14:paraId="3B707751">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2.8本招标文件所述设备品牌、型号是结合实际现有情况的推荐性参考方案，投标人也可根据招标文件得要求参考性能相当或高于、服务条款相等或高于、符合招标方实际业务需求其他同档次优质品牌的产品，进行方案优化。所投产品不在参考品牌范围内的，是否符合招标文件要求由评标委员会在投标文件评审时集体讨论决定。</w:t>
      </w:r>
    </w:p>
    <w:p w14:paraId="63ECC2C8">
      <w:pPr>
        <w:snapToGrid w:val="0"/>
        <w:spacing w:line="420" w:lineRule="exact"/>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3.采购方式</w:t>
      </w:r>
    </w:p>
    <w:p w14:paraId="435C5600">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本次采购采用公开招标方式进行。</w:t>
      </w:r>
    </w:p>
    <w:p w14:paraId="1297C16E">
      <w:pPr>
        <w:snapToGrid w:val="0"/>
        <w:spacing w:line="420" w:lineRule="exact"/>
        <w:ind w:firstLine="482" w:firstLineChars="20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4.投标人及投标委托有关说明</w:t>
      </w:r>
    </w:p>
    <w:p w14:paraId="651BDB18">
      <w:pPr>
        <w:snapToGrid w:val="0"/>
        <w:spacing w:line="420" w:lineRule="exact"/>
        <w:ind w:firstLine="480" w:firstLineChars="200"/>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4.1授权代表须为投标人正式员工，投标文件中需提供授权书及法定代表人和被授权人身份证复印件加盖投标人公章。法人代表只需提供身份证复印件。</w:t>
      </w:r>
    </w:p>
    <w:p w14:paraId="30E26EF2">
      <w:pPr>
        <w:snapToGrid w:val="0"/>
        <w:spacing w:line="420" w:lineRule="exact"/>
        <w:ind w:firstLine="482" w:firstLineChars="20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5.投标费用</w:t>
      </w:r>
    </w:p>
    <w:p w14:paraId="14704C9C">
      <w:pPr>
        <w:snapToGrid w:val="0"/>
        <w:spacing w:line="420" w:lineRule="exact"/>
        <w:ind w:firstLine="480" w:firstLineChars="200"/>
        <w:jc w:val="left"/>
        <w:outlineLvl w:val="1"/>
        <w:rPr>
          <w:rFonts w:ascii="仿宋" w:hAnsi="仿宋" w:eastAsia="仿宋" w:cs="仿宋"/>
          <w:color w:val="auto"/>
          <w:sz w:val="24"/>
          <w:highlight w:val="none"/>
        </w:rPr>
      </w:pPr>
      <w:r>
        <w:rPr>
          <w:rFonts w:hint="eastAsia" w:ascii="仿宋" w:hAnsi="仿宋" w:eastAsia="仿宋" w:cs="仿宋"/>
          <w:color w:val="auto"/>
          <w:sz w:val="24"/>
          <w:highlight w:val="none"/>
        </w:rPr>
        <w:t>投标人应自行承担获得招标文件和编制、提交投标文件所涉及的一切费用。不论投标结果如何，投标人均应自行承担所有与投标有关的全部费用。对中标人收取采购代理服务费。</w:t>
      </w:r>
    </w:p>
    <w:p w14:paraId="3C501750">
      <w:pPr>
        <w:snapToGrid w:val="0"/>
        <w:spacing w:line="420" w:lineRule="exact"/>
        <w:ind w:firstLine="482" w:firstLineChars="20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6.特别说明</w:t>
      </w:r>
    </w:p>
    <w:p w14:paraId="0ADF929A">
      <w:pPr>
        <w:pStyle w:val="29"/>
        <w:snapToGrid w:val="0"/>
        <w:spacing w:line="42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6.1投标人应仔细阅读招标文件的所有内容，按照招标文件的要求提交投标文件，并对所提供的全部资料的真实性承担法律责任。</w:t>
      </w:r>
    </w:p>
    <w:p w14:paraId="7956319D">
      <w:pPr>
        <w:pStyle w:val="29"/>
        <w:snapToGrid w:val="0"/>
        <w:spacing w:line="42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6.2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40278A91">
      <w:pPr>
        <w:pStyle w:val="29"/>
        <w:snapToGrid w:val="0"/>
        <w:spacing w:line="42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6.3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14:paraId="566B37C2">
      <w:pPr>
        <w:pStyle w:val="29"/>
        <w:snapToGrid w:val="0"/>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6.4供应商在采购项目投标过程中应诚实守信，不弄虚作假，不隐瞒真实情况，不围标串标，不恶意质疑投诉。如违反上述要求，经核实后，供应商的投标将作废，将该供应商列入不良记录名单并在网上曝光，同时提请政府采购监督管理部门给予一定年限内禁止参加政府采购活动的处罚或其他处罚。</w:t>
      </w:r>
    </w:p>
    <w:p w14:paraId="072893D8">
      <w:pPr>
        <w:pStyle w:val="29"/>
        <w:snapToGrid w:val="0"/>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6.5本项目涉及采购货物必须是全新、未使用过的原装合格正品（包括零部件），如安装或配置了软件的，须为正版软件。</w:t>
      </w:r>
    </w:p>
    <w:p w14:paraId="7E617305">
      <w:pPr>
        <w:pStyle w:val="29"/>
        <w:snapToGrid w:val="0"/>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6.6国产的货物及其有关服务必须符合中华人民共和国的设计和制造生产标准或行业标准。招标公告有其他要求的，亦应符合其要求。</w:t>
      </w:r>
    </w:p>
    <w:p w14:paraId="1F1B9C47">
      <w:pPr>
        <w:pStyle w:val="29"/>
        <w:snapToGrid w:val="0"/>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6.7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6F8A3790">
      <w:pPr>
        <w:snapToGrid w:val="0"/>
        <w:spacing w:line="420" w:lineRule="exact"/>
        <w:ind w:firstLine="482" w:firstLineChars="20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7.询问、质疑和投诉</w:t>
      </w:r>
    </w:p>
    <w:p w14:paraId="7CE010C0">
      <w:pPr>
        <w:pStyle w:val="29"/>
        <w:snapToGrid w:val="0"/>
        <w:spacing w:line="420" w:lineRule="exact"/>
        <w:ind w:firstLine="480" w:firstLineChars="200"/>
        <w:rPr>
          <w:rFonts w:ascii="仿宋" w:hAnsi="仿宋" w:eastAsia="仿宋" w:cs="仿宋"/>
          <w:color w:val="auto"/>
          <w:highlight w:val="none"/>
        </w:rPr>
      </w:pPr>
      <w:bookmarkStart w:id="3" w:name="_Toc125344504"/>
      <w:r>
        <w:rPr>
          <w:rFonts w:hint="eastAsia" w:ascii="仿宋" w:hAnsi="仿宋" w:eastAsia="仿宋" w:cs="仿宋"/>
          <w:bCs/>
          <w:color w:val="auto"/>
          <w:highlight w:val="none"/>
        </w:rPr>
        <w:t>7.1投标人认为招标文件、招标过程和中标结果使自己的合法权益受到损害的，应当在知道或者</w:t>
      </w:r>
      <w:r>
        <w:rPr>
          <w:rFonts w:hint="eastAsia" w:ascii="仿宋" w:hAnsi="仿宋" w:eastAsia="仿宋" w:cs="仿宋"/>
          <w:color w:val="auto"/>
          <w:highlight w:val="none"/>
        </w:rPr>
        <w:t>应知其权益受到损害之日起七个工作日内，以书面形式向采购人、采购代理机构提出质疑。投标人对采购人的质疑答复不满意或者采购人未在规定时间内作出答复的，可以在答复期满后十五个工作日内向同级采购监管部门投诉。逾期提出的，采购代理机构不予受理、答复。</w:t>
      </w:r>
    </w:p>
    <w:p w14:paraId="6F063F69">
      <w:pPr>
        <w:pStyle w:val="29"/>
        <w:snapToGrid w:val="0"/>
        <w:spacing w:line="420" w:lineRule="exact"/>
        <w:ind w:firstLine="480" w:firstLineChars="200"/>
        <w:rPr>
          <w:rFonts w:ascii="仿宋" w:hAnsi="仿宋" w:eastAsia="仿宋" w:cs="仿宋"/>
          <w:color w:val="auto"/>
          <w:highlight w:val="none"/>
        </w:rPr>
      </w:pPr>
      <w:r>
        <w:rPr>
          <w:rFonts w:hint="eastAsia" w:ascii="仿宋" w:hAnsi="仿宋" w:eastAsia="仿宋" w:cs="仿宋"/>
          <w:bCs/>
          <w:color w:val="auto"/>
          <w:highlight w:val="none"/>
        </w:rPr>
        <w:t>7.2质疑、投诉应当采用书面形式，质疑书、投诉书均应明确阐述招标文件、招标过程和中标结果中使自己合法权益受到损害的实质性内容，提供相关事实、依据和证据及</w:t>
      </w:r>
      <w:r>
        <w:rPr>
          <w:rFonts w:hint="eastAsia" w:ascii="仿宋" w:hAnsi="仿宋" w:eastAsia="仿宋" w:cs="仿宋"/>
          <w:color w:val="auto"/>
          <w:highlight w:val="none"/>
        </w:rPr>
        <w:t>其来源或线索，便于有关单位调查、答复和处理。</w:t>
      </w:r>
    </w:p>
    <w:p w14:paraId="0D057A2F">
      <w:pPr>
        <w:pStyle w:val="29"/>
        <w:snapToGrid w:val="0"/>
        <w:spacing w:line="420" w:lineRule="exact"/>
        <w:ind w:firstLine="480" w:firstLineChars="200"/>
        <w:rPr>
          <w:rFonts w:ascii="仿宋" w:hAnsi="仿宋" w:eastAsia="仿宋" w:cs="仿宋"/>
          <w:color w:val="auto"/>
          <w:szCs w:val="24"/>
          <w:highlight w:val="none"/>
        </w:rPr>
      </w:pPr>
      <w:r>
        <w:rPr>
          <w:rFonts w:hint="eastAsia" w:ascii="仿宋" w:hAnsi="仿宋" w:eastAsia="仿宋" w:cs="仿宋"/>
          <w:color w:val="auto"/>
          <w:highlight w:val="none"/>
        </w:rPr>
        <w:t>7.3</w:t>
      </w:r>
      <w:r>
        <w:rPr>
          <w:rFonts w:hint="eastAsia" w:ascii="仿宋" w:hAnsi="仿宋" w:eastAsia="仿宋" w:cs="仿宋"/>
          <w:color w:val="auto"/>
          <w:szCs w:val="24"/>
          <w:highlight w:val="none"/>
        </w:rPr>
        <w:t>采购代理机构与采购人研究后，对认为有</w:t>
      </w:r>
      <w:r>
        <w:rPr>
          <w:rFonts w:hint="eastAsia" w:ascii="仿宋" w:hAnsi="仿宋" w:eastAsia="仿宋" w:cs="仿宋"/>
          <w:color w:val="auto"/>
          <w:highlight w:val="none"/>
        </w:rPr>
        <w:t>必要</w:t>
      </w:r>
      <w:r>
        <w:rPr>
          <w:rFonts w:hint="eastAsia" w:ascii="仿宋" w:hAnsi="仿宋" w:eastAsia="仿宋" w:cs="仿宋"/>
          <w:color w:val="auto"/>
          <w:szCs w:val="24"/>
          <w:highlight w:val="none"/>
        </w:rPr>
        <w:t>回答的问题，采购人和采购代理机构将补充（更正）以网上发布公告的形式通知所有投标人，补充（更正）是招标文件的</w:t>
      </w:r>
      <w:r>
        <w:rPr>
          <w:rFonts w:hint="eastAsia" w:ascii="仿宋" w:hAnsi="仿宋" w:eastAsia="仿宋" w:cs="仿宋"/>
          <w:color w:val="auto"/>
          <w:szCs w:val="24"/>
          <w:highlight w:val="none"/>
          <w:lang w:eastAsia="zh-CN"/>
        </w:rPr>
        <w:t>组成部分</w:t>
      </w:r>
      <w:r>
        <w:rPr>
          <w:rFonts w:hint="eastAsia" w:ascii="仿宋" w:hAnsi="仿宋" w:eastAsia="仿宋" w:cs="仿宋"/>
          <w:color w:val="auto"/>
          <w:szCs w:val="24"/>
          <w:highlight w:val="none"/>
        </w:rPr>
        <w:t>。</w:t>
      </w:r>
    </w:p>
    <w:p w14:paraId="5E16B5E2">
      <w:pPr>
        <w:pStyle w:val="29"/>
        <w:snapToGrid w:val="0"/>
        <w:spacing w:line="42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7.4</w:t>
      </w:r>
      <w:r>
        <w:rPr>
          <w:rFonts w:hint="eastAsia" w:ascii="仿宋" w:hAnsi="仿宋" w:eastAsia="仿宋" w:cs="仿宋"/>
          <w:b/>
          <w:color w:val="auto"/>
          <w:highlight w:val="none"/>
          <w:u w:val="single"/>
        </w:rPr>
        <w:t>质疑供应商在收到该更正（补充）公告后应于1日内，以书面或传真形式（签署意见并加盖公章）向采购代理机构回函给予确认。过期未回复的，视为默认接受。</w:t>
      </w:r>
    </w:p>
    <w:p w14:paraId="37687630">
      <w:pPr>
        <w:spacing w:line="48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二、招标文件</w:t>
      </w:r>
      <w:bookmarkEnd w:id="3"/>
    </w:p>
    <w:p w14:paraId="0DED3D22">
      <w:pPr>
        <w:snapToGrid w:val="0"/>
        <w:spacing w:line="420" w:lineRule="exact"/>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8.招标文件的构成。</w:t>
      </w:r>
    </w:p>
    <w:p w14:paraId="71D96A3A">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本招标文件由以下部</w:t>
      </w:r>
      <w:r>
        <w:rPr>
          <w:rFonts w:hint="eastAsia" w:ascii="仿宋" w:hAnsi="仿宋" w:eastAsia="仿宋" w:cs="仿宋"/>
          <w:color w:val="auto"/>
          <w:sz w:val="24"/>
          <w:highlight w:val="none"/>
          <w:lang w:val="en-US" w:eastAsia="zh-CN"/>
        </w:rPr>
        <w:t>分</w:t>
      </w:r>
      <w:r>
        <w:rPr>
          <w:rFonts w:hint="eastAsia" w:ascii="仿宋" w:hAnsi="仿宋" w:eastAsia="仿宋" w:cs="仿宋"/>
          <w:color w:val="auto"/>
          <w:sz w:val="24"/>
          <w:highlight w:val="none"/>
        </w:rPr>
        <w:t>组成：</w:t>
      </w:r>
    </w:p>
    <w:p w14:paraId="63696C64">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8.1招标公告；</w:t>
      </w:r>
    </w:p>
    <w:p w14:paraId="1AFAD7C8">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8.2投标人须知；</w:t>
      </w:r>
    </w:p>
    <w:p w14:paraId="56938F6C">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8.3评标办法及评分标准；</w:t>
      </w:r>
    </w:p>
    <w:p w14:paraId="7ACB6282">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8.4采购需求；</w:t>
      </w:r>
    </w:p>
    <w:p w14:paraId="4B07B88D">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8.5应提交的有关格式范例；</w:t>
      </w:r>
    </w:p>
    <w:p w14:paraId="5D17FC80">
      <w:pPr>
        <w:snapToGrid w:val="0"/>
        <w:spacing w:line="420" w:lineRule="exact"/>
        <w:ind w:firstLine="480" w:firstLineChars="200"/>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8.6本项目招标文件的澄清、答复、修改、补充的内容（如有）。</w:t>
      </w:r>
    </w:p>
    <w:p w14:paraId="68BF749D">
      <w:pPr>
        <w:snapToGrid w:val="0"/>
        <w:spacing w:line="420" w:lineRule="exact"/>
        <w:ind w:firstLine="482" w:firstLineChars="20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9.投标人的风险</w:t>
      </w:r>
    </w:p>
    <w:p w14:paraId="15C35C28">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9.1投标人应仔细阅读招标文件的所有内容，并按照招标文件的要求提交投标文件。投标人没有按照招标文件要求提供全部资料，或者投标人没有对招标文件在各方面作出实质性响应是投标人的风险，并可能导致其投标被拒绝。</w:t>
      </w:r>
    </w:p>
    <w:p w14:paraId="556895F3">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9.2任何人或任何组织向投标人提交的任何书面或口头资料，未经采购代理机构在网上发布或书面通知，均作无效处理，不得作为招标文件的组成部分。采购代理机构对投标人由此而做出的推论、理解和结论概不负责。</w:t>
      </w:r>
    </w:p>
    <w:p w14:paraId="112E5E65">
      <w:pPr>
        <w:snapToGrid w:val="0"/>
        <w:spacing w:line="420" w:lineRule="exact"/>
        <w:ind w:firstLine="482" w:firstLineChars="20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10.招标文件的澄清与修改</w:t>
      </w:r>
    </w:p>
    <w:p w14:paraId="3938E1E3">
      <w:pPr>
        <w:pStyle w:val="29"/>
        <w:snapToGrid w:val="0"/>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10.1</w:t>
      </w:r>
      <w:r>
        <w:rPr>
          <w:rFonts w:hint="eastAsia" w:ascii="仿宋" w:hAnsi="仿宋" w:eastAsia="仿宋" w:cs="仿宋"/>
          <w:bCs/>
          <w:color w:val="auto"/>
          <w:highlight w:val="none"/>
        </w:rPr>
        <w:t>投标人下载招标文件后，应认真阅读本招标文件的所有内容，发现其中有误或有不合理要求的，投标人必须按前附表规定的时间前以书面形式</w:t>
      </w:r>
      <w:r>
        <w:rPr>
          <w:rFonts w:hint="eastAsia" w:ascii="仿宋" w:hAnsi="仿宋" w:eastAsia="仿宋" w:cs="仿宋"/>
          <w:color w:val="auto"/>
          <w:highlight w:val="none"/>
        </w:rPr>
        <w:t>(包括书面文字、传真等)</w:t>
      </w:r>
      <w:r>
        <w:rPr>
          <w:rFonts w:hint="eastAsia" w:ascii="仿宋" w:hAnsi="仿宋" w:eastAsia="仿宋" w:cs="仿宋"/>
          <w:bCs/>
          <w:color w:val="auto"/>
          <w:highlight w:val="none"/>
        </w:rPr>
        <w:t>要求采购人澄清</w:t>
      </w:r>
      <w:r>
        <w:rPr>
          <w:rFonts w:hint="eastAsia" w:ascii="仿宋" w:hAnsi="仿宋" w:eastAsia="仿宋" w:cs="仿宋"/>
          <w:color w:val="auto"/>
          <w:highlight w:val="none"/>
        </w:rPr>
        <w:t>。逾期提出的，采购人将不予受理。</w:t>
      </w:r>
      <w:r>
        <w:rPr>
          <w:rFonts w:hint="eastAsia" w:ascii="仿宋" w:hAnsi="仿宋" w:eastAsia="仿宋" w:cs="仿宋"/>
          <w:color w:val="auto"/>
          <w:szCs w:val="24"/>
          <w:highlight w:val="none"/>
        </w:rPr>
        <w:t>采购代理机构与采购人研究后，对认为有必要回答的问题，采购人将补充（更正内容）以网上发布公告的形式通知所有投标人，补充（更正）内容是招标文件的</w:t>
      </w:r>
      <w:r>
        <w:rPr>
          <w:rFonts w:hint="eastAsia" w:ascii="仿宋" w:hAnsi="仿宋" w:eastAsia="仿宋" w:cs="仿宋"/>
          <w:color w:val="auto"/>
          <w:szCs w:val="24"/>
          <w:highlight w:val="none"/>
          <w:lang w:eastAsia="zh-CN"/>
        </w:rPr>
        <w:t>组成部分</w:t>
      </w:r>
      <w:r>
        <w:rPr>
          <w:rFonts w:hint="eastAsia" w:ascii="仿宋" w:hAnsi="仿宋" w:eastAsia="仿宋" w:cs="仿宋"/>
          <w:color w:val="auto"/>
          <w:szCs w:val="24"/>
          <w:highlight w:val="none"/>
        </w:rPr>
        <w:t>。</w:t>
      </w:r>
      <w:r>
        <w:rPr>
          <w:rFonts w:hint="eastAsia" w:ascii="仿宋" w:hAnsi="仿宋" w:eastAsia="仿宋" w:cs="仿宋"/>
          <w:color w:val="auto"/>
          <w:highlight w:val="none"/>
        </w:rPr>
        <w:t>投标人可以通过</w:t>
      </w:r>
      <w:r>
        <w:rPr>
          <w:rFonts w:hint="eastAsia" w:ascii="仿宋" w:hAnsi="仿宋" w:eastAsia="仿宋" w:cs="仿宋"/>
          <w:color w:val="auto"/>
          <w:highlight w:val="none"/>
          <w:lang w:val="en-US" w:eastAsia="zh-CN"/>
        </w:rPr>
        <w:t>浙江政府采购网</w:t>
      </w:r>
      <w:r>
        <w:rPr>
          <w:rFonts w:hint="eastAsia" w:ascii="仿宋" w:hAnsi="仿宋" w:eastAsia="仿宋" w:cs="仿宋"/>
          <w:color w:val="auto"/>
          <w:highlight w:val="none"/>
        </w:rPr>
        <w:t>自行下载，以确认已阅知该澄清或修改内容，否则，由此导致的风险由投标人自行承担，采购人不承担任何责任。</w:t>
      </w:r>
    </w:p>
    <w:p w14:paraId="559B0225">
      <w:pPr>
        <w:pStyle w:val="29"/>
        <w:snapToGrid w:val="0"/>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szCs w:val="24"/>
          <w:highlight w:val="none"/>
        </w:rPr>
        <w:t>10.2</w:t>
      </w:r>
      <w:r>
        <w:rPr>
          <w:rFonts w:hint="eastAsia" w:ascii="仿宋" w:hAnsi="仿宋" w:eastAsia="仿宋" w:cs="仿宋"/>
          <w:color w:val="auto"/>
          <w:highlight w:val="none"/>
        </w:rPr>
        <w:t>招标文件澄清、答复、修改、补充的内容为招标文件的组成部分。当招标文件与招标文件的答复、澄清、修改、补充公告就同一内容的表述不一致时，以最后发出的文件或公告或通知为准。</w:t>
      </w:r>
    </w:p>
    <w:p w14:paraId="0E10C1FF">
      <w:pPr>
        <w:pStyle w:val="29"/>
        <w:snapToGrid w:val="0"/>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10.3在投标截止时间前，采购人有权修改招标文件，并以网站发布补充公告的形式通知所有投标人，通知中没有注明更改投标截止时间的视为截止时间不变。修改的文件作为招标文件的补充和组成部分，对所有投标人均有约束力。</w:t>
      </w:r>
    </w:p>
    <w:p w14:paraId="7994F54F">
      <w:pPr>
        <w:pStyle w:val="29"/>
        <w:snapToGrid w:val="0"/>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10.4为使投标人在编制投标文件时，把补充公告内容进行研究，采购代理机构可以酌情推迟递交投标文件的截止时间。</w:t>
      </w:r>
    </w:p>
    <w:p w14:paraId="236116A3">
      <w:pPr>
        <w:pStyle w:val="29"/>
        <w:snapToGrid w:val="0"/>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10.5投标文件未按招标文件的澄清、修改的内容编制，又不符合实质性要求的，投标无效。</w:t>
      </w:r>
    </w:p>
    <w:p w14:paraId="4F6213B6">
      <w:pPr>
        <w:pStyle w:val="29"/>
        <w:snapToGrid w:val="0"/>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10.6投标人一旦参与本次招标活动，即被视为接受了本招标文件的所有内容，如有任何异议，均须在答疑截止时间前提出。</w:t>
      </w:r>
    </w:p>
    <w:p w14:paraId="6538C7B7">
      <w:pPr>
        <w:spacing w:line="480" w:lineRule="exact"/>
        <w:jc w:val="center"/>
        <w:rPr>
          <w:rFonts w:ascii="仿宋" w:hAnsi="仿宋" w:eastAsia="仿宋" w:cs="仿宋"/>
          <w:b/>
          <w:color w:val="auto"/>
          <w:sz w:val="28"/>
          <w:szCs w:val="28"/>
          <w:highlight w:val="none"/>
        </w:rPr>
      </w:pPr>
      <w:bookmarkStart w:id="4" w:name="_Toc125344505"/>
      <w:r>
        <w:rPr>
          <w:rFonts w:hint="eastAsia" w:ascii="仿宋" w:hAnsi="仿宋" w:eastAsia="仿宋" w:cs="仿宋"/>
          <w:b/>
          <w:color w:val="auto"/>
          <w:sz w:val="28"/>
          <w:szCs w:val="28"/>
          <w:highlight w:val="none"/>
        </w:rPr>
        <w:t>三、投标文件编制</w:t>
      </w:r>
      <w:bookmarkEnd w:id="4"/>
      <w:r>
        <w:rPr>
          <w:rFonts w:hint="eastAsia" w:ascii="仿宋" w:hAnsi="仿宋" w:eastAsia="仿宋" w:cs="仿宋"/>
          <w:b/>
          <w:color w:val="auto"/>
          <w:sz w:val="28"/>
          <w:szCs w:val="28"/>
          <w:highlight w:val="none"/>
        </w:rPr>
        <w:t>和提交</w:t>
      </w:r>
    </w:p>
    <w:p w14:paraId="5F833E4D">
      <w:pPr>
        <w:keepNext w:val="0"/>
        <w:keepLines w:val="0"/>
        <w:pageBreakBefore w:val="0"/>
        <w:widowControl w:val="0"/>
        <w:kinsoku/>
        <w:wordWrap/>
        <w:overflowPunct/>
        <w:topLinePunct w:val="0"/>
        <w:bidi w:val="0"/>
        <w:snapToGrid w:val="0"/>
        <w:spacing w:line="420" w:lineRule="exact"/>
        <w:ind w:firstLine="482" w:firstLineChars="200"/>
        <w:jc w:val="left"/>
        <w:textAlignment w:val="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11.投标文件的组成</w:t>
      </w:r>
    </w:p>
    <w:p w14:paraId="7C10AD62">
      <w:pPr>
        <w:snapToGrid w:val="0"/>
        <w:spacing w:line="420" w:lineRule="exact"/>
        <w:ind w:firstLine="480" w:firstLineChars="200"/>
        <w:jc w:val="left"/>
        <w:outlineLvl w:val="0"/>
        <w:rPr>
          <w:rFonts w:ascii="仿宋" w:hAnsi="仿宋" w:eastAsia="仿宋" w:cs="仿宋"/>
          <w:color w:val="auto"/>
          <w:sz w:val="24"/>
          <w:highlight w:val="none"/>
        </w:rPr>
      </w:pPr>
      <w:r>
        <w:rPr>
          <w:rFonts w:hint="eastAsia" w:ascii="仿宋" w:hAnsi="仿宋" w:eastAsia="仿宋" w:cs="仿宋"/>
          <w:color w:val="auto"/>
          <w:sz w:val="24"/>
          <w:highlight w:val="none"/>
        </w:rPr>
        <w:t>投标文件由资格文件、商务技术文件、报价文件三部分组成。详见前附表。</w:t>
      </w:r>
    </w:p>
    <w:p w14:paraId="5A9162CA">
      <w:pPr>
        <w:keepNext w:val="0"/>
        <w:keepLines w:val="0"/>
        <w:pageBreakBefore w:val="0"/>
        <w:widowControl w:val="0"/>
        <w:kinsoku/>
        <w:wordWrap/>
        <w:overflowPunct/>
        <w:topLinePunct w:val="0"/>
        <w:bidi w:val="0"/>
        <w:snapToGrid w:val="0"/>
        <w:spacing w:line="420" w:lineRule="exact"/>
        <w:ind w:firstLine="482" w:firstLineChars="200"/>
        <w:jc w:val="left"/>
        <w:textAlignment w:val="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12.投标文件的语言及计量</w:t>
      </w:r>
    </w:p>
    <w:p w14:paraId="07E5BA70">
      <w:pPr>
        <w:pStyle w:val="29"/>
        <w:keepNext w:val="0"/>
        <w:keepLines w:val="0"/>
        <w:pageBreakBefore w:val="0"/>
        <w:widowControl w:val="0"/>
        <w:kinsoku/>
        <w:wordWrap/>
        <w:overflowPunct/>
        <w:topLinePunct w:val="0"/>
        <w:bidi w:val="0"/>
        <w:snapToGrid w:val="0"/>
        <w:spacing w:line="420" w:lineRule="exact"/>
        <w:ind w:firstLine="48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12.1投标文件以及投标人与采购代理机构就有关投标事宜的所有往来通知、函电，均应以中文汉语书写。除签名、盖章、专用名称等特殊情形外，以中文汉语以外的文字表述的投标文件视同未提供。投标人随投标文件提供的证明文件和资料可以为其它语言，但必须附中文译文。翻译的中文资料与外文资料如果出现差异时，以中文为准，但翻译错误的除外。</w:t>
      </w:r>
    </w:p>
    <w:p w14:paraId="19B5F4F3">
      <w:pPr>
        <w:pStyle w:val="29"/>
        <w:keepNext w:val="0"/>
        <w:keepLines w:val="0"/>
        <w:pageBreakBefore w:val="0"/>
        <w:widowControl w:val="0"/>
        <w:kinsoku/>
        <w:wordWrap/>
        <w:overflowPunct/>
        <w:topLinePunct w:val="0"/>
        <w:bidi w:val="0"/>
        <w:snapToGrid w:val="0"/>
        <w:spacing w:line="420" w:lineRule="exact"/>
        <w:ind w:firstLine="48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12.2投标计量单位，招标文件已有明确规定的，使用招标文件规定的计量单位；招标文件没有规定的，应采用中华人民共和国法定计量单位（货币单位：人民币元），否则视同未响应。</w:t>
      </w:r>
    </w:p>
    <w:p w14:paraId="6AEA3CFB">
      <w:pPr>
        <w:snapToGrid w:val="0"/>
        <w:spacing w:line="420" w:lineRule="exact"/>
        <w:ind w:firstLine="482" w:firstLineChars="200"/>
        <w:jc w:val="left"/>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13.投标报价</w:t>
      </w:r>
    </w:p>
    <w:p w14:paraId="64C1C87A">
      <w:pPr>
        <w:pStyle w:val="29"/>
        <w:snapToGrid w:val="0"/>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13.1投标报价应按招标文件中相关附表格式填写。本项目的投标应以人民币计。</w:t>
      </w:r>
    </w:p>
    <w:p w14:paraId="10CC3E9B">
      <w:pPr>
        <w:pStyle w:val="29"/>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13.2投标报价应包括货款、标准附件、备品备件、专用工具、包装、运输、装卸、保险、税金、货到就位以及安装、调试、培训、保修等一切税金和费用。投标报价（包括单价、总价等）均保留到小数点后两位（如：100.88元）。投标人必须报有合理单价，其将作为设备增减的主要依据。如有漏项，视同已包含在其它项目中，合同总价和单价不做调整。</w:t>
      </w:r>
    </w:p>
    <w:p w14:paraId="5186385A">
      <w:pPr>
        <w:pStyle w:val="29"/>
        <w:snapToGrid w:val="0"/>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13.3投标文件只允许有一个报价，有选择的或有条件的报价将不予接受。</w:t>
      </w:r>
    </w:p>
    <w:p w14:paraId="6A1E8BC3">
      <w:pPr>
        <w:pStyle w:val="29"/>
        <w:snapToGrid w:val="0"/>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13.4招标文件未列明，而投标人认为必需的费用也需列入报价。</w:t>
      </w:r>
    </w:p>
    <w:p w14:paraId="5D5A8172">
      <w:pPr>
        <w:pStyle w:val="29"/>
        <w:spacing w:line="420" w:lineRule="exact"/>
        <w:ind w:firstLine="480" w:firstLineChars="200"/>
        <w:rPr>
          <w:rFonts w:ascii="仿宋" w:hAnsi="仿宋" w:eastAsia="仿宋" w:cs="仿宋"/>
          <w:color w:val="auto"/>
          <w:szCs w:val="24"/>
          <w:highlight w:val="none"/>
        </w:rPr>
      </w:pPr>
      <w:r>
        <w:rPr>
          <w:rFonts w:hint="eastAsia" w:ascii="仿宋" w:hAnsi="仿宋" w:eastAsia="仿宋" w:cs="仿宋"/>
          <w:color w:val="auto"/>
          <w:highlight w:val="none"/>
        </w:rPr>
        <w:t>13.5</w:t>
      </w:r>
      <w:r>
        <w:rPr>
          <w:rFonts w:hint="eastAsia" w:ascii="仿宋" w:hAnsi="仿宋" w:eastAsia="仿宋" w:cs="仿宋"/>
          <w:color w:val="auto"/>
          <w:szCs w:val="24"/>
          <w:highlight w:val="none"/>
        </w:rPr>
        <w:t>中标后，中标人所填写的单价在合同实施期间不因市场变化因素而变动，投标人在计算报价时应考虑一定的风险系数。</w:t>
      </w:r>
    </w:p>
    <w:p w14:paraId="5D16D8AB">
      <w:pPr>
        <w:pStyle w:val="29"/>
        <w:snapToGrid w:val="0"/>
        <w:spacing w:line="420" w:lineRule="exact"/>
        <w:ind w:firstLine="482" w:firstLineChars="200"/>
        <w:rPr>
          <w:rFonts w:ascii="仿宋" w:hAnsi="仿宋" w:eastAsia="仿宋" w:cs="仿宋"/>
          <w:b/>
          <w:bCs/>
          <w:color w:val="auto"/>
          <w:highlight w:val="none"/>
        </w:rPr>
      </w:pPr>
      <w:r>
        <w:rPr>
          <w:rFonts w:hint="eastAsia" w:ascii="仿宋" w:hAnsi="仿宋" w:eastAsia="仿宋" w:cs="仿宋"/>
          <w:b/>
          <w:bCs/>
          <w:color w:val="auto"/>
          <w:highlight w:val="none"/>
        </w:rPr>
        <w:t>13.6投标人若有方案和报价未被唱标，应在开标时及时声明或提请采购代理机构宣读，否则是投标人自己的风险，采购代理机构对此不承担任何责任。</w:t>
      </w:r>
    </w:p>
    <w:p w14:paraId="11CD5E66">
      <w:pPr>
        <w:pStyle w:val="29"/>
        <w:snapToGrid w:val="0"/>
        <w:spacing w:line="420" w:lineRule="exact"/>
        <w:ind w:firstLine="482" w:firstLineChars="200"/>
        <w:rPr>
          <w:rFonts w:ascii="仿宋" w:hAnsi="仿宋" w:eastAsia="仿宋" w:cs="仿宋"/>
          <w:b/>
          <w:bCs/>
          <w:color w:val="auto"/>
          <w:highlight w:val="none"/>
        </w:rPr>
      </w:pPr>
      <w:r>
        <w:rPr>
          <w:rFonts w:hint="eastAsia" w:ascii="仿宋" w:hAnsi="仿宋" w:eastAsia="仿宋" w:cs="仿宋"/>
          <w:b/>
          <w:bCs/>
          <w:color w:val="auto"/>
          <w:highlight w:val="none"/>
        </w:rPr>
        <w:t>14.投标文件的有效期</w:t>
      </w:r>
    </w:p>
    <w:p w14:paraId="4F9E62FA">
      <w:pPr>
        <w:pStyle w:val="29"/>
        <w:snapToGrid w:val="0"/>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14.1投标有效期为从投标截止之日算起的日历天数，自投标截止日起90天投标书应保持有效。如采购人认为必要，可延长投标有效期。有效期短于这个规定期限的投标将被拒绝。</w:t>
      </w:r>
    </w:p>
    <w:p w14:paraId="0CB41E46">
      <w:pPr>
        <w:pStyle w:val="29"/>
        <w:snapToGrid w:val="0"/>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14.2在特殊情况下，采购人可与投标人协商延长投标书的有效期，这种要求和答复均以书面形式进行。</w:t>
      </w:r>
    </w:p>
    <w:p w14:paraId="599878F9">
      <w:pPr>
        <w:pStyle w:val="29"/>
        <w:snapToGrid w:val="0"/>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14.3投标人可拒绝接受延期要求，但其投标在原投标有效期满后不再有效。同意延长有效期的投标人不能修改投标文件。</w:t>
      </w:r>
    </w:p>
    <w:p w14:paraId="2095F5D5">
      <w:pPr>
        <w:pStyle w:val="29"/>
        <w:snapToGrid w:val="0"/>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14.4中标人的投标文件自开标之日起至合同履行完毕止均应保持有效。</w:t>
      </w:r>
    </w:p>
    <w:p w14:paraId="16CFD26D">
      <w:pPr>
        <w:snapToGrid w:val="0"/>
        <w:spacing w:line="420" w:lineRule="exact"/>
        <w:ind w:firstLine="482" w:firstLineChars="200"/>
        <w:jc w:val="left"/>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15.投标保证金</w:t>
      </w:r>
    </w:p>
    <w:p w14:paraId="239ED16C">
      <w:pPr>
        <w:snapToGrid w:val="0"/>
        <w:spacing w:line="420" w:lineRule="exact"/>
        <w:ind w:firstLine="480" w:firstLineChars="200"/>
        <w:jc w:val="left"/>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15.1投标人应提供前附表规定的投标保证金，作为投标文件的一个组成部分。否则，其投标将被拒绝。</w:t>
      </w:r>
    </w:p>
    <w:p w14:paraId="7E070BBD">
      <w:pPr>
        <w:snapToGrid w:val="0"/>
        <w:spacing w:line="420" w:lineRule="exact"/>
        <w:ind w:firstLine="480" w:firstLineChars="200"/>
        <w:jc w:val="left"/>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15.2投标保证金可以以电汇、转帐、汇票等非现金形式提交，且必须在投标文件提交截止时间前缴入前附表中的指定账户，以到账为准。采购代理机构将拒绝未能按规定时间和数额提交投标保证金的投标人。</w:t>
      </w:r>
    </w:p>
    <w:p w14:paraId="4A370329">
      <w:pPr>
        <w:snapToGrid w:val="0"/>
        <w:spacing w:line="420" w:lineRule="exact"/>
        <w:ind w:firstLine="480" w:firstLineChars="200"/>
        <w:jc w:val="left"/>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15.3未中标人的投标保证金在中标通知书发出后5个工作日退还。</w:t>
      </w:r>
    </w:p>
    <w:p w14:paraId="15181717">
      <w:pPr>
        <w:snapToGrid w:val="0"/>
        <w:spacing w:line="420" w:lineRule="exact"/>
        <w:ind w:firstLine="480" w:firstLineChars="200"/>
        <w:jc w:val="left"/>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15.4中标人的投标保证金，在中标人按招标文件规定签订合同后5个工作日内无息退还。</w:t>
      </w:r>
    </w:p>
    <w:p w14:paraId="1F14D6AB">
      <w:pPr>
        <w:snapToGrid w:val="0"/>
        <w:spacing w:line="420" w:lineRule="exact"/>
        <w:ind w:firstLine="480" w:firstLineChars="200"/>
        <w:jc w:val="left"/>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15.5投标保证金均以转账或电汇或汇票方式退还，恕不退还现金。保证金不计息。</w:t>
      </w:r>
    </w:p>
    <w:p w14:paraId="33D17A61">
      <w:pPr>
        <w:snapToGrid w:val="0"/>
        <w:spacing w:line="420" w:lineRule="exact"/>
        <w:ind w:firstLine="480" w:firstLineChars="200"/>
        <w:jc w:val="left"/>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15.6下列情况，投标保证金将不予退还，已缴纳年度保证金的，其保证金或相应数额的年度保证金将不予退还，并按有关规定处理：</w:t>
      </w:r>
    </w:p>
    <w:p w14:paraId="78FDB356">
      <w:pPr>
        <w:snapToGrid w:val="0"/>
        <w:spacing w:line="420" w:lineRule="exact"/>
        <w:ind w:firstLine="480" w:firstLineChars="200"/>
        <w:jc w:val="left"/>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15.6.1投标人在投标有效期内撤回投标文件的；</w:t>
      </w:r>
    </w:p>
    <w:p w14:paraId="510ECCEF">
      <w:pPr>
        <w:snapToGrid w:val="0"/>
        <w:spacing w:line="420" w:lineRule="exact"/>
        <w:ind w:firstLine="480" w:firstLineChars="200"/>
        <w:jc w:val="left"/>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15.6.2未按规定提交履约保证金的；</w:t>
      </w:r>
    </w:p>
    <w:p w14:paraId="3D1C64B0">
      <w:pPr>
        <w:snapToGrid w:val="0"/>
        <w:spacing w:line="420" w:lineRule="exact"/>
        <w:ind w:firstLine="480" w:firstLineChars="200"/>
        <w:jc w:val="left"/>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15.6.3投标人在投标过程中弄虚作假，提供虚假材料的；</w:t>
      </w:r>
    </w:p>
    <w:p w14:paraId="1A26DCC4">
      <w:pPr>
        <w:snapToGrid w:val="0"/>
        <w:spacing w:line="420" w:lineRule="exact"/>
        <w:ind w:firstLine="480" w:firstLineChars="200"/>
        <w:jc w:val="left"/>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15.6.4中标人无正当理由在规定的时间内不与采购单位签订合同的；</w:t>
      </w:r>
    </w:p>
    <w:p w14:paraId="5F51F33D">
      <w:pPr>
        <w:snapToGrid w:val="0"/>
        <w:spacing w:line="420" w:lineRule="exact"/>
        <w:ind w:firstLine="480" w:firstLineChars="200"/>
        <w:jc w:val="left"/>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15.6.5将中标项目转让给他人或者在投标文件中未说明且未经</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同意，将中标项目分包给他人的；</w:t>
      </w:r>
    </w:p>
    <w:p w14:paraId="54A09AE8">
      <w:pPr>
        <w:snapToGrid w:val="0"/>
        <w:spacing w:line="420" w:lineRule="exact"/>
        <w:ind w:firstLine="480" w:firstLineChars="200"/>
        <w:jc w:val="left"/>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15.6.6拒绝履行合同义务的；</w:t>
      </w:r>
    </w:p>
    <w:p w14:paraId="1EC1F8B7">
      <w:pPr>
        <w:snapToGrid w:val="0"/>
        <w:spacing w:line="420" w:lineRule="exact"/>
        <w:ind w:firstLine="480" w:firstLineChars="200"/>
        <w:jc w:val="left"/>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15.6.7其他严重扰乱招投标程序的；</w:t>
      </w:r>
    </w:p>
    <w:p w14:paraId="04F8D79C">
      <w:pPr>
        <w:snapToGrid w:val="0"/>
        <w:spacing w:line="420" w:lineRule="exact"/>
        <w:ind w:firstLine="480" w:firstLineChars="200"/>
        <w:jc w:val="left"/>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15.6.8向有关人员行贿或者采取其他不正当手段谋取中标的；</w:t>
      </w:r>
    </w:p>
    <w:p w14:paraId="167E27EA">
      <w:pPr>
        <w:snapToGrid w:val="0"/>
        <w:spacing w:line="420" w:lineRule="exact"/>
        <w:ind w:firstLine="480" w:firstLineChars="200"/>
        <w:jc w:val="left"/>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15.6.9中标人无正当理由放弃中标的；</w:t>
      </w:r>
    </w:p>
    <w:p w14:paraId="5F9FEE26">
      <w:pPr>
        <w:snapToGrid w:val="0"/>
        <w:spacing w:line="420" w:lineRule="exact"/>
        <w:ind w:firstLine="480" w:firstLineChars="200"/>
        <w:jc w:val="left"/>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15.6.10存在法律、法规规定的其它损害</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或用户单位利益或社会公共利益的情形的。</w:t>
      </w:r>
    </w:p>
    <w:p w14:paraId="7FF2667F">
      <w:pPr>
        <w:snapToGrid w:val="0"/>
        <w:spacing w:line="420" w:lineRule="exact"/>
        <w:ind w:firstLine="480" w:firstLineChars="200"/>
        <w:jc w:val="left"/>
        <w:outlineLvl w:val="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15.7如投标人或</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有下列情形之一的，应按串通投标行为认定，除有关方投标保证金不予退还外，禁止其一至三年内进入本市采购市场，情节严重的移送有关部门依法处理。</w:t>
      </w:r>
    </w:p>
    <w:p w14:paraId="7DA46157">
      <w:pPr>
        <w:snapToGrid w:val="0"/>
        <w:spacing w:line="420" w:lineRule="exact"/>
        <w:ind w:firstLine="480" w:firstLineChars="200"/>
        <w:jc w:val="left"/>
        <w:outlineLvl w:val="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15.7.1不同投标人的投标文件由同一单位或人员编制的；</w:t>
      </w:r>
    </w:p>
    <w:p w14:paraId="0DAE4657">
      <w:pPr>
        <w:snapToGrid w:val="0"/>
        <w:spacing w:line="420" w:lineRule="exact"/>
        <w:ind w:firstLine="480" w:firstLineChars="200"/>
        <w:jc w:val="left"/>
        <w:outlineLvl w:val="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15.7.2不同投标人使用同一单位或人员的资金交纳投标保证金的；</w:t>
      </w:r>
    </w:p>
    <w:p w14:paraId="50DA4889">
      <w:pPr>
        <w:snapToGrid w:val="0"/>
        <w:spacing w:line="420" w:lineRule="exact"/>
        <w:ind w:firstLine="480" w:firstLineChars="200"/>
        <w:jc w:val="left"/>
        <w:outlineLvl w:val="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15.7.3不同供应商委托同一单位或人员办理投标事宜的；</w:t>
      </w:r>
    </w:p>
    <w:p w14:paraId="3F70D2B4">
      <w:pPr>
        <w:snapToGrid w:val="0"/>
        <w:spacing w:line="420" w:lineRule="exact"/>
        <w:ind w:firstLine="480" w:firstLineChars="200"/>
        <w:jc w:val="left"/>
        <w:outlineLvl w:val="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15.7.4不同投标人的投标文件中的内容出现非正常的一致，或者报价细目呈明显规律性变化，或在完全可比的情况下投标总价均高于市场平均价的；</w:t>
      </w:r>
    </w:p>
    <w:p w14:paraId="3D840C16">
      <w:pPr>
        <w:snapToGrid w:val="0"/>
        <w:spacing w:line="420" w:lineRule="exact"/>
        <w:ind w:firstLine="480" w:firstLineChars="200"/>
        <w:jc w:val="left"/>
        <w:outlineLvl w:val="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15.7.5不同投标人的投标文件载明的项目管理或实施人员出现同一单位的工作人员或同一人的；</w:t>
      </w:r>
    </w:p>
    <w:p w14:paraId="1EE02BB6">
      <w:pPr>
        <w:snapToGrid w:val="0"/>
        <w:spacing w:line="420" w:lineRule="exact"/>
        <w:ind w:firstLine="480" w:firstLineChars="200"/>
        <w:jc w:val="left"/>
        <w:outlineLvl w:val="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15.7.6不同投标人的授权代表为同一单位的工作人员的；</w:t>
      </w:r>
    </w:p>
    <w:p w14:paraId="2389BF66">
      <w:pPr>
        <w:snapToGrid w:val="0"/>
        <w:spacing w:line="420" w:lineRule="exact"/>
        <w:ind w:firstLine="480" w:firstLineChars="200"/>
        <w:jc w:val="left"/>
        <w:outlineLvl w:val="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15.7.7不同投标人的投标文件相互混装，或在一个投标人的投标文件内遗留有其他投标人的签名、盖章等不属于本投标人参加采购必需的信息资料的；</w:t>
      </w:r>
    </w:p>
    <w:p w14:paraId="11362C8C">
      <w:pPr>
        <w:snapToGrid w:val="0"/>
        <w:spacing w:line="420" w:lineRule="exact"/>
        <w:ind w:firstLine="480" w:firstLineChars="200"/>
        <w:jc w:val="left"/>
        <w:outlineLvl w:val="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15.7.8采购响应截止时间后，</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协助投标人撤换或更改投标文件的；</w:t>
      </w:r>
    </w:p>
    <w:p w14:paraId="1576B28A">
      <w:pPr>
        <w:snapToGrid w:val="0"/>
        <w:spacing w:line="420" w:lineRule="exact"/>
        <w:ind w:firstLine="480" w:firstLineChars="200"/>
        <w:jc w:val="left"/>
        <w:outlineLvl w:val="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15.7.9</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泄露有意向参加采购的投标人名称、数量等应当保密的事项的；</w:t>
      </w:r>
    </w:p>
    <w:p w14:paraId="1B287129">
      <w:pPr>
        <w:snapToGrid w:val="0"/>
        <w:spacing w:line="420" w:lineRule="exact"/>
        <w:ind w:firstLine="480" w:firstLineChars="200"/>
        <w:jc w:val="left"/>
        <w:outlineLvl w:val="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15.7.10不同投标人之间私下达成书面或口头协议，指定一家投标人中标或轮流中标的；</w:t>
      </w:r>
    </w:p>
    <w:p w14:paraId="3C9BF83F">
      <w:pPr>
        <w:snapToGrid w:val="0"/>
        <w:spacing w:line="420" w:lineRule="exact"/>
        <w:ind w:firstLine="480" w:firstLineChars="200"/>
        <w:jc w:val="left"/>
        <w:outlineLvl w:val="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15.7.11法律、法规或规章规定的其他串通行为。</w:t>
      </w:r>
    </w:p>
    <w:p w14:paraId="6C72A820">
      <w:pPr>
        <w:snapToGrid w:val="0"/>
        <w:spacing w:line="420" w:lineRule="exact"/>
        <w:ind w:firstLine="482" w:firstLineChars="200"/>
        <w:jc w:val="left"/>
        <w:outlineLvl w:val="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16.投标文件的制作</w:t>
      </w:r>
    </w:p>
    <w:p w14:paraId="494B4024">
      <w:pPr>
        <w:snapToGrid w:val="0"/>
        <w:spacing w:line="42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16.1投标人应按招标文件前附表规定的内容编制投标文件。</w:t>
      </w:r>
    </w:p>
    <w:p w14:paraId="0EAD4FFB">
      <w:pPr>
        <w:snapToGrid w:val="0"/>
        <w:spacing w:line="42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16.2投标人应按本招标文件规定的格式和顺序编制投标文件并标注页码，投标文件内容不完整、编排混乱导致投标文件被误读、漏读或者查找不到相关内容的，是投标人的责任。</w:t>
      </w:r>
      <w:r>
        <w:rPr>
          <w:rFonts w:hint="eastAsia" w:ascii="仿宋" w:hAnsi="仿宋" w:eastAsia="仿宋" w:cs="仿宋"/>
          <w:b/>
          <w:color w:val="auto"/>
          <w:sz w:val="24"/>
          <w:highlight w:val="none"/>
        </w:rPr>
        <w:t>投标文件未按规定的格式编制的，投标无效。</w:t>
      </w:r>
    </w:p>
    <w:p w14:paraId="796C9F07">
      <w:pPr>
        <w:snapToGrid w:val="0"/>
        <w:spacing w:line="420" w:lineRule="exact"/>
        <w:ind w:firstLine="480" w:firstLineChars="200"/>
        <w:jc w:val="left"/>
        <w:rPr>
          <w:rFonts w:ascii="仿宋" w:hAnsi="仿宋" w:eastAsia="仿宋" w:cs="仿宋"/>
          <w:b/>
          <w:color w:val="auto"/>
          <w:highlight w:val="none"/>
          <w:u w:val="single"/>
        </w:rPr>
      </w:pPr>
      <w:r>
        <w:rPr>
          <w:rFonts w:hint="eastAsia" w:ascii="仿宋" w:hAnsi="仿宋" w:eastAsia="仿宋" w:cs="仿宋"/>
          <w:color w:val="auto"/>
          <w:sz w:val="24"/>
          <w:szCs w:val="24"/>
          <w:highlight w:val="none"/>
        </w:rPr>
        <w:t>16.3投标文件须由投标人在规定位置盖章，投标人应写全称。</w:t>
      </w:r>
      <w:r>
        <w:rPr>
          <w:rFonts w:hint="eastAsia" w:ascii="仿宋" w:hAnsi="仿宋" w:eastAsia="仿宋" w:cs="仿宋"/>
          <w:b/>
          <w:color w:val="auto"/>
          <w:sz w:val="24"/>
          <w:szCs w:val="24"/>
          <w:highlight w:val="none"/>
        </w:rPr>
        <w:t>电子投标文件中所有加盖公章均采用CA签章，投标人的投标文件未按照招标文件要求签署、盖章的，其投标无效。</w:t>
      </w:r>
    </w:p>
    <w:p w14:paraId="0B9393AD">
      <w:pPr>
        <w:snapToGrid w:val="0"/>
        <w:spacing w:line="420" w:lineRule="exact"/>
        <w:ind w:firstLine="480" w:firstLineChars="200"/>
        <w:jc w:val="left"/>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16.4投标文件不得涂改，若有修改错漏处，须加盖单位公章。投标文件因表达不清所引起的后果由投标人负责。</w:t>
      </w:r>
    </w:p>
    <w:p w14:paraId="43DAEF24">
      <w:pPr>
        <w:snapToGrid w:val="0"/>
        <w:spacing w:line="42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16.5投标人应认真阅读招标文件中所有的内容。</w:t>
      </w:r>
      <w:r>
        <w:rPr>
          <w:rFonts w:hint="eastAsia" w:ascii="仿宋" w:hAnsi="仿宋" w:eastAsia="仿宋" w:cs="仿宋"/>
          <w:b/>
          <w:color w:val="auto"/>
          <w:sz w:val="24"/>
          <w:szCs w:val="24"/>
          <w:highlight w:val="none"/>
        </w:rPr>
        <w:t>如果投标人编制的投标文件实质上不响应招标文件的要求，其投标文件将作无效标处理。</w:t>
      </w:r>
    </w:p>
    <w:p w14:paraId="0EC9C208">
      <w:pPr>
        <w:snapToGrid w:val="0"/>
        <w:spacing w:line="420" w:lineRule="exact"/>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17.投标文件的递交、补充、修改和撤回</w:t>
      </w:r>
    </w:p>
    <w:p w14:paraId="2FBDC76E">
      <w:pPr>
        <w:pStyle w:val="19"/>
        <w:snapToGrid w:val="0"/>
        <w:spacing w:line="420" w:lineRule="exact"/>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17.1</w:t>
      </w:r>
      <w:r>
        <w:rPr>
          <w:rFonts w:hint="eastAsia" w:ascii="仿宋" w:hAnsi="仿宋" w:eastAsia="仿宋" w:cs="仿宋"/>
          <w:b/>
          <w:color w:val="auto"/>
          <w:sz w:val="24"/>
          <w:szCs w:val="24"/>
          <w:highlight w:val="none"/>
        </w:rPr>
        <w:t>投标人应在开标前在“</w:t>
      </w:r>
      <w:r>
        <w:rPr>
          <w:rFonts w:hint="eastAsia" w:ascii="仿宋" w:hAnsi="仿宋" w:eastAsia="仿宋" w:cs="仿宋"/>
          <w:b/>
          <w:color w:val="auto"/>
          <w:sz w:val="24"/>
          <w:szCs w:val="24"/>
          <w:highlight w:val="none"/>
          <w:lang w:eastAsia="zh-CN"/>
        </w:rPr>
        <w:t>乐采云</w:t>
      </w:r>
      <w:r>
        <w:rPr>
          <w:rFonts w:hint="eastAsia" w:ascii="仿宋" w:hAnsi="仿宋" w:eastAsia="仿宋" w:cs="仿宋"/>
          <w:b/>
          <w:color w:val="auto"/>
          <w:sz w:val="24"/>
          <w:szCs w:val="24"/>
          <w:highlight w:val="none"/>
        </w:rPr>
        <w:t>”上自行加密上传电子投标文件，逾期上传或未按要求上传的投标文件将予以拒收。</w:t>
      </w:r>
    </w:p>
    <w:p w14:paraId="0D293731">
      <w:pPr>
        <w:pStyle w:val="19"/>
        <w:snapToGrid w:val="0"/>
        <w:spacing w:line="420" w:lineRule="exact"/>
        <w:ind w:firstLine="480" w:firstLineChars="200"/>
        <w:rPr>
          <w:rFonts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17.</w:t>
      </w:r>
      <w:r>
        <w:rPr>
          <w:rFonts w:hint="eastAsia" w:ascii="仿宋" w:hAnsi="仿宋" w:eastAsia="仿宋" w:cs="仿宋"/>
          <w:bCs/>
          <w:color w:val="auto"/>
          <w:sz w:val="24"/>
          <w:szCs w:val="24"/>
          <w:highlight w:val="none"/>
          <w:lang w:val="en-US" w:eastAsia="zh-CN"/>
        </w:rPr>
        <w:t>2</w:t>
      </w:r>
      <w:r>
        <w:rPr>
          <w:rFonts w:hint="eastAsia" w:ascii="仿宋" w:hAnsi="仿宋" w:eastAsia="仿宋" w:cs="仿宋"/>
          <w:color w:val="auto"/>
          <w:sz w:val="24"/>
          <w:szCs w:val="24"/>
          <w:highlight w:val="none"/>
        </w:rPr>
        <w:t>投标人在投标截止时间之前，可以对已提交的投标文件进行修改或撤回，补充、修改的内容为投标文件的组成部分。补充或者修改投标文件的，应当先行撤回原文件，补充、修改后重新传输递交。</w:t>
      </w:r>
    </w:p>
    <w:p w14:paraId="1650B911">
      <w:pPr>
        <w:pStyle w:val="19"/>
        <w:snapToGrid w:val="0"/>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投标截止时间后，投标人不得撤回、修改投标文件。</w:t>
      </w:r>
    </w:p>
    <w:p w14:paraId="02155AAA">
      <w:pPr>
        <w:pStyle w:val="19"/>
        <w:snapToGrid w:val="0"/>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不论投标人中标与否，投标人文件均不得撤回其投标。</w:t>
      </w:r>
    </w:p>
    <w:p w14:paraId="038F6F96">
      <w:pPr>
        <w:pStyle w:val="19"/>
        <w:snapToGrid w:val="0"/>
        <w:spacing w:line="420" w:lineRule="exact"/>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未按时解密的，视为投标文件撤回。</w:t>
      </w:r>
    </w:p>
    <w:p w14:paraId="53342162">
      <w:pPr>
        <w:snapToGrid w:val="0"/>
        <w:spacing w:line="420" w:lineRule="exact"/>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18.投标无效的情形</w:t>
      </w:r>
    </w:p>
    <w:p w14:paraId="09E7D005">
      <w:pPr>
        <w:snapToGrid w:val="0"/>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实质上没有响应招标文件要求的投标将被视为无效投标。投标人不得通过修正或撤消不合要求的偏离或保留从而使其投标成为实质上响应的投标，但经评标委员会认定属于投标人疏忽所造成的差错，应当允许其在评标结束之前进行修改或者补正。限时内不补正或经补正后仍不符合招标文件要求的，应认定其投标无效。投标人修改、补正投标文件后，不影响评标委员会对其投标文件所作的评价和评分结果。</w:t>
      </w:r>
    </w:p>
    <w:p w14:paraId="3956ACFC">
      <w:pPr>
        <w:pStyle w:val="25"/>
        <w:snapToGrid w:val="0"/>
        <w:spacing w:after="0" w:line="420" w:lineRule="exact"/>
        <w:ind w:left="0" w:leftChars="0" w:firstLine="472" w:firstLineChars="196"/>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18.1在符合性审查和资格性审查时，如发现下列情形之一的，投标文件将被视为无效投标：</w:t>
      </w:r>
    </w:p>
    <w:p w14:paraId="75CA5D77">
      <w:pPr>
        <w:snapToGrid w:val="0"/>
        <w:spacing w:line="42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18.1.1资格证明文件不全的，或者不符合招标文件标明的资格要求的；</w:t>
      </w:r>
    </w:p>
    <w:p w14:paraId="2A915F81">
      <w:pPr>
        <w:snapToGrid w:val="0"/>
        <w:spacing w:line="42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18.1.2未按照招标文件规定要求盖章；</w:t>
      </w:r>
    </w:p>
    <w:p w14:paraId="6378BB0F">
      <w:pPr>
        <w:snapToGrid w:val="0"/>
        <w:spacing w:line="42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18.1.3投标文件项目不齐全或者内容虚假的；</w:t>
      </w:r>
    </w:p>
    <w:p w14:paraId="2E6B679E">
      <w:pPr>
        <w:snapToGrid w:val="0"/>
        <w:spacing w:line="42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18.1.4投标文件的实质性内容未使用中文表述、意思表述不明确、前后矛盾或者使用计量单位不符合招标文件要求的；</w:t>
      </w:r>
    </w:p>
    <w:p w14:paraId="4ADC3ECE">
      <w:pPr>
        <w:snapToGrid w:val="0"/>
        <w:spacing w:line="42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18.1.5投标有效期、交货时间、质保期、售后服务承诺等条款不能满足招标文件要求的；</w:t>
      </w:r>
    </w:p>
    <w:p w14:paraId="07768FBA">
      <w:pPr>
        <w:snapToGrid w:val="0"/>
        <w:spacing w:line="42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18.1.6投标文件的资格文件、商务技术文件内容含有报价的内容；</w:t>
      </w:r>
    </w:p>
    <w:p w14:paraId="5D498944">
      <w:pPr>
        <w:snapToGrid w:val="0"/>
        <w:spacing w:line="42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18.1.7投标文件含有采购人不能接受的附加条件的；</w:t>
      </w:r>
    </w:p>
    <w:p w14:paraId="6BEC8DB6">
      <w:pPr>
        <w:snapToGrid w:val="0"/>
        <w:spacing w:line="420" w:lineRule="exact"/>
        <w:ind w:firstLine="528" w:firstLineChars="2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18.1.8不符合法律、法规或未实质性响应招标文件要求。</w:t>
      </w:r>
    </w:p>
    <w:p w14:paraId="762E11A0">
      <w:pPr>
        <w:pStyle w:val="25"/>
        <w:snapToGrid w:val="0"/>
        <w:spacing w:after="0" w:line="420" w:lineRule="exact"/>
        <w:ind w:left="0" w:leftChars="0"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18.2在技术评审时，如发现下列情形之一的，投标文件将被视为无效：</w:t>
      </w:r>
    </w:p>
    <w:p w14:paraId="13242584">
      <w:pPr>
        <w:snapToGrid w:val="0"/>
        <w:spacing w:line="42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18.2.1未提供或未如实提供投标货物的技术参数，或者投标文件标明的响应或偏离与事实不符或虚假投标的；</w:t>
      </w:r>
    </w:p>
    <w:p w14:paraId="512F65E1">
      <w:pPr>
        <w:snapToGrid w:val="0"/>
        <w:spacing w:line="42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18.2.2明显不符合招标文件要求的规格型号、质量标准，或者与招标文件中标“★”的技术指标、主要功能项目发生实质性偏离的；</w:t>
      </w:r>
    </w:p>
    <w:p w14:paraId="6E152CF8">
      <w:pPr>
        <w:snapToGrid w:val="0"/>
        <w:spacing w:line="42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18.2.3允许偏离的技术、性能指标或者辅助功能项目发生负偏离达20项（含）以上的；</w:t>
      </w:r>
    </w:p>
    <w:p w14:paraId="77548230">
      <w:pPr>
        <w:snapToGrid w:val="0"/>
        <w:spacing w:line="42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18.2.4投标技术方案不明确，存在一个或一个以上备选（替代）投标方案的；</w:t>
      </w:r>
    </w:p>
    <w:p w14:paraId="075455DD">
      <w:pPr>
        <w:snapToGrid w:val="0"/>
        <w:spacing w:line="42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18.2.5</w:t>
      </w:r>
      <w:r>
        <w:rPr>
          <w:rFonts w:hint="eastAsia" w:ascii="仿宋" w:hAnsi="仿宋" w:eastAsia="仿宋" w:cs="仿宋"/>
          <w:b/>
          <w:color w:val="auto"/>
          <w:sz w:val="24"/>
          <w:szCs w:val="24"/>
          <w:highlight w:val="none"/>
        </w:rPr>
        <w:t>发现有二份及二份以上投标文件的相互之间有特别相同或相似之处，且经询标澄清投标人无令人信服的理由和可靠证据证明其合理性的，经评标委员会半数以上成员确认有串通投标嫌疑的，其投标文件按无效标处理，予以废除，不再对其进行评审，也不影响招标工作继续评标。</w:t>
      </w:r>
    </w:p>
    <w:p w14:paraId="5EF24627">
      <w:pPr>
        <w:pStyle w:val="25"/>
        <w:snapToGrid w:val="0"/>
        <w:spacing w:after="0" w:line="420" w:lineRule="exact"/>
        <w:ind w:left="0" w:leftChars="0"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18.3在报价评审时，如发现下列情形之一的，投标文件将被视为无效：</w:t>
      </w:r>
    </w:p>
    <w:p w14:paraId="02F62ECB">
      <w:pPr>
        <w:snapToGrid w:val="0"/>
        <w:spacing w:line="42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（1）未采用人民币报价或者未按照招标文件标明的币种报价的；</w:t>
      </w:r>
    </w:p>
    <w:p w14:paraId="43CC428E">
      <w:pPr>
        <w:snapToGrid w:val="0"/>
        <w:spacing w:line="42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（2）投标报价超过招标文件中规定的最高限价的；</w:t>
      </w:r>
    </w:p>
    <w:p w14:paraId="7E915982">
      <w:pPr>
        <w:snapToGrid w:val="0"/>
        <w:spacing w:line="42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（3）评标委员会认为投标人的报价明显低于其他通过符合性审查投标人的报价，有可能影响产品质量或者不能诚信履约，且投标人不能证明其报价合理性的；</w:t>
      </w:r>
    </w:p>
    <w:p w14:paraId="31469297">
      <w:pPr>
        <w:snapToGrid w:val="0"/>
        <w:spacing w:line="42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（4）投标人不接受报价文件中修正后的报价的；</w:t>
      </w:r>
    </w:p>
    <w:p w14:paraId="721BFB7D">
      <w:pPr>
        <w:snapToGrid w:val="0"/>
        <w:spacing w:line="42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（5）投标报价具有选择性。</w:t>
      </w:r>
    </w:p>
    <w:p w14:paraId="784448C1">
      <w:pPr>
        <w:pStyle w:val="25"/>
        <w:snapToGrid w:val="0"/>
        <w:spacing w:after="0" w:line="420" w:lineRule="exact"/>
        <w:ind w:left="0" w:leftChars="0"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18.4符合招标文件明确规定的其他无效投标条款的。</w:t>
      </w:r>
    </w:p>
    <w:p w14:paraId="08DB1AC0">
      <w:pPr>
        <w:pStyle w:val="8"/>
        <w:spacing w:before="0" w:after="0" w:line="480" w:lineRule="exact"/>
        <w:jc w:val="center"/>
        <w:rPr>
          <w:rFonts w:ascii="仿宋" w:hAnsi="仿宋" w:eastAsia="仿宋" w:cs="仿宋"/>
          <w:color w:val="auto"/>
          <w:sz w:val="28"/>
          <w:szCs w:val="28"/>
          <w:highlight w:val="none"/>
        </w:rPr>
      </w:pPr>
      <w:bookmarkStart w:id="5" w:name="_Toc125344507"/>
      <w:r>
        <w:rPr>
          <w:rFonts w:hint="eastAsia" w:ascii="仿宋" w:hAnsi="仿宋" w:eastAsia="仿宋" w:cs="仿宋"/>
          <w:color w:val="auto"/>
          <w:sz w:val="28"/>
          <w:szCs w:val="28"/>
          <w:highlight w:val="none"/>
        </w:rPr>
        <w:t>四、开</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标</w:t>
      </w:r>
      <w:bookmarkEnd w:id="5"/>
    </w:p>
    <w:p w14:paraId="436FF994">
      <w:pPr>
        <w:spacing w:line="420" w:lineRule="exact"/>
        <w:ind w:firstLine="482" w:firstLineChars="200"/>
        <w:rPr>
          <w:rFonts w:ascii="仿宋" w:hAnsi="仿宋" w:eastAsia="仿宋" w:cs="仿宋"/>
          <w:b/>
          <w:color w:val="auto"/>
          <w:sz w:val="24"/>
          <w:highlight w:val="none"/>
        </w:rPr>
      </w:pPr>
      <w:r>
        <w:rPr>
          <w:rFonts w:hint="eastAsia" w:ascii="仿宋" w:hAnsi="仿宋" w:eastAsia="仿宋" w:cs="仿宋"/>
          <w:b/>
          <w:bCs/>
          <w:color w:val="auto"/>
          <w:sz w:val="24"/>
          <w:highlight w:val="none"/>
        </w:rPr>
        <w:t>19.</w:t>
      </w:r>
      <w:r>
        <w:rPr>
          <w:rFonts w:hint="eastAsia" w:ascii="仿宋" w:hAnsi="仿宋" w:eastAsia="仿宋" w:cs="仿宋"/>
          <w:b/>
          <w:color w:val="auto"/>
          <w:sz w:val="24"/>
          <w:highlight w:val="none"/>
        </w:rPr>
        <w:t>开标</w:t>
      </w:r>
    </w:p>
    <w:p w14:paraId="793549BA">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19.1采购代理机构将在前附表规定的时间、地点进行开标。无关人员不得进入开标现场。</w:t>
      </w:r>
    </w:p>
    <w:p w14:paraId="4358958C">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19.2本项目实行电子开评标，投标人无需前往开评标现场，只需在规定时间内在“</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”平台上上传电子投标文件。</w:t>
      </w:r>
    </w:p>
    <w:p w14:paraId="04BD8B7F">
      <w:pPr>
        <w:spacing w:line="42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20.开标程序</w:t>
      </w:r>
    </w:p>
    <w:p w14:paraId="15BE7D60">
      <w:pPr>
        <w:spacing w:line="42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20.1投标截止时间后的30分钟内，由各投标人自行对电子投标文件进行解密（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14:paraId="66C8E441">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20.2评标委员会对投标人的资格和商务技术响应文件进行评审；</w:t>
      </w:r>
    </w:p>
    <w:p w14:paraId="6AE46974">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20.3对技术标有效的投标单位的投标报价在“</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”平台上予以公开；</w:t>
      </w:r>
    </w:p>
    <w:p w14:paraId="5FC1FCE9">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20.4评标委员会对技术标有效的投标单位进行投标报价评审，确定投标报价评审有效投标单位；</w:t>
      </w:r>
    </w:p>
    <w:p w14:paraId="4D882AAD">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20.5确定预中标人。</w:t>
      </w:r>
    </w:p>
    <w:p w14:paraId="037BF4DB">
      <w:pPr>
        <w:spacing w:line="42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p w14:paraId="5718ED51">
      <w:pPr>
        <w:spacing w:line="42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eastAsia="zh-CN"/>
        </w:rPr>
        <w:t>乐采云</w:t>
      </w:r>
      <w:r>
        <w:rPr>
          <w:rFonts w:hint="eastAsia" w:ascii="仿宋" w:hAnsi="仿宋" w:eastAsia="仿宋" w:cs="仿宋"/>
          <w:b/>
          <w:color w:val="auto"/>
          <w:sz w:val="24"/>
          <w:highlight w:val="none"/>
        </w:rPr>
        <w:t>公司如对电子化开标及评审程序有调整的，按调整后的程序操作。</w:t>
      </w:r>
    </w:p>
    <w:p w14:paraId="32543A04">
      <w:pPr>
        <w:spacing w:line="42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2.如中标单位投标文件和招标文件要求不一致，且评审过程中未发现的，履约应按有利于采购人的要求执行。</w:t>
      </w:r>
    </w:p>
    <w:p w14:paraId="59DA965F">
      <w:pPr>
        <w:spacing w:line="42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3.采购过程中出现以下情形，导致电子交易平台无法正常运行，或者无法保证电子交易的公平、公正和安全时，采购组织机构可中止电子交易活动：</w:t>
      </w:r>
    </w:p>
    <w:p w14:paraId="51B097E0">
      <w:pPr>
        <w:pStyle w:val="41"/>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（一）电子交易平台发生故障而无法登录访问的；</w:t>
      </w:r>
    </w:p>
    <w:p w14:paraId="7619BE64">
      <w:pPr>
        <w:pStyle w:val="41"/>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（二）电子交易平台应用或数据库出现错误，不能进行正常操作的；</w:t>
      </w:r>
    </w:p>
    <w:p w14:paraId="57D373D2">
      <w:pPr>
        <w:pStyle w:val="41"/>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（三）电子交易平台发现严重安全漏洞，有潜在泄密危险的；</w:t>
      </w:r>
    </w:p>
    <w:p w14:paraId="3B36E3D2">
      <w:pPr>
        <w:pStyle w:val="41"/>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（四）病毒发作导致不能进行正常操作的；</w:t>
      </w:r>
    </w:p>
    <w:p w14:paraId="0A6C655C">
      <w:pPr>
        <w:pStyle w:val="41"/>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（五）其他无法保证电子交易的公平、公正和安全的情况。</w:t>
      </w:r>
    </w:p>
    <w:p w14:paraId="7FB97644">
      <w:pPr>
        <w:pStyle w:val="41"/>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出现前款规定情形，不影响采购公平、公正性的，采购组织机构可以待上述情形消除后继续组织电子交易活动；影响或可能影响采购公平、公正性的，应当重新采购。</w:t>
      </w:r>
    </w:p>
    <w:p w14:paraId="0AC8D257">
      <w:pPr>
        <w:pStyle w:val="8"/>
        <w:spacing w:before="0" w:after="0" w:line="480" w:lineRule="exact"/>
        <w:jc w:val="center"/>
        <w:rPr>
          <w:rFonts w:ascii="仿宋" w:hAnsi="仿宋" w:eastAsia="仿宋" w:cs="仿宋"/>
          <w:color w:val="auto"/>
          <w:sz w:val="28"/>
          <w:szCs w:val="28"/>
          <w:highlight w:val="none"/>
        </w:rPr>
      </w:pPr>
      <w:bookmarkStart w:id="6" w:name="_Toc125344508"/>
      <w:r>
        <w:rPr>
          <w:rFonts w:hint="eastAsia" w:ascii="仿宋" w:hAnsi="仿宋" w:eastAsia="仿宋" w:cs="仿宋"/>
          <w:color w:val="auto"/>
          <w:sz w:val="28"/>
          <w:szCs w:val="28"/>
          <w:highlight w:val="none"/>
        </w:rPr>
        <w:t>五、评</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标</w:t>
      </w:r>
      <w:bookmarkEnd w:id="6"/>
    </w:p>
    <w:p w14:paraId="0753D977">
      <w:pPr>
        <w:spacing w:line="42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21.组建评标委员会</w:t>
      </w:r>
    </w:p>
    <w:p w14:paraId="70CE469D">
      <w:pPr>
        <w:pStyle w:val="41"/>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评标委员会按照有关规定组建。</w:t>
      </w:r>
    </w:p>
    <w:p w14:paraId="136180AD">
      <w:pPr>
        <w:spacing w:line="42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22.评标原则</w:t>
      </w:r>
    </w:p>
    <w:p w14:paraId="2F0C9E24">
      <w:pPr>
        <w:pStyle w:val="41"/>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22.1评标委员会必须公平、公正、客观，不带任何倾向性和启发性；</w:t>
      </w:r>
    </w:p>
    <w:p w14:paraId="151C26EE">
      <w:pPr>
        <w:pStyle w:val="41"/>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22.2不得向外界透露任何与评标有关的内容；</w:t>
      </w:r>
    </w:p>
    <w:p w14:paraId="499A203A">
      <w:pPr>
        <w:pStyle w:val="41"/>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22.3任何单位和个人不得干扰、影响评标的正常进行；</w:t>
      </w:r>
    </w:p>
    <w:p w14:paraId="1897E90B">
      <w:pPr>
        <w:pStyle w:val="41"/>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22.4评标委员会及有关工作人员不得私下与投标人接触。</w:t>
      </w:r>
    </w:p>
    <w:p w14:paraId="4A076561">
      <w:pPr>
        <w:pStyle w:val="41"/>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63C14FE3">
      <w:pPr>
        <w:snapToGrid w:val="0"/>
        <w:spacing w:line="420" w:lineRule="exact"/>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22.6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63E083A">
      <w:pPr>
        <w:snapToGrid w:val="0"/>
        <w:spacing w:line="420" w:lineRule="exact"/>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非单一产品采购项目，采购人应当根据采购项目技术构成、产品价格比重等合理确定核心产品，并在招标文件中载明。多家投标人提供的核心产品品牌相同的，按前款规定处理。</w:t>
      </w:r>
    </w:p>
    <w:p w14:paraId="384AC1A0">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bCs/>
          <w:color w:val="auto"/>
          <w:sz w:val="24"/>
          <w:highlight w:val="none"/>
        </w:rPr>
        <w:t>22.7</w:t>
      </w:r>
      <w:r>
        <w:rPr>
          <w:rFonts w:hint="eastAsia" w:ascii="仿宋" w:hAnsi="仿宋" w:eastAsia="仿宋" w:cs="仿宋"/>
          <w:color w:val="auto"/>
          <w:sz w:val="24"/>
          <w:highlight w:val="none"/>
        </w:rPr>
        <w:t>以联合体形式参加采购活动的，联合体各方不得再单独参加或者与其他供应商另外组成联合体参加同一合同项下的采购活动。</w:t>
      </w:r>
    </w:p>
    <w:p w14:paraId="0659EF18">
      <w:pPr>
        <w:snapToGrid w:val="0"/>
        <w:spacing w:line="420" w:lineRule="exact"/>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22.8除单一来源采购以外，为采购项目提供整体设计、规范编制或者项目管理、监理、检测等服务的供应商，不得参加本采购项目。</w:t>
      </w:r>
    </w:p>
    <w:p w14:paraId="48E72A9A">
      <w:pPr>
        <w:snapToGrid w:val="0"/>
        <w:spacing w:line="420" w:lineRule="exact"/>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22.9单位负责人为同一人或者存在直接控股、管理关系的不同供应商，不得参加同一合同项下的采购活动。</w:t>
      </w:r>
    </w:p>
    <w:p w14:paraId="53875B9B">
      <w:pPr>
        <w:pStyle w:val="29"/>
        <w:snapToGrid w:val="0"/>
        <w:spacing w:line="420" w:lineRule="exact"/>
        <w:ind w:firstLine="482" w:firstLineChars="200"/>
        <w:rPr>
          <w:rFonts w:ascii="仿宋" w:hAnsi="仿宋" w:eastAsia="仿宋" w:cs="仿宋"/>
          <w:b/>
          <w:color w:val="auto"/>
          <w:highlight w:val="none"/>
        </w:rPr>
      </w:pPr>
      <w:r>
        <w:rPr>
          <w:rFonts w:hint="eastAsia" w:ascii="仿宋" w:hAnsi="仿宋" w:eastAsia="仿宋" w:cs="仿宋"/>
          <w:b/>
          <w:color w:val="auto"/>
          <w:highlight w:val="none"/>
        </w:rPr>
        <w:t>22.10本项目涉及提供的有关资质证书，若原有资质证书处于年审期间，投标人提供年审证明的可按原资质投标；若投标人正在申报上一级别资质，在未获批准之前，仍按原级别资质投标。</w:t>
      </w:r>
    </w:p>
    <w:p w14:paraId="12FAF3C7">
      <w:pPr>
        <w:spacing w:line="42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23.评标程序</w:t>
      </w:r>
    </w:p>
    <w:p w14:paraId="3B31F628">
      <w:pPr>
        <w:pStyle w:val="7"/>
        <w:spacing w:before="0" w:after="0" w:line="420" w:lineRule="exact"/>
        <w:ind w:firstLine="482" w:firstLineChars="200"/>
        <w:rPr>
          <w:rFonts w:ascii="仿宋" w:hAnsi="仿宋" w:eastAsia="仿宋" w:cs="仿宋"/>
          <w:b w:val="0"/>
          <w:color w:val="auto"/>
          <w:kern w:val="0"/>
          <w:sz w:val="24"/>
          <w:highlight w:val="none"/>
        </w:rPr>
      </w:pPr>
      <w:r>
        <w:rPr>
          <w:rFonts w:hint="eastAsia" w:ascii="仿宋" w:hAnsi="仿宋" w:eastAsia="仿宋" w:cs="仿宋"/>
          <w:bCs/>
          <w:color w:val="auto"/>
          <w:sz w:val="24"/>
          <w:highlight w:val="none"/>
        </w:rPr>
        <w:t>23.1</w:t>
      </w:r>
      <w:r>
        <w:rPr>
          <w:rFonts w:hint="eastAsia" w:ascii="仿宋" w:hAnsi="仿宋" w:eastAsia="仿宋" w:cs="仿宋"/>
          <w:bCs/>
          <w:color w:val="auto"/>
          <w:kern w:val="0"/>
          <w:sz w:val="24"/>
          <w:highlight w:val="none"/>
        </w:rPr>
        <w:t>在评审专家中推选评标委员会组长</w:t>
      </w:r>
    </w:p>
    <w:p w14:paraId="0E5B7B48">
      <w:pPr>
        <w:snapToGrid w:val="0"/>
        <w:spacing w:line="420" w:lineRule="exact"/>
        <w:ind w:firstLine="472" w:firstLineChars="196"/>
        <w:rPr>
          <w:rFonts w:ascii="仿宋" w:hAnsi="仿宋" w:eastAsia="仿宋" w:cs="仿宋"/>
          <w:b/>
          <w:bCs/>
          <w:color w:val="auto"/>
          <w:sz w:val="24"/>
          <w:highlight w:val="none"/>
        </w:rPr>
      </w:pPr>
      <w:r>
        <w:rPr>
          <w:rFonts w:hint="eastAsia" w:ascii="仿宋" w:hAnsi="仿宋" w:eastAsia="仿宋" w:cs="仿宋"/>
          <w:b/>
          <w:bCs/>
          <w:color w:val="auto"/>
          <w:sz w:val="24"/>
          <w:highlight w:val="none"/>
        </w:rPr>
        <w:t>23.2资格及形式审查</w:t>
      </w:r>
    </w:p>
    <w:p w14:paraId="53DE7660">
      <w:pPr>
        <w:snapToGrid w:val="0"/>
        <w:spacing w:line="420" w:lineRule="exact"/>
        <w:ind w:firstLine="470" w:firstLineChars="196"/>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依据法律、法规和招标文件规定，采购人或采购人委托的代理机构对投标人进行资格审查，以确定投标人是否具备投标资格。</w:t>
      </w:r>
    </w:p>
    <w:p w14:paraId="2F999BC7">
      <w:pPr>
        <w:snapToGrid w:val="0"/>
        <w:spacing w:line="420" w:lineRule="exact"/>
        <w:ind w:firstLine="472" w:firstLineChars="196"/>
        <w:rPr>
          <w:rFonts w:ascii="仿宋" w:hAnsi="仿宋" w:eastAsia="仿宋" w:cs="仿宋"/>
          <w:b/>
          <w:bCs/>
          <w:color w:val="auto"/>
          <w:sz w:val="24"/>
          <w:szCs w:val="20"/>
          <w:highlight w:val="none"/>
        </w:rPr>
      </w:pPr>
      <w:r>
        <w:rPr>
          <w:rFonts w:hint="eastAsia" w:ascii="仿宋" w:hAnsi="仿宋" w:eastAsia="仿宋" w:cs="仿宋"/>
          <w:b/>
          <w:bCs/>
          <w:color w:val="auto"/>
          <w:sz w:val="24"/>
          <w:highlight w:val="none"/>
        </w:rPr>
        <w:t>23.3实质审查与比较</w:t>
      </w:r>
    </w:p>
    <w:p w14:paraId="2E322B2C">
      <w:pPr>
        <w:pStyle w:val="41"/>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23.3.1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平的影响。</w:t>
      </w:r>
    </w:p>
    <w:p w14:paraId="06207983">
      <w:pPr>
        <w:pStyle w:val="41"/>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23.3.2评标委员会将根据投标人的投标文件进行审查、核对,如有疑问,将对投标人进行询标,投标人要向评标委员会澄清有关问题,并最终以“</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”在线询标或其他有效形式形式进行答复。“</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”在线询标时间由评标委员会根据项目实际情况决定，投标人代表拒绝澄清或者澄清的内容改变了投标文件的实质性内容的，评标委员会有权对该投标文件作出不利于投标人的评判。</w:t>
      </w:r>
    </w:p>
    <w:p w14:paraId="27D049AF">
      <w:pPr>
        <w:pStyle w:val="41"/>
        <w:spacing w:line="420" w:lineRule="exact"/>
        <w:ind w:firstLine="482" w:firstLineChars="200"/>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23.3.3投标人应详细说明投标技术方案中产品的具体参数，不得照搬照抄招标文件的技术要求。否则，评标委员会有权认定为投标技术方案不合格响应，其相关分数予以扣减或作无效标处理。</w:t>
      </w:r>
    </w:p>
    <w:p w14:paraId="7FD5A037">
      <w:pPr>
        <w:pStyle w:val="41"/>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b w:val="0"/>
          <w:bCs/>
          <w:color w:val="auto"/>
          <w:sz w:val="24"/>
          <w:highlight w:val="none"/>
        </w:rPr>
        <w:t>23.3.4如</w:t>
      </w:r>
      <w:r>
        <w:rPr>
          <w:rFonts w:hint="eastAsia" w:ascii="仿宋" w:hAnsi="仿宋" w:eastAsia="仿宋" w:cs="仿宋"/>
          <w:color w:val="auto"/>
          <w:sz w:val="24"/>
          <w:highlight w:val="none"/>
        </w:rPr>
        <w:t>果投标文件实质不响应招标文件的各项要求，评标委员会将予以拒绝，并且不允许投标人通过修改或撤销其不符合要求的差异或保留，使之成为具有响应性的投标。</w:t>
      </w:r>
    </w:p>
    <w:p w14:paraId="4B681B21">
      <w:pPr>
        <w:pStyle w:val="41"/>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23.3.5各投标人的商务技术得分为所有评委的有效评分的算术平均数。</w:t>
      </w:r>
    </w:p>
    <w:p w14:paraId="513B9880">
      <w:pPr>
        <w:pStyle w:val="41"/>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23.3.6评标委员会完成评标后,评委对各部分得分汇总,计算出本项目最终得分。</w:t>
      </w:r>
    </w:p>
    <w:p w14:paraId="0A20FF71">
      <w:pPr>
        <w:pStyle w:val="41"/>
        <w:spacing w:line="42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23.3.7</w:t>
      </w:r>
      <w:r>
        <w:rPr>
          <w:rFonts w:hint="eastAsia" w:ascii="仿宋" w:hAnsi="仿宋" w:eastAsia="仿宋" w:cs="仿宋"/>
          <w:b/>
          <w:color w:val="auto"/>
          <w:sz w:val="24"/>
          <w:highlight w:val="none"/>
        </w:rPr>
        <w:t>评标委员会对明显不合理的投标报价，有权要求投标人在规定时间内提交说明，投标人不能提供的或提供的材料不能说明问题的，评标委员会可以判定其投标无效。</w:t>
      </w:r>
    </w:p>
    <w:p w14:paraId="445BC737">
      <w:pPr>
        <w:pStyle w:val="41"/>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23.3.8评审人员对有关招标文件、投标文件、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14:paraId="72D15A5B">
      <w:pPr>
        <w:pStyle w:val="41"/>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23.3.9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E0B1895">
      <w:pPr>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24.</w:t>
      </w:r>
      <w:r>
        <w:rPr>
          <w:rFonts w:hint="eastAsia" w:ascii="仿宋" w:hAnsi="仿宋" w:eastAsia="仿宋" w:cs="仿宋"/>
          <w:color w:val="auto"/>
          <w:sz w:val="24"/>
          <w:szCs w:val="24"/>
          <w:highlight w:val="none"/>
        </w:rPr>
        <w:t>如投标人或采购人有下列情形之一的，应按串通投标行为认定，禁止其一至三年内进入本市采购市场，情节严重的移送有关部门依法处理。</w:t>
      </w:r>
    </w:p>
    <w:p w14:paraId="397F98C1">
      <w:pPr>
        <w:spacing w:line="420" w:lineRule="exact"/>
        <w:ind w:firstLine="477" w:firstLineChars="19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24.1不同投标人的投标文件由同一单位或人员编制； </w:t>
      </w:r>
    </w:p>
    <w:p w14:paraId="2B009E79">
      <w:pPr>
        <w:spacing w:line="420" w:lineRule="exact"/>
        <w:ind w:firstLine="477" w:firstLineChars="19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24.2不同投标人委托同一单位或个人办理投标事宜；</w:t>
      </w:r>
    </w:p>
    <w:p w14:paraId="13FE5B59">
      <w:pPr>
        <w:spacing w:line="420" w:lineRule="exact"/>
        <w:ind w:firstLine="477" w:firstLineChars="19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24.3不同投标人的投标文件载明的项目管理或联系人员为同一人；</w:t>
      </w:r>
    </w:p>
    <w:p w14:paraId="2AD2BB08">
      <w:pPr>
        <w:spacing w:line="420" w:lineRule="exact"/>
        <w:ind w:firstLine="477" w:firstLineChars="19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24.4不同投标人的投标文件异常一致或者投标报价呈规律性差异； </w:t>
      </w:r>
    </w:p>
    <w:p w14:paraId="3BEE8815">
      <w:pPr>
        <w:spacing w:line="420" w:lineRule="exact"/>
        <w:ind w:firstLine="477" w:firstLineChars="19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24.5不同投标人的投标文件遗留其他投标人不属于本投标人参加采购必需的信息资料的；</w:t>
      </w:r>
    </w:p>
    <w:p w14:paraId="5C67590E">
      <w:pPr>
        <w:spacing w:line="420" w:lineRule="exact"/>
        <w:ind w:firstLine="477" w:firstLineChars="19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24.6不同投标人的授权代表为同一单位的工作人员的；</w:t>
      </w:r>
    </w:p>
    <w:p w14:paraId="3E524B8A">
      <w:pPr>
        <w:spacing w:line="420" w:lineRule="exact"/>
        <w:ind w:firstLine="477" w:firstLineChars="19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24.7不同投标人的投标文件相互混装，或在一个投标人的投标文件内遗留有其他供应商的签名、盖章等不属于本投标人参加采购必需的信息资料的；</w:t>
      </w:r>
    </w:p>
    <w:p w14:paraId="14E693EA">
      <w:pPr>
        <w:spacing w:line="420" w:lineRule="exact"/>
        <w:ind w:firstLine="477" w:firstLineChars="19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24.8采购响应截止时间后，采购人协助投标人撤换或更改投标文件的；</w:t>
      </w:r>
    </w:p>
    <w:p w14:paraId="4B2981C8">
      <w:pPr>
        <w:spacing w:line="420" w:lineRule="exact"/>
        <w:ind w:firstLine="477" w:firstLineChars="19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24.9采购人泄露有意向参加采购的投标人名称、数量等应当保密的事项的；</w:t>
      </w:r>
    </w:p>
    <w:p w14:paraId="1EFCEC51">
      <w:pPr>
        <w:spacing w:line="420" w:lineRule="exact"/>
        <w:ind w:firstLine="477" w:firstLineChars="19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24.10不同投标人之间私下达成书面或口头协议，指定一家投标人中标或轮流中标的；</w:t>
      </w:r>
    </w:p>
    <w:p w14:paraId="471E8685">
      <w:pPr>
        <w:spacing w:line="420" w:lineRule="exact"/>
        <w:ind w:firstLine="477" w:firstLineChars="19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24.11属于同一集团、协会、商会等组织成员的投标人按照该组织要求协同的投标；</w:t>
      </w:r>
    </w:p>
    <w:p w14:paraId="6C8B9EF2">
      <w:pPr>
        <w:spacing w:line="420" w:lineRule="exact"/>
        <w:ind w:firstLine="477" w:firstLineChars="19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24.12投标人之间为谋取中标或者排斥特定投标人而采取的其他联合行动；</w:t>
      </w:r>
    </w:p>
    <w:p w14:paraId="2627EE65">
      <w:pPr>
        <w:spacing w:line="420" w:lineRule="exact"/>
        <w:ind w:firstLine="477" w:firstLineChars="19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24.13不同投标人与同一投标人联合投标的；</w:t>
      </w:r>
    </w:p>
    <w:p w14:paraId="6C928EE9">
      <w:pPr>
        <w:spacing w:line="420" w:lineRule="exact"/>
        <w:ind w:firstLine="477" w:firstLineChars="19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24.14采购人（或采购代理机构）明示或者暗示投标人压低或者抬高投标报价；</w:t>
      </w:r>
    </w:p>
    <w:p w14:paraId="02049E78">
      <w:pPr>
        <w:spacing w:line="420" w:lineRule="exact"/>
        <w:ind w:firstLine="477" w:firstLineChars="19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24.15采购人（或采购代理机构）明示或者暗示投标人为特定投标人中标提供方便；</w:t>
      </w:r>
    </w:p>
    <w:p w14:paraId="3264FFE0">
      <w:pPr>
        <w:snapToGrid w:val="0"/>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24.16采购人（或采购代理机构）与投标人为谋求特定投标人中标而采取的其他串通行为；</w:t>
      </w:r>
    </w:p>
    <w:p w14:paraId="5225BDE4">
      <w:pPr>
        <w:snapToGrid w:val="0"/>
        <w:spacing w:line="420" w:lineRule="exact"/>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24.17法律、法规或规章规定的其他串通行为。</w:t>
      </w:r>
    </w:p>
    <w:p w14:paraId="0401CF95">
      <w:pPr>
        <w:spacing w:line="420" w:lineRule="exact"/>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25.投标文件的澄清</w:t>
      </w:r>
    </w:p>
    <w:p w14:paraId="49AFF66E">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对投标文件中含义不明确、同类问题表述不一致或者有明显文字错误的内容，评标委员会可以在“</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投标人的澄清文件是其投标文件的组成部分。</w:t>
      </w:r>
    </w:p>
    <w:p w14:paraId="4DE84A54">
      <w:pPr>
        <w:pStyle w:val="29"/>
        <w:keepNext w:val="0"/>
        <w:keepLines w:val="0"/>
        <w:pageBreakBefore w:val="0"/>
        <w:widowControl w:val="0"/>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26.错误修正</w:t>
      </w:r>
    </w:p>
    <w:p w14:paraId="46498D23">
      <w:pPr>
        <w:pStyle w:val="41"/>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投标文件报价出现前后不一致的，按照下列规定修正：</w:t>
      </w:r>
    </w:p>
    <w:p w14:paraId="65143E66">
      <w:pPr>
        <w:pStyle w:val="41"/>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26.1投标文件中开标一览表（报价表）内容与投标文件中相应内容不一致的，以开标一览表（报价表）为准。</w:t>
      </w:r>
    </w:p>
    <w:p w14:paraId="312766A0">
      <w:pPr>
        <w:pStyle w:val="41"/>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26.2大写金额和小写金额不一致的，以大写金额为准。</w:t>
      </w:r>
    </w:p>
    <w:p w14:paraId="38F1AB80">
      <w:pPr>
        <w:pStyle w:val="41"/>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26.3单价金额小数点或者百分比有明显错位的，以开标一览表的总价为准，并修改单价。</w:t>
      </w:r>
    </w:p>
    <w:p w14:paraId="69690A6E">
      <w:pPr>
        <w:pStyle w:val="41"/>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26.4总价金额与按单价汇总金额不一致的，以单价金额计算结果为准。</w:t>
      </w:r>
    </w:p>
    <w:p w14:paraId="75C4C617">
      <w:pPr>
        <w:pStyle w:val="41"/>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同时出现两种以上不一致的，按照上述规定的顺序修正。</w:t>
      </w:r>
    </w:p>
    <w:p w14:paraId="7D8AB46E">
      <w:pPr>
        <w:pStyle w:val="41"/>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按上述修正错误的原则及方法调整或修正投标文件的投标报价，投标人同意并加盖公章确认，调整后的投标报价对投标人具有约束作用。如果投标人不接受修正后的报价，则其投标将作为无效投标处理。</w:t>
      </w:r>
    </w:p>
    <w:p w14:paraId="3E4FA8C6">
      <w:pPr>
        <w:pStyle w:val="41"/>
        <w:spacing w:line="42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27.评标办法</w:t>
      </w:r>
    </w:p>
    <w:p w14:paraId="0CBFE030">
      <w:pPr>
        <w:pStyle w:val="41"/>
        <w:spacing w:line="42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本项目评标办法是综合评分法，具体评标内容及评分标准等详见《第三章：评标办法及评分标准》。</w:t>
      </w:r>
    </w:p>
    <w:p w14:paraId="15FAF644">
      <w:pPr>
        <w:spacing w:line="42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28.</w:t>
      </w:r>
      <w:r>
        <w:rPr>
          <w:rFonts w:hint="eastAsia" w:ascii="仿宋" w:hAnsi="仿宋" w:eastAsia="仿宋" w:cs="仿宋"/>
          <w:b/>
          <w:bCs/>
          <w:color w:val="auto"/>
          <w:sz w:val="24"/>
          <w:highlight w:val="none"/>
        </w:rPr>
        <w:t>评标过程的保密</w:t>
      </w:r>
    </w:p>
    <w:p w14:paraId="11E2F1A1">
      <w:pPr>
        <w:pStyle w:val="41"/>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28.1开标后，直到宣布授予中标人合同为止，凡属于审查、澄清、评价和比较投标文件的有关资料和授予合同的信息，采购人、评标委员会成员都不应向投标人或与该过程无关的其他人员泄露。</w:t>
      </w:r>
    </w:p>
    <w:p w14:paraId="11D2BF3E">
      <w:pPr>
        <w:pStyle w:val="41"/>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28.2任何单位和个人都不得干扰、影响评标活动的正常进行。投标人在评标过程中所进行的试图影响评标结果的一切不符合法律或招标规定的活动，都可能导致其被取消投标资格，并由其承担相应的法律责任。</w:t>
      </w:r>
    </w:p>
    <w:p w14:paraId="55BB6F42">
      <w:pPr>
        <w:pStyle w:val="41"/>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28.3中标人确定后，采购人不对未中标人就评标过程以及未能中标原因作出任何解释。未中标人不得向评标委员会或其他有关人员索问评标过程的情况和材料。</w:t>
      </w:r>
    </w:p>
    <w:p w14:paraId="3D4DE8C4">
      <w:pPr>
        <w:pStyle w:val="8"/>
        <w:spacing w:before="0" w:after="0" w:line="480" w:lineRule="exact"/>
        <w:jc w:val="center"/>
        <w:rPr>
          <w:rFonts w:ascii="仿宋" w:hAnsi="仿宋" w:eastAsia="仿宋" w:cs="仿宋"/>
          <w:color w:val="auto"/>
          <w:sz w:val="28"/>
          <w:szCs w:val="28"/>
          <w:highlight w:val="none"/>
        </w:rPr>
      </w:pPr>
      <w:bookmarkStart w:id="7" w:name="_Toc125344509"/>
      <w:r>
        <w:rPr>
          <w:rFonts w:hint="eastAsia" w:ascii="仿宋" w:hAnsi="仿宋" w:eastAsia="仿宋" w:cs="仿宋"/>
          <w:color w:val="auto"/>
          <w:sz w:val="28"/>
          <w:szCs w:val="28"/>
          <w:highlight w:val="none"/>
        </w:rPr>
        <w:t>六、</w:t>
      </w:r>
      <w:bookmarkEnd w:id="7"/>
      <w:r>
        <w:rPr>
          <w:rFonts w:hint="eastAsia" w:ascii="仿宋" w:hAnsi="仿宋" w:eastAsia="仿宋" w:cs="仿宋"/>
          <w:color w:val="auto"/>
          <w:sz w:val="28"/>
          <w:szCs w:val="28"/>
          <w:highlight w:val="none"/>
        </w:rPr>
        <w:t>定</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标</w:t>
      </w:r>
    </w:p>
    <w:p w14:paraId="107FF3D3">
      <w:pPr>
        <w:pStyle w:val="41"/>
        <w:spacing w:line="42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29.确定中标人。本项目由采购人确定中标人。</w:t>
      </w:r>
    </w:p>
    <w:p w14:paraId="09608AF1">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29.1采购人应当自收到评标报告之日起５个工作日内，在评标报告确定的中标候选人名单中按顺序确定中标人。采购人在收到评标报告5个工作日内未按评标报告推荐的中标候选人顺序确定中标人，又不能说明合法理由的，视同按评标报告推荐的顺序确定的中标候选人为中标人。</w:t>
      </w:r>
    </w:p>
    <w:p w14:paraId="276EAD71">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29.2中标候选人无正当理由放弃中标成交或被取消中标资格的，同时上报</w:t>
      </w:r>
      <w:r>
        <w:rPr>
          <w:rFonts w:hint="eastAsia" w:ascii="仿宋" w:hAnsi="仿宋" w:eastAsia="仿宋" w:cs="仿宋"/>
          <w:color w:val="auto"/>
          <w:sz w:val="24"/>
          <w:highlight w:val="none"/>
          <w:lang w:eastAsia="zh-CN"/>
        </w:rPr>
        <w:t>诸暨市建设集团有限公司</w:t>
      </w:r>
      <w:r>
        <w:rPr>
          <w:rFonts w:hint="eastAsia" w:ascii="仿宋" w:hAnsi="仿宋" w:eastAsia="仿宋" w:cs="仿宋"/>
          <w:color w:val="auto"/>
          <w:sz w:val="24"/>
          <w:highlight w:val="none"/>
        </w:rPr>
        <w:t>招投标监管领导小组办公室，</w:t>
      </w:r>
      <w:r>
        <w:rPr>
          <w:rFonts w:hint="eastAsia" w:ascii="仿宋" w:hAnsi="仿宋" w:eastAsia="仿宋" w:cs="仿宋"/>
          <w:color w:val="auto"/>
          <w:sz w:val="24"/>
          <w:highlight w:val="none"/>
          <w:lang w:eastAsia="zh-CN"/>
        </w:rPr>
        <w:t>诸暨市建设集团有限公司</w:t>
      </w:r>
      <w:r>
        <w:rPr>
          <w:rFonts w:hint="eastAsia" w:ascii="仿宋" w:hAnsi="仿宋" w:eastAsia="仿宋" w:cs="仿宋"/>
          <w:color w:val="auto"/>
          <w:sz w:val="24"/>
          <w:highlight w:val="none"/>
        </w:rPr>
        <w:t>招投标监管领导小组办公室将按《诸暨市招投标市场不良行为记录暂行规定》等有关法律、法规、制度进行处理。</w:t>
      </w:r>
      <w:r>
        <w:rPr>
          <w:rFonts w:hint="eastAsia" w:ascii="仿宋" w:hAnsi="仿宋" w:eastAsia="仿宋" w:cs="仿宋"/>
          <w:b/>
          <w:color w:val="auto"/>
          <w:sz w:val="24"/>
          <w:highlight w:val="none"/>
        </w:rPr>
        <w:t>此标的将另行组织采购</w:t>
      </w:r>
      <w:r>
        <w:rPr>
          <w:rFonts w:hint="eastAsia" w:ascii="仿宋" w:hAnsi="仿宋" w:eastAsia="仿宋" w:cs="仿宋"/>
          <w:color w:val="auto"/>
          <w:sz w:val="24"/>
          <w:highlight w:val="none"/>
        </w:rPr>
        <w:t>。</w:t>
      </w:r>
    </w:p>
    <w:p w14:paraId="4B35EB24">
      <w:pPr>
        <w:pStyle w:val="41"/>
        <w:spacing w:line="42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30.中标通知与中标结果公告</w:t>
      </w:r>
    </w:p>
    <w:p w14:paraId="2FB1F898">
      <w:pPr>
        <w:snapToGrid w:val="0"/>
        <w:spacing w:line="420" w:lineRule="exact"/>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30.1中标公示期满后，无异议的，采购人确认中标结果，诸暨市宸佳工程管理有限公司核发《中标通知书》。《中标通知书》一经发出即发生法律效力。</w:t>
      </w:r>
    </w:p>
    <w:p w14:paraId="23F9C7D2">
      <w:pPr>
        <w:snapToGrid w:val="0"/>
        <w:spacing w:line="420" w:lineRule="exact"/>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30.2中标结果将于公示期满后在相关网站以中标公告形式发布，中标人须在中标公告发布后到诸暨市宸佳工程管理有限公司领取书面通知。</w:t>
      </w:r>
    </w:p>
    <w:p w14:paraId="237F3C9C">
      <w:pPr>
        <w:snapToGrid w:val="0"/>
        <w:spacing w:line="420" w:lineRule="exact"/>
        <w:ind w:firstLine="472" w:firstLineChars="196"/>
        <w:rPr>
          <w:rFonts w:ascii="仿宋" w:hAnsi="仿宋" w:eastAsia="仿宋" w:cs="仿宋"/>
          <w:b/>
          <w:bCs/>
          <w:color w:val="auto"/>
          <w:sz w:val="24"/>
          <w:highlight w:val="none"/>
        </w:rPr>
      </w:pPr>
      <w:r>
        <w:rPr>
          <w:rFonts w:hint="eastAsia" w:ascii="仿宋" w:hAnsi="仿宋" w:eastAsia="仿宋" w:cs="仿宋"/>
          <w:b/>
          <w:bCs/>
          <w:color w:val="auto"/>
          <w:sz w:val="24"/>
          <w:highlight w:val="none"/>
        </w:rPr>
        <w:t>31.中标无效情形</w:t>
      </w:r>
    </w:p>
    <w:p w14:paraId="00408018">
      <w:pPr>
        <w:pStyle w:val="41"/>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中标人存在下列情形之一的，中标无效：</w:t>
      </w:r>
    </w:p>
    <w:p w14:paraId="3B3FA617">
      <w:pPr>
        <w:pStyle w:val="41"/>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31.1提供虚假材料谋取中标的；</w:t>
      </w:r>
    </w:p>
    <w:p w14:paraId="4ADDA1BA">
      <w:pPr>
        <w:pStyle w:val="41"/>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31.2采取不正当手段诋毁、排挤其他投标人的；</w:t>
      </w:r>
    </w:p>
    <w:p w14:paraId="2718B689">
      <w:pPr>
        <w:pStyle w:val="41"/>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31.3与采购人、其他投标人恶意串通的；</w:t>
      </w:r>
    </w:p>
    <w:p w14:paraId="5BB5A3CC">
      <w:pPr>
        <w:pStyle w:val="41"/>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31.4向采购人、采购代理机构行贿或者提供其他不正当利益的；</w:t>
      </w:r>
    </w:p>
    <w:p w14:paraId="729CF91D">
      <w:pPr>
        <w:pStyle w:val="41"/>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31.5在招标过程中与采购人进行协商谈判；不按照招标文件和投标文件订立合同或者与采购人另行背离合同实质性内容的协议的；</w:t>
      </w:r>
    </w:p>
    <w:p w14:paraId="6E0962F4">
      <w:pPr>
        <w:pStyle w:val="41"/>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31.6拖延、拒签合同的；</w:t>
      </w:r>
    </w:p>
    <w:p w14:paraId="227080EE">
      <w:pPr>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highlight w:val="none"/>
        </w:rPr>
        <w:t>31.7存在法律、法规规定的其它损害采购人或采购单位利益或社会公共利益的情形的</w:t>
      </w:r>
      <w:r>
        <w:rPr>
          <w:rFonts w:hint="eastAsia" w:ascii="仿宋" w:hAnsi="仿宋" w:eastAsia="仿宋" w:cs="仿宋"/>
          <w:color w:val="auto"/>
          <w:sz w:val="24"/>
          <w:szCs w:val="24"/>
          <w:highlight w:val="none"/>
        </w:rPr>
        <w:t>。</w:t>
      </w:r>
    </w:p>
    <w:p w14:paraId="46D7B3F2">
      <w:pPr>
        <w:snapToGrid w:val="0"/>
        <w:spacing w:line="420" w:lineRule="exact"/>
        <w:ind w:firstLine="472" w:firstLineChars="196"/>
        <w:rPr>
          <w:rFonts w:ascii="仿宋" w:hAnsi="仿宋" w:eastAsia="仿宋" w:cs="仿宋"/>
          <w:b/>
          <w:bCs/>
          <w:color w:val="auto"/>
          <w:sz w:val="24"/>
          <w:highlight w:val="none"/>
        </w:rPr>
      </w:pPr>
      <w:r>
        <w:rPr>
          <w:rFonts w:hint="eastAsia" w:ascii="仿宋" w:hAnsi="仿宋" w:eastAsia="仿宋" w:cs="仿宋"/>
          <w:b/>
          <w:bCs/>
          <w:color w:val="auto"/>
          <w:sz w:val="24"/>
          <w:highlight w:val="none"/>
        </w:rPr>
        <w:t>32.重新招标</w:t>
      </w:r>
    </w:p>
    <w:p w14:paraId="279153CD">
      <w:pPr>
        <w:pStyle w:val="41"/>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32.1根据诸国资办〔2021〕5号文件有关事项的通知，通过公开招标方式进行采购的，经评审，只有二家单位符合采购条件，且采购文件公告期间无异议，专家组一致认为采购文件没有限制性、排他性条款的，可以继续开标。</w:t>
      </w:r>
    </w:p>
    <w:p w14:paraId="0452C46C">
      <w:pPr>
        <w:pStyle w:val="8"/>
        <w:spacing w:before="0" w:after="0"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七、授予合同</w:t>
      </w:r>
    </w:p>
    <w:p w14:paraId="43CA91A0">
      <w:pPr>
        <w:snapToGrid w:val="0"/>
        <w:spacing w:line="420" w:lineRule="exact"/>
        <w:ind w:firstLine="472" w:firstLineChars="196"/>
        <w:rPr>
          <w:rFonts w:ascii="仿宋" w:hAnsi="仿宋" w:eastAsia="仿宋" w:cs="仿宋"/>
          <w:b/>
          <w:bCs/>
          <w:color w:val="auto"/>
          <w:sz w:val="24"/>
          <w:highlight w:val="none"/>
        </w:rPr>
      </w:pPr>
      <w:r>
        <w:rPr>
          <w:rFonts w:hint="eastAsia" w:ascii="仿宋" w:hAnsi="仿宋" w:eastAsia="仿宋" w:cs="仿宋"/>
          <w:b/>
          <w:bCs/>
          <w:color w:val="auto"/>
          <w:sz w:val="24"/>
          <w:highlight w:val="none"/>
        </w:rPr>
        <w:t>33.签订合同</w:t>
      </w:r>
    </w:p>
    <w:p w14:paraId="5314EC07">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33.1采购人与中标人应当在《中标通知书》发出之日起30日内签订采购合同。</w:t>
      </w:r>
    </w:p>
    <w:p w14:paraId="435D2A9C">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33.2招标文件、中标人的投标文件和评标过程中投标人的询标时作出的承诺及其澄清文件等作为合同签订的依据和主要附件。</w:t>
      </w:r>
    </w:p>
    <w:p w14:paraId="7C9F3CC2">
      <w:pPr>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33.3合同一式</w:t>
      </w:r>
      <w:r>
        <w:rPr>
          <w:rFonts w:hint="eastAsia" w:ascii="仿宋" w:hAnsi="仿宋" w:eastAsia="仿宋" w:cs="仿宋"/>
          <w:color w:val="auto"/>
          <w:sz w:val="24"/>
          <w:szCs w:val="24"/>
          <w:highlight w:val="none"/>
          <w:lang w:val="en-US" w:eastAsia="zh-CN"/>
        </w:rPr>
        <w:t>陆</w:t>
      </w:r>
      <w:r>
        <w:rPr>
          <w:rFonts w:hint="eastAsia" w:ascii="仿宋" w:hAnsi="仿宋" w:eastAsia="仿宋" w:cs="仿宋"/>
          <w:color w:val="auto"/>
          <w:sz w:val="24"/>
          <w:szCs w:val="24"/>
          <w:highlight w:val="none"/>
        </w:rPr>
        <w:t>份，用户单位和中标人各执</w:t>
      </w:r>
      <w:r>
        <w:rPr>
          <w:rFonts w:hint="eastAsia" w:ascii="仿宋" w:hAnsi="仿宋" w:eastAsia="仿宋" w:cs="仿宋"/>
          <w:color w:val="auto"/>
          <w:sz w:val="24"/>
          <w:szCs w:val="24"/>
          <w:highlight w:val="none"/>
          <w:lang w:val="en-US" w:eastAsia="zh-CN"/>
        </w:rPr>
        <w:t>贰</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代理公司、</w:t>
      </w:r>
      <w:r>
        <w:rPr>
          <w:rFonts w:hint="eastAsia" w:ascii="仿宋" w:hAnsi="仿宋" w:eastAsia="仿宋" w:cs="仿宋"/>
          <w:color w:val="auto"/>
          <w:sz w:val="24"/>
          <w:szCs w:val="24"/>
          <w:highlight w:val="none"/>
          <w:lang w:val="en-US" w:eastAsia="zh-CN"/>
        </w:rPr>
        <w:t>招标办</w:t>
      </w:r>
      <w:r>
        <w:rPr>
          <w:rFonts w:hint="eastAsia" w:ascii="仿宋" w:hAnsi="仿宋" w:eastAsia="仿宋" w:cs="仿宋"/>
          <w:color w:val="auto"/>
          <w:sz w:val="24"/>
          <w:szCs w:val="24"/>
          <w:highlight w:val="none"/>
        </w:rPr>
        <w:t>存档</w:t>
      </w:r>
      <w:r>
        <w:rPr>
          <w:rFonts w:hint="eastAsia" w:ascii="仿宋" w:hAnsi="仿宋" w:eastAsia="仿宋" w:cs="仿宋"/>
          <w:color w:val="auto"/>
          <w:sz w:val="24"/>
          <w:szCs w:val="24"/>
          <w:highlight w:val="none"/>
          <w:lang w:val="en-US" w:eastAsia="zh-CN"/>
        </w:rPr>
        <w:t>壹</w:t>
      </w:r>
      <w:r>
        <w:rPr>
          <w:rFonts w:hint="eastAsia" w:ascii="仿宋" w:hAnsi="仿宋" w:eastAsia="仿宋" w:cs="仿宋"/>
          <w:color w:val="auto"/>
          <w:sz w:val="24"/>
          <w:szCs w:val="24"/>
          <w:highlight w:val="none"/>
        </w:rPr>
        <w:t>份。</w:t>
      </w:r>
    </w:p>
    <w:p w14:paraId="42A4CCC6">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33.4中标人和采购单位不得擅自变更、中止或者终止合同，不得另外订立背离合同实质性内容的其它协议。</w:t>
      </w:r>
    </w:p>
    <w:p w14:paraId="4E995D45">
      <w:pPr>
        <w:snapToGrid w:val="0"/>
        <w:spacing w:line="420" w:lineRule="exact"/>
        <w:ind w:firstLine="472" w:firstLineChars="196"/>
        <w:rPr>
          <w:rFonts w:ascii="仿宋" w:hAnsi="仿宋" w:eastAsia="仿宋" w:cs="仿宋"/>
          <w:b/>
          <w:bCs/>
          <w:color w:val="auto"/>
          <w:sz w:val="24"/>
          <w:highlight w:val="none"/>
        </w:rPr>
      </w:pPr>
      <w:r>
        <w:rPr>
          <w:rFonts w:hint="eastAsia" w:ascii="仿宋" w:hAnsi="仿宋" w:eastAsia="仿宋" w:cs="仿宋"/>
          <w:b/>
          <w:bCs/>
          <w:color w:val="auto"/>
          <w:sz w:val="24"/>
          <w:highlight w:val="none"/>
        </w:rPr>
        <w:t>34.履约保证金</w:t>
      </w:r>
    </w:p>
    <w:p w14:paraId="0F259E20">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34.1中标人应按招标文件要求向采购人提交履约保证金，履约保证金作为中标人在履行合同合服务承诺的保证。</w:t>
      </w:r>
    </w:p>
    <w:p w14:paraId="33D2889C">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34.2中标人应当以支票、汇票、本票等非现金形式提交。中标人在履行完合同约定事项后，采购人应及时退还履约保证金。履约保证金不计息。</w:t>
      </w:r>
    </w:p>
    <w:p w14:paraId="1B592CA2">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34.3签订合同后，如中标人不按双方合同约定履约，则没收其全部履约保证金，履约保证金不足以赔偿损失的，按实际损失赔偿。</w:t>
      </w:r>
    </w:p>
    <w:p w14:paraId="5ABCC4AD">
      <w:pPr>
        <w:snapToGrid w:val="0"/>
        <w:spacing w:line="420" w:lineRule="exact"/>
        <w:ind w:firstLine="472" w:firstLineChars="196"/>
        <w:rPr>
          <w:rFonts w:ascii="仿宋" w:hAnsi="仿宋" w:eastAsia="仿宋" w:cs="仿宋"/>
          <w:b/>
          <w:bCs/>
          <w:color w:val="auto"/>
          <w:sz w:val="24"/>
          <w:highlight w:val="none"/>
        </w:rPr>
      </w:pPr>
      <w:r>
        <w:rPr>
          <w:rFonts w:hint="eastAsia" w:ascii="仿宋" w:hAnsi="仿宋" w:eastAsia="仿宋" w:cs="仿宋"/>
          <w:b/>
          <w:bCs/>
          <w:color w:val="auto"/>
          <w:sz w:val="24"/>
          <w:highlight w:val="none"/>
        </w:rPr>
        <w:t>35.合同备案</w:t>
      </w:r>
    </w:p>
    <w:p w14:paraId="0DBD535C">
      <w:pPr>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highlight w:val="none"/>
        </w:rPr>
        <w:t>采购人应当自采购合同签订之日起七个工作日内，</w:t>
      </w:r>
      <w:r>
        <w:rPr>
          <w:rFonts w:hint="eastAsia" w:ascii="仿宋" w:hAnsi="仿宋" w:eastAsia="仿宋" w:cs="仿宋"/>
          <w:color w:val="auto"/>
          <w:sz w:val="24"/>
          <w:szCs w:val="24"/>
          <w:highlight w:val="none"/>
        </w:rPr>
        <w:t>按照有关规定将采购合同送至诸暨市宸佳工程管理有限公司备案。</w:t>
      </w:r>
    </w:p>
    <w:p w14:paraId="4C91E63E">
      <w:pPr>
        <w:pStyle w:val="29"/>
        <w:tabs>
          <w:tab w:val="left" w:pos="900"/>
        </w:tabs>
        <w:spacing w:line="48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八、质疑和投诉</w:t>
      </w:r>
    </w:p>
    <w:p w14:paraId="47F1EBCC">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36.1开标过程中，投标人对开标有异议的，应当在“</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”平台上及时提出，评审委员应对异常情况制作相关记录。</w:t>
      </w:r>
    </w:p>
    <w:p w14:paraId="1224D099">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36.2开评标结束后，投标人或者其他利害关系人对依法必须进行招标的项目的评标结果有异议的，应在采购结果公告期限结束之日（公告发布之日起至第2日24小时止）起7个工作日内依据招投标相关法律法规向采购人、招标代理机构提出质疑。采购人或招标代理机构将在收到书面质疑后7个工作日内对质疑内容作出答复。若投标人对采购人或招标代理机构的答复、处理结果不满意，应在收到采购人或招标代理机构的书面答复后十五个工作日内到招标投标管理部门投诉。</w:t>
      </w:r>
    </w:p>
    <w:p w14:paraId="1B9DA20F">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36.3质疑投诉的相关规定</w:t>
      </w:r>
    </w:p>
    <w:p w14:paraId="60854457">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（一）质疑投诉递交的资料需为书面材料。质疑投诉书面材料需法人代表人（或负责人）或授权代表签字并加盖公章。</w:t>
      </w:r>
    </w:p>
    <w:p w14:paraId="7C53B816">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（二）质疑投诉属于以下情况之一的，将不予受理：</w:t>
      </w:r>
    </w:p>
    <w:p w14:paraId="4489528B">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(1)质疑投诉人不是所投诉项目的参与者，或者与质疑投诉项目无任何利害关系。</w:t>
      </w:r>
    </w:p>
    <w:p w14:paraId="72DA8BA1">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(2)质疑投诉事项不具体，且未提供有效线索，难以查证。</w:t>
      </w:r>
    </w:p>
    <w:p w14:paraId="422002C7">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(3)未提供书面质疑或者质疑未加盖公章的；投诉人为法人或者其他组织，其投诉书未经法定代表人或者主要负责人签字并加盖公章的。</w:t>
      </w:r>
    </w:p>
    <w:p w14:paraId="3E38E3AC">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(4)已超过招标文件规定质疑投诉提出期限的事项。</w:t>
      </w:r>
    </w:p>
    <w:p w14:paraId="5DA59783">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(5)投诉事项已作出处理决定，并且投诉人没有提出新的证据</w:t>
      </w:r>
    </w:p>
    <w:p w14:paraId="7F91D8F3">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(6)质疑投诉的事项已经进入行政复议或者行政诉讼程序的；投诉事项应先提出质疑而没有提出质疑的。</w:t>
      </w:r>
    </w:p>
    <w:p w14:paraId="767A08DC">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(7)不符合采购相关法律法规等有关规定的投诉。</w:t>
      </w:r>
    </w:p>
    <w:p w14:paraId="4A9407A8">
      <w:pPr>
        <w:pStyle w:val="8"/>
        <w:spacing w:before="0" w:after="0" w:line="480" w:lineRule="exact"/>
        <w:ind w:firstLine="562" w:firstLineChars="20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九、不良行为记录</w:t>
      </w:r>
    </w:p>
    <w:p w14:paraId="33B0D08F">
      <w:pPr>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投标人在采购活动中出现下列违规行为的将记入</w:t>
      </w:r>
      <w:r>
        <w:rPr>
          <w:rFonts w:hint="eastAsia" w:ascii="仿宋" w:hAnsi="仿宋" w:eastAsia="仿宋" w:cs="仿宋"/>
          <w:color w:val="auto"/>
          <w:sz w:val="24"/>
          <w:szCs w:val="24"/>
          <w:highlight w:val="none"/>
          <w:lang w:eastAsia="zh-CN"/>
        </w:rPr>
        <w:t>诸暨市建设集团有限公司</w:t>
      </w:r>
      <w:r>
        <w:rPr>
          <w:rFonts w:hint="eastAsia" w:ascii="仿宋" w:hAnsi="仿宋" w:eastAsia="仿宋" w:cs="仿宋"/>
          <w:color w:val="auto"/>
          <w:sz w:val="24"/>
          <w:szCs w:val="24"/>
          <w:highlight w:val="none"/>
        </w:rPr>
        <w:t>采购不良行为记录，并在记录时限内暂停其</w:t>
      </w:r>
      <w:r>
        <w:rPr>
          <w:rFonts w:hint="eastAsia" w:ascii="仿宋" w:hAnsi="仿宋" w:eastAsia="仿宋" w:cs="仿宋"/>
          <w:color w:val="auto"/>
          <w:sz w:val="24"/>
          <w:szCs w:val="24"/>
          <w:highlight w:val="none"/>
          <w:lang w:eastAsia="zh-CN"/>
        </w:rPr>
        <w:t>诸暨市建设集团有限公司</w:t>
      </w:r>
      <w:r>
        <w:rPr>
          <w:rFonts w:hint="eastAsia" w:ascii="仿宋" w:hAnsi="仿宋" w:eastAsia="仿宋" w:cs="仿宋"/>
          <w:color w:val="auto"/>
          <w:sz w:val="24"/>
          <w:szCs w:val="24"/>
          <w:highlight w:val="none"/>
        </w:rPr>
        <w:t>及下属公司范围内采购交易资格，同时将在诸暨市公共资源交易中心公示。</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6433"/>
        <w:gridCol w:w="1326"/>
      </w:tblGrid>
      <w:tr w14:paraId="1F9F5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47" w:type="dxa"/>
            <w:noWrap/>
            <w:vAlign w:val="center"/>
          </w:tcPr>
          <w:p w14:paraId="0F97B297">
            <w:pPr>
              <w:spacing w:line="3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6433" w:type="dxa"/>
            <w:noWrap/>
            <w:vAlign w:val="center"/>
          </w:tcPr>
          <w:p w14:paraId="323770CE">
            <w:pPr>
              <w:spacing w:line="3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不良行为</w:t>
            </w:r>
          </w:p>
        </w:tc>
        <w:tc>
          <w:tcPr>
            <w:tcW w:w="1326" w:type="dxa"/>
            <w:noWrap/>
            <w:vAlign w:val="center"/>
          </w:tcPr>
          <w:p w14:paraId="740084B4">
            <w:pPr>
              <w:spacing w:line="3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记录时限</w:t>
            </w:r>
          </w:p>
        </w:tc>
      </w:tr>
      <w:tr w14:paraId="33627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ign w:val="center"/>
          </w:tcPr>
          <w:p w14:paraId="29F0DE1F">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433" w:type="dxa"/>
            <w:noWrap/>
            <w:vAlign w:val="center"/>
          </w:tcPr>
          <w:p w14:paraId="4BD5BF01">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在招标采购过程中，与采购人进行协商谈判的</w:t>
            </w:r>
          </w:p>
        </w:tc>
        <w:tc>
          <w:tcPr>
            <w:tcW w:w="1326" w:type="dxa"/>
            <w:noWrap/>
            <w:vAlign w:val="center"/>
          </w:tcPr>
          <w:p w14:paraId="470734A1">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6个月</w:t>
            </w:r>
          </w:p>
        </w:tc>
      </w:tr>
      <w:tr w14:paraId="2E665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ign w:val="center"/>
          </w:tcPr>
          <w:p w14:paraId="1BF7B3E9">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433" w:type="dxa"/>
            <w:noWrap/>
            <w:vAlign w:val="center"/>
          </w:tcPr>
          <w:p w14:paraId="7A8D8F4F">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投标有效期内撤回其采购响应文件的</w:t>
            </w:r>
          </w:p>
        </w:tc>
        <w:tc>
          <w:tcPr>
            <w:tcW w:w="1326" w:type="dxa"/>
            <w:noWrap/>
            <w:vAlign w:val="center"/>
          </w:tcPr>
          <w:p w14:paraId="42A755C4">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6个月</w:t>
            </w:r>
          </w:p>
        </w:tc>
      </w:tr>
      <w:tr w14:paraId="0D35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ign w:val="center"/>
          </w:tcPr>
          <w:p w14:paraId="01980781">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6433" w:type="dxa"/>
            <w:noWrap/>
            <w:vAlign w:val="center"/>
          </w:tcPr>
          <w:p w14:paraId="650501AA">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拒绝有关部门监督检查或提供虚假情况的</w:t>
            </w:r>
          </w:p>
        </w:tc>
        <w:tc>
          <w:tcPr>
            <w:tcW w:w="1326" w:type="dxa"/>
            <w:noWrap/>
            <w:vAlign w:val="center"/>
          </w:tcPr>
          <w:p w14:paraId="5C3F78AD">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6个月</w:t>
            </w:r>
          </w:p>
        </w:tc>
      </w:tr>
      <w:tr w14:paraId="121E1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ign w:val="center"/>
          </w:tcPr>
          <w:p w14:paraId="6BB6A866">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6433" w:type="dxa"/>
            <w:noWrap/>
            <w:vAlign w:val="center"/>
          </w:tcPr>
          <w:p w14:paraId="35CEC0D1">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不积极配合采购单位做好标的验收工作的</w:t>
            </w:r>
          </w:p>
        </w:tc>
        <w:tc>
          <w:tcPr>
            <w:tcW w:w="1326" w:type="dxa"/>
            <w:noWrap/>
            <w:vAlign w:val="center"/>
          </w:tcPr>
          <w:p w14:paraId="2A428656">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6个月</w:t>
            </w:r>
          </w:p>
        </w:tc>
      </w:tr>
      <w:tr w14:paraId="24C52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ign w:val="center"/>
          </w:tcPr>
          <w:p w14:paraId="06E9FF48">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6433" w:type="dxa"/>
            <w:noWrap/>
            <w:vAlign w:val="center"/>
          </w:tcPr>
          <w:p w14:paraId="54F8DCF0">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在有关部门的监督检查或考核中被通报批评或处以警告及以上处罚的</w:t>
            </w:r>
          </w:p>
        </w:tc>
        <w:tc>
          <w:tcPr>
            <w:tcW w:w="1326" w:type="dxa"/>
            <w:noWrap/>
            <w:vAlign w:val="center"/>
          </w:tcPr>
          <w:p w14:paraId="3AED4CA8">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6个月</w:t>
            </w:r>
          </w:p>
        </w:tc>
      </w:tr>
      <w:tr w14:paraId="4AF01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ign w:val="center"/>
          </w:tcPr>
          <w:p w14:paraId="4A8ECF86">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6433" w:type="dxa"/>
            <w:noWrap/>
            <w:vAlign w:val="center"/>
          </w:tcPr>
          <w:p w14:paraId="081F4C47">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不遵守投标会场纪律，无理取闹，扰乱交易秩序的</w:t>
            </w:r>
          </w:p>
        </w:tc>
        <w:tc>
          <w:tcPr>
            <w:tcW w:w="1326" w:type="dxa"/>
            <w:noWrap/>
            <w:vAlign w:val="center"/>
          </w:tcPr>
          <w:p w14:paraId="5367823E">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1年</w:t>
            </w:r>
          </w:p>
        </w:tc>
      </w:tr>
      <w:tr w14:paraId="0EE03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ign w:val="center"/>
          </w:tcPr>
          <w:p w14:paraId="6180DCE1">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6433" w:type="dxa"/>
            <w:noWrap/>
            <w:vAlign w:val="center"/>
          </w:tcPr>
          <w:p w14:paraId="3516F4D4">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中标后无正当理由放弃中标，或在规定时间内不与采购人签订政府采购合同，或在签订合同时提出附加条件或更改合同实质性内容，或拒不提交所要求的履约保证金的</w:t>
            </w:r>
          </w:p>
        </w:tc>
        <w:tc>
          <w:tcPr>
            <w:tcW w:w="1326" w:type="dxa"/>
            <w:noWrap/>
            <w:vAlign w:val="center"/>
          </w:tcPr>
          <w:p w14:paraId="58C9FA0C">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1年</w:t>
            </w:r>
          </w:p>
        </w:tc>
      </w:tr>
      <w:tr w14:paraId="5FABD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ign w:val="center"/>
          </w:tcPr>
          <w:p w14:paraId="2A205645">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6433" w:type="dxa"/>
            <w:noWrap/>
            <w:vAlign w:val="center"/>
          </w:tcPr>
          <w:p w14:paraId="46C25FC3">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不按照与采购人订立的合同履行义务（包括提供标的、售后服务、技术支持等），严重违反合同规定和廉政合同要求的</w:t>
            </w:r>
          </w:p>
        </w:tc>
        <w:tc>
          <w:tcPr>
            <w:tcW w:w="1326" w:type="dxa"/>
            <w:noWrap/>
            <w:vAlign w:val="center"/>
          </w:tcPr>
          <w:p w14:paraId="6F7BF5E9">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1年</w:t>
            </w:r>
          </w:p>
        </w:tc>
      </w:tr>
      <w:tr w14:paraId="69265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ign w:val="center"/>
          </w:tcPr>
          <w:p w14:paraId="15D6D1A4">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6433" w:type="dxa"/>
            <w:noWrap/>
            <w:vAlign w:val="center"/>
          </w:tcPr>
          <w:p w14:paraId="4A85E589">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项目负责人不到位，或擅自变换项目负责人，或不认真履行职责造成采购人损失的</w:t>
            </w:r>
          </w:p>
        </w:tc>
        <w:tc>
          <w:tcPr>
            <w:tcW w:w="1326" w:type="dxa"/>
            <w:noWrap/>
            <w:vAlign w:val="center"/>
          </w:tcPr>
          <w:p w14:paraId="3AC87502">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1年</w:t>
            </w:r>
          </w:p>
        </w:tc>
      </w:tr>
      <w:tr w14:paraId="4F3A3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ign w:val="center"/>
          </w:tcPr>
          <w:p w14:paraId="0920955B">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6433" w:type="dxa"/>
            <w:noWrap/>
            <w:vAlign w:val="center"/>
          </w:tcPr>
          <w:p w14:paraId="6DBE7F27">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发生经营状况重大变化以及重要担保、重大合同纠纷或诉讼、信用等级和资质变化等可能影响履约能力的重大事项，未及时向市公共资源交易中心提供书面报告，因而造成采购人损失的</w:t>
            </w:r>
          </w:p>
        </w:tc>
        <w:tc>
          <w:tcPr>
            <w:tcW w:w="1326" w:type="dxa"/>
            <w:noWrap/>
            <w:vAlign w:val="center"/>
          </w:tcPr>
          <w:p w14:paraId="08B720C6">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1年</w:t>
            </w:r>
          </w:p>
        </w:tc>
      </w:tr>
      <w:tr w14:paraId="65F4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ign w:val="center"/>
          </w:tcPr>
          <w:p w14:paraId="14F2DC8E">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6433" w:type="dxa"/>
            <w:noWrap/>
            <w:vAlign w:val="center"/>
          </w:tcPr>
          <w:p w14:paraId="00ABE454">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与采购人、其他供应商或者采购代理机构相互串通的</w:t>
            </w:r>
          </w:p>
        </w:tc>
        <w:tc>
          <w:tcPr>
            <w:tcW w:w="1326" w:type="dxa"/>
            <w:noWrap/>
            <w:vAlign w:val="center"/>
          </w:tcPr>
          <w:p w14:paraId="2368CBBE">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2年</w:t>
            </w:r>
          </w:p>
        </w:tc>
      </w:tr>
      <w:tr w14:paraId="74E4C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ign w:val="center"/>
          </w:tcPr>
          <w:p w14:paraId="15FA928D">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6433" w:type="dxa"/>
            <w:noWrap/>
            <w:vAlign w:val="center"/>
          </w:tcPr>
          <w:p w14:paraId="2903832E">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采取不正当手段排挤其他供应商，进行不公平竞争的</w:t>
            </w:r>
          </w:p>
        </w:tc>
        <w:tc>
          <w:tcPr>
            <w:tcW w:w="1326" w:type="dxa"/>
            <w:noWrap/>
            <w:vAlign w:val="center"/>
          </w:tcPr>
          <w:p w14:paraId="3296EC4A">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2年</w:t>
            </w:r>
          </w:p>
        </w:tc>
      </w:tr>
      <w:tr w14:paraId="6BFCB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ign w:val="center"/>
          </w:tcPr>
          <w:p w14:paraId="4DFCBEEB">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6433" w:type="dxa"/>
            <w:noWrap/>
            <w:vAlign w:val="center"/>
          </w:tcPr>
          <w:p w14:paraId="4519D1E5">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中标后与采购人另行订立背离合同实质内容的协议的</w:t>
            </w:r>
          </w:p>
        </w:tc>
        <w:tc>
          <w:tcPr>
            <w:tcW w:w="1326" w:type="dxa"/>
            <w:noWrap/>
            <w:vAlign w:val="center"/>
          </w:tcPr>
          <w:p w14:paraId="59CE6CCE">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2年</w:t>
            </w:r>
          </w:p>
        </w:tc>
      </w:tr>
      <w:tr w14:paraId="71EB3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ign w:val="center"/>
          </w:tcPr>
          <w:p w14:paraId="61366D5E">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6433" w:type="dxa"/>
            <w:noWrap/>
            <w:vAlign w:val="center"/>
          </w:tcPr>
          <w:p w14:paraId="236AAF91">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事先有承诺，而事后违反承诺内容的</w:t>
            </w:r>
          </w:p>
        </w:tc>
        <w:tc>
          <w:tcPr>
            <w:tcW w:w="1326" w:type="dxa"/>
            <w:noWrap/>
            <w:vAlign w:val="center"/>
          </w:tcPr>
          <w:p w14:paraId="7E383EE4">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2年</w:t>
            </w:r>
          </w:p>
        </w:tc>
      </w:tr>
      <w:tr w14:paraId="20E5C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ign w:val="center"/>
          </w:tcPr>
          <w:p w14:paraId="68B65825">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6433" w:type="dxa"/>
            <w:noWrap/>
            <w:vAlign w:val="center"/>
          </w:tcPr>
          <w:p w14:paraId="279B4CC3">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将中标项目转包或违反规定进行分包的</w:t>
            </w:r>
          </w:p>
        </w:tc>
        <w:tc>
          <w:tcPr>
            <w:tcW w:w="1326" w:type="dxa"/>
            <w:noWrap/>
            <w:vAlign w:val="center"/>
          </w:tcPr>
          <w:p w14:paraId="006B12D2">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2年</w:t>
            </w:r>
          </w:p>
        </w:tc>
      </w:tr>
      <w:tr w14:paraId="3D26E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ign w:val="center"/>
          </w:tcPr>
          <w:p w14:paraId="37EF751A">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6433" w:type="dxa"/>
            <w:noWrap/>
            <w:vAlign w:val="center"/>
          </w:tcPr>
          <w:p w14:paraId="0AF879F9">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以他人名义投标或允许他人以自己名义投标，或者以其他方式弄虚作假的</w:t>
            </w:r>
          </w:p>
        </w:tc>
        <w:tc>
          <w:tcPr>
            <w:tcW w:w="1326" w:type="dxa"/>
            <w:noWrap/>
            <w:vAlign w:val="center"/>
          </w:tcPr>
          <w:p w14:paraId="24D36951">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3年</w:t>
            </w:r>
          </w:p>
        </w:tc>
      </w:tr>
      <w:tr w14:paraId="2D600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ign w:val="center"/>
          </w:tcPr>
          <w:p w14:paraId="29792F03">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6433" w:type="dxa"/>
            <w:noWrap/>
            <w:vAlign w:val="center"/>
          </w:tcPr>
          <w:p w14:paraId="3AAEEB69">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未按照采购合同约定及时提供全部货物的，或无故拖延工期的</w:t>
            </w:r>
          </w:p>
        </w:tc>
        <w:tc>
          <w:tcPr>
            <w:tcW w:w="1326" w:type="dxa"/>
            <w:noWrap/>
            <w:vAlign w:val="center"/>
          </w:tcPr>
          <w:p w14:paraId="12A50A11">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3年</w:t>
            </w:r>
          </w:p>
        </w:tc>
      </w:tr>
      <w:tr w14:paraId="4BF50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ign w:val="center"/>
          </w:tcPr>
          <w:p w14:paraId="5118E793">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6433" w:type="dxa"/>
            <w:noWrap/>
            <w:vAlign w:val="center"/>
          </w:tcPr>
          <w:p w14:paraId="09B8FBFF">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无故不提供中标要求的型号、配置等产品的，或有拆换、调换、截留产品零部件和备品备件的行为的</w:t>
            </w:r>
          </w:p>
        </w:tc>
        <w:tc>
          <w:tcPr>
            <w:tcW w:w="1326" w:type="dxa"/>
            <w:noWrap/>
            <w:vAlign w:val="center"/>
          </w:tcPr>
          <w:p w14:paraId="4800C644">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3年</w:t>
            </w:r>
          </w:p>
        </w:tc>
      </w:tr>
      <w:tr w14:paraId="6D466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ign w:val="center"/>
          </w:tcPr>
          <w:p w14:paraId="0FD6404F">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6433" w:type="dxa"/>
            <w:noWrap/>
            <w:vAlign w:val="center"/>
          </w:tcPr>
          <w:p w14:paraId="46186F55">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为获取自身利益，向采购人及其他有利害关系的单位或个人提供不正当利益的</w:t>
            </w:r>
          </w:p>
        </w:tc>
        <w:tc>
          <w:tcPr>
            <w:tcW w:w="1326" w:type="dxa"/>
            <w:noWrap/>
            <w:vAlign w:val="center"/>
          </w:tcPr>
          <w:p w14:paraId="278D8563">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3年</w:t>
            </w:r>
          </w:p>
        </w:tc>
      </w:tr>
      <w:tr w14:paraId="5097D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947" w:type="dxa"/>
            <w:noWrap/>
            <w:vAlign w:val="center"/>
          </w:tcPr>
          <w:p w14:paraId="554F6A88">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6433" w:type="dxa"/>
            <w:noWrap/>
            <w:vAlign w:val="center"/>
          </w:tcPr>
          <w:p w14:paraId="4A5BD738">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highlight w:val="none"/>
              </w:rPr>
              <w:t>投标人、采购相关利益人、自然人</w:t>
            </w:r>
            <w:r>
              <w:rPr>
                <w:rFonts w:hint="eastAsia" w:ascii="仿宋" w:hAnsi="仿宋" w:eastAsia="仿宋" w:cs="仿宋"/>
                <w:color w:val="auto"/>
                <w:sz w:val="24"/>
                <w:szCs w:val="24"/>
                <w:highlight w:val="none"/>
              </w:rPr>
              <w:t>不按程序、规定时间进行质疑投诉；</w:t>
            </w:r>
            <w:r>
              <w:rPr>
                <w:rFonts w:hint="eastAsia" w:ascii="仿宋" w:hAnsi="仿宋" w:eastAsia="仿宋" w:cs="仿宋"/>
                <w:color w:val="auto"/>
                <w:sz w:val="24"/>
                <w:highlight w:val="none"/>
              </w:rPr>
              <w:t>虚假质疑投诉；非正规渠道质疑投诉（信访、网络炒作等）；并对采购工作造成不利影响的</w:t>
            </w:r>
          </w:p>
        </w:tc>
        <w:tc>
          <w:tcPr>
            <w:tcW w:w="1326" w:type="dxa"/>
            <w:noWrap/>
            <w:vAlign w:val="center"/>
          </w:tcPr>
          <w:p w14:paraId="0C0CE617">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3年</w:t>
            </w:r>
          </w:p>
        </w:tc>
      </w:tr>
      <w:tr w14:paraId="2B83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47" w:type="dxa"/>
            <w:noWrap/>
            <w:vAlign w:val="center"/>
          </w:tcPr>
          <w:p w14:paraId="483051EF">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6433" w:type="dxa"/>
            <w:noWrap/>
            <w:vAlign w:val="center"/>
          </w:tcPr>
          <w:p w14:paraId="4C213F6C">
            <w:pPr>
              <w:spacing w:line="30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投标人、采购相关利益人、自然人利用质疑投诉、非正规渠道质疑投诉达到自身目的，并对采购工作造成不利影响的</w:t>
            </w:r>
          </w:p>
        </w:tc>
        <w:tc>
          <w:tcPr>
            <w:tcW w:w="1326" w:type="dxa"/>
            <w:noWrap/>
            <w:vAlign w:val="center"/>
          </w:tcPr>
          <w:p w14:paraId="419DD042">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3年</w:t>
            </w:r>
          </w:p>
        </w:tc>
      </w:tr>
      <w:tr w14:paraId="77FAF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ign w:val="center"/>
          </w:tcPr>
          <w:p w14:paraId="4F8C5DCD">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6433" w:type="dxa"/>
            <w:noWrap/>
            <w:vAlign w:val="center"/>
          </w:tcPr>
          <w:p w14:paraId="188ABE8C">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提供假冒伪劣产品或走私物品的</w:t>
            </w:r>
          </w:p>
        </w:tc>
        <w:tc>
          <w:tcPr>
            <w:tcW w:w="1326" w:type="dxa"/>
            <w:noWrap/>
            <w:vAlign w:val="center"/>
          </w:tcPr>
          <w:p w14:paraId="5508BE1B">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5年</w:t>
            </w:r>
          </w:p>
        </w:tc>
      </w:tr>
      <w:tr w14:paraId="17E43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ign w:val="center"/>
          </w:tcPr>
          <w:p w14:paraId="1CB042AD">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p>
        </w:tc>
        <w:tc>
          <w:tcPr>
            <w:tcW w:w="6433" w:type="dxa"/>
            <w:noWrap/>
            <w:vAlign w:val="center"/>
          </w:tcPr>
          <w:p w14:paraId="27686BB9">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擅自变更、中止、终止或解除政府采购合同的</w:t>
            </w:r>
          </w:p>
        </w:tc>
        <w:tc>
          <w:tcPr>
            <w:tcW w:w="1326" w:type="dxa"/>
            <w:noWrap/>
            <w:vAlign w:val="center"/>
          </w:tcPr>
          <w:p w14:paraId="674AC622">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5年</w:t>
            </w:r>
          </w:p>
        </w:tc>
      </w:tr>
      <w:tr w14:paraId="6C8B1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ign w:val="center"/>
          </w:tcPr>
          <w:p w14:paraId="6143EC30">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w:t>
            </w:r>
          </w:p>
        </w:tc>
        <w:tc>
          <w:tcPr>
            <w:tcW w:w="6433" w:type="dxa"/>
            <w:noWrap/>
            <w:vAlign w:val="center"/>
          </w:tcPr>
          <w:p w14:paraId="63006346">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向有关人员行贿或者提供不正当利益谋取中标的</w:t>
            </w:r>
          </w:p>
        </w:tc>
        <w:tc>
          <w:tcPr>
            <w:tcW w:w="1326" w:type="dxa"/>
            <w:noWrap/>
            <w:vAlign w:val="center"/>
          </w:tcPr>
          <w:p w14:paraId="44168238">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5年</w:t>
            </w:r>
          </w:p>
        </w:tc>
      </w:tr>
      <w:tr w14:paraId="029EA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947" w:type="dxa"/>
            <w:noWrap/>
            <w:vAlign w:val="center"/>
          </w:tcPr>
          <w:p w14:paraId="0AC7D56F">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6433" w:type="dxa"/>
            <w:noWrap/>
            <w:vAlign w:val="center"/>
          </w:tcPr>
          <w:p w14:paraId="489DDB14">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在政府采购活动期间，对管理机构、采购人、其他采购响应人、评标专家、中介机构等政府采购相关机构和人员，采取诋毁、诽谤、胁迫、暴力等不正当手段的</w:t>
            </w:r>
          </w:p>
        </w:tc>
        <w:tc>
          <w:tcPr>
            <w:tcW w:w="1326" w:type="dxa"/>
            <w:noWrap/>
            <w:vAlign w:val="center"/>
          </w:tcPr>
          <w:p w14:paraId="2A2BD094">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5年</w:t>
            </w:r>
          </w:p>
        </w:tc>
      </w:tr>
      <w:tr w14:paraId="4930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ign w:val="center"/>
          </w:tcPr>
          <w:p w14:paraId="03EFDDB5">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26</w:t>
            </w:r>
          </w:p>
        </w:tc>
        <w:tc>
          <w:tcPr>
            <w:tcW w:w="6433" w:type="dxa"/>
            <w:noWrap/>
            <w:vAlign w:val="center"/>
          </w:tcPr>
          <w:p w14:paraId="31204B33">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诸暨市建设集团有限公司</w:t>
            </w:r>
            <w:r>
              <w:rPr>
                <w:rFonts w:hint="eastAsia" w:ascii="仿宋" w:hAnsi="仿宋" w:eastAsia="仿宋" w:cs="仿宋"/>
                <w:color w:val="auto"/>
                <w:sz w:val="24"/>
                <w:szCs w:val="24"/>
                <w:highlight w:val="none"/>
              </w:rPr>
              <w:t>招投标监管领导小组办公室认定的其他违反政府采购管理的行为</w:t>
            </w:r>
          </w:p>
        </w:tc>
        <w:tc>
          <w:tcPr>
            <w:tcW w:w="1326" w:type="dxa"/>
            <w:noWrap/>
            <w:vAlign w:val="center"/>
          </w:tcPr>
          <w:p w14:paraId="418685A7">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酌情处理</w:t>
            </w:r>
          </w:p>
        </w:tc>
      </w:tr>
    </w:tbl>
    <w:p w14:paraId="6B35AEB7">
      <w:pPr>
        <w:pStyle w:val="8"/>
        <w:spacing w:before="0" w:after="0"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十、监督和解释</w:t>
      </w:r>
    </w:p>
    <w:p w14:paraId="4F50FA40">
      <w:pPr>
        <w:spacing w:line="42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37.</w:t>
      </w:r>
      <w:r>
        <w:rPr>
          <w:rFonts w:hint="eastAsia" w:ascii="仿宋" w:hAnsi="仿宋" w:eastAsia="仿宋" w:cs="仿宋"/>
          <w:color w:val="auto"/>
          <w:sz w:val="24"/>
          <w:highlight w:val="none"/>
        </w:rPr>
        <w:t>本次招标活动接受</w:t>
      </w:r>
      <w:r>
        <w:rPr>
          <w:rFonts w:hint="eastAsia" w:ascii="仿宋" w:hAnsi="仿宋" w:eastAsia="仿宋" w:cs="仿宋"/>
          <w:color w:val="auto"/>
          <w:sz w:val="24"/>
          <w:highlight w:val="none"/>
          <w:lang w:eastAsia="zh-CN"/>
        </w:rPr>
        <w:t>诸暨市建设集团有限公司</w:t>
      </w:r>
      <w:r>
        <w:rPr>
          <w:rFonts w:hint="eastAsia" w:ascii="仿宋" w:hAnsi="仿宋" w:eastAsia="仿宋" w:cs="仿宋"/>
          <w:color w:val="auto"/>
          <w:sz w:val="24"/>
          <w:highlight w:val="none"/>
        </w:rPr>
        <w:t>招投标监管领导小组办公室监督。</w:t>
      </w:r>
    </w:p>
    <w:p w14:paraId="2729A4E1">
      <w:pPr>
        <w:spacing w:line="42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38.</w:t>
      </w:r>
      <w:r>
        <w:rPr>
          <w:rFonts w:hint="eastAsia" w:ascii="仿宋" w:hAnsi="仿宋" w:eastAsia="仿宋" w:cs="仿宋"/>
          <w:color w:val="auto"/>
          <w:sz w:val="24"/>
          <w:highlight w:val="none"/>
        </w:rPr>
        <w:t>本招标文件的解释权属于采购单位和诸暨市宸佳工程管理有限公司。</w:t>
      </w:r>
    </w:p>
    <w:p w14:paraId="1BFE3CF2">
      <w:pPr>
        <w:pStyle w:val="7"/>
        <w:spacing w:before="0" w:after="0" w:line="240" w:lineRule="auto"/>
        <w:jc w:val="center"/>
        <w:rPr>
          <w:rFonts w:hint="eastAsia" w:ascii="华文中宋" w:hAnsi="华文中宋" w:eastAsia="华文中宋"/>
          <w:color w:val="auto"/>
          <w:sz w:val="36"/>
          <w:szCs w:val="36"/>
          <w:highlight w:val="none"/>
        </w:rPr>
        <w:sectPr>
          <w:headerReference r:id="rId12" w:type="default"/>
          <w:footerReference r:id="rId13" w:type="default"/>
          <w:pgSz w:w="11905"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type="lines" w:linePitch="317" w:charSpace="0"/>
        </w:sectPr>
      </w:pPr>
      <w:bookmarkStart w:id="8" w:name="_Toc125344512"/>
    </w:p>
    <w:p w14:paraId="646AC731">
      <w:pPr>
        <w:pStyle w:val="7"/>
        <w:spacing w:before="0" w:after="120" w:line="300" w:lineRule="auto"/>
        <w:jc w:val="center"/>
        <w:rPr>
          <w:rFonts w:ascii="华文中宋" w:hAnsi="华文中宋" w:eastAsia="华文中宋"/>
          <w:color w:val="auto"/>
          <w:sz w:val="36"/>
          <w:szCs w:val="36"/>
          <w:highlight w:val="none"/>
        </w:rPr>
      </w:pPr>
      <w:r>
        <w:rPr>
          <w:rFonts w:hint="eastAsia" w:ascii="华文中宋" w:hAnsi="华文中宋" w:eastAsia="华文中宋"/>
          <w:color w:val="auto"/>
          <w:sz w:val="36"/>
          <w:szCs w:val="36"/>
          <w:highlight w:val="none"/>
        </w:rPr>
        <w:t xml:space="preserve">第三章  </w:t>
      </w:r>
      <w:bookmarkEnd w:id="8"/>
      <w:r>
        <w:rPr>
          <w:rFonts w:hint="eastAsia" w:ascii="华文中宋" w:hAnsi="华文中宋" w:eastAsia="华文中宋"/>
          <w:color w:val="auto"/>
          <w:sz w:val="36"/>
          <w:szCs w:val="36"/>
          <w:highlight w:val="none"/>
        </w:rPr>
        <w:t>评标方法及评分标准</w:t>
      </w:r>
    </w:p>
    <w:p w14:paraId="46332661">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1、采用</w:t>
      </w:r>
      <w:r>
        <w:rPr>
          <w:rFonts w:hint="eastAsia" w:ascii="仿宋" w:hAnsi="仿宋" w:eastAsia="仿宋" w:cs="仿宋"/>
          <w:color w:val="auto"/>
          <w:sz w:val="24"/>
          <w:highlight w:val="none"/>
          <w:u w:val="single"/>
        </w:rPr>
        <w:t>综合评分法</w:t>
      </w:r>
      <w:r>
        <w:rPr>
          <w:rFonts w:hint="eastAsia" w:ascii="仿宋" w:hAnsi="仿宋" w:eastAsia="仿宋" w:cs="仿宋"/>
          <w:color w:val="auto"/>
          <w:sz w:val="24"/>
          <w:highlight w:val="none"/>
        </w:rPr>
        <w:t>。即在符合招标文件要求的前提下，择定最高得分者为第一中标候选人，即预中标人。</w:t>
      </w:r>
    </w:p>
    <w:p w14:paraId="79C58D48">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2、合格投标人的评标得分为各项目汇总得分，中标候选资格按评标得分由高到低顺序排列，得分相同的，按投标报价由低到高顺序排列；得分且投标报价相同的，按商务技术得分由高到低顺序排列。</w:t>
      </w:r>
      <w:r>
        <w:rPr>
          <w:rFonts w:hint="eastAsia" w:ascii="仿宋" w:hAnsi="仿宋" w:eastAsia="仿宋" w:cs="仿宋"/>
          <w:bCs/>
          <w:color w:val="auto"/>
          <w:sz w:val="24"/>
          <w:highlight w:val="none"/>
        </w:rPr>
        <w:t>评分过程中采用四舍五入</w:t>
      </w:r>
      <w:r>
        <w:rPr>
          <w:rFonts w:hint="eastAsia" w:ascii="仿宋" w:hAnsi="仿宋" w:eastAsia="仿宋" w:cs="仿宋"/>
          <w:color w:val="auto"/>
          <w:sz w:val="24"/>
          <w:highlight w:val="none"/>
        </w:rPr>
        <w:t>法，并保留小数2位。</w:t>
      </w:r>
    </w:p>
    <w:p w14:paraId="57CD8C73">
      <w:pPr>
        <w:pStyle w:val="24"/>
        <w:keepNext w:val="0"/>
        <w:keepLines w:val="0"/>
        <w:pageBreakBefore w:val="0"/>
        <w:widowControl w:val="0"/>
        <w:kinsoku/>
        <w:wordWrap/>
        <w:overflowPunct/>
        <w:topLinePunct w:val="0"/>
        <w:autoSpaceDE w:val="0"/>
        <w:autoSpaceDN w:val="0"/>
        <w:bidi w:val="0"/>
        <w:adjustRightInd w:val="0"/>
        <w:snapToGrid/>
        <w:spacing w:after="0" w:line="420" w:lineRule="exact"/>
        <w:ind w:firstLine="480" w:firstLineChars="200"/>
        <w:textAlignment w:val="auto"/>
        <w:rPr>
          <w:rFonts w:hint="eastAsia" w:eastAsia="仿宋"/>
          <w:color w:val="auto"/>
          <w:highlight w:val="none"/>
          <w:lang w:val="en-US" w:eastAsia="zh-CN"/>
        </w:rPr>
      </w:pPr>
      <w:r>
        <w:rPr>
          <w:rFonts w:hint="eastAsia" w:ascii="仿宋" w:hAnsi="仿宋" w:eastAsia="仿宋" w:cs="仿宋"/>
          <w:color w:val="auto"/>
          <w:sz w:val="24"/>
          <w:highlight w:val="none"/>
          <w:lang w:val="en-US" w:eastAsia="zh-CN"/>
        </w:rPr>
        <w:t>3、评分办法</w:t>
      </w:r>
    </w:p>
    <w:p w14:paraId="4379E943">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（1）满分为100分。总得分=商务技术得分+报价得分；</w:t>
      </w:r>
    </w:p>
    <w:p w14:paraId="164E4C1E">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（2）商务技术得分=商务技术评分，商务技术评分=所有评委的有效评分的算术平均数；</w:t>
      </w:r>
    </w:p>
    <w:p w14:paraId="504987D1">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（3）报价得分=（评标基准价/投标报价）*价格权值*100，评标基准价=有效投标人的最低报价，价格权值=20%；</w:t>
      </w:r>
    </w:p>
    <w:p w14:paraId="51E60E31">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（4）商务技术分评分细则（80分）</w:t>
      </w:r>
    </w:p>
    <w:tbl>
      <w:tblPr>
        <w:tblStyle w:val="52"/>
        <w:tblW w:w="1003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30"/>
        <w:gridCol w:w="1703"/>
        <w:gridCol w:w="6737"/>
        <w:gridCol w:w="966"/>
      </w:tblGrid>
      <w:tr w14:paraId="78E09F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630" w:type="dxa"/>
            <w:tcBorders>
              <w:tl2br w:val="nil"/>
              <w:tr2bl w:val="nil"/>
            </w:tcBorders>
            <w:noWrap w:val="0"/>
            <w:vAlign w:val="center"/>
          </w:tcPr>
          <w:p w14:paraId="4C8AC17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宋体"/>
                <w:b/>
                <w:bCs/>
                <w:sz w:val="24"/>
                <w:szCs w:val="24"/>
                <w:highlight w:val="none"/>
              </w:rPr>
            </w:pPr>
            <w:r>
              <w:rPr>
                <w:rFonts w:hint="eastAsia" w:ascii="仿宋" w:hAnsi="仿宋" w:eastAsia="仿宋" w:cs="宋体"/>
                <w:b/>
                <w:bCs/>
                <w:sz w:val="24"/>
                <w:szCs w:val="24"/>
                <w:highlight w:val="none"/>
              </w:rPr>
              <w:t>序号</w:t>
            </w:r>
          </w:p>
        </w:tc>
        <w:tc>
          <w:tcPr>
            <w:tcW w:w="1703" w:type="dxa"/>
            <w:tcBorders>
              <w:tl2br w:val="nil"/>
              <w:tr2bl w:val="nil"/>
            </w:tcBorders>
            <w:noWrap w:val="0"/>
            <w:vAlign w:val="center"/>
          </w:tcPr>
          <w:p w14:paraId="4F480A97">
            <w:pPr>
              <w:keepNext w:val="0"/>
              <w:keepLines w:val="0"/>
              <w:pageBreakBefore w:val="0"/>
              <w:widowControl w:val="0"/>
              <w:kinsoku/>
              <w:wordWrap/>
              <w:overflowPunct/>
              <w:topLinePunct w:val="0"/>
              <w:autoSpaceDE/>
              <w:autoSpaceDN/>
              <w:bidi w:val="0"/>
              <w:spacing w:line="360" w:lineRule="exact"/>
              <w:jc w:val="center"/>
              <w:textAlignment w:val="auto"/>
              <w:rPr>
                <w:rFonts w:ascii="仿宋" w:hAnsi="仿宋" w:eastAsia="仿宋" w:cs="宋体"/>
                <w:b/>
                <w:bCs/>
                <w:sz w:val="24"/>
                <w:szCs w:val="24"/>
                <w:highlight w:val="none"/>
              </w:rPr>
            </w:pPr>
            <w:r>
              <w:rPr>
                <w:rFonts w:hint="eastAsia" w:ascii="仿宋" w:hAnsi="仿宋" w:eastAsia="仿宋" w:cs="宋体"/>
                <w:b/>
                <w:bCs/>
                <w:sz w:val="24"/>
                <w:szCs w:val="24"/>
                <w:highlight w:val="none"/>
              </w:rPr>
              <w:t>项目</w:t>
            </w:r>
          </w:p>
        </w:tc>
        <w:tc>
          <w:tcPr>
            <w:tcW w:w="6737" w:type="dxa"/>
            <w:tcBorders>
              <w:tl2br w:val="nil"/>
              <w:tr2bl w:val="nil"/>
            </w:tcBorders>
            <w:noWrap w:val="0"/>
            <w:vAlign w:val="center"/>
          </w:tcPr>
          <w:p w14:paraId="568AE10B">
            <w:pPr>
              <w:keepNext w:val="0"/>
              <w:keepLines w:val="0"/>
              <w:pageBreakBefore w:val="0"/>
              <w:widowControl w:val="0"/>
              <w:kinsoku/>
              <w:wordWrap/>
              <w:overflowPunct/>
              <w:topLinePunct w:val="0"/>
              <w:autoSpaceDE/>
              <w:autoSpaceDN/>
              <w:bidi w:val="0"/>
              <w:spacing w:line="360" w:lineRule="exact"/>
              <w:jc w:val="center"/>
              <w:textAlignment w:val="auto"/>
              <w:rPr>
                <w:rFonts w:ascii="仿宋" w:hAnsi="仿宋" w:eastAsia="仿宋" w:cs="宋体"/>
                <w:b/>
                <w:bCs/>
                <w:sz w:val="24"/>
                <w:szCs w:val="24"/>
                <w:highlight w:val="none"/>
              </w:rPr>
            </w:pPr>
            <w:r>
              <w:rPr>
                <w:rFonts w:hint="eastAsia" w:ascii="仿宋" w:hAnsi="仿宋" w:eastAsia="仿宋" w:cs="宋体"/>
                <w:b/>
                <w:bCs/>
                <w:sz w:val="24"/>
                <w:szCs w:val="24"/>
                <w:highlight w:val="none"/>
              </w:rPr>
              <w:t>评分标准</w:t>
            </w:r>
          </w:p>
        </w:tc>
        <w:tc>
          <w:tcPr>
            <w:tcW w:w="966" w:type="dxa"/>
            <w:tcBorders>
              <w:tl2br w:val="nil"/>
              <w:tr2bl w:val="nil"/>
            </w:tcBorders>
            <w:noWrap w:val="0"/>
            <w:vAlign w:val="center"/>
          </w:tcPr>
          <w:p w14:paraId="26B1FB9C">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 w:hAnsi="仿宋" w:eastAsia="仿宋" w:cs="宋体"/>
                <w:b/>
                <w:bCs/>
                <w:sz w:val="24"/>
                <w:szCs w:val="24"/>
                <w:highlight w:val="none"/>
              </w:rPr>
            </w:pPr>
            <w:r>
              <w:rPr>
                <w:rFonts w:hint="eastAsia" w:ascii="仿宋" w:hAnsi="仿宋" w:eastAsia="仿宋" w:cs="宋体"/>
                <w:b/>
                <w:bCs/>
                <w:sz w:val="24"/>
                <w:szCs w:val="24"/>
                <w:highlight w:val="none"/>
              </w:rPr>
              <w:t>分值</w:t>
            </w:r>
          </w:p>
          <w:p w14:paraId="12EC5FE2">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 w:hAnsi="仿宋" w:eastAsia="仿宋" w:cs="宋体"/>
                <w:b/>
                <w:bCs/>
                <w:sz w:val="24"/>
                <w:szCs w:val="24"/>
                <w:highlight w:val="none"/>
                <w:lang w:val="en-US" w:eastAsia="zh-CN"/>
              </w:rPr>
            </w:pPr>
            <w:r>
              <w:rPr>
                <w:rFonts w:hint="eastAsia" w:ascii="仿宋" w:hAnsi="仿宋" w:eastAsia="仿宋" w:cs="宋体"/>
                <w:b/>
                <w:bCs/>
                <w:sz w:val="24"/>
                <w:szCs w:val="24"/>
                <w:highlight w:val="none"/>
                <w:lang w:val="en-US" w:eastAsia="zh-CN"/>
              </w:rPr>
              <w:t>范围</w:t>
            </w:r>
          </w:p>
        </w:tc>
      </w:tr>
      <w:tr w14:paraId="7A9311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 w:hRule="atLeast"/>
          <w:jc w:val="center"/>
        </w:trPr>
        <w:tc>
          <w:tcPr>
            <w:tcW w:w="630" w:type="dxa"/>
            <w:tcBorders>
              <w:tl2br w:val="nil"/>
              <w:tr2bl w:val="nil"/>
            </w:tcBorders>
            <w:noWrap w:val="0"/>
            <w:vAlign w:val="center"/>
          </w:tcPr>
          <w:p w14:paraId="1905E374">
            <w:pPr>
              <w:keepNext w:val="0"/>
              <w:keepLines w:val="0"/>
              <w:pageBreakBefore w:val="0"/>
              <w:widowControl w:val="0"/>
              <w:numPr>
                <w:ilvl w:val="0"/>
                <w:numId w:val="12"/>
              </w:numPr>
              <w:kinsoku/>
              <w:wordWrap/>
              <w:overflowPunct/>
              <w:topLinePunct w:val="0"/>
              <w:autoSpaceDE/>
              <w:autoSpaceDN/>
              <w:bidi w:val="0"/>
              <w:spacing w:line="360" w:lineRule="exact"/>
              <w:ind w:left="425" w:leftChars="0" w:hanging="425" w:firstLineChars="0"/>
              <w:jc w:val="center"/>
              <w:textAlignment w:val="auto"/>
              <w:rPr>
                <w:rFonts w:hint="eastAsia" w:ascii="仿宋" w:hAnsi="仿宋" w:eastAsia="仿宋" w:cs="宋体"/>
                <w:b/>
                <w:sz w:val="24"/>
                <w:szCs w:val="24"/>
                <w:highlight w:val="none"/>
                <w:lang w:val="en-US" w:eastAsia="zh-CN"/>
              </w:rPr>
            </w:pPr>
          </w:p>
        </w:tc>
        <w:tc>
          <w:tcPr>
            <w:tcW w:w="1703" w:type="dxa"/>
            <w:tcBorders>
              <w:tl2br w:val="nil"/>
              <w:tr2bl w:val="nil"/>
            </w:tcBorders>
            <w:noWrap w:val="0"/>
            <w:vAlign w:val="center"/>
          </w:tcPr>
          <w:p w14:paraId="57B4CB7C">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 w:hAnsi="仿宋" w:eastAsia="仿宋" w:cs="宋体"/>
                <w:b/>
                <w:kern w:val="2"/>
                <w:sz w:val="24"/>
                <w:szCs w:val="24"/>
                <w:highlight w:val="none"/>
                <w:lang w:val="en-US" w:eastAsia="zh-CN" w:bidi="ar-SA"/>
              </w:rPr>
            </w:pPr>
            <w:r>
              <w:rPr>
                <w:rFonts w:hint="eastAsia" w:ascii="仿宋" w:hAnsi="仿宋" w:eastAsia="仿宋" w:cs="宋体"/>
                <w:b/>
                <w:bCs/>
                <w:color w:val="auto"/>
                <w:sz w:val="24"/>
                <w:szCs w:val="24"/>
                <w:highlight w:val="none"/>
                <w:lang w:val="en-US" w:eastAsia="zh-CN"/>
              </w:rPr>
              <w:t>偿付能力</w:t>
            </w:r>
          </w:p>
        </w:tc>
        <w:tc>
          <w:tcPr>
            <w:tcW w:w="6737" w:type="dxa"/>
            <w:tcBorders>
              <w:tl2br w:val="nil"/>
              <w:tr2bl w:val="nil"/>
            </w:tcBorders>
            <w:noWrap w:val="0"/>
            <w:vAlign w:val="center"/>
          </w:tcPr>
          <w:p w14:paraId="46BBBD06">
            <w:pPr>
              <w:keepNext w:val="0"/>
              <w:keepLines w:val="0"/>
              <w:pageBreakBefore w:val="0"/>
              <w:widowControl w:val="0"/>
              <w:kinsoku/>
              <w:wordWrap/>
              <w:overflowPunct/>
              <w:topLinePunct w:val="0"/>
              <w:autoSpaceDE/>
              <w:autoSpaceDN/>
              <w:bidi w:val="0"/>
              <w:spacing w:line="360" w:lineRule="exact"/>
              <w:jc w:val="left"/>
              <w:textAlignment w:val="auto"/>
              <w:rPr>
                <w:rFonts w:hint="eastAsia" w:ascii="仿宋" w:hAnsi="仿宋" w:eastAsia="仿宋" w:cs="宋体"/>
                <w:b w:val="0"/>
                <w:bCs w:val="0"/>
                <w:color w:val="auto"/>
                <w:sz w:val="24"/>
                <w:szCs w:val="24"/>
                <w:highlight w:val="none"/>
                <w:lang w:val="en-US" w:eastAsia="zh-CN"/>
              </w:rPr>
            </w:pPr>
            <w:r>
              <w:rPr>
                <w:rFonts w:hint="eastAsia" w:ascii="仿宋" w:hAnsi="仿宋" w:eastAsia="仿宋" w:cs="宋体"/>
                <w:b w:val="0"/>
                <w:bCs w:val="0"/>
                <w:color w:val="auto"/>
                <w:sz w:val="24"/>
                <w:szCs w:val="24"/>
                <w:highlight w:val="none"/>
                <w:lang w:val="en-US" w:eastAsia="zh-CN"/>
              </w:rPr>
              <w:t>根据投标人或其所属总公司2023年年度综合偿付能力充足率进行打分：</w:t>
            </w:r>
          </w:p>
          <w:p w14:paraId="74BD4343">
            <w:pPr>
              <w:keepNext w:val="0"/>
              <w:keepLines w:val="0"/>
              <w:pageBreakBefore w:val="0"/>
              <w:widowControl w:val="0"/>
              <w:kinsoku/>
              <w:wordWrap/>
              <w:overflowPunct/>
              <w:topLinePunct w:val="0"/>
              <w:autoSpaceDE/>
              <w:autoSpaceDN/>
              <w:bidi w:val="0"/>
              <w:spacing w:line="360" w:lineRule="exact"/>
              <w:jc w:val="left"/>
              <w:textAlignment w:val="auto"/>
              <w:rPr>
                <w:rFonts w:hint="eastAsia" w:ascii="仿宋" w:hAnsi="仿宋" w:eastAsia="仿宋" w:cs="宋体"/>
                <w:b w:val="0"/>
                <w:bCs w:val="0"/>
                <w:color w:val="auto"/>
                <w:sz w:val="24"/>
                <w:szCs w:val="24"/>
                <w:highlight w:val="none"/>
                <w:lang w:val="en-US" w:eastAsia="zh-CN"/>
              </w:rPr>
            </w:pPr>
            <w:r>
              <w:rPr>
                <w:rFonts w:hint="eastAsia" w:ascii="仿宋" w:hAnsi="仿宋" w:eastAsia="仿宋" w:cs="宋体"/>
                <w:b w:val="0"/>
                <w:bCs w:val="0"/>
                <w:color w:val="auto"/>
                <w:sz w:val="24"/>
                <w:szCs w:val="24"/>
                <w:highlight w:val="none"/>
                <w:lang w:val="en-US" w:eastAsia="zh-CN"/>
              </w:rPr>
              <w:t>综合偿付能力充足率在200%（含）以上的得8分；偿付能力充足率在150%（含）-200%（不含）之间的得6分；偿付能力充足率在100%（含）-150%（不含）之间的得4分；偿付能力充足率在100%（不含）以下的不得分。</w:t>
            </w:r>
          </w:p>
          <w:p w14:paraId="0EF9DF98">
            <w:pPr>
              <w:keepNext w:val="0"/>
              <w:keepLines w:val="0"/>
              <w:pageBreakBefore w:val="0"/>
              <w:widowControl w:val="0"/>
              <w:numPr>
                <w:ilvl w:val="0"/>
                <w:numId w:val="0"/>
              </w:numPr>
              <w:kinsoku/>
              <w:wordWrap/>
              <w:overflowPunct/>
              <w:topLinePunct w:val="0"/>
              <w:autoSpaceDE/>
              <w:autoSpaceDN/>
              <w:bidi w:val="0"/>
              <w:spacing w:line="360" w:lineRule="exact"/>
              <w:ind w:leftChars="0"/>
              <w:jc w:val="left"/>
              <w:textAlignment w:val="auto"/>
              <w:rPr>
                <w:rFonts w:hint="eastAsia" w:ascii="仿宋" w:hAnsi="仿宋" w:eastAsia="仿宋" w:cs="宋体"/>
                <w:b w:val="0"/>
                <w:bCs w:val="0"/>
                <w:sz w:val="24"/>
                <w:szCs w:val="24"/>
                <w:highlight w:val="none"/>
                <w:lang w:val="en-US" w:eastAsia="zh-CN"/>
              </w:rPr>
            </w:pPr>
            <w:r>
              <w:rPr>
                <w:rFonts w:hint="eastAsia" w:ascii="仿宋" w:hAnsi="仿宋" w:eastAsia="仿宋" w:cs="宋体"/>
                <w:b/>
                <w:bCs/>
                <w:color w:val="auto"/>
                <w:sz w:val="24"/>
                <w:szCs w:val="24"/>
                <w:highlight w:val="none"/>
                <w:lang w:val="en-US" w:eastAsia="zh-CN"/>
              </w:rPr>
              <w:t>注：提供投标人或其所属总公司2023年度经会计事务所审计的审计报告复印件并加盖投标人</w:t>
            </w:r>
            <w:r>
              <w:rPr>
                <w:rFonts w:hint="eastAsia" w:ascii="仿宋" w:hAnsi="仿宋" w:eastAsia="仿宋" w:cs="宋体"/>
                <w:b/>
                <w:bCs/>
                <w:sz w:val="24"/>
                <w:szCs w:val="24"/>
                <w:highlight w:val="none"/>
                <w:lang w:val="en-US" w:eastAsia="zh-CN"/>
              </w:rPr>
              <w:t>CA签章</w:t>
            </w:r>
            <w:r>
              <w:rPr>
                <w:rFonts w:hint="eastAsia" w:ascii="仿宋" w:hAnsi="仿宋" w:eastAsia="仿宋" w:cs="宋体"/>
                <w:b/>
                <w:bCs/>
                <w:color w:val="auto"/>
                <w:sz w:val="24"/>
                <w:szCs w:val="24"/>
                <w:highlight w:val="none"/>
                <w:lang w:val="en-US" w:eastAsia="zh-CN"/>
              </w:rPr>
              <w:t>，否则不得分。</w:t>
            </w:r>
          </w:p>
        </w:tc>
        <w:tc>
          <w:tcPr>
            <w:tcW w:w="966" w:type="dxa"/>
            <w:tcBorders>
              <w:tl2br w:val="nil"/>
              <w:tr2bl w:val="nil"/>
            </w:tcBorders>
            <w:noWrap w:val="0"/>
            <w:vAlign w:val="center"/>
          </w:tcPr>
          <w:p w14:paraId="32349F64">
            <w:pPr>
              <w:keepNext w:val="0"/>
              <w:keepLines w:val="0"/>
              <w:pageBreakBefore w:val="0"/>
              <w:widowControl w:val="0"/>
              <w:kinsoku/>
              <w:wordWrap/>
              <w:overflowPunct/>
              <w:topLinePunct w:val="0"/>
              <w:autoSpaceDE/>
              <w:autoSpaceDN/>
              <w:bidi w:val="0"/>
              <w:spacing w:line="360" w:lineRule="exact"/>
              <w:jc w:val="center"/>
              <w:textAlignment w:val="auto"/>
              <w:rPr>
                <w:rFonts w:hint="default" w:ascii="仿宋" w:hAnsi="仿宋" w:eastAsia="仿宋" w:cs="宋体"/>
                <w:b/>
                <w:bCs/>
                <w:kern w:val="2"/>
                <w:sz w:val="24"/>
                <w:szCs w:val="24"/>
                <w:highlight w:val="none"/>
                <w:lang w:val="en-US" w:eastAsia="zh-CN" w:bidi="ar-SA"/>
              </w:rPr>
            </w:pPr>
            <w:r>
              <w:rPr>
                <w:rFonts w:hint="eastAsia" w:ascii="仿宋" w:hAnsi="仿宋" w:eastAsia="仿宋" w:cs="宋体"/>
                <w:b/>
                <w:bCs/>
                <w:kern w:val="2"/>
                <w:sz w:val="24"/>
                <w:szCs w:val="24"/>
                <w:highlight w:val="none"/>
                <w:lang w:val="en-US" w:eastAsia="zh-CN" w:bidi="ar-SA"/>
              </w:rPr>
              <w:t>0-8分</w:t>
            </w:r>
          </w:p>
        </w:tc>
      </w:tr>
      <w:tr w14:paraId="5E76BB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 w:hRule="atLeast"/>
          <w:jc w:val="center"/>
        </w:trPr>
        <w:tc>
          <w:tcPr>
            <w:tcW w:w="630" w:type="dxa"/>
            <w:tcBorders>
              <w:tl2br w:val="nil"/>
              <w:tr2bl w:val="nil"/>
            </w:tcBorders>
            <w:noWrap w:val="0"/>
            <w:vAlign w:val="center"/>
          </w:tcPr>
          <w:p w14:paraId="55EE6758">
            <w:pPr>
              <w:keepNext w:val="0"/>
              <w:keepLines w:val="0"/>
              <w:pageBreakBefore w:val="0"/>
              <w:widowControl w:val="0"/>
              <w:numPr>
                <w:ilvl w:val="0"/>
                <w:numId w:val="12"/>
              </w:numPr>
              <w:kinsoku/>
              <w:wordWrap/>
              <w:overflowPunct/>
              <w:topLinePunct w:val="0"/>
              <w:autoSpaceDE/>
              <w:autoSpaceDN/>
              <w:bidi w:val="0"/>
              <w:spacing w:line="360" w:lineRule="exact"/>
              <w:ind w:left="425" w:leftChars="0" w:hanging="425" w:firstLineChars="0"/>
              <w:jc w:val="center"/>
              <w:textAlignment w:val="auto"/>
              <w:rPr>
                <w:rFonts w:hint="eastAsia" w:ascii="仿宋" w:hAnsi="仿宋" w:eastAsia="仿宋" w:cs="宋体"/>
                <w:b/>
                <w:sz w:val="24"/>
                <w:szCs w:val="24"/>
                <w:highlight w:val="none"/>
                <w:lang w:val="en-US" w:eastAsia="zh-CN"/>
              </w:rPr>
            </w:pPr>
          </w:p>
        </w:tc>
        <w:tc>
          <w:tcPr>
            <w:tcW w:w="1703" w:type="dxa"/>
            <w:tcBorders>
              <w:tl2br w:val="nil"/>
              <w:tr2bl w:val="nil"/>
            </w:tcBorders>
            <w:noWrap w:val="0"/>
            <w:vAlign w:val="center"/>
          </w:tcPr>
          <w:p w14:paraId="013FEB14">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 w:hAnsi="仿宋" w:eastAsia="仿宋" w:cs="宋体"/>
                <w:b/>
                <w:kern w:val="2"/>
                <w:sz w:val="24"/>
                <w:szCs w:val="24"/>
                <w:highlight w:val="none"/>
                <w:lang w:val="en-US" w:eastAsia="zh-CN" w:bidi="ar-SA"/>
              </w:rPr>
            </w:pPr>
            <w:r>
              <w:rPr>
                <w:rFonts w:hint="eastAsia" w:ascii="仿宋" w:hAnsi="仿宋" w:eastAsia="仿宋" w:cs="宋体"/>
                <w:b/>
                <w:kern w:val="2"/>
                <w:sz w:val="24"/>
                <w:szCs w:val="24"/>
                <w:highlight w:val="none"/>
                <w:lang w:val="en-US" w:eastAsia="zh-CN" w:bidi="ar-SA"/>
              </w:rPr>
              <w:t>服务评价</w:t>
            </w:r>
          </w:p>
        </w:tc>
        <w:tc>
          <w:tcPr>
            <w:tcW w:w="6737" w:type="dxa"/>
            <w:tcBorders>
              <w:tl2br w:val="nil"/>
              <w:tr2bl w:val="nil"/>
            </w:tcBorders>
            <w:noWrap w:val="0"/>
            <w:vAlign w:val="center"/>
          </w:tcPr>
          <w:p w14:paraId="21345AE8">
            <w:pPr>
              <w:keepNext w:val="0"/>
              <w:keepLines w:val="0"/>
              <w:pageBreakBefore w:val="0"/>
              <w:widowControl w:val="0"/>
              <w:numPr>
                <w:ilvl w:val="0"/>
                <w:numId w:val="0"/>
              </w:numPr>
              <w:kinsoku/>
              <w:wordWrap/>
              <w:overflowPunct/>
              <w:topLinePunct w:val="0"/>
              <w:autoSpaceDE/>
              <w:autoSpaceDN/>
              <w:bidi w:val="0"/>
              <w:spacing w:line="360" w:lineRule="exact"/>
              <w:ind w:leftChars="0"/>
              <w:jc w:val="left"/>
              <w:textAlignment w:val="auto"/>
              <w:rPr>
                <w:rFonts w:hint="eastAsia" w:ascii="仿宋" w:hAnsi="仿宋" w:eastAsia="仿宋" w:cs="宋体"/>
                <w:b w:val="0"/>
                <w:bCs w:val="0"/>
                <w:color w:val="auto"/>
                <w:sz w:val="24"/>
                <w:szCs w:val="24"/>
                <w:highlight w:val="none"/>
                <w:lang w:val="en-US" w:eastAsia="zh-CN"/>
              </w:rPr>
            </w:pPr>
            <w:r>
              <w:rPr>
                <w:rFonts w:hint="eastAsia" w:ascii="仿宋" w:hAnsi="仿宋" w:eastAsia="仿宋" w:cs="宋体"/>
                <w:b w:val="0"/>
                <w:bCs w:val="0"/>
                <w:color w:val="auto"/>
                <w:sz w:val="24"/>
                <w:szCs w:val="24"/>
                <w:highlight w:val="none"/>
                <w:lang w:val="en-US" w:eastAsia="zh-CN"/>
              </w:rPr>
              <w:t>根据投标人或其所属总公司2023年第一季度保险消费投诉相对量情况中亿元保费投诉量（件/亿元）、万张保单投诉量（件/万张）</w:t>
            </w:r>
            <w:r>
              <w:rPr>
                <w:rFonts w:hint="eastAsia" w:ascii="仿宋" w:hAnsi="仿宋" w:eastAsia="仿宋" w:cs="宋体"/>
                <w:b w:val="0"/>
                <w:bCs w:val="0"/>
                <w:color w:val="auto"/>
                <w:sz w:val="24"/>
                <w:szCs w:val="24"/>
                <w:highlight w:val="none"/>
                <w:lang w:val="en-US" w:eastAsia="zh-CN"/>
              </w:rPr>
              <w:t>进行打分：</w:t>
            </w:r>
          </w:p>
          <w:p w14:paraId="704AB945">
            <w:pPr>
              <w:keepNext w:val="0"/>
              <w:keepLines w:val="0"/>
              <w:pageBreakBefore w:val="0"/>
              <w:widowControl w:val="0"/>
              <w:numPr>
                <w:ilvl w:val="0"/>
                <w:numId w:val="0"/>
              </w:numPr>
              <w:kinsoku/>
              <w:wordWrap/>
              <w:overflowPunct/>
              <w:topLinePunct w:val="0"/>
              <w:autoSpaceDE/>
              <w:autoSpaceDN/>
              <w:bidi w:val="0"/>
              <w:spacing w:line="360" w:lineRule="exact"/>
              <w:ind w:leftChars="0"/>
              <w:jc w:val="left"/>
              <w:textAlignment w:val="auto"/>
              <w:rPr>
                <w:rFonts w:hint="eastAsia" w:ascii="仿宋" w:hAnsi="仿宋" w:eastAsia="仿宋" w:cs="宋体"/>
                <w:b w:val="0"/>
                <w:bCs w:val="0"/>
                <w:color w:val="auto"/>
                <w:sz w:val="24"/>
                <w:szCs w:val="24"/>
                <w:highlight w:val="none"/>
                <w:lang w:val="en-US" w:eastAsia="zh-CN"/>
              </w:rPr>
            </w:pPr>
            <w:r>
              <w:rPr>
                <w:rFonts w:hint="eastAsia" w:ascii="仿宋" w:hAnsi="仿宋" w:eastAsia="仿宋" w:cs="宋体"/>
                <w:b w:val="0"/>
                <w:bCs w:val="0"/>
                <w:color w:val="auto"/>
                <w:sz w:val="24"/>
                <w:szCs w:val="24"/>
                <w:highlight w:val="none"/>
                <w:lang w:val="en-US" w:eastAsia="zh-CN"/>
              </w:rPr>
              <w:t>（1）投标人所属总公司亿元保费投诉量（件/亿元）</w:t>
            </w: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分，0.</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w:t>
            </w:r>
            <w:r>
              <w:rPr>
                <w:rFonts w:hint="eastAsia" w:ascii="仿宋" w:hAnsi="仿宋" w:eastAsia="仿宋" w:cs="宋体"/>
                <w:b w:val="0"/>
                <w:bCs w:val="0"/>
                <w:color w:val="auto"/>
                <w:sz w:val="24"/>
                <w:szCs w:val="24"/>
                <w:highlight w:val="none"/>
                <w:lang w:val="en-US" w:eastAsia="zh-CN"/>
              </w:rPr>
              <w:t>亿元保费投诉量（件/亿元）＜</w:t>
            </w:r>
            <w:r>
              <w:rPr>
                <w:rFonts w:hint="eastAsia" w:ascii="仿宋" w:hAnsi="仿宋" w:eastAsia="仿宋" w:cs="仿宋"/>
                <w:color w:val="auto"/>
                <w:kern w:val="0"/>
                <w:sz w:val="24"/>
                <w:szCs w:val="24"/>
                <w:highlight w:val="none"/>
                <w:lang w:val="en-US" w:eastAsia="zh-CN"/>
              </w:rPr>
              <w:t>1.5</w:t>
            </w:r>
            <w:r>
              <w:rPr>
                <w:rFonts w:hint="eastAsia" w:ascii="仿宋" w:hAnsi="仿宋" w:eastAsia="仿宋" w:cs="仿宋"/>
                <w:color w:val="auto"/>
                <w:kern w:val="0"/>
                <w:sz w:val="24"/>
                <w:szCs w:val="24"/>
                <w:highlight w:val="none"/>
              </w:rPr>
              <w:t>的得</w:t>
            </w:r>
            <w:r>
              <w:rPr>
                <w:rFonts w:hint="eastAsia" w:ascii="仿宋" w:hAnsi="仿宋" w:eastAsia="仿宋" w:cs="仿宋"/>
                <w:color w:val="auto"/>
                <w:kern w:val="0"/>
                <w:sz w:val="24"/>
                <w:szCs w:val="24"/>
                <w:highlight w:val="none"/>
                <w:lang w:val="en-US" w:eastAsia="zh-CN"/>
              </w:rPr>
              <w:t>1.5</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投诉量≥1.5的不得分</w:t>
            </w:r>
            <w:r>
              <w:rPr>
                <w:rFonts w:hint="eastAsia" w:ascii="仿宋" w:hAnsi="仿宋" w:eastAsia="仿宋" w:cs="仿宋"/>
                <w:color w:val="auto"/>
                <w:kern w:val="0"/>
                <w:sz w:val="24"/>
                <w:szCs w:val="24"/>
                <w:highlight w:val="none"/>
              </w:rPr>
              <w:t>。</w:t>
            </w:r>
          </w:p>
          <w:p w14:paraId="206E4A70">
            <w:pPr>
              <w:keepNext w:val="0"/>
              <w:keepLines w:val="0"/>
              <w:pageBreakBefore w:val="0"/>
              <w:widowControl w:val="0"/>
              <w:numPr>
                <w:ilvl w:val="0"/>
                <w:numId w:val="0"/>
              </w:numPr>
              <w:kinsoku/>
              <w:wordWrap/>
              <w:overflowPunct/>
              <w:topLinePunct w:val="0"/>
              <w:autoSpaceDE/>
              <w:autoSpaceDN/>
              <w:bidi w:val="0"/>
              <w:spacing w:line="360" w:lineRule="exact"/>
              <w:ind w:leftChars="0"/>
              <w:jc w:val="left"/>
              <w:textAlignment w:val="auto"/>
              <w:rPr>
                <w:rFonts w:hint="eastAsia" w:ascii="仿宋" w:hAnsi="仿宋" w:eastAsia="仿宋" w:cs="宋体"/>
                <w:b w:val="0"/>
                <w:bCs w:val="0"/>
                <w:color w:val="auto"/>
                <w:sz w:val="24"/>
                <w:szCs w:val="24"/>
                <w:highlight w:val="none"/>
                <w:lang w:val="en-US" w:eastAsia="zh-CN"/>
              </w:rPr>
            </w:pPr>
            <w:r>
              <w:rPr>
                <w:rFonts w:hint="eastAsia" w:ascii="仿宋" w:hAnsi="仿宋" w:eastAsia="仿宋" w:cs="宋体"/>
                <w:b w:val="0"/>
                <w:bCs w:val="0"/>
                <w:color w:val="auto"/>
                <w:sz w:val="24"/>
                <w:szCs w:val="24"/>
                <w:highlight w:val="none"/>
                <w:lang w:val="en-US" w:eastAsia="zh-CN"/>
              </w:rPr>
              <w:t>（2）投标人所属总公司万张保单投诉量（件/万张）</w:t>
            </w:r>
            <w:r>
              <w:rPr>
                <w:rFonts w:hint="eastAsia" w:ascii="仿宋" w:hAnsi="仿宋" w:eastAsia="仿宋" w:cs="宋体"/>
                <w:b w:val="0"/>
                <w:bCs w:val="0"/>
                <w:color w:val="auto"/>
                <w:sz w:val="24"/>
                <w:szCs w:val="24"/>
                <w:highlight w:val="none"/>
                <w:lang w:val="en-US" w:eastAsia="zh-CN"/>
              </w:rPr>
              <w:t>≤0.01的得3分，0.01＜万张保单投诉量（件/万张）</w:t>
            </w:r>
            <w:r>
              <w:rPr>
                <w:rFonts w:hint="eastAsia" w:ascii="仿宋" w:hAnsi="仿宋" w:eastAsia="仿宋" w:cs="宋体"/>
                <w:b w:val="0"/>
                <w:bCs w:val="0"/>
                <w:color w:val="auto"/>
                <w:sz w:val="24"/>
                <w:szCs w:val="24"/>
                <w:highlight w:val="none"/>
                <w:lang w:val="en-US" w:eastAsia="zh-CN"/>
              </w:rPr>
              <w:t>＜0.03的得1.5分，投诉量≥0.03的不得分。</w:t>
            </w:r>
          </w:p>
          <w:p w14:paraId="1431E1B6">
            <w:pPr>
              <w:keepNext w:val="0"/>
              <w:keepLines w:val="0"/>
              <w:pageBreakBefore w:val="0"/>
              <w:widowControl w:val="0"/>
              <w:numPr>
                <w:ilvl w:val="0"/>
                <w:numId w:val="0"/>
              </w:numPr>
              <w:kinsoku/>
              <w:wordWrap/>
              <w:overflowPunct/>
              <w:topLinePunct w:val="0"/>
              <w:autoSpaceDE/>
              <w:autoSpaceDN/>
              <w:bidi w:val="0"/>
              <w:spacing w:line="360" w:lineRule="exact"/>
              <w:ind w:leftChars="0"/>
              <w:jc w:val="left"/>
              <w:textAlignment w:val="auto"/>
              <w:rPr>
                <w:rFonts w:hint="eastAsia" w:ascii="仿宋" w:hAnsi="仿宋" w:eastAsia="仿宋" w:cs="宋体"/>
                <w:b w:val="0"/>
                <w:bCs w:val="0"/>
                <w:color w:val="auto"/>
                <w:sz w:val="24"/>
                <w:szCs w:val="24"/>
                <w:highlight w:val="none"/>
                <w:lang w:val="en-US" w:eastAsia="zh-CN"/>
              </w:rPr>
            </w:pPr>
            <w:r>
              <w:rPr>
                <w:rFonts w:hint="eastAsia" w:ascii="仿宋" w:hAnsi="仿宋" w:eastAsia="仿宋" w:cs="宋体"/>
                <w:b/>
                <w:bCs/>
                <w:color w:val="auto"/>
                <w:sz w:val="24"/>
                <w:szCs w:val="24"/>
                <w:highlight w:val="none"/>
                <w:lang w:val="en-US" w:eastAsia="zh-CN"/>
              </w:rPr>
              <w:t>注：提供国家金融监督管理总局（原中国银行保险监督管理委员会）网站公布的评价截图并加盖投标人CA签章，否则不得分。</w:t>
            </w:r>
          </w:p>
        </w:tc>
        <w:tc>
          <w:tcPr>
            <w:tcW w:w="966" w:type="dxa"/>
            <w:tcBorders>
              <w:tl2br w:val="nil"/>
              <w:tr2bl w:val="nil"/>
            </w:tcBorders>
            <w:noWrap w:val="0"/>
            <w:vAlign w:val="center"/>
          </w:tcPr>
          <w:p w14:paraId="728903CB">
            <w:pPr>
              <w:keepNext w:val="0"/>
              <w:keepLines w:val="0"/>
              <w:pageBreakBefore w:val="0"/>
              <w:widowControl w:val="0"/>
              <w:kinsoku/>
              <w:wordWrap/>
              <w:overflowPunct/>
              <w:topLinePunct w:val="0"/>
              <w:autoSpaceDE/>
              <w:autoSpaceDN/>
              <w:bidi w:val="0"/>
              <w:spacing w:line="360" w:lineRule="exact"/>
              <w:jc w:val="center"/>
              <w:textAlignment w:val="auto"/>
              <w:rPr>
                <w:rFonts w:hint="default" w:ascii="仿宋" w:hAnsi="仿宋" w:eastAsia="仿宋" w:cs="宋体"/>
                <w:b/>
                <w:bCs/>
                <w:kern w:val="2"/>
                <w:sz w:val="24"/>
                <w:szCs w:val="24"/>
                <w:highlight w:val="none"/>
                <w:lang w:val="en-US" w:eastAsia="zh-CN" w:bidi="ar-SA"/>
              </w:rPr>
            </w:pPr>
            <w:r>
              <w:rPr>
                <w:rFonts w:hint="eastAsia" w:ascii="仿宋" w:hAnsi="仿宋" w:eastAsia="仿宋" w:cs="宋体"/>
                <w:b/>
                <w:bCs/>
                <w:kern w:val="2"/>
                <w:sz w:val="24"/>
                <w:szCs w:val="24"/>
                <w:highlight w:val="none"/>
                <w:lang w:val="en-US" w:eastAsia="zh-CN" w:bidi="ar-SA"/>
              </w:rPr>
              <w:t>0-6分</w:t>
            </w:r>
          </w:p>
        </w:tc>
      </w:tr>
      <w:tr w14:paraId="6DAE3D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70" w:hRule="atLeast"/>
          <w:jc w:val="center"/>
        </w:trPr>
        <w:tc>
          <w:tcPr>
            <w:tcW w:w="630" w:type="dxa"/>
            <w:vMerge w:val="restart"/>
            <w:tcBorders>
              <w:tl2br w:val="nil"/>
              <w:tr2bl w:val="nil"/>
            </w:tcBorders>
            <w:noWrap w:val="0"/>
            <w:vAlign w:val="center"/>
          </w:tcPr>
          <w:p w14:paraId="02BC386C">
            <w:pPr>
              <w:keepNext w:val="0"/>
              <w:keepLines w:val="0"/>
              <w:pageBreakBefore w:val="0"/>
              <w:widowControl w:val="0"/>
              <w:numPr>
                <w:ilvl w:val="0"/>
                <w:numId w:val="12"/>
              </w:numPr>
              <w:kinsoku/>
              <w:wordWrap/>
              <w:overflowPunct/>
              <w:topLinePunct w:val="0"/>
              <w:autoSpaceDE/>
              <w:autoSpaceDN/>
              <w:bidi w:val="0"/>
              <w:spacing w:line="360" w:lineRule="exact"/>
              <w:ind w:left="425" w:leftChars="0" w:hanging="425" w:firstLineChars="0"/>
              <w:jc w:val="center"/>
              <w:textAlignment w:val="auto"/>
              <w:rPr>
                <w:rFonts w:hint="eastAsia" w:ascii="仿宋" w:hAnsi="仿宋" w:eastAsia="仿宋" w:cs="宋体"/>
                <w:b/>
                <w:color w:val="auto"/>
                <w:sz w:val="24"/>
                <w:szCs w:val="24"/>
                <w:highlight w:val="none"/>
                <w:lang w:val="en-US" w:eastAsia="zh-CN"/>
              </w:rPr>
            </w:pPr>
          </w:p>
        </w:tc>
        <w:tc>
          <w:tcPr>
            <w:tcW w:w="1703" w:type="dxa"/>
            <w:vMerge w:val="restart"/>
            <w:tcBorders>
              <w:tl2br w:val="nil"/>
              <w:tr2bl w:val="nil"/>
            </w:tcBorders>
            <w:noWrap w:val="0"/>
            <w:vAlign w:val="center"/>
          </w:tcPr>
          <w:p w14:paraId="1F178F1B">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 w:hAnsi="仿宋" w:eastAsia="仿宋" w:cs="宋体"/>
                <w:b/>
                <w:bCs/>
                <w:color w:val="auto"/>
                <w:sz w:val="24"/>
                <w:szCs w:val="24"/>
                <w:highlight w:val="none"/>
                <w:lang w:val="en-US" w:eastAsia="zh-CN"/>
              </w:rPr>
            </w:pPr>
            <w:r>
              <w:rPr>
                <w:rFonts w:hint="eastAsia" w:ascii="仿宋" w:hAnsi="仿宋" w:eastAsia="仿宋" w:cs="宋体"/>
                <w:b/>
                <w:bCs/>
                <w:color w:val="auto"/>
                <w:sz w:val="24"/>
                <w:szCs w:val="24"/>
                <w:highlight w:val="none"/>
                <w:lang w:val="en-US" w:eastAsia="zh-CN"/>
              </w:rPr>
              <w:t>经营评价</w:t>
            </w:r>
          </w:p>
        </w:tc>
        <w:tc>
          <w:tcPr>
            <w:tcW w:w="6737" w:type="dxa"/>
            <w:tcBorders>
              <w:tl2br w:val="nil"/>
              <w:tr2bl w:val="nil"/>
            </w:tcBorders>
            <w:noWrap w:val="0"/>
            <w:vAlign w:val="center"/>
          </w:tcPr>
          <w:p w14:paraId="720F608D">
            <w:pPr>
              <w:keepNext w:val="0"/>
              <w:keepLines w:val="0"/>
              <w:pageBreakBefore w:val="0"/>
              <w:widowControl w:val="0"/>
              <w:kinsoku/>
              <w:wordWrap/>
              <w:overflowPunct/>
              <w:topLinePunct w:val="0"/>
              <w:autoSpaceDE/>
              <w:autoSpaceDN/>
              <w:bidi w:val="0"/>
              <w:spacing w:line="360" w:lineRule="exact"/>
              <w:jc w:val="left"/>
              <w:textAlignment w:val="auto"/>
              <w:rPr>
                <w:rFonts w:hint="eastAsia" w:ascii="仿宋" w:hAnsi="仿宋" w:eastAsia="仿宋" w:cs="宋体"/>
                <w:b w:val="0"/>
                <w:bCs w:val="0"/>
                <w:color w:val="auto"/>
                <w:sz w:val="24"/>
                <w:szCs w:val="24"/>
                <w:highlight w:val="none"/>
                <w:lang w:val="en-US" w:eastAsia="zh-CN"/>
              </w:rPr>
            </w:pPr>
            <w:r>
              <w:rPr>
                <w:rFonts w:hint="eastAsia" w:ascii="仿宋" w:hAnsi="仿宋" w:eastAsia="仿宋" w:cs="宋体"/>
                <w:b w:val="0"/>
                <w:bCs w:val="0"/>
                <w:color w:val="auto"/>
                <w:sz w:val="24"/>
                <w:szCs w:val="24"/>
                <w:highlight w:val="none"/>
                <w:lang w:val="en-US" w:eastAsia="zh-CN"/>
              </w:rPr>
              <w:t>根据投标人所属总公司2022年度保险公司法人机构经营评价结果评价评级情况进行打分：</w:t>
            </w:r>
          </w:p>
          <w:p w14:paraId="39C317DC">
            <w:pPr>
              <w:keepNext w:val="0"/>
              <w:keepLines w:val="0"/>
              <w:pageBreakBefore w:val="0"/>
              <w:widowControl w:val="0"/>
              <w:kinsoku/>
              <w:wordWrap/>
              <w:overflowPunct/>
              <w:topLinePunct w:val="0"/>
              <w:autoSpaceDE/>
              <w:autoSpaceDN/>
              <w:bidi w:val="0"/>
              <w:spacing w:line="360" w:lineRule="exact"/>
              <w:jc w:val="left"/>
              <w:textAlignment w:val="auto"/>
              <w:rPr>
                <w:rFonts w:hint="eastAsia" w:ascii="仿宋" w:hAnsi="仿宋" w:eastAsia="仿宋" w:cs="宋体"/>
                <w:b w:val="0"/>
                <w:bCs w:val="0"/>
                <w:color w:val="auto"/>
                <w:sz w:val="24"/>
                <w:szCs w:val="24"/>
                <w:highlight w:val="none"/>
                <w:lang w:val="en-US" w:eastAsia="zh-CN"/>
              </w:rPr>
            </w:pPr>
            <w:r>
              <w:rPr>
                <w:rFonts w:hint="eastAsia" w:ascii="仿宋" w:hAnsi="仿宋" w:eastAsia="仿宋" w:cs="宋体"/>
                <w:b w:val="0"/>
                <w:bCs w:val="0"/>
                <w:color w:val="auto"/>
                <w:sz w:val="24"/>
                <w:szCs w:val="24"/>
                <w:highlight w:val="none"/>
                <w:lang w:val="en-US" w:eastAsia="zh-CN"/>
              </w:rPr>
              <w:t>经营评价A级的，得5分；经营评价B级的，得3分；经营评价B级以下的不得分。</w:t>
            </w:r>
          </w:p>
          <w:p w14:paraId="2B5A53CA">
            <w:pPr>
              <w:keepNext w:val="0"/>
              <w:keepLines w:val="0"/>
              <w:pageBreakBefore w:val="0"/>
              <w:widowControl w:val="0"/>
              <w:kinsoku/>
              <w:wordWrap/>
              <w:overflowPunct/>
              <w:topLinePunct w:val="0"/>
              <w:autoSpaceDE/>
              <w:autoSpaceDN/>
              <w:bidi w:val="0"/>
              <w:spacing w:line="360" w:lineRule="exact"/>
              <w:jc w:val="left"/>
              <w:textAlignment w:val="auto"/>
              <w:rPr>
                <w:rFonts w:hint="eastAsia" w:ascii="仿宋" w:hAnsi="仿宋" w:eastAsia="仿宋" w:cs="宋体"/>
                <w:b/>
                <w:bCs/>
                <w:color w:val="auto"/>
                <w:kern w:val="2"/>
                <w:sz w:val="24"/>
                <w:szCs w:val="24"/>
                <w:highlight w:val="none"/>
                <w:lang w:val="en-US" w:eastAsia="zh-CN" w:bidi="ar-SA"/>
              </w:rPr>
            </w:pPr>
            <w:r>
              <w:rPr>
                <w:rFonts w:hint="eastAsia" w:ascii="仿宋" w:hAnsi="仿宋" w:eastAsia="仿宋" w:cs="宋体"/>
                <w:b/>
                <w:bCs/>
                <w:color w:val="auto"/>
                <w:sz w:val="24"/>
                <w:szCs w:val="24"/>
                <w:highlight w:val="none"/>
                <w:lang w:val="en-US" w:eastAsia="zh-CN"/>
              </w:rPr>
              <w:t>提供投标人所属总公司官网公示截图并加盖投标人CA签章，不提供不得分。</w:t>
            </w:r>
          </w:p>
        </w:tc>
        <w:tc>
          <w:tcPr>
            <w:tcW w:w="966" w:type="dxa"/>
            <w:tcBorders>
              <w:tl2br w:val="nil"/>
              <w:tr2bl w:val="nil"/>
            </w:tcBorders>
            <w:noWrap w:val="0"/>
            <w:vAlign w:val="center"/>
          </w:tcPr>
          <w:p w14:paraId="237C3AB6">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 w:hAnsi="仿宋" w:eastAsia="仿宋" w:cs="宋体"/>
                <w:b/>
                <w:bCs/>
                <w:color w:val="auto"/>
                <w:kern w:val="2"/>
                <w:sz w:val="24"/>
                <w:szCs w:val="24"/>
                <w:highlight w:val="none"/>
                <w:lang w:val="en-US" w:eastAsia="zh-CN" w:bidi="ar-SA"/>
              </w:rPr>
            </w:pPr>
            <w:r>
              <w:rPr>
                <w:rFonts w:hint="eastAsia" w:ascii="仿宋" w:hAnsi="仿宋" w:eastAsia="仿宋" w:cs="宋体"/>
                <w:b/>
                <w:bCs/>
                <w:color w:val="auto"/>
                <w:sz w:val="24"/>
                <w:szCs w:val="24"/>
                <w:highlight w:val="none"/>
                <w:lang w:val="en-US" w:eastAsia="zh-CN"/>
              </w:rPr>
              <w:t>0-5分</w:t>
            </w:r>
          </w:p>
        </w:tc>
      </w:tr>
      <w:tr w14:paraId="3F5D42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70" w:hRule="atLeast"/>
          <w:jc w:val="center"/>
        </w:trPr>
        <w:tc>
          <w:tcPr>
            <w:tcW w:w="630" w:type="dxa"/>
            <w:vMerge w:val="continue"/>
            <w:tcBorders>
              <w:tl2br w:val="nil"/>
              <w:tr2bl w:val="nil"/>
            </w:tcBorders>
            <w:noWrap w:val="0"/>
            <w:vAlign w:val="center"/>
          </w:tcPr>
          <w:p w14:paraId="177B0167">
            <w:pPr>
              <w:keepNext w:val="0"/>
              <w:keepLines w:val="0"/>
              <w:pageBreakBefore w:val="0"/>
              <w:widowControl w:val="0"/>
              <w:kinsoku/>
              <w:wordWrap/>
              <w:overflowPunct/>
              <w:topLinePunct w:val="0"/>
              <w:autoSpaceDE/>
              <w:autoSpaceDN/>
              <w:bidi w:val="0"/>
              <w:spacing w:line="360" w:lineRule="exact"/>
              <w:jc w:val="left"/>
              <w:textAlignment w:val="auto"/>
              <w:rPr>
                <w:highlight w:val="none"/>
              </w:rPr>
            </w:pPr>
          </w:p>
        </w:tc>
        <w:tc>
          <w:tcPr>
            <w:tcW w:w="1703" w:type="dxa"/>
            <w:vMerge w:val="continue"/>
            <w:tcBorders>
              <w:tl2br w:val="nil"/>
              <w:tr2bl w:val="nil"/>
            </w:tcBorders>
            <w:noWrap w:val="0"/>
            <w:vAlign w:val="center"/>
          </w:tcPr>
          <w:p w14:paraId="06431308">
            <w:pPr>
              <w:keepNext w:val="0"/>
              <w:keepLines w:val="0"/>
              <w:pageBreakBefore w:val="0"/>
              <w:widowControl w:val="0"/>
              <w:kinsoku/>
              <w:wordWrap/>
              <w:overflowPunct/>
              <w:topLinePunct w:val="0"/>
              <w:autoSpaceDE/>
              <w:autoSpaceDN/>
              <w:bidi w:val="0"/>
              <w:spacing w:line="360" w:lineRule="exact"/>
              <w:jc w:val="left"/>
              <w:textAlignment w:val="auto"/>
              <w:rPr>
                <w:highlight w:val="none"/>
              </w:rPr>
            </w:pPr>
          </w:p>
        </w:tc>
        <w:tc>
          <w:tcPr>
            <w:tcW w:w="6737" w:type="dxa"/>
            <w:tcBorders>
              <w:tl2br w:val="nil"/>
              <w:tr2bl w:val="nil"/>
            </w:tcBorders>
            <w:noWrap w:val="0"/>
            <w:vAlign w:val="center"/>
          </w:tcPr>
          <w:p w14:paraId="4C2F2743">
            <w:pPr>
              <w:keepNext w:val="0"/>
              <w:keepLines w:val="0"/>
              <w:pageBreakBefore w:val="0"/>
              <w:widowControl w:val="0"/>
              <w:kinsoku/>
              <w:wordWrap/>
              <w:overflowPunct/>
              <w:topLinePunct w:val="0"/>
              <w:autoSpaceDE/>
              <w:autoSpaceDN/>
              <w:bidi w:val="0"/>
              <w:spacing w:line="360" w:lineRule="exact"/>
              <w:jc w:val="left"/>
              <w:textAlignment w:val="auto"/>
              <w:rPr>
                <w:rFonts w:hint="eastAsia" w:ascii="仿宋" w:hAnsi="仿宋" w:eastAsia="仿宋" w:cs="宋体"/>
                <w:b w:val="0"/>
                <w:bCs w:val="0"/>
                <w:color w:val="auto"/>
                <w:sz w:val="24"/>
                <w:szCs w:val="24"/>
                <w:highlight w:val="none"/>
                <w:lang w:val="en-US" w:eastAsia="zh-CN"/>
              </w:rPr>
            </w:pPr>
            <w:r>
              <w:rPr>
                <w:rFonts w:hint="eastAsia" w:ascii="仿宋" w:hAnsi="仿宋" w:eastAsia="仿宋" w:cs="宋体"/>
                <w:b w:val="0"/>
                <w:bCs w:val="0"/>
                <w:color w:val="auto"/>
                <w:sz w:val="24"/>
                <w:szCs w:val="24"/>
                <w:highlight w:val="none"/>
                <w:lang w:val="en-US" w:eastAsia="zh-CN"/>
              </w:rPr>
              <w:t>投标人所属总公司2023年度偿付能力风险管理评估结果SARMRA得分情况评分。公司SARMRA得分80分及以上的得5分，75分(含)-80分(不含)得3分，70分及以下得1分。</w:t>
            </w:r>
          </w:p>
          <w:p w14:paraId="422711DC">
            <w:pPr>
              <w:keepNext w:val="0"/>
              <w:keepLines w:val="0"/>
              <w:pageBreakBefore w:val="0"/>
              <w:widowControl w:val="0"/>
              <w:kinsoku/>
              <w:wordWrap/>
              <w:overflowPunct/>
              <w:topLinePunct w:val="0"/>
              <w:autoSpaceDE/>
              <w:autoSpaceDN/>
              <w:bidi w:val="0"/>
              <w:spacing w:line="360" w:lineRule="exact"/>
              <w:jc w:val="left"/>
              <w:textAlignment w:val="auto"/>
              <w:rPr>
                <w:rFonts w:hint="eastAsia" w:ascii="仿宋" w:hAnsi="仿宋" w:eastAsia="仿宋" w:cs="宋体"/>
                <w:b/>
                <w:bCs/>
                <w:color w:val="auto"/>
                <w:sz w:val="24"/>
                <w:szCs w:val="24"/>
                <w:highlight w:val="none"/>
                <w:lang w:val="en-US" w:eastAsia="zh-CN"/>
              </w:rPr>
            </w:pPr>
            <w:r>
              <w:rPr>
                <w:rFonts w:hint="eastAsia" w:ascii="仿宋" w:hAnsi="仿宋" w:eastAsia="仿宋" w:cs="宋体"/>
                <w:b/>
                <w:bCs/>
                <w:color w:val="auto"/>
                <w:sz w:val="24"/>
                <w:szCs w:val="24"/>
                <w:highlight w:val="none"/>
                <w:lang w:val="en-US" w:eastAsia="zh-CN"/>
              </w:rPr>
              <w:t>注：提供投标人所属总公司官网公示截图并加盖投标人CA签章，不提供不得分。</w:t>
            </w:r>
          </w:p>
        </w:tc>
        <w:tc>
          <w:tcPr>
            <w:tcW w:w="966" w:type="dxa"/>
            <w:tcBorders>
              <w:tl2br w:val="nil"/>
              <w:tr2bl w:val="nil"/>
            </w:tcBorders>
            <w:noWrap w:val="0"/>
            <w:vAlign w:val="center"/>
          </w:tcPr>
          <w:p w14:paraId="0FF6595C">
            <w:pPr>
              <w:keepNext w:val="0"/>
              <w:keepLines w:val="0"/>
              <w:pageBreakBefore w:val="0"/>
              <w:widowControl w:val="0"/>
              <w:kinsoku/>
              <w:wordWrap/>
              <w:overflowPunct/>
              <w:topLinePunct w:val="0"/>
              <w:autoSpaceDE/>
              <w:autoSpaceDN/>
              <w:bidi w:val="0"/>
              <w:spacing w:line="360" w:lineRule="exact"/>
              <w:jc w:val="center"/>
              <w:textAlignment w:val="auto"/>
              <w:rPr>
                <w:rFonts w:hint="default" w:ascii="仿宋" w:hAnsi="仿宋" w:eastAsia="仿宋" w:cs="宋体"/>
                <w:b/>
                <w:bCs/>
                <w:color w:val="auto"/>
                <w:sz w:val="24"/>
                <w:szCs w:val="24"/>
                <w:highlight w:val="none"/>
                <w:lang w:val="en-US" w:eastAsia="zh-CN"/>
              </w:rPr>
            </w:pPr>
            <w:r>
              <w:rPr>
                <w:rFonts w:hint="eastAsia" w:ascii="仿宋" w:hAnsi="仿宋" w:eastAsia="仿宋" w:cs="宋体"/>
                <w:b/>
                <w:bCs/>
                <w:color w:val="auto"/>
                <w:sz w:val="24"/>
                <w:szCs w:val="24"/>
                <w:highlight w:val="none"/>
                <w:lang w:val="en-US" w:eastAsia="zh-CN"/>
              </w:rPr>
              <w:t>0-5分</w:t>
            </w:r>
          </w:p>
        </w:tc>
      </w:tr>
      <w:tr w14:paraId="6BF219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 w:hRule="atLeast"/>
          <w:jc w:val="center"/>
        </w:trPr>
        <w:tc>
          <w:tcPr>
            <w:tcW w:w="630" w:type="dxa"/>
            <w:tcBorders>
              <w:tl2br w:val="nil"/>
              <w:tr2bl w:val="nil"/>
            </w:tcBorders>
            <w:noWrap w:val="0"/>
            <w:vAlign w:val="center"/>
          </w:tcPr>
          <w:p w14:paraId="75D59089">
            <w:pPr>
              <w:keepNext w:val="0"/>
              <w:keepLines w:val="0"/>
              <w:pageBreakBefore w:val="0"/>
              <w:widowControl w:val="0"/>
              <w:numPr>
                <w:ilvl w:val="0"/>
                <w:numId w:val="12"/>
              </w:numPr>
              <w:kinsoku/>
              <w:wordWrap/>
              <w:overflowPunct/>
              <w:topLinePunct w:val="0"/>
              <w:autoSpaceDE/>
              <w:autoSpaceDN/>
              <w:bidi w:val="0"/>
              <w:spacing w:line="360" w:lineRule="exact"/>
              <w:ind w:left="425" w:leftChars="0" w:hanging="425" w:firstLineChars="0"/>
              <w:jc w:val="center"/>
              <w:textAlignment w:val="auto"/>
              <w:rPr>
                <w:rFonts w:hint="eastAsia" w:ascii="仿宋" w:hAnsi="仿宋" w:eastAsia="仿宋" w:cs="宋体"/>
                <w:b/>
                <w:color w:val="auto"/>
                <w:sz w:val="24"/>
                <w:szCs w:val="24"/>
                <w:highlight w:val="none"/>
                <w:lang w:val="en-US" w:eastAsia="zh-CN"/>
              </w:rPr>
            </w:pPr>
          </w:p>
        </w:tc>
        <w:tc>
          <w:tcPr>
            <w:tcW w:w="1703" w:type="dxa"/>
            <w:tcBorders>
              <w:tl2br w:val="nil"/>
              <w:tr2bl w:val="nil"/>
            </w:tcBorders>
            <w:noWrap w:val="0"/>
            <w:vAlign w:val="center"/>
          </w:tcPr>
          <w:p w14:paraId="3E178363">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 w:hAnsi="仿宋" w:eastAsia="仿宋" w:cs="宋体"/>
                <w:b/>
                <w:bCs/>
                <w:color w:val="auto"/>
                <w:sz w:val="24"/>
                <w:szCs w:val="24"/>
                <w:highlight w:val="none"/>
                <w:lang w:val="en-US" w:eastAsia="zh-CN"/>
              </w:rPr>
            </w:pPr>
            <w:r>
              <w:rPr>
                <w:rFonts w:hint="eastAsia" w:ascii="仿宋" w:hAnsi="仿宋" w:eastAsia="仿宋" w:cs="宋体"/>
                <w:b/>
                <w:bCs/>
                <w:color w:val="auto"/>
                <w:sz w:val="24"/>
                <w:szCs w:val="24"/>
                <w:highlight w:val="none"/>
                <w:lang w:val="en-US" w:eastAsia="zh-CN"/>
              </w:rPr>
              <w:t>荣誉</w:t>
            </w:r>
          </w:p>
        </w:tc>
        <w:tc>
          <w:tcPr>
            <w:tcW w:w="6737" w:type="dxa"/>
            <w:tcBorders>
              <w:tl2br w:val="nil"/>
              <w:tr2bl w:val="nil"/>
            </w:tcBorders>
            <w:noWrap w:val="0"/>
            <w:vAlign w:val="center"/>
          </w:tcPr>
          <w:p w14:paraId="4D51194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宋体"/>
                <w:b w:val="0"/>
                <w:bCs w:val="0"/>
                <w:color w:val="auto"/>
                <w:sz w:val="24"/>
                <w:szCs w:val="24"/>
                <w:highlight w:val="none"/>
                <w:lang w:val="en-US" w:eastAsia="zh-CN"/>
              </w:rPr>
            </w:pPr>
            <w:r>
              <w:rPr>
                <w:rFonts w:hint="eastAsia" w:ascii="仿宋" w:hAnsi="仿宋" w:eastAsia="仿宋" w:cs="宋体"/>
                <w:b w:val="0"/>
                <w:bCs w:val="0"/>
                <w:color w:val="auto"/>
                <w:sz w:val="24"/>
                <w:szCs w:val="24"/>
                <w:highlight w:val="none"/>
                <w:lang w:val="en-US" w:eastAsia="zh-CN"/>
              </w:rPr>
              <w:t>投标人及所属总公司2021年以来获得国家级荣誉得5分，省级荣誉得3分，市级荣誉得2分，县（市、区）级荣誉得1分，不累计得分，最高得5分。</w:t>
            </w:r>
          </w:p>
          <w:p w14:paraId="1682265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宋体"/>
                <w:b/>
                <w:bCs/>
                <w:color w:val="auto"/>
                <w:sz w:val="24"/>
                <w:szCs w:val="24"/>
                <w:highlight w:val="none"/>
                <w:lang w:val="en-US" w:eastAsia="zh-CN"/>
              </w:rPr>
            </w:pPr>
            <w:r>
              <w:rPr>
                <w:rFonts w:hint="eastAsia" w:ascii="仿宋" w:hAnsi="仿宋" w:eastAsia="仿宋" w:cs="宋体"/>
                <w:b/>
                <w:bCs/>
                <w:color w:val="auto"/>
                <w:sz w:val="24"/>
                <w:szCs w:val="24"/>
                <w:highlight w:val="none"/>
                <w:lang w:val="en-US" w:eastAsia="zh-CN"/>
              </w:rPr>
              <w:t>注：提供相关证明材料并加盖投标人CA签章，否则不得分。</w:t>
            </w:r>
          </w:p>
        </w:tc>
        <w:tc>
          <w:tcPr>
            <w:tcW w:w="966" w:type="dxa"/>
            <w:tcBorders>
              <w:tl2br w:val="nil"/>
              <w:tr2bl w:val="nil"/>
            </w:tcBorders>
            <w:noWrap w:val="0"/>
            <w:vAlign w:val="center"/>
          </w:tcPr>
          <w:p w14:paraId="10FD12C0">
            <w:pPr>
              <w:keepNext w:val="0"/>
              <w:keepLines w:val="0"/>
              <w:pageBreakBefore w:val="0"/>
              <w:widowControl w:val="0"/>
              <w:kinsoku/>
              <w:wordWrap/>
              <w:overflowPunct/>
              <w:topLinePunct w:val="0"/>
              <w:autoSpaceDE/>
              <w:autoSpaceDN/>
              <w:bidi w:val="0"/>
              <w:spacing w:line="360" w:lineRule="exact"/>
              <w:jc w:val="center"/>
              <w:textAlignment w:val="auto"/>
              <w:rPr>
                <w:rFonts w:hint="default" w:ascii="仿宋" w:hAnsi="仿宋" w:eastAsia="仿宋" w:cs="宋体"/>
                <w:b/>
                <w:bCs/>
                <w:color w:val="auto"/>
                <w:sz w:val="24"/>
                <w:szCs w:val="24"/>
                <w:highlight w:val="none"/>
                <w:lang w:val="en-US" w:eastAsia="zh-CN"/>
              </w:rPr>
            </w:pPr>
            <w:r>
              <w:rPr>
                <w:rFonts w:hint="eastAsia" w:ascii="仿宋" w:hAnsi="仿宋" w:eastAsia="仿宋" w:cs="宋体"/>
                <w:b/>
                <w:bCs/>
                <w:color w:val="auto"/>
                <w:sz w:val="24"/>
                <w:szCs w:val="24"/>
                <w:highlight w:val="none"/>
                <w:lang w:val="en-US" w:eastAsia="zh-CN"/>
              </w:rPr>
              <w:t>0-5分</w:t>
            </w:r>
          </w:p>
        </w:tc>
      </w:tr>
      <w:tr w14:paraId="1D99ED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 w:hRule="atLeast"/>
          <w:jc w:val="center"/>
        </w:trPr>
        <w:tc>
          <w:tcPr>
            <w:tcW w:w="630" w:type="dxa"/>
            <w:tcBorders>
              <w:tl2br w:val="nil"/>
              <w:tr2bl w:val="nil"/>
            </w:tcBorders>
            <w:noWrap w:val="0"/>
            <w:vAlign w:val="center"/>
          </w:tcPr>
          <w:p w14:paraId="55480C48">
            <w:pPr>
              <w:keepNext w:val="0"/>
              <w:keepLines w:val="0"/>
              <w:pageBreakBefore w:val="0"/>
              <w:widowControl w:val="0"/>
              <w:numPr>
                <w:ilvl w:val="0"/>
                <w:numId w:val="12"/>
              </w:numPr>
              <w:kinsoku/>
              <w:wordWrap/>
              <w:overflowPunct/>
              <w:topLinePunct w:val="0"/>
              <w:autoSpaceDE/>
              <w:autoSpaceDN/>
              <w:bidi w:val="0"/>
              <w:spacing w:line="360" w:lineRule="exact"/>
              <w:ind w:left="425" w:leftChars="0" w:hanging="425" w:firstLineChars="0"/>
              <w:jc w:val="center"/>
              <w:textAlignment w:val="auto"/>
              <w:rPr>
                <w:rFonts w:hint="eastAsia" w:ascii="仿宋" w:hAnsi="仿宋" w:eastAsia="仿宋" w:cs="宋体"/>
                <w:b/>
                <w:color w:val="auto"/>
                <w:sz w:val="24"/>
                <w:szCs w:val="24"/>
                <w:highlight w:val="none"/>
                <w:lang w:val="en-US" w:eastAsia="zh-CN"/>
              </w:rPr>
            </w:pPr>
          </w:p>
        </w:tc>
        <w:tc>
          <w:tcPr>
            <w:tcW w:w="1703" w:type="dxa"/>
            <w:tcBorders>
              <w:tl2br w:val="nil"/>
              <w:tr2bl w:val="nil"/>
            </w:tcBorders>
            <w:noWrap w:val="0"/>
            <w:vAlign w:val="center"/>
          </w:tcPr>
          <w:p w14:paraId="47583803">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 w:hAnsi="仿宋" w:eastAsia="仿宋" w:cs="宋体"/>
                <w:b/>
                <w:bCs/>
                <w:color w:val="auto"/>
                <w:sz w:val="24"/>
                <w:szCs w:val="24"/>
                <w:highlight w:val="none"/>
                <w:lang w:val="en-US" w:eastAsia="zh-CN"/>
              </w:rPr>
            </w:pPr>
            <w:r>
              <w:rPr>
                <w:rFonts w:hint="eastAsia" w:ascii="仿宋" w:hAnsi="仿宋" w:eastAsia="仿宋" w:cs="宋体"/>
                <w:b/>
                <w:bCs/>
                <w:color w:val="auto"/>
                <w:sz w:val="24"/>
                <w:szCs w:val="24"/>
                <w:highlight w:val="none"/>
                <w:lang w:val="en-US" w:eastAsia="zh-CN"/>
              </w:rPr>
              <w:t>总体实力</w:t>
            </w:r>
          </w:p>
        </w:tc>
        <w:tc>
          <w:tcPr>
            <w:tcW w:w="6737" w:type="dxa"/>
            <w:tcBorders>
              <w:tl2br w:val="nil"/>
              <w:tr2bl w:val="nil"/>
            </w:tcBorders>
            <w:noWrap w:val="0"/>
            <w:vAlign w:val="center"/>
          </w:tcPr>
          <w:p w14:paraId="76EBFEC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宋体"/>
                <w:b w:val="0"/>
                <w:bCs w:val="0"/>
                <w:color w:val="auto"/>
                <w:sz w:val="24"/>
                <w:szCs w:val="24"/>
                <w:highlight w:val="none"/>
                <w:lang w:val="en-US" w:eastAsia="zh-CN"/>
              </w:rPr>
            </w:pPr>
            <w:r>
              <w:rPr>
                <w:rFonts w:hint="eastAsia" w:ascii="仿宋" w:hAnsi="仿宋" w:eastAsia="仿宋" w:cs="宋体"/>
                <w:b w:val="0"/>
                <w:bCs w:val="0"/>
                <w:color w:val="auto"/>
                <w:sz w:val="24"/>
                <w:szCs w:val="24"/>
                <w:highlight w:val="none"/>
                <w:lang w:val="en-US" w:eastAsia="zh-CN"/>
              </w:rPr>
              <w:t>根据投标人2023年整体保费业务规模情况进行打分，保费在6亿元规模以上的得8分，保费在3亿-6亿元规模以上的得6分，保费在</w:t>
            </w:r>
            <w:r>
              <w:rPr>
                <w:rFonts w:hint="eastAsia" w:ascii="仿宋" w:hAnsi="仿宋" w:eastAsia="仿宋" w:cs="宋体"/>
                <w:b w:val="0"/>
                <w:bCs w:val="0"/>
                <w:i w:val="0"/>
                <w:iCs w:val="0"/>
                <w:color w:val="auto"/>
                <w:sz w:val="24"/>
                <w:szCs w:val="24"/>
                <w:highlight w:val="none"/>
                <w:lang w:val="en-US" w:eastAsia="zh-CN"/>
              </w:rPr>
              <w:t>1亿-3亿元</w:t>
            </w:r>
            <w:r>
              <w:rPr>
                <w:rFonts w:hint="eastAsia" w:ascii="仿宋" w:hAnsi="仿宋" w:eastAsia="仿宋" w:cs="宋体"/>
                <w:b w:val="0"/>
                <w:bCs w:val="0"/>
                <w:color w:val="auto"/>
                <w:sz w:val="24"/>
                <w:szCs w:val="24"/>
                <w:highlight w:val="none"/>
                <w:lang w:val="en-US" w:eastAsia="zh-CN"/>
              </w:rPr>
              <w:t>规模的得3分，保费在1亿元以下的各得2分。</w:t>
            </w:r>
          </w:p>
          <w:p w14:paraId="48B6B49D">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宋体"/>
                <w:b/>
                <w:bCs/>
                <w:color w:val="auto"/>
                <w:sz w:val="24"/>
                <w:szCs w:val="24"/>
                <w:highlight w:val="none"/>
                <w:lang w:val="en-US" w:eastAsia="zh-CN"/>
              </w:rPr>
            </w:pPr>
            <w:r>
              <w:rPr>
                <w:rFonts w:hint="eastAsia" w:ascii="仿宋" w:hAnsi="仿宋" w:eastAsia="仿宋" w:cs="宋体"/>
                <w:b/>
                <w:bCs/>
                <w:color w:val="auto"/>
                <w:sz w:val="24"/>
                <w:szCs w:val="24"/>
                <w:highlight w:val="none"/>
                <w:lang w:val="en-US" w:eastAsia="zh-CN"/>
              </w:rPr>
              <w:t>注：以绍兴市保险行业协会官网公布的诸暨市全市保险业务统计表数据为依据，投标人提供网站截图并加盖投标人公章，不提供不得分。</w:t>
            </w:r>
          </w:p>
        </w:tc>
        <w:tc>
          <w:tcPr>
            <w:tcW w:w="966" w:type="dxa"/>
            <w:tcBorders>
              <w:tl2br w:val="nil"/>
              <w:tr2bl w:val="nil"/>
            </w:tcBorders>
            <w:noWrap w:val="0"/>
            <w:vAlign w:val="center"/>
          </w:tcPr>
          <w:p w14:paraId="061CD17F">
            <w:pPr>
              <w:keepNext w:val="0"/>
              <w:keepLines w:val="0"/>
              <w:pageBreakBefore w:val="0"/>
              <w:widowControl w:val="0"/>
              <w:kinsoku/>
              <w:wordWrap/>
              <w:overflowPunct/>
              <w:topLinePunct w:val="0"/>
              <w:autoSpaceDE/>
              <w:autoSpaceDN/>
              <w:bidi w:val="0"/>
              <w:spacing w:line="360" w:lineRule="exact"/>
              <w:jc w:val="center"/>
              <w:textAlignment w:val="auto"/>
              <w:rPr>
                <w:rFonts w:hint="default" w:ascii="仿宋" w:hAnsi="仿宋" w:eastAsia="仿宋" w:cs="宋体"/>
                <w:b/>
                <w:bCs/>
                <w:color w:val="auto"/>
                <w:sz w:val="24"/>
                <w:szCs w:val="24"/>
                <w:highlight w:val="none"/>
                <w:lang w:val="en-US" w:eastAsia="zh-CN"/>
              </w:rPr>
            </w:pPr>
            <w:r>
              <w:rPr>
                <w:rFonts w:hint="eastAsia" w:ascii="仿宋" w:hAnsi="仿宋" w:eastAsia="仿宋" w:cs="宋体"/>
                <w:b/>
                <w:bCs/>
                <w:color w:val="auto"/>
                <w:sz w:val="24"/>
                <w:szCs w:val="24"/>
                <w:highlight w:val="none"/>
                <w:lang w:val="en-US" w:eastAsia="zh-CN"/>
              </w:rPr>
              <w:t>0-8分</w:t>
            </w:r>
          </w:p>
        </w:tc>
      </w:tr>
      <w:tr w14:paraId="3A58D8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 w:hRule="atLeast"/>
          <w:jc w:val="center"/>
        </w:trPr>
        <w:tc>
          <w:tcPr>
            <w:tcW w:w="630" w:type="dxa"/>
            <w:tcBorders>
              <w:tl2br w:val="nil"/>
              <w:tr2bl w:val="nil"/>
            </w:tcBorders>
            <w:noWrap w:val="0"/>
            <w:vAlign w:val="center"/>
          </w:tcPr>
          <w:p w14:paraId="0709F79E">
            <w:pPr>
              <w:keepNext w:val="0"/>
              <w:keepLines w:val="0"/>
              <w:pageBreakBefore w:val="0"/>
              <w:widowControl w:val="0"/>
              <w:numPr>
                <w:ilvl w:val="0"/>
                <w:numId w:val="12"/>
              </w:numPr>
              <w:kinsoku/>
              <w:wordWrap/>
              <w:overflowPunct/>
              <w:topLinePunct w:val="0"/>
              <w:autoSpaceDE/>
              <w:autoSpaceDN/>
              <w:bidi w:val="0"/>
              <w:spacing w:line="360" w:lineRule="exact"/>
              <w:ind w:left="425" w:leftChars="0" w:hanging="425" w:firstLineChars="0"/>
              <w:jc w:val="center"/>
              <w:textAlignment w:val="auto"/>
              <w:rPr>
                <w:rFonts w:hint="eastAsia" w:ascii="仿宋" w:hAnsi="仿宋" w:eastAsia="仿宋" w:cs="宋体"/>
                <w:b/>
                <w:color w:val="auto"/>
                <w:sz w:val="24"/>
                <w:szCs w:val="24"/>
                <w:highlight w:val="none"/>
                <w:lang w:val="en-US" w:eastAsia="zh-CN"/>
              </w:rPr>
            </w:pPr>
          </w:p>
        </w:tc>
        <w:tc>
          <w:tcPr>
            <w:tcW w:w="1703" w:type="dxa"/>
            <w:tcBorders>
              <w:tl2br w:val="nil"/>
              <w:tr2bl w:val="nil"/>
            </w:tcBorders>
            <w:noWrap w:val="0"/>
            <w:vAlign w:val="center"/>
          </w:tcPr>
          <w:p w14:paraId="214F57E3">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 w:hAnsi="仿宋" w:eastAsia="仿宋" w:cs="宋体"/>
                <w:b/>
                <w:bCs/>
                <w:color w:val="auto"/>
                <w:sz w:val="24"/>
                <w:szCs w:val="24"/>
                <w:highlight w:val="none"/>
                <w:lang w:val="en-US" w:eastAsia="zh-CN"/>
              </w:rPr>
            </w:pPr>
            <w:r>
              <w:rPr>
                <w:rFonts w:hint="eastAsia" w:ascii="仿宋" w:hAnsi="仿宋" w:eastAsia="仿宋" w:cs="宋体"/>
                <w:b/>
                <w:bCs/>
                <w:color w:val="auto"/>
                <w:sz w:val="24"/>
                <w:szCs w:val="24"/>
                <w:highlight w:val="none"/>
                <w:lang w:val="en-US" w:eastAsia="zh-CN"/>
              </w:rPr>
              <w:t>项目业绩</w:t>
            </w:r>
          </w:p>
        </w:tc>
        <w:tc>
          <w:tcPr>
            <w:tcW w:w="6737" w:type="dxa"/>
            <w:tcBorders>
              <w:tl2br w:val="nil"/>
              <w:tr2bl w:val="nil"/>
            </w:tcBorders>
            <w:noWrap w:val="0"/>
            <w:vAlign w:val="center"/>
          </w:tcPr>
          <w:p w14:paraId="0D61B3CA">
            <w:pPr>
              <w:keepNext w:val="0"/>
              <w:keepLines w:val="0"/>
              <w:pageBreakBefore w:val="0"/>
              <w:widowControl w:val="0"/>
              <w:kinsoku/>
              <w:wordWrap/>
              <w:overflowPunct/>
              <w:topLinePunct w:val="0"/>
              <w:autoSpaceDE/>
              <w:autoSpaceDN/>
              <w:bidi w:val="0"/>
              <w:spacing w:line="360" w:lineRule="exact"/>
              <w:jc w:val="left"/>
              <w:textAlignment w:val="auto"/>
              <w:rPr>
                <w:rFonts w:hint="eastAsia" w:ascii="仿宋" w:hAnsi="仿宋" w:eastAsia="仿宋" w:cs="宋体"/>
                <w:b w:val="0"/>
                <w:bCs w:val="0"/>
                <w:color w:val="auto"/>
                <w:sz w:val="24"/>
                <w:szCs w:val="24"/>
                <w:highlight w:val="none"/>
                <w:lang w:val="en-US" w:eastAsia="zh-CN"/>
              </w:rPr>
            </w:pPr>
            <w:r>
              <w:rPr>
                <w:rFonts w:hint="eastAsia" w:ascii="仿宋" w:hAnsi="仿宋" w:eastAsia="仿宋" w:cs="宋体"/>
                <w:b w:val="0"/>
                <w:bCs w:val="0"/>
                <w:color w:val="auto"/>
                <w:sz w:val="24"/>
                <w:szCs w:val="24"/>
                <w:highlight w:val="none"/>
                <w:lang w:val="en-US" w:eastAsia="zh-CN"/>
              </w:rPr>
              <w:t>投标人2022年度以来参与</w:t>
            </w:r>
            <w:r>
              <w:rPr>
                <w:rFonts w:hint="eastAsia" w:ascii="仿宋" w:hAnsi="仿宋" w:eastAsia="仿宋" w:cs="宋体"/>
                <w:b w:val="0"/>
                <w:bCs w:val="0"/>
                <w:strike w:val="0"/>
                <w:dstrike w:val="0"/>
                <w:color w:val="auto"/>
                <w:sz w:val="24"/>
                <w:szCs w:val="24"/>
                <w:highlight w:val="none"/>
                <w:lang w:val="en-US" w:eastAsia="zh-CN"/>
              </w:rPr>
              <w:t>政府部门或国企单位</w:t>
            </w:r>
            <w:r>
              <w:rPr>
                <w:rFonts w:hint="eastAsia" w:ascii="仿宋" w:hAnsi="仿宋" w:eastAsia="仿宋" w:cs="宋体"/>
                <w:b w:val="0"/>
                <w:bCs w:val="0"/>
                <w:color w:val="auto"/>
                <w:sz w:val="24"/>
                <w:szCs w:val="24"/>
                <w:highlight w:val="none"/>
                <w:lang w:val="en-US" w:eastAsia="zh-CN"/>
              </w:rPr>
              <w:t>非车保险业务承保服务业绩的（不同业主单位的同一项目不累计得分），业绩项目单张保单保费需达10万元及以上，每有一项得0.5分，最高得5分。</w:t>
            </w:r>
          </w:p>
          <w:p w14:paraId="71E5E5C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宋体"/>
                <w:b/>
                <w:bCs/>
                <w:color w:val="auto"/>
                <w:sz w:val="24"/>
                <w:szCs w:val="24"/>
                <w:highlight w:val="none"/>
                <w:lang w:val="en-US" w:eastAsia="zh-CN"/>
              </w:rPr>
            </w:pPr>
            <w:r>
              <w:rPr>
                <w:rFonts w:hint="eastAsia" w:ascii="仿宋" w:hAnsi="仿宋" w:eastAsia="仿宋" w:cs="宋体"/>
                <w:b/>
                <w:bCs/>
                <w:color w:val="auto"/>
                <w:sz w:val="24"/>
                <w:szCs w:val="24"/>
                <w:highlight w:val="none"/>
                <w:lang w:val="en-US" w:eastAsia="zh-CN"/>
              </w:rPr>
              <w:t>注：</w:t>
            </w:r>
            <w:r>
              <w:rPr>
                <w:rFonts w:hint="default" w:ascii="仿宋" w:hAnsi="仿宋" w:eastAsia="仿宋" w:cs="宋体"/>
                <w:b/>
                <w:bCs/>
                <w:color w:val="auto"/>
                <w:sz w:val="24"/>
                <w:szCs w:val="24"/>
                <w:highlight w:val="none"/>
                <w:lang w:val="en-US" w:eastAsia="zh-CN"/>
              </w:rPr>
              <w:t>提供相关保险协议及保险单复印件并加盖投标人CA公章，不提供不得分。</w:t>
            </w:r>
          </w:p>
        </w:tc>
        <w:tc>
          <w:tcPr>
            <w:tcW w:w="966" w:type="dxa"/>
            <w:tcBorders>
              <w:tl2br w:val="nil"/>
              <w:tr2bl w:val="nil"/>
            </w:tcBorders>
            <w:noWrap w:val="0"/>
            <w:vAlign w:val="center"/>
          </w:tcPr>
          <w:p w14:paraId="3A47CD11">
            <w:pPr>
              <w:keepNext w:val="0"/>
              <w:keepLines w:val="0"/>
              <w:pageBreakBefore w:val="0"/>
              <w:widowControl w:val="0"/>
              <w:kinsoku/>
              <w:wordWrap/>
              <w:overflowPunct/>
              <w:topLinePunct w:val="0"/>
              <w:autoSpaceDE/>
              <w:autoSpaceDN/>
              <w:bidi w:val="0"/>
              <w:spacing w:line="360" w:lineRule="exact"/>
              <w:jc w:val="center"/>
              <w:textAlignment w:val="auto"/>
              <w:rPr>
                <w:rFonts w:hint="default" w:ascii="仿宋" w:hAnsi="仿宋" w:eastAsia="仿宋" w:cs="宋体"/>
                <w:b/>
                <w:bCs/>
                <w:color w:val="auto"/>
                <w:sz w:val="24"/>
                <w:szCs w:val="24"/>
                <w:highlight w:val="none"/>
                <w:lang w:val="en-US" w:eastAsia="zh-CN"/>
              </w:rPr>
            </w:pPr>
            <w:r>
              <w:rPr>
                <w:rFonts w:hint="eastAsia" w:ascii="仿宋" w:hAnsi="仿宋" w:eastAsia="仿宋" w:cs="宋体"/>
                <w:b/>
                <w:bCs/>
                <w:color w:val="auto"/>
                <w:sz w:val="24"/>
                <w:szCs w:val="24"/>
                <w:highlight w:val="none"/>
                <w:lang w:val="en-US" w:eastAsia="zh-CN"/>
              </w:rPr>
              <w:t>0-5分</w:t>
            </w:r>
          </w:p>
        </w:tc>
      </w:tr>
      <w:tr w14:paraId="4C00C6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0" w:hRule="atLeast"/>
          <w:jc w:val="center"/>
        </w:trPr>
        <w:tc>
          <w:tcPr>
            <w:tcW w:w="630" w:type="dxa"/>
            <w:vMerge w:val="restart"/>
            <w:tcBorders>
              <w:tl2br w:val="nil"/>
              <w:tr2bl w:val="nil"/>
            </w:tcBorders>
            <w:noWrap w:val="0"/>
            <w:vAlign w:val="center"/>
          </w:tcPr>
          <w:p w14:paraId="5EF25099">
            <w:pPr>
              <w:keepNext w:val="0"/>
              <w:keepLines w:val="0"/>
              <w:pageBreakBefore w:val="0"/>
              <w:widowControl w:val="0"/>
              <w:numPr>
                <w:ilvl w:val="0"/>
                <w:numId w:val="12"/>
              </w:numPr>
              <w:kinsoku/>
              <w:wordWrap/>
              <w:overflowPunct/>
              <w:topLinePunct w:val="0"/>
              <w:autoSpaceDE/>
              <w:autoSpaceDN/>
              <w:bidi w:val="0"/>
              <w:spacing w:line="360" w:lineRule="exact"/>
              <w:ind w:left="425" w:leftChars="0" w:hanging="425" w:firstLineChars="0"/>
              <w:jc w:val="center"/>
              <w:textAlignment w:val="auto"/>
              <w:rPr>
                <w:rFonts w:hint="eastAsia" w:ascii="仿宋" w:hAnsi="仿宋" w:eastAsia="仿宋" w:cs="宋体"/>
                <w:b/>
                <w:color w:val="auto"/>
                <w:sz w:val="24"/>
                <w:szCs w:val="24"/>
                <w:highlight w:val="none"/>
                <w:lang w:val="en-US" w:eastAsia="zh-CN"/>
              </w:rPr>
            </w:pPr>
          </w:p>
        </w:tc>
        <w:tc>
          <w:tcPr>
            <w:tcW w:w="1703" w:type="dxa"/>
            <w:vMerge w:val="restart"/>
            <w:tcBorders>
              <w:tl2br w:val="nil"/>
              <w:tr2bl w:val="nil"/>
            </w:tcBorders>
            <w:noWrap w:val="0"/>
            <w:vAlign w:val="center"/>
          </w:tcPr>
          <w:p w14:paraId="1A038B30">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 w:hAnsi="仿宋" w:eastAsia="仿宋" w:cs="宋体"/>
                <w:b/>
                <w:bCs/>
                <w:color w:val="auto"/>
                <w:sz w:val="24"/>
                <w:szCs w:val="24"/>
                <w:highlight w:val="none"/>
                <w:lang w:val="en-US" w:eastAsia="zh-CN"/>
              </w:rPr>
            </w:pPr>
            <w:r>
              <w:rPr>
                <w:rFonts w:hint="eastAsia" w:ascii="仿宋" w:hAnsi="仿宋" w:eastAsia="仿宋" w:cs="宋体"/>
                <w:b/>
                <w:bCs/>
                <w:color w:val="auto"/>
                <w:sz w:val="24"/>
                <w:szCs w:val="24"/>
                <w:highlight w:val="none"/>
                <w:lang w:val="en-US" w:eastAsia="zh-CN"/>
              </w:rPr>
              <w:t>服务能力</w:t>
            </w:r>
          </w:p>
        </w:tc>
        <w:tc>
          <w:tcPr>
            <w:tcW w:w="6737" w:type="dxa"/>
            <w:tcBorders>
              <w:tl2br w:val="nil"/>
              <w:tr2bl w:val="nil"/>
            </w:tcBorders>
            <w:noWrap w:val="0"/>
            <w:vAlign w:val="center"/>
          </w:tcPr>
          <w:p w14:paraId="174AACDF">
            <w:pPr>
              <w:keepNext w:val="0"/>
              <w:keepLines w:val="0"/>
              <w:pageBreakBefore w:val="0"/>
              <w:widowControl w:val="0"/>
              <w:numPr>
                <w:ilvl w:val="0"/>
                <w:numId w:val="0"/>
              </w:numPr>
              <w:kinsoku/>
              <w:wordWrap/>
              <w:overflowPunct/>
              <w:topLinePunct w:val="0"/>
              <w:autoSpaceDE/>
              <w:autoSpaceDN/>
              <w:bidi w:val="0"/>
              <w:spacing w:line="360" w:lineRule="exact"/>
              <w:ind w:leftChars="0"/>
              <w:jc w:val="left"/>
              <w:textAlignment w:val="auto"/>
              <w:rPr>
                <w:rFonts w:hint="eastAsia" w:ascii="仿宋" w:hAnsi="仿宋" w:eastAsia="仿宋" w:cs="宋体"/>
                <w:b w:val="0"/>
                <w:bCs w:val="0"/>
                <w:color w:val="auto"/>
                <w:sz w:val="24"/>
                <w:szCs w:val="24"/>
                <w:highlight w:val="none"/>
                <w:lang w:val="en-US" w:eastAsia="zh-CN"/>
              </w:rPr>
            </w:pPr>
            <w:r>
              <w:rPr>
                <w:rFonts w:hint="eastAsia" w:ascii="仿宋" w:hAnsi="仿宋" w:eastAsia="仿宋" w:cs="宋体"/>
                <w:b w:val="0"/>
                <w:bCs w:val="0"/>
                <w:color w:val="auto"/>
                <w:sz w:val="24"/>
                <w:szCs w:val="24"/>
                <w:highlight w:val="none"/>
                <w:lang w:val="en-US" w:eastAsia="zh-CN"/>
              </w:rPr>
              <w:t>根据投标人具备网络、电话、短信、网点及专员等多样化服务渠道，便于投保人本合作项目的问题咨询，充分体现服务的人性化和各类服务渠道的便捷性等方面进行打分：</w:t>
            </w:r>
          </w:p>
          <w:p w14:paraId="2B5C7342">
            <w:pPr>
              <w:keepNext w:val="0"/>
              <w:keepLines w:val="0"/>
              <w:pageBreakBefore w:val="0"/>
              <w:widowControl w:val="0"/>
              <w:numPr>
                <w:ilvl w:val="0"/>
                <w:numId w:val="13"/>
              </w:numPr>
              <w:kinsoku/>
              <w:wordWrap/>
              <w:overflowPunct/>
              <w:topLinePunct w:val="0"/>
              <w:autoSpaceDE/>
              <w:autoSpaceDN/>
              <w:bidi w:val="0"/>
              <w:spacing w:line="360" w:lineRule="exact"/>
              <w:ind w:left="425" w:leftChars="0" w:hanging="425" w:firstLineChars="0"/>
              <w:jc w:val="left"/>
              <w:textAlignment w:val="auto"/>
              <w:rPr>
                <w:rFonts w:hint="eastAsia" w:ascii="仿宋" w:hAnsi="仿宋" w:eastAsia="仿宋" w:cs="宋体"/>
                <w:b w:val="0"/>
                <w:bCs w:val="0"/>
                <w:color w:val="auto"/>
                <w:sz w:val="24"/>
                <w:szCs w:val="24"/>
                <w:highlight w:val="none"/>
                <w:lang w:val="en-US" w:eastAsia="zh-CN"/>
              </w:rPr>
            </w:pPr>
            <w:r>
              <w:rPr>
                <w:rFonts w:hint="eastAsia" w:ascii="仿宋" w:hAnsi="仿宋" w:eastAsia="仿宋" w:cs="宋体"/>
                <w:b w:val="0"/>
                <w:bCs w:val="0"/>
                <w:color w:val="auto"/>
                <w:sz w:val="24"/>
                <w:szCs w:val="24"/>
                <w:highlight w:val="none"/>
                <w:lang w:val="en-US" w:eastAsia="zh-CN"/>
              </w:rPr>
              <w:t>内容完整全面、科学合理、可行性强的得（4,6］分；</w:t>
            </w:r>
          </w:p>
          <w:p w14:paraId="75960474">
            <w:pPr>
              <w:keepNext w:val="0"/>
              <w:keepLines w:val="0"/>
              <w:pageBreakBefore w:val="0"/>
              <w:widowControl w:val="0"/>
              <w:numPr>
                <w:ilvl w:val="0"/>
                <w:numId w:val="13"/>
              </w:numPr>
              <w:kinsoku/>
              <w:wordWrap/>
              <w:overflowPunct/>
              <w:topLinePunct w:val="0"/>
              <w:autoSpaceDE/>
              <w:autoSpaceDN/>
              <w:bidi w:val="0"/>
              <w:spacing w:line="360" w:lineRule="exact"/>
              <w:ind w:left="425" w:leftChars="0" w:hanging="425" w:firstLineChars="0"/>
              <w:jc w:val="left"/>
              <w:textAlignment w:val="auto"/>
              <w:rPr>
                <w:rFonts w:hint="eastAsia" w:ascii="仿宋" w:hAnsi="仿宋" w:eastAsia="仿宋" w:cs="宋体"/>
                <w:b w:val="0"/>
                <w:bCs w:val="0"/>
                <w:color w:val="auto"/>
                <w:sz w:val="24"/>
                <w:szCs w:val="24"/>
                <w:highlight w:val="none"/>
                <w:lang w:val="en-US" w:eastAsia="zh-CN"/>
              </w:rPr>
            </w:pPr>
            <w:r>
              <w:rPr>
                <w:rFonts w:hint="eastAsia" w:ascii="仿宋" w:hAnsi="仿宋" w:eastAsia="仿宋" w:cs="宋体"/>
                <w:b w:val="0"/>
                <w:bCs w:val="0"/>
                <w:color w:val="auto"/>
                <w:sz w:val="24"/>
                <w:szCs w:val="24"/>
                <w:highlight w:val="none"/>
                <w:lang w:val="en-US" w:eastAsia="zh-CN"/>
              </w:rPr>
              <w:t>内容相对完整，基本合理可行的得（2,4］分；</w:t>
            </w:r>
          </w:p>
          <w:p w14:paraId="722D0017">
            <w:pPr>
              <w:keepNext w:val="0"/>
              <w:keepLines w:val="0"/>
              <w:pageBreakBefore w:val="0"/>
              <w:widowControl w:val="0"/>
              <w:numPr>
                <w:ilvl w:val="0"/>
                <w:numId w:val="13"/>
              </w:numPr>
              <w:kinsoku/>
              <w:wordWrap/>
              <w:overflowPunct/>
              <w:topLinePunct w:val="0"/>
              <w:autoSpaceDE/>
              <w:autoSpaceDN/>
              <w:bidi w:val="0"/>
              <w:spacing w:line="360" w:lineRule="exact"/>
              <w:ind w:left="425" w:leftChars="0" w:hanging="425" w:firstLineChars="0"/>
              <w:jc w:val="left"/>
              <w:textAlignment w:val="auto"/>
              <w:rPr>
                <w:rFonts w:hint="eastAsia" w:ascii="仿宋" w:hAnsi="仿宋" w:eastAsia="仿宋" w:cs="宋体"/>
                <w:b w:val="0"/>
                <w:bCs w:val="0"/>
                <w:color w:val="auto"/>
                <w:sz w:val="24"/>
                <w:szCs w:val="24"/>
                <w:highlight w:val="none"/>
                <w:lang w:val="en-US" w:eastAsia="zh-CN"/>
              </w:rPr>
            </w:pPr>
            <w:r>
              <w:rPr>
                <w:rFonts w:hint="eastAsia" w:ascii="仿宋" w:hAnsi="仿宋" w:eastAsia="仿宋" w:cs="宋体"/>
                <w:b w:val="0"/>
                <w:bCs w:val="0"/>
                <w:color w:val="auto"/>
                <w:sz w:val="24"/>
                <w:szCs w:val="24"/>
                <w:highlight w:val="none"/>
                <w:lang w:val="en-US" w:eastAsia="zh-CN"/>
              </w:rPr>
              <w:t>内容简略、层次模糊、可行性较差的得（0,2］分；</w:t>
            </w:r>
          </w:p>
          <w:p w14:paraId="6A9D1182">
            <w:pPr>
              <w:keepNext w:val="0"/>
              <w:keepLines w:val="0"/>
              <w:pageBreakBefore w:val="0"/>
              <w:widowControl w:val="0"/>
              <w:numPr>
                <w:ilvl w:val="0"/>
                <w:numId w:val="13"/>
              </w:numPr>
              <w:kinsoku/>
              <w:wordWrap/>
              <w:overflowPunct/>
              <w:topLinePunct w:val="0"/>
              <w:autoSpaceDE/>
              <w:autoSpaceDN/>
              <w:bidi w:val="0"/>
              <w:spacing w:line="360" w:lineRule="exact"/>
              <w:ind w:left="425" w:leftChars="0" w:hanging="425" w:firstLineChars="0"/>
              <w:jc w:val="left"/>
              <w:textAlignment w:val="auto"/>
              <w:rPr>
                <w:rFonts w:hint="eastAsia" w:ascii="仿宋" w:hAnsi="仿宋" w:eastAsia="仿宋" w:cs="宋体"/>
                <w:b/>
                <w:bCs/>
                <w:color w:val="auto"/>
                <w:sz w:val="24"/>
                <w:szCs w:val="24"/>
                <w:highlight w:val="none"/>
                <w:lang w:val="en-US" w:eastAsia="zh-CN"/>
              </w:rPr>
            </w:pPr>
            <w:r>
              <w:rPr>
                <w:rFonts w:hint="eastAsia" w:ascii="仿宋" w:hAnsi="仿宋" w:eastAsia="仿宋" w:cs="宋体"/>
                <w:b w:val="0"/>
                <w:bCs w:val="0"/>
                <w:color w:val="auto"/>
                <w:sz w:val="24"/>
                <w:szCs w:val="24"/>
                <w:highlight w:val="none"/>
                <w:lang w:val="en-US" w:eastAsia="zh-CN"/>
              </w:rPr>
              <w:t>未提供的不得分。</w:t>
            </w:r>
          </w:p>
        </w:tc>
        <w:tc>
          <w:tcPr>
            <w:tcW w:w="966" w:type="dxa"/>
            <w:tcBorders>
              <w:tl2br w:val="nil"/>
              <w:tr2bl w:val="nil"/>
            </w:tcBorders>
            <w:noWrap w:val="0"/>
            <w:vAlign w:val="center"/>
          </w:tcPr>
          <w:p w14:paraId="5376F126">
            <w:pPr>
              <w:keepNext w:val="0"/>
              <w:keepLines w:val="0"/>
              <w:pageBreakBefore w:val="0"/>
              <w:widowControl w:val="0"/>
              <w:kinsoku/>
              <w:wordWrap/>
              <w:overflowPunct/>
              <w:topLinePunct w:val="0"/>
              <w:autoSpaceDE/>
              <w:autoSpaceDN/>
              <w:bidi w:val="0"/>
              <w:spacing w:line="360" w:lineRule="exact"/>
              <w:jc w:val="center"/>
              <w:textAlignment w:val="auto"/>
              <w:rPr>
                <w:rFonts w:hint="default" w:ascii="仿宋" w:hAnsi="仿宋" w:eastAsia="仿宋" w:cs="宋体"/>
                <w:b/>
                <w:bCs/>
                <w:color w:val="auto"/>
                <w:sz w:val="24"/>
                <w:szCs w:val="24"/>
                <w:highlight w:val="none"/>
                <w:lang w:val="en-US" w:eastAsia="zh-CN"/>
              </w:rPr>
            </w:pPr>
            <w:r>
              <w:rPr>
                <w:rFonts w:hint="eastAsia" w:ascii="仿宋" w:hAnsi="仿宋" w:eastAsia="仿宋" w:cs="宋体"/>
                <w:b/>
                <w:bCs/>
                <w:color w:val="auto"/>
                <w:sz w:val="24"/>
                <w:szCs w:val="24"/>
                <w:highlight w:val="none"/>
                <w:lang w:val="en-US" w:eastAsia="zh-CN"/>
              </w:rPr>
              <w:t>0-6分</w:t>
            </w:r>
          </w:p>
        </w:tc>
      </w:tr>
      <w:tr w14:paraId="042B8E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70" w:hRule="atLeast"/>
          <w:jc w:val="center"/>
        </w:trPr>
        <w:tc>
          <w:tcPr>
            <w:tcW w:w="630" w:type="dxa"/>
            <w:vMerge w:val="continue"/>
            <w:tcBorders>
              <w:tl2br w:val="nil"/>
              <w:tr2bl w:val="nil"/>
            </w:tcBorders>
            <w:noWrap w:val="0"/>
            <w:vAlign w:val="center"/>
          </w:tcPr>
          <w:p w14:paraId="5D75132F">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p>
        </w:tc>
        <w:tc>
          <w:tcPr>
            <w:tcW w:w="1703" w:type="dxa"/>
            <w:vMerge w:val="continue"/>
            <w:tcBorders>
              <w:tl2br w:val="nil"/>
              <w:tr2bl w:val="nil"/>
            </w:tcBorders>
            <w:noWrap w:val="0"/>
            <w:vAlign w:val="center"/>
          </w:tcPr>
          <w:p w14:paraId="10C8CD25">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p>
        </w:tc>
        <w:tc>
          <w:tcPr>
            <w:tcW w:w="6737" w:type="dxa"/>
            <w:tcBorders>
              <w:tl2br w:val="nil"/>
              <w:tr2bl w:val="nil"/>
            </w:tcBorders>
            <w:noWrap w:val="0"/>
            <w:vAlign w:val="center"/>
          </w:tcPr>
          <w:p w14:paraId="260C8A68">
            <w:pPr>
              <w:keepNext w:val="0"/>
              <w:keepLines w:val="0"/>
              <w:pageBreakBefore w:val="0"/>
              <w:widowControl w:val="0"/>
              <w:numPr>
                <w:ilvl w:val="0"/>
                <w:numId w:val="0"/>
              </w:numPr>
              <w:kinsoku/>
              <w:wordWrap/>
              <w:overflowPunct/>
              <w:topLinePunct w:val="0"/>
              <w:autoSpaceDE/>
              <w:autoSpaceDN/>
              <w:bidi w:val="0"/>
              <w:snapToGrid w:val="0"/>
              <w:spacing w:line="360" w:lineRule="exact"/>
              <w:jc w:val="left"/>
              <w:textAlignment w:val="auto"/>
              <w:rPr>
                <w:rFonts w:hint="eastAsia" w:ascii="仿宋" w:hAnsi="仿宋" w:eastAsia="仿宋" w:cs="宋体"/>
                <w:b w:val="0"/>
                <w:bCs w:val="0"/>
                <w:color w:val="auto"/>
                <w:sz w:val="24"/>
                <w:szCs w:val="24"/>
                <w:highlight w:val="none"/>
                <w:lang w:val="en-US" w:eastAsia="zh-CN"/>
              </w:rPr>
            </w:pPr>
            <w:r>
              <w:rPr>
                <w:rFonts w:hint="eastAsia" w:ascii="仿宋" w:hAnsi="仿宋" w:eastAsia="仿宋" w:cs="宋体"/>
                <w:b w:val="0"/>
                <w:bCs w:val="0"/>
                <w:color w:val="auto"/>
                <w:sz w:val="24"/>
                <w:szCs w:val="24"/>
                <w:highlight w:val="none"/>
                <w:lang w:val="en-US" w:eastAsia="zh-CN"/>
              </w:rPr>
              <w:t>根据投标人服务响应时间、保险范围辖区内分支机构分布、信访及投诉协调处理措施等进行打分：</w:t>
            </w:r>
          </w:p>
          <w:p w14:paraId="661E85B0">
            <w:pPr>
              <w:keepNext w:val="0"/>
              <w:keepLines w:val="0"/>
              <w:pageBreakBefore w:val="0"/>
              <w:widowControl w:val="0"/>
              <w:numPr>
                <w:ilvl w:val="0"/>
                <w:numId w:val="14"/>
              </w:numPr>
              <w:kinsoku/>
              <w:wordWrap/>
              <w:overflowPunct/>
              <w:topLinePunct w:val="0"/>
              <w:autoSpaceDE/>
              <w:autoSpaceDN/>
              <w:bidi w:val="0"/>
              <w:spacing w:line="360" w:lineRule="exact"/>
              <w:ind w:left="425" w:leftChars="0" w:hanging="425" w:firstLineChars="0"/>
              <w:jc w:val="left"/>
              <w:textAlignment w:val="auto"/>
              <w:rPr>
                <w:rFonts w:hint="eastAsia" w:ascii="仿宋" w:hAnsi="仿宋" w:eastAsia="仿宋" w:cs="宋体"/>
                <w:b w:val="0"/>
                <w:bCs w:val="0"/>
                <w:color w:val="auto"/>
                <w:sz w:val="24"/>
                <w:szCs w:val="24"/>
                <w:highlight w:val="none"/>
                <w:lang w:val="en-US" w:eastAsia="zh-CN"/>
              </w:rPr>
            </w:pPr>
            <w:r>
              <w:rPr>
                <w:rFonts w:hint="eastAsia" w:ascii="仿宋" w:hAnsi="仿宋" w:eastAsia="仿宋" w:cs="宋体"/>
                <w:b w:val="0"/>
                <w:bCs w:val="0"/>
                <w:color w:val="auto"/>
                <w:sz w:val="24"/>
                <w:szCs w:val="24"/>
                <w:highlight w:val="none"/>
                <w:lang w:val="en-US" w:eastAsia="zh-CN"/>
              </w:rPr>
              <w:t>内容完整全面、科学合理、针对性强的得（4,6］分；</w:t>
            </w:r>
          </w:p>
          <w:p w14:paraId="67CD7375">
            <w:pPr>
              <w:keepNext w:val="0"/>
              <w:keepLines w:val="0"/>
              <w:pageBreakBefore w:val="0"/>
              <w:widowControl w:val="0"/>
              <w:numPr>
                <w:ilvl w:val="0"/>
                <w:numId w:val="14"/>
              </w:numPr>
              <w:kinsoku/>
              <w:wordWrap/>
              <w:overflowPunct/>
              <w:topLinePunct w:val="0"/>
              <w:autoSpaceDE/>
              <w:autoSpaceDN/>
              <w:bidi w:val="0"/>
              <w:spacing w:line="360" w:lineRule="exact"/>
              <w:ind w:left="425" w:leftChars="0" w:hanging="425" w:firstLineChars="0"/>
              <w:jc w:val="left"/>
              <w:textAlignment w:val="auto"/>
              <w:rPr>
                <w:rFonts w:hint="eastAsia" w:ascii="仿宋" w:hAnsi="仿宋" w:eastAsia="仿宋" w:cs="宋体"/>
                <w:b w:val="0"/>
                <w:bCs w:val="0"/>
                <w:color w:val="auto"/>
                <w:sz w:val="24"/>
                <w:szCs w:val="24"/>
                <w:highlight w:val="none"/>
                <w:lang w:val="en-US" w:eastAsia="zh-CN"/>
              </w:rPr>
            </w:pPr>
            <w:r>
              <w:rPr>
                <w:rFonts w:hint="eastAsia" w:ascii="仿宋" w:hAnsi="仿宋" w:eastAsia="仿宋" w:cs="宋体"/>
                <w:b w:val="0"/>
                <w:bCs w:val="0"/>
                <w:color w:val="auto"/>
                <w:sz w:val="24"/>
                <w:szCs w:val="24"/>
                <w:highlight w:val="none"/>
                <w:lang w:val="en-US" w:eastAsia="zh-CN"/>
              </w:rPr>
              <w:t>内容相对完整，基本合理可行的得（2,4］分；</w:t>
            </w:r>
          </w:p>
          <w:p w14:paraId="298D0020">
            <w:pPr>
              <w:keepNext w:val="0"/>
              <w:keepLines w:val="0"/>
              <w:pageBreakBefore w:val="0"/>
              <w:widowControl w:val="0"/>
              <w:numPr>
                <w:ilvl w:val="0"/>
                <w:numId w:val="14"/>
              </w:numPr>
              <w:kinsoku/>
              <w:wordWrap/>
              <w:overflowPunct/>
              <w:topLinePunct w:val="0"/>
              <w:autoSpaceDE/>
              <w:autoSpaceDN/>
              <w:bidi w:val="0"/>
              <w:spacing w:line="360" w:lineRule="exact"/>
              <w:ind w:left="425" w:leftChars="0" w:hanging="425" w:firstLineChars="0"/>
              <w:jc w:val="left"/>
              <w:textAlignment w:val="auto"/>
              <w:rPr>
                <w:rFonts w:hint="eastAsia" w:ascii="仿宋" w:hAnsi="仿宋" w:eastAsia="仿宋" w:cs="宋体"/>
                <w:b w:val="0"/>
                <w:bCs w:val="0"/>
                <w:color w:val="auto"/>
                <w:sz w:val="24"/>
                <w:szCs w:val="24"/>
                <w:highlight w:val="none"/>
                <w:lang w:val="en-US" w:eastAsia="zh-CN"/>
              </w:rPr>
            </w:pPr>
            <w:r>
              <w:rPr>
                <w:rFonts w:hint="eastAsia" w:ascii="仿宋" w:hAnsi="仿宋" w:eastAsia="仿宋" w:cs="宋体"/>
                <w:b w:val="0"/>
                <w:bCs w:val="0"/>
                <w:color w:val="auto"/>
                <w:sz w:val="24"/>
                <w:szCs w:val="24"/>
                <w:highlight w:val="none"/>
                <w:lang w:val="en-US" w:eastAsia="zh-CN"/>
              </w:rPr>
              <w:t>内容简略、层次模糊、针对性较差的得（0,2］分；</w:t>
            </w:r>
          </w:p>
          <w:p w14:paraId="5A68A4B6">
            <w:pPr>
              <w:keepNext w:val="0"/>
              <w:keepLines w:val="0"/>
              <w:pageBreakBefore w:val="0"/>
              <w:widowControl w:val="0"/>
              <w:numPr>
                <w:ilvl w:val="0"/>
                <w:numId w:val="14"/>
              </w:numPr>
              <w:kinsoku/>
              <w:wordWrap/>
              <w:overflowPunct/>
              <w:topLinePunct w:val="0"/>
              <w:autoSpaceDE/>
              <w:autoSpaceDN/>
              <w:bidi w:val="0"/>
              <w:spacing w:line="360" w:lineRule="exact"/>
              <w:ind w:left="425" w:leftChars="0" w:hanging="425" w:firstLineChars="0"/>
              <w:jc w:val="left"/>
              <w:textAlignment w:val="auto"/>
              <w:rPr>
                <w:rFonts w:hint="eastAsia" w:ascii="仿宋" w:hAnsi="仿宋" w:eastAsia="仿宋" w:cs="宋体"/>
                <w:b/>
                <w:bCs/>
                <w:color w:val="auto"/>
                <w:sz w:val="24"/>
                <w:szCs w:val="24"/>
                <w:highlight w:val="none"/>
                <w:lang w:val="en-US" w:eastAsia="zh-CN"/>
              </w:rPr>
            </w:pPr>
            <w:r>
              <w:rPr>
                <w:rFonts w:hint="eastAsia" w:ascii="仿宋" w:hAnsi="仿宋" w:eastAsia="仿宋" w:cs="宋体"/>
                <w:b w:val="0"/>
                <w:bCs w:val="0"/>
                <w:color w:val="auto"/>
                <w:sz w:val="24"/>
                <w:szCs w:val="24"/>
                <w:highlight w:val="none"/>
                <w:lang w:val="en-US" w:eastAsia="zh-CN"/>
              </w:rPr>
              <w:t>未提供的不得分。</w:t>
            </w:r>
          </w:p>
        </w:tc>
        <w:tc>
          <w:tcPr>
            <w:tcW w:w="966" w:type="dxa"/>
            <w:tcBorders>
              <w:tl2br w:val="nil"/>
              <w:tr2bl w:val="nil"/>
            </w:tcBorders>
            <w:noWrap w:val="0"/>
            <w:vAlign w:val="center"/>
          </w:tcPr>
          <w:p w14:paraId="3BB2BD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宋体"/>
                <w:b/>
                <w:bCs/>
                <w:color w:val="auto"/>
                <w:sz w:val="24"/>
                <w:szCs w:val="24"/>
                <w:highlight w:val="none"/>
                <w:lang w:val="en-US" w:eastAsia="zh-CN"/>
              </w:rPr>
            </w:pPr>
            <w:r>
              <w:rPr>
                <w:rFonts w:hint="eastAsia" w:ascii="仿宋" w:hAnsi="仿宋" w:eastAsia="仿宋" w:cs="宋体"/>
                <w:b/>
                <w:bCs/>
                <w:color w:val="auto"/>
                <w:sz w:val="24"/>
                <w:szCs w:val="24"/>
                <w:highlight w:val="none"/>
                <w:lang w:val="en-US" w:eastAsia="zh-CN"/>
              </w:rPr>
              <w:t>0-6分</w:t>
            </w:r>
          </w:p>
        </w:tc>
      </w:tr>
      <w:tr w14:paraId="4E7932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4" w:hRule="atLeast"/>
          <w:jc w:val="center"/>
        </w:trPr>
        <w:tc>
          <w:tcPr>
            <w:tcW w:w="630" w:type="dxa"/>
            <w:vMerge w:val="continue"/>
            <w:tcBorders>
              <w:tl2br w:val="nil"/>
              <w:tr2bl w:val="nil"/>
            </w:tcBorders>
            <w:noWrap w:val="0"/>
            <w:vAlign w:val="center"/>
          </w:tcPr>
          <w:p w14:paraId="2659BD35">
            <w:pPr>
              <w:keepNext w:val="0"/>
              <w:keepLines w:val="0"/>
              <w:pageBreakBefore w:val="0"/>
              <w:widowControl w:val="0"/>
              <w:kinsoku/>
              <w:wordWrap/>
              <w:overflowPunct/>
              <w:topLinePunct w:val="0"/>
              <w:autoSpaceDE/>
              <w:autoSpaceDN/>
              <w:bidi w:val="0"/>
              <w:spacing w:line="360" w:lineRule="exact"/>
              <w:ind w:left="425" w:leftChars="0" w:hanging="425" w:firstLineChars="0"/>
              <w:jc w:val="left"/>
              <w:textAlignment w:val="auto"/>
            </w:pPr>
          </w:p>
        </w:tc>
        <w:tc>
          <w:tcPr>
            <w:tcW w:w="1703" w:type="dxa"/>
            <w:vMerge w:val="continue"/>
            <w:tcBorders>
              <w:tl2br w:val="nil"/>
              <w:tr2bl w:val="nil"/>
            </w:tcBorders>
            <w:noWrap w:val="0"/>
            <w:vAlign w:val="center"/>
          </w:tcPr>
          <w:p w14:paraId="24178F9D">
            <w:pPr>
              <w:keepNext w:val="0"/>
              <w:keepLines w:val="0"/>
              <w:pageBreakBefore w:val="0"/>
              <w:widowControl w:val="0"/>
              <w:kinsoku/>
              <w:wordWrap/>
              <w:overflowPunct/>
              <w:topLinePunct w:val="0"/>
              <w:autoSpaceDE/>
              <w:autoSpaceDN/>
              <w:bidi w:val="0"/>
              <w:spacing w:line="360" w:lineRule="exact"/>
              <w:ind w:left="425" w:leftChars="0" w:hanging="425" w:firstLineChars="0"/>
              <w:jc w:val="left"/>
              <w:textAlignment w:val="auto"/>
            </w:pPr>
          </w:p>
        </w:tc>
        <w:tc>
          <w:tcPr>
            <w:tcW w:w="6737" w:type="dxa"/>
            <w:tcBorders>
              <w:tl2br w:val="nil"/>
              <w:tr2bl w:val="nil"/>
            </w:tcBorders>
            <w:noWrap w:val="0"/>
            <w:vAlign w:val="center"/>
          </w:tcPr>
          <w:p w14:paraId="4DFE89D0">
            <w:pPr>
              <w:keepNext w:val="0"/>
              <w:keepLines w:val="0"/>
              <w:pageBreakBefore w:val="0"/>
              <w:widowControl w:val="0"/>
              <w:numPr>
                <w:ilvl w:val="0"/>
                <w:numId w:val="0"/>
              </w:numPr>
              <w:kinsoku/>
              <w:wordWrap/>
              <w:overflowPunct/>
              <w:topLinePunct w:val="0"/>
              <w:autoSpaceDE/>
              <w:autoSpaceDN/>
              <w:bidi w:val="0"/>
              <w:spacing w:line="360" w:lineRule="exact"/>
              <w:ind w:leftChars="0"/>
              <w:jc w:val="left"/>
              <w:textAlignment w:val="auto"/>
              <w:rPr>
                <w:rFonts w:hint="eastAsia" w:ascii="仿宋" w:hAnsi="仿宋" w:eastAsia="仿宋" w:cs="宋体"/>
                <w:b w:val="0"/>
                <w:bCs w:val="0"/>
                <w:color w:val="auto"/>
                <w:sz w:val="24"/>
                <w:szCs w:val="24"/>
                <w:highlight w:val="none"/>
                <w:lang w:val="en-US" w:eastAsia="zh-CN"/>
              </w:rPr>
            </w:pPr>
            <w:r>
              <w:rPr>
                <w:rFonts w:hint="eastAsia" w:ascii="仿宋" w:hAnsi="仿宋" w:eastAsia="仿宋" w:cs="宋体"/>
                <w:b w:val="0"/>
                <w:bCs w:val="0"/>
                <w:color w:val="auto"/>
                <w:sz w:val="24"/>
                <w:szCs w:val="24"/>
                <w:highlight w:val="none"/>
                <w:lang w:val="en-US" w:eastAsia="zh-CN"/>
              </w:rPr>
              <w:t>根据投标人对本项目的理赔服务车辆配置情况进行打分：</w:t>
            </w:r>
          </w:p>
          <w:p w14:paraId="4B0A3996">
            <w:pPr>
              <w:keepNext w:val="0"/>
              <w:keepLines w:val="0"/>
              <w:pageBreakBefore w:val="0"/>
              <w:widowControl w:val="0"/>
              <w:numPr>
                <w:ilvl w:val="0"/>
                <w:numId w:val="0"/>
              </w:numPr>
              <w:kinsoku/>
              <w:wordWrap/>
              <w:overflowPunct/>
              <w:topLinePunct w:val="0"/>
              <w:autoSpaceDE/>
              <w:autoSpaceDN/>
              <w:bidi w:val="0"/>
              <w:spacing w:line="360" w:lineRule="exact"/>
              <w:ind w:lef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理赔服务车数量为3辆的得1分；在此基础上每增加1辆加1分，最多得4分；理赔服务车数量少于3辆的，不得分。</w:t>
            </w:r>
          </w:p>
          <w:p w14:paraId="2A3A4F80">
            <w:pPr>
              <w:keepNext w:val="0"/>
              <w:keepLines w:val="0"/>
              <w:pageBreakBefore w:val="0"/>
              <w:widowControl w:val="0"/>
              <w:numPr>
                <w:ilvl w:val="0"/>
                <w:numId w:val="0"/>
              </w:numPr>
              <w:kinsoku/>
              <w:wordWrap/>
              <w:overflowPunct/>
              <w:topLinePunct w:val="0"/>
              <w:autoSpaceDE/>
              <w:autoSpaceDN/>
              <w:bidi w:val="0"/>
              <w:spacing w:line="360" w:lineRule="exact"/>
              <w:ind w:leftChars="0"/>
              <w:jc w:val="left"/>
              <w:textAlignment w:val="auto"/>
              <w:rPr>
                <w:rFonts w:hint="eastAsia" w:ascii="仿宋" w:hAnsi="仿宋" w:eastAsia="仿宋" w:cs="宋体"/>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r>
              <w:rPr>
                <w:rFonts w:hint="eastAsia" w:ascii="仿宋" w:hAnsi="仿宋" w:eastAsia="仿宋" w:cs="仿宋"/>
                <w:color w:val="auto"/>
                <w:sz w:val="24"/>
                <w:szCs w:val="24"/>
                <w:highlight w:val="none"/>
              </w:rPr>
              <w:t>需提供以下证明材料并加盖投标人CA签章：①</w:t>
            </w:r>
            <w:r>
              <w:rPr>
                <w:rFonts w:hint="eastAsia" w:ascii="仿宋" w:hAnsi="仿宋" w:eastAsia="仿宋" w:cs="宋体"/>
                <w:b w:val="0"/>
                <w:bCs w:val="0"/>
                <w:color w:val="auto"/>
                <w:sz w:val="24"/>
                <w:szCs w:val="24"/>
                <w:highlight w:val="none"/>
                <w:lang w:val="en-US" w:eastAsia="zh-CN"/>
              </w:rPr>
              <w:t>提供车辆购置发票；②有效期内的行驶证复印件；</w:t>
            </w:r>
            <w:r>
              <w:rPr>
                <w:rFonts w:hint="eastAsia" w:ascii="仿宋" w:hAnsi="仿宋" w:eastAsia="仿宋" w:cs="仿宋"/>
                <w:color w:val="auto"/>
                <w:sz w:val="24"/>
                <w:szCs w:val="24"/>
                <w:highlight w:val="none"/>
              </w:rPr>
              <w:t>未按要求提供的不得分。</w:t>
            </w:r>
          </w:p>
        </w:tc>
        <w:tc>
          <w:tcPr>
            <w:tcW w:w="966" w:type="dxa"/>
            <w:tcBorders>
              <w:tl2br w:val="nil"/>
              <w:tr2bl w:val="nil"/>
            </w:tcBorders>
            <w:noWrap w:val="0"/>
            <w:vAlign w:val="center"/>
          </w:tcPr>
          <w:p w14:paraId="78233854">
            <w:pPr>
              <w:keepNext w:val="0"/>
              <w:keepLines w:val="0"/>
              <w:pageBreakBefore w:val="0"/>
              <w:widowControl w:val="0"/>
              <w:kinsoku/>
              <w:wordWrap/>
              <w:overflowPunct/>
              <w:topLinePunct w:val="0"/>
              <w:autoSpaceDE/>
              <w:autoSpaceDN/>
              <w:bidi w:val="0"/>
              <w:spacing w:line="360" w:lineRule="exact"/>
              <w:ind w:left="425" w:leftChars="0" w:hanging="425" w:firstLineChars="0"/>
              <w:jc w:val="center"/>
              <w:textAlignment w:val="auto"/>
              <w:rPr>
                <w:rFonts w:hint="eastAsia" w:ascii="仿宋" w:hAnsi="仿宋" w:eastAsia="仿宋" w:cs="宋体"/>
                <w:b w:val="0"/>
                <w:bCs w:val="0"/>
                <w:color w:val="auto"/>
                <w:sz w:val="24"/>
                <w:szCs w:val="24"/>
                <w:highlight w:val="none"/>
                <w:lang w:val="en-US" w:eastAsia="zh-CN"/>
              </w:rPr>
            </w:pPr>
            <w:r>
              <w:rPr>
                <w:rFonts w:hint="eastAsia" w:ascii="仿宋" w:hAnsi="仿宋" w:eastAsia="仿宋" w:cs="宋体"/>
                <w:b/>
                <w:bCs/>
                <w:color w:val="auto"/>
                <w:sz w:val="24"/>
                <w:szCs w:val="24"/>
                <w:highlight w:val="none"/>
                <w:lang w:val="en-US" w:eastAsia="zh-CN"/>
              </w:rPr>
              <w:t>0-4分</w:t>
            </w:r>
          </w:p>
        </w:tc>
      </w:tr>
      <w:tr w14:paraId="138CA4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3" w:hRule="atLeast"/>
          <w:jc w:val="center"/>
        </w:trPr>
        <w:tc>
          <w:tcPr>
            <w:tcW w:w="630" w:type="dxa"/>
            <w:tcBorders>
              <w:tl2br w:val="nil"/>
              <w:tr2bl w:val="nil"/>
            </w:tcBorders>
            <w:noWrap w:val="0"/>
            <w:vAlign w:val="center"/>
          </w:tcPr>
          <w:p w14:paraId="665A1FCD">
            <w:pPr>
              <w:keepNext w:val="0"/>
              <w:keepLines w:val="0"/>
              <w:pageBreakBefore w:val="0"/>
              <w:widowControl w:val="0"/>
              <w:numPr>
                <w:ilvl w:val="0"/>
                <w:numId w:val="12"/>
              </w:numPr>
              <w:kinsoku/>
              <w:wordWrap/>
              <w:overflowPunct/>
              <w:topLinePunct w:val="0"/>
              <w:autoSpaceDE/>
              <w:autoSpaceDN/>
              <w:bidi w:val="0"/>
              <w:spacing w:line="360" w:lineRule="exact"/>
              <w:ind w:left="425" w:leftChars="0" w:hanging="425" w:firstLineChars="0"/>
              <w:jc w:val="center"/>
              <w:textAlignment w:val="auto"/>
              <w:rPr>
                <w:rFonts w:hint="eastAsia" w:ascii="仿宋" w:hAnsi="仿宋" w:eastAsia="仿宋" w:cs="宋体"/>
                <w:b/>
                <w:bCs w:val="0"/>
                <w:color w:val="auto"/>
                <w:kern w:val="2"/>
                <w:sz w:val="24"/>
                <w:szCs w:val="24"/>
                <w:highlight w:val="none"/>
                <w:lang w:val="en-US" w:eastAsia="zh-CN" w:bidi="ar-SA"/>
              </w:rPr>
            </w:pPr>
          </w:p>
        </w:tc>
        <w:tc>
          <w:tcPr>
            <w:tcW w:w="1703" w:type="dxa"/>
            <w:tcBorders>
              <w:tl2br w:val="nil"/>
              <w:tr2bl w:val="nil"/>
            </w:tcBorders>
            <w:noWrap w:val="0"/>
            <w:vAlign w:val="center"/>
          </w:tcPr>
          <w:p w14:paraId="40270A60">
            <w:pPr>
              <w:keepNext w:val="0"/>
              <w:keepLines w:val="0"/>
              <w:pageBreakBefore w:val="0"/>
              <w:widowControl w:val="0"/>
              <w:numPr>
                <w:ilvl w:val="0"/>
                <w:numId w:val="0"/>
              </w:numPr>
              <w:kinsoku/>
              <w:wordWrap/>
              <w:overflowPunct/>
              <w:topLinePunct w:val="0"/>
              <w:autoSpaceDE/>
              <w:autoSpaceDN/>
              <w:bidi w:val="0"/>
              <w:spacing w:line="360" w:lineRule="exact"/>
              <w:ind w:leftChars="0"/>
              <w:jc w:val="center"/>
              <w:textAlignment w:val="auto"/>
              <w:rPr>
                <w:rFonts w:hint="eastAsia" w:ascii="仿宋" w:hAnsi="仿宋" w:eastAsia="仿宋" w:cs="宋体"/>
                <w:b/>
                <w:bCs w:val="0"/>
                <w:color w:val="auto"/>
                <w:kern w:val="2"/>
                <w:sz w:val="24"/>
                <w:szCs w:val="24"/>
                <w:highlight w:val="none"/>
                <w:lang w:val="en-US" w:eastAsia="zh-CN" w:bidi="ar-SA"/>
              </w:rPr>
            </w:pPr>
            <w:r>
              <w:rPr>
                <w:rFonts w:hint="eastAsia" w:ascii="仿宋" w:hAnsi="仿宋" w:eastAsia="仿宋" w:cs="宋体"/>
                <w:b/>
                <w:bCs w:val="0"/>
                <w:color w:val="auto"/>
                <w:kern w:val="2"/>
                <w:sz w:val="24"/>
                <w:szCs w:val="24"/>
                <w:highlight w:val="none"/>
                <w:lang w:val="en-US" w:eastAsia="zh-CN" w:bidi="ar-SA"/>
              </w:rPr>
              <w:t>团队人员</w:t>
            </w:r>
          </w:p>
          <w:p w14:paraId="2BB8CA19">
            <w:pPr>
              <w:keepNext w:val="0"/>
              <w:keepLines w:val="0"/>
              <w:pageBreakBefore w:val="0"/>
              <w:widowControl w:val="0"/>
              <w:numPr>
                <w:ilvl w:val="0"/>
                <w:numId w:val="0"/>
              </w:numPr>
              <w:kinsoku/>
              <w:wordWrap/>
              <w:overflowPunct/>
              <w:topLinePunct w:val="0"/>
              <w:autoSpaceDE/>
              <w:autoSpaceDN/>
              <w:bidi w:val="0"/>
              <w:spacing w:line="360" w:lineRule="exact"/>
              <w:ind w:leftChars="0"/>
              <w:jc w:val="center"/>
              <w:textAlignment w:val="auto"/>
              <w:rPr>
                <w:rFonts w:hint="default" w:ascii="仿宋" w:hAnsi="仿宋" w:eastAsia="仿宋" w:cs="宋体"/>
                <w:b/>
                <w:bCs w:val="0"/>
                <w:color w:val="FF0000"/>
                <w:kern w:val="2"/>
                <w:sz w:val="24"/>
                <w:szCs w:val="24"/>
                <w:highlight w:val="none"/>
                <w:lang w:val="en-US" w:eastAsia="zh-CN" w:bidi="ar-SA"/>
              </w:rPr>
            </w:pPr>
            <w:r>
              <w:rPr>
                <w:rFonts w:hint="eastAsia" w:ascii="仿宋" w:hAnsi="仿宋" w:eastAsia="仿宋" w:cs="宋体"/>
                <w:b/>
                <w:bCs w:val="0"/>
                <w:color w:val="auto"/>
                <w:kern w:val="2"/>
                <w:sz w:val="24"/>
                <w:szCs w:val="24"/>
                <w:highlight w:val="none"/>
                <w:lang w:val="en-US" w:eastAsia="zh-CN" w:bidi="ar-SA"/>
              </w:rPr>
              <w:t>配置</w:t>
            </w:r>
          </w:p>
        </w:tc>
        <w:tc>
          <w:tcPr>
            <w:tcW w:w="6737" w:type="dxa"/>
            <w:tcBorders>
              <w:tl2br w:val="nil"/>
              <w:tr2bl w:val="nil"/>
            </w:tcBorders>
            <w:noWrap w:val="0"/>
            <w:vAlign w:val="center"/>
          </w:tcPr>
          <w:p w14:paraId="65A585A9">
            <w:pPr>
              <w:keepNext w:val="0"/>
              <w:keepLines w:val="0"/>
              <w:pageBreakBefore w:val="0"/>
              <w:widowControl w:val="0"/>
              <w:numPr>
                <w:ilvl w:val="0"/>
                <w:numId w:val="0"/>
              </w:numPr>
              <w:kinsoku/>
              <w:wordWrap/>
              <w:overflowPunct/>
              <w:topLinePunct w:val="0"/>
              <w:autoSpaceDE/>
              <w:autoSpaceDN/>
              <w:bidi w:val="0"/>
              <w:spacing w:line="360" w:lineRule="exact"/>
              <w:ind w:leftChars="0"/>
              <w:jc w:val="left"/>
              <w:textAlignment w:val="auto"/>
              <w:rPr>
                <w:rFonts w:hint="eastAsia" w:ascii="仿宋" w:hAnsi="仿宋" w:eastAsia="仿宋" w:cs="宋体"/>
                <w:b w:val="0"/>
                <w:bCs w:val="0"/>
                <w:color w:val="auto"/>
                <w:sz w:val="24"/>
                <w:szCs w:val="24"/>
                <w:highlight w:val="none"/>
                <w:lang w:val="en-US" w:eastAsia="zh-CN"/>
              </w:rPr>
            </w:pPr>
            <w:r>
              <w:rPr>
                <w:rFonts w:hint="eastAsia" w:ascii="仿宋" w:hAnsi="仿宋" w:eastAsia="仿宋" w:cs="宋体"/>
                <w:b w:val="0"/>
                <w:bCs w:val="0"/>
                <w:color w:val="auto"/>
                <w:sz w:val="24"/>
                <w:szCs w:val="24"/>
                <w:highlight w:val="none"/>
                <w:lang w:val="en-US" w:eastAsia="zh-CN"/>
              </w:rPr>
              <w:t>根据投标人对本项目的理赔服务人员配置情况进行打分：</w:t>
            </w:r>
          </w:p>
          <w:p w14:paraId="536E716D">
            <w:pPr>
              <w:keepNext w:val="0"/>
              <w:keepLines w:val="0"/>
              <w:pageBreakBefore w:val="0"/>
              <w:widowControl w:val="0"/>
              <w:numPr>
                <w:ilvl w:val="0"/>
                <w:numId w:val="0"/>
              </w:numPr>
              <w:kinsoku/>
              <w:wordWrap/>
              <w:overflowPunct/>
              <w:topLinePunct w:val="0"/>
              <w:autoSpaceDE/>
              <w:autoSpaceDN/>
              <w:bidi w:val="0"/>
              <w:spacing w:line="360" w:lineRule="exact"/>
              <w:ind w:leftChars="0"/>
              <w:jc w:val="left"/>
              <w:textAlignment w:val="auto"/>
              <w:rPr>
                <w:rFonts w:hint="eastAsia" w:ascii="仿宋" w:hAnsi="仿宋" w:eastAsia="仿宋" w:cs="宋体"/>
                <w:b w:val="0"/>
                <w:bCs w:val="0"/>
                <w:color w:val="auto"/>
                <w:sz w:val="24"/>
                <w:szCs w:val="24"/>
                <w:highlight w:val="none"/>
                <w:lang w:val="en-US" w:eastAsia="zh-CN"/>
              </w:rPr>
            </w:pPr>
            <w:r>
              <w:rPr>
                <w:rFonts w:hint="eastAsia" w:ascii="仿宋" w:hAnsi="仿宋" w:eastAsia="仿宋" w:cs="宋体"/>
                <w:b w:val="0"/>
                <w:bCs w:val="0"/>
                <w:color w:val="auto"/>
                <w:sz w:val="24"/>
                <w:szCs w:val="24"/>
                <w:highlight w:val="none"/>
                <w:lang w:val="en-US" w:eastAsia="zh-CN"/>
              </w:rPr>
              <w:t>至少具备医学或法律专业学历人员各1名，在此基础上医学或法律专业学历人员每增加1人得2分，最多得4分。</w:t>
            </w:r>
          </w:p>
          <w:p w14:paraId="043F879E">
            <w:pPr>
              <w:keepNext w:val="0"/>
              <w:keepLines w:val="0"/>
              <w:pageBreakBefore w:val="0"/>
              <w:widowControl w:val="0"/>
              <w:numPr>
                <w:ilvl w:val="0"/>
                <w:numId w:val="0"/>
              </w:numPr>
              <w:kinsoku/>
              <w:wordWrap/>
              <w:overflowPunct/>
              <w:topLinePunct w:val="0"/>
              <w:autoSpaceDE/>
              <w:autoSpaceDN/>
              <w:bidi w:val="0"/>
              <w:spacing w:line="360" w:lineRule="exact"/>
              <w:ind w:leftChars="0"/>
              <w:jc w:val="left"/>
              <w:textAlignment w:val="auto"/>
              <w:rPr>
                <w:rFonts w:hint="eastAsia" w:ascii="仿宋" w:hAnsi="仿宋" w:eastAsia="仿宋" w:cs="宋体"/>
                <w:b w:val="0"/>
                <w:bCs w:val="0"/>
                <w:color w:val="auto"/>
                <w:sz w:val="24"/>
                <w:szCs w:val="24"/>
                <w:highlight w:val="none"/>
                <w:lang w:val="en-US" w:eastAsia="zh-CN"/>
              </w:rPr>
            </w:pPr>
            <w:r>
              <w:rPr>
                <w:rFonts w:hint="eastAsia" w:ascii="仿宋" w:hAnsi="仿宋" w:eastAsia="仿宋" w:cs="仿宋"/>
                <w:color w:val="auto"/>
                <w:sz w:val="24"/>
                <w:szCs w:val="24"/>
                <w:highlight w:val="none"/>
              </w:rPr>
              <w:t>注：需提供以下证明材料并加盖投标人CA签章：①</w:t>
            </w:r>
            <w:r>
              <w:rPr>
                <w:rFonts w:hint="eastAsia" w:ascii="仿宋" w:hAnsi="仿宋" w:eastAsia="仿宋" w:cs="宋体"/>
                <w:b w:val="0"/>
                <w:bCs w:val="0"/>
                <w:color w:val="auto"/>
                <w:sz w:val="24"/>
                <w:szCs w:val="24"/>
                <w:highlight w:val="none"/>
                <w:lang w:val="en-US" w:eastAsia="zh-CN"/>
              </w:rPr>
              <w:t>以投标人属地服务机构缴纳社保的，</w:t>
            </w:r>
            <w:r>
              <w:rPr>
                <w:rFonts w:hint="eastAsia" w:ascii="仿宋" w:hAnsi="仿宋" w:eastAsia="仿宋" w:cs="仿宋"/>
                <w:color w:val="auto"/>
                <w:sz w:val="24"/>
                <w:szCs w:val="24"/>
                <w:highlight w:val="none"/>
                <w:lang w:val="en-US" w:eastAsia="zh-CN"/>
              </w:rPr>
              <w:t>需提供</w:t>
            </w:r>
            <w:r>
              <w:rPr>
                <w:rFonts w:hint="eastAsia" w:ascii="仿宋" w:hAnsi="仿宋" w:eastAsia="仿宋" w:cs="仿宋"/>
                <w:color w:val="auto"/>
                <w:sz w:val="24"/>
                <w:szCs w:val="24"/>
                <w:highlight w:val="none"/>
              </w:rPr>
              <w:t>近</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个月社保证明（社保缴纳证明以社保机构出具的社保证明为准）</w:t>
            </w:r>
            <w:r>
              <w:rPr>
                <w:rFonts w:hint="eastAsia" w:ascii="仿宋" w:hAnsi="仿宋" w:eastAsia="仿宋" w:cs="宋体"/>
                <w:b w:val="0"/>
                <w:bCs w:val="0"/>
                <w:color w:val="auto"/>
                <w:sz w:val="24"/>
                <w:szCs w:val="24"/>
                <w:highlight w:val="none"/>
                <w:lang w:val="en-US" w:eastAsia="zh-CN"/>
              </w:rPr>
              <w:t>；②证书复印件；</w:t>
            </w:r>
            <w:r>
              <w:rPr>
                <w:rFonts w:hint="eastAsia" w:ascii="仿宋" w:hAnsi="仿宋" w:eastAsia="仿宋" w:cs="仿宋"/>
                <w:color w:val="auto"/>
                <w:sz w:val="24"/>
                <w:szCs w:val="24"/>
                <w:highlight w:val="none"/>
              </w:rPr>
              <w:t>未按要求提供的不得分。</w:t>
            </w:r>
          </w:p>
        </w:tc>
        <w:tc>
          <w:tcPr>
            <w:tcW w:w="966" w:type="dxa"/>
            <w:tcBorders>
              <w:tl2br w:val="nil"/>
              <w:tr2bl w:val="nil"/>
            </w:tcBorders>
            <w:noWrap w:val="0"/>
            <w:vAlign w:val="center"/>
          </w:tcPr>
          <w:p w14:paraId="064034BF">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 w:hAnsi="仿宋" w:eastAsia="仿宋" w:cs="宋体"/>
                <w:b/>
                <w:bCs w:val="0"/>
                <w:color w:val="auto"/>
                <w:kern w:val="2"/>
                <w:sz w:val="24"/>
                <w:szCs w:val="24"/>
                <w:highlight w:val="none"/>
                <w:lang w:val="en-US" w:eastAsia="zh-CN" w:bidi="ar-SA"/>
              </w:rPr>
            </w:pPr>
            <w:r>
              <w:rPr>
                <w:rFonts w:hint="eastAsia" w:ascii="仿宋" w:hAnsi="仿宋" w:eastAsia="仿宋" w:cs="宋体"/>
                <w:b/>
                <w:bCs w:val="0"/>
                <w:color w:val="auto"/>
                <w:kern w:val="2"/>
                <w:sz w:val="24"/>
                <w:szCs w:val="24"/>
                <w:highlight w:val="none"/>
                <w:lang w:val="en-US" w:eastAsia="zh-CN" w:bidi="ar-SA"/>
              </w:rPr>
              <w:t>0-4分</w:t>
            </w:r>
          </w:p>
        </w:tc>
      </w:tr>
      <w:tr w14:paraId="7F288E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3" w:hRule="atLeast"/>
          <w:jc w:val="center"/>
        </w:trPr>
        <w:tc>
          <w:tcPr>
            <w:tcW w:w="630" w:type="dxa"/>
            <w:tcBorders>
              <w:tl2br w:val="nil"/>
              <w:tr2bl w:val="nil"/>
            </w:tcBorders>
            <w:noWrap w:val="0"/>
            <w:vAlign w:val="center"/>
          </w:tcPr>
          <w:p w14:paraId="658D10F6">
            <w:pPr>
              <w:keepNext w:val="0"/>
              <w:keepLines w:val="0"/>
              <w:pageBreakBefore w:val="0"/>
              <w:widowControl w:val="0"/>
              <w:numPr>
                <w:ilvl w:val="0"/>
                <w:numId w:val="12"/>
              </w:numPr>
              <w:kinsoku/>
              <w:wordWrap/>
              <w:overflowPunct/>
              <w:topLinePunct w:val="0"/>
              <w:autoSpaceDE/>
              <w:autoSpaceDN/>
              <w:bidi w:val="0"/>
              <w:spacing w:line="360" w:lineRule="exact"/>
              <w:ind w:left="425" w:leftChars="0" w:hanging="425" w:firstLineChars="0"/>
              <w:jc w:val="center"/>
              <w:textAlignment w:val="auto"/>
              <w:rPr>
                <w:rFonts w:hint="eastAsia" w:ascii="仿宋" w:hAnsi="仿宋" w:eastAsia="仿宋" w:cs="宋体"/>
                <w:b/>
                <w:bCs w:val="0"/>
                <w:color w:val="auto"/>
                <w:kern w:val="2"/>
                <w:sz w:val="24"/>
                <w:szCs w:val="24"/>
                <w:highlight w:val="none"/>
                <w:lang w:val="en-US" w:eastAsia="zh-CN" w:bidi="ar-SA"/>
              </w:rPr>
            </w:pPr>
          </w:p>
        </w:tc>
        <w:tc>
          <w:tcPr>
            <w:tcW w:w="1703" w:type="dxa"/>
            <w:tcBorders>
              <w:tl2br w:val="nil"/>
              <w:tr2bl w:val="nil"/>
            </w:tcBorders>
            <w:noWrap w:val="0"/>
            <w:vAlign w:val="center"/>
          </w:tcPr>
          <w:p w14:paraId="08BC545A">
            <w:pPr>
              <w:keepNext w:val="0"/>
              <w:keepLines w:val="0"/>
              <w:pageBreakBefore w:val="0"/>
              <w:widowControl w:val="0"/>
              <w:numPr>
                <w:ilvl w:val="0"/>
                <w:numId w:val="0"/>
              </w:numPr>
              <w:kinsoku/>
              <w:wordWrap/>
              <w:overflowPunct/>
              <w:topLinePunct w:val="0"/>
              <w:autoSpaceDE/>
              <w:autoSpaceDN/>
              <w:bidi w:val="0"/>
              <w:spacing w:line="360" w:lineRule="exact"/>
              <w:ind w:leftChars="0"/>
              <w:jc w:val="center"/>
              <w:textAlignment w:val="auto"/>
              <w:rPr>
                <w:rFonts w:hint="eastAsia" w:ascii="仿宋" w:hAnsi="仿宋" w:eastAsia="仿宋" w:cs="宋体"/>
                <w:b/>
                <w:bCs w:val="0"/>
                <w:color w:val="auto"/>
                <w:kern w:val="2"/>
                <w:sz w:val="24"/>
                <w:szCs w:val="24"/>
                <w:highlight w:val="none"/>
                <w:lang w:val="en-US" w:eastAsia="zh-CN" w:bidi="ar-SA"/>
              </w:rPr>
            </w:pPr>
            <w:r>
              <w:rPr>
                <w:rFonts w:hint="eastAsia" w:ascii="仿宋" w:hAnsi="仿宋" w:eastAsia="仿宋" w:cs="宋体"/>
                <w:b/>
                <w:bCs w:val="0"/>
                <w:color w:val="auto"/>
                <w:kern w:val="2"/>
                <w:sz w:val="24"/>
                <w:szCs w:val="24"/>
                <w:highlight w:val="none"/>
                <w:lang w:val="en-US" w:eastAsia="zh-CN" w:bidi="ar-SA"/>
              </w:rPr>
              <w:t>项目认知和提供服务方案</w:t>
            </w:r>
          </w:p>
        </w:tc>
        <w:tc>
          <w:tcPr>
            <w:tcW w:w="6737" w:type="dxa"/>
            <w:tcBorders>
              <w:tl2br w:val="nil"/>
              <w:tr2bl w:val="nil"/>
            </w:tcBorders>
            <w:noWrap w:val="0"/>
            <w:vAlign w:val="center"/>
          </w:tcPr>
          <w:p w14:paraId="0F8F4839">
            <w:pPr>
              <w:keepNext w:val="0"/>
              <w:keepLines w:val="0"/>
              <w:pageBreakBefore w:val="0"/>
              <w:widowControl w:val="0"/>
              <w:numPr>
                <w:ilvl w:val="0"/>
                <w:numId w:val="0"/>
              </w:numPr>
              <w:kinsoku/>
              <w:wordWrap/>
              <w:overflowPunct/>
              <w:topLinePunct w:val="0"/>
              <w:autoSpaceDE/>
              <w:autoSpaceDN/>
              <w:bidi w:val="0"/>
              <w:spacing w:line="360" w:lineRule="exact"/>
              <w:ind w:leftChars="0"/>
              <w:jc w:val="left"/>
              <w:textAlignment w:val="auto"/>
              <w:rPr>
                <w:rFonts w:hint="eastAsia" w:ascii="仿宋" w:hAnsi="仿宋" w:eastAsia="仿宋" w:cs="宋体"/>
                <w:b w:val="0"/>
                <w:bCs w:val="0"/>
                <w:color w:val="auto"/>
                <w:sz w:val="24"/>
                <w:szCs w:val="24"/>
                <w:highlight w:val="none"/>
                <w:lang w:val="en-US" w:eastAsia="zh-CN"/>
              </w:rPr>
            </w:pPr>
            <w:r>
              <w:rPr>
                <w:rFonts w:hint="eastAsia" w:ascii="仿宋" w:hAnsi="仿宋" w:eastAsia="仿宋" w:cs="宋体"/>
                <w:b w:val="0"/>
                <w:bCs w:val="0"/>
                <w:color w:val="auto"/>
                <w:sz w:val="24"/>
                <w:szCs w:val="24"/>
                <w:highlight w:val="none"/>
                <w:lang w:val="en-US" w:eastAsia="zh-CN"/>
              </w:rPr>
              <w:t>投标人能提供满足保险业务需要的服务项目（对承保出单、后期人员替换、增减、理赔流程等）整体方案以及服务方案的可行性、合理性、便捷性，是否提供增值服务方案进行打分。</w:t>
            </w:r>
          </w:p>
          <w:p w14:paraId="630B44A9">
            <w:pPr>
              <w:keepNext w:val="0"/>
              <w:keepLines w:val="0"/>
              <w:pageBreakBefore w:val="0"/>
              <w:widowControl w:val="0"/>
              <w:numPr>
                <w:ilvl w:val="0"/>
                <w:numId w:val="15"/>
              </w:numPr>
              <w:kinsoku/>
              <w:wordWrap/>
              <w:overflowPunct/>
              <w:topLinePunct w:val="0"/>
              <w:autoSpaceDE/>
              <w:autoSpaceDN/>
              <w:bidi w:val="0"/>
              <w:spacing w:line="360" w:lineRule="exact"/>
              <w:ind w:left="425" w:leftChars="0" w:hanging="425" w:firstLineChars="0"/>
              <w:jc w:val="left"/>
              <w:textAlignment w:val="auto"/>
              <w:rPr>
                <w:rFonts w:hint="eastAsia" w:ascii="仿宋" w:hAnsi="仿宋" w:eastAsia="仿宋" w:cs="宋体"/>
                <w:b w:val="0"/>
                <w:bCs w:val="0"/>
                <w:color w:val="auto"/>
                <w:sz w:val="24"/>
                <w:szCs w:val="24"/>
                <w:highlight w:val="none"/>
                <w:lang w:val="en-US" w:eastAsia="zh-CN"/>
              </w:rPr>
            </w:pPr>
            <w:r>
              <w:rPr>
                <w:rFonts w:hint="eastAsia" w:ascii="仿宋" w:hAnsi="仿宋" w:eastAsia="仿宋" w:cs="宋体"/>
                <w:b w:val="0"/>
                <w:bCs w:val="0"/>
                <w:color w:val="auto"/>
                <w:sz w:val="24"/>
                <w:szCs w:val="24"/>
                <w:highlight w:val="none"/>
                <w:lang w:val="en-US" w:eastAsia="zh-CN"/>
              </w:rPr>
              <w:t>内容完整全面、科学合理、针对性强的得（4,6］分；</w:t>
            </w:r>
          </w:p>
          <w:p w14:paraId="5A8ACCF8">
            <w:pPr>
              <w:keepNext w:val="0"/>
              <w:keepLines w:val="0"/>
              <w:pageBreakBefore w:val="0"/>
              <w:widowControl w:val="0"/>
              <w:numPr>
                <w:ilvl w:val="0"/>
                <w:numId w:val="15"/>
              </w:numPr>
              <w:kinsoku/>
              <w:wordWrap/>
              <w:overflowPunct/>
              <w:topLinePunct w:val="0"/>
              <w:autoSpaceDE/>
              <w:autoSpaceDN/>
              <w:bidi w:val="0"/>
              <w:spacing w:line="360" w:lineRule="exact"/>
              <w:ind w:left="425" w:leftChars="0" w:hanging="425" w:firstLineChars="0"/>
              <w:jc w:val="left"/>
              <w:textAlignment w:val="auto"/>
              <w:rPr>
                <w:rFonts w:hint="eastAsia" w:ascii="仿宋" w:hAnsi="仿宋" w:eastAsia="仿宋" w:cs="宋体"/>
                <w:b w:val="0"/>
                <w:bCs w:val="0"/>
                <w:color w:val="auto"/>
                <w:sz w:val="24"/>
                <w:szCs w:val="24"/>
                <w:highlight w:val="none"/>
                <w:lang w:val="en-US" w:eastAsia="zh-CN"/>
              </w:rPr>
            </w:pPr>
            <w:r>
              <w:rPr>
                <w:rFonts w:hint="eastAsia" w:ascii="仿宋" w:hAnsi="仿宋" w:eastAsia="仿宋" w:cs="宋体"/>
                <w:b w:val="0"/>
                <w:bCs w:val="0"/>
                <w:color w:val="auto"/>
                <w:sz w:val="24"/>
                <w:szCs w:val="24"/>
                <w:highlight w:val="none"/>
                <w:lang w:val="en-US" w:eastAsia="zh-CN"/>
              </w:rPr>
              <w:t>内容相对完整，基本合理可行的得（2,4］分；</w:t>
            </w:r>
          </w:p>
          <w:p w14:paraId="4EC44660">
            <w:pPr>
              <w:keepNext w:val="0"/>
              <w:keepLines w:val="0"/>
              <w:pageBreakBefore w:val="0"/>
              <w:widowControl w:val="0"/>
              <w:numPr>
                <w:ilvl w:val="0"/>
                <w:numId w:val="15"/>
              </w:numPr>
              <w:kinsoku/>
              <w:wordWrap/>
              <w:overflowPunct/>
              <w:topLinePunct w:val="0"/>
              <w:autoSpaceDE/>
              <w:autoSpaceDN/>
              <w:bidi w:val="0"/>
              <w:spacing w:line="360" w:lineRule="exact"/>
              <w:ind w:left="425" w:leftChars="0" w:hanging="425" w:firstLineChars="0"/>
              <w:jc w:val="left"/>
              <w:textAlignment w:val="auto"/>
              <w:rPr>
                <w:rFonts w:hint="eastAsia" w:ascii="仿宋" w:hAnsi="仿宋" w:eastAsia="仿宋" w:cs="宋体"/>
                <w:b w:val="0"/>
                <w:bCs w:val="0"/>
                <w:color w:val="auto"/>
                <w:sz w:val="24"/>
                <w:szCs w:val="24"/>
                <w:highlight w:val="none"/>
                <w:lang w:val="en-US" w:eastAsia="zh-CN"/>
              </w:rPr>
            </w:pPr>
            <w:r>
              <w:rPr>
                <w:rFonts w:hint="eastAsia" w:ascii="仿宋" w:hAnsi="仿宋" w:eastAsia="仿宋" w:cs="宋体"/>
                <w:b w:val="0"/>
                <w:bCs w:val="0"/>
                <w:color w:val="auto"/>
                <w:sz w:val="24"/>
                <w:szCs w:val="24"/>
                <w:highlight w:val="none"/>
                <w:lang w:val="en-US" w:eastAsia="zh-CN"/>
              </w:rPr>
              <w:t>内容简略、层次模糊、针对性较差的得（0,2］分；</w:t>
            </w:r>
          </w:p>
          <w:p w14:paraId="0296C46C">
            <w:pPr>
              <w:keepNext w:val="0"/>
              <w:keepLines w:val="0"/>
              <w:pageBreakBefore w:val="0"/>
              <w:widowControl w:val="0"/>
              <w:numPr>
                <w:ilvl w:val="0"/>
                <w:numId w:val="15"/>
              </w:numPr>
              <w:kinsoku/>
              <w:wordWrap/>
              <w:overflowPunct/>
              <w:topLinePunct w:val="0"/>
              <w:autoSpaceDE/>
              <w:autoSpaceDN/>
              <w:bidi w:val="0"/>
              <w:spacing w:line="360" w:lineRule="exact"/>
              <w:ind w:left="425" w:leftChars="0" w:hanging="425" w:firstLineChars="0"/>
              <w:jc w:val="left"/>
              <w:textAlignment w:val="auto"/>
              <w:rPr>
                <w:rFonts w:hint="eastAsia" w:ascii="仿宋" w:hAnsi="仿宋" w:eastAsia="仿宋" w:cs="宋体"/>
                <w:b w:val="0"/>
                <w:bCs w:val="0"/>
                <w:color w:val="auto"/>
                <w:sz w:val="24"/>
                <w:szCs w:val="24"/>
                <w:highlight w:val="none"/>
                <w:lang w:val="en-US" w:eastAsia="zh-CN"/>
              </w:rPr>
            </w:pPr>
            <w:r>
              <w:rPr>
                <w:rFonts w:hint="eastAsia" w:ascii="仿宋" w:hAnsi="仿宋" w:eastAsia="仿宋" w:cs="宋体"/>
                <w:b w:val="0"/>
                <w:bCs w:val="0"/>
                <w:color w:val="auto"/>
                <w:sz w:val="24"/>
                <w:szCs w:val="24"/>
                <w:highlight w:val="none"/>
                <w:lang w:val="en-US" w:eastAsia="zh-CN"/>
              </w:rPr>
              <w:t>未提供的不得分。</w:t>
            </w:r>
          </w:p>
        </w:tc>
        <w:tc>
          <w:tcPr>
            <w:tcW w:w="966" w:type="dxa"/>
            <w:tcBorders>
              <w:tl2br w:val="nil"/>
              <w:tr2bl w:val="nil"/>
            </w:tcBorders>
            <w:noWrap w:val="0"/>
            <w:vAlign w:val="center"/>
          </w:tcPr>
          <w:p w14:paraId="5F930304">
            <w:pPr>
              <w:keepNext w:val="0"/>
              <w:keepLines w:val="0"/>
              <w:pageBreakBefore w:val="0"/>
              <w:widowControl w:val="0"/>
              <w:kinsoku/>
              <w:wordWrap/>
              <w:overflowPunct/>
              <w:topLinePunct w:val="0"/>
              <w:autoSpaceDE/>
              <w:autoSpaceDN/>
              <w:bidi w:val="0"/>
              <w:spacing w:line="360" w:lineRule="exact"/>
              <w:jc w:val="center"/>
              <w:textAlignment w:val="auto"/>
              <w:rPr>
                <w:rFonts w:hint="default" w:ascii="仿宋" w:hAnsi="仿宋" w:eastAsia="仿宋" w:cs="宋体"/>
                <w:b/>
                <w:bCs w:val="0"/>
                <w:color w:val="auto"/>
                <w:kern w:val="2"/>
                <w:sz w:val="24"/>
                <w:szCs w:val="24"/>
                <w:highlight w:val="none"/>
                <w:lang w:val="en-US" w:eastAsia="zh-CN" w:bidi="ar-SA"/>
              </w:rPr>
            </w:pPr>
            <w:r>
              <w:rPr>
                <w:rFonts w:hint="eastAsia" w:ascii="仿宋" w:hAnsi="仿宋" w:eastAsia="仿宋" w:cs="宋体"/>
                <w:b/>
                <w:bCs w:val="0"/>
                <w:color w:val="auto"/>
                <w:kern w:val="2"/>
                <w:sz w:val="24"/>
                <w:szCs w:val="24"/>
                <w:highlight w:val="none"/>
                <w:lang w:val="en-US" w:eastAsia="zh-CN" w:bidi="ar-SA"/>
              </w:rPr>
              <w:t>0-6分</w:t>
            </w:r>
          </w:p>
        </w:tc>
      </w:tr>
      <w:tr w14:paraId="1A4419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6" w:hRule="atLeast"/>
          <w:jc w:val="center"/>
        </w:trPr>
        <w:tc>
          <w:tcPr>
            <w:tcW w:w="630" w:type="dxa"/>
            <w:vMerge w:val="restart"/>
            <w:tcBorders>
              <w:tl2br w:val="nil"/>
              <w:tr2bl w:val="nil"/>
            </w:tcBorders>
            <w:noWrap w:val="0"/>
            <w:vAlign w:val="center"/>
          </w:tcPr>
          <w:p w14:paraId="0F08A84C">
            <w:pPr>
              <w:keepNext w:val="0"/>
              <w:keepLines w:val="0"/>
              <w:pageBreakBefore w:val="0"/>
              <w:widowControl w:val="0"/>
              <w:numPr>
                <w:ilvl w:val="0"/>
                <w:numId w:val="12"/>
              </w:numPr>
              <w:kinsoku/>
              <w:wordWrap/>
              <w:overflowPunct/>
              <w:topLinePunct w:val="0"/>
              <w:autoSpaceDE/>
              <w:autoSpaceDN/>
              <w:bidi w:val="0"/>
              <w:spacing w:line="360" w:lineRule="exact"/>
              <w:ind w:left="425" w:leftChars="0" w:hanging="425" w:firstLineChars="0"/>
              <w:jc w:val="center"/>
              <w:textAlignment w:val="auto"/>
              <w:rPr>
                <w:rFonts w:hint="eastAsia" w:ascii="仿宋" w:hAnsi="仿宋" w:eastAsia="仿宋" w:cs="宋体"/>
                <w:b/>
                <w:bCs w:val="0"/>
                <w:color w:val="auto"/>
                <w:kern w:val="2"/>
                <w:sz w:val="24"/>
                <w:szCs w:val="24"/>
                <w:highlight w:val="none"/>
                <w:lang w:val="en-US" w:eastAsia="zh-CN" w:bidi="ar-SA"/>
              </w:rPr>
            </w:pPr>
          </w:p>
        </w:tc>
        <w:tc>
          <w:tcPr>
            <w:tcW w:w="1703" w:type="dxa"/>
            <w:vMerge w:val="restart"/>
            <w:tcBorders>
              <w:tl2br w:val="nil"/>
              <w:tr2bl w:val="nil"/>
            </w:tcBorders>
            <w:noWrap w:val="0"/>
            <w:vAlign w:val="center"/>
          </w:tcPr>
          <w:p w14:paraId="6CD36B0D">
            <w:pPr>
              <w:keepNext w:val="0"/>
              <w:keepLines w:val="0"/>
              <w:pageBreakBefore w:val="0"/>
              <w:widowControl w:val="0"/>
              <w:numPr>
                <w:ilvl w:val="0"/>
                <w:numId w:val="0"/>
              </w:numPr>
              <w:kinsoku/>
              <w:wordWrap/>
              <w:overflowPunct/>
              <w:topLinePunct w:val="0"/>
              <w:autoSpaceDE/>
              <w:autoSpaceDN/>
              <w:bidi w:val="0"/>
              <w:spacing w:line="360" w:lineRule="exact"/>
              <w:ind w:leftChars="0"/>
              <w:jc w:val="center"/>
              <w:textAlignment w:val="auto"/>
              <w:rPr>
                <w:rFonts w:hint="eastAsia" w:ascii="仿宋" w:hAnsi="仿宋" w:eastAsia="仿宋" w:cs="宋体"/>
                <w:b/>
                <w:bCs w:val="0"/>
                <w:color w:val="auto"/>
                <w:kern w:val="2"/>
                <w:sz w:val="24"/>
                <w:szCs w:val="24"/>
                <w:highlight w:val="none"/>
                <w:lang w:val="en-US" w:eastAsia="zh-CN" w:bidi="ar-SA"/>
              </w:rPr>
            </w:pPr>
            <w:r>
              <w:rPr>
                <w:rFonts w:hint="eastAsia" w:ascii="仿宋" w:hAnsi="仿宋" w:eastAsia="仿宋" w:cs="宋体"/>
                <w:b/>
                <w:bCs w:val="0"/>
                <w:color w:val="auto"/>
                <w:kern w:val="2"/>
                <w:sz w:val="24"/>
                <w:szCs w:val="24"/>
                <w:highlight w:val="none"/>
                <w:lang w:val="en-US" w:eastAsia="zh-CN" w:bidi="ar-SA"/>
              </w:rPr>
              <w:t>理赔服务</w:t>
            </w:r>
          </w:p>
          <w:p w14:paraId="2CF0B791">
            <w:pPr>
              <w:keepNext w:val="0"/>
              <w:keepLines w:val="0"/>
              <w:pageBreakBefore w:val="0"/>
              <w:widowControl w:val="0"/>
              <w:numPr>
                <w:ilvl w:val="0"/>
                <w:numId w:val="0"/>
              </w:numPr>
              <w:kinsoku/>
              <w:wordWrap/>
              <w:overflowPunct/>
              <w:topLinePunct w:val="0"/>
              <w:autoSpaceDE/>
              <w:autoSpaceDN/>
              <w:bidi w:val="0"/>
              <w:spacing w:line="360" w:lineRule="exact"/>
              <w:ind w:leftChars="0"/>
              <w:jc w:val="center"/>
              <w:textAlignment w:val="auto"/>
              <w:rPr>
                <w:rFonts w:hint="eastAsia" w:ascii="仿宋" w:hAnsi="仿宋" w:eastAsia="仿宋" w:cs="宋体"/>
                <w:b/>
                <w:bCs w:val="0"/>
                <w:color w:val="auto"/>
                <w:kern w:val="2"/>
                <w:sz w:val="24"/>
                <w:szCs w:val="24"/>
                <w:highlight w:val="none"/>
                <w:lang w:val="en-US" w:eastAsia="zh-CN" w:bidi="ar-SA"/>
              </w:rPr>
            </w:pPr>
            <w:r>
              <w:rPr>
                <w:rFonts w:hint="eastAsia" w:ascii="仿宋" w:hAnsi="仿宋" w:eastAsia="仿宋" w:cs="宋体"/>
                <w:b/>
                <w:bCs w:val="0"/>
                <w:color w:val="auto"/>
                <w:kern w:val="2"/>
                <w:sz w:val="24"/>
                <w:szCs w:val="24"/>
                <w:highlight w:val="none"/>
                <w:lang w:val="en-US" w:eastAsia="zh-CN" w:bidi="ar-SA"/>
              </w:rPr>
              <w:t>方案</w:t>
            </w:r>
          </w:p>
        </w:tc>
        <w:tc>
          <w:tcPr>
            <w:tcW w:w="6737" w:type="dxa"/>
            <w:tcBorders>
              <w:tl2br w:val="nil"/>
              <w:tr2bl w:val="nil"/>
            </w:tcBorders>
            <w:noWrap w:val="0"/>
            <w:vAlign w:val="top"/>
          </w:tcPr>
          <w:p w14:paraId="690ABD93">
            <w:pPr>
              <w:keepNext w:val="0"/>
              <w:keepLines w:val="0"/>
              <w:pageBreakBefore w:val="0"/>
              <w:widowControl w:val="0"/>
              <w:kinsoku/>
              <w:wordWrap/>
              <w:overflowPunct/>
              <w:topLinePunct w:val="0"/>
              <w:autoSpaceDE/>
              <w:autoSpaceDN/>
              <w:bidi w:val="0"/>
              <w:spacing w:line="360" w:lineRule="exact"/>
              <w:jc w:val="left"/>
              <w:textAlignment w:val="auto"/>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根据投标人针对本项目的理赔服务方案（包括理赔服务计划、理赔服务流程、理赔小组/专员、理赔时效、预付赔款金额设置等）进行打分：</w:t>
            </w:r>
          </w:p>
          <w:p w14:paraId="142E7D73">
            <w:pPr>
              <w:keepNext w:val="0"/>
              <w:keepLines w:val="0"/>
              <w:pageBreakBefore w:val="0"/>
              <w:widowControl w:val="0"/>
              <w:numPr>
                <w:ilvl w:val="0"/>
                <w:numId w:val="16"/>
              </w:numPr>
              <w:kinsoku/>
              <w:wordWrap/>
              <w:overflowPunct/>
              <w:topLinePunct w:val="0"/>
              <w:autoSpaceDE/>
              <w:autoSpaceDN/>
              <w:bidi w:val="0"/>
              <w:spacing w:line="360" w:lineRule="exact"/>
              <w:ind w:left="425" w:leftChars="0" w:hanging="425" w:firstLineChars="0"/>
              <w:jc w:val="left"/>
              <w:textAlignment w:val="auto"/>
              <w:rPr>
                <w:rFonts w:hint="eastAsia" w:ascii="仿宋" w:hAnsi="仿宋" w:eastAsia="仿宋" w:cs="宋体"/>
                <w:b w:val="0"/>
                <w:bCs w:val="0"/>
                <w:color w:val="auto"/>
                <w:sz w:val="24"/>
                <w:szCs w:val="24"/>
                <w:highlight w:val="none"/>
                <w:lang w:val="en-US" w:eastAsia="zh-CN"/>
              </w:rPr>
            </w:pPr>
            <w:r>
              <w:rPr>
                <w:rFonts w:hint="eastAsia" w:ascii="仿宋" w:hAnsi="仿宋" w:eastAsia="仿宋" w:cs="宋体"/>
                <w:b w:val="0"/>
                <w:bCs w:val="0"/>
                <w:color w:val="auto"/>
                <w:sz w:val="24"/>
                <w:szCs w:val="24"/>
                <w:highlight w:val="none"/>
                <w:lang w:val="en-US" w:eastAsia="zh-CN"/>
              </w:rPr>
              <w:t>内容完整全面、科学合理、针对性强的得（2,4］分；</w:t>
            </w:r>
          </w:p>
          <w:p w14:paraId="50532B2B">
            <w:pPr>
              <w:keepNext w:val="0"/>
              <w:keepLines w:val="0"/>
              <w:pageBreakBefore w:val="0"/>
              <w:widowControl w:val="0"/>
              <w:numPr>
                <w:ilvl w:val="0"/>
                <w:numId w:val="16"/>
              </w:numPr>
              <w:kinsoku/>
              <w:wordWrap/>
              <w:overflowPunct/>
              <w:topLinePunct w:val="0"/>
              <w:autoSpaceDE/>
              <w:autoSpaceDN/>
              <w:bidi w:val="0"/>
              <w:spacing w:line="360" w:lineRule="exact"/>
              <w:ind w:left="425" w:leftChars="0" w:hanging="425" w:firstLineChars="0"/>
              <w:jc w:val="left"/>
              <w:textAlignment w:val="auto"/>
              <w:rPr>
                <w:rFonts w:hint="eastAsia" w:ascii="仿宋" w:hAnsi="仿宋" w:eastAsia="仿宋" w:cs="宋体"/>
                <w:b w:val="0"/>
                <w:bCs w:val="0"/>
                <w:color w:val="auto"/>
                <w:sz w:val="24"/>
                <w:szCs w:val="24"/>
                <w:highlight w:val="none"/>
                <w:lang w:val="en-US" w:eastAsia="zh-CN"/>
              </w:rPr>
            </w:pPr>
            <w:r>
              <w:rPr>
                <w:rFonts w:hint="eastAsia" w:ascii="仿宋" w:hAnsi="仿宋" w:eastAsia="仿宋" w:cs="宋体"/>
                <w:b w:val="0"/>
                <w:bCs w:val="0"/>
                <w:color w:val="auto"/>
                <w:sz w:val="24"/>
                <w:szCs w:val="24"/>
                <w:highlight w:val="none"/>
                <w:lang w:val="en-US" w:eastAsia="zh-CN"/>
              </w:rPr>
              <w:t>内容相对完整，基本合理可行的得（1,2］分；</w:t>
            </w:r>
          </w:p>
          <w:p w14:paraId="4D61776E">
            <w:pPr>
              <w:keepNext w:val="0"/>
              <w:keepLines w:val="0"/>
              <w:pageBreakBefore w:val="0"/>
              <w:widowControl w:val="0"/>
              <w:numPr>
                <w:ilvl w:val="0"/>
                <w:numId w:val="16"/>
              </w:numPr>
              <w:kinsoku/>
              <w:wordWrap/>
              <w:overflowPunct/>
              <w:topLinePunct w:val="0"/>
              <w:autoSpaceDE/>
              <w:autoSpaceDN/>
              <w:bidi w:val="0"/>
              <w:spacing w:line="360" w:lineRule="exact"/>
              <w:ind w:left="425" w:leftChars="0" w:hanging="425" w:firstLineChars="0"/>
              <w:jc w:val="left"/>
              <w:textAlignment w:val="auto"/>
              <w:rPr>
                <w:rFonts w:hint="eastAsia" w:ascii="仿宋" w:hAnsi="仿宋" w:eastAsia="仿宋" w:cs="宋体"/>
                <w:b w:val="0"/>
                <w:bCs w:val="0"/>
                <w:color w:val="auto"/>
                <w:sz w:val="24"/>
                <w:szCs w:val="24"/>
                <w:highlight w:val="none"/>
                <w:lang w:val="en-US" w:eastAsia="zh-CN"/>
              </w:rPr>
            </w:pPr>
            <w:r>
              <w:rPr>
                <w:rFonts w:hint="eastAsia" w:ascii="仿宋" w:hAnsi="仿宋" w:eastAsia="仿宋" w:cs="宋体"/>
                <w:b w:val="0"/>
                <w:bCs w:val="0"/>
                <w:color w:val="auto"/>
                <w:sz w:val="24"/>
                <w:szCs w:val="24"/>
                <w:highlight w:val="none"/>
                <w:lang w:val="en-US" w:eastAsia="zh-CN"/>
              </w:rPr>
              <w:t>内容简略、层次模糊、针对性较差的得（0,1］分；</w:t>
            </w:r>
          </w:p>
          <w:p w14:paraId="68523C51">
            <w:pPr>
              <w:keepNext w:val="0"/>
              <w:keepLines w:val="0"/>
              <w:pageBreakBefore w:val="0"/>
              <w:widowControl w:val="0"/>
              <w:numPr>
                <w:ilvl w:val="0"/>
                <w:numId w:val="16"/>
              </w:numPr>
              <w:kinsoku/>
              <w:wordWrap/>
              <w:overflowPunct/>
              <w:topLinePunct w:val="0"/>
              <w:autoSpaceDE/>
              <w:autoSpaceDN/>
              <w:bidi w:val="0"/>
              <w:spacing w:line="360" w:lineRule="exact"/>
              <w:ind w:left="425" w:leftChars="0" w:hanging="425" w:firstLineChars="0"/>
              <w:jc w:val="left"/>
              <w:textAlignment w:val="auto"/>
              <w:rPr>
                <w:rFonts w:hint="eastAsia" w:ascii="仿宋" w:hAnsi="仿宋" w:eastAsia="仿宋" w:cs="宋体"/>
                <w:b w:val="0"/>
                <w:bCs w:val="0"/>
                <w:color w:val="auto"/>
                <w:sz w:val="24"/>
                <w:szCs w:val="24"/>
                <w:highlight w:val="none"/>
                <w:lang w:val="en-US" w:eastAsia="zh-CN"/>
              </w:rPr>
            </w:pPr>
            <w:r>
              <w:rPr>
                <w:rFonts w:hint="eastAsia" w:ascii="仿宋" w:hAnsi="仿宋" w:eastAsia="仿宋" w:cs="宋体"/>
                <w:b w:val="0"/>
                <w:bCs w:val="0"/>
                <w:color w:val="auto"/>
                <w:sz w:val="24"/>
                <w:szCs w:val="24"/>
                <w:highlight w:val="none"/>
                <w:lang w:val="en-US" w:eastAsia="zh-CN"/>
              </w:rPr>
              <w:t>未提供的不得分。</w:t>
            </w:r>
          </w:p>
        </w:tc>
        <w:tc>
          <w:tcPr>
            <w:tcW w:w="966" w:type="dxa"/>
            <w:tcBorders>
              <w:tl2br w:val="nil"/>
              <w:tr2bl w:val="nil"/>
            </w:tcBorders>
            <w:noWrap w:val="0"/>
            <w:vAlign w:val="center"/>
          </w:tcPr>
          <w:p w14:paraId="547E4DEC">
            <w:pPr>
              <w:keepNext w:val="0"/>
              <w:keepLines w:val="0"/>
              <w:pageBreakBefore w:val="0"/>
              <w:widowControl w:val="0"/>
              <w:kinsoku/>
              <w:wordWrap/>
              <w:overflowPunct/>
              <w:topLinePunct w:val="0"/>
              <w:autoSpaceDE/>
              <w:autoSpaceDN/>
              <w:bidi w:val="0"/>
              <w:spacing w:line="360" w:lineRule="exact"/>
              <w:jc w:val="center"/>
              <w:textAlignment w:val="auto"/>
              <w:rPr>
                <w:rFonts w:hint="default" w:ascii="仿宋" w:hAnsi="仿宋" w:eastAsia="仿宋" w:cs="宋体"/>
                <w:b/>
                <w:bCs w:val="0"/>
                <w:color w:val="auto"/>
                <w:kern w:val="2"/>
                <w:sz w:val="24"/>
                <w:szCs w:val="24"/>
                <w:highlight w:val="none"/>
                <w:lang w:val="en-US" w:eastAsia="zh-CN" w:bidi="ar-SA"/>
              </w:rPr>
            </w:pPr>
            <w:r>
              <w:rPr>
                <w:rFonts w:hint="eastAsia" w:ascii="仿宋" w:hAnsi="仿宋" w:eastAsia="仿宋" w:cs="宋体"/>
                <w:b/>
                <w:bCs w:val="0"/>
                <w:color w:val="auto"/>
                <w:kern w:val="2"/>
                <w:sz w:val="24"/>
                <w:szCs w:val="24"/>
                <w:highlight w:val="none"/>
                <w:lang w:val="en-US" w:eastAsia="zh-CN" w:bidi="ar-SA"/>
              </w:rPr>
              <w:t>0-4分</w:t>
            </w:r>
          </w:p>
        </w:tc>
      </w:tr>
      <w:tr w14:paraId="7824C0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1" w:hRule="atLeast"/>
          <w:jc w:val="center"/>
        </w:trPr>
        <w:tc>
          <w:tcPr>
            <w:tcW w:w="630" w:type="dxa"/>
            <w:vMerge w:val="continue"/>
            <w:tcBorders>
              <w:tl2br w:val="nil"/>
              <w:tr2bl w:val="nil"/>
            </w:tcBorders>
            <w:noWrap w:val="0"/>
            <w:vAlign w:val="center"/>
          </w:tcPr>
          <w:p w14:paraId="08B3BBBB">
            <w:pPr>
              <w:keepNext w:val="0"/>
              <w:keepLines w:val="0"/>
              <w:pageBreakBefore w:val="0"/>
              <w:widowControl w:val="0"/>
              <w:kinsoku/>
              <w:wordWrap/>
              <w:overflowPunct/>
              <w:topLinePunct w:val="0"/>
              <w:autoSpaceDE/>
              <w:autoSpaceDN/>
              <w:bidi w:val="0"/>
              <w:spacing w:line="360" w:lineRule="exact"/>
              <w:ind w:leftChars="0"/>
              <w:jc w:val="left"/>
              <w:textAlignment w:val="auto"/>
              <w:rPr>
                <w:highlight w:val="none"/>
              </w:rPr>
            </w:pPr>
          </w:p>
        </w:tc>
        <w:tc>
          <w:tcPr>
            <w:tcW w:w="1703" w:type="dxa"/>
            <w:vMerge w:val="continue"/>
            <w:tcBorders>
              <w:tl2br w:val="nil"/>
              <w:tr2bl w:val="nil"/>
            </w:tcBorders>
            <w:noWrap w:val="0"/>
            <w:vAlign w:val="center"/>
          </w:tcPr>
          <w:p w14:paraId="07F54CF9">
            <w:pPr>
              <w:keepNext w:val="0"/>
              <w:keepLines w:val="0"/>
              <w:pageBreakBefore w:val="0"/>
              <w:widowControl w:val="0"/>
              <w:kinsoku/>
              <w:wordWrap/>
              <w:overflowPunct/>
              <w:topLinePunct w:val="0"/>
              <w:autoSpaceDE/>
              <w:autoSpaceDN/>
              <w:bidi w:val="0"/>
              <w:spacing w:line="360" w:lineRule="exact"/>
              <w:ind w:leftChars="0"/>
              <w:jc w:val="left"/>
              <w:textAlignment w:val="auto"/>
              <w:rPr>
                <w:highlight w:val="none"/>
              </w:rPr>
            </w:pPr>
          </w:p>
        </w:tc>
        <w:tc>
          <w:tcPr>
            <w:tcW w:w="6737" w:type="dxa"/>
            <w:tcBorders>
              <w:tl2br w:val="nil"/>
              <w:tr2bl w:val="nil"/>
            </w:tcBorders>
            <w:noWrap w:val="0"/>
            <w:vAlign w:val="top"/>
          </w:tcPr>
          <w:p w14:paraId="0859D988">
            <w:pPr>
              <w:keepNext w:val="0"/>
              <w:keepLines w:val="0"/>
              <w:pageBreakBefore w:val="0"/>
              <w:widowControl w:val="0"/>
              <w:kinsoku/>
              <w:wordWrap/>
              <w:overflowPunct/>
              <w:topLinePunct w:val="0"/>
              <w:autoSpaceDE/>
              <w:autoSpaceDN/>
              <w:bidi w:val="0"/>
              <w:spacing w:line="360" w:lineRule="exact"/>
              <w:jc w:val="left"/>
              <w:textAlignment w:val="auto"/>
              <w:rPr>
                <w:rFonts w:hint="eastAsia" w:ascii="仿宋" w:hAnsi="仿宋" w:eastAsia="仿宋" w:cs="宋体"/>
                <w:color w:val="000000"/>
                <w:sz w:val="24"/>
                <w:szCs w:val="24"/>
                <w:highlight w:val="none"/>
                <w:lang w:val="en-US" w:eastAsia="zh-CN"/>
              </w:rPr>
            </w:pPr>
            <w:r>
              <w:rPr>
                <w:rFonts w:hint="eastAsia" w:ascii="仿宋" w:hAnsi="仿宋" w:eastAsia="仿宋" w:cs="宋体"/>
                <w:color w:val="000000"/>
                <w:sz w:val="24"/>
                <w:szCs w:val="24"/>
                <w:highlight w:val="none"/>
                <w:lang w:val="en-US" w:eastAsia="zh-CN"/>
              </w:rPr>
              <w:t>根据投标人针对本项目的具体理赔服务工作（包括报案受理、查勘、定损、维修、结算、索赔程序、赔付时间、救援服务等）进行打分：</w:t>
            </w:r>
          </w:p>
          <w:p w14:paraId="0187548E">
            <w:pPr>
              <w:keepNext w:val="0"/>
              <w:keepLines w:val="0"/>
              <w:pageBreakBefore w:val="0"/>
              <w:widowControl w:val="0"/>
              <w:numPr>
                <w:ilvl w:val="0"/>
                <w:numId w:val="17"/>
              </w:numPr>
              <w:kinsoku/>
              <w:wordWrap/>
              <w:overflowPunct/>
              <w:topLinePunct w:val="0"/>
              <w:autoSpaceDE/>
              <w:autoSpaceDN/>
              <w:bidi w:val="0"/>
              <w:spacing w:line="360" w:lineRule="exact"/>
              <w:ind w:left="425" w:leftChars="0" w:hanging="425" w:firstLineChars="0"/>
              <w:jc w:val="left"/>
              <w:textAlignment w:val="auto"/>
              <w:rPr>
                <w:rFonts w:hint="eastAsia" w:ascii="仿宋" w:hAnsi="仿宋" w:eastAsia="仿宋" w:cs="宋体"/>
                <w:b w:val="0"/>
                <w:bCs w:val="0"/>
                <w:sz w:val="24"/>
                <w:szCs w:val="24"/>
                <w:highlight w:val="none"/>
                <w:lang w:val="en-US" w:eastAsia="zh-CN"/>
              </w:rPr>
            </w:pPr>
            <w:r>
              <w:rPr>
                <w:rFonts w:hint="eastAsia" w:ascii="仿宋" w:hAnsi="仿宋" w:eastAsia="仿宋" w:cs="宋体"/>
                <w:b w:val="0"/>
                <w:bCs w:val="0"/>
                <w:sz w:val="24"/>
                <w:szCs w:val="24"/>
                <w:highlight w:val="none"/>
                <w:lang w:val="en-US" w:eastAsia="zh-CN"/>
              </w:rPr>
              <w:t>内容完整全面、科学合理、针对性强的得（2,4］分；</w:t>
            </w:r>
          </w:p>
          <w:p w14:paraId="66D42A3E">
            <w:pPr>
              <w:keepNext w:val="0"/>
              <w:keepLines w:val="0"/>
              <w:pageBreakBefore w:val="0"/>
              <w:widowControl w:val="0"/>
              <w:numPr>
                <w:ilvl w:val="0"/>
                <w:numId w:val="17"/>
              </w:numPr>
              <w:kinsoku/>
              <w:wordWrap/>
              <w:overflowPunct/>
              <w:topLinePunct w:val="0"/>
              <w:autoSpaceDE/>
              <w:autoSpaceDN/>
              <w:bidi w:val="0"/>
              <w:spacing w:line="360" w:lineRule="exact"/>
              <w:ind w:left="425" w:leftChars="0" w:hanging="425" w:firstLineChars="0"/>
              <w:jc w:val="left"/>
              <w:textAlignment w:val="auto"/>
              <w:rPr>
                <w:rFonts w:hint="eastAsia" w:ascii="仿宋" w:hAnsi="仿宋" w:eastAsia="仿宋" w:cs="宋体"/>
                <w:b w:val="0"/>
                <w:bCs w:val="0"/>
                <w:sz w:val="24"/>
                <w:szCs w:val="24"/>
                <w:highlight w:val="none"/>
                <w:lang w:val="en-US" w:eastAsia="zh-CN"/>
              </w:rPr>
            </w:pPr>
            <w:r>
              <w:rPr>
                <w:rFonts w:hint="eastAsia" w:ascii="仿宋" w:hAnsi="仿宋" w:eastAsia="仿宋" w:cs="宋体"/>
                <w:b w:val="0"/>
                <w:bCs w:val="0"/>
                <w:sz w:val="24"/>
                <w:szCs w:val="24"/>
                <w:highlight w:val="none"/>
                <w:lang w:val="en-US" w:eastAsia="zh-CN"/>
              </w:rPr>
              <w:t>内容相对完整，基本合理可行的得（1,2］分；</w:t>
            </w:r>
          </w:p>
          <w:p w14:paraId="522F2C27">
            <w:pPr>
              <w:keepNext w:val="0"/>
              <w:keepLines w:val="0"/>
              <w:pageBreakBefore w:val="0"/>
              <w:widowControl w:val="0"/>
              <w:numPr>
                <w:ilvl w:val="0"/>
                <w:numId w:val="17"/>
              </w:numPr>
              <w:kinsoku/>
              <w:wordWrap/>
              <w:overflowPunct/>
              <w:topLinePunct w:val="0"/>
              <w:autoSpaceDE/>
              <w:autoSpaceDN/>
              <w:bidi w:val="0"/>
              <w:spacing w:line="360" w:lineRule="exact"/>
              <w:ind w:left="425" w:leftChars="0" w:hanging="425" w:firstLineChars="0"/>
              <w:jc w:val="left"/>
              <w:textAlignment w:val="auto"/>
              <w:rPr>
                <w:rFonts w:hint="eastAsia" w:ascii="仿宋" w:hAnsi="仿宋" w:eastAsia="仿宋" w:cs="宋体"/>
                <w:b w:val="0"/>
                <w:bCs w:val="0"/>
                <w:sz w:val="24"/>
                <w:szCs w:val="24"/>
                <w:highlight w:val="none"/>
                <w:lang w:val="en-US" w:eastAsia="zh-CN"/>
              </w:rPr>
            </w:pPr>
            <w:r>
              <w:rPr>
                <w:rFonts w:hint="eastAsia" w:ascii="仿宋" w:hAnsi="仿宋" w:eastAsia="仿宋" w:cs="宋体"/>
                <w:b w:val="0"/>
                <w:bCs w:val="0"/>
                <w:sz w:val="24"/>
                <w:szCs w:val="24"/>
                <w:highlight w:val="none"/>
                <w:lang w:val="en-US" w:eastAsia="zh-CN"/>
              </w:rPr>
              <w:t>内容简略、层次模糊、针对性较差的得（0,1］分；</w:t>
            </w:r>
          </w:p>
          <w:p w14:paraId="6CC0381F">
            <w:pPr>
              <w:keepNext w:val="0"/>
              <w:keepLines w:val="0"/>
              <w:pageBreakBefore w:val="0"/>
              <w:widowControl w:val="0"/>
              <w:numPr>
                <w:ilvl w:val="0"/>
                <w:numId w:val="17"/>
              </w:numPr>
              <w:kinsoku/>
              <w:wordWrap/>
              <w:overflowPunct/>
              <w:topLinePunct w:val="0"/>
              <w:autoSpaceDE/>
              <w:autoSpaceDN/>
              <w:bidi w:val="0"/>
              <w:spacing w:line="360" w:lineRule="exact"/>
              <w:ind w:left="425" w:leftChars="0" w:hanging="425" w:firstLineChars="0"/>
              <w:jc w:val="left"/>
              <w:textAlignment w:val="auto"/>
              <w:rPr>
                <w:rFonts w:hint="eastAsia" w:ascii="仿宋" w:hAnsi="仿宋" w:eastAsia="仿宋" w:cs="宋体"/>
                <w:b w:val="0"/>
                <w:bCs w:val="0"/>
                <w:sz w:val="24"/>
                <w:szCs w:val="24"/>
                <w:highlight w:val="none"/>
                <w:lang w:val="en-US" w:eastAsia="zh-CN"/>
              </w:rPr>
            </w:pPr>
            <w:r>
              <w:rPr>
                <w:rFonts w:hint="eastAsia" w:ascii="仿宋" w:hAnsi="仿宋" w:eastAsia="仿宋" w:cs="宋体"/>
                <w:b w:val="0"/>
                <w:bCs w:val="0"/>
                <w:sz w:val="24"/>
                <w:szCs w:val="24"/>
                <w:highlight w:val="none"/>
                <w:lang w:val="en-US" w:eastAsia="zh-CN"/>
              </w:rPr>
              <w:t>未提供的不得分。</w:t>
            </w:r>
          </w:p>
        </w:tc>
        <w:tc>
          <w:tcPr>
            <w:tcW w:w="966" w:type="dxa"/>
            <w:tcBorders>
              <w:tl2br w:val="nil"/>
              <w:tr2bl w:val="nil"/>
            </w:tcBorders>
            <w:noWrap w:val="0"/>
            <w:vAlign w:val="center"/>
          </w:tcPr>
          <w:p w14:paraId="5B5EFA0A">
            <w:pPr>
              <w:keepNext w:val="0"/>
              <w:keepLines w:val="0"/>
              <w:pageBreakBefore w:val="0"/>
              <w:widowControl w:val="0"/>
              <w:kinsoku/>
              <w:wordWrap/>
              <w:overflowPunct/>
              <w:topLinePunct w:val="0"/>
              <w:autoSpaceDE/>
              <w:autoSpaceDN/>
              <w:bidi w:val="0"/>
              <w:spacing w:line="360" w:lineRule="exact"/>
              <w:ind w:leftChars="0"/>
              <w:jc w:val="center"/>
              <w:textAlignment w:val="auto"/>
              <w:rPr>
                <w:rFonts w:hint="eastAsia" w:ascii="仿宋" w:hAnsi="仿宋" w:eastAsia="仿宋" w:cs="宋体"/>
                <w:b w:val="0"/>
                <w:bCs w:val="0"/>
                <w:sz w:val="24"/>
                <w:szCs w:val="24"/>
                <w:highlight w:val="none"/>
                <w:lang w:val="en-US" w:eastAsia="zh-CN"/>
              </w:rPr>
            </w:pPr>
            <w:r>
              <w:rPr>
                <w:rFonts w:hint="eastAsia" w:ascii="仿宋" w:hAnsi="仿宋" w:eastAsia="仿宋" w:cs="宋体"/>
                <w:b/>
                <w:bCs w:val="0"/>
                <w:color w:val="auto"/>
                <w:kern w:val="2"/>
                <w:sz w:val="24"/>
                <w:szCs w:val="24"/>
                <w:highlight w:val="none"/>
                <w:lang w:val="en-US" w:eastAsia="zh-CN" w:bidi="ar-SA"/>
              </w:rPr>
              <w:t>0-4分</w:t>
            </w:r>
          </w:p>
        </w:tc>
      </w:tr>
      <w:tr w14:paraId="64ABC0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3" w:hRule="atLeast"/>
          <w:jc w:val="center"/>
        </w:trPr>
        <w:tc>
          <w:tcPr>
            <w:tcW w:w="630" w:type="dxa"/>
            <w:tcBorders>
              <w:tl2br w:val="nil"/>
              <w:tr2bl w:val="nil"/>
            </w:tcBorders>
            <w:noWrap w:val="0"/>
            <w:vAlign w:val="center"/>
          </w:tcPr>
          <w:p w14:paraId="5EAF9BF8">
            <w:pPr>
              <w:keepNext w:val="0"/>
              <w:keepLines w:val="0"/>
              <w:pageBreakBefore w:val="0"/>
              <w:widowControl w:val="0"/>
              <w:numPr>
                <w:ilvl w:val="0"/>
                <w:numId w:val="12"/>
              </w:numPr>
              <w:kinsoku/>
              <w:wordWrap/>
              <w:overflowPunct/>
              <w:topLinePunct w:val="0"/>
              <w:autoSpaceDE/>
              <w:autoSpaceDN/>
              <w:bidi w:val="0"/>
              <w:spacing w:line="360" w:lineRule="exact"/>
              <w:ind w:left="425" w:leftChars="0" w:hanging="425" w:firstLineChars="0"/>
              <w:jc w:val="center"/>
              <w:textAlignment w:val="auto"/>
              <w:rPr>
                <w:rFonts w:hint="eastAsia" w:ascii="仿宋" w:hAnsi="仿宋" w:eastAsia="仿宋" w:cs="宋体"/>
                <w:b/>
                <w:bCs w:val="0"/>
                <w:color w:val="auto"/>
                <w:kern w:val="2"/>
                <w:sz w:val="24"/>
                <w:szCs w:val="24"/>
                <w:highlight w:val="none"/>
                <w:lang w:val="en-US" w:eastAsia="zh-CN" w:bidi="ar-SA"/>
              </w:rPr>
            </w:pPr>
          </w:p>
        </w:tc>
        <w:tc>
          <w:tcPr>
            <w:tcW w:w="1703" w:type="dxa"/>
            <w:tcBorders>
              <w:tl2br w:val="nil"/>
              <w:tr2bl w:val="nil"/>
            </w:tcBorders>
            <w:noWrap w:val="0"/>
            <w:vAlign w:val="center"/>
          </w:tcPr>
          <w:p w14:paraId="05EAAABA">
            <w:pPr>
              <w:keepNext w:val="0"/>
              <w:keepLines w:val="0"/>
              <w:pageBreakBefore w:val="0"/>
              <w:widowControl w:val="0"/>
              <w:numPr>
                <w:ilvl w:val="0"/>
                <w:numId w:val="0"/>
              </w:numPr>
              <w:kinsoku/>
              <w:wordWrap/>
              <w:overflowPunct/>
              <w:topLinePunct w:val="0"/>
              <w:autoSpaceDE/>
              <w:autoSpaceDN/>
              <w:bidi w:val="0"/>
              <w:spacing w:line="360" w:lineRule="exact"/>
              <w:ind w:leftChars="0"/>
              <w:jc w:val="center"/>
              <w:textAlignment w:val="auto"/>
              <w:rPr>
                <w:rFonts w:hint="eastAsia" w:ascii="仿宋" w:hAnsi="仿宋" w:eastAsia="仿宋" w:cs="宋体"/>
                <w:b/>
                <w:bCs w:val="0"/>
                <w:color w:val="auto"/>
                <w:kern w:val="2"/>
                <w:sz w:val="24"/>
                <w:szCs w:val="24"/>
                <w:highlight w:val="none"/>
                <w:lang w:val="en-US" w:eastAsia="zh-CN" w:bidi="ar-SA"/>
              </w:rPr>
            </w:pPr>
            <w:r>
              <w:rPr>
                <w:rFonts w:hint="eastAsia" w:ascii="仿宋" w:hAnsi="仿宋" w:eastAsia="仿宋" w:cs="宋体"/>
                <w:b/>
                <w:bCs w:val="0"/>
                <w:color w:val="auto"/>
                <w:kern w:val="2"/>
                <w:sz w:val="24"/>
                <w:szCs w:val="24"/>
                <w:highlight w:val="none"/>
                <w:lang w:val="en-US" w:eastAsia="zh-CN" w:bidi="ar-SA"/>
              </w:rPr>
              <w:t>防灾风险管理方案</w:t>
            </w:r>
          </w:p>
        </w:tc>
        <w:tc>
          <w:tcPr>
            <w:tcW w:w="6737" w:type="dxa"/>
            <w:tcBorders>
              <w:tl2br w:val="nil"/>
              <w:tr2bl w:val="nil"/>
            </w:tcBorders>
            <w:noWrap w:val="0"/>
            <w:vAlign w:val="top"/>
          </w:tcPr>
          <w:p w14:paraId="7AFBEA06">
            <w:pPr>
              <w:keepNext w:val="0"/>
              <w:keepLines w:val="0"/>
              <w:pageBreakBefore w:val="0"/>
              <w:widowControl w:val="0"/>
              <w:numPr>
                <w:ilvl w:val="0"/>
                <w:numId w:val="0"/>
              </w:numPr>
              <w:kinsoku/>
              <w:wordWrap/>
              <w:overflowPunct/>
              <w:topLinePunct w:val="0"/>
              <w:autoSpaceDE/>
              <w:autoSpaceDN/>
              <w:bidi w:val="0"/>
              <w:spacing w:line="360" w:lineRule="exact"/>
              <w:ind w:leftChars="0"/>
              <w:jc w:val="left"/>
              <w:textAlignment w:val="auto"/>
              <w:rPr>
                <w:rFonts w:hint="eastAsia" w:ascii="仿宋" w:hAnsi="仿宋" w:eastAsia="仿宋" w:cs="宋体"/>
                <w:b w:val="0"/>
                <w:bCs w:val="0"/>
                <w:color w:val="auto"/>
                <w:sz w:val="24"/>
                <w:szCs w:val="24"/>
                <w:highlight w:val="none"/>
                <w:lang w:val="en-US" w:eastAsia="zh-CN"/>
              </w:rPr>
            </w:pPr>
            <w:r>
              <w:rPr>
                <w:rFonts w:hint="eastAsia" w:ascii="仿宋" w:hAnsi="仿宋" w:eastAsia="仿宋" w:cs="宋体"/>
                <w:b w:val="0"/>
                <w:bCs w:val="0"/>
                <w:color w:val="auto"/>
                <w:sz w:val="24"/>
                <w:szCs w:val="24"/>
                <w:highlight w:val="none"/>
                <w:lang w:val="en-US" w:eastAsia="zh-CN"/>
              </w:rPr>
              <w:t>根据投标人针对本项目的风险认知、风险排查及防范保障措施（包括但不限于定期提供风险隐患排查报告，并确保报告具有可行性等）进行打分：</w:t>
            </w:r>
          </w:p>
          <w:p w14:paraId="04532BF1">
            <w:pPr>
              <w:keepNext w:val="0"/>
              <w:keepLines w:val="0"/>
              <w:pageBreakBefore w:val="0"/>
              <w:widowControl w:val="0"/>
              <w:numPr>
                <w:ilvl w:val="0"/>
                <w:numId w:val="18"/>
              </w:numPr>
              <w:kinsoku/>
              <w:wordWrap/>
              <w:overflowPunct/>
              <w:topLinePunct w:val="0"/>
              <w:autoSpaceDE/>
              <w:autoSpaceDN/>
              <w:bidi w:val="0"/>
              <w:spacing w:line="360" w:lineRule="exact"/>
              <w:ind w:left="425" w:leftChars="0" w:hanging="425" w:firstLineChars="0"/>
              <w:jc w:val="left"/>
              <w:textAlignment w:val="auto"/>
              <w:rPr>
                <w:rFonts w:hint="eastAsia" w:ascii="仿宋" w:hAnsi="仿宋" w:eastAsia="仿宋" w:cs="宋体"/>
                <w:b w:val="0"/>
                <w:bCs w:val="0"/>
                <w:color w:val="auto"/>
                <w:sz w:val="24"/>
                <w:szCs w:val="24"/>
                <w:highlight w:val="none"/>
                <w:lang w:val="en-US" w:eastAsia="zh-CN"/>
              </w:rPr>
            </w:pPr>
            <w:r>
              <w:rPr>
                <w:rFonts w:hint="eastAsia" w:ascii="仿宋" w:hAnsi="仿宋" w:eastAsia="仿宋" w:cs="宋体"/>
                <w:b w:val="0"/>
                <w:bCs w:val="0"/>
                <w:color w:val="auto"/>
                <w:sz w:val="24"/>
                <w:szCs w:val="24"/>
                <w:highlight w:val="none"/>
                <w:lang w:val="en-US" w:eastAsia="zh-CN"/>
              </w:rPr>
              <w:t>内容完整全面、科学合理、针对性强的得（2,4］分；</w:t>
            </w:r>
          </w:p>
          <w:p w14:paraId="49FB5E36">
            <w:pPr>
              <w:keepNext w:val="0"/>
              <w:keepLines w:val="0"/>
              <w:pageBreakBefore w:val="0"/>
              <w:widowControl w:val="0"/>
              <w:numPr>
                <w:ilvl w:val="0"/>
                <w:numId w:val="18"/>
              </w:numPr>
              <w:kinsoku/>
              <w:wordWrap/>
              <w:overflowPunct/>
              <w:topLinePunct w:val="0"/>
              <w:autoSpaceDE/>
              <w:autoSpaceDN/>
              <w:bidi w:val="0"/>
              <w:spacing w:line="360" w:lineRule="exact"/>
              <w:ind w:left="425" w:leftChars="0" w:hanging="425" w:firstLineChars="0"/>
              <w:jc w:val="left"/>
              <w:textAlignment w:val="auto"/>
              <w:rPr>
                <w:rFonts w:hint="eastAsia" w:ascii="仿宋" w:hAnsi="仿宋" w:eastAsia="仿宋" w:cs="宋体"/>
                <w:b w:val="0"/>
                <w:bCs w:val="0"/>
                <w:color w:val="auto"/>
                <w:sz w:val="24"/>
                <w:szCs w:val="24"/>
                <w:highlight w:val="none"/>
                <w:lang w:val="en-US" w:eastAsia="zh-CN"/>
              </w:rPr>
            </w:pPr>
            <w:r>
              <w:rPr>
                <w:rFonts w:hint="eastAsia" w:ascii="仿宋" w:hAnsi="仿宋" w:eastAsia="仿宋" w:cs="宋体"/>
                <w:b w:val="0"/>
                <w:bCs w:val="0"/>
                <w:color w:val="auto"/>
                <w:sz w:val="24"/>
                <w:szCs w:val="24"/>
                <w:highlight w:val="none"/>
                <w:lang w:val="en-US" w:eastAsia="zh-CN"/>
              </w:rPr>
              <w:t>内容相对完整，基本合理可行的得（1,2］分；</w:t>
            </w:r>
          </w:p>
          <w:p w14:paraId="5243518A">
            <w:pPr>
              <w:keepNext w:val="0"/>
              <w:keepLines w:val="0"/>
              <w:pageBreakBefore w:val="0"/>
              <w:widowControl w:val="0"/>
              <w:numPr>
                <w:ilvl w:val="0"/>
                <w:numId w:val="18"/>
              </w:numPr>
              <w:kinsoku/>
              <w:wordWrap/>
              <w:overflowPunct/>
              <w:topLinePunct w:val="0"/>
              <w:autoSpaceDE/>
              <w:autoSpaceDN/>
              <w:bidi w:val="0"/>
              <w:spacing w:line="360" w:lineRule="exact"/>
              <w:ind w:left="425" w:leftChars="0" w:hanging="425" w:firstLineChars="0"/>
              <w:jc w:val="left"/>
              <w:textAlignment w:val="auto"/>
              <w:rPr>
                <w:rFonts w:hint="eastAsia" w:ascii="仿宋" w:hAnsi="仿宋" w:eastAsia="仿宋" w:cs="宋体"/>
                <w:b w:val="0"/>
                <w:bCs w:val="0"/>
                <w:color w:val="auto"/>
                <w:sz w:val="24"/>
                <w:szCs w:val="24"/>
                <w:highlight w:val="none"/>
                <w:lang w:val="en-US" w:eastAsia="zh-CN"/>
              </w:rPr>
            </w:pPr>
            <w:r>
              <w:rPr>
                <w:rFonts w:hint="eastAsia" w:ascii="仿宋" w:hAnsi="仿宋" w:eastAsia="仿宋" w:cs="宋体"/>
                <w:b w:val="0"/>
                <w:bCs w:val="0"/>
                <w:color w:val="auto"/>
                <w:sz w:val="24"/>
                <w:szCs w:val="24"/>
                <w:highlight w:val="none"/>
                <w:lang w:val="en-US" w:eastAsia="zh-CN"/>
              </w:rPr>
              <w:t>内容简略、层次模糊、针对性较差的得（0,1］分；</w:t>
            </w:r>
          </w:p>
          <w:p w14:paraId="597557A7">
            <w:pPr>
              <w:keepNext w:val="0"/>
              <w:keepLines w:val="0"/>
              <w:pageBreakBefore w:val="0"/>
              <w:widowControl w:val="0"/>
              <w:numPr>
                <w:ilvl w:val="0"/>
                <w:numId w:val="18"/>
              </w:numPr>
              <w:kinsoku/>
              <w:wordWrap/>
              <w:overflowPunct/>
              <w:topLinePunct w:val="0"/>
              <w:autoSpaceDE/>
              <w:autoSpaceDN/>
              <w:bidi w:val="0"/>
              <w:spacing w:line="360" w:lineRule="exact"/>
              <w:ind w:left="425" w:leftChars="0" w:hanging="425" w:firstLineChars="0"/>
              <w:jc w:val="left"/>
              <w:textAlignment w:val="auto"/>
              <w:rPr>
                <w:rFonts w:hint="eastAsia" w:ascii="仿宋" w:hAnsi="仿宋" w:eastAsia="仿宋" w:cs="宋体"/>
                <w:b w:val="0"/>
                <w:bCs w:val="0"/>
                <w:color w:val="auto"/>
                <w:sz w:val="24"/>
                <w:szCs w:val="24"/>
                <w:highlight w:val="none"/>
                <w:lang w:val="en-US" w:eastAsia="zh-CN"/>
              </w:rPr>
            </w:pPr>
            <w:r>
              <w:rPr>
                <w:rFonts w:hint="eastAsia" w:ascii="仿宋" w:hAnsi="仿宋" w:eastAsia="仿宋" w:cs="宋体"/>
                <w:b w:val="0"/>
                <w:bCs w:val="0"/>
                <w:color w:val="auto"/>
                <w:sz w:val="24"/>
                <w:szCs w:val="24"/>
                <w:highlight w:val="none"/>
                <w:lang w:val="en-US" w:eastAsia="zh-CN"/>
              </w:rPr>
              <w:t>未提供的不得分。</w:t>
            </w:r>
          </w:p>
        </w:tc>
        <w:tc>
          <w:tcPr>
            <w:tcW w:w="966" w:type="dxa"/>
            <w:tcBorders>
              <w:tl2br w:val="nil"/>
              <w:tr2bl w:val="nil"/>
            </w:tcBorders>
            <w:noWrap w:val="0"/>
            <w:vAlign w:val="center"/>
          </w:tcPr>
          <w:p w14:paraId="00AA5D57">
            <w:pPr>
              <w:keepNext w:val="0"/>
              <w:keepLines w:val="0"/>
              <w:pageBreakBefore w:val="0"/>
              <w:widowControl w:val="0"/>
              <w:kinsoku/>
              <w:wordWrap/>
              <w:overflowPunct/>
              <w:topLinePunct w:val="0"/>
              <w:autoSpaceDE/>
              <w:autoSpaceDN/>
              <w:bidi w:val="0"/>
              <w:spacing w:line="360" w:lineRule="exact"/>
              <w:jc w:val="center"/>
              <w:textAlignment w:val="auto"/>
              <w:rPr>
                <w:rFonts w:hint="default" w:ascii="仿宋" w:hAnsi="仿宋" w:eastAsia="仿宋" w:cs="宋体"/>
                <w:b/>
                <w:bCs w:val="0"/>
                <w:color w:val="auto"/>
                <w:kern w:val="2"/>
                <w:sz w:val="24"/>
                <w:szCs w:val="24"/>
                <w:highlight w:val="none"/>
                <w:lang w:val="en-US" w:eastAsia="zh-CN" w:bidi="ar-SA"/>
              </w:rPr>
            </w:pPr>
            <w:r>
              <w:rPr>
                <w:rFonts w:hint="eastAsia" w:ascii="仿宋" w:hAnsi="仿宋" w:eastAsia="仿宋" w:cs="宋体"/>
                <w:b/>
                <w:bCs w:val="0"/>
                <w:color w:val="auto"/>
                <w:kern w:val="2"/>
                <w:sz w:val="24"/>
                <w:szCs w:val="24"/>
                <w:highlight w:val="none"/>
                <w:lang w:val="en-US" w:eastAsia="zh-CN" w:bidi="ar-SA"/>
              </w:rPr>
              <w:t>0-4分</w:t>
            </w:r>
          </w:p>
        </w:tc>
      </w:tr>
    </w:tbl>
    <w:p w14:paraId="2668E16A">
      <w:pPr>
        <w:pStyle w:val="7"/>
        <w:keepNext/>
        <w:keepLines/>
        <w:pageBreakBefore w:val="0"/>
        <w:widowControl w:val="0"/>
        <w:kinsoku/>
        <w:wordWrap/>
        <w:overflowPunct/>
        <w:topLinePunct w:val="0"/>
        <w:autoSpaceDE w:val="0"/>
        <w:autoSpaceDN w:val="0"/>
        <w:bidi w:val="0"/>
        <w:adjustRightInd w:val="0"/>
        <w:snapToGrid/>
        <w:spacing w:before="0" w:after="0" w:line="400" w:lineRule="exact"/>
        <w:ind w:firstLine="480" w:firstLineChars="200"/>
        <w:jc w:val="left"/>
        <w:textAlignment w:val="auto"/>
        <w:rPr>
          <w:rFonts w:hint="eastAsia" w:ascii="仿宋" w:hAnsi="仿宋" w:eastAsia="仿宋" w:cs="仿宋"/>
          <w:b w:val="0"/>
          <w:color w:val="auto"/>
          <w:kern w:val="0"/>
          <w:sz w:val="24"/>
          <w:szCs w:val="24"/>
          <w:highlight w:val="none"/>
          <w:lang w:val="en-US" w:eastAsia="zh-CN" w:bidi="ar-SA"/>
        </w:rPr>
      </w:pPr>
      <w:r>
        <w:rPr>
          <w:rFonts w:hint="eastAsia" w:ascii="仿宋" w:hAnsi="仿宋" w:eastAsia="仿宋" w:cs="仿宋"/>
          <w:b w:val="0"/>
          <w:color w:val="auto"/>
          <w:kern w:val="0"/>
          <w:sz w:val="24"/>
          <w:szCs w:val="24"/>
          <w:highlight w:val="none"/>
          <w:lang w:val="en-US" w:eastAsia="zh-CN" w:bidi="ar-SA"/>
        </w:rPr>
        <w:t>（5）本次评审通过资格审查和符合性评审的单位全部入围进行报价评审。</w:t>
      </w:r>
    </w:p>
    <w:p w14:paraId="2D00E3B9">
      <w:pPr>
        <w:pStyle w:val="7"/>
        <w:keepNext/>
        <w:keepLines/>
        <w:pageBreakBefore w:val="0"/>
        <w:widowControl w:val="0"/>
        <w:kinsoku/>
        <w:wordWrap/>
        <w:overflowPunct/>
        <w:topLinePunct w:val="0"/>
        <w:autoSpaceDE w:val="0"/>
        <w:autoSpaceDN w:val="0"/>
        <w:bidi w:val="0"/>
        <w:adjustRightInd w:val="0"/>
        <w:snapToGrid/>
        <w:spacing w:before="0" w:after="0" w:line="400" w:lineRule="exact"/>
        <w:ind w:firstLine="480" w:firstLineChars="200"/>
        <w:jc w:val="left"/>
        <w:textAlignment w:val="auto"/>
        <w:rPr>
          <w:rFonts w:hint="eastAsia" w:ascii="华文中宋" w:hAnsi="华文中宋" w:eastAsia="华文中宋"/>
          <w:color w:val="auto"/>
          <w:sz w:val="36"/>
          <w:szCs w:val="36"/>
          <w:highlight w:val="none"/>
        </w:rPr>
      </w:pPr>
      <w:r>
        <w:rPr>
          <w:rFonts w:hint="eastAsia" w:ascii="仿宋" w:hAnsi="仿宋" w:eastAsia="仿宋" w:cs="仿宋"/>
          <w:b w:val="0"/>
          <w:color w:val="auto"/>
          <w:kern w:val="0"/>
          <w:sz w:val="24"/>
          <w:szCs w:val="24"/>
          <w:highlight w:val="none"/>
          <w:lang w:val="en-US" w:eastAsia="zh-CN" w:bidi="ar-SA"/>
        </w:rPr>
        <w:t>备注：投标人编制投标文件（商务技术文件部分）时，建议按此目录（序号和内容）提供评标标准相应的商务技术资料。</w:t>
      </w:r>
    </w:p>
    <w:p w14:paraId="4D19E91A">
      <w:pPr>
        <w:pStyle w:val="7"/>
        <w:spacing w:before="0" w:after="240" w:line="400" w:lineRule="exact"/>
        <w:jc w:val="center"/>
        <w:rPr>
          <w:rFonts w:hint="eastAsia" w:ascii="华文中宋" w:hAnsi="华文中宋" w:eastAsia="华文中宋"/>
          <w:color w:val="auto"/>
          <w:sz w:val="36"/>
          <w:szCs w:val="36"/>
          <w:highlight w:val="none"/>
        </w:rPr>
        <w:sectPr>
          <w:pgSz w:w="11905"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type="lines" w:linePitch="317" w:charSpace="0"/>
        </w:sectPr>
      </w:pPr>
    </w:p>
    <w:p w14:paraId="67BADCC2">
      <w:pPr>
        <w:pStyle w:val="7"/>
        <w:spacing w:before="0" w:after="240" w:line="400" w:lineRule="exact"/>
        <w:jc w:val="center"/>
        <w:rPr>
          <w:rFonts w:ascii="华文中宋" w:hAnsi="华文中宋" w:eastAsia="华文中宋"/>
          <w:color w:val="auto"/>
          <w:sz w:val="36"/>
          <w:szCs w:val="36"/>
          <w:highlight w:val="none"/>
        </w:rPr>
      </w:pPr>
      <w:r>
        <w:rPr>
          <w:rFonts w:hint="eastAsia" w:ascii="华文中宋" w:hAnsi="华文中宋" w:eastAsia="华文中宋"/>
          <w:color w:val="auto"/>
          <w:sz w:val="36"/>
          <w:szCs w:val="36"/>
          <w:highlight w:val="none"/>
        </w:rPr>
        <w:t xml:space="preserve">第四章 </w:t>
      </w:r>
      <w:r>
        <w:rPr>
          <w:rFonts w:hint="eastAsia" w:ascii="华文中宋" w:hAnsi="华文中宋" w:eastAsia="华文中宋"/>
          <w:color w:val="auto"/>
          <w:sz w:val="36"/>
          <w:szCs w:val="36"/>
          <w:highlight w:val="none"/>
          <w:lang w:val="en-US" w:eastAsia="zh-CN"/>
        </w:rPr>
        <w:t xml:space="preserve"> </w:t>
      </w:r>
      <w:r>
        <w:rPr>
          <w:rFonts w:hint="eastAsia" w:ascii="华文中宋" w:hAnsi="华文中宋" w:eastAsia="华文中宋"/>
          <w:color w:val="auto"/>
          <w:sz w:val="36"/>
          <w:szCs w:val="36"/>
          <w:highlight w:val="none"/>
        </w:rPr>
        <w:t>采购需求</w:t>
      </w:r>
    </w:p>
    <w:p w14:paraId="235D9AFC">
      <w:pPr>
        <w:pStyle w:val="24"/>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firstLine="480" w:firstLineChars="200"/>
        <w:textAlignment w:val="auto"/>
        <w:rPr>
          <w:rFonts w:hint="eastAsia" w:ascii="仿宋" w:hAnsi="仿宋" w:eastAsia="仿宋" w:cs="仿宋"/>
          <w:b w:val="0"/>
          <w:color w:val="auto"/>
          <w:kern w:val="0"/>
          <w:sz w:val="24"/>
          <w:szCs w:val="24"/>
          <w:highlight w:val="none"/>
          <w:lang w:val="en-US" w:eastAsia="zh-CN" w:bidi="ar-SA"/>
        </w:rPr>
      </w:pPr>
      <w:r>
        <w:rPr>
          <w:rFonts w:hint="eastAsia" w:ascii="仿宋" w:hAnsi="仿宋" w:eastAsia="仿宋" w:cs="仿宋"/>
          <w:b w:val="0"/>
          <w:color w:val="auto"/>
          <w:kern w:val="0"/>
          <w:sz w:val="24"/>
          <w:szCs w:val="24"/>
          <w:highlight w:val="none"/>
          <w:lang w:val="en-US" w:eastAsia="zh-CN" w:bidi="ar-SA"/>
        </w:rPr>
        <w:t>诸暨市环境卫生管理集团有限公司</w:t>
      </w:r>
      <w:r>
        <w:rPr>
          <w:rFonts w:hint="eastAsia" w:ascii="仿宋" w:hAnsi="仿宋" w:eastAsia="仿宋" w:cs="仿宋"/>
          <w:b w:val="0"/>
          <w:bCs/>
          <w:color w:val="auto"/>
          <w:sz w:val="24"/>
          <w:szCs w:val="24"/>
          <w:highlight w:val="none"/>
          <w:lang w:val="en-US" w:eastAsia="zh-CN"/>
        </w:rPr>
        <w:t>2025-2026</w:t>
      </w:r>
      <w:r>
        <w:rPr>
          <w:rFonts w:hint="eastAsia" w:ascii="仿宋" w:hAnsi="仿宋" w:eastAsia="仿宋" w:cs="仿宋"/>
          <w:b w:val="0"/>
          <w:color w:val="auto"/>
          <w:kern w:val="0"/>
          <w:sz w:val="24"/>
          <w:szCs w:val="24"/>
          <w:highlight w:val="none"/>
          <w:lang w:val="en-US" w:eastAsia="zh-CN" w:bidi="ar-SA"/>
        </w:rPr>
        <w:t>年度环卫工人综合险服务采购项目，参保人数约2000人，保费限额1200元/人/年，参保人年龄一般在68周岁以内,包括但不限于以下内容：</w:t>
      </w:r>
    </w:p>
    <w:p w14:paraId="47349A74">
      <w:pPr>
        <w:pStyle w:val="40"/>
        <w:keepNext w:val="0"/>
        <w:keepLines w:val="0"/>
        <w:pageBreakBefore w:val="0"/>
        <w:widowControl w:val="0"/>
        <w:numPr>
          <w:ilvl w:val="0"/>
          <w:numId w:val="19"/>
        </w:numPr>
        <w:kinsoku/>
        <w:wordWrap/>
        <w:overflowPunct/>
        <w:topLinePunct w:val="0"/>
        <w:autoSpaceDE w:val="0"/>
        <w:autoSpaceDN w:val="0"/>
        <w:bidi w:val="0"/>
        <w:adjustRightInd/>
        <w:snapToGrid/>
        <w:spacing w:before="0" w:after="0" w:line="420" w:lineRule="exact"/>
        <w:ind w:left="0" w:leftChars="0" w:firstLine="482" w:firstLineChars="200"/>
        <w:jc w:val="both"/>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保险内容及标准</w:t>
      </w:r>
    </w:p>
    <w:tbl>
      <w:tblPr>
        <w:tblStyle w:val="53"/>
        <w:tblW w:w="9750"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2445"/>
        <w:gridCol w:w="1605"/>
        <w:gridCol w:w="4185"/>
      </w:tblGrid>
      <w:tr w14:paraId="3C973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515" w:type="dxa"/>
            <w:noWrap w:val="0"/>
            <w:vAlign w:val="center"/>
          </w:tcPr>
          <w:p w14:paraId="345A7872">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仿宋" w:hAnsi="仿宋" w:eastAsia="仿宋" w:cs="仿宋"/>
                <w:b/>
                <w:color w:val="auto"/>
                <w:sz w:val="24"/>
                <w:szCs w:val="24"/>
                <w:highlight w:val="none"/>
                <w:vertAlign w:val="baseline"/>
                <w:lang w:eastAsia="zh-CN"/>
              </w:rPr>
            </w:pPr>
            <w:r>
              <w:rPr>
                <w:rFonts w:hint="eastAsia" w:ascii="仿宋" w:hAnsi="仿宋" w:eastAsia="仿宋" w:cs="仿宋"/>
                <w:b/>
                <w:color w:val="auto"/>
                <w:sz w:val="24"/>
                <w:szCs w:val="24"/>
                <w:highlight w:val="none"/>
                <w:vertAlign w:val="baseline"/>
                <w:lang w:eastAsia="zh-CN"/>
              </w:rPr>
              <w:t>项目</w:t>
            </w:r>
          </w:p>
        </w:tc>
        <w:tc>
          <w:tcPr>
            <w:tcW w:w="2445" w:type="dxa"/>
            <w:noWrap w:val="0"/>
            <w:vAlign w:val="center"/>
          </w:tcPr>
          <w:p w14:paraId="37C0A66B">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仿宋" w:hAnsi="仿宋" w:eastAsia="仿宋" w:cs="仿宋"/>
                <w:b/>
                <w:color w:val="auto"/>
                <w:sz w:val="24"/>
                <w:szCs w:val="24"/>
                <w:highlight w:val="none"/>
                <w:vertAlign w:val="baseline"/>
                <w:lang w:eastAsia="zh-CN"/>
              </w:rPr>
            </w:pPr>
            <w:r>
              <w:rPr>
                <w:rFonts w:hint="eastAsia" w:ascii="仿宋" w:hAnsi="仿宋" w:eastAsia="仿宋" w:cs="仿宋"/>
                <w:b/>
                <w:color w:val="auto"/>
                <w:sz w:val="24"/>
                <w:szCs w:val="24"/>
                <w:highlight w:val="none"/>
                <w:vertAlign w:val="baseline"/>
                <w:lang w:eastAsia="zh-CN"/>
              </w:rPr>
              <w:t>保障内容</w:t>
            </w:r>
          </w:p>
        </w:tc>
        <w:tc>
          <w:tcPr>
            <w:tcW w:w="1605" w:type="dxa"/>
            <w:noWrap w:val="0"/>
            <w:vAlign w:val="center"/>
          </w:tcPr>
          <w:p w14:paraId="026277B5">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仿宋" w:hAnsi="仿宋" w:eastAsia="仿宋" w:cs="仿宋"/>
                <w:b/>
                <w:color w:val="auto"/>
                <w:kern w:val="2"/>
                <w:sz w:val="24"/>
                <w:szCs w:val="24"/>
                <w:highlight w:val="none"/>
                <w:vertAlign w:val="baseline"/>
                <w:lang w:val="en-US" w:eastAsia="zh-CN" w:bidi="ar-SA"/>
              </w:rPr>
            </w:pPr>
            <w:r>
              <w:rPr>
                <w:rFonts w:hint="eastAsia" w:ascii="仿宋" w:hAnsi="仿宋" w:eastAsia="仿宋" w:cs="仿宋"/>
                <w:b/>
                <w:color w:val="auto"/>
                <w:kern w:val="2"/>
                <w:sz w:val="24"/>
                <w:szCs w:val="24"/>
                <w:highlight w:val="none"/>
                <w:vertAlign w:val="baseline"/>
                <w:lang w:val="en-US" w:eastAsia="zh-CN" w:bidi="ar-SA"/>
              </w:rPr>
              <w:t>赔偿限额</w:t>
            </w:r>
          </w:p>
        </w:tc>
        <w:tc>
          <w:tcPr>
            <w:tcW w:w="4185" w:type="dxa"/>
            <w:noWrap w:val="0"/>
            <w:vAlign w:val="center"/>
          </w:tcPr>
          <w:p w14:paraId="7B5C9F68">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仿宋" w:hAnsi="仿宋" w:eastAsia="仿宋" w:cs="仿宋"/>
                <w:b/>
                <w:color w:val="auto"/>
                <w:kern w:val="2"/>
                <w:sz w:val="24"/>
                <w:szCs w:val="24"/>
                <w:highlight w:val="none"/>
                <w:vertAlign w:val="baseline"/>
                <w:lang w:val="en-US" w:eastAsia="zh-CN" w:bidi="ar-SA"/>
              </w:rPr>
            </w:pPr>
            <w:r>
              <w:rPr>
                <w:rFonts w:hint="eastAsia" w:ascii="仿宋" w:hAnsi="仿宋" w:eastAsia="仿宋" w:cs="仿宋"/>
                <w:b/>
                <w:color w:val="auto"/>
                <w:kern w:val="2"/>
                <w:sz w:val="24"/>
                <w:szCs w:val="24"/>
                <w:highlight w:val="none"/>
                <w:vertAlign w:val="baseline"/>
                <w:lang w:val="en-US" w:eastAsia="zh-CN" w:bidi="ar-SA"/>
              </w:rPr>
              <w:t>备注</w:t>
            </w:r>
          </w:p>
        </w:tc>
      </w:tr>
      <w:tr w14:paraId="6E28D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515" w:type="dxa"/>
            <w:vMerge w:val="restart"/>
            <w:noWrap w:val="0"/>
            <w:vAlign w:val="center"/>
          </w:tcPr>
          <w:p w14:paraId="64557790">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color w:val="auto"/>
                <w:sz w:val="24"/>
                <w:szCs w:val="24"/>
                <w:highlight w:val="none"/>
                <w:vertAlign w:val="baseline"/>
                <w:lang w:eastAsia="zh-CN"/>
              </w:rPr>
            </w:pPr>
            <w:r>
              <w:rPr>
                <w:rFonts w:hint="eastAsia" w:ascii="仿宋" w:hAnsi="仿宋" w:eastAsia="仿宋" w:cs="仿宋"/>
                <w:b w:val="0"/>
                <w:bCs/>
                <w:color w:val="auto"/>
                <w:sz w:val="24"/>
                <w:szCs w:val="24"/>
                <w:highlight w:val="none"/>
                <w:vertAlign w:val="baseline"/>
                <w:lang w:eastAsia="zh-CN"/>
              </w:rPr>
              <w:t>环卫工人团体意外伤害保险</w:t>
            </w:r>
          </w:p>
        </w:tc>
        <w:tc>
          <w:tcPr>
            <w:tcW w:w="2445" w:type="dxa"/>
            <w:noWrap w:val="0"/>
            <w:vAlign w:val="center"/>
          </w:tcPr>
          <w:p w14:paraId="0A1BB21E">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color w:val="auto"/>
                <w:sz w:val="24"/>
                <w:szCs w:val="24"/>
                <w:highlight w:val="none"/>
                <w:vertAlign w:val="baseline"/>
                <w:lang w:eastAsia="zh-CN"/>
              </w:rPr>
            </w:pPr>
            <w:r>
              <w:rPr>
                <w:rFonts w:hint="eastAsia" w:ascii="仿宋" w:hAnsi="仿宋" w:eastAsia="仿宋" w:cs="仿宋"/>
                <w:color w:val="auto"/>
                <w:sz w:val="24"/>
                <w:szCs w:val="24"/>
                <w:highlight w:val="none"/>
                <w:lang w:eastAsia="zh-CN"/>
              </w:rPr>
              <w:t>意外身故及残疾保险</w:t>
            </w:r>
          </w:p>
        </w:tc>
        <w:tc>
          <w:tcPr>
            <w:tcW w:w="1605" w:type="dxa"/>
            <w:noWrap w:val="0"/>
            <w:vAlign w:val="center"/>
          </w:tcPr>
          <w:p w14:paraId="500BC4CB">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b w:val="0"/>
                <w:bCs/>
                <w:color w:val="auto"/>
                <w:sz w:val="24"/>
                <w:szCs w:val="24"/>
                <w:highlight w:val="none"/>
                <w:vertAlign w:val="baseline"/>
                <w:lang w:val="en-US" w:eastAsia="zh-CN"/>
              </w:rPr>
              <w:t>50万元/人</w:t>
            </w:r>
          </w:p>
        </w:tc>
        <w:tc>
          <w:tcPr>
            <w:tcW w:w="4185" w:type="dxa"/>
            <w:noWrap w:val="0"/>
            <w:vAlign w:val="center"/>
          </w:tcPr>
          <w:p w14:paraId="63D80E7A">
            <w:pPr>
              <w:keepNext w:val="0"/>
              <w:keepLines w:val="0"/>
              <w:pageBreakBefore w:val="0"/>
              <w:widowControl w:val="0"/>
              <w:kinsoku/>
              <w:wordWrap/>
              <w:overflowPunct/>
              <w:topLinePunct w:val="0"/>
              <w:autoSpaceDE/>
              <w:autoSpaceDN/>
              <w:bidi w:val="0"/>
              <w:adjustRightInd/>
              <w:snapToGrid w:val="0"/>
              <w:spacing w:line="0" w:lineRule="atLeas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rPr>
              <w:t>意外身故100%，意外残疾根据《人身保险伤残评定标准》，</w:t>
            </w:r>
            <w:r>
              <w:rPr>
                <w:rFonts w:hint="eastAsia" w:ascii="仿宋" w:hAnsi="仿宋" w:eastAsia="仿宋" w:cs="仿宋"/>
                <w:sz w:val="24"/>
                <w:szCs w:val="24"/>
                <w:highlight w:val="none"/>
              </w:rPr>
              <w:t>伤残等级按比例给付。</w:t>
            </w:r>
          </w:p>
        </w:tc>
      </w:tr>
      <w:tr w14:paraId="013FD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15" w:type="dxa"/>
            <w:vMerge w:val="continue"/>
            <w:noWrap w:val="0"/>
            <w:vAlign w:val="center"/>
          </w:tcPr>
          <w:p w14:paraId="460FF4E7">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80" w:firstLineChars="200"/>
              <w:jc w:val="center"/>
              <w:textAlignment w:val="auto"/>
              <w:rPr>
                <w:rFonts w:hint="eastAsia" w:ascii="仿宋" w:hAnsi="仿宋" w:eastAsia="仿宋" w:cs="仿宋"/>
                <w:b w:val="0"/>
                <w:bCs/>
                <w:color w:val="auto"/>
                <w:sz w:val="24"/>
                <w:szCs w:val="24"/>
                <w:highlight w:val="none"/>
                <w:vertAlign w:val="baseline"/>
                <w:lang w:eastAsia="zh-CN"/>
              </w:rPr>
            </w:pPr>
          </w:p>
        </w:tc>
        <w:tc>
          <w:tcPr>
            <w:tcW w:w="2445" w:type="dxa"/>
            <w:noWrap w:val="0"/>
            <w:vAlign w:val="center"/>
          </w:tcPr>
          <w:p w14:paraId="4C13750E">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color w:val="auto"/>
                <w:sz w:val="24"/>
                <w:szCs w:val="24"/>
                <w:highlight w:val="none"/>
                <w:vertAlign w:val="baseline"/>
                <w:lang w:eastAsia="zh-CN"/>
              </w:rPr>
            </w:pPr>
            <w:r>
              <w:rPr>
                <w:rFonts w:hint="eastAsia" w:ascii="仿宋" w:hAnsi="仿宋" w:eastAsia="仿宋" w:cs="仿宋"/>
                <w:b w:val="0"/>
                <w:bCs/>
                <w:color w:val="auto"/>
                <w:sz w:val="24"/>
                <w:szCs w:val="24"/>
                <w:highlight w:val="none"/>
                <w:vertAlign w:val="baseline"/>
                <w:lang w:eastAsia="zh-CN"/>
              </w:rPr>
              <w:t>意外伤害医疗保险</w:t>
            </w:r>
          </w:p>
        </w:tc>
        <w:tc>
          <w:tcPr>
            <w:tcW w:w="1605" w:type="dxa"/>
            <w:noWrap w:val="0"/>
            <w:vAlign w:val="center"/>
          </w:tcPr>
          <w:p w14:paraId="77072E0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b w:val="0"/>
                <w:bCs/>
                <w:color w:val="auto"/>
                <w:sz w:val="24"/>
                <w:szCs w:val="24"/>
                <w:highlight w:val="none"/>
                <w:vertAlign w:val="baseline"/>
                <w:lang w:val="en-US" w:eastAsia="zh-CN"/>
              </w:rPr>
              <w:t>10万元/人</w:t>
            </w:r>
          </w:p>
        </w:tc>
        <w:tc>
          <w:tcPr>
            <w:tcW w:w="4185" w:type="dxa"/>
            <w:noWrap w:val="0"/>
            <w:vAlign w:val="center"/>
          </w:tcPr>
          <w:p w14:paraId="44F0BF0E">
            <w:pPr>
              <w:keepNext w:val="0"/>
              <w:keepLines w:val="0"/>
              <w:pageBreakBefore w:val="0"/>
              <w:widowControl w:val="0"/>
              <w:kinsoku/>
              <w:wordWrap/>
              <w:overflowPunct/>
              <w:topLinePunct w:val="0"/>
              <w:autoSpaceDE/>
              <w:autoSpaceDN/>
              <w:bidi w:val="0"/>
              <w:adjustRightInd/>
              <w:snapToGrid w:val="0"/>
              <w:spacing w:line="0" w:lineRule="atLeast"/>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附合社保报销范围的医疗费用100%赔付</w:t>
            </w:r>
            <w:r>
              <w:rPr>
                <w:rFonts w:hint="eastAsia" w:ascii="仿宋" w:hAnsi="仿宋" w:eastAsia="仿宋" w:cs="仿宋"/>
                <w:color w:val="auto"/>
                <w:sz w:val="24"/>
                <w:szCs w:val="24"/>
                <w:highlight w:val="none"/>
                <w:lang w:eastAsia="zh-CN"/>
              </w:rPr>
              <w:t>。</w:t>
            </w:r>
          </w:p>
        </w:tc>
      </w:tr>
      <w:tr w14:paraId="0D299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15" w:type="dxa"/>
            <w:vMerge w:val="continue"/>
            <w:noWrap w:val="0"/>
            <w:vAlign w:val="center"/>
          </w:tcPr>
          <w:p w14:paraId="445ABE9D">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80" w:firstLineChars="200"/>
              <w:jc w:val="center"/>
              <w:textAlignment w:val="auto"/>
              <w:rPr>
                <w:rFonts w:hint="eastAsia" w:ascii="仿宋" w:hAnsi="仿宋" w:eastAsia="仿宋" w:cs="仿宋"/>
                <w:b w:val="0"/>
                <w:bCs/>
                <w:color w:val="auto"/>
                <w:sz w:val="24"/>
                <w:szCs w:val="24"/>
                <w:highlight w:val="none"/>
                <w:vertAlign w:val="baseline"/>
                <w:lang w:eastAsia="zh-CN"/>
              </w:rPr>
            </w:pPr>
          </w:p>
        </w:tc>
        <w:tc>
          <w:tcPr>
            <w:tcW w:w="2445" w:type="dxa"/>
            <w:noWrap w:val="0"/>
            <w:vAlign w:val="center"/>
          </w:tcPr>
          <w:p w14:paraId="5820AAE2">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color w:val="auto"/>
                <w:sz w:val="24"/>
                <w:szCs w:val="24"/>
                <w:highlight w:val="none"/>
                <w:vertAlign w:val="baseline"/>
                <w:lang w:eastAsia="zh-CN"/>
              </w:rPr>
            </w:pPr>
            <w:r>
              <w:rPr>
                <w:rFonts w:hint="eastAsia" w:ascii="仿宋" w:hAnsi="仿宋" w:eastAsia="仿宋" w:cs="仿宋"/>
                <w:b w:val="0"/>
                <w:bCs/>
                <w:color w:val="auto"/>
                <w:sz w:val="24"/>
                <w:szCs w:val="24"/>
                <w:highlight w:val="none"/>
                <w:vertAlign w:val="baseline"/>
                <w:lang w:eastAsia="zh-CN"/>
              </w:rPr>
              <w:t>意外伤害住院补贴</w:t>
            </w:r>
          </w:p>
        </w:tc>
        <w:tc>
          <w:tcPr>
            <w:tcW w:w="1605" w:type="dxa"/>
            <w:noWrap w:val="0"/>
            <w:vAlign w:val="center"/>
          </w:tcPr>
          <w:p w14:paraId="0FEBA62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b w:val="0"/>
                <w:bCs/>
                <w:color w:val="auto"/>
                <w:sz w:val="24"/>
                <w:szCs w:val="24"/>
                <w:highlight w:val="none"/>
                <w:vertAlign w:val="baseline"/>
                <w:lang w:val="en-US" w:eastAsia="zh-CN"/>
              </w:rPr>
              <w:t>100元/人/天</w:t>
            </w:r>
          </w:p>
        </w:tc>
        <w:tc>
          <w:tcPr>
            <w:tcW w:w="4185" w:type="dxa"/>
            <w:noWrap w:val="0"/>
            <w:vAlign w:val="center"/>
          </w:tcPr>
          <w:p w14:paraId="4504C64C">
            <w:pPr>
              <w:keepNext w:val="0"/>
              <w:keepLines w:val="0"/>
              <w:pageBreakBefore w:val="0"/>
              <w:widowControl w:val="0"/>
              <w:kinsoku/>
              <w:wordWrap/>
              <w:overflowPunct/>
              <w:topLinePunct w:val="0"/>
              <w:autoSpaceDE/>
              <w:autoSpaceDN/>
              <w:bidi w:val="0"/>
              <w:adjustRightInd/>
              <w:snapToGrid w:val="0"/>
              <w:spacing w:line="0" w:lineRule="atLeast"/>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入院第一天开始补贴，按实际住院天数</w:t>
            </w:r>
            <w:r>
              <w:rPr>
                <w:rFonts w:hint="eastAsia" w:ascii="仿宋" w:hAnsi="仿宋" w:eastAsia="仿宋" w:cs="仿宋"/>
                <w:color w:val="auto"/>
                <w:sz w:val="24"/>
                <w:szCs w:val="24"/>
                <w:highlight w:val="none"/>
                <w:lang w:eastAsia="zh-CN"/>
              </w:rPr>
              <w:t>。</w:t>
            </w:r>
          </w:p>
        </w:tc>
      </w:tr>
      <w:tr w14:paraId="741A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15" w:type="dxa"/>
            <w:vMerge w:val="continue"/>
            <w:noWrap w:val="0"/>
            <w:vAlign w:val="center"/>
          </w:tcPr>
          <w:p w14:paraId="3983FCC7">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80" w:firstLineChars="200"/>
              <w:jc w:val="center"/>
              <w:textAlignment w:val="auto"/>
              <w:rPr>
                <w:rFonts w:hint="eastAsia" w:ascii="仿宋" w:hAnsi="仿宋" w:eastAsia="仿宋" w:cs="仿宋"/>
                <w:b w:val="0"/>
                <w:bCs/>
                <w:color w:val="auto"/>
                <w:sz w:val="24"/>
                <w:szCs w:val="24"/>
                <w:highlight w:val="none"/>
                <w:vertAlign w:val="baseline"/>
                <w:lang w:eastAsia="zh-CN"/>
              </w:rPr>
            </w:pPr>
          </w:p>
        </w:tc>
        <w:tc>
          <w:tcPr>
            <w:tcW w:w="2445" w:type="dxa"/>
            <w:noWrap w:val="0"/>
            <w:vAlign w:val="center"/>
          </w:tcPr>
          <w:p w14:paraId="2818B66E">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color w:val="auto"/>
                <w:sz w:val="24"/>
                <w:szCs w:val="24"/>
                <w:highlight w:val="none"/>
                <w:vertAlign w:val="baseline"/>
                <w:lang w:eastAsia="zh-CN"/>
              </w:rPr>
            </w:pPr>
            <w:r>
              <w:rPr>
                <w:rFonts w:hint="eastAsia" w:ascii="仿宋" w:hAnsi="仿宋" w:eastAsia="仿宋" w:cs="仿宋"/>
                <w:b w:val="0"/>
                <w:bCs/>
                <w:color w:val="auto"/>
                <w:sz w:val="24"/>
                <w:szCs w:val="24"/>
                <w:highlight w:val="none"/>
                <w:vertAlign w:val="baseline"/>
                <w:lang w:eastAsia="zh-CN"/>
              </w:rPr>
              <w:t>疾病身故保险</w:t>
            </w:r>
          </w:p>
        </w:tc>
        <w:tc>
          <w:tcPr>
            <w:tcW w:w="1605" w:type="dxa"/>
            <w:noWrap w:val="0"/>
            <w:vAlign w:val="center"/>
          </w:tcPr>
          <w:p w14:paraId="4D06FB7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b w:val="0"/>
                <w:bCs/>
                <w:color w:val="auto"/>
                <w:kern w:val="2"/>
                <w:sz w:val="24"/>
                <w:szCs w:val="24"/>
                <w:highlight w:val="none"/>
                <w:vertAlign w:val="baseline"/>
                <w:lang w:val="en-US" w:eastAsia="zh-CN" w:bidi="ar-SA"/>
              </w:rPr>
              <w:t>10万元/人</w:t>
            </w:r>
          </w:p>
        </w:tc>
        <w:tc>
          <w:tcPr>
            <w:tcW w:w="4185" w:type="dxa"/>
            <w:noWrap w:val="0"/>
            <w:vAlign w:val="center"/>
          </w:tcPr>
          <w:p w14:paraId="04A5471F">
            <w:pPr>
              <w:keepNext w:val="0"/>
              <w:keepLines w:val="0"/>
              <w:pageBreakBefore w:val="0"/>
              <w:widowControl w:val="0"/>
              <w:kinsoku/>
              <w:wordWrap/>
              <w:overflowPunct/>
              <w:topLinePunct w:val="0"/>
              <w:autoSpaceDE/>
              <w:autoSpaceDN/>
              <w:bidi w:val="0"/>
              <w:adjustRightInd/>
              <w:snapToGrid w:val="0"/>
              <w:spacing w:line="0" w:lineRule="atLeas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疾病身故100%赔付</w:t>
            </w:r>
            <w:r>
              <w:rPr>
                <w:rFonts w:hint="eastAsia" w:ascii="仿宋" w:hAnsi="仿宋" w:eastAsia="仿宋" w:cs="仿宋"/>
                <w:color w:val="auto"/>
                <w:sz w:val="24"/>
                <w:szCs w:val="24"/>
                <w:highlight w:val="none"/>
                <w:lang w:eastAsia="zh-CN"/>
              </w:rPr>
              <w:t>。</w:t>
            </w:r>
          </w:p>
        </w:tc>
      </w:tr>
      <w:tr w14:paraId="1909E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515" w:type="dxa"/>
            <w:vMerge w:val="restart"/>
            <w:noWrap w:val="0"/>
            <w:vAlign w:val="center"/>
          </w:tcPr>
          <w:p w14:paraId="5B3F6F1B">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color w:val="auto"/>
                <w:sz w:val="24"/>
                <w:szCs w:val="24"/>
                <w:highlight w:val="none"/>
                <w:vertAlign w:val="baseline"/>
                <w:lang w:eastAsia="zh-CN"/>
              </w:rPr>
            </w:pPr>
            <w:r>
              <w:rPr>
                <w:rFonts w:hint="eastAsia" w:ascii="仿宋" w:hAnsi="仿宋" w:eastAsia="仿宋" w:cs="仿宋"/>
                <w:b w:val="0"/>
                <w:bCs/>
                <w:color w:val="auto"/>
                <w:sz w:val="24"/>
                <w:szCs w:val="24"/>
                <w:highlight w:val="none"/>
                <w:vertAlign w:val="baseline"/>
                <w:lang w:eastAsia="zh-CN"/>
              </w:rPr>
              <w:t>环卫工人补充雇主责任保险</w:t>
            </w:r>
          </w:p>
        </w:tc>
        <w:tc>
          <w:tcPr>
            <w:tcW w:w="2445" w:type="dxa"/>
            <w:noWrap w:val="0"/>
            <w:vAlign w:val="center"/>
          </w:tcPr>
          <w:p w14:paraId="2A071343">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color w:val="auto"/>
                <w:sz w:val="24"/>
                <w:szCs w:val="24"/>
                <w:highlight w:val="none"/>
                <w:vertAlign w:val="baseline"/>
                <w:lang w:eastAsia="zh-CN"/>
              </w:rPr>
            </w:pPr>
            <w:r>
              <w:rPr>
                <w:rFonts w:hint="eastAsia" w:ascii="仿宋" w:hAnsi="仿宋" w:eastAsia="仿宋" w:cs="仿宋"/>
                <w:b w:val="0"/>
                <w:bCs/>
                <w:color w:val="auto"/>
                <w:sz w:val="24"/>
                <w:szCs w:val="24"/>
                <w:highlight w:val="none"/>
                <w:vertAlign w:val="baseline"/>
                <w:lang w:eastAsia="zh-CN"/>
              </w:rPr>
              <w:t>死亡伤残</w:t>
            </w:r>
          </w:p>
        </w:tc>
        <w:tc>
          <w:tcPr>
            <w:tcW w:w="1605" w:type="dxa"/>
            <w:noWrap w:val="0"/>
            <w:vAlign w:val="center"/>
          </w:tcPr>
          <w:p w14:paraId="6665846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b w:val="0"/>
                <w:bCs/>
                <w:color w:val="auto"/>
                <w:sz w:val="24"/>
                <w:szCs w:val="24"/>
                <w:highlight w:val="none"/>
                <w:vertAlign w:val="baseline"/>
                <w:lang w:val="en-US" w:eastAsia="zh-CN"/>
              </w:rPr>
              <w:t>50万元/人</w:t>
            </w:r>
          </w:p>
        </w:tc>
        <w:tc>
          <w:tcPr>
            <w:tcW w:w="4185" w:type="dxa"/>
            <w:noWrap w:val="0"/>
            <w:vAlign w:val="center"/>
          </w:tcPr>
          <w:p w14:paraId="5857049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意外</w:t>
            </w:r>
            <w:r>
              <w:rPr>
                <w:rFonts w:hint="eastAsia" w:ascii="仿宋" w:hAnsi="仿宋" w:eastAsia="仿宋" w:cs="仿宋"/>
                <w:b w:val="0"/>
                <w:bCs/>
                <w:color w:val="auto"/>
                <w:sz w:val="24"/>
                <w:szCs w:val="24"/>
                <w:highlight w:val="none"/>
                <w:lang w:eastAsia="zh-CN"/>
              </w:rPr>
              <w:t>或工伤</w:t>
            </w:r>
            <w:r>
              <w:rPr>
                <w:rFonts w:hint="eastAsia" w:ascii="仿宋" w:hAnsi="仿宋" w:eastAsia="仿宋" w:cs="仿宋"/>
                <w:b w:val="0"/>
                <w:bCs/>
                <w:color w:val="auto"/>
                <w:sz w:val="24"/>
                <w:szCs w:val="24"/>
                <w:highlight w:val="none"/>
              </w:rPr>
              <w:t>身故100%，意外残疾根据《工伤伤残程度与保险金给付比例表》，伤残等级按比例给付。</w:t>
            </w:r>
          </w:p>
        </w:tc>
      </w:tr>
      <w:tr w14:paraId="063BC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15" w:type="dxa"/>
            <w:vMerge w:val="continue"/>
            <w:noWrap w:val="0"/>
            <w:vAlign w:val="center"/>
          </w:tcPr>
          <w:p w14:paraId="329228F6">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color w:val="auto"/>
                <w:sz w:val="24"/>
                <w:szCs w:val="24"/>
                <w:highlight w:val="none"/>
                <w:vertAlign w:val="baseline"/>
                <w:lang w:eastAsia="zh-CN"/>
              </w:rPr>
            </w:pPr>
          </w:p>
        </w:tc>
        <w:tc>
          <w:tcPr>
            <w:tcW w:w="2445" w:type="dxa"/>
            <w:noWrap w:val="0"/>
            <w:vAlign w:val="center"/>
          </w:tcPr>
          <w:p w14:paraId="7E6235D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医疗</w:t>
            </w:r>
            <w:r>
              <w:rPr>
                <w:rFonts w:hint="eastAsia" w:ascii="仿宋" w:hAnsi="仿宋" w:eastAsia="仿宋" w:cs="仿宋"/>
                <w:b w:val="0"/>
                <w:bCs/>
                <w:color w:val="auto"/>
                <w:sz w:val="24"/>
                <w:szCs w:val="24"/>
                <w:highlight w:val="none"/>
                <w:lang w:eastAsia="zh-CN"/>
              </w:rPr>
              <w:t>费</w:t>
            </w:r>
          </w:p>
        </w:tc>
        <w:tc>
          <w:tcPr>
            <w:tcW w:w="1605" w:type="dxa"/>
            <w:noWrap w:val="0"/>
            <w:vAlign w:val="center"/>
          </w:tcPr>
          <w:p w14:paraId="7BCB7F2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vertAlign w:val="baseline"/>
                <w:lang w:val="en-US" w:eastAsia="zh-CN"/>
              </w:rPr>
              <w:t>万元/人</w:t>
            </w:r>
          </w:p>
        </w:tc>
        <w:tc>
          <w:tcPr>
            <w:tcW w:w="4185" w:type="dxa"/>
            <w:noWrap w:val="0"/>
            <w:vAlign w:val="center"/>
          </w:tcPr>
          <w:p w14:paraId="2085FD1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附合社保报销范围的医疗费用100%赔付</w:t>
            </w:r>
            <w:r>
              <w:rPr>
                <w:rFonts w:hint="eastAsia" w:ascii="仿宋" w:hAnsi="仿宋" w:eastAsia="仿宋" w:cs="仿宋"/>
                <w:b w:val="0"/>
                <w:bCs/>
                <w:color w:val="auto"/>
                <w:sz w:val="24"/>
                <w:szCs w:val="24"/>
                <w:highlight w:val="none"/>
                <w:lang w:eastAsia="zh-CN"/>
              </w:rPr>
              <w:t>。</w:t>
            </w:r>
          </w:p>
        </w:tc>
      </w:tr>
      <w:tr w14:paraId="55D2F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15" w:type="dxa"/>
            <w:vMerge w:val="continue"/>
            <w:noWrap w:val="0"/>
            <w:vAlign w:val="center"/>
          </w:tcPr>
          <w:p w14:paraId="401232FD">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color w:val="auto"/>
                <w:sz w:val="24"/>
                <w:szCs w:val="24"/>
                <w:highlight w:val="none"/>
                <w:vertAlign w:val="baseline"/>
                <w:lang w:eastAsia="zh-CN"/>
              </w:rPr>
            </w:pPr>
          </w:p>
        </w:tc>
        <w:tc>
          <w:tcPr>
            <w:tcW w:w="2445" w:type="dxa"/>
            <w:noWrap w:val="0"/>
            <w:vAlign w:val="center"/>
          </w:tcPr>
          <w:p w14:paraId="66852B0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eastAsia="zh-CN"/>
              </w:rPr>
              <w:t>误工费</w:t>
            </w:r>
          </w:p>
        </w:tc>
        <w:tc>
          <w:tcPr>
            <w:tcW w:w="1605" w:type="dxa"/>
            <w:noWrap w:val="0"/>
            <w:vAlign w:val="center"/>
          </w:tcPr>
          <w:p w14:paraId="60A1F6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6</w:t>
            </w:r>
            <w:r>
              <w:rPr>
                <w:rFonts w:hint="eastAsia" w:ascii="仿宋" w:hAnsi="仿宋" w:eastAsia="仿宋" w:cs="仿宋"/>
                <w:b w:val="0"/>
                <w:bCs/>
                <w:color w:val="auto"/>
                <w:sz w:val="24"/>
                <w:szCs w:val="24"/>
                <w:highlight w:val="none"/>
              </w:rPr>
              <w:t>0元/天</w:t>
            </w:r>
          </w:p>
        </w:tc>
        <w:tc>
          <w:tcPr>
            <w:tcW w:w="4185" w:type="dxa"/>
            <w:noWrap w:val="0"/>
            <w:vAlign w:val="center"/>
          </w:tcPr>
          <w:p w14:paraId="3FE99B89">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按实际</w:t>
            </w:r>
            <w:r>
              <w:rPr>
                <w:rFonts w:hint="eastAsia" w:ascii="仿宋" w:hAnsi="仿宋" w:eastAsia="仿宋" w:cs="仿宋"/>
                <w:b w:val="0"/>
                <w:bCs/>
                <w:color w:val="auto"/>
                <w:sz w:val="24"/>
                <w:szCs w:val="24"/>
                <w:highlight w:val="none"/>
                <w:lang w:eastAsia="zh-CN"/>
              </w:rPr>
              <w:t>误工</w:t>
            </w:r>
            <w:r>
              <w:rPr>
                <w:rFonts w:hint="eastAsia" w:ascii="仿宋" w:hAnsi="仿宋" w:eastAsia="仿宋" w:cs="仿宋"/>
                <w:b w:val="0"/>
                <w:bCs/>
                <w:color w:val="auto"/>
                <w:sz w:val="24"/>
                <w:szCs w:val="24"/>
                <w:highlight w:val="none"/>
              </w:rPr>
              <w:t>天数</w:t>
            </w:r>
            <w:r>
              <w:rPr>
                <w:rFonts w:hint="eastAsia" w:ascii="仿宋" w:hAnsi="仿宋" w:eastAsia="仿宋" w:cs="仿宋"/>
                <w:b w:val="0"/>
                <w:bCs/>
                <w:color w:val="auto"/>
                <w:sz w:val="24"/>
                <w:szCs w:val="24"/>
                <w:highlight w:val="none"/>
                <w:lang w:eastAsia="zh-CN"/>
              </w:rPr>
              <w:t>，最长赔付天数</w:t>
            </w:r>
            <w:r>
              <w:rPr>
                <w:rFonts w:hint="eastAsia" w:ascii="仿宋" w:hAnsi="仿宋" w:eastAsia="仿宋" w:cs="仿宋"/>
                <w:b w:val="0"/>
                <w:bCs/>
                <w:color w:val="auto"/>
                <w:sz w:val="24"/>
                <w:szCs w:val="24"/>
                <w:highlight w:val="none"/>
                <w:lang w:val="en-US" w:eastAsia="zh-CN"/>
              </w:rPr>
              <w:t>365天。</w:t>
            </w:r>
          </w:p>
        </w:tc>
      </w:tr>
      <w:tr w14:paraId="1A345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515" w:type="dxa"/>
            <w:vMerge w:val="continue"/>
            <w:noWrap w:val="0"/>
            <w:vAlign w:val="center"/>
          </w:tcPr>
          <w:p w14:paraId="7BB9599F">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color w:val="auto"/>
                <w:sz w:val="24"/>
                <w:szCs w:val="24"/>
                <w:highlight w:val="none"/>
                <w:vertAlign w:val="baseline"/>
                <w:lang w:eastAsia="zh-CN"/>
              </w:rPr>
            </w:pPr>
          </w:p>
        </w:tc>
        <w:tc>
          <w:tcPr>
            <w:tcW w:w="2445" w:type="dxa"/>
            <w:noWrap w:val="0"/>
            <w:vAlign w:val="center"/>
          </w:tcPr>
          <w:p w14:paraId="5D0D9A5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eastAsia="zh-CN"/>
              </w:rPr>
              <w:t>法律诉讼费用</w:t>
            </w:r>
          </w:p>
        </w:tc>
        <w:tc>
          <w:tcPr>
            <w:tcW w:w="1605" w:type="dxa"/>
            <w:noWrap w:val="0"/>
            <w:vAlign w:val="center"/>
          </w:tcPr>
          <w:p w14:paraId="4878E72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1万元/起</w:t>
            </w:r>
          </w:p>
        </w:tc>
        <w:tc>
          <w:tcPr>
            <w:tcW w:w="4185" w:type="dxa"/>
            <w:noWrap w:val="0"/>
            <w:vAlign w:val="center"/>
          </w:tcPr>
          <w:p w14:paraId="40F6970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eastAsia="zh-CN"/>
              </w:rPr>
              <w:t>每</w:t>
            </w:r>
            <w:r>
              <w:rPr>
                <w:rFonts w:hint="eastAsia" w:ascii="仿宋" w:hAnsi="仿宋" w:eastAsia="仿宋" w:cs="仿宋"/>
                <w:b w:val="0"/>
                <w:bCs/>
                <w:color w:val="auto"/>
                <w:sz w:val="24"/>
                <w:szCs w:val="24"/>
                <w:highlight w:val="none"/>
                <w:lang w:val="en-US" w:eastAsia="zh-CN"/>
              </w:rPr>
              <w:t>起</w:t>
            </w:r>
            <w:r>
              <w:rPr>
                <w:rFonts w:hint="eastAsia" w:ascii="仿宋" w:hAnsi="仿宋" w:eastAsia="仿宋" w:cs="仿宋"/>
                <w:b w:val="0"/>
                <w:bCs/>
                <w:color w:val="auto"/>
                <w:sz w:val="24"/>
                <w:szCs w:val="24"/>
                <w:highlight w:val="none"/>
                <w:lang w:eastAsia="zh-CN"/>
              </w:rPr>
              <w:t>诉讼法律费用最高赔付标准。</w:t>
            </w:r>
          </w:p>
        </w:tc>
      </w:tr>
      <w:tr w14:paraId="7497C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750" w:type="dxa"/>
            <w:gridSpan w:val="4"/>
            <w:noWrap w:val="0"/>
            <w:vAlign w:val="center"/>
          </w:tcPr>
          <w:p w14:paraId="6268C93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扩展上下班途中责任</w:t>
            </w:r>
          </w:p>
        </w:tc>
      </w:tr>
    </w:tbl>
    <w:p w14:paraId="452C55EA">
      <w:pPr>
        <w:pStyle w:val="7"/>
        <w:keepNext/>
        <w:keepLines/>
        <w:pageBreakBefore w:val="0"/>
        <w:widowControl w:val="0"/>
        <w:kinsoku/>
        <w:wordWrap/>
        <w:overflowPunct/>
        <w:topLinePunct w:val="0"/>
        <w:autoSpaceDE/>
        <w:autoSpaceDN/>
        <w:bidi w:val="0"/>
        <w:adjustRightInd/>
        <w:snapToGrid/>
        <w:spacing w:before="0" w:after="0" w:line="420" w:lineRule="exact"/>
        <w:ind w:firstLine="480" w:firstLineChars="200"/>
        <w:textAlignment w:val="auto"/>
        <w:rPr>
          <w:rFonts w:hint="eastAsia" w:ascii="仿宋" w:hAnsi="仿宋" w:eastAsia="仿宋" w:cs="仿宋"/>
          <w:b w:val="0"/>
          <w:color w:val="auto"/>
          <w:kern w:val="2"/>
          <w:sz w:val="24"/>
          <w:szCs w:val="24"/>
          <w:lang w:val="zh-CN" w:eastAsia="zh-CN" w:bidi="ar-SA"/>
        </w:rPr>
      </w:pPr>
      <w:r>
        <w:rPr>
          <w:rFonts w:hint="eastAsia" w:ascii="仿宋" w:hAnsi="仿宋" w:eastAsia="仿宋" w:cs="仿宋"/>
          <w:b w:val="0"/>
          <w:color w:val="auto"/>
          <w:kern w:val="2"/>
          <w:sz w:val="24"/>
          <w:szCs w:val="24"/>
          <w:lang w:val="zh-CN" w:eastAsia="zh-CN" w:bidi="ar-SA"/>
        </w:rPr>
        <w:t>《人身保险伤残评定标准》</w:t>
      </w:r>
    </w:p>
    <w:tbl>
      <w:tblPr>
        <w:tblStyle w:val="52"/>
        <w:tblW w:w="8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0"/>
        <w:gridCol w:w="3079"/>
      </w:tblGrid>
      <w:tr w14:paraId="70DB6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150" w:type="dxa"/>
            <w:noWrap w:val="0"/>
            <w:vAlign w:val="center"/>
          </w:tcPr>
          <w:p w14:paraId="23657E4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伤残等级</w:t>
            </w:r>
          </w:p>
        </w:tc>
        <w:tc>
          <w:tcPr>
            <w:tcW w:w="3079" w:type="dxa"/>
            <w:noWrap w:val="0"/>
            <w:vAlign w:val="center"/>
          </w:tcPr>
          <w:p w14:paraId="24BEC36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残疾赔偿给付比例</w:t>
            </w:r>
          </w:p>
        </w:tc>
      </w:tr>
      <w:tr w14:paraId="04E95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150" w:type="dxa"/>
            <w:noWrap w:val="0"/>
            <w:vAlign w:val="center"/>
          </w:tcPr>
          <w:p w14:paraId="7665790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永久丧失全部工作能力或一级伤残</w:t>
            </w:r>
          </w:p>
        </w:tc>
        <w:tc>
          <w:tcPr>
            <w:tcW w:w="3079" w:type="dxa"/>
            <w:noWrap w:val="0"/>
            <w:vAlign w:val="center"/>
          </w:tcPr>
          <w:p w14:paraId="7188EF0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100%</w:t>
            </w:r>
          </w:p>
        </w:tc>
      </w:tr>
      <w:tr w14:paraId="2ACEA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150" w:type="dxa"/>
            <w:noWrap w:val="0"/>
            <w:vAlign w:val="center"/>
          </w:tcPr>
          <w:p w14:paraId="56AA3D0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二级伤残</w:t>
            </w:r>
          </w:p>
        </w:tc>
        <w:tc>
          <w:tcPr>
            <w:tcW w:w="3079" w:type="dxa"/>
            <w:noWrap w:val="0"/>
            <w:vAlign w:val="center"/>
          </w:tcPr>
          <w:p w14:paraId="3D729B9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90%</w:t>
            </w:r>
          </w:p>
        </w:tc>
      </w:tr>
      <w:tr w14:paraId="6758F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150" w:type="dxa"/>
            <w:noWrap w:val="0"/>
            <w:vAlign w:val="center"/>
          </w:tcPr>
          <w:p w14:paraId="49E485F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三级伤残</w:t>
            </w:r>
          </w:p>
        </w:tc>
        <w:tc>
          <w:tcPr>
            <w:tcW w:w="3079" w:type="dxa"/>
            <w:noWrap w:val="0"/>
            <w:vAlign w:val="center"/>
          </w:tcPr>
          <w:p w14:paraId="5F26FDF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80%</w:t>
            </w:r>
          </w:p>
        </w:tc>
      </w:tr>
      <w:tr w14:paraId="1246A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150" w:type="dxa"/>
            <w:noWrap w:val="0"/>
            <w:vAlign w:val="center"/>
          </w:tcPr>
          <w:p w14:paraId="108C45B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四级伤残</w:t>
            </w:r>
          </w:p>
        </w:tc>
        <w:tc>
          <w:tcPr>
            <w:tcW w:w="3079" w:type="dxa"/>
            <w:noWrap w:val="0"/>
            <w:vAlign w:val="center"/>
          </w:tcPr>
          <w:p w14:paraId="22D420D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70%</w:t>
            </w:r>
          </w:p>
        </w:tc>
      </w:tr>
      <w:tr w14:paraId="2F60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150" w:type="dxa"/>
            <w:noWrap w:val="0"/>
            <w:vAlign w:val="center"/>
          </w:tcPr>
          <w:p w14:paraId="67A3013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五级伤残</w:t>
            </w:r>
          </w:p>
        </w:tc>
        <w:tc>
          <w:tcPr>
            <w:tcW w:w="3079" w:type="dxa"/>
            <w:noWrap w:val="0"/>
            <w:vAlign w:val="center"/>
          </w:tcPr>
          <w:p w14:paraId="280F4DE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60%</w:t>
            </w:r>
          </w:p>
        </w:tc>
      </w:tr>
      <w:tr w14:paraId="324E7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150" w:type="dxa"/>
            <w:noWrap w:val="0"/>
            <w:vAlign w:val="center"/>
          </w:tcPr>
          <w:p w14:paraId="6DAC5C5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六级伤残</w:t>
            </w:r>
          </w:p>
        </w:tc>
        <w:tc>
          <w:tcPr>
            <w:tcW w:w="3079" w:type="dxa"/>
            <w:noWrap w:val="0"/>
            <w:vAlign w:val="center"/>
          </w:tcPr>
          <w:p w14:paraId="5524D51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50%</w:t>
            </w:r>
          </w:p>
        </w:tc>
      </w:tr>
      <w:tr w14:paraId="40B95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150" w:type="dxa"/>
            <w:noWrap w:val="0"/>
            <w:vAlign w:val="center"/>
          </w:tcPr>
          <w:p w14:paraId="6C8CAFC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七级伤残</w:t>
            </w:r>
          </w:p>
        </w:tc>
        <w:tc>
          <w:tcPr>
            <w:tcW w:w="3079" w:type="dxa"/>
            <w:noWrap w:val="0"/>
            <w:vAlign w:val="center"/>
          </w:tcPr>
          <w:p w14:paraId="0E90F95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40%</w:t>
            </w:r>
          </w:p>
        </w:tc>
      </w:tr>
      <w:tr w14:paraId="79133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150" w:type="dxa"/>
            <w:noWrap w:val="0"/>
            <w:vAlign w:val="center"/>
          </w:tcPr>
          <w:p w14:paraId="090099C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八级伤残</w:t>
            </w:r>
          </w:p>
        </w:tc>
        <w:tc>
          <w:tcPr>
            <w:tcW w:w="3079" w:type="dxa"/>
            <w:noWrap w:val="0"/>
            <w:vAlign w:val="center"/>
          </w:tcPr>
          <w:p w14:paraId="01D9B91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30%</w:t>
            </w:r>
          </w:p>
        </w:tc>
      </w:tr>
      <w:tr w14:paraId="216AB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150" w:type="dxa"/>
            <w:noWrap w:val="0"/>
            <w:vAlign w:val="center"/>
          </w:tcPr>
          <w:p w14:paraId="186A6E7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九级伤残</w:t>
            </w:r>
          </w:p>
        </w:tc>
        <w:tc>
          <w:tcPr>
            <w:tcW w:w="3079" w:type="dxa"/>
            <w:noWrap w:val="0"/>
            <w:vAlign w:val="center"/>
          </w:tcPr>
          <w:p w14:paraId="29CD8C0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20%</w:t>
            </w:r>
          </w:p>
        </w:tc>
      </w:tr>
      <w:tr w14:paraId="28EC3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150" w:type="dxa"/>
            <w:noWrap w:val="0"/>
            <w:vAlign w:val="center"/>
          </w:tcPr>
          <w:p w14:paraId="53DC8DA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十级伤残</w:t>
            </w:r>
          </w:p>
        </w:tc>
        <w:tc>
          <w:tcPr>
            <w:tcW w:w="3079" w:type="dxa"/>
            <w:noWrap w:val="0"/>
            <w:vAlign w:val="center"/>
          </w:tcPr>
          <w:p w14:paraId="3AE7589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10%</w:t>
            </w:r>
          </w:p>
        </w:tc>
      </w:tr>
    </w:tbl>
    <w:p w14:paraId="3FB4A713">
      <w:pPr>
        <w:pStyle w:val="7"/>
        <w:keepNext/>
        <w:keepLines/>
        <w:pageBreakBefore w:val="0"/>
        <w:widowControl w:val="0"/>
        <w:kinsoku/>
        <w:wordWrap/>
        <w:overflowPunct/>
        <w:topLinePunct w:val="0"/>
        <w:autoSpaceDE/>
        <w:autoSpaceDN/>
        <w:bidi w:val="0"/>
        <w:adjustRightInd/>
        <w:snapToGrid/>
        <w:spacing w:before="0" w:after="0" w:line="420" w:lineRule="exact"/>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《工伤伤残程度与保险金给付比例表》</w:t>
      </w:r>
    </w:p>
    <w:tbl>
      <w:tblPr>
        <w:tblStyle w:val="52"/>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2"/>
        <w:gridCol w:w="3187"/>
      </w:tblGrid>
      <w:tr w14:paraId="7019E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112" w:type="dxa"/>
            <w:noWrap w:val="0"/>
            <w:vAlign w:val="center"/>
          </w:tcPr>
          <w:p w14:paraId="4184EDF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伤残等级</w:t>
            </w:r>
          </w:p>
        </w:tc>
        <w:tc>
          <w:tcPr>
            <w:tcW w:w="3187" w:type="dxa"/>
            <w:noWrap w:val="0"/>
            <w:vAlign w:val="center"/>
          </w:tcPr>
          <w:p w14:paraId="660D0D3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残疾赔偿给付比例</w:t>
            </w:r>
          </w:p>
        </w:tc>
      </w:tr>
      <w:tr w14:paraId="1A0B5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112" w:type="dxa"/>
            <w:noWrap w:val="0"/>
            <w:vAlign w:val="center"/>
          </w:tcPr>
          <w:p w14:paraId="697E0B2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永久丧失全部工作能力或一级伤残</w:t>
            </w:r>
          </w:p>
        </w:tc>
        <w:tc>
          <w:tcPr>
            <w:tcW w:w="3187" w:type="dxa"/>
            <w:noWrap w:val="0"/>
            <w:vAlign w:val="center"/>
          </w:tcPr>
          <w:p w14:paraId="6639240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100%</w:t>
            </w:r>
          </w:p>
        </w:tc>
      </w:tr>
      <w:tr w14:paraId="73B80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112" w:type="dxa"/>
            <w:noWrap w:val="0"/>
            <w:vAlign w:val="center"/>
          </w:tcPr>
          <w:p w14:paraId="6F69FDF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二级伤残</w:t>
            </w:r>
          </w:p>
        </w:tc>
        <w:tc>
          <w:tcPr>
            <w:tcW w:w="3187" w:type="dxa"/>
            <w:noWrap w:val="0"/>
            <w:vAlign w:val="center"/>
          </w:tcPr>
          <w:p w14:paraId="11FFB8B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80%</w:t>
            </w:r>
          </w:p>
        </w:tc>
      </w:tr>
      <w:tr w14:paraId="1206D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112" w:type="dxa"/>
            <w:noWrap w:val="0"/>
            <w:vAlign w:val="center"/>
          </w:tcPr>
          <w:p w14:paraId="6AA84B6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三级伤残</w:t>
            </w:r>
          </w:p>
        </w:tc>
        <w:tc>
          <w:tcPr>
            <w:tcW w:w="3187" w:type="dxa"/>
            <w:noWrap w:val="0"/>
            <w:vAlign w:val="center"/>
          </w:tcPr>
          <w:p w14:paraId="696632A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70%</w:t>
            </w:r>
          </w:p>
        </w:tc>
      </w:tr>
      <w:tr w14:paraId="0A46E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112" w:type="dxa"/>
            <w:noWrap w:val="0"/>
            <w:vAlign w:val="center"/>
          </w:tcPr>
          <w:p w14:paraId="2BC9702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四级伤残</w:t>
            </w:r>
          </w:p>
        </w:tc>
        <w:tc>
          <w:tcPr>
            <w:tcW w:w="3187" w:type="dxa"/>
            <w:noWrap w:val="0"/>
            <w:vAlign w:val="center"/>
          </w:tcPr>
          <w:p w14:paraId="24A55EC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60%</w:t>
            </w:r>
          </w:p>
        </w:tc>
      </w:tr>
      <w:tr w14:paraId="5A28C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112" w:type="dxa"/>
            <w:noWrap w:val="0"/>
            <w:vAlign w:val="center"/>
          </w:tcPr>
          <w:p w14:paraId="13770DB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五级伤残</w:t>
            </w:r>
          </w:p>
        </w:tc>
        <w:tc>
          <w:tcPr>
            <w:tcW w:w="3187" w:type="dxa"/>
            <w:noWrap w:val="0"/>
            <w:vAlign w:val="center"/>
          </w:tcPr>
          <w:p w14:paraId="27D5237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50%</w:t>
            </w:r>
          </w:p>
        </w:tc>
      </w:tr>
      <w:tr w14:paraId="3663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112" w:type="dxa"/>
            <w:noWrap w:val="0"/>
            <w:vAlign w:val="center"/>
          </w:tcPr>
          <w:p w14:paraId="630B5DA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六级伤残</w:t>
            </w:r>
          </w:p>
        </w:tc>
        <w:tc>
          <w:tcPr>
            <w:tcW w:w="3187" w:type="dxa"/>
            <w:noWrap w:val="0"/>
            <w:vAlign w:val="center"/>
          </w:tcPr>
          <w:p w14:paraId="15CE026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40%</w:t>
            </w:r>
          </w:p>
        </w:tc>
      </w:tr>
      <w:tr w14:paraId="47F98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112" w:type="dxa"/>
            <w:noWrap w:val="0"/>
            <w:vAlign w:val="center"/>
          </w:tcPr>
          <w:p w14:paraId="0D15B19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七级伤残</w:t>
            </w:r>
          </w:p>
        </w:tc>
        <w:tc>
          <w:tcPr>
            <w:tcW w:w="3187" w:type="dxa"/>
            <w:noWrap w:val="0"/>
            <w:vAlign w:val="center"/>
          </w:tcPr>
          <w:p w14:paraId="255EAAE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30%</w:t>
            </w:r>
          </w:p>
        </w:tc>
      </w:tr>
      <w:tr w14:paraId="515E6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112" w:type="dxa"/>
            <w:noWrap w:val="0"/>
            <w:vAlign w:val="center"/>
          </w:tcPr>
          <w:p w14:paraId="65C7756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八级伤残</w:t>
            </w:r>
          </w:p>
        </w:tc>
        <w:tc>
          <w:tcPr>
            <w:tcW w:w="3187" w:type="dxa"/>
            <w:noWrap w:val="0"/>
            <w:vAlign w:val="center"/>
          </w:tcPr>
          <w:p w14:paraId="2BEE472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20%</w:t>
            </w:r>
          </w:p>
        </w:tc>
      </w:tr>
      <w:tr w14:paraId="45050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112" w:type="dxa"/>
            <w:noWrap w:val="0"/>
            <w:vAlign w:val="center"/>
          </w:tcPr>
          <w:p w14:paraId="29E3899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九级伤残</w:t>
            </w:r>
          </w:p>
        </w:tc>
        <w:tc>
          <w:tcPr>
            <w:tcW w:w="3187" w:type="dxa"/>
            <w:noWrap w:val="0"/>
            <w:vAlign w:val="center"/>
          </w:tcPr>
          <w:p w14:paraId="2E51C60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10%</w:t>
            </w:r>
          </w:p>
        </w:tc>
      </w:tr>
      <w:tr w14:paraId="5F4B2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112" w:type="dxa"/>
            <w:noWrap w:val="0"/>
            <w:vAlign w:val="center"/>
          </w:tcPr>
          <w:p w14:paraId="0F6FDF9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十级伤残</w:t>
            </w:r>
          </w:p>
        </w:tc>
        <w:tc>
          <w:tcPr>
            <w:tcW w:w="3187" w:type="dxa"/>
            <w:noWrap w:val="0"/>
            <w:vAlign w:val="center"/>
          </w:tcPr>
          <w:p w14:paraId="61AB09E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w:t>
            </w:r>
          </w:p>
        </w:tc>
      </w:tr>
    </w:tbl>
    <w:p w14:paraId="57380E24">
      <w:pPr>
        <w:pStyle w:val="4"/>
        <w:keepNext w:val="0"/>
        <w:keepLines w:val="0"/>
        <w:pageBreakBefore w:val="0"/>
        <w:widowControl w:val="0"/>
        <w:kinsoku/>
        <w:wordWrap/>
        <w:overflowPunct/>
        <w:topLinePunct w:val="0"/>
        <w:autoSpaceDE/>
        <w:autoSpaceDN/>
        <w:bidi w:val="0"/>
        <w:adjustRightInd/>
        <w:snapToGrid/>
        <w:spacing w:after="0" w:line="420" w:lineRule="exact"/>
        <w:ind w:left="0" w:right="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u w:val="single"/>
        </w:rPr>
        <w:t>同意</w:t>
      </w:r>
      <w:r>
        <w:rPr>
          <w:rFonts w:hint="eastAsia" w:ascii="仿宋" w:hAnsi="仿宋" w:eastAsia="仿宋" w:cs="仿宋"/>
          <w:b w:val="0"/>
          <w:bCs/>
          <w:color w:val="auto"/>
          <w:sz w:val="24"/>
          <w:szCs w:val="24"/>
          <w:highlight w:val="none"/>
          <w:u w:val="single"/>
          <w:lang w:val="en-US" w:eastAsia="zh-CN"/>
        </w:rPr>
        <w:t>新增人员</w:t>
      </w:r>
      <w:r>
        <w:rPr>
          <w:rFonts w:hint="eastAsia" w:ascii="仿宋" w:hAnsi="仿宋" w:eastAsia="仿宋" w:cs="仿宋"/>
          <w:b w:val="0"/>
          <w:bCs/>
          <w:color w:val="auto"/>
          <w:sz w:val="24"/>
          <w:szCs w:val="24"/>
          <w:highlight w:val="none"/>
          <w:u w:val="single"/>
        </w:rPr>
        <w:t>投保（保全加保生效日）追溯62天，每月30日由</w:t>
      </w:r>
      <w:r>
        <w:rPr>
          <w:rFonts w:hint="eastAsia" w:ascii="仿宋" w:hAnsi="仿宋" w:eastAsia="仿宋" w:cs="仿宋"/>
          <w:b w:val="0"/>
          <w:bCs/>
          <w:color w:val="auto"/>
          <w:sz w:val="24"/>
          <w:szCs w:val="24"/>
          <w:highlight w:val="none"/>
          <w:u w:val="single"/>
          <w:lang w:val="en-US" w:eastAsia="zh-CN"/>
        </w:rPr>
        <w:t>采购人</w:t>
      </w:r>
      <w:r>
        <w:rPr>
          <w:rFonts w:hint="eastAsia" w:ascii="仿宋" w:hAnsi="仿宋" w:eastAsia="仿宋" w:cs="仿宋"/>
          <w:b w:val="0"/>
          <w:bCs/>
          <w:color w:val="auto"/>
          <w:sz w:val="24"/>
          <w:szCs w:val="24"/>
          <w:highlight w:val="none"/>
          <w:u w:val="single"/>
        </w:rPr>
        <w:t>提供上两月的新</w:t>
      </w:r>
      <w:r>
        <w:rPr>
          <w:rFonts w:hint="eastAsia" w:ascii="仿宋" w:hAnsi="仿宋" w:eastAsia="仿宋" w:cs="仿宋"/>
          <w:b w:val="0"/>
          <w:bCs/>
          <w:color w:val="auto"/>
          <w:sz w:val="24"/>
          <w:szCs w:val="24"/>
          <w:highlight w:val="none"/>
          <w:u w:val="single"/>
          <w:lang w:val="en-US" w:eastAsia="zh-CN"/>
        </w:rPr>
        <w:t>增</w:t>
      </w:r>
      <w:r>
        <w:rPr>
          <w:rFonts w:hint="eastAsia" w:ascii="仿宋" w:hAnsi="仿宋" w:eastAsia="仿宋" w:cs="仿宋"/>
          <w:b w:val="0"/>
          <w:bCs/>
          <w:color w:val="auto"/>
          <w:sz w:val="24"/>
          <w:szCs w:val="24"/>
          <w:highlight w:val="none"/>
          <w:u w:val="single"/>
        </w:rPr>
        <w:t>人员名单进行变更或加保处理，（</w:t>
      </w:r>
      <w:r>
        <w:rPr>
          <w:rFonts w:hint="eastAsia" w:ascii="仿宋" w:hAnsi="仿宋" w:eastAsia="仿宋" w:cs="仿宋"/>
          <w:b w:val="0"/>
          <w:bCs/>
          <w:color w:val="auto"/>
          <w:sz w:val="24"/>
          <w:szCs w:val="24"/>
          <w:highlight w:val="none"/>
          <w:u w:val="single"/>
          <w:lang w:val="en-US" w:eastAsia="zh-CN"/>
        </w:rPr>
        <w:t>采购人</w:t>
      </w:r>
      <w:r>
        <w:rPr>
          <w:rFonts w:hint="eastAsia" w:ascii="仿宋" w:hAnsi="仿宋" w:eastAsia="仿宋" w:cs="仿宋"/>
          <w:b w:val="0"/>
          <w:bCs/>
          <w:color w:val="auto"/>
          <w:sz w:val="24"/>
          <w:szCs w:val="24"/>
          <w:highlight w:val="none"/>
          <w:u w:val="single"/>
        </w:rPr>
        <w:t>应在新员工入职日起62日内申请增加被保险人，如遇法定假日顺延至下一个工作日进行），对于在追溯期内出险或因遗漏未及时变更的员工，理赔须提供前三个月的工资表及出险人雇佣劳动合同。在保险期间内，</w:t>
      </w:r>
      <w:r>
        <w:rPr>
          <w:rFonts w:hint="eastAsia" w:ascii="仿宋" w:hAnsi="仿宋" w:eastAsia="仿宋" w:cs="仿宋"/>
          <w:b w:val="0"/>
          <w:bCs/>
          <w:color w:val="auto"/>
          <w:sz w:val="24"/>
          <w:szCs w:val="24"/>
          <w:highlight w:val="none"/>
          <w:u w:val="single"/>
          <w:lang w:val="en-US" w:eastAsia="zh-CN"/>
        </w:rPr>
        <w:t>采购人员工</w:t>
      </w:r>
      <w:r>
        <w:rPr>
          <w:rFonts w:hint="eastAsia" w:ascii="仿宋" w:hAnsi="仿宋" w:eastAsia="仿宋" w:cs="仿宋"/>
          <w:b w:val="0"/>
          <w:bCs/>
          <w:color w:val="auto"/>
          <w:sz w:val="24"/>
          <w:szCs w:val="24"/>
          <w:highlight w:val="none"/>
          <w:u w:val="single"/>
        </w:rPr>
        <w:t>中暑并遭受主保险合同约定的保险事故的，</w:t>
      </w:r>
      <w:r>
        <w:rPr>
          <w:rFonts w:hint="eastAsia" w:ascii="仿宋" w:hAnsi="仿宋" w:eastAsia="仿宋" w:cs="仿宋"/>
          <w:b w:val="0"/>
          <w:bCs/>
          <w:color w:val="auto"/>
          <w:sz w:val="24"/>
          <w:szCs w:val="24"/>
          <w:highlight w:val="none"/>
          <w:u w:val="single"/>
          <w:lang w:val="en-US" w:eastAsia="zh-CN"/>
        </w:rPr>
        <w:t>中标人</w:t>
      </w:r>
      <w:r>
        <w:rPr>
          <w:rFonts w:hint="eastAsia" w:ascii="仿宋" w:hAnsi="仿宋" w:eastAsia="仿宋" w:cs="仿宋"/>
          <w:b w:val="0"/>
          <w:bCs/>
          <w:color w:val="auto"/>
          <w:sz w:val="24"/>
          <w:szCs w:val="24"/>
          <w:highlight w:val="none"/>
          <w:u w:val="single"/>
        </w:rPr>
        <w:t>给付主保险合同约定的身故、残疾及相应医药费用的保险金。若主保险合同与本附加保险合同的条款互有冲突，则以本附加保险合同的条款为准。</w:t>
      </w:r>
    </w:p>
    <w:p w14:paraId="7FB699B4">
      <w:pPr>
        <w:pStyle w:val="40"/>
        <w:keepNext w:val="0"/>
        <w:keepLines w:val="0"/>
        <w:pageBreakBefore w:val="0"/>
        <w:widowControl w:val="0"/>
        <w:numPr>
          <w:ilvl w:val="0"/>
          <w:numId w:val="19"/>
        </w:numPr>
        <w:kinsoku/>
        <w:wordWrap/>
        <w:overflowPunct/>
        <w:topLinePunct w:val="0"/>
        <w:autoSpaceDE w:val="0"/>
        <w:autoSpaceDN w:val="0"/>
        <w:bidi w:val="0"/>
        <w:adjustRightInd/>
        <w:snapToGrid/>
        <w:spacing w:before="0" w:after="0" w:line="420" w:lineRule="exact"/>
        <w:ind w:left="0" w:leftChars="0" w:firstLine="482" w:firstLineChars="200"/>
        <w:jc w:val="both"/>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服务要求</w:t>
      </w:r>
    </w:p>
    <w:p w14:paraId="558B5553">
      <w:pPr>
        <w:keepNext w:val="0"/>
        <w:keepLines w:val="0"/>
        <w:pageBreakBefore w:val="0"/>
        <w:widowControl/>
        <w:numPr>
          <w:ilvl w:val="0"/>
          <w:numId w:val="20"/>
        </w:numPr>
        <w:suppressLineNumbers w:val="0"/>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中标后立即组建本项目的专项服务团队，能够实现长期高效、稳定服务。为投保人指定理赔专员，接到报案后，理赔人员应立即到达现场，并协助投保人办理相关的索赔手续。设置统一报案电话并保证提供24小时全天候接收报案服务。</w:t>
      </w:r>
    </w:p>
    <w:p w14:paraId="329CAEA1">
      <w:pPr>
        <w:keepNext w:val="0"/>
        <w:keepLines w:val="0"/>
        <w:pageBreakBefore w:val="0"/>
        <w:widowControl/>
        <w:numPr>
          <w:ilvl w:val="0"/>
          <w:numId w:val="20"/>
        </w:numPr>
        <w:suppressLineNumbers w:val="0"/>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标人在接到首次报案后24小时内联系投保人或被保险人及家属进行首次跟踪服务告知理赔流程和应注意的事项，同时负责整理保险理赔所需资料，理赔资料收集后，理赔款在10万元以下的3个工作日内、10万元以上7个工作日内完成赔付（以理赔款到账时间为准），因程序等原因造成不能理赔的，由中标人承担全部责任，采购人可以无条件上报公管办予以处罚。</w:t>
      </w:r>
    </w:p>
    <w:p w14:paraId="564F50E5">
      <w:pPr>
        <w:keepNext w:val="0"/>
        <w:keepLines w:val="0"/>
        <w:pageBreakBefore w:val="0"/>
        <w:widowControl/>
        <w:numPr>
          <w:ilvl w:val="0"/>
          <w:numId w:val="20"/>
        </w:numPr>
        <w:suppressLineNumbers w:val="0"/>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具备网络、电话、短信、网点及专员等多样化服务渠道，提供免费的短信告知服务，能充分体现服务的人性化和服务渠道的便捷性。</w:t>
      </w:r>
    </w:p>
    <w:p w14:paraId="2C4B5400">
      <w:pPr>
        <w:keepNext w:val="0"/>
        <w:keepLines w:val="0"/>
        <w:pageBreakBefore w:val="0"/>
        <w:widowControl/>
        <w:numPr>
          <w:ilvl w:val="0"/>
          <w:numId w:val="20"/>
        </w:numPr>
        <w:suppressLineNumbers w:val="0"/>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理赔服务及时合理，定期为采购人提供理赔报表，并为采购人提供保险业务培训和承保指导。</w:t>
      </w:r>
    </w:p>
    <w:p w14:paraId="54BFAF3B">
      <w:pPr>
        <w:keepNext w:val="0"/>
        <w:keepLines w:val="0"/>
        <w:pageBreakBefore w:val="0"/>
        <w:widowControl/>
        <w:numPr>
          <w:ilvl w:val="0"/>
          <w:numId w:val="20"/>
        </w:numPr>
        <w:suppressLineNumbers w:val="0"/>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对被保险人的相关信息、隐私予以保密。</w:t>
      </w:r>
    </w:p>
    <w:p w14:paraId="338310E5">
      <w:pPr>
        <w:keepNext w:val="0"/>
        <w:keepLines w:val="0"/>
        <w:pageBreakBefore w:val="0"/>
        <w:widowControl/>
        <w:numPr>
          <w:ilvl w:val="0"/>
          <w:numId w:val="20"/>
        </w:numPr>
        <w:suppressLineNumbers w:val="0"/>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★在实际理赔中，应当建立小额快捷处理机制。</w:t>
      </w:r>
    </w:p>
    <w:p w14:paraId="53CD44FE">
      <w:pPr>
        <w:keepNext w:val="0"/>
        <w:keepLines w:val="0"/>
        <w:pageBreakBefore w:val="0"/>
        <w:widowControl/>
        <w:numPr>
          <w:ilvl w:val="0"/>
          <w:numId w:val="20"/>
        </w:numPr>
        <w:suppressLineNumbers w:val="0"/>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在实际理赔中，伤残标准严格按照社保局工伤评定标准，鉴定机构由保险公司自评或委托伤残资格机构认定为准。</w:t>
      </w:r>
    </w:p>
    <w:p w14:paraId="38C976A6">
      <w:pPr>
        <w:keepNext w:val="0"/>
        <w:keepLines w:val="0"/>
        <w:pageBreakBefore w:val="0"/>
        <w:widowControl/>
        <w:numPr>
          <w:ilvl w:val="0"/>
          <w:numId w:val="20"/>
        </w:numPr>
        <w:suppressLineNumbers w:val="0"/>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★当有人员出险时，未达伤残标准的案件，须在一个月之内处理完毕（被保险人理赔资料不齐全除外），若有延误，每只案件扣除理赔金额的10%作为罚金（有第三方责任的除外）。</w:t>
      </w:r>
    </w:p>
    <w:p w14:paraId="57E6E4D0">
      <w:pPr>
        <w:keepNext w:val="0"/>
        <w:keepLines w:val="0"/>
        <w:pageBreakBefore w:val="0"/>
        <w:widowControl/>
        <w:numPr>
          <w:ilvl w:val="0"/>
          <w:numId w:val="20"/>
        </w:numPr>
        <w:suppressLineNumbers w:val="0"/>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在上下班及工作时间由交通事故时造成出险的，保险公司须提供专人服务，配合解决，提出合理建议。</w:t>
      </w:r>
    </w:p>
    <w:p w14:paraId="79030858">
      <w:pPr>
        <w:keepNext w:val="0"/>
        <w:keepLines w:val="0"/>
        <w:pageBreakBefore w:val="0"/>
        <w:widowControl/>
        <w:numPr>
          <w:ilvl w:val="0"/>
          <w:numId w:val="20"/>
        </w:numPr>
        <w:suppressLineNumbers w:val="0"/>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★案件交接必须出专用凭证，方便计算理赔时间。</w:t>
      </w:r>
    </w:p>
    <w:p w14:paraId="55F17A39">
      <w:pPr>
        <w:keepNext w:val="0"/>
        <w:keepLines w:val="0"/>
        <w:pageBreakBefore w:val="0"/>
        <w:widowControl/>
        <w:numPr>
          <w:ilvl w:val="0"/>
          <w:numId w:val="20"/>
        </w:numPr>
        <w:suppressLineNumbers w:val="0"/>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★投标人必须对自己的服务内容作出具承诺函</w:t>
      </w:r>
      <w:r>
        <w:rPr>
          <w:rFonts w:hint="default" w:ascii="仿宋" w:hAnsi="仿宋" w:eastAsia="仿宋" w:cs="仿宋"/>
          <w:b w:val="0"/>
          <w:bCs/>
          <w:color w:val="auto"/>
          <w:kern w:val="2"/>
          <w:sz w:val="24"/>
          <w:szCs w:val="24"/>
          <w:highlight w:val="none"/>
          <w:lang w:val="en-US" w:eastAsia="zh-CN" w:bidi="ar-SA"/>
        </w:rPr>
        <w:t>（承诺函格式自拟）</w:t>
      </w:r>
      <w:r>
        <w:rPr>
          <w:rFonts w:hint="eastAsia" w:ascii="仿宋" w:hAnsi="仿宋" w:eastAsia="仿宋" w:cs="仿宋"/>
          <w:b w:val="0"/>
          <w:bCs w:val="0"/>
          <w:color w:val="auto"/>
          <w:sz w:val="24"/>
          <w:szCs w:val="24"/>
          <w:highlight w:val="none"/>
          <w:lang w:val="en-US" w:eastAsia="zh-CN"/>
        </w:rPr>
        <w:t>。</w:t>
      </w:r>
    </w:p>
    <w:p w14:paraId="14C5AF8F">
      <w:pPr>
        <w:keepNext w:val="0"/>
        <w:keepLines w:val="0"/>
        <w:pageBreakBefore w:val="0"/>
        <w:widowControl/>
        <w:numPr>
          <w:ilvl w:val="0"/>
          <w:numId w:val="20"/>
        </w:numPr>
        <w:suppressLineNumbers w:val="0"/>
        <w:kinsoku/>
        <w:wordWrap/>
        <w:overflowPunct/>
        <w:topLinePunct w:val="0"/>
        <w:autoSpaceDE/>
        <w:autoSpaceDN/>
        <w:bidi w:val="0"/>
        <w:adjustRightInd/>
        <w:snapToGrid/>
        <w:spacing w:line="420" w:lineRule="exact"/>
        <w:ind w:left="0" w:leftChars="0" w:firstLine="480" w:firstLineChars="200"/>
        <w:jc w:val="left"/>
        <w:textAlignment w:val="auto"/>
        <w:rPr>
          <w:rFonts w:hint="default"/>
          <w:color w:val="auto"/>
          <w:sz w:val="24"/>
          <w:szCs w:val="24"/>
          <w:lang w:val="en-US" w:eastAsia="zh-CN"/>
        </w:rPr>
      </w:pPr>
      <w:r>
        <w:rPr>
          <w:rFonts w:hint="eastAsia" w:ascii="仿宋" w:hAnsi="仿宋" w:eastAsia="仿宋" w:cs="仿宋"/>
          <w:b w:val="0"/>
          <w:bCs w:val="0"/>
          <w:color w:val="auto"/>
          <w:sz w:val="24"/>
          <w:szCs w:val="24"/>
          <w:highlight w:val="none"/>
          <w:lang w:val="en-US" w:eastAsia="zh-CN"/>
        </w:rPr>
        <w:t>★中标人须按季度提交相关保险理赔数据统计与采购人。</w:t>
      </w:r>
    </w:p>
    <w:p w14:paraId="7FF8BC06">
      <w:pPr>
        <w:pStyle w:val="40"/>
        <w:keepNext w:val="0"/>
        <w:keepLines w:val="0"/>
        <w:pageBreakBefore w:val="0"/>
        <w:widowControl w:val="0"/>
        <w:numPr>
          <w:ilvl w:val="0"/>
          <w:numId w:val="19"/>
        </w:numPr>
        <w:kinsoku/>
        <w:wordWrap/>
        <w:overflowPunct/>
        <w:topLinePunct w:val="0"/>
        <w:autoSpaceDE w:val="0"/>
        <w:autoSpaceDN w:val="0"/>
        <w:bidi w:val="0"/>
        <w:adjustRightInd/>
        <w:snapToGrid/>
        <w:spacing w:before="0" w:after="0" w:line="420" w:lineRule="exact"/>
        <w:ind w:left="0" w:leftChars="0" w:firstLine="482" w:firstLineChars="20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服务期限</w:t>
      </w:r>
    </w:p>
    <w:p w14:paraId="38D2114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服务期限为两年。</w:t>
      </w:r>
    </w:p>
    <w:p w14:paraId="413E8970">
      <w:pPr>
        <w:pStyle w:val="40"/>
        <w:keepNext w:val="0"/>
        <w:keepLines w:val="0"/>
        <w:pageBreakBefore w:val="0"/>
        <w:widowControl w:val="0"/>
        <w:numPr>
          <w:ilvl w:val="0"/>
          <w:numId w:val="19"/>
        </w:numPr>
        <w:kinsoku/>
        <w:wordWrap/>
        <w:overflowPunct/>
        <w:topLinePunct w:val="0"/>
        <w:autoSpaceDE w:val="0"/>
        <w:autoSpaceDN w:val="0"/>
        <w:bidi w:val="0"/>
        <w:adjustRightInd/>
        <w:snapToGrid/>
        <w:spacing w:before="0" w:after="0" w:line="420" w:lineRule="exact"/>
        <w:ind w:left="0" w:leftChars="0" w:firstLine="482" w:firstLineChars="20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履约保证金及付款方式</w:t>
      </w:r>
    </w:p>
    <w:p w14:paraId="2E23EF1D">
      <w:pPr>
        <w:keepNext w:val="0"/>
        <w:keepLines w:val="0"/>
        <w:pageBreakBefore w:val="0"/>
        <w:widowControl/>
        <w:numPr>
          <w:ilvl w:val="0"/>
          <w:numId w:val="21"/>
        </w:numPr>
        <w:suppressLineNumbers w:val="0"/>
        <w:kinsoku/>
        <w:wordWrap/>
        <w:overflowPunct/>
        <w:topLinePunct w:val="0"/>
        <w:autoSpaceDE/>
        <w:autoSpaceDN/>
        <w:bidi w:val="0"/>
        <w:adjustRightInd/>
        <w:snapToGrid/>
        <w:spacing w:line="420" w:lineRule="exact"/>
        <w:ind w:left="0" w:leftChars="0" w:firstLine="482"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履约保证金：</w:t>
      </w:r>
      <w:r>
        <w:rPr>
          <w:rFonts w:hint="eastAsia" w:ascii="仿宋" w:hAnsi="仿宋" w:eastAsia="仿宋" w:cs="仿宋"/>
          <w:b w:val="0"/>
          <w:bCs w:val="0"/>
          <w:color w:val="auto"/>
          <w:sz w:val="24"/>
          <w:szCs w:val="24"/>
          <w:highlight w:val="none"/>
          <w:lang w:val="en-US" w:eastAsia="zh-CN"/>
        </w:rPr>
        <w:t>合同签订前，中标人须向采购人缴纳</w:t>
      </w:r>
      <w:r>
        <w:rPr>
          <w:rFonts w:hint="eastAsia" w:ascii="仿宋" w:hAnsi="仿宋" w:eastAsia="仿宋" w:cs="仿宋"/>
          <w:b w:val="0"/>
          <w:bCs w:val="0"/>
          <w:color w:val="auto"/>
          <w:sz w:val="24"/>
          <w:szCs w:val="24"/>
          <w:highlight w:val="none"/>
          <w:u w:val="single"/>
          <w:lang w:val="en-US" w:eastAsia="zh-CN"/>
        </w:rPr>
        <w:t>贰拾万元</w:t>
      </w:r>
      <w:r>
        <w:rPr>
          <w:rFonts w:hint="eastAsia" w:ascii="仿宋" w:hAnsi="仿宋" w:eastAsia="仿宋" w:cs="仿宋"/>
          <w:b w:val="0"/>
          <w:bCs w:val="0"/>
          <w:color w:val="auto"/>
          <w:sz w:val="24"/>
          <w:szCs w:val="24"/>
          <w:highlight w:val="none"/>
          <w:lang w:val="en-US" w:eastAsia="zh-CN"/>
        </w:rPr>
        <w:t>的履约保证金，履约保证金可采用电汇或银行汇票或支票形式，合同履行到期后无息退还。</w:t>
      </w:r>
    </w:p>
    <w:p w14:paraId="2513F9F1">
      <w:pPr>
        <w:keepNext w:val="0"/>
        <w:keepLines w:val="0"/>
        <w:pageBreakBefore w:val="0"/>
        <w:widowControl/>
        <w:numPr>
          <w:ilvl w:val="0"/>
          <w:numId w:val="21"/>
        </w:numPr>
        <w:suppressLineNumbers w:val="0"/>
        <w:kinsoku/>
        <w:wordWrap/>
        <w:overflowPunct/>
        <w:topLinePunct w:val="0"/>
        <w:autoSpaceDE/>
        <w:autoSpaceDN/>
        <w:bidi w:val="0"/>
        <w:adjustRightInd/>
        <w:snapToGrid/>
        <w:spacing w:line="420" w:lineRule="exact"/>
        <w:ind w:left="0" w:leftChars="0" w:firstLine="482"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付款方式：</w:t>
      </w:r>
      <w:r>
        <w:rPr>
          <w:rFonts w:hint="eastAsia" w:ascii="仿宋" w:hAnsi="仿宋" w:eastAsia="仿宋" w:cs="仿宋"/>
          <w:b w:val="0"/>
          <w:bCs/>
          <w:snapToGrid w:val="0"/>
          <w:color w:val="auto"/>
          <w:sz w:val="24"/>
          <w:highlight w:val="none"/>
          <w:lang w:eastAsia="zh-CN"/>
        </w:rPr>
        <w:t>按单价招标，数量</w:t>
      </w:r>
      <w:r>
        <w:rPr>
          <w:rFonts w:hint="eastAsia" w:ascii="仿宋" w:hAnsi="仿宋" w:eastAsia="仿宋" w:cs="仿宋"/>
          <w:bCs/>
          <w:color w:val="auto"/>
          <w:sz w:val="24"/>
          <w:szCs w:val="24"/>
          <w:highlight w:val="none"/>
          <w:lang w:eastAsia="zh-CN"/>
        </w:rPr>
        <w:t>按实结算。</w:t>
      </w:r>
      <w:r>
        <w:rPr>
          <w:rFonts w:hint="eastAsia" w:ascii="仿宋" w:hAnsi="仿宋" w:eastAsia="仿宋" w:cs="仿宋"/>
          <w:b w:val="0"/>
          <w:bCs w:val="0"/>
          <w:color w:val="auto"/>
          <w:sz w:val="24"/>
          <w:szCs w:val="24"/>
          <w:highlight w:val="none"/>
          <w:lang w:val="en-US" w:eastAsia="zh-CN"/>
        </w:rPr>
        <w:t>履约保证金到帐后支付第一年总价款的50%，正常履行保险合同条约满三个月后支付第一年总价款的50%；第二年费用在第一年到期前一个月内支付总价款的50%，正常履行保险合同条约满三个月后支付总价款的50%；如有增减人员的保费在办理完入保手续后按月结算。</w:t>
      </w:r>
    </w:p>
    <w:p w14:paraId="1BDA580D">
      <w:pPr>
        <w:pStyle w:val="40"/>
        <w:keepNext w:val="0"/>
        <w:keepLines w:val="0"/>
        <w:pageBreakBefore w:val="0"/>
        <w:widowControl w:val="0"/>
        <w:numPr>
          <w:ilvl w:val="0"/>
          <w:numId w:val="19"/>
        </w:numPr>
        <w:kinsoku/>
        <w:wordWrap/>
        <w:overflowPunct/>
        <w:topLinePunct w:val="0"/>
        <w:autoSpaceDE w:val="0"/>
        <w:autoSpaceDN w:val="0"/>
        <w:bidi w:val="0"/>
        <w:adjustRightInd/>
        <w:snapToGrid/>
        <w:spacing w:before="0" w:after="0" w:line="420" w:lineRule="exact"/>
        <w:ind w:left="0" w:leftChars="0" w:firstLine="482" w:firstLineChars="20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最高单价限价</w:t>
      </w:r>
    </w:p>
    <w:p w14:paraId="541F646D">
      <w:pPr>
        <w:keepNext w:val="0"/>
        <w:keepLines w:val="0"/>
        <w:pageBreakBefore w:val="0"/>
        <w:widowControl w:val="0"/>
        <w:numPr>
          <w:ilvl w:val="0"/>
          <w:numId w:val="0"/>
        </w:numPr>
        <w:kinsoku/>
        <w:wordWrap/>
        <w:overflowPunct/>
        <w:topLinePunct w:val="0"/>
        <w:autoSpaceDE w:val="0"/>
        <w:autoSpaceDN w:val="0"/>
        <w:bidi w:val="0"/>
        <w:adjustRightInd w:val="0"/>
        <w:snapToGrid/>
        <w:spacing w:line="420" w:lineRule="exact"/>
        <w:ind w:leftChars="0" w:firstLine="482" w:firstLineChars="200"/>
        <w:textAlignment w:val="auto"/>
        <w:outlineLvl w:val="1"/>
        <w:rPr>
          <w:rFonts w:hint="eastAsia" w:ascii="仿宋" w:hAnsi="仿宋" w:eastAsia="仿宋" w:cs="仿宋"/>
          <w:b/>
          <w:color w:val="auto"/>
          <w:sz w:val="24"/>
          <w:szCs w:val="24"/>
          <w:highlight w:val="none"/>
          <w:lang w:eastAsia="zh-CN"/>
        </w:rPr>
      </w:pPr>
      <w:r>
        <w:rPr>
          <w:rFonts w:hint="eastAsia" w:ascii="仿宋" w:hAnsi="仿宋" w:eastAsia="仿宋" w:cs="仿宋"/>
          <w:b/>
          <w:bCs/>
          <w:color w:val="auto"/>
          <w:sz w:val="24"/>
          <w:szCs w:val="24"/>
          <w:highlight w:val="none"/>
          <w:lang w:val="en-US" w:eastAsia="zh-CN"/>
        </w:rPr>
        <w:t>本次采购按单价招标，数量按实结算，最高单价限价为人民币壹仟贰佰元每人每年（¥1200.00/人/年），</w:t>
      </w:r>
      <w:r>
        <w:rPr>
          <w:rFonts w:hint="eastAsia" w:ascii="仿宋" w:hAnsi="仿宋" w:eastAsia="仿宋" w:cs="仿宋"/>
          <w:b/>
          <w:color w:val="auto"/>
          <w:sz w:val="24"/>
          <w:szCs w:val="24"/>
          <w:highlight w:val="none"/>
        </w:rPr>
        <w:t>任何超过最高</w:t>
      </w:r>
      <w:r>
        <w:rPr>
          <w:rFonts w:hint="eastAsia" w:ascii="仿宋" w:hAnsi="仿宋" w:eastAsia="仿宋" w:cs="仿宋"/>
          <w:b/>
          <w:color w:val="auto"/>
          <w:sz w:val="24"/>
          <w:szCs w:val="24"/>
          <w:highlight w:val="none"/>
          <w:lang w:val="en-US" w:eastAsia="zh-CN"/>
        </w:rPr>
        <w:t>单价</w:t>
      </w:r>
      <w:r>
        <w:rPr>
          <w:rFonts w:hint="eastAsia" w:ascii="仿宋" w:hAnsi="仿宋" w:eastAsia="仿宋" w:cs="仿宋"/>
          <w:b/>
          <w:color w:val="auto"/>
          <w:sz w:val="24"/>
          <w:szCs w:val="24"/>
          <w:highlight w:val="none"/>
        </w:rPr>
        <w:t>限价的报价将被认定为无效报价</w:t>
      </w:r>
      <w:r>
        <w:rPr>
          <w:rFonts w:hint="eastAsia" w:ascii="仿宋" w:hAnsi="仿宋" w:eastAsia="仿宋" w:cs="仿宋"/>
          <w:b/>
          <w:color w:val="auto"/>
          <w:sz w:val="24"/>
          <w:szCs w:val="24"/>
          <w:highlight w:val="none"/>
          <w:lang w:eastAsia="zh-CN"/>
        </w:rPr>
        <w:t>。</w:t>
      </w:r>
    </w:p>
    <w:p w14:paraId="6C8ACF99">
      <w:pPr>
        <w:pStyle w:val="40"/>
        <w:keepNext w:val="0"/>
        <w:keepLines w:val="0"/>
        <w:pageBreakBefore w:val="0"/>
        <w:widowControl w:val="0"/>
        <w:numPr>
          <w:ilvl w:val="0"/>
          <w:numId w:val="19"/>
        </w:numPr>
        <w:kinsoku/>
        <w:wordWrap/>
        <w:overflowPunct/>
        <w:topLinePunct w:val="0"/>
        <w:autoSpaceDE w:val="0"/>
        <w:autoSpaceDN w:val="0"/>
        <w:bidi w:val="0"/>
        <w:adjustRightInd/>
        <w:snapToGrid/>
        <w:spacing w:before="0" w:after="0" w:line="420" w:lineRule="exact"/>
        <w:ind w:left="0" w:leftChars="0" w:firstLine="482" w:firstLineChars="200"/>
        <w:jc w:val="both"/>
        <w:textAlignment w:val="auto"/>
        <w:rPr>
          <w:rFonts w:hint="default" w:ascii="仿宋" w:hAnsi="仿宋" w:eastAsia="仿宋" w:cs="仿宋"/>
          <w:b/>
          <w:bCs/>
          <w:color w:val="auto"/>
          <w:sz w:val="24"/>
          <w:szCs w:val="24"/>
          <w:highlight w:val="none"/>
          <w:lang w:val="en-US" w:eastAsia="zh-CN"/>
        </w:rPr>
      </w:pPr>
      <w:r>
        <w:rPr>
          <w:rFonts w:hint="default" w:ascii="仿宋" w:hAnsi="仿宋" w:eastAsia="仿宋" w:cs="仿宋"/>
          <w:b/>
          <w:bCs/>
          <w:color w:val="auto"/>
          <w:sz w:val="24"/>
          <w:szCs w:val="24"/>
          <w:highlight w:val="none"/>
          <w:lang w:val="en-US" w:eastAsia="zh-CN"/>
        </w:rPr>
        <w:t>特别说明</w:t>
      </w:r>
    </w:p>
    <w:p w14:paraId="1BCAA816">
      <w:pPr>
        <w:pStyle w:val="4"/>
        <w:keepNext w:val="0"/>
        <w:keepLines w:val="0"/>
        <w:pageBreakBefore w:val="0"/>
        <w:widowControl w:val="0"/>
        <w:kinsoku/>
        <w:wordWrap/>
        <w:overflowPunct/>
        <w:topLinePunct w:val="0"/>
        <w:autoSpaceDE/>
        <w:autoSpaceDN/>
        <w:bidi w:val="0"/>
        <w:adjustRightInd/>
        <w:snapToGrid/>
        <w:spacing w:after="0" w:afterLines="0" w:line="420" w:lineRule="exact"/>
        <w:ind w:firstLine="480" w:firstLineChars="200"/>
        <w:textAlignment w:val="auto"/>
        <w:rPr>
          <w:rFonts w:hint="default" w:ascii="仿宋" w:hAnsi="仿宋" w:eastAsia="仿宋" w:cs="仿宋"/>
          <w:b w:val="0"/>
          <w:bCs/>
          <w:kern w:val="2"/>
          <w:sz w:val="24"/>
          <w:szCs w:val="24"/>
          <w:highlight w:val="none"/>
          <w:lang w:val="en-US" w:eastAsia="zh-CN" w:bidi="ar-SA"/>
        </w:rPr>
      </w:pPr>
      <w:r>
        <w:rPr>
          <w:rFonts w:hint="default" w:ascii="仿宋" w:hAnsi="仿宋" w:eastAsia="仿宋" w:cs="仿宋"/>
          <w:b w:val="0"/>
          <w:bCs/>
          <w:color w:val="auto"/>
          <w:kern w:val="2"/>
          <w:sz w:val="24"/>
          <w:szCs w:val="24"/>
          <w:highlight w:val="none"/>
          <w:lang w:val="en-US" w:eastAsia="zh-CN" w:bidi="ar-SA"/>
        </w:rPr>
        <w:t>特别说明本采购需求中标注“★”项为实质性要求条款，必须作</w:t>
      </w:r>
      <w:r>
        <w:rPr>
          <w:rFonts w:hint="default" w:ascii="仿宋" w:hAnsi="仿宋" w:eastAsia="仿宋" w:cs="仿宋"/>
          <w:b w:val="0"/>
          <w:bCs/>
          <w:kern w:val="2"/>
          <w:sz w:val="24"/>
          <w:szCs w:val="24"/>
          <w:highlight w:val="none"/>
          <w:lang w:val="en-US" w:eastAsia="zh-CN" w:bidi="ar-SA"/>
        </w:rPr>
        <w:t>出实质性响应。若其中任意一条打“★”的条款不满足（或出现“负偏离”）则投标无效。供应商须在投标文件中提供相关证明材料复印件或作出相关承诺（承诺函格式自拟），未提供相关证明材料复印件或相关承诺（或承诺内容不符）均作无效投标处理。</w:t>
      </w:r>
    </w:p>
    <w:p w14:paraId="7385881E">
      <w:pPr>
        <w:pStyle w:val="7"/>
        <w:keepNext/>
        <w:keepLines/>
        <w:pageBreakBefore w:val="0"/>
        <w:widowControl w:val="0"/>
        <w:kinsoku/>
        <w:wordWrap/>
        <w:overflowPunct/>
        <w:topLinePunct w:val="0"/>
        <w:autoSpaceDE w:val="0"/>
        <w:autoSpaceDN w:val="0"/>
        <w:bidi w:val="0"/>
        <w:adjustRightInd w:val="0"/>
        <w:snapToGrid/>
        <w:spacing w:before="240" w:after="240" w:line="420" w:lineRule="exact"/>
        <w:jc w:val="center"/>
        <w:textAlignment w:val="auto"/>
        <w:rPr>
          <w:rFonts w:hint="eastAsia" w:ascii="华文中宋" w:hAnsi="华文中宋" w:eastAsia="华文中宋"/>
          <w:color w:val="auto"/>
          <w:sz w:val="36"/>
          <w:szCs w:val="36"/>
          <w:highlight w:val="none"/>
          <w:lang w:val="en-US" w:eastAsia="zh-CN"/>
        </w:rPr>
        <w:sectPr>
          <w:headerReference r:id="rId14" w:type="default"/>
          <w:footerReference r:id="rId15" w:type="default"/>
          <w:pgSz w:w="11905"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type="lines" w:linePitch="317" w:charSpace="0"/>
        </w:sectPr>
      </w:pPr>
    </w:p>
    <w:p w14:paraId="2FA47BCF">
      <w:pPr>
        <w:pStyle w:val="7"/>
        <w:keepNext/>
        <w:keepLines/>
        <w:pageBreakBefore w:val="0"/>
        <w:widowControl w:val="0"/>
        <w:kinsoku/>
        <w:wordWrap/>
        <w:overflowPunct/>
        <w:topLinePunct w:val="0"/>
        <w:autoSpaceDE w:val="0"/>
        <w:autoSpaceDN w:val="0"/>
        <w:bidi w:val="0"/>
        <w:adjustRightInd w:val="0"/>
        <w:snapToGrid/>
        <w:spacing w:before="240" w:after="240" w:line="420" w:lineRule="exact"/>
        <w:jc w:val="center"/>
        <w:textAlignment w:val="auto"/>
        <w:rPr>
          <w:rFonts w:hint="eastAsia" w:ascii="华文中宋" w:hAnsi="华文中宋" w:eastAsia="华文中宋"/>
          <w:color w:val="auto"/>
          <w:sz w:val="36"/>
          <w:szCs w:val="36"/>
          <w:highlight w:val="none"/>
          <w:lang w:val="en-US" w:eastAsia="zh-CN"/>
        </w:rPr>
      </w:pPr>
      <w:r>
        <w:rPr>
          <w:rFonts w:hint="eastAsia" w:ascii="华文中宋" w:hAnsi="华文中宋" w:eastAsia="华文中宋"/>
          <w:color w:val="auto"/>
          <w:sz w:val="36"/>
          <w:szCs w:val="36"/>
          <w:highlight w:val="none"/>
          <w:lang w:val="en-US" w:eastAsia="zh-CN"/>
        </w:rPr>
        <w:t>第五章  采购项目采购合同</w:t>
      </w:r>
    </w:p>
    <w:p w14:paraId="364D7190">
      <w:pPr>
        <w:keepNext w:val="0"/>
        <w:keepLines w:val="0"/>
        <w:pageBreakBefore w:val="0"/>
        <w:widowControl w:val="0"/>
        <w:kinsoku/>
        <w:wordWrap/>
        <w:overflowPunct/>
        <w:topLinePunct w:val="0"/>
        <w:autoSpaceDE w:val="0"/>
        <w:autoSpaceDN w:val="0"/>
        <w:bidi w:val="0"/>
        <w:adjustRightInd w:val="0"/>
        <w:snapToGrid/>
        <w:spacing w:line="360" w:lineRule="auto"/>
        <w:ind w:left="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甲方（采购单位）：</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签订日期：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p w14:paraId="0729B263">
      <w:pPr>
        <w:keepNext w:val="0"/>
        <w:keepLines w:val="0"/>
        <w:pageBreakBefore w:val="0"/>
        <w:widowControl w:val="0"/>
        <w:kinsoku/>
        <w:wordWrap/>
        <w:overflowPunct/>
        <w:topLinePunct w:val="0"/>
        <w:autoSpaceDE w:val="0"/>
        <w:autoSpaceDN w:val="0"/>
        <w:bidi w:val="0"/>
        <w:adjustRightInd w:val="0"/>
        <w:snapToGrid/>
        <w:spacing w:line="360" w:lineRule="auto"/>
        <w:ind w:left="0"/>
        <w:textAlignment w:val="auto"/>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lang w:val="en-US" w:eastAsia="zh-CN"/>
        </w:rPr>
        <w:t>服务</w:t>
      </w:r>
      <w:r>
        <w:rPr>
          <w:rFonts w:hint="eastAsia" w:ascii="仿宋" w:hAnsi="仿宋" w:eastAsia="仿宋" w:cs="仿宋"/>
          <w:color w:val="auto"/>
          <w:highlight w:val="none"/>
        </w:rPr>
        <w:t>单位）：</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签订地点：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2F80B081">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根据《中华人民共和国</w:t>
      </w:r>
      <w:r>
        <w:rPr>
          <w:rFonts w:hint="eastAsia" w:ascii="仿宋" w:hAnsi="仿宋" w:eastAsia="仿宋" w:cs="仿宋"/>
          <w:color w:val="auto"/>
          <w:highlight w:val="none"/>
          <w:lang w:val="en-US" w:eastAsia="zh-CN"/>
        </w:rPr>
        <w:t>民法典</w:t>
      </w:r>
      <w:r>
        <w:rPr>
          <w:rFonts w:hint="eastAsia" w:ascii="仿宋" w:hAnsi="仿宋" w:eastAsia="仿宋" w:cs="仿宋"/>
          <w:color w:val="auto"/>
          <w:highlight w:val="none"/>
        </w:rPr>
        <w:t>》《中华人民共和国政府采购法》等有关规定，以及</w:t>
      </w:r>
      <w:r>
        <w:rPr>
          <w:rFonts w:hint="eastAsia" w:ascii="仿宋" w:hAnsi="仿宋" w:eastAsia="仿宋" w:cs="仿宋"/>
          <w:color w:val="auto"/>
          <w:highlight w:val="none"/>
          <w:lang w:val="en-US" w:eastAsia="zh-CN"/>
        </w:rPr>
        <w:t>诸暨宸佳工程管理有限公司</w:t>
      </w:r>
      <w:r>
        <w:rPr>
          <w:rFonts w:hint="eastAsia" w:ascii="仿宋" w:hAnsi="仿宋" w:eastAsia="仿宋" w:cs="仿宋"/>
          <w:color w:val="auto"/>
          <w:highlight w:val="none"/>
        </w:rPr>
        <w:t>（编号：</w:t>
      </w:r>
      <w:r>
        <w:rPr>
          <w:rFonts w:hint="eastAsia" w:ascii="仿宋" w:hAnsi="仿宋" w:eastAsia="仿宋" w:cs="仿宋"/>
          <w:color w:val="auto"/>
          <w:highlight w:val="none"/>
          <w:lang w:val="en-US" w:eastAsia="zh-CN"/>
        </w:rPr>
        <w:t>诸宸佳</w:t>
      </w:r>
      <w:r>
        <w:rPr>
          <w:rFonts w:hint="eastAsia" w:ascii="仿宋" w:hAnsi="仿宋" w:eastAsia="仿宋" w:cs="仿宋"/>
          <w:color w:val="auto"/>
          <w:highlight w:val="none"/>
        </w:rPr>
        <w:t>20</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号）</w:t>
      </w:r>
      <w:r>
        <w:rPr>
          <w:rFonts w:hint="eastAsia" w:ascii="仿宋" w:hAnsi="仿宋" w:eastAsia="仿宋" w:cs="仿宋"/>
          <w:color w:val="auto"/>
          <w:highlight w:val="none"/>
          <w:lang w:val="en-US" w:eastAsia="zh-CN"/>
        </w:rPr>
        <w:t>招标</w:t>
      </w:r>
      <w:r>
        <w:rPr>
          <w:rFonts w:hint="eastAsia" w:ascii="仿宋" w:hAnsi="仿宋" w:eastAsia="仿宋" w:cs="仿宋"/>
          <w:color w:val="auto"/>
          <w:highlight w:val="none"/>
          <w:lang w:eastAsia="zh-CN"/>
        </w:rPr>
        <w:t>文件</w:t>
      </w:r>
      <w:r>
        <w:rPr>
          <w:rFonts w:hint="eastAsia" w:ascii="仿宋" w:hAnsi="仿宋" w:eastAsia="仿宋" w:cs="仿宋"/>
          <w:color w:val="auto"/>
          <w:highlight w:val="none"/>
        </w:rPr>
        <w:t>相关要求，经法定程序采购，双方同意签订以下合同条款，以便双方共同遵守、履行合同。</w:t>
      </w:r>
    </w:p>
    <w:p w14:paraId="402B63A8">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lang w:eastAsia="zh-CN"/>
        </w:rPr>
      </w:pPr>
      <w:r>
        <w:rPr>
          <w:rFonts w:hint="eastAsia" w:ascii="仿宋" w:hAnsi="仿宋" w:eastAsia="仿宋" w:cs="仿宋"/>
          <w:b/>
          <w:color w:val="auto"/>
          <w:highlight w:val="none"/>
        </w:rPr>
        <w:t>一、采购</w:t>
      </w:r>
      <w:r>
        <w:rPr>
          <w:rFonts w:hint="eastAsia" w:ascii="仿宋" w:hAnsi="仿宋" w:eastAsia="仿宋" w:cs="仿宋"/>
          <w:b/>
          <w:color w:val="auto"/>
          <w:highlight w:val="none"/>
          <w:lang w:val="en-US" w:eastAsia="zh-CN"/>
        </w:rPr>
        <w:t>项目</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3332"/>
        <w:gridCol w:w="1388"/>
        <w:gridCol w:w="1260"/>
        <w:gridCol w:w="1440"/>
      </w:tblGrid>
      <w:tr w14:paraId="7AAA7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6" w:type="dxa"/>
            <w:noWrap w:val="0"/>
            <w:vAlign w:val="center"/>
          </w:tcPr>
          <w:p w14:paraId="11DE3604">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产品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名称</w:t>
            </w:r>
          </w:p>
        </w:tc>
        <w:tc>
          <w:tcPr>
            <w:tcW w:w="3332" w:type="dxa"/>
            <w:noWrap w:val="0"/>
            <w:vAlign w:val="center"/>
          </w:tcPr>
          <w:p w14:paraId="3E5253C2">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产品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内容</w:t>
            </w:r>
          </w:p>
        </w:tc>
        <w:tc>
          <w:tcPr>
            <w:tcW w:w="1388" w:type="dxa"/>
            <w:noWrap w:val="0"/>
            <w:vAlign w:val="center"/>
          </w:tcPr>
          <w:p w14:paraId="102D872C">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数量</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或服务期限</w:t>
            </w:r>
            <w:r>
              <w:rPr>
                <w:rFonts w:hint="eastAsia" w:ascii="仿宋" w:hAnsi="仿宋" w:eastAsia="仿宋" w:cs="仿宋"/>
                <w:color w:val="auto"/>
                <w:highlight w:val="none"/>
                <w:lang w:eastAsia="zh-CN"/>
              </w:rPr>
              <w:t>）</w:t>
            </w:r>
          </w:p>
        </w:tc>
        <w:tc>
          <w:tcPr>
            <w:tcW w:w="1260" w:type="dxa"/>
            <w:noWrap w:val="0"/>
            <w:vAlign w:val="center"/>
          </w:tcPr>
          <w:p w14:paraId="5B9C945A">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单价（元）</w:t>
            </w:r>
          </w:p>
        </w:tc>
        <w:tc>
          <w:tcPr>
            <w:tcW w:w="1440" w:type="dxa"/>
            <w:noWrap w:val="0"/>
            <w:vAlign w:val="center"/>
          </w:tcPr>
          <w:p w14:paraId="3B5AEB1E">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合价（元）</w:t>
            </w:r>
          </w:p>
        </w:tc>
      </w:tr>
      <w:tr w14:paraId="3A067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6" w:type="dxa"/>
            <w:noWrap w:val="0"/>
            <w:vAlign w:val="top"/>
          </w:tcPr>
          <w:p w14:paraId="71067B25">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仿宋" w:hAnsi="仿宋" w:eastAsia="仿宋" w:cs="仿宋"/>
                <w:color w:val="auto"/>
                <w:highlight w:val="none"/>
              </w:rPr>
            </w:pPr>
          </w:p>
        </w:tc>
        <w:tc>
          <w:tcPr>
            <w:tcW w:w="3332" w:type="dxa"/>
            <w:noWrap w:val="0"/>
            <w:vAlign w:val="top"/>
          </w:tcPr>
          <w:p w14:paraId="110D1C2A">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仿宋" w:hAnsi="仿宋" w:eastAsia="仿宋" w:cs="仿宋"/>
                <w:color w:val="auto"/>
                <w:highlight w:val="none"/>
              </w:rPr>
            </w:pPr>
          </w:p>
        </w:tc>
        <w:tc>
          <w:tcPr>
            <w:tcW w:w="1388" w:type="dxa"/>
            <w:noWrap w:val="0"/>
            <w:vAlign w:val="top"/>
          </w:tcPr>
          <w:p w14:paraId="70B36F39">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仿宋" w:hAnsi="仿宋" w:eastAsia="仿宋" w:cs="仿宋"/>
                <w:color w:val="auto"/>
                <w:highlight w:val="none"/>
              </w:rPr>
            </w:pPr>
          </w:p>
        </w:tc>
        <w:tc>
          <w:tcPr>
            <w:tcW w:w="1260" w:type="dxa"/>
            <w:noWrap w:val="0"/>
            <w:vAlign w:val="top"/>
          </w:tcPr>
          <w:p w14:paraId="4FAF0E21">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仿宋" w:hAnsi="仿宋" w:eastAsia="仿宋" w:cs="仿宋"/>
                <w:color w:val="auto"/>
                <w:highlight w:val="none"/>
              </w:rPr>
            </w:pPr>
          </w:p>
        </w:tc>
        <w:tc>
          <w:tcPr>
            <w:tcW w:w="1440" w:type="dxa"/>
            <w:noWrap w:val="0"/>
            <w:vAlign w:val="top"/>
          </w:tcPr>
          <w:p w14:paraId="77FA6026">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仿宋" w:hAnsi="仿宋" w:eastAsia="仿宋" w:cs="仿宋"/>
                <w:color w:val="auto"/>
                <w:highlight w:val="none"/>
              </w:rPr>
            </w:pPr>
          </w:p>
        </w:tc>
      </w:tr>
      <w:tr w14:paraId="5B903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6" w:type="dxa"/>
            <w:noWrap w:val="0"/>
            <w:vAlign w:val="top"/>
          </w:tcPr>
          <w:p w14:paraId="53BBB658">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仿宋" w:hAnsi="仿宋" w:eastAsia="仿宋" w:cs="仿宋"/>
                <w:color w:val="auto"/>
                <w:highlight w:val="none"/>
              </w:rPr>
            </w:pPr>
          </w:p>
        </w:tc>
        <w:tc>
          <w:tcPr>
            <w:tcW w:w="3332" w:type="dxa"/>
            <w:noWrap w:val="0"/>
            <w:vAlign w:val="top"/>
          </w:tcPr>
          <w:p w14:paraId="4D48881F">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仿宋" w:hAnsi="仿宋" w:eastAsia="仿宋" w:cs="仿宋"/>
                <w:color w:val="auto"/>
                <w:highlight w:val="none"/>
              </w:rPr>
            </w:pPr>
          </w:p>
        </w:tc>
        <w:tc>
          <w:tcPr>
            <w:tcW w:w="1388" w:type="dxa"/>
            <w:noWrap w:val="0"/>
            <w:vAlign w:val="top"/>
          </w:tcPr>
          <w:p w14:paraId="126045E6">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仿宋" w:hAnsi="仿宋" w:eastAsia="仿宋" w:cs="仿宋"/>
                <w:color w:val="auto"/>
                <w:highlight w:val="none"/>
              </w:rPr>
            </w:pPr>
          </w:p>
        </w:tc>
        <w:tc>
          <w:tcPr>
            <w:tcW w:w="1260" w:type="dxa"/>
            <w:noWrap w:val="0"/>
            <w:vAlign w:val="top"/>
          </w:tcPr>
          <w:p w14:paraId="0E224EAF">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仿宋" w:hAnsi="仿宋" w:eastAsia="仿宋" w:cs="仿宋"/>
                <w:color w:val="auto"/>
                <w:highlight w:val="none"/>
              </w:rPr>
            </w:pPr>
          </w:p>
        </w:tc>
        <w:tc>
          <w:tcPr>
            <w:tcW w:w="1440" w:type="dxa"/>
            <w:noWrap w:val="0"/>
            <w:vAlign w:val="top"/>
          </w:tcPr>
          <w:p w14:paraId="53D8FE48">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仿宋" w:hAnsi="仿宋" w:eastAsia="仿宋" w:cs="仿宋"/>
                <w:color w:val="auto"/>
                <w:highlight w:val="none"/>
              </w:rPr>
            </w:pPr>
          </w:p>
        </w:tc>
      </w:tr>
      <w:tr w14:paraId="00B7B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976" w:type="dxa"/>
            <w:gridSpan w:val="5"/>
            <w:noWrap w:val="0"/>
            <w:vAlign w:val="center"/>
          </w:tcPr>
          <w:p w14:paraId="2F5F20F2">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仿宋" w:hAnsi="仿宋" w:eastAsia="仿宋" w:cs="仿宋"/>
                <w:color w:val="auto"/>
                <w:highlight w:val="none"/>
              </w:rPr>
            </w:pPr>
            <w:r>
              <w:rPr>
                <w:rFonts w:hint="eastAsia" w:ascii="仿宋" w:hAnsi="仿宋" w:eastAsia="仿宋" w:cs="仿宋"/>
                <w:color w:val="auto"/>
                <w:highlight w:val="none"/>
              </w:rPr>
              <w:t>合计人民币（大写）：  佰   拾   万   仟   佰   拾   元    角    分  ￥：</w:t>
            </w:r>
          </w:p>
        </w:tc>
      </w:tr>
    </w:tbl>
    <w:p w14:paraId="09D7B496">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二、产品</w:t>
      </w:r>
      <w:r>
        <w:rPr>
          <w:rFonts w:hint="eastAsia" w:ascii="仿宋" w:hAnsi="仿宋" w:eastAsia="仿宋" w:cs="仿宋"/>
          <w:b/>
          <w:color w:val="auto"/>
          <w:highlight w:val="none"/>
          <w:lang w:eastAsia="zh-CN"/>
        </w:rPr>
        <w:t>（</w:t>
      </w:r>
      <w:r>
        <w:rPr>
          <w:rFonts w:hint="eastAsia" w:ascii="仿宋" w:hAnsi="仿宋" w:eastAsia="仿宋" w:cs="仿宋"/>
          <w:b/>
          <w:color w:val="auto"/>
          <w:highlight w:val="none"/>
          <w:lang w:val="en-US" w:eastAsia="zh-CN"/>
        </w:rPr>
        <w:t>或服务</w:t>
      </w:r>
      <w:r>
        <w:rPr>
          <w:rFonts w:hint="eastAsia" w:ascii="仿宋" w:hAnsi="仿宋" w:eastAsia="仿宋" w:cs="仿宋"/>
          <w:b/>
          <w:color w:val="auto"/>
          <w:highlight w:val="none"/>
          <w:lang w:eastAsia="zh-CN"/>
        </w:rPr>
        <w:t>）</w:t>
      </w:r>
      <w:r>
        <w:rPr>
          <w:rFonts w:hint="eastAsia" w:ascii="仿宋" w:hAnsi="仿宋" w:eastAsia="仿宋" w:cs="仿宋"/>
          <w:b/>
          <w:color w:val="auto"/>
          <w:highlight w:val="none"/>
        </w:rPr>
        <w:t>要求</w:t>
      </w:r>
    </w:p>
    <w:p w14:paraId="794C2119">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p w14:paraId="72E2032C">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p w14:paraId="098E3DD7">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p w14:paraId="3F76CE0E">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w:t>
      </w:r>
    </w:p>
    <w:p w14:paraId="035B3F65">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（以上按采购文件采购需求中对应的服务要求内容填写）</w:t>
      </w:r>
    </w:p>
    <w:p w14:paraId="76CEB71B">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三、产品</w:t>
      </w:r>
      <w:r>
        <w:rPr>
          <w:rFonts w:hint="eastAsia" w:ascii="仿宋" w:hAnsi="仿宋" w:eastAsia="仿宋" w:cs="仿宋"/>
          <w:b/>
          <w:color w:val="auto"/>
          <w:highlight w:val="none"/>
          <w:lang w:eastAsia="zh-CN"/>
        </w:rPr>
        <w:t>（</w:t>
      </w:r>
      <w:r>
        <w:rPr>
          <w:rFonts w:hint="eastAsia" w:ascii="仿宋" w:hAnsi="仿宋" w:eastAsia="仿宋" w:cs="仿宋"/>
          <w:b/>
          <w:color w:val="auto"/>
          <w:highlight w:val="none"/>
          <w:lang w:val="en-US" w:eastAsia="zh-CN"/>
        </w:rPr>
        <w:t>或服务</w:t>
      </w:r>
      <w:r>
        <w:rPr>
          <w:rFonts w:hint="eastAsia" w:ascii="仿宋" w:hAnsi="仿宋" w:eastAsia="仿宋" w:cs="仿宋"/>
          <w:b/>
          <w:color w:val="auto"/>
          <w:highlight w:val="none"/>
          <w:lang w:eastAsia="zh-CN"/>
        </w:rPr>
        <w:t>）</w:t>
      </w:r>
      <w:r>
        <w:rPr>
          <w:rFonts w:hint="eastAsia" w:ascii="仿宋" w:hAnsi="仿宋" w:eastAsia="仿宋" w:cs="仿宋"/>
          <w:b/>
          <w:color w:val="auto"/>
          <w:highlight w:val="none"/>
        </w:rPr>
        <w:t>质量要求</w:t>
      </w:r>
    </w:p>
    <w:p w14:paraId="743A45E2">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p w14:paraId="57FF2BB7">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p w14:paraId="7436A632">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p w14:paraId="70A8B13E">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w:t>
      </w:r>
    </w:p>
    <w:p w14:paraId="7DD52090">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（以上按采购文件采购需求中对应的服务质量内容填写）</w:t>
      </w:r>
    </w:p>
    <w:p w14:paraId="755AA350">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四、</w:t>
      </w:r>
      <w:r>
        <w:rPr>
          <w:rFonts w:hint="eastAsia" w:ascii="仿宋" w:hAnsi="仿宋" w:eastAsia="仿宋" w:cs="仿宋"/>
          <w:b/>
          <w:color w:val="auto"/>
          <w:highlight w:val="none"/>
          <w:lang w:val="en-US" w:eastAsia="zh-CN"/>
        </w:rPr>
        <w:t>项目</w:t>
      </w:r>
      <w:r>
        <w:rPr>
          <w:rFonts w:hint="eastAsia" w:ascii="仿宋" w:hAnsi="仿宋" w:eastAsia="仿宋" w:cs="仿宋"/>
          <w:b/>
          <w:color w:val="auto"/>
          <w:highlight w:val="none"/>
        </w:rPr>
        <w:t>验收</w:t>
      </w:r>
    </w:p>
    <w:p w14:paraId="3EB4308B">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项目</w:t>
      </w:r>
      <w:r>
        <w:rPr>
          <w:rFonts w:hint="eastAsia" w:ascii="仿宋" w:hAnsi="仿宋" w:eastAsia="仿宋" w:cs="仿宋"/>
          <w:color w:val="auto"/>
          <w:highlight w:val="none"/>
        </w:rPr>
        <w:t>由甲方单位组织验收，产品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完成</w:t>
      </w:r>
      <w:r>
        <w:rPr>
          <w:rFonts w:hint="eastAsia" w:ascii="仿宋" w:hAnsi="仿宋" w:eastAsia="仿宋" w:cs="仿宋"/>
          <w:color w:val="auto"/>
          <w:highlight w:val="none"/>
        </w:rPr>
        <w:t>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天内验收完毕，</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天内提出质量异议。具体按照《诸暨市政府采购合同履约和验收管理暂行规定》执行。</w:t>
      </w:r>
    </w:p>
    <w:p w14:paraId="6BF7184B">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五、付款方式</w:t>
      </w:r>
    </w:p>
    <w:p w14:paraId="35E5FC95">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按采购文件规定付款方式填写</w:t>
      </w:r>
      <w:r>
        <w:rPr>
          <w:rFonts w:hint="eastAsia" w:ascii="仿宋" w:hAnsi="仿宋" w:eastAsia="仿宋" w:cs="仿宋"/>
          <w:color w:val="auto"/>
          <w:highlight w:val="none"/>
          <w:lang w:eastAsia="zh-CN"/>
        </w:rPr>
        <w:t>）</w:t>
      </w:r>
    </w:p>
    <w:p w14:paraId="365213FD">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六、履约保证金</w:t>
      </w:r>
    </w:p>
    <w:p w14:paraId="37B716B5">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按采购文件规定履约保证金填写</w:t>
      </w:r>
      <w:r>
        <w:rPr>
          <w:rFonts w:hint="eastAsia" w:ascii="仿宋" w:hAnsi="仿宋" w:eastAsia="仿宋" w:cs="仿宋"/>
          <w:color w:val="auto"/>
          <w:highlight w:val="none"/>
          <w:lang w:eastAsia="zh-CN"/>
        </w:rPr>
        <w:t>）</w:t>
      </w:r>
    </w:p>
    <w:p w14:paraId="5A8A93A4">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七、产品数量变更</w:t>
      </w:r>
    </w:p>
    <w:p w14:paraId="348B6070">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合同履行过程中，甲方根据实际情况，需要增减与合同标的相同的产品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，在不改变合同其他条款的前提下，可以与乙方协商签订补充合同，但所有补充合同的采购金额不得超过原合同采购金额的10%，增减产品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的价格为相应中标产品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的价格，且事先须向诸暨市建设集团有限公司招投标监管领导小组办公室审核备案。</w:t>
      </w:r>
    </w:p>
    <w:p w14:paraId="2D3749B1">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八、售后服务</w:t>
      </w:r>
    </w:p>
    <w:p w14:paraId="044A37B3">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具体售后服务条款参照</w:t>
      </w:r>
      <w:r>
        <w:rPr>
          <w:rFonts w:hint="eastAsia" w:ascii="仿宋" w:hAnsi="仿宋" w:eastAsia="仿宋" w:cs="仿宋"/>
          <w:color w:val="auto"/>
          <w:highlight w:val="none"/>
          <w:lang w:val="en-US" w:eastAsia="zh-CN"/>
        </w:rPr>
        <w:t>招标</w:t>
      </w:r>
      <w:r>
        <w:rPr>
          <w:rFonts w:hint="eastAsia" w:ascii="仿宋" w:hAnsi="仿宋" w:eastAsia="仿宋" w:cs="仿宋"/>
          <w:color w:val="auto"/>
          <w:highlight w:val="none"/>
          <w:lang w:eastAsia="zh-CN"/>
        </w:rPr>
        <w:t>文件</w:t>
      </w:r>
      <w:r>
        <w:rPr>
          <w:rFonts w:hint="eastAsia" w:ascii="仿宋" w:hAnsi="仿宋" w:eastAsia="仿宋" w:cs="仿宋"/>
          <w:color w:val="auto"/>
          <w:highlight w:val="none"/>
        </w:rPr>
        <w:t>及乙方</w:t>
      </w:r>
      <w:r>
        <w:rPr>
          <w:rFonts w:hint="eastAsia" w:ascii="仿宋" w:hAnsi="仿宋" w:eastAsia="仿宋" w:cs="仿宋"/>
          <w:color w:val="auto"/>
          <w:highlight w:val="none"/>
          <w:lang w:val="en-US" w:eastAsia="zh-CN"/>
        </w:rPr>
        <w:t>投标</w:t>
      </w:r>
      <w:r>
        <w:rPr>
          <w:rFonts w:hint="eastAsia" w:ascii="仿宋" w:hAnsi="仿宋" w:eastAsia="仿宋" w:cs="仿宋"/>
          <w:color w:val="auto"/>
          <w:highlight w:val="none"/>
        </w:rPr>
        <w:t>文件中的售后服务承诺。</w:t>
      </w:r>
    </w:p>
    <w:p w14:paraId="178E7700">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九、违约责任</w:t>
      </w:r>
    </w:p>
    <w:p w14:paraId="3E4D471A">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1、甲方无正当理由拒收产品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，由甲方向乙方偿付合同总价的</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%违约金。</w:t>
      </w:r>
    </w:p>
    <w:p w14:paraId="5BE72E83">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2、甲方未能在合同规定期限内验收完毕的，每超过一天，付合同价的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%的违约金给乙方。</w:t>
      </w:r>
    </w:p>
    <w:p w14:paraId="0DD83360">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3、乙方不能交付产品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，甲方有权扣留全部履约保证金；同时乙方向甲方支付合同款总价</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%的违约金。</w:t>
      </w:r>
    </w:p>
    <w:p w14:paraId="0D42F16F">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4、乙方逾期交付产品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的，每逾期1天，乙方向甲方偿付逾期部分产品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货款的</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%的滞纳金，如乙方逾期15天，甲方有权解除合同，解除合同的通知自到达乙方时生效。</w:t>
      </w:r>
    </w:p>
    <w:p w14:paraId="6878AD96">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color w:val="auto"/>
          <w:highlight w:val="none"/>
          <w:u w:val="single"/>
        </w:rPr>
      </w:pPr>
      <w:r>
        <w:rPr>
          <w:rFonts w:hint="eastAsia" w:ascii="仿宋" w:hAnsi="仿宋" w:eastAsia="仿宋" w:cs="仿宋"/>
          <w:b/>
          <w:color w:val="auto"/>
          <w:highlight w:val="none"/>
        </w:rPr>
        <w:t>十、其他约定事项</w:t>
      </w:r>
      <w:r>
        <w:rPr>
          <w:rFonts w:hint="eastAsia" w:ascii="仿宋" w:hAnsi="仿宋" w:eastAsia="仿宋" w:cs="仿宋"/>
          <w:b/>
          <w:color w:val="auto"/>
          <w:highlight w:val="none"/>
          <w:u w:val="none"/>
          <w:lang w:val="en-US" w:eastAsia="zh-CN"/>
        </w:rPr>
        <w:t xml:space="preserve">  </w:t>
      </w:r>
      <w:r>
        <w:rPr>
          <w:rFonts w:hint="eastAsia" w:ascii="仿宋" w:hAnsi="仿宋" w:eastAsia="仿宋" w:cs="仿宋"/>
          <w:color w:val="auto"/>
          <w:highlight w:val="none"/>
          <w:u w:val="single"/>
        </w:rPr>
        <w:t xml:space="preserve">                                                                     </w:t>
      </w:r>
    </w:p>
    <w:p w14:paraId="021F67A2">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十一、解决合同纠纷方式</w:t>
      </w:r>
    </w:p>
    <w:p w14:paraId="2F7B3E91">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其它未尽事宜或履行时发生争议，由双方本着诚实信用的原则协商解决，协商不成功可向</w:t>
      </w:r>
      <w:r>
        <w:rPr>
          <w:rFonts w:hint="eastAsia" w:ascii="仿宋" w:hAnsi="仿宋" w:eastAsia="仿宋" w:cs="仿宋"/>
          <w:color w:val="auto"/>
          <w:highlight w:val="none"/>
          <w:u w:val="single"/>
          <w:lang w:val="en-US" w:eastAsia="zh-CN"/>
        </w:rPr>
        <w:t>诸暨市</w:t>
      </w:r>
      <w:r>
        <w:rPr>
          <w:rFonts w:hint="eastAsia" w:ascii="仿宋" w:hAnsi="仿宋" w:eastAsia="仿宋" w:cs="仿宋"/>
          <w:color w:val="auto"/>
          <w:highlight w:val="none"/>
        </w:rPr>
        <w:t>人民法院起诉。</w:t>
      </w:r>
    </w:p>
    <w:p w14:paraId="6B71CE13">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十二、其它</w:t>
      </w:r>
    </w:p>
    <w:p w14:paraId="5C266FC7">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1、本项目的</w:t>
      </w:r>
      <w:r>
        <w:rPr>
          <w:rFonts w:hint="eastAsia" w:ascii="仿宋" w:hAnsi="仿宋" w:eastAsia="仿宋" w:cs="仿宋"/>
          <w:color w:val="auto"/>
          <w:highlight w:val="none"/>
          <w:lang w:val="en-US" w:eastAsia="zh-CN"/>
        </w:rPr>
        <w:t>招标</w:t>
      </w:r>
      <w:r>
        <w:rPr>
          <w:rFonts w:hint="eastAsia" w:ascii="仿宋" w:hAnsi="仿宋" w:eastAsia="仿宋" w:cs="仿宋"/>
          <w:color w:val="auto"/>
          <w:highlight w:val="none"/>
          <w:lang w:eastAsia="zh-CN"/>
        </w:rPr>
        <w:t>文件</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投标</w:t>
      </w:r>
      <w:r>
        <w:rPr>
          <w:rFonts w:hint="eastAsia" w:ascii="仿宋" w:hAnsi="仿宋" w:eastAsia="仿宋" w:cs="仿宋"/>
          <w:color w:val="auto"/>
          <w:highlight w:val="none"/>
        </w:rPr>
        <w:t>文件、中标通知书作为合同的附件，具有同等法律效力。</w:t>
      </w:r>
    </w:p>
    <w:p w14:paraId="56C517F8">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highlight w:val="none"/>
        </w:rPr>
        <w:t>2、本合同自签订之日起生效。</w:t>
      </w:r>
      <w:r>
        <w:rPr>
          <w:rFonts w:hint="eastAsia" w:ascii="仿宋" w:hAnsi="仿宋" w:eastAsia="仿宋" w:cs="仿宋"/>
          <w:color w:val="auto"/>
          <w:sz w:val="21"/>
          <w:szCs w:val="21"/>
          <w:highlight w:val="none"/>
        </w:rPr>
        <w:t>授权代表签署的应附法定代表人授权书。</w:t>
      </w:r>
    </w:p>
    <w:p w14:paraId="3A85DC6D">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3、本合同一式</w:t>
      </w:r>
      <w:r>
        <w:rPr>
          <w:rFonts w:hint="eastAsia" w:ascii="仿宋" w:hAnsi="仿宋" w:eastAsia="仿宋" w:cs="仿宋"/>
          <w:color w:val="auto"/>
          <w:highlight w:val="none"/>
          <w:lang w:val="en-US" w:eastAsia="zh-CN"/>
        </w:rPr>
        <w:t>六</w:t>
      </w:r>
      <w:r>
        <w:rPr>
          <w:rFonts w:hint="eastAsia" w:ascii="仿宋" w:hAnsi="仿宋" w:eastAsia="仿宋" w:cs="仿宋"/>
          <w:color w:val="auto"/>
          <w:highlight w:val="none"/>
        </w:rPr>
        <w:t>份，甲乙双方各执</w:t>
      </w:r>
      <w:r>
        <w:rPr>
          <w:rFonts w:hint="eastAsia" w:ascii="仿宋" w:hAnsi="仿宋" w:eastAsia="仿宋" w:cs="仿宋"/>
          <w:color w:val="auto"/>
          <w:highlight w:val="none"/>
          <w:lang w:val="en-US" w:eastAsia="zh-CN"/>
        </w:rPr>
        <w:t>二</w:t>
      </w:r>
      <w:r>
        <w:rPr>
          <w:rFonts w:hint="eastAsia" w:ascii="仿宋" w:hAnsi="仿宋" w:eastAsia="仿宋" w:cs="仿宋"/>
          <w:color w:val="auto"/>
          <w:highlight w:val="none"/>
        </w:rPr>
        <w:t>份，</w:t>
      </w:r>
      <w:r>
        <w:rPr>
          <w:rFonts w:hint="eastAsia" w:ascii="仿宋" w:hAnsi="仿宋" w:eastAsia="仿宋" w:cs="仿宋"/>
          <w:color w:val="auto"/>
          <w:highlight w:val="none"/>
          <w:lang w:val="en-US" w:eastAsia="zh-CN"/>
        </w:rPr>
        <w:t>建设集团招标中心、</w:t>
      </w:r>
      <w:r>
        <w:rPr>
          <w:rFonts w:hint="eastAsia" w:ascii="仿宋" w:hAnsi="仿宋" w:eastAsia="仿宋" w:cs="仿宋"/>
          <w:color w:val="auto"/>
          <w:highlight w:val="none"/>
        </w:rPr>
        <w:t>代理机构各备案</w:t>
      </w:r>
      <w:r>
        <w:rPr>
          <w:rFonts w:hint="eastAsia" w:ascii="仿宋" w:hAnsi="仿宋" w:eastAsia="仿宋" w:cs="仿宋"/>
          <w:color w:val="auto"/>
          <w:highlight w:val="none"/>
          <w:lang w:val="en-US" w:eastAsia="zh-CN"/>
        </w:rPr>
        <w:t>一</w:t>
      </w:r>
      <w:r>
        <w:rPr>
          <w:rFonts w:hint="eastAsia" w:ascii="仿宋" w:hAnsi="仿宋" w:eastAsia="仿宋" w:cs="仿宋"/>
          <w:color w:val="auto"/>
          <w:highlight w:val="none"/>
        </w:rPr>
        <w:t>份。</w:t>
      </w:r>
    </w:p>
    <w:tbl>
      <w:tblPr>
        <w:tblStyle w:val="52"/>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9"/>
        <w:gridCol w:w="4650"/>
      </w:tblGrid>
      <w:tr w14:paraId="4E21A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589" w:type="dxa"/>
            <w:noWrap w:val="0"/>
            <w:vAlign w:val="center"/>
          </w:tcPr>
          <w:p w14:paraId="0AB4E1BD">
            <w:pPr>
              <w:keepNext w:val="0"/>
              <w:keepLines w:val="0"/>
              <w:pageBreakBefore w:val="0"/>
              <w:widowControl w:val="0"/>
              <w:kinsoku/>
              <w:wordWrap/>
              <w:overflowPunct/>
              <w:topLinePunct w:val="0"/>
              <w:autoSpaceDE w:val="0"/>
              <w:autoSpaceDN w:val="0"/>
              <w:bidi w:val="0"/>
              <w:adjustRightInd w:val="0"/>
              <w:snapToGrid/>
              <w:spacing w:line="300" w:lineRule="auto"/>
              <w:ind w:left="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采购单位</w:t>
            </w:r>
          </w:p>
        </w:tc>
        <w:tc>
          <w:tcPr>
            <w:tcW w:w="4650" w:type="dxa"/>
            <w:noWrap w:val="0"/>
            <w:vAlign w:val="center"/>
          </w:tcPr>
          <w:p w14:paraId="12158384">
            <w:pPr>
              <w:keepNext w:val="0"/>
              <w:keepLines w:val="0"/>
              <w:pageBreakBefore w:val="0"/>
              <w:widowControl w:val="0"/>
              <w:kinsoku/>
              <w:wordWrap/>
              <w:overflowPunct/>
              <w:topLinePunct w:val="0"/>
              <w:autoSpaceDE w:val="0"/>
              <w:autoSpaceDN w:val="0"/>
              <w:bidi w:val="0"/>
              <w:adjustRightInd w:val="0"/>
              <w:snapToGrid/>
              <w:spacing w:line="300" w:lineRule="auto"/>
              <w:ind w:left="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服务单位</w:t>
            </w:r>
          </w:p>
        </w:tc>
      </w:tr>
      <w:tr w14:paraId="4BE38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jc w:val="center"/>
        </w:trPr>
        <w:tc>
          <w:tcPr>
            <w:tcW w:w="4589" w:type="dxa"/>
            <w:noWrap w:val="0"/>
            <w:vAlign w:val="top"/>
          </w:tcPr>
          <w:p w14:paraId="01BF005E">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单位名称（盖章）</w:t>
            </w:r>
          </w:p>
          <w:p w14:paraId="66CAB581">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单位地址：</w:t>
            </w:r>
          </w:p>
          <w:p w14:paraId="2E65A9A2">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w:t>
            </w:r>
          </w:p>
          <w:p w14:paraId="56BF8968">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委托代理人：</w:t>
            </w:r>
          </w:p>
          <w:p w14:paraId="00536B4B">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p>
          <w:p w14:paraId="20E04800">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传真号码：</w:t>
            </w:r>
          </w:p>
          <w:p w14:paraId="3988C2C6">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邮政编码：</w:t>
            </w:r>
          </w:p>
        </w:tc>
        <w:tc>
          <w:tcPr>
            <w:tcW w:w="4650" w:type="dxa"/>
            <w:noWrap w:val="0"/>
            <w:vAlign w:val="top"/>
          </w:tcPr>
          <w:p w14:paraId="40160B21">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单位名称（盖章）</w:t>
            </w:r>
          </w:p>
          <w:p w14:paraId="685C3619">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单位地址：</w:t>
            </w:r>
          </w:p>
          <w:p w14:paraId="6F5A511D">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w:t>
            </w:r>
          </w:p>
          <w:p w14:paraId="08A53B62">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委托代理人：</w:t>
            </w:r>
          </w:p>
          <w:p w14:paraId="586D588E">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p>
          <w:p w14:paraId="214C5406">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传真号码：</w:t>
            </w:r>
          </w:p>
          <w:p w14:paraId="0274A07A">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邮政编码：</w:t>
            </w:r>
          </w:p>
          <w:p w14:paraId="1CF36807">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w:t>
            </w:r>
          </w:p>
          <w:p w14:paraId="46D51678">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账    号：</w:t>
            </w:r>
          </w:p>
        </w:tc>
      </w:tr>
    </w:tbl>
    <w:p w14:paraId="71475997">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注：</w:t>
      </w:r>
      <w:r>
        <w:rPr>
          <w:rFonts w:hint="eastAsia" w:ascii="仿宋" w:hAnsi="仿宋" w:eastAsia="仿宋" w:cs="仿宋"/>
          <w:color w:val="auto"/>
          <w:highlight w:val="none"/>
        </w:rPr>
        <w:t>该合同模板与招标文件中实质性内容不相符部分，以招标文件规定为准，在签订前相应调整。</w:t>
      </w:r>
    </w:p>
    <w:p w14:paraId="090208EA">
      <w:pPr>
        <w:spacing w:before="120" w:line="288" w:lineRule="auto"/>
        <w:rPr>
          <w:rFonts w:hint="eastAsia" w:ascii="仿宋" w:hAnsi="仿宋" w:eastAsia="仿宋" w:cs="仿宋"/>
          <w:color w:val="auto"/>
          <w:sz w:val="22"/>
          <w:szCs w:val="20"/>
          <w:highlight w:val="none"/>
        </w:rPr>
        <w:sectPr>
          <w:pgSz w:w="11905"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type="lines" w:linePitch="317" w:charSpace="0"/>
        </w:sectPr>
      </w:pPr>
    </w:p>
    <w:p w14:paraId="15361538">
      <w:pPr>
        <w:jc w:val="center"/>
        <w:rPr>
          <w:rFonts w:ascii="华文中宋" w:hAnsi="华文中宋" w:eastAsia="华文中宋"/>
          <w:b/>
          <w:color w:val="auto"/>
          <w:sz w:val="36"/>
          <w:szCs w:val="36"/>
          <w:highlight w:val="none"/>
        </w:rPr>
      </w:pPr>
      <w:r>
        <w:rPr>
          <w:rFonts w:hint="eastAsia" w:ascii="华文中宋" w:hAnsi="华文中宋" w:eastAsia="华文中宋"/>
          <w:b/>
          <w:color w:val="auto"/>
          <w:sz w:val="36"/>
          <w:szCs w:val="36"/>
          <w:highlight w:val="none"/>
        </w:rPr>
        <w:t>第六章  应提交的有关格式范例</w:t>
      </w:r>
    </w:p>
    <w:p w14:paraId="49A99B14">
      <w:pPr>
        <w:widowControl/>
        <w:tabs>
          <w:tab w:val="left" w:pos="450"/>
          <w:tab w:val="left" w:pos="8280"/>
        </w:tabs>
        <w:spacing w:beforeLines="100" w:afterLines="500" w:line="360" w:lineRule="auto"/>
        <w:ind w:firstLine="482"/>
        <w:jc w:val="center"/>
        <w:rPr>
          <w:rFonts w:ascii="华文中宋" w:hAnsi="华文中宋" w:eastAsia="华文中宋"/>
          <w:b/>
          <w:color w:val="auto"/>
          <w:sz w:val="32"/>
          <w:szCs w:val="32"/>
          <w:highlight w:val="none"/>
        </w:rPr>
      </w:pPr>
      <w:r>
        <w:rPr>
          <w:rFonts w:ascii="华文中宋" w:hAnsi="华文中宋" w:eastAsia="华文中宋"/>
          <w:b/>
          <w:color w:val="auto"/>
          <w:sz w:val="32"/>
          <w:szCs w:val="32"/>
          <w:highlight w:val="none"/>
        </w:rPr>
        <w:t>（注：未提供格式部分由投标人自拟）</w:t>
      </w:r>
    </w:p>
    <w:p w14:paraId="25B9F48A">
      <w:pPr>
        <w:widowControl/>
        <w:numPr>
          <w:ilvl w:val="0"/>
          <w:numId w:val="22"/>
        </w:numPr>
        <w:tabs>
          <w:tab w:val="left" w:pos="450"/>
          <w:tab w:val="left" w:pos="2520"/>
          <w:tab w:val="left" w:pos="8280"/>
        </w:tabs>
        <w:spacing w:line="360" w:lineRule="auto"/>
        <w:ind w:left="0" w:leftChars="0" w:firstLine="420" w:firstLineChars="0"/>
        <w:jc w:val="center"/>
        <w:rPr>
          <w:rFonts w:ascii="仿宋" w:hAnsi="仿宋" w:eastAsia="仿宋" w:cs="宋体"/>
          <w:b/>
          <w:color w:val="auto"/>
          <w:sz w:val="32"/>
          <w:szCs w:val="32"/>
          <w:highlight w:val="none"/>
        </w:rPr>
      </w:pPr>
      <w:r>
        <w:rPr>
          <w:rFonts w:hint="eastAsia" w:ascii="仿宋" w:hAnsi="仿宋" w:eastAsia="仿宋"/>
          <w:b/>
          <w:color w:val="auto"/>
          <w:sz w:val="32"/>
          <w:szCs w:val="32"/>
          <w:highlight w:val="none"/>
        </w:rPr>
        <w:t>封面格式</w:t>
      </w:r>
    </w:p>
    <w:p w14:paraId="06028F2B">
      <w:pPr>
        <w:widowControl/>
        <w:tabs>
          <w:tab w:val="left" w:pos="8280"/>
        </w:tabs>
        <w:spacing w:beforeLines="200" w:afterLines="100" w:line="360" w:lineRule="auto"/>
        <w:ind w:firstLine="482"/>
        <w:jc w:val="center"/>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资格文件或商务技术文件或报价文件</w:t>
      </w:r>
    </w:p>
    <w:p w14:paraId="26819C27">
      <w:pPr>
        <w:widowControl/>
        <w:tabs>
          <w:tab w:val="left" w:pos="275"/>
          <w:tab w:val="left" w:pos="8280"/>
        </w:tabs>
        <w:spacing w:line="360" w:lineRule="auto"/>
        <w:ind w:firstLine="1606" w:firstLineChars="500"/>
        <w:jc w:val="left"/>
        <w:rPr>
          <w:rFonts w:hint="eastAsia" w:ascii="仿宋" w:hAnsi="仿宋" w:eastAsia="仿宋" w:cs="宋体"/>
          <w:b/>
          <w:color w:val="auto"/>
          <w:sz w:val="32"/>
          <w:szCs w:val="32"/>
          <w:highlight w:val="none"/>
        </w:rPr>
      </w:pPr>
    </w:p>
    <w:p w14:paraId="2E3AB0A4">
      <w:pPr>
        <w:widowControl/>
        <w:tabs>
          <w:tab w:val="left" w:pos="275"/>
          <w:tab w:val="left" w:pos="8280"/>
        </w:tabs>
        <w:spacing w:line="360" w:lineRule="auto"/>
        <w:ind w:firstLine="1606" w:firstLineChars="500"/>
        <w:jc w:val="left"/>
        <w:rPr>
          <w:rFonts w:hint="default" w:ascii="仿宋" w:hAnsi="仿宋" w:eastAsia="仿宋" w:cs="宋体"/>
          <w:b/>
          <w:color w:val="auto"/>
          <w:sz w:val="32"/>
          <w:szCs w:val="32"/>
          <w:highlight w:val="none"/>
          <w:lang w:val="en-US" w:eastAsia="zh-CN"/>
        </w:rPr>
      </w:pPr>
      <w:r>
        <w:rPr>
          <w:rFonts w:hint="eastAsia" w:ascii="仿宋" w:hAnsi="仿宋" w:eastAsia="仿宋" w:cs="宋体"/>
          <w:b/>
          <w:color w:val="auto"/>
          <w:sz w:val="32"/>
          <w:szCs w:val="32"/>
          <w:highlight w:val="none"/>
        </w:rPr>
        <w:t>项目名称：</w:t>
      </w:r>
      <w:r>
        <w:rPr>
          <w:rFonts w:hint="eastAsia" w:ascii="仿宋" w:hAnsi="仿宋" w:eastAsia="仿宋" w:cs="宋体"/>
          <w:b/>
          <w:color w:val="auto"/>
          <w:sz w:val="32"/>
          <w:szCs w:val="32"/>
          <w:highlight w:val="none"/>
          <w:u w:val="single"/>
          <w:lang w:val="en-US" w:eastAsia="zh-CN"/>
        </w:rPr>
        <w:t xml:space="preserve">                              </w:t>
      </w:r>
    </w:p>
    <w:p w14:paraId="72487F95">
      <w:pPr>
        <w:widowControl/>
        <w:tabs>
          <w:tab w:val="left" w:pos="275"/>
          <w:tab w:val="left" w:pos="8280"/>
        </w:tabs>
        <w:spacing w:line="360" w:lineRule="auto"/>
        <w:ind w:firstLine="964" w:firstLineChars="300"/>
        <w:jc w:val="left"/>
        <w:rPr>
          <w:rFonts w:hint="eastAsia" w:ascii="仿宋" w:hAnsi="仿宋" w:eastAsia="仿宋" w:cs="宋体"/>
          <w:b/>
          <w:color w:val="auto"/>
          <w:sz w:val="32"/>
          <w:szCs w:val="32"/>
          <w:highlight w:val="none"/>
        </w:rPr>
      </w:pPr>
    </w:p>
    <w:p w14:paraId="2C488B7D">
      <w:pPr>
        <w:widowControl/>
        <w:tabs>
          <w:tab w:val="left" w:pos="275"/>
          <w:tab w:val="left" w:pos="8280"/>
        </w:tabs>
        <w:spacing w:line="360" w:lineRule="auto"/>
        <w:ind w:firstLine="1606" w:firstLineChars="500"/>
        <w:jc w:val="left"/>
        <w:rPr>
          <w:rFonts w:hint="default" w:ascii="仿宋" w:hAnsi="仿宋" w:eastAsia="仿宋" w:cs="宋体"/>
          <w:b/>
          <w:color w:val="auto"/>
          <w:sz w:val="36"/>
          <w:szCs w:val="36"/>
          <w:highlight w:val="none"/>
          <w:u w:val="single"/>
          <w:lang w:val="en-US" w:eastAsia="zh-CN"/>
        </w:rPr>
      </w:pPr>
      <w:r>
        <w:rPr>
          <w:rFonts w:hint="eastAsia" w:ascii="仿宋" w:hAnsi="仿宋" w:eastAsia="仿宋" w:cs="宋体"/>
          <w:b/>
          <w:color w:val="auto"/>
          <w:sz w:val="32"/>
          <w:szCs w:val="32"/>
          <w:highlight w:val="none"/>
        </w:rPr>
        <w:t>项目编号：</w:t>
      </w:r>
      <w:r>
        <w:rPr>
          <w:rFonts w:hint="eastAsia" w:ascii="仿宋" w:hAnsi="仿宋" w:eastAsia="仿宋" w:cs="宋体"/>
          <w:b/>
          <w:color w:val="auto"/>
          <w:sz w:val="32"/>
          <w:szCs w:val="32"/>
          <w:highlight w:val="none"/>
          <w:u w:val="single"/>
          <w:lang w:val="en-US" w:eastAsia="zh-CN"/>
        </w:rPr>
        <w:t xml:space="preserve">                              </w:t>
      </w:r>
    </w:p>
    <w:p w14:paraId="344AB8B0">
      <w:pPr>
        <w:widowControl/>
        <w:tabs>
          <w:tab w:val="left" w:pos="765"/>
          <w:tab w:val="left" w:pos="8280"/>
        </w:tabs>
        <w:spacing w:line="360" w:lineRule="auto"/>
        <w:ind w:firstLine="480"/>
        <w:jc w:val="left"/>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ab/>
      </w:r>
    </w:p>
    <w:p w14:paraId="25E781E7">
      <w:pPr>
        <w:widowControl/>
        <w:tabs>
          <w:tab w:val="left" w:pos="765"/>
          <w:tab w:val="left" w:pos="8280"/>
        </w:tabs>
        <w:spacing w:line="360" w:lineRule="auto"/>
        <w:ind w:firstLine="1606" w:firstLineChars="500"/>
        <w:jc w:val="left"/>
        <w:rPr>
          <w:rFonts w:ascii="仿宋" w:hAnsi="仿宋" w:eastAsia="仿宋" w:cs="宋体"/>
          <w:b/>
          <w:color w:val="auto"/>
          <w:sz w:val="36"/>
          <w:szCs w:val="36"/>
          <w:highlight w:val="none"/>
          <w:u w:val="single"/>
        </w:rPr>
      </w:pPr>
      <w:r>
        <w:rPr>
          <w:rFonts w:hint="eastAsia" w:ascii="仿宋" w:hAnsi="仿宋" w:eastAsia="仿宋" w:cs="宋体"/>
          <w:b/>
          <w:color w:val="auto"/>
          <w:sz w:val="32"/>
          <w:szCs w:val="32"/>
          <w:highlight w:val="none"/>
        </w:rPr>
        <w:t>投 标 人：</w:t>
      </w:r>
      <w:r>
        <w:rPr>
          <w:rFonts w:hint="eastAsia" w:ascii="仿宋" w:hAnsi="仿宋" w:eastAsia="仿宋" w:cs="宋体"/>
          <w:b/>
          <w:color w:val="auto"/>
          <w:sz w:val="32"/>
          <w:szCs w:val="32"/>
          <w:highlight w:val="none"/>
          <w:u w:val="single"/>
        </w:rPr>
        <w:t xml:space="preserve">          （盖单位公章）      </w:t>
      </w:r>
    </w:p>
    <w:p w14:paraId="79D2679D">
      <w:pPr>
        <w:widowControl/>
        <w:tabs>
          <w:tab w:val="left" w:pos="8280"/>
        </w:tabs>
        <w:spacing w:line="360" w:lineRule="auto"/>
        <w:ind w:firstLine="480"/>
        <w:jc w:val="center"/>
        <w:rPr>
          <w:rFonts w:ascii="仿宋" w:hAnsi="仿宋" w:eastAsia="仿宋" w:cs="宋体"/>
          <w:b/>
          <w:color w:val="auto"/>
          <w:sz w:val="32"/>
          <w:szCs w:val="32"/>
          <w:highlight w:val="none"/>
        </w:rPr>
      </w:pPr>
    </w:p>
    <w:p w14:paraId="593901C9">
      <w:pPr>
        <w:widowControl/>
        <w:tabs>
          <w:tab w:val="left" w:pos="350"/>
          <w:tab w:val="left" w:pos="8280"/>
        </w:tabs>
        <w:spacing w:line="360" w:lineRule="auto"/>
        <w:ind w:firstLine="1606" w:firstLineChars="500"/>
        <w:jc w:val="left"/>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日    期：     年     月    日</w:t>
      </w:r>
    </w:p>
    <w:p w14:paraId="6EB16431">
      <w:pPr>
        <w:widowControl/>
        <w:tabs>
          <w:tab w:val="left" w:pos="350"/>
          <w:tab w:val="left" w:pos="8280"/>
        </w:tabs>
        <w:spacing w:line="360" w:lineRule="auto"/>
        <w:jc w:val="left"/>
        <w:rPr>
          <w:rFonts w:ascii="仿宋" w:hAnsi="仿宋" w:eastAsia="仿宋" w:cs="宋体"/>
          <w:b/>
          <w:color w:val="auto"/>
          <w:sz w:val="32"/>
          <w:szCs w:val="32"/>
          <w:highlight w:val="none"/>
        </w:rPr>
        <w:sectPr>
          <w:headerReference r:id="rId16" w:type="first"/>
          <w:pgSz w:w="11905"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type="lines" w:linePitch="317" w:charSpace="0"/>
        </w:sectPr>
      </w:pPr>
    </w:p>
    <w:p w14:paraId="2F5E5F1A">
      <w:pPr>
        <w:pStyle w:val="8"/>
        <w:numPr>
          <w:ilvl w:val="0"/>
          <w:numId w:val="22"/>
        </w:numPr>
        <w:spacing w:before="0" w:line="500" w:lineRule="exact"/>
        <w:ind w:left="0" w:leftChars="0" w:firstLine="420" w:firstLineChars="0"/>
        <w:jc w:val="center"/>
        <w:rPr>
          <w:rFonts w:ascii="仿宋" w:hAnsi="仿宋" w:eastAsia="仿宋"/>
          <w:bCs w:val="0"/>
          <w:color w:val="auto"/>
          <w:highlight w:val="none"/>
        </w:rPr>
      </w:pPr>
      <w:r>
        <w:rPr>
          <w:rFonts w:ascii="仿宋" w:hAnsi="仿宋" w:eastAsia="仿宋"/>
          <w:b/>
          <w:color w:val="auto"/>
          <w:sz w:val="32"/>
          <w:szCs w:val="32"/>
          <w:highlight w:val="none"/>
        </w:rPr>
        <w:t>符</w:t>
      </w:r>
      <w:r>
        <w:rPr>
          <w:rFonts w:ascii="仿宋" w:hAnsi="仿宋" w:eastAsia="仿宋" w:cs="Times New Roman"/>
          <w:b/>
          <w:color w:val="auto"/>
          <w:sz w:val="32"/>
          <w:szCs w:val="32"/>
          <w:highlight w:val="none"/>
        </w:rPr>
        <w:t>合</w:t>
      </w:r>
      <w:r>
        <w:rPr>
          <w:rFonts w:ascii="仿宋" w:hAnsi="仿宋" w:eastAsia="仿宋"/>
          <w:b/>
          <w:color w:val="auto"/>
          <w:sz w:val="32"/>
          <w:szCs w:val="32"/>
          <w:highlight w:val="none"/>
        </w:rPr>
        <w:t>参与采购活动资格条件的承诺函</w:t>
      </w:r>
      <w:r>
        <w:rPr>
          <w:rFonts w:hint="eastAsia" w:ascii="仿宋" w:hAnsi="仿宋" w:eastAsia="仿宋"/>
          <w:bCs w:val="0"/>
          <w:color w:val="auto"/>
          <w:highlight w:val="none"/>
        </w:rPr>
        <w:t>（格式）</w:t>
      </w:r>
    </w:p>
    <w:p w14:paraId="5F4BD5D1">
      <w:pPr>
        <w:spacing w:line="360" w:lineRule="auto"/>
        <w:rPr>
          <w:rFonts w:ascii="仿宋" w:hAnsi="仿宋" w:eastAsia="仿宋" w:cs="宋体"/>
          <w:b/>
          <w:color w:val="auto"/>
          <w:sz w:val="24"/>
          <w:szCs w:val="24"/>
          <w:highlight w:val="none"/>
        </w:rPr>
      </w:pPr>
      <w:r>
        <w:rPr>
          <w:rFonts w:hint="eastAsia" w:ascii="仿宋" w:hAnsi="仿宋" w:eastAsia="仿宋" w:cs="宋体"/>
          <w:color w:val="auto"/>
          <w:spacing w:val="8"/>
          <w:sz w:val="24"/>
          <w:szCs w:val="24"/>
          <w:highlight w:val="none"/>
          <w:lang w:eastAsia="zh-CN"/>
        </w:rPr>
        <w:t>诸暨市环境卫生管理集团有限公司</w:t>
      </w:r>
      <w:r>
        <w:rPr>
          <w:rFonts w:hint="eastAsia" w:ascii="仿宋" w:hAnsi="仿宋" w:eastAsia="仿宋" w:cs="宋体"/>
          <w:b/>
          <w:color w:val="auto"/>
          <w:sz w:val="24"/>
          <w:szCs w:val="24"/>
          <w:highlight w:val="none"/>
        </w:rPr>
        <w:t>、</w:t>
      </w:r>
      <w:r>
        <w:rPr>
          <w:rFonts w:hint="eastAsia" w:ascii="仿宋" w:hAnsi="仿宋" w:eastAsia="仿宋" w:cs="仿宋"/>
          <w:color w:val="auto"/>
          <w:spacing w:val="8"/>
          <w:sz w:val="24"/>
          <w:szCs w:val="24"/>
          <w:highlight w:val="none"/>
        </w:rPr>
        <w:t>诸暨市宸佳工程管理有限公司</w:t>
      </w:r>
      <w:r>
        <w:rPr>
          <w:rFonts w:hint="eastAsia" w:ascii="仿宋" w:hAnsi="仿宋" w:eastAsia="仿宋" w:cs="宋体"/>
          <w:color w:val="auto"/>
          <w:spacing w:val="8"/>
          <w:sz w:val="24"/>
          <w:szCs w:val="24"/>
          <w:highlight w:val="none"/>
        </w:rPr>
        <w:t>：</w:t>
      </w:r>
    </w:p>
    <w:p w14:paraId="528067E6">
      <w:pPr>
        <w:spacing w:line="360" w:lineRule="auto"/>
        <w:ind w:firstLine="512" w:firstLineChars="200"/>
        <w:rPr>
          <w:rFonts w:ascii="仿宋" w:hAnsi="仿宋" w:eastAsia="仿宋" w:cs="宋体"/>
          <w:color w:val="auto"/>
          <w:spacing w:val="8"/>
          <w:sz w:val="24"/>
          <w:szCs w:val="24"/>
          <w:highlight w:val="none"/>
        </w:rPr>
      </w:pPr>
      <w:r>
        <w:rPr>
          <w:rFonts w:hint="eastAsia" w:ascii="仿宋" w:hAnsi="仿宋" w:eastAsia="仿宋" w:cs="宋体"/>
          <w:color w:val="auto"/>
          <w:spacing w:val="8"/>
          <w:sz w:val="24"/>
          <w:szCs w:val="24"/>
          <w:highlight w:val="none"/>
        </w:rPr>
        <w:t>我方参与</w:t>
      </w:r>
      <w:r>
        <w:rPr>
          <w:rFonts w:hint="eastAsia" w:ascii="仿宋" w:hAnsi="仿宋" w:eastAsia="仿宋" w:cs="宋体"/>
          <w:i/>
          <w:color w:val="auto"/>
          <w:spacing w:val="8"/>
          <w:sz w:val="24"/>
          <w:szCs w:val="24"/>
          <w:highlight w:val="none"/>
          <w:u w:val="single"/>
        </w:rPr>
        <w:t>（项目名称）   （项目编号：     ）</w:t>
      </w:r>
      <w:r>
        <w:rPr>
          <w:rFonts w:hint="eastAsia" w:ascii="仿宋" w:hAnsi="仿宋" w:eastAsia="仿宋" w:cs="宋体"/>
          <w:color w:val="auto"/>
          <w:spacing w:val="8"/>
          <w:sz w:val="24"/>
          <w:szCs w:val="24"/>
          <w:highlight w:val="none"/>
        </w:rPr>
        <w:t>采购活动，郑重承诺：</w:t>
      </w:r>
    </w:p>
    <w:p w14:paraId="7A2F0D12">
      <w:pPr>
        <w:spacing w:line="360" w:lineRule="auto"/>
        <w:ind w:firstLine="512" w:firstLineChars="200"/>
        <w:rPr>
          <w:rFonts w:ascii="仿宋" w:hAnsi="仿宋" w:eastAsia="仿宋" w:cs="宋体"/>
          <w:color w:val="auto"/>
          <w:spacing w:val="8"/>
          <w:sz w:val="24"/>
          <w:szCs w:val="24"/>
          <w:highlight w:val="none"/>
        </w:rPr>
      </w:pPr>
      <w:r>
        <w:rPr>
          <w:rFonts w:hint="eastAsia" w:ascii="仿宋" w:hAnsi="仿宋" w:eastAsia="仿宋" w:cs="宋体"/>
          <w:color w:val="auto"/>
          <w:spacing w:val="8"/>
          <w:sz w:val="24"/>
          <w:szCs w:val="24"/>
          <w:highlight w:val="none"/>
        </w:rPr>
        <w:t>（一）我方具备</w:t>
      </w:r>
      <w:r>
        <w:rPr>
          <w:rFonts w:hint="eastAsia" w:ascii="仿宋" w:hAnsi="仿宋" w:eastAsia="仿宋" w:cs="Arial"/>
          <w:color w:val="auto"/>
          <w:sz w:val="24"/>
          <w:szCs w:val="24"/>
          <w:highlight w:val="none"/>
          <w:u w:val="single"/>
        </w:rPr>
        <w:t>“</w:t>
      </w:r>
      <w:r>
        <w:rPr>
          <w:rFonts w:hint="eastAsia" w:ascii="仿宋" w:hAnsi="仿宋" w:eastAsia="仿宋"/>
          <w:color w:val="auto"/>
          <w:sz w:val="24"/>
          <w:szCs w:val="24"/>
          <w:highlight w:val="none"/>
          <w:u w:val="single"/>
        </w:rPr>
        <w:t>投标（供应商）人</w:t>
      </w:r>
      <w:r>
        <w:rPr>
          <w:rFonts w:hint="eastAsia" w:ascii="仿宋" w:hAnsi="仿宋" w:eastAsia="仿宋" w:cs="Arial"/>
          <w:color w:val="auto"/>
          <w:sz w:val="24"/>
          <w:szCs w:val="24"/>
          <w:highlight w:val="none"/>
          <w:u w:val="single"/>
        </w:rPr>
        <w:t>资格要求”</w:t>
      </w:r>
      <w:r>
        <w:rPr>
          <w:rFonts w:hint="eastAsia" w:ascii="仿宋" w:hAnsi="仿宋" w:eastAsia="仿宋" w:cs="宋体"/>
          <w:color w:val="auto"/>
          <w:spacing w:val="8"/>
          <w:sz w:val="24"/>
          <w:szCs w:val="24"/>
          <w:highlight w:val="none"/>
        </w:rPr>
        <w:t>第一条规定的条件：</w:t>
      </w:r>
    </w:p>
    <w:p w14:paraId="70090AAA">
      <w:pPr>
        <w:spacing w:line="360" w:lineRule="auto"/>
        <w:ind w:firstLine="512" w:firstLineChars="200"/>
        <w:rPr>
          <w:rFonts w:ascii="仿宋" w:hAnsi="仿宋" w:eastAsia="仿宋" w:cs="宋体"/>
          <w:color w:val="auto"/>
          <w:spacing w:val="8"/>
          <w:sz w:val="24"/>
          <w:szCs w:val="24"/>
          <w:highlight w:val="none"/>
        </w:rPr>
      </w:pPr>
      <w:r>
        <w:rPr>
          <w:rFonts w:hint="eastAsia" w:ascii="仿宋" w:hAnsi="仿宋" w:eastAsia="仿宋" w:cs="宋体"/>
          <w:color w:val="auto"/>
          <w:spacing w:val="8"/>
          <w:sz w:val="24"/>
          <w:szCs w:val="24"/>
          <w:highlight w:val="none"/>
        </w:rPr>
        <w:t>1.具有独立承担民事责任的能力；</w:t>
      </w:r>
    </w:p>
    <w:p w14:paraId="296A2751">
      <w:pPr>
        <w:spacing w:line="360" w:lineRule="auto"/>
        <w:ind w:firstLine="512" w:firstLineChars="200"/>
        <w:rPr>
          <w:rFonts w:ascii="仿宋" w:hAnsi="仿宋" w:eastAsia="仿宋" w:cs="宋体"/>
          <w:color w:val="auto"/>
          <w:spacing w:val="8"/>
          <w:sz w:val="24"/>
          <w:szCs w:val="24"/>
          <w:highlight w:val="none"/>
        </w:rPr>
      </w:pPr>
      <w:r>
        <w:rPr>
          <w:rFonts w:hint="eastAsia" w:ascii="仿宋" w:hAnsi="仿宋" w:eastAsia="仿宋" w:cs="宋体"/>
          <w:color w:val="auto"/>
          <w:spacing w:val="8"/>
          <w:sz w:val="24"/>
          <w:szCs w:val="24"/>
          <w:highlight w:val="none"/>
        </w:rPr>
        <w:t>2.具有良好的商业信誉和健全的财务会计制度；</w:t>
      </w:r>
    </w:p>
    <w:p w14:paraId="1190E57F">
      <w:pPr>
        <w:spacing w:line="360" w:lineRule="auto"/>
        <w:ind w:firstLine="512" w:firstLineChars="200"/>
        <w:rPr>
          <w:rFonts w:ascii="仿宋" w:hAnsi="仿宋" w:eastAsia="仿宋" w:cs="宋体"/>
          <w:color w:val="auto"/>
          <w:spacing w:val="8"/>
          <w:sz w:val="24"/>
          <w:szCs w:val="24"/>
          <w:highlight w:val="none"/>
        </w:rPr>
      </w:pPr>
      <w:r>
        <w:rPr>
          <w:rFonts w:hint="eastAsia" w:ascii="仿宋" w:hAnsi="仿宋" w:eastAsia="仿宋" w:cs="宋体"/>
          <w:color w:val="auto"/>
          <w:spacing w:val="8"/>
          <w:sz w:val="24"/>
          <w:szCs w:val="24"/>
          <w:highlight w:val="none"/>
        </w:rPr>
        <w:t>3.具有履行合同所必需的设备和专业技术能力；</w:t>
      </w:r>
    </w:p>
    <w:p w14:paraId="3AF3433F">
      <w:pPr>
        <w:spacing w:line="360" w:lineRule="auto"/>
        <w:ind w:firstLine="512" w:firstLineChars="200"/>
        <w:rPr>
          <w:rFonts w:ascii="仿宋" w:hAnsi="仿宋" w:eastAsia="仿宋" w:cs="宋体"/>
          <w:color w:val="auto"/>
          <w:spacing w:val="8"/>
          <w:sz w:val="24"/>
          <w:szCs w:val="24"/>
          <w:highlight w:val="none"/>
        </w:rPr>
      </w:pPr>
      <w:r>
        <w:rPr>
          <w:rFonts w:hint="eastAsia" w:ascii="仿宋" w:hAnsi="仿宋" w:eastAsia="仿宋" w:cs="宋体"/>
          <w:color w:val="auto"/>
          <w:spacing w:val="8"/>
          <w:sz w:val="24"/>
          <w:szCs w:val="24"/>
          <w:highlight w:val="none"/>
        </w:rPr>
        <w:t>4.有依法缴纳税收和社会保障资金的良好记录；</w:t>
      </w:r>
    </w:p>
    <w:p w14:paraId="2596E702">
      <w:pPr>
        <w:spacing w:line="360" w:lineRule="auto"/>
        <w:ind w:firstLine="512" w:firstLineChars="200"/>
        <w:rPr>
          <w:rFonts w:ascii="仿宋" w:hAnsi="仿宋" w:eastAsia="仿宋" w:cs="宋体"/>
          <w:color w:val="auto"/>
          <w:spacing w:val="8"/>
          <w:sz w:val="24"/>
          <w:szCs w:val="24"/>
          <w:highlight w:val="none"/>
        </w:rPr>
      </w:pPr>
      <w:r>
        <w:rPr>
          <w:rFonts w:hint="eastAsia" w:ascii="仿宋" w:hAnsi="仿宋" w:eastAsia="仿宋" w:cs="宋体"/>
          <w:color w:val="auto"/>
          <w:spacing w:val="8"/>
          <w:sz w:val="24"/>
          <w:szCs w:val="24"/>
          <w:highlight w:val="none"/>
        </w:rPr>
        <w:t>5.参加采购活动前三年内，在经营活动中没有重大违法记录（即我方没有因违法经营受到刑事处罚，没有被责令停产停业、被吊销许可证或者执照、被处以较大数额罚款等行政处罚）；</w:t>
      </w:r>
    </w:p>
    <w:p w14:paraId="03DB6136">
      <w:pPr>
        <w:spacing w:line="360" w:lineRule="auto"/>
        <w:ind w:firstLine="512" w:firstLineChars="200"/>
        <w:rPr>
          <w:rFonts w:ascii="仿宋" w:hAnsi="仿宋" w:eastAsia="仿宋" w:cs="宋体"/>
          <w:color w:val="auto"/>
          <w:spacing w:val="8"/>
          <w:sz w:val="24"/>
          <w:szCs w:val="24"/>
          <w:highlight w:val="none"/>
        </w:rPr>
      </w:pPr>
      <w:r>
        <w:rPr>
          <w:rFonts w:hint="eastAsia" w:ascii="仿宋" w:hAnsi="仿宋" w:eastAsia="仿宋" w:cs="宋体"/>
          <w:color w:val="auto"/>
          <w:spacing w:val="8"/>
          <w:sz w:val="24"/>
          <w:szCs w:val="24"/>
          <w:highlight w:val="none"/>
        </w:rPr>
        <w:t>6.具有法律、行政法规规定的其他条件。</w:t>
      </w:r>
    </w:p>
    <w:p w14:paraId="5901A62B">
      <w:pPr>
        <w:spacing w:line="300" w:lineRule="auto"/>
        <w:ind w:firstLine="512" w:firstLineChars="200"/>
        <w:rPr>
          <w:color w:val="auto"/>
          <w:highlight w:val="none"/>
        </w:rPr>
      </w:pPr>
      <w:r>
        <w:rPr>
          <w:rFonts w:hint="eastAsia" w:ascii="仿宋" w:hAnsi="仿宋" w:eastAsia="仿宋" w:cs="宋体"/>
          <w:color w:val="auto"/>
          <w:spacing w:val="8"/>
          <w:sz w:val="24"/>
          <w:szCs w:val="24"/>
          <w:highlight w:val="none"/>
        </w:rPr>
        <w:t>（二）</w:t>
      </w:r>
      <w:r>
        <w:rPr>
          <w:rFonts w:ascii="仿宋" w:hAnsi="仿宋" w:eastAsia="仿宋" w:cs="宋体"/>
          <w:color w:val="auto"/>
          <w:spacing w:val="8"/>
          <w:sz w:val="24"/>
          <w:szCs w:val="24"/>
          <w:highlight w:val="none"/>
        </w:rPr>
        <w:t>未被“信用中国”</w:t>
      </w:r>
      <w:r>
        <w:rPr>
          <w:rFonts w:hAnsi="仿宋" w:eastAsia="仿宋"/>
          <w:color w:val="auto"/>
          <w:spacing w:val="8"/>
          <w:highlight w:val="none"/>
        </w:rPr>
        <w:t>（</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58"/>
          <w:rFonts w:eastAsia="仿宋"/>
          <w:color w:val="auto"/>
          <w:spacing w:val="8"/>
          <w:highlight w:val="none"/>
          <w:u w:val="none"/>
        </w:rPr>
        <w:t>www.creditchina.gov.cn</w:t>
      </w:r>
      <w:r>
        <w:rPr>
          <w:rStyle w:val="58"/>
          <w:rFonts w:eastAsia="仿宋"/>
          <w:color w:val="auto"/>
          <w:spacing w:val="8"/>
          <w:highlight w:val="none"/>
          <w:u w:val="none"/>
        </w:rPr>
        <w:fldChar w:fldCharType="end"/>
      </w:r>
      <w:r>
        <w:rPr>
          <w:rFonts w:hAnsi="仿宋" w:eastAsia="仿宋"/>
          <w:color w:val="auto"/>
          <w:spacing w:val="8"/>
          <w:highlight w:val="none"/>
        </w:rPr>
        <w:t>）</w:t>
      </w:r>
      <w:r>
        <w:rPr>
          <w:rFonts w:ascii="仿宋" w:hAnsi="仿宋" w:eastAsia="仿宋" w:cs="宋体"/>
          <w:color w:val="auto"/>
          <w:spacing w:val="8"/>
          <w:sz w:val="24"/>
          <w:szCs w:val="24"/>
          <w:highlight w:val="none"/>
        </w:rPr>
        <w:t>、中国政府采购网</w:t>
      </w:r>
      <w:r>
        <w:rPr>
          <w:rFonts w:hAnsi="仿宋" w:eastAsia="仿宋"/>
          <w:color w:val="auto"/>
          <w:spacing w:val="8"/>
          <w:highlight w:val="none"/>
        </w:rPr>
        <w:t>（www.ccgp.gov.cn）</w:t>
      </w:r>
      <w:r>
        <w:rPr>
          <w:rFonts w:ascii="仿宋" w:hAnsi="仿宋" w:eastAsia="仿宋" w:cs="宋体"/>
          <w:color w:val="auto"/>
          <w:spacing w:val="8"/>
          <w:sz w:val="24"/>
          <w:szCs w:val="24"/>
          <w:highlight w:val="none"/>
        </w:rPr>
        <w:t>列入失信被执行人、重大税收违法案件当事人名单、政府采购严重违法失信行为记录名单。</w:t>
      </w:r>
    </w:p>
    <w:p w14:paraId="73E3B58C">
      <w:pPr>
        <w:spacing w:line="360" w:lineRule="auto"/>
        <w:ind w:firstLine="512" w:firstLineChars="200"/>
        <w:rPr>
          <w:rFonts w:ascii="仿宋" w:hAnsi="仿宋" w:eastAsia="仿宋" w:cs="宋体"/>
          <w:color w:val="auto"/>
          <w:spacing w:val="8"/>
          <w:sz w:val="24"/>
          <w:szCs w:val="24"/>
          <w:highlight w:val="none"/>
        </w:rPr>
      </w:pPr>
      <w:r>
        <w:rPr>
          <w:rFonts w:hint="eastAsia" w:ascii="仿宋" w:hAnsi="仿宋" w:eastAsia="仿宋" w:cs="宋体"/>
          <w:color w:val="auto"/>
          <w:spacing w:val="8"/>
          <w:sz w:val="24"/>
          <w:szCs w:val="24"/>
          <w:highlight w:val="none"/>
        </w:rPr>
        <w:t>（三）不存在以下情况：</w:t>
      </w:r>
    </w:p>
    <w:p w14:paraId="2F6465A5">
      <w:pPr>
        <w:spacing w:line="360" w:lineRule="auto"/>
        <w:ind w:firstLine="512" w:firstLineChars="200"/>
        <w:rPr>
          <w:rFonts w:ascii="仿宋" w:hAnsi="仿宋" w:eastAsia="仿宋" w:cs="宋体"/>
          <w:color w:val="auto"/>
          <w:spacing w:val="8"/>
          <w:sz w:val="24"/>
          <w:szCs w:val="24"/>
          <w:highlight w:val="none"/>
        </w:rPr>
      </w:pPr>
      <w:r>
        <w:rPr>
          <w:rFonts w:hint="eastAsia" w:ascii="仿宋" w:hAnsi="仿宋" w:eastAsia="仿宋" w:cs="宋体"/>
          <w:color w:val="auto"/>
          <w:spacing w:val="8"/>
          <w:sz w:val="24"/>
          <w:szCs w:val="24"/>
          <w:highlight w:val="none"/>
        </w:rPr>
        <w:t>1.</w:t>
      </w:r>
      <w:r>
        <w:rPr>
          <w:rFonts w:ascii="仿宋" w:hAnsi="仿宋" w:eastAsia="仿宋" w:cs="宋体"/>
          <w:color w:val="auto"/>
          <w:spacing w:val="8"/>
          <w:sz w:val="24"/>
          <w:szCs w:val="24"/>
          <w:highlight w:val="none"/>
        </w:rPr>
        <w:t>单位负责人为同一人或者存在直接控股、管理关系的不同供应商参加同一合同项下的采购活动的。</w:t>
      </w:r>
    </w:p>
    <w:p w14:paraId="5663D216">
      <w:pPr>
        <w:spacing w:line="360" w:lineRule="auto"/>
        <w:ind w:firstLine="512" w:firstLineChars="200"/>
        <w:rPr>
          <w:rFonts w:ascii="仿宋" w:hAnsi="仿宋" w:eastAsia="仿宋" w:cs="Arial"/>
          <w:color w:val="auto"/>
          <w:sz w:val="24"/>
          <w:szCs w:val="24"/>
          <w:highlight w:val="none"/>
        </w:rPr>
      </w:pPr>
      <w:r>
        <w:rPr>
          <w:rFonts w:hint="eastAsia" w:ascii="仿宋" w:hAnsi="仿宋" w:eastAsia="仿宋" w:cs="宋体"/>
          <w:color w:val="auto"/>
          <w:spacing w:val="8"/>
          <w:sz w:val="24"/>
          <w:szCs w:val="24"/>
          <w:highlight w:val="none"/>
        </w:rPr>
        <w:t>2.为采购项目提供整体设计、规范编制或者项目管理、监理、检测等服务后再参加该采购项目的其他采购活动的。</w:t>
      </w:r>
    </w:p>
    <w:p w14:paraId="2961938E">
      <w:pPr>
        <w:ind w:firstLine="420" w:firstLineChars="200"/>
        <w:rPr>
          <w:color w:val="auto"/>
          <w:highlight w:val="none"/>
        </w:rPr>
      </w:pPr>
    </w:p>
    <w:p w14:paraId="673D052F">
      <w:pPr>
        <w:wordWrap w:val="0"/>
        <w:spacing w:line="360" w:lineRule="auto"/>
        <w:ind w:firstLine="425"/>
        <w:jc w:val="both"/>
        <w:rPr>
          <w:rFonts w:ascii="仿宋" w:hAnsi="仿宋" w:eastAsia="仿宋"/>
          <w:color w:val="auto"/>
          <w:sz w:val="24"/>
          <w:szCs w:val="24"/>
          <w:highlight w:val="none"/>
          <w:u w:val="single"/>
        </w:rPr>
      </w:pPr>
      <w:r>
        <w:rPr>
          <w:rFonts w:hint="eastAsia" w:ascii="仿宋" w:hAnsi="仿宋" w:eastAsia="仿宋"/>
          <w:color w:val="auto"/>
          <w:sz w:val="24"/>
          <w:szCs w:val="24"/>
          <w:highlight w:val="none"/>
        </w:rPr>
        <w:t>投标人全称（电子签章）：</w:t>
      </w:r>
      <w:r>
        <w:rPr>
          <w:rFonts w:hint="eastAsia" w:ascii="仿宋" w:hAnsi="仿宋" w:eastAsia="仿宋"/>
          <w:color w:val="auto"/>
          <w:sz w:val="24"/>
          <w:szCs w:val="24"/>
          <w:highlight w:val="none"/>
          <w:u w:val="none"/>
        </w:rPr>
        <w:t>____________</w:t>
      </w:r>
    </w:p>
    <w:p w14:paraId="562F689A">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s="仿宋"/>
          <w:color w:val="auto"/>
          <w:sz w:val="24"/>
          <w:szCs w:val="24"/>
          <w:highlight w:val="none"/>
        </w:rPr>
        <w:t>日期：_____年_____月_____日</w:t>
      </w:r>
    </w:p>
    <w:p w14:paraId="5AAD66CD">
      <w:pPr>
        <w:keepNext w:val="0"/>
        <w:keepLines w:val="0"/>
        <w:pageBreakBefore w:val="0"/>
        <w:widowControl w:val="0"/>
        <w:kinsoku/>
        <w:wordWrap/>
        <w:overflowPunct/>
        <w:topLinePunct w:val="0"/>
        <w:autoSpaceDE w:val="0"/>
        <w:autoSpaceDN w:val="0"/>
        <w:bidi w:val="0"/>
        <w:adjustRightInd w:val="0"/>
        <w:snapToGrid/>
        <w:spacing w:line="480" w:lineRule="auto"/>
        <w:ind w:firstLine="482" w:firstLineChars="200"/>
        <w:textAlignment w:val="auto"/>
        <w:rPr>
          <w:rFonts w:ascii="仿宋" w:hAnsi="仿宋" w:eastAsia="仿宋"/>
          <w:color w:val="auto"/>
          <w:sz w:val="24"/>
          <w:szCs w:val="24"/>
          <w:highlight w:val="none"/>
        </w:rPr>
        <w:sectPr>
          <w:pgSz w:w="11911" w:h="16838"/>
          <w:pgMar w:top="1440" w:right="1080" w:bottom="1440" w:left="1080" w:header="850" w:footer="941" w:gutter="0"/>
          <w:pgNumType w:fmt="decimal"/>
          <w:cols w:space="0" w:num="1"/>
          <w:rtlGutter w:val="0"/>
          <w:docGrid w:linePitch="315" w:charSpace="0"/>
        </w:sectPr>
      </w:pPr>
      <w:r>
        <w:rPr>
          <w:rFonts w:hint="eastAsia" w:ascii="仿宋" w:hAnsi="仿宋" w:eastAsia="仿宋"/>
          <w:b/>
          <w:i/>
          <w:color w:val="auto"/>
          <w:sz w:val="24"/>
          <w:szCs w:val="24"/>
          <w:highlight w:val="none"/>
          <w:u w:val="single"/>
        </w:rPr>
        <w:t>注：按本格式要求提供。</w:t>
      </w:r>
    </w:p>
    <w:p w14:paraId="21EA331E">
      <w:pPr>
        <w:pageBreakBefore w:val="0"/>
        <w:numPr>
          <w:ilvl w:val="0"/>
          <w:numId w:val="22"/>
        </w:numPr>
        <w:kinsoku/>
        <w:wordWrap/>
        <w:overflowPunct/>
        <w:topLinePunct w:val="0"/>
        <w:autoSpaceDE/>
        <w:autoSpaceDN/>
        <w:bidi w:val="0"/>
        <w:snapToGrid w:val="0"/>
        <w:spacing w:line="240" w:lineRule="auto"/>
        <w:ind w:left="0" w:leftChars="0" w:firstLine="420" w:firstLineChars="0"/>
        <w:jc w:val="center"/>
        <w:textAlignment w:val="auto"/>
        <w:rPr>
          <w:rFonts w:hint="eastAsia" w:ascii="仿宋" w:hAnsi="仿宋" w:eastAsia="仿宋" w:cs="Times New Roman"/>
          <w:b/>
          <w:bCs/>
          <w:color w:val="auto"/>
          <w:kern w:val="2"/>
          <w:sz w:val="32"/>
          <w:szCs w:val="32"/>
          <w:highlight w:val="none"/>
          <w:lang w:val="zh-CN" w:eastAsia="zh-CN" w:bidi="ar-SA"/>
        </w:rPr>
      </w:pPr>
      <w:r>
        <w:rPr>
          <w:rFonts w:hint="eastAsia" w:ascii="仿宋" w:hAnsi="仿宋" w:eastAsia="仿宋" w:cs="Times New Roman"/>
          <w:b/>
          <w:bCs/>
          <w:color w:val="auto"/>
          <w:kern w:val="2"/>
          <w:sz w:val="32"/>
          <w:szCs w:val="32"/>
          <w:highlight w:val="none"/>
          <w:lang w:val="zh-CN" w:eastAsia="zh-CN" w:bidi="ar-SA"/>
        </w:rPr>
        <w:t>投标函（格式）</w:t>
      </w:r>
    </w:p>
    <w:p w14:paraId="6016BA6F">
      <w:pPr>
        <w:spacing w:line="420" w:lineRule="exact"/>
        <w:rPr>
          <w:rFonts w:hint="eastAsia" w:ascii="仿宋" w:hAnsi="仿宋" w:eastAsia="仿宋" w:cs="宋体"/>
          <w:color w:val="auto"/>
          <w:spacing w:val="8"/>
          <w:sz w:val="24"/>
          <w:szCs w:val="24"/>
          <w:highlight w:val="none"/>
        </w:rPr>
      </w:pPr>
      <w:r>
        <w:rPr>
          <w:rFonts w:hint="eastAsia" w:ascii="仿宋" w:hAnsi="仿宋" w:eastAsia="仿宋" w:cs="仿宋"/>
          <w:b w:val="0"/>
          <w:bCs/>
          <w:color w:val="auto"/>
          <w:sz w:val="24"/>
          <w:szCs w:val="24"/>
          <w:lang w:eastAsia="zh-CN"/>
        </w:rPr>
        <w:t>诸暨市环境卫生管理集团有限公司</w:t>
      </w:r>
      <w:r>
        <w:rPr>
          <w:rFonts w:hint="eastAsia" w:ascii="仿宋" w:hAnsi="仿宋" w:eastAsia="仿宋" w:cs="宋体"/>
          <w:b/>
          <w:color w:val="auto"/>
          <w:sz w:val="24"/>
          <w:szCs w:val="24"/>
          <w:highlight w:val="none"/>
        </w:rPr>
        <w:t>、</w:t>
      </w:r>
      <w:r>
        <w:rPr>
          <w:rFonts w:hint="eastAsia" w:ascii="仿宋" w:hAnsi="仿宋" w:eastAsia="仿宋" w:cs="仿宋"/>
          <w:color w:val="auto"/>
          <w:spacing w:val="8"/>
          <w:sz w:val="24"/>
          <w:szCs w:val="24"/>
          <w:highlight w:val="none"/>
        </w:rPr>
        <w:t>诸暨市宸佳工程管理有限公司</w:t>
      </w:r>
      <w:r>
        <w:rPr>
          <w:rFonts w:hint="eastAsia" w:ascii="仿宋" w:hAnsi="仿宋" w:eastAsia="仿宋" w:cs="宋体"/>
          <w:color w:val="auto"/>
          <w:spacing w:val="8"/>
          <w:sz w:val="24"/>
          <w:szCs w:val="24"/>
          <w:highlight w:val="none"/>
        </w:rPr>
        <w:t>：</w:t>
      </w:r>
    </w:p>
    <w:p w14:paraId="11B74BBC">
      <w:pPr>
        <w:spacing w:line="420" w:lineRule="exact"/>
        <w:ind w:firstLine="512" w:firstLineChars="200"/>
        <w:rPr>
          <w:rFonts w:ascii="仿宋" w:hAnsi="仿宋" w:eastAsia="仿宋"/>
          <w:color w:val="auto"/>
          <w:sz w:val="24"/>
          <w:szCs w:val="24"/>
          <w:highlight w:val="none"/>
        </w:rPr>
      </w:pPr>
      <w:r>
        <w:rPr>
          <w:rFonts w:hint="eastAsia" w:ascii="仿宋" w:hAnsi="仿宋" w:eastAsia="仿宋"/>
          <w:color w:val="auto"/>
          <w:spacing w:val="8"/>
          <w:sz w:val="24"/>
          <w:szCs w:val="24"/>
          <w:highlight w:val="none"/>
        </w:rPr>
        <w:t>根据贵方</w:t>
      </w:r>
      <w:r>
        <w:rPr>
          <w:rFonts w:ascii="仿宋" w:hAnsi="仿宋" w:eastAsia="仿宋"/>
          <w:color w:val="auto"/>
          <w:sz w:val="24"/>
          <w:szCs w:val="24"/>
          <w:highlight w:val="none"/>
          <w:u w:val="single"/>
        </w:rPr>
        <w:t>(</w:t>
      </w:r>
      <w:r>
        <w:rPr>
          <w:rFonts w:hint="eastAsia" w:ascii="仿宋" w:hAnsi="仿宋" w:eastAsia="仿宋"/>
          <w:color w:val="auto"/>
          <w:sz w:val="24"/>
          <w:szCs w:val="24"/>
          <w:highlight w:val="none"/>
          <w:u w:val="single"/>
        </w:rPr>
        <w:t>项目名称</w:t>
      </w:r>
      <w:r>
        <w:rPr>
          <w:rFonts w:ascii="仿宋" w:hAnsi="仿宋" w:eastAsia="仿宋"/>
          <w:color w:val="auto"/>
          <w:sz w:val="24"/>
          <w:szCs w:val="24"/>
          <w:highlight w:val="none"/>
          <w:u w:val="single"/>
        </w:rPr>
        <w:t>)</w:t>
      </w:r>
      <w:r>
        <w:rPr>
          <w:rFonts w:hint="eastAsia" w:ascii="仿宋" w:hAnsi="仿宋" w:eastAsia="仿宋"/>
          <w:color w:val="auto"/>
          <w:spacing w:val="8"/>
          <w:sz w:val="24"/>
          <w:szCs w:val="24"/>
          <w:highlight w:val="none"/>
          <w:u w:val="single"/>
        </w:rPr>
        <w:t>项目的</w:t>
      </w:r>
      <w:r>
        <w:rPr>
          <w:rFonts w:hint="eastAsia" w:ascii="仿宋" w:hAnsi="仿宋" w:eastAsia="仿宋"/>
          <w:color w:val="auto"/>
          <w:spacing w:val="8"/>
          <w:sz w:val="24"/>
          <w:szCs w:val="24"/>
          <w:highlight w:val="none"/>
        </w:rPr>
        <w:t>招标文件（编号：诸宸佳202</w:t>
      </w:r>
      <w:r>
        <w:rPr>
          <w:rFonts w:hint="eastAsia" w:ascii="仿宋" w:hAnsi="仿宋" w:eastAsia="仿宋"/>
          <w:color w:val="auto"/>
          <w:spacing w:val="8"/>
          <w:sz w:val="24"/>
          <w:szCs w:val="24"/>
          <w:highlight w:val="none"/>
          <w:lang w:val="en-US" w:eastAsia="zh-CN"/>
        </w:rPr>
        <w:t>*</w:t>
      </w:r>
      <w:r>
        <w:rPr>
          <w:rFonts w:ascii="仿宋" w:hAnsi="仿宋" w:eastAsia="仿宋"/>
          <w:color w:val="auto"/>
          <w:spacing w:val="8"/>
          <w:sz w:val="24"/>
          <w:szCs w:val="24"/>
          <w:highlight w:val="none"/>
        </w:rPr>
        <w:t>-</w:t>
      </w:r>
      <w:r>
        <w:rPr>
          <w:rFonts w:hint="eastAsia" w:ascii="仿宋" w:hAnsi="仿宋" w:eastAsia="仿宋"/>
          <w:color w:val="auto"/>
          <w:spacing w:val="8"/>
          <w:sz w:val="24"/>
          <w:szCs w:val="24"/>
          <w:highlight w:val="none"/>
        </w:rPr>
        <w:t>**</w:t>
      </w:r>
      <w:r>
        <w:rPr>
          <w:rFonts w:ascii="仿宋" w:hAnsi="仿宋" w:eastAsia="仿宋"/>
          <w:color w:val="auto"/>
          <w:spacing w:val="8"/>
          <w:sz w:val="24"/>
          <w:szCs w:val="24"/>
          <w:highlight w:val="none"/>
        </w:rPr>
        <w:t>-</w:t>
      </w:r>
      <w:r>
        <w:rPr>
          <w:rFonts w:hint="eastAsia" w:ascii="仿宋" w:hAnsi="仿宋" w:eastAsia="仿宋"/>
          <w:color w:val="auto"/>
          <w:spacing w:val="8"/>
          <w:sz w:val="24"/>
          <w:szCs w:val="24"/>
          <w:highlight w:val="none"/>
        </w:rPr>
        <w:t>**）有关要求，</w:t>
      </w:r>
      <w:r>
        <w:rPr>
          <w:rFonts w:hint="eastAsia" w:ascii="仿宋" w:hAnsi="仿宋" w:eastAsia="仿宋"/>
          <w:color w:val="auto"/>
          <w:spacing w:val="8"/>
          <w:sz w:val="24"/>
          <w:szCs w:val="24"/>
          <w:highlight w:val="none"/>
          <w:u w:val="single"/>
        </w:rPr>
        <w:t xml:space="preserve">（投标人全称）       </w:t>
      </w:r>
      <w:r>
        <w:rPr>
          <w:rFonts w:hint="eastAsia" w:ascii="仿宋" w:hAnsi="仿宋" w:eastAsia="仿宋"/>
          <w:color w:val="auto"/>
          <w:spacing w:val="8"/>
          <w:sz w:val="24"/>
          <w:szCs w:val="24"/>
          <w:highlight w:val="none"/>
        </w:rPr>
        <w:t>授权</w:t>
      </w:r>
      <w:r>
        <w:rPr>
          <w:rFonts w:hint="eastAsia" w:ascii="仿宋" w:hAnsi="仿宋" w:eastAsia="仿宋"/>
          <w:color w:val="auto"/>
          <w:spacing w:val="8"/>
          <w:sz w:val="24"/>
          <w:szCs w:val="24"/>
          <w:highlight w:val="none"/>
          <w:u w:val="single"/>
        </w:rPr>
        <w:t xml:space="preserve">  （委托代理人姓名）</w:t>
      </w:r>
      <w:r>
        <w:rPr>
          <w:rFonts w:hint="eastAsia" w:ascii="仿宋" w:hAnsi="仿宋" w:eastAsia="仿宋"/>
          <w:color w:val="auto"/>
          <w:sz w:val="24"/>
          <w:szCs w:val="24"/>
          <w:highlight w:val="none"/>
        </w:rPr>
        <w:t>为全权代表，参加贵方组织的招标采购活动，并进行投标。为此：</w:t>
      </w:r>
    </w:p>
    <w:p w14:paraId="0AC2AA52">
      <w:pPr>
        <w:snapToGrid w:val="0"/>
        <w:spacing w:line="420" w:lineRule="exact"/>
        <w:ind w:firstLine="480" w:firstLineChars="200"/>
        <w:rPr>
          <w:rFonts w:ascii="仿宋" w:hAnsi="仿宋" w:eastAsia="仿宋"/>
          <w:bCs/>
          <w:color w:val="auto"/>
          <w:sz w:val="24"/>
          <w:szCs w:val="24"/>
          <w:highlight w:val="none"/>
        </w:rPr>
      </w:pPr>
      <w:r>
        <w:rPr>
          <w:rFonts w:hint="eastAsia" w:ascii="仿宋" w:hAnsi="仿宋" w:eastAsia="仿宋"/>
          <w:color w:val="auto"/>
          <w:sz w:val="24"/>
          <w:szCs w:val="24"/>
          <w:highlight w:val="none"/>
        </w:rPr>
        <w:t>1、我方已详细研读了全部招标文件，包括修改文件（如有的话）以及全部参考资料和有关附件等，</w:t>
      </w:r>
      <w:r>
        <w:rPr>
          <w:rFonts w:hint="eastAsia" w:ascii="仿宋" w:hAnsi="仿宋" w:eastAsia="仿宋"/>
          <w:bCs/>
          <w:color w:val="auto"/>
          <w:sz w:val="24"/>
          <w:szCs w:val="24"/>
          <w:highlight w:val="none"/>
        </w:rPr>
        <w:t>完全理解并接受招标文件的各项规定和要求，对招标文件的合理性、合法性不再有异议。</w:t>
      </w:r>
    </w:p>
    <w:p w14:paraId="02062C10">
      <w:pPr>
        <w:tabs>
          <w:tab w:val="left" w:pos="900"/>
        </w:tabs>
        <w:spacing w:line="42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ascii="仿宋" w:hAnsi="仿宋" w:eastAsia="仿宋"/>
          <w:color w:val="auto"/>
          <w:sz w:val="24"/>
          <w:szCs w:val="24"/>
          <w:highlight w:val="none"/>
        </w:rPr>
        <w:t>我方承诺投标有效期从提交投标文件的截止之日起</w:t>
      </w:r>
      <w:r>
        <w:rPr>
          <w:rFonts w:hint="eastAsia" w:ascii="仿宋" w:hAnsi="仿宋" w:eastAsia="仿宋"/>
          <w:color w:val="auto"/>
          <w:sz w:val="24"/>
          <w:szCs w:val="24"/>
          <w:highlight w:val="none"/>
        </w:rPr>
        <w:t>___天（不少于</w:t>
      </w:r>
      <w:r>
        <w:rPr>
          <w:rFonts w:ascii="仿宋" w:hAnsi="仿宋" w:eastAsia="仿宋"/>
          <w:color w:val="auto"/>
          <w:sz w:val="24"/>
          <w:szCs w:val="24"/>
          <w:highlight w:val="none"/>
        </w:rPr>
        <w:t>90天）</w:t>
      </w:r>
      <w:r>
        <w:rPr>
          <w:rFonts w:hint="eastAsia" w:ascii="仿宋" w:hAnsi="仿宋" w:eastAsia="仿宋"/>
          <w:color w:val="auto"/>
          <w:sz w:val="24"/>
          <w:szCs w:val="24"/>
          <w:highlight w:val="none"/>
        </w:rPr>
        <w:t>，本投标文件在投标有效期满之前均具有约束力。</w:t>
      </w:r>
    </w:p>
    <w:p w14:paraId="02DE9370">
      <w:pPr>
        <w:spacing w:line="42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3、我方承诺已经具备《中华人民共和国政府采购法》及招标文件中规定的参加本项目的供应商资格条件。</w:t>
      </w:r>
    </w:p>
    <w:p w14:paraId="485455E7">
      <w:pPr>
        <w:snapToGrid w:val="0"/>
        <w:spacing w:line="42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4、我方严格按照招标文件的规定报价，并提供招标文件规定的全部投标文件。</w:t>
      </w:r>
    </w:p>
    <w:p w14:paraId="7285E2F5">
      <w:pPr>
        <w:spacing w:line="42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5、如我方中标，投标文件将作为本项目合同的组成部分，直到合同履行完毕均保持有效，我方将按招标文件及政府采购法律、法规的规定履行合同责任和义务。</w:t>
      </w:r>
    </w:p>
    <w:p w14:paraId="75127596">
      <w:pPr>
        <w:spacing w:line="42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6、我方完全理解贵方不一定接受最低价的投标。</w:t>
      </w:r>
    </w:p>
    <w:p w14:paraId="69308F43">
      <w:pPr>
        <w:spacing w:line="42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7、我方同意向贵方提供任何与该项投标有关的一切数据或资料。若贵方需要，我方愿意提供我方作出的一切承诺的证明材料。</w:t>
      </w:r>
    </w:p>
    <w:p w14:paraId="59FD795D">
      <w:pPr>
        <w:spacing w:line="42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8、与本次投标有关的一切正式往来通讯，请寄：</w:t>
      </w:r>
    </w:p>
    <w:p w14:paraId="7ADA9EF4">
      <w:pPr>
        <w:spacing w:line="360" w:lineRule="auto"/>
        <w:ind w:firstLine="425"/>
        <w:rPr>
          <w:rFonts w:ascii="仿宋" w:hAnsi="仿宋" w:eastAsia="仿宋"/>
          <w:color w:val="auto"/>
          <w:sz w:val="24"/>
          <w:szCs w:val="24"/>
          <w:highlight w:val="none"/>
          <w:u w:val="single"/>
        </w:rPr>
      </w:pPr>
      <w:r>
        <w:rPr>
          <w:rFonts w:hint="eastAsia" w:ascii="仿宋" w:hAnsi="仿宋" w:eastAsia="仿宋"/>
          <w:color w:val="auto"/>
          <w:sz w:val="24"/>
          <w:szCs w:val="24"/>
          <w:highlight w:val="none"/>
        </w:rPr>
        <w:t>地址：_____________邮编：_____________</w:t>
      </w:r>
    </w:p>
    <w:p w14:paraId="5B34B6B5">
      <w:pPr>
        <w:spacing w:line="360" w:lineRule="auto"/>
        <w:ind w:firstLine="425"/>
        <w:rPr>
          <w:rFonts w:ascii="仿宋" w:hAnsi="仿宋" w:eastAsia="仿宋"/>
          <w:color w:val="auto"/>
          <w:sz w:val="24"/>
          <w:szCs w:val="24"/>
          <w:highlight w:val="none"/>
          <w:u w:val="single"/>
        </w:rPr>
      </w:pPr>
      <w:r>
        <w:rPr>
          <w:rFonts w:hint="eastAsia" w:ascii="仿宋" w:hAnsi="仿宋" w:eastAsia="仿宋"/>
          <w:color w:val="auto"/>
          <w:sz w:val="24"/>
          <w:szCs w:val="24"/>
          <w:highlight w:val="none"/>
        </w:rPr>
        <w:t>电话：_____________传真：_____________</w:t>
      </w:r>
    </w:p>
    <w:p w14:paraId="0707D128">
      <w:pPr>
        <w:spacing w:line="360" w:lineRule="auto"/>
        <w:rPr>
          <w:rFonts w:ascii="仿宋" w:hAnsi="仿宋" w:eastAsia="仿宋"/>
          <w:color w:val="auto"/>
          <w:sz w:val="24"/>
          <w:szCs w:val="24"/>
          <w:highlight w:val="none"/>
        </w:rPr>
      </w:pPr>
    </w:p>
    <w:p w14:paraId="598730C4">
      <w:pPr>
        <w:wordWrap w:val="0"/>
        <w:spacing w:line="360" w:lineRule="auto"/>
        <w:ind w:firstLine="425"/>
        <w:jc w:val="both"/>
        <w:rPr>
          <w:rFonts w:ascii="仿宋" w:hAnsi="仿宋" w:eastAsia="仿宋"/>
          <w:color w:val="auto"/>
          <w:sz w:val="24"/>
          <w:szCs w:val="24"/>
          <w:highlight w:val="none"/>
          <w:u w:val="single"/>
        </w:rPr>
      </w:pPr>
      <w:r>
        <w:rPr>
          <w:rFonts w:hint="eastAsia" w:ascii="仿宋" w:hAnsi="仿宋" w:eastAsia="仿宋"/>
          <w:color w:val="auto"/>
          <w:sz w:val="24"/>
          <w:szCs w:val="24"/>
          <w:highlight w:val="none"/>
        </w:rPr>
        <w:t>投标人全称（电子签章）：</w:t>
      </w:r>
      <w:r>
        <w:rPr>
          <w:rFonts w:hint="eastAsia" w:ascii="仿宋" w:hAnsi="仿宋" w:eastAsia="仿宋"/>
          <w:color w:val="auto"/>
          <w:sz w:val="24"/>
          <w:szCs w:val="24"/>
          <w:highlight w:val="none"/>
          <w:u w:val="none"/>
        </w:rPr>
        <w:t>____________</w:t>
      </w:r>
    </w:p>
    <w:p w14:paraId="29D49DE3">
      <w:pPr>
        <w:widowControl/>
        <w:tabs>
          <w:tab w:val="left" w:pos="350"/>
          <w:tab w:val="left" w:pos="8280"/>
        </w:tabs>
        <w:spacing w:afterLines="100" w:line="360" w:lineRule="auto"/>
        <w:ind w:firstLine="425"/>
        <w:rPr>
          <w:rFonts w:ascii="仿宋" w:hAnsi="仿宋" w:eastAsia="仿宋"/>
          <w:color w:val="auto"/>
          <w:sz w:val="24"/>
          <w:szCs w:val="24"/>
          <w:highlight w:val="none"/>
        </w:rPr>
      </w:pPr>
      <w:r>
        <w:rPr>
          <w:rFonts w:hint="eastAsia" w:ascii="仿宋" w:hAnsi="仿宋" w:eastAsia="仿宋"/>
          <w:color w:val="auto"/>
          <w:sz w:val="24"/>
          <w:szCs w:val="24"/>
          <w:highlight w:val="none"/>
        </w:rPr>
        <w:t>日期：________年________月________日</w:t>
      </w:r>
    </w:p>
    <w:p w14:paraId="5CFE09B1">
      <w:pPr>
        <w:widowControl/>
        <w:tabs>
          <w:tab w:val="left" w:pos="350"/>
          <w:tab w:val="left" w:pos="8280"/>
        </w:tabs>
        <w:spacing w:afterLines="200" w:line="360" w:lineRule="auto"/>
        <w:ind w:firstLine="425"/>
        <w:rPr>
          <w:rFonts w:ascii="仿宋" w:hAnsi="仿宋" w:eastAsia="仿宋"/>
          <w:b/>
          <w:i/>
          <w:color w:val="auto"/>
          <w:sz w:val="24"/>
          <w:szCs w:val="24"/>
          <w:highlight w:val="none"/>
          <w:u w:val="single"/>
        </w:rPr>
      </w:pPr>
      <w:r>
        <w:rPr>
          <w:rFonts w:hint="eastAsia" w:ascii="仿宋" w:hAnsi="仿宋" w:eastAsia="仿宋"/>
          <w:b/>
          <w:i/>
          <w:color w:val="auto"/>
          <w:sz w:val="24"/>
          <w:szCs w:val="24"/>
          <w:highlight w:val="none"/>
          <w:u w:val="single"/>
        </w:rPr>
        <w:t>注：按本格式和要求提供。</w:t>
      </w:r>
    </w:p>
    <w:p w14:paraId="32A4F339">
      <w:pPr>
        <w:widowControl/>
        <w:tabs>
          <w:tab w:val="left" w:pos="350"/>
          <w:tab w:val="left" w:pos="8280"/>
        </w:tabs>
        <w:spacing w:afterLines="200" w:line="360" w:lineRule="auto"/>
        <w:ind w:firstLine="425"/>
        <w:rPr>
          <w:rFonts w:ascii="仿宋" w:hAnsi="仿宋" w:eastAsia="仿宋"/>
          <w:color w:val="auto"/>
          <w:sz w:val="24"/>
          <w:szCs w:val="24"/>
          <w:highlight w:val="none"/>
        </w:rPr>
        <w:sectPr>
          <w:pgSz w:w="11905"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type="lines" w:linePitch="317" w:charSpace="0"/>
        </w:sectPr>
      </w:pPr>
    </w:p>
    <w:p w14:paraId="60F8604F">
      <w:pPr>
        <w:pageBreakBefore w:val="0"/>
        <w:numPr>
          <w:ilvl w:val="0"/>
          <w:numId w:val="22"/>
        </w:numPr>
        <w:kinsoku/>
        <w:wordWrap/>
        <w:overflowPunct/>
        <w:topLinePunct w:val="0"/>
        <w:autoSpaceDE/>
        <w:autoSpaceDN/>
        <w:bidi w:val="0"/>
        <w:snapToGrid w:val="0"/>
        <w:spacing w:line="240" w:lineRule="auto"/>
        <w:ind w:left="0" w:leftChars="0" w:firstLine="420" w:firstLineChars="0"/>
        <w:jc w:val="center"/>
        <w:textAlignment w:val="auto"/>
        <w:rPr>
          <w:rFonts w:hint="eastAsia" w:ascii="仿宋" w:hAnsi="仿宋" w:eastAsia="仿宋" w:cs="Times New Roman"/>
          <w:b/>
          <w:bCs/>
          <w:color w:val="auto"/>
          <w:kern w:val="2"/>
          <w:sz w:val="32"/>
          <w:szCs w:val="32"/>
          <w:highlight w:val="none"/>
          <w:lang w:val="zh-CN" w:eastAsia="zh-CN" w:bidi="ar-SA"/>
        </w:rPr>
      </w:pPr>
      <w:r>
        <w:rPr>
          <w:rFonts w:hint="eastAsia" w:ascii="仿宋" w:hAnsi="仿宋" w:eastAsia="仿宋" w:cs="Times New Roman"/>
          <w:b/>
          <w:bCs/>
          <w:color w:val="auto"/>
          <w:kern w:val="2"/>
          <w:sz w:val="32"/>
          <w:szCs w:val="32"/>
          <w:highlight w:val="none"/>
          <w:lang w:val="zh-CN" w:eastAsia="zh-CN" w:bidi="ar-SA"/>
        </w:rPr>
        <w:t>授权委托书（格式）</w:t>
      </w:r>
    </w:p>
    <w:p w14:paraId="034ABEEB">
      <w:pPr>
        <w:keepNext w:val="0"/>
        <w:keepLines w:val="0"/>
        <w:pageBreakBefore w:val="0"/>
        <w:widowControl w:val="0"/>
        <w:kinsoku/>
        <w:wordWrap/>
        <w:overflowPunct/>
        <w:topLinePunct w:val="0"/>
        <w:autoSpaceDE w:val="0"/>
        <w:autoSpaceDN w:val="0"/>
        <w:bidi w:val="0"/>
        <w:adjustRightInd w:val="0"/>
        <w:spacing w:line="420" w:lineRule="exact"/>
        <w:textAlignment w:val="auto"/>
        <w:rPr>
          <w:rFonts w:ascii="仿宋" w:hAnsi="仿宋" w:eastAsia="仿宋" w:cs="宋体"/>
          <w:color w:val="auto"/>
          <w:spacing w:val="8"/>
          <w:sz w:val="24"/>
          <w:szCs w:val="24"/>
          <w:highlight w:val="none"/>
        </w:rPr>
      </w:pPr>
      <w:r>
        <w:rPr>
          <w:rFonts w:hint="eastAsia" w:ascii="仿宋" w:hAnsi="仿宋" w:eastAsia="仿宋" w:cs="仿宋"/>
          <w:b w:val="0"/>
          <w:bCs/>
          <w:color w:val="auto"/>
          <w:sz w:val="24"/>
          <w:szCs w:val="24"/>
          <w:lang w:eastAsia="zh-CN"/>
        </w:rPr>
        <w:t>诸暨市环境卫生管理集团有限公司</w:t>
      </w:r>
      <w:r>
        <w:rPr>
          <w:rFonts w:hint="eastAsia" w:ascii="仿宋" w:hAnsi="仿宋" w:eastAsia="仿宋" w:cs="宋体"/>
          <w:b/>
          <w:color w:val="auto"/>
          <w:sz w:val="24"/>
          <w:szCs w:val="24"/>
          <w:highlight w:val="none"/>
        </w:rPr>
        <w:t>、</w:t>
      </w:r>
      <w:r>
        <w:rPr>
          <w:rFonts w:hint="eastAsia" w:ascii="仿宋" w:hAnsi="仿宋" w:eastAsia="仿宋" w:cs="仿宋"/>
          <w:color w:val="auto"/>
          <w:spacing w:val="8"/>
          <w:sz w:val="24"/>
          <w:szCs w:val="24"/>
          <w:highlight w:val="none"/>
        </w:rPr>
        <w:t>诸暨市宸佳工程管理有限公司</w:t>
      </w:r>
      <w:r>
        <w:rPr>
          <w:rFonts w:hint="eastAsia" w:ascii="仿宋" w:hAnsi="仿宋" w:eastAsia="仿宋" w:cs="宋体"/>
          <w:color w:val="auto"/>
          <w:spacing w:val="8"/>
          <w:sz w:val="24"/>
          <w:szCs w:val="24"/>
          <w:highlight w:val="none"/>
        </w:rPr>
        <w:t>：</w:t>
      </w:r>
    </w:p>
    <w:p w14:paraId="08DD24BE">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我</w:t>
      </w:r>
      <w:r>
        <w:rPr>
          <w:rFonts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u w:val="single"/>
        </w:rPr>
        <w:t>姓名</w:t>
      </w:r>
      <w:r>
        <w:rPr>
          <w:rFonts w:ascii="仿宋" w:hAnsi="仿宋" w:eastAsia="仿宋"/>
          <w:color w:val="auto"/>
          <w:sz w:val="24"/>
          <w:szCs w:val="24"/>
          <w:highlight w:val="none"/>
          <w:u w:val="single"/>
        </w:rPr>
        <w:t>)</w:t>
      </w:r>
      <w:r>
        <w:rPr>
          <w:rFonts w:hint="eastAsia" w:ascii="仿宋" w:hAnsi="仿宋" w:eastAsia="仿宋"/>
          <w:color w:val="auto"/>
          <w:sz w:val="24"/>
          <w:szCs w:val="24"/>
          <w:highlight w:val="none"/>
          <w:u w:val="single"/>
        </w:rPr>
        <w:t xml:space="preserve">（职务：     身份证号码：    ） </w:t>
      </w:r>
      <w:r>
        <w:rPr>
          <w:rFonts w:hint="eastAsia" w:ascii="仿宋" w:hAnsi="仿宋" w:eastAsia="仿宋"/>
          <w:color w:val="auto"/>
          <w:sz w:val="24"/>
          <w:szCs w:val="24"/>
          <w:highlight w:val="none"/>
        </w:rPr>
        <w:t>系</w:t>
      </w:r>
      <w:r>
        <w:rPr>
          <w:rFonts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u w:val="single"/>
        </w:rPr>
        <w:t>投标人名称</w:t>
      </w:r>
      <w:r>
        <w:rPr>
          <w:rFonts w:ascii="仿宋" w:hAnsi="仿宋" w:eastAsia="仿宋"/>
          <w:color w:val="auto"/>
          <w:sz w:val="24"/>
          <w:szCs w:val="24"/>
          <w:highlight w:val="none"/>
          <w:u w:val="single"/>
        </w:rPr>
        <w:t>)</w:t>
      </w:r>
      <w:r>
        <w:rPr>
          <w:rFonts w:hint="eastAsia" w:ascii="仿宋" w:hAnsi="仿宋" w:eastAsia="仿宋"/>
          <w:color w:val="auto"/>
          <w:sz w:val="24"/>
          <w:szCs w:val="24"/>
          <w:highlight w:val="none"/>
          <w:u w:val="single"/>
        </w:rPr>
        <w:t>　　</w:t>
      </w:r>
      <w:r>
        <w:rPr>
          <w:rFonts w:hint="eastAsia" w:ascii="仿宋" w:hAnsi="仿宋" w:eastAsia="仿宋"/>
          <w:color w:val="auto"/>
          <w:sz w:val="24"/>
          <w:szCs w:val="24"/>
          <w:highlight w:val="none"/>
        </w:rPr>
        <w:t>的</w:t>
      </w:r>
      <w:r>
        <w:rPr>
          <w:rFonts w:hint="eastAsia" w:ascii="仿宋" w:hAnsi="仿宋" w:eastAsia="仿宋"/>
          <w:color w:val="auto"/>
          <w:sz w:val="24"/>
          <w:szCs w:val="24"/>
          <w:highlight w:val="none"/>
          <w:u w:val="single"/>
        </w:rPr>
        <w:t xml:space="preserve">（法定代表人或单位负责人）  </w:t>
      </w:r>
      <w:r>
        <w:rPr>
          <w:rFonts w:hint="eastAsia" w:ascii="仿宋" w:hAnsi="仿宋" w:eastAsia="仿宋"/>
          <w:color w:val="auto"/>
          <w:sz w:val="24"/>
          <w:szCs w:val="24"/>
          <w:highlight w:val="none"/>
        </w:rPr>
        <w:t>，现授权委托本单位在职职工</w:t>
      </w:r>
      <w:r>
        <w:rPr>
          <w:rFonts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u w:val="single"/>
        </w:rPr>
        <w:t>姓名</w:t>
      </w:r>
      <w:r>
        <w:rPr>
          <w:rFonts w:ascii="仿宋" w:hAnsi="仿宋" w:eastAsia="仿宋"/>
          <w:color w:val="auto"/>
          <w:sz w:val="24"/>
          <w:szCs w:val="24"/>
          <w:highlight w:val="none"/>
          <w:u w:val="single"/>
        </w:rPr>
        <w:t>)</w:t>
      </w:r>
      <w:r>
        <w:rPr>
          <w:rFonts w:hint="eastAsia" w:ascii="仿宋" w:hAnsi="仿宋" w:eastAsia="仿宋"/>
          <w:color w:val="auto"/>
          <w:sz w:val="24"/>
          <w:szCs w:val="24"/>
          <w:highlight w:val="none"/>
          <w:u w:val="single"/>
        </w:rPr>
        <w:t xml:space="preserve">  　 （职务：    身份证号码：     ）</w:t>
      </w:r>
      <w:r>
        <w:rPr>
          <w:rFonts w:hint="eastAsia" w:ascii="仿宋" w:hAnsi="仿宋" w:eastAsia="仿宋"/>
          <w:color w:val="auto"/>
          <w:sz w:val="24"/>
          <w:szCs w:val="24"/>
          <w:highlight w:val="none"/>
        </w:rPr>
        <w:t>以我方的名义参加贵方组织的</w:t>
      </w:r>
      <w:r>
        <w:rPr>
          <w:rFonts w:hint="eastAsia" w:ascii="仿宋" w:hAnsi="仿宋" w:eastAsia="仿宋"/>
          <w:color w:val="auto"/>
          <w:sz w:val="24"/>
          <w:szCs w:val="24"/>
          <w:highlight w:val="none"/>
          <w:u w:val="single"/>
        </w:rPr>
        <w:t xml:space="preserve">      　</w:t>
      </w:r>
      <w:r>
        <w:rPr>
          <w:rFonts w:ascii="仿宋" w:hAnsi="仿宋" w:eastAsia="仿宋"/>
          <w:color w:val="auto"/>
          <w:sz w:val="24"/>
          <w:szCs w:val="24"/>
          <w:highlight w:val="none"/>
          <w:u w:val="single"/>
        </w:rPr>
        <w:t>(</w:t>
      </w:r>
      <w:r>
        <w:rPr>
          <w:rFonts w:hint="eastAsia" w:ascii="仿宋" w:hAnsi="仿宋" w:eastAsia="仿宋"/>
          <w:color w:val="auto"/>
          <w:sz w:val="24"/>
          <w:szCs w:val="24"/>
          <w:highlight w:val="none"/>
          <w:u w:val="single"/>
        </w:rPr>
        <w:t>项目名称</w:t>
      </w:r>
      <w:r>
        <w:rPr>
          <w:rFonts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u w:val="single"/>
        </w:rPr>
        <w:t>项目</w:t>
      </w:r>
      <w:r>
        <w:rPr>
          <w:rFonts w:hint="eastAsia" w:ascii="仿宋" w:hAnsi="仿宋" w:eastAsia="仿宋"/>
          <w:color w:val="auto"/>
          <w:sz w:val="24"/>
          <w:szCs w:val="24"/>
          <w:highlight w:val="none"/>
        </w:rPr>
        <w:t>的投标活动，并代表我方全权办理针对上述项目的投标、开标、评标、签约等具体事务和签署相关文件。</w:t>
      </w:r>
    </w:p>
    <w:p w14:paraId="2AB3B493">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我方对被授权人的签名事项负全部责任。</w:t>
      </w:r>
    </w:p>
    <w:p w14:paraId="5725802E">
      <w:pPr>
        <w:snapToGrid w:val="0"/>
        <w:spacing w:line="420" w:lineRule="exact"/>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在撤销授权的书面通知以前，本授权书一直有效。被授权人在授权书有效期内签署的所有文件不因授权的撤销而失效。</w:t>
      </w:r>
    </w:p>
    <w:p w14:paraId="31C725C9">
      <w:pPr>
        <w:snapToGrid w:val="0"/>
        <w:spacing w:line="420" w:lineRule="exact"/>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被授权人无转委托权，特此委托。</w:t>
      </w:r>
    </w:p>
    <w:p w14:paraId="39B547E0">
      <w:pPr>
        <w:snapToGrid w:val="0"/>
        <w:spacing w:line="360" w:lineRule="auto"/>
        <w:ind w:firstLine="480"/>
        <w:rPr>
          <w:rFonts w:ascii="仿宋" w:hAnsi="仿宋" w:eastAsia="仿宋"/>
          <w:color w:val="auto"/>
          <w:sz w:val="24"/>
          <w:szCs w:val="24"/>
          <w:highlight w:val="none"/>
        </w:rPr>
      </w:pPr>
    </w:p>
    <w:p w14:paraId="2C014950">
      <w:pPr>
        <w:spacing w:line="360" w:lineRule="auto"/>
        <w:rPr>
          <w:rFonts w:ascii="仿宋" w:hAnsi="仿宋" w:eastAsia="仿宋"/>
          <w:b/>
          <w:color w:val="auto"/>
          <w:sz w:val="24"/>
          <w:szCs w:val="24"/>
          <w:highlight w:val="none"/>
        </w:rPr>
      </w:pPr>
    </w:p>
    <w:p w14:paraId="438AF1A1">
      <w:pPr>
        <w:wordWrap w:val="0"/>
        <w:spacing w:line="360" w:lineRule="auto"/>
        <w:ind w:firstLine="425"/>
        <w:jc w:val="right"/>
        <w:rPr>
          <w:rFonts w:ascii="仿宋" w:hAnsi="仿宋" w:eastAsia="仿宋"/>
          <w:color w:val="auto"/>
          <w:sz w:val="24"/>
          <w:szCs w:val="24"/>
          <w:highlight w:val="none"/>
          <w:u w:val="single"/>
        </w:rPr>
      </w:pPr>
      <w:r>
        <w:rPr>
          <w:rFonts w:hint="eastAsia" w:ascii="仿宋" w:hAnsi="仿宋" w:eastAsia="仿宋"/>
          <w:color w:val="auto"/>
          <w:sz w:val="24"/>
          <w:szCs w:val="24"/>
          <w:highlight w:val="none"/>
        </w:rPr>
        <w:t>投标人全称（电子签章）：</w:t>
      </w:r>
      <w:r>
        <w:rPr>
          <w:rFonts w:hint="eastAsia" w:ascii="仿宋" w:hAnsi="仿宋" w:eastAsia="仿宋"/>
          <w:color w:val="auto"/>
          <w:sz w:val="24"/>
          <w:szCs w:val="24"/>
          <w:highlight w:val="none"/>
          <w:u w:val="none"/>
        </w:rPr>
        <w:t>____________</w:t>
      </w:r>
    </w:p>
    <w:p w14:paraId="4E246691">
      <w:pPr>
        <w:spacing w:line="360" w:lineRule="auto"/>
        <w:ind w:firstLine="425"/>
        <w:jc w:val="right"/>
        <w:rPr>
          <w:rFonts w:ascii="仿宋" w:hAnsi="仿宋" w:eastAsia="仿宋"/>
          <w:color w:val="auto"/>
          <w:sz w:val="24"/>
          <w:szCs w:val="24"/>
          <w:highlight w:val="none"/>
        </w:rPr>
      </w:pPr>
      <w:r>
        <w:rPr>
          <w:rFonts w:hint="eastAsia" w:ascii="仿宋" w:hAnsi="仿宋" w:eastAsia="仿宋"/>
          <w:color w:val="auto"/>
          <w:sz w:val="24"/>
          <w:szCs w:val="24"/>
          <w:highlight w:val="none"/>
        </w:rPr>
        <w:t>日期：________年________月________日</w:t>
      </w:r>
    </w:p>
    <w:p w14:paraId="4C0669B2">
      <w:pPr>
        <w:spacing w:line="480" w:lineRule="auto"/>
        <w:rPr>
          <w:rFonts w:ascii="仿宋" w:hAnsi="仿宋" w:eastAsia="仿宋"/>
          <w:b/>
          <w:bCs/>
          <w:color w:val="auto"/>
          <w:spacing w:val="-6"/>
          <w:sz w:val="24"/>
          <w:szCs w:val="24"/>
          <w:highlight w:val="none"/>
        </w:rPr>
      </w:pPr>
    </w:p>
    <w:p w14:paraId="182FC650">
      <w:pPr>
        <w:spacing w:line="420" w:lineRule="exact"/>
        <w:rPr>
          <w:rFonts w:hint="eastAsia" w:ascii="仿宋" w:hAnsi="仿宋" w:eastAsia="仿宋" w:cs="仿宋"/>
          <w:b/>
          <w:bCs/>
          <w:i/>
          <w:color w:val="auto"/>
          <w:spacing w:val="-6"/>
          <w:sz w:val="24"/>
          <w:szCs w:val="24"/>
          <w:u w:val="single"/>
        </w:rPr>
      </w:pPr>
    </w:p>
    <w:p w14:paraId="3DA92501">
      <w:pPr>
        <w:spacing w:line="420" w:lineRule="exact"/>
        <w:rPr>
          <w:rFonts w:ascii="仿宋" w:hAnsi="仿宋" w:eastAsia="仿宋" w:cs="仿宋"/>
          <w:b/>
          <w:i/>
          <w:color w:val="auto"/>
          <w:sz w:val="24"/>
          <w:szCs w:val="24"/>
          <w:u w:val="single"/>
        </w:rPr>
      </w:pPr>
      <w:r>
        <w:rPr>
          <w:rFonts w:hint="eastAsia" w:ascii="仿宋" w:hAnsi="仿宋" w:eastAsia="仿宋" w:cs="仿宋"/>
          <w:b/>
          <w:bCs/>
          <w:i/>
          <w:color w:val="auto"/>
          <w:spacing w:val="-6"/>
          <w:sz w:val="24"/>
          <w:szCs w:val="24"/>
          <w:u w:val="single"/>
        </w:rPr>
        <w:t>说明：</w:t>
      </w:r>
    </w:p>
    <w:p w14:paraId="4513CE96">
      <w:pPr>
        <w:keepNext w:val="0"/>
        <w:keepLines w:val="0"/>
        <w:pageBreakBefore w:val="0"/>
        <w:kinsoku/>
        <w:wordWrap/>
        <w:overflowPunct/>
        <w:topLinePunct w:val="0"/>
        <w:autoSpaceDE w:val="0"/>
        <w:autoSpaceDN w:val="0"/>
        <w:bidi w:val="0"/>
        <w:adjustRightInd w:val="0"/>
        <w:snapToGrid/>
        <w:spacing w:line="420" w:lineRule="exact"/>
        <w:ind w:firstLine="482" w:firstLineChars="200"/>
        <w:textAlignment w:val="auto"/>
        <w:rPr>
          <w:rFonts w:ascii="仿宋" w:hAnsi="仿宋" w:eastAsia="仿宋" w:cs="仿宋"/>
          <w:b/>
          <w:bCs w:val="0"/>
          <w:i/>
          <w:iCs w:val="0"/>
          <w:color w:val="auto"/>
          <w:sz w:val="24"/>
          <w:szCs w:val="24"/>
          <w:u w:val="single"/>
        </w:rPr>
      </w:pPr>
      <w:r>
        <w:rPr>
          <w:rFonts w:hint="eastAsia" w:ascii="仿宋" w:hAnsi="仿宋" w:eastAsia="仿宋" w:cs="仿宋"/>
          <w:b/>
          <w:bCs w:val="0"/>
          <w:i/>
          <w:iCs w:val="0"/>
          <w:color w:val="auto"/>
          <w:sz w:val="24"/>
          <w:szCs w:val="24"/>
          <w:u w:val="single"/>
        </w:rPr>
        <w:t>1、</w:t>
      </w:r>
      <w:r>
        <w:rPr>
          <w:rFonts w:hint="eastAsia" w:ascii="仿宋" w:hAnsi="仿宋" w:eastAsia="仿宋" w:cs="仿宋"/>
          <w:b/>
          <w:bCs w:val="0"/>
          <w:i/>
          <w:iCs w:val="0"/>
          <w:color w:val="auto"/>
          <w:sz w:val="24"/>
          <w:szCs w:val="24"/>
          <w:u w:val="single"/>
          <w:lang w:eastAsia="zh-CN"/>
        </w:rPr>
        <w:t>供应商</w:t>
      </w:r>
      <w:r>
        <w:rPr>
          <w:rFonts w:hint="eastAsia" w:ascii="仿宋" w:hAnsi="仿宋" w:eastAsia="仿宋" w:cs="仿宋"/>
          <w:b/>
          <w:bCs w:val="0"/>
          <w:i/>
          <w:iCs w:val="0"/>
          <w:color w:val="auto"/>
          <w:sz w:val="24"/>
          <w:szCs w:val="24"/>
          <w:u w:val="single"/>
        </w:rPr>
        <w:t>代表为法定代表人（或单位负责人）的，只需提供法定代表人（或单位负责人）身份证（正反面）复印件（加盖单位公章）</w:t>
      </w:r>
      <w:r>
        <w:rPr>
          <w:rFonts w:hint="eastAsia" w:ascii="仿宋" w:hAnsi="仿宋" w:eastAsia="仿宋" w:cs="仿宋"/>
          <w:b/>
          <w:bCs w:val="0"/>
          <w:i/>
          <w:iCs w:val="0"/>
          <w:color w:val="auto"/>
          <w:sz w:val="24"/>
          <w:szCs w:val="24"/>
          <w:u w:val="none"/>
        </w:rPr>
        <w:t>。</w:t>
      </w:r>
    </w:p>
    <w:p w14:paraId="23D1EB2C">
      <w:pPr>
        <w:keepNext w:val="0"/>
        <w:keepLines w:val="0"/>
        <w:pageBreakBefore w:val="0"/>
        <w:kinsoku/>
        <w:wordWrap/>
        <w:overflowPunct/>
        <w:topLinePunct w:val="0"/>
        <w:autoSpaceDE w:val="0"/>
        <w:autoSpaceDN w:val="0"/>
        <w:bidi w:val="0"/>
        <w:adjustRightInd w:val="0"/>
        <w:snapToGrid/>
        <w:spacing w:line="420" w:lineRule="exact"/>
        <w:ind w:firstLine="482" w:firstLineChars="200"/>
        <w:textAlignment w:val="auto"/>
        <w:sectPr>
          <w:pgSz w:w="11905"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type="lines" w:linePitch="317" w:charSpace="0"/>
        </w:sectPr>
      </w:pPr>
      <w:r>
        <w:rPr>
          <w:rFonts w:hint="eastAsia" w:ascii="仿宋" w:hAnsi="仿宋" w:eastAsia="仿宋" w:cs="仿宋"/>
          <w:b/>
          <w:bCs w:val="0"/>
          <w:i/>
          <w:iCs w:val="0"/>
          <w:color w:val="auto"/>
          <w:sz w:val="24"/>
          <w:szCs w:val="24"/>
          <w:u w:val="single"/>
        </w:rPr>
        <w:t>2、</w:t>
      </w:r>
      <w:r>
        <w:rPr>
          <w:rFonts w:hint="eastAsia" w:ascii="仿宋" w:hAnsi="仿宋" w:eastAsia="仿宋" w:cs="仿宋"/>
          <w:b/>
          <w:bCs w:val="0"/>
          <w:i/>
          <w:iCs w:val="0"/>
          <w:color w:val="auto"/>
          <w:sz w:val="24"/>
          <w:u w:val="single"/>
          <w:lang w:eastAsia="zh-CN"/>
        </w:rPr>
        <w:t>供应商</w:t>
      </w:r>
      <w:r>
        <w:rPr>
          <w:rFonts w:hint="eastAsia" w:ascii="仿宋" w:hAnsi="仿宋" w:eastAsia="仿宋" w:cs="仿宋"/>
          <w:b/>
          <w:bCs w:val="0"/>
          <w:i/>
          <w:iCs w:val="0"/>
          <w:color w:val="auto"/>
          <w:sz w:val="24"/>
          <w:u w:val="single"/>
        </w:rPr>
        <w:t>代表不是法定代表人（或单位负责人）的，必须提供《授权委托书</w:t>
      </w:r>
      <w:r>
        <w:rPr>
          <w:rFonts w:hint="eastAsia" w:ascii="仿宋" w:hAnsi="仿宋" w:eastAsia="仿宋" w:cs="仿宋"/>
          <w:b/>
          <w:bCs w:val="0"/>
          <w:i/>
          <w:iCs w:val="0"/>
          <w:color w:val="auto"/>
          <w:sz w:val="24"/>
          <w:highlight w:val="none"/>
          <w:u w:val="single"/>
        </w:rPr>
        <w:t>》</w:t>
      </w:r>
      <w:r>
        <w:rPr>
          <w:rFonts w:hint="eastAsia" w:ascii="仿宋" w:hAnsi="仿宋" w:eastAsia="仿宋" w:cs="仿宋"/>
          <w:b/>
          <w:bCs w:val="0"/>
          <w:i/>
          <w:iCs w:val="0"/>
          <w:color w:val="auto"/>
          <w:sz w:val="24"/>
          <w:szCs w:val="24"/>
          <w:u w:val="single"/>
        </w:rPr>
        <w:t>和被授权人的身份证（正反面）复印件（加盖单位公章）。</w:t>
      </w:r>
      <w:r>
        <w:rPr>
          <w:rFonts w:hint="eastAsia" w:ascii="仿宋" w:hAnsi="仿宋" w:eastAsia="仿宋" w:cs="仿宋"/>
          <w:b/>
          <w:bCs w:val="0"/>
          <w:i/>
          <w:iCs w:val="0"/>
          <w:color w:val="auto"/>
          <w:sz w:val="24"/>
          <w:highlight w:val="none"/>
          <w:u w:val="single"/>
          <w:lang w:val="en-US" w:eastAsia="zh-CN"/>
        </w:rPr>
        <w:t>另需提供授权代表近3个月社保证明材料</w:t>
      </w:r>
      <w:r>
        <w:rPr>
          <w:rFonts w:hint="eastAsia" w:ascii="仿宋" w:hAnsi="仿宋" w:eastAsia="仿宋" w:cs="仿宋"/>
          <w:b/>
          <w:bCs w:val="0"/>
          <w:i/>
          <w:iCs w:val="0"/>
          <w:color w:val="auto"/>
          <w:sz w:val="24"/>
          <w:highlight w:val="none"/>
          <w:u w:val="none"/>
        </w:rPr>
        <w:t>。</w:t>
      </w:r>
      <w:bookmarkStart w:id="9" w:name="_GoBack"/>
      <w:bookmarkEnd w:id="9"/>
    </w:p>
    <w:p w14:paraId="392EE0EC">
      <w:pPr>
        <w:pageBreakBefore w:val="0"/>
        <w:numPr>
          <w:ilvl w:val="0"/>
          <w:numId w:val="22"/>
        </w:numPr>
        <w:kinsoku/>
        <w:wordWrap/>
        <w:overflowPunct/>
        <w:topLinePunct w:val="0"/>
        <w:autoSpaceDE/>
        <w:autoSpaceDN/>
        <w:bidi w:val="0"/>
        <w:snapToGrid w:val="0"/>
        <w:spacing w:line="240" w:lineRule="auto"/>
        <w:ind w:left="0" w:leftChars="0" w:firstLine="420" w:firstLineChars="0"/>
        <w:jc w:val="center"/>
        <w:textAlignment w:val="auto"/>
        <w:rPr>
          <w:rFonts w:hint="eastAsia" w:ascii="仿宋" w:hAnsi="仿宋" w:eastAsia="仿宋" w:cs="Times New Roman"/>
          <w:b/>
          <w:bCs/>
          <w:color w:val="auto"/>
          <w:kern w:val="2"/>
          <w:sz w:val="32"/>
          <w:szCs w:val="32"/>
          <w:highlight w:val="none"/>
          <w:lang w:val="zh-CN" w:eastAsia="zh-CN" w:bidi="ar-SA"/>
        </w:rPr>
      </w:pPr>
      <w:r>
        <w:rPr>
          <w:rFonts w:hint="eastAsia" w:ascii="仿宋" w:hAnsi="仿宋" w:eastAsia="仿宋" w:cs="Times New Roman"/>
          <w:b/>
          <w:bCs/>
          <w:color w:val="auto"/>
          <w:kern w:val="2"/>
          <w:sz w:val="32"/>
          <w:szCs w:val="32"/>
          <w:highlight w:val="none"/>
          <w:lang w:val="zh-CN" w:eastAsia="zh-CN" w:bidi="ar-SA"/>
        </w:rPr>
        <w:t>开标一览表（格式）</w:t>
      </w:r>
    </w:p>
    <w:p w14:paraId="76A1154C">
      <w:pPr>
        <w:keepNext w:val="0"/>
        <w:keepLines w:val="0"/>
        <w:pageBreakBefore w:val="0"/>
        <w:widowControl w:val="0"/>
        <w:kinsoku/>
        <w:wordWrap/>
        <w:overflowPunct/>
        <w:topLinePunct w:val="0"/>
        <w:autoSpaceDE w:val="0"/>
        <w:autoSpaceDN w:val="0"/>
        <w:bidi w:val="0"/>
        <w:adjustRightInd w:val="0"/>
        <w:snapToGrid/>
        <w:spacing w:line="360" w:lineRule="auto"/>
        <w:ind w:firstLine="562" w:firstLineChars="200"/>
        <w:textAlignment w:val="auto"/>
        <w:rPr>
          <w:rFonts w:hint="eastAsia" w:ascii="仿宋" w:hAnsi="仿宋" w:eastAsia="仿宋"/>
          <w:b/>
          <w:bCs/>
          <w:color w:val="auto"/>
          <w:sz w:val="28"/>
          <w:szCs w:val="28"/>
          <w:highlight w:val="none"/>
          <w:lang w:val="en-US" w:eastAsia="zh-CN"/>
        </w:rPr>
      </w:pPr>
      <w:r>
        <w:rPr>
          <w:rFonts w:hint="eastAsia" w:ascii="仿宋" w:hAnsi="仿宋" w:eastAsia="仿宋"/>
          <w:b/>
          <w:bCs/>
          <w:color w:val="auto"/>
          <w:sz w:val="28"/>
          <w:szCs w:val="28"/>
          <w:highlight w:val="none"/>
        </w:rPr>
        <w:t>项目名称：</w:t>
      </w:r>
      <w:r>
        <w:rPr>
          <w:rFonts w:hint="eastAsia" w:ascii="仿宋" w:hAnsi="仿宋" w:eastAsia="仿宋"/>
          <w:b/>
          <w:bCs/>
          <w:color w:val="auto"/>
          <w:sz w:val="28"/>
          <w:szCs w:val="28"/>
          <w:highlight w:val="none"/>
          <w:lang w:eastAsia="zh-CN"/>
        </w:rPr>
        <w:t>诸暨市环境卫生管理集团有限公司2025-2026年度环卫工人综合险服务采购项目</w:t>
      </w:r>
    </w:p>
    <w:p w14:paraId="11F5BD1C">
      <w:pPr>
        <w:keepNext w:val="0"/>
        <w:keepLines w:val="0"/>
        <w:pageBreakBefore w:val="0"/>
        <w:widowControl w:val="0"/>
        <w:kinsoku/>
        <w:wordWrap/>
        <w:overflowPunct/>
        <w:topLinePunct w:val="0"/>
        <w:autoSpaceDE w:val="0"/>
        <w:autoSpaceDN w:val="0"/>
        <w:bidi w:val="0"/>
        <w:adjustRightInd w:val="0"/>
        <w:snapToGrid/>
        <w:spacing w:line="360" w:lineRule="auto"/>
        <w:ind w:firstLine="562" w:firstLineChars="200"/>
        <w:textAlignment w:val="auto"/>
        <w:rPr>
          <w:rFonts w:hint="default" w:ascii="仿宋" w:hAnsi="仿宋" w:eastAsia="仿宋"/>
          <w:b/>
          <w:bCs/>
          <w:color w:val="auto"/>
          <w:sz w:val="28"/>
          <w:szCs w:val="28"/>
          <w:highlight w:val="none"/>
          <w:lang w:val="en-US" w:eastAsia="zh-CN"/>
        </w:rPr>
      </w:pPr>
      <w:r>
        <w:rPr>
          <w:rFonts w:hint="eastAsia" w:ascii="仿宋" w:hAnsi="仿宋" w:eastAsia="仿宋"/>
          <w:b/>
          <w:bCs/>
          <w:color w:val="auto"/>
          <w:sz w:val="28"/>
          <w:szCs w:val="28"/>
          <w:highlight w:val="none"/>
        </w:rPr>
        <w:t>项目编号：诸宸佳</w:t>
      </w:r>
      <w:r>
        <w:rPr>
          <w:rFonts w:hint="eastAsia" w:ascii="仿宋" w:hAnsi="仿宋" w:eastAsia="仿宋"/>
          <w:b/>
          <w:bCs/>
          <w:color w:val="auto"/>
          <w:sz w:val="28"/>
          <w:szCs w:val="28"/>
          <w:highlight w:val="none"/>
          <w:lang w:eastAsia="zh-CN"/>
        </w:rPr>
        <w:t>202</w:t>
      </w:r>
      <w:r>
        <w:rPr>
          <w:rFonts w:hint="eastAsia" w:ascii="仿宋" w:hAnsi="仿宋" w:eastAsia="仿宋"/>
          <w:b/>
          <w:bCs/>
          <w:color w:val="auto"/>
          <w:sz w:val="28"/>
          <w:szCs w:val="28"/>
          <w:highlight w:val="none"/>
          <w:lang w:val="en-US" w:eastAsia="zh-CN"/>
        </w:rPr>
        <w:t>5</w:t>
      </w:r>
      <w:r>
        <w:rPr>
          <w:rFonts w:hint="eastAsia" w:ascii="仿宋" w:hAnsi="仿宋" w:eastAsia="仿宋"/>
          <w:b/>
          <w:bCs/>
          <w:color w:val="auto"/>
          <w:sz w:val="28"/>
          <w:szCs w:val="28"/>
          <w:highlight w:val="none"/>
          <w:lang w:eastAsia="zh-CN"/>
        </w:rPr>
        <w:t>-</w:t>
      </w:r>
      <w:r>
        <w:rPr>
          <w:rFonts w:hint="eastAsia" w:ascii="仿宋" w:hAnsi="仿宋" w:eastAsia="仿宋"/>
          <w:b/>
          <w:bCs/>
          <w:color w:val="auto"/>
          <w:sz w:val="28"/>
          <w:szCs w:val="28"/>
          <w:highlight w:val="none"/>
          <w:lang w:val="en-US" w:eastAsia="zh-CN"/>
        </w:rPr>
        <w:t>01</w:t>
      </w:r>
      <w:r>
        <w:rPr>
          <w:rFonts w:hint="eastAsia" w:ascii="仿宋" w:hAnsi="仿宋" w:eastAsia="仿宋"/>
          <w:b/>
          <w:bCs/>
          <w:color w:val="auto"/>
          <w:sz w:val="28"/>
          <w:szCs w:val="28"/>
          <w:highlight w:val="none"/>
          <w:lang w:eastAsia="zh-CN"/>
        </w:rPr>
        <w:t>-</w:t>
      </w:r>
      <w:r>
        <w:rPr>
          <w:rFonts w:hint="eastAsia" w:ascii="仿宋" w:hAnsi="仿宋" w:eastAsia="仿宋"/>
          <w:b/>
          <w:bCs/>
          <w:color w:val="auto"/>
          <w:sz w:val="28"/>
          <w:szCs w:val="28"/>
          <w:highlight w:val="none"/>
          <w:lang w:val="en-US" w:eastAsia="zh-CN"/>
        </w:rPr>
        <w:t>10</w:t>
      </w:r>
    </w:p>
    <w:tbl>
      <w:tblPr>
        <w:tblStyle w:val="52"/>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2082"/>
        <w:gridCol w:w="2128"/>
        <w:gridCol w:w="2059"/>
        <w:gridCol w:w="2004"/>
      </w:tblGrid>
      <w:tr w14:paraId="460CE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931" w:type="dxa"/>
            <w:vMerge w:val="restart"/>
            <w:noWrap w:val="0"/>
            <w:vAlign w:val="center"/>
          </w:tcPr>
          <w:p w14:paraId="325DF1CC">
            <w:pPr>
              <w:jc w:val="center"/>
              <w:rPr>
                <w:rFonts w:hint="default"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序号</w:t>
            </w:r>
          </w:p>
        </w:tc>
        <w:tc>
          <w:tcPr>
            <w:tcW w:w="2082" w:type="dxa"/>
            <w:vMerge w:val="restart"/>
            <w:noWrap w:val="0"/>
            <w:vAlign w:val="center"/>
          </w:tcPr>
          <w:p w14:paraId="028F0B64">
            <w:pPr>
              <w:jc w:val="center"/>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标项内容</w:t>
            </w:r>
          </w:p>
        </w:tc>
        <w:tc>
          <w:tcPr>
            <w:tcW w:w="2128" w:type="dxa"/>
            <w:vMerge w:val="restart"/>
            <w:noWrap w:val="0"/>
            <w:vAlign w:val="center"/>
          </w:tcPr>
          <w:p w14:paraId="17349AF4">
            <w:pPr>
              <w:jc w:val="center"/>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最高单价限价（元/人/年）</w:t>
            </w:r>
          </w:p>
        </w:tc>
        <w:tc>
          <w:tcPr>
            <w:tcW w:w="4063" w:type="dxa"/>
            <w:gridSpan w:val="2"/>
            <w:noWrap w:val="0"/>
            <w:vAlign w:val="center"/>
          </w:tcPr>
          <w:p w14:paraId="62FEF6F9">
            <w:pPr>
              <w:jc w:val="center"/>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投标单价报价（元/人/年）</w:t>
            </w:r>
          </w:p>
        </w:tc>
      </w:tr>
      <w:tr w14:paraId="6FB03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931" w:type="dxa"/>
            <w:vMerge w:val="continue"/>
            <w:noWrap w:val="0"/>
            <w:vAlign w:val="center"/>
          </w:tcPr>
          <w:p w14:paraId="38A8A80B">
            <w:pPr>
              <w:jc w:val="center"/>
              <w:rPr>
                <w:rFonts w:hint="eastAsia" w:ascii="仿宋" w:hAnsi="仿宋" w:eastAsia="仿宋" w:cs="仿宋"/>
                <w:b/>
                <w:color w:val="auto"/>
                <w:sz w:val="28"/>
                <w:szCs w:val="28"/>
                <w:highlight w:val="none"/>
              </w:rPr>
            </w:pPr>
          </w:p>
        </w:tc>
        <w:tc>
          <w:tcPr>
            <w:tcW w:w="2082" w:type="dxa"/>
            <w:vMerge w:val="continue"/>
            <w:noWrap w:val="0"/>
            <w:vAlign w:val="center"/>
          </w:tcPr>
          <w:p w14:paraId="0F59BED3">
            <w:pPr>
              <w:jc w:val="center"/>
              <w:rPr>
                <w:rFonts w:hint="eastAsia" w:ascii="仿宋" w:hAnsi="仿宋" w:eastAsia="仿宋" w:cs="仿宋"/>
                <w:b/>
                <w:color w:val="auto"/>
                <w:sz w:val="28"/>
                <w:szCs w:val="28"/>
                <w:highlight w:val="none"/>
              </w:rPr>
            </w:pPr>
          </w:p>
        </w:tc>
        <w:tc>
          <w:tcPr>
            <w:tcW w:w="2128" w:type="dxa"/>
            <w:vMerge w:val="continue"/>
            <w:noWrap w:val="0"/>
            <w:vAlign w:val="center"/>
          </w:tcPr>
          <w:p w14:paraId="327ADC54">
            <w:pPr>
              <w:jc w:val="center"/>
              <w:rPr>
                <w:rFonts w:hint="eastAsia" w:ascii="仿宋" w:hAnsi="仿宋" w:eastAsia="仿宋" w:cs="仿宋"/>
                <w:b/>
                <w:color w:val="auto"/>
                <w:sz w:val="28"/>
                <w:szCs w:val="28"/>
                <w:highlight w:val="none"/>
                <w:lang w:val="en-US" w:eastAsia="zh-CN"/>
              </w:rPr>
            </w:pPr>
          </w:p>
        </w:tc>
        <w:tc>
          <w:tcPr>
            <w:tcW w:w="2059" w:type="dxa"/>
            <w:noWrap w:val="0"/>
            <w:vAlign w:val="center"/>
          </w:tcPr>
          <w:p w14:paraId="169F6BB5">
            <w:pPr>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小写</w:t>
            </w:r>
          </w:p>
        </w:tc>
        <w:tc>
          <w:tcPr>
            <w:tcW w:w="2004" w:type="dxa"/>
            <w:noWrap w:val="0"/>
            <w:vAlign w:val="center"/>
          </w:tcPr>
          <w:p w14:paraId="66549B29">
            <w:pPr>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大写</w:t>
            </w:r>
          </w:p>
        </w:tc>
      </w:tr>
      <w:tr w14:paraId="0596D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jc w:val="center"/>
        </w:trPr>
        <w:tc>
          <w:tcPr>
            <w:tcW w:w="931" w:type="dxa"/>
            <w:noWrap w:val="0"/>
            <w:vAlign w:val="center"/>
          </w:tcPr>
          <w:p w14:paraId="21861327">
            <w:pPr>
              <w:jc w:val="center"/>
              <w:rPr>
                <w:rFonts w:hint="default" w:ascii="仿宋" w:hAnsi="仿宋" w:eastAsia="仿宋" w:cs="仿宋"/>
                <w:bCs/>
                <w:color w:val="auto"/>
                <w:sz w:val="28"/>
                <w:szCs w:val="28"/>
                <w:highlight w:val="none"/>
                <w:lang w:val="en-US" w:eastAsia="zh-CN"/>
              </w:rPr>
            </w:pPr>
          </w:p>
        </w:tc>
        <w:tc>
          <w:tcPr>
            <w:tcW w:w="2082" w:type="dxa"/>
            <w:noWrap w:val="0"/>
            <w:vAlign w:val="center"/>
          </w:tcPr>
          <w:p w14:paraId="4FAA32BE">
            <w:pPr>
              <w:jc w:val="center"/>
              <w:rPr>
                <w:rFonts w:hint="eastAsia" w:ascii="仿宋" w:hAnsi="仿宋" w:eastAsia="仿宋" w:cs="仿宋"/>
                <w:bCs/>
                <w:color w:val="auto"/>
                <w:sz w:val="28"/>
                <w:szCs w:val="28"/>
                <w:highlight w:val="none"/>
              </w:rPr>
            </w:pPr>
          </w:p>
        </w:tc>
        <w:tc>
          <w:tcPr>
            <w:tcW w:w="2128" w:type="dxa"/>
            <w:noWrap w:val="0"/>
            <w:vAlign w:val="center"/>
          </w:tcPr>
          <w:p w14:paraId="7E661B66">
            <w:pPr>
              <w:jc w:val="center"/>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1200.00</w:t>
            </w:r>
          </w:p>
        </w:tc>
        <w:tc>
          <w:tcPr>
            <w:tcW w:w="2059" w:type="dxa"/>
            <w:noWrap w:val="0"/>
            <w:vAlign w:val="center"/>
          </w:tcPr>
          <w:p w14:paraId="7D5C7DD9">
            <w:pPr>
              <w:spacing w:line="700" w:lineRule="exact"/>
              <w:rPr>
                <w:rFonts w:hint="eastAsia" w:ascii="仿宋" w:hAnsi="仿宋" w:eastAsia="仿宋" w:cs="仿宋"/>
                <w:color w:val="auto"/>
                <w:sz w:val="28"/>
                <w:szCs w:val="28"/>
                <w:highlight w:val="none"/>
              </w:rPr>
            </w:pPr>
          </w:p>
        </w:tc>
        <w:tc>
          <w:tcPr>
            <w:tcW w:w="2004" w:type="dxa"/>
            <w:noWrap w:val="0"/>
            <w:vAlign w:val="center"/>
          </w:tcPr>
          <w:p w14:paraId="48190A3C">
            <w:pPr>
              <w:spacing w:line="700" w:lineRule="exact"/>
              <w:rPr>
                <w:rFonts w:hint="eastAsia" w:ascii="仿宋" w:hAnsi="仿宋" w:eastAsia="仿宋" w:cs="仿宋"/>
                <w:color w:val="auto"/>
                <w:sz w:val="28"/>
                <w:szCs w:val="28"/>
                <w:highlight w:val="none"/>
              </w:rPr>
            </w:pPr>
          </w:p>
        </w:tc>
      </w:tr>
    </w:tbl>
    <w:p w14:paraId="026FAC6A">
      <w:pPr>
        <w:keepNext w:val="0"/>
        <w:keepLines w:val="0"/>
        <w:pageBreakBefore w:val="0"/>
        <w:widowControl/>
        <w:numPr>
          <w:ilvl w:val="0"/>
          <w:numId w:val="0"/>
        </w:numPr>
        <w:suppressLineNumbers w:val="0"/>
        <w:kinsoku/>
        <w:wordWrap/>
        <w:overflowPunct/>
        <w:topLinePunct w:val="0"/>
        <w:autoSpaceDE/>
        <w:autoSpaceDN/>
        <w:bidi w:val="0"/>
        <w:adjustRightInd/>
        <w:snapToGrid/>
        <w:spacing w:line="420" w:lineRule="exact"/>
        <w:ind w:left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备注：本次采购按单价招标，数量按实结算，最高单价限价为人民币壹仟贰佰元每人每年（¥1200.00/人/年），任何超过最高单价限价的报价将被认定为无效报价。</w:t>
      </w:r>
    </w:p>
    <w:p w14:paraId="26E2AAA8">
      <w:pPr>
        <w:spacing w:line="480" w:lineRule="auto"/>
        <w:jc w:val="right"/>
        <w:rPr>
          <w:rFonts w:hint="eastAsia" w:ascii="仿宋" w:hAnsi="仿宋" w:eastAsia="仿宋"/>
          <w:color w:val="auto"/>
          <w:sz w:val="24"/>
          <w:szCs w:val="24"/>
          <w:highlight w:val="none"/>
        </w:rPr>
      </w:pPr>
    </w:p>
    <w:p w14:paraId="5F3EA4A0">
      <w:pPr>
        <w:spacing w:line="480" w:lineRule="auto"/>
        <w:jc w:val="right"/>
        <w:rPr>
          <w:rFonts w:ascii="仿宋" w:hAnsi="仿宋" w:eastAsia="仿宋"/>
          <w:color w:val="auto"/>
          <w:sz w:val="24"/>
          <w:szCs w:val="24"/>
          <w:highlight w:val="none"/>
        </w:rPr>
      </w:pPr>
      <w:r>
        <w:rPr>
          <w:rFonts w:hint="eastAsia" w:ascii="仿宋" w:hAnsi="仿宋" w:eastAsia="仿宋"/>
          <w:color w:val="auto"/>
          <w:sz w:val="24"/>
          <w:szCs w:val="24"/>
          <w:highlight w:val="none"/>
        </w:rPr>
        <w:t>投标人全称（电子签章）：___________</w:t>
      </w:r>
    </w:p>
    <w:p w14:paraId="72F18A4C">
      <w:pPr>
        <w:spacing w:line="360" w:lineRule="auto"/>
        <w:jc w:val="right"/>
        <w:rPr>
          <w:rFonts w:hint="eastAsia" w:ascii="仿宋" w:hAnsi="仿宋" w:eastAsia="仿宋"/>
          <w:color w:val="auto"/>
          <w:sz w:val="24"/>
          <w:szCs w:val="24"/>
          <w:highlight w:val="none"/>
        </w:rPr>
        <w:sectPr>
          <w:pgSz w:w="11905"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type="lines" w:linePitch="317" w:charSpace="0"/>
        </w:sectPr>
      </w:pPr>
      <w:r>
        <w:rPr>
          <w:rFonts w:hint="eastAsia" w:ascii="仿宋" w:hAnsi="仿宋" w:eastAsia="仿宋"/>
          <w:color w:val="auto"/>
          <w:sz w:val="24"/>
          <w:szCs w:val="24"/>
          <w:highlight w:val="none"/>
        </w:rPr>
        <w:t>日  期：_______年_______月_______日</w:t>
      </w:r>
    </w:p>
    <w:p w14:paraId="600FF9AF">
      <w:pPr>
        <w:pageBreakBefore w:val="0"/>
        <w:numPr>
          <w:ilvl w:val="0"/>
          <w:numId w:val="22"/>
        </w:numPr>
        <w:kinsoku/>
        <w:wordWrap/>
        <w:overflowPunct/>
        <w:topLinePunct w:val="0"/>
        <w:autoSpaceDE/>
        <w:autoSpaceDN/>
        <w:bidi w:val="0"/>
        <w:snapToGrid w:val="0"/>
        <w:spacing w:line="240" w:lineRule="auto"/>
        <w:ind w:left="0" w:leftChars="0" w:firstLine="420" w:firstLineChars="0"/>
        <w:jc w:val="center"/>
        <w:textAlignment w:val="auto"/>
        <w:rPr>
          <w:rFonts w:hint="eastAsia" w:ascii="仿宋" w:hAnsi="仿宋" w:eastAsia="仿宋" w:cs="Times New Roman"/>
          <w:b/>
          <w:bCs/>
          <w:color w:val="auto"/>
          <w:kern w:val="2"/>
          <w:sz w:val="32"/>
          <w:szCs w:val="32"/>
          <w:highlight w:val="none"/>
          <w:lang w:val="zh-CN" w:eastAsia="zh-CN" w:bidi="ar-SA"/>
        </w:rPr>
      </w:pPr>
      <w:r>
        <w:rPr>
          <w:rFonts w:hint="eastAsia" w:ascii="仿宋" w:hAnsi="仿宋" w:eastAsia="仿宋" w:cs="Times New Roman"/>
          <w:b/>
          <w:bCs/>
          <w:color w:val="auto"/>
          <w:kern w:val="2"/>
          <w:sz w:val="32"/>
          <w:szCs w:val="32"/>
          <w:highlight w:val="none"/>
          <w:lang w:val="zh-CN" w:eastAsia="zh-CN" w:bidi="ar-SA"/>
        </w:rPr>
        <w:t>投标承诺书（格式）</w:t>
      </w:r>
    </w:p>
    <w:p w14:paraId="02C248D9">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我公司已详细阅读了项目（项目编号：</w:t>
      </w:r>
      <w:r>
        <w:rPr>
          <w:rFonts w:hint="eastAsia" w:ascii="仿宋" w:hAnsi="仿宋" w:eastAsia="仿宋" w:cs="仿宋"/>
          <w:color w:val="auto"/>
          <w:highlight w:val="none"/>
          <w:u w:val="none"/>
        </w:rPr>
        <w:t>诸宸佳</w:t>
      </w:r>
      <w:r>
        <w:rPr>
          <w:rFonts w:hint="eastAsia" w:ascii="仿宋" w:hAnsi="仿宋" w:eastAsia="仿宋" w:cs="仿宋"/>
          <w:color w:val="auto"/>
          <w:highlight w:val="none"/>
          <w:u w:val="none"/>
          <w:lang w:val="en-US" w:eastAsia="zh-CN"/>
        </w:rPr>
        <w:t>202*-**-**</w:t>
      </w:r>
      <w:r>
        <w:rPr>
          <w:rFonts w:hint="eastAsia" w:ascii="仿宋" w:hAnsi="仿宋" w:eastAsia="仿宋" w:cs="仿宋"/>
          <w:color w:val="auto"/>
          <w:highlight w:val="none"/>
        </w:rPr>
        <w:t>）招标文件，现参加该项目投标，并就有关事项作出如下承诺：</w:t>
      </w:r>
    </w:p>
    <w:p w14:paraId="76E0B4C9">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一、我公司在该项目招投标及合同履约过程中，不会出现以下行为，否则我公司愿意接受该行为被记录为不良行为，并在不良行为记录时限内放弃在</w:t>
      </w:r>
      <w:r>
        <w:rPr>
          <w:rFonts w:hint="eastAsia" w:ascii="仿宋" w:hAnsi="仿宋" w:eastAsia="仿宋" w:cs="仿宋"/>
          <w:color w:val="auto"/>
          <w:highlight w:val="none"/>
          <w:lang w:eastAsia="zh-CN"/>
        </w:rPr>
        <w:t>诸暨市建设集团有限公司</w:t>
      </w:r>
      <w:r>
        <w:rPr>
          <w:rFonts w:hint="eastAsia" w:ascii="仿宋" w:hAnsi="仿宋" w:eastAsia="仿宋" w:cs="仿宋"/>
          <w:color w:val="auto"/>
          <w:highlight w:val="none"/>
        </w:rPr>
        <w:t>及下属公司投标的资格。</w:t>
      </w:r>
    </w:p>
    <w:p w14:paraId="3ED989C8">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（1）已报名但无故放弃投标(开标前已有书面说明并证实的除外)一年内累计3次以上的；</w:t>
      </w:r>
    </w:p>
    <w:p w14:paraId="4832E71A">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（2）在招标采购过程中，与采购单位进行协商谈判的；</w:t>
      </w:r>
    </w:p>
    <w:p w14:paraId="7918198C">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（3）投标有效期内撤回其投标文件的；</w:t>
      </w:r>
    </w:p>
    <w:p w14:paraId="7D41A67D">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（4）拒绝有关部门监督检查或提供虚假情况的；</w:t>
      </w:r>
    </w:p>
    <w:p w14:paraId="767FE503">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（5）不积极配合采购单位做好标的验收工作的；</w:t>
      </w:r>
    </w:p>
    <w:p w14:paraId="754F1A86">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（6）在有关部门的监督检查或考核中被通报批评或处以警告及以上处罚的；</w:t>
      </w:r>
    </w:p>
    <w:p w14:paraId="773CAE13">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（7）不遵守投标会场纪律，无理取闹，扰乱交易秩序的；</w:t>
      </w:r>
    </w:p>
    <w:p w14:paraId="79FC06AA">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（8）中标后无正当理由放弃中标，或不与采购单位签订政府采购合同，或在签订合同时提出附加条件或更改合同实质性内容，或拒不提交所要求的履约保证金的；</w:t>
      </w:r>
    </w:p>
    <w:p w14:paraId="2B30A59F">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（9）虚假投诉、恶意投诉或未按层级和相关程序逐级质疑、投诉而影响采购工作正常进行或造成不良影响的；</w:t>
      </w:r>
    </w:p>
    <w:p w14:paraId="290E47AA">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（10）不按照与采购单位订立的合同履行义务（包括提供标的、售后服务、技术支持等），严重违反合同规定和廉政合同要求的；</w:t>
      </w:r>
    </w:p>
    <w:p w14:paraId="5E1EBB0D">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（11）项目负责人不到位，或擅自变换项目负责人，或不认真履行职责造成采购单位损失的；</w:t>
      </w:r>
    </w:p>
    <w:p w14:paraId="201AC929">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（12）发生经营状况重大变化以及重要担保、重大合同纠纷或诉讼、信用等级和资质变化等可能影响履约能力的重大事项，未及时向市公共资源交易中心提供书面报告，因而造成采购单位损失的；</w:t>
      </w:r>
    </w:p>
    <w:p w14:paraId="7DC76EA0">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（13）与采购单位、其他供应商或者采购代理机构相互串通的；</w:t>
      </w:r>
    </w:p>
    <w:p w14:paraId="3C5031FD">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（14）采取不正当手段排挤其他供应商，进行不公平竞争的；</w:t>
      </w:r>
    </w:p>
    <w:p w14:paraId="65183C85">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（15）中标后与采购单位另行订立背离合同实质内容的协议的；</w:t>
      </w:r>
    </w:p>
    <w:p w14:paraId="586CC7ED">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（16）事先有承诺，而事后违反承诺内容的；</w:t>
      </w:r>
    </w:p>
    <w:p w14:paraId="206018A8">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（17）将中标项目转包或违反规定进行分包的；</w:t>
      </w:r>
    </w:p>
    <w:p w14:paraId="50A34E29">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（18）以他人名义投标或允许他人以自己名义投标，或者以其他方式弄虚作假的；</w:t>
      </w:r>
    </w:p>
    <w:p w14:paraId="672F7D6C">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（19）未按照采购合同约定及时提供全部货物的，或无故拖延工期的；</w:t>
      </w:r>
    </w:p>
    <w:p w14:paraId="60BFBC5E">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（20）无故不提供中标要求的型号、配置等产品的，或有拆换、调换、截留产品零部件和备品备件的行为的；</w:t>
      </w:r>
    </w:p>
    <w:p w14:paraId="5B81EDF0">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（21）为获取自身利益，向采购单位及其他有利害关系的单位或个人提供不正当利益的；</w:t>
      </w:r>
    </w:p>
    <w:p w14:paraId="56871556">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（22）提供假冒伪劣产品或走私物品的；</w:t>
      </w:r>
    </w:p>
    <w:p w14:paraId="3414E98F">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（23）擅自变更、中止、终止或解除政府采购合同的；</w:t>
      </w:r>
    </w:p>
    <w:p w14:paraId="1B7ADB88">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（24）向有关人员行贿或者提供不正当利益谋取中标的；</w:t>
      </w:r>
    </w:p>
    <w:p w14:paraId="7AAFE04A">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（25）在政府采购活动期间，对管理机构、采购单位、其他投标人、评标专家、中介机构等政府采购相关机构和人员，采取诋毁、诽谤、胁迫、暴力等不正当手段的；</w:t>
      </w:r>
    </w:p>
    <w:p w14:paraId="448DEFF2">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（26）</w:t>
      </w:r>
      <w:r>
        <w:rPr>
          <w:rFonts w:hint="eastAsia" w:ascii="仿宋" w:hAnsi="仿宋" w:eastAsia="仿宋" w:cs="仿宋"/>
          <w:color w:val="auto"/>
          <w:highlight w:val="none"/>
          <w:lang w:eastAsia="zh-CN"/>
        </w:rPr>
        <w:t>诸暨市建设集团有限公司</w:t>
      </w:r>
      <w:r>
        <w:rPr>
          <w:rFonts w:hint="eastAsia" w:ascii="仿宋" w:hAnsi="仿宋" w:eastAsia="仿宋" w:cs="仿宋"/>
          <w:color w:val="auto"/>
          <w:highlight w:val="none"/>
        </w:rPr>
        <w:t>招投标监管领导小组办公室认定的其他违反政府采购管理的行为。</w:t>
      </w:r>
    </w:p>
    <w:p w14:paraId="547595A6">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出现（1）~（6）行为之一，记录时限为6个月；出现（7）~（12）行为之一，记录时限为1年；出现（13）~（17）行为之一，记录时限为2年；出现（18）~（21）行为之一，记录时限为3年；出现（22）~（25）行为之一，记录时限为5年；出现（26）行为，酌情处理。时限以被记录为不良行为之日起算，在记录时限内再次被计为不良行为的，记录时限应从上次记录时限截止日起算。</w:t>
      </w:r>
    </w:p>
    <w:p w14:paraId="2E9740F9">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二、我公司及其他利害关系人如对该项目的中标公示有异议，将在招标文件规定的公示期限内提出符合以下条件的有效质疑，否则我公司愿意接受相关部门不予受理的决定。</w:t>
      </w:r>
    </w:p>
    <w:p w14:paraId="072AD625">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1、质疑人须为投标人和其他利害关系人；</w:t>
      </w:r>
    </w:p>
    <w:p w14:paraId="644B5D25">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2、投诉时，应当递交质疑书，质疑书应当包括下列内容：</w:t>
      </w:r>
    </w:p>
    <w:p w14:paraId="3DCD1C4C">
      <w:pPr>
        <w:spacing w:line="340" w:lineRule="exact"/>
        <w:ind w:firstLine="420" w:firstLineChars="200"/>
        <w:rPr>
          <w:rFonts w:ascii="仿宋" w:hAnsi="仿宋" w:eastAsia="仿宋" w:cs="仿宋"/>
          <w:color w:val="auto"/>
        </w:rPr>
      </w:pPr>
      <w:r>
        <w:rPr>
          <w:rFonts w:hint="eastAsia" w:ascii="仿宋" w:hAnsi="仿宋" w:eastAsia="仿宋" w:cs="仿宋"/>
          <w:color w:val="auto"/>
        </w:rPr>
        <w:t>（1）质疑人的名称、地址及有效联系方式；</w:t>
      </w:r>
    </w:p>
    <w:p w14:paraId="3994D371">
      <w:pPr>
        <w:spacing w:line="340" w:lineRule="exact"/>
        <w:ind w:firstLine="420" w:firstLineChars="200"/>
        <w:rPr>
          <w:rFonts w:ascii="仿宋" w:hAnsi="仿宋" w:eastAsia="仿宋" w:cs="仿宋"/>
          <w:color w:val="auto"/>
        </w:rPr>
      </w:pPr>
      <w:r>
        <w:rPr>
          <w:rFonts w:hint="eastAsia" w:ascii="仿宋" w:hAnsi="仿宋" w:eastAsia="仿宋" w:cs="仿宋"/>
          <w:color w:val="auto"/>
        </w:rPr>
        <w:t>（2）被质疑人的名称、地址及联系方式；</w:t>
      </w:r>
    </w:p>
    <w:p w14:paraId="08C1FCD0">
      <w:pPr>
        <w:spacing w:line="340" w:lineRule="exact"/>
        <w:ind w:firstLine="420" w:firstLineChars="200"/>
        <w:rPr>
          <w:rFonts w:ascii="仿宋" w:hAnsi="仿宋" w:eastAsia="仿宋" w:cs="仿宋"/>
          <w:color w:val="auto"/>
        </w:rPr>
      </w:pPr>
      <w:r>
        <w:rPr>
          <w:rFonts w:hint="eastAsia" w:ascii="仿宋" w:hAnsi="仿宋" w:eastAsia="仿宋" w:cs="仿宋"/>
          <w:color w:val="auto"/>
        </w:rPr>
        <w:t>（3）质疑事项的基本事实；</w:t>
      </w:r>
    </w:p>
    <w:p w14:paraId="5CA4CA06">
      <w:pPr>
        <w:spacing w:line="340" w:lineRule="exact"/>
        <w:ind w:firstLine="420" w:firstLineChars="200"/>
        <w:rPr>
          <w:rFonts w:ascii="仿宋" w:hAnsi="仿宋" w:eastAsia="仿宋" w:cs="仿宋"/>
          <w:color w:val="auto"/>
        </w:rPr>
      </w:pPr>
      <w:r>
        <w:rPr>
          <w:rFonts w:hint="eastAsia" w:ascii="仿宋" w:hAnsi="仿宋" w:eastAsia="仿宋" w:cs="仿宋"/>
          <w:color w:val="auto"/>
        </w:rPr>
        <w:t>（4）相关请求及主张；</w:t>
      </w:r>
    </w:p>
    <w:p w14:paraId="66CA6EB5">
      <w:pPr>
        <w:spacing w:line="340" w:lineRule="exact"/>
        <w:ind w:firstLine="420" w:firstLineChars="200"/>
        <w:rPr>
          <w:rFonts w:ascii="仿宋" w:hAnsi="仿宋" w:eastAsia="仿宋" w:cs="仿宋"/>
          <w:color w:val="auto"/>
        </w:rPr>
      </w:pPr>
      <w:r>
        <w:rPr>
          <w:rFonts w:hint="eastAsia" w:ascii="仿宋" w:hAnsi="仿宋" w:eastAsia="仿宋" w:cs="仿宋"/>
          <w:color w:val="auto"/>
        </w:rPr>
        <w:t>（5）有效线索和相关证明材料；</w:t>
      </w:r>
    </w:p>
    <w:p w14:paraId="077038B8">
      <w:pPr>
        <w:spacing w:line="340" w:lineRule="exact"/>
        <w:ind w:firstLine="420" w:firstLineChars="200"/>
        <w:rPr>
          <w:rFonts w:ascii="仿宋" w:hAnsi="仿宋" w:eastAsia="仿宋" w:cs="仿宋"/>
          <w:color w:val="auto"/>
        </w:rPr>
      </w:pPr>
      <w:r>
        <w:rPr>
          <w:rFonts w:hint="eastAsia" w:ascii="仿宋" w:hAnsi="仿宋" w:eastAsia="仿宋" w:cs="仿宋"/>
          <w:color w:val="auto"/>
        </w:rPr>
        <w:t>（6）质疑人是法人的，质疑书必须由其法定代表人或者授权代表签字并加盖章；其他组织或者个人质疑的，质疑书必须由其主要负责人或者质疑人本人签字，并附有效身份证明复印件。</w:t>
      </w:r>
    </w:p>
    <w:p w14:paraId="235E1D63">
      <w:pPr>
        <w:spacing w:line="340" w:lineRule="exact"/>
        <w:ind w:firstLine="723" w:firstLineChars="400"/>
        <w:rPr>
          <w:rFonts w:ascii="仿宋" w:hAnsi="仿宋" w:eastAsia="仿宋" w:cs="仿宋"/>
          <w:b/>
          <w:color w:val="auto"/>
          <w:sz w:val="18"/>
          <w:szCs w:val="18"/>
        </w:rPr>
      </w:pPr>
    </w:p>
    <w:p w14:paraId="0C3D2F7C">
      <w:pPr>
        <w:spacing w:line="340" w:lineRule="exact"/>
        <w:ind w:firstLine="840" w:firstLineChars="400"/>
        <w:rPr>
          <w:rFonts w:ascii="仿宋" w:hAnsi="仿宋" w:eastAsia="仿宋" w:cs="仿宋"/>
          <w:color w:val="auto"/>
        </w:rPr>
      </w:pPr>
    </w:p>
    <w:p w14:paraId="4E64CAD8">
      <w:pPr>
        <w:spacing w:line="340" w:lineRule="exact"/>
        <w:ind w:firstLine="840" w:firstLineChars="400"/>
        <w:rPr>
          <w:rFonts w:ascii="仿宋" w:hAnsi="仿宋" w:eastAsia="仿宋" w:cs="仿宋"/>
          <w:color w:val="auto"/>
        </w:rPr>
      </w:pPr>
    </w:p>
    <w:p w14:paraId="462E5D6C">
      <w:pPr>
        <w:spacing w:line="480" w:lineRule="auto"/>
        <w:jc w:val="right"/>
        <w:rPr>
          <w:rFonts w:ascii="仿宋" w:hAnsi="仿宋" w:eastAsia="仿宋"/>
          <w:color w:val="auto"/>
          <w:sz w:val="24"/>
          <w:szCs w:val="24"/>
        </w:rPr>
      </w:pPr>
      <w:r>
        <w:rPr>
          <w:rFonts w:hint="eastAsia" w:ascii="仿宋" w:hAnsi="仿宋" w:eastAsia="仿宋"/>
          <w:color w:val="auto"/>
          <w:sz w:val="24"/>
          <w:szCs w:val="24"/>
        </w:rPr>
        <w:t>投标人全称（电子签章）：___________</w:t>
      </w:r>
    </w:p>
    <w:p w14:paraId="7E1EB6EA">
      <w:pPr>
        <w:spacing w:line="360" w:lineRule="auto"/>
        <w:jc w:val="right"/>
        <w:rPr>
          <w:rFonts w:hint="eastAsia" w:ascii="仿宋" w:hAnsi="仿宋" w:eastAsia="仿宋"/>
          <w:color w:val="auto"/>
          <w:sz w:val="24"/>
          <w:szCs w:val="24"/>
        </w:rPr>
        <w:sectPr>
          <w:pgSz w:w="11905"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type="lines" w:linePitch="317" w:charSpace="0"/>
        </w:sectPr>
      </w:pPr>
      <w:r>
        <w:rPr>
          <w:rFonts w:hint="eastAsia" w:ascii="仿宋" w:hAnsi="仿宋" w:eastAsia="仿宋"/>
          <w:color w:val="auto"/>
          <w:sz w:val="24"/>
          <w:szCs w:val="24"/>
        </w:rPr>
        <w:t>日  期：_______年_______月_______日</w:t>
      </w:r>
    </w:p>
    <w:p w14:paraId="6749333B">
      <w:pPr>
        <w:pageBreakBefore w:val="0"/>
        <w:numPr>
          <w:ilvl w:val="0"/>
          <w:numId w:val="22"/>
        </w:numPr>
        <w:kinsoku/>
        <w:wordWrap/>
        <w:overflowPunct/>
        <w:topLinePunct w:val="0"/>
        <w:autoSpaceDE/>
        <w:autoSpaceDN/>
        <w:bidi w:val="0"/>
        <w:snapToGrid w:val="0"/>
        <w:spacing w:line="240" w:lineRule="auto"/>
        <w:ind w:left="0" w:leftChars="0" w:firstLine="420" w:firstLineChars="0"/>
        <w:jc w:val="center"/>
        <w:textAlignment w:val="auto"/>
        <w:rPr>
          <w:rFonts w:hint="eastAsia" w:ascii="仿宋" w:hAnsi="仿宋" w:eastAsia="仿宋" w:cs="Times New Roman"/>
          <w:b/>
          <w:bCs/>
          <w:color w:val="auto"/>
          <w:kern w:val="2"/>
          <w:sz w:val="32"/>
          <w:szCs w:val="32"/>
          <w:highlight w:val="none"/>
          <w:lang w:val="zh-CN" w:eastAsia="zh-CN" w:bidi="ar-SA"/>
        </w:rPr>
      </w:pPr>
      <w:r>
        <w:rPr>
          <w:rFonts w:hint="eastAsia" w:ascii="仿宋" w:hAnsi="仿宋" w:eastAsia="仿宋" w:cs="Times New Roman"/>
          <w:b/>
          <w:bCs/>
          <w:color w:val="auto"/>
          <w:kern w:val="2"/>
          <w:sz w:val="32"/>
          <w:szCs w:val="32"/>
          <w:highlight w:val="none"/>
          <w:lang w:val="zh-CN" w:eastAsia="zh-CN" w:bidi="ar-SA"/>
        </w:rPr>
        <w:t>技术（</w:t>
      </w:r>
      <w:r>
        <w:rPr>
          <w:rFonts w:hint="eastAsia" w:ascii="仿宋" w:hAnsi="仿宋" w:eastAsia="仿宋" w:cs="Times New Roman"/>
          <w:b/>
          <w:bCs/>
          <w:color w:val="auto"/>
          <w:kern w:val="2"/>
          <w:sz w:val="32"/>
          <w:szCs w:val="32"/>
          <w:highlight w:val="none"/>
          <w:lang w:val="en-US" w:eastAsia="zh-CN" w:bidi="ar-SA"/>
        </w:rPr>
        <w:t>服务</w:t>
      </w:r>
      <w:r>
        <w:rPr>
          <w:rFonts w:hint="eastAsia" w:ascii="仿宋" w:hAnsi="仿宋" w:eastAsia="仿宋" w:cs="Times New Roman"/>
          <w:b/>
          <w:bCs/>
          <w:color w:val="auto"/>
          <w:kern w:val="2"/>
          <w:sz w:val="32"/>
          <w:szCs w:val="32"/>
          <w:highlight w:val="none"/>
          <w:lang w:val="zh-CN" w:eastAsia="zh-CN" w:bidi="ar-SA"/>
        </w:rPr>
        <w:t>）偏离表</w:t>
      </w:r>
    </w:p>
    <w:tbl>
      <w:tblPr>
        <w:tblStyle w:val="52"/>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595"/>
        <w:gridCol w:w="2551"/>
        <w:gridCol w:w="2126"/>
      </w:tblGrid>
      <w:tr w14:paraId="4BC86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02" w:type="dxa"/>
            <w:vAlign w:val="center"/>
          </w:tcPr>
          <w:p w14:paraId="685ACBC0">
            <w:pPr>
              <w:pStyle w:val="29"/>
              <w:spacing w:line="400" w:lineRule="atLeast"/>
              <w:jc w:val="center"/>
              <w:rPr>
                <w:rFonts w:ascii="仿宋" w:hAnsi="仿宋" w:eastAsia="仿宋"/>
                <w:color w:val="auto"/>
                <w:szCs w:val="24"/>
              </w:rPr>
            </w:pPr>
            <w:r>
              <w:rPr>
                <w:rFonts w:hint="eastAsia" w:ascii="仿宋" w:hAnsi="仿宋" w:eastAsia="仿宋"/>
                <w:color w:val="auto"/>
                <w:szCs w:val="24"/>
              </w:rPr>
              <w:t>内容</w:t>
            </w:r>
          </w:p>
        </w:tc>
        <w:tc>
          <w:tcPr>
            <w:tcW w:w="2595" w:type="dxa"/>
            <w:vAlign w:val="center"/>
          </w:tcPr>
          <w:p w14:paraId="20C59785">
            <w:pPr>
              <w:pStyle w:val="29"/>
              <w:spacing w:line="400" w:lineRule="atLeast"/>
              <w:jc w:val="center"/>
              <w:rPr>
                <w:rFonts w:ascii="仿宋" w:hAnsi="仿宋" w:eastAsia="仿宋"/>
                <w:color w:val="auto"/>
                <w:szCs w:val="24"/>
              </w:rPr>
            </w:pPr>
            <w:r>
              <w:rPr>
                <w:rFonts w:hint="eastAsia" w:ascii="仿宋" w:hAnsi="仿宋" w:eastAsia="仿宋"/>
                <w:color w:val="auto"/>
                <w:szCs w:val="24"/>
              </w:rPr>
              <w:t>招标文件</w:t>
            </w:r>
          </w:p>
          <w:p w14:paraId="237BF1CE">
            <w:pPr>
              <w:pStyle w:val="29"/>
              <w:spacing w:line="400" w:lineRule="atLeast"/>
              <w:jc w:val="center"/>
              <w:rPr>
                <w:rFonts w:ascii="仿宋" w:hAnsi="仿宋" w:eastAsia="仿宋"/>
                <w:color w:val="auto"/>
                <w:szCs w:val="24"/>
              </w:rPr>
            </w:pPr>
            <w:r>
              <w:rPr>
                <w:rFonts w:hint="eastAsia" w:ascii="仿宋" w:hAnsi="仿宋" w:eastAsia="仿宋"/>
                <w:color w:val="auto"/>
                <w:szCs w:val="24"/>
              </w:rPr>
              <w:t>规范要求</w:t>
            </w:r>
          </w:p>
        </w:tc>
        <w:tc>
          <w:tcPr>
            <w:tcW w:w="2551" w:type="dxa"/>
            <w:vAlign w:val="center"/>
          </w:tcPr>
          <w:p w14:paraId="776CDD52">
            <w:pPr>
              <w:pStyle w:val="29"/>
              <w:spacing w:line="400" w:lineRule="atLeast"/>
              <w:jc w:val="center"/>
              <w:rPr>
                <w:rFonts w:ascii="仿宋" w:hAnsi="仿宋" w:eastAsia="仿宋"/>
                <w:color w:val="auto"/>
                <w:szCs w:val="24"/>
              </w:rPr>
            </w:pPr>
            <w:r>
              <w:rPr>
                <w:rFonts w:hint="eastAsia" w:ascii="仿宋" w:hAnsi="仿宋" w:eastAsia="仿宋"/>
                <w:color w:val="auto"/>
                <w:szCs w:val="24"/>
              </w:rPr>
              <w:t>投标文件</w:t>
            </w:r>
          </w:p>
          <w:p w14:paraId="443D3C7E">
            <w:pPr>
              <w:pStyle w:val="29"/>
              <w:spacing w:line="400" w:lineRule="atLeast"/>
              <w:jc w:val="center"/>
              <w:rPr>
                <w:rFonts w:ascii="仿宋" w:hAnsi="仿宋" w:eastAsia="仿宋"/>
                <w:color w:val="auto"/>
                <w:szCs w:val="24"/>
              </w:rPr>
            </w:pPr>
            <w:r>
              <w:rPr>
                <w:rFonts w:hint="eastAsia" w:ascii="仿宋" w:hAnsi="仿宋" w:eastAsia="仿宋"/>
                <w:color w:val="auto"/>
                <w:szCs w:val="24"/>
              </w:rPr>
              <w:t>对应规范</w:t>
            </w:r>
          </w:p>
        </w:tc>
        <w:tc>
          <w:tcPr>
            <w:tcW w:w="2126" w:type="dxa"/>
            <w:vAlign w:val="center"/>
          </w:tcPr>
          <w:p w14:paraId="61392C70">
            <w:pPr>
              <w:pStyle w:val="29"/>
              <w:spacing w:line="400" w:lineRule="atLeast"/>
              <w:jc w:val="center"/>
              <w:rPr>
                <w:rFonts w:ascii="仿宋" w:hAnsi="仿宋" w:eastAsia="仿宋"/>
                <w:color w:val="auto"/>
                <w:szCs w:val="24"/>
              </w:rPr>
            </w:pPr>
            <w:r>
              <w:rPr>
                <w:rFonts w:hint="eastAsia" w:ascii="仿宋" w:hAnsi="仿宋" w:eastAsia="仿宋"/>
                <w:color w:val="auto"/>
                <w:szCs w:val="24"/>
              </w:rPr>
              <w:t xml:space="preserve"> 偏离情况</w:t>
            </w:r>
          </w:p>
        </w:tc>
      </w:tr>
      <w:tr w14:paraId="360FC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02" w:type="dxa"/>
            <w:vAlign w:val="center"/>
          </w:tcPr>
          <w:p w14:paraId="1134D11F">
            <w:pPr>
              <w:pStyle w:val="29"/>
              <w:spacing w:line="400" w:lineRule="atLeast"/>
              <w:jc w:val="center"/>
              <w:rPr>
                <w:rFonts w:ascii="仿宋" w:hAnsi="仿宋" w:eastAsia="仿宋"/>
                <w:color w:val="auto"/>
                <w:szCs w:val="24"/>
              </w:rPr>
            </w:pPr>
          </w:p>
        </w:tc>
        <w:tc>
          <w:tcPr>
            <w:tcW w:w="2595" w:type="dxa"/>
            <w:vAlign w:val="center"/>
          </w:tcPr>
          <w:p w14:paraId="769F3325">
            <w:pPr>
              <w:pStyle w:val="29"/>
              <w:spacing w:line="400" w:lineRule="atLeast"/>
              <w:jc w:val="center"/>
              <w:rPr>
                <w:rFonts w:ascii="仿宋" w:hAnsi="仿宋" w:eastAsia="仿宋"/>
                <w:color w:val="auto"/>
                <w:szCs w:val="24"/>
              </w:rPr>
            </w:pPr>
          </w:p>
        </w:tc>
        <w:tc>
          <w:tcPr>
            <w:tcW w:w="2551" w:type="dxa"/>
            <w:vAlign w:val="center"/>
          </w:tcPr>
          <w:p w14:paraId="347B133A">
            <w:pPr>
              <w:pStyle w:val="29"/>
              <w:spacing w:line="400" w:lineRule="atLeast"/>
              <w:jc w:val="center"/>
              <w:rPr>
                <w:rFonts w:ascii="仿宋" w:hAnsi="仿宋" w:eastAsia="仿宋"/>
                <w:color w:val="auto"/>
                <w:szCs w:val="24"/>
              </w:rPr>
            </w:pPr>
          </w:p>
        </w:tc>
        <w:tc>
          <w:tcPr>
            <w:tcW w:w="2126" w:type="dxa"/>
            <w:vAlign w:val="center"/>
          </w:tcPr>
          <w:p w14:paraId="6D093C2F">
            <w:pPr>
              <w:pStyle w:val="29"/>
              <w:spacing w:line="400" w:lineRule="atLeast"/>
              <w:jc w:val="center"/>
              <w:rPr>
                <w:rFonts w:ascii="仿宋" w:hAnsi="仿宋" w:eastAsia="仿宋"/>
                <w:color w:val="auto"/>
                <w:szCs w:val="24"/>
              </w:rPr>
            </w:pPr>
          </w:p>
        </w:tc>
      </w:tr>
      <w:tr w14:paraId="6DC72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02" w:type="dxa"/>
            <w:vAlign w:val="center"/>
          </w:tcPr>
          <w:p w14:paraId="23361928">
            <w:pPr>
              <w:pStyle w:val="29"/>
              <w:spacing w:line="400" w:lineRule="atLeast"/>
              <w:jc w:val="center"/>
              <w:rPr>
                <w:rFonts w:ascii="仿宋" w:hAnsi="仿宋" w:eastAsia="仿宋"/>
                <w:color w:val="auto"/>
                <w:szCs w:val="24"/>
              </w:rPr>
            </w:pPr>
          </w:p>
        </w:tc>
        <w:tc>
          <w:tcPr>
            <w:tcW w:w="2595" w:type="dxa"/>
            <w:vAlign w:val="center"/>
          </w:tcPr>
          <w:p w14:paraId="770AADD7">
            <w:pPr>
              <w:pStyle w:val="29"/>
              <w:spacing w:line="400" w:lineRule="atLeast"/>
              <w:jc w:val="center"/>
              <w:rPr>
                <w:rFonts w:ascii="仿宋" w:hAnsi="仿宋" w:eastAsia="仿宋"/>
                <w:color w:val="auto"/>
                <w:szCs w:val="24"/>
              </w:rPr>
            </w:pPr>
          </w:p>
        </w:tc>
        <w:tc>
          <w:tcPr>
            <w:tcW w:w="2551" w:type="dxa"/>
            <w:vAlign w:val="center"/>
          </w:tcPr>
          <w:p w14:paraId="712A1DAA">
            <w:pPr>
              <w:pStyle w:val="29"/>
              <w:spacing w:line="400" w:lineRule="atLeast"/>
              <w:jc w:val="center"/>
              <w:rPr>
                <w:rFonts w:ascii="仿宋" w:hAnsi="仿宋" w:eastAsia="仿宋"/>
                <w:color w:val="auto"/>
                <w:szCs w:val="24"/>
              </w:rPr>
            </w:pPr>
          </w:p>
        </w:tc>
        <w:tc>
          <w:tcPr>
            <w:tcW w:w="2126" w:type="dxa"/>
            <w:vAlign w:val="center"/>
          </w:tcPr>
          <w:p w14:paraId="1450EC36">
            <w:pPr>
              <w:pStyle w:val="29"/>
              <w:spacing w:line="400" w:lineRule="atLeast"/>
              <w:jc w:val="center"/>
              <w:rPr>
                <w:rFonts w:ascii="仿宋" w:hAnsi="仿宋" w:eastAsia="仿宋"/>
                <w:color w:val="auto"/>
                <w:szCs w:val="24"/>
              </w:rPr>
            </w:pPr>
          </w:p>
        </w:tc>
      </w:tr>
      <w:tr w14:paraId="6F479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02" w:type="dxa"/>
            <w:vAlign w:val="center"/>
          </w:tcPr>
          <w:p w14:paraId="20C5A0E2">
            <w:pPr>
              <w:pStyle w:val="29"/>
              <w:spacing w:line="400" w:lineRule="atLeast"/>
              <w:jc w:val="center"/>
              <w:rPr>
                <w:rFonts w:ascii="仿宋" w:hAnsi="仿宋" w:eastAsia="仿宋"/>
                <w:color w:val="auto"/>
                <w:szCs w:val="24"/>
              </w:rPr>
            </w:pPr>
          </w:p>
        </w:tc>
        <w:tc>
          <w:tcPr>
            <w:tcW w:w="2595" w:type="dxa"/>
            <w:vAlign w:val="center"/>
          </w:tcPr>
          <w:p w14:paraId="1E6402B3">
            <w:pPr>
              <w:pStyle w:val="29"/>
              <w:spacing w:line="400" w:lineRule="atLeast"/>
              <w:jc w:val="center"/>
              <w:rPr>
                <w:rFonts w:ascii="仿宋" w:hAnsi="仿宋" w:eastAsia="仿宋"/>
                <w:color w:val="auto"/>
                <w:szCs w:val="24"/>
              </w:rPr>
            </w:pPr>
          </w:p>
        </w:tc>
        <w:tc>
          <w:tcPr>
            <w:tcW w:w="2551" w:type="dxa"/>
            <w:vAlign w:val="center"/>
          </w:tcPr>
          <w:p w14:paraId="1B1E1B50">
            <w:pPr>
              <w:pStyle w:val="29"/>
              <w:spacing w:line="400" w:lineRule="atLeast"/>
              <w:jc w:val="center"/>
              <w:rPr>
                <w:rFonts w:ascii="仿宋" w:hAnsi="仿宋" w:eastAsia="仿宋"/>
                <w:color w:val="auto"/>
                <w:szCs w:val="24"/>
              </w:rPr>
            </w:pPr>
          </w:p>
        </w:tc>
        <w:tc>
          <w:tcPr>
            <w:tcW w:w="2126" w:type="dxa"/>
            <w:vAlign w:val="center"/>
          </w:tcPr>
          <w:p w14:paraId="5C42C31A">
            <w:pPr>
              <w:pStyle w:val="29"/>
              <w:spacing w:line="400" w:lineRule="atLeast"/>
              <w:jc w:val="center"/>
              <w:rPr>
                <w:rFonts w:ascii="仿宋" w:hAnsi="仿宋" w:eastAsia="仿宋"/>
                <w:color w:val="auto"/>
                <w:szCs w:val="24"/>
              </w:rPr>
            </w:pPr>
          </w:p>
        </w:tc>
      </w:tr>
      <w:tr w14:paraId="082C8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02" w:type="dxa"/>
            <w:vAlign w:val="center"/>
          </w:tcPr>
          <w:p w14:paraId="791D53A6">
            <w:pPr>
              <w:pStyle w:val="29"/>
              <w:spacing w:line="400" w:lineRule="atLeast"/>
              <w:jc w:val="center"/>
              <w:rPr>
                <w:rFonts w:ascii="仿宋" w:hAnsi="仿宋" w:eastAsia="仿宋"/>
                <w:color w:val="auto"/>
                <w:szCs w:val="24"/>
              </w:rPr>
            </w:pPr>
          </w:p>
        </w:tc>
        <w:tc>
          <w:tcPr>
            <w:tcW w:w="2595" w:type="dxa"/>
            <w:vAlign w:val="center"/>
          </w:tcPr>
          <w:p w14:paraId="1A33B4C1">
            <w:pPr>
              <w:pStyle w:val="29"/>
              <w:spacing w:line="400" w:lineRule="atLeast"/>
              <w:jc w:val="center"/>
              <w:rPr>
                <w:rFonts w:ascii="仿宋" w:hAnsi="仿宋" w:eastAsia="仿宋"/>
                <w:color w:val="auto"/>
                <w:szCs w:val="24"/>
              </w:rPr>
            </w:pPr>
          </w:p>
        </w:tc>
        <w:tc>
          <w:tcPr>
            <w:tcW w:w="2551" w:type="dxa"/>
            <w:vAlign w:val="center"/>
          </w:tcPr>
          <w:p w14:paraId="75481F3D">
            <w:pPr>
              <w:pStyle w:val="29"/>
              <w:spacing w:line="400" w:lineRule="atLeast"/>
              <w:jc w:val="center"/>
              <w:rPr>
                <w:rFonts w:ascii="仿宋" w:hAnsi="仿宋" w:eastAsia="仿宋"/>
                <w:color w:val="auto"/>
                <w:szCs w:val="24"/>
              </w:rPr>
            </w:pPr>
          </w:p>
        </w:tc>
        <w:tc>
          <w:tcPr>
            <w:tcW w:w="2126" w:type="dxa"/>
            <w:vAlign w:val="center"/>
          </w:tcPr>
          <w:p w14:paraId="146FA69A">
            <w:pPr>
              <w:pStyle w:val="29"/>
              <w:spacing w:line="400" w:lineRule="atLeast"/>
              <w:jc w:val="center"/>
              <w:rPr>
                <w:rFonts w:ascii="仿宋" w:hAnsi="仿宋" w:eastAsia="仿宋"/>
                <w:color w:val="auto"/>
                <w:szCs w:val="24"/>
              </w:rPr>
            </w:pPr>
          </w:p>
        </w:tc>
      </w:tr>
      <w:tr w14:paraId="2F5B7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02" w:type="dxa"/>
            <w:vAlign w:val="center"/>
          </w:tcPr>
          <w:p w14:paraId="3FBA477B">
            <w:pPr>
              <w:pStyle w:val="29"/>
              <w:spacing w:line="400" w:lineRule="atLeast"/>
              <w:jc w:val="center"/>
              <w:rPr>
                <w:rFonts w:ascii="仿宋" w:hAnsi="仿宋" w:eastAsia="仿宋"/>
                <w:color w:val="auto"/>
                <w:szCs w:val="24"/>
              </w:rPr>
            </w:pPr>
          </w:p>
        </w:tc>
        <w:tc>
          <w:tcPr>
            <w:tcW w:w="2595" w:type="dxa"/>
            <w:vAlign w:val="center"/>
          </w:tcPr>
          <w:p w14:paraId="75E1D82C">
            <w:pPr>
              <w:pStyle w:val="29"/>
              <w:spacing w:line="400" w:lineRule="atLeast"/>
              <w:jc w:val="center"/>
              <w:rPr>
                <w:rFonts w:ascii="仿宋" w:hAnsi="仿宋" w:eastAsia="仿宋"/>
                <w:color w:val="auto"/>
                <w:szCs w:val="24"/>
              </w:rPr>
            </w:pPr>
          </w:p>
        </w:tc>
        <w:tc>
          <w:tcPr>
            <w:tcW w:w="2551" w:type="dxa"/>
            <w:vAlign w:val="center"/>
          </w:tcPr>
          <w:p w14:paraId="437CDD00">
            <w:pPr>
              <w:pStyle w:val="29"/>
              <w:spacing w:line="400" w:lineRule="atLeast"/>
              <w:jc w:val="center"/>
              <w:rPr>
                <w:rFonts w:ascii="仿宋" w:hAnsi="仿宋" w:eastAsia="仿宋"/>
                <w:color w:val="auto"/>
                <w:szCs w:val="24"/>
              </w:rPr>
            </w:pPr>
          </w:p>
        </w:tc>
        <w:tc>
          <w:tcPr>
            <w:tcW w:w="2126" w:type="dxa"/>
            <w:vAlign w:val="center"/>
          </w:tcPr>
          <w:p w14:paraId="5F4F1441">
            <w:pPr>
              <w:pStyle w:val="29"/>
              <w:spacing w:line="400" w:lineRule="atLeast"/>
              <w:jc w:val="center"/>
              <w:rPr>
                <w:rFonts w:ascii="仿宋" w:hAnsi="仿宋" w:eastAsia="仿宋"/>
                <w:color w:val="auto"/>
                <w:szCs w:val="24"/>
              </w:rPr>
            </w:pPr>
          </w:p>
        </w:tc>
      </w:tr>
      <w:tr w14:paraId="51AEA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02" w:type="dxa"/>
            <w:vAlign w:val="center"/>
          </w:tcPr>
          <w:p w14:paraId="5FAD24B7">
            <w:pPr>
              <w:pStyle w:val="29"/>
              <w:spacing w:line="400" w:lineRule="atLeast"/>
              <w:jc w:val="center"/>
              <w:rPr>
                <w:rFonts w:ascii="仿宋" w:hAnsi="仿宋" w:eastAsia="仿宋"/>
                <w:color w:val="auto"/>
                <w:szCs w:val="24"/>
              </w:rPr>
            </w:pPr>
          </w:p>
        </w:tc>
        <w:tc>
          <w:tcPr>
            <w:tcW w:w="2595" w:type="dxa"/>
            <w:vAlign w:val="center"/>
          </w:tcPr>
          <w:p w14:paraId="53633C8F">
            <w:pPr>
              <w:pStyle w:val="29"/>
              <w:spacing w:line="400" w:lineRule="atLeast"/>
              <w:jc w:val="center"/>
              <w:rPr>
                <w:rFonts w:ascii="仿宋" w:hAnsi="仿宋" w:eastAsia="仿宋"/>
                <w:color w:val="auto"/>
                <w:szCs w:val="24"/>
              </w:rPr>
            </w:pPr>
          </w:p>
        </w:tc>
        <w:tc>
          <w:tcPr>
            <w:tcW w:w="2551" w:type="dxa"/>
            <w:vAlign w:val="center"/>
          </w:tcPr>
          <w:p w14:paraId="2E2D4751">
            <w:pPr>
              <w:pStyle w:val="29"/>
              <w:spacing w:line="400" w:lineRule="atLeast"/>
              <w:jc w:val="center"/>
              <w:rPr>
                <w:rFonts w:ascii="仿宋" w:hAnsi="仿宋" w:eastAsia="仿宋"/>
                <w:color w:val="auto"/>
                <w:szCs w:val="24"/>
              </w:rPr>
            </w:pPr>
          </w:p>
        </w:tc>
        <w:tc>
          <w:tcPr>
            <w:tcW w:w="2126" w:type="dxa"/>
            <w:vAlign w:val="center"/>
          </w:tcPr>
          <w:p w14:paraId="38DE1499">
            <w:pPr>
              <w:pStyle w:val="29"/>
              <w:spacing w:line="400" w:lineRule="atLeast"/>
              <w:jc w:val="center"/>
              <w:rPr>
                <w:rFonts w:ascii="仿宋" w:hAnsi="仿宋" w:eastAsia="仿宋"/>
                <w:color w:val="auto"/>
                <w:szCs w:val="24"/>
              </w:rPr>
            </w:pPr>
          </w:p>
        </w:tc>
      </w:tr>
      <w:tr w14:paraId="05BF1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02" w:type="dxa"/>
            <w:vAlign w:val="center"/>
          </w:tcPr>
          <w:p w14:paraId="083F9A8B">
            <w:pPr>
              <w:pStyle w:val="29"/>
              <w:spacing w:line="400" w:lineRule="atLeast"/>
              <w:jc w:val="center"/>
              <w:rPr>
                <w:rFonts w:ascii="仿宋" w:hAnsi="仿宋" w:eastAsia="仿宋"/>
                <w:color w:val="auto"/>
                <w:szCs w:val="24"/>
              </w:rPr>
            </w:pPr>
          </w:p>
        </w:tc>
        <w:tc>
          <w:tcPr>
            <w:tcW w:w="2595" w:type="dxa"/>
            <w:vAlign w:val="center"/>
          </w:tcPr>
          <w:p w14:paraId="0FAB6220">
            <w:pPr>
              <w:pStyle w:val="29"/>
              <w:spacing w:line="400" w:lineRule="atLeast"/>
              <w:jc w:val="center"/>
              <w:rPr>
                <w:rFonts w:ascii="仿宋" w:hAnsi="仿宋" w:eastAsia="仿宋"/>
                <w:color w:val="auto"/>
                <w:szCs w:val="24"/>
              </w:rPr>
            </w:pPr>
          </w:p>
        </w:tc>
        <w:tc>
          <w:tcPr>
            <w:tcW w:w="2551" w:type="dxa"/>
            <w:vAlign w:val="center"/>
          </w:tcPr>
          <w:p w14:paraId="014B3E90">
            <w:pPr>
              <w:pStyle w:val="29"/>
              <w:spacing w:line="400" w:lineRule="atLeast"/>
              <w:jc w:val="center"/>
              <w:rPr>
                <w:rFonts w:ascii="仿宋" w:hAnsi="仿宋" w:eastAsia="仿宋"/>
                <w:color w:val="auto"/>
                <w:szCs w:val="24"/>
              </w:rPr>
            </w:pPr>
          </w:p>
        </w:tc>
        <w:tc>
          <w:tcPr>
            <w:tcW w:w="2126" w:type="dxa"/>
            <w:vAlign w:val="center"/>
          </w:tcPr>
          <w:p w14:paraId="7F61F239">
            <w:pPr>
              <w:pStyle w:val="29"/>
              <w:spacing w:line="400" w:lineRule="atLeast"/>
              <w:jc w:val="center"/>
              <w:rPr>
                <w:rFonts w:ascii="仿宋" w:hAnsi="仿宋" w:eastAsia="仿宋"/>
                <w:color w:val="auto"/>
                <w:szCs w:val="24"/>
              </w:rPr>
            </w:pPr>
          </w:p>
        </w:tc>
      </w:tr>
      <w:tr w14:paraId="48952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02" w:type="dxa"/>
            <w:vAlign w:val="center"/>
          </w:tcPr>
          <w:p w14:paraId="3846865D">
            <w:pPr>
              <w:pStyle w:val="29"/>
              <w:spacing w:line="400" w:lineRule="atLeast"/>
              <w:jc w:val="center"/>
              <w:rPr>
                <w:rFonts w:ascii="仿宋" w:hAnsi="仿宋" w:eastAsia="仿宋"/>
                <w:color w:val="auto"/>
                <w:szCs w:val="24"/>
              </w:rPr>
            </w:pPr>
          </w:p>
        </w:tc>
        <w:tc>
          <w:tcPr>
            <w:tcW w:w="2595" w:type="dxa"/>
            <w:vAlign w:val="center"/>
          </w:tcPr>
          <w:p w14:paraId="4E005074">
            <w:pPr>
              <w:pStyle w:val="29"/>
              <w:spacing w:line="400" w:lineRule="atLeast"/>
              <w:jc w:val="center"/>
              <w:rPr>
                <w:rFonts w:ascii="仿宋" w:hAnsi="仿宋" w:eastAsia="仿宋"/>
                <w:color w:val="auto"/>
                <w:szCs w:val="24"/>
              </w:rPr>
            </w:pPr>
          </w:p>
        </w:tc>
        <w:tc>
          <w:tcPr>
            <w:tcW w:w="2551" w:type="dxa"/>
            <w:vAlign w:val="center"/>
          </w:tcPr>
          <w:p w14:paraId="4EE9D564">
            <w:pPr>
              <w:pStyle w:val="29"/>
              <w:spacing w:line="400" w:lineRule="atLeast"/>
              <w:jc w:val="center"/>
              <w:rPr>
                <w:rFonts w:ascii="仿宋" w:hAnsi="仿宋" w:eastAsia="仿宋"/>
                <w:color w:val="auto"/>
                <w:szCs w:val="24"/>
              </w:rPr>
            </w:pPr>
          </w:p>
        </w:tc>
        <w:tc>
          <w:tcPr>
            <w:tcW w:w="2126" w:type="dxa"/>
            <w:vAlign w:val="center"/>
          </w:tcPr>
          <w:p w14:paraId="0DBE418B">
            <w:pPr>
              <w:pStyle w:val="29"/>
              <w:spacing w:line="400" w:lineRule="atLeast"/>
              <w:jc w:val="center"/>
              <w:rPr>
                <w:rFonts w:ascii="仿宋" w:hAnsi="仿宋" w:eastAsia="仿宋"/>
                <w:color w:val="auto"/>
                <w:szCs w:val="24"/>
              </w:rPr>
            </w:pPr>
          </w:p>
        </w:tc>
      </w:tr>
      <w:tr w14:paraId="3268B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02" w:type="dxa"/>
            <w:vAlign w:val="center"/>
          </w:tcPr>
          <w:p w14:paraId="05A4B45B">
            <w:pPr>
              <w:pStyle w:val="29"/>
              <w:spacing w:line="400" w:lineRule="atLeast"/>
              <w:jc w:val="center"/>
              <w:rPr>
                <w:rFonts w:ascii="仿宋" w:hAnsi="仿宋" w:eastAsia="仿宋"/>
                <w:color w:val="auto"/>
                <w:szCs w:val="24"/>
              </w:rPr>
            </w:pPr>
          </w:p>
        </w:tc>
        <w:tc>
          <w:tcPr>
            <w:tcW w:w="2595" w:type="dxa"/>
            <w:vAlign w:val="center"/>
          </w:tcPr>
          <w:p w14:paraId="02C4A757">
            <w:pPr>
              <w:pStyle w:val="29"/>
              <w:spacing w:line="400" w:lineRule="atLeast"/>
              <w:jc w:val="center"/>
              <w:rPr>
                <w:rFonts w:ascii="仿宋" w:hAnsi="仿宋" w:eastAsia="仿宋"/>
                <w:color w:val="auto"/>
                <w:szCs w:val="24"/>
              </w:rPr>
            </w:pPr>
          </w:p>
        </w:tc>
        <w:tc>
          <w:tcPr>
            <w:tcW w:w="2551" w:type="dxa"/>
            <w:vAlign w:val="center"/>
          </w:tcPr>
          <w:p w14:paraId="74B2E487">
            <w:pPr>
              <w:pStyle w:val="29"/>
              <w:spacing w:line="400" w:lineRule="atLeast"/>
              <w:jc w:val="center"/>
              <w:rPr>
                <w:rFonts w:ascii="仿宋" w:hAnsi="仿宋" w:eastAsia="仿宋"/>
                <w:color w:val="auto"/>
                <w:szCs w:val="24"/>
              </w:rPr>
            </w:pPr>
          </w:p>
        </w:tc>
        <w:tc>
          <w:tcPr>
            <w:tcW w:w="2126" w:type="dxa"/>
            <w:vAlign w:val="center"/>
          </w:tcPr>
          <w:p w14:paraId="1E807FFA">
            <w:pPr>
              <w:pStyle w:val="29"/>
              <w:spacing w:line="400" w:lineRule="atLeast"/>
              <w:jc w:val="center"/>
              <w:rPr>
                <w:rFonts w:ascii="仿宋" w:hAnsi="仿宋" w:eastAsia="仿宋"/>
                <w:color w:val="auto"/>
                <w:szCs w:val="24"/>
              </w:rPr>
            </w:pPr>
          </w:p>
        </w:tc>
      </w:tr>
      <w:tr w14:paraId="06FB4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02" w:type="dxa"/>
            <w:vAlign w:val="center"/>
          </w:tcPr>
          <w:p w14:paraId="4E3988EF">
            <w:pPr>
              <w:pStyle w:val="29"/>
              <w:spacing w:line="400" w:lineRule="atLeast"/>
              <w:jc w:val="center"/>
              <w:rPr>
                <w:rFonts w:ascii="仿宋" w:hAnsi="仿宋" w:eastAsia="仿宋"/>
                <w:color w:val="auto"/>
                <w:szCs w:val="24"/>
              </w:rPr>
            </w:pPr>
          </w:p>
        </w:tc>
        <w:tc>
          <w:tcPr>
            <w:tcW w:w="2595" w:type="dxa"/>
            <w:vAlign w:val="center"/>
          </w:tcPr>
          <w:p w14:paraId="4161492F">
            <w:pPr>
              <w:pStyle w:val="29"/>
              <w:spacing w:line="400" w:lineRule="atLeast"/>
              <w:jc w:val="center"/>
              <w:rPr>
                <w:rFonts w:ascii="仿宋" w:hAnsi="仿宋" w:eastAsia="仿宋"/>
                <w:color w:val="auto"/>
                <w:szCs w:val="24"/>
              </w:rPr>
            </w:pPr>
          </w:p>
        </w:tc>
        <w:tc>
          <w:tcPr>
            <w:tcW w:w="2551" w:type="dxa"/>
            <w:vAlign w:val="center"/>
          </w:tcPr>
          <w:p w14:paraId="5CF66B5C">
            <w:pPr>
              <w:pStyle w:val="29"/>
              <w:spacing w:line="400" w:lineRule="atLeast"/>
              <w:jc w:val="center"/>
              <w:rPr>
                <w:rFonts w:ascii="仿宋" w:hAnsi="仿宋" w:eastAsia="仿宋"/>
                <w:color w:val="auto"/>
                <w:szCs w:val="24"/>
              </w:rPr>
            </w:pPr>
          </w:p>
        </w:tc>
        <w:tc>
          <w:tcPr>
            <w:tcW w:w="2126" w:type="dxa"/>
            <w:vAlign w:val="center"/>
          </w:tcPr>
          <w:p w14:paraId="199D4F96">
            <w:pPr>
              <w:pStyle w:val="29"/>
              <w:spacing w:line="400" w:lineRule="atLeast"/>
              <w:jc w:val="center"/>
              <w:rPr>
                <w:rFonts w:ascii="仿宋" w:hAnsi="仿宋" w:eastAsia="仿宋"/>
                <w:color w:val="auto"/>
                <w:szCs w:val="24"/>
              </w:rPr>
            </w:pPr>
          </w:p>
        </w:tc>
      </w:tr>
    </w:tbl>
    <w:p w14:paraId="27656D48">
      <w:pPr>
        <w:pStyle w:val="29"/>
        <w:spacing w:line="400" w:lineRule="exact"/>
        <w:rPr>
          <w:rFonts w:ascii="仿宋" w:hAnsi="仿宋" w:eastAsia="仿宋"/>
          <w:color w:val="auto"/>
          <w:szCs w:val="24"/>
        </w:rPr>
      </w:pPr>
      <w:r>
        <w:rPr>
          <w:rFonts w:hint="eastAsia" w:ascii="仿宋" w:hAnsi="仿宋" w:eastAsia="仿宋"/>
          <w:color w:val="auto"/>
          <w:szCs w:val="24"/>
        </w:rPr>
        <w:t>注：</w:t>
      </w:r>
    </w:p>
    <w:p w14:paraId="7AF3AAAD">
      <w:pPr>
        <w:pStyle w:val="29"/>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仿宋" w:hAnsi="仿宋" w:eastAsia="仿宋"/>
          <w:color w:val="auto"/>
          <w:szCs w:val="24"/>
        </w:rPr>
      </w:pPr>
      <w:r>
        <w:rPr>
          <w:rFonts w:hint="eastAsia" w:ascii="仿宋" w:hAnsi="仿宋" w:eastAsia="仿宋"/>
          <w:color w:val="auto"/>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6D712568">
      <w:pPr>
        <w:pStyle w:val="29"/>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仿宋" w:hAnsi="仿宋" w:eastAsia="仿宋"/>
          <w:color w:val="auto"/>
          <w:szCs w:val="24"/>
        </w:rPr>
      </w:pPr>
      <w:r>
        <w:rPr>
          <w:rFonts w:hint="eastAsia" w:ascii="仿宋" w:hAnsi="仿宋" w:eastAsia="仿宋"/>
          <w:color w:val="auto"/>
          <w:szCs w:val="24"/>
        </w:rPr>
        <w:t>2、投标人递交的技术规格书中必须真实逐条列明，否则由投标人自行承担相关风险。</w:t>
      </w:r>
    </w:p>
    <w:p w14:paraId="41DF5CB6">
      <w:pPr>
        <w:pStyle w:val="29"/>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仿宋" w:hAnsi="仿宋" w:eastAsia="仿宋"/>
          <w:color w:val="auto"/>
          <w:szCs w:val="24"/>
        </w:rPr>
      </w:pPr>
      <w:r>
        <w:rPr>
          <w:rFonts w:hint="eastAsia" w:ascii="仿宋" w:hAnsi="仿宋" w:eastAsia="仿宋"/>
          <w:color w:val="auto"/>
          <w:szCs w:val="24"/>
        </w:rPr>
        <w:t>3、此表在不改变格式的情况下可自行制作。</w:t>
      </w:r>
    </w:p>
    <w:p w14:paraId="47B497AE">
      <w:pPr>
        <w:pStyle w:val="29"/>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仿宋" w:hAnsi="仿宋" w:eastAsia="仿宋"/>
          <w:color w:val="auto"/>
          <w:szCs w:val="24"/>
        </w:rPr>
      </w:pPr>
      <w:r>
        <w:rPr>
          <w:rFonts w:hint="eastAsia" w:ascii="仿宋" w:hAnsi="仿宋" w:eastAsia="仿宋"/>
          <w:color w:val="auto"/>
          <w:szCs w:val="24"/>
        </w:rPr>
        <w:t>4、此表置于此标书中。</w:t>
      </w:r>
    </w:p>
    <w:p w14:paraId="7138EC19">
      <w:pPr>
        <w:spacing w:line="400" w:lineRule="exact"/>
        <w:jc w:val="right"/>
        <w:rPr>
          <w:rFonts w:ascii="仿宋" w:hAnsi="仿宋" w:eastAsia="仿宋"/>
          <w:color w:val="auto"/>
          <w:sz w:val="28"/>
        </w:rPr>
      </w:pPr>
    </w:p>
    <w:p w14:paraId="6FC00984">
      <w:pPr>
        <w:spacing w:line="480" w:lineRule="auto"/>
        <w:jc w:val="right"/>
        <w:rPr>
          <w:rFonts w:ascii="仿宋" w:hAnsi="仿宋" w:eastAsia="仿宋"/>
          <w:color w:val="auto"/>
          <w:sz w:val="24"/>
          <w:szCs w:val="24"/>
          <w:u w:val="single"/>
        </w:rPr>
      </w:pPr>
      <w:r>
        <w:rPr>
          <w:rFonts w:hint="eastAsia" w:ascii="仿宋" w:hAnsi="仿宋" w:eastAsia="仿宋"/>
          <w:color w:val="auto"/>
          <w:sz w:val="24"/>
          <w:szCs w:val="24"/>
        </w:rPr>
        <w:t>投标人全称（电子签章）：______________</w:t>
      </w:r>
    </w:p>
    <w:p w14:paraId="700145DA">
      <w:pPr>
        <w:spacing w:line="360" w:lineRule="auto"/>
        <w:jc w:val="right"/>
        <w:rPr>
          <w:rFonts w:hint="eastAsia" w:ascii="仿宋" w:hAnsi="仿宋" w:eastAsia="仿宋"/>
          <w:color w:val="auto"/>
          <w:sz w:val="24"/>
          <w:szCs w:val="24"/>
        </w:rPr>
      </w:pPr>
      <w:r>
        <w:rPr>
          <w:rFonts w:hint="eastAsia" w:ascii="仿宋" w:hAnsi="仿宋" w:eastAsia="仿宋"/>
          <w:color w:val="auto"/>
          <w:sz w:val="24"/>
          <w:szCs w:val="24"/>
        </w:rPr>
        <w:t>日期：_______年_____月_____日</w:t>
      </w:r>
    </w:p>
    <w:p w14:paraId="00B54A81">
      <w:pPr>
        <w:spacing w:line="360" w:lineRule="auto"/>
        <w:rPr>
          <w:rFonts w:hint="eastAsia" w:ascii="仿宋" w:hAnsi="仿宋" w:eastAsia="仿宋"/>
          <w:color w:val="auto"/>
          <w:sz w:val="24"/>
          <w:szCs w:val="24"/>
        </w:rPr>
        <w:sectPr>
          <w:pgSz w:w="11905"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type="lines" w:linePitch="317" w:charSpace="0"/>
        </w:sectPr>
      </w:pPr>
    </w:p>
    <w:p w14:paraId="6D641CCD">
      <w:pPr>
        <w:pageBreakBefore w:val="0"/>
        <w:numPr>
          <w:ilvl w:val="0"/>
          <w:numId w:val="22"/>
        </w:numPr>
        <w:kinsoku/>
        <w:wordWrap/>
        <w:overflowPunct/>
        <w:topLinePunct w:val="0"/>
        <w:autoSpaceDE/>
        <w:autoSpaceDN/>
        <w:bidi w:val="0"/>
        <w:snapToGrid w:val="0"/>
        <w:spacing w:line="240" w:lineRule="auto"/>
        <w:ind w:left="0" w:leftChars="0" w:firstLine="420" w:firstLineChars="0"/>
        <w:jc w:val="center"/>
        <w:textAlignment w:val="auto"/>
        <w:rPr>
          <w:rFonts w:hint="eastAsia" w:ascii="仿宋" w:hAnsi="仿宋" w:eastAsia="仿宋" w:cs="Times New Roman"/>
          <w:b/>
          <w:bCs/>
          <w:color w:val="auto"/>
          <w:kern w:val="2"/>
          <w:sz w:val="32"/>
          <w:szCs w:val="32"/>
          <w:highlight w:val="none"/>
          <w:lang w:val="en-US" w:eastAsia="zh-CN" w:bidi="ar-SA"/>
        </w:rPr>
      </w:pPr>
      <w:r>
        <w:rPr>
          <w:rFonts w:hint="eastAsia" w:ascii="仿宋" w:hAnsi="仿宋" w:eastAsia="仿宋" w:cs="Times New Roman"/>
          <w:b/>
          <w:bCs/>
          <w:color w:val="auto"/>
          <w:kern w:val="2"/>
          <w:sz w:val="32"/>
          <w:szCs w:val="32"/>
          <w:highlight w:val="none"/>
          <w:lang w:val="en-US" w:eastAsia="zh-CN" w:bidi="ar-SA"/>
        </w:rPr>
        <w:t>投标人需要说明的其他文件和说明（格式自拟）</w:t>
      </w:r>
    </w:p>
    <w:p w14:paraId="115C2294">
      <w:pPr>
        <w:spacing w:line="360" w:lineRule="auto"/>
        <w:rPr>
          <w:rFonts w:hint="eastAsia" w:ascii="仿宋" w:hAnsi="仿宋" w:eastAsia="仿宋"/>
          <w:color w:val="auto"/>
          <w:sz w:val="24"/>
          <w:szCs w:val="24"/>
        </w:rPr>
      </w:pPr>
    </w:p>
    <w:sectPr>
      <w:pgSz w:w="11905"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
    <w:altName w:val="宋体"/>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8D1F3">
    <w:pPr>
      <w:pStyle w:val="35"/>
      <w:ind w:firstLine="360"/>
      <w:jc w:val="center"/>
    </w:pPr>
    <w:sdt>
      <w:sdtPr>
        <w:id w:val="1020118566"/>
      </w:sdtPr>
      <w:sdtContent/>
    </w:sdt>
  </w:p>
  <w:p w14:paraId="4DF2289D">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AA363">
    <w:pPr>
      <w:pStyle w:val="35"/>
      <w:ind w:firstLine="360"/>
      <w:jc w:val="center"/>
    </w:pPr>
    <w:sdt>
      <w:sdtPr>
        <w:id w:val="147463000"/>
      </w:sdtPr>
      <w:sdtContent/>
    </w:sdt>
  </w:p>
  <w:p w14:paraId="10931B5F">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53A40">
    <w:pPr>
      <w:pStyle w:val="3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2F4303">
                          <w:pPr>
                            <w:pStyle w:val="35"/>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2F4303">
                    <w:pPr>
                      <w:pStyle w:val="35"/>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57EF6">
    <w:pPr>
      <w:pStyle w:val="35"/>
      <w:framePr w:wrap="around" w:vAnchor="text" w:hAnchor="margin" w:xAlign="center" w:y="1"/>
      <w:rPr>
        <w:rStyle w:val="56"/>
      </w:rPr>
    </w:pPr>
    <w:r>
      <w:fldChar w:fldCharType="begin"/>
    </w:r>
    <w:r>
      <w:rPr>
        <w:rStyle w:val="56"/>
      </w:rPr>
      <w:instrText xml:space="preserve">PAGE  </w:instrText>
    </w:r>
    <w:r>
      <w:fldChar w:fldCharType="end"/>
    </w:r>
  </w:p>
  <w:p w14:paraId="4E14658D">
    <w:pPr>
      <w:pStyle w:val="3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0DDC6">
    <w:pPr>
      <w:pStyle w:val="3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B8E18B">
                          <w:pPr>
                            <w:pStyle w:val="3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CB8E18B">
                    <w:pPr>
                      <w:pStyle w:val="3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4430A">
    <w:pPr>
      <w:pStyle w:val="35"/>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AE7A10">
                          <w:pPr>
                            <w:pStyle w:val="35"/>
                          </w:pPr>
                          <w:r>
                            <w:fldChar w:fldCharType="begin"/>
                          </w:r>
                          <w:r>
                            <w:instrText xml:space="preserve"> PAGE  \* MERGEFORMAT </w:instrText>
                          </w:r>
                          <w:r>
                            <w:fldChar w:fldCharType="separate"/>
                          </w:r>
                          <w:r>
                            <w:t>- 7 -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4AE7A10">
                    <w:pPr>
                      <w:pStyle w:val="35"/>
                    </w:pPr>
                    <w:r>
                      <w:fldChar w:fldCharType="begin"/>
                    </w:r>
                    <w:r>
                      <w:instrText xml:space="preserve"> PAGE  \* MERGEFORMAT </w:instrText>
                    </w:r>
                    <w:r>
                      <w:fldChar w:fldCharType="separate"/>
                    </w:r>
                    <w:r>
                      <w:t>- 7 -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9F95A">
    <w:pPr>
      <w:pStyle w:val="35"/>
      <w:ind w:right="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BD0326">
                          <w:pPr>
                            <w:pStyle w:val="3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4ABD0326">
                    <w:pPr>
                      <w:pStyle w:val="3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F6D49">
    <w:pPr>
      <w:pStyle w:val="36"/>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诸暨市宸佳工程管理有限公司招标文件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32230">
    <w:pPr>
      <w:pStyle w:val="36"/>
    </w:pPr>
    <w:r>
      <w:rPr>
        <w:rFonts w:hint="eastAsia" w:ascii="宋体" w:hAnsi="宋体" w:eastAsia="宋体" w:cs="宋体"/>
        <w:sz w:val="20"/>
        <w:szCs w:val="20"/>
      </w:rPr>
      <w:t>诸暨市宸佳工程管理有限公司招标文件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E9D8C">
    <w:pPr>
      <w:pStyle w:val="36"/>
      <w:pBdr>
        <w:bottom w:val="single" w:color="auto" w:sz="4" w:space="1"/>
      </w:pBdr>
      <w:rPr>
        <w:rFonts w:ascii="宋体" w:hAnsi="宋体" w:eastAsia="宋体" w:cs="宋体"/>
        <w:sz w:val="20"/>
        <w:szCs w:val="20"/>
      </w:rPr>
    </w:pPr>
    <w:r>
      <w:rPr>
        <w:rFonts w:hint="eastAsia" w:ascii="宋体" w:hAnsi="宋体" w:eastAsia="宋体" w:cs="宋体"/>
        <w:sz w:val="20"/>
        <w:szCs w:val="20"/>
      </w:rPr>
      <w:t>诸暨市宸佳工程管理有限公司招标文件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A8904">
    <w:pPr>
      <w:pStyle w:val="36"/>
      <w:pBdr>
        <w:bottom w:val="single" w:color="auto" w:sz="4" w:space="1"/>
      </w:pBdr>
      <w:rPr>
        <w:rFonts w:ascii="宋体" w:hAnsi="宋体" w:eastAsia="宋体" w:cs="宋体"/>
        <w:sz w:val="20"/>
        <w:szCs w:val="20"/>
      </w:rPr>
    </w:pPr>
    <w:r>
      <w:rPr>
        <w:rFonts w:hint="eastAsia" w:ascii="宋体" w:hAnsi="宋体" w:eastAsia="宋体" w:cs="宋体"/>
        <w:sz w:val="20"/>
        <w:szCs w:val="20"/>
      </w:rPr>
      <w:t>诸暨市宸佳工程管理有限公司招标文件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97A1B">
    <w:pPr>
      <w:pStyle w:val="36"/>
    </w:pPr>
    <w:r>
      <w:rPr>
        <w:rFonts w:hint="eastAsia" w:ascii="宋体" w:hAnsi="宋体" w:eastAsia="宋体" w:cs="宋体"/>
        <w:sz w:val="20"/>
        <w:szCs w:val="20"/>
        <w:lang w:eastAsia="zh-CN"/>
      </w:rPr>
      <w:t>诸暨市宸佳工程管理有限公司招标文件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3FD29">
    <w:pPr>
      <w:pStyle w:val="36"/>
      <w:rPr>
        <w:sz w:val="16"/>
        <w:szCs w:val="16"/>
      </w:rPr>
    </w:pPr>
    <w:r>
      <w:rPr>
        <w:rFonts w:hint="eastAsia" w:ascii="宋体" w:hAnsi="宋体" w:eastAsia="宋体" w:cs="宋体"/>
        <w:sz w:val="20"/>
        <w:szCs w:val="20"/>
      </w:rPr>
      <w:t>诸暨市宸佳工程管理有限公司采购要素文件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CCE70">
    <w:pPr>
      <w:pStyle w:val="36"/>
      <w:pBdr>
        <w:bottom w:val="single" w:color="auto" w:sz="4" w:space="1"/>
      </w:pBdr>
      <w:rPr>
        <w:rFonts w:ascii="宋体" w:hAnsi="宋体" w:eastAsia="宋体" w:cs="宋体"/>
        <w:sz w:val="20"/>
        <w:szCs w:val="20"/>
      </w:rPr>
    </w:pPr>
    <w:r>
      <w:rPr>
        <w:rFonts w:hint="eastAsia" w:ascii="宋体" w:hAnsi="宋体" w:eastAsia="宋体" w:cs="宋体"/>
        <w:sz w:val="20"/>
        <w:szCs w:val="20"/>
      </w:rPr>
      <w:t>诸暨市宸佳工程管理有限公司招标文件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9BC748"/>
    <w:multiLevelType w:val="singleLevel"/>
    <w:tmpl w:val="AC9BC748"/>
    <w:lvl w:ilvl="0" w:tentative="0">
      <w:start w:val="1"/>
      <w:numFmt w:val="decimal"/>
      <w:suff w:val="nothing"/>
      <w:lvlText w:val="(%1)"/>
      <w:lvlJc w:val="left"/>
      <w:pPr>
        <w:ind w:left="425" w:hanging="425"/>
      </w:pPr>
      <w:rPr>
        <w:rFonts w:hint="default" w:ascii="仿宋" w:hAnsi="仿宋" w:eastAsia="仿宋" w:cs="仿宋"/>
      </w:rPr>
    </w:lvl>
  </w:abstractNum>
  <w:abstractNum w:abstractNumId="1">
    <w:nsid w:val="B460B085"/>
    <w:multiLevelType w:val="singleLevel"/>
    <w:tmpl w:val="B460B085"/>
    <w:lvl w:ilvl="0" w:tentative="0">
      <w:start w:val="1"/>
      <w:numFmt w:val="chineseCounting"/>
      <w:suff w:val="nothing"/>
      <w:lvlText w:val="%1、"/>
      <w:lvlJc w:val="left"/>
      <w:pPr>
        <w:ind w:left="0" w:firstLine="420"/>
      </w:pPr>
      <w:rPr>
        <w:rFonts w:hint="eastAsia"/>
      </w:rPr>
    </w:lvl>
  </w:abstractNum>
  <w:abstractNum w:abstractNumId="2">
    <w:nsid w:val="DDD907AC"/>
    <w:multiLevelType w:val="singleLevel"/>
    <w:tmpl w:val="DDD907AC"/>
    <w:lvl w:ilvl="0" w:tentative="0">
      <w:start w:val="1"/>
      <w:numFmt w:val="decimal"/>
      <w:suff w:val="nothing"/>
      <w:lvlText w:val="(%1)"/>
      <w:lvlJc w:val="left"/>
      <w:pPr>
        <w:ind w:left="425" w:hanging="425"/>
      </w:pPr>
      <w:rPr>
        <w:rFonts w:hint="default" w:ascii="仿宋" w:hAnsi="仿宋" w:eastAsia="仿宋" w:cs="仿宋"/>
      </w:rPr>
    </w:lvl>
  </w:abstractNum>
  <w:abstractNum w:abstractNumId="3">
    <w:nsid w:val="FFFFFF7E"/>
    <w:multiLevelType w:val="singleLevel"/>
    <w:tmpl w:val="FFFFFF7E"/>
    <w:lvl w:ilvl="0" w:tentative="0">
      <w:start w:val="1"/>
      <w:numFmt w:val="decimal"/>
      <w:pStyle w:val="212"/>
      <w:lvlText w:val="%1."/>
      <w:lvlJc w:val="left"/>
      <w:pPr>
        <w:tabs>
          <w:tab w:val="left" w:pos="1200"/>
        </w:tabs>
        <w:ind w:left="1200" w:hanging="360"/>
      </w:pPr>
    </w:lvl>
  </w:abstractNum>
  <w:abstractNum w:abstractNumId="4">
    <w:nsid w:val="00000006"/>
    <w:multiLevelType w:val="singleLevel"/>
    <w:tmpl w:val="00000006"/>
    <w:lvl w:ilvl="0" w:tentative="0">
      <w:start w:val="1"/>
      <w:numFmt w:val="decimal"/>
      <w:pStyle w:val="26"/>
      <w:lvlText w:val="%1."/>
      <w:lvlJc w:val="left"/>
      <w:pPr>
        <w:tabs>
          <w:tab w:val="left" w:pos="1200"/>
        </w:tabs>
        <w:ind w:left="1200" w:hanging="360"/>
      </w:pPr>
    </w:lvl>
  </w:abstractNum>
  <w:abstractNum w:abstractNumId="5">
    <w:nsid w:val="00000008"/>
    <w:multiLevelType w:val="multilevel"/>
    <w:tmpl w:val="00000008"/>
    <w:lvl w:ilvl="0" w:tentative="0">
      <w:start w:val="1"/>
      <w:numFmt w:val="bullet"/>
      <w:pStyle w:val="126"/>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00000009"/>
    <w:multiLevelType w:val="multilevel"/>
    <w:tmpl w:val="00000009"/>
    <w:lvl w:ilvl="0" w:tentative="0">
      <w:start w:val="1"/>
      <w:numFmt w:val="decimal"/>
      <w:pStyle w:val="18"/>
      <w:lvlText w:val="%1、"/>
      <w:lvlJc w:val="left"/>
      <w:pPr>
        <w:tabs>
          <w:tab w:val="left" w:pos="360"/>
        </w:tabs>
        <w:ind w:left="360" w:hanging="360"/>
      </w:pPr>
      <w:rPr>
        <w:rFonts w:ascii="Times New Roman" w:hAnsi="Times New Roman" w:eastAsia="黑体" w:cs="Times New Roman"/>
      </w:rPr>
    </w:lvl>
    <w:lvl w:ilvl="1" w:tentative="0">
      <w:start w:val="2005"/>
      <w:numFmt w:val="decimal"/>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A"/>
    <w:multiLevelType w:val="multilevel"/>
    <w:tmpl w:val="0000000A"/>
    <w:lvl w:ilvl="0" w:tentative="0">
      <w:start w:val="1"/>
      <w:numFmt w:val="decimal"/>
      <w:pStyle w:val="169"/>
      <w:lvlText w:val="%1、"/>
      <w:lvlJc w:val="left"/>
      <w:pPr>
        <w:tabs>
          <w:tab w:val="left" w:pos="360"/>
        </w:tabs>
        <w:ind w:left="360" w:hanging="360"/>
      </w:pPr>
      <w:rPr>
        <w:rFonts w:ascii="Times New Roman" w:hAnsi="Times New Roman" w:eastAsia="黑体" w:cs="Times New Roman"/>
      </w:rPr>
    </w:lvl>
    <w:lvl w:ilvl="1" w:tentative="0">
      <w:start w:val="2005"/>
      <w:numFmt w:val="decimal"/>
      <w:pStyle w:val="37"/>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ascii="仿宋_GB2312" w:hAnsi="宋体" w:eastAsia="仿宋_GB2312"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20"/>
    <w:multiLevelType w:val="multilevel"/>
    <w:tmpl w:val="00000020"/>
    <w:lvl w:ilvl="0" w:tentative="0">
      <w:start w:val="1"/>
      <w:numFmt w:val="decimal"/>
      <w:pStyle w:val="257"/>
      <w:suff w:val="nothing"/>
      <w:lvlText w:val="%1）"/>
      <w:lvlJc w:val="left"/>
      <w:pPr>
        <w:ind w:left="0" w:firstLine="488"/>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02A021CF"/>
    <w:multiLevelType w:val="singleLevel"/>
    <w:tmpl w:val="02A021CF"/>
    <w:lvl w:ilvl="0" w:tentative="0">
      <w:start w:val="1"/>
      <w:numFmt w:val="decimal"/>
      <w:suff w:val="nothing"/>
      <w:lvlText w:val="(%1)"/>
      <w:lvlJc w:val="left"/>
      <w:pPr>
        <w:ind w:left="425" w:hanging="425"/>
      </w:pPr>
      <w:rPr>
        <w:rFonts w:hint="default" w:ascii="仿宋" w:hAnsi="仿宋" w:eastAsia="仿宋" w:cs="仿宋"/>
        <w:b w:val="0"/>
        <w:bCs w:val="0"/>
      </w:rPr>
    </w:lvl>
  </w:abstractNum>
  <w:abstractNum w:abstractNumId="10">
    <w:nsid w:val="0A760F1C"/>
    <w:multiLevelType w:val="multilevel"/>
    <w:tmpl w:val="0A760F1C"/>
    <w:lvl w:ilvl="0" w:tentative="0">
      <w:start w:val="1"/>
      <w:numFmt w:val="decimal"/>
      <w:pStyle w:val="230"/>
      <w:suff w:val="space"/>
      <w:lvlText w:val="第%1章"/>
      <w:lvlJc w:val="center"/>
      <w:pPr>
        <w:ind w:left="0" w:firstLine="288"/>
      </w:pPr>
      <w:rPr>
        <w:rFonts w:hint="eastAsia" w:ascii="黑体" w:hAnsi="黑体" w:eastAsia="黑体"/>
        <w:sz w:val="36"/>
      </w:rPr>
    </w:lvl>
    <w:lvl w:ilvl="1" w:tentative="0">
      <w:start w:val="1"/>
      <w:numFmt w:val="decimal"/>
      <w:pStyle w:val="241"/>
      <w:suff w:val="space"/>
      <w:lvlText w:val="%1.%2"/>
      <w:lvlJc w:val="left"/>
      <w:pPr>
        <w:ind w:left="0" w:firstLine="0"/>
      </w:pPr>
      <w:rPr>
        <w:rFonts w:hint="eastAsia" w:ascii="黑体" w:hAnsi="黑体" w:eastAsia="黑体"/>
        <w:sz w:val="30"/>
      </w:rPr>
    </w:lvl>
    <w:lvl w:ilvl="2" w:tentative="0">
      <w:start w:val="1"/>
      <w:numFmt w:val="decimal"/>
      <w:pStyle w:val="223"/>
      <w:suff w:val="space"/>
      <w:lvlText w:val="%1.%2.%3"/>
      <w:lvlJc w:val="left"/>
      <w:pPr>
        <w:ind w:left="0" w:firstLine="0"/>
      </w:pPr>
      <w:rPr>
        <w:rFonts w:hint="eastAsia" w:ascii="黑体" w:hAnsi="黑体" w:eastAsia="黑体"/>
        <w:sz w:val="28"/>
      </w:rPr>
    </w:lvl>
    <w:lvl w:ilvl="3" w:tentative="0">
      <w:start w:val="1"/>
      <w:numFmt w:val="decimal"/>
      <w:suff w:val="space"/>
      <w:lvlText w:val="%1.%2.%3.%4"/>
      <w:lvlJc w:val="left"/>
      <w:pPr>
        <w:ind w:left="0" w:firstLine="0"/>
      </w:pPr>
      <w:rPr>
        <w:rFonts w:hint="eastAsia" w:ascii="黑体" w:hAnsi="黑体" w:eastAsia="黑体"/>
        <w:sz w:val="24"/>
      </w:rPr>
    </w:lvl>
    <w:lvl w:ilvl="4" w:tentative="0">
      <w:start w:val="1"/>
      <w:numFmt w:val="decimal"/>
      <w:pStyle w:val="234"/>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pStyle w:val="222"/>
      <w:lvlText w:val="%1.%2.%3.%4.%5.%6.%7"/>
      <w:lvlJc w:val="left"/>
      <w:pPr>
        <w:ind w:left="0" w:firstLine="0"/>
      </w:pPr>
      <w:rPr>
        <w:rFonts w:hint="eastAsia"/>
      </w:rPr>
    </w:lvl>
    <w:lvl w:ilvl="7" w:tentative="0">
      <w:start w:val="1"/>
      <w:numFmt w:val="decimal"/>
      <w:pStyle w:val="236"/>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1">
    <w:nsid w:val="1A904D56"/>
    <w:multiLevelType w:val="singleLevel"/>
    <w:tmpl w:val="1A904D56"/>
    <w:lvl w:ilvl="0" w:tentative="0">
      <w:start w:val="1"/>
      <w:numFmt w:val="decimal"/>
      <w:suff w:val="nothing"/>
      <w:lvlText w:val="%1"/>
      <w:lvlJc w:val="left"/>
      <w:pPr>
        <w:ind w:left="425" w:hanging="425"/>
      </w:pPr>
      <w:rPr>
        <w:rFonts w:hint="default" w:ascii="仿宋" w:hAnsi="仿宋" w:eastAsia="仿宋" w:cs="仿宋"/>
        <w:b/>
        <w:bCs/>
        <w:sz w:val="24"/>
        <w:szCs w:val="24"/>
      </w:rPr>
    </w:lvl>
  </w:abstractNum>
  <w:abstractNum w:abstractNumId="12">
    <w:nsid w:val="38D10CE1"/>
    <w:multiLevelType w:val="singleLevel"/>
    <w:tmpl w:val="38D10CE1"/>
    <w:lvl w:ilvl="0" w:tentative="0">
      <w:start w:val="1"/>
      <w:numFmt w:val="decimal"/>
      <w:suff w:val="nothing"/>
      <w:lvlText w:val="(%1)"/>
      <w:lvlJc w:val="left"/>
      <w:pPr>
        <w:ind w:left="425" w:hanging="425"/>
      </w:pPr>
      <w:rPr>
        <w:rFonts w:hint="default"/>
        <w:b w:val="0"/>
        <w:bCs w:val="0"/>
      </w:rPr>
    </w:lvl>
  </w:abstractNum>
  <w:abstractNum w:abstractNumId="13">
    <w:nsid w:val="3E6B7A1C"/>
    <w:multiLevelType w:val="singleLevel"/>
    <w:tmpl w:val="3E6B7A1C"/>
    <w:lvl w:ilvl="0" w:tentative="0">
      <w:start w:val="1"/>
      <w:numFmt w:val="decimal"/>
      <w:suff w:val="nothing"/>
      <w:lvlText w:val="(%1)"/>
      <w:lvlJc w:val="left"/>
      <w:pPr>
        <w:ind w:left="425" w:hanging="425"/>
      </w:pPr>
      <w:rPr>
        <w:rFonts w:hint="default" w:ascii="仿宋" w:hAnsi="仿宋" w:eastAsia="仿宋" w:cs="仿宋"/>
      </w:rPr>
    </w:lvl>
  </w:abstractNum>
  <w:abstractNum w:abstractNumId="14">
    <w:nsid w:val="3ED32A53"/>
    <w:multiLevelType w:val="singleLevel"/>
    <w:tmpl w:val="3ED32A53"/>
    <w:lvl w:ilvl="0" w:tentative="0">
      <w:start w:val="1"/>
      <w:numFmt w:val="chineseCounting"/>
      <w:suff w:val="nothing"/>
      <w:lvlText w:val="（%1）"/>
      <w:lvlJc w:val="left"/>
      <w:pPr>
        <w:ind w:left="0" w:firstLine="0"/>
      </w:pPr>
      <w:rPr>
        <w:rFonts w:hint="eastAsia"/>
      </w:rPr>
    </w:lvl>
  </w:abstractNum>
  <w:abstractNum w:abstractNumId="15">
    <w:nsid w:val="3F0538BB"/>
    <w:multiLevelType w:val="singleLevel"/>
    <w:tmpl w:val="3F0538BB"/>
    <w:lvl w:ilvl="0" w:tentative="0">
      <w:start w:val="1"/>
      <w:numFmt w:val="decimal"/>
      <w:suff w:val="nothing"/>
      <w:lvlText w:val="%1、"/>
      <w:lvlJc w:val="left"/>
      <w:pPr>
        <w:ind w:left="0" w:firstLine="0"/>
      </w:pPr>
      <w:rPr>
        <w:rFonts w:hint="default" w:ascii="仿宋" w:hAnsi="仿宋" w:eastAsia="仿宋" w:cs="仿宋"/>
        <w:b w:val="0"/>
        <w:bCs w:val="0"/>
      </w:rPr>
    </w:lvl>
  </w:abstractNum>
  <w:abstractNum w:abstractNumId="16">
    <w:nsid w:val="4798592B"/>
    <w:multiLevelType w:val="multilevel"/>
    <w:tmpl w:val="4798592B"/>
    <w:lvl w:ilvl="0" w:tentative="0">
      <w:start w:val="1"/>
      <w:numFmt w:val="decimal"/>
      <w:pStyle w:val="209"/>
      <w:lvlText w:val="%1、"/>
      <w:lvlJc w:val="left"/>
      <w:pPr>
        <w:tabs>
          <w:tab w:val="left" w:pos="360"/>
        </w:tabs>
        <w:ind w:left="360" w:hanging="360"/>
      </w:pPr>
      <w:rPr>
        <w:rFonts w:ascii="Times New Roman" w:hAnsi="Times New Roman" w:eastAsia="黑体" w:cs="Times New Roman"/>
      </w:rPr>
    </w:lvl>
    <w:lvl w:ilvl="1" w:tentative="0">
      <w:start w:val="2005"/>
      <w:numFmt w:val="decimal"/>
      <w:pStyle w:val="240"/>
      <w:lvlText w:val="%2年"/>
      <w:lvlJc w:val="left"/>
      <w:pPr>
        <w:tabs>
          <w:tab w:val="left" w:pos="1620"/>
        </w:tabs>
        <w:ind w:left="1620" w:hanging="1200"/>
      </w:pPr>
      <w:rPr>
        <w:rFonts w:hint="eastAsia"/>
      </w:rPr>
    </w:lvl>
    <w:lvl w:ilvl="2" w:tentative="0">
      <w:start w:val="1"/>
      <w:numFmt w:val="decimal"/>
      <w:pStyle w:val="211"/>
      <w:lvlText w:val="（%3）"/>
      <w:lvlJc w:val="left"/>
      <w:pPr>
        <w:tabs>
          <w:tab w:val="left" w:pos="1560"/>
        </w:tabs>
        <w:ind w:left="1560" w:hanging="720"/>
      </w:pPr>
      <w:rPr>
        <w:rFonts w:hint="eastAsia"/>
      </w:rPr>
    </w:lvl>
    <w:lvl w:ilvl="3" w:tentative="0">
      <w:start w:val="1"/>
      <w:numFmt w:val="decimal"/>
      <w:pStyle w:val="233"/>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6586784D"/>
    <w:multiLevelType w:val="singleLevel"/>
    <w:tmpl w:val="6586784D"/>
    <w:lvl w:ilvl="0" w:tentative="0">
      <w:start w:val="1"/>
      <w:numFmt w:val="decimal"/>
      <w:suff w:val="nothing"/>
      <w:lvlText w:val="(%1)"/>
      <w:lvlJc w:val="left"/>
      <w:pPr>
        <w:ind w:left="425" w:hanging="425"/>
      </w:pPr>
      <w:rPr>
        <w:rFonts w:hint="default" w:ascii="仿宋" w:hAnsi="仿宋" w:eastAsia="仿宋" w:cs="仿宋"/>
      </w:rPr>
    </w:lvl>
  </w:abstractNum>
  <w:abstractNum w:abstractNumId="18">
    <w:nsid w:val="6F56743F"/>
    <w:multiLevelType w:val="multilevel"/>
    <w:tmpl w:val="6F56743F"/>
    <w:lvl w:ilvl="0" w:tentative="0">
      <w:start w:val="1"/>
      <w:numFmt w:val="decimalEnclosedCircle"/>
      <w:pStyle w:val="221"/>
      <w:lvlText w:val="%1"/>
      <w:lvlJc w:val="left"/>
      <w:pPr>
        <w:tabs>
          <w:tab w:val="left" w:pos="780"/>
        </w:tabs>
        <w:ind w:left="780" w:hanging="360"/>
      </w:pPr>
      <w:rPr>
        <w:rFonts w:ascii="宋体" w:hAnsi="宋体" w:eastAsia="宋体" w:cs="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9">
    <w:nsid w:val="70E0079F"/>
    <w:multiLevelType w:val="multilevel"/>
    <w:tmpl w:val="70E0079F"/>
    <w:lvl w:ilvl="0" w:tentative="0">
      <w:start w:val="4"/>
      <w:numFmt w:val="japaneseCounting"/>
      <w:pStyle w:val="192"/>
      <w:lvlText w:val="%1、"/>
      <w:lvlJc w:val="left"/>
      <w:pPr>
        <w:tabs>
          <w:tab w:val="left" w:pos="885"/>
        </w:tabs>
        <w:ind w:left="885" w:hanging="885"/>
      </w:pPr>
      <w:rPr>
        <w:rFonts w:hint="default"/>
        <w:sz w:val="4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766F4AFF"/>
    <w:multiLevelType w:val="multilevel"/>
    <w:tmpl w:val="766F4AFF"/>
    <w:lvl w:ilvl="0" w:tentative="0">
      <w:start w:val="1"/>
      <w:numFmt w:val="decimal"/>
      <w:pStyle w:val="213"/>
      <w:lvlText w:val="%1、"/>
      <w:lvlJc w:val="left"/>
      <w:pPr>
        <w:tabs>
          <w:tab w:val="left" w:pos="780"/>
        </w:tabs>
        <w:ind w:left="780" w:hanging="360"/>
      </w:pPr>
      <w:rPr>
        <w:rFonts w:ascii="Times New Roman" w:hAnsi="Times New Roman" w:eastAsia="Times New Roman" w:cs="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1">
    <w:nsid w:val="7968369F"/>
    <w:multiLevelType w:val="singleLevel"/>
    <w:tmpl w:val="7968369F"/>
    <w:lvl w:ilvl="0" w:tentative="0">
      <w:start w:val="1"/>
      <w:numFmt w:val="decimal"/>
      <w:suff w:val="nothing"/>
      <w:lvlText w:val="%1、"/>
      <w:lvlJc w:val="left"/>
      <w:pPr>
        <w:ind w:left="0" w:firstLine="0"/>
      </w:pPr>
      <w:rPr>
        <w:rFonts w:hint="default"/>
        <w:b w:val="0"/>
        <w:bCs w:val="0"/>
      </w:rPr>
    </w:lvl>
  </w:abstractNum>
  <w:num w:numId="1">
    <w:abstractNumId w:val="6"/>
  </w:num>
  <w:num w:numId="2">
    <w:abstractNumId w:val="4"/>
  </w:num>
  <w:num w:numId="3">
    <w:abstractNumId w:val="7"/>
  </w:num>
  <w:num w:numId="4">
    <w:abstractNumId w:val="5"/>
  </w:num>
  <w:num w:numId="5">
    <w:abstractNumId w:val="19"/>
  </w:num>
  <w:num w:numId="6">
    <w:abstractNumId w:val="16"/>
  </w:num>
  <w:num w:numId="7">
    <w:abstractNumId w:val="3"/>
  </w:num>
  <w:num w:numId="8">
    <w:abstractNumId w:val="20"/>
  </w:num>
  <w:num w:numId="9">
    <w:abstractNumId w:val="18"/>
  </w:num>
  <w:num w:numId="10">
    <w:abstractNumId w:val="10"/>
  </w:num>
  <w:num w:numId="11">
    <w:abstractNumId w:val="8"/>
  </w:num>
  <w:num w:numId="12">
    <w:abstractNumId w:val="11"/>
  </w:num>
  <w:num w:numId="13">
    <w:abstractNumId w:val="12"/>
  </w:num>
  <w:num w:numId="14">
    <w:abstractNumId w:val="9"/>
  </w:num>
  <w:num w:numId="15">
    <w:abstractNumId w:val="17"/>
  </w:num>
  <w:num w:numId="16">
    <w:abstractNumId w:val="13"/>
  </w:num>
  <w:num w:numId="17">
    <w:abstractNumId w:val="0"/>
  </w:num>
  <w:num w:numId="18">
    <w:abstractNumId w:val="2"/>
  </w:num>
  <w:num w:numId="19">
    <w:abstractNumId w:val="14"/>
  </w:num>
  <w:num w:numId="20">
    <w:abstractNumId w:val="15"/>
  </w:num>
  <w:num w:numId="21">
    <w:abstractNumId w:val="2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ZTg5MmI3NTg1ZmNjNjdiY2IzOTkyMmIxYTM5Y2QifQ=="/>
  </w:docVars>
  <w:rsids>
    <w:rsidRoot w:val="00AF11CB"/>
    <w:rsid w:val="00000A87"/>
    <w:rsid w:val="000010DB"/>
    <w:rsid w:val="000017B7"/>
    <w:rsid w:val="00001A6B"/>
    <w:rsid w:val="00001C13"/>
    <w:rsid w:val="00002AE5"/>
    <w:rsid w:val="00003D4A"/>
    <w:rsid w:val="00004B12"/>
    <w:rsid w:val="00005205"/>
    <w:rsid w:val="000057AD"/>
    <w:rsid w:val="000070A7"/>
    <w:rsid w:val="00010510"/>
    <w:rsid w:val="00011012"/>
    <w:rsid w:val="000111E7"/>
    <w:rsid w:val="00011F13"/>
    <w:rsid w:val="000126CC"/>
    <w:rsid w:val="00012D78"/>
    <w:rsid w:val="0001475B"/>
    <w:rsid w:val="0001583E"/>
    <w:rsid w:val="00016671"/>
    <w:rsid w:val="00016978"/>
    <w:rsid w:val="00016B96"/>
    <w:rsid w:val="00017EBE"/>
    <w:rsid w:val="000206A2"/>
    <w:rsid w:val="00020C41"/>
    <w:rsid w:val="00021D48"/>
    <w:rsid w:val="00021F2F"/>
    <w:rsid w:val="0002281B"/>
    <w:rsid w:val="000229BF"/>
    <w:rsid w:val="0002311D"/>
    <w:rsid w:val="00023714"/>
    <w:rsid w:val="00023E4E"/>
    <w:rsid w:val="00023EE1"/>
    <w:rsid w:val="00024A08"/>
    <w:rsid w:val="000252A2"/>
    <w:rsid w:val="00026E5D"/>
    <w:rsid w:val="000274BE"/>
    <w:rsid w:val="000277F0"/>
    <w:rsid w:val="00027D27"/>
    <w:rsid w:val="0003006E"/>
    <w:rsid w:val="00030B3A"/>
    <w:rsid w:val="000322E0"/>
    <w:rsid w:val="0003328C"/>
    <w:rsid w:val="00033C44"/>
    <w:rsid w:val="0003636F"/>
    <w:rsid w:val="000363A7"/>
    <w:rsid w:val="00036B88"/>
    <w:rsid w:val="00036E0E"/>
    <w:rsid w:val="00037624"/>
    <w:rsid w:val="0003797B"/>
    <w:rsid w:val="00037FAB"/>
    <w:rsid w:val="000410C2"/>
    <w:rsid w:val="00041AEB"/>
    <w:rsid w:val="00042915"/>
    <w:rsid w:val="000433E8"/>
    <w:rsid w:val="000437D2"/>
    <w:rsid w:val="000449F0"/>
    <w:rsid w:val="00047DE4"/>
    <w:rsid w:val="00047F1D"/>
    <w:rsid w:val="00050046"/>
    <w:rsid w:val="00050676"/>
    <w:rsid w:val="00050E58"/>
    <w:rsid w:val="000511DF"/>
    <w:rsid w:val="00051893"/>
    <w:rsid w:val="00054D4F"/>
    <w:rsid w:val="00054D65"/>
    <w:rsid w:val="00054EEC"/>
    <w:rsid w:val="000550FA"/>
    <w:rsid w:val="000603AD"/>
    <w:rsid w:val="00060488"/>
    <w:rsid w:val="000608DA"/>
    <w:rsid w:val="00061801"/>
    <w:rsid w:val="00061C4E"/>
    <w:rsid w:val="000628A3"/>
    <w:rsid w:val="00063B85"/>
    <w:rsid w:val="00065A29"/>
    <w:rsid w:val="000663D9"/>
    <w:rsid w:val="00066961"/>
    <w:rsid w:val="00067198"/>
    <w:rsid w:val="00067DFE"/>
    <w:rsid w:val="000703C5"/>
    <w:rsid w:val="00070B19"/>
    <w:rsid w:val="00071222"/>
    <w:rsid w:val="00071A8D"/>
    <w:rsid w:val="00071F58"/>
    <w:rsid w:val="00072AAF"/>
    <w:rsid w:val="00072D23"/>
    <w:rsid w:val="000737B3"/>
    <w:rsid w:val="000746A5"/>
    <w:rsid w:val="000753A6"/>
    <w:rsid w:val="00076CC9"/>
    <w:rsid w:val="0007749A"/>
    <w:rsid w:val="00080A36"/>
    <w:rsid w:val="00082372"/>
    <w:rsid w:val="000829A4"/>
    <w:rsid w:val="00082B35"/>
    <w:rsid w:val="000830CB"/>
    <w:rsid w:val="00083D5C"/>
    <w:rsid w:val="000843A5"/>
    <w:rsid w:val="00084D37"/>
    <w:rsid w:val="000854C1"/>
    <w:rsid w:val="00086467"/>
    <w:rsid w:val="00090FB9"/>
    <w:rsid w:val="000926DC"/>
    <w:rsid w:val="00092C6B"/>
    <w:rsid w:val="00092D76"/>
    <w:rsid w:val="0009321E"/>
    <w:rsid w:val="0009326A"/>
    <w:rsid w:val="00095CD1"/>
    <w:rsid w:val="00096733"/>
    <w:rsid w:val="0009755E"/>
    <w:rsid w:val="00097714"/>
    <w:rsid w:val="00097AD8"/>
    <w:rsid w:val="000A05E5"/>
    <w:rsid w:val="000A0601"/>
    <w:rsid w:val="000A2314"/>
    <w:rsid w:val="000A24C7"/>
    <w:rsid w:val="000A2673"/>
    <w:rsid w:val="000A3127"/>
    <w:rsid w:val="000A35F8"/>
    <w:rsid w:val="000A3652"/>
    <w:rsid w:val="000A52F7"/>
    <w:rsid w:val="000A53AC"/>
    <w:rsid w:val="000A55B8"/>
    <w:rsid w:val="000A5D65"/>
    <w:rsid w:val="000A70F9"/>
    <w:rsid w:val="000A7966"/>
    <w:rsid w:val="000B068E"/>
    <w:rsid w:val="000B1670"/>
    <w:rsid w:val="000B17A9"/>
    <w:rsid w:val="000B17BA"/>
    <w:rsid w:val="000B29C5"/>
    <w:rsid w:val="000B41D9"/>
    <w:rsid w:val="000B461F"/>
    <w:rsid w:val="000B70C6"/>
    <w:rsid w:val="000B7537"/>
    <w:rsid w:val="000B7634"/>
    <w:rsid w:val="000B7A79"/>
    <w:rsid w:val="000C0B2B"/>
    <w:rsid w:val="000C135A"/>
    <w:rsid w:val="000C2B7F"/>
    <w:rsid w:val="000C33A3"/>
    <w:rsid w:val="000C528A"/>
    <w:rsid w:val="000C63B0"/>
    <w:rsid w:val="000C680E"/>
    <w:rsid w:val="000C6CB7"/>
    <w:rsid w:val="000C762A"/>
    <w:rsid w:val="000D148A"/>
    <w:rsid w:val="000D19AD"/>
    <w:rsid w:val="000D23FA"/>
    <w:rsid w:val="000D333F"/>
    <w:rsid w:val="000D39CA"/>
    <w:rsid w:val="000D429C"/>
    <w:rsid w:val="000D4525"/>
    <w:rsid w:val="000D5076"/>
    <w:rsid w:val="000D689C"/>
    <w:rsid w:val="000D76C1"/>
    <w:rsid w:val="000D7756"/>
    <w:rsid w:val="000E1B06"/>
    <w:rsid w:val="000E1F2C"/>
    <w:rsid w:val="000E2324"/>
    <w:rsid w:val="000E24C1"/>
    <w:rsid w:val="000E2E87"/>
    <w:rsid w:val="000E303A"/>
    <w:rsid w:val="000E3D1C"/>
    <w:rsid w:val="000E4541"/>
    <w:rsid w:val="000E5F95"/>
    <w:rsid w:val="000E62BE"/>
    <w:rsid w:val="000E678B"/>
    <w:rsid w:val="000E76F7"/>
    <w:rsid w:val="000E7BC7"/>
    <w:rsid w:val="000F158B"/>
    <w:rsid w:val="000F1709"/>
    <w:rsid w:val="000F1F43"/>
    <w:rsid w:val="000F22A6"/>
    <w:rsid w:val="000F2A4D"/>
    <w:rsid w:val="000F33ED"/>
    <w:rsid w:val="000F5EA9"/>
    <w:rsid w:val="000F6604"/>
    <w:rsid w:val="000F7608"/>
    <w:rsid w:val="000F7898"/>
    <w:rsid w:val="000F7EBD"/>
    <w:rsid w:val="00100019"/>
    <w:rsid w:val="001007EB"/>
    <w:rsid w:val="001014ED"/>
    <w:rsid w:val="0010164C"/>
    <w:rsid w:val="00101650"/>
    <w:rsid w:val="00103533"/>
    <w:rsid w:val="00103D3D"/>
    <w:rsid w:val="00104641"/>
    <w:rsid w:val="00104F2E"/>
    <w:rsid w:val="001050D0"/>
    <w:rsid w:val="001058F1"/>
    <w:rsid w:val="00106892"/>
    <w:rsid w:val="00106E94"/>
    <w:rsid w:val="00107501"/>
    <w:rsid w:val="00107765"/>
    <w:rsid w:val="00107B70"/>
    <w:rsid w:val="00107D77"/>
    <w:rsid w:val="0011198D"/>
    <w:rsid w:val="001128A4"/>
    <w:rsid w:val="00112D0F"/>
    <w:rsid w:val="00112D31"/>
    <w:rsid w:val="001139F8"/>
    <w:rsid w:val="0011404F"/>
    <w:rsid w:val="0011545B"/>
    <w:rsid w:val="001155F5"/>
    <w:rsid w:val="00116678"/>
    <w:rsid w:val="00116982"/>
    <w:rsid w:val="001172C3"/>
    <w:rsid w:val="00117624"/>
    <w:rsid w:val="00117799"/>
    <w:rsid w:val="0011784D"/>
    <w:rsid w:val="001200AA"/>
    <w:rsid w:val="00120B34"/>
    <w:rsid w:val="00123659"/>
    <w:rsid w:val="00123C8C"/>
    <w:rsid w:val="00125648"/>
    <w:rsid w:val="00125B90"/>
    <w:rsid w:val="0012720A"/>
    <w:rsid w:val="00127297"/>
    <w:rsid w:val="001277FF"/>
    <w:rsid w:val="00127B3A"/>
    <w:rsid w:val="00127BD5"/>
    <w:rsid w:val="00127ED1"/>
    <w:rsid w:val="001306F0"/>
    <w:rsid w:val="00130C94"/>
    <w:rsid w:val="00130D92"/>
    <w:rsid w:val="00131514"/>
    <w:rsid w:val="00131963"/>
    <w:rsid w:val="00131B57"/>
    <w:rsid w:val="00131C5C"/>
    <w:rsid w:val="0013252A"/>
    <w:rsid w:val="00133788"/>
    <w:rsid w:val="00133A4E"/>
    <w:rsid w:val="001348F6"/>
    <w:rsid w:val="00134E75"/>
    <w:rsid w:val="00134FDF"/>
    <w:rsid w:val="001354D6"/>
    <w:rsid w:val="00135F24"/>
    <w:rsid w:val="001369D0"/>
    <w:rsid w:val="0013751F"/>
    <w:rsid w:val="00137623"/>
    <w:rsid w:val="00137ADA"/>
    <w:rsid w:val="00141DE0"/>
    <w:rsid w:val="00142B11"/>
    <w:rsid w:val="00142DE0"/>
    <w:rsid w:val="00142ED4"/>
    <w:rsid w:val="00143FA4"/>
    <w:rsid w:val="001442A1"/>
    <w:rsid w:val="00144D93"/>
    <w:rsid w:val="00144ECF"/>
    <w:rsid w:val="00145CA4"/>
    <w:rsid w:val="00146559"/>
    <w:rsid w:val="0014775B"/>
    <w:rsid w:val="00150A9A"/>
    <w:rsid w:val="0015109F"/>
    <w:rsid w:val="00152515"/>
    <w:rsid w:val="0015356C"/>
    <w:rsid w:val="00154154"/>
    <w:rsid w:val="001541B2"/>
    <w:rsid w:val="001541CD"/>
    <w:rsid w:val="0015492A"/>
    <w:rsid w:val="00154E43"/>
    <w:rsid w:val="00155853"/>
    <w:rsid w:val="00155ABF"/>
    <w:rsid w:val="00155CC7"/>
    <w:rsid w:val="00156151"/>
    <w:rsid w:val="001564A7"/>
    <w:rsid w:val="00156801"/>
    <w:rsid w:val="00156F2B"/>
    <w:rsid w:val="00160178"/>
    <w:rsid w:val="001616F4"/>
    <w:rsid w:val="001617BA"/>
    <w:rsid w:val="00161B33"/>
    <w:rsid w:val="0016243A"/>
    <w:rsid w:val="00165552"/>
    <w:rsid w:val="00165B3C"/>
    <w:rsid w:val="00166448"/>
    <w:rsid w:val="00166F07"/>
    <w:rsid w:val="00167968"/>
    <w:rsid w:val="001679E5"/>
    <w:rsid w:val="00167FD9"/>
    <w:rsid w:val="00170238"/>
    <w:rsid w:val="00172339"/>
    <w:rsid w:val="0017268F"/>
    <w:rsid w:val="00173B13"/>
    <w:rsid w:val="001744CB"/>
    <w:rsid w:val="00174A24"/>
    <w:rsid w:val="00175B5D"/>
    <w:rsid w:val="00176986"/>
    <w:rsid w:val="00176FF8"/>
    <w:rsid w:val="00180E7A"/>
    <w:rsid w:val="00180F7B"/>
    <w:rsid w:val="00181022"/>
    <w:rsid w:val="0018174D"/>
    <w:rsid w:val="001826C4"/>
    <w:rsid w:val="001838AC"/>
    <w:rsid w:val="00183E11"/>
    <w:rsid w:val="00185A46"/>
    <w:rsid w:val="00185FE2"/>
    <w:rsid w:val="0018787B"/>
    <w:rsid w:val="0018793F"/>
    <w:rsid w:val="00187D65"/>
    <w:rsid w:val="00190A76"/>
    <w:rsid w:val="00191D8A"/>
    <w:rsid w:val="00191DF8"/>
    <w:rsid w:val="00191F44"/>
    <w:rsid w:val="00192294"/>
    <w:rsid w:val="001923F1"/>
    <w:rsid w:val="0019272C"/>
    <w:rsid w:val="00192971"/>
    <w:rsid w:val="00192AA1"/>
    <w:rsid w:val="00193885"/>
    <w:rsid w:val="0019393B"/>
    <w:rsid w:val="001940E5"/>
    <w:rsid w:val="00195199"/>
    <w:rsid w:val="0019632B"/>
    <w:rsid w:val="00197F75"/>
    <w:rsid w:val="001A007B"/>
    <w:rsid w:val="001A1120"/>
    <w:rsid w:val="001A1AB4"/>
    <w:rsid w:val="001A2770"/>
    <w:rsid w:val="001A3D45"/>
    <w:rsid w:val="001A401D"/>
    <w:rsid w:val="001A6783"/>
    <w:rsid w:val="001A67B9"/>
    <w:rsid w:val="001A7E35"/>
    <w:rsid w:val="001B034E"/>
    <w:rsid w:val="001B22E4"/>
    <w:rsid w:val="001B515E"/>
    <w:rsid w:val="001B5232"/>
    <w:rsid w:val="001B603E"/>
    <w:rsid w:val="001B63B5"/>
    <w:rsid w:val="001B6A86"/>
    <w:rsid w:val="001B7CFE"/>
    <w:rsid w:val="001C0125"/>
    <w:rsid w:val="001C16FE"/>
    <w:rsid w:val="001C25DE"/>
    <w:rsid w:val="001C2807"/>
    <w:rsid w:val="001C507F"/>
    <w:rsid w:val="001C64D2"/>
    <w:rsid w:val="001C6729"/>
    <w:rsid w:val="001C7045"/>
    <w:rsid w:val="001C719B"/>
    <w:rsid w:val="001C74FA"/>
    <w:rsid w:val="001C7684"/>
    <w:rsid w:val="001C7EE6"/>
    <w:rsid w:val="001C7FF3"/>
    <w:rsid w:val="001D0315"/>
    <w:rsid w:val="001D0537"/>
    <w:rsid w:val="001D0FAD"/>
    <w:rsid w:val="001D25E8"/>
    <w:rsid w:val="001D2B08"/>
    <w:rsid w:val="001D39C0"/>
    <w:rsid w:val="001D485C"/>
    <w:rsid w:val="001D491D"/>
    <w:rsid w:val="001D6402"/>
    <w:rsid w:val="001D761A"/>
    <w:rsid w:val="001D7DF1"/>
    <w:rsid w:val="001E1C93"/>
    <w:rsid w:val="001E2642"/>
    <w:rsid w:val="001E3767"/>
    <w:rsid w:val="001E4859"/>
    <w:rsid w:val="001E5210"/>
    <w:rsid w:val="001E5475"/>
    <w:rsid w:val="001E55F6"/>
    <w:rsid w:val="001E6B35"/>
    <w:rsid w:val="001F0269"/>
    <w:rsid w:val="001F06F7"/>
    <w:rsid w:val="001F0EC0"/>
    <w:rsid w:val="001F1478"/>
    <w:rsid w:val="001F15B8"/>
    <w:rsid w:val="001F1731"/>
    <w:rsid w:val="001F2759"/>
    <w:rsid w:val="001F35AA"/>
    <w:rsid w:val="001F3BFA"/>
    <w:rsid w:val="001F440C"/>
    <w:rsid w:val="001F4814"/>
    <w:rsid w:val="001F5772"/>
    <w:rsid w:val="001F57F4"/>
    <w:rsid w:val="001F581B"/>
    <w:rsid w:val="001F62B8"/>
    <w:rsid w:val="001F63DC"/>
    <w:rsid w:val="001F671A"/>
    <w:rsid w:val="001F7AE2"/>
    <w:rsid w:val="001F7CDC"/>
    <w:rsid w:val="0020069D"/>
    <w:rsid w:val="00200B0B"/>
    <w:rsid w:val="00200CF9"/>
    <w:rsid w:val="002019DC"/>
    <w:rsid w:val="00202AC4"/>
    <w:rsid w:val="00203649"/>
    <w:rsid w:val="002042C0"/>
    <w:rsid w:val="002055ED"/>
    <w:rsid w:val="00205760"/>
    <w:rsid w:val="002063C7"/>
    <w:rsid w:val="00207001"/>
    <w:rsid w:val="00210D98"/>
    <w:rsid w:val="00210E0C"/>
    <w:rsid w:val="00211487"/>
    <w:rsid w:val="00211A5D"/>
    <w:rsid w:val="00211D69"/>
    <w:rsid w:val="002127B9"/>
    <w:rsid w:val="00212E4E"/>
    <w:rsid w:val="0021322D"/>
    <w:rsid w:val="0021380F"/>
    <w:rsid w:val="00214009"/>
    <w:rsid w:val="00214FAA"/>
    <w:rsid w:val="00215114"/>
    <w:rsid w:val="0021592E"/>
    <w:rsid w:val="00216739"/>
    <w:rsid w:val="002167B4"/>
    <w:rsid w:val="002169DC"/>
    <w:rsid w:val="00216F86"/>
    <w:rsid w:val="00220CFF"/>
    <w:rsid w:val="00221F0A"/>
    <w:rsid w:val="002222B3"/>
    <w:rsid w:val="002228B0"/>
    <w:rsid w:val="00222BD1"/>
    <w:rsid w:val="00222F55"/>
    <w:rsid w:val="00224159"/>
    <w:rsid w:val="00227813"/>
    <w:rsid w:val="00227B14"/>
    <w:rsid w:val="0023000E"/>
    <w:rsid w:val="0023100A"/>
    <w:rsid w:val="00231D1F"/>
    <w:rsid w:val="00231F72"/>
    <w:rsid w:val="0023222C"/>
    <w:rsid w:val="0023296C"/>
    <w:rsid w:val="00233527"/>
    <w:rsid w:val="002350CC"/>
    <w:rsid w:val="00236241"/>
    <w:rsid w:val="002363FF"/>
    <w:rsid w:val="002368FF"/>
    <w:rsid w:val="002370A4"/>
    <w:rsid w:val="002379B9"/>
    <w:rsid w:val="00237A0D"/>
    <w:rsid w:val="0024017B"/>
    <w:rsid w:val="002408E9"/>
    <w:rsid w:val="00240E8B"/>
    <w:rsid w:val="00241977"/>
    <w:rsid w:val="0024249A"/>
    <w:rsid w:val="00242632"/>
    <w:rsid w:val="00243A99"/>
    <w:rsid w:val="00244446"/>
    <w:rsid w:val="00244D3E"/>
    <w:rsid w:val="0024515E"/>
    <w:rsid w:val="002454CE"/>
    <w:rsid w:val="00245B8C"/>
    <w:rsid w:val="00246AD2"/>
    <w:rsid w:val="00246C95"/>
    <w:rsid w:val="00246DF9"/>
    <w:rsid w:val="00247B49"/>
    <w:rsid w:val="00252355"/>
    <w:rsid w:val="00253D4B"/>
    <w:rsid w:val="0025532C"/>
    <w:rsid w:val="00256A94"/>
    <w:rsid w:val="00256E93"/>
    <w:rsid w:val="00257467"/>
    <w:rsid w:val="00257489"/>
    <w:rsid w:val="002578BB"/>
    <w:rsid w:val="0026053D"/>
    <w:rsid w:val="002606C0"/>
    <w:rsid w:val="00260D35"/>
    <w:rsid w:val="00262821"/>
    <w:rsid w:val="00262B05"/>
    <w:rsid w:val="002637C6"/>
    <w:rsid w:val="002647F8"/>
    <w:rsid w:val="002648EB"/>
    <w:rsid w:val="00264B98"/>
    <w:rsid w:val="00264C02"/>
    <w:rsid w:val="002653AC"/>
    <w:rsid w:val="0027030F"/>
    <w:rsid w:val="002706D4"/>
    <w:rsid w:val="00270980"/>
    <w:rsid w:val="00271408"/>
    <w:rsid w:val="00271775"/>
    <w:rsid w:val="002717C7"/>
    <w:rsid w:val="0027196E"/>
    <w:rsid w:val="00271D44"/>
    <w:rsid w:val="0027201C"/>
    <w:rsid w:val="00274FDD"/>
    <w:rsid w:val="002752D3"/>
    <w:rsid w:val="002754E9"/>
    <w:rsid w:val="002755DD"/>
    <w:rsid w:val="00275C0F"/>
    <w:rsid w:val="00276263"/>
    <w:rsid w:val="00276E6E"/>
    <w:rsid w:val="00280D21"/>
    <w:rsid w:val="002810BE"/>
    <w:rsid w:val="00282972"/>
    <w:rsid w:val="002829F9"/>
    <w:rsid w:val="00282D17"/>
    <w:rsid w:val="002831F8"/>
    <w:rsid w:val="00284573"/>
    <w:rsid w:val="0028466C"/>
    <w:rsid w:val="00285BE3"/>
    <w:rsid w:val="00286202"/>
    <w:rsid w:val="002874EA"/>
    <w:rsid w:val="0029068E"/>
    <w:rsid w:val="00291B6E"/>
    <w:rsid w:val="0029225F"/>
    <w:rsid w:val="002924F1"/>
    <w:rsid w:val="00292911"/>
    <w:rsid w:val="002929EE"/>
    <w:rsid w:val="002939E4"/>
    <w:rsid w:val="00293C05"/>
    <w:rsid w:val="00294E43"/>
    <w:rsid w:val="002966B7"/>
    <w:rsid w:val="00297A6A"/>
    <w:rsid w:val="00297D60"/>
    <w:rsid w:val="00297DDD"/>
    <w:rsid w:val="002A042D"/>
    <w:rsid w:val="002A051B"/>
    <w:rsid w:val="002A0874"/>
    <w:rsid w:val="002A36FF"/>
    <w:rsid w:val="002A4116"/>
    <w:rsid w:val="002A45CC"/>
    <w:rsid w:val="002A4769"/>
    <w:rsid w:val="002A479D"/>
    <w:rsid w:val="002A4EEA"/>
    <w:rsid w:val="002A571C"/>
    <w:rsid w:val="002A6681"/>
    <w:rsid w:val="002A7576"/>
    <w:rsid w:val="002B00D3"/>
    <w:rsid w:val="002B098B"/>
    <w:rsid w:val="002B25A1"/>
    <w:rsid w:val="002B27A4"/>
    <w:rsid w:val="002B2803"/>
    <w:rsid w:val="002B2C23"/>
    <w:rsid w:val="002B2CC7"/>
    <w:rsid w:val="002B35C5"/>
    <w:rsid w:val="002B36D5"/>
    <w:rsid w:val="002B3A02"/>
    <w:rsid w:val="002B3AF0"/>
    <w:rsid w:val="002B4459"/>
    <w:rsid w:val="002B57D1"/>
    <w:rsid w:val="002B5D64"/>
    <w:rsid w:val="002B5EBB"/>
    <w:rsid w:val="002B6712"/>
    <w:rsid w:val="002B688E"/>
    <w:rsid w:val="002B6ED0"/>
    <w:rsid w:val="002C0F73"/>
    <w:rsid w:val="002C1B1E"/>
    <w:rsid w:val="002C1F2E"/>
    <w:rsid w:val="002C3288"/>
    <w:rsid w:val="002C4262"/>
    <w:rsid w:val="002C4A4C"/>
    <w:rsid w:val="002C4CC2"/>
    <w:rsid w:val="002C4D8A"/>
    <w:rsid w:val="002C4E1D"/>
    <w:rsid w:val="002C51BB"/>
    <w:rsid w:val="002C54E3"/>
    <w:rsid w:val="002C5C4A"/>
    <w:rsid w:val="002C76C2"/>
    <w:rsid w:val="002D0169"/>
    <w:rsid w:val="002D16DC"/>
    <w:rsid w:val="002D295A"/>
    <w:rsid w:val="002D4085"/>
    <w:rsid w:val="002D5F6C"/>
    <w:rsid w:val="002D6053"/>
    <w:rsid w:val="002D6390"/>
    <w:rsid w:val="002D7454"/>
    <w:rsid w:val="002D74EA"/>
    <w:rsid w:val="002D7A27"/>
    <w:rsid w:val="002E01C1"/>
    <w:rsid w:val="002E12B6"/>
    <w:rsid w:val="002E1C37"/>
    <w:rsid w:val="002E23F3"/>
    <w:rsid w:val="002E2A90"/>
    <w:rsid w:val="002E2BC8"/>
    <w:rsid w:val="002E3073"/>
    <w:rsid w:val="002E360E"/>
    <w:rsid w:val="002E3A66"/>
    <w:rsid w:val="002E3AA1"/>
    <w:rsid w:val="002E57EC"/>
    <w:rsid w:val="002E5C2B"/>
    <w:rsid w:val="002E73E2"/>
    <w:rsid w:val="002E75EC"/>
    <w:rsid w:val="002E797B"/>
    <w:rsid w:val="002E7D5E"/>
    <w:rsid w:val="002E7EE8"/>
    <w:rsid w:val="002F20CE"/>
    <w:rsid w:val="002F3049"/>
    <w:rsid w:val="002F33BB"/>
    <w:rsid w:val="002F38CC"/>
    <w:rsid w:val="002F3E19"/>
    <w:rsid w:val="002F3E4D"/>
    <w:rsid w:val="002F3FAC"/>
    <w:rsid w:val="002F57C9"/>
    <w:rsid w:val="002F5AAA"/>
    <w:rsid w:val="002F5EE2"/>
    <w:rsid w:val="002F6457"/>
    <w:rsid w:val="002F7CCA"/>
    <w:rsid w:val="002F7D4D"/>
    <w:rsid w:val="00303C9D"/>
    <w:rsid w:val="00304179"/>
    <w:rsid w:val="003057A2"/>
    <w:rsid w:val="00305945"/>
    <w:rsid w:val="00305B3F"/>
    <w:rsid w:val="00305E71"/>
    <w:rsid w:val="0030730A"/>
    <w:rsid w:val="00307AEA"/>
    <w:rsid w:val="00307BBD"/>
    <w:rsid w:val="003104AE"/>
    <w:rsid w:val="00310B7F"/>
    <w:rsid w:val="0031181F"/>
    <w:rsid w:val="00311CB1"/>
    <w:rsid w:val="0031275F"/>
    <w:rsid w:val="003128C5"/>
    <w:rsid w:val="00313134"/>
    <w:rsid w:val="00313135"/>
    <w:rsid w:val="003133BE"/>
    <w:rsid w:val="0031526F"/>
    <w:rsid w:val="0031562B"/>
    <w:rsid w:val="00317175"/>
    <w:rsid w:val="00317F5F"/>
    <w:rsid w:val="003202BF"/>
    <w:rsid w:val="00324E8A"/>
    <w:rsid w:val="00325C7A"/>
    <w:rsid w:val="00326028"/>
    <w:rsid w:val="0032617E"/>
    <w:rsid w:val="00326E70"/>
    <w:rsid w:val="003274AF"/>
    <w:rsid w:val="00330704"/>
    <w:rsid w:val="00330FC1"/>
    <w:rsid w:val="0033116C"/>
    <w:rsid w:val="003312F8"/>
    <w:rsid w:val="00331590"/>
    <w:rsid w:val="003317C2"/>
    <w:rsid w:val="00331CC2"/>
    <w:rsid w:val="0033213D"/>
    <w:rsid w:val="003336DD"/>
    <w:rsid w:val="00333E25"/>
    <w:rsid w:val="0033512A"/>
    <w:rsid w:val="0033513C"/>
    <w:rsid w:val="003352CE"/>
    <w:rsid w:val="00335686"/>
    <w:rsid w:val="00335C0C"/>
    <w:rsid w:val="00336BD3"/>
    <w:rsid w:val="00336F23"/>
    <w:rsid w:val="00337683"/>
    <w:rsid w:val="00337E33"/>
    <w:rsid w:val="00340CA1"/>
    <w:rsid w:val="003410DD"/>
    <w:rsid w:val="00341518"/>
    <w:rsid w:val="00342374"/>
    <w:rsid w:val="0034265E"/>
    <w:rsid w:val="00342FB6"/>
    <w:rsid w:val="00343581"/>
    <w:rsid w:val="003437CA"/>
    <w:rsid w:val="00344B08"/>
    <w:rsid w:val="00344B7E"/>
    <w:rsid w:val="00346D17"/>
    <w:rsid w:val="00347145"/>
    <w:rsid w:val="00347466"/>
    <w:rsid w:val="00347CC9"/>
    <w:rsid w:val="00350A0D"/>
    <w:rsid w:val="00351630"/>
    <w:rsid w:val="00351901"/>
    <w:rsid w:val="00351DEA"/>
    <w:rsid w:val="0035204A"/>
    <w:rsid w:val="003520BB"/>
    <w:rsid w:val="003523EE"/>
    <w:rsid w:val="00352767"/>
    <w:rsid w:val="00354447"/>
    <w:rsid w:val="0035487F"/>
    <w:rsid w:val="00356651"/>
    <w:rsid w:val="00356ECA"/>
    <w:rsid w:val="00357124"/>
    <w:rsid w:val="003574DD"/>
    <w:rsid w:val="00361C73"/>
    <w:rsid w:val="0036246C"/>
    <w:rsid w:val="003627A9"/>
    <w:rsid w:val="003644F1"/>
    <w:rsid w:val="00364FB5"/>
    <w:rsid w:val="003655F3"/>
    <w:rsid w:val="003657FE"/>
    <w:rsid w:val="003658B6"/>
    <w:rsid w:val="00365923"/>
    <w:rsid w:val="00365F45"/>
    <w:rsid w:val="003676B2"/>
    <w:rsid w:val="0036776C"/>
    <w:rsid w:val="00370481"/>
    <w:rsid w:val="00371184"/>
    <w:rsid w:val="0037227E"/>
    <w:rsid w:val="00372A27"/>
    <w:rsid w:val="00373892"/>
    <w:rsid w:val="00374FEC"/>
    <w:rsid w:val="003760F6"/>
    <w:rsid w:val="0037621D"/>
    <w:rsid w:val="00376BF7"/>
    <w:rsid w:val="00376F21"/>
    <w:rsid w:val="00377A76"/>
    <w:rsid w:val="0038055D"/>
    <w:rsid w:val="00380E38"/>
    <w:rsid w:val="00381628"/>
    <w:rsid w:val="00381784"/>
    <w:rsid w:val="003824E2"/>
    <w:rsid w:val="00382D32"/>
    <w:rsid w:val="00383A30"/>
    <w:rsid w:val="0038400B"/>
    <w:rsid w:val="0038493E"/>
    <w:rsid w:val="00386229"/>
    <w:rsid w:val="003862B1"/>
    <w:rsid w:val="00387FC5"/>
    <w:rsid w:val="00390B69"/>
    <w:rsid w:val="00390F25"/>
    <w:rsid w:val="00393521"/>
    <w:rsid w:val="00393D03"/>
    <w:rsid w:val="00394C91"/>
    <w:rsid w:val="00394DB3"/>
    <w:rsid w:val="0039657A"/>
    <w:rsid w:val="0039702C"/>
    <w:rsid w:val="003A270E"/>
    <w:rsid w:val="003A2D28"/>
    <w:rsid w:val="003A2DE9"/>
    <w:rsid w:val="003A3160"/>
    <w:rsid w:val="003A42B1"/>
    <w:rsid w:val="003A4E52"/>
    <w:rsid w:val="003B10F5"/>
    <w:rsid w:val="003B157F"/>
    <w:rsid w:val="003B1809"/>
    <w:rsid w:val="003B28EF"/>
    <w:rsid w:val="003B2A5A"/>
    <w:rsid w:val="003B32C9"/>
    <w:rsid w:val="003B3443"/>
    <w:rsid w:val="003B350C"/>
    <w:rsid w:val="003B352F"/>
    <w:rsid w:val="003B3F08"/>
    <w:rsid w:val="003B4D9E"/>
    <w:rsid w:val="003B522B"/>
    <w:rsid w:val="003B53C8"/>
    <w:rsid w:val="003B5A23"/>
    <w:rsid w:val="003B6D6E"/>
    <w:rsid w:val="003C08BA"/>
    <w:rsid w:val="003C0AA3"/>
    <w:rsid w:val="003C15D8"/>
    <w:rsid w:val="003C2582"/>
    <w:rsid w:val="003C4A8A"/>
    <w:rsid w:val="003C4E34"/>
    <w:rsid w:val="003C6C3A"/>
    <w:rsid w:val="003C75B7"/>
    <w:rsid w:val="003D0000"/>
    <w:rsid w:val="003D0B1B"/>
    <w:rsid w:val="003D0B8D"/>
    <w:rsid w:val="003D1247"/>
    <w:rsid w:val="003D1786"/>
    <w:rsid w:val="003D1BE2"/>
    <w:rsid w:val="003D6E41"/>
    <w:rsid w:val="003D7272"/>
    <w:rsid w:val="003D754B"/>
    <w:rsid w:val="003D7865"/>
    <w:rsid w:val="003D7A93"/>
    <w:rsid w:val="003E06B0"/>
    <w:rsid w:val="003E15C3"/>
    <w:rsid w:val="003E18B4"/>
    <w:rsid w:val="003E254F"/>
    <w:rsid w:val="003E2D15"/>
    <w:rsid w:val="003E2F09"/>
    <w:rsid w:val="003E3291"/>
    <w:rsid w:val="003E430C"/>
    <w:rsid w:val="003E5981"/>
    <w:rsid w:val="003E76FA"/>
    <w:rsid w:val="003E7868"/>
    <w:rsid w:val="003F0714"/>
    <w:rsid w:val="003F1BAD"/>
    <w:rsid w:val="003F2746"/>
    <w:rsid w:val="003F27DA"/>
    <w:rsid w:val="003F33A4"/>
    <w:rsid w:val="003F36C3"/>
    <w:rsid w:val="003F4BBC"/>
    <w:rsid w:val="003F5729"/>
    <w:rsid w:val="003F6241"/>
    <w:rsid w:val="003F680C"/>
    <w:rsid w:val="003F6C51"/>
    <w:rsid w:val="003F75E2"/>
    <w:rsid w:val="003F77C2"/>
    <w:rsid w:val="003F791C"/>
    <w:rsid w:val="004004EF"/>
    <w:rsid w:val="00402AC5"/>
    <w:rsid w:val="0040309B"/>
    <w:rsid w:val="00405A61"/>
    <w:rsid w:val="00405ACE"/>
    <w:rsid w:val="004068B0"/>
    <w:rsid w:val="0040690B"/>
    <w:rsid w:val="004072EC"/>
    <w:rsid w:val="0041093C"/>
    <w:rsid w:val="00411490"/>
    <w:rsid w:val="00411A45"/>
    <w:rsid w:val="00412C3B"/>
    <w:rsid w:val="00413C3B"/>
    <w:rsid w:val="00413D22"/>
    <w:rsid w:val="00413D6D"/>
    <w:rsid w:val="00413DBB"/>
    <w:rsid w:val="00414DFA"/>
    <w:rsid w:val="00415FC4"/>
    <w:rsid w:val="00416C7E"/>
    <w:rsid w:val="004174D7"/>
    <w:rsid w:val="00421837"/>
    <w:rsid w:val="00421A6B"/>
    <w:rsid w:val="004224B3"/>
    <w:rsid w:val="004234FA"/>
    <w:rsid w:val="00423DFD"/>
    <w:rsid w:val="00424A9D"/>
    <w:rsid w:val="00425E4D"/>
    <w:rsid w:val="0042711B"/>
    <w:rsid w:val="0042763E"/>
    <w:rsid w:val="004276BB"/>
    <w:rsid w:val="004277D7"/>
    <w:rsid w:val="00430907"/>
    <w:rsid w:val="0043262F"/>
    <w:rsid w:val="00432FEE"/>
    <w:rsid w:val="00433287"/>
    <w:rsid w:val="00433BF0"/>
    <w:rsid w:val="004347F1"/>
    <w:rsid w:val="004364C6"/>
    <w:rsid w:val="00436AE2"/>
    <w:rsid w:val="00436CA2"/>
    <w:rsid w:val="00437093"/>
    <w:rsid w:val="00437267"/>
    <w:rsid w:val="004372E3"/>
    <w:rsid w:val="004401D5"/>
    <w:rsid w:val="00440C23"/>
    <w:rsid w:val="0044154D"/>
    <w:rsid w:val="0044157A"/>
    <w:rsid w:val="00441981"/>
    <w:rsid w:val="00442A98"/>
    <w:rsid w:val="00442A9F"/>
    <w:rsid w:val="00442BCD"/>
    <w:rsid w:val="004446CE"/>
    <w:rsid w:val="00444C51"/>
    <w:rsid w:val="00445186"/>
    <w:rsid w:val="004459F6"/>
    <w:rsid w:val="00445D22"/>
    <w:rsid w:val="00447D19"/>
    <w:rsid w:val="0045039B"/>
    <w:rsid w:val="004504CE"/>
    <w:rsid w:val="004505D9"/>
    <w:rsid w:val="00450657"/>
    <w:rsid w:val="004515D3"/>
    <w:rsid w:val="004526DB"/>
    <w:rsid w:val="00453540"/>
    <w:rsid w:val="00453E24"/>
    <w:rsid w:val="00455424"/>
    <w:rsid w:val="004556D8"/>
    <w:rsid w:val="00456214"/>
    <w:rsid w:val="004566FA"/>
    <w:rsid w:val="0045746F"/>
    <w:rsid w:val="004574F0"/>
    <w:rsid w:val="0045759F"/>
    <w:rsid w:val="004578EF"/>
    <w:rsid w:val="00461910"/>
    <w:rsid w:val="0046247C"/>
    <w:rsid w:val="0046287B"/>
    <w:rsid w:val="0046326B"/>
    <w:rsid w:val="00463B46"/>
    <w:rsid w:val="00464EF9"/>
    <w:rsid w:val="004651EE"/>
    <w:rsid w:val="004653FB"/>
    <w:rsid w:val="00465A5B"/>
    <w:rsid w:val="00465EE7"/>
    <w:rsid w:val="0046654E"/>
    <w:rsid w:val="00466895"/>
    <w:rsid w:val="00466E3F"/>
    <w:rsid w:val="004670D5"/>
    <w:rsid w:val="00467766"/>
    <w:rsid w:val="004678A2"/>
    <w:rsid w:val="00467D27"/>
    <w:rsid w:val="00470821"/>
    <w:rsid w:val="00470879"/>
    <w:rsid w:val="00472875"/>
    <w:rsid w:val="00473633"/>
    <w:rsid w:val="00473944"/>
    <w:rsid w:val="0047406B"/>
    <w:rsid w:val="0047617E"/>
    <w:rsid w:val="0047644A"/>
    <w:rsid w:val="004764B0"/>
    <w:rsid w:val="00476C33"/>
    <w:rsid w:val="004817D9"/>
    <w:rsid w:val="00481B32"/>
    <w:rsid w:val="00481D8C"/>
    <w:rsid w:val="00482A83"/>
    <w:rsid w:val="00482DDF"/>
    <w:rsid w:val="00482E0D"/>
    <w:rsid w:val="0048384C"/>
    <w:rsid w:val="004857AF"/>
    <w:rsid w:val="0048661F"/>
    <w:rsid w:val="00486A18"/>
    <w:rsid w:val="0048734C"/>
    <w:rsid w:val="00487494"/>
    <w:rsid w:val="004877E4"/>
    <w:rsid w:val="00487FA2"/>
    <w:rsid w:val="00490892"/>
    <w:rsid w:val="00490E82"/>
    <w:rsid w:val="004916F5"/>
    <w:rsid w:val="004918E8"/>
    <w:rsid w:val="00491A3B"/>
    <w:rsid w:val="0049388C"/>
    <w:rsid w:val="00495FA2"/>
    <w:rsid w:val="0049610C"/>
    <w:rsid w:val="00496AF3"/>
    <w:rsid w:val="004976E3"/>
    <w:rsid w:val="00497AD3"/>
    <w:rsid w:val="004A02EB"/>
    <w:rsid w:val="004A0A68"/>
    <w:rsid w:val="004A0A8E"/>
    <w:rsid w:val="004A133E"/>
    <w:rsid w:val="004A4231"/>
    <w:rsid w:val="004A4396"/>
    <w:rsid w:val="004A4C23"/>
    <w:rsid w:val="004A514D"/>
    <w:rsid w:val="004A5537"/>
    <w:rsid w:val="004A58B5"/>
    <w:rsid w:val="004A59B5"/>
    <w:rsid w:val="004A5E7E"/>
    <w:rsid w:val="004A60CC"/>
    <w:rsid w:val="004A6A44"/>
    <w:rsid w:val="004A7765"/>
    <w:rsid w:val="004A7BB4"/>
    <w:rsid w:val="004B1441"/>
    <w:rsid w:val="004B156E"/>
    <w:rsid w:val="004B36AA"/>
    <w:rsid w:val="004B3804"/>
    <w:rsid w:val="004B4E31"/>
    <w:rsid w:val="004B58FB"/>
    <w:rsid w:val="004B5991"/>
    <w:rsid w:val="004B5A2E"/>
    <w:rsid w:val="004B6071"/>
    <w:rsid w:val="004B65FF"/>
    <w:rsid w:val="004B6CBB"/>
    <w:rsid w:val="004B769C"/>
    <w:rsid w:val="004B7E52"/>
    <w:rsid w:val="004C0EF9"/>
    <w:rsid w:val="004C0F1C"/>
    <w:rsid w:val="004C1B33"/>
    <w:rsid w:val="004C20BB"/>
    <w:rsid w:val="004C2198"/>
    <w:rsid w:val="004C31A9"/>
    <w:rsid w:val="004C3588"/>
    <w:rsid w:val="004C3C35"/>
    <w:rsid w:val="004C3FE4"/>
    <w:rsid w:val="004C63BB"/>
    <w:rsid w:val="004C6839"/>
    <w:rsid w:val="004C7A07"/>
    <w:rsid w:val="004D0A23"/>
    <w:rsid w:val="004D11A2"/>
    <w:rsid w:val="004D1E84"/>
    <w:rsid w:val="004D52A4"/>
    <w:rsid w:val="004D5723"/>
    <w:rsid w:val="004D5BF2"/>
    <w:rsid w:val="004D5E4B"/>
    <w:rsid w:val="004D608A"/>
    <w:rsid w:val="004D70BC"/>
    <w:rsid w:val="004D7400"/>
    <w:rsid w:val="004E20A9"/>
    <w:rsid w:val="004E2246"/>
    <w:rsid w:val="004E23DA"/>
    <w:rsid w:val="004E2B2E"/>
    <w:rsid w:val="004E337C"/>
    <w:rsid w:val="004E4896"/>
    <w:rsid w:val="004E5076"/>
    <w:rsid w:val="004E5FCC"/>
    <w:rsid w:val="004E613B"/>
    <w:rsid w:val="004E652B"/>
    <w:rsid w:val="004E688F"/>
    <w:rsid w:val="004E6DDA"/>
    <w:rsid w:val="004F00E2"/>
    <w:rsid w:val="004F05C8"/>
    <w:rsid w:val="004F09DC"/>
    <w:rsid w:val="004F1124"/>
    <w:rsid w:val="004F1208"/>
    <w:rsid w:val="004F1501"/>
    <w:rsid w:val="004F23AE"/>
    <w:rsid w:val="004F25B9"/>
    <w:rsid w:val="004F29E2"/>
    <w:rsid w:val="004F2E08"/>
    <w:rsid w:val="004F38D6"/>
    <w:rsid w:val="004F3E65"/>
    <w:rsid w:val="004F44D1"/>
    <w:rsid w:val="004F4A11"/>
    <w:rsid w:val="004F502E"/>
    <w:rsid w:val="004F5D14"/>
    <w:rsid w:val="004F6460"/>
    <w:rsid w:val="004F6BFD"/>
    <w:rsid w:val="00500319"/>
    <w:rsid w:val="0050275B"/>
    <w:rsid w:val="00502A80"/>
    <w:rsid w:val="00504782"/>
    <w:rsid w:val="00504D2F"/>
    <w:rsid w:val="0050530F"/>
    <w:rsid w:val="00505AB6"/>
    <w:rsid w:val="00505EC7"/>
    <w:rsid w:val="00505F52"/>
    <w:rsid w:val="00506BB4"/>
    <w:rsid w:val="0051086B"/>
    <w:rsid w:val="00513F2D"/>
    <w:rsid w:val="0051472B"/>
    <w:rsid w:val="00514832"/>
    <w:rsid w:val="00514CB0"/>
    <w:rsid w:val="005153AD"/>
    <w:rsid w:val="005154A9"/>
    <w:rsid w:val="00515ACC"/>
    <w:rsid w:val="0051629D"/>
    <w:rsid w:val="00516DA1"/>
    <w:rsid w:val="005179B1"/>
    <w:rsid w:val="00517E8E"/>
    <w:rsid w:val="005210D8"/>
    <w:rsid w:val="00521138"/>
    <w:rsid w:val="0052144B"/>
    <w:rsid w:val="0052156E"/>
    <w:rsid w:val="00521606"/>
    <w:rsid w:val="005219B1"/>
    <w:rsid w:val="00521CC0"/>
    <w:rsid w:val="005247D0"/>
    <w:rsid w:val="005247E9"/>
    <w:rsid w:val="005258E5"/>
    <w:rsid w:val="00526BE5"/>
    <w:rsid w:val="00526D66"/>
    <w:rsid w:val="0052700E"/>
    <w:rsid w:val="005303FA"/>
    <w:rsid w:val="00530831"/>
    <w:rsid w:val="00530F6E"/>
    <w:rsid w:val="00530FFD"/>
    <w:rsid w:val="00531D47"/>
    <w:rsid w:val="0053253B"/>
    <w:rsid w:val="005345AF"/>
    <w:rsid w:val="00534963"/>
    <w:rsid w:val="00535FDE"/>
    <w:rsid w:val="005360A5"/>
    <w:rsid w:val="0053615C"/>
    <w:rsid w:val="0054129E"/>
    <w:rsid w:val="005417FB"/>
    <w:rsid w:val="005421FB"/>
    <w:rsid w:val="005428E8"/>
    <w:rsid w:val="00542FF9"/>
    <w:rsid w:val="0054512D"/>
    <w:rsid w:val="00545BF6"/>
    <w:rsid w:val="00545FBD"/>
    <w:rsid w:val="00547633"/>
    <w:rsid w:val="00547807"/>
    <w:rsid w:val="00547FFB"/>
    <w:rsid w:val="00550823"/>
    <w:rsid w:val="005512BA"/>
    <w:rsid w:val="00551DFE"/>
    <w:rsid w:val="00552120"/>
    <w:rsid w:val="005522E4"/>
    <w:rsid w:val="0055318E"/>
    <w:rsid w:val="005545BB"/>
    <w:rsid w:val="00555B51"/>
    <w:rsid w:val="00556276"/>
    <w:rsid w:val="00557E26"/>
    <w:rsid w:val="00560903"/>
    <w:rsid w:val="00562A5F"/>
    <w:rsid w:val="00563835"/>
    <w:rsid w:val="0056469E"/>
    <w:rsid w:val="0056506A"/>
    <w:rsid w:val="00565106"/>
    <w:rsid w:val="005652A0"/>
    <w:rsid w:val="005653C6"/>
    <w:rsid w:val="0056610C"/>
    <w:rsid w:val="00566285"/>
    <w:rsid w:val="00566574"/>
    <w:rsid w:val="005667B7"/>
    <w:rsid w:val="00566CA6"/>
    <w:rsid w:val="005674E7"/>
    <w:rsid w:val="00567D1E"/>
    <w:rsid w:val="00570133"/>
    <w:rsid w:val="00570200"/>
    <w:rsid w:val="005724D8"/>
    <w:rsid w:val="005724F0"/>
    <w:rsid w:val="00572556"/>
    <w:rsid w:val="00572733"/>
    <w:rsid w:val="00573752"/>
    <w:rsid w:val="005737B7"/>
    <w:rsid w:val="00573CD0"/>
    <w:rsid w:val="00574E21"/>
    <w:rsid w:val="005756E2"/>
    <w:rsid w:val="005756EB"/>
    <w:rsid w:val="005760D2"/>
    <w:rsid w:val="005764AD"/>
    <w:rsid w:val="005767C0"/>
    <w:rsid w:val="00576992"/>
    <w:rsid w:val="00577727"/>
    <w:rsid w:val="00577A6F"/>
    <w:rsid w:val="00577FC2"/>
    <w:rsid w:val="005800B6"/>
    <w:rsid w:val="005814A2"/>
    <w:rsid w:val="00581691"/>
    <w:rsid w:val="00582C06"/>
    <w:rsid w:val="00582EE1"/>
    <w:rsid w:val="0058637C"/>
    <w:rsid w:val="005872FA"/>
    <w:rsid w:val="005877F7"/>
    <w:rsid w:val="00587EE6"/>
    <w:rsid w:val="00587F0B"/>
    <w:rsid w:val="00591DDD"/>
    <w:rsid w:val="00592816"/>
    <w:rsid w:val="005942CE"/>
    <w:rsid w:val="00594C2E"/>
    <w:rsid w:val="00595147"/>
    <w:rsid w:val="005960D2"/>
    <w:rsid w:val="0059695B"/>
    <w:rsid w:val="005976B5"/>
    <w:rsid w:val="005A0146"/>
    <w:rsid w:val="005A0A6F"/>
    <w:rsid w:val="005A0F65"/>
    <w:rsid w:val="005A2C5B"/>
    <w:rsid w:val="005A500D"/>
    <w:rsid w:val="005A5104"/>
    <w:rsid w:val="005A5562"/>
    <w:rsid w:val="005A677D"/>
    <w:rsid w:val="005A7589"/>
    <w:rsid w:val="005A75E5"/>
    <w:rsid w:val="005B07F5"/>
    <w:rsid w:val="005B1902"/>
    <w:rsid w:val="005B2078"/>
    <w:rsid w:val="005B2E67"/>
    <w:rsid w:val="005B2E73"/>
    <w:rsid w:val="005B3350"/>
    <w:rsid w:val="005B3BC4"/>
    <w:rsid w:val="005B4114"/>
    <w:rsid w:val="005B4437"/>
    <w:rsid w:val="005B52EC"/>
    <w:rsid w:val="005B5D49"/>
    <w:rsid w:val="005B5DA4"/>
    <w:rsid w:val="005B6893"/>
    <w:rsid w:val="005B7A1E"/>
    <w:rsid w:val="005B7FAA"/>
    <w:rsid w:val="005C0EC0"/>
    <w:rsid w:val="005C19DA"/>
    <w:rsid w:val="005C25A1"/>
    <w:rsid w:val="005C294B"/>
    <w:rsid w:val="005C2F14"/>
    <w:rsid w:val="005C30BB"/>
    <w:rsid w:val="005C42EA"/>
    <w:rsid w:val="005C52EF"/>
    <w:rsid w:val="005C577C"/>
    <w:rsid w:val="005C7002"/>
    <w:rsid w:val="005C75A8"/>
    <w:rsid w:val="005C75EA"/>
    <w:rsid w:val="005D0A2C"/>
    <w:rsid w:val="005D0ECE"/>
    <w:rsid w:val="005D0F11"/>
    <w:rsid w:val="005D10E9"/>
    <w:rsid w:val="005D11B2"/>
    <w:rsid w:val="005D12F5"/>
    <w:rsid w:val="005D1662"/>
    <w:rsid w:val="005D3993"/>
    <w:rsid w:val="005D4023"/>
    <w:rsid w:val="005D43F6"/>
    <w:rsid w:val="005D52DD"/>
    <w:rsid w:val="005D56F0"/>
    <w:rsid w:val="005D5B4B"/>
    <w:rsid w:val="005D7DFC"/>
    <w:rsid w:val="005D7F60"/>
    <w:rsid w:val="005E051C"/>
    <w:rsid w:val="005E07E8"/>
    <w:rsid w:val="005E0AF4"/>
    <w:rsid w:val="005E0E64"/>
    <w:rsid w:val="005E1F61"/>
    <w:rsid w:val="005E2239"/>
    <w:rsid w:val="005E24FC"/>
    <w:rsid w:val="005E41E0"/>
    <w:rsid w:val="005E6428"/>
    <w:rsid w:val="005E6F2D"/>
    <w:rsid w:val="005E7EB3"/>
    <w:rsid w:val="005F0144"/>
    <w:rsid w:val="005F08B4"/>
    <w:rsid w:val="005F0D55"/>
    <w:rsid w:val="005F21AD"/>
    <w:rsid w:val="005F21DD"/>
    <w:rsid w:val="005F2A6E"/>
    <w:rsid w:val="005F2F21"/>
    <w:rsid w:val="005F36F9"/>
    <w:rsid w:val="005F3EF0"/>
    <w:rsid w:val="005F476B"/>
    <w:rsid w:val="005F5EC0"/>
    <w:rsid w:val="005F6493"/>
    <w:rsid w:val="005F766E"/>
    <w:rsid w:val="0060005F"/>
    <w:rsid w:val="00600327"/>
    <w:rsid w:val="00600B83"/>
    <w:rsid w:val="0060130D"/>
    <w:rsid w:val="00602A4B"/>
    <w:rsid w:val="00602E23"/>
    <w:rsid w:val="006048E0"/>
    <w:rsid w:val="006054B2"/>
    <w:rsid w:val="00605D57"/>
    <w:rsid w:val="00605D8F"/>
    <w:rsid w:val="006062A5"/>
    <w:rsid w:val="006066A8"/>
    <w:rsid w:val="006066E9"/>
    <w:rsid w:val="00606907"/>
    <w:rsid w:val="00606AE4"/>
    <w:rsid w:val="00611706"/>
    <w:rsid w:val="00611853"/>
    <w:rsid w:val="00612343"/>
    <w:rsid w:val="00612679"/>
    <w:rsid w:val="00612783"/>
    <w:rsid w:val="006132A1"/>
    <w:rsid w:val="006136F2"/>
    <w:rsid w:val="00613D49"/>
    <w:rsid w:val="00614109"/>
    <w:rsid w:val="0061480F"/>
    <w:rsid w:val="00615668"/>
    <w:rsid w:val="006172D0"/>
    <w:rsid w:val="00617F4F"/>
    <w:rsid w:val="00617F7B"/>
    <w:rsid w:val="00621C27"/>
    <w:rsid w:val="00621FDB"/>
    <w:rsid w:val="006230B0"/>
    <w:rsid w:val="006235CB"/>
    <w:rsid w:val="0062443E"/>
    <w:rsid w:val="006245AA"/>
    <w:rsid w:val="00624D35"/>
    <w:rsid w:val="00624D70"/>
    <w:rsid w:val="006253EC"/>
    <w:rsid w:val="00625BAB"/>
    <w:rsid w:val="00625D39"/>
    <w:rsid w:val="00626E90"/>
    <w:rsid w:val="006308F4"/>
    <w:rsid w:val="0063108D"/>
    <w:rsid w:val="00631DB8"/>
    <w:rsid w:val="00631F19"/>
    <w:rsid w:val="006325A3"/>
    <w:rsid w:val="00632C18"/>
    <w:rsid w:val="006342A3"/>
    <w:rsid w:val="0063593D"/>
    <w:rsid w:val="00635CBB"/>
    <w:rsid w:val="00636CE4"/>
    <w:rsid w:val="0063724E"/>
    <w:rsid w:val="00637A1E"/>
    <w:rsid w:val="0064067D"/>
    <w:rsid w:val="00641073"/>
    <w:rsid w:val="00641899"/>
    <w:rsid w:val="00642FED"/>
    <w:rsid w:val="006434C1"/>
    <w:rsid w:val="00643624"/>
    <w:rsid w:val="00643EC8"/>
    <w:rsid w:val="006447B5"/>
    <w:rsid w:val="0064583D"/>
    <w:rsid w:val="00645994"/>
    <w:rsid w:val="0064621F"/>
    <w:rsid w:val="006464F8"/>
    <w:rsid w:val="006472A9"/>
    <w:rsid w:val="00647731"/>
    <w:rsid w:val="00647EED"/>
    <w:rsid w:val="00650096"/>
    <w:rsid w:val="0065019A"/>
    <w:rsid w:val="0065020E"/>
    <w:rsid w:val="00651ED3"/>
    <w:rsid w:val="00652943"/>
    <w:rsid w:val="00652FE2"/>
    <w:rsid w:val="006536E1"/>
    <w:rsid w:val="006537E5"/>
    <w:rsid w:val="006545F4"/>
    <w:rsid w:val="006567E0"/>
    <w:rsid w:val="00656BC7"/>
    <w:rsid w:val="006603F0"/>
    <w:rsid w:val="00660AB3"/>
    <w:rsid w:val="00660B70"/>
    <w:rsid w:val="006619BD"/>
    <w:rsid w:val="00661A88"/>
    <w:rsid w:val="00662296"/>
    <w:rsid w:val="0066236F"/>
    <w:rsid w:val="00662A3C"/>
    <w:rsid w:val="00662C0F"/>
    <w:rsid w:val="00664C75"/>
    <w:rsid w:val="00665948"/>
    <w:rsid w:val="00665A3C"/>
    <w:rsid w:val="00665A83"/>
    <w:rsid w:val="00665AB6"/>
    <w:rsid w:val="00666255"/>
    <w:rsid w:val="006672DC"/>
    <w:rsid w:val="00667E77"/>
    <w:rsid w:val="00670167"/>
    <w:rsid w:val="00670A66"/>
    <w:rsid w:val="00670BA3"/>
    <w:rsid w:val="006724F9"/>
    <w:rsid w:val="00673733"/>
    <w:rsid w:val="006737A8"/>
    <w:rsid w:val="006748A1"/>
    <w:rsid w:val="00676389"/>
    <w:rsid w:val="006763AF"/>
    <w:rsid w:val="006777C6"/>
    <w:rsid w:val="00677901"/>
    <w:rsid w:val="00677D02"/>
    <w:rsid w:val="00677E2D"/>
    <w:rsid w:val="00680BC5"/>
    <w:rsid w:val="00681144"/>
    <w:rsid w:val="006826BB"/>
    <w:rsid w:val="00683549"/>
    <w:rsid w:val="0068456E"/>
    <w:rsid w:val="00684584"/>
    <w:rsid w:val="00685AE6"/>
    <w:rsid w:val="00686068"/>
    <w:rsid w:val="00686524"/>
    <w:rsid w:val="0068783D"/>
    <w:rsid w:val="00687B94"/>
    <w:rsid w:val="00687D48"/>
    <w:rsid w:val="0069055B"/>
    <w:rsid w:val="006908FF"/>
    <w:rsid w:val="006909CD"/>
    <w:rsid w:val="006915EF"/>
    <w:rsid w:val="006919E3"/>
    <w:rsid w:val="00691C8C"/>
    <w:rsid w:val="00691E61"/>
    <w:rsid w:val="0069361D"/>
    <w:rsid w:val="00693B0D"/>
    <w:rsid w:val="00693E81"/>
    <w:rsid w:val="00694DF6"/>
    <w:rsid w:val="006957B0"/>
    <w:rsid w:val="00695A2B"/>
    <w:rsid w:val="00696704"/>
    <w:rsid w:val="00697657"/>
    <w:rsid w:val="00697C06"/>
    <w:rsid w:val="006A0B3D"/>
    <w:rsid w:val="006A1144"/>
    <w:rsid w:val="006A256B"/>
    <w:rsid w:val="006A3932"/>
    <w:rsid w:val="006A4AB8"/>
    <w:rsid w:val="006A61BD"/>
    <w:rsid w:val="006A648B"/>
    <w:rsid w:val="006A67E1"/>
    <w:rsid w:val="006A7DD7"/>
    <w:rsid w:val="006B20EE"/>
    <w:rsid w:val="006B21DA"/>
    <w:rsid w:val="006B3174"/>
    <w:rsid w:val="006B3A95"/>
    <w:rsid w:val="006B4321"/>
    <w:rsid w:val="006B55D7"/>
    <w:rsid w:val="006B561E"/>
    <w:rsid w:val="006B5A2D"/>
    <w:rsid w:val="006B61A2"/>
    <w:rsid w:val="006B68E1"/>
    <w:rsid w:val="006B6E10"/>
    <w:rsid w:val="006B77AF"/>
    <w:rsid w:val="006B7A37"/>
    <w:rsid w:val="006C046E"/>
    <w:rsid w:val="006C0545"/>
    <w:rsid w:val="006C05D5"/>
    <w:rsid w:val="006C0ACE"/>
    <w:rsid w:val="006C100D"/>
    <w:rsid w:val="006C307E"/>
    <w:rsid w:val="006C3497"/>
    <w:rsid w:val="006C3BE1"/>
    <w:rsid w:val="006C4852"/>
    <w:rsid w:val="006C798B"/>
    <w:rsid w:val="006C7AD2"/>
    <w:rsid w:val="006C7F7B"/>
    <w:rsid w:val="006D08E4"/>
    <w:rsid w:val="006D0A0F"/>
    <w:rsid w:val="006D0CAA"/>
    <w:rsid w:val="006D105B"/>
    <w:rsid w:val="006D274C"/>
    <w:rsid w:val="006D3494"/>
    <w:rsid w:val="006D50CF"/>
    <w:rsid w:val="006D5205"/>
    <w:rsid w:val="006D5982"/>
    <w:rsid w:val="006D5BBE"/>
    <w:rsid w:val="006D6190"/>
    <w:rsid w:val="006D67CF"/>
    <w:rsid w:val="006D691C"/>
    <w:rsid w:val="006D7168"/>
    <w:rsid w:val="006E0C4A"/>
    <w:rsid w:val="006E11C9"/>
    <w:rsid w:val="006E1295"/>
    <w:rsid w:val="006E13E7"/>
    <w:rsid w:val="006E1F78"/>
    <w:rsid w:val="006E3346"/>
    <w:rsid w:val="006E381B"/>
    <w:rsid w:val="006E3A3C"/>
    <w:rsid w:val="006E5AEA"/>
    <w:rsid w:val="006E64D6"/>
    <w:rsid w:val="006E6868"/>
    <w:rsid w:val="006E7310"/>
    <w:rsid w:val="006E7739"/>
    <w:rsid w:val="006E7BCA"/>
    <w:rsid w:val="006F09FA"/>
    <w:rsid w:val="006F22F0"/>
    <w:rsid w:val="006F23CA"/>
    <w:rsid w:val="006F2F4C"/>
    <w:rsid w:val="006F36A6"/>
    <w:rsid w:val="006F3C28"/>
    <w:rsid w:val="006F3FED"/>
    <w:rsid w:val="006F4966"/>
    <w:rsid w:val="006F701B"/>
    <w:rsid w:val="006F7564"/>
    <w:rsid w:val="006F7A19"/>
    <w:rsid w:val="007000BC"/>
    <w:rsid w:val="007000FA"/>
    <w:rsid w:val="00700B34"/>
    <w:rsid w:val="00700DC9"/>
    <w:rsid w:val="007010A5"/>
    <w:rsid w:val="00701AEA"/>
    <w:rsid w:val="00701CB6"/>
    <w:rsid w:val="00702968"/>
    <w:rsid w:val="00702E35"/>
    <w:rsid w:val="00703E22"/>
    <w:rsid w:val="00703EBF"/>
    <w:rsid w:val="0070424A"/>
    <w:rsid w:val="0070464B"/>
    <w:rsid w:val="00705DE0"/>
    <w:rsid w:val="00706793"/>
    <w:rsid w:val="007067E6"/>
    <w:rsid w:val="00710266"/>
    <w:rsid w:val="007105CD"/>
    <w:rsid w:val="00711852"/>
    <w:rsid w:val="00711E91"/>
    <w:rsid w:val="00711F1D"/>
    <w:rsid w:val="00712608"/>
    <w:rsid w:val="00712767"/>
    <w:rsid w:val="00712BBB"/>
    <w:rsid w:val="00714B9A"/>
    <w:rsid w:val="00715025"/>
    <w:rsid w:val="0071525C"/>
    <w:rsid w:val="0071556B"/>
    <w:rsid w:val="00715A4E"/>
    <w:rsid w:val="00716AE0"/>
    <w:rsid w:val="007201B9"/>
    <w:rsid w:val="00720A48"/>
    <w:rsid w:val="00721FB1"/>
    <w:rsid w:val="0072287D"/>
    <w:rsid w:val="00722B25"/>
    <w:rsid w:val="00722B5E"/>
    <w:rsid w:val="00724655"/>
    <w:rsid w:val="007250A2"/>
    <w:rsid w:val="007256F5"/>
    <w:rsid w:val="007258E9"/>
    <w:rsid w:val="00725E0F"/>
    <w:rsid w:val="00726FF6"/>
    <w:rsid w:val="00727F5F"/>
    <w:rsid w:val="00730013"/>
    <w:rsid w:val="00730EA2"/>
    <w:rsid w:val="0073187A"/>
    <w:rsid w:val="00731D86"/>
    <w:rsid w:val="00732E2A"/>
    <w:rsid w:val="00733952"/>
    <w:rsid w:val="007350FB"/>
    <w:rsid w:val="00735425"/>
    <w:rsid w:val="00735CFF"/>
    <w:rsid w:val="00735F7E"/>
    <w:rsid w:val="00736073"/>
    <w:rsid w:val="007405FE"/>
    <w:rsid w:val="00741999"/>
    <w:rsid w:val="007430B1"/>
    <w:rsid w:val="0074429F"/>
    <w:rsid w:val="00744831"/>
    <w:rsid w:val="00744866"/>
    <w:rsid w:val="0074519A"/>
    <w:rsid w:val="0074523B"/>
    <w:rsid w:val="00745690"/>
    <w:rsid w:val="007465A5"/>
    <w:rsid w:val="00746A71"/>
    <w:rsid w:val="007475DB"/>
    <w:rsid w:val="0075116C"/>
    <w:rsid w:val="00752D3B"/>
    <w:rsid w:val="00755267"/>
    <w:rsid w:val="00755274"/>
    <w:rsid w:val="00755639"/>
    <w:rsid w:val="00755F15"/>
    <w:rsid w:val="00756033"/>
    <w:rsid w:val="00756402"/>
    <w:rsid w:val="00757512"/>
    <w:rsid w:val="007606CF"/>
    <w:rsid w:val="00760B70"/>
    <w:rsid w:val="007637B8"/>
    <w:rsid w:val="00763E84"/>
    <w:rsid w:val="00764210"/>
    <w:rsid w:val="00764780"/>
    <w:rsid w:val="00764D30"/>
    <w:rsid w:val="00764E8F"/>
    <w:rsid w:val="007651FD"/>
    <w:rsid w:val="007673D3"/>
    <w:rsid w:val="00767733"/>
    <w:rsid w:val="00767EA9"/>
    <w:rsid w:val="00770858"/>
    <w:rsid w:val="00770D2D"/>
    <w:rsid w:val="00771F60"/>
    <w:rsid w:val="0077228E"/>
    <w:rsid w:val="00772331"/>
    <w:rsid w:val="007732AA"/>
    <w:rsid w:val="007740C4"/>
    <w:rsid w:val="0077424D"/>
    <w:rsid w:val="007742C1"/>
    <w:rsid w:val="007747C6"/>
    <w:rsid w:val="00774B4C"/>
    <w:rsid w:val="00774D7A"/>
    <w:rsid w:val="007758E0"/>
    <w:rsid w:val="00776947"/>
    <w:rsid w:val="00776B21"/>
    <w:rsid w:val="00777136"/>
    <w:rsid w:val="0078026F"/>
    <w:rsid w:val="00780330"/>
    <w:rsid w:val="00781122"/>
    <w:rsid w:val="007819DD"/>
    <w:rsid w:val="007819F6"/>
    <w:rsid w:val="00781D1C"/>
    <w:rsid w:val="00782AFF"/>
    <w:rsid w:val="00782C65"/>
    <w:rsid w:val="007831F0"/>
    <w:rsid w:val="00783733"/>
    <w:rsid w:val="00783883"/>
    <w:rsid w:val="00786289"/>
    <w:rsid w:val="007865E6"/>
    <w:rsid w:val="00787BEA"/>
    <w:rsid w:val="007916B4"/>
    <w:rsid w:val="007920C7"/>
    <w:rsid w:val="00792322"/>
    <w:rsid w:val="0079234F"/>
    <w:rsid w:val="00793198"/>
    <w:rsid w:val="0079371F"/>
    <w:rsid w:val="00793CB5"/>
    <w:rsid w:val="00793EF6"/>
    <w:rsid w:val="00795EC4"/>
    <w:rsid w:val="007970C1"/>
    <w:rsid w:val="007970C8"/>
    <w:rsid w:val="007976AE"/>
    <w:rsid w:val="00797730"/>
    <w:rsid w:val="00797850"/>
    <w:rsid w:val="007A04B8"/>
    <w:rsid w:val="007A0774"/>
    <w:rsid w:val="007A099D"/>
    <w:rsid w:val="007A1189"/>
    <w:rsid w:val="007A1268"/>
    <w:rsid w:val="007A1B25"/>
    <w:rsid w:val="007A213F"/>
    <w:rsid w:val="007A2F9E"/>
    <w:rsid w:val="007A3AA4"/>
    <w:rsid w:val="007A41CA"/>
    <w:rsid w:val="007A47F2"/>
    <w:rsid w:val="007A51E6"/>
    <w:rsid w:val="007A5AE2"/>
    <w:rsid w:val="007A61EA"/>
    <w:rsid w:val="007A7075"/>
    <w:rsid w:val="007B1B8D"/>
    <w:rsid w:val="007B2F7B"/>
    <w:rsid w:val="007B36E7"/>
    <w:rsid w:val="007B42F0"/>
    <w:rsid w:val="007B4D27"/>
    <w:rsid w:val="007B4D4D"/>
    <w:rsid w:val="007B4FB0"/>
    <w:rsid w:val="007B7553"/>
    <w:rsid w:val="007B7D07"/>
    <w:rsid w:val="007B7E77"/>
    <w:rsid w:val="007B7F57"/>
    <w:rsid w:val="007C048E"/>
    <w:rsid w:val="007C128A"/>
    <w:rsid w:val="007C18AD"/>
    <w:rsid w:val="007C2725"/>
    <w:rsid w:val="007C29BD"/>
    <w:rsid w:val="007C2B31"/>
    <w:rsid w:val="007C340F"/>
    <w:rsid w:val="007C4013"/>
    <w:rsid w:val="007C47AB"/>
    <w:rsid w:val="007C52F4"/>
    <w:rsid w:val="007C5D17"/>
    <w:rsid w:val="007C7B12"/>
    <w:rsid w:val="007D1315"/>
    <w:rsid w:val="007D2306"/>
    <w:rsid w:val="007D3137"/>
    <w:rsid w:val="007D45C5"/>
    <w:rsid w:val="007D536C"/>
    <w:rsid w:val="007D5398"/>
    <w:rsid w:val="007D5861"/>
    <w:rsid w:val="007D60C3"/>
    <w:rsid w:val="007D635A"/>
    <w:rsid w:val="007D6797"/>
    <w:rsid w:val="007D6E4F"/>
    <w:rsid w:val="007D6F9A"/>
    <w:rsid w:val="007D7F56"/>
    <w:rsid w:val="007E0551"/>
    <w:rsid w:val="007E10F3"/>
    <w:rsid w:val="007E1636"/>
    <w:rsid w:val="007E3426"/>
    <w:rsid w:val="007E35B5"/>
    <w:rsid w:val="007E36AE"/>
    <w:rsid w:val="007E423C"/>
    <w:rsid w:val="007E42AE"/>
    <w:rsid w:val="007E46CF"/>
    <w:rsid w:val="007E4D47"/>
    <w:rsid w:val="007E6F9E"/>
    <w:rsid w:val="007E7BD3"/>
    <w:rsid w:val="007F1259"/>
    <w:rsid w:val="007F22E3"/>
    <w:rsid w:val="007F3BA2"/>
    <w:rsid w:val="007F3F6E"/>
    <w:rsid w:val="007F43E3"/>
    <w:rsid w:val="007F4E30"/>
    <w:rsid w:val="007F518A"/>
    <w:rsid w:val="007F5778"/>
    <w:rsid w:val="007F5787"/>
    <w:rsid w:val="007F5B20"/>
    <w:rsid w:val="007F5B7B"/>
    <w:rsid w:val="007F5EA1"/>
    <w:rsid w:val="008004F2"/>
    <w:rsid w:val="00801582"/>
    <w:rsid w:val="0080158B"/>
    <w:rsid w:val="008015E6"/>
    <w:rsid w:val="00802351"/>
    <w:rsid w:val="0080350A"/>
    <w:rsid w:val="00803D91"/>
    <w:rsid w:val="008046A4"/>
    <w:rsid w:val="008047DB"/>
    <w:rsid w:val="00805050"/>
    <w:rsid w:val="00805758"/>
    <w:rsid w:val="008063EB"/>
    <w:rsid w:val="00806DAF"/>
    <w:rsid w:val="00807D3D"/>
    <w:rsid w:val="0081149C"/>
    <w:rsid w:val="0081182E"/>
    <w:rsid w:val="008124A0"/>
    <w:rsid w:val="008128FE"/>
    <w:rsid w:val="00812D95"/>
    <w:rsid w:val="00813487"/>
    <w:rsid w:val="00813EA9"/>
    <w:rsid w:val="00813EB2"/>
    <w:rsid w:val="008145CB"/>
    <w:rsid w:val="00814922"/>
    <w:rsid w:val="00815CA2"/>
    <w:rsid w:val="00816B96"/>
    <w:rsid w:val="00820751"/>
    <w:rsid w:val="008211DE"/>
    <w:rsid w:val="00821D5D"/>
    <w:rsid w:val="008223D2"/>
    <w:rsid w:val="00822AAA"/>
    <w:rsid w:val="00823848"/>
    <w:rsid w:val="00823A6A"/>
    <w:rsid w:val="008243E2"/>
    <w:rsid w:val="00824601"/>
    <w:rsid w:val="008247A4"/>
    <w:rsid w:val="00825EE7"/>
    <w:rsid w:val="0082665A"/>
    <w:rsid w:val="00826695"/>
    <w:rsid w:val="008305CD"/>
    <w:rsid w:val="0083106D"/>
    <w:rsid w:val="00831916"/>
    <w:rsid w:val="00831951"/>
    <w:rsid w:val="008328DA"/>
    <w:rsid w:val="00832B12"/>
    <w:rsid w:val="00834310"/>
    <w:rsid w:val="00835EA6"/>
    <w:rsid w:val="008360B0"/>
    <w:rsid w:val="00836516"/>
    <w:rsid w:val="00836A17"/>
    <w:rsid w:val="00840511"/>
    <w:rsid w:val="008408BB"/>
    <w:rsid w:val="00842686"/>
    <w:rsid w:val="008435BC"/>
    <w:rsid w:val="00843F1B"/>
    <w:rsid w:val="0084426B"/>
    <w:rsid w:val="00845222"/>
    <w:rsid w:val="0084557D"/>
    <w:rsid w:val="008456D1"/>
    <w:rsid w:val="0085060E"/>
    <w:rsid w:val="008507EA"/>
    <w:rsid w:val="00850940"/>
    <w:rsid w:val="00850B8F"/>
    <w:rsid w:val="00850E32"/>
    <w:rsid w:val="008510D7"/>
    <w:rsid w:val="008510FC"/>
    <w:rsid w:val="008513C5"/>
    <w:rsid w:val="00851CC4"/>
    <w:rsid w:val="00852657"/>
    <w:rsid w:val="00852F57"/>
    <w:rsid w:val="00853463"/>
    <w:rsid w:val="00853AD5"/>
    <w:rsid w:val="0085401D"/>
    <w:rsid w:val="00855547"/>
    <w:rsid w:val="00855D65"/>
    <w:rsid w:val="00860244"/>
    <w:rsid w:val="00860359"/>
    <w:rsid w:val="00860630"/>
    <w:rsid w:val="008609E6"/>
    <w:rsid w:val="00860F57"/>
    <w:rsid w:val="00860F5A"/>
    <w:rsid w:val="0086280C"/>
    <w:rsid w:val="00864356"/>
    <w:rsid w:val="0086461E"/>
    <w:rsid w:val="00865369"/>
    <w:rsid w:val="0086539F"/>
    <w:rsid w:val="0086566F"/>
    <w:rsid w:val="00865EAC"/>
    <w:rsid w:val="008661F3"/>
    <w:rsid w:val="00867032"/>
    <w:rsid w:val="00867EFB"/>
    <w:rsid w:val="00870E7F"/>
    <w:rsid w:val="00872779"/>
    <w:rsid w:val="00872F59"/>
    <w:rsid w:val="008735D7"/>
    <w:rsid w:val="00874101"/>
    <w:rsid w:val="0087470D"/>
    <w:rsid w:val="00874776"/>
    <w:rsid w:val="0087490B"/>
    <w:rsid w:val="00874C5E"/>
    <w:rsid w:val="0087562A"/>
    <w:rsid w:val="00877008"/>
    <w:rsid w:val="00877491"/>
    <w:rsid w:val="00877990"/>
    <w:rsid w:val="00880FEC"/>
    <w:rsid w:val="0088110E"/>
    <w:rsid w:val="00881586"/>
    <w:rsid w:val="0088167A"/>
    <w:rsid w:val="00881871"/>
    <w:rsid w:val="008837F1"/>
    <w:rsid w:val="00883F0D"/>
    <w:rsid w:val="00884505"/>
    <w:rsid w:val="00885675"/>
    <w:rsid w:val="008871AE"/>
    <w:rsid w:val="008878D8"/>
    <w:rsid w:val="00887AAE"/>
    <w:rsid w:val="008904DA"/>
    <w:rsid w:val="00890B65"/>
    <w:rsid w:val="008910FA"/>
    <w:rsid w:val="00891CB4"/>
    <w:rsid w:val="008927E8"/>
    <w:rsid w:val="00893F4C"/>
    <w:rsid w:val="00895991"/>
    <w:rsid w:val="00896E5D"/>
    <w:rsid w:val="00896F29"/>
    <w:rsid w:val="00896F7D"/>
    <w:rsid w:val="008A0783"/>
    <w:rsid w:val="008A1A93"/>
    <w:rsid w:val="008A3136"/>
    <w:rsid w:val="008A3240"/>
    <w:rsid w:val="008A3D64"/>
    <w:rsid w:val="008A4E12"/>
    <w:rsid w:val="008A5600"/>
    <w:rsid w:val="008A5C46"/>
    <w:rsid w:val="008A66EB"/>
    <w:rsid w:val="008A6C7E"/>
    <w:rsid w:val="008A749C"/>
    <w:rsid w:val="008A7777"/>
    <w:rsid w:val="008B1043"/>
    <w:rsid w:val="008B1742"/>
    <w:rsid w:val="008B38D8"/>
    <w:rsid w:val="008B4632"/>
    <w:rsid w:val="008B5444"/>
    <w:rsid w:val="008B5584"/>
    <w:rsid w:val="008B74CE"/>
    <w:rsid w:val="008B7BF4"/>
    <w:rsid w:val="008C0AC5"/>
    <w:rsid w:val="008C2F69"/>
    <w:rsid w:val="008C3164"/>
    <w:rsid w:val="008C3711"/>
    <w:rsid w:val="008C3F79"/>
    <w:rsid w:val="008C4981"/>
    <w:rsid w:val="008C4BB3"/>
    <w:rsid w:val="008C50DF"/>
    <w:rsid w:val="008C5C05"/>
    <w:rsid w:val="008C60E6"/>
    <w:rsid w:val="008C64BD"/>
    <w:rsid w:val="008C6681"/>
    <w:rsid w:val="008C77F5"/>
    <w:rsid w:val="008C7B12"/>
    <w:rsid w:val="008C7E98"/>
    <w:rsid w:val="008D04F4"/>
    <w:rsid w:val="008D155C"/>
    <w:rsid w:val="008D1A48"/>
    <w:rsid w:val="008D2175"/>
    <w:rsid w:val="008D2756"/>
    <w:rsid w:val="008D2AA3"/>
    <w:rsid w:val="008D35EB"/>
    <w:rsid w:val="008D3955"/>
    <w:rsid w:val="008D3B53"/>
    <w:rsid w:val="008D4AB2"/>
    <w:rsid w:val="008D4BF1"/>
    <w:rsid w:val="008D54D2"/>
    <w:rsid w:val="008D622C"/>
    <w:rsid w:val="008D6ED6"/>
    <w:rsid w:val="008E07B3"/>
    <w:rsid w:val="008E09DD"/>
    <w:rsid w:val="008E20F7"/>
    <w:rsid w:val="008E2F98"/>
    <w:rsid w:val="008E33FF"/>
    <w:rsid w:val="008E38D1"/>
    <w:rsid w:val="008E4626"/>
    <w:rsid w:val="008E4838"/>
    <w:rsid w:val="008E49ED"/>
    <w:rsid w:val="008E4ED3"/>
    <w:rsid w:val="008E5338"/>
    <w:rsid w:val="008E5C28"/>
    <w:rsid w:val="008E5D9D"/>
    <w:rsid w:val="008E6034"/>
    <w:rsid w:val="008E62D3"/>
    <w:rsid w:val="008E6863"/>
    <w:rsid w:val="008E732F"/>
    <w:rsid w:val="008F03CF"/>
    <w:rsid w:val="008F1066"/>
    <w:rsid w:val="008F10A8"/>
    <w:rsid w:val="008F2336"/>
    <w:rsid w:val="008F2E3D"/>
    <w:rsid w:val="008F3A3F"/>
    <w:rsid w:val="008F3FDB"/>
    <w:rsid w:val="008F4FD5"/>
    <w:rsid w:val="008F501B"/>
    <w:rsid w:val="008F6421"/>
    <w:rsid w:val="008F70BD"/>
    <w:rsid w:val="008F77A9"/>
    <w:rsid w:val="008F783E"/>
    <w:rsid w:val="0090085D"/>
    <w:rsid w:val="00905B99"/>
    <w:rsid w:val="00905C73"/>
    <w:rsid w:val="0090712E"/>
    <w:rsid w:val="00907209"/>
    <w:rsid w:val="00907AE7"/>
    <w:rsid w:val="009102E3"/>
    <w:rsid w:val="00910647"/>
    <w:rsid w:val="009119CF"/>
    <w:rsid w:val="0091201E"/>
    <w:rsid w:val="009133BF"/>
    <w:rsid w:val="00913CA1"/>
    <w:rsid w:val="00914B71"/>
    <w:rsid w:val="009151B2"/>
    <w:rsid w:val="00915236"/>
    <w:rsid w:val="00916541"/>
    <w:rsid w:val="00916A91"/>
    <w:rsid w:val="00917E4B"/>
    <w:rsid w:val="00917F5C"/>
    <w:rsid w:val="009215DE"/>
    <w:rsid w:val="00921A60"/>
    <w:rsid w:val="009222A6"/>
    <w:rsid w:val="00922D73"/>
    <w:rsid w:val="00925122"/>
    <w:rsid w:val="00925488"/>
    <w:rsid w:val="009255A6"/>
    <w:rsid w:val="009263E4"/>
    <w:rsid w:val="00927D0D"/>
    <w:rsid w:val="00927F76"/>
    <w:rsid w:val="0093090B"/>
    <w:rsid w:val="0093153B"/>
    <w:rsid w:val="00932ECA"/>
    <w:rsid w:val="00933828"/>
    <w:rsid w:val="00933BB8"/>
    <w:rsid w:val="009340D5"/>
    <w:rsid w:val="009346DF"/>
    <w:rsid w:val="00935035"/>
    <w:rsid w:val="00935660"/>
    <w:rsid w:val="009358A7"/>
    <w:rsid w:val="00935984"/>
    <w:rsid w:val="0094057E"/>
    <w:rsid w:val="00942D86"/>
    <w:rsid w:val="00943845"/>
    <w:rsid w:val="00943987"/>
    <w:rsid w:val="00945A86"/>
    <w:rsid w:val="00947078"/>
    <w:rsid w:val="00947662"/>
    <w:rsid w:val="00947896"/>
    <w:rsid w:val="00950415"/>
    <w:rsid w:val="00950A1B"/>
    <w:rsid w:val="009515CB"/>
    <w:rsid w:val="00951E9A"/>
    <w:rsid w:val="00952488"/>
    <w:rsid w:val="00953786"/>
    <w:rsid w:val="00955A62"/>
    <w:rsid w:val="00955C2B"/>
    <w:rsid w:val="009579C3"/>
    <w:rsid w:val="00960111"/>
    <w:rsid w:val="0096057E"/>
    <w:rsid w:val="009607D6"/>
    <w:rsid w:val="00960845"/>
    <w:rsid w:val="00960F47"/>
    <w:rsid w:val="00962941"/>
    <w:rsid w:val="009630B6"/>
    <w:rsid w:val="009633F5"/>
    <w:rsid w:val="009634D1"/>
    <w:rsid w:val="009640F9"/>
    <w:rsid w:val="00964777"/>
    <w:rsid w:val="00964A6B"/>
    <w:rsid w:val="00965F9C"/>
    <w:rsid w:val="00966B46"/>
    <w:rsid w:val="0096789F"/>
    <w:rsid w:val="00967C73"/>
    <w:rsid w:val="009700AE"/>
    <w:rsid w:val="00970ADC"/>
    <w:rsid w:val="00972856"/>
    <w:rsid w:val="00974277"/>
    <w:rsid w:val="00974A21"/>
    <w:rsid w:val="00975659"/>
    <w:rsid w:val="00975D60"/>
    <w:rsid w:val="0097604D"/>
    <w:rsid w:val="00977146"/>
    <w:rsid w:val="009772C0"/>
    <w:rsid w:val="00977391"/>
    <w:rsid w:val="00980A41"/>
    <w:rsid w:val="009818FA"/>
    <w:rsid w:val="009818FE"/>
    <w:rsid w:val="00982C39"/>
    <w:rsid w:val="00982EE6"/>
    <w:rsid w:val="009830FA"/>
    <w:rsid w:val="0098315A"/>
    <w:rsid w:val="00983223"/>
    <w:rsid w:val="00983B70"/>
    <w:rsid w:val="00984352"/>
    <w:rsid w:val="00984EA9"/>
    <w:rsid w:val="00987B99"/>
    <w:rsid w:val="00987BA0"/>
    <w:rsid w:val="0099138D"/>
    <w:rsid w:val="00992D76"/>
    <w:rsid w:val="0099395E"/>
    <w:rsid w:val="00993BC8"/>
    <w:rsid w:val="0099409B"/>
    <w:rsid w:val="00995BD2"/>
    <w:rsid w:val="009967AC"/>
    <w:rsid w:val="00996A27"/>
    <w:rsid w:val="00996BCB"/>
    <w:rsid w:val="00996E60"/>
    <w:rsid w:val="00996F4B"/>
    <w:rsid w:val="009970E9"/>
    <w:rsid w:val="00997B8A"/>
    <w:rsid w:val="00997EE1"/>
    <w:rsid w:val="009A05E9"/>
    <w:rsid w:val="009A1F0F"/>
    <w:rsid w:val="009A3341"/>
    <w:rsid w:val="009A52E3"/>
    <w:rsid w:val="009A5820"/>
    <w:rsid w:val="009A6045"/>
    <w:rsid w:val="009A6622"/>
    <w:rsid w:val="009A6CE8"/>
    <w:rsid w:val="009A7F12"/>
    <w:rsid w:val="009B1A43"/>
    <w:rsid w:val="009B2940"/>
    <w:rsid w:val="009B29D5"/>
    <w:rsid w:val="009B2DCD"/>
    <w:rsid w:val="009B3155"/>
    <w:rsid w:val="009B3767"/>
    <w:rsid w:val="009B50CD"/>
    <w:rsid w:val="009B5C6E"/>
    <w:rsid w:val="009B613D"/>
    <w:rsid w:val="009B6182"/>
    <w:rsid w:val="009B6DF4"/>
    <w:rsid w:val="009B6EFF"/>
    <w:rsid w:val="009B70E6"/>
    <w:rsid w:val="009C0701"/>
    <w:rsid w:val="009C0BE7"/>
    <w:rsid w:val="009C1E37"/>
    <w:rsid w:val="009C37AB"/>
    <w:rsid w:val="009C47C4"/>
    <w:rsid w:val="009C6C7E"/>
    <w:rsid w:val="009C747E"/>
    <w:rsid w:val="009C7749"/>
    <w:rsid w:val="009D079B"/>
    <w:rsid w:val="009D0B28"/>
    <w:rsid w:val="009D0B61"/>
    <w:rsid w:val="009D16CA"/>
    <w:rsid w:val="009D17AF"/>
    <w:rsid w:val="009D1841"/>
    <w:rsid w:val="009D1C0E"/>
    <w:rsid w:val="009D2A31"/>
    <w:rsid w:val="009D2D45"/>
    <w:rsid w:val="009D37BA"/>
    <w:rsid w:val="009D3AC9"/>
    <w:rsid w:val="009D3C07"/>
    <w:rsid w:val="009D41A4"/>
    <w:rsid w:val="009D4477"/>
    <w:rsid w:val="009D4FF1"/>
    <w:rsid w:val="009D6245"/>
    <w:rsid w:val="009D6553"/>
    <w:rsid w:val="009D66C2"/>
    <w:rsid w:val="009D6CFD"/>
    <w:rsid w:val="009D7B6F"/>
    <w:rsid w:val="009D7DDA"/>
    <w:rsid w:val="009E0170"/>
    <w:rsid w:val="009E0EC0"/>
    <w:rsid w:val="009E2269"/>
    <w:rsid w:val="009E25B8"/>
    <w:rsid w:val="009E2EC1"/>
    <w:rsid w:val="009E376B"/>
    <w:rsid w:val="009E3FC9"/>
    <w:rsid w:val="009E412C"/>
    <w:rsid w:val="009E50C0"/>
    <w:rsid w:val="009E5B98"/>
    <w:rsid w:val="009E6C73"/>
    <w:rsid w:val="009F051C"/>
    <w:rsid w:val="009F0653"/>
    <w:rsid w:val="009F096B"/>
    <w:rsid w:val="009F24C7"/>
    <w:rsid w:val="009F33B3"/>
    <w:rsid w:val="009F421E"/>
    <w:rsid w:val="009F4456"/>
    <w:rsid w:val="009F66D1"/>
    <w:rsid w:val="009F75B8"/>
    <w:rsid w:val="00A00044"/>
    <w:rsid w:val="00A00622"/>
    <w:rsid w:val="00A00894"/>
    <w:rsid w:val="00A01D1A"/>
    <w:rsid w:val="00A03661"/>
    <w:rsid w:val="00A03F0A"/>
    <w:rsid w:val="00A03F5F"/>
    <w:rsid w:val="00A03FBB"/>
    <w:rsid w:val="00A04079"/>
    <w:rsid w:val="00A0442E"/>
    <w:rsid w:val="00A04CA1"/>
    <w:rsid w:val="00A05273"/>
    <w:rsid w:val="00A05998"/>
    <w:rsid w:val="00A07A14"/>
    <w:rsid w:val="00A07CDC"/>
    <w:rsid w:val="00A10882"/>
    <w:rsid w:val="00A1241F"/>
    <w:rsid w:val="00A126FB"/>
    <w:rsid w:val="00A12C5D"/>
    <w:rsid w:val="00A148CD"/>
    <w:rsid w:val="00A14A02"/>
    <w:rsid w:val="00A14A8C"/>
    <w:rsid w:val="00A156EC"/>
    <w:rsid w:val="00A15857"/>
    <w:rsid w:val="00A1587D"/>
    <w:rsid w:val="00A163BA"/>
    <w:rsid w:val="00A1682C"/>
    <w:rsid w:val="00A169DC"/>
    <w:rsid w:val="00A17F24"/>
    <w:rsid w:val="00A202FE"/>
    <w:rsid w:val="00A20770"/>
    <w:rsid w:val="00A210AD"/>
    <w:rsid w:val="00A2198D"/>
    <w:rsid w:val="00A223B1"/>
    <w:rsid w:val="00A22727"/>
    <w:rsid w:val="00A236DD"/>
    <w:rsid w:val="00A2447D"/>
    <w:rsid w:val="00A247D8"/>
    <w:rsid w:val="00A25786"/>
    <w:rsid w:val="00A2659C"/>
    <w:rsid w:val="00A26BF2"/>
    <w:rsid w:val="00A270B3"/>
    <w:rsid w:val="00A27AA2"/>
    <w:rsid w:val="00A27B4E"/>
    <w:rsid w:val="00A31988"/>
    <w:rsid w:val="00A32303"/>
    <w:rsid w:val="00A33244"/>
    <w:rsid w:val="00A33B27"/>
    <w:rsid w:val="00A33E4C"/>
    <w:rsid w:val="00A342C5"/>
    <w:rsid w:val="00A349B0"/>
    <w:rsid w:val="00A358C0"/>
    <w:rsid w:val="00A35CFB"/>
    <w:rsid w:val="00A3657A"/>
    <w:rsid w:val="00A37064"/>
    <w:rsid w:val="00A400E3"/>
    <w:rsid w:val="00A40758"/>
    <w:rsid w:val="00A40C3A"/>
    <w:rsid w:val="00A40DC8"/>
    <w:rsid w:val="00A41444"/>
    <w:rsid w:val="00A422A5"/>
    <w:rsid w:val="00A432B7"/>
    <w:rsid w:val="00A432F1"/>
    <w:rsid w:val="00A43A1F"/>
    <w:rsid w:val="00A450FB"/>
    <w:rsid w:val="00A45D90"/>
    <w:rsid w:val="00A461B2"/>
    <w:rsid w:val="00A50296"/>
    <w:rsid w:val="00A512C6"/>
    <w:rsid w:val="00A51515"/>
    <w:rsid w:val="00A515A1"/>
    <w:rsid w:val="00A51FBA"/>
    <w:rsid w:val="00A53A66"/>
    <w:rsid w:val="00A5407A"/>
    <w:rsid w:val="00A545FB"/>
    <w:rsid w:val="00A5512A"/>
    <w:rsid w:val="00A577D0"/>
    <w:rsid w:val="00A57A08"/>
    <w:rsid w:val="00A57CCE"/>
    <w:rsid w:val="00A60B2E"/>
    <w:rsid w:val="00A60BFC"/>
    <w:rsid w:val="00A612A1"/>
    <w:rsid w:val="00A61500"/>
    <w:rsid w:val="00A62561"/>
    <w:rsid w:val="00A6327E"/>
    <w:rsid w:val="00A63C39"/>
    <w:rsid w:val="00A64051"/>
    <w:rsid w:val="00A64142"/>
    <w:rsid w:val="00A641D1"/>
    <w:rsid w:val="00A65502"/>
    <w:rsid w:val="00A65D7B"/>
    <w:rsid w:val="00A66795"/>
    <w:rsid w:val="00A66924"/>
    <w:rsid w:val="00A6713A"/>
    <w:rsid w:val="00A708D2"/>
    <w:rsid w:val="00A71026"/>
    <w:rsid w:val="00A71B8C"/>
    <w:rsid w:val="00A71D14"/>
    <w:rsid w:val="00A71FC3"/>
    <w:rsid w:val="00A71FE3"/>
    <w:rsid w:val="00A734E9"/>
    <w:rsid w:val="00A75937"/>
    <w:rsid w:val="00A76285"/>
    <w:rsid w:val="00A769CD"/>
    <w:rsid w:val="00A76A46"/>
    <w:rsid w:val="00A77495"/>
    <w:rsid w:val="00A80F82"/>
    <w:rsid w:val="00A815C9"/>
    <w:rsid w:val="00A81BC2"/>
    <w:rsid w:val="00A81E2D"/>
    <w:rsid w:val="00A828E6"/>
    <w:rsid w:val="00A83EC3"/>
    <w:rsid w:val="00A83FA7"/>
    <w:rsid w:val="00A85377"/>
    <w:rsid w:val="00A85C76"/>
    <w:rsid w:val="00A85C81"/>
    <w:rsid w:val="00A86208"/>
    <w:rsid w:val="00A86259"/>
    <w:rsid w:val="00A86C9A"/>
    <w:rsid w:val="00A8784A"/>
    <w:rsid w:val="00A87DA4"/>
    <w:rsid w:val="00A905E3"/>
    <w:rsid w:val="00A924BA"/>
    <w:rsid w:val="00A92E0E"/>
    <w:rsid w:val="00A958A2"/>
    <w:rsid w:val="00A95A60"/>
    <w:rsid w:val="00AA01AF"/>
    <w:rsid w:val="00AA07E3"/>
    <w:rsid w:val="00AA0836"/>
    <w:rsid w:val="00AA17AB"/>
    <w:rsid w:val="00AA18AB"/>
    <w:rsid w:val="00AA2339"/>
    <w:rsid w:val="00AA28F5"/>
    <w:rsid w:val="00AA2A1B"/>
    <w:rsid w:val="00AA35F8"/>
    <w:rsid w:val="00AA38A9"/>
    <w:rsid w:val="00AA3F72"/>
    <w:rsid w:val="00AA40BB"/>
    <w:rsid w:val="00AA4F77"/>
    <w:rsid w:val="00AA5311"/>
    <w:rsid w:val="00AA721A"/>
    <w:rsid w:val="00AB04B7"/>
    <w:rsid w:val="00AB215D"/>
    <w:rsid w:val="00AB260D"/>
    <w:rsid w:val="00AB27D3"/>
    <w:rsid w:val="00AB3194"/>
    <w:rsid w:val="00AB3298"/>
    <w:rsid w:val="00AB34AE"/>
    <w:rsid w:val="00AB3BE6"/>
    <w:rsid w:val="00AB3C61"/>
    <w:rsid w:val="00AB5103"/>
    <w:rsid w:val="00AB5609"/>
    <w:rsid w:val="00AB6396"/>
    <w:rsid w:val="00AB676C"/>
    <w:rsid w:val="00AB6EC1"/>
    <w:rsid w:val="00AB735B"/>
    <w:rsid w:val="00AB7F38"/>
    <w:rsid w:val="00AC0306"/>
    <w:rsid w:val="00AC078F"/>
    <w:rsid w:val="00AC087A"/>
    <w:rsid w:val="00AC0DC6"/>
    <w:rsid w:val="00AC0E97"/>
    <w:rsid w:val="00AC176A"/>
    <w:rsid w:val="00AC1A02"/>
    <w:rsid w:val="00AC2517"/>
    <w:rsid w:val="00AC3986"/>
    <w:rsid w:val="00AC6124"/>
    <w:rsid w:val="00AC636E"/>
    <w:rsid w:val="00AC65AE"/>
    <w:rsid w:val="00AD0931"/>
    <w:rsid w:val="00AD0CD2"/>
    <w:rsid w:val="00AD128C"/>
    <w:rsid w:val="00AD1935"/>
    <w:rsid w:val="00AD1D2E"/>
    <w:rsid w:val="00AD2B80"/>
    <w:rsid w:val="00AD4406"/>
    <w:rsid w:val="00AD4D43"/>
    <w:rsid w:val="00AD4D52"/>
    <w:rsid w:val="00AD5DE8"/>
    <w:rsid w:val="00AD6973"/>
    <w:rsid w:val="00AD79BF"/>
    <w:rsid w:val="00AD7DFA"/>
    <w:rsid w:val="00AE004D"/>
    <w:rsid w:val="00AE00C5"/>
    <w:rsid w:val="00AE0D7E"/>
    <w:rsid w:val="00AE0DFE"/>
    <w:rsid w:val="00AE3B16"/>
    <w:rsid w:val="00AE51C3"/>
    <w:rsid w:val="00AE6065"/>
    <w:rsid w:val="00AE66AE"/>
    <w:rsid w:val="00AF078B"/>
    <w:rsid w:val="00AF0842"/>
    <w:rsid w:val="00AF11CB"/>
    <w:rsid w:val="00AF1BA1"/>
    <w:rsid w:val="00AF1D15"/>
    <w:rsid w:val="00AF1EA0"/>
    <w:rsid w:val="00AF2EE0"/>
    <w:rsid w:val="00AF3527"/>
    <w:rsid w:val="00AF4210"/>
    <w:rsid w:val="00AF52FB"/>
    <w:rsid w:val="00AF5314"/>
    <w:rsid w:val="00AF64D9"/>
    <w:rsid w:val="00AF67F1"/>
    <w:rsid w:val="00AF7217"/>
    <w:rsid w:val="00B014CE"/>
    <w:rsid w:val="00B01F20"/>
    <w:rsid w:val="00B02E78"/>
    <w:rsid w:val="00B031F9"/>
    <w:rsid w:val="00B03369"/>
    <w:rsid w:val="00B035C4"/>
    <w:rsid w:val="00B03910"/>
    <w:rsid w:val="00B03BF2"/>
    <w:rsid w:val="00B041EB"/>
    <w:rsid w:val="00B045DB"/>
    <w:rsid w:val="00B0568A"/>
    <w:rsid w:val="00B05712"/>
    <w:rsid w:val="00B058DA"/>
    <w:rsid w:val="00B05D1A"/>
    <w:rsid w:val="00B064C9"/>
    <w:rsid w:val="00B06D59"/>
    <w:rsid w:val="00B07520"/>
    <w:rsid w:val="00B07C09"/>
    <w:rsid w:val="00B100A6"/>
    <w:rsid w:val="00B1113E"/>
    <w:rsid w:val="00B1483C"/>
    <w:rsid w:val="00B14ED9"/>
    <w:rsid w:val="00B1532B"/>
    <w:rsid w:val="00B160D1"/>
    <w:rsid w:val="00B1677E"/>
    <w:rsid w:val="00B16793"/>
    <w:rsid w:val="00B169C9"/>
    <w:rsid w:val="00B1754D"/>
    <w:rsid w:val="00B20D1E"/>
    <w:rsid w:val="00B21865"/>
    <w:rsid w:val="00B21B66"/>
    <w:rsid w:val="00B21D0E"/>
    <w:rsid w:val="00B22409"/>
    <w:rsid w:val="00B22986"/>
    <w:rsid w:val="00B2432A"/>
    <w:rsid w:val="00B24E65"/>
    <w:rsid w:val="00B2539B"/>
    <w:rsid w:val="00B26A6F"/>
    <w:rsid w:val="00B26AB0"/>
    <w:rsid w:val="00B274E1"/>
    <w:rsid w:val="00B303AE"/>
    <w:rsid w:val="00B30BC3"/>
    <w:rsid w:val="00B312AF"/>
    <w:rsid w:val="00B31866"/>
    <w:rsid w:val="00B3269E"/>
    <w:rsid w:val="00B329C1"/>
    <w:rsid w:val="00B32CC7"/>
    <w:rsid w:val="00B33968"/>
    <w:rsid w:val="00B351F7"/>
    <w:rsid w:val="00B35B51"/>
    <w:rsid w:val="00B36BA5"/>
    <w:rsid w:val="00B37205"/>
    <w:rsid w:val="00B377D3"/>
    <w:rsid w:val="00B37A3F"/>
    <w:rsid w:val="00B40600"/>
    <w:rsid w:val="00B40E34"/>
    <w:rsid w:val="00B4140A"/>
    <w:rsid w:val="00B4180F"/>
    <w:rsid w:val="00B42F88"/>
    <w:rsid w:val="00B42FA9"/>
    <w:rsid w:val="00B43A45"/>
    <w:rsid w:val="00B43A4E"/>
    <w:rsid w:val="00B4469C"/>
    <w:rsid w:val="00B44C1B"/>
    <w:rsid w:val="00B44C56"/>
    <w:rsid w:val="00B45314"/>
    <w:rsid w:val="00B50628"/>
    <w:rsid w:val="00B5066E"/>
    <w:rsid w:val="00B51704"/>
    <w:rsid w:val="00B51777"/>
    <w:rsid w:val="00B51CF0"/>
    <w:rsid w:val="00B52368"/>
    <w:rsid w:val="00B52691"/>
    <w:rsid w:val="00B53223"/>
    <w:rsid w:val="00B53B41"/>
    <w:rsid w:val="00B5448C"/>
    <w:rsid w:val="00B5613A"/>
    <w:rsid w:val="00B56DAA"/>
    <w:rsid w:val="00B57CEF"/>
    <w:rsid w:val="00B61067"/>
    <w:rsid w:val="00B61252"/>
    <w:rsid w:val="00B62052"/>
    <w:rsid w:val="00B6358B"/>
    <w:rsid w:val="00B6359C"/>
    <w:rsid w:val="00B64020"/>
    <w:rsid w:val="00B651FA"/>
    <w:rsid w:val="00B653DE"/>
    <w:rsid w:val="00B67FAA"/>
    <w:rsid w:val="00B70100"/>
    <w:rsid w:val="00B7031B"/>
    <w:rsid w:val="00B70493"/>
    <w:rsid w:val="00B71405"/>
    <w:rsid w:val="00B7141C"/>
    <w:rsid w:val="00B74072"/>
    <w:rsid w:val="00B74E67"/>
    <w:rsid w:val="00B7544F"/>
    <w:rsid w:val="00B757DD"/>
    <w:rsid w:val="00B7725E"/>
    <w:rsid w:val="00B772DF"/>
    <w:rsid w:val="00B77755"/>
    <w:rsid w:val="00B80D4B"/>
    <w:rsid w:val="00B81C00"/>
    <w:rsid w:val="00B84A07"/>
    <w:rsid w:val="00B856AC"/>
    <w:rsid w:val="00B85D3C"/>
    <w:rsid w:val="00B85F57"/>
    <w:rsid w:val="00B861FA"/>
    <w:rsid w:val="00B86841"/>
    <w:rsid w:val="00B90272"/>
    <w:rsid w:val="00B90704"/>
    <w:rsid w:val="00B91738"/>
    <w:rsid w:val="00B92097"/>
    <w:rsid w:val="00B94F10"/>
    <w:rsid w:val="00B94F47"/>
    <w:rsid w:val="00B955EF"/>
    <w:rsid w:val="00B95D2A"/>
    <w:rsid w:val="00B960CE"/>
    <w:rsid w:val="00B96D46"/>
    <w:rsid w:val="00B96D8E"/>
    <w:rsid w:val="00BA00AC"/>
    <w:rsid w:val="00BA0FC1"/>
    <w:rsid w:val="00BA1C80"/>
    <w:rsid w:val="00BA233C"/>
    <w:rsid w:val="00BA28F2"/>
    <w:rsid w:val="00BA559A"/>
    <w:rsid w:val="00BA56F9"/>
    <w:rsid w:val="00BA5827"/>
    <w:rsid w:val="00BA6C32"/>
    <w:rsid w:val="00BA6C37"/>
    <w:rsid w:val="00BA7A95"/>
    <w:rsid w:val="00BA7D92"/>
    <w:rsid w:val="00BA7E40"/>
    <w:rsid w:val="00BB0C37"/>
    <w:rsid w:val="00BB2A71"/>
    <w:rsid w:val="00BB2DE1"/>
    <w:rsid w:val="00BB3CB8"/>
    <w:rsid w:val="00BB3FAA"/>
    <w:rsid w:val="00BB40C5"/>
    <w:rsid w:val="00BB5C6E"/>
    <w:rsid w:val="00BB623D"/>
    <w:rsid w:val="00BB629E"/>
    <w:rsid w:val="00BC01E0"/>
    <w:rsid w:val="00BC0AEB"/>
    <w:rsid w:val="00BC1491"/>
    <w:rsid w:val="00BC1714"/>
    <w:rsid w:val="00BC3034"/>
    <w:rsid w:val="00BC374A"/>
    <w:rsid w:val="00BC3D5C"/>
    <w:rsid w:val="00BC4DBC"/>
    <w:rsid w:val="00BC5F1D"/>
    <w:rsid w:val="00BC6ACC"/>
    <w:rsid w:val="00BC6B48"/>
    <w:rsid w:val="00BC6FF1"/>
    <w:rsid w:val="00BC7D3E"/>
    <w:rsid w:val="00BD0A81"/>
    <w:rsid w:val="00BD1439"/>
    <w:rsid w:val="00BD1843"/>
    <w:rsid w:val="00BD256D"/>
    <w:rsid w:val="00BD2752"/>
    <w:rsid w:val="00BD2EB0"/>
    <w:rsid w:val="00BD38D2"/>
    <w:rsid w:val="00BD4C0F"/>
    <w:rsid w:val="00BD539D"/>
    <w:rsid w:val="00BD5624"/>
    <w:rsid w:val="00BD5D71"/>
    <w:rsid w:val="00BD5DBA"/>
    <w:rsid w:val="00BD672F"/>
    <w:rsid w:val="00BE0E3D"/>
    <w:rsid w:val="00BE0F2A"/>
    <w:rsid w:val="00BE10C6"/>
    <w:rsid w:val="00BE1101"/>
    <w:rsid w:val="00BE1132"/>
    <w:rsid w:val="00BE1167"/>
    <w:rsid w:val="00BE11CC"/>
    <w:rsid w:val="00BE1785"/>
    <w:rsid w:val="00BE1A25"/>
    <w:rsid w:val="00BE2EC9"/>
    <w:rsid w:val="00BE392F"/>
    <w:rsid w:val="00BE4189"/>
    <w:rsid w:val="00BE467E"/>
    <w:rsid w:val="00BE593A"/>
    <w:rsid w:val="00BE6B8A"/>
    <w:rsid w:val="00BE700B"/>
    <w:rsid w:val="00BE71CE"/>
    <w:rsid w:val="00BE7A49"/>
    <w:rsid w:val="00BE7C4D"/>
    <w:rsid w:val="00BE7DC0"/>
    <w:rsid w:val="00BE7F23"/>
    <w:rsid w:val="00BF005D"/>
    <w:rsid w:val="00BF060B"/>
    <w:rsid w:val="00BF06DE"/>
    <w:rsid w:val="00BF07F8"/>
    <w:rsid w:val="00BF0B43"/>
    <w:rsid w:val="00BF0E3E"/>
    <w:rsid w:val="00BF1285"/>
    <w:rsid w:val="00BF187D"/>
    <w:rsid w:val="00BF2104"/>
    <w:rsid w:val="00BF225C"/>
    <w:rsid w:val="00BF37CE"/>
    <w:rsid w:val="00BF3C6C"/>
    <w:rsid w:val="00BF48C8"/>
    <w:rsid w:val="00BF4DA3"/>
    <w:rsid w:val="00BF548E"/>
    <w:rsid w:val="00BF62D6"/>
    <w:rsid w:val="00BF6907"/>
    <w:rsid w:val="00BF6A81"/>
    <w:rsid w:val="00BF7715"/>
    <w:rsid w:val="00BF7967"/>
    <w:rsid w:val="00C0056B"/>
    <w:rsid w:val="00C02C23"/>
    <w:rsid w:val="00C02E71"/>
    <w:rsid w:val="00C03016"/>
    <w:rsid w:val="00C03B60"/>
    <w:rsid w:val="00C0450C"/>
    <w:rsid w:val="00C04AA2"/>
    <w:rsid w:val="00C04F0D"/>
    <w:rsid w:val="00C052AE"/>
    <w:rsid w:val="00C065BE"/>
    <w:rsid w:val="00C079B6"/>
    <w:rsid w:val="00C10796"/>
    <w:rsid w:val="00C11E83"/>
    <w:rsid w:val="00C122CF"/>
    <w:rsid w:val="00C13F44"/>
    <w:rsid w:val="00C141A4"/>
    <w:rsid w:val="00C142A7"/>
    <w:rsid w:val="00C15AD2"/>
    <w:rsid w:val="00C17C71"/>
    <w:rsid w:val="00C20137"/>
    <w:rsid w:val="00C203D7"/>
    <w:rsid w:val="00C211B2"/>
    <w:rsid w:val="00C2137D"/>
    <w:rsid w:val="00C215FA"/>
    <w:rsid w:val="00C223F1"/>
    <w:rsid w:val="00C22E1C"/>
    <w:rsid w:val="00C2325A"/>
    <w:rsid w:val="00C23519"/>
    <w:rsid w:val="00C23E9B"/>
    <w:rsid w:val="00C2452E"/>
    <w:rsid w:val="00C24B89"/>
    <w:rsid w:val="00C24CDE"/>
    <w:rsid w:val="00C24D0D"/>
    <w:rsid w:val="00C25354"/>
    <w:rsid w:val="00C256EA"/>
    <w:rsid w:val="00C26657"/>
    <w:rsid w:val="00C30557"/>
    <w:rsid w:val="00C319AC"/>
    <w:rsid w:val="00C31CC8"/>
    <w:rsid w:val="00C31FD7"/>
    <w:rsid w:val="00C32169"/>
    <w:rsid w:val="00C32E83"/>
    <w:rsid w:val="00C34A32"/>
    <w:rsid w:val="00C34FF7"/>
    <w:rsid w:val="00C35C8A"/>
    <w:rsid w:val="00C360AE"/>
    <w:rsid w:val="00C36385"/>
    <w:rsid w:val="00C370A7"/>
    <w:rsid w:val="00C371C8"/>
    <w:rsid w:val="00C37F46"/>
    <w:rsid w:val="00C41486"/>
    <w:rsid w:val="00C41AE0"/>
    <w:rsid w:val="00C43609"/>
    <w:rsid w:val="00C44CB3"/>
    <w:rsid w:val="00C44D11"/>
    <w:rsid w:val="00C45667"/>
    <w:rsid w:val="00C46A90"/>
    <w:rsid w:val="00C47217"/>
    <w:rsid w:val="00C473C1"/>
    <w:rsid w:val="00C476E4"/>
    <w:rsid w:val="00C478CA"/>
    <w:rsid w:val="00C521D1"/>
    <w:rsid w:val="00C538C1"/>
    <w:rsid w:val="00C543E3"/>
    <w:rsid w:val="00C5542E"/>
    <w:rsid w:val="00C5555E"/>
    <w:rsid w:val="00C55B16"/>
    <w:rsid w:val="00C55DE3"/>
    <w:rsid w:val="00C56943"/>
    <w:rsid w:val="00C56DF4"/>
    <w:rsid w:val="00C57073"/>
    <w:rsid w:val="00C60192"/>
    <w:rsid w:val="00C60C1D"/>
    <w:rsid w:val="00C60CA1"/>
    <w:rsid w:val="00C619B3"/>
    <w:rsid w:val="00C62601"/>
    <w:rsid w:val="00C63055"/>
    <w:rsid w:val="00C648E3"/>
    <w:rsid w:val="00C64985"/>
    <w:rsid w:val="00C64B11"/>
    <w:rsid w:val="00C657A0"/>
    <w:rsid w:val="00C65FB8"/>
    <w:rsid w:val="00C66B11"/>
    <w:rsid w:val="00C6754B"/>
    <w:rsid w:val="00C67CC9"/>
    <w:rsid w:val="00C7067D"/>
    <w:rsid w:val="00C70BFC"/>
    <w:rsid w:val="00C714CB"/>
    <w:rsid w:val="00C72234"/>
    <w:rsid w:val="00C72B5E"/>
    <w:rsid w:val="00C72DA7"/>
    <w:rsid w:val="00C72EB3"/>
    <w:rsid w:val="00C730B8"/>
    <w:rsid w:val="00C730C4"/>
    <w:rsid w:val="00C736AC"/>
    <w:rsid w:val="00C768AE"/>
    <w:rsid w:val="00C768C0"/>
    <w:rsid w:val="00C76C61"/>
    <w:rsid w:val="00C770B9"/>
    <w:rsid w:val="00C77404"/>
    <w:rsid w:val="00C77662"/>
    <w:rsid w:val="00C77D2C"/>
    <w:rsid w:val="00C80766"/>
    <w:rsid w:val="00C826C5"/>
    <w:rsid w:val="00C82ECE"/>
    <w:rsid w:val="00C82FC1"/>
    <w:rsid w:val="00C836F9"/>
    <w:rsid w:val="00C842BD"/>
    <w:rsid w:val="00C844B2"/>
    <w:rsid w:val="00C84C74"/>
    <w:rsid w:val="00C86013"/>
    <w:rsid w:val="00C86C02"/>
    <w:rsid w:val="00C86E64"/>
    <w:rsid w:val="00C87323"/>
    <w:rsid w:val="00C9153B"/>
    <w:rsid w:val="00C9492A"/>
    <w:rsid w:val="00C94DFE"/>
    <w:rsid w:val="00C95095"/>
    <w:rsid w:val="00C9515F"/>
    <w:rsid w:val="00C95C0E"/>
    <w:rsid w:val="00C9632D"/>
    <w:rsid w:val="00C96979"/>
    <w:rsid w:val="00C9712D"/>
    <w:rsid w:val="00C97E0E"/>
    <w:rsid w:val="00C97F63"/>
    <w:rsid w:val="00CA047F"/>
    <w:rsid w:val="00CA09B0"/>
    <w:rsid w:val="00CA0C1D"/>
    <w:rsid w:val="00CA0D83"/>
    <w:rsid w:val="00CA1075"/>
    <w:rsid w:val="00CA19C5"/>
    <w:rsid w:val="00CA2263"/>
    <w:rsid w:val="00CA2BE8"/>
    <w:rsid w:val="00CA2FB3"/>
    <w:rsid w:val="00CA4443"/>
    <w:rsid w:val="00CA4629"/>
    <w:rsid w:val="00CA48F5"/>
    <w:rsid w:val="00CA5BEB"/>
    <w:rsid w:val="00CA616C"/>
    <w:rsid w:val="00CA68FC"/>
    <w:rsid w:val="00CA6CFF"/>
    <w:rsid w:val="00CA6DE4"/>
    <w:rsid w:val="00CA7114"/>
    <w:rsid w:val="00CA76D2"/>
    <w:rsid w:val="00CA7C02"/>
    <w:rsid w:val="00CB0131"/>
    <w:rsid w:val="00CB094E"/>
    <w:rsid w:val="00CB12DF"/>
    <w:rsid w:val="00CB145F"/>
    <w:rsid w:val="00CB14D0"/>
    <w:rsid w:val="00CB18F3"/>
    <w:rsid w:val="00CB39A0"/>
    <w:rsid w:val="00CB3CE6"/>
    <w:rsid w:val="00CB4326"/>
    <w:rsid w:val="00CB4398"/>
    <w:rsid w:val="00CB4E3E"/>
    <w:rsid w:val="00CB57F0"/>
    <w:rsid w:val="00CB5984"/>
    <w:rsid w:val="00CB5B9D"/>
    <w:rsid w:val="00CB5FFE"/>
    <w:rsid w:val="00CC0156"/>
    <w:rsid w:val="00CC153A"/>
    <w:rsid w:val="00CC1D55"/>
    <w:rsid w:val="00CC57DE"/>
    <w:rsid w:val="00CC733A"/>
    <w:rsid w:val="00CC7655"/>
    <w:rsid w:val="00CD03B1"/>
    <w:rsid w:val="00CD06C1"/>
    <w:rsid w:val="00CD0E50"/>
    <w:rsid w:val="00CD21E6"/>
    <w:rsid w:val="00CD254A"/>
    <w:rsid w:val="00CD388D"/>
    <w:rsid w:val="00CD3EA5"/>
    <w:rsid w:val="00CD59C2"/>
    <w:rsid w:val="00CD66F4"/>
    <w:rsid w:val="00CE03E1"/>
    <w:rsid w:val="00CE0AD5"/>
    <w:rsid w:val="00CE0BD5"/>
    <w:rsid w:val="00CE193C"/>
    <w:rsid w:val="00CE1F7B"/>
    <w:rsid w:val="00CE33B6"/>
    <w:rsid w:val="00CE41B6"/>
    <w:rsid w:val="00CE4F30"/>
    <w:rsid w:val="00CE51E6"/>
    <w:rsid w:val="00CE62CD"/>
    <w:rsid w:val="00CE7347"/>
    <w:rsid w:val="00CE74AA"/>
    <w:rsid w:val="00CF0691"/>
    <w:rsid w:val="00CF0B92"/>
    <w:rsid w:val="00CF0ECC"/>
    <w:rsid w:val="00CF1739"/>
    <w:rsid w:val="00CF1E7D"/>
    <w:rsid w:val="00CF3D86"/>
    <w:rsid w:val="00CF3E0B"/>
    <w:rsid w:val="00CF3F0B"/>
    <w:rsid w:val="00CF45B6"/>
    <w:rsid w:val="00CF478B"/>
    <w:rsid w:val="00CF4954"/>
    <w:rsid w:val="00CF57C0"/>
    <w:rsid w:val="00CF5B2E"/>
    <w:rsid w:val="00CF681C"/>
    <w:rsid w:val="00CF6E49"/>
    <w:rsid w:val="00CF7219"/>
    <w:rsid w:val="00CF7B6E"/>
    <w:rsid w:val="00D01A46"/>
    <w:rsid w:val="00D01FD3"/>
    <w:rsid w:val="00D024C5"/>
    <w:rsid w:val="00D02773"/>
    <w:rsid w:val="00D02969"/>
    <w:rsid w:val="00D02DD5"/>
    <w:rsid w:val="00D03C9E"/>
    <w:rsid w:val="00D04107"/>
    <w:rsid w:val="00D054B9"/>
    <w:rsid w:val="00D05F89"/>
    <w:rsid w:val="00D06410"/>
    <w:rsid w:val="00D06779"/>
    <w:rsid w:val="00D071F8"/>
    <w:rsid w:val="00D077AF"/>
    <w:rsid w:val="00D07C78"/>
    <w:rsid w:val="00D1030A"/>
    <w:rsid w:val="00D109B7"/>
    <w:rsid w:val="00D11A7A"/>
    <w:rsid w:val="00D12397"/>
    <w:rsid w:val="00D126E9"/>
    <w:rsid w:val="00D12F00"/>
    <w:rsid w:val="00D1316C"/>
    <w:rsid w:val="00D13C85"/>
    <w:rsid w:val="00D13E47"/>
    <w:rsid w:val="00D14339"/>
    <w:rsid w:val="00D14603"/>
    <w:rsid w:val="00D151AE"/>
    <w:rsid w:val="00D154EB"/>
    <w:rsid w:val="00D168FA"/>
    <w:rsid w:val="00D16A12"/>
    <w:rsid w:val="00D175DD"/>
    <w:rsid w:val="00D17CD2"/>
    <w:rsid w:val="00D208FC"/>
    <w:rsid w:val="00D217D5"/>
    <w:rsid w:val="00D22525"/>
    <w:rsid w:val="00D23C24"/>
    <w:rsid w:val="00D23ED8"/>
    <w:rsid w:val="00D24D01"/>
    <w:rsid w:val="00D2524B"/>
    <w:rsid w:val="00D2650B"/>
    <w:rsid w:val="00D26542"/>
    <w:rsid w:val="00D27D0D"/>
    <w:rsid w:val="00D30190"/>
    <w:rsid w:val="00D30B5F"/>
    <w:rsid w:val="00D30C33"/>
    <w:rsid w:val="00D313E1"/>
    <w:rsid w:val="00D31F89"/>
    <w:rsid w:val="00D33B72"/>
    <w:rsid w:val="00D33C6F"/>
    <w:rsid w:val="00D34172"/>
    <w:rsid w:val="00D3515D"/>
    <w:rsid w:val="00D35F83"/>
    <w:rsid w:val="00D361F1"/>
    <w:rsid w:val="00D37823"/>
    <w:rsid w:val="00D4062E"/>
    <w:rsid w:val="00D4179A"/>
    <w:rsid w:val="00D427BE"/>
    <w:rsid w:val="00D428F5"/>
    <w:rsid w:val="00D4347E"/>
    <w:rsid w:val="00D43FB5"/>
    <w:rsid w:val="00D444B0"/>
    <w:rsid w:val="00D44843"/>
    <w:rsid w:val="00D44850"/>
    <w:rsid w:val="00D45AE8"/>
    <w:rsid w:val="00D45D76"/>
    <w:rsid w:val="00D465BD"/>
    <w:rsid w:val="00D465CA"/>
    <w:rsid w:val="00D46CE6"/>
    <w:rsid w:val="00D47212"/>
    <w:rsid w:val="00D47532"/>
    <w:rsid w:val="00D50E7F"/>
    <w:rsid w:val="00D51D71"/>
    <w:rsid w:val="00D51E7C"/>
    <w:rsid w:val="00D533B6"/>
    <w:rsid w:val="00D538BF"/>
    <w:rsid w:val="00D53DDA"/>
    <w:rsid w:val="00D54A51"/>
    <w:rsid w:val="00D54CD2"/>
    <w:rsid w:val="00D5726B"/>
    <w:rsid w:val="00D57C74"/>
    <w:rsid w:val="00D6018A"/>
    <w:rsid w:val="00D61A3F"/>
    <w:rsid w:val="00D62D44"/>
    <w:rsid w:val="00D6437E"/>
    <w:rsid w:val="00D64863"/>
    <w:rsid w:val="00D6499B"/>
    <w:rsid w:val="00D665A4"/>
    <w:rsid w:val="00D669FF"/>
    <w:rsid w:val="00D71314"/>
    <w:rsid w:val="00D725A1"/>
    <w:rsid w:val="00D72757"/>
    <w:rsid w:val="00D80A7A"/>
    <w:rsid w:val="00D80AB6"/>
    <w:rsid w:val="00D8220A"/>
    <w:rsid w:val="00D83C6B"/>
    <w:rsid w:val="00D84539"/>
    <w:rsid w:val="00D85565"/>
    <w:rsid w:val="00D860BD"/>
    <w:rsid w:val="00D866A1"/>
    <w:rsid w:val="00D86703"/>
    <w:rsid w:val="00D86A1A"/>
    <w:rsid w:val="00D87BEF"/>
    <w:rsid w:val="00D90884"/>
    <w:rsid w:val="00D90B96"/>
    <w:rsid w:val="00D9308C"/>
    <w:rsid w:val="00D93B8C"/>
    <w:rsid w:val="00D93DF9"/>
    <w:rsid w:val="00D94184"/>
    <w:rsid w:val="00D9551E"/>
    <w:rsid w:val="00D979EB"/>
    <w:rsid w:val="00D97B8C"/>
    <w:rsid w:val="00DA0334"/>
    <w:rsid w:val="00DA1183"/>
    <w:rsid w:val="00DA143D"/>
    <w:rsid w:val="00DA4339"/>
    <w:rsid w:val="00DA43E0"/>
    <w:rsid w:val="00DA745C"/>
    <w:rsid w:val="00DB0A8E"/>
    <w:rsid w:val="00DB1E36"/>
    <w:rsid w:val="00DB2C77"/>
    <w:rsid w:val="00DB2FA6"/>
    <w:rsid w:val="00DB3D60"/>
    <w:rsid w:val="00DB43A4"/>
    <w:rsid w:val="00DB4583"/>
    <w:rsid w:val="00DB4766"/>
    <w:rsid w:val="00DB5837"/>
    <w:rsid w:val="00DB6492"/>
    <w:rsid w:val="00DB661F"/>
    <w:rsid w:val="00DB6FA7"/>
    <w:rsid w:val="00DB755D"/>
    <w:rsid w:val="00DB7797"/>
    <w:rsid w:val="00DC20CF"/>
    <w:rsid w:val="00DC315C"/>
    <w:rsid w:val="00DC383C"/>
    <w:rsid w:val="00DC394A"/>
    <w:rsid w:val="00DC409B"/>
    <w:rsid w:val="00DC4392"/>
    <w:rsid w:val="00DC4C60"/>
    <w:rsid w:val="00DC57F5"/>
    <w:rsid w:val="00DC5BB6"/>
    <w:rsid w:val="00DC607E"/>
    <w:rsid w:val="00DC6196"/>
    <w:rsid w:val="00DC6489"/>
    <w:rsid w:val="00DC6B8D"/>
    <w:rsid w:val="00DC7512"/>
    <w:rsid w:val="00DC753D"/>
    <w:rsid w:val="00DD003C"/>
    <w:rsid w:val="00DD05EB"/>
    <w:rsid w:val="00DD0792"/>
    <w:rsid w:val="00DD1131"/>
    <w:rsid w:val="00DD1A60"/>
    <w:rsid w:val="00DD2311"/>
    <w:rsid w:val="00DD270A"/>
    <w:rsid w:val="00DD3171"/>
    <w:rsid w:val="00DD3228"/>
    <w:rsid w:val="00DD3F17"/>
    <w:rsid w:val="00DD4F5C"/>
    <w:rsid w:val="00DD6C5C"/>
    <w:rsid w:val="00DD7E1A"/>
    <w:rsid w:val="00DE061D"/>
    <w:rsid w:val="00DE0739"/>
    <w:rsid w:val="00DE0DAC"/>
    <w:rsid w:val="00DE0FF7"/>
    <w:rsid w:val="00DE1043"/>
    <w:rsid w:val="00DE1963"/>
    <w:rsid w:val="00DE1B48"/>
    <w:rsid w:val="00DE1E1B"/>
    <w:rsid w:val="00DE2ECE"/>
    <w:rsid w:val="00DE3090"/>
    <w:rsid w:val="00DE3203"/>
    <w:rsid w:val="00DE3480"/>
    <w:rsid w:val="00DE34E3"/>
    <w:rsid w:val="00DE5974"/>
    <w:rsid w:val="00DE5C16"/>
    <w:rsid w:val="00DE5C3C"/>
    <w:rsid w:val="00DE5D99"/>
    <w:rsid w:val="00DE5F29"/>
    <w:rsid w:val="00DE61F1"/>
    <w:rsid w:val="00DE6A12"/>
    <w:rsid w:val="00DF0918"/>
    <w:rsid w:val="00DF0CDF"/>
    <w:rsid w:val="00DF17E6"/>
    <w:rsid w:val="00DF1F80"/>
    <w:rsid w:val="00DF21C5"/>
    <w:rsid w:val="00DF2C40"/>
    <w:rsid w:val="00DF5D23"/>
    <w:rsid w:val="00DF5E85"/>
    <w:rsid w:val="00DF6A49"/>
    <w:rsid w:val="00DF6DEE"/>
    <w:rsid w:val="00DF7A8F"/>
    <w:rsid w:val="00DF7B11"/>
    <w:rsid w:val="00DF7CB4"/>
    <w:rsid w:val="00E00648"/>
    <w:rsid w:val="00E02E9A"/>
    <w:rsid w:val="00E03CF0"/>
    <w:rsid w:val="00E04A1B"/>
    <w:rsid w:val="00E04AF9"/>
    <w:rsid w:val="00E06287"/>
    <w:rsid w:val="00E076EE"/>
    <w:rsid w:val="00E07930"/>
    <w:rsid w:val="00E106B3"/>
    <w:rsid w:val="00E108C7"/>
    <w:rsid w:val="00E12E4A"/>
    <w:rsid w:val="00E13573"/>
    <w:rsid w:val="00E13FBB"/>
    <w:rsid w:val="00E149BC"/>
    <w:rsid w:val="00E14C12"/>
    <w:rsid w:val="00E15309"/>
    <w:rsid w:val="00E15F48"/>
    <w:rsid w:val="00E16138"/>
    <w:rsid w:val="00E202C0"/>
    <w:rsid w:val="00E20F25"/>
    <w:rsid w:val="00E2172C"/>
    <w:rsid w:val="00E2274E"/>
    <w:rsid w:val="00E26EE2"/>
    <w:rsid w:val="00E271CB"/>
    <w:rsid w:val="00E27273"/>
    <w:rsid w:val="00E3066C"/>
    <w:rsid w:val="00E3070D"/>
    <w:rsid w:val="00E30E3A"/>
    <w:rsid w:val="00E3216B"/>
    <w:rsid w:val="00E32439"/>
    <w:rsid w:val="00E33034"/>
    <w:rsid w:val="00E35547"/>
    <w:rsid w:val="00E356F0"/>
    <w:rsid w:val="00E35D89"/>
    <w:rsid w:val="00E36450"/>
    <w:rsid w:val="00E36F65"/>
    <w:rsid w:val="00E37500"/>
    <w:rsid w:val="00E375CA"/>
    <w:rsid w:val="00E3769E"/>
    <w:rsid w:val="00E40B8C"/>
    <w:rsid w:val="00E41C08"/>
    <w:rsid w:val="00E41FD9"/>
    <w:rsid w:val="00E4208E"/>
    <w:rsid w:val="00E42E13"/>
    <w:rsid w:val="00E440C3"/>
    <w:rsid w:val="00E4455D"/>
    <w:rsid w:val="00E45057"/>
    <w:rsid w:val="00E468D0"/>
    <w:rsid w:val="00E474E9"/>
    <w:rsid w:val="00E4788D"/>
    <w:rsid w:val="00E50027"/>
    <w:rsid w:val="00E50113"/>
    <w:rsid w:val="00E5167C"/>
    <w:rsid w:val="00E51F30"/>
    <w:rsid w:val="00E5249A"/>
    <w:rsid w:val="00E52A72"/>
    <w:rsid w:val="00E532C3"/>
    <w:rsid w:val="00E53795"/>
    <w:rsid w:val="00E54F89"/>
    <w:rsid w:val="00E55201"/>
    <w:rsid w:val="00E571B9"/>
    <w:rsid w:val="00E634F3"/>
    <w:rsid w:val="00E637BD"/>
    <w:rsid w:val="00E6455B"/>
    <w:rsid w:val="00E65626"/>
    <w:rsid w:val="00E6573B"/>
    <w:rsid w:val="00E66B82"/>
    <w:rsid w:val="00E67326"/>
    <w:rsid w:val="00E67852"/>
    <w:rsid w:val="00E679F1"/>
    <w:rsid w:val="00E7054E"/>
    <w:rsid w:val="00E70BBD"/>
    <w:rsid w:val="00E7235E"/>
    <w:rsid w:val="00E72808"/>
    <w:rsid w:val="00E738A6"/>
    <w:rsid w:val="00E73B21"/>
    <w:rsid w:val="00E7417C"/>
    <w:rsid w:val="00E75F95"/>
    <w:rsid w:val="00E77033"/>
    <w:rsid w:val="00E800D5"/>
    <w:rsid w:val="00E8095C"/>
    <w:rsid w:val="00E81449"/>
    <w:rsid w:val="00E815BF"/>
    <w:rsid w:val="00E81F2F"/>
    <w:rsid w:val="00E825E9"/>
    <w:rsid w:val="00E82C44"/>
    <w:rsid w:val="00E83EFE"/>
    <w:rsid w:val="00E842B8"/>
    <w:rsid w:val="00E84434"/>
    <w:rsid w:val="00E84533"/>
    <w:rsid w:val="00E8467F"/>
    <w:rsid w:val="00E85060"/>
    <w:rsid w:val="00E85AC2"/>
    <w:rsid w:val="00E86231"/>
    <w:rsid w:val="00E864C7"/>
    <w:rsid w:val="00E865B1"/>
    <w:rsid w:val="00E86D83"/>
    <w:rsid w:val="00E87620"/>
    <w:rsid w:val="00E9080B"/>
    <w:rsid w:val="00E91469"/>
    <w:rsid w:val="00E915D6"/>
    <w:rsid w:val="00E92503"/>
    <w:rsid w:val="00E926CA"/>
    <w:rsid w:val="00E9294F"/>
    <w:rsid w:val="00E93C10"/>
    <w:rsid w:val="00E948B4"/>
    <w:rsid w:val="00E954E4"/>
    <w:rsid w:val="00E95847"/>
    <w:rsid w:val="00E95957"/>
    <w:rsid w:val="00E969F8"/>
    <w:rsid w:val="00EA05B6"/>
    <w:rsid w:val="00EA0B29"/>
    <w:rsid w:val="00EA13DC"/>
    <w:rsid w:val="00EA2014"/>
    <w:rsid w:val="00EA27CE"/>
    <w:rsid w:val="00EA2A8E"/>
    <w:rsid w:val="00EA2E76"/>
    <w:rsid w:val="00EA4080"/>
    <w:rsid w:val="00EA4348"/>
    <w:rsid w:val="00EA43AF"/>
    <w:rsid w:val="00EA43F7"/>
    <w:rsid w:val="00EA4EEC"/>
    <w:rsid w:val="00EA6102"/>
    <w:rsid w:val="00EA61B7"/>
    <w:rsid w:val="00EA6581"/>
    <w:rsid w:val="00EA7176"/>
    <w:rsid w:val="00EA752E"/>
    <w:rsid w:val="00EB0721"/>
    <w:rsid w:val="00EB1240"/>
    <w:rsid w:val="00EB16E7"/>
    <w:rsid w:val="00EB1ADE"/>
    <w:rsid w:val="00EB1DC0"/>
    <w:rsid w:val="00EB2110"/>
    <w:rsid w:val="00EB36A7"/>
    <w:rsid w:val="00EB39C7"/>
    <w:rsid w:val="00EB43C4"/>
    <w:rsid w:val="00EB47BC"/>
    <w:rsid w:val="00EB52AF"/>
    <w:rsid w:val="00EB5780"/>
    <w:rsid w:val="00EB5934"/>
    <w:rsid w:val="00EB5B5E"/>
    <w:rsid w:val="00EB5D76"/>
    <w:rsid w:val="00EB6292"/>
    <w:rsid w:val="00EB6BD5"/>
    <w:rsid w:val="00EB6C26"/>
    <w:rsid w:val="00EB70BD"/>
    <w:rsid w:val="00EB7566"/>
    <w:rsid w:val="00EB7BE2"/>
    <w:rsid w:val="00EC0244"/>
    <w:rsid w:val="00EC0B17"/>
    <w:rsid w:val="00EC0F80"/>
    <w:rsid w:val="00EC1AD3"/>
    <w:rsid w:val="00EC1F76"/>
    <w:rsid w:val="00EC236E"/>
    <w:rsid w:val="00EC2B48"/>
    <w:rsid w:val="00EC2B74"/>
    <w:rsid w:val="00EC2D37"/>
    <w:rsid w:val="00EC3A3D"/>
    <w:rsid w:val="00EC3ACA"/>
    <w:rsid w:val="00EC3E0E"/>
    <w:rsid w:val="00EC48CD"/>
    <w:rsid w:val="00EC4B70"/>
    <w:rsid w:val="00EC5238"/>
    <w:rsid w:val="00EC57C0"/>
    <w:rsid w:val="00EC63E8"/>
    <w:rsid w:val="00EC6D5C"/>
    <w:rsid w:val="00EC741C"/>
    <w:rsid w:val="00EC7688"/>
    <w:rsid w:val="00EC7E4C"/>
    <w:rsid w:val="00ED17CB"/>
    <w:rsid w:val="00ED185C"/>
    <w:rsid w:val="00ED3231"/>
    <w:rsid w:val="00ED4533"/>
    <w:rsid w:val="00ED47ED"/>
    <w:rsid w:val="00ED586A"/>
    <w:rsid w:val="00ED60D9"/>
    <w:rsid w:val="00ED61FD"/>
    <w:rsid w:val="00ED6E3E"/>
    <w:rsid w:val="00ED73A8"/>
    <w:rsid w:val="00ED7673"/>
    <w:rsid w:val="00ED7840"/>
    <w:rsid w:val="00EE0768"/>
    <w:rsid w:val="00EE081F"/>
    <w:rsid w:val="00EE117A"/>
    <w:rsid w:val="00EE3531"/>
    <w:rsid w:val="00EE400B"/>
    <w:rsid w:val="00EE434C"/>
    <w:rsid w:val="00EE4E6A"/>
    <w:rsid w:val="00EE644F"/>
    <w:rsid w:val="00EE7CD6"/>
    <w:rsid w:val="00EF0477"/>
    <w:rsid w:val="00EF144D"/>
    <w:rsid w:val="00EF1B01"/>
    <w:rsid w:val="00EF1FF4"/>
    <w:rsid w:val="00EF26E4"/>
    <w:rsid w:val="00EF2CDF"/>
    <w:rsid w:val="00EF3690"/>
    <w:rsid w:val="00EF48ED"/>
    <w:rsid w:val="00EF4E7A"/>
    <w:rsid w:val="00EF51EA"/>
    <w:rsid w:val="00EF702C"/>
    <w:rsid w:val="00F00A46"/>
    <w:rsid w:val="00F01190"/>
    <w:rsid w:val="00F01A96"/>
    <w:rsid w:val="00F022BD"/>
    <w:rsid w:val="00F02A03"/>
    <w:rsid w:val="00F03B09"/>
    <w:rsid w:val="00F05437"/>
    <w:rsid w:val="00F055D3"/>
    <w:rsid w:val="00F05E3F"/>
    <w:rsid w:val="00F071E7"/>
    <w:rsid w:val="00F074E5"/>
    <w:rsid w:val="00F074F2"/>
    <w:rsid w:val="00F07616"/>
    <w:rsid w:val="00F07B6C"/>
    <w:rsid w:val="00F07F13"/>
    <w:rsid w:val="00F105F7"/>
    <w:rsid w:val="00F1090C"/>
    <w:rsid w:val="00F10AB9"/>
    <w:rsid w:val="00F10BD1"/>
    <w:rsid w:val="00F10D61"/>
    <w:rsid w:val="00F116C2"/>
    <w:rsid w:val="00F132DA"/>
    <w:rsid w:val="00F13BE1"/>
    <w:rsid w:val="00F144DE"/>
    <w:rsid w:val="00F14E25"/>
    <w:rsid w:val="00F158D0"/>
    <w:rsid w:val="00F2108C"/>
    <w:rsid w:val="00F2146F"/>
    <w:rsid w:val="00F21902"/>
    <w:rsid w:val="00F21A26"/>
    <w:rsid w:val="00F21D5F"/>
    <w:rsid w:val="00F21F41"/>
    <w:rsid w:val="00F2216F"/>
    <w:rsid w:val="00F224F7"/>
    <w:rsid w:val="00F22FA1"/>
    <w:rsid w:val="00F234AA"/>
    <w:rsid w:val="00F23FD6"/>
    <w:rsid w:val="00F2457A"/>
    <w:rsid w:val="00F24BC7"/>
    <w:rsid w:val="00F251B4"/>
    <w:rsid w:val="00F255B5"/>
    <w:rsid w:val="00F25868"/>
    <w:rsid w:val="00F2597D"/>
    <w:rsid w:val="00F26309"/>
    <w:rsid w:val="00F26418"/>
    <w:rsid w:val="00F26792"/>
    <w:rsid w:val="00F30B2B"/>
    <w:rsid w:val="00F310B9"/>
    <w:rsid w:val="00F312A8"/>
    <w:rsid w:val="00F31C85"/>
    <w:rsid w:val="00F32970"/>
    <w:rsid w:val="00F33491"/>
    <w:rsid w:val="00F3389A"/>
    <w:rsid w:val="00F3440E"/>
    <w:rsid w:val="00F34C7C"/>
    <w:rsid w:val="00F35031"/>
    <w:rsid w:val="00F35A61"/>
    <w:rsid w:val="00F362EE"/>
    <w:rsid w:val="00F3649F"/>
    <w:rsid w:val="00F368D6"/>
    <w:rsid w:val="00F36A8B"/>
    <w:rsid w:val="00F36BFA"/>
    <w:rsid w:val="00F36CDE"/>
    <w:rsid w:val="00F4077E"/>
    <w:rsid w:val="00F40E15"/>
    <w:rsid w:val="00F41076"/>
    <w:rsid w:val="00F415B1"/>
    <w:rsid w:val="00F4179F"/>
    <w:rsid w:val="00F4191A"/>
    <w:rsid w:val="00F4193A"/>
    <w:rsid w:val="00F42B1D"/>
    <w:rsid w:val="00F432B9"/>
    <w:rsid w:val="00F43327"/>
    <w:rsid w:val="00F4392B"/>
    <w:rsid w:val="00F440C5"/>
    <w:rsid w:val="00F447E3"/>
    <w:rsid w:val="00F44AA6"/>
    <w:rsid w:val="00F46EC4"/>
    <w:rsid w:val="00F47A14"/>
    <w:rsid w:val="00F47EAE"/>
    <w:rsid w:val="00F5077A"/>
    <w:rsid w:val="00F51131"/>
    <w:rsid w:val="00F51528"/>
    <w:rsid w:val="00F5169F"/>
    <w:rsid w:val="00F522D0"/>
    <w:rsid w:val="00F52737"/>
    <w:rsid w:val="00F52F8A"/>
    <w:rsid w:val="00F54FCA"/>
    <w:rsid w:val="00F550BA"/>
    <w:rsid w:val="00F556B6"/>
    <w:rsid w:val="00F55AA4"/>
    <w:rsid w:val="00F55BA1"/>
    <w:rsid w:val="00F561A6"/>
    <w:rsid w:val="00F56477"/>
    <w:rsid w:val="00F565BA"/>
    <w:rsid w:val="00F56E2F"/>
    <w:rsid w:val="00F601CB"/>
    <w:rsid w:val="00F60CF6"/>
    <w:rsid w:val="00F60DBB"/>
    <w:rsid w:val="00F620C0"/>
    <w:rsid w:val="00F6318F"/>
    <w:rsid w:val="00F652C7"/>
    <w:rsid w:val="00F652E4"/>
    <w:rsid w:val="00F655C4"/>
    <w:rsid w:val="00F65A7C"/>
    <w:rsid w:val="00F66456"/>
    <w:rsid w:val="00F66B43"/>
    <w:rsid w:val="00F67851"/>
    <w:rsid w:val="00F67EDC"/>
    <w:rsid w:val="00F71167"/>
    <w:rsid w:val="00F71EAF"/>
    <w:rsid w:val="00F72D7C"/>
    <w:rsid w:val="00F73486"/>
    <w:rsid w:val="00F73C05"/>
    <w:rsid w:val="00F74657"/>
    <w:rsid w:val="00F758C9"/>
    <w:rsid w:val="00F75D6D"/>
    <w:rsid w:val="00F75E7C"/>
    <w:rsid w:val="00F75EFC"/>
    <w:rsid w:val="00F77D58"/>
    <w:rsid w:val="00F806F0"/>
    <w:rsid w:val="00F80D5A"/>
    <w:rsid w:val="00F80F60"/>
    <w:rsid w:val="00F814C2"/>
    <w:rsid w:val="00F81857"/>
    <w:rsid w:val="00F81B73"/>
    <w:rsid w:val="00F820D1"/>
    <w:rsid w:val="00F824FD"/>
    <w:rsid w:val="00F82AC5"/>
    <w:rsid w:val="00F82B08"/>
    <w:rsid w:val="00F82C4F"/>
    <w:rsid w:val="00F82D22"/>
    <w:rsid w:val="00F8380C"/>
    <w:rsid w:val="00F8390F"/>
    <w:rsid w:val="00F84024"/>
    <w:rsid w:val="00F8616B"/>
    <w:rsid w:val="00F863ED"/>
    <w:rsid w:val="00F86BC6"/>
    <w:rsid w:val="00F9020A"/>
    <w:rsid w:val="00F91778"/>
    <w:rsid w:val="00F91BD3"/>
    <w:rsid w:val="00F923E7"/>
    <w:rsid w:val="00F92E98"/>
    <w:rsid w:val="00F941A7"/>
    <w:rsid w:val="00F945B2"/>
    <w:rsid w:val="00F94B2E"/>
    <w:rsid w:val="00F94D03"/>
    <w:rsid w:val="00F95702"/>
    <w:rsid w:val="00F96117"/>
    <w:rsid w:val="00F966D6"/>
    <w:rsid w:val="00F96E6D"/>
    <w:rsid w:val="00F97C50"/>
    <w:rsid w:val="00FA0171"/>
    <w:rsid w:val="00FA041F"/>
    <w:rsid w:val="00FA1960"/>
    <w:rsid w:val="00FA4BB8"/>
    <w:rsid w:val="00FA4F39"/>
    <w:rsid w:val="00FA5235"/>
    <w:rsid w:val="00FA5CF7"/>
    <w:rsid w:val="00FA73D5"/>
    <w:rsid w:val="00FA7607"/>
    <w:rsid w:val="00FA7CE0"/>
    <w:rsid w:val="00FB11A9"/>
    <w:rsid w:val="00FB18E2"/>
    <w:rsid w:val="00FB1C39"/>
    <w:rsid w:val="00FB1C6C"/>
    <w:rsid w:val="00FB3658"/>
    <w:rsid w:val="00FB3A8B"/>
    <w:rsid w:val="00FB3B3B"/>
    <w:rsid w:val="00FB3FEF"/>
    <w:rsid w:val="00FB4831"/>
    <w:rsid w:val="00FB4A60"/>
    <w:rsid w:val="00FB5309"/>
    <w:rsid w:val="00FB547F"/>
    <w:rsid w:val="00FB6B03"/>
    <w:rsid w:val="00FB6ED5"/>
    <w:rsid w:val="00FB78C8"/>
    <w:rsid w:val="00FB79C3"/>
    <w:rsid w:val="00FC00F3"/>
    <w:rsid w:val="00FC06C0"/>
    <w:rsid w:val="00FC0713"/>
    <w:rsid w:val="00FC1388"/>
    <w:rsid w:val="00FC1B29"/>
    <w:rsid w:val="00FC1CCD"/>
    <w:rsid w:val="00FC1D89"/>
    <w:rsid w:val="00FC344A"/>
    <w:rsid w:val="00FC376F"/>
    <w:rsid w:val="00FC4EA1"/>
    <w:rsid w:val="00FC5638"/>
    <w:rsid w:val="00FC5F5C"/>
    <w:rsid w:val="00FC694F"/>
    <w:rsid w:val="00FC6E7F"/>
    <w:rsid w:val="00FC7232"/>
    <w:rsid w:val="00FC726A"/>
    <w:rsid w:val="00FC7DC3"/>
    <w:rsid w:val="00FD052D"/>
    <w:rsid w:val="00FD1019"/>
    <w:rsid w:val="00FD19B6"/>
    <w:rsid w:val="00FD24BB"/>
    <w:rsid w:val="00FD24D5"/>
    <w:rsid w:val="00FD2501"/>
    <w:rsid w:val="00FD34FD"/>
    <w:rsid w:val="00FD3572"/>
    <w:rsid w:val="00FD4400"/>
    <w:rsid w:val="00FD4763"/>
    <w:rsid w:val="00FD5061"/>
    <w:rsid w:val="00FD6ED0"/>
    <w:rsid w:val="00FD71F7"/>
    <w:rsid w:val="00FD7CA4"/>
    <w:rsid w:val="00FE022B"/>
    <w:rsid w:val="00FE09EC"/>
    <w:rsid w:val="00FE1157"/>
    <w:rsid w:val="00FE13E7"/>
    <w:rsid w:val="00FE193E"/>
    <w:rsid w:val="00FE1BA4"/>
    <w:rsid w:val="00FE2255"/>
    <w:rsid w:val="00FE2359"/>
    <w:rsid w:val="00FE2FD0"/>
    <w:rsid w:val="00FE2FD6"/>
    <w:rsid w:val="00FE38F7"/>
    <w:rsid w:val="00FE4366"/>
    <w:rsid w:val="00FE4DB8"/>
    <w:rsid w:val="00FE58A7"/>
    <w:rsid w:val="00FE72EB"/>
    <w:rsid w:val="00FF271E"/>
    <w:rsid w:val="00FF320F"/>
    <w:rsid w:val="00FF35D3"/>
    <w:rsid w:val="00FF3612"/>
    <w:rsid w:val="00FF3786"/>
    <w:rsid w:val="00FF4523"/>
    <w:rsid w:val="00FF57C9"/>
    <w:rsid w:val="00FF5E9D"/>
    <w:rsid w:val="00FF602A"/>
    <w:rsid w:val="00FF6A42"/>
    <w:rsid w:val="00FF7169"/>
    <w:rsid w:val="00FF7332"/>
    <w:rsid w:val="00FF7830"/>
    <w:rsid w:val="01461D93"/>
    <w:rsid w:val="014F170F"/>
    <w:rsid w:val="01EC3860"/>
    <w:rsid w:val="020D5467"/>
    <w:rsid w:val="021135A5"/>
    <w:rsid w:val="02EE226A"/>
    <w:rsid w:val="037201FF"/>
    <w:rsid w:val="04EA11D8"/>
    <w:rsid w:val="05573D16"/>
    <w:rsid w:val="057666C8"/>
    <w:rsid w:val="05D00B49"/>
    <w:rsid w:val="068C048B"/>
    <w:rsid w:val="072B545A"/>
    <w:rsid w:val="07C80EFB"/>
    <w:rsid w:val="08320404"/>
    <w:rsid w:val="083F5188"/>
    <w:rsid w:val="08997EFF"/>
    <w:rsid w:val="08C6712B"/>
    <w:rsid w:val="08CE42EF"/>
    <w:rsid w:val="08D334F3"/>
    <w:rsid w:val="09067F2D"/>
    <w:rsid w:val="09352415"/>
    <w:rsid w:val="0A0C5900"/>
    <w:rsid w:val="0A4D50BA"/>
    <w:rsid w:val="0A8F00B6"/>
    <w:rsid w:val="0AA574E9"/>
    <w:rsid w:val="0AB84ABC"/>
    <w:rsid w:val="0AC74067"/>
    <w:rsid w:val="0B4032A9"/>
    <w:rsid w:val="0B531822"/>
    <w:rsid w:val="0BE91D2B"/>
    <w:rsid w:val="0BEF7DA3"/>
    <w:rsid w:val="0BF01FA1"/>
    <w:rsid w:val="0C371869"/>
    <w:rsid w:val="0E1324BB"/>
    <w:rsid w:val="0E380F1F"/>
    <w:rsid w:val="0E464928"/>
    <w:rsid w:val="0E7549D1"/>
    <w:rsid w:val="0EF5006E"/>
    <w:rsid w:val="0F2509E1"/>
    <w:rsid w:val="0F7D4857"/>
    <w:rsid w:val="10047DA9"/>
    <w:rsid w:val="104E0165"/>
    <w:rsid w:val="105E7487"/>
    <w:rsid w:val="112423E5"/>
    <w:rsid w:val="11573F8A"/>
    <w:rsid w:val="120306E6"/>
    <w:rsid w:val="12242CC7"/>
    <w:rsid w:val="12365536"/>
    <w:rsid w:val="12786CF2"/>
    <w:rsid w:val="12DB5AAD"/>
    <w:rsid w:val="13914897"/>
    <w:rsid w:val="13AC3B73"/>
    <w:rsid w:val="13BA2669"/>
    <w:rsid w:val="144742E2"/>
    <w:rsid w:val="144E17E8"/>
    <w:rsid w:val="154B4739"/>
    <w:rsid w:val="158A00AD"/>
    <w:rsid w:val="15CE592F"/>
    <w:rsid w:val="165754AD"/>
    <w:rsid w:val="16654A67"/>
    <w:rsid w:val="17105115"/>
    <w:rsid w:val="17321EED"/>
    <w:rsid w:val="177A21D6"/>
    <w:rsid w:val="18111559"/>
    <w:rsid w:val="18C47E7D"/>
    <w:rsid w:val="19432807"/>
    <w:rsid w:val="1A750EBE"/>
    <w:rsid w:val="1ACB1D58"/>
    <w:rsid w:val="1B3D0B99"/>
    <w:rsid w:val="1B8747A5"/>
    <w:rsid w:val="1C273FEB"/>
    <w:rsid w:val="1C7B281D"/>
    <w:rsid w:val="1E522E75"/>
    <w:rsid w:val="1E8E5305"/>
    <w:rsid w:val="1FF40688"/>
    <w:rsid w:val="1FF90DC4"/>
    <w:rsid w:val="2011185F"/>
    <w:rsid w:val="20EB323C"/>
    <w:rsid w:val="21025237"/>
    <w:rsid w:val="21047F36"/>
    <w:rsid w:val="21294361"/>
    <w:rsid w:val="21486D51"/>
    <w:rsid w:val="224803B5"/>
    <w:rsid w:val="22B05D2B"/>
    <w:rsid w:val="22F8048F"/>
    <w:rsid w:val="234A27A9"/>
    <w:rsid w:val="23821F70"/>
    <w:rsid w:val="23B343B6"/>
    <w:rsid w:val="24681CC6"/>
    <w:rsid w:val="25103D8C"/>
    <w:rsid w:val="25733D33"/>
    <w:rsid w:val="25A05047"/>
    <w:rsid w:val="26E47B9C"/>
    <w:rsid w:val="2714107F"/>
    <w:rsid w:val="27EA62A4"/>
    <w:rsid w:val="28041810"/>
    <w:rsid w:val="282F5357"/>
    <w:rsid w:val="28A1418D"/>
    <w:rsid w:val="28DA3985"/>
    <w:rsid w:val="292875F4"/>
    <w:rsid w:val="299F5785"/>
    <w:rsid w:val="29CB1866"/>
    <w:rsid w:val="29CF3B52"/>
    <w:rsid w:val="29E24F4B"/>
    <w:rsid w:val="2A260030"/>
    <w:rsid w:val="2AB07A01"/>
    <w:rsid w:val="2AEB6408"/>
    <w:rsid w:val="2B7E174D"/>
    <w:rsid w:val="2C1C6203"/>
    <w:rsid w:val="2C336E4B"/>
    <w:rsid w:val="2C3C4024"/>
    <w:rsid w:val="2C93322E"/>
    <w:rsid w:val="2C9A6269"/>
    <w:rsid w:val="2CF83E56"/>
    <w:rsid w:val="2D2A1D0D"/>
    <w:rsid w:val="2D33606A"/>
    <w:rsid w:val="2D850B71"/>
    <w:rsid w:val="2DBC37E0"/>
    <w:rsid w:val="2E2F79FF"/>
    <w:rsid w:val="2E714AF5"/>
    <w:rsid w:val="2EBC1B59"/>
    <w:rsid w:val="2F3B3AB3"/>
    <w:rsid w:val="2F832538"/>
    <w:rsid w:val="2FC10028"/>
    <w:rsid w:val="2FDE33AD"/>
    <w:rsid w:val="2FE20833"/>
    <w:rsid w:val="3012656A"/>
    <w:rsid w:val="30E61401"/>
    <w:rsid w:val="31510AC9"/>
    <w:rsid w:val="31D57F25"/>
    <w:rsid w:val="31EE45A0"/>
    <w:rsid w:val="32157B83"/>
    <w:rsid w:val="32E86DAE"/>
    <w:rsid w:val="33177CB9"/>
    <w:rsid w:val="33F20F2A"/>
    <w:rsid w:val="34E73EBF"/>
    <w:rsid w:val="355B309B"/>
    <w:rsid w:val="35EE7A7B"/>
    <w:rsid w:val="36997FE1"/>
    <w:rsid w:val="36C14FB7"/>
    <w:rsid w:val="37874E28"/>
    <w:rsid w:val="37FC7264"/>
    <w:rsid w:val="384E0FF4"/>
    <w:rsid w:val="38502C6D"/>
    <w:rsid w:val="38983CF5"/>
    <w:rsid w:val="390F3E68"/>
    <w:rsid w:val="39551D3F"/>
    <w:rsid w:val="39670776"/>
    <w:rsid w:val="396A3B5C"/>
    <w:rsid w:val="3A43058A"/>
    <w:rsid w:val="3A54454A"/>
    <w:rsid w:val="3A8A2A3E"/>
    <w:rsid w:val="3B337E5E"/>
    <w:rsid w:val="3B5F6E45"/>
    <w:rsid w:val="3B7E598D"/>
    <w:rsid w:val="3B8B645E"/>
    <w:rsid w:val="3BB04B43"/>
    <w:rsid w:val="3C1F4887"/>
    <w:rsid w:val="3C775C9A"/>
    <w:rsid w:val="3C8B5584"/>
    <w:rsid w:val="3D9342E0"/>
    <w:rsid w:val="3D98796C"/>
    <w:rsid w:val="3DB55159"/>
    <w:rsid w:val="3FB604FB"/>
    <w:rsid w:val="3FE0469E"/>
    <w:rsid w:val="40081587"/>
    <w:rsid w:val="407424DF"/>
    <w:rsid w:val="40B773F2"/>
    <w:rsid w:val="411F7B7C"/>
    <w:rsid w:val="41A3195D"/>
    <w:rsid w:val="42885B3F"/>
    <w:rsid w:val="429B5D27"/>
    <w:rsid w:val="42C41A5A"/>
    <w:rsid w:val="42E11524"/>
    <w:rsid w:val="43643D6E"/>
    <w:rsid w:val="43C54774"/>
    <w:rsid w:val="453F0A9F"/>
    <w:rsid w:val="454E35A0"/>
    <w:rsid w:val="457D3608"/>
    <w:rsid w:val="45847F71"/>
    <w:rsid w:val="45B25CC0"/>
    <w:rsid w:val="45D773FA"/>
    <w:rsid w:val="460A1CEA"/>
    <w:rsid w:val="467E1493"/>
    <w:rsid w:val="46825BBE"/>
    <w:rsid w:val="468531C2"/>
    <w:rsid w:val="46A077BA"/>
    <w:rsid w:val="471D1953"/>
    <w:rsid w:val="47A4115D"/>
    <w:rsid w:val="47E62B19"/>
    <w:rsid w:val="4841289B"/>
    <w:rsid w:val="49126C73"/>
    <w:rsid w:val="4968790B"/>
    <w:rsid w:val="4A0B011A"/>
    <w:rsid w:val="4A403CEB"/>
    <w:rsid w:val="4A5B5F71"/>
    <w:rsid w:val="4ADF644D"/>
    <w:rsid w:val="4B553B78"/>
    <w:rsid w:val="4B682D1F"/>
    <w:rsid w:val="4BCE14E7"/>
    <w:rsid w:val="4BD172B5"/>
    <w:rsid w:val="4C14190A"/>
    <w:rsid w:val="4C7907BD"/>
    <w:rsid w:val="4C8452B6"/>
    <w:rsid w:val="4CA41B29"/>
    <w:rsid w:val="4D4F3929"/>
    <w:rsid w:val="4D774C7C"/>
    <w:rsid w:val="4DB0730C"/>
    <w:rsid w:val="4E113A92"/>
    <w:rsid w:val="4ED86813"/>
    <w:rsid w:val="4F482A43"/>
    <w:rsid w:val="4FA071C7"/>
    <w:rsid w:val="4FDD59F1"/>
    <w:rsid w:val="506C718A"/>
    <w:rsid w:val="507A1FD2"/>
    <w:rsid w:val="50834F8C"/>
    <w:rsid w:val="50F036F6"/>
    <w:rsid w:val="50F53FFE"/>
    <w:rsid w:val="51605E19"/>
    <w:rsid w:val="51A47CBE"/>
    <w:rsid w:val="51BC69A8"/>
    <w:rsid w:val="52A64F62"/>
    <w:rsid w:val="52F446A8"/>
    <w:rsid w:val="5382286A"/>
    <w:rsid w:val="53AC0356"/>
    <w:rsid w:val="53DD0E50"/>
    <w:rsid w:val="53FD7164"/>
    <w:rsid w:val="548860DF"/>
    <w:rsid w:val="54BB49EC"/>
    <w:rsid w:val="54D04FD1"/>
    <w:rsid w:val="54FC579D"/>
    <w:rsid w:val="550C2E77"/>
    <w:rsid w:val="553C75F7"/>
    <w:rsid w:val="55CE790D"/>
    <w:rsid w:val="566F01A6"/>
    <w:rsid w:val="5673079B"/>
    <w:rsid w:val="56FB4947"/>
    <w:rsid w:val="57325016"/>
    <w:rsid w:val="57491370"/>
    <w:rsid w:val="576B4E36"/>
    <w:rsid w:val="57944254"/>
    <w:rsid w:val="57CD0A8B"/>
    <w:rsid w:val="57D367F9"/>
    <w:rsid w:val="57DC59B0"/>
    <w:rsid w:val="57E57F25"/>
    <w:rsid w:val="58202476"/>
    <w:rsid w:val="58753A6F"/>
    <w:rsid w:val="594850CA"/>
    <w:rsid w:val="59EE508D"/>
    <w:rsid w:val="5AE20769"/>
    <w:rsid w:val="5BE0557D"/>
    <w:rsid w:val="5C8B47DC"/>
    <w:rsid w:val="5CD252D1"/>
    <w:rsid w:val="5D5C103F"/>
    <w:rsid w:val="5D945F00"/>
    <w:rsid w:val="5D9F787A"/>
    <w:rsid w:val="5DDB05FF"/>
    <w:rsid w:val="5E8E5228"/>
    <w:rsid w:val="5ED61FE6"/>
    <w:rsid w:val="5F290E97"/>
    <w:rsid w:val="605C4D82"/>
    <w:rsid w:val="60902671"/>
    <w:rsid w:val="616C6450"/>
    <w:rsid w:val="6219372A"/>
    <w:rsid w:val="62232D89"/>
    <w:rsid w:val="62433671"/>
    <w:rsid w:val="62657E2C"/>
    <w:rsid w:val="631C06D1"/>
    <w:rsid w:val="63661552"/>
    <w:rsid w:val="637C141E"/>
    <w:rsid w:val="638617DE"/>
    <w:rsid w:val="64162C40"/>
    <w:rsid w:val="646F011E"/>
    <w:rsid w:val="64AC50A1"/>
    <w:rsid w:val="64B74DAD"/>
    <w:rsid w:val="65171E03"/>
    <w:rsid w:val="659C08CB"/>
    <w:rsid w:val="65AB7551"/>
    <w:rsid w:val="6693678F"/>
    <w:rsid w:val="66C66965"/>
    <w:rsid w:val="67341C66"/>
    <w:rsid w:val="67352508"/>
    <w:rsid w:val="673D5A3D"/>
    <w:rsid w:val="67530DBD"/>
    <w:rsid w:val="67617426"/>
    <w:rsid w:val="680E2F36"/>
    <w:rsid w:val="681249D6"/>
    <w:rsid w:val="68597C77"/>
    <w:rsid w:val="68A24AB7"/>
    <w:rsid w:val="68A325AA"/>
    <w:rsid w:val="694C67A7"/>
    <w:rsid w:val="69CA0452"/>
    <w:rsid w:val="6A0E53D7"/>
    <w:rsid w:val="6A187F57"/>
    <w:rsid w:val="6A5C089C"/>
    <w:rsid w:val="6AC24C0F"/>
    <w:rsid w:val="6ADB48A1"/>
    <w:rsid w:val="6B08773F"/>
    <w:rsid w:val="6B267B22"/>
    <w:rsid w:val="6B6F431B"/>
    <w:rsid w:val="6BCD0FC5"/>
    <w:rsid w:val="6C2D1E2D"/>
    <w:rsid w:val="6C9B6430"/>
    <w:rsid w:val="6CC12C1E"/>
    <w:rsid w:val="6CD34F30"/>
    <w:rsid w:val="6D351B1F"/>
    <w:rsid w:val="6D5B6DAA"/>
    <w:rsid w:val="6DD83FB6"/>
    <w:rsid w:val="6E1022C2"/>
    <w:rsid w:val="6EBC14FF"/>
    <w:rsid w:val="6EFB548C"/>
    <w:rsid w:val="6FEB32D4"/>
    <w:rsid w:val="6FEE22B5"/>
    <w:rsid w:val="70467F42"/>
    <w:rsid w:val="70A56E64"/>
    <w:rsid w:val="70AA350C"/>
    <w:rsid w:val="70B065B5"/>
    <w:rsid w:val="71192648"/>
    <w:rsid w:val="718B19C6"/>
    <w:rsid w:val="71C304C2"/>
    <w:rsid w:val="72E8136F"/>
    <w:rsid w:val="73E3764E"/>
    <w:rsid w:val="73E8301F"/>
    <w:rsid w:val="74AC20CA"/>
    <w:rsid w:val="75695C4F"/>
    <w:rsid w:val="763F51AE"/>
    <w:rsid w:val="76595527"/>
    <w:rsid w:val="7745004B"/>
    <w:rsid w:val="777F4BCA"/>
    <w:rsid w:val="7795326E"/>
    <w:rsid w:val="785B3F75"/>
    <w:rsid w:val="78C76E87"/>
    <w:rsid w:val="78E43EF1"/>
    <w:rsid w:val="792720A9"/>
    <w:rsid w:val="796E1A86"/>
    <w:rsid w:val="7B116B6D"/>
    <w:rsid w:val="7B3E738B"/>
    <w:rsid w:val="7B3F60EC"/>
    <w:rsid w:val="7B883BA1"/>
    <w:rsid w:val="7C3F6430"/>
    <w:rsid w:val="7C52199A"/>
    <w:rsid w:val="7CE00EED"/>
    <w:rsid w:val="7CF90201"/>
    <w:rsid w:val="7D8F5415"/>
    <w:rsid w:val="7DA40AF3"/>
    <w:rsid w:val="7DD94508"/>
    <w:rsid w:val="7DE71E07"/>
    <w:rsid w:val="7DEE7682"/>
    <w:rsid w:val="7E882438"/>
    <w:rsid w:val="7ECB06DE"/>
    <w:rsid w:val="7F326F3D"/>
    <w:rsid w:val="7F4F5EB6"/>
    <w:rsid w:val="7FA206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qFormat="1" w:unhideWhenUsed="0" w:uiPriority="0" w:semiHidden="0"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7">
    <w:name w:val="heading 1"/>
    <w:basedOn w:val="1"/>
    <w:next w:val="1"/>
    <w:link w:val="63"/>
    <w:autoRedefine/>
    <w:qFormat/>
    <w:uiPriority w:val="0"/>
    <w:pPr>
      <w:keepNext/>
      <w:keepLines/>
      <w:spacing w:before="340" w:after="330" w:line="576" w:lineRule="auto"/>
      <w:outlineLvl w:val="0"/>
    </w:pPr>
    <w:rPr>
      <w:b/>
      <w:kern w:val="44"/>
      <w:sz w:val="44"/>
    </w:rPr>
  </w:style>
  <w:style w:type="paragraph" w:styleId="8">
    <w:name w:val="heading 2"/>
    <w:basedOn w:val="1"/>
    <w:next w:val="1"/>
    <w:link w:val="64"/>
    <w:autoRedefine/>
    <w:qFormat/>
    <w:uiPriority w:val="0"/>
    <w:pPr>
      <w:keepNext/>
      <w:keepLines/>
      <w:autoSpaceDE/>
      <w:autoSpaceDN/>
      <w:adjustRightInd/>
      <w:spacing w:before="260" w:after="260" w:line="413" w:lineRule="auto"/>
      <w:outlineLvl w:val="1"/>
    </w:pPr>
    <w:rPr>
      <w:rFonts w:ascii="Arial" w:hAnsi="Arial" w:eastAsia="黑体"/>
      <w:b/>
      <w:bCs/>
      <w:kern w:val="2"/>
      <w:sz w:val="32"/>
      <w:szCs w:val="32"/>
    </w:rPr>
  </w:style>
  <w:style w:type="paragraph" w:styleId="9">
    <w:name w:val="heading 3"/>
    <w:basedOn w:val="1"/>
    <w:next w:val="1"/>
    <w:link w:val="65"/>
    <w:autoRedefine/>
    <w:qFormat/>
    <w:uiPriority w:val="0"/>
    <w:pPr>
      <w:keepNext/>
      <w:keepLines/>
      <w:spacing w:before="260" w:after="260" w:line="413" w:lineRule="auto"/>
      <w:outlineLvl w:val="2"/>
    </w:pPr>
    <w:rPr>
      <w:b/>
      <w:bCs/>
      <w:sz w:val="32"/>
      <w:szCs w:val="32"/>
    </w:rPr>
  </w:style>
  <w:style w:type="paragraph" w:styleId="10">
    <w:name w:val="heading 4"/>
    <w:basedOn w:val="1"/>
    <w:next w:val="1"/>
    <w:link w:val="66"/>
    <w:autoRedefine/>
    <w:qFormat/>
    <w:uiPriority w:val="0"/>
    <w:pPr>
      <w:keepNext/>
      <w:keepLines/>
      <w:spacing w:before="280" w:after="290" w:line="377" w:lineRule="auto"/>
      <w:outlineLvl w:val="3"/>
    </w:pPr>
    <w:rPr>
      <w:rFonts w:ascii="Cambria" w:hAnsi="Cambria" w:eastAsia="黑体" w:cs="Times New Roman"/>
      <w:b/>
      <w:bCs/>
      <w:kern w:val="2"/>
      <w:sz w:val="24"/>
      <w:szCs w:val="28"/>
      <w:lang w:val="en-US" w:eastAsia="zh-CN" w:bidi="ar-SA"/>
    </w:rPr>
  </w:style>
  <w:style w:type="paragraph" w:styleId="11">
    <w:name w:val="heading 5"/>
    <w:basedOn w:val="1"/>
    <w:next w:val="1"/>
    <w:link w:val="155"/>
    <w:autoRedefine/>
    <w:qFormat/>
    <w:uiPriority w:val="0"/>
    <w:pPr>
      <w:keepNext/>
      <w:keepLines/>
      <w:autoSpaceDE/>
      <w:autoSpaceDN/>
      <w:adjustRightInd/>
      <w:spacing w:before="280" w:after="290" w:line="372" w:lineRule="auto"/>
      <w:outlineLvl w:val="4"/>
    </w:pPr>
    <w:rPr>
      <w:b/>
      <w:bCs/>
      <w:kern w:val="2"/>
      <w:sz w:val="28"/>
      <w:szCs w:val="28"/>
    </w:rPr>
  </w:style>
  <w:style w:type="paragraph" w:styleId="12">
    <w:name w:val="heading 6"/>
    <w:basedOn w:val="1"/>
    <w:next w:val="1"/>
    <w:link w:val="156"/>
    <w:autoRedefine/>
    <w:qFormat/>
    <w:uiPriority w:val="0"/>
    <w:pPr>
      <w:keepNext/>
      <w:keepLines/>
      <w:widowControl/>
      <w:tabs>
        <w:tab w:val="left" w:pos="1152"/>
      </w:tabs>
      <w:overflowPunct w:val="0"/>
      <w:autoSpaceDE/>
      <w:autoSpaceDN/>
      <w:snapToGrid w:val="0"/>
      <w:spacing w:before="120" w:after="120" w:line="360" w:lineRule="auto"/>
      <w:ind w:left="1152" w:hanging="1152"/>
      <w:textAlignment w:val="baseline"/>
      <w:outlineLvl w:val="5"/>
    </w:pPr>
    <w:rPr>
      <w:kern w:val="24"/>
      <w:sz w:val="24"/>
      <w:szCs w:val="24"/>
    </w:rPr>
  </w:style>
  <w:style w:type="paragraph" w:styleId="13">
    <w:name w:val="heading 7"/>
    <w:basedOn w:val="1"/>
    <w:next w:val="1"/>
    <w:link w:val="157"/>
    <w:autoRedefine/>
    <w:qFormat/>
    <w:uiPriority w:val="0"/>
    <w:pPr>
      <w:keepNext/>
      <w:keepLines/>
      <w:widowControl/>
      <w:tabs>
        <w:tab w:val="left" w:pos="1296"/>
      </w:tabs>
      <w:overflowPunct w:val="0"/>
      <w:autoSpaceDE/>
      <w:autoSpaceDN/>
      <w:snapToGrid w:val="0"/>
      <w:spacing w:before="120" w:after="120" w:line="360" w:lineRule="auto"/>
      <w:ind w:left="1296" w:hanging="1296"/>
      <w:jc w:val="left"/>
      <w:textAlignment w:val="baseline"/>
      <w:outlineLvl w:val="6"/>
    </w:pPr>
    <w:rPr>
      <w:spacing w:val="2"/>
      <w:kern w:val="24"/>
      <w:sz w:val="24"/>
      <w:szCs w:val="24"/>
    </w:rPr>
  </w:style>
  <w:style w:type="paragraph" w:styleId="14">
    <w:name w:val="heading 8"/>
    <w:basedOn w:val="1"/>
    <w:next w:val="1"/>
    <w:link w:val="158"/>
    <w:autoRedefine/>
    <w:qFormat/>
    <w:uiPriority w:val="0"/>
    <w:pPr>
      <w:keepNext/>
      <w:keepLines/>
      <w:widowControl/>
      <w:tabs>
        <w:tab w:val="left" w:pos="1440"/>
      </w:tabs>
      <w:overflowPunct w:val="0"/>
      <w:autoSpaceDE/>
      <w:autoSpaceDN/>
      <w:snapToGrid w:val="0"/>
      <w:spacing w:before="120" w:after="120" w:line="360" w:lineRule="auto"/>
      <w:ind w:left="1440" w:hanging="1440"/>
      <w:jc w:val="left"/>
      <w:textAlignment w:val="baseline"/>
      <w:outlineLvl w:val="7"/>
    </w:pPr>
    <w:rPr>
      <w:kern w:val="24"/>
      <w:sz w:val="24"/>
      <w:szCs w:val="24"/>
    </w:rPr>
  </w:style>
  <w:style w:type="paragraph" w:styleId="15">
    <w:name w:val="heading 9"/>
    <w:basedOn w:val="1"/>
    <w:next w:val="1"/>
    <w:link w:val="159"/>
    <w:autoRedefine/>
    <w:qFormat/>
    <w:uiPriority w:val="0"/>
    <w:pPr>
      <w:keepNext/>
      <w:keepLines/>
      <w:autoSpaceDE/>
      <w:autoSpaceDN/>
      <w:adjustRightInd/>
      <w:spacing w:before="240" w:after="64" w:line="317" w:lineRule="auto"/>
      <w:outlineLvl w:val="8"/>
    </w:pPr>
    <w:rPr>
      <w:rFonts w:ascii="Arial" w:hAnsi="Arial" w:eastAsia="黑体"/>
      <w:color w:val="auto"/>
      <w:kern w:val="2"/>
      <w:szCs w:val="24"/>
    </w:rPr>
  </w:style>
  <w:style w:type="character" w:default="1" w:styleId="54">
    <w:name w:val="Default Paragraph Font"/>
    <w:autoRedefine/>
    <w:semiHidden/>
    <w:unhideWhenUsed/>
    <w:qFormat/>
    <w:uiPriority w:val="1"/>
  </w:style>
  <w:style w:type="table" w:default="1" w:styleId="52">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3"/>
    <w:next w:val="4"/>
    <w:autoRedefine/>
    <w:qFormat/>
    <w:uiPriority w:val="0"/>
    <w:pPr>
      <w:spacing w:line="420" w:lineRule="atLeast"/>
      <w:textAlignment w:val="baseline"/>
    </w:pPr>
  </w:style>
  <w:style w:type="paragraph" w:customStyle="1" w:styleId="3">
    <w:name w:val="表格文字（两侧对齐）"/>
    <w:basedOn w:val="1"/>
    <w:autoRedefine/>
    <w:qFormat/>
    <w:uiPriority w:val="0"/>
    <w:pPr>
      <w:snapToGrid w:val="0"/>
    </w:pPr>
    <w:rPr>
      <w:sz w:val="20"/>
      <w:szCs w:val="24"/>
    </w:rPr>
  </w:style>
  <w:style w:type="paragraph" w:styleId="4">
    <w:name w:val="Body Text"/>
    <w:basedOn w:val="1"/>
    <w:next w:val="5"/>
    <w:link w:val="117"/>
    <w:autoRedefine/>
    <w:qFormat/>
    <w:uiPriority w:val="0"/>
    <w:pPr>
      <w:spacing w:after="120"/>
    </w:pPr>
  </w:style>
  <w:style w:type="paragraph" w:styleId="5">
    <w:name w:val="Body Text First Indent"/>
    <w:basedOn w:val="4"/>
    <w:next w:val="6"/>
    <w:link w:val="154"/>
    <w:autoRedefine/>
    <w:unhideWhenUsed/>
    <w:qFormat/>
    <w:uiPriority w:val="0"/>
    <w:pPr>
      <w:ind w:firstLine="420" w:firstLineChars="100"/>
    </w:pPr>
  </w:style>
  <w:style w:type="paragraph" w:styleId="6">
    <w:name w:val="toc 6"/>
    <w:basedOn w:val="1"/>
    <w:next w:val="1"/>
    <w:autoRedefine/>
    <w:qFormat/>
    <w:uiPriority w:val="0"/>
    <w:pPr>
      <w:autoSpaceDE/>
      <w:autoSpaceDN/>
      <w:adjustRightInd/>
      <w:spacing w:line="360" w:lineRule="auto"/>
      <w:ind w:left="1200" w:firstLine="200" w:firstLineChars="200"/>
      <w:jc w:val="left"/>
    </w:pPr>
    <w:rPr>
      <w:rFonts w:ascii="Calibri" w:hAnsi="Calibri"/>
      <w:color w:val="auto"/>
      <w:kern w:val="2"/>
      <w:sz w:val="18"/>
      <w:szCs w:val="18"/>
    </w:rPr>
  </w:style>
  <w:style w:type="paragraph" w:styleId="16">
    <w:name w:val="toc 7"/>
    <w:basedOn w:val="1"/>
    <w:next w:val="1"/>
    <w:autoRedefine/>
    <w:qFormat/>
    <w:uiPriority w:val="0"/>
    <w:pPr>
      <w:autoSpaceDE/>
      <w:autoSpaceDN/>
      <w:adjustRightInd/>
      <w:spacing w:line="360" w:lineRule="auto"/>
      <w:ind w:left="1440" w:firstLine="200" w:firstLineChars="200"/>
      <w:jc w:val="left"/>
    </w:pPr>
    <w:rPr>
      <w:rFonts w:ascii="Calibri" w:hAnsi="Calibri"/>
      <w:color w:val="auto"/>
      <w:kern w:val="2"/>
      <w:sz w:val="18"/>
      <w:szCs w:val="18"/>
    </w:rPr>
  </w:style>
  <w:style w:type="paragraph" w:styleId="17">
    <w:name w:val="List Number 2"/>
    <w:basedOn w:val="1"/>
    <w:autoRedefine/>
    <w:qFormat/>
    <w:uiPriority w:val="0"/>
    <w:pPr>
      <w:widowControl/>
      <w:tabs>
        <w:tab w:val="left" w:pos="820"/>
      </w:tabs>
      <w:autoSpaceDE/>
      <w:autoSpaceDN/>
      <w:adjustRightInd/>
      <w:spacing w:afterLines="50"/>
      <w:ind w:left="988" w:hanging="420"/>
      <w:jc w:val="left"/>
    </w:pPr>
    <w:rPr>
      <w:color w:val="auto"/>
      <w:sz w:val="24"/>
      <w:szCs w:val="20"/>
    </w:rPr>
  </w:style>
  <w:style w:type="paragraph" w:styleId="18">
    <w:name w:val="List Number"/>
    <w:basedOn w:val="1"/>
    <w:autoRedefine/>
    <w:qFormat/>
    <w:uiPriority w:val="0"/>
    <w:pPr>
      <w:widowControl/>
      <w:numPr>
        <w:ilvl w:val="0"/>
        <w:numId w:val="1"/>
      </w:numPr>
      <w:tabs>
        <w:tab w:val="left" w:pos="720"/>
        <w:tab w:val="clear" w:pos="360"/>
      </w:tabs>
      <w:autoSpaceDE/>
      <w:autoSpaceDN/>
      <w:adjustRightInd/>
      <w:spacing w:afterLines="50"/>
      <w:jc w:val="left"/>
    </w:pPr>
    <w:rPr>
      <w:color w:val="auto"/>
      <w:sz w:val="24"/>
      <w:szCs w:val="20"/>
    </w:rPr>
  </w:style>
  <w:style w:type="paragraph" w:styleId="19">
    <w:name w:val="Normal Indent"/>
    <w:basedOn w:val="1"/>
    <w:next w:val="1"/>
    <w:link w:val="75"/>
    <w:autoRedefine/>
    <w:qFormat/>
    <w:uiPriority w:val="0"/>
    <w:pPr>
      <w:autoSpaceDE/>
      <w:autoSpaceDN/>
      <w:adjustRightInd/>
      <w:ind w:firstLine="420"/>
    </w:pPr>
    <w:rPr>
      <w:rFonts w:asciiTheme="minorHAnsi" w:hAnsiTheme="minorHAnsi" w:eastAsiaTheme="minorEastAsia" w:cstheme="minorBidi"/>
      <w:color w:val="auto"/>
      <w:kern w:val="2"/>
      <w:szCs w:val="22"/>
    </w:rPr>
  </w:style>
  <w:style w:type="paragraph" w:styleId="20">
    <w:name w:val="caption"/>
    <w:basedOn w:val="1"/>
    <w:next w:val="1"/>
    <w:autoRedefine/>
    <w:qFormat/>
    <w:uiPriority w:val="0"/>
    <w:pPr>
      <w:autoSpaceDE/>
      <w:autoSpaceDN/>
      <w:adjustRightInd/>
      <w:spacing w:line="360" w:lineRule="auto"/>
      <w:ind w:firstLine="200" w:firstLineChars="200"/>
    </w:pPr>
    <w:rPr>
      <w:rFonts w:ascii="Cambria" w:hAnsi="Cambria" w:eastAsia="黑体"/>
      <w:color w:val="auto"/>
      <w:kern w:val="2"/>
      <w:sz w:val="20"/>
      <w:szCs w:val="20"/>
    </w:rPr>
  </w:style>
  <w:style w:type="paragraph" w:styleId="21">
    <w:name w:val="index 5"/>
    <w:basedOn w:val="1"/>
    <w:next w:val="1"/>
    <w:autoRedefine/>
    <w:qFormat/>
    <w:uiPriority w:val="0"/>
    <w:pPr>
      <w:ind w:left="800" w:leftChars="800"/>
    </w:pPr>
  </w:style>
  <w:style w:type="paragraph" w:styleId="22">
    <w:name w:val="Document Map"/>
    <w:basedOn w:val="1"/>
    <w:link w:val="109"/>
    <w:autoRedefine/>
    <w:qFormat/>
    <w:uiPriority w:val="0"/>
    <w:pPr>
      <w:shd w:val="clear" w:color="auto" w:fill="000080"/>
      <w:autoSpaceDE/>
      <w:autoSpaceDN/>
      <w:adjustRightInd/>
    </w:pPr>
    <w:rPr>
      <w:color w:val="auto"/>
      <w:kern w:val="2"/>
      <w:szCs w:val="24"/>
    </w:rPr>
  </w:style>
  <w:style w:type="paragraph" w:styleId="23">
    <w:name w:val="annotation text"/>
    <w:basedOn w:val="1"/>
    <w:link w:val="104"/>
    <w:autoRedefine/>
    <w:unhideWhenUsed/>
    <w:qFormat/>
    <w:uiPriority w:val="0"/>
    <w:pPr>
      <w:jc w:val="left"/>
    </w:pPr>
  </w:style>
  <w:style w:type="paragraph" w:styleId="24">
    <w:name w:val="Body Text 3"/>
    <w:basedOn w:val="1"/>
    <w:link w:val="150"/>
    <w:autoRedefine/>
    <w:unhideWhenUsed/>
    <w:qFormat/>
    <w:uiPriority w:val="0"/>
    <w:pPr>
      <w:spacing w:after="120"/>
    </w:pPr>
    <w:rPr>
      <w:sz w:val="16"/>
      <w:szCs w:val="16"/>
    </w:rPr>
  </w:style>
  <w:style w:type="paragraph" w:styleId="25">
    <w:name w:val="Body Text Indent"/>
    <w:basedOn w:val="1"/>
    <w:link w:val="110"/>
    <w:autoRedefine/>
    <w:unhideWhenUsed/>
    <w:qFormat/>
    <w:uiPriority w:val="0"/>
    <w:pPr>
      <w:spacing w:after="120"/>
      <w:ind w:left="420" w:leftChars="200"/>
    </w:pPr>
  </w:style>
  <w:style w:type="paragraph" w:styleId="26">
    <w:name w:val="List Number 3"/>
    <w:basedOn w:val="1"/>
    <w:autoRedefine/>
    <w:qFormat/>
    <w:uiPriority w:val="0"/>
    <w:pPr>
      <w:numPr>
        <w:ilvl w:val="0"/>
        <w:numId w:val="2"/>
      </w:numPr>
    </w:pPr>
  </w:style>
  <w:style w:type="paragraph" w:styleId="27">
    <w:name w:val="toc 5"/>
    <w:basedOn w:val="1"/>
    <w:next w:val="1"/>
    <w:autoRedefine/>
    <w:qFormat/>
    <w:uiPriority w:val="0"/>
    <w:pPr>
      <w:autoSpaceDE/>
      <w:autoSpaceDN/>
      <w:adjustRightInd/>
      <w:spacing w:line="360" w:lineRule="auto"/>
      <w:ind w:left="960" w:firstLine="200" w:firstLineChars="200"/>
      <w:jc w:val="left"/>
    </w:pPr>
    <w:rPr>
      <w:rFonts w:ascii="Calibri" w:hAnsi="Calibri"/>
      <w:color w:val="auto"/>
      <w:kern w:val="2"/>
      <w:sz w:val="18"/>
      <w:szCs w:val="18"/>
    </w:rPr>
  </w:style>
  <w:style w:type="paragraph" w:styleId="28">
    <w:name w:val="toc 3"/>
    <w:basedOn w:val="1"/>
    <w:next w:val="1"/>
    <w:autoRedefine/>
    <w:qFormat/>
    <w:uiPriority w:val="0"/>
    <w:pPr>
      <w:autoSpaceDE/>
      <w:autoSpaceDN/>
      <w:adjustRightInd/>
      <w:spacing w:line="360" w:lineRule="auto"/>
      <w:ind w:left="480" w:firstLine="200" w:firstLineChars="200"/>
      <w:jc w:val="left"/>
    </w:pPr>
    <w:rPr>
      <w:rFonts w:ascii="Calibri" w:hAnsi="Calibri"/>
      <w:i/>
      <w:iCs/>
      <w:color w:val="auto"/>
      <w:kern w:val="2"/>
      <w:sz w:val="20"/>
      <w:szCs w:val="20"/>
    </w:rPr>
  </w:style>
  <w:style w:type="paragraph" w:styleId="29">
    <w:name w:val="Plain Text"/>
    <w:basedOn w:val="1"/>
    <w:next w:val="30"/>
    <w:link w:val="93"/>
    <w:autoRedefine/>
    <w:qFormat/>
    <w:uiPriority w:val="0"/>
    <w:pPr>
      <w:autoSpaceDE/>
      <w:autoSpaceDN/>
      <w:adjustRightInd/>
    </w:pPr>
    <w:rPr>
      <w:rFonts w:asciiTheme="minorHAnsi" w:hAnsiTheme="minorHAnsi" w:eastAsiaTheme="minorEastAsia" w:cstheme="minorBidi"/>
      <w:color w:val="auto"/>
      <w:kern w:val="2"/>
      <w:sz w:val="24"/>
      <w:szCs w:val="22"/>
    </w:rPr>
  </w:style>
  <w:style w:type="paragraph" w:styleId="30">
    <w:name w:val="toc 1"/>
    <w:basedOn w:val="1"/>
    <w:next w:val="1"/>
    <w:autoRedefine/>
    <w:qFormat/>
    <w:uiPriority w:val="0"/>
    <w:pPr>
      <w:spacing w:line="360" w:lineRule="auto"/>
    </w:pPr>
    <w:rPr>
      <w:rFonts w:eastAsia="黑体"/>
      <w:sz w:val="24"/>
    </w:rPr>
  </w:style>
  <w:style w:type="paragraph" w:styleId="31">
    <w:name w:val="toc 8"/>
    <w:basedOn w:val="1"/>
    <w:next w:val="1"/>
    <w:autoRedefine/>
    <w:qFormat/>
    <w:uiPriority w:val="0"/>
    <w:pPr>
      <w:autoSpaceDE/>
      <w:autoSpaceDN/>
      <w:adjustRightInd/>
      <w:spacing w:line="360" w:lineRule="auto"/>
      <w:ind w:left="1680" w:firstLine="200" w:firstLineChars="200"/>
      <w:jc w:val="left"/>
    </w:pPr>
    <w:rPr>
      <w:rFonts w:ascii="Calibri" w:hAnsi="Calibri"/>
      <w:color w:val="auto"/>
      <w:kern w:val="2"/>
      <w:sz w:val="18"/>
      <w:szCs w:val="18"/>
    </w:rPr>
  </w:style>
  <w:style w:type="paragraph" w:styleId="32">
    <w:name w:val="Date"/>
    <w:basedOn w:val="1"/>
    <w:next w:val="1"/>
    <w:link w:val="96"/>
    <w:autoRedefine/>
    <w:qFormat/>
    <w:uiPriority w:val="0"/>
    <w:pPr>
      <w:ind w:left="100" w:leftChars="2500"/>
    </w:pPr>
    <w:rPr>
      <w:rFonts w:asciiTheme="minorHAnsi" w:hAnsiTheme="minorHAnsi" w:eastAsiaTheme="minorEastAsia" w:cstheme="minorBidi"/>
      <w:kern w:val="2"/>
    </w:rPr>
  </w:style>
  <w:style w:type="paragraph" w:styleId="33">
    <w:name w:val="Body Text Indent 2"/>
    <w:basedOn w:val="1"/>
    <w:link w:val="114"/>
    <w:autoRedefine/>
    <w:qFormat/>
    <w:uiPriority w:val="0"/>
    <w:pPr>
      <w:autoSpaceDE/>
      <w:autoSpaceDN/>
      <w:adjustRightInd/>
      <w:spacing w:after="120" w:line="480" w:lineRule="auto"/>
      <w:ind w:left="420" w:leftChars="200" w:firstLine="200" w:firstLineChars="200"/>
    </w:pPr>
    <w:rPr>
      <w:rFonts w:ascii="仿宋_GB2312" w:eastAsia="仿宋_GB2312"/>
      <w:color w:val="auto"/>
      <w:kern w:val="2"/>
      <w:sz w:val="28"/>
      <w:szCs w:val="28"/>
    </w:rPr>
  </w:style>
  <w:style w:type="paragraph" w:styleId="34">
    <w:name w:val="Balloon Text"/>
    <w:basedOn w:val="1"/>
    <w:link w:val="108"/>
    <w:autoRedefine/>
    <w:qFormat/>
    <w:uiPriority w:val="0"/>
    <w:pPr>
      <w:autoSpaceDE/>
      <w:autoSpaceDN/>
      <w:adjustRightInd/>
    </w:pPr>
    <w:rPr>
      <w:color w:val="auto"/>
      <w:kern w:val="2"/>
      <w:sz w:val="18"/>
      <w:szCs w:val="18"/>
    </w:rPr>
  </w:style>
  <w:style w:type="paragraph" w:styleId="35">
    <w:name w:val="footer"/>
    <w:basedOn w:val="1"/>
    <w:link w:val="79"/>
    <w:autoRedefine/>
    <w:qFormat/>
    <w:uiPriority w:val="0"/>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36">
    <w:name w:val="header"/>
    <w:basedOn w:val="1"/>
    <w:link w:val="80"/>
    <w:autoRedefine/>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37">
    <w:name w:val="Signature"/>
    <w:basedOn w:val="1"/>
    <w:next w:val="1"/>
    <w:link w:val="90"/>
    <w:autoRedefine/>
    <w:qFormat/>
    <w:uiPriority w:val="0"/>
    <w:pPr>
      <w:keepNext/>
      <w:widowControl/>
      <w:numPr>
        <w:ilvl w:val="1"/>
        <w:numId w:val="3"/>
      </w:numPr>
      <w:autoSpaceDE/>
      <w:autoSpaceDN/>
      <w:spacing w:line="220" w:lineRule="atLeast"/>
      <w:jc w:val="right"/>
      <w:textAlignment w:val="baseline"/>
    </w:pPr>
    <w:rPr>
      <w:rFonts w:ascii="Arial" w:hAnsi="Arial" w:eastAsiaTheme="minorEastAsia" w:cstheme="minorBidi"/>
      <w:color w:val="auto"/>
      <w:spacing w:val="-5"/>
      <w:kern w:val="2"/>
      <w:sz w:val="24"/>
      <w:szCs w:val="22"/>
    </w:rPr>
  </w:style>
  <w:style w:type="paragraph" w:styleId="38">
    <w:name w:val="toc 4"/>
    <w:basedOn w:val="1"/>
    <w:next w:val="1"/>
    <w:autoRedefine/>
    <w:qFormat/>
    <w:uiPriority w:val="0"/>
    <w:pPr>
      <w:autoSpaceDE/>
      <w:autoSpaceDN/>
      <w:adjustRightInd/>
      <w:spacing w:line="360" w:lineRule="auto"/>
      <w:ind w:left="720" w:firstLine="200" w:firstLineChars="200"/>
      <w:jc w:val="left"/>
    </w:pPr>
    <w:rPr>
      <w:rFonts w:ascii="Calibri" w:hAnsi="Calibri"/>
      <w:color w:val="auto"/>
      <w:kern w:val="2"/>
      <w:sz w:val="18"/>
      <w:szCs w:val="18"/>
    </w:rPr>
  </w:style>
  <w:style w:type="paragraph" w:styleId="39">
    <w:name w:val="List"/>
    <w:basedOn w:val="1"/>
    <w:autoRedefine/>
    <w:qFormat/>
    <w:uiPriority w:val="0"/>
    <w:pPr>
      <w:ind w:left="200" w:hanging="200" w:hangingChars="200"/>
      <w:contextualSpacing/>
    </w:pPr>
  </w:style>
  <w:style w:type="paragraph" w:styleId="40">
    <w:name w:val="footnote text"/>
    <w:basedOn w:val="1"/>
    <w:autoRedefine/>
    <w:qFormat/>
    <w:uiPriority w:val="99"/>
    <w:pPr>
      <w:adjustRightInd/>
      <w:spacing w:before="60" w:after="60" w:line="300" w:lineRule="exact"/>
    </w:pPr>
    <w:rPr>
      <w:color w:val="0000FF"/>
    </w:rPr>
  </w:style>
  <w:style w:type="paragraph" w:styleId="41">
    <w:name w:val="Body Text Indent 3"/>
    <w:basedOn w:val="1"/>
    <w:link w:val="92"/>
    <w:autoRedefine/>
    <w:qFormat/>
    <w:uiPriority w:val="0"/>
    <w:pPr>
      <w:autoSpaceDE/>
      <w:autoSpaceDN/>
      <w:adjustRightInd/>
      <w:ind w:firstLine="435"/>
    </w:pPr>
    <w:rPr>
      <w:rFonts w:asciiTheme="minorHAnsi" w:hAnsiTheme="minorHAnsi" w:eastAsiaTheme="minorEastAsia" w:cstheme="minorBidi"/>
      <w:color w:val="auto"/>
      <w:kern w:val="2"/>
      <w:szCs w:val="24"/>
    </w:rPr>
  </w:style>
  <w:style w:type="paragraph" w:styleId="42">
    <w:name w:val="index 7"/>
    <w:basedOn w:val="1"/>
    <w:next w:val="1"/>
    <w:autoRedefine/>
    <w:qFormat/>
    <w:uiPriority w:val="0"/>
    <w:pPr>
      <w:autoSpaceDE/>
      <w:autoSpaceDN/>
      <w:adjustRightInd/>
      <w:ind w:left="1200" w:leftChars="1200"/>
    </w:pPr>
    <w:rPr>
      <w:color w:val="auto"/>
      <w:kern w:val="2"/>
      <w:szCs w:val="24"/>
    </w:rPr>
  </w:style>
  <w:style w:type="paragraph" w:styleId="43">
    <w:name w:val="toc 2"/>
    <w:basedOn w:val="1"/>
    <w:next w:val="1"/>
    <w:autoRedefine/>
    <w:qFormat/>
    <w:uiPriority w:val="0"/>
    <w:pPr>
      <w:tabs>
        <w:tab w:val="right" w:leader="dot" w:pos="8296"/>
      </w:tabs>
      <w:autoSpaceDE/>
      <w:autoSpaceDN/>
      <w:adjustRightInd/>
      <w:spacing w:line="360" w:lineRule="auto"/>
      <w:ind w:left="240" w:firstLine="44" w:firstLineChars="22"/>
      <w:jc w:val="left"/>
    </w:pPr>
    <w:rPr>
      <w:rFonts w:ascii="Calibri" w:hAnsi="Calibri"/>
      <w:smallCaps/>
      <w:color w:val="auto"/>
      <w:kern w:val="2"/>
      <w:sz w:val="20"/>
      <w:szCs w:val="20"/>
    </w:rPr>
  </w:style>
  <w:style w:type="paragraph" w:styleId="44">
    <w:name w:val="toc 9"/>
    <w:basedOn w:val="1"/>
    <w:next w:val="1"/>
    <w:autoRedefine/>
    <w:qFormat/>
    <w:uiPriority w:val="0"/>
    <w:pPr>
      <w:autoSpaceDE/>
      <w:autoSpaceDN/>
      <w:adjustRightInd/>
      <w:spacing w:line="360" w:lineRule="auto"/>
      <w:ind w:left="1920" w:firstLine="200" w:firstLineChars="200"/>
      <w:jc w:val="left"/>
    </w:pPr>
    <w:rPr>
      <w:rFonts w:ascii="Calibri" w:hAnsi="Calibri"/>
      <w:color w:val="auto"/>
      <w:kern w:val="2"/>
      <w:sz w:val="18"/>
      <w:szCs w:val="18"/>
    </w:rPr>
  </w:style>
  <w:style w:type="paragraph" w:styleId="45">
    <w:name w:val="Body Text 2"/>
    <w:basedOn w:val="1"/>
    <w:link w:val="203"/>
    <w:autoRedefine/>
    <w:qFormat/>
    <w:uiPriority w:val="0"/>
    <w:pPr>
      <w:autoSpaceDE/>
      <w:autoSpaceDN/>
      <w:adjustRightInd/>
      <w:spacing w:after="120" w:line="480" w:lineRule="auto"/>
      <w:ind w:left="425" w:hanging="425"/>
    </w:pPr>
    <w:rPr>
      <w:kern w:val="2"/>
      <w:szCs w:val="22"/>
    </w:rPr>
  </w:style>
  <w:style w:type="paragraph" w:styleId="46">
    <w:name w:val="HTML Preformatted"/>
    <w:basedOn w:val="1"/>
    <w:link w:val="89"/>
    <w:autoRedefine/>
    <w:qFormat/>
    <w:uiPriority w:val="0"/>
    <w:pPr>
      <w:autoSpaceDE/>
      <w:autoSpaceDN/>
      <w:adjustRightInd/>
    </w:pPr>
    <w:rPr>
      <w:rFonts w:ascii="Arial Unicode MS" w:hAnsi="Arial Unicode MS" w:eastAsia="Arial Unicode MS" w:cstheme="minorBidi"/>
      <w:color w:val="auto"/>
      <w:kern w:val="2"/>
      <w:szCs w:val="22"/>
    </w:rPr>
  </w:style>
  <w:style w:type="paragraph" w:styleId="47">
    <w:name w:val="Normal (Web)"/>
    <w:basedOn w:val="1"/>
    <w:link w:val="82"/>
    <w:autoRedefine/>
    <w:qFormat/>
    <w:uiPriority w:val="0"/>
    <w:pPr>
      <w:widowControl/>
      <w:autoSpaceDE/>
      <w:autoSpaceDN/>
      <w:adjustRightInd/>
      <w:spacing w:before="100" w:beforeAutospacing="1" w:after="100" w:afterAutospacing="1"/>
      <w:jc w:val="left"/>
    </w:pPr>
    <w:rPr>
      <w:rFonts w:ascii="宋体" w:hAnsi="宋体" w:eastAsiaTheme="minorEastAsia" w:cstheme="minorBidi"/>
      <w:kern w:val="2"/>
      <w:sz w:val="24"/>
      <w:szCs w:val="24"/>
    </w:rPr>
  </w:style>
  <w:style w:type="paragraph" w:styleId="48">
    <w:name w:val="index 1"/>
    <w:basedOn w:val="1"/>
    <w:next w:val="1"/>
    <w:autoRedefine/>
    <w:qFormat/>
    <w:uiPriority w:val="0"/>
    <w:pPr>
      <w:autoSpaceDE/>
      <w:autoSpaceDN/>
      <w:spacing w:line="360" w:lineRule="atLeast"/>
      <w:jc w:val="center"/>
      <w:textAlignment w:val="baseline"/>
    </w:pPr>
    <w:rPr>
      <w:rFonts w:ascii="Arial" w:hAnsi="Arial"/>
      <w:color w:val="auto"/>
      <w:kern w:val="2"/>
    </w:rPr>
  </w:style>
  <w:style w:type="paragraph" w:styleId="49">
    <w:name w:val="Title"/>
    <w:basedOn w:val="1"/>
    <w:next w:val="1"/>
    <w:link w:val="202"/>
    <w:autoRedefine/>
    <w:qFormat/>
    <w:uiPriority w:val="0"/>
    <w:pPr>
      <w:autoSpaceDE/>
      <w:autoSpaceDN/>
      <w:adjustRightInd/>
      <w:spacing w:before="240" w:after="60"/>
      <w:jc w:val="center"/>
      <w:outlineLvl w:val="0"/>
    </w:pPr>
    <w:rPr>
      <w:rFonts w:ascii="Arial" w:hAnsi="Arial"/>
      <w:b/>
      <w:bCs/>
      <w:kern w:val="2"/>
      <w:sz w:val="32"/>
      <w:szCs w:val="32"/>
    </w:rPr>
  </w:style>
  <w:style w:type="paragraph" w:styleId="50">
    <w:name w:val="annotation subject"/>
    <w:basedOn w:val="23"/>
    <w:next w:val="23"/>
    <w:link w:val="105"/>
    <w:autoRedefine/>
    <w:qFormat/>
    <w:uiPriority w:val="0"/>
    <w:pPr>
      <w:autoSpaceDE/>
      <w:autoSpaceDN/>
      <w:adjustRightInd/>
    </w:pPr>
    <w:rPr>
      <w:b/>
      <w:bCs/>
      <w:color w:val="auto"/>
      <w:kern w:val="2"/>
      <w:szCs w:val="24"/>
    </w:rPr>
  </w:style>
  <w:style w:type="paragraph" w:styleId="51">
    <w:name w:val="Body Text First Indent 2"/>
    <w:basedOn w:val="25"/>
    <w:link w:val="111"/>
    <w:autoRedefine/>
    <w:qFormat/>
    <w:uiPriority w:val="0"/>
    <w:pPr>
      <w:autoSpaceDE/>
      <w:autoSpaceDN/>
      <w:adjustRightInd/>
      <w:spacing w:line="360" w:lineRule="auto"/>
      <w:ind w:firstLine="420" w:firstLineChars="200"/>
    </w:pPr>
    <w:rPr>
      <w:rFonts w:ascii="Calibri" w:hAnsi="Calibri"/>
      <w:color w:val="auto"/>
      <w:kern w:val="2"/>
      <w:sz w:val="24"/>
      <w:szCs w:val="22"/>
    </w:rPr>
  </w:style>
  <w:style w:type="table" w:styleId="53">
    <w:name w:val="Table Grid"/>
    <w:basedOn w:val="52"/>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basedOn w:val="54"/>
    <w:autoRedefine/>
    <w:qFormat/>
    <w:uiPriority w:val="0"/>
    <w:rPr>
      <w:b/>
      <w:bCs/>
    </w:rPr>
  </w:style>
  <w:style w:type="character" w:styleId="56">
    <w:name w:val="page number"/>
    <w:basedOn w:val="54"/>
    <w:autoRedefine/>
    <w:qFormat/>
    <w:uiPriority w:val="0"/>
  </w:style>
  <w:style w:type="character" w:styleId="57">
    <w:name w:val="Emphasis"/>
    <w:autoRedefine/>
    <w:qFormat/>
    <w:uiPriority w:val="0"/>
    <w:rPr>
      <w:color w:val="CC0000"/>
    </w:rPr>
  </w:style>
  <w:style w:type="character" w:styleId="58">
    <w:name w:val="Hyperlink"/>
    <w:basedOn w:val="54"/>
    <w:autoRedefine/>
    <w:qFormat/>
    <w:uiPriority w:val="0"/>
    <w:rPr>
      <w:color w:val="0000FF"/>
      <w:u w:val="single"/>
    </w:rPr>
  </w:style>
  <w:style w:type="character" w:styleId="59">
    <w:name w:val="annotation reference"/>
    <w:autoRedefine/>
    <w:qFormat/>
    <w:uiPriority w:val="0"/>
    <w:rPr>
      <w:sz w:val="21"/>
      <w:szCs w:val="21"/>
    </w:rPr>
  </w:style>
  <w:style w:type="paragraph" w:customStyle="1" w:styleId="60">
    <w:name w:val="Body Text 31"/>
    <w:basedOn w:val="1"/>
    <w:autoRedefine/>
    <w:qFormat/>
    <w:uiPriority w:val="0"/>
    <w:rPr>
      <w:sz w:val="16"/>
      <w:szCs w:val="16"/>
    </w:rPr>
  </w:style>
  <w:style w:type="paragraph" w:customStyle="1" w:styleId="61">
    <w:name w:val="Body Text First Indent 21"/>
    <w:basedOn w:val="62"/>
    <w:autoRedefine/>
    <w:qFormat/>
    <w:uiPriority w:val="0"/>
    <w:pPr>
      <w:autoSpaceDE/>
      <w:autoSpaceDN/>
      <w:adjustRightInd/>
      <w:ind w:firstLine="420"/>
    </w:pPr>
    <w:rPr>
      <w:rFonts w:cs="宋体" w:asciiTheme="minorHAnsi" w:hAnsiTheme="minorHAnsi" w:eastAsiaTheme="minorEastAsia"/>
      <w:color w:val="auto"/>
      <w:kern w:val="2"/>
      <w:szCs w:val="24"/>
    </w:rPr>
  </w:style>
  <w:style w:type="paragraph" w:customStyle="1" w:styleId="62">
    <w:name w:val="Body Text Indent1"/>
    <w:basedOn w:val="1"/>
    <w:next w:val="1"/>
    <w:autoRedefine/>
    <w:qFormat/>
    <w:uiPriority w:val="0"/>
    <w:pPr>
      <w:ind w:left="420" w:leftChars="200"/>
    </w:pPr>
  </w:style>
  <w:style w:type="character" w:customStyle="1" w:styleId="63">
    <w:name w:val="标题 1 Char"/>
    <w:basedOn w:val="54"/>
    <w:link w:val="7"/>
    <w:autoRedefine/>
    <w:qFormat/>
    <w:uiPriority w:val="0"/>
    <w:rPr>
      <w:rFonts w:ascii="Times New Roman" w:hAnsi="Times New Roman" w:eastAsia="宋体" w:cs="Times New Roman"/>
      <w:b/>
      <w:color w:val="000000"/>
      <w:kern w:val="44"/>
      <w:sz w:val="44"/>
      <w:szCs w:val="21"/>
    </w:rPr>
  </w:style>
  <w:style w:type="character" w:customStyle="1" w:styleId="64">
    <w:name w:val="标题 2 Char"/>
    <w:basedOn w:val="54"/>
    <w:link w:val="8"/>
    <w:autoRedefine/>
    <w:qFormat/>
    <w:uiPriority w:val="0"/>
    <w:rPr>
      <w:rFonts w:ascii="Arial" w:hAnsi="Arial" w:eastAsia="黑体" w:cs="Times New Roman"/>
      <w:b/>
      <w:bCs/>
      <w:color w:val="000000"/>
      <w:sz w:val="32"/>
      <w:szCs w:val="32"/>
    </w:rPr>
  </w:style>
  <w:style w:type="character" w:customStyle="1" w:styleId="65">
    <w:name w:val="标题 3 Char"/>
    <w:basedOn w:val="54"/>
    <w:link w:val="9"/>
    <w:autoRedefine/>
    <w:qFormat/>
    <w:uiPriority w:val="0"/>
    <w:rPr>
      <w:rFonts w:ascii="Times New Roman" w:hAnsi="Times New Roman" w:eastAsia="宋体" w:cs="Times New Roman"/>
      <w:b/>
      <w:bCs/>
      <w:color w:val="000000"/>
      <w:kern w:val="0"/>
      <w:sz w:val="32"/>
      <w:szCs w:val="32"/>
    </w:rPr>
  </w:style>
  <w:style w:type="character" w:customStyle="1" w:styleId="66">
    <w:name w:val="标题 4 Char"/>
    <w:basedOn w:val="54"/>
    <w:link w:val="10"/>
    <w:autoRedefine/>
    <w:qFormat/>
    <w:uiPriority w:val="0"/>
    <w:rPr>
      <w:rFonts w:ascii="Cambria" w:hAnsi="Cambria" w:eastAsia="黑体" w:cs="Times New Roman"/>
      <w:b/>
      <w:bCs/>
      <w:sz w:val="24"/>
      <w:szCs w:val="28"/>
    </w:rPr>
  </w:style>
  <w:style w:type="character" w:customStyle="1" w:styleId="67">
    <w:name w:val="正文文字2 Char"/>
    <w:link w:val="68"/>
    <w:autoRedefine/>
    <w:qFormat/>
    <w:uiPriority w:val="0"/>
    <w:rPr>
      <w:rFonts w:ascii="Arial" w:eastAsia="黑体"/>
    </w:rPr>
  </w:style>
  <w:style w:type="paragraph" w:customStyle="1" w:styleId="68">
    <w:name w:val="正文文字2"/>
    <w:basedOn w:val="4"/>
    <w:next w:val="18"/>
    <w:link w:val="67"/>
    <w:autoRedefine/>
    <w:qFormat/>
    <w:uiPriority w:val="0"/>
    <w:pPr>
      <w:autoSpaceDE/>
      <w:autoSpaceDN/>
      <w:spacing w:after="60" w:line="360" w:lineRule="atLeast"/>
      <w:ind w:left="72" w:right="72"/>
      <w:jc w:val="center"/>
      <w:textAlignment w:val="baseline"/>
    </w:pPr>
    <w:rPr>
      <w:rFonts w:ascii="Arial" w:eastAsia="黑体" w:hAnsiTheme="minorHAnsi" w:cstheme="minorBidi"/>
      <w:color w:val="auto"/>
      <w:kern w:val="2"/>
      <w:szCs w:val="22"/>
    </w:rPr>
  </w:style>
  <w:style w:type="character" w:customStyle="1" w:styleId="69">
    <w:name w:val="列出段落 Char Char"/>
    <w:link w:val="70"/>
    <w:autoRedefine/>
    <w:qFormat/>
    <w:uiPriority w:val="0"/>
    <w:rPr>
      <w:rFonts w:ascii="Calibri" w:hAnsi="Calibri"/>
    </w:rPr>
  </w:style>
  <w:style w:type="paragraph" w:customStyle="1" w:styleId="70">
    <w:name w:val="列表段落1"/>
    <w:basedOn w:val="1"/>
    <w:link w:val="69"/>
    <w:autoRedefine/>
    <w:qFormat/>
    <w:uiPriority w:val="0"/>
    <w:pPr>
      <w:autoSpaceDE/>
      <w:autoSpaceDN/>
      <w:adjustRightInd/>
      <w:ind w:firstLine="420" w:firstLineChars="200"/>
    </w:pPr>
    <w:rPr>
      <w:rFonts w:ascii="Calibri" w:hAnsi="Calibri" w:eastAsiaTheme="minorEastAsia" w:cstheme="minorBidi"/>
      <w:color w:val="auto"/>
      <w:kern w:val="2"/>
      <w:szCs w:val="22"/>
    </w:rPr>
  </w:style>
  <w:style w:type="character" w:customStyle="1" w:styleId="71">
    <w:name w:val="列出段落 Char"/>
    <w:link w:val="72"/>
    <w:autoRedefine/>
    <w:qFormat/>
    <w:uiPriority w:val="0"/>
    <w:rPr>
      <w:rFonts w:ascii="Calibri" w:hAnsi="Calibri"/>
    </w:rPr>
  </w:style>
  <w:style w:type="paragraph" w:styleId="72">
    <w:name w:val="List Paragraph"/>
    <w:basedOn w:val="1"/>
    <w:link w:val="71"/>
    <w:autoRedefine/>
    <w:qFormat/>
    <w:uiPriority w:val="0"/>
    <w:pPr>
      <w:autoSpaceDE/>
      <w:autoSpaceDN/>
      <w:adjustRightInd/>
      <w:ind w:firstLine="420" w:firstLineChars="200"/>
    </w:pPr>
    <w:rPr>
      <w:rFonts w:ascii="Calibri" w:hAnsi="Calibri" w:eastAsiaTheme="minorEastAsia" w:cstheme="minorBidi"/>
      <w:color w:val="auto"/>
      <w:kern w:val="2"/>
      <w:szCs w:val="22"/>
    </w:rPr>
  </w:style>
  <w:style w:type="character" w:customStyle="1" w:styleId="73">
    <w:name w:val="日期 Char1"/>
    <w:autoRedefine/>
    <w:qFormat/>
    <w:uiPriority w:val="0"/>
    <w:rPr>
      <w:kern w:val="2"/>
      <w:sz w:val="21"/>
      <w:szCs w:val="24"/>
    </w:rPr>
  </w:style>
  <w:style w:type="character" w:customStyle="1" w:styleId="74">
    <w:name w:val="Char Char3"/>
    <w:basedOn w:val="54"/>
    <w:autoRedefine/>
    <w:qFormat/>
    <w:uiPriority w:val="0"/>
    <w:rPr>
      <w:rFonts w:ascii="宋体" w:hAnsi="Courier New" w:eastAsia="宋体"/>
      <w:sz w:val="24"/>
      <w:szCs w:val="24"/>
      <w:lang w:bidi="ar-SA"/>
    </w:rPr>
  </w:style>
  <w:style w:type="character" w:customStyle="1" w:styleId="75">
    <w:name w:val="正文缩进 Char1"/>
    <w:basedOn w:val="54"/>
    <w:link w:val="19"/>
    <w:autoRedefine/>
    <w:qFormat/>
    <w:uiPriority w:val="0"/>
  </w:style>
  <w:style w:type="character" w:customStyle="1" w:styleId="76">
    <w:name w:val="正文文本缩进 字符"/>
    <w:basedOn w:val="54"/>
    <w:autoRedefine/>
    <w:qFormat/>
    <w:uiPriority w:val="0"/>
    <w:rPr>
      <w:rFonts w:eastAsia="宋体"/>
      <w:color w:val="000000"/>
      <w:sz w:val="21"/>
      <w:szCs w:val="21"/>
      <w:lang w:val="en-US" w:eastAsia="zh-CN" w:bidi="ar-SA"/>
    </w:rPr>
  </w:style>
  <w:style w:type="character" w:customStyle="1" w:styleId="77">
    <w:name w:val="15"/>
    <w:basedOn w:val="54"/>
    <w:autoRedefine/>
    <w:qFormat/>
    <w:uiPriority w:val="0"/>
    <w:rPr>
      <w:rFonts w:hint="default" w:ascii="Lucida Sans" w:hAnsi="Lucida Sans"/>
    </w:rPr>
  </w:style>
  <w:style w:type="character" w:customStyle="1" w:styleId="78">
    <w:name w:val="jtz3 Char"/>
    <w:autoRedefine/>
    <w:qFormat/>
    <w:uiPriority w:val="0"/>
    <w:rPr>
      <w:rFonts w:eastAsia="宋体"/>
      <w:b/>
      <w:bCs/>
      <w:kern w:val="2"/>
      <w:sz w:val="28"/>
      <w:szCs w:val="32"/>
      <w:lang w:val="en-US" w:eastAsia="zh-CN" w:bidi="ar-SA"/>
    </w:rPr>
  </w:style>
  <w:style w:type="character" w:customStyle="1" w:styleId="79">
    <w:name w:val="页脚 Char1"/>
    <w:basedOn w:val="54"/>
    <w:link w:val="35"/>
    <w:autoRedefine/>
    <w:qFormat/>
    <w:uiPriority w:val="99"/>
    <w:rPr>
      <w:color w:val="000000"/>
      <w:sz w:val="18"/>
      <w:szCs w:val="18"/>
    </w:rPr>
  </w:style>
  <w:style w:type="character" w:customStyle="1" w:styleId="80">
    <w:name w:val="页眉 Char1"/>
    <w:basedOn w:val="54"/>
    <w:link w:val="36"/>
    <w:autoRedefine/>
    <w:qFormat/>
    <w:uiPriority w:val="99"/>
    <w:rPr>
      <w:color w:val="000000"/>
      <w:sz w:val="18"/>
      <w:szCs w:val="18"/>
    </w:rPr>
  </w:style>
  <w:style w:type="character" w:customStyle="1" w:styleId="81">
    <w:name w:val="jtz2 Char1"/>
    <w:autoRedefine/>
    <w:qFormat/>
    <w:uiPriority w:val="0"/>
    <w:rPr>
      <w:rFonts w:ascii="Cambria" w:hAnsi="Cambria" w:eastAsia="宋体"/>
      <w:b/>
      <w:bCs/>
      <w:kern w:val="2"/>
      <w:sz w:val="30"/>
      <w:szCs w:val="32"/>
      <w:lang w:val="en-US" w:eastAsia="zh-CN" w:bidi="ar-SA"/>
    </w:rPr>
  </w:style>
  <w:style w:type="character" w:customStyle="1" w:styleId="82">
    <w:name w:val="普通(网站) Char"/>
    <w:basedOn w:val="54"/>
    <w:link w:val="47"/>
    <w:autoRedefine/>
    <w:qFormat/>
    <w:uiPriority w:val="0"/>
    <w:rPr>
      <w:rFonts w:ascii="宋体" w:hAnsi="宋体"/>
      <w:color w:val="000000"/>
      <w:sz w:val="24"/>
      <w:szCs w:val="24"/>
    </w:rPr>
  </w:style>
  <w:style w:type="character" w:customStyle="1" w:styleId="83">
    <w:name w:val="Char Char13"/>
    <w:autoRedefine/>
    <w:qFormat/>
    <w:uiPriority w:val="0"/>
    <w:rPr>
      <w:rFonts w:eastAsia="宋体"/>
      <w:b/>
      <w:bCs/>
      <w:kern w:val="44"/>
      <w:sz w:val="44"/>
      <w:szCs w:val="44"/>
      <w:lang w:val="en-US" w:eastAsia="zh-CN" w:bidi="ar-SA"/>
    </w:rPr>
  </w:style>
  <w:style w:type="character" w:customStyle="1" w:styleId="84">
    <w:name w:val="Char Char17"/>
    <w:autoRedefine/>
    <w:qFormat/>
    <w:uiPriority w:val="0"/>
    <w:rPr>
      <w:rFonts w:ascii="Calibri" w:hAnsi="Calibri" w:eastAsia="宋体" w:cs="Times New Roman"/>
    </w:rPr>
  </w:style>
  <w:style w:type="character" w:customStyle="1" w:styleId="85">
    <w:name w:val="正文文本缩进 2 Char1"/>
    <w:autoRedefine/>
    <w:qFormat/>
    <w:uiPriority w:val="0"/>
    <w:rPr>
      <w:kern w:val="2"/>
      <w:sz w:val="21"/>
      <w:szCs w:val="24"/>
    </w:rPr>
  </w:style>
  <w:style w:type="character" w:customStyle="1" w:styleId="86">
    <w:name w:val="param-name"/>
    <w:autoRedefine/>
    <w:qFormat/>
    <w:uiPriority w:val="0"/>
  </w:style>
  <w:style w:type="character" w:customStyle="1" w:styleId="87">
    <w:name w:val="01 正文样式 Char"/>
    <w:link w:val="88"/>
    <w:autoRedefine/>
    <w:qFormat/>
    <w:uiPriority w:val="0"/>
    <w:rPr>
      <w:sz w:val="24"/>
    </w:rPr>
  </w:style>
  <w:style w:type="paragraph" w:customStyle="1" w:styleId="88">
    <w:name w:val="01 正文样式"/>
    <w:basedOn w:val="1"/>
    <w:link w:val="87"/>
    <w:autoRedefine/>
    <w:qFormat/>
    <w:uiPriority w:val="0"/>
    <w:pPr>
      <w:autoSpaceDE/>
      <w:autoSpaceDN/>
      <w:adjustRightInd/>
      <w:spacing w:line="560" w:lineRule="exact"/>
      <w:ind w:firstLine="480" w:firstLineChars="200"/>
    </w:pPr>
    <w:rPr>
      <w:rFonts w:asciiTheme="minorHAnsi" w:hAnsiTheme="minorHAnsi" w:eastAsiaTheme="minorEastAsia" w:cstheme="minorBidi"/>
      <w:color w:val="auto"/>
      <w:kern w:val="2"/>
      <w:sz w:val="24"/>
      <w:szCs w:val="22"/>
    </w:rPr>
  </w:style>
  <w:style w:type="character" w:customStyle="1" w:styleId="89">
    <w:name w:val="HTML 预设格式 Char"/>
    <w:basedOn w:val="54"/>
    <w:link w:val="46"/>
    <w:autoRedefine/>
    <w:qFormat/>
    <w:uiPriority w:val="0"/>
    <w:rPr>
      <w:rFonts w:ascii="Arial Unicode MS" w:hAnsi="Arial Unicode MS" w:eastAsia="Arial Unicode MS"/>
    </w:rPr>
  </w:style>
  <w:style w:type="character" w:customStyle="1" w:styleId="90">
    <w:name w:val="签名 Char"/>
    <w:basedOn w:val="54"/>
    <w:link w:val="37"/>
    <w:autoRedefine/>
    <w:qFormat/>
    <w:uiPriority w:val="0"/>
    <w:rPr>
      <w:rFonts w:ascii="Arial" w:hAnsi="Arial"/>
      <w:spacing w:val="-5"/>
      <w:sz w:val="24"/>
    </w:rPr>
  </w:style>
  <w:style w:type="character" w:customStyle="1" w:styleId="91">
    <w:name w:val="jtz2 Char"/>
    <w:autoRedefine/>
    <w:qFormat/>
    <w:uiPriority w:val="0"/>
    <w:rPr>
      <w:rFonts w:ascii="Arial" w:hAnsi="Arial" w:eastAsia="宋体"/>
      <w:b/>
      <w:bCs/>
      <w:kern w:val="2"/>
      <w:sz w:val="30"/>
      <w:szCs w:val="32"/>
      <w:lang w:val="en-US" w:eastAsia="zh-CN" w:bidi="ar-SA"/>
    </w:rPr>
  </w:style>
  <w:style w:type="character" w:customStyle="1" w:styleId="92">
    <w:name w:val="正文文本缩进 3 Char"/>
    <w:basedOn w:val="54"/>
    <w:link w:val="41"/>
    <w:autoRedefine/>
    <w:qFormat/>
    <w:uiPriority w:val="0"/>
    <w:rPr>
      <w:szCs w:val="24"/>
    </w:rPr>
  </w:style>
  <w:style w:type="character" w:customStyle="1" w:styleId="93">
    <w:name w:val="纯文本 Char1"/>
    <w:basedOn w:val="54"/>
    <w:link w:val="29"/>
    <w:autoRedefine/>
    <w:qFormat/>
    <w:uiPriority w:val="0"/>
    <w:rPr>
      <w:sz w:val="24"/>
    </w:rPr>
  </w:style>
  <w:style w:type="character" w:customStyle="1" w:styleId="94">
    <w:name w:val="01正文样式 Char"/>
    <w:link w:val="95"/>
    <w:autoRedefine/>
    <w:qFormat/>
    <w:uiPriority w:val="0"/>
    <w:rPr>
      <w:rFonts w:ascii="Tahoma" w:hAnsi="Tahoma" w:eastAsia="仿宋_GB2312"/>
      <w:sz w:val="28"/>
    </w:rPr>
  </w:style>
  <w:style w:type="paragraph" w:customStyle="1" w:styleId="95">
    <w:name w:val="01正文样式"/>
    <w:basedOn w:val="1"/>
    <w:link w:val="94"/>
    <w:autoRedefine/>
    <w:qFormat/>
    <w:uiPriority w:val="0"/>
    <w:pPr>
      <w:autoSpaceDE/>
      <w:autoSpaceDN/>
      <w:adjustRightInd/>
      <w:ind w:firstLine="480"/>
    </w:pPr>
    <w:rPr>
      <w:rFonts w:ascii="Tahoma" w:hAnsi="Tahoma" w:eastAsia="仿宋_GB2312" w:cstheme="minorBidi"/>
      <w:color w:val="auto"/>
      <w:kern w:val="2"/>
      <w:sz w:val="28"/>
      <w:szCs w:val="22"/>
    </w:rPr>
  </w:style>
  <w:style w:type="character" w:customStyle="1" w:styleId="96">
    <w:name w:val="日期 Char"/>
    <w:basedOn w:val="54"/>
    <w:link w:val="32"/>
    <w:autoRedefine/>
    <w:qFormat/>
    <w:uiPriority w:val="0"/>
    <w:rPr>
      <w:color w:val="000000"/>
      <w:szCs w:val="21"/>
    </w:rPr>
  </w:style>
  <w:style w:type="character" w:customStyle="1" w:styleId="97">
    <w:name w:val="Char Char11"/>
    <w:basedOn w:val="54"/>
    <w:autoRedefine/>
    <w:qFormat/>
    <w:uiPriority w:val="0"/>
    <w:rPr>
      <w:rFonts w:ascii="Arial" w:hAnsi="Arial" w:eastAsia="黑体"/>
      <w:b/>
      <w:kern w:val="2"/>
      <w:sz w:val="32"/>
      <w:szCs w:val="32"/>
      <w:lang w:val="en-US" w:eastAsia="zh-CN" w:bidi="ar-SA"/>
    </w:rPr>
  </w:style>
  <w:style w:type="character" w:customStyle="1" w:styleId="98">
    <w:name w:val="font01"/>
    <w:basedOn w:val="54"/>
    <w:autoRedefine/>
    <w:qFormat/>
    <w:uiPriority w:val="0"/>
    <w:rPr>
      <w:rFonts w:hint="eastAsia" w:ascii="宋体" w:hAnsi="宋体" w:eastAsia="宋体" w:cs="宋体"/>
      <w:color w:val="000000"/>
      <w:sz w:val="24"/>
      <w:szCs w:val="24"/>
    </w:rPr>
  </w:style>
  <w:style w:type="character" w:customStyle="1" w:styleId="99">
    <w:name w:val="p0 Char"/>
    <w:link w:val="100"/>
    <w:autoRedefine/>
    <w:qFormat/>
    <w:uiPriority w:val="0"/>
    <w:rPr>
      <w:szCs w:val="21"/>
    </w:rPr>
  </w:style>
  <w:style w:type="paragraph" w:customStyle="1" w:styleId="100">
    <w:name w:val="p0"/>
    <w:next w:val="42"/>
    <w:link w:val="99"/>
    <w:autoRedefine/>
    <w:qFormat/>
    <w:uiPriority w:val="0"/>
    <w:pPr>
      <w:snapToGrid w:val="0"/>
    </w:pPr>
    <w:rPr>
      <w:rFonts w:asciiTheme="minorHAnsi" w:hAnsiTheme="minorHAnsi" w:eastAsiaTheme="minorEastAsia" w:cstheme="minorBidi"/>
      <w:kern w:val="2"/>
      <w:sz w:val="21"/>
      <w:szCs w:val="21"/>
      <w:lang w:val="en-US" w:eastAsia="zh-CN" w:bidi="ar-SA"/>
    </w:rPr>
  </w:style>
  <w:style w:type="character" w:customStyle="1" w:styleId="101">
    <w:name w:val="Font Style15"/>
    <w:autoRedefine/>
    <w:qFormat/>
    <w:uiPriority w:val="0"/>
    <w:rPr>
      <w:rFonts w:ascii="MingLiU" w:eastAsia="MingLiU"/>
      <w:sz w:val="58"/>
    </w:rPr>
  </w:style>
  <w:style w:type="character" w:customStyle="1" w:styleId="102">
    <w:name w:val="正文 1.5 倍行距 Char"/>
    <w:link w:val="103"/>
    <w:autoRedefine/>
    <w:qFormat/>
    <w:uiPriority w:val="0"/>
    <w:rPr>
      <w:sz w:val="24"/>
    </w:rPr>
  </w:style>
  <w:style w:type="paragraph" w:customStyle="1" w:styleId="103">
    <w:name w:val="正文 1.5 倍行距"/>
    <w:basedOn w:val="1"/>
    <w:link w:val="102"/>
    <w:autoRedefine/>
    <w:qFormat/>
    <w:uiPriority w:val="0"/>
    <w:pPr>
      <w:spacing w:line="360" w:lineRule="auto"/>
      <w:ind w:firstLine="480" w:firstLineChars="200"/>
      <w:textAlignment w:val="baseline"/>
    </w:pPr>
    <w:rPr>
      <w:rFonts w:asciiTheme="minorHAnsi" w:hAnsiTheme="minorHAnsi" w:eastAsiaTheme="minorEastAsia" w:cstheme="minorBidi"/>
      <w:color w:val="auto"/>
      <w:kern w:val="2"/>
      <w:sz w:val="24"/>
      <w:szCs w:val="22"/>
    </w:rPr>
  </w:style>
  <w:style w:type="character" w:customStyle="1" w:styleId="104">
    <w:name w:val="批注文字 Char"/>
    <w:basedOn w:val="54"/>
    <w:link w:val="23"/>
    <w:autoRedefine/>
    <w:qFormat/>
    <w:uiPriority w:val="99"/>
    <w:rPr>
      <w:rFonts w:ascii="Times New Roman" w:hAnsi="Times New Roman" w:eastAsia="宋体" w:cs="Times New Roman"/>
      <w:color w:val="000000"/>
      <w:kern w:val="0"/>
      <w:szCs w:val="21"/>
    </w:rPr>
  </w:style>
  <w:style w:type="character" w:customStyle="1" w:styleId="105">
    <w:name w:val="批注主题 Char"/>
    <w:basedOn w:val="104"/>
    <w:link w:val="50"/>
    <w:autoRedefine/>
    <w:qFormat/>
    <w:uiPriority w:val="0"/>
    <w:rPr>
      <w:rFonts w:ascii="Times New Roman" w:hAnsi="Times New Roman" w:eastAsia="宋体" w:cs="Times New Roman"/>
      <w:b/>
      <w:bCs/>
      <w:color w:val="000000"/>
      <w:kern w:val="0"/>
      <w:szCs w:val="24"/>
    </w:rPr>
  </w:style>
  <w:style w:type="character" w:customStyle="1" w:styleId="106">
    <w:name w:val="正文文本缩进 3 字符1"/>
    <w:basedOn w:val="54"/>
    <w:autoRedefine/>
    <w:semiHidden/>
    <w:qFormat/>
    <w:uiPriority w:val="99"/>
    <w:rPr>
      <w:rFonts w:ascii="Times New Roman" w:hAnsi="Times New Roman" w:eastAsia="宋体" w:cs="Times New Roman"/>
      <w:color w:val="000000"/>
      <w:kern w:val="0"/>
      <w:sz w:val="16"/>
      <w:szCs w:val="16"/>
    </w:rPr>
  </w:style>
  <w:style w:type="character" w:customStyle="1" w:styleId="107">
    <w:name w:val="纯文本 字符1"/>
    <w:basedOn w:val="54"/>
    <w:autoRedefine/>
    <w:semiHidden/>
    <w:qFormat/>
    <w:uiPriority w:val="99"/>
    <w:rPr>
      <w:rFonts w:hAnsi="Courier New" w:cs="Courier New" w:asciiTheme="minorEastAsia"/>
      <w:color w:val="000000"/>
      <w:kern w:val="0"/>
      <w:szCs w:val="21"/>
    </w:rPr>
  </w:style>
  <w:style w:type="character" w:customStyle="1" w:styleId="108">
    <w:name w:val="批注框文本 Char"/>
    <w:basedOn w:val="54"/>
    <w:link w:val="34"/>
    <w:autoRedefine/>
    <w:qFormat/>
    <w:uiPriority w:val="0"/>
    <w:rPr>
      <w:rFonts w:ascii="Times New Roman" w:hAnsi="Times New Roman" w:eastAsia="宋体" w:cs="Times New Roman"/>
      <w:sz w:val="18"/>
      <w:szCs w:val="18"/>
    </w:rPr>
  </w:style>
  <w:style w:type="character" w:customStyle="1" w:styleId="109">
    <w:name w:val="文档结构图 Char1"/>
    <w:basedOn w:val="54"/>
    <w:link w:val="22"/>
    <w:autoRedefine/>
    <w:qFormat/>
    <w:uiPriority w:val="0"/>
    <w:rPr>
      <w:rFonts w:ascii="Times New Roman" w:hAnsi="Times New Roman" w:eastAsia="宋体" w:cs="Times New Roman"/>
      <w:szCs w:val="24"/>
      <w:shd w:val="clear" w:color="auto" w:fill="000080"/>
    </w:rPr>
  </w:style>
  <w:style w:type="character" w:customStyle="1" w:styleId="110">
    <w:name w:val="正文文本缩进 Char"/>
    <w:basedOn w:val="54"/>
    <w:link w:val="25"/>
    <w:autoRedefine/>
    <w:qFormat/>
    <w:uiPriority w:val="0"/>
    <w:rPr>
      <w:rFonts w:ascii="Times New Roman" w:hAnsi="Times New Roman" w:eastAsia="宋体" w:cs="Times New Roman"/>
      <w:color w:val="000000"/>
      <w:kern w:val="0"/>
      <w:szCs w:val="21"/>
    </w:rPr>
  </w:style>
  <w:style w:type="character" w:customStyle="1" w:styleId="111">
    <w:name w:val="正文首行缩进 2 Char"/>
    <w:basedOn w:val="110"/>
    <w:link w:val="51"/>
    <w:autoRedefine/>
    <w:qFormat/>
    <w:uiPriority w:val="0"/>
    <w:rPr>
      <w:rFonts w:ascii="Calibri" w:hAnsi="Calibri" w:eastAsia="宋体" w:cs="Times New Roman"/>
      <w:color w:val="000000"/>
      <w:kern w:val="0"/>
      <w:sz w:val="24"/>
      <w:szCs w:val="21"/>
    </w:rPr>
  </w:style>
  <w:style w:type="character" w:customStyle="1" w:styleId="112">
    <w:name w:val="HTML 预设格式 字符1"/>
    <w:basedOn w:val="54"/>
    <w:autoRedefine/>
    <w:semiHidden/>
    <w:qFormat/>
    <w:uiPriority w:val="99"/>
    <w:rPr>
      <w:rFonts w:ascii="Courier New" w:hAnsi="Courier New" w:eastAsia="宋体" w:cs="Courier New"/>
      <w:color w:val="000000"/>
      <w:kern w:val="0"/>
      <w:sz w:val="20"/>
      <w:szCs w:val="20"/>
    </w:rPr>
  </w:style>
  <w:style w:type="character" w:customStyle="1" w:styleId="113">
    <w:name w:val="页脚 字符1"/>
    <w:basedOn w:val="54"/>
    <w:autoRedefine/>
    <w:semiHidden/>
    <w:qFormat/>
    <w:uiPriority w:val="99"/>
    <w:rPr>
      <w:rFonts w:ascii="Times New Roman" w:hAnsi="Times New Roman" w:eastAsia="宋体" w:cs="Times New Roman"/>
      <w:color w:val="000000"/>
      <w:kern w:val="0"/>
      <w:sz w:val="18"/>
      <w:szCs w:val="18"/>
    </w:rPr>
  </w:style>
  <w:style w:type="character" w:customStyle="1" w:styleId="114">
    <w:name w:val="正文文本缩进 2 Char"/>
    <w:basedOn w:val="54"/>
    <w:link w:val="33"/>
    <w:autoRedefine/>
    <w:qFormat/>
    <w:uiPriority w:val="0"/>
    <w:rPr>
      <w:rFonts w:ascii="仿宋_GB2312" w:hAnsi="Times New Roman" w:eastAsia="仿宋_GB2312" w:cs="Times New Roman"/>
      <w:sz w:val="28"/>
      <w:szCs w:val="28"/>
      <w:lang w:val="en-US" w:eastAsia="zh-CN"/>
    </w:rPr>
  </w:style>
  <w:style w:type="character" w:customStyle="1" w:styleId="115">
    <w:name w:val="签名 字符1"/>
    <w:basedOn w:val="54"/>
    <w:autoRedefine/>
    <w:semiHidden/>
    <w:qFormat/>
    <w:uiPriority w:val="99"/>
    <w:rPr>
      <w:rFonts w:ascii="Times New Roman" w:hAnsi="Times New Roman" w:eastAsia="宋体" w:cs="Times New Roman"/>
      <w:color w:val="000000"/>
      <w:kern w:val="0"/>
      <w:szCs w:val="21"/>
    </w:rPr>
  </w:style>
  <w:style w:type="character" w:customStyle="1" w:styleId="116">
    <w:name w:val="日期 字符1"/>
    <w:basedOn w:val="54"/>
    <w:autoRedefine/>
    <w:semiHidden/>
    <w:qFormat/>
    <w:uiPriority w:val="99"/>
    <w:rPr>
      <w:rFonts w:ascii="Times New Roman" w:hAnsi="Times New Roman" w:eastAsia="宋体" w:cs="Times New Roman"/>
      <w:color w:val="000000"/>
      <w:kern w:val="0"/>
      <w:szCs w:val="21"/>
    </w:rPr>
  </w:style>
  <w:style w:type="character" w:customStyle="1" w:styleId="117">
    <w:name w:val="正文文本 Char"/>
    <w:basedOn w:val="54"/>
    <w:link w:val="4"/>
    <w:autoRedefine/>
    <w:qFormat/>
    <w:uiPriority w:val="0"/>
    <w:rPr>
      <w:rFonts w:ascii="Times New Roman" w:hAnsi="Times New Roman" w:eastAsia="宋体" w:cs="Times New Roman"/>
      <w:color w:val="000000"/>
      <w:kern w:val="0"/>
      <w:szCs w:val="21"/>
    </w:rPr>
  </w:style>
  <w:style w:type="character" w:customStyle="1" w:styleId="118">
    <w:name w:val="页眉 字符1"/>
    <w:basedOn w:val="54"/>
    <w:autoRedefine/>
    <w:semiHidden/>
    <w:qFormat/>
    <w:uiPriority w:val="99"/>
    <w:rPr>
      <w:rFonts w:ascii="Times New Roman" w:hAnsi="Times New Roman" w:eastAsia="宋体" w:cs="Times New Roman"/>
      <w:color w:val="000000"/>
      <w:kern w:val="0"/>
      <w:sz w:val="18"/>
      <w:szCs w:val="18"/>
    </w:rPr>
  </w:style>
  <w:style w:type="paragraph" w:customStyle="1" w:styleId="119">
    <w:name w:val="正文段"/>
    <w:basedOn w:val="1"/>
    <w:next w:val="21"/>
    <w:autoRedefine/>
    <w:qFormat/>
    <w:uiPriority w:val="0"/>
    <w:pPr>
      <w:widowControl/>
      <w:autoSpaceDE/>
      <w:autoSpaceDN/>
      <w:adjustRightInd/>
      <w:snapToGrid w:val="0"/>
      <w:spacing w:afterLines="50"/>
      <w:ind w:firstLine="200" w:firstLineChars="200"/>
    </w:pPr>
    <w:rPr>
      <w:color w:val="auto"/>
      <w:sz w:val="24"/>
      <w:szCs w:val="20"/>
    </w:rPr>
  </w:style>
  <w:style w:type="paragraph" w:customStyle="1" w:styleId="120">
    <w:name w:val="Char Char Char Char Char Char Char Char Char Char Char Char Char Char Char Char Char Char Char Char Char Char Char Char Char Char Char Char"/>
    <w:basedOn w:val="1"/>
    <w:autoRedefine/>
    <w:qFormat/>
    <w:uiPriority w:val="0"/>
    <w:pPr>
      <w:tabs>
        <w:tab w:val="left" w:pos="360"/>
      </w:tabs>
      <w:autoSpaceDE/>
      <w:autoSpaceDN/>
      <w:adjustRightInd/>
    </w:pPr>
    <w:rPr>
      <w:color w:val="auto"/>
      <w:kern w:val="2"/>
      <w:sz w:val="24"/>
      <w:szCs w:val="24"/>
    </w:rPr>
  </w:style>
  <w:style w:type="paragraph" w:customStyle="1" w:styleId="121">
    <w:name w:val="p20"/>
    <w:basedOn w:val="1"/>
    <w:autoRedefine/>
    <w:qFormat/>
    <w:uiPriority w:val="0"/>
    <w:pPr>
      <w:widowControl/>
      <w:autoSpaceDE/>
      <w:autoSpaceDN/>
      <w:adjustRightInd/>
      <w:ind w:left="425" w:firstLine="420"/>
    </w:pPr>
    <w:rPr>
      <w:rFonts w:ascii="Calibri" w:hAnsi="Calibri" w:cs="宋体"/>
      <w:color w:val="auto"/>
    </w:rPr>
  </w:style>
  <w:style w:type="paragraph" w:customStyle="1" w:styleId="122">
    <w:name w:val="p22"/>
    <w:basedOn w:val="1"/>
    <w:autoRedefine/>
    <w:qFormat/>
    <w:uiPriority w:val="0"/>
    <w:pPr>
      <w:widowControl/>
      <w:autoSpaceDE/>
      <w:autoSpaceDN/>
      <w:adjustRightInd/>
      <w:jc w:val="left"/>
    </w:pPr>
    <w:rPr>
      <w:color w:val="auto"/>
      <w:sz w:val="18"/>
      <w:szCs w:val="18"/>
    </w:rPr>
  </w:style>
  <w:style w:type="paragraph" w:customStyle="1" w:styleId="123">
    <w:name w:val="列出段落1"/>
    <w:basedOn w:val="1"/>
    <w:autoRedefine/>
    <w:qFormat/>
    <w:uiPriority w:val="0"/>
    <w:pPr>
      <w:autoSpaceDE/>
      <w:autoSpaceDN/>
      <w:adjustRightInd/>
      <w:ind w:firstLine="420" w:firstLineChars="200"/>
    </w:pPr>
    <w:rPr>
      <w:color w:val="auto"/>
      <w:kern w:val="2"/>
      <w:szCs w:val="24"/>
    </w:rPr>
  </w:style>
  <w:style w:type="paragraph" w:customStyle="1" w:styleId="124">
    <w:name w:val="p15"/>
    <w:basedOn w:val="1"/>
    <w:autoRedefine/>
    <w:qFormat/>
    <w:uiPriority w:val="0"/>
    <w:pPr>
      <w:widowControl/>
      <w:autoSpaceDE/>
      <w:autoSpaceDN/>
      <w:adjustRightInd/>
      <w:snapToGrid w:val="0"/>
    </w:pPr>
  </w:style>
  <w:style w:type="paragraph" w:customStyle="1" w:styleId="125">
    <w:name w:val="Char"/>
    <w:basedOn w:val="1"/>
    <w:autoRedefine/>
    <w:qFormat/>
    <w:uiPriority w:val="0"/>
    <w:pPr>
      <w:widowControl/>
      <w:autoSpaceDE/>
      <w:autoSpaceDN/>
      <w:adjustRightInd/>
      <w:spacing w:after="160" w:line="240" w:lineRule="exact"/>
      <w:jc w:val="left"/>
    </w:pPr>
    <w:rPr>
      <w:rFonts w:ascii="Verdana" w:hAnsi="Verdana"/>
      <w:color w:val="auto"/>
      <w:szCs w:val="20"/>
      <w:lang w:eastAsia="en-US"/>
    </w:rPr>
  </w:style>
  <w:style w:type="paragraph" w:customStyle="1" w:styleId="126">
    <w:name w:val="列项"/>
    <w:basedOn w:val="1"/>
    <w:next w:val="1"/>
    <w:autoRedefine/>
    <w:qFormat/>
    <w:uiPriority w:val="0"/>
    <w:pPr>
      <w:numPr>
        <w:ilvl w:val="0"/>
        <w:numId w:val="4"/>
      </w:numPr>
      <w:autoSpaceDE/>
      <w:autoSpaceDN/>
      <w:adjustRightInd/>
      <w:spacing w:line="360" w:lineRule="auto"/>
    </w:pPr>
    <w:rPr>
      <w:rFonts w:ascii="宋体" w:hAnsi="宋体"/>
      <w:color w:val="auto"/>
      <w:kern w:val="2"/>
      <w:sz w:val="24"/>
      <w:szCs w:val="22"/>
    </w:rPr>
  </w:style>
  <w:style w:type="paragraph" w:customStyle="1" w:styleId="127">
    <w:name w:val="p16"/>
    <w:basedOn w:val="1"/>
    <w:autoRedefine/>
    <w:qFormat/>
    <w:uiPriority w:val="0"/>
    <w:pPr>
      <w:widowControl/>
      <w:autoSpaceDE/>
      <w:autoSpaceDN/>
      <w:adjustRightInd/>
    </w:pPr>
    <w:rPr>
      <w:color w:val="auto"/>
      <w:sz w:val="24"/>
      <w:szCs w:val="24"/>
    </w:rPr>
  </w:style>
  <w:style w:type="paragraph" w:customStyle="1" w:styleId="128">
    <w:name w:val="样式4"/>
    <w:basedOn w:val="7"/>
    <w:autoRedefine/>
    <w:qFormat/>
    <w:uiPriority w:val="0"/>
    <w:pPr>
      <w:autoSpaceDE/>
      <w:autoSpaceDN/>
      <w:adjustRightInd/>
      <w:spacing w:line="480" w:lineRule="auto"/>
    </w:pPr>
    <w:rPr>
      <w:bCs/>
      <w:color w:val="auto"/>
      <w:sz w:val="32"/>
      <w:szCs w:val="44"/>
    </w:rPr>
  </w:style>
  <w:style w:type="paragraph" w:customStyle="1" w:styleId="129">
    <w:name w:val="正文文本首行缩进 21"/>
    <w:basedOn w:val="130"/>
    <w:autoRedefine/>
    <w:qFormat/>
    <w:uiPriority w:val="0"/>
    <w:pPr>
      <w:ind w:firstLine="420"/>
    </w:pPr>
    <w:rPr>
      <w:rFonts w:cs="宋体"/>
    </w:rPr>
  </w:style>
  <w:style w:type="paragraph" w:customStyle="1" w:styleId="130">
    <w:name w:val="正文文本缩进1"/>
    <w:basedOn w:val="1"/>
    <w:next w:val="1"/>
    <w:autoRedefine/>
    <w:qFormat/>
    <w:uiPriority w:val="0"/>
    <w:pPr>
      <w:spacing w:after="120"/>
      <w:ind w:left="420" w:leftChars="200"/>
    </w:pPr>
  </w:style>
  <w:style w:type="paragraph" w:customStyle="1" w:styleId="131">
    <w:name w:val="Char Char Char Char Char Char Char Char Char Char Char Char Char Char Char Char Char Char Char"/>
    <w:basedOn w:val="1"/>
    <w:autoRedefine/>
    <w:qFormat/>
    <w:uiPriority w:val="0"/>
    <w:pPr>
      <w:autoSpaceDE/>
      <w:autoSpaceDN/>
      <w:adjustRightInd/>
    </w:pPr>
    <w:rPr>
      <w:color w:val="auto"/>
      <w:kern w:val="2"/>
      <w:szCs w:val="24"/>
    </w:rPr>
  </w:style>
  <w:style w:type="paragraph" w:customStyle="1" w:styleId="132">
    <w:name w:val="p23"/>
    <w:basedOn w:val="1"/>
    <w:autoRedefine/>
    <w:qFormat/>
    <w:uiPriority w:val="0"/>
    <w:pPr>
      <w:widowControl/>
      <w:pBdr>
        <w:bottom w:val="single" w:color="000000" w:sz="6" w:space="1"/>
      </w:pBdr>
      <w:autoSpaceDE/>
      <w:autoSpaceDN/>
      <w:adjustRightInd/>
      <w:jc w:val="center"/>
    </w:pPr>
    <w:rPr>
      <w:color w:val="auto"/>
      <w:sz w:val="18"/>
      <w:szCs w:val="18"/>
    </w:rPr>
  </w:style>
  <w:style w:type="paragraph" w:customStyle="1" w:styleId="133">
    <w:name w:val="p21"/>
    <w:basedOn w:val="1"/>
    <w:autoRedefine/>
    <w:qFormat/>
    <w:uiPriority w:val="0"/>
    <w:pPr>
      <w:widowControl/>
      <w:autoSpaceDE/>
      <w:autoSpaceDN/>
      <w:adjustRightInd/>
      <w:jc w:val="left"/>
    </w:pPr>
    <w:rPr>
      <w:color w:val="auto"/>
    </w:rPr>
  </w:style>
  <w:style w:type="paragraph" w:customStyle="1" w:styleId="134">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5">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
    <w:name w:val="题注居中"/>
    <w:basedOn w:val="20"/>
    <w:next w:val="1"/>
    <w:autoRedefine/>
    <w:qFormat/>
    <w:uiPriority w:val="0"/>
    <w:pPr>
      <w:spacing w:after="120" w:line="240" w:lineRule="exact"/>
      <w:ind w:firstLine="0" w:firstLineChars="0"/>
      <w:jc w:val="center"/>
    </w:pPr>
    <w:rPr>
      <w:rFonts w:ascii="宋体" w:hAnsi="宋体" w:eastAsia="宋体" w:cs="宋体"/>
      <w:b/>
      <w:sz w:val="21"/>
    </w:rPr>
  </w:style>
  <w:style w:type="paragraph" w:customStyle="1" w:styleId="137">
    <w:name w:val="Char Char Char Char Char Char"/>
    <w:basedOn w:val="1"/>
    <w:autoRedefine/>
    <w:qFormat/>
    <w:uiPriority w:val="0"/>
    <w:pPr>
      <w:widowControl/>
      <w:autoSpaceDE/>
      <w:autoSpaceDN/>
      <w:adjustRightInd/>
      <w:spacing w:after="160" w:line="240" w:lineRule="exact"/>
      <w:jc w:val="left"/>
    </w:pPr>
    <w:rPr>
      <w:color w:val="auto"/>
      <w:kern w:val="2"/>
      <w:szCs w:val="24"/>
    </w:rPr>
  </w:style>
  <w:style w:type="paragraph" w:customStyle="1" w:styleId="138">
    <w:name w:val="Char Char Char Char1"/>
    <w:basedOn w:val="1"/>
    <w:autoRedefine/>
    <w:qFormat/>
    <w:uiPriority w:val="0"/>
    <w:pPr>
      <w:autoSpaceDE/>
      <w:autoSpaceDN/>
      <w:adjustRightInd/>
    </w:pPr>
    <w:rPr>
      <w:rFonts w:ascii="Tahoma" w:hAnsi="Tahoma"/>
      <w:color w:val="auto"/>
      <w:kern w:val="2"/>
      <w:sz w:val="24"/>
      <w:szCs w:val="20"/>
    </w:rPr>
  </w:style>
  <w:style w:type="paragraph" w:customStyle="1" w:styleId="139">
    <w:name w:val="p17"/>
    <w:basedOn w:val="1"/>
    <w:autoRedefine/>
    <w:qFormat/>
    <w:uiPriority w:val="0"/>
    <w:pPr>
      <w:widowControl/>
      <w:autoSpaceDE/>
      <w:autoSpaceDN/>
      <w:adjustRightInd/>
      <w:ind w:left="2520"/>
    </w:pPr>
    <w:rPr>
      <w:color w:val="auto"/>
    </w:rPr>
  </w:style>
  <w:style w:type="paragraph" w:customStyle="1" w:styleId="140">
    <w:name w:val="表格内"/>
    <w:basedOn w:val="1"/>
    <w:autoRedefine/>
    <w:qFormat/>
    <w:uiPriority w:val="0"/>
    <w:rPr>
      <w:rFonts w:cs="宋体"/>
      <w:szCs w:val="20"/>
    </w:rPr>
  </w:style>
  <w:style w:type="paragraph" w:customStyle="1" w:styleId="141">
    <w:name w:val="af17cgridlangnp1033langf"/>
    <w:autoRedefine/>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sz w:val="21"/>
      <w:szCs w:val="22"/>
      <w:lang w:val="en-US" w:eastAsia="zh-CN" w:bidi="ar-SA"/>
    </w:rPr>
  </w:style>
  <w:style w:type="paragraph" w:customStyle="1" w:styleId="142">
    <w:name w:val="p19"/>
    <w:basedOn w:val="1"/>
    <w:autoRedefine/>
    <w:qFormat/>
    <w:uiPriority w:val="0"/>
    <w:pPr>
      <w:widowControl/>
      <w:autoSpaceDE/>
      <w:autoSpaceDN/>
      <w:adjustRightInd/>
      <w:spacing w:before="156" w:after="156" w:line="360" w:lineRule="auto"/>
      <w:ind w:firstLine="420"/>
    </w:pPr>
    <w:rPr>
      <w:color w:val="auto"/>
      <w:sz w:val="24"/>
      <w:szCs w:val="24"/>
    </w:rPr>
  </w:style>
  <w:style w:type="paragraph" w:customStyle="1" w:styleId="143">
    <w:name w:val="Char Char"/>
    <w:basedOn w:val="1"/>
    <w:autoRedefine/>
    <w:qFormat/>
    <w:uiPriority w:val="0"/>
    <w:pPr>
      <w:autoSpaceDE/>
      <w:autoSpaceDN/>
      <w:adjustRightInd/>
    </w:pPr>
    <w:rPr>
      <w:rFonts w:ascii="仿宋_GB2312" w:eastAsia="仿宋_GB2312"/>
      <w:b/>
      <w:color w:val="auto"/>
      <w:kern w:val="2"/>
      <w:sz w:val="32"/>
      <w:szCs w:val="32"/>
    </w:rPr>
  </w:style>
  <w:style w:type="paragraph" w:customStyle="1" w:styleId="144">
    <w:name w:val="p18"/>
    <w:basedOn w:val="1"/>
    <w:autoRedefine/>
    <w:qFormat/>
    <w:uiPriority w:val="0"/>
    <w:pPr>
      <w:widowControl/>
      <w:autoSpaceDE/>
      <w:autoSpaceDN/>
      <w:adjustRightInd/>
      <w:snapToGrid w:val="0"/>
      <w:jc w:val="left"/>
    </w:pPr>
    <w:rPr>
      <w:sz w:val="24"/>
      <w:szCs w:val="24"/>
    </w:rPr>
  </w:style>
  <w:style w:type="paragraph" w:customStyle="1" w:styleId="145">
    <w:name w:val="标题1"/>
    <w:basedOn w:val="1"/>
    <w:autoRedefine/>
    <w:qFormat/>
    <w:uiPriority w:val="0"/>
    <w:pPr>
      <w:tabs>
        <w:tab w:val="left" w:pos="1442"/>
      </w:tabs>
      <w:autoSpaceDE/>
      <w:autoSpaceDN/>
      <w:adjustRightInd/>
      <w:spacing w:line="360" w:lineRule="auto"/>
      <w:jc w:val="center"/>
    </w:pPr>
    <w:rPr>
      <w:rFonts w:ascii="黑体" w:hAnsi="宋体" w:eastAsia="黑体"/>
      <w:b/>
      <w:color w:val="auto"/>
      <w:kern w:val="2"/>
      <w:sz w:val="32"/>
      <w:szCs w:val="24"/>
    </w:rPr>
  </w:style>
  <w:style w:type="paragraph" w:customStyle="1" w:styleId="146">
    <w:name w:val="文档正文"/>
    <w:basedOn w:val="1"/>
    <w:autoRedefine/>
    <w:qFormat/>
    <w:uiPriority w:val="0"/>
    <w:pPr>
      <w:autoSpaceDE/>
      <w:autoSpaceDN/>
      <w:spacing w:line="440" w:lineRule="atLeast"/>
      <w:ind w:firstLine="200" w:firstLineChars="200"/>
      <w:textAlignment w:val="baseline"/>
    </w:pPr>
    <w:rPr>
      <w:rFonts w:ascii="宋体"/>
      <w:color w:val="auto"/>
      <w:spacing w:val="4"/>
      <w:sz w:val="24"/>
      <w:szCs w:val="20"/>
    </w:rPr>
  </w:style>
  <w:style w:type="paragraph" w:customStyle="1" w:styleId="147">
    <w:name w:val="样式 正文缩进首行缩进两字 + 小四 首行缩进:  2 字符"/>
    <w:basedOn w:val="19"/>
    <w:autoRedefine/>
    <w:qFormat/>
    <w:uiPriority w:val="0"/>
    <w:pPr>
      <w:spacing w:line="360" w:lineRule="auto"/>
      <w:ind w:firstLine="200" w:firstLineChars="200"/>
    </w:pPr>
    <w:rPr>
      <w:rFonts w:cs="宋体"/>
      <w:sz w:val="24"/>
    </w:rPr>
  </w:style>
  <w:style w:type="character" w:customStyle="1" w:styleId="148">
    <w:name w:val="font91"/>
    <w:autoRedefine/>
    <w:qFormat/>
    <w:uiPriority w:val="0"/>
    <w:rPr>
      <w:rFonts w:hint="eastAsia" w:ascii="宋体" w:hAnsi="宋体" w:eastAsia="宋体" w:cs="宋体"/>
      <w:color w:val="auto"/>
      <w:sz w:val="18"/>
      <w:szCs w:val="18"/>
      <w:u w:val="none"/>
    </w:rPr>
  </w:style>
  <w:style w:type="paragraph" w:styleId="149">
    <w:name w:val="No Spacing"/>
    <w:link w:val="185"/>
    <w:autoRedefine/>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character" w:customStyle="1" w:styleId="150">
    <w:name w:val="正文文本 3 Char"/>
    <w:basedOn w:val="54"/>
    <w:link w:val="24"/>
    <w:autoRedefine/>
    <w:qFormat/>
    <w:uiPriority w:val="0"/>
    <w:rPr>
      <w:rFonts w:ascii="Times New Roman" w:hAnsi="Times New Roman" w:eastAsia="宋体" w:cs="Times New Roman"/>
      <w:color w:val="000000"/>
      <w:kern w:val="0"/>
      <w:sz w:val="16"/>
      <w:szCs w:val="16"/>
    </w:rPr>
  </w:style>
  <w:style w:type="paragraph" w:customStyle="1" w:styleId="151">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纯文本1"/>
    <w:basedOn w:val="1"/>
    <w:autoRedefine/>
    <w:qFormat/>
    <w:uiPriority w:val="0"/>
    <w:pPr>
      <w:autoSpaceDE/>
      <w:autoSpaceDN/>
      <w:adjustRightInd/>
      <w:ind w:firstLine="280" w:firstLineChars="100"/>
    </w:pPr>
    <w:rPr>
      <w:rFonts w:hAnsi="宋体" w:cs="Courier New"/>
      <w:color w:val="auto"/>
      <w:kern w:val="2"/>
      <w:szCs w:val="20"/>
    </w:rPr>
  </w:style>
  <w:style w:type="character" w:customStyle="1" w:styleId="153">
    <w:name w:val="apple-converted-space"/>
    <w:basedOn w:val="54"/>
    <w:autoRedefine/>
    <w:qFormat/>
    <w:uiPriority w:val="0"/>
  </w:style>
  <w:style w:type="character" w:customStyle="1" w:styleId="154">
    <w:name w:val="正文首行缩进 Char"/>
    <w:basedOn w:val="117"/>
    <w:link w:val="5"/>
    <w:autoRedefine/>
    <w:qFormat/>
    <w:uiPriority w:val="0"/>
    <w:rPr>
      <w:rFonts w:ascii="Times New Roman" w:hAnsi="Times New Roman" w:eastAsia="宋体" w:cs="Times New Roman"/>
      <w:color w:val="000000"/>
      <w:kern w:val="0"/>
      <w:sz w:val="21"/>
      <w:szCs w:val="21"/>
    </w:rPr>
  </w:style>
  <w:style w:type="character" w:customStyle="1" w:styleId="155">
    <w:name w:val="标题 5 Char"/>
    <w:basedOn w:val="54"/>
    <w:link w:val="11"/>
    <w:autoRedefine/>
    <w:qFormat/>
    <w:uiPriority w:val="0"/>
    <w:rPr>
      <w:rFonts w:ascii="Times New Roman" w:hAnsi="Times New Roman" w:eastAsia="宋体" w:cs="Times New Roman"/>
      <w:b/>
      <w:bCs/>
      <w:color w:val="000000"/>
      <w:kern w:val="2"/>
      <w:sz w:val="28"/>
      <w:szCs w:val="28"/>
    </w:rPr>
  </w:style>
  <w:style w:type="character" w:customStyle="1" w:styleId="156">
    <w:name w:val="标题 6 Char"/>
    <w:basedOn w:val="54"/>
    <w:link w:val="12"/>
    <w:autoRedefine/>
    <w:qFormat/>
    <w:uiPriority w:val="0"/>
    <w:rPr>
      <w:rFonts w:ascii="Times New Roman" w:hAnsi="Times New Roman" w:eastAsia="宋体" w:cs="Times New Roman"/>
      <w:color w:val="000000"/>
      <w:kern w:val="24"/>
      <w:sz w:val="24"/>
      <w:szCs w:val="24"/>
    </w:rPr>
  </w:style>
  <w:style w:type="character" w:customStyle="1" w:styleId="157">
    <w:name w:val="标题 7 Char"/>
    <w:basedOn w:val="54"/>
    <w:link w:val="13"/>
    <w:autoRedefine/>
    <w:qFormat/>
    <w:uiPriority w:val="0"/>
    <w:rPr>
      <w:rFonts w:ascii="Times New Roman" w:hAnsi="Times New Roman" w:eastAsia="宋体" w:cs="Times New Roman"/>
      <w:color w:val="000000"/>
      <w:spacing w:val="2"/>
      <w:kern w:val="24"/>
      <w:sz w:val="24"/>
      <w:szCs w:val="24"/>
    </w:rPr>
  </w:style>
  <w:style w:type="character" w:customStyle="1" w:styleId="158">
    <w:name w:val="标题 8 Char"/>
    <w:basedOn w:val="54"/>
    <w:link w:val="14"/>
    <w:autoRedefine/>
    <w:qFormat/>
    <w:uiPriority w:val="0"/>
    <w:rPr>
      <w:rFonts w:ascii="Times New Roman" w:hAnsi="Times New Roman" w:eastAsia="宋体" w:cs="Times New Roman"/>
      <w:color w:val="000000"/>
      <w:kern w:val="24"/>
      <w:sz w:val="24"/>
      <w:szCs w:val="24"/>
    </w:rPr>
  </w:style>
  <w:style w:type="character" w:customStyle="1" w:styleId="159">
    <w:name w:val="标题 9 Char"/>
    <w:basedOn w:val="54"/>
    <w:link w:val="15"/>
    <w:autoRedefine/>
    <w:qFormat/>
    <w:uiPriority w:val="0"/>
    <w:rPr>
      <w:rFonts w:ascii="Arial" w:hAnsi="Arial" w:eastAsia="黑体" w:cs="Times New Roman"/>
      <w:kern w:val="2"/>
      <w:sz w:val="21"/>
      <w:szCs w:val="24"/>
    </w:rPr>
  </w:style>
  <w:style w:type="character" w:customStyle="1" w:styleId="160">
    <w:name w:val="!我的正文 Ctr+Q Char"/>
    <w:link w:val="161"/>
    <w:autoRedefine/>
    <w:qFormat/>
    <w:uiPriority w:val="0"/>
    <w:rPr>
      <w:rFonts w:ascii="Arial" w:hAnsi="Arial"/>
      <w:sz w:val="24"/>
      <w:szCs w:val="21"/>
    </w:rPr>
  </w:style>
  <w:style w:type="paragraph" w:customStyle="1" w:styleId="161">
    <w:name w:val="!我的正文 Ctr+Q"/>
    <w:basedOn w:val="1"/>
    <w:link w:val="160"/>
    <w:autoRedefine/>
    <w:qFormat/>
    <w:uiPriority w:val="0"/>
    <w:pPr>
      <w:autoSpaceDE/>
      <w:autoSpaceDN/>
      <w:snapToGrid w:val="0"/>
      <w:spacing w:line="360" w:lineRule="auto"/>
      <w:ind w:firstLine="480" w:firstLineChars="200"/>
    </w:pPr>
    <w:rPr>
      <w:rFonts w:ascii="Arial" w:hAnsi="Arial" w:eastAsiaTheme="minorEastAsia" w:cstheme="minorBidi"/>
      <w:color w:val="auto"/>
      <w:sz w:val="24"/>
    </w:rPr>
  </w:style>
  <w:style w:type="character" w:customStyle="1" w:styleId="162">
    <w:name w:val="Char Char14"/>
    <w:autoRedefine/>
    <w:qFormat/>
    <w:uiPriority w:val="0"/>
    <w:rPr>
      <w:rFonts w:eastAsia="宋体"/>
      <w:kern w:val="2"/>
      <w:sz w:val="24"/>
      <w:lang w:val="en-US" w:eastAsia="zh-CN" w:bidi="ar-SA"/>
    </w:rPr>
  </w:style>
  <w:style w:type="character" w:customStyle="1" w:styleId="163">
    <w:name w:val="小点说明 Char Char"/>
    <w:link w:val="164"/>
    <w:autoRedefine/>
    <w:qFormat/>
    <w:uiPriority w:val="0"/>
    <w:rPr>
      <w:rFonts w:eastAsia="宋体"/>
      <w:kern w:val="2"/>
      <w:sz w:val="21"/>
      <w:szCs w:val="24"/>
    </w:rPr>
  </w:style>
  <w:style w:type="paragraph" w:customStyle="1" w:styleId="164">
    <w:name w:val="小点说明"/>
    <w:basedOn w:val="1"/>
    <w:link w:val="163"/>
    <w:autoRedefine/>
    <w:qFormat/>
    <w:uiPriority w:val="0"/>
    <w:pPr>
      <w:autoSpaceDE/>
      <w:autoSpaceDN/>
      <w:snapToGrid w:val="0"/>
      <w:spacing w:line="360" w:lineRule="auto"/>
    </w:pPr>
    <w:rPr>
      <w:rFonts w:asciiTheme="minorHAnsi" w:hAnsiTheme="minorHAnsi" w:cstheme="minorBidi"/>
      <w:color w:val="auto"/>
      <w:kern w:val="2"/>
      <w:szCs w:val="24"/>
    </w:rPr>
  </w:style>
  <w:style w:type="character" w:customStyle="1" w:styleId="165">
    <w:name w:val="纯文本 Char"/>
    <w:autoRedefine/>
    <w:qFormat/>
    <w:uiPriority w:val="0"/>
    <w:rPr>
      <w:rFonts w:ascii="宋体" w:hAnsi="Courier New" w:cs="Courier New"/>
      <w:kern w:val="2"/>
      <w:sz w:val="21"/>
      <w:szCs w:val="21"/>
    </w:rPr>
  </w:style>
  <w:style w:type="character" w:customStyle="1" w:styleId="166">
    <w:name w:val="Char Char9"/>
    <w:autoRedefine/>
    <w:qFormat/>
    <w:uiPriority w:val="0"/>
    <w:rPr>
      <w:rFonts w:eastAsia="宋体"/>
      <w:color w:val="000000"/>
      <w:sz w:val="21"/>
      <w:szCs w:val="21"/>
      <w:lang w:val="en-US" w:eastAsia="zh-CN" w:bidi="ar-SA"/>
    </w:rPr>
  </w:style>
  <w:style w:type="character" w:customStyle="1" w:styleId="167">
    <w:name w:val="Char Char24"/>
    <w:autoRedefine/>
    <w:qFormat/>
    <w:uiPriority w:val="0"/>
    <w:rPr>
      <w:rFonts w:eastAsia="宋体"/>
      <w:b/>
      <w:color w:val="000000"/>
      <w:sz w:val="32"/>
      <w:szCs w:val="21"/>
      <w:lang w:val="en-US" w:eastAsia="zh-CN" w:bidi="ar-SA"/>
    </w:rPr>
  </w:style>
  <w:style w:type="character" w:customStyle="1" w:styleId="168">
    <w:name w:val="文章样式1 Char Char"/>
    <w:link w:val="169"/>
    <w:autoRedefine/>
    <w:qFormat/>
    <w:uiPriority w:val="0"/>
    <w:rPr>
      <w:rFonts w:ascii="宋体" w:hAnsi="宋体" w:eastAsia="Times New Roman" w:cs="宋体"/>
      <w:b/>
      <w:kern w:val="2"/>
      <w:sz w:val="21"/>
    </w:rPr>
  </w:style>
  <w:style w:type="paragraph" w:customStyle="1" w:styleId="169">
    <w:name w:val="文章样式1"/>
    <w:link w:val="168"/>
    <w:autoRedefine/>
    <w:qFormat/>
    <w:uiPriority w:val="0"/>
    <w:pPr>
      <w:numPr>
        <w:ilvl w:val="0"/>
        <w:numId w:val="3"/>
      </w:numPr>
      <w:tabs>
        <w:tab w:val="left" w:pos="0"/>
      </w:tabs>
      <w:spacing w:line="360" w:lineRule="auto"/>
    </w:pPr>
    <w:rPr>
      <w:rFonts w:ascii="宋体" w:hAnsi="宋体" w:eastAsia="Times New Roman" w:cs="宋体"/>
      <w:b/>
      <w:kern w:val="2"/>
      <w:sz w:val="21"/>
      <w:lang w:val="en-US" w:eastAsia="zh-CN" w:bidi="ar-SA"/>
    </w:rPr>
  </w:style>
  <w:style w:type="character" w:customStyle="1" w:styleId="170">
    <w:name w:val="Char Char10"/>
    <w:autoRedefine/>
    <w:qFormat/>
    <w:uiPriority w:val="0"/>
    <w:rPr>
      <w:rFonts w:eastAsia="宋体"/>
      <w:color w:val="000000"/>
      <w:sz w:val="18"/>
      <w:szCs w:val="18"/>
      <w:lang w:val="en-US" w:eastAsia="zh-CN" w:bidi="ar-SA"/>
    </w:rPr>
  </w:style>
  <w:style w:type="character" w:customStyle="1" w:styleId="171">
    <w:name w:val="样式 正文首行缩进 2 + 左侧:  2 字符 首行缩进:  2 字符1 Char Char"/>
    <w:link w:val="172"/>
    <w:autoRedefine/>
    <w:qFormat/>
    <w:uiPriority w:val="0"/>
    <w:rPr>
      <w:rFonts w:ascii="宋体" w:hAnsi="宋体" w:eastAsia="Times New Roman" w:cs="宋体"/>
      <w:color w:val="000000"/>
      <w:kern w:val="2"/>
      <w:sz w:val="21"/>
      <w:szCs w:val="21"/>
    </w:rPr>
  </w:style>
  <w:style w:type="paragraph" w:customStyle="1" w:styleId="172">
    <w:name w:val="样式 正文首行缩进 2 + 左侧:  2 字符 首行缩进:  2 字符1"/>
    <w:next w:val="1"/>
    <w:link w:val="171"/>
    <w:autoRedefine/>
    <w:qFormat/>
    <w:uiPriority w:val="0"/>
    <w:pPr>
      <w:adjustRightInd w:val="0"/>
      <w:snapToGrid w:val="0"/>
      <w:spacing w:before="60" w:after="60" w:line="360" w:lineRule="auto"/>
      <w:ind w:firstLine="420"/>
      <w:jc w:val="both"/>
    </w:pPr>
    <w:rPr>
      <w:rFonts w:ascii="宋体" w:hAnsi="宋体" w:eastAsia="Times New Roman" w:cs="宋体"/>
      <w:color w:val="000000"/>
      <w:kern w:val="2"/>
      <w:sz w:val="21"/>
      <w:szCs w:val="21"/>
      <w:lang w:val="en-US" w:eastAsia="zh-CN" w:bidi="ar-SA"/>
    </w:rPr>
  </w:style>
  <w:style w:type="character" w:customStyle="1" w:styleId="173">
    <w:name w:val="Char Char15"/>
    <w:autoRedefine/>
    <w:qFormat/>
    <w:uiPriority w:val="0"/>
    <w:rPr>
      <w:rFonts w:eastAsia="宋体"/>
      <w:kern w:val="2"/>
      <w:sz w:val="21"/>
      <w:lang w:val="en-US" w:eastAsia="zh-CN" w:bidi="ar-SA"/>
    </w:rPr>
  </w:style>
  <w:style w:type="character" w:customStyle="1" w:styleId="174">
    <w:name w:val="style21"/>
    <w:autoRedefine/>
    <w:qFormat/>
    <w:uiPriority w:val="0"/>
    <w:rPr>
      <w:color w:val="FFFFFF"/>
    </w:rPr>
  </w:style>
  <w:style w:type="character" w:customStyle="1" w:styleId="175">
    <w:name w:val="文章标题3级 Char Char"/>
    <w:link w:val="176"/>
    <w:autoRedefine/>
    <w:qFormat/>
    <w:uiPriority w:val="0"/>
    <w:rPr>
      <w:rFonts w:eastAsia="宋体"/>
      <w:b/>
      <w:bCs/>
      <w:caps/>
      <w:color w:val="000000"/>
      <w:kern w:val="2"/>
      <w:sz w:val="24"/>
      <w:szCs w:val="18"/>
    </w:rPr>
  </w:style>
  <w:style w:type="paragraph" w:customStyle="1" w:styleId="176">
    <w:name w:val="文章标题3级"/>
    <w:basedOn w:val="177"/>
    <w:next w:val="1"/>
    <w:link w:val="175"/>
    <w:autoRedefine/>
    <w:qFormat/>
    <w:uiPriority w:val="0"/>
    <w:pPr>
      <w:tabs>
        <w:tab w:val="left" w:pos="360"/>
        <w:tab w:val="left" w:pos="780"/>
        <w:tab w:val="left" w:pos="1320"/>
        <w:tab w:val="left" w:pos="1560"/>
      </w:tabs>
      <w:outlineLvl w:val="2"/>
    </w:pPr>
    <w:rPr>
      <w:rFonts w:asciiTheme="minorHAnsi" w:hAnsiTheme="minorHAnsi" w:cstheme="minorBidi"/>
      <w:color w:val="000000"/>
      <w:sz w:val="24"/>
      <w:szCs w:val="18"/>
    </w:rPr>
  </w:style>
  <w:style w:type="paragraph" w:customStyle="1" w:styleId="177">
    <w:name w:val="文章标题2级"/>
    <w:basedOn w:val="178"/>
    <w:next w:val="1"/>
    <w:autoRedefine/>
    <w:qFormat/>
    <w:uiPriority w:val="0"/>
    <w:pPr>
      <w:pageBreakBefore w:val="0"/>
      <w:tabs>
        <w:tab w:val="left" w:pos="360"/>
        <w:tab w:val="left" w:pos="780"/>
        <w:tab w:val="left" w:pos="1320"/>
      </w:tabs>
      <w:ind w:left="200" w:hanging="200" w:hangingChars="200"/>
      <w:jc w:val="left"/>
      <w:outlineLvl w:val="1"/>
    </w:pPr>
    <w:rPr>
      <w:sz w:val="30"/>
    </w:rPr>
  </w:style>
  <w:style w:type="paragraph" w:customStyle="1" w:styleId="178">
    <w:name w:val="文章标题1级"/>
    <w:next w:val="1"/>
    <w:autoRedefine/>
    <w:qFormat/>
    <w:uiPriority w:val="0"/>
    <w:pPr>
      <w:pageBreakBefore/>
      <w:tabs>
        <w:tab w:val="left" w:pos="360"/>
      </w:tabs>
      <w:spacing w:beforeLines="50" w:afterLines="50"/>
      <w:ind w:left="840" w:hanging="420"/>
      <w:jc w:val="center"/>
      <w:outlineLvl w:val="0"/>
    </w:pPr>
    <w:rPr>
      <w:rFonts w:ascii="Times New Roman" w:hAnsi="Times New Roman" w:eastAsia="宋体" w:cs="Times New Roman"/>
      <w:b/>
      <w:bCs/>
      <w:caps/>
      <w:kern w:val="2"/>
      <w:sz w:val="32"/>
      <w:szCs w:val="24"/>
      <w:lang w:val="en-US" w:eastAsia="zh-CN" w:bidi="ar-SA"/>
    </w:rPr>
  </w:style>
  <w:style w:type="character" w:customStyle="1" w:styleId="179">
    <w:name w:val="Char Char131"/>
    <w:autoRedefine/>
    <w:qFormat/>
    <w:uiPriority w:val="0"/>
    <w:rPr>
      <w:rFonts w:eastAsia="宋体"/>
      <w:color w:val="000000"/>
      <w:sz w:val="21"/>
      <w:szCs w:val="21"/>
      <w:lang w:val="en-US" w:eastAsia="zh-CN" w:bidi="ar-SA"/>
    </w:rPr>
  </w:style>
  <w:style w:type="character" w:customStyle="1" w:styleId="180">
    <w:name w:val="正文文本 Char Char"/>
    <w:autoRedefine/>
    <w:qFormat/>
    <w:uiPriority w:val="0"/>
    <w:rPr>
      <w:rFonts w:ascii="Calibri" w:hAnsi="Calibri" w:eastAsia="宋体"/>
      <w:kern w:val="2"/>
      <w:sz w:val="21"/>
      <w:szCs w:val="22"/>
      <w:lang w:val="en-US" w:eastAsia="zh-CN" w:bidi="ar-SA"/>
    </w:rPr>
  </w:style>
  <w:style w:type="character" w:customStyle="1" w:styleId="181">
    <w:name w:val="正文缩进 Char"/>
    <w:autoRedefine/>
    <w:qFormat/>
    <w:uiPriority w:val="0"/>
    <w:rPr>
      <w:rFonts w:eastAsia="宋体"/>
      <w:kern w:val="2"/>
      <w:sz w:val="21"/>
      <w:lang w:val="en-US" w:eastAsia="zh-CN" w:bidi="ar-SA"/>
    </w:rPr>
  </w:style>
  <w:style w:type="character" w:customStyle="1" w:styleId="182">
    <w:name w:val="页脚 Char"/>
    <w:autoRedefine/>
    <w:qFormat/>
    <w:uiPriority w:val="0"/>
    <w:rPr>
      <w:sz w:val="18"/>
      <w:szCs w:val="18"/>
    </w:rPr>
  </w:style>
  <w:style w:type="character" w:customStyle="1" w:styleId="183">
    <w:name w:val="页眉 Char"/>
    <w:autoRedefine/>
    <w:qFormat/>
    <w:uiPriority w:val="99"/>
    <w:rPr>
      <w:rFonts w:ascii="Times New Roman" w:hAnsi="Times New Roman"/>
      <w:kern w:val="2"/>
      <w:sz w:val="18"/>
      <w:szCs w:val="18"/>
    </w:rPr>
  </w:style>
  <w:style w:type="character" w:customStyle="1" w:styleId="184">
    <w:name w:val="Char Char18"/>
    <w:autoRedefine/>
    <w:qFormat/>
    <w:uiPriority w:val="0"/>
    <w:rPr>
      <w:rFonts w:eastAsia="宋体"/>
      <w:kern w:val="2"/>
      <w:sz w:val="21"/>
      <w:szCs w:val="24"/>
      <w:lang w:val="en-US" w:eastAsia="zh-CN" w:bidi="ar-SA"/>
    </w:rPr>
  </w:style>
  <w:style w:type="character" w:customStyle="1" w:styleId="185">
    <w:name w:val="无间隔 Char"/>
    <w:link w:val="149"/>
    <w:autoRedefine/>
    <w:qFormat/>
    <w:uiPriority w:val="0"/>
    <w:rPr>
      <w:rFonts w:ascii="Times New Roman" w:hAnsi="Times New Roman" w:eastAsia="宋体" w:cs="Times New Roman"/>
      <w:color w:val="000000"/>
      <w:sz w:val="21"/>
      <w:szCs w:val="21"/>
    </w:rPr>
  </w:style>
  <w:style w:type="character" w:customStyle="1" w:styleId="186">
    <w:name w:val="正文文字2 Char Char"/>
    <w:autoRedefine/>
    <w:qFormat/>
    <w:uiPriority w:val="0"/>
    <w:rPr>
      <w:rFonts w:ascii="Arial" w:eastAsia="黑体"/>
      <w:sz w:val="21"/>
      <w:lang w:val="en-US" w:eastAsia="zh-CN" w:bidi="ar-SA"/>
    </w:rPr>
  </w:style>
  <w:style w:type="character" w:customStyle="1" w:styleId="187">
    <w:name w:val="Char Char27"/>
    <w:autoRedefine/>
    <w:qFormat/>
    <w:uiPriority w:val="0"/>
    <w:rPr>
      <w:rFonts w:eastAsia="宋体"/>
      <w:b/>
      <w:color w:val="000000"/>
      <w:kern w:val="44"/>
      <w:sz w:val="44"/>
      <w:szCs w:val="21"/>
      <w:lang w:val="en-US" w:eastAsia="zh-CN" w:bidi="ar-SA"/>
    </w:rPr>
  </w:style>
  <w:style w:type="character" w:customStyle="1" w:styleId="188">
    <w:name w:val="style31"/>
    <w:autoRedefine/>
    <w:qFormat/>
    <w:uiPriority w:val="0"/>
    <w:rPr>
      <w:b/>
      <w:bCs/>
      <w:color w:val="0033CC"/>
    </w:rPr>
  </w:style>
  <w:style w:type="character" w:customStyle="1" w:styleId="189">
    <w:name w:val="Char Char111"/>
    <w:autoRedefine/>
    <w:qFormat/>
    <w:uiPriority w:val="0"/>
    <w:rPr>
      <w:rFonts w:eastAsia="宋体"/>
      <w:color w:val="000000"/>
      <w:sz w:val="21"/>
      <w:szCs w:val="21"/>
      <w:lang w:val="en-US" w:eastAsia="zh-CN" w:bidi="ar-SA"/>
    </w:rPr>
  </w:style>
  <w:style w:type="character" w:customStyle="1" w:styleId="190">
    <w:name w:val="Char Char26"/>
    <w:autoRedefine/>
    <w:qFormat/>
    <w:uiPriority w:val="0"/>
    <w:rPr>
      <w:b/>
      <w:color w:val="000000"/>
      <w:kern w:val="44"/>
      <w:sz w:val="44"/>
      <w:szCs w:val="21"/>
      <w:lang w:val="en-US" w:eastAsia="zh-CN" w:bidi="ar-SA"/>
    </w:rPr>
  </w:style>
  <w:style w:type="character" w:customStyle="1" w:styleId="191">
    <w:name w:val="小标题 Char Char"/>
    <w:link w:val="192"/>
    <w:autoRedefine/>
    <w:qFormat/>
    <w:uiPriority w:val="0"/>
    <w:rPr>
      <w:rFonts w:ascii="宋体" w:hAnsi="宋体" w:eastAsia="宋体"/>
      <w:b/>
      <w:sz w:val="24"/>
      <w:szCs w:val="24"/>
    </w:rPr>
  </w:style>
  <w:style w:type="paragraph" w:customStyle="1" w:styleId="192">
    <w:name w:val="小标题"/>
    <w:basedOn w:val="1"/>
    <w:next w:val="1"/>
    <w:link w:val="191"/>
    <w:autoRedefine/>
    <w:qFormat/>
    <w:uiPriority w:val="0"/>
    <w:pPr>
      <w:widowControl/>
      <w:numPr>
        <w:ilvl w:val="0"/>
        <w:numId w:val="5"/>
      </w:numPr>
      <w:tabs>
        <w:tab w:val="left" w:pos="360"/>
      </w:tabs>
      <w:autoSpaceDE/>
      <w:autoSpaceDN/>
      <w:adjustRightInd/>
      <w:jc w:val="left"/>
    </w:pPr>
    <w:rPr>
      <w:rFonts w:ascii="宋体" w:hAnsi="宋体" w:cstheme="minorBidi"/>
      <w:b/>
      <w:color w:val="auto"/>
      <w:sz w:val="24"/>
      <w:szCs w:val="24"/>
    </w:rPr>
  </w:style>
  <w:style w:type="character" w:customStyle="1" w:styleId="193">
    <w:name w:val="正文首缩两字 Char Char"/>
    <w:link w:val="194"/>
    <w:autoRedefine/>
    <w:qFormat/>
    <w:uiPriority w:val="0"/>
    <w:rPr>
      <w:rFonts w:ascii="Verdana" w:hAnsi="Verdana" w:eastAsia="宋体"/>
      <w:kern w:val="2"/>
      <w:sz w:val="24"/>
      <w:szCs w:val="24"/>
    </w:rPr>
  </w:style>
  <w:style w:type="paragraph" w:customStyle="1" w:styleId="194">
    <w:name w:val="正文首缩两字"/>
    <w:basedOn w:val="1"/>
    <w:link w:val="193"/>
    <w:autoRedefine/>
    <w:qFormat/>
    <w:uiPriority w:val="0"/>
    <w:pPr>
      <w:autoSpaceDE/>
      <w:autoSpaceDN/>
      <w:adjustRightInd/>
      <w:spacing w:line="360" w:lineRule="auto"/>
      <w:ind w:firstLine="200" w:firstLineChars="200"/>
    </w:pPr>
    <w:rPr>
      <w:rFonts w:ascii="Verdana" w:hAnsi="Verdana" w:cstheme="minorBidi"/>
      <w:color w:val="auto"/>
      <w:kern w:val="2"/>
      <w:sz w:val="24"/>
      <w:szCs w:val="24"/>
    </w:rPr>
  </w:style>
  <w:style w:type="character" w:customStyle="1" w:styleId="195">
    <w:name w:val="正文2 Char Char"/>
    <w:link w:val="196"/>
    <w:autoRedefine/>
    <w:qFormat/>
    <w:locked/>
    <w:uiPriority w:val="0"/>
    <w:rPr>
      <w:rFonts w:ascii="楷体" w:hAnsi="Verdana" w:eastAsia="楷体"/>
      <w:kern w:val="2"/>
      <w:sz w:val="24"/>
      <w:szCs w:val="24"/>
    </w:rPr>
  </w:style>
  <w:style w:type="paragraph" w:customStyle="1" w:styleId="196">
    <w:name w:val="正文2"/>
    <w:basedOn w:val="1"/>
    <w:link w:val="195"/>
    <w:autoRedefine/>
    <w:qFormat/>
    <w:uiPriority w:val="0"/>
    <w:pPr>
      <w:tabs>
        <w:tab w:val="left" w:pos="360"/>
      </w:tabs>
      <w:autoSpaceDE/>
      <w:autoSpaceDN/>
      <w:adjustRightInd/>
      <w:spacing w:beforeLines="50" w:line="360" w:lineRule="auto"/>
      <w:jc w:val="left"/>
    </w:pPr>
    <w:rPr>
      <w:rFonts w:ascii="楷体" w:hAnsi="Verdana" w:eastAsia="楷体" w:cstheme="minorBidi"/>
      <w:color w:val="auto"/>
      <w:kern w:val="2"/>
      <w:sz w:val="24"/>
      <w:szCs w:val="24"/>
    </w:rPr>
  </w:style>
  <w:style w:type="character" w:customStyle="1" w:styleId="197">
    <w:name w:val="文字 Char Char"/>
    <w:link w:val="198"/>
    <w:autoRedefine/>
    <w:qFormat/>
    <w:uiPriority w:val="0"/>
    <w:rPr>
      <w:rFonts w:ascii="宋体" w:hAnsi="宋体"/>
      <w:kern w:val="2"/>
      <w:sz w:val="28"/>
    </w:rPr>
  </w:style>
  <w:style w:type="paragraph" w:customStyle="1" w:styleId="198">
    <w:name w:val="文字"/>
    <w:basedOn w:val="1"/>
    <w:link w:val="197"/>
    <w:autoRedefine/>
    <w:qFormat/>
    <w:uiPriority w:val="0"/>
    <w:pPr>
      <w:tabs>
        <w:tab w:val="left" w:pos="8520"/>
      </w:tabs>
      <w:autoSpaceDE/>
      <w:autoSpaceDN/>
      <w:adjustRightInd/>
      <w:spacing w:line="312" w:lineRule="auto"/>
      <w:ind w:right="-210" w:firstLine="556"/>
    </w:pPr>
    <w:rPr>
      <w:rFonts w:ascii="宋体" w:hAnsi="宋体" w:eastAsiaTheme="minorEastAsia" w:cstheme="minorBidi"/>
      <w:color w:val="auto"/>
      <w:kern w:val="2"/>
      <w:sz w:val="28"/>
      <w:szCs w:val="20"/>
    </w:rPr>
  </w:style>
  <w:style w:type="character" w:customStyle="1" w:styleId="199">
    <w:name w:val="Char Char25"/>
    <w:autoRedefine/>
    <w:qFormat/>
    <w:uiPriority w:val="0"/>
    <w:rPr>
      <w:rFonts w:ascii="Arial" w:hAnsi="Arial" w:eastAsia="黑体"/>
      <w:b/>
      <w:bCs/>
      <w:kern w:val="2"/>
      <w:sz w:val="32"/>
      <w:szCs w:val="32"/>
      <w:lang w:val="en-US" w:eastAsia="zh-CN" w:bidi="ar-SA"/>
    </w:rPr>
  </w:style>
  <w:style w:type="character" w:customStyle="1" w:styleId="200">
    <w:name w:val="强调1"/>
    <w:autoRedefine/>
    <w:qFormat/>
    <w:uiPriority w:val="0"/>
    <w:rPr>
      <w:rFonts w:ascii="Arial Black" w:hAnsi="Arial Black" w:eastAsia="黑体"/>
      <w:b/>
      <w:spacing w:val="0"/>
      <w:sz w:val="21"/>
    </w:rPr>
  </w:style>
  <w:style w:type="character" w:customStyle="1" w:styleId="201">
    <w:name w:val="文档结构图 Char"/>
    <w:autoRedefine/>
    <w:qFormat/>
    <w:uiPriority w:val="0"/>
    <w:rPr>
      <w:rFonts w:ascii="Times New Roman" w:hAnsi="Times New Roman" w:eastAsia="??" w:cs="Times New Roman"/>
      <w:sz w:val="28"/>
      <w:szCs w:val="28"/>
      <w:shd w:val="clear" w:color="auto" w:fill="000080"/>
    </w:rPr>
  </w:style>
  <w:style w:type="character" w:customStyle="1" w:styleId="202">
    <w:name w:val="标题 Char"/>
    <w:basedOn w:val="54"/>
    <w:link w:val="49"/>
    <w:autoRedefine/>
    <w:qFormat/>
    <w:uiPriority w:val="0"/>
    <w:rPr>
      <w:rFonts w:ascii="Arial" w:hAnsi="Arial" w:eastAsia="宋体" w:cs="Times New Roman"/>
      <w:b/>
      <w:bCs/>
      <w:color w:val="000000"/>
      <w:kern w:val="2"/>
      <w:sz w:val="32"/>
      <w:szCs w:val="32"/>
    </w:rPr>
  </w:style>
  <w:style w:type="character" w:customStyle="1" w:styleId="203">
    <w:name w:val="正文文本 2 Char"/>
    <w:basedOn w:val="54"/>
    <w:link w:val="45"/>
    <w:autoRedefine/>
    <w:qFormat/>
    <w:uiPriority w:val="0"/>
    <w:rPr>
      <w:rFonts w:ascii="Times New Roman" w:hAnsi="Times New Roman" w:eastAsia="宋体" w:cs="Times New Roman"/>
      <w:color w:val="000000"/>
      <w:kern w:val="2"/>
      <w:sz w:val="21"/>
      <w:szCs w:val="22"/>
    </w:rPr>
  </w:style>
  <w:style w:type="paragraph" w:customStyle="1" w:styleId="204">
    <w:name w:val="正文缩进1"/>
    <w:basedOn w:val="1"/>
    <w:autoRedefine/>
    <w:qFormat/>
    <w:uiPriority w:val="0"/>
    <w:pPr>
      <w:autoSpaceDE/>
      <w:autoSpaceDN/>
      <w:adjustRightInd/>
      <w:ind w:firstLine="420"/>
    </w:pPr>
    <w:rPr>
      <w:color w:val="auto"/>
      <w:kern w:val="2"/>
      <w:szCs w:val="20"/>
    </w:rPr>
  </w:style>
  <w:style w:type="paragraph" w:customStyle="1" w:styleId="205">
    <w:name w:val="Char Char Char Char"/>
    <w:basedOn w:val="1"/>
    <w:autoRedefine/>
    <w:qFormat/>
    <w:uiPriority w:val="0"/>
    <w:pPr>
      <w:autoSpaceDE/>
      <w:autoSpaceDN/>
      <w:adjustRightInd/>
    </w:pPr>
    <w:rPr>
      <w:color w:val="auto"/>
      <w:kern w:val="2"/>
      <w:szCs w:val="20"/>
    </w:rPr>
  </w:style>
  <w:style w:type="paragraph" w:customStyle="1" w:styleId="206">
    <w:name w:val="文章标题4级"/>
    <w:basedOn w:val="176"/>
    <w:next w:val="1"/>
    <w:autoRedefine/>
    <w:qFormat/>
    <w:uiPriority w:val="0"/>
    <w:pPr>
      <w:tabs>
        <w:tab w:val="left" w:pos="1034"/>
        <w:tab w:val="left" w:pos="2760"/>
        <w:tab w:val="clear" w:pos="1560"/>
      </w:tabs>
      <w:outlineLvl w:val="3"/>
    </w:pPr>
    <w:rPr>
      <w:color w:val="auto"/>
    </w:rPr>
  </w:style>
  <w:style w:type="paragraph" w:customStyle="1" w:styleId="207">
    <w:name w:val="封面正文"/>
    <w:autoRedefine/>
    <w:qFormat/>
    <w:uiPriority w:val="0"/>
    <w:pPr>
      <w:jc w:val="both"/>
    </w:pPr>
    <w:rPr>
      <w:rFonts w:ascii="Times New Roman" w:hAnsi="Times New Roman" w:eastAsia="宋体" w:cs="Times New Roman"/>
      <w:lang w:val="en-US" w:eastAsia="zh-CN" w:bidi="ar-SA"/>
    </w:rPr>
  </w:style>
  <w:style w:type="paragraph" w:customStyle="1" w:styleId="208">
    <w:name w:val="Char Char Char"/>
    <w:basedOn w:val="1"/>
    <w:autoRedefine/>
    <w:qFormat/>
    <w:uiPriority w:val="0"/>
    <w:pPr>
      <w:autoSpaceDE/>
      <w:autoSpaceDN/>
      <w:adjustRightInd/>
    </w:pPr>
    <w:rPr>
      <w:color w:val="auto"/>
      <w:kern w:val="2"/>
      <w:szCs w:val="24"/>
    </w:rPr>
  </w:style>
  <w:style w:type="paragraph" w:customStyle="1" w:styleId="209">
    <w:name w:val="1级标题"/>
    <w:basedOn w:val="1"/>
    <w:autoRedefine/>
    <w:qFormat/>
    <w:uiPriority w:val="0"/>
    <w:pPr>
      <w:keepLines/>
      <w:pageBreakBefore/>
      <w:numPr>
        <w:ilvl w:val="0"/>
        <w:numId w:val="6"/>
      </w:numPr>
      <w:autoSpaceDE/>
      <w:autoSpaceDN/>
      <w:adjustRightInd/>
      <w:spacing w:before="240" w:after="240" w:line="360" w:lineRule="auto"/>
      <w:ind w:firstLine="0"/>
      <w:contextualSpacing/>
      <w:jc w:val="center"/>
      <w:outlineLvl w:val="0"/>
    </w:pPr>
    <w:rPr>
      <w:rFonts w:ascii="黑体" w:hAnsi="黑体" w:eastAsia="黑体"/>
      <w:color w:val="auto"/>
      <w:sz w:val="36"/>
      <w:szCs w:val="36"/>
      <w:lang w:val="zh-CN" w:eastAsia="en-US" w:bidi="en-US"/>
    </w:rPr>
  </w:style>
  <w:style w:type="paragraph" w:customStyle="1" w:styleId="210">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1">
    <w:name w:val="3级标题"/>
    <w:basedOn w:val="1"/>
    <w:autoRedefine/>
    <w:qFormat/>
    <w:uiPriority w:val="0"/>
    <w:pPr>
      <w:keepLines/>
      <w:numPr>
        <w:ilvl w:val="2"/>
        <w:numId w:val="6"/>
      </w:numPr>
      <w:autoSpaceDE/>
      <w:autoSpaceDN/>
      <w:adjustRightInd/>
      <w:spacing w:before="120" w:after="120" w:line="360" w:lineRule="auto"/>
      <w:contextualSpacing/>
      <w:jc w:val="left"/>
      <w:outlineLvl w:val="2"/>
    </w:pPr>
    <w:rPr>
      <w:rFonts w:ascii="黑体" w:hAnsi="黑体" w:eastAsia="黑体"/>
      <w:color w:val="auto"/>
      <w:sz w:val="28"/>
      <w:szCs w:val="36"/>
      <w:lang w:val="zh-CN" w:eastAsia="en-US" w:bidi="en-US"/>
    </w:rPr>
  </w:style>
  <w:style w:type="paragraph" w:customStyle="1" w:styleId="212">
    <w:name w:val="标题 6（有编号）（绿盟科技）"/>
    <w:basedOn w:val="1"/>
    <w:next w:val="1"/>
    <w:autoRedefine/>
    <w:qFormat/>
    <w:uiPriority w:val="0"/>
    <w:pPr>
      <w:keepNext/>
      <w:keepLines/>
      <w:numPr>
        <w:ilvl w:val="0"/>
        <w:numId w:val="7"/>
      </w:numPr>
      <w:tabs>
        <w:tab w:val="left" w:pos="885"/>
      </w:tabs>
      <w:autoSpaceDE/>
      <w:autoSpaceDN/>
      <w:adjustRightInd/>
      <w:spacing w:before="240" w:after="64" w:line="317" w:lineRule="auto"/>
      <w:ind w:left="2098" w:hanging="1247"/>
      <w:jc w:val="left"/>
      <w:outlineLvl w:val="5"/>
    </w:pPr>
    <w:rPr>
      <w:rFonts w:ascii="Arial" w:hAnsi="Arial" w:eastAsia="黑体"/>
      <w:b/>
      <w:color w:val="auto"/>
      <w:szCs w:val="24"/>
    </w:rPr>
  </w:style>
  <w:style w:type="paragraph" w:customStyle="1" w:styleId="213">
    <w:name w:val="次小点说明"/>
    <w:basedOn w:val="1"/>
    <w:autoRedefine/>
    <w:qFormat/>
    <w:uiPriority w:val="0"/>
    <w:pPr>
      <w:numPr>
        <w:ilvl w:val="0"/>
        <w:numId w:val="8"/>
      </w:numPr>
      <w:tabs>
        <w:tab w:val="left" w:pos="1680"/>
      </w:tabs>
      <w:autoSpaceDE/>
      <w:autoSpaceDN/>
      <w:snapToGrid w:val="0"/>
      <w:spacing w:line="360" w:lineRule="auto"/>
    </w:pPr>
    <w:rPr>
      <w:color w:val="auto"/>
      <w:kern w:val="2"/>
      <w:szCs w:val="24"/>
    </w:rPr>
  </w:style>
  <w:style w:type="paragraph" w:customStyle="1" w:styleId="214">
    <w:name w:val="段落正文 Char"/>
    <w:basedOn w:val="1"/>
    <w:autoRedefine/>
    <w:qFormat/>
    <w:uiPriority w:val="0"/>
    <w:pPr>
      <w:autoSpaceDE/>
      <w:autoSpaceDN/>
      <w:adjustRightInd/>
      <w:spacing w:line="360" w:lineRule="auto"/>
      <w:ind w:firstLine="461" w:firstLineChars="192"/>
    </w:pPr>
    <w:rPr>
      <w:rFonts w:ascii="宋体" w:hAnsi="宋体"/>
      <w:color w:val="auto"/>
      <w:kern w:val="2"/>
      <w:sz w:val="24"/>
      <w:szCs w:val="24"/>
    </w:rPr>
  </w:style>
  <w:style w:type="paragraph" w:customStyle="1" w:styleId="215">
    <w:name w:val="Table Paragraph"/>
    <w:basedOn w:val="1"/>
    <w:autoRedefine/>
    <w:qFormat/>
    <w:uiPriority w:val="1"/>
    <w:pPr>
      <w:autoSpaceDE/>
      <w:autoSpaceDN/>
      <w:adjustRightInd/>
    </w:pPr>
    <w:rPr>
      <w:rFonts w:ascii="Arial Unicode MS" w:hAnsi="Arial Unicode MS" w:eastAsia="Arial Unicode MS" w:cs="Arial Unicode MS"/>
      <w:color w:val="auto"/>
      <w:kern w:val="2"/>
      <w:szCs w:val="24"/>
      <w:lang w:val="zh-CN" w:bidi="zh-CN"/>
    </w:rPr>
  </w:style>
  <w:style w:type="paragraph" w:customStyle="1" w:styleId="216">
    <w:name w:val="样式 列表编号 + 段后: 0.5 行"/>
    <w:basedOn w:val="18"/>
    <w:autoRedefine/>
    <w:qFormat/>
    <w:uiPriority w:val="0"/>
    <w:pPr>
      <w:widowControl w:val="0"/>
      <w:tabs>
        <w:tab w:val="left" w:pos="360"/>
        <w:tab w:val="clear" w:pos="720"/>
      </w:tabs>
      <w:spacing w:afterLines="0"/>
      <w:jc w:val="both"/>
    </w:pPr>
    <w:rPr>
      <w:rFonts w:cs="宋体"/>
      <w:kern w:val="2"/>
      <w:sz w:val="21"/>
      <w:szCs w:val="24"/>
    </w:rPr>
  </w:style>
  <w:style w:type="paragraph" w:customStyle="1" w:styleId="217">
    <w:name w:val="Char3"/>
    <w:basedOn w:val="1"/>
    <w:autoRedefine/>
    <w:qFormat/>
    <w:uiPriority w:val="0"/>
    <w:pPr>
      <w:autoSpaceDE/>
      <w:autoSpaceDN/>
      <w:adjustRightInd/>
    </w:pPr>
    <w:rPr>
      <w:rFonts w:ascii="Tahoma" w:hAnsi="Tahoma"/>
      <w:color w:val="auto"/>
      <w:kern w:val="2"/>
      <w:sz w:val="24"/>
      <w:szCs w:val="20"/>
    </w:rPr>
  </w:style>
  <w:style w:type="paragraph" w:customStyle="1" w:styleId="218">
    <w:name w:val="列表段落2"/>
    <w:basedOn w:val="1"/>
    <w:autoRedefine/>
    <w:qFormat/>
    <w:uiPriority w:val="0"/>
    <w:pPr>
      <w:autoSpaceDE/>
      <w:autoSpaceDN/>
      <w:adjustRightInd/>
      <w:ind w:firstLine="420" w:firstLineChars="200"/>
    </w:pPr>
    <w:rPr>
      <w:color w:val="auto"/>
      <w:kern w:val="2"/>
      <w:szCs w:val="22"/>
    </w:rPr>
  </w:style>
  <w:style w:type="paragraph" w:customStyle="1" w:styleId="219">
    <w:name w:val="Char Char Char Char Char Char1"/>
    <w:basedOn w:val="1"/>
    <w:autoRedefine/>
    <w:qFormat/>
    <w:uiPriority w:val="0"/>
    <w:pPr>
      <w:widowControl/>
      <w:autoSpaceDE/>
      <w:autoSpaceDN/>
      <w:adjustRightInd/>
      <w:spacing w:after="160" w:line="240" w:lineRule="exact"/>
      <w:jc w:val="left"/>
    </w:pPr>
    <w:rPr>
      <w:color w:val="auto"/>
      <w:kern w:val="2"/>
      <w:szCs w:val="24"/>
    </w:rPr>
  </w:style>
  <w:style w:type="paragraph" w:customStyle="1" w:styleId="220">
    <w:name w:val="默认段落字体 Para Char Char Char Char"/>
    <w:basedOn w:val="1"/>
    <w:autoRedefine/>
    <w:qFormat/>
    <w:uiPriority w:val="0"/>
    <w:pPr>
      <w:autoSpaceDE/>
      <w:autoSpaceDN/>
      <w:adjustRightInd/>
    </w:pPr>
    <w:rPr>
      <w:color w:val="auto"/>
      <w:kern w:val="2"/>
      <w:szCs w:val="24"/>
    </w:rPr>
  </w:style>
  <w:style w:type="paragraph" w:customStyle="1" w:styleId="221">
    <w:name w:val="Char Char Char Char Char Char Char Char Char Char Char Char Char"/>
    <w:basedOn w:val="1"/>
    <w:autoRedefine/>
    <w:qFormat/>
    <w:uiPriority w:val="0"/>
    <w:pPr>
      <w:widowControl/>
      <w:numPr>
        <w:ilvl w:val="0"/>
        <w:numId w:val="9"/>
      </w:numPr>
      <w:tabs>
        <w:tab w:val="left" w:pos="1200"/>
      </w:tabs>
      <w:autoSpaceDE/>
      <w:autoSpaceDN/>
      <w:adjustRightInd/>
      <w:spacing w:after="160" w:line="240" w:lineRule="exact"/>
      <w:ind w:left="0" w:firstLine="0"/>
      <w:jc w:val="left"/>
    </w:pPr>
    <w:rPr>
      <w:rFonts w:ascii="Verdana" w:hAnsi="Verdana"/>
      <w:color w:val="auto"/>
      <w:sz w:val="20"/>
      <w:szCs w:val="20"/>
      <w:lang w:eastAsia="en-US"/>
    </w:rPr>
  </w:style>
  <w:style w:type="paragraph" w:customStyle="1" w:styleId="222">
    <w:name w:val="插图标注（绿盟科技）"/>
    <w:next w:val="1"/>
    <w:autoRedefine/>
    <w:qFormat/>
    <w:uiPriority w:val="0"/>
    <w:pPr>
      <w:numPr>
        <w:ilvl w:val="6"/>
        <w:numId w:val="10"/>
      </w:numPr>
      <w:tabs>
        <w:tab w:val="left" w:pos="3420"/>
      </w:tabs>
      <w:spacing w:after="156"/>
      <w:jc w:val="center"/>
    </w:pPr>
    <w:rPr>
      <w:rFonts w:ascii="Arial" w:hAnsi="Arial" w:eastAsia="宋体" w:cs="Arial"/>
      <w:sz w:val="21"/>
      <w:szCs w:val="21"/>
      <w:lang w:val="en-US" w:eastAsia="zh-CN" w:bidi="ar-SA"/>
    </w:rPr>
  </w:style>
  <w:style w:type="paragraph" w:customStyle="1" w:styleId="223">
    <w:name w:val="标题 3（绿盟科技）"/>
    <w:basedOn w:val="9"/>
    <w:next w:val="1"/>
    <w:autoRedefine/>
    <w:qFormat/>
    <w:uiPriority w:val="0"/>
    <w:pPr>
      <w:numPr>
        <w:ilvl w:val="2"/>
        <w:numId w:val="10"/>
      </w:numPr>
      <w:tabs>
        <w:tab w:val="left" w:pos="960"/>
      </w:tabs>
      <w:autoSpaceDE/>
      <w:autoSpaceDN/>
      <w:adjustRightInd/>
      <w:jc w:val="left"/>
    </w:pPr>
    <w:rPr>
      <w:rFonts w:ascii="Arial" w:hAnsi="Arial" w:eastAsia="黑体"/>
      <w:bCs w:val="0"/>
      <w:color w:val="auto"/>
      <w:sz w:val="30"/>
      <w:szCs w:val="30"/>
    </w:rPr>
  </w:style>
  <w:style w:type="paragraph" w:customStyle="1" w:styleId="224">
    <w:name w:val="陈泽滨"/>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5">
    <w:name w:val="Char1"/>
    <w:basedOn w:val="1"/>
    <w:autoRedefine/>
    <w:qFormat/>
    <w:uiPriority w:val="0"/>
    <w:pPr>
      <w:autoSpaceDE/>
      <w:autoSpaceDN/>
      <w:adjustRightInd/>
    </w:pPr>
    <w:rPr>
      <w:rFonts w:ascii="仿宋_GB2312" w:eastAsia="仿宋_GB2312"/>
      <w:b/>
      <w:color w:val="auto"/>
      <w:kern w:val="2"/>
      <w:sz w:val="32"/>
      <w:szCs w:val="32"/>
    </w:rPr>
  </w:style>
  <w:style w:type="paragraph" w:customStyle="1" w:styleId="226">
    <w:name w:val="font7"/>
    <w:basedOn w:val="1"/>
    <w:autoRedefine/>
    <w:qFormat/>
    <w:uiPriority w:val="0"/>
    <w:pPr>
      <w:widowControl/>
      <w:autoSpaceDE/>
      <w:autoSpaceDN/>
      <w:adjustRightInd/>
      <w:spacing w:before="100" w:beforeAutospacing="1" w:after="100" w:afterAutospacing="1"/>
      <w:jc w:val="left"/>
    </w:pPr>
    <w:rPr>
      <w:rFonts w:ascii="宋体" w:hAnsi="宋体" w:cs="宋体"/>
      <w:color w:val="auto"/>
      <w:sz w:val="20"/>
      <w:szCs w:val="20"/>
    </w:rPr>
  </w:style>
  <w:style w:type="paragraph" w:customStyle="1" w:styleId="227">
    <w:name w:val="纯文本2"/>
    <w:basedOn w:val="1"/>
    <w:autoRedefine/>
    <w:qFormat/>
    <w:uiPriority w:val="0"/>
    <w:pPr>
      <w:autoSpaceDE/>
      <w:autoSpaceDN/>
      <w:adjustRightInd/>
    </w:pPr>
    <w:rPr>
      <w:rFonts w:ascii="宋体" w:hAnsi="Courier New"/>
      <w:color w:val="auto"/>
    </w:rPr>
  </w:style>
  <w:style w:type="paragraph" w:customStyle="1" w:styleId="228">
    <w:name w:val="样式1"/>
    <w:basedOn w:val="119"/>
    <w:autoRedefine/>
    <w:qFormat/>
    <w:uiPriority w:val="0"/>
    <w:pPr>
      <w:widowControl w:val="0"/>
      <w:spacing w:afterLines="0"/>
      <w:ind w:firstLine="0" w:firstLineChars="0"/>
    </w:pPr>
    <w:rPr>
      <w:rFonts w:ascii="仿宋_GB2312" w:hAnsi="宋体" w:eastAsia="仿宋_GB2312"/>
      <w:bCs/>
      <w:color w:val="FF0000"/>
      <w:kern w:val="2"/>
      <w:sz w:val="21"/>
      <w:szCs w:val="21"/>
    </w:rPr>
  </w:style>
  <w:style w:type="paragraph" w:customStyle="1" w:styleId="229">
    <w:name w:val="xl104"/>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left"/>
    </w:pPr>
    <w:rPr>
      <w:rFonts w:ascii="宋体" w:hAnsi="宋体" w:cs="宋体"/>
      <w:color w:val="auto"/>
      <w:sz w:val="20"/>
      <w:szCs w:val="20"/>
    </w:rPr>
  </w:style>
  <w:style w:type="paragraph" w:customStyle="1" w:styleId="230">
    <w:name w:val="标题 1（绿盟科技）"/>
    <w:basedOn w:val="7"/>
    <w:next w:val="1"/>
    <w:autoRedefine/>
    <w:qFormat/>
    <w:uiPriority w:val="0"/>
    <w:pPr>
      <w:numPr>
        <w:ilvl w:val="0"/>
        <w:numId w:val="10"/>
      </w:numPr>
      <w:pBdr>
        <w:bottom w:val="single" w:color="auto" w:sz="48" w:space="1"/>
      </w:pBdr>
      <w:tabs>
        <w:tab w:val="left" w:pos="840"/>
      </w:tabs>
      <w:autoSpaceDE/>
      <w:autoSpaceDN/>
      <w:adjustRightInd/>
      <w:spacing w:before="600"/>
      <w:jc w:val="left"/>
    </w:pPr>
    <w:rPr>
      <w:rFonts w:ascii="Arial" w:hAnsi="Arial" w:eastAsia="黑体"/>
      <w:bCs/>
      <w:color w:val="auto"/>
      <w:szCs w:val="44"/>
    </w:rPr>
  </w:style>
  <w:style w:type="paragraph" w:customStyle="1" w:styleId="231">
    <w:name w:val="List Paragraph1"/>
    <w:basedOn w:val="1"/>
    <w:autoRedefine/>
    <w:qFormat/>
    <w:uiPriority w:val="0"/>
    <w:pPr>
      <w:autoSpaceDE/>
      <w:autoSpaceDN/>
      <w:adjustRightInd/>
      <w:ind w:firstLine="420" w:firstLineChars="200"/>
    </w:pPr>
    <w:rPr>
      <w:color w:val="auto"/>
      <w:kern w:val="2"/>
      <w:szCs w:val="24"/>
    </w:rPr>
  </w:style>
  <w:style w:type="paragraph" w:customStyle="1" w:styleId="232">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3">
    <w:name w:val="4级标题"/>
    <w:basedOn w:val="1"/>
    <w:autoRedefine/>
    <w:qFormat/>
    <w:uiPriority w:val="0"/>
    <w:pPr>
      <w:keepLines/>
      <w:numPr>
        <w:ilvl w:val="3"/>
        <w:numId w:val="6"/>
      </w:numPr>
      <w:autoSpaceDE/>
      <w:autoSpaceDN/>
      <w:adjustRightInd/>
      <w:spacing w:line="360" w:lineRule="auto"/>
      <w:contextualSpacing/>
      <w:jc w:val="left"/>
      <w:outlineLvl w:val="3"/>
    </w:pPr>
    <w:rPr>
      <w:rFonts w:ascii="黑体" w:hAnsi="黑体" w:eastAsia="黑体"/>
      <w:color w:val="auto"/>
      <w:sz w:val="24"/>
      <w:szCs w:val="24"/>
      <w:lang w:val="zh-CN" w:eastAsia="en-US" w:bidi="en-US"/>
    </w:rPr>
  </w:style>
  <w:style w:type="paragraph" w:customStyle="1" w:styleId="234">
    <w:name w:val="标题 5（有编号）（绿盟科技）"/>
    <w:basedOn w:val="1"/>
    <w:next w:val="1"/>
    <w:autoRedefine/>
    <w:qFormat/>
    <w:uiPriority w:val="0"/>
    <w:pPr>
      <w:keepNext/>
      <w:keepLines/>
      <w:numPr>
        <w:ilvl w:val="4"/>
        <w:numId w:val="10"/>
      </w:numPr>
      <w:tabs>
        <w:tab w:val="left" w:pos="2580"/>
      </w:tabs>
      <w:autoSpaceDE/>
      <w:autoSpaceDN/>
      <w:adjustRightInd/>
      <w:spacing w:before="280" w:after="156" w:line="377" w:lineRule="auto"/>
      <w:jc w:val="left"/>
      <w:outlineLvl w:val="4"/>
    </w:pPr>
    <w:rPr>
      <w:rFonts w:ascii="Arial" w:hAnsi="Arial" w:eastAsia="黑体"/>
      <w:b/>
      <w:color w:val="auto"/>
      <w:sz w:val="24"/>
      <w:szCs w:val="28"/>
    </w:rPr>
  </w:style>
  <w:style w:type="paragraph" w:customStyle="1" w:styleId="235">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6">
    <w:name w:val="表格标注（绿盟科技）"/>
    <w:basedOn w:val="222"/>
    <w:next w:val="1"/>
    <w:autoRedefine/>
    <w:qFormat/>
    <w:uiPriority w:val="0"/>
    <w:pPr>
      <w:numPr>
        <w:ilvl w:val="7"/>
      </w:numPr>
      <w:tabs>
        <w:tab w:val="left" w:pos="3840"/>
        <w:tab w:val="clear" w:pos="3420"/>
      </w:tabs>
    </w:pPr>
  </w:style>
  <w:style w:type="paragraph" w:customStyle="1" w:styleId="237">
    <w:name w:val="列出段落2"/>
    <w:basedOn w:val="1"/>
    <w:autoRedefine/>
    <w:qFormat/>
    <w:uiPriority w:val="34"/>
    <w:pPr>
      <w:ind w:firstLine="420" w:firstLineChars="200"/>
    </w:pPr>
  </w:style>
  <w:style w:type="paragraph" w:customStyle="1" w:styleId="238">
    <w:name w:val="称呼1"/>
    <w:basedOn w:val="1"/>
    <w:next w:val="1"/>
    <w:autoRedefine/>
    <w:qFormat/>
    <w:uiPriority w:val="0"/>
    <w:pPr>
      <w:widowControl/>
      <w:autoSpaceDE/>
      <w:autoSpaceDN/>
      <w:jc w:val="left"/>
      <w:textAlignment w:val="baseline"/>
    </w:pPr>
    <w:rPr>
      <w:rFonts w:ascii="Arial" w:hAnsi="Arial"/>
      <w:color w:val="auto"/>
      <w:spacing w:val="-5"/>
      <w:sz w:val="24"/>
      <w:szCs w:val="20"/>
    </w:rPr>
  </w:style>
  <w:style w:type="paragraph" w:customStyle="1" w:styleId="239">
    <w:name w:val="Body Text(ch)"/>
    <w:basedOn w:val="1"/>
    <w:next w:val="4"/>
    <w:autoRedefine/>
    <w:qFormat/>
    <w:uiPriority w:val="0"/>
    <w:pPr>
      <w:autoSpaceDE/>
      <w:autoSpaceDN/>
      <w:adjustRightInd/>
      <w:spacing w:line="360" w:lineRule="auto"/>
    </w:pPr>
    <w:rPr>
      <w:rFonts w:ascii="宋体" w:hAnsi="宋体"/>
      <w:color w:val="auto"/>
      <w:kern w:val="2"/>
      <w:sz w:val="24"/>
      <w:szCs w:val="24"/>
    </w:rPr>
  </w:style>
  <w:style w:type="paragraph" w:customStyle="1" w:styleId="240">
    <w:name w:val="2级标题"/>
    <w:basedOn w:val="1"/>
    <w:autoRedefine/>
    <w:qFormat/>
    <w:uiPriority w:val="0"/>
    <w:pPr>
      <w:keepLines/>
      <w:numPr>
        <w:ilvl w:val="1"/>
        <w:numId w:val="6"/>
      </w:numPr>
      <w:autoSpaceDE/>
      <w:autoSpaceDN/>
      <w:adjustRightInd/>
      <w:spacing w:before="240" w:after="120" w:line="360" w:lineRule="auto"/>
      <w:contextualSpacing/>
      <w:jc w:val="left"/>
      <w:outlineLvl w:val="1"/>
    </w:pPr>
    <w:rPr>
      <w:rFonts w:ascii="黑体" w:hAnsi="黑体" w:eastAsia="黑体"/>
      <w:color w:val="auto"/>
      <w:sz w:val="32"/>
      <w:szCs w:val="36"/>
      <w:lang w:val="zh-CN" w:eastAsia="en-US" w:bidi="en-US"/>
    </w:rPr>
  </w:style>
  <w:style w:type="paragraph" w:customStyle="1" w:styleId="241">
    <w:name w:val="标题 2（绿盟科技）"/>
    <w:basedOn w:val="8"/>
    <w:next w:val="1"/>
    <w:autoRedefine/>
    <w:qFormat/>
    <w:uiPriority w:val="0"/>
    <w:pPr>
      <w:numPr>
        <w:ilvl w:val="1"/>
        <w:numId w:val="10"/>
      </w:numPr>
      <w:tabs>
        <w:tab w:val="left" w:pos="1320"/>
      </w:tabs>
      <w:jc w:val="left"/>
    </w:pPr>
    <w:rPr>
      <w:bCs w:val="0"/>
    </w:rPr>
  </w:style>
  <w:style w:type="paragraph" w:customStyle="1" w:styleId="242">
    <w:name w:val="回信地址"/>
    <w:basedOn w:val="1"/>
    <w:autoRedefine/>
    <w:qFormat/>
    <w:uiPriority w:val="0"/>
    <w:pPr>
      <w:keepLines/>
      <w:widowControl/>
      <w:tabs>
        <w:tab w:val="left" w:pos="-18551"/>
      </w:tabs>
      <w:autoSpaceDE/>
      <w:autoSpaceDN/>
      <w:spacing w:line="160" w:lineRule="atLeast"/>
      <w:jc w:val="left"/>
      <w:textAlignment w:val="baseline"/>
    </w:pPr>
    <w:rPr>
      <w:rFonts w:ascii="Arial" w:hAnsi="Arial"/>
      <w:color w:val="auto"/>
      <w:sz w:val="18"/>
      <w:szCs w:val="20"/>
    </w:rPr>
  </w:style>
  <w:style w:type="paragraph" w:customStyle="1" w:styleId="243">
    <w:name w:val="1"/>
    <w:basedOn w:val="1"/>
    <w:autoRedefine/>
    <w:qFormat/>
    <w:uiPriority w:val="0"/>
    <w:pPr>
      <w:widowControl/>
      <w:autoSpaceDE/>
      <w:autoSpaceDN/>
      <w:adjustRightInd/>
      <w:spacing w:after="160" w:line="240" w:lineRule="exact"/>
      <w:jc w:val="left"/>
    </w:pPr>
    <w:rPr>
      <w:color w:val="auto"/>
      <w:kern w:val="2"/>
      <w:szCs w:val="24"/>
    </w:rPr>
  </w:style>
  <w:style w:type="paragraph" w:customStyle="1" w:styleId="244">
    <w:name w:val="标准正文"/>
    <w:basedOn w:val="1"/>
    <w:autoRedefine/>
    <w:qFormat/>
    <w:uiPriority w:val="0"/>
    <w:pPr>
      <w:autoSpaceDE/>
      <w:autoSpaceDN/>
      <w:adjustRightInd/>
      <w:spacing w:afterLines="50"/>
      <w:ind w:firstLine="200" w:firstLineChars="200"/>
    </w:pPr>
    <w:rPr>
      <w:color w:val="auto"/>
      <w:kern w:val="2"/>
      <w:sz w:val="24"/>
    </w:rPr>
  </w:style>
  <w:style w:type="paragraph" w:customStyle="1" w:styleId="245">
    <w:name w:val="table text"/>
    <w:basedOn w:val="1"/>
    <w:autoRedefine/>
    <w:qFormat/>
    <w:uiPriority w:val="0"/>
    <w:pPr>
      <w:widowControl/>
      <w:autoSpaceDE/>
      <w:autoSpaceDN/>
      <w:adjustRightInd/>
    </w:pPr>
    <w:rPr>
      <w:rFonts w:ascii="Arial" w:hAnsi="Arial"/>
      <w:bCs/>
      <w:color w:val="auto"/>
      <w:sz w:val="20"/>
      <w:szCs w:val="20"/>
    </w:rPr>
  </w:style>
  <w:style w:type="paragraph" w:customStyle="1" w:styleId="246">
    <w:name w:val="Char21"/>
    <w:basedOn w:val="1"/>
    <w:autoRedefine/>
    <w:qFormat/>
    <w:uiPriority w:val="0"/>
    <w:pPr>
      <w:autoSpaceDE/>
      <w:autoSpaceDN/>
      <w:adjustRightInd/>
    </w:pPr>
    <w:rPr>
      <w:color w:val="auto"/>
      <w:kern w:val="2"/>
      <w:szCs w:val="20"/>
    </w:rPr>
  </w:style>
  <w:style w:type="paragraph" w:customStyle="1" w:styleId="247">
    <w:name w:val="WPS Plain"/>
    <w:autoRedefine/>
    <w:qFormat/>
    <w:uiPriority w:val="0"/>
    <w:rPr>
      <w:rFonts w:ascii="Times New Roman" w:hAnsi="Times New Roman" w:eastAsia="宋体" w:cs="Times New Roman"/>
      <w:sz w:val="21"/>
      <w:szCs w:val="22"/>
      <w:lang w:val="en-US" w:eastAsia="zh-CN" w:bidi="ar-SA"/>
    </w:rPr>
  </w:style>
  <w:style w:type="paragraph" w:customStyle="1" w:styleId="248">
    <w:name w:val="_Style 241"/>
    <w:basedOn w:val="25"/>
    <w:next w:val="51"/>
    <w:autoRedefine/>
    <w:qFormat/>
    <w:uiPriority w:val="0"/>
    <w:pPr>
      <w:autoSpaceDE/>
      <w:autoSpaceDN/>
      <w:adjustRightInd/>
      <w:spacing w:line="360" w:lineRule="auto"/>
      <w:ind w:firstLine="420" w:firstLineChars="200"/>
    </w:pPr>
    <w:rPr>
      <w:rFonts w:ascii="Calibri" w:hAnsi="Calibri"/>
      <w:color w:val="auto"/>
      <w:kern w:val="2"/>
      <w:sz w:val="24"/>
      <w:szCs w:val="22"/>
    </w:rPr>
  </w:style>
  <w:style w:type="paragraph" w:customStyle="1" w:styleId="249">
    <w:name w:val="普通(网站)11"/>
    <w:basedOn w:val="1"/>
    <w:autoRedefine/>
    <w:qFormat/>
    <w:uiPriority w:val="0"/>
    <w:pPr>
      <w:widowControl/>
      <w:autoSpaceDE/>
      <w:autoSpaceDN/>
      <w:adjustRightInd/>
      <w:spacing w:beforeAutospacing="1" w:afterAutospacing="1"/>
      <w:jc w:val="left"/>
    </w:pPr>
    <w:rPr>
      <w:rFonts w:ascii="宋体" w:hAnsi="宋体"/>
      <w:color w:val="auto"/>
      <w:sz w:val="24"/>
      <w:szCs w:val="24"/>
    </w:rPr>
  </w:style>
  <w:style w:type="character" w:customStyle="1" w:styleId="250">
    <w:name w:val="bookmark-item"/>
    <w:basedOn w:val="54"/>
    <w:autoRedefine/>
    <w:qFormat/>
    <w:uiPriority w:val="0"/>
  </w:style>
  <w:style w:type="paragraph" w:customStyle="1" w:styleId="251">
    <w:name w:val="_Style 48"/>
    <w:basedOn w:val="19"/>
    <w:autoRedefine/>
    <w:qFormat/>
    <w:uiPriority w:val="0"/>
    <w:pPr>
      <w:widowControl/>
      <w:spacing w:afterLines="50" w:line="360" w:lineRule="auto"/>
      <w:ind w:firstLine="480" w:firstLineChars="200"/>
      <w:jc w:val="left"/>
    </w:pPr>
    <w:rPr>
      <w:rFonts w:ascii="Arial" w:hAnsi="Arial" w:eastAsia="黑体" w:cs="Times New Roman"/>
      <w:snapToGrid w:val="0"/>
      <w:kern w:val="0"/>
      <w:sz w:val="20"/>
      <w:szCs w:val="21"/>
    </w:rPr>
  </w:style>
  <w:style w:type="paragraph" w:customStyle="1" w:styleId="252">
    <w:name w:val="Char2"/>
    <w:basedOn w:val="1"/>
    <w:autoRedefine/>
    <w:qFormat/>
    <w:uiPriority w:val="0"/>
    <w:pPr>
      <w:autoSpaceDE/>
      <w:autoSpaceDN/>
    </w:pPr>
    <w:rPr>
      <w:rFonts w:ascii="仿宋_GB2312" w:eastAsia="仿宋_GB2312"/>
      <w:b/>
      <w:color w:val="auto"/>
      <w:kern w:val="2"/>
      <w:sz w:val="32"/>
      <w:szCs w:val="32"/>
    </w:rPr>
  </w:style>
  <w:style w:type="paragraph" w:customStyle="1" w:styleId="253">
    <w:name w:val="trs_editor"/>
    <w:basedOn w:val="1"/>
    <w:autoRedefine/>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254">
    <w:name w:val="fontsize16"/>
    <w:basedOn w:val="1"/>
    <w:autoRedefine/>
    <w:qFormat/>
    <w:uiPriority w:val="0"/>
    <w:pPr>
      <w:autoSpaceDE/>
      <w:autoSpaceDN/>
      <w:adjustRightInd/>
      <w:jc w:val="left"/>
    </w:pPr>
    <w:rPr>
      <w:rFonts w:ascii="Calibri" w:hAnsi="Calibri"/>
      <w:color w:val="auto"/>
      <w:sz w:val="24"/>
      <w:szCs w:val="24"/>
    </w:rPr>
  </w:style>
  <w:style w:type="paragraph" w:customStyle="1" w:styleId="255">
    <w:name w:val="BZ_正文"/>
    <w:basedOn w:val="1"/>
    <w:autoRedefine/>
    <w:qFormat/>
    <w:uiPriority w:val="0"/>
    <w:pPr>
      <w:autoSpaceDE/>
      <w:autoSpaceDN/>
      <w:adjustRightInd/>
      <w:spacing w:line="360" w:lineRule="auto"/>
      <w:ind w:firstLine="200" w:firstLineChars="200"/>
    </w:pPr>
    <w:rPr>
      <w:color w:val="auto"/>
      <w:kern w:val="2"/>
      <w:sz w:val="24"/>
      <w:szCs w:val="24"/>
    </w:rPr>
  </w:style>
  <w:style w:type="paragraph" w:customStyle="1" w:styleId="256">
    <w:name w:val="正文1"/>
    <w:basedOn w:val="1"/>
    <w:autoRedefine/>
    <w:qFormat/>
    <w:uiPriority w:val="0"/>
    <w:pPr>
      <w:autoSpaceDE/>
      <w:autoSpaceDN/>
      <w:adjustRightInd/>
      <w:spacing w:line="360" w:lineRule="auto"/>
      <w:ind w:firstLine="560" w:firstLineChars="200"/>
    </w:pPr>
    <w:rPr>
      <w:rFonts w:ascii="宋体" w:hAnsi="宋体"/>
      <w:bCs/>
      <w:color w:val="auto"/>
      <w:kern w:val="2"/>
      <w:sz w:val="28"/>
      <w:szCs w:val="20"/>
    </w:rPr>
  </w:style>
  <w:style w:type="paragraph" w:customStyle="1" w:styleId="257">
    <w:name w:val="BZ_小标题2"/>
    <w:basedOn w:val="1"/>
    <w:next w:val="255"/>
    <w:autoRedefine/>
    <w:qFormat/>
    <w:uiPriority w:val="0"/>
    <w:pPr>
      <w:numPr>
        <w:ilvl w:val="0"/>
        <w:numId w:val="11"/>
      </w:numPr>
      <w:autoSpaceDE/>
      <w:autoSpaceDN/>
      <w:adjustRightInd/>
      <w:spacing w:line="360" w:lineRule="auto"/>
    </w:pPr>
    <w:rPr>
      <w:color w:val="auto"/>
      <w:kern w:val="2"/>
      <w:sz w:val="24"/>
      <w:szCs w:val="24"/>
    </w:rPr>
  </w:style>
  <w:style w:type="paragraph" w:customStyle="1" w:styleId="258">
    <w:name w:val="my正文"/>
    <w:basedOn w:val="1"/>
    <w:autoRedefine/>
    <w:qFormat/>
    <w:uiPriority w:val="0"/>
    <w:pPr>
      <w:widowControl/>
      <w:autoSpaceDE/>
      <w:autoSpaceDN/>
      <w:snapToGrid w:val="0"/>
      <w:spacing w:line="360" w:lineRule="auto"/>
      <w:ind w:firstLine="200" w:firstLineChars="200"/>
    </w:pPr>
    <w:rPr>
      <w:rFonts w:ascii="仿宋_GB2312" w:hAnsi="等线"/>
      <w:color w:val="auto"/>
      <w:kern w:val="2"/>
      <w:sz w:val="28"/>
      <w:szCs w:val="30"/>
    </w:rPr>
  </w:style>
  <w:style w:type="character" w:customStyle="1" w:styleId="259">
    <w:name w:val="标题 1 Char Char"/>
    <w:basedOn w:val="54"/>
    <w:autoRedefine/>
    <w:qFormat/>
    <w:uiPriority w:val="0"/>
    <w:rPr>
      <w:rFonts w:eastAsia="宋体"/>
      <w:b/>
      <w:spacing w:val="-2"/>
      <w:sz w:val="24"/>
      <w:lang w:val="en-US" w:eastAsia="zh-CN" w:bidi="ar-SA"/>
    </w:rPr>
  </w:style>
  <w:style w:type="paragraph" w:customStyle="1" w:styleId="260">
    <w:name w:val="正文首行缩进 21"/>
    <w:basedOn w:val="1"/>
    <w:autoRedefine/>
    <w:qFormat/>
    <w:uiPriority w:val="0"/>
    <w:pPr>
      <w:ind w:left="420" w:leftChars="200" w:firstLine="420"/>
    </w:pPr>
    <w:rPr>
      <w:rFonts w:cs="宋体"/>
    </w:rPr>
  </w:style>
  <w:style w:type="paragraph" w:customStyle="1" w:styleId="261">
    <w:name w:val="text-tag"/>
    <w:basedOn w:val="1"/>
    <w:autoRedefine/>
    <w:semiHidden/>
    <w:qFormat/>
    <w:uiPriority w:val="99"/>
    <w:pPr>
      <w:widowControl/>
      <w:autoSpaceDE/>
      <w:autoSpaceDN/>
      <w:spacing w:before="100" w:beforeAutospacing="1" w:after="100" w:afterAutospacing="1"/>
      <w:jc w:val="left"/>
    </w:pPr>
    <w:rPr>
      <w:rFonts w:ascii="宋体" w:hAnsi="宋体" w:cs="宋体"/>
      <w:color w:val="auto"/>
      <w:sz w:val="24"/>
      <w:szCs w:val="20"/>
    </w:rPr>
  </w:style>
  <w:style w:type="paragraph" w:customStyle="1" w:styleId="262">
    <w:name w:val="Char3 Char Char Char"/>
    <w:basedOn w:val="1"/>
    <w:autoRedefine/>
    <w:qFormat/>
    <w:uiPriority w:val="0"/>
    <w:rPr>
      <w:rFonts w:ascii="Tahoma" w:hAnsi="Tahoma"/>
      <w:color w:val="auto"/>
      <w:kern w:val="2"/>
      <w:sz w:val="24"/>
      <w:szCs w:val="20"/>
    </w:rPr>
  </w:style>
  <w:style w:type="paragraph" w:customStyle="1" w:styleId="263">
    <w:name w:val="正文首行缩进 22"/>
    <w:basedOn w:val="264"/>
    <w:autoRedefine/>
    <w:qFormat/>
    <w:uiPriority w:val="0"/>
    <w:pPr>
      <w:ind w:firstLine="420"/>
    </w:pPr>
    <w:rPr>
      <w:rFonts w:cs="宋体"/>
    </w:rPr>
  </w:style>
  <w:style w:type="paragraph" w:customStyle="1" w:styleId="264">
    <w:name w:val="正文文本缩进2"/>
    <w:basedOn w:val="1"/>
    <w:next w:val="1"/>
    <w:autoRedefine/>
    <w:qFormat/>
    <w:uiPriority w:val="0"/>
    <w:pPr>
      <w:ind w:left="420" w:leftChars="200"/>
    </w:pPr>
  </w:style>
  <w:style w:type="paragraph" w:customStyle="1" w:styleId="265">
    <w:name w:val="四级目录 Char Char Char Char Char"/>
    <w:next w:val="1"/>
    <w:autoRedefine/>
    <w:qFormat/>
    <w:uiPriority w:val="0"/>
    <w:pPr>
      <w:spacing w:line="360" w:lineRule="auto"/>
      <w:ind w:left="200" w:leftChars="200"/>
    </w:pPr>
    <w:rPr>
      <w:rFonts w:ascii="Calibri" w:hAnsi="Calibri" w:eastAsia="宋体" w:cs="Times New Roman"/>
      <w:lang w:val="en-US" w:eastAsia="zh-CN" w:bidi="ar-SA"/>
    </w:rPr>
  </w:style>
  <w:style w:type="paragraph" w:customStyle="1" w:styleId="266">
    <w:name w:val="[Normal]"/>
    <w:autoRedefine/>
    <w:qFormat/>
    <w:uiPriority w:val="0"/>
    <w:rPr>
      <w:rFonts w:ascii="宋体" w:hAnsi="宋体" w:eastAsia="宋体" w:cs="Times New Roman"/>
      <w:sz w:val="24"/>
      <w:szCs w:val="22"/>
      <w:lang w:val="zh-CN" w:eastAsia="zh-CN" w:bidi="ar-SA"/>
    </w:rPr>
  </w:style>
  <w:style w:type="paragraph" w:customStyle="1" w:styleId="267">
    <w:name w:val="Body Text 3"/>
    <w:basedOn w:val="1"/>
    <w:autoRedefine/>
    <w:qFormat/>
    <w:uiPriority w:val="0"/>
    <w:pPr>
      <w:spacing w:after="120" w:afterLines="0"/>
    </w:pPr>
    <w:rPr>
      <w:sz w:val="16"/>
      <w:szCs w:val="16"/>
    </w:rPr>
  </w:style>
  <w:style w:type="paragraph" w:customStyle="1" w:styleId="268">
    <w:name w:val="正文_0"/>
    <w:basedOn w:val="269"/>
    <w:autoRedefine/>
    <w:qFormat/>
    <w:uiPriority w:val="0"/>
    <w:rPr>
      <w:rFonts w:ascii="Calibri" w:hAnsi="Calibri" w:cs="Calibri"/>
      <w:szCs w:val="21"/>
    </w:rPr>
  </w:style>
  <w:style w:type="paragraph" w:customStyle="1" w:styleId="269">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0">
    <w:name w:val="00正文"/>
    <w:basedOn w:val="1"/>
    <w:autoRedefine/>
    <w:unhideWhenUsed/>
    <w:qFormat/>
    <w:uiPriority w:val="0"/>
    <w:pPr>
      <w:autoSpaceDE/>
      <w:autoSpaceDN/>
      <w:adjustRightInd/>
      <w:spacing w:before="0" w:beforeLines="0" w:after="0" w:afterLines="0"/>
      <w:ind w:firstLine="520" w:firstLineChars="200"/>
      <w:jc w:val="both"/>
    </w:pPr>
    <w:rPr>
      <w:rFonts w:hint="default" w:ascii="Times New Roman" w:hAnsi="Times New Roman" w:cs="Times New Roman"/>
      <w:sz w:val="20"/>
      <w:szCs w:val="28"/>
    </w:rPr>
  </w:style>
  <w:style w:type="paragraph" w:customStyle="1" w:styleId="271">
    <w:name w:val="正文_3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2">
    <w:name w:val="Normal_5"/>
    <w:autoRedefine/>
    <w:qFormat/>
    <w:uiPriority w:val="0"/>
    <w:rPr>
      <w:rFonts w:ascii="黑体" w:hAnsi="黑体" w:eastAsia="黑体" w:cs="Times New Roman"/>
      <w:b/>
      <w:sz w:val="32"/>
      <w:szCs w:val="24"/>
      <w:lang w:bidi="ar-SA"/>
    </w:rPr>
  </w:style>
  <w:style w:type="paragraph" w:customStyle="1" w:styleId="273">
    <w:name w:val="正文 A"/>
    <w:autoRedefine/>
    <w:qFormat/>
    <w:uiPriority w:val="0"/>
    <w:pPr>
      <w:framePr w:wrap="around" w:vAnchor="margin" w:hAnchor="text" w:yAlign="top"/>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74">
    <w:name w:val="首行缩进"/>
    <w:basedOn w:val="1"/>
    <w:autoRedefine/>
    <w:qFormat/>
    <w:uiPriority w:val="0"/>
    <w:pPr>
      <w:ind w:firstLine="480" w:firstLineChars="200"/>
    </w:pPr>
    <w:rPr>
      <w:lang w:val="zh-CN"/>
    </w:rPr>
  </w:style>
  <w:style w:type="paragraph" w:customStyle="1" w:styleId="275">
    <w:name w:val="_Style 3"/>
    <w:basedOn w:val="1"/>
    <w:autoRedefine/>
    <w:qFormat/>
    <w:uiPriority w:val="99"/>
    <w:pPr>
      <w:adjustRightInd/>
      <w:ind w:firstLine="420" w:firstLineChars="200"/>
    </w:pPr>
    <w:rPr>
      <w:rFonts w:eastAsia="仿宋_GB2312"/>
      <w:sz w:val="28"/>
    </w:rPr>
  </w:style>
  <w:style w:type="paragraph" w:customStyle="1" w:styleId="276">
    <w:name w:val="Body Text First Indent 2"/>
    <w:basedOn w:val="277"/>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277">
    <w:name w:val="Body Text Indent"/>
    <w:basedOn w:val="1"/>
    <w:next w:val="1"/>
    <w:qFormat/>
    <w:uiPriority w:val="0"/>
    <w:pPr>
      <w:spacing w:after="120" w:afterLines="0"/>
      <w:ind w:left="420" w:leftChars="200"/>
    </w:pPr>
    <w:rPr>
      <w:color w:val="000000"/>
      <w:sz w:val="21"/>
      <w:szCs w:val="21"/>
    </w:rPr>
  </w:style>
  <w:style w:type="paragraph" w:customStyle="1" w:styleId="278">
    <w:name w:val="BodyText1I"/>
    <w:basedOn w:val="279"/>
    <w:next w:val="1"/>
    <w:qFormat/>
    <w:uiPriority w:val="0"/>
    <w:pPr>
      <w:spacing w:line="360" w:lineRule="auto"/>
      <w:ind w:firstLine="420"/>
      <w:jc w:val="both"/>
      <w:textAlignment w:val="baseline"/>
    </w:pPr>
    <w:rPr>
      <w:rFonts w:ascii="宋体" w:hAnsi="Times New Roman" w:eastAsia="宋体"/>
      <w:kern w:val="2"/>
      <w:sz w:val="24"/>
      <w:szCs w:val="20"/>
      <w:lang w:val="zh-CN" w:eastAsia="zh-CN" w:bidi="ar-SA"/>
    </w:rPr>
  </w:style>
  <w:style w:type="paragraph" w:customStyle="1" w:styleId="279">
    <w:name w:val="BodyText"/>
    <w:basedOn w:val="1"/>
    <w:next w:val="278"/>
    <w:qFormat/>
    <w:uiPriority w:val="0"/>
    <w:pPr>
      <w:spacing w:line="360" w:lineRule="auto"/>
      <w:jc w:val="both"/>
      <w:textAlignment w:val="baseline"/>
    </w:pPr>
    <w:rPr>
      <w:rFonts w:ascii="宋体" w:hAnsi="Arial" w:eastAsia="宋体"/>
      <w:kern w:val="2"/>
      <w:sz w:val="24"/>
      <w:szCs w:val="21"/>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41</Pages>
  <Words>19195</Words>
  <Characters>20549</Characters>
  <Lines>263</Lines>
  <Paragraphs>74</Paragraphs>
  <TotalTime>0</TotalTime>
  <ScaleCrop>false</ScaleCrop>
  <LinksUpToDate>false</LinksUpToDate>
  <CharactersWithSpaces>20607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2023-06-26T11:32:00Z</dcterms:created>
  <dc:creator>小蛮 吴</dc:creator>
  <cp:lastModifiedBy>青夏夏夏</cp:lastModifiedBy>
  <cp:lastPrinted>2024-02-19T05:22:00Z</cp:lastPrinted>
  <dcterms:modified xsi:type="dcterms:W3CDTF">2025-02-11T11:43:52Z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22459FDB7BEE41E0BCB212B38DAF46F4_13</vt:lpwstr>
  </property>
  <property fmtid="{D5CDD505-2E9C-101B-9397-08002B2CF9AE}" pid="4" name="KSOTemplateDocerSaveRecord">
    <vt:lpwstr>eyJoZGlkIjoiZTMxMWQ5OWIxY2I5MThmZmNkZDQyZjhmOTlkYjQyNzIiLCJ1c2VySWQiOiIzMTk5MDMwNDgifQ==</vt:lpwstr>
  </property>
</Properties>
</file>