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12"/>
        <w:spacing w:line="360" w:lineRule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台州市商贸核心区开发建设投资集团有限公司关于2025年度商贸核心区电脑类硬件、办公耗材及维修服务采购项目 </w:t>
      </w:r>
    </w:p>
    <w:p>
      <w:pPr>
        <w:pStyle w:val="12"/>
        <w:spacing w:line="360" w:lineRule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需求调</w:t>
      </w:r>
      <w:bookmarkStart w:id="1" w:name="_GoBack"/>
      <w:bookmarkEnd w:id="1"/>
      <w:r>
        <w:rPr>
          <w:rFonts w:hint="eastAsia" w:ascii="宋体" w:hAnsi="宋体" w:cs="宋体"/>
          <w:sz w:val="28"/>
          <w:szCs w:val="28"/>
          <w:lang w:val="en-US" w:eastAsia="zh-CN"/>
        </w:rPr>
        <w:t>查征询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一、项目概况</w:t>
      </w:r>
    </w:p>
    <w:p>
      <w:pPr>
        <w:spacing w:line="480" w:lineRule="exact"/>
        <w:ind w:left="479" w:leftChars="228" w:firstLine="0" w:firstLineChars="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（一）项目名称：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025年度商贸核心区电脑类硬件、办公耗材及维修服务采购项目</w:t>
      </w:r>
      <w:r>
        <w:rPr>
          <w:rFonts w:hint="eastAsia" w:ascii="宋体" w:hAnsi="宋体" w:eastAsia="宋体" w:cs="宋体"/>
          <w:sz w:val="24"/>
          <w:szCs w:val="24"/>
        </w:rPr>
        <w:t>（二）项目预算：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全年累计不超过30万元。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（三）技术与服务要求：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z w:val="24"/>
          <w:szCs w:val="24"/>
        </w:rPr>
        <w:t>项目内容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电脑类硬件、办公耗材及维修服务（包括但不限于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附件1的</w:t>
      </w:r>
      <w:r>
        <w:rPr>
          <w:rFonts w:hint="eastAsia" w:ascii="宋体" w:hAnsi="宋体" w:eastAsia="宋体" w:cs="宋体"/>
          <w:sz w:val="24"/>
          <w:szCs w:val="24"/>
        </w:rPr>
        <w:t>采购清单）。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电脑类硬件：主机、显示屏、服务器硬盘、内存条、主板、鼠标、键盘、U盘、打印机、碎纸机、复印机、传真机、道闸、监控、会议大屏等;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办公耗材：硒鼓、碳粉、打印纸、办公文具、日用百货等;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维修服务：电脑硬件更换、系统重装、打印机维修、复印机维修、网络维修、网线拉装改迁、机房调试、监控维修等；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sz w:val="24"/>
          <w:szCs w:val="24"/>
        </w:rPr>
        <w:t>技术与服务要求：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成交供应商需保证所提供货物是全新的、未使用过的，并完全符合合同规定的质量、规格和性能的要求。货物到达用户指定的现场后，由采购人与成交供应商共同核对装箱单，共同开箱，验收合格后在签收清单上进行签字确认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验收时发现不符合规定要求的、或出现质量、数量问题时，成交供应商必须无条件提供换货、退货或补齐，且不因换货、退货及补齐而影响按时交货，应承担违约责任并赔偿采购人损失。采购人有权视情节暂停成交供应商承接业务，严重的可取消成交供应商资格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设备出现质量问题，成交供应商负责免费“三包”，7天包退、15天包换和不少于1年的保修。如果设备一年内出现三次质量故障，同类设备总货量一年内出现质量故障超过15%的，应包换。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成交供应商须确保其提供的货物在规范安装、正常使用及合理维护的条件下具备良好的性能表现。如因产品设计缺陷、工艺瑕疵或材料质量问题导致故障，供应商应承担全部责任并无偿提供解决方案。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成交供应商在履行合同义务期间，应遵守国家有关法律、法规，遵守保密制度和商业秘密，不得泄露与该项目业务有关的数据资料，并维护采购人的合法权益。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成交供应商在服务过程应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做</w:t>
      </w:r>
      <w:r>
        <w:rPr>
          <w:rFonts w:hint="eastAsia" w:ascii="宋体" w:hAnsi="宋体" w:eastAsia="宋体" w:cs="宋体"/>
          <w:sz w:val="24"/>
          <w:szCs w:val="24"/>
        </w:rPr>
        <w:t>好廉政建设。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货物运输过程所有安全责任、货物灭失风险等均由成交供应商负责，采购人对此不承担任何责任。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故障报修的响应时间:工作时间8:00--17:00，接到通知后1个工作日内上门维修。成交供应商迟延提供服务的，每迟延一次向采购人支付违约金300元。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四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服务时间：</w:t>
      </w:r>
      <w:r>
        <w:rPr>
          <w:rFonts w:hint="eastAsia" w:ascii="宋体" w:hAnsi="宋体" w:eastAsia="宋体" w:cs="宋体"/>
          <w:sz w:val="24"/>
          <w:szCs w:val="24"/>
          <w:lang w:val="en-US" w:eastAsia="zh-Hans"/>
        </w:rPr>
        <w:t>两年（自合同签订之日起计算）</w:t>
      </w:r>
      <w:r>
        <w:rPr>
          <w:rFonts w:hint="eastAsia" w:ascii="宋体" w:hAnsi="宋体" w:eastAsia="宋体" w:cs="宋体"/>
          <w:sz w:val="24"/>
          <w:szCs w:val="24"/>
        </w:rPr>
        <w:t>。如供应商在服务期届满时，由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采购人</w:t>
      </w:r>
      <w:r>
        <w:rPr>
          <w:rFonts w:hint="eastAsia" w:ascii="宋体" w:hAnsi="宋体" w:eastAsia="宋体" w:cs="宋体"/>
          <w:sz w:val="24"/>
          <w:szCs w:val="24"/>
        </w:rPr>
        <w:t>决定是否续期下一年年度服务期。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二、需求调查征询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需求调查征询包括但不限于相关产品的市场供给（详见附件1）、同类采购项目历史成交信息以及其他相关情况。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三、采购意见递交及接收：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（一）意见递交截止时间：202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年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月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31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日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17:00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，逾期恕不接受。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（二）意见递交方式：递交截止时间前将书面材料签字（盖章）的电子扫描件发送至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指定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电子邮箱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  <w:lang w:val="en-US" w:eastAsia="zh-CN"/>
        </w:rPr>
        <w:t>tzssmhxq@126.com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。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（三）意见接收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单位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：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意见接收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单位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名称：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台州市商贸核心区开发建设投资集团有限公司</w:t>
      </w:r>
    </w:p>
    <w:p>
      <w:pPr>
        <w:spacing w:line="480" w:lineRule="exact"/>
        <w:ind w:firstLine="480" w:firstLineChars="200"/>
        <w:rPr>
          <w:rFonts w:hint="default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联系人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尹女士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联系电话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：0576-89060022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 xml:space="preserve"> </w:t>
      </w:r>
    </w:p>
    <w:p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联系邮箱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：tzssmhxq@126.com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 xml:space="preserve"> 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四、合格的意见和建议书要求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（一）各潜在供应商、有关专家提出建议和修改理由必须是真实、有依据的，并应注明有异议的文件内容所在页次和行数，</w:t>
      </w:r>
      <w:r>
        <w:rPr>
          <w:rFonts w:hint="eastAsia" w:ascii="宋体" w:hAnsi="宋体" w:eastAsia="宋体" w:cs="宋体"/>
          <w:sz w:val="24"/>
          <w:szCs w:val="24"/>
        </w:rPr>
        <w:t xml:space="preserve">以及所依据的相关法规制度。 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（二）</w:t>
      </w:r>
      <w:bookmarkStart w:id="0" w:name="OLE_LINK1"/>
      <w:r>
        <w:rPr>
          <w:rFonts w:hint="eastAsia" w:ascii="宋体" w:hAnsi="宋体" w:eastAsia="宋体" w:cs="宋体"/>
          <w:sz w:val="24"/>
          <w:szCs w:val="24"/>
        </w:rPr>
        <w:t>潜在供应商</w:t>
      </w:r>
      <w:bookmarkEnd w:id="0"/>
      <w:r>
        <w:rPr>
          <w:rFonts w:hint="eastAsia" w:ascii="宋体" w:hAnsi="宋体" w:eastAsia="宋体" w:cs="宋体"/>
          <w:sz w:val="24"/>
          <w:szCs w:val="24"/>
        </w:rPr>
        <w:t>须在书面材料上加盖单位公章，经法定代表人签字或盖章。由授权委托人签字或盖章的，须出具针对该项目的法人授权委托书、授权委托人的身份证扫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描件</w:t>
      </w:r>
      <w:r>
        <w:rPr>
          <w:rFonts w:hint="eastAsia" w:ascii="宋体" w:hAnsi="宋体" w:eastAsia="宋体" w:cs="宋体"/>
          <w:sz w:val="24"/>
          <w:szCs w:val="24"/>
        </w:rPr>
        <w:t>和联系电话，同时附企业法人营业执照扫描件。</w:t>
      </w:r>
    </w:p>
    <w:p>
      <w:pPr>
        <w:spacing w:line="480" w:lineRule="exact"/>
        <w:ind w:firstLine="480" w:firstLineChars="20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（三）有关专家提出建议和修改理由的，须出具本人与该项目相关的专业证书扫描件（如政府采购评审专家证书或职称证书、工作证明等），并告知联系电话等通讯方式。</w:t>
      </w:r>
    </w:p>
    <w:p>
      <w:pPr>
        <w:spacing w:line="480" w:lineRule="exact"/>
        <w:ind w:firstLine="480" w:firstLineChars="200"/>
        <w:rPr>
          <w:rFonts w:hint="eastAsia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（四）对逾期送达或未按照要求提交书面意见的，将不予接受。</w:t>
      </w:r>
    </w:p>
    <w:p>
      <w:pPr>
        <w:pStyle w:val="6"/>
        <w:ind w:firstLine="0" w:firstLineChars="0"/>
        <w:rPr>
          <w:rFonts w:hint="eastAsia"/>
        </w:rPr>
      </w:pPr>
    </w:p>
    <w:p>
      <w:pPr>
        <w:pStyle w:val="3"/>
        <w:rPr>
          <w:rFonts w:hint="eastAsia"/>
        </w:rPr>
      </w:pPr>
    </w:p>
    <w:p>
      <w:pPr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b/>
          <w:sz w:val="24"/>
          <w:szCs w:val="24"/>
        </w:rPr>
        <w:t>附件：1</w:t>
      </w:r>
    </w:p>
    <w:p>
      <w:pPr>
        <w:pStyle w:val="11"/>
        <w:rPr>
          <w:rFonts w:ascii="宋体" w:hAnsi="宋体" w:cs="宋体"/>
        </w:rPr>
      </w:pPr>
      <w:r>
        <w:rPr>
          <w:rFonts w:hint="eastAsia" w:ascii="宋体" w:hAnsi="宋体" w:cs="宋体"/>
        </w:rPr>
        <w:t>采购需求市场调查反馈意见</w:t>
      </w:r>
    </w:p>
    <w:tbl>
      <w:tblPr>
        <w:tblStyle w:val="13"/>
        <w:tblW w:w="919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3359"/>
        <w:gridCol w:w="1081"/>
        <w:gridCol w:w="1065"/>
        <w:gridCol w:w="1710"/>
        <w:gridCol w:w="11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序号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项目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单位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数量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报价</w:t>
            </w: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192" w:type="dxa"/>
            <w:gridSpan w:val="6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电脑配件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TP-LINK 双千兆路由器  WDR7620千兆版 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647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 显示器21.5寸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647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 显示器23.8寸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51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TP-LINK TL-WR886N 450M无线路由器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53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TP-LINK SF1005P 5口百兆4口POE非网管PoE交换机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52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TP-LINK 5口交换机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50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TP-LINK 8口交换机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50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公牛（BULL)  6位总控全长3米 GN-109K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587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公牛（BULL) 6位总控全长1.8米 GN-109K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587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公牛  GN-212 3位总控全长1.8米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591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绿联USB HUB 一分四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761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清华同方 网线305米/箱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587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康威视工程级超五类网线305米/箱DS-1LN5E-S/E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656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金士顿（Kingston） U盘 32G 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803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金士顿（Kingston） u盘   64G 优盘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738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罗技（Logitech）无线键鼠套装MK270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761" w:leftChars="0"/>
              <w:jc w:val="both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罗技（Logitech） MK120(MK121P)有线键鼠套装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套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656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西部数据（WD）1TB 移动硬盘 USB3.0 SE系列 2.5英寸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3" w:line="240" w:lineRule="auto"/>
              <w:ind w:left="59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19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西部数据（WD）2TB 移动硬盘 USB3.0 SE系列 2.5英寸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8" w:line="240" w:lineRule="auto"/>
              <w:ind w:left="803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希捷（SEAGATE）移动硬盘 1TB USB3.0高速 希捷睿翼 2.5英寸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8" w:line="240" w:lineRule="auto"/>
              <w:ind w:left="64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希捷（SEAGATE）台式机硬盘 1TB 7200转 ST1000DM014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8" w:line="240" w:lineRule="auto"/>
              <w:ind w:left="73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希捷（SEAGATE）台式机硬盘 2TB 5400转 ST2000DM005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8" w:line="240" w:lineRule="auto"/>
              <w:ind w:left="70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西部数据（WD） 蓝盘 1TB SATA3.0 7200转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8" w:line="240" w:lineRule="auto"/>
              <w:ind w:left="7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WD4T 2.5寸移动硬盘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743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西部数据 WD240G固态硬盘 m.2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743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金士顿 DDR3/1600内存条 台式机 4G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条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金士顿（Kingston）内存条 DDR4 4代 8G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根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line="240" w:lineRule="auto"/>
              <w:rPr>
                <w:rFonts w:hint="eastAsia" w:ascii="宋体" w:hAnsi="宋体" w:eastAsia="宋体" w:cs="宋体"/>
                <w:sz w:val="20"/>
                <w:szCs w:val="21"/>
              </w:rPr>
            </w:pPr>
          </w:p>
          <w:p>
            <w:pPr>
              <w:spacing w:before="69" w:line="240" w:lineRule="auto"/>
              <w:ind w:left="65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金士顿（Kingston）内存条 4G2400台式内存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根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29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爱胜品1022N黑白打印机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爱胜品1133DNW黑白双面打印机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4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爱胜品YPS-3133DNW黑白激光多功能一体机自动双面打印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652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惠普（HP）MFP M227fdn A4黑白激光多功能一体机 （打印、复印、扫描、传真）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53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震旦彩色ADC225复印机双面器+书稿器+网络+机柜 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7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得力/deli 得力-9924 碎纸机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585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晨光AEQ96703碎纸机                                      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59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安普康(AMPCOM)配线架24口超五类网络工程级50U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55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安普康(AMPCOM)超五类配线架48口 工程级50U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爱谱华顿 理线架 24口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80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39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安普康(AMPCOM)24档48口金属网络理线架 1.5mm加厚型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59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2米原装跳线 （绿联/AMP）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根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东芝128GTF卡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东芝铠侠256G TF卡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3" w:line="240" w:lineRule="auto"/>
              <w:ind w:left="65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金士顿240G固态硬盘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3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HP280G1风扇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line="240" w:lineRule="auto"/>
              <w:rPr>
                <w:rFonts w:hint="eastAsia" w:ascii="宋体" w:hAnsi="宋体" w:eastAsia="宋体" w:cs="宋体"/>
                <w:sz w:val="20"/>
                <w:szCs w:val="21"/>
              </w:rPr>
            </w:pPr>
          </w:p>
          <w:p>
            <w:pPr>
              <w:spacing w:before="69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海康萤石H8C  300W摄像头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line="240" w:lineRule="auto"/>
              <w:rPr>
                <w:rFonts w:hint="eastAsia" w:ascii="宋体" w:hAnsi="宋体" w:eastAsia="宋体" w:cs="宋体"/>
                <w:sz w:val="20"/>
                <w:szCs w:val="21"/>
              </w:rPr>
            </w:pPr>
          </w:p>
          <w:p>
            <w:pPr>
              <w:spacing w:before="69" w:line="240" w:lineRule="auto"/>
              <w:ind w:left="65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海康萤石C3HC/H3摄像头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76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公牛GN-A02无线插板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left="76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AOC CQ27g2X显示器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67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49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晨光碎纸机AEQ96704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82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50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秋叶源3米高清线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根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0" w:line="240" w:lineRule="auto"/>
              <w:ind w:left="79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51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A4哑光双面红 195*295复印纸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包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802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52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1.5米打印线 VGA或DVI接口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根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615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53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五类水晶头绿联 （100个/包）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包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76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54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HPM10有线鼠标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65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192" w:type="dxa"/>
            <w:gridSpan w:val="6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  <w:t>硒鼓配件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格之格CF413红色硒鼓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58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格之格88A硒鼓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593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格之格505硒鼓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59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优彩hp CF230A粉仓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647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格之格NT-CH118FBK哂鼓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65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格之格ph230粉盒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585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格之格NT-PH230粉仓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1" w:line="240" w:lineRule="auto"/>
              <w:ind w:left="593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格之格230粉仓大容量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76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格之格230硒鼓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5" w:line="240" w:lineRule="auto"/>
              <w:ind w:left="804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格之格280硒鼓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3" w:line="240" w:lineRule="auto"/>
              <w:ind w:left="61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格之格388A硒鼓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3" w:line="240" w:lineRule="auto"/>
              <w:ind w:left="65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格之格2612粉仓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格之格278硒鼓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79" w:line="240" w:lineRule="auto"/>
              <w:ind w:firstLine="660" w:firstLineChars="30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格之格210粉仓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69" w:line="240" w:lineRule="auto"/>
              <w:ind w:left="590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格之格211粉仓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2" w:line="240" w:lineRule="auto"/>
              <w:ind w:left="591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  <w:lang w:val="en-US" w:eastAsia="zh-CN"/>
              </w:rPr>
              <w:t>16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格之格212粉仓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top"/>
          </w:tcPr>
          <w:p>
            <w:pPr>
              <w:spacing w:before="183" w:line="240" w:lineRule="auto"/>
              <w:ind w:left="555" w:leftChars="0"/>
              <w:rPr>
                <w:rFonts w:hint="eastAsia" w:ascii="宋体" w:hAnsi="宋体" w:eastAsia="宋体" w:cs="宋体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color w:val="auto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格之格213粉仓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格之格210BK黑色硒鼓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格之格211青色硒鼓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格之格212黄色硒鼓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格之格213红色硒鼓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22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震旦ADT-225KL黑色碳粉(适用ADC225/265系列机型)                                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23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震旦ADT-225CL青色碳粉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适用ADC225/265系列机型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)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24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震旦ADT-225ML品红色碳粉(适用ADC225/265系列机型)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25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震旦ADT-225YL黄色碳粉(适用ADC225/265系列机型)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26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震旦ADC225转印带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套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27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震旦AD225红色成像组件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套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28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复印机C226鼓芯+刮板+充电棍+清洁棍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套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29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格之格202A黑色硒鼓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30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格之格202A青色硒鼓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31</w:t>
            </w:r>
          </w:p>
        </w:tc>
        <w:tc>
          <w:tcPr>
            <w:tcW w:w="335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格之格202A黄色硒鼓</w:t>
            </w:r>
          </w:p>
        </w:tc>
        <w:tc>
          <w:tcPr>
            <w:tcW w:w="108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32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格之格202A红色硒鼓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33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格之格278硒鼓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34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爱胜品DR1233硒鼓中性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施乐CT202496黑色(3060)粉仓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施乐CT202497青色(3060)粉仓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施乐CT202498红色(3060)粉仓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施乐CT202499黄色(3060)粉仓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施乐3060废粉仓 原装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施乐3060废粉仓 中性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施乐CT351088(3060)硒鼓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震旦225芯片 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晨光A4 70G复印纸 4000页 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晨光A3 70G复印纸  2000页 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铭洋A4 75克复印纸  8包  4000页 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铭洋A3 75克复印纸  4包  2000页 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白海豚75克A4复印纸 4000页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白海豚75克A3复印纸 2000页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金鸟75克A4复印纸 4000页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金鸟75克A3复印纸 2000页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 彩色复印纸A4打印纸80g加厚彩纸一包100张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包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爱普生LW-1000p标签打印机  36MM标签带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盒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爱胜品TN3033粉仓中性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192" w:type="dxa"/>
            <w:gridSpan w:val="6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维修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系统重装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打印机维修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复印机维修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电脑维修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网络维修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次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网线拉装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投影仪安装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幕布安装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机房设备整理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网络调试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3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会议室调试</w:t>
            </w:r>
          </w:p>
        </w:tc>
        <w:tc>
          <w:tcPr>
            <w:tcW w:w="108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710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111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 w:themeColor="text1"/>
          <w:sz w:val="2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highlight w:val="none"/>
          <w:lang w:bidi="ar"/>
        </w:rPr>
        <w:t>注：本次报价采用综合单价的方式报价，综合单价包括且不限于设备费、材料费、人工费、税金、运输装卸费、安装费、安装指导费、质保期内维修保护费、特殊工具费、售后服务费、培训费、验收费等各项全部费用。</w:t>
      </w:r>
      <w:r>
        <w:rPr>
          <w:rFonts w:hint="eastAsia" w:ascii="宋体" w:hAnsi="宋体" w:eastAsia="宋体" w:cs="宋体"/>
          <w:color w:val="000000"/>
          <w:kern w:val="0"/>
          <w:sz w:val="18"/>
          <w:szCs w:val="18"/>
          <w:highlight w:val="none"/>
          <w:lang w:val="en-US" w:eastAsia="zh-CN" w:bidi="ar"/>
        </w:rPr>
        <w:t>报价</w:t>
      </w:r>
      <w:r>
        <w:rPr>
          <w:rFonts w:hint="eastAsia" w:ascii="宋体" w:hAnsi="宋体" w:eastAsia="宋体" w:cs="宋体"/>
          <w:color w:val="000000"/>
          <w:kern w:val="0"/>
          <w:sz w:val="18"/>
          <w:szCs w:val="18"/>
          <w:highlight w:val="none"/>
          <w:lang w:bidi="ar"/>
        </w:rPr>
        <w:t>应充分考虑本项目数量的不确定性以及地域供应不便等因素，此风险费用已包含在每种物品的综合单价中，在填报报价时综合考虑。</w:t>
      </w:r>
    </w:p>
    <w:p>
      <w:pPr>
        <w:spacing w:line="360" w:lineRule="auto"/>
        <w:jc w:val="left"/>
        <w:rPr>
          <w:rFonts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  <w:t xml:space="preserve">调查对象单位名称（公章）：         </w:t>
      </w:r>
      <w:r>
        <w:rPr>
          <w:rFonts w:hint="eastAsia" w:ascii="宋体" w:hAnsi="宋体" w:eastAsia="宋体" w:cs="宋体"/>
          <w:color w:val="000000" w:themeColor="text1"/>
          <w:sz w:val="22"/>
          <w:lang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  <w:t xml:space="preserve">法定代表人或其授权委托人（签字或盖章）：                                 </w:t>
      </w:r>
    </w:p>
    <w:p>
      <w:pPr>
        <w:spacing w:line="360" w:lineRule="auto"/>
        <w:jc w:val="left"/>
        <w:rPr>
          <w:rFonts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  <w:t xml:space="preserve">联系人：                           </w:t>
      </w:r>
      <w:r>
        <w:rPr>
          <w:rFonts w:hint="eastAsia" w:ascii="宋体" w:hAnsi="宋体" w:eastAsia="宋体" w:cs="宋体"/>
          <w:color w:val="000000" w:themeColor="text1"/>
          <w:sz w:val="2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  <w:t>联系方式：</w:t>
      </w:r>
    </w:p>
    <w:p>
      <w:pPr>
        <w:spacing w:line="360" w:lineRule="auto"/>
        <w:jc w:val="left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color w:val="000000" w:themeColor="text1"/>
          <w:sz w:val="22"/>
          <w14:textFill>
            <w14:solidFill>
              <w14:schemeClr w14:val="tx1"/>
            </w14:solidFill>
          </w14:textFill>
        </w:rPr>
        <w:t>日期：</w:t>
      </w:r>
    </w:p>
    <w:sectPr>
      <w:footerReference r:id="rId3" w:type="default"/>
      <w:pgSz w:w="11906" w:h="16838"/>
      <w:pgMar w:top="1134" w:right="1134" w:bottom="1134" w:left="1701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63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xMmYxN2FlODQwNmI4NDBhMmQyMDBmMmZlYzI2YmEifQ=="/>
    <w:docVar w:name="KSO_WPS_MARK_KEY" w:val="c5419e41-ff9f-4c9a-9231-9e7a7062caf4"/>
  </w:docVars>
  <w:rsids>
    <w:rsidRoot w:val="00000000"/>
    <w:rsid w:val="04727855"/>
    <w:rsid w:val="05FE0AEB"/>
    <w:rsid w:val="0692260B"/>
    <w:rsid w:val="13173DB6"/>
    <w:rsid w:val="16E96B1F"/>
    <w:rsid w:val="27BB2C1C"/>
    <w:rsid w:val="34040A7B"/>
    <w:rsid w:val="408D23BF"/>
    <w:rsid w:val="448D2008"/>
    <w:rsid w:val="464C28BC"/>
    <w:rsid w:val="4A203CE4"/>
    <w:rsid w:val="4C892920"/>
    <w:rsid w:val="512D0F6B"/>
    <w:rsid w:val="5C503C25"/>
    <w:rsid w:val="5F8866A3"/>
    <w:rsid w:val="60B43648"/>
    <w:rsid w:val="623177D2"/>
    <w:rsid w:val="673C44D5"/>
    <w:rsid w:val="707A5A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link w:val="17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paragraph" w:styleId="5">
    <w:name w:val="heading 2"/>
    <w:basedOn w:val="1"/>
    <w:next w:val="1"/>
    <w:qFormat/>
    <w:uiPriority w:val="0"/>
    <w:pPr>
      <w:keepNext/>
      <w:keepLines/>
      <w:tabs>
        <w:tab w:val="left" w:pos="432"/>
      </w:tabs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character" w:default="1" w:styleId="15">
    <w:name w:val="Default Paragraph Font"/>
    <w:unhideWhenUsed/>
    <w:qFormat/>
    <w:uiPriority w:val="1"/>
  </w:style>
  <w:style w:type="table" w:default="1" w:styleId="1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tabs>
        <w:tab w:val="left" w:pos="720"/>
        <w:tab w:val="left" w:pos="900"/>
        <w:tab w:val="left" w:pos="126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spacing w:after="120" w:line="240" w:lineRule="auto"/>
      <w:ind w:left="420" w:leftChars="200" w:firstLine="420"/>
    </w:pPr>
    <w:rPr>
      <w:sz w:val="21"/>
      <w:szCs w:val="21"/>
    </w:rPr>
  </w:style>
  <w:style w:type="paragraph" w:styleId="3">
    <w:name w:val="Body Text Indent"/>
    <w:basedOn w:val="1"/>
    <w:next w:val="1"/>
    <w:qFormat/>
    <w:uiPriority w:val="0"/>
    <w:pPr>
      <w:snapToGrid w:val="0"/>
      <w:spacing w:line="500" w:lineRule="atLeast"/>
      <w:ind w:left="-525" w:firstLine="525"/>
    </w:pPr>
    <w:rPr>
      <w:rFonts w:ascii="宋体"/>
      <w:sz w:val="24"/>
    </w:rPr>
  </w:style>
  <w:style w:type="paragraph" w:styleId="6">
    <w:name w:val="Normal Indent"/>
    <w:basedOn w:val="1"/>
    <w:next w:val="3"/>
    <w:qFormat/>
    <w:uiPriority w:val="0"/>
    <w:pPr>
      <w:ind w:firstLine="420" w:firstLineChars="200"/>
    </w:pPr>
  </w:style>
  <w:style w:type="paragraph" w:styleId="7">
    <w:name w:val="Body Text"/>
    <w:basedOn w:val="1"/>
    <w:next w:val="8"/>
    <w:qFormat/>
    <w:uiPriority w:val="0"/>
    <w:pPr>
      <w:autoSpaceDE w:val="0"/>
      <w:autoSpaceDN w:val="0"/>
      <w:spacing w:line="360" w:lineRule="auto"/>
    </w:pPr>
    <w:rPr>
      <w:rFonts w:ascii="宋体" w:hAnsi="Arial" w:cs="Arial"/>
      <w:snapToGrid w:val="0"/>
      <w:sz w:val="24"/>
      <w:szCs w:val="21"/>
      <w:lang w:val="zh-CN"/>
    </w:rPr>
  </w:style>
  <w:style w:type="paragraph" w:styleId="8">
    <w:name w:val="toc 2"/>
    <w:basedOn w:val="1"/>
    <w:next w:val="1"/>
    <w:qFormat/>
    <w:uiPriority w:val="0"/>
    <w:pPr>
      <w:ind w:left="420" w:leftChars="200"/>
    </w:pPr>
  </w:style>
  <w:style w:type="paragraph" w:styleId="9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Subtitle"/>
    <w:basedOn w:val="1"/>
    <w:next w:val="1"/>
    <w:link w:val="18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2">
    <w:name w:val="Title"/>
    <w:basedOn w:val="1"/>
    <w:next w:val="1"/>
    <w:link w:val="19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14">
    <w:name w:val="Table Grid"/>
    <w:basedOn w:val="1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Hyperlink"/>
    <w:basedOn w:val="15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7">
    <w:name w:val="标题 1 Char"/>
    <w:basedOn w:val="15"/>
    <w:link w:val="4"/>
    <w:qFormat/>
    <w:uiPriority w:val="0"/>
    <w:rPr>
      <w:rFonts w:ascii="宋体" w:hAnsi="宋体" w:eastAsia="宋体" w:cs="Times New Roman"/>
      <w:b/>
      <w:kern w:val="44"/>
      <w:sz w:val="48"/>
      <w:szCs w:val="48"/>
    </w:rPr>
  </w:style>
  <w:style w:type="character" w:customStyle="1" w:styleId="18">
    <w:name w:val="副标题 Char"/>
    <w:basedOn w:val="15"/>
    <w:link w:val="11"/>
    <w:qFormat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character" w:customStyle="1" w:styleId="19">
    <w:name w:val="标题 Char"/>
    <w:basedOn w:val="15"/>
    <w:link w:val="1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0">
    <w:name w:val="font01"/>
    <w:basedOn w:val="1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1">
    <w:name w:val="font21"/>
    <w:basedOn w:val="15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2">
    <w:name w:val="font31"/>
    <w:basedOn w:val="15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23">
    <w:name w:val="font11"/>
    <w:basedOn w:val="15"/>
    <w:qFormat/>
    <w:uiPriority w:val="0"/>
    <w:rPr>
      <w:rFonts w:hint="eastAsia" w:ascii="宋体" w:hAnsi="宋体" w:eastAsia="宋体" w:cs="宋体"/>
      <w:b/>
      <w:color w:val="666666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8</Pages>
  <Words>3150</Words>
  <Characters>4064</Characters>
  <Lines>25</Lines>
  <Paragraphs>7</Paragraphs>
  <TotalTime>8</TotalTime>
  <ScaleCrop>false</ScaleCrop>
  <LinksUpToDate>false</LinksUpToDate>
  <CharactersWithSpaces>4329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2023-12-21T16:37:00Z</dcterms:created>
  <dc:creator>Administrator</dc:creator>
  <cp:lastModifiedBy>哈哈 </cp:lastModifiedBy>
  <cp:lastPrinted>2024-04-02T01:10:00Z</cp:lastPrinted>
  <dcterms:modified xsi:type="dcterms:W3CDTF">2025-03-27T04:44:38Z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E2DD631D060F480DB93D18926D117556</vt:lpwstr>
  </property>
</Properties>
</file>