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10293">
      <w:pPr>
        <w:spacing w:line="360" w:lineRule="auto"/>
        <w:jc w:val="center"/>
        <w:rPr>
          <w:rFonts w:ascii="宋体" w:hAnsi="宋体" w:cs="宋体"/>
          <w:b/>
          <w:color w:val="auto"/>
          <w:sz w:val="24"/>
          <w:highlight w:val="none"/>
        </w:rPr>
      </w:pPr>
      <w:bookmarkStart w:id="522" w:name="_GoBack"/>
    </w:p>
    <w:p w14:paraId="33FAA0C2">
      <w:pPr>
        <w:jc w:val="center"/>
        <w:rPr>
          <w:rFonts w:ascii="宋体" w:hAnsi="宋体" w:cs="宋体"/>
          <w:b/>
          <w:bCs/>
          <w:color w:val="auto"/>
          <w:spacing w:val="-11"/>
          <w:sz w:val="48"/>
          <w:szCs w:val="48"/>
          <w:highlight w:val="none"/>
        </w:rPr>
      </w:pPr>
    </w:p>
    <w:p w14:paraId="070EA8C7">
      <w:pPr>
        <w:jc w:val="center"/>
        <w:rPr>
          <w:rFonts w:ascii="宋体" w:hAnsi="宋体" w:cs="宋体"/>
          <w:b/>
          <w:bCs/>
          <w:color w:val="auto"/>
          <w:spacing w:val="-11"/>
          <w:sz w:val="48"/>
          <w:szCs w:val="48"/>
          <w:highlight w:val="none"/>
        </w:rPr>
      </w:pPr>
      <w:r>
        <w:rPr>
          <w:rFonts w:hint="eastAsia" w:ascii="宋体" w:hAnsi="宋体" w:cs="宋体"/>
          <w:b/>
          <w:bCs/>
          <w:color w:val="auto"/>
          <w:spacing w:val="-11"/>
          <w:sz w:val="48"/>
          <w:szCs w:val="48"/>
          <w:highlight w:val="none"/>
        </w:rPr>
        <w:t>沪昆铁路杭州南至萧山段抬升改建工程临时交通改造项目</w:t>
      </w:r>
      <w:r>
        <w:rPr>
          <w:rFonts w:hint="eastAsia" w:ascii="宋体" w:hAnsi="宋体" w:cs="宋体"/>
          <w:b/>
          <w:bCs/>
          <w:color w:val="auto"/>
          <w:spacing w:val="-11"/>
          <w:sz w:val="48"/>
          <w:szCs w:val="48"/>
          <w:highlight w:val="none"/>
          <w:lang w:val="en-US" w:eastAsia="zh-CN"/>
        </w:rPr>
        <w:t>安保</w:t>
      </w:r>
      <w:r>
        <w:rPr>
          <w:rFonts w:hint="eastAsia" w:ascii="宋体" w:hAnsi="宋体" w:cs="宋体"/>
          <w:b/>
          <w:bCs/>
          <w:color w:val="auto"/>
          <w:spacing w:val="-11"/>
          <w:sz w:val="48"/>
          <w:szCs w:val="48"/>
          <w:highlight w:val="none"/>
        </w:rPr>
        <w:t>服务采购</w:t>
      </w:r>
    </w:p>
    <w:p w14:paraId="2DAA6957">
      <w:pPr>
        <w:adjustRightInd/>
        <w:spacing w:line="360" w:lineRule="auto"/>
        <w:jc w:val="center"/>
        <w:rPr>
          <w:rFonts w:ascii="宋体" w:hAnsi="宋体" w:cs="宋体"/>
          <w:b/>
          <w:bCs/>
          <w:color w:val="auto"/>
          <w:sz w:val="48"/>
          <w:szCs w:val="48"/>
          <w:highlight w:val="none"/>
        </w:rPr>
      </w:pPr>
    </w:p>
    <w:p w14:paraId="1F818B14">
      <w:pPr>
        <w:pStyle w:val="4"/>
        <w:rPr>
          <w:color w:val="auto"/>
          <w:highlight w:val="none"/>
        </w:rPr>
      </w:pPr>
    </w:p>
    <w:p w14:paraId="0F50A2A0">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招标文件</w:t>
      </w:r>
    </w:p>
    <w:p w14:paraId="33ECB97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AC2CF90">
      <w:pPr>
        <w:snapToGrid w:val="0"/>
        <w:spacing w:line="360" w:lineRule="auto"/>
        <w:ind w:left="0" w:leftChars="0" w:firstLine="0" w:firstLineChars="0"/>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 TS202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013</w:t>
      </w:r>
    </w:p>
    <w:p w14:paraId="1D21780C">
      <w:pPr>
        <w:adjustRightInd/>
        <w:spacing w:line="360" w:lineRule="auto"/>
        <w:rPr>
          <w:rFonts w:ascii="宋体" w:hAnsi="宋体" w:cs="宋体"/>
          <w:color w:val="auto"/>
          <w:sz w:val="28"/>
          <w:szCs w:val="20"/>
          <w:highlight w:val="none"/>
        </w:rPr>
      </w:pPr>
    </w:p>
    <w:p w14:paraId="4FA74F8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8858CEF">
      <w:pPr>
        <w:spacing w:line="360" w:lineRule="auto"/>
        <w:jc w:val="center"/>
        <w:rPr>
          <w:rFonts w:ascii="宋体" w:hAnsi="宋体" w:cs="宋体"/>
          <w:b/>
          <w:color w:val="auto"/>
          <w:sz w:val="44"/>
          <w:szCs w:val="44"/>
          <w:highlight w:val="none"/>
        </w:rPr>
      </w:pPr>
    </w:p>
    <w:p w14:paraId="378BFE8C">
      <w:pPr>
        <w:pStyle w:val="4"/>
        <w:rPr>
          <w:color w:val="auto"/>
          <w:highlight w:val="none"/>
        </w:rPr>
      </w:pPr>
    </w:p>
    <w:p w14:paraId="057E931F">
      <w:pPr>
        <w:pStyle w:val="4"/>
        <w:rPr>
          <w:color w:val="auto"/>
          <w:highlight w:val="none"/>
        </w:rPr>
      </w:pPr>
    </w:p>
    <w:p w14:paraId="234D09E1">
      <w:pPr>
        <w:spacing w:line="360" w:lineRule="auto"/>
        <w:jc w:val="center"/>
        <w:rPr>
          <w:rFonts w:ascii="宋体" w:hAnsi="宋体" w:cs="宋体"/>
          <w:color w:val="auto"/>
          <w:sz w:val="24"/>
          <w:highlight w:val="none"/>
        </w:rPr>
      </w:pPr>
    </w:p>
    <w:p w14:paraId="7B6045E8">
      <w:pPr>
        <w:spacing w:line="360" w:lineRule="auto"/>
        <w:rPr>
          <w:rFonts w:ascii="宋体" w:hAnsi="宋体" w:cs="宋体"/>
          <w:color w:val="auto"/>
          <w:sz w:val="32"/>
          <w:szCs w:val="32"/>
          <w:highlight w:val="none"/>
        </w:rPr>
      </w:pPr>
    </w:p>
    <w:p w14:paraId="16A700A0">
      <w:pPr>
        <w:spacing w:line="360" w:lineRule="auto"/>
        <w:jc w:val="center"/>
        <w:rPr>
          <w:rFonts w:ascii="宋体" w:hAnsi="宋体"/>
          <w:b/>
          <w:color w:val="auto"/>
          <w:sz w:val="32"/>
          <w:szCs w:val="30"/>
          <w:highlight w:val="none"/>
        </w:rPr>
      </w:pPr>
      <w:r>
        <w:rPr>
          <w:rFonts w:hint="eastAsia" w:ascii="宋体" w:hAnsi="宋体"/>
          <w:b/>
          <w:color w:val="auto"/>
          <w:sz w:val="32"/>
          <w:szCs w:val="30"/>
          <w:highlight w:val="none"/>
        </w:rPr>
        <w:t>杭州萧山城市基础设施建设有限公司</w:t>
      </w:r>
    </w:p>
    <w:p w14:paraId="1D57547E">
      <w:pPr>
        <w:spacing w:line="360" w:lineRule="auto"/>
        <w:ind w:left="141" w:leftChars="67" w:right="380" w:rightChars="181"/>
        <w:jc w:val="center"/>
        <w:rPr>
          <w:rFonts w:ascii="宋体" w:hAnsi="宋体" w:cs="宋体"/>
          <w:bCs/>
          <w:color w:val="auto"/>
          <w:sz w:val="32"/>
          <w:szCs w:val="32"/>
          <w:highlight w:val="none"/>
        </w:rPr>
      </w:pP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天盛浙创工程咨询有限公司</w:t>
      </w:r>
    </w:p>
    <w:p w14:paraId="11EC21FB">
      <w:pPr>
        <w:spacing w:line="360" w:lineRule="auto"/>
        <w:jc w:val="center"/>
        <w:rPr>
          <w:rFonts w:ascii="宋体" w:hAnsi="宋体"/>
          <w:b/>
          <w:color w:val="auto"/>
          <w:sz w:val="32"/>
          <w:szCs w:val="30"/>
          <w:highlight w:val="none"/>
        </w:rPr>
      </w:pPr>
      <w:r>
        <w:rPr>
          <w:rFonts w:hint="eastAsia" w:ascii="宋体" w:hAnsi="宋体"/>
          <w:b/>
          <w:color w:val="auto"/>
          <w:sz w:val="32"/>
          <w:szCs w:val="30"/>
          <w:highlight w:val="none"/>
        </w:rPr>
        <w:t>二〇二</w:t>
      </w:r>
      <w:r>
        <w:rPr>
          <w:rFonts w:hint="eastAsia" w:ascii="宋体" w:hAnsi="宋体"/>
          <w:b/>
          <w:color w:val="auto"/>
          <w:sz w:val="32"/>
          <w:szCs w:val="30"/>
          <w:highlight w:val="none"/>
          <w:lang w:val="en-US" w:eastAsia="zh-CN"/>
        </w:rPr>
        <w:t>五</w:t>
      </w:r>
      <w:r>
        <w:rPr>
          <w:rFonts w:hint="eastAsia" w:ascii="宋体" w:hAnsi="宋体"/>
          <w:b/>
          <w:color w:val="auto"/>
          <w:sz w:val="32"/>
          <w:szCs w:val="30"/>
          <w:highlight w:val="none"/>
        </w:rPr>
        <w:t>年</w:t>
      </w:r>
      <w:r>
        <w:rPr>
          <w:rFonts w:hint="eastAsia" w:ascii="宋体" w:hAnsi="宋体"/>
          <w:b/>
          <w:color w:val="auto"/>
          <w:sz w:val="32"/>
          <w:szCs w:val="30"/>
          <w:highlight w:val="none"/>
          <w:lang w:val="en-US" w:eastAsia="zh-CN"/>
        </w:rPr>
        <w:t>三</w:t>
      </w:r>
      <w:r>
        <w:rPr>
          <w:rFonts w:hint="eastAsia" w:ascii="宋体" w:hAnsi="宋体"/>
          <w:b/>
          <w:color w:val="auto"/>
          <w:sz w:val="32"/>
          <w:szCs w:val="30"/>
          <w:highlight w:val="none"/>
        </w:rPr>
        <w:t>月</w:t>
      </w:r>
      <w:r>
        <w:rPr>
          <w:rFonts w:hint="eastAsia" w:ascii="宋体" w:hAnsi="宋体"/>
          <w:b/>
          <w:color w:val="auto"/>
          <w:sz w:val="32"/>
          <w:szCs w:val="30"/>
          <w:highlight w:val="none"/>
          <w:lang w:val="en-US" w:eastAsia="zh-CN"/>
        </w:rPr>
        <w:t xml:space="preserve">  </w:t>
      </w:r>
      <w:r>
        <w:rPr>
          <w:rFonts w:hint="eastAsia" w:ascii="宋体" w:hAnsi="宋体"/>
          <w:b/>
          <w:color w:val="auto"/>
          <w:sz w:val="32"/>
          <w:szCs w:val="30"/>
          <w:highlight w:val="none"/>
        </w:rPr>
        <w:t>日</w:t>
      </w:r>
    </w:p>
    <w:p w14:paraId="500FE571">
      <w:pPr>
        <w:snapToGrid w:val="0"/>
        <w:spacing w:line="360" w:lineRule="auto"/>
        <w:jc w:val="center"/>
        <w:rPr>
          <w:rFonts w:ascii="宋体" w:hAnsi="宋体" w:cs="宋体"/>
          <w:color w:val="auto"/>
          <w:sz w:val="24"/>
          <w:highlight w:val="none"/>
        </w:rPr>
      </w:pPr>
    </w:p>
    <w:p w14:paraId="5DDD99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1CFDC0D">
      <w:pPr>
        <w:spacing w:line="360" w:lineRule="auto"/>
        <w:jc w:val="center"/>
        <w:rPr>
          <w:rFonts w:ascii="宋体" w:hAnsi="宋体" w:cs="宋体"/>
          <w:color w:val="auto"/>
          <w:sz w:val="24"/>
          <w:highlight w:val="none"/>
        </w:rPr>
      </w:pPr>
    </w:p>
    <w:p w14:paraId="3DA8DC6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AAC82AB">
      <w:pPr>
        <w:spacing w:line="360" w:lineRule="auto"/>
        <w:rPr>
          <w:rFonts w:ascii="宋体" w:hAnsi="宋体" w:cs="宋体"/>
          <w:color w:val="auto"/>
          <w:sz w:val="32"/>
          <w:szCs w:val="32"/>
          <w:highlight w:val="none"/>
        </w:rPr>
      </w:pPr>
    </w:p>
    <w:p w14:paraId="2AC25CFD">
      <w:pPr>
        <w:spacing w:line="360" w:lineRule="auto"/>
        <w:rPr>
          <w:rFonts w:ascii="宋体" w:hAnsi="宋体" w:cs="宋体"/>
          <w:color w:val="auto"/>
          <w:sz w:val="32"/>
          <w:szCs w:val="32"/>
          <w:highlight w:val="none"/>
        </w:rPr>
      </w:pPr>
    </w:p>
    <w:p w14:paraId="2A9DFA8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F98C4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1D69AA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BE4B08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93CF7B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94407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75017A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A6BC769">
      <w:pPr>
        <w:spacing w:line="360" w:lineRule="auto"/>
        <w:ind w:firstLine="549" w:firstLineChars="229"/>
        <w:rPr>
          <w:rFonts w:ascii="宋体" w:hAnsi="宋体" w:cs="宋体"/>
          <w:color w:val="auto"/>
          <w:sz w:val="24"/>
          <w:highlight w:val="none"/>
        </w:rPr>
      </w:pPr>
    </w:p>
    <w:p w14:paraId="3D1C35E8">
      <w:pPr>
        <w:spacing w:line="360" w:lineRule="auto"/>
        <w:ind w:firstLine="549" w:firstLineChars="229"/>
        <w:rPr>
          <w:rFonts w:ascii="宋体" w:hAnsi="宋体" w:cs="宋体"/>
          <w:color w:val="auto"/>
          <w:sz w:val="24"/>
          <w:highlight w:val="none"/>
        </w:rPr>
      </w:pPr>
    </w:p>
    <w:p w14:paraId="6204C10C">
      <w:pPr>
        <w:spacing w:line="360" w:lineRule="auto"/>
        <w:ind w:firstLine="549" w:firstLineChars="229"/>
        <w:rPr>
          <w:rFonts w:ascii="宋体" w:hAnsi="宋体" w:cs="宋体"/>
          <w:color w:val="auto"/>
          <w:sz w:val="24"/>
          <w:highlight w:val="none"/>
        </w:rPr>
      </w:pPr>
    </w:p>
    <w:p w14:paraId="574ADA1E">
      <w:pPr>
        <w:spacing w:line="360" w:lineRule="auto"/>
        <w:ind w:firstLine="549" w:firstLineChars="229"/>
        <w:rPr>
          <w:rFonts w:ascii="宋体" w:hAnsi="宋体" w:cs="宋体"/>
          <w:color w:val="auto"/>
          <w:sz w:val="24"/>
          <w:highlight w:val="none"/>
        </w:rPr>
      </w:pPr>
    </w:p>
    <w:p w14:paraId="48A8CEAF">
      <w:pPr>
        <w:spacing w:line="360" w:lineRule="auto"/>
        <w:ind w:firstLine="549" w:firstLineChars="229"/>
        <w:rPr>
          <w:rFonts w:ascii="宋体" w:hAnsi="宋体" w:cs="宋体"/>
          <w:color w:val="auto"/>
          <w:sz w:val="24"/>
          <w:highlight w:val="none"/>
        </w:rPr>
      </w:pPr>
    </w:p>
    <w:p w14:paraId="41156B37">
      <w:pPr>
        <w:spacing w:line="360" w:lineRule="auto"/>
        <w:ind w:firstLine="549" w:firstLineChars="229"/>
        <w:rPr>
          <w:rFonts w:ascii="宋体" w:hAnsi="宋体" w:cs="宋体"/>
          <w:color w:val="auto"/>
          <w:sz w:val="24"/>
          <w:highlight w:val="none"/>
        </w:rPr>
      </w:pPr>
    </w:p>
    <w:p w14:paraId="1B46BE3C">
      <w:pPr>
        <w:spacing w:line="360" w:lineRule="auto"/>
        <w:ind w:firstLine="549" w:firstLineChars="229"/>
        <w:rPr>
          <w:rFonts w:ascii="宋体" w:hAnsi="宋体" w:cs="宋体"/>
          <w:color w:val="auto"/>
          <w:sz w:val="24"/>
          <w:highlight w:val="none"/>
        </w:rPr>
      </w:pPr>
    </w:p>
    <w:p w14:paraId="19A566F5">
      <w:pPr>
        <w:spacing w:line="360" w:lineRule="auto"/>
        <w:ind w:firstLine="549" w:firstLineChars="229"/>
        <w:rPr>
          <w:rFonts w:ascii="宋体" w:hAnsi="宋体" w:cs="宋体"/>
          <w:color w:val="auto"/>
          <w:sz w:val="24"/>
          <w:highlight w:val="none"/>
        </w:rPr>
      </w:pPr>
    </w:p>
    <w:p w14:paraId="1A22D81D">
      <w:pPr>
        <w:spacing w:line="360" w:lineRule="auto"/>
        <w:ind w:firstLine="549" w:firstLineChars="229"/>
        <w:rPr>
          <w:rFonts w:ascii="宋体" w:hAnsi="宋体" w:cs="宋体"/>
          <w:color w:val="auto"/>
          <w:sz w:val="24"/>
          <w:highlight w:val="none"/>
        </w:rPr>
      </w:pPr>
    </w:p>
    <w:p w14:paraId="28E787BC">
      <w:pPr>
        <w:spacing w:line="360" w:lineRule="auto"/>
        <w:ind w:firstLine="549" w:firstLineChars="229"/>
        <w:rPr>
          <w:rFonts w:ascii="宋体" w:hAnsi="宋体" w:cs="宋体"/>
          <w:color w:val="auto"/>
          <w:sz w:val="24"/>
          <w:highlight w:val="none"/>
        </w:rPr>
      </w:pPr>
    </w:p>
    <w:p w14:paraId="0CC92038">
      <w:pPr>
        <w:spacing w:line="360" w:lineRule="auto"/>
        <w:ind w:firstLine="549" w:firstLineChars="229"/>
        <w:rPr>
          <w:rFonts w:ascii="宋体" w:hAnsi="宋体" w:cs="宋体"/>
          <w:color w:val="auto"/>
          <w:sz w:val="24"/>
          <w:highlight w:val="none"/>
        </w:rPr>
      </w:pPr>
    </w:p>
    <w:p w14:paraId="4125598C">
      <w:pPr>
        <w:spacing w:line="360" w:lineRule="auto"/>
        <w:ind w:firstLine="549" w:firstLineChars="229"/>
        <w:rPr>
          <w:rFonts w:ascii="宋体" w:hAnsi="宋体" w:cs="宋体"/>
          <w:color w:val="auto"/>
          <w:sz w:val="24"/>
          <w:highlight w:val="none"/>
        </w:rPr>
      </w:pPr>
    </w:p>
    <w:p w14:paraId="665AE6F4">
      <w:pPr>
        <w:spacing w:line="360" w:lineRule="auto"/>
        <w:rPr>
          <w:rFonts w:ascii="宋体" w:hAnsi="宋体" w:cs="宋体"/>
          <w:color w:val="auto"/>
          <w:sz w:val="24"/>
          <w:highlight w:val="none"/>
        </w:rPr>
      </w:pPr>
    </w:p>
    <w:p w14:paraId="68CE15E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F0EAA68">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00DBA8B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沪昆铁路杭州南至萧山段抬升改建工程临时交通改造项目</w:t>
      </w:r>
      <w:r>
        <w:rPr>
          <w:rFonts w:hint="eastAsia" w:ascii="宋体" w:hAnsi="宋体" w:cs="宋体"/>
          <w:color w:val="auto"/>
          <w:sz w:val="24"/>
          <w:highlight w:val="none"/>
          <w:u w:val="single"/>
          <w:lang w:val="en-US" w:eastAsia="zh-CN"/>
        </w:rPr>
        <w:t>安保</w:t>
      </w:r>
      <w:r>
        <w:rPr>
          <w:rFonts w:hint="eastAsia" w:ascii="宋体" w:hAnsi="宋体" w:cs="宋体"/>
          <w:color w:val="auto"/>
          <w:sz w:val="24"/>
          <w:highlight w:val="none"/>
          <w:u w:val="single"/>
        </w:rPr>
        <w:t>服务采购</w:t>
      </w:r>
      <w:r>
        <w:rPr>
          <w:rFonts w:hint="eastAsia" w:ascii="宋体" w:hAnsi="宋体" w:cs="宋体"/>
          <w:color w:val="auto"/>
          <w:sz w:val="24"/>
          <w:highlight w:val="none"/>
        </w:rPr>
        <w:t>招标项目的潜在投标人应在</w:t>
      </w:r>
      <w:r>
        <w:rPr>
          <w:rFonts w:hint="eastAsia" w:ascii="宋体" w:hAnsi="宋体" w:eastAsia="宋体" w:cs="宋体"/>
          <w:color w:val="auto"/>
          <w:sz w:val="24"/>
          <w:highlight w:val="none"/>
          <w:lang w:val="en-US" w:eastAsia="zh-CN"/>
        </w:rPr>
        <w:t>乐采云平台（www.lecaiyun.com）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84CD44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C0577C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编    号：</w:t>
      </w:r>
      <w:r>
        <w:rPr>
          <w:rFonts w:hint="eastAsia" w:ascii="宋体" w:hAnsi="宋体" w:cs="宋体"/>
          <w:color w:val="auto"/>
          <w:sz w:val="24"/>
          <w:highlight w:val="none"/>
          <w:u w:val="none"/>
        </w:rPr>
        <w:t>TS202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 xml:space="preserve">013 </w:t>
      </w:r>
      <w:r>
        <w:rPr>
          <w:rFonts w:hint="eastAsia" w:ascii="宋体" w:hAnsi="宋体" w:cs="宋体"/>
          <w:color w:val="auto"/>
          <w:sz w:val="24"/>
          <w:highlight w:val="none"/>
          <w:u w:val="none"/>
        </w:rPr>
        <w:t xml:space="preserve">  </w:t>
      </w:r>
    </w:p>
    <w:p w14:paraId="47FDE623">
      <w:pPr>
        <w:spacing w:line="360" w:lineRule="auto"/>
        <w:ind w:firstLine="482" w:firstLineChars="200"/>
        <w:rPr>
          <w:rFonts w:ascii="宋体" w:hAnsi="宋体" w:cs="宋体"/>
          <w:color w:val="auto"/>
          <w:sz w:val="24"/>
          <w:highlight w:val="none"/>
          <w:u w:val="none"/>
        </w:rPr>
      </w:pPr>
      <w:r>
        <w:rPr>
          <w:rFonts w:hint="eastAsia" w:ascii="宋体" w:hAnsi="宋体" w:cs="宋体"/>
          <w:b/>
          <w:color w:val="auto"/>
          <w:sz w:val="24"/>
          <w:highlight w:val="none"/>
        </w:rPr>
        <w:t>项目名称：</w:t>
      </w:r>
      <w:r>
        <w:rPr>
          <w:rFonts w:hint="eastAsia" w:ascii="宋体" w:hAnsi="宋体" w:cs="宋体"/>
          <w:color w:val="auto"/>
          <w:sz w:val="24"/>
          <w:highlight w:val="none"/>
          <w:u w:val="none"/>
        </w:rPr>
        <w:t>沪昆铁路杭州南至萧山段抬升改建工程临时交通改造项目</w:t>
      </w:r>
      <w:r>
        <w:rPr>
          <w:rFonts w:hint="eastAsia" w:ascii="宋体" w:hAnsi="宋体" w:cs="宋体"/>
          <w:color w:val="auto"/>
          <w:sz w:val="24"/>
          <w:highlight w:val="none"/>
          <w:u w:val="none"/>
          <w:lang w:val="en-US" w:eastAsia="zh-CN"/>
        </w:rPr>
        <w:t>安保</w:t>
      </w:r>
      <w:r>
        <w:rPr>
          <w:rFonts w:hint="eastAsia" w:ascii="宋体" w:hAnsi="宋体" w:cs="宋体"/>
          <w:color w:val="auto"/>
          <w:sz w:val="24"/>
          <w:highlight w:val="none"/>
          <w:u w:val="none"/>
        </w:rPr>
        <w:t>服务采购</w:t>
      </w:r>
    </w:p>
    <w:p w14:paraId="1F6FEFD4">
      <w:pPr>
        <w:pStyle w:val="16"/>
        <w:spacing w:line="360" w:lineRule="auto"/>
        <w:ind w:firstLine="480"/>
        <w:rPr>
          <w:rFonts w:hint="eastAsia" w:hAnsi="宋体" w:eastAsia="宋体" w:cs="宋体"/>
          <w:snapToGrid/>
          <w:color w:val="auto"/>
          <w:kern w:val="2"/>
          <w:sz w:val="24"/>
          <w:szCs w:val="24"/>
          <w:highlight w:val="none"/>
          <w:lang w:eastAsia="zh-CN"/>
        </w:rPr>
      </w:pPr>
      <w:r>
        <w:rPr>
          <w:rFonts w:hint="eastAsia" w:hAnsi="宋体" w:cs="宋体"/>
          <w:b/>
          <w:color w:val="auto"/>
          <w:sz w:val="24"/>
          <w:highlight w:val="none"/>
        </w:rPr>
        <w:t>预算金额（元）</w:t>
      </w:r>
      <w:r>
        <w:rPr>
          <w:rFonts w:hint="eastAsia" w:hAnsi="宋体" w:cs="宋体"/>
          <w:snapToGrid/>
          <w:color w:val="auto"/>
          <w:kern w:val="2"/>
          <w:sz w:val="24"/>
          <w:szCs w:val="24"/>
          <w:highlight w:val="none"/>
        </w:rPr>
        <w:t>：</w:t>
      </w:r>
      <w:r>
        <w:rPr>
          <w:rFonts w:hint="eastAsia" w:hAnsi="宋体" w:cs="宋体"/>
          <w:snapToGrid/>
          <w:color w:val="auto"/>
          <w:kern w:val="2"/>
          <w:sz w:val="24"/>
          <w:szCs w:val="24"/>
          <w:highlight w:val="none"/>
          <w:lang w:val="en-US" w:eastAsia="zh-CN"/>
        </w:rPr>
        <w:t xml:space="preserve">10652000 </w:t>
      </w:r>
    </w:p>
    <w:p w14:paraId="61F93ABC">
      <w:pPr>
        <w:spacing w:line="360" w:lineRule="auto"/>
        <w:ind w:firstLine="482" w:firstLineChars="200"/>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b/>
          <w:snapToGrid w:val="0"/>
          <w:color w:val="auto"/>
          <w:kern w:val="28"/>
          <w:sz w:val="24"/>
          <w:szCs w:val="20"/>
          <w:highlight w:val="none"/>
        </w:rPr>
        <w:t>最高限价（元）</w:t>
      </w:r>
      <w:r>
        <w:rPr>
          <w:rFonts w:hint="eastAsia" w:ascii="宋体" w:hAnsi="宋体" w:cs="宋体"/>
          <w:color w:val="auto"/>
          <w:sz w:val="24"/>
          <w:highlight w:val="none"/>
        </w:rPr>
        <w:t>：</w:t>
      </w:r>
      <w:r>
        <w:rPr>
          <w:rFonts w:hint="eastAsia" w:ascii="宋体" w:hAnsi="宋体" w:eastAsia="宋体" w:cs="宋体"/>
          <w:snapToGrid/>
          <w:color w:val="auto"/>
          <w:kern w:val="2"/>
          <w:sz w:val="24"/>
          <w:szCs w:val="24"/>
          <w:highlight w:val="none"/>
          <w:lang w:val="en-US" w:eastAsia="zh-CN" w:bidi="ar-SA"/>
        </w:rPr>
        <w:t xml:space="preserve">10652000  </w:t>
      </w:r>
    </w:p>
    <w:p w14:paraId="0FF45011">
      <w:pPr>
        <w:pStyle w:val="16"/>
        <w:spacing w:line="360" w:lineRule="auto"/>
        <w:ind w:firstLine="480"/>
        <w:rPr>
          <w:rFonts w:hAnsi="宋体" w:cs="宋体"/>
          <w:bCs/>
          <w:color w:val="auto"/>
          <w:sz w:val="24"/>
          <w:highlight w:val="none"/>
        </w:rPr>
      </w:pPr>
      <w:r>
        <w:rPr>
          <w:rFonts w:hint="eastAsia" w:hAnsi="宋体" w:cs="宋体"/>
          <w:b/>
          <w:color w:val="auto"/>
          <w:sz w:val="24"/>
          <w:highlight w:val="none"/>
        </w:rPr>
        <w:t>采购需求：</w:t>
      </w:r>
      <w:r>
        <w:rPr>
          <w:rFonts w:hint="eastAsia" w:hAnsi="宋体" w:cs="宋体"/>
          <w:bCs/>
          <w:color w:val="auto"/>
          <w:sz w:val="24"/>
          <w:highlight w:val="none"/>
        </w:rPr>
        <w:t>详见招标文件</w:t>
      </w:r>
    </w:p>
    <w:p w14:paraId="173B01E5">
      <w:pPr>
        <w:spacing w:line="360" w:lineRule="auto"/>
        <w:ind w:left="420" w:leftChars="200"/>
        <w:jc w:val="left"/>
        <w:rPr>
          <w:rFonts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color w:val="auto"/>
          <w:sz w:val="24"/>
          <w:szCs w:val="28"/>
          <w:highlight w:val="none"/>
        </w:rPr>
        <w:t>详见招标文件</w:t>
      </w:r>
    </w:p>
    <w:p w14:paraId="2545ADDF">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 xml:space="preserve">本项目接受联合体投标：（ ）是；（√）否 </w:t>
      </w:r>
      <w:r>
        <w:rPr>
          <w:rFonts w:hint="eastAsia" w:ascii="宋体" w:hAnsi="宋体" w:cs="宋体"/>
          <w:color w:val="auto"/>
          <w:kern w:val="0"/>
          <w:sz w:val="24"/>
          <w:highlight w:val="none"/>
        </w:rPr>
        <w:t>。</w:t>
      </w:r>
    </w:p>
    <w:p w14:paraId="7F7CFAFE">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DDB2067">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1.符合《中华人民共和国政府采购法》第二十二条的规定；未被“信用中国”（www.creditchina.gov.cn）、中国政府采购网（www.ccgp.gov.cn）列入失信被执行人</w:t>
      </w:r>
      <w:r>
        <w:rPr>
          <w:rFonts w:hint="eastAsia" w:ascii="宋体" w:hAnsi="宋体" w:cs="宋体"/>
          <w:snapToGrid w:val="0"/>
          <w:color w:val="auto"/>
          <w:kern w:val="28"/>
          <w:sz w:val="24"/>
          <w:szCs w:val="20"/>
          <w:highlight w:val="none"/>
        </w:rPr>
        <w:t>、</w:t>
      </w:r>
      <w:r>
        <w:rPr>
          <w:rFonts w:hint="eastAsia" w:ascii="宋体" w:hAnsi="宋体" w:eastAsia="宋体" w:cs="宋体"/>
          <w:color w:val="auto"/>
          <w:sz w:val="24"/>
          <w:highlight w:val="none"/>
          <w:lang w:val="en-US" w:eastAsia="zh-CN"/>
        </w:rPr>
        <w:t>重大税收违法失信主体、</w:t>
      </w:r>
      <w:r>
        <w:rPr>
          <w:rFonts w:hint="eastAsia" w:ascii="宋体" w:hAnsi="宋体" w:cs="宋体"/>
          <w:snapToGrid w:val="0"/>
          <w:color w:val="auto"/>
          <w:kern w:val="28"/>
          <w:sz w:val="24"/>
          <w:szCs w:val="20"/>
          <w:highlight w:val="none"/>
        </w:rPr>
        <w:t>政府采</w:t>
      </w:r>
      <w:r>
        <w:rPr>
          <w:rFonts w:hint="eastAsia" w:ascii="宋体" w:hAnsi="宋体" w:cs="宋体"/>
          <w:snapToGrid w:val="0"/>
          <w:color w:val="auto"/>
          <w:kern w:val="28"/>
          <w:sz w:val="24"/>
          <w:szCs w:val="20"/>
          <w:highlight w:val="none"/>
        </w:rPr>
        <w:t>购严重违法失信行为记录名单。</w:t>
      </w:r>
    </w:p>
    <w:p w14:paraId="0D5F1EC3">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2.落实政府采购政策需满足的资格要求：</w:t>
      </w:r>
    </w:p>
    <w:p w14:paraId="30DBFFA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1B6A92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8EF3C4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3AE07D7A">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6084F6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6D4773B">
      <w:pPr>
        <w:spacing w:line="360" w:lineRule="auto"/>
        <w:ind w:firstLine="480" w:firstLineChars="200"/>
        <w:rPr>
          <w:rFonts w:hint="eastAsia"/>
          <w:color w:val="auto"/>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DAA62DE">
      <w:pPr>
        <w:spacing w:line="360" w:lineRule="auto"/>
        <w:ind w:firstLine="480" w:firstLineChars="200"/>
        <w:rPr>
          <w:rFonts w:hint="eastAsia" w:ascii="宋体" w:hAnsi="宋体" w:eastAsia="宋体" w:cs="宋体"/>
          <w:snapToGrid w:val="0"/>
          <w:color w:val="auto"/>
          <w:kern w:val="28"/>
          <w:sz w:val="24"/>
          <w:szCs w:val="20"/>
          <w:highlight w:val="none"/>
          <w:lang w:eastAsia="zh-CN"/>
        </w:rPr>
      </w:pPr>
      <w:r>
        <w:rPr>
          <w:rFonts w:hint="eastAsia" w:ascii="宋体" w:hAnsi="宋体" w:cs="宋体"/>
          <w:color w:val="auto"/>
          <w:sz w:val="24"/>
          <w:highlight w:val="none"/>
        </w:rPr>
        <w:t>3.本项目的特定资格要求：</w:t>
      </w:r>
      <w:r>
        <w:rPr>
          <w:rFonts w:hint="eastAsia" w:ascii="宋体" w:hAnsi="宋体" w:cs="宋体"/>
          <w:snapToGrid w:val="0"/>
          <w:color w:val="auto"/>
          <w:kern w:val="28"/>
          <w:sz w:val="24"/>
          <w:szCs w:val="20"/>
          <w:highlight w:val="none"/>
          <w:lang w:val="en-US" w:eastAsia="zh-CN"/>
        </w:rPr>
        <w:t>无</w:t>
      </w:r>
    </w:p>
    <w:p w14:paraId="3895319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53236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1DCEEEF">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地点（网址）：</w:t>
      </w:r>
      <w:r>
        <w:rPr>
          <w:rFonts w:hint="eastAsia" w:ascii="宋体" w:hAnsi="宋体" w:eastAsia="宋体" w:cs="宋体"/>
          <w:color w:val="auto"/>
          <w:sz w:val="24"/>
          <w:highlight w:val="none"/>
          <w:lang w:val="en-US" w:eastAsia="zh-CN"/>
        </w:rPr>
        <w:t xml:space="preserve">乐采云平台（www.lecaiyun.com） </w:t>
      </w:r>
    </w:p>
    <w:p w14:paraId="57153A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eastAsia="宋体" w:cs="宋体"/>
          <w:color w:val="auto"/>
          <w:sz w:val="24"/>
          <w:highlight w:val="none"/>
          <w:lang w:val="en-US" w:eastAsia="zh-CN"/>
        </w:rPr>
        <w:t>乐采云平台（www.lecaiyun.com）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5DC965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7E9AD6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F2C94F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0E53AC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eastAsia="宋体" w:cs="宋体"/>
          <w:color w:val="auto"/>
          <w:sz w:val="24"/>
          <w:highlight w:val="none"/>
          <w:lang w:val="en-US" w:eastAsia="zh-CN"/>
        </w:rPr>
        <w:t xml:space="preserve">乐采云平台（www.lecaiyun.com） </w:t>
      </w:r>
    </w:p>
    <w:p w14:paraId="43540C7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47CDCC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w:t>
      </w:r>
      <w:r>
        <w:rPr>
          <w:rStyle w:val="77"/>
          <w:rFonts w:hint="eastAsia" w:ascii="宋体" w:hAnsi="宋体" w:eastAsia="宋体" w:cs="宋体"/>
          <w:color w:val="auto"/>
          <w:kern w:val="2"/>
          <w:sz w:val="24"/>
          <w:szCs w:val="24"/>
          <w:highlight w:val="none"/>
        </w:rPr>
        <w:t>www.lecaiyun.com</w:t>
      </w:r>
      <w:r>
        <w:rPr>
          <w:rFonts w:hint="eastAsia" w:ascii="宋体" w:hAnsi="宋体" w:cs="宋体"/>
          <w:color w:val="auto"/>
          <w:sz w:val="24"/>
          <w:highlight w:val="none"/>
        </w:rPr>
        <w:t>）</w:t>
      </w:r>
      <w:r>
        <w:rPr>
          <w:rFonts w:hint="eastAsia" w:ascii="宋体" w:hAnsi="宋体" w:cs="宋体"/>
          <w:color w:val="auto"/>
          <w:sz w:val="24"/>
          <w:szCs w:val="28"/>
          <w:highlight w:val="none"/>
        </w:rPr>
        <w:t>。</w:t>
      </w:r>
    </w:p>
    <w:p w14:paraId="31298AC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CADB0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9F3FA6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C6198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90B0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2.其他事项：（1）电子招投标的说明：①电子招投标：本项目以数据电文形式，</w:t>
      </w:r>
      <w:r>
        <w:rPr>
          <w:rFonts w:hint="eastAsia" w:ascii="宋体" w:hAnsi="宋体" w:cs="宋体"/>
          <w:color w:val="auto"/>
          <w:sz w:val="24"/>
          <w:highlight w:val="none"/>
        </w:rPr>
        <w:t>依托“乐采云平台（www.lecaiyun.com）”进行招投标活动，不接受纸质投标文件；②投标准备：注册账号--点击“商家入驻”，进行采购供应商资料填写；申领CA数字证书---申领流程详见“乐采云-在线查询（操作手册）</w:t>
      </w:r>
      <w:r>
        <w:rPr>
          <w:rFonts w:hint="eastAsia" w:ascii="宋体" w:hAnsi="宋体" w:cs="宋体"/>
          <w:color w:val="auto"/>
          <w:sz w:val="24"/>
          <w:highlight w:val="none"/>
        </w:rPr>
        <w:t>-注册与系统管理-CA管理”；</w:t>
      </w:r>
      <w:r>
        <w:rPr>
          <w:rFonts w:hint="eastAsia" w:ascii="宋体" w:hAnsi="宋体" w:cs="宋体"/>
          <w:color w:val="auto"/>
          <w:sz w:val="24"/>
          <w:highlight w:val="none"/>
        </w:rPr>
        <w:t>安装“乐采云电子投标客户端”----前往“乐采云-投标客户端</w:t>
      </w:r>
      <w:r>
        <w:rPr>
          <w:rFonts w:hint="eastAsia" w:ascii="宋体" w:hAnsi="宋体" w:cs="宋体"/>
          <w:color w:val="auto"/>
          <w:sz w:val="24"/>
          <w:highlight w:val="none"/>
        </w:rPr>
        <w:t>”进行下载并安装；③招标文件的获取：使用账号登录或者使用CA登录</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采云平台；进入“项目采购”应用，在获取采购文件菜单中选择项目，获取招标文件；④投标文件的制作：在“</w:t>
      </w:r>
      <w:r>
        <w:rPr>
          <w:rFonts w:hint="eastAsia" w:ascii="宋体" w:hAnsi="宋体" w:eastAsia="宋体" w:cs="宋体"/>
          <w:color w:val="auto"/>
          <w:sz w:val="24"/>
          <w:highlight w:val="none"/>
          <w:lang w:val="en-US" w:eastAsia="zh-CN"/>
        </w:rPr>
        <w:t>乐采云</w:t>
      </w:r>
      <w:r>
        <w:rPr>
          <w:rFonts w:hint="eastAsia" w:ascii="宋体" w:hAnsi="宋体" w:cs="宋体"/>
          <w:color w:val="auto"/>
          <w:sz w:val="24"/>
          <w:highlight w:val="none"/>
        </w:rPr>
        <w:t>电子交易客户端”中完成“填写基本信息”、“导入投标文件”、“标书关联”、“标书检查”、“电子签名”、“生成电子标书”等操作；⑤采购人、采购机构将依托</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平台”上传递交的投标文件无法按时解密，投标供应商递交了备份投标文件的，以备份投标文件为依据，否则视为投标文件撤回。通过“</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平台“乐采云-在线查询（操作手册）-项目采购-电子招投标（公开招标）-供应商”。</w:t>
      </w:r>
    </w:p>
    <w:p w14:paraId="0A0EC79F">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9567464">
      <w:pPr>
        <w:widowControl/>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14:paraId="5C6490B6">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名 称：杭州萧山城市基础设施建设有限公司</w:t>
      </w:r>
    </w:p>
    <w:p w14:paraId="5E3F1C00">
      <w:pPr>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地</w:t>
      </w:r>
      <w:r>
        <w:rPr>
          <w:rFonts w:hint="eastAsia" w:ascii="宋体" w:hAnsi="宋体" w:cs="宋体"/>
          <w:color w:val="auto"/>
          <w:sz w:val="24"/>
          <w:szCs w:val="28"/>
          <w:highlight w:val="none"/>
          <w:lang w:val="en-US" w:eastAsia="zh-CN"/>
        </w:rPr>
        <w:t xml:space="preserve"> </w:t>
      </w:r>
      <w:r>
        <w:rPr>
          <w:rFonts w:hint="eastAsia" w:ascii="宋体" w:hAnsi="宋体" w:cs="宋体"/>
          <w:color w:val="auto"/>
          <w:sz w:val="24"/>
          <w:szCs w:val="28"/>
          <w:highlight w:val="none"/>
        </w:rPr>
        <w:t>址：</w:t>
      </w:r>
      <w:r>
        <w:rPr>
          <w:rFonts w:hint="eastAsia" w:ascii="宋体" w:hAnsi="宋体" w:cs="宋体"/>
          <w:color w:val="auto"/>
          <w:sz w:val="24"/>
          <w:szCs w:val="28"/>
          <w:highlight w:val="none"/>
        </w:rPr>
        <w:t>萧山区紫橙国际4号楼</w:t>
      </w:r>
      <w:r>
        <w:rPr>
          <w:rFonts w:hint="eastAsia" w:ascii="宋体" w:hAnsi="宋体" w:cs="宋体"/>
          <w:color w:val="auto"/>
          <w:sz w:val="24"/>
          <w:szCs w:val="28"/>
          <w:highlight w:val="none"/>
          <w:lang w:val="en-US" w:eastAsia="zh-CN"/>
        </w:rPr>
        <w:t xml:space="preserve"> </w:t>
      </w:r>
      <w:r>
        <w:rPr>
          <w:rFonts w:hint="eastAsia" w:ascii="宋体" w:hAnsi="宋体" w:cs="宋体"/>
          <w:color w:val="auto"/>
          <w:sz w:val="24"/>
          <w:szCs w:val="28"/>
          <w:highlight w:val="none"/>
        </w:rPr>
        <w:t xml:space="preserve">  </w:t>
      </w:r>
    </w:p>
    <w:p w14:paraId="13E35F9E">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传</w:t>
      </w:r>
      <w:r>
        <w:rPr>
          <w:rFonts w:hint="eastAsia" w:ascii="宋体" w:hAnsi="宋体" w:cs="宋体"/>
          <w:color w:val="auto"/>
          <w:sz w:val="24"/>
          <w:szCs w:val="28"/>
          <w:highlight w:val="none"/>
          <w:lang w:val="en-US" w:eastAsia="zh-CN"/>
        </w:rPr>
        <w:t xml:space="preserve"> </w:t>
      </w:r>
      <w:r>
        <w:rPr>
          <w:rFonts w:hint="eastAsia" w:ascii="宋体" w:hAnsi="宋体" w:cs="宋体"/>
          <w:color w:val="auto"/>
          <w:sz w:val="24"/>
          <w:szCs w:val="28"/>
          <w:highlight w:val="none"/>
        </w:rPr>
        <w:t>真：无</w:t>
      </w:r>
    </w:p>
    <w:p w14:paraId="0D13FC2B">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屠佳琪</w:t>
      </w:r>
      <w:r>
        <w:rPr>
          <w:rFonts w:hint="eastAsia" w:ascii="宋体" w:hAnsi="宋体" w:cs="宋体"/>
          <w:color w:val="auto"/>
          <w:sz w:val="24"/>
          <w:szCs w:val="28"/>
          <w:highlight w:val="none"/>
        </w:rPr>
        <w:t xml:space="preserve">  </w:t>
      </w:r>
    </w:p>
    <w:p w14:paraId="7E1AC196">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w:t>
      </w:r>
      <w:r>
        <w:rPr>
          <w:rFonts w:hint="eastAsia" w:ascii="宋体" w:hAnsi="宋体" w:cs="宋体"/>
          <w:color w:val="auto"/>
          <w:sz w:val="24"/>
          <w:szCs w:val="28"/>
          <w:highlight w:val="none"/>
          <w:lang w:val="en-US" w:eastAsia="zh-CN"/>
        </w:rPr>
        <w:t xml:space="preserve">0571-83715505 </w:t>
      </w:r>
      <w:r>
        <w:rPr>
          <w:rFonts w:hint="eastAsia" w:ascii="宋体" w:hAnsi="宋体" w:cs="宋体"/>
          <w:color w:val="auto"/>
          <w:sz w:val="24"/>
          <w:szCs w:val="28"/>
          <w:highlight w:val="none"/>
        </w:rPr>
        <w:t xml:space="preserve"> </w:t>
      </w:r>
    </w:p>
    <w:p w14:paraId="311FFB19">
      <w:pPr>
        <w:spacing w:line="360" w:lineRule="auto"/>
        <w:jc w:val="left"/>
        <w:rPr>
          <w:rFonts w:ascii="宋体" w:hAnsi="宋体" w:cs="宋体"/>
          <w:color w:val="auto"/>
          <w:sz w:val="24"/>
          <w:szCs w:val="28"/>
          <w:highlight w:val="none"/>
        </w:rPr>
      </w:pPr>
      <w:bookmarkStart w:id="11" w:name="_Toc28359086"/>
      <w:bookmarkStart w:id="12" w:name="_Toc28359009"/>
      <w:r>
        <w:rPr>
          <w:rFonts w:hint="eastAsia" w:ascii="宋体" w:hAnsi="宋体" w:cs="宋体"/>
          <w:color w:val="auto"/>
          <w:sz w:val="24"/>
          <w:szCs w:val="28"/>
          <w:highlight w:val="none"/>
        </w:rPr>
        <w:t>2.采购代理机构信息</w:t>
      </w:r>
      <w:bookmarkEnd w:id="11"/>
      <w:bookmarkEnd w:id="12"/>
    </w:p>
    <w:p w14:paraId="758F5162">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名 称：天盛浙创工程咨询有限公司</w:t>
      </w:r>
    </w:p>
    <w:p w14:paraId="4D9B97C5">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地</w:t>
      </w:r>
      <w:r>
        <w:rPr>
          <w:rFonts w:hint="eastAsia" w:ascii="宋体" w:hAnsi="宋体" w:cs="宋体"/>
          <w:color w:val="auto"/>
          <w:sz w:val="24"/>
          <w:szCs w:val="28"/>
          <w:highlight w:val="none"/>
          <w:lang w:val="en-US" w:eastAsia="zh-CN"/>
        </w:rPr>
        <w:t xml:space="preserve"> </w:t>
      </w:r>
      <w:r>
        <w:rPr>
          <w:rFonts w:hint="eastAsia" w:ascii="宋体" w:hAnsi="宋体" w:cs="宋体"/>
          <w:color w:val="auto"/>
          <w:sz w:val="24"/>
          <w:szCs w:val="28"/>
          <w:highlight w:val="none"/>
        </w:rPr>
        <w:t>址：萧山区盈丰街道民和路481号联合中心1幢602室</w:t>
      </w:r>
    </w:p>
    <w:p w14:paraId="41E5AF22">
      <w:pPr>
        <w:spacing w:line="360" w:lineRule="auto"/>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翁梦吉</w:t>
      </w:r>
    </w:p>
    <w:p w14:paraId="15F1F39E">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项目联系方式（询问）：0571-82838566</w:t>
      </w:r>
    </w:p>
    <w:p w14:paraId="16AE2E69">
      <w:pPr>
        <w:spacing w:line="360" w:lineRule="auto"/>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2639E0E5">
      <w:pPr>
        <w:spacing w:line="360" w:lineRule="auto"/>
        <w:rPr>
          <w:rFonts w:ascii="宋体" w:hAnsi="宋体" w:cs="宋体"/>
          <w:color w:val="auto"/>
          <w:sz w:val="24"/>
          <w:highlight w:val="none"/>
        </w:rPr>
      </w:pPr>
      <w:r>
        <w:rPr>
          <w:rFonts w:hint="eastAsia" w:ascii="宋体" w:hAnsi="宋体" w:cs="宋体"/>
          <w:color w:val="auto"/>
          <w:sz w:val="24"/>
          <w:szCs w:val="28"/>
          <w:highlight w:val="none"/>
        </w:rPr>
        <w:t xml:space="preserve">  </w:t>
      </w:r>
      <w:r>
        <w:rPr>
          <w:rFonts w:hint="eastAsia" w:ascii="宋体" w:hAnsi="宋体" w:cs="宋体"/>
          <w:color w:val="auto"/>
          <w:sz w:val="24"/>
          <w:highlight w:val="none"/>
        </w:rPr>
        <w:t>若对项目采购电子交易系统操作有疑问</w:t>
      </w:r>
      <w:r>
        <w:rPr>
          <w:rFonts w:hint="eastAsia" w:ascii="宋体" w:hAnsi="宋体" w:cs="宋体"/>
          <w:color w:val="auto"/>
          <w:sz w:val="24"/>
          <w:highlight w:val="none"/>
        </w:rPr>
        <w:t>，可登录</w:t>
      </w:r>
      <w:r>
        <w:rPr>
          <w:rStyle w:val="77"/>
          <w:rFonts w:hint="eastAsia" w:ascii="宋体" w:hAnsi="宋体" w:eastAsia="宋体" w:cs="宋体"/>
          <w:color w:val="auto"/>
          <w:kern w:val="2"/>
          <w:sz w:val="24"/>
          <w:szCs w:val="24"/>
          <w:highlight w:val="none"/>
        </w:rPr>
        <w:t>乐采云平台（www.lecaiyun.com）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采云服务热线95763获取热线服务帮助。</w:t>
      </w:r>
    </w:p>
    <w:p w14:paraId="2688EE08">
      <w:pPr>
        <w:spacing w:line="360" w:lineRule="auto"/>
        <w:ind w:firstLine="480" w:firstLineChars="200"/>
        <w:rPr>
          <w:rFonts w:hAnsi="宋体" w:cs="宋体"/>
          <w:color w:val="auto"/>
          <w:sz w:val="24"/>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p>
    <w:p w14:paraId="1B829982">
      <w:pPr>
        <w:adjustRightInd/>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FB4515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6A53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7CE7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A10C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4BCB639">
            <w:pPr>
              <w:keepNext w:val="0"/>
              <w:keepLines w:val="0"/>
              <w:pageBreakBefore w:val="0"/>
              <w:kinsoku/>
              <w:wordWrap/>
              <w:overflowPunct/>
              <w:topLinePunct w:val="0"/>
              <w:autoSpaceDE/>
              <w:autoSpaceDN/>
              <w:bidi w:val="0"/>
              <w:snapToGrid w:val="0"/>
              <w:spacing w:line="360" w:lineRule="auto"/>
              <w:ind w:left="105" w:leftChars="50" w:right="105" w:rightChars="50"/>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460D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603555">
            <w:pPr>
              <w:snapToGrid w:val="0"/>
              <w:spacing w:line="360" w:lineRule="auto"/>
              <w:jc w:val="center"/>
              <w:rPr>
                <w:rFonts w:ascii="宋体" w:hAnsi="宋体" w:cs="宋体"/>
                <w:color w:val="auto"/>
                <w:sz w:val="24"/>
                <w:highlight w:val="none"/>
              </w:rPr>
            </w:pPr>
          </w:p>
          <w:p w14:paraId="4CDFB7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C05308">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3ABE975">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b/>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rPr>
              <w:t>服务类。</w:t>
            </w:r>
          </w:p>
        </w:tc>
      </w:tr>
      <w:tr w14:paraId="74480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D9F68E">
            <w:pPr>
              <w:snapToGrid w:val="0"/>
              <w:spacing w:line="360" w:lineRule="auto"/>
              <w:jc w:val="center"/>
              <w:rPr>
                <w:rFonts w:ascii="宋体" w:hAnsi="宋体" w:cs="宋体"/>
                <w:color w:val="auto"/>
                <w:sz w:val="24"/>
                <w:highlight w:val="none"/>
              </w:rPr>
            </w:pPr>
          </w:p>
          <w:p w14:paraId="7C979E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839FB2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CBB992E">
            <w:pPr>
              <w:keepNext w:val="0"/>
              <w:keepLines w:val="0"/>
              <w:pageBreakBefore w:val="0"/>
              <w:kinsoku/>
              <w:wordWrap/>
              <w:overflowPunct/>
              <w:topLinePunct w:val="0"/>
              <w:autoSpaceDE/>
              <w:autoSpaceDN/>
              <w:bidi w:val="0"/>
              <w:spacing w:line="400" w:lineRule="exact"/>
              <w:ind w:left="105" w:leftChars="50" w:right="105" w:rightChars="50"/>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rPr>
              <w:t>标的：</w:t>
            </w:r>
            <w:r>
              <w:rPr>
                <w:rFonts w:hint="eastAsia" w:ascii="宋体" w:hAnsi="宋体" w:cs="宋体"/>
                <w:color w:val="auto"/>
                <w:sz w:val="24"/>
                <w:highlight w:val="none"/>
                <w:u w:val="single"/>
              </w:rPr>
              <w:t>沪昆铁路杭州南至萧山段抬升改建工程临时交通改造项目</w:t>
            </w:r>
            <w:r>
              <w:rPr>
                <w:rFonts w:hint="eastAsia" w:ascii="宋体" w:hAnsi="宋体" w:cs="宋体"/>
                <w:color w:val="auto"/>
                <w:sz w:val="24"/>
                <w:highlight w:val="none"/>
                <w:u w:val="single"/>
                <w:lang w:val="en-US" w:eastAsia="zh-CN"/>
              </w:rPr>
              <w:t>安保</w:t>
            </w:r>
            <w:r>
              <w:rPr>
                <w:rFonts w:hint="eastAsia" w:ascii="宋体" w:hAnsi="宋体" w:cs="宋体"/>
                <w:color w:val="auto"/>
                <w:sz w:val="24"/>
                <w:highlight w:val="none"/>
                <w:u w:val="single"/>
              </w:rPr>
              <w:t>服务采购</w:t>
            </w:r>
            <w:r>
              <w:rPr>
                <w:rFonts w:hint="eastAsia" w:ascii="宋体" w:hAnsi="宋体" w:cs="宋体"/>
                <w:color w:val="auto"/>
                <w:kern w:val="0"/>
                <w:sz w:val="24"/>
                <w:highlight w:val="none"/>
              </w:rPr>
              <w:t>，属于</w:t>
            </w:r>
            <w:r>
              <w:rPr>
                <w:rFonts w:hint="eastAsia" w:ascii="宋体" w:hAnsi="宋体" w:cs="宋体"/>
                <w:color w:val="auto"/>
                <w:sz w:val="24"/>
                <w:szCs w:val="24"/>
                <w:highlight w:val="none"/>
                <w:u w:val="single"/>
                <w:shd w:val="clear" w:color="auto" w:fill="FFFFFF"/>
              </w:rPr>
              <w:t xml:space="preserve"> </w:t>
            </w:r>
            <w:r>
              <w:rPr>
                <w:rFonts w:hint="eastAsia" w:ascii="宋体" w:hAnsi="宋体" w:eastAsia="宋体" w:cs="宋体"/>
                <w:color w:val="auto"/>
                <w:kern w:val="0"/>
                <w:sz w:val="24"/>
                <w:szCs w:val="24"/>
                <w:highlight w:val="none"/>
                <w:u w:val="single"/>
                <w:lang w:val="en-US" w:eastAsia="zh-CN"/>
              </w:rPr>
              <w:t>租赁和商务服务业</w:t>
            </w:r>
            <w:r>
              <w:rPr>
                <w:rFonts w:hint="eastAsia" w:ascii="Arial" w:hAnsi="Arial" w:cs="Arial"/>
                <w:bCs/>
                <w:color w:val="auto"/>
                <w:kern w:val="0"/>
                <w:sz w:val="24"/>
                <w:szCs w:val="24"/>
                <w:highlight w:val="none"/>
                <w:u w:val="single"/>
              </w:rPr>
              <w:t xml:space="preserve"> </w:t>
            </w:r>
            <w:r>
              <w:rPr>
                <w:rFonts w:hint="eastAsia" w:ascii="宋体" w:hAnsi="宋体" w:cs="宋体"/>
                <w:color w:val="auto"/>
                <w:kern w:val="0"/>
                <w:sz w:val="24"/>
                <w:highlight w:val="none"/>
              </w:rPr>
              <w:t>行业；</w:t>
            </w:r>
          </w:p>
          <w:p w14:paraId="15F06A59">
            <w:pPr>
              <w:keepNext w:val="0"/>
              <w:keepLines w:val="0"/>
              <w:pageBreakBefore w:val="0"/>
              <w:kinsoku/>
              <w:wordWrap/>
              <w:overflowPunct/>
              <w:topLinePunct w:val="0"/>
              <w:autoSpaceDE/>
              <w:autoSpaceDN/>
              <w:bidi w:val="0"/>
              <w:spacing w:line="400" w:lineRule="exact"/>
              <w:ind w:left="105" w:leftChars="50" w:right="105" w:rightChars="50"/>
              <w:textAlignment w:val="auto"/>
              <w:rPr>
                <w:rFonts w:ascii="宋体" w:hAnsi="宋体" w:cs="宋体"/>
                <w:color w:val="auto"/>
                <w:kern w:val="0"/>
                <w:sz w:val="24"/>
                <w:highlight w:val="none"/>
              </w:rPr>
            </w:pPr>
            <w:r>
              <w:rPr>
                <w:rFonts w:hint="eastAsia" w:ascii="宋体" w:hAnsi="宋体" w:cs="宋体"/>
                <w:color w:val="auto"/>
                <w:kern w:val="0"/>
                <w:sz w:val="24"/>
                <w:highlight w:val="none"/>
              </w:rPr>
              <w:t>行业划分标准：</w:t>
            </w:r>
          </w:p>
          <w:p w14:paraId="7611E74A">
            <w:pPr>
              <w:keepNext w:val="0"/>
              <w:keepLines w:val="0"/>
              <w:pageBreakBefore w:val="0"/>
              <w:kinsoku/>
              <w:wordWrap/>
              <w:overflowPunct/>
              <w:topLinePunct w:val="0"/>
              <w:autoSpaceDE/>
              <w:autoSpaceDN/>
              <w:bidi w:val="0"/>
              <w:spacing w:line="400" w:lineRule="exact"/>
              <w:ind w:left="105" w:leftChars="50" w:right="105" w:rightChars="50"/>
              <w:textAlignment w:val="auto"/>
              <w:rPr>
                <w:rFonts w:ascii="宋体" w:hAnsi="宋体" w:cs="宋体"/>
                <w:color w:val="auto"/>
                <w:highlight w:val="none"/>
              </w:rPr>
            </w:pPr>
            <w:r>
              <w:rPr>
                <w:rFonts w:hint="eastAsia" w:ascii="宋体" w:hAnsi="宋体" w:cs="宋体"/>
                <w:color w:val="auto"/>
                <w:kern w:val="0"/>
                <w:sz w:val="24"/>
                <w:highlight w:val="none"/>
              </w:rPr>
              <w:t>《关于印发中小企业划型标准规定的通知》工信部联企业〔2011〕300号</w:t>
            </w:r>
          </w:p>
        </w:tc>
      </w:tr>
      <w:tr w14:paraId="6D72D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E5C143">
            <w:pPr>
              <w:snapToGrid w:val="0"/>
              <w:spacing w:line="360" w:lineRule="auto"/>
              <w:jc w:val="center"/>
              <w:rPr>
                <w:rFonts w:ascii="宋体" w:hAnsi="宋体" w:cs="宋体"/>
                <w:color w:val="auto"/>
                <w:sz w:val="24"/>
                <w:highlight w:val="none"/>
              </w:rPr>
            </w:pPr>
          </w:p>
          <w:p w14:paraId="3F73A6C4">
            <w:pPr>
              <w:snapToGrid w:val="0"/>
              <w:spacing w:line="360" w:lineRule="auto"/>
              <w:jc w:val="center"/>
              <w:rPr>
                <w:rFonts w:ascii="宋体" w:hAnsi="宋体" w:cs="宋体"/>
                <w:color w:val="auto"/>
                <w:sz w:val="24"/>
                <w:highlight w:val="none"/>
              </w:rPr>
            </w:pPr>
          </w:p>
          <w:p w14:paraId="1CC5C2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D79D559">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7E9754">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color w:val="auto"/>
                <w:sz w:val="24"/>
                <w:szCs w:val="32"/>
                <w:highlight w:val="none"/>
              </w:rPr>
            </w:pPr>
            <w:r>
              <w:rPr>
                <w:rFonts w:hint="eastAsia" w:ascii="宋体" w:hAnsi="宋体" w:cs="宋体"/>
                <w:color w:val="auto"/>
                <w:kern w:val="0"/>
                <w:sz w:val="24"/>
                <w:highlight w:val="none"/>
              </w:rPr>
              <w:t>(</w:t>
            </w:r>
            <w:r>
              <w:rPr>
                <w:rFonts w:hint="eastAsia" w:ascii="宋体" w:hAnsi="宋体" w:cs="宋体"/>
                <w:b/>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sz w:val="24"/>
                <w:szCs w:val="32"/>
                <w:highlight w:val="none"/>
              </w:rPr>
              <w:t>本项目不允许采购进口产品。</w:t>
            </w:r>
          </w:p>
          <w:p w14:paraId="3573F75C">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color w:val="auto"/>
                <w:sz w:val="24"/>
                <w:szCs w:val="32"/>
                <w:highlight w:val="none"/>
              </w:rPr>
            </w:pPr>
            <w:r>
              <w:rPr>
                <w:rFonts w:hint="eastAsia" w:ascii="宋体" w:hAnsi="宋体" w:cs="宋体"/>
                <w:color w:val="auto"/>
                <w:kern w:val="0"/>
                <w:sz w:val="24"/>
                <w:highlight w:val="none"/>
              </w:rPr>
              <w:t>(   )</w:t>
            </w:r>
            <w:r>
              <w:rPr>
                <w:rFonts w:hint="eastAsia" w:ascii="宋体" w:hAnsi="宋体" w:cs="宋体"/>
                <w:color w:val="auto"/>
                <w:sz w:val="24"/>
                <w:szCs w:val="32"/>
                <w:highlight w:val="none"/>
              </w:rPr>
              <w:t>可以就</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采购进口产品。</w:t>
            </w:r>
          </w:p>
          <w:p w14:paraId="00FEE2F0">
            <w:pPr>
              <w:pStyle w:val="4"/>
              <w:keepNext w:val="0"/>
              <w:keepLines w:val="0"/>
              <w:pageBreakBefore w:val="0"/>
              <w:tabs>
                <w:tab w:val="left" w:pos="0"/>
                <w:tab w:val="clear" w:pos="432"/>
              </w:tabs>
              <w:kinsoku/>
              <w:wordWrap/>
              <w:overflowPunct/>
              <w:topLinePunct w:val="0"/>
              <w:autoSpaceDE/>
              <w:autoSpaceDN/>
              <w:bidi w:val="0"/>
              <w:ind w:left="12" w:leftChars="0" w:right="-61" w:rightChars="-29" w:hanging="12" w:firstLineChars="0"/>
              <w:textAlignment w:val="auto"/>
              <w:rPr>
                <w:rFonts w:ascii="宋体" w:hAnsi="宋体" w:eastAsia="宋体" w:cs="宋体"/>
                <w:color w:val="auto"/>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进口产品是指通过中国海关保关验放进入中国境内且产自境关外的产品。</w:t>
            </w:r>
          </w:p>
        </w:tc>
      </w:tr>
      <w:tr w14:paraId="2F576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D4CF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34CE10">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5BD78D2">
            <w:pPr>
              <w:keepNext w:val="0"/>
              <w:keepLines w:val="0"/>
              <w:pageBreakBefore w:val="0"/>
              <w:kinsoku/>
              <w:wordWrap/>
              <w:overflowPunct/>
              <w:topLinePunct w:val="0"/>
              <w:autoSpaceDE/>
              <w:autoSpaceDN/>
              <w:bidi w:val="0"/>
              <w:snapToGrid w:val="0"/>
              <w:spacing w:line="360" w:lineRule="auto"/>
              <w:ind w:left="105" w:leftChars="50" w:right="105" w:rightChars="50"/>
              <w:textAlignment w:val="auto"/>
              <w:rPr>
                <w:rFonts w:ascii="宋体" w:hAnsi="宋体" w:cs="宋体"/>
                <w:color w:val="auto"/>
                <w:sz w:val="24"/>
                <w:highlight w:val="none"/>
              </w:rPr>
            </w:pPr>
            <w:r>
              <w:rPr>
                <w:rFonts w:hint="eastAsia" w:ascii="宋体" w:hAnsi="宋体" w:cs="宋体"/>
                <w:b/>
                <w:color w:val="auto"/>
                <w:sz w:val="24"/>
                <w:highlight w:val="none"/>
              </w:rPr>
              <w:t>（ ）</w:t>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6E6153B">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03457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823D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BADFDB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DC28E07">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color w:val="auto"/>
                <w:sz w:val="24"/>
                <w:szCs w:val="20"/>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282C3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28C0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14987E6">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4ABCE">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A不要求提供。</w:t>
            </w:r>
          </w:p>
        </w:tc>
      </w:tr>
      <w:tr w14:paraId="17D07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27C63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54E52F5">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46A5CA">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b/>
                <w:color w:val="auto"/>
                <w:kern w:val="0"/>
                <w:sz w:val="24"/>
                <w:highlight w:val="none"/>
                <w:lang w:val="zh-CN"/>
              </w:rPr>
            </w:pPr>
            <w:r>
              <w:rPr>
                <w:rFonts w:hint="eastAsia" w:ascii="宋体" w:hAnsi="宋体" w:cs="宋体"/>
                <w:b/>
                <w:color w:val="auto"/>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4A8A2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D1F6B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F1BAE4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A22D380">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4B4910D">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F71E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637F49F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5A19257">
            <w:pPr>
              <w:snapToGrid w:val="0"/>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CA22BA8">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1A79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BCB0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C0973C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611287C">
            <w:pPr>
              <w:keepNext w:val="0"/>
              <w:keepLines w:val="0"/>
              <w:pageBreakBefore w:val="0"/>
              <w:kinsoku/>
              <w:wordWrap/>
              <w:overflowPunct/>
              <w:topLinePunct w:val="0"/>
              <w:autoSpaceDE/>
              <w:autoSpaceDN/>
              <w:bidi w:val="0"/>
              <w:spacing w:line="360" w:lineRule="auto"/>
              <w:ind w:left="105" w:leftChars="50" w:right="105" w:rightChars="50" w:firstLine="480" w:firstLineChars="200"/>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有关本项目实施所需的所有费用（含税费）均计入报价。投标文件</w:t>
            </w:r>
            <w:r>
              <w:rPr>
                <w:rFonts w:hint="eastAsia" w:ascii="宋体" w:hAnsi="宋体" w:eastAsia="宋体" w:cs="宋体"/>
                <w:bCs/>
                <w:color w:val="auto"/>
                <w:kern w:val="0"/>
                <w:sz w:val="24"/>
                <w:highlight w:val="none"/>
              </w:rPr>
              <w:t>开标一览表（报价表）是报价的唯一载体，如投标人在</w:t>
            </w:r>
            <w:r>
              <w:rPr>
                <w:rFonts w:hint="eastAsia" w:ascii="宋体" w:hAnsi="宋体" w:eastAsia="宋体" w:cs="宋体"/>
                <w:bCs/>
                <w:color w:val="auto"/>
                <w:kern w:val="0"/>
                <w:sz w:val="24"/>
                <w:highlight w:val="none"/>
                <w:lang w:val="en-US" w:eastAsia="zh-CN"/>
              </w:rPr>
              <w:t>乐采云</w:t>
            </w:r>
            <w:r>
              <w:rPr>
                <w:rFonts w:hint="eastAsia" w:ascii="宋体" w:hAnsi="宋体" w:eastAsia="宋体" w:cs="宋体"/>
                <w:bCs/>
                <w:color w:val="auto"/>
                <w:kern w:val="0"/>
                <w:sz w:val="24"/>
                <w:highlight w:val="none"/>
              </w:rPr>
              <w:t>云平台填写的投标报价与投标文件报价文件中开标一览表（报价表）不一致的，以报价文件中开标一览表（报价表）为准。</w:t>
            </w:r>
            <w:r>
              <w:rPr>
                <w:rFonts w:hint="eastAsia" w:ascii="宋体" w:hAnsi="宋体" w:eastAsia="宋体" w:cs="宋体"/>
                <w:bCs/>
                <w:color w:val="auto"/>
                <w:kern w:val="0"/>
                <w:sz w:val="24"/>
                <w:highlight w:val="none"/>
                <w:lang w:val="zh-CN"/>
              </w:rPr>
              <w:t>投标文件中价格全部采用人民币报价。招标文件未列明，而投标人认为必需的费用也需列入报价。</w:t>
            </w:r>
          </w:p>
          <w:p w14:paraId="193A4867">
            <w:pPr>
              <w:keepNext w:val="0"/>
              <w:keepLines w:val="0"/>
              <w:pageBreakBefore w:val="0"/>
              <w:kinsoku/>
              <w:wordWrap/>
              <w:overflowPunct/>
              <w:topLinePunct w:val="0"/>
              <w:autoSpaceDE/>
              <w:autoSpaceDN/>
              <w:bidi w:val="0"/>
              <w:spacing w:line="360" w:lineRule="auto"/>
              <w:ind w:left="105" w:leftChars="50" w:right="105" w:rightChars="50" w:firstLine="480" w:firstLineChars="200"/>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投标报价出现下列情形的，投标无效：</w:t>
            </w:r>
          </w:p>
          <w:p w14:paraId="64E79F0E">
            <w:pPr>
              <w:keepNext w:val="0"/>
              <w:keepLines w:val="0"/>
              <w:pageBreakBefore w:val="0"/>
              <w:kinsoku/>
              <w:wordWrap/>
              <w:overflowPunct/>
              <w:topLinePunct w:val="0"/>
              <w:autoSpaceDE/>
              <w:autoSpaceDN/>
              <w:bidi w:val="0"/>
              <w:spacing w:line="360" w:lineRule="auto"/>
              <w:ind w:left="105" w:leftChars="50" w:right="105" w:rightChars="50" w:firstLine="480" w:firstLineChars="200"/>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投标文件出现不是唯一的、有选择性投标报价的；</w:t>
            </w:r>
          </w:p>
          <w:p w14:paraId="062EA9C4">
            <w:pPr>
              <w:keepNext w:val="0"/>
              <w:keepLines w:val="0"/>
              <w:pageBreakBefore w:val="0"/>
              <w:kinsoku/>
              <w:wordWrap/>
              <w:overflowPunct/>
              <w:topLinePunct w:val="0"/>
              <w:autoSpaceDE/>
              <w:autoSpaceDN/>
              <w:bidi w:val="0"/>
              <w:spacing w:line="360" w:lineRule="auto"/>
              <w:ind w:left="105" w:leftChars="50" w:right="105" w:rightChars="50" w:firstLine="480" w:firstLineChars="200"/>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投标报价超过招标文件中规定的预算金额或者最高限价的；</w:t>
            </w:r>
          </w:p>
          <w:p w14:paraId="78761F0F">
            <w:pPr>
              <w:keepNext w:val="0"/>
              <w:keepLines w:val="0"/>
              <w:pageBreakBefore w:val="0"/>
              <w:kinsoku/>
              <w:wordWrap/>
              <w:overflowPunct/>
              <w:topLinePunct w:val="0"/>
              <w:autoSpaceDE/>
              <w:autoSpaceDN/>
              <w:bidi w:val="0"/>
              <w:spacing w:line="360" w:lineRule="auto"/>
              <w:ind w:left="105" w:leftChars="50" w:right="105" w:rightChars="50" w:firstLine="480" w:firstLineChars="200"/>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Cs/>
                <w:color w:val="auto"/>
                <w:kern w:val="0"/>
                <w:sz w:val="24"/>
                <w:highlight w:val="none"/>
                <w:lang w:eastAsia="zh-CN"/>
              </w:rPr>
              <w:t>；</w:t>
            </w:r>
          </w:p>
          <w:p w14:paraId="1CB8FB29">
            <w:pPr>
              <w:keepNext w:val="0"/>
              <w:keepLines w:val="0"/>
              <w:pageBreakBefore w:val="0"/>
              <w:kinsoku/>
              <w:wordWrap/>
              <w:overflowPunct/>
              <w:topLinePunct w:val="0"/>
              <w:autoSpaceDE/>
              <w:autoSpaceDN/>
              <w:bidi w:val="0"/>
              <w:spacing w:line="360" w:lineRule="auto"/>
              <w:ind w:left="105" w:leftChars="50" w:right="105" w:rightChars="50" w:firstLine="480" w:firstLineChars="200"/>
              <w:textAlignment w:val="auto"/>
              <w:rPr>
                <w:rFonts w:ascii="宋体" w:hAnsi="宋体" w:cs="宋体"/>
                <w:bCs/>
                <w:color w:val="auto"/>
                <w:highlight w:val="none"/>
              </w:rPr>
            </w:pPr>
            <w:r>
              <w:rPr>
                <w:rFonts w:hint="eastAsia" w:ascii="宋体" w:hAnsi="宋体" w:eastAsia="宋体" w:cs="宋体"/>
                <w:bCs/>
                <w:color w:val="auto"/>
                <w:kern w:val="0"/>
                <w:sz w:val="24"/>
                <w:highlight w:val="none"/>
              </w:rPr>
              <w:t>投标人对根据修正原则修正后的报价不确认的。</w:t>
            </w:r>
          </w:p>
        </w:tc>
      </w:tr>
      <w:tr w14:paraId="5471B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40BD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4D4A060">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039AC21A">
            <w:pPr>
              <w:keepNext w:val="0"/>
              <w:keepLines w:val="0"/>
              <w:pageBreakBefore w:val="0"/>
              <w:widowControl/>
              <w:kinsoku/>
              <w:wordWrap/>
              <w:overflowPunct/>
              <w:topLinePunct w:val="0"/>
              <w:autoSpaceDE/>
              <w:autoSpaceDN/>
              <w:bidi w:val="0"/>
              <w:adjustRightInd w:val="0"/>
              <w:snapToGrid/>
              <w:ind w:left="105" w:leftChars="50" w:right="105" w:rightChars="5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备份文件是否收取：不收取。</w:t>
            </w:r>
          </w:p>
        </w:tc>
      </w:tr>
      <w:tr w14:paraId="38E6D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3123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2F605F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21763">
            <w:pPr>
              <w:keepNext w:val="0"/>
              <w:keepLines w:val="0"/>
              <w:pageBreakBefore w:val="0"/>
              <w:widowControl/>
              <w:kinsoku/>
              <w:wordWrap/>
              <w:overflowPunct/>
              <w:topLinePunct w:val="0"/>
              <w:autoSpaceDE/>
              <w:autoSpaceDN/>
              <w:bidi w:val="0"/>
              <w:adjustRightInd w:val="0"/>
              <w:snapToGrid/>
              <w:ind w:left="105" w:leftChars="50" w:right="105" w:rightChars="5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采购人支付。</w:t>
            </w:r>
          </w:p>
        </w:tc>
      </w:tr>
      <w:tr w14:paraId="7B6F8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064182F">
            <w:pPr>
              <w:snapToGrid w:val="0"/>
              <w:spacing w:line="360" w:lineRule="auto"/>
              <w:jc w:val="center"/>
              <w:rPr>
                <w:rFonts w:ascii="宋体" w:hAnsi="宋体" w:cs="宋体"/>
                <w:b/>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68025FD">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75E30E0D">
            <w:pPr>
              <w:pStyle w:val="36"/>
              <w:keepNext w:val="0"/>
              <w:keepLines w:val="0"/>
              <w:pageBreakBefore w:val="0"/>
              <w:kinsoku/>
              <w:wordWrap/>
              <w:overflowPunct/>
              <w:topLinePunct w:val="0"/>
              <w:autoSpaceDE/>
              <w:autoSpaceDN/>
              <w:bidi w:val="0"/>
              <w:spacing w:line="360" w:lineRule="auto"/>
              <w:ind w:left="109" w:leftChars="50" w:right="105" w:rightChars="50" w:hanging="4"/>
              <w:textAlignment w:val="auto"/>
              <w:rPr>
                <w:rFonts w:hAnsi="宋体" w:cs="宋体"/>
                <w:color w:val="auto"/>
                <w:sz w:val="24"/>
                <w:highlight w:val="none"/>
              </w:rPr>
            </w:pPr>
            <w:r>
              <w:rPr>
                <w:rFonts w:hint="eastAsia" w:hAnsi="宋体" w:cs="宋体"/>
                <w:color w:val="auto"/>
                <w:sz w:val="24"/>
                <w:highlight w:val="none"/>
              </w:rPr>
              <w:t>履约保证金：收取合同价的1%，合同签订后支付，履约完成后无息退还。</w:t>
            </w:r>
          </w:p>
          <w:p w14:paraId="684849FA">
            <w:pPr>
              <w:pStyle w:val="16"/>
              <w:keepNext w:val="0"/>
              <w:keepLines w:val="0"/>
              <w:pageBreakBefore w:val="0"/>
              <w:kinsoku/>
              <w:wordWrap/>
              <w:overflowPunct/>
              <w:topLinePunct w:val="0"/>
              <w:autoSpaceDE/>
              <w:autoSpaceDN/>
              <w:bidi w:val="0"/>
              <w:spacing w:line="360" w:lineRule="auto"/>
              <w:ind w:left="105" w:leftChars="50" w:right="105" w:rightChars="50" w:firstLine="0"/>
              <w:textAlignment w:val="auto"/>
              <w:rPr>
                <w:rFonts w:hAnsi="宋体" w:cs="宋体"/>
                <w:color w:val="auto"/>
                <w:sz w:val="24"/>
                <w:highlight w:val="none"/>
              </w:rPr>
            </w:pPr>
            <w:r>
              <w:rPr>
                <w:rFonts w:hint="eastAsia" w:hAnsi="宋体" w:cs="宋体"/>
                <w:color w:val="auto"/>
                <w:sz w:val="24"/>
                <w:highlight w:val="none"/>
              </w:rPr>
              <w:t>供应商应当以支票、汇票、本票或者金融机构、担保机构出具的保函等非现金形式提交。</w:t>
            </w:r>
          </w:p>
        </w:tc>
      </w:tr>
      <w:tr w14:paraId="71C6C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86B72F">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97A4952">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8AD76">
            <w:pPr>
              <w:pStyle w:val="36"/>
              <w:keepNext w:val="0"/>
              <w:keepLines w:val="0"/>
              <w:pageBreakBefore w:val="0"/>
              <w:kinsoku/>
              <w:wordWrap/>
              <w:overflowPunct/>
              <w:topLinePunct w:val="0"/>
              <w:autoSpaceDE/>
              <w:autoSpaceDN/>
              <w:bidi w:val="0"/>
              <w:spacing w:line="360" w:lineRule="auto"/>
              <w:ind w:left="109" w:leftChars="50" w:right="105" w:rightChars="50" w:hanging="4"/>
              <w:textAlignment w:val="auto"/>
              <w:rPr>
                <w:rFonts w:hAnsi="宋体" w:cs="宋体"/>
                <w:color w:val="auto"/>
                <w:sz w:val="24"/>
                <w:highlight w:val="none"/>
              </w:rPr>
            </w:pPr>
            <w:r>
              <w:rPr>
                <w:rFonts w:hint="eastAsia" w:hAnsi="宋体" w:cs="宋体"/>
                <w:color w:val="auto"/>
                <w:sz w:val="24"/>
                <w:highlight w:val="none"/>
              </w:rPr>
              <w:t>本项目由采购人进行资格文件及信用信息查询。</w:t>
            </w:r>
          </w:p>
        </w:tc>
      </w:tr>
      <w:tr w14:paraId="46F9B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9C27A6">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3948183">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888198D">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color w:val="auto"/>
                <w:sz w:val="24"/>
                <w:highlight w:val="none"/>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lang w:val="en-US" w:eastAsia="zh-CN"/>
              </w:rPr>
              <w:t>孔程吉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 xml:space="preserve"> 0571-83715505</w:t>
            </w:r>
            <w:r>
              <w:rPr>
                <w:rFonts w:hint="eastAsia" w:ascii="宋体" w:hAnsi="宋体" w:cs="宋体"/>
                <w:color w:val="auto"/>
                <w:sz w:val="24"/>
                <w:highlight w:val="none"/>
                <w:u w:val="single"/>
              </w:rPr>
              <w:t xml:space="preserve"> </w:t>
            </w:r>
          </w:p>
          <w:p w14:paraId="09C7C161">
            <w:pPr>
              <w:keepNext w:val="0"/>
              <w:keepLines w:val="0"/>
              <w:pageBreakBefore w:val="0"/>
              <w:kinsoku/>
              <w:wordWrap/>
              <w:overflowPunct/>
              <w:topLinePunct w:val="0"/>
              <w:autoSpaceDE/>
              <w:autoSpaceDN/>
              <w:bidi w:val="0"/>
              <w:spacing w:line="360" w:lineRule="auto"/>
              <w:ind w:left="105" w:leftChars="50" w:right="105" w:rightChars="50"/>
              <w:textAlignment w:val="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lang w:val="en-US" w:eastAsia="zh-CN"/>
              </w:rPr>
              <w:t xml:space="preserve"> 萧山区萧杭路51号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邮箱：</w:t>
            </w:r>
            <w:r>
              <w:rPr>
                <w:color w:val="auto"/>
                <w:highlight w:val="none"/>
              </w:rPr>
              <w:fldChar w:fldCharType="begin"/>
            </w:r>
            <w:r>
              <w:rPr>
                <w:color w:val="auto"/>
                <w:highlight w:val="none"/>
              </w:rPr>
              <w:instrText xml:space="preserve"> HYPERLINK "mailto:1163504274@qq.com" </w:instrText>
            </w:r>
            <w:r>
              <w:rPr>
                <w:color w:val="auto"/>
                <w:highlight w:val="none"/>
              </w:rPr>
              <w:fldChar w:fldCharType="separate"/>
            </w:r>
            <w:r>
              <w:rPr>
                <w:rFonts w:hint="eastAsia" w:ascii="宋体" w:hAnsi="宋体" w:cs="宋体"/>
                <w:color w:val="auto"/>
                <w:sz w:val="24"/>
                <w:highlight w:val="none"/>
                <w:u w:val="single"/>
                <w:lang w:val="en-US" w:eastAsia="zh-CN"/>
              </w:rPr>
              <w:t>673191085</w:t>
            </w:r>
            <w:r>
              <w:rPr>
                <w:rFonts w:hint="eastAsia" w:ascii="宋体" w:hAnsi="宋体" w:cs="宋体"/>
                <w:color w:val="auto"/>
                <w:sz w:val="24"/>
                <w:highlight w:val="none"/>
                <w:u w:val="single"/>
              </w:rPr>
              <w:t>@qq.com</w:t>
            </w:r>
            <w:r>
              <w:rPr>
                <w:rFonts w:hint="eastAsia" w:ascii="宋体" w:hAnsi="宋体" w:cs="宋体"/>
                <w:color w:val="auto"/>
                <w:sz w:val="24"/>
                <w:highlight w:val="none"/>
                <w:u w:val="single"/>
              </w:rPr>
              <w:fldChar w:fldCharType="end"/>
            </w:r>
          </w:p>
          <w:p w14:paraId="2E9984CA">
            <w:pPr>
              <w:keepNext w:val="0"/>
              <w:keepLines w:val="0"/>
              <w:pageBreakBefore w:val="0"/>
              <w:kinsoku/>
              <w:wordWrap/>
              <w:overflowPunct/>
              <w:topLinePunct w:val="0"/>
              <w:autoSpaceDE/>
              <w:autoSpaceDN/>
              <w:bidi w:val="0"/>
              <w:snapToGrid w:val="0"/>
              <w:spacing w:line="360" w:lineRule="auto"/>
              <w:ind w:left="105" w:leftChars="50" w:right="105" w:rightChars="50"/>
              <w:textAlignment w:val="auto"/>
              <w:rPr>
                <w:rFonts w:ascii="宋体" w:hAnsi="宋体" w:cs="宋体"/>
                <w:color w:val="auto"/>
                <w:sz w:val="24"/>
                <w:highlight w:val="none"/>
                <w:u w:val="singl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lang w:val="en-US" w:eastAsia="zh-CN"/>
              </w:rPr>
              <w:t>吴佳飞</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0571-82838566  </w:t>
            </w:r>
          </w:p>
          <w:p w14:paraId="768CD89D">
            <w:pPr>
              <w:keepNext w:val="0"/>
              <w:keepLines w:val="0"/>
              <w:pageBreakBefore w:val="0"/>
              <w:kinsoku/>
              <w:wordWrap/>
              <w:overflowPunct/>
              <w:topLinePunct w:val="0"/>
              <w:autoSpaceDE/>
              <w:autoSpaceDN/>
              <w:bidi w:val="0"/>
              <w:snapToGrid w:val="0"/>
              <w:spacing w:line="360" w:lineRule="auto"/>
              <w:ind w:left="105" w:leftChars="50" w:right="105" w:rightChars="50"/>
              <w:textAlignment w:val="auto"/>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萧山区盈丰街道民和路481号联合中心1幢602室 </w:t>
            </w: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178218546</w:t>
            </w:r>
            <w:r>
              <w:rPr>
                <w:rFonts w:hint="eastAsia" w:ascii="宋体" w:hAnsi="宋体" w:cs="宋体"/>
                <w:color w:val="auto"/>
                <w:sz w:val="24"/>
                <w:highlight w:val="none"/>
                <w:u w:val="single"/>
              </w:rPr>
              <w:t xml:space="preserve">@qq.com </w:t>
            </w:r>
          </w:p>
          <w:p w14:paraId="1503D502">
            <w:pPr>
              <w:keepNext w:val="0"/>
              <w:keepLines w:val="0"/>
              <w:pageBreakBefore w:val="0"/>
              <w:kinsoku/>
              <w:wordWrap/>
              <w:overflowPunct/>
              <w:topLinePunct w:val="0"/>
              <w:autoSpaceDE/>
              <w:autoSpaceDN/>
              <w:bidi w:val="0"/>
              <w:snapToGrid w:val="0"/>
              <w:spacing w:line="360" w:lineRule="auto"/>
              <w:ind w:left="105" w:leftChars="50" w:right="105" w:rightChars="50"/>
              <w:textAlignment w:val="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如通过邮箱方式发送质疑，须提交符合法规及招标文件要求的质疑文件（参考附件</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），盖章扫</w:t>
            </w:r>
            <w:r>
              <w:rPr>
                <w:rFonts w:hint="eastAsia" w:ascii="宋体" w:hAnsi="宋体" w:cs="宋体"/>
                <w:b/>
                <w:color w:val="auto"/>
                <w:sz w:val="24"/>
                <w:highlight w:val="none"/>
              </w:rPr>
              <w:t>描后发送，质疑的受理按答复主体划分以采购人或采购机构邮箱回复确认受理为准。</w:t>
            </w:r>
          </w:p>
          <w:p w14:paraId="5830EE5B">
            <w:pPr>
              <w:keepNext w:val="0"/>
              <w:keepLines w:val="0"/>
              <w:pageBreakBefore w:val="0"/>
              <w:kinsoku/>
              <w:wordWrap/>
              <w:overflowPunct/>
              <w:topLinePunct w:val="0"/>
              <w:autoSpaceDE/>
              <w:autoSpaceDN/>
              <w:bidi w:val="0"/>
              <w:snapToGrid w:val="0"/>
              <w:spacing w:line="360" w:lineRule="auto"/>
              <w:ind w:left="105" w:leftChars="50" w:right="105" w:rightChars="50"/>
              <w:textAlignment w:val="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本项目涉及资格条件、采购需求、评分办法及采购过程中有关现场考察或开标前答疑会事项由采购人进行答复。</w:t>
            </w:r>
          </w:p>
          <w:p w14:paraId="1BB0623C">
            <w:pPr>
              <w:pStyle w:val="36"/>
              <w:keepNext w:val="0"/>
              <w:keepLines w:val="0"/>
              <w:pageBreakBefore w:val="0"/>
              <w:kinsoku/>
              <w:wordWrap/>
              <w:overflowPunct/>
              <w:topLinePunct w:val="0"/>
              <w:autoSpaceDE/>
              <w:autoSpaceDN/>
              <w:bidi w:val="0"/>
              <w:spacing w:line="360" w:lineRule="auto"/>
              <w:ind w:left="109" w:leftChars="50" w:right="105" w:rightChars="50" w:hanging="4"/>
              <w:textAlignment w:val="auto"/>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14:paraId="31C48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blHeader/>
        </w:trPr>
        <w:tc>
          <w:tcPr>
            <w:tcW w:w="629" w:type="dxa"/>
            <w:vMerge w:val="restart"/>
            <w:tcBorders>
              <w:top w:val="single" w:color="auto" w:sz="4" w:space="0"/>
              <w:left w:val="single" w:color="000000" w:sz="8" w:space="0"/>
              <w:right w:val="single" w:color="000000" w:sz="2" w:space="0"/>
            </w:tcBorders>
            <w:vAlign w:val="center"/>
          </w:tcPr>
          <w:p w14:paraId="78F02E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EACBC35">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auto" w:sz="4" w:space="0"/>
              <w:right w:val="single" w:color="000000" w:sz="8" w:space="0"/>
            </w:tcBorders>
            <w:vAlign w:val="center"/>
          </w:tcPr>
          <w:p w14:paraId="43C6C9C9">
            <w:pPr>
              <w:keepNext w:val="0"/>
              <w:keepLines w:val="0"/>
              <w:pageBreakBefore w:val="0"/>
              <w:numPr>
                <w:ilvl w:val="0"/>
                <w:numId w:val="0"/>
              </w:numPr>
              <w:kinsoku/>
              <w:wordWrap/>
              <w:overflowPunct/>
              <w:topLinePunct w:val="0"/>
              <w:autoSpaceDE/>
              <w:autoSpaceDN/>
              <w:bidi w:val="0"/>
              <w:spacing w:line="360" w:lineRule="auto"/>
              <w:ind w:left="105" w:leftChars="50" w:right="105" w:rightChars="50"/>
              <w:textAlignment w:val="auto"/>
              <w:rPr>
                <w:color w:val="auto"/>
                <w:highlight w:val="none"/>
              </w:rPr>
            </w:pPr>
            <w:r>
              <w:rPr>
                <w:rFonts w:hint="eastAsia" w:ascii="宋体" w:hAnsi="宋体" w:cs="宋体"/>
                <w:b/>
                <w:color w:val="auto"/>
                <w:sz w:val="24"/>
                <w:highlight w:val="none"/>
              </w:rPr>
              <w:t>本项目</w:t>
            </w:r>
            <w:r>
              <w:rPr>
                <w:rFonts w:hint="eastAsia" w:ascii="宋体" w:hAnsi="宋体" w:eastAsia="宋体" w:cs="宋体"/>
                <w:b/>
                <w:color w:val="auto"/>
                <w:sz w:val="24"/>
                <w:highlight w:val="none"/>
              </w:rPr>
              <w:t>通用总则条款与前附表等专用特别规定有冲突之处，以专用条款（特别规定）为准。</w:t>
            </w:r>
          </w:p>
        </w:tc>
      </w:tr>
      <w:tr w14:paraId="16512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continue"/>
            <w:tcBorders>
              <w:left w:val="single" w:color="000000" w:sz="8" w:space="0"/>
              <w:bottom w:val="single" w:color="auto" w:sz="4" w:space="0"/>
              <w:right w:val="single" w:color="000000" w:sz="2" w:space="0"/>
            </w:tcBorders>
            <w:vAlign w:val="center"/>
          </w:tcPr>
          <w:p w14:paraId="26162DD3">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905890C">
            <w:pPr>
              <w:snapToGrid w:val="0"/>
              <w:spacing w:line="360" w:lineRule="auto"/>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F712B71">
            <w:pPr>
              <w:keepNext w:val="0"/>
              <w:keepLines w:val="0"/>
              <w:pageBreakBefore w:val="0"/>
              <w:numPr>
                <w:ilvl w:val="0"/>
                <w:numId w:val="0"/>
              </w:numPr>
              <w:kinsoku/>
              <w:wordWrap/>
              <w:overflowPunct/>
              <w:topLinePunct w:val="0"/>
              <w:autoSpaceDE/>
              <w:autoSpaceDN/>
              <w:bidi w:val="0"/>
              <w:spacing w:line="360" w:lineRule="auto"/>
              <w:ind w:left="105" w:leftChars="50" w:right="105" w:rightChars="5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本项目每个标项推荐中标候选人数量：</w:t>
            </w:r>
            <w:r>
              <w:rPr>
                <w:rFonts w:hint="eastAsia" w:ascii="宋体" w:hAnsi="宋体" w:eastAsia="宋体" w:cs="宋体"/>
                <w:b/>
                <w:color w:val="auto"/>
                <w:sz w:val="24"/>
                <w:highlight w:val="none"/>
                <w:lang w:val="en-US" w:eastAsia="zh-CN"/>
              </w:rPr>
              <w:t>1</w:t>
            </w:r>
          </w:p>
        </w:tc>
      </w:tr>
    </w:tbl>
    <w:p w14:paraId="11D7FC9B">
      <w:pPr>
        <w:snapToGrid w:val="0"/>
        <w:spacing w:line="360" w:lineRule="auto"/>
        <w:jc w:val="center"/>
        <w:rPr>
          <w:rFonts w:ascii="宋体" w:hAnsi="宋体" w:cs="宋体"/>
          <w:b/>
          <w:color w:val="auto"/>
          <w:sz w:val="32"/>
          <w:szCs w:val="20"/>
          <w:highlight w:val="none"/>
        </w:rPr>
      </w:pPr>
    </w:p>
    <w:bookmarkEnd w:id="10"/>
    <w:p w14:paraId="49F791C7">
      <w:pPr>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02B24C9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2C8141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12F97D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FA5F4B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DB234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02E87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166B3C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9F12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98DA1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p>
    <w:p w14:paraId="542B28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w:t>
      </w:r>
      <w:r>
        <w:rPr>
          <w:rFonts w:hint="eastAsia" w:ascii="宋体" w:hAnsi="宋体" w:cs="宋体"/>
          <w:color w:val="auto"/>
          <w:sz w:val="24"/>
          <w:highlight w:val="none"/>
        </w:rPr>
        <w:t>依托的</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w:t>
      </w:r>
      <w:r>
        <w:rPr>
          <w:rFonts w:hint="eastAsia" w:ascii="宋体" w:hAnsi="宋体" w:eastAsia="宋体" w:cs="宋体"/>
          <w:color w:val="auto"/>
          <w:sz w:val="24"/>
          <w:szCs w:val="24"/>
          <w:highlight w:val="none"/>
        </w:rPr>
        <w:t>www.lecaiyun.com</w:t>
      </w:r>
      <w:r>
        <w:rPr>
          <w:rFonts w:hint="eastAsia" w:ascii="宋体" w:hAnsi="宋体" w:cs="宋体"/>
          <w:color w:val="auto"/>
          <w:sz w:val="24"/>
          <w:highlight w:val="none"/>
        </w:rPr>
        <w:t>）。</w:t>
      </w:r>
    </w:p>
    <w:p w14:paraId="7A0C30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04A2E06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10603D96">
      <w:pPr>
        <w:spacing w:line="360" w:lineRule="auto"/>
        <w:ind w:firstLine="512" w:firstLineChars="200"/>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pacing w:val="8"/>
          <w:kern w:val="0"/>
          <w:sz w:val="24"/>
          <w:highlight w:val="none"/>
          <w:lang w:eastAsia="zh-CN"/>
        </w:rPr>
        <w:t>采购代理机构</w:t>
      </w:r>
      <w:r>
        <w:rPr>
          <w:rFonts w:hint="eastAsia" w:ascii="宋体" w:hAnsi="宋体" w:eastAsia="宋体" w:cs="宋体"/>
          <w:color w:val="auto"/>
          <w:spacing w:val="8"/>
          <w:kern w:val="0"/>
          <w:sz w:val="24"/>
          <w:highlight w:val="none"/>
        </w:rPr>
        <w:t>不会对其加以限制，仍将按照公平竞争原则实施采购）；优先采购向我国企业转让技术、与我国企业签订消化吸收再创新方案的供应商的进口产品。</w:t>
      </w:r>
    </w:p>
    <w:p w14:paraId="48D874B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1C34608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2FBD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9666C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682FF3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580680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30D8A4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5A96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3246E7A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EAA65E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BFA1D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color w:val="auto"/>
          <w:sz w:val="24"/>
          <w:highlight w:val="none"/>
        </w:rPr>
        <w:t>（</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57B83AA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338C2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E200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6E40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E1DDE8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65BF622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1EADE8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80B7BF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79B9FE1E">
      <w:pPr>
        <w:pStyle w:val="4"/>
        <w:tabs>
          <w:tab w:val="left" w:pos="0"/>
          <w:tab w:val="clear" w:pos="432"/>
        </w:tabs>
        <w:ind w:left="237" w:leftChars="113" w:firstLine="465" w:firstLineChars="194"/>
        <w:rPr>
          <w:b w:val="0"/>
          <w:bCs w:val="0"/>
          <w:color w:val="auto"/>
          <w:highlight w:val="none"/>
        </w:rPr>
      </w:pPr>
      <w:r>
        <w:rPr>
          <w:rFonts w:hint="eastAsia" w:ascii="宋体" w:hAnsi="宋体" w:eastAsia="宋体" w:cs="宋体"/>
          <w:b w:val="0"/>
          <w:bCs w:val="0"/>
          <w:color w:val="auto"/>
          <w:sz w:val="24"/>
          <w:highlight w:val="none"/>
        </w:rPr>
        <w:t>平等对待内外资企业和符合条件的破产重整企业，切实保障企业公平竞争，平等维护企业的合法利益。</w:t>
      </w:r>
    </w:p>
    <w:p w14:paraId="3B98FA8D">
      <w:pPr>
        <w:spacing w:line="360" w:lineRule="auto"/>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color w:val="auto"/>
          <w:highlight w:val="none"/>
        </w:rPr>
        <w:t xml:space="preserve"> </w:t>
      </w:r>
      <w:r>
        <w:rPr>
          <w:rFonts w:hint="eastAsia" w:ascii="宋体" w:hAnsi="宋体" w:cs="宋体"/>
          <w:b/>
          <w:color w:val="auto"/>
          <w:sz w:val="24"/>
          <w:highlight w:val="none"/>
        </w:rPr>
        <w:t xml:space="preserve"> 询问、质疑、投诉</w:t>
      </w:r>
    </w:p>
    <w:p w14:paraId="7019F7F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.1供应商询问</w:t>
      </w:r>
    </w:p>
    <w:p w14:paraId="34C8422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65AFA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.2供应商质疑</w:t>
      </w:r>
    </w:p>
    <w:p w14:paraId="5931AAA4">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36BA6D8">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32A0D60">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14:paraId="61E5C8DA">
      <w:pPr>
        <w:pStyle w:val="36"/>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14:paraId="78F51831">
      <w:pPr>
        <w:pStyle w:val="36"/>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0FE6D49C">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14:paraId="6338E44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.2.3.1供应商的姓名或者名称、地址、邮编、联系人及联系电话；</w:t>
      </w:r>
    </w:p>
    <w:p w14:paraId="79D96086">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.2.3.2质疑项目的名称、编号；</w:t>
      </w:r>
    </w:p>
    <w:p w14:paraId="4FB2A5DF">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.2.3.3具体、明确的质疑事项和与质疑事项相关的请求；</w:t>
      </w:r>
    </w:p>
    <w:p w14:paraId="2BCB2F2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.2.3.4事实依据；</w:t>
      </w:r>
    </w:p>
    <w:p w14:paraId="07BB401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.2.3.5必要的法律依据；</w:t>
      </w:r>
    </w:p>
    <w:p w14:paraId="7F4FEDB4">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.2.3.6提出质疑的日期。</w:t>
      </w:r>
    </w:p>
    <w:p w14:paraId="451005E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00D060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w:t>
      </w:r>
      <w:r>
        <w:rPr>
          <w:rFonts w:hint="eastAsia"/>
          <w:color w:val="auto"/>
          <w:highlight w:val="none"/>
        </w:rPr>
        <w:t>见附件</w:t>
      </w:r>
      <w:r>
        <w:rPr>
          <w:rFonts w:hint="eastAsia"/>
          <w:color w:val="auto"/>
          <w:highlight w:val="none"/>
          <w:lang w:val="en-US" w:eastAsia="zh-CN"/>
        </w:rPr>
        <w:t>2</w:t>
      </w:r>
      <w:r>
        <w:rPr>
          <w:rFonts w:hint="eastAsia"/>
          <w:color w:val="auto"/>
          <w:highlight w:val="none"/>
        </w:rPr>
        <w:t>。</w:t>
      </w:r>
    </w:p>
    <w:p w14:paraId="6095C29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.4采购人或者采购机构应当在收到供应商的书面质疑后七个工作日内作出答复，并以书面形式通知质疑供应商和其他与质疑处理结果有利害关系的采购当事人，但答复的内容不得涉及商业秘密。</w:t>
      </w:r>
    </w:p>
    <w:p w14:paraId="711E204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.5询问或者质疑事项可能影响采购结果的，采购人应当暂停签订合同，已经签订合同的，应当中止履行合同。</w:t>
      </w:r>
    </w:p>
    <w:p w14:paraId="714B879D">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4</w:t>
      </w:r>
      <w:r>
        <w:rPr>
          <w:rFonts w:hint="eastAsia"/>
          <w:color w:val="auto"/>
          <w:highlight w:val="none"/>
          <w:lang w:val="zh-CN"/>
        </w:rPr>
        <w:t>.3供应商投诉</w:t>
      </w:r>
    </w:p>
    <w:p w14:paraId="05BCEF2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4.3.1质疑供应商对采购人、采购机构的答复不满意或者采购人、采购机构未在规定的时间内作出答复的，可以在答复期满后十五个工作日内向同级采购监督管理部门提出投诉。</w:t>
      </w:r>
    </w:p>
    <w:p w14:paraId="4A79A56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AB5852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14:paraId="33298773">
      <w:pPr>
        <w:pStyle w:val="889"/>
        <w:shd w:val="clear" w:color="auto" w:fill="FFFFFF"/>
        <w:snapToGrid w:val="0"/>
        <w:spacing w:after="240" w:afterAutospacing="0" w:line="360" w:lineRule="auto"/>
        <w:ind w:firstLine="400"/>
        <w:contextualSpacing/>
        <w:rPr>
          <w:color w:val="auto"/>
          <w:sz w:val="18"/>
          <w:szCs w:val="18"/>
          <w:highlight w:val="none"/>
        </w:rPr>
      </w:pPr>
      <w:r>
        <w:rPr>
          <w:rFonts w:hint="eastAsia"/>
          <w:color w:val="auto"/>
          <w:highlight w:val="none"/>
        </w:rPr>
        <w:t>投诉书范本及制作说明详</w:t>
      </w:r>
      <w:r>
        <w:rPr>
          <w:rFonts w:hint="eastAsia"/>
          <w:color w:val="auto"/>
          <w:highlight w:val="none"/>
        </w:rPr>
        <w:t>见附件</w:t>
      </w:r>
      <w:r>
        <w:rPr>
          <w:rFonts w:hint="eastAsia"/>
          <w:color w:val="auto"/>
          <w:highlight w:val="none"/>
          <w:lang w:val="en-US" w:eastAsia="zh-CN"/>
        </w:rPr>
        <w:t>3</w:t>
      </w:r>
      <w:r>
        <w:rPr>
          <w:rFonts w:hint="eastAsia"/>
          <w:color w:val="auto"/>
          <w:highlight w:val="none"/>
        </w:rPr>
        <w:t>。</w:t>
      </w:r>
    </w:p>
    <w:p w14:paraId="181CEE3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AC241E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742AEFC">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083A4E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27AEB6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7593E49">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51B825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72F0D5A">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790B3B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5.1.6应提交的有关格式范例。</w:t>
      </w:r>
    </w:p>
    <w:p w14:paraId="2175E8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6B5949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877172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161023A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5A5C4A">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5470DB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ABD883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53078B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8FD8E9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F5924E8">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B9228D3">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2396D30">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EEF486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CB20A06">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B42357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D70D6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53619E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49DA55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11.1.2落实政府采购政策需满足的资格要求；</w:t>
      </w:r>
    </w:p>
    <w:p w14:paraId="3DB0FAC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11.1.3项目的特定资格要求。</w:t>
      </w:r>
    </w:p>
    <w:p w14:paraId="568DDA2C">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54E33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B79F0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B965A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626DAFC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11.2.4评标标准相应的商务技术资料；</w:t>
      </w:r>
    </w:p>
    <w:p w14:paraId="7CF52BD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11.2.5投标标的清单；</w:t>
      </w:r>
    </w:p>
    <w:p w14:paraId="590D45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11.2.6商务技术偏离表；</w:t>
      </w:r>
    </w:p>
    <w:p w14:paraId="09027A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11.2.7</w:t>
      </w:r>
      <w:r>
        <w:rPr>
          <w:rFonts w:hint="eastAsia" w:ascii="宋体" w:hAnsi="宋体" w:cs="宋体"/>
          <w:color w:val="auto"/>
          <w:sz w:val="24"/>
          <w:highlight w:val="none"/>
          <w:lang w:val="zh-CN"/>
        </w:rPr>
        <w:t>采购供应商廉洁自律承诺书；</w:t>
      </w:r>
    </w:p>
    <w:p w14:paraId="2497B42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Cs/>
          <w:color w:val="auto"/>
          <w:sz w:val="24"/>
          <w:highlight w:val="none"/>
        </w:rPr>
        <w:t xml:space="preserve">报价文件： </w:t>
      </w:r>
    </w:p>
    <w:p w14:paraId="64F7623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E19250D">
      <w:pPr>
        <w:snapToGrid w:val="0"/>
        <w:spacing w:line="360" w:lineRule="auto"/>
        <w:ind w:firstLine="960" w:firstLineChars="400"/>
        <w:rPr>
          <w:color w:val="auto"/>
          <w:highlight w:val="none"/>
        </w:rPr>
      </w:pPr>
      <w:r>
        <w:rPr>
          <w:rFonts w:hint="eastAsia" w:ascii="宋体" w:hAnsi="宋体" w:cs="宋体"/>
          <w:color w:val="auto"/>
          <w:sz w:val="24"/>
          <w:highlight w:val="none"/>
        </w:rPr>
        <w:t>11.3.2中小企业声明函。</w:t>
      </w:r>
    </w:p>
    <w:p w14:paraId="2B1A101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65FDD81">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DC9CBCE">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197610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w:t>
      </w:r>
      <w:r>
        <w:rPr>
          <w:rFonts w:hint="eastAsia" w:ascii="宋体" w:hAnsi="宋体" w:cs="宋体"/>
          <w:color w:val="auto"/>
          <w:kern w:val="0"/>
          <w:sz w:val="24"/>
          <w:highlight w:val="none"/>
        </w:rPr>
        <w:t>六</w:t>
      </w:r>
      <w:r>
        <w:rPr>
          <w:rFonts w:hint="eastAsia" w:ascii="宋体" w:hAnsi="宋体" w:cs="宋体"/>
          <w:color w:val="auto"/>
          <w:kern w:val="0"/>
          <w:sz w:val="24"/>
          <w:highlight w:val="none"/>
          <w:lang w:val="zh-CN"/>
        </w:rPr>
        <w:t>部分规定的格式进行，混乱的编排导致投标文件被误读或评标委员会查找不到有效文件是投标人的风险。</w:t>
      </w:r>
    </w:p>
    <w:p w14:paraId="71DEB7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w:t>
      </w:r>
      <w:r>
        <w:rPr>
          <w:rFonts w:hint="eastAsia" w:ascii="宋体" w:hAnsi="宋体" w:cs="宋体"/>
          <w:color w:val="auto"/>
          <w:kern w:val="0"/>
          <w:sz w:val="24"/>
          <w:highlight w:val="none"/>
          <w:lang w:val="zh-CN"/>
        </w:rPr>
        <w:t>软件—“</w:t>
      </w:r>
      <w:r>
        <w:rPr>
          <w:rFonts w:hint="eastAsia" w:hAnsi="宋体" w:cs="宋体"/>
          <w:color w:val="auto"/>
          <w:sz w:val="24"/>
          <w:highlight w:val="none"/>
        </w:rPr>
        <w:t>乐</w:t>
      </w:r>
      <w:r>
        <w:rPr>
          <w:rFonts w:hint="eastAsia" w:ascii="宋体" w:hAnsi="宋体" w:cs="宋体"/>
          <w:color w:val="auto"/>
          <w:sz w:val="24"/>
          <w:highlight w:val="none"/>
        </w:rPr>
        <w:t>采云</w:t>
      </w:r>
      <w:r>
        <w:rPr>
          <w:rFonts w:hint="eastAsia" w:ascii="宋体" w:hAnsi="宋体" w:cs="宋体"/>
          <w:color w:val="auto"/>
          <w:sz w:val="24"/>
          <w:highlight w:val="none"/>
        </w:rPr>
        <w:t>电子</w:t>
      </w:r>
      <w:r>
        <w:rPr>
          <w:rFonts w:hint="eastAsia" w:hAnsi="宋体" w:cs="宋体"/>
          <w:color w:val="auto"/>
          <w:sz w:val="24"/>
          <w:highlight w:val="none"/>
        </w:rPr>
        <w:t>投标</w:t>
      </w:r>
      <w:r>
        <w:rPr>
          <w:rFonts w:hint="eastAsia" w:ascii="宋体" w:hAnsi="宋体" w:cs="宋体"/>
          <w:color w:val="auto"/>
          <w:sz w:val="24"/>
          <w:highlight w:val="none"/>
        </w:rPr>
        <w:t>客户端</w:t>
      </w:r>
      <w:r>
        <w:rPr>
          <w:rFonts w:hint="eastAsia" w:ascii="宋体" w:hAnsi="宋体" w:cs="宋体"/>
          <w:color w:val="auto"/>
          <w:kern w:val="0"/>
          <w:sz w:val="24"/>
          <w:highlight w:val="none"/>
          <w:lang w:val="zh-CN"/>
        </w:rPr>
        <w:t>”，并按照招标文件和电子交易平台的要求编制并加密投标文件。投标人未按规定加密的投标文件，电子交易平台将拒收并提示。</w:t>
      </w:r>
    </w:p>
    <w:p w14:paraId="375180E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w:t>
      </w:r>
      <w:r>
        <w:rPr>
          <w:rFonts w:hint="eastAsia" w:ascii="宋体" w:hAnsi="宋体" w:cs="宋体"/>
          <w:color w:val="auto"/>
          <w:kern w:val="0"/>
          <w:sz w:val="24"/>
          <w:highlight w:val="none"/>
          <w:lang w:val="en-US" w:eastAsia="zh-CN"/>
        </w:rPr>
        <w:t>乐</w:t>
      </w:r>
      <w:r>
        <w:rPr>
          <w:rFonts w:hint="eastAsia" w:ascii="宋体" w:hAnsi="宋体" w:cs="宋体"/>
          <w:color w:val="auto"/>
          <w:kern w:val="0"/>
          <w:sz w:val="24"/>
          <w:highlight w:val="none"/>
          <w:lang w:val="zh-CN"/>
        </w:rPr>
        <w:t>采云电子交易客户端”需要提前申领CA数字证书，申领流程请自行前往“</w:t>
      </w:r>
      <w:r>
        <w:rPr>
          <w:rFonts w:hint="eastAsia" w:ascii="宋体" w:hAnsi="宋体" w:cs="宋体"/>
          <w:color w:val="auto"/>
          <w:sz w:val="24"/>
          <w:highlight w:val="none"/>
        </w:rPr>
        <w:t>乐采云-在线查询（操作手册）-注册与系统管理-CA管理</w:t>
      </w:r>
      <w:r>
        <w:rPr>
          <w:rFonts w:hint="eastAsia" w:ascii="宋体" w:hAnsi="宋体" w:cs="宋体"/>
          <w:color w:val="auto"/>
          <w:kern w:val="0"/>
          <w:sz w:val="24"/>
          <w:highlight w:val="none"/>
          <w:lang w:val="zh-CN"/>
        </w:rPr>
        <w:t>”进行查阅。</w:t>
      </w:r>
    </w:p>
    <w:p w14:paraId="1616EBE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646F332">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C30D6E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w:t>
      </w:r>
      <w:r>
        <w:rPr>
          <w:rFonts w:hint="eastAsia" w:ascii="宋体" w:hAnsi="宋体" w:cs="宋体"/>
          <w:color w:val="auto"/>
          <w:highlight w:val="none"/>
          <w:lang w:val="en-US" w:eastAsia="zh-CN"/>
        </w:rPr>
        <w:t>乐采</w:t>
      </w:r>
      <w:r>
        <w:rPr>
          <w:rFonts w:hint="eastAsia" w:ascii="宋体" w:hAnsi="宋体" w:cs="宋体"/>
          <w:color w:val="auto"/>
          <w:highlight w:val="none"/>
        </w:rPr>
        <w:t>云平台”的身份认证，确保在电子投标过程中能够对相关数据电文</w:t>
      </w:r>
      <w:r>
        <w:rPr>
          <w:rFonts w:hint="eastAsia" w:ascii="宋体" w:hAnsi="宋体" w:cs="宋体"/>
          <w:color w:val="auto"/>
          <w:highlight w:val="none"/>
        </w:rPr>
        <w:t>进行加密和使用电子签名。</w:t>
      </w:r>
    </w:p>
    <w:p w14:paraId="6A776465">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63568C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D03B484">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w:t>
      </w:r>
      <w:r>
        <w:rPr>
          <w:rFonts w:hint="eastAsia" w:ascii="宋体" w:hAnsi="宋体" w:eastAsia="宋体" w:cs="宋体"/>
          <w:color w:val="auto"/>
          <w:szCs w:val="24"/>
          <w:highlight w:val="none"/>
        </w:rPr>
        <w:t>递交。供应商撤回投标不得损害国家利益、社会公共利益、采购人利益、代理机构利益、其他供应商利益，否则，供应商撤销（撤回）投标无效。投标截止时间前未完成</w:t>
      </w:r>
      <w:r>
        <w:rPr>
          <w:rFonts w:hint="eastAsia" w:ascii="宋体" w:hAnsi="宋体" w:cs="宋体"/>
          <w:color w:val="auto"/>
          <w:szCs w:val="24"/>
          <w:highlight w:val="none"/>
        </w:rPr>
        <w:t>传输的，视为撤回投标文件。投标截止时间后递交的投标文件，电子交易平台将拒收。</w:t>
      </w:r>
    </w:p>
    <w:p w14:paraId="2731B4E9">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DA802B6">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BCCF17C">
      <w:pPr>
        <w:pStyle w:val="36"/>
        <w:numPr>
          <w:ilvl w:val="0"/>
          <w:numId w:val="1"/>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7D451AE5">
      <w:pPr>
        <w:pStyle w:val="36"/>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本项目不收取备份投标文件</w:t>
      </w:r>
    </w:p>
    <w:p w14:paraId="3B01461C">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3FD02B7">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36F7B13D">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8A8528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A24AAED">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C875917">
      <w:pPr>
        <w:pStyle w:val="133"/>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w:t>
      </w:r>
      <w:r>
        <w:rPr>
          <w:rFonts w:hint="eastAsia" w:ascii="宋体" w:hAnsi="宋体" w:cs="宋体"/>
          <w:color w:val="auto"/>
          <w:highlight w:val="none"/>
        </w:rPr>
        <w:t>延长投标有效期。投标人同意延长的，不得要求或被允许修改其投标文件，投标人拒绝延长的，其投标无效。</w:t>
      </w:r>
    </w:p>
    <w:p w14:paraId="48252AB2">
      <w:pPr>
        <w:pStyle w:val="133"/>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D901002">
      <w:pPr>
        <w:pStyle w:val="133"/>
        <w:spacing w:before="0"/>
        <w:ind w:firstLine="480"/>
        <w:rPr>
          <w:rFonts w:ascii="宋体" w:hAnsi="宋体" w:cs="宋体"/>
          <w:color w:val="auto"/>
          <w:highlight w:val="none"/>
        </w:rPr>
      </w:pPr>
    </w:p>
    <w:p w14:paraId="19E44FA6">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42D3B0A">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F4B66F9">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24FF4B3F">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362F017">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210D09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1DE600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1A5E3D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E257B9F">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476E1568">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0420C63">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EE8D407">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0ED82C4A">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DECFF95">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w:t>
      </w:r>
      <w:r>
        <w:rPr>
          <w:rFonts w:hint="eastAsia" w:ascii="宋体" w:hAnsi="宋体" w:cs="宋体"/>
          <w:color w:val="auto"/>
          <w:kern w:val="0"/>
          <w:szCs w:val="24"/>
          <w:highlight w:val="none"/>
        </w:rPr>
        <w:t>被执行人名单、</w:t>
      </w:r>
      <w:r>
        <w:rPr>
          <w:rFonts w:hint="eastAsia" w:hAnsi="宋体" w:cs="宋体"/>
          <w:color w:val="auto"/>
          <w:sz w:val="24"/>
          <w:szCs w:val="24"/>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rPr>
        <w:t>投标人将被拒绝参与采购活动。</w:t>
      </w:r>
    </w:p>
    <w:p w14:paraId="509ECDFA">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B0F34E4">
      <w:pPr>
        <w:pStyle w:val="133"/>
        <w:spacing w:before="0"/>
        <w:ind w:firstLine="0" w:firstLineChars="0"/>
        <w:rPr>
          <w:rFonts w:ascii="宋体" w:hAnsi="宋体" w:cs="宋体"/>
          <w:color w:val="auto"/>
          <w:kern w:val="0"/>
          <w:szCs w:val="24"/>
          <w:highlight w:val="none"/>
        </w:rPr>
      </w:pPr>
    </w:p>
    <w:p w14:paraId="7CE7592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1E77084">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9824CAE">
      <w:pPr>
        <w:spacing w:line="360" w:lineRule="auto"/>
        <w:rPr>
          <w:rFonts w:ascii="宋体" w:hAnsi="宋体" w:cs="宋体"/>
          <w:b/>
          <w:color w:val="auto"/>
          <w:sz w:val="24"/>
          <w:highlight w:val="none"/>
        </w:rPr>
      </w:pPr>
    </w:p>
    <w:p w14:paraId="1F82941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A96CBD1">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3138358">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个工作日内通过电子交易平台在评审报告推荐的中标候选人中按顺序确定中标供应商。</w:t>
      </w:r>
    </w:p>
    <w:p w14:paraId="45BB8551">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0B65F1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23.1自中标人确定之日起2个工作日内，采购机构通过电子交易平台向中标人发出中标通知书，同时编制发布采购结果公告。采购机构或采购人也可以以纸质形式进行中标通知。</w:t>
      </w:r>
    </w:p>
    <w:p w14:paraId="222907A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w:t>
      </w:r>
    </w:p>
    <w:p w14:paraId="0E15AD31">
      <w:pPr>
        <w:widowControl/>
        <w:shd w:val="clear" w:color="auto" w:fill="FFFFFF"/>
        <w:spacing w:line="360" w:lineRule="auto"/>
        <w:ind w:firstLine="480"/>
        <w:jc w:val="left"/>
        <w:rPr>
          <w:rFonts w:ascii="宋体" w:hAnsi="宋体" w:cs="宋体"/>
          <w:b/>
          <w:color w:val="auto"/>
          <w:sz w:val="32"/>
          <w:highlight w:val="none"/>
        </w:rPr>
      </w:pPr>
      <w:r>
        <w:rPr>
          <w:rFonts w:hint="eastAsia" w:ascii="宋体" w:hAnsi="宋体" w:cs="宋体"/>
          <w:color w:val="auto"/>
          <w:sz w:val="24"/>
          <w:highlight w:val="none"/>
        </w:rPr>
        <w:t>23.3公告期限为1个工作日。</w:t>
      </w:r>
    </w:p>
    <w:p w14:paraId="1B0D98F6">
      <w:pPr>
        <w:snapToGrid w:val="0"/>
        <w:spacing w:line="360" w:lineRule="auto"/>
        <w:ind w:left="120" w:leftChars="57" w:firstLine="482" w:firstLineChars="150"/>
        <w:jc w:val="center"/>
        <w:rPr>
          <w:rFonts w:hint="eastAsia" w:ascii="宋体" w:hAnsi="宋体" w:cs="宋体"/>
          <w:b/>
          <w:color w:val="auto"/>
          <w:sz w:val="32"/>
          <w:highlight w:val="none"/>
        </w:rPr>
      </w:pPr>
    </w:p>
    <w:p w14:paraId="034FEB6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0E9F237">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合同主要条款详见合同文本。</w:t>
      </w:r>
    </w:p>
    <w:p w14:paraId="7CBD33F2">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4E86B55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采购人与中标人应当通过电子交易平台在中标通知书发出之日起三十日内，按照招标文件确定的事项签订采购合同，并在合同签订之日起2个工作日内依法发布合同公告。</w:t>
      </w:r>
    </w:p>
    <w:p w14:paraId="21F7459E">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AC781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976168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54400ED9">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25.5采购合同由采购人与中标供应商根据招标文件、投标文件等内容自行签订。</w:t>
      </w:r>
    </w:p>
    <w:p w14:paraId="7D67228A">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266EA10A">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。履约保证金的数额不得超过采购合同金额的1%。鼓励和支持供应商以银行、保险公司出具的保函形式提供履约保证金。</w:t>
      </w:r>
      <w:r>
        <w:rPr>
          <w:rFonts w:hint="eastAsia" w:ascii="宋体" w:hAnsi="宋体" w:cs="宋体"/>
          <w:b/>
          <w:color w:val="auto"/>
          <w:sz w:val="24"/>
          <w:highlight w:val="none"/>
        </w:rPr>
        <w:t>采购人不得拒收履约保函，项目验收结束后应及时退还。</w:t>
      </w:r>
    </w:p>
    <w:p w14:paraId="312537D8">
      <w:pPr>
        <w:snapToGrid w:val="0"/>
        <w:spacing w:line="360" w:lineRule="auto"/>
        <w:ind w:firstLine="3357" w:firstLineChars="1045"/>
        <w:rPr>
          <w:rFonts w:ascii="宋体" w:hAnsi="宋体" w:cs="宋体"/>
          <w:b/>
          <w:color w:val="auto"/>
          <w:sz w:val="32"/>
          <w:highlight w:val="none"/>
        </w:rPr>
      </w:pPr>
    </w:p>
    <w:p w14:paraId="5D4067EA">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FBDF322">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6FB8487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0D1517E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0737981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408B5A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04D84EB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34C6ED6">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B056A87">
      <w:pPr>
        <w:tabs>
          <w:tab w:val="left" w:pos="0"/>
        </w:tabs>
        <w:spacing w:line="360" w:lineRule="auto"/>
        <w:ind w:firstLine="480"/>
        <w:rPr>
          <w:rFonts w:ascii="宋体" w:hAnsi="宋体" w:cs="宋体"/>
          <w:color w:val="auto"/>
          <w:sz w:val="24"/>
          <w:highlight w:val="none"/>
        </w:rPr>
      </w:pPr>
    </w:p>
    <w:p w14:paraId="1EFD0C4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679657D">
      <w:pPr>
        <w:pStyle w:val="27"/>
        <w:spacing w:line="360" w:lineRule="auto"/>
        <w:ind w:firstLine="0" w:firstLineChars="0"/>
        <w:rPr>
          <w:rFonts w:cs="宋体"/>
          <w:b/>
          <w:color w:val="auto"/>
          <w:highlight w:val="none"/>
        </w:rPr>
      </w:pPr>
      <w:r>
        <w:rPr>
          <w:rFonts w:hint="eastAsia" w:cs="宋体"/>
          <w:b/>
          <w:color w:val="auto"/>
          <w:highlight w:val="none"/>
        </w:rPr>
        <w:t>29.验收</w:t>
      </w:r>
    </w:p>
    <w:p w14:paraId="54CBB05F">
      <w:pPr>
        <w:tabs>
          <w:tab w:val="left" w:pos="0"/>
        </w:tabs>
        <w:spacing w:line="360" w:lineRule="auto"/>
        <w:ind w:firstLine="480"/>
        <w:rPr>
          <w:rFonts w:ascii="宋体" w:hAnsi="宋体" w:cs="宋体"/>
          <w:b/>
          <w:color w:val="auto"/>
          <w:sz w:val="36"/>
          <w:szCs w:val="36"/>
          <w:highlight w:val="none"/>
        </w:rPr>
      </w:pPr>
      <w:r>
        <w:rPr>
          <w:rFonts w:hint="eastAsia" w:ascii="宋体" w:hAnsi="宋体" w:cs="宋体"/>
          <w:color w:val="auto"/>
          <w:kern w:val="0"/>
          <w:sz w:val="24"/>
          <w:highlight w:val="none"/>
        </w:rPr>
        <w:t>29.1采购人应当组织对供应商履约的验收。</w:t>
      </w:r>
      <w:bookmarkEnd w:id="13"/>
      <w:bookmarkEnd w:id="14"/>
      <w:bookmarkEnd w:id="17"/>
      <w:bookmarkStart w:id="18" w:name="第四部分"/>
    </w:p>
    <w:p w14:paraId="46ADD6A2">
      <w:pPr>
        <w:spacing w:line="360" w:lineRule="auto"/>
        <w:jc w:val="center"/>
        <w:outlineLvl w:val="0"/>
        <w:rPr>
          <w:rFonts w:ascii="宋体" w:hAnsi="宋体" w:cs="宋体"/>
          <w:b/>
          <w:color w:val="auto"/>
          <w:sz w:val="36"/>
          <w:szCs w:val="36"/>
          <w:highlight w:val="none"/>
        </w:rPr>
      </w:pPr>
    </w:p>
    <w:p w14:paraId="5013EB90">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0F4D842B">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69D2C264">
      <w:pPr>
        <w:autoSpaceDE w:val="0"/>
        <w:autoSpaceDN w:val="0"/>
        <w:spacing w:after="120" w:afterLines="50" w:line="440" w:lineRule="exact"/>
        <w:jc w:val="center"/>
        <w:rPr>
          <w:rFonts w:ascii="宋体" w:hAnsi="宋体"/>
          <w:b/>
          <w:color w:val="auto"/>
          <w:sz w:val="28"/>
          <w:szCs w:val="28"/>
          <w:highlight w:val="none"/>
        </w:rPr>
      </w:pPr>
      <w:r>
        <w:rPr>
          <w:rFonts w:hint="eastAsia" w:ascii="宋体" w:hAnsi="宋体"/>
          <w:b/>
          <w:color w:val="auto"/>
          <w:sz w:val="28"/>
          <w:szCs w:val="28"/>
          <w:highlight w:val="none"/>
        </w:rPr>
        <w:t>一、招标一览表</w:t>
      </w:r>
    </w:p>
    <w:tbl>
      <w:tblPr>
        <w:tblStyle w:val="63"/>
        <w:tblW w:w="8517" w:type="dxa"/>
        <w:jc w:val="center"/>
        <w:tblLayout w:type="fixed"/>
        <w:tblCellMar>
          <w:top w:w="0" w:type="dxa"/>
          <w:left w:w="0" w:type="dxa"/>
          <w:bottom w:w="0" w:type="dxa"/>
          <w:right w:w="0" w:type="dxa"/>
        </w:tblCellMar>
      </w:tblPr>
      <w:tblGrid>
        <w:gridCol w:w="754"/>
        <w:gridCol w:w="3115"/>
        <w:gridCol w:w="1955"/>
        <w:gridCol w:w="882"/>
        <w:gridCol w:w="837"/>
        <w:gridCol w:w="974"/>
      </w:tblGrid>
      <w:tr w14:paraId="4539E6BB">
        <w:tblPrEx>
          <w:tblCellMar>
            <w:top w:w="0" w:type="dxa"/>
            <w:left w:w="0" w:type="dxa"/>
            <w:bottom w:w="0" w:type="dxa"/>
            <w:right w:w="0" w:type="dxa"/>
          </w:tblCellMar>
        </w:tblPrEx>
        <w:trPr>
          <w:cantSplit/>
          <w:trHeight w:val="772" w:hRule="atLeast"/>
          <w:jc w:val="center"/>
        </w:trPr>
        <w:tc>
          <w:tcPr>
            <w:tcW w:w="75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1481C9">
            <w:pPr>
              <w:jc w:val="center"/>
              <w:rPr>
                <w:rFonts w:ascii="宋体" w:hAnsi="宋体" w:cs="宋体"/>
                <w:color w:val="auto"/>
                <w:sz w:val="24"/>
                <w:highlight w:val="none"/>
              </w:rPr>
            </w:pPr>
            <w:r>
              <w:rPr>
                <w:rFonts w:hint="eastAsia" w:ascii="宋体" w:hAnsi="宋体" w:cs="宋体"/>
                <w:color w:val="auto"/>
                <w:sz w:val="24"/>
                <w:highlight w:val="none"/>
              </w:rPr>
              <w:t>标项</w:t>
            </w:r>
          </w:p>
        </w:tc>
        <w:tc>
          <w:tcPr>
            <w:tcW w:w="311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6C508FD">
            <w:pPr>
              <w:jc w:val="center"/>
              <w:rPr>
                <w:rFonts w:ascii="宋体" w:hAnsi="宋体" w:cs="宋体"/>
                <w:color w:val="auto"/>
                <w:sz w:val="24"/>
                <w:highlight w:val="none"/>
              </w:rPr>
            </w:pPr>
            <w:r>
              <w:rPr>
                <w:rFonts w:hint="eastAsia" w:ascii="宋体" w:hAnsi="宋体" w:cs="宋体"/>
                <w:color w:val="auto"/>
                <w:sz w:val="24"/>
                <w:highlight w:val="none"/>
              </w:rPr>
              <w:t>名 称</w:t>
            </w:r>
          </w:p>
        </w:tc>
        <w:tc>
          <w:tcPr>
            <w:tcW w:w="195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B3685B">
            <w:pPr>
              <w:jc w:val="center"/>
              <w:rPr>
                <w:rFonts w:ascii="宋体" w:hAnsi="宋体" w:cs="宋体"/>
                <w:color w:val="auto"/>
                <w:sz w:val="24"/>
                <w:highlight w:val="none"/>
              </w:rPr>
            </w:pPr>
            <w:r>
              <w:rPr>
                <w:rFonts w:hint="eastAsia" w:ascii="宋体" w:hAnsi="宋体" w:cs="宋体"/>
                <w:color w:val="auto"/>
                <w:sz w:val="24"/>
                <w:highlight w:val="none"/>
              </w:rPr>
              <w:t>规格型号与参数</w:t>
            </w:r>
          </w:p>
        </w:tc>
        <w:tc>
          <w:tcPr>
            <w:tcW w:w="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2831B2">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8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231E117">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974" w:type="dxa"/>
            <w:tcBorders>
              <w:top w:val="single" w:color="auto" w:sz="4" w:space="0"/>
              <w:left w:val="nil"/>
              <w:bottom w:val="single" w:color="auto" w:sz="4" w:space="0"/>
              <w:right w:val="single" w:color="auto" w:sz="4" w:space="0"/>
            </w:tcBorders>
            <w:vAlign w:val="center"/>
          </w:tcPr>
          <w:p w14:paraId="1810E956">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31628197">
        <w:tblPrEx>
          <w:tblCellMar>
            <w:top w:w="0" w:type="dxa"/>
            <w:left w:w="0" w:type="dxa"/>
            <w:bottom w:w="0" w:type="dxa"/>
            <w:right w:w="0" w:type="dxa"/>
          </w:tblCellMar>
        </w:tblPrEx>
        <w:trPr>
          <w:cantSplit/>
          <w:trHeight w:val="1241" w:hRule="atLeast"/>
          <w:jc w:val="center"/>
        </w:trPr>
        <w:tc>
          <w:tcPr>
            <w:tcW w:w="75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9E159F">
            <w:pPr>
              <w:jc w:val="center"/>
              <w:rPr>
                <w:rFonts w:ascii="宋体" w:hAnsi="宋体" w:cs="宋体"/>
                <w:color w:val="auto"/>
                <w:sz w:val="24"/>
                <w:highlight w:val="none"/>
              </w:rPr>
            </w:pPr>
            <w:r>
              <w:rPr>
                <w:rFonts w:hint="eastAsia" w:ascii="宋体" w:hAnsi="宋体" w:cs="宋体"/>
                <w:color w:val="auto"/>
                <w:sz w:val="24"/>
                <w:highlight w:val="none"/>
              </w:rPr>
              <w:t>1</w:t>
            </w:r>
          </w:p>
        </w:tc>
        <w:tc>
          <w:tcPr>
            <w:tcW w:w="311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6EBCA97">
            <w:pPr>
              <w:jc w:val="center"/>
              <w:rPr>
                <w:rFonts w:ascii="宋体" w:hAnsi="宋体" w:cs="宋体"/>
                <w:color w:val="auto"/>
                <w:sz w:val="24"/>
                <w:highlight w:val="none"/>
              </w:rPr>
            </w:pPr>
            <w:r>
              <w:rPr>
                <w:rFonts w:hint="eastAsia" w:ascii="宋体" w:hAnsi="宋体" w:cs="宋体"/>
                <w:color w:val="auto"/>
                <w:sz w:val="24"/>
                <w:highlight w:val="none"/>
                <w:u w:val="none"/>
              </w:rPr>
              <w:t>沪昆铁路杭州南至萧山段抬升改建工程临时交通改造项目</w:t>
            </w:r>
            <w:r>
              <w:rPr>
                <w:rFonts w:hint="eastAsia" w:ascii="宋体" w:hAnsi="宋体" w:cs="宋体"/>
                <w:color w:val="auto"/>
                <w:sz w:val="24"/>
                <w:highlight w:val="none"/>
                <w:u w:val="none"/>
                <w:lang w:val="en-US" w:eastAsia="zh-CN"/>
              </w:rPr>
              <w:t>安保</w:t>
            </w:r>
            <w:r>
              <w:rPr>
                <w:rFonts w:hint="eastAsia" w:ascii="宋体" w:hAnsi="宋体" w:cs="宋体"/>
                <w:color w:val="auto"/>
                <w:sz w:val="24"/>
                <w:highlight w:val="none"/>
                <w:u w:val="none"/>
              </w:rPr>
              <w:t>服务采购</w:t>
            </w:r>
          </w:p>
        </w:tc>
        <w:tc>
          <w:tcPr>
            <w:tcW w:w="195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2B2CB0E">
            <w:pPr>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8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87809E">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年</w:t>
            </w:r>
          </w:p>
        </w:tc>
        <w:tc>
          <w:tcPr>
            <w:tcW w:w="83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3E17D9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974" w:type="dxa"/>
            <w:tcBorders>
              <w:top w:val="single" w:color="auto" w:sz="4" w:space="0"/>
              <w:left w:val="nil"/>
              <w:bottom w:val="single" w:color="auto" w:sz="4" w:space="0"/>
              <w:right w:val="single" w:color="auto" w:sz="4" w:space="0"/>
            </w:tcBorders>
            <w:vAlign w:val="center"/>
          </w:tcPr>
          <w:p w14:paraId="5A625521">
            <w:pPr>
              <w:jc w:val="center"/>
              <w:rPr>
                <w:rFonts w:ascii="宋体" w:hAnsi="宋体" w:cs="宋体"/>
                <w:color w:val="auto"/>
                <w:sz w:val="24"/>
                <w:highlight w:val="none"/>
              </w:rPr>
            </w:pPr>
          </w:p>
        </w:tc>
      </w:tr>
    </w:tbl>
    <w:p w14:paraId="5301F137">
      <w:pPr>
        <w:spacing w:line="360" w:lineRule="auto"/>
        <w:rPr>
          <w:b/>
          <w:color w:val="auto"/>
          <w:sz w:val="24"/>
          <w:highlight w:val="none"/>
          <w:shd w:val="pct10" w:color="auto" w:fill="FFFFFF"/>
        </w:rPr>
      </w:pPr>
    </w:p>
    <w:p w14:paraId="4C1A6103">
      <w:pPr>
        <w:autoSpaceDE w:val="0"/>
        <w:autoSpaceDN w:val="0"/>
        <w:spacing w:after="120" w:afterLines="50" w:line="360" w:lineRule="auto"/>
        <w:jc w:val="center"/>
        <w:rPr>
          <w:rFonts w:hint="eastAsia" w:ascii="宋体" w:hAnsi="宋体"/>
          <w:b/>
          <w:color w:val="auto"/>
          <w:sz w:val="28"/>
          <w:szCs w:val="28"/>
          <w:highlight w:val="none"/>
        </w:rPr>
      </w:pPr>
      <w:bookmarkStart w:id="19" w:name="_Toc355460780"/>
      <w:bookmarkEnd w:id="19"/>
      <w:bookmarkStart w:id="20" w:name="_Toc483036495"/>
      <w:bookmarkEnd w:id="20"/>
      <w:bookmarkStart w:id="21" w:name="_Toc310624257"/>
      <w:bookmarkEnd w:id="21"/>
      <w:bookmarkStart w:id="22" w:name="_Toc359011859"/>
      <w:bookmarkEnd w:id="22"/>
      <w:bookmarkStart w:id="23" w:name="_Toc13021"/>
      <w:bookmarkEnd w:id="23"/>
      <w:bookmarkStart w:id="24" w:name="_Toc359011861"/>
      <w:bookmarkEnd w:id="24"/>
      <w:bookmarkStart w:id="25" w:name="_Toc40893862"/>
      <w:bookmarkEnd w:id="25"/>
      <w:bookmarkStart w:id="26" w:name="_Toc354344586"/>
      <w:bookmarkEnd w:id="26"/>
      <w:bookmarkStart w:id="27" w:name="_Toc448429858"/>
      <w:bookmarkEnd w:id="27"/>
      <w:bookmarkStart w:id="28" w:name="_Toc310782778"/>
      <w:bookmarkEnd w:id="28"/>
      <w:bookmarkStart w:id="29" w:name="_Toc309222184"/>
      <w:bookmarkEnd w:id="29"/>
      <w:bookmarkStart w:id="30" w:name="_Toc310443605"/>
      <w:bookmarkEnd w:id="30"/>
      <w:bookmarkStart w:id="31" w:name="_Toc456339246"/>
      <w:bookmarkEnd w:id="31"/>
      <w:bookmarkStart w:id="32" w:name="_Toc310522583"/>
      <w:bookmarkEnd w:id="32"/>
      <w:bookmarkStart w:id="33" w:name="_Toc471471971"/>
      <w:bookmarkEnd w:id="33"/>
      <w:bookmarkStart w:id="34" w:name="_Toc310424142"/>
      <w:bookmarkEnd w:id="34"/>
      <w:bookmarkStart w:id="35" w:name="_Toc448429856"/>
      <w:bookmarkEnd w:id="35"/>
      <w:bookmarkStart w:id="36" w:name="_Toc456339248"/>
      <w:bookmarkEnd w:id="36"/>
      <w:bookmarkStart w:id="37" w:name="_Toc40893860"/>
      <w:bookmarkEnd w:id="37"/>
      <w:r>
        <w:rPr>
          <w:rFonts w:hint="eastAsia" w:ascii="宋体" w:hAnsi="宋体"/>
          <w:b/>
          <w:color w:val="auto"/>
          <w:sz w:val="28"/>
          <w:szCs w:val="28"/>
          <w:highlight w:val="none"/>
        </w:rPr>
        <w:t>二、招标需求</w:t>
      </w:r>
    </w:p>
    <w:p w14:paraId="6863EE31">
      <w:pPr>
        <w:autoSpaceDE w:val="0"/>
        <w:autoSpaceDN w:val="0"/>
        <w:spacing w:after="120" w:afterLines="50" w:line="240" w:lineRule="auto"/>
        <w:jc w:val="left"/>
        <w:rPr>
          <w:rFonts w:ascii="宋体" w:hAnsi="宋体"/>
          <w:b/>
          <w:color w:val="auto"/>
          <w:sz w:val="24"/>
          <w:highlight w:val="none"/>
        </w:rPr>
      </w:pPr>
      <w:bookmarkStart w:id="38" w:name="_Toc130473992"/>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一）</w:t>
      </w:r>
      <w:r>
        <w:rPr>
          <w:rFonts w:hint="eastAsia" w:ascii="宋体" w:hAnsi="宋体"/>
          <w:b/>
          <w:color w:val="auto"/>
          <w:sz w:val="28"/>
          <w:szCs w:val="28"/>
          <w:highlight w:val="none"/>
        </w:rPr>
        <w:t>技术需求</w:t>
      </w:r>
      <w:bookmarkEnd w:id="38"/>
    </w:p>
    <w:p w14:paraId="6144C7F1">
      <w:pPr>
        <w:pStyle w:val="25"/>
        <w:keepNext w:val="0"/>
        <w:keepLines w:val="0"/>
        <w:pageBreakBefore w:val="0"/>
        <w:widowControl w:val="0"/>
        <w:kinsoku/>
        <w:wordWrap/>
        <w:overflowPunct/>
        <w:topLinePunct w:val="0"/>
        <w:bidi w:val="0"/>
        <w:adjustRightInd w:val="0"/>
        <w:snapToGrid/>
        <w:spacing w:line="400" w:lineRule="exact"/>
        <w:ind w:left="0" w:leftChars="0" w:firstLine="422" w:firstLineChars="17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服务内容和相关</w:t>
      </w:r>
      <w:r>
        <w:rPr>
          <w:rFonts w:hint="eastAsia" w:ascii="宋体" w:hAnsi="宋体" w:eastAsia="宋体" w:cs="宋体"/>
          <w:b/>
          <w:bCs/>
          <w:color w:val="auto"/>
          <w:sz w:val="24"/>
          <w:szCs w:val="24"/>
          <w:highlight w:val="none"/>
          <w:lang w:val="en-US"/>
        </w:rPr>
        <w:t>技术要求</w:t>
      </w:r>
    </w:p>
    <w:p w14:paraId="7D5496D3">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1.主要内容</w:t>
      </w:r>
    </w:p>
    <w:p w14:paraId="2AE1B8F3">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根据杭州市萧山区人民政府需求，为沪昆铁路杭州南至萧山段抬升改建工程临时交通改造项目安保服务提供日常道路交通秩序维稳等安保服务工作。</w:t>
      </w:r>
    </w:p>
    <w:p w14:paraId="7B1706D3">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2.服务要求</w:t>
      </w:r>
    </w:p>
    <w:p w14:paraId="101467CD">
      <w:pPr>
        <w:keepNext w:val="0"/>
        <w:keepLines w:val="0"/>
        <w:pageBreakBefore w:val="0"/>
        <w:widowControl w:val="0"/>
        <w:kinsoku/>
        <w:wordWrap/>
        <w:overflowPunct/>
        <w:topLinePunct w:val="0"/>
        <w:bidi w:val="0"/>
        <w:adjustRightInd w:val="0"/>
        <w:snapToGrid/>
        <w:spacing w:line="24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drawing>
          <wp:inline distT="0" distB="0" distL="114300" distR="114300">
            <wp:extent cx="5248910" cy="2952115"/>
            <wp:effectExtent l="0" t="0" r="8890" b="635"/>
            <wp:docPr id="10" name="图片 10" descr="保安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保安方案"/>
                    <pic:cNvPicPr>
                      <a:picLocks noChangeAspect="1"/>
                    </pic:cNvPicPr>
                  </pic:nvPicPr>
                  <pic:blipFill>
                    <a:blip r:embed="rId18"/>
                    <a:stretch>
                      <a:fillRect/>
                    </a:stretch>
                  </pic:blipFill>
                  <pic:spPr>
                    <a:xfrm>
                      <a:off x="0" y="0"/>
                      <a:ext cx="5248910" cy="2952115"/>
                    </a:xfrm>
                    <a:prstGeom prst="rect">
                      <a:avLst/>
                    </a:prstGeom>
                  </pic:spPr>
                </pic:pic>
              </a:graphicData>
            </a:graphic>
          </wp:inline>
        </w:drawing>
      </w:r>
    </w:p>
    <w:p w14:paraId="1E9EE8F8">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人员要求：</w:t>
      </w:r>
    </w:p>
    <w:p w14:paraId="0BC0480E">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向供应商采购从事日常道路交通秩序管理安保服务工作的服务人员。</w:t>
      </w:r>
      <w:r>
        <w:rPr>
          <w:rFonts w:hint="eastAsia" w:ascii="宋体" w:hAnsi="宋体" w:eastAsia="宋体" w:cs="宋体"/>
          <w:color w:val="auto"/>
          <w:sz w:val="24"/>
          <w:szCs w:val="24"/>
          <w:highlight w:val="none"/>
        </w:rPr>
        <w:t>具体</w:t>
      </w:r>
      <w:r>
        <w:rPr>
          <w:rFonts w:hint="eastAsia" w:ascii="宋体" w:hAnsi="宋体" w:eastAsia="宋体" w:cs="宋体"/>
          <w:color w:val="auto"/>
          <w:sz w:val="24"/>
          <w:szCs w:val="24"/>
          <w:highlight w:val="none"/>
        </w:rPr>
        <w:t>如下所述。</w:t>
      </w:r>
    </w:p>
    <w:p w14:paraId="5D478F36">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2.1设置位置: 03省道及分流路径沿线易堵节点或交通敏感节点，涉及14处节点，其中一般岗8处(24人)、高峰岗6处(14人)，巡查岗2组(4人)，计42人/班</w:t>
      </w:r>
      <w:r>
        <w:rPr>
          <w:rFonts w:hint="eastAsia" w:ascii="宋体" w:hAnsi="宋体" w:eastAsia="宋体" w:cs="宋体"/>
          <w:color w:val="auto"/>
          <w:sz w:val="24"/>
          <w:szCs w:val="24"/>
          <w:highlight w:val="none"/>
        </w:rPr>
        <w:t>次</w:t>
      </w:r>
      <w:r>
        <w:rPr>
          <w:rFonts w:hint="eastAsia" w:ascii="宋体" w:hAnsi="宋体" w:cs="宋体"/>
          <w:color w:val="auto"/>
          <w:sz w:val="24"/>
          <w:highlight w:val="none"/>
          <w:lang w:eastAsia="zh-CN"/>
        </w:rPr>
        <w:t>，</w:t>
      </w:r>
      <w:r>
        <w:rPr>
          <w:rFonts w:hint="eastAsia" w:ascii="宋体" w:hAnsi="宋体" w:cs="宋体"/>
          <w:color w:val="auto"/>
          <w:sz w:val="24"/>
          <w:highlight w:val="none"/>
        </w:rPr>
        <w:t>合计总人数为</w:t>
      </w:r>
      <w:r>
        <w:rPr>
          <w:rFonts w:hint="eastAsia" w:ascii="宋体" w:hAnsi="宋体" w:cs="宋体"/>
          <w:color w:val="auto"/>
          <w:sz w:val="24"/>
          <w:highlight w:val="none"/>
          <w:lang w:val="en-US" w:eastAsia="zh-CN"/>
        </w:rPr>
        <w:t>94</w:t>
      </w:r>
      <w:r>
        <w:rPr>
          <w:rFonts w:hint="eastAsia" w:ascii="宋体" w:hAnsi="宋体" w:cs="宋体"/>
          <w:color w:val="auto"/>
          <w:sz w:val="24"/>
          <w:highlight w:val="none"/>
        </w:rPr>
        <w:t>人。</w:t>
      </w:r>
    </w:p>
    <w:p w14:paraId="6DA0B56E">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2.2供应商负责提供符合采购人相应岗位要求的保安人员，处理保安人员的劳动关系，按要求指定保安人员薪酬标准并支付劳动报酬，承担保安人员的权利保障和善后处理工作等。</w:t>
      </w:r>
    </w:p>
    <w:p w14:paraId="6381E831">
      <w:pPr>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2.3提供的保安人员需身体素质过硬、工作纪律性强、原</w:t>
      </w:r>
      <w:r>
        <w:rPr>
          <w:rFonts w:hint="eastAsia" w:ascii="宋体" w:hAnsi="宋体" w:cs="宋体"/>
          <w:color w:val="auto"/>
          <w:sz w:val="24"/>
          <w:highlight w:val="none"/>
        </w:rPr>
        <w:t>则上年龄55周岁以下</w:t>
      </w:r>
      <w:r>
        <w:rPr>
          <w:rFonts w:hint="eastAsia" w:ascii="宋体" w:hAnsi="宋体" w:cs="宋体"/>
          <w:color w:val="auto"/>
          <w:sz w:val="24"/>
          <w:highlight w:val="none"/>
        </w:rPr>
        <w:t>，身高165厘米以上，身心健康，无残疾、无传染性疾病，具有良好的沟通能力。具有良好的政治素质、道德品行和履行职责的能力，须遵守采购人纪律。提供的保安需经采购人同意，</w:t>
      </w:r>
      <w:r>
        <w:rPr>
          <w:rFonts w:hint="eastAsia" w:ascii="宋体" w:hAnsi="宋体" w:cs="宋体"/>
          <w:color w:val="auto"/>
          <w:sz w:val="24"/>
          <w:highlight w:val="none"/>
        </w:rPr>
        <w:t>向采购人提供身份资料等。上述条件经采购人同意可适当放宽。</w:t>
      </w:r>
    </w:p>
    <w:p w14:paraId="7137EFD2">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2.4保安人员服务中，工作时间班次安排由采购人根据工作需要进行确定。</w:t>
      </w:r>
    </w:p>
    <w:p w14:paraId="62FC3F8D">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2.5所有法定节假日、重大事件及自然灾害等因素均不能作为中断服务的理由。</w:t>
      </w:r>
    </w:p>
    <w:p w14:paraId="3ADC24C3">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w:t>
      </w:r>
    </w:p>
    <w:p w14:paraId="090F4F7B">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2.6高峰岗工作时间为7:00-9:00、 16:00-19:00；</w:t>
      </w:r>
    </w:p>
    <w:p w14:paraId="61C52D24">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2.7一般岗工作时间为全天24小时。</w:t>
      </w:r>
    </w:p>
    <w:p w14:paraId="20588BC3">
      <w:pPr>
        <w:spacing w:line="40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2.8巡查岗工作时间为6:00-22:00。</w:t>
      </w:r>
    </w:p>
    <w:p w14:paraId="107EAE34">
      <w:pPr>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➢工作内容:</w:t>
      </w:r>
    </w:p>
    <w:p w14:paraId="513CC2EA">
      <w:pPr>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2.9协助交警疏导机动车通行；引导指挥行人、非机动车通行；工程车辆交通安全通行管理；应急事件现场指挥等。</w:t>
      </w:r>
    </w:p>
    <w:p w14:paraId="7A08B3FD">
      <w:pPr>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➢配套措施:</w:t>
      </w:r>
    </w:p>
    <w:p w14:paraId="41A0CF8A">
      <w:pPr>
        <w:spacing w:line="40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2.10由专业安保队伍实施，按需求配备管理车辆(运输车、电瓶车)等配套保障措施。</w:t>
      </w:r>
    </w:p>
    <w:p w14:paraId="59A69468">
      <w:pPr>
        <w:keepNext w:val="0"/>
        <w:keepLines w:val="0"/>
        <w:pageBreakBefore w:val="0"/>
        <w:widowControl w:val="0"/>
        <w:kinsoku/>
        <w:wordWrap/>
        <w:overflowPunct/>
        <w:topLinePunct w:val="0"/>
        <w:bidi w:val="0"/>
        <w:adjustRightInd w:val="0"/>
        <w:snapToGrid/>
        <w:spacing w:line="40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保安公司装备配置</w:t>
      </w:r>
    </w:p>
    <w:p w14:paraId="6628A5EE">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1、保安人员装备配置</w:t>
      </w:r>
    </w:p>
    <w:p w14:paraId="5FEED0BE">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本次交通秩序整治保安人员服装、器械（肩灯、</w:t>
      </w:r>
      <w:r>
        <w:rPr>
          <w:rFonts w:hint="eastAsia" w:ascii="宋体" w:hAnsi="宋体" w:cs="宋体"/>
          <w:color w:val="auto"/>
          <w:sz w:val="24"/>
          <w:highlight w:val="none"/>
        </w:rPr>
        <w:t>指挥棒、</w:t>
      </w:r>
      <w:r>
        <w:rPr>
          <w:rFonts w:hint="eastAsia" w:ascii="宋体" w:hAnsi="宋体" w:eastAsia="宋体" w:cs="宋体"/>
          <w:color w:val="auto"/>
          <w:sz w:val="24"/>
          <w:szCs w:val="24"/>
          <w:highlight w:val="none"/>
        </w:rPr>
        <w:t>反光背心等</w:t>
      </w:r>
      <w:r>
        <w:rPr>
          <w:rFonts w:hint="eastAsia" w:ascii="宋体" w:hAnsi="宋体" w:eastAsia="宋体" w:cs="宋体"/>
          <w:color w:val="auto"/>
          <w:sz w:val="24"/>
          <w:szCs w:val="24"/>
          <w:highlight w:val="none"/>
        </w:rPr>
        <w:t>）、车辆等一切装备均由保安公司自行负责配置齐全。</w:t>
      </w:r>
    </w:p>
    <w:p w14:paraId="4CE96ED2">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车辆配套措施：</w:t>
      </w:r>
    </w:p>
    <w:p w14:paraId="21AE6654">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运输车1辆（含驾驶员），车型为：轻型多用途货车（皮卡车）。需加装警灯，用于日常巡查岗协助交警疏导机动车通行；应急事件现场指挥等。工作时间：24小时。</w:t>
      </w:r>
      <w:r>
        <w:rPr>
          <w:rFonts w:hint="eastAsia" w:ascii="宋体" w:hAnsi="宋体" w:cs="宋体"/>
          <w:color w:val="auto"/>
          <w:sz w:val="24"/>
          <w:highlight w:val="none"/>
        </w:rPr>
        <w:t>（如为租赁需提供车辆明细或租赁合同）</w:t>
      </w:r>
    </w:p>
    <w:p w14:paraId="0ABD0214">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2.2电动汽车2辆（含驾驶员），车型为：小型轿车（车身长度4500MM以上）。用于协助交警引导指挥行人、非机动车通行；工程车辆交通安全通行管理等。工作时间：24小时。</w:t>
      </w:r>
      <w:r>
        <w:rPr>
          <w:rFonts w:hint="eastAsia" w:ascii="宋体" w:hAnsi="宋体" w:cs="宋体"/>
          <w:color w:val="auto"/>
          <w:sz w:val="24"/>
          <w:highlight w:val="none"/>
        </w:rPr>
        <w:t>（如为租赁需提供车辆明细或租赁合同）</w:t>
      </w:r>
    </w:p>
    <w:p w14:paraId="44CCD165">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2.3清障车1辆（含驾驶员、操作员），车型为：中型一拖二平板清障车。用于协助交警处理交通事故及应急事件的车辆清理工作。工作时间：在指定位置24小时待命。</w:t>
      </w:r>
      <w:r>
        <w:rPr>
          <w:rFonts w:hint="eastAsia" w:ascii="宋体" w:hAnsi="宋体" w:cs="宋体"/>
          <w:color w:val="auto"/>
          <w:sz w:val="24"/>
          <w:highlight w:val="none"/>
        </w:rPr>
        <w:t>（如为租赁需提供车辆明细或租赁合同）</w:t>
      </w:r>
    </w:p>
    <w:p w14:paraId="4B81908F">
      <w:pPr>
        <w:keepNext w:val="0"/>
        <w:keepLines w:val="0"/>
        <w:pageBreakBefore w:val="0"/>
        <w:widowControl w:val="0"/>
        <w:kinsoku/>
        <w:wordWrap/>
        <w:overflowPunct/>
        <w:topLinePunct w:val="0"/>
        <w:bidi w:val="0"/>
        <w:adjustRightInd w:val="0"/>
        <w:snapToGrid/>
        <w:spacing w:line="40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交通秩序整治安保人员工作职责内容</w:t>
      </w:r>
    </w:p>
    <w:p w14:paraId="3BCC3463">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1、供应商向采购人提供的保安须在服从供应商工作规定的基础上，遵守道路交通安全法律法规的各项规定。配合路口的交警，加强路口、路段的交通秩</w:t>
      </w:r>
      <w:r>
        <w:rPr>
          <w:rFonts w:hint="eastAsia" w:ascii="宋体" w:hAnsi="宋体" w:eastAsia="宋体" w:cs="宋体"/>
          <w:color w:val="auto"/>
          <w:sz w:val="24"/>
          <w:szCs w:val="24"/>
          <w:highlight w:val="none"/>
        </w:rPr>
        <w:t>序管理，加强对路口非机动车、行人闯红灯、逆向行驶、骑车带人、不带头盔等违法行为的劝导，加强对不礼让斑马线的管理，提高管事率。</w:t>
      </w:r>
    </w:p>
    <w:p w14:paraId="1DBCE68B">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2、负责采购人道路交通秩序管理工作，做到工作热情、服务周到、文明执勤。</w:t>
      </w:r>
    </w:p>
    <w:p w14:paraId="3DA465AD">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3、保安员受采购人分管领导、部门的指挥、调度。</w:t>
      </w:r>
    </w:p>
    <w:p w14:paraId="7C85F3C8">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4、保安员在执勤时，要做到按时按频执勤，无特殊情况不脱岗；确保服务区域内人员到岗、服务到位、秩序良好、安全保障。</w:t>
      </w:r>
    </w:p>
    <w:p w14:paraId="26DBBBF4">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5、保安员在上岗期间发生治安事件、刑事案件、突发性事件和意外灾害等要及时报警，并在能力范围内及时采取有力措施，迅速制止或妥善处理。保护</w:t>
      </w:r>
      <w:r>
        <w:rPr>
          <w:rFonts w:hint="eastAsia" w:ascii="宋体" w:hAnsi="宋体" w:eastAsia="宋体" w:cs="宋体"/>
          <w:color w:val="auto"/>
          <w:sz w:val="24"/>
          <w:szCs w:val="24"/>
          <w:highlight w:val="none"/>
        </w:rPr>
        <w:t>好现场，维护好秩序，协助有关部门处理。</w:t>
      </w:r>
    </w:p>
    <w:p w14:paraId="6AC45FEE">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6、供应商对向采购人提供的项目管理团队中须有</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人作为项目负责人，需拥有一级保安师证书，</w:t>
      </w:r>
      <w:r>
        <w:rPr>
          <w:rFonts w:hint="eastAsia" w:ascii="宋体" w:hAnsi="宋体" w:cs="宋体"/>
          <w:color w:val="auto"/>
          <w:sz w:val="24"/>
          <w:szCs w:val="24"/>
          <w:highlight w:val="none"/>
          <w:lang w:val="en-US" w:eastAsia="zh-CN"/>
        </w:rPr>
        <w:t>拥</w:t>
      </w:r>
      <w:r>
        <w:rPr>
          <w:rFonts w:hint="eastAsia" w:ascii="宋体" w:hAnsi="宋体" w:eastAsia="宋体" w:cs="宋体"/>
          <w:color w:val="auto"/>
          <w:sz w:val="24"/>
          <w:szCs w:val="24"/>
          <w:highlight w:val="none"/>
        </w:rPr>
        <w:t>有大专及以上学历及拥有红十字救护员证（需提供</w:t>
      </w:r>
      <w:r>
        <w:rPr>
          <w:rFonts w:hint="eastAsia" w:ascii="宋体" w:hAnsi="宋体" w:cs="宋体"/>
          <w:color w:val="auto"/>
          <w:sz w:val="24"/>
          <w:szCs w:val="24"/>
          <w:highlight w:val="none"/>
          <w:lang w:val="en-US" w:eastAsia="zh-CN"/>
        </w:rPr>
        <w:t>近三</w:t>
      </w:r>
      <w:r>
        <w:rPr>
          <w:rFonts w:hint="eastAsia" w:ascii="宋体" w:hAnsi="宋体" w:eastAsia="宋体" w:cs="宋体"/>
          <w:color w:val="auto"/>
          <w:sz w:val="24"/>
          <w:szCs w:val="24"/>
          <w:highlight w:val="none"/>
        </w:rPr>
        <w:t>个月的社保证明）。负责全体保安员的管理和约束，保安如出现多次违反采购人制度被查实，或因工作失职，造成严重后果或不良影响的，将扣除供应商</w:t>
      </w:r>
      <w:r>
        <w:rPr>
          <w:rFonts w:hint="eastAsia" w:ascii="宋体" w:hAnsi="宋体" w:eastAsia="宋体" w:cs="宋体"/>
          <w:color w:val="auto"/>
          <w:sz w:val="24"/>
          <w:szCs w:val="24"/>
          <w:highlight w:val="none"/>
        </w:rPr>
        <w:t>部分保安管理费。保安确不能胜任工作或不能达到采购人工作要求的，须及时调换到位。</w:t>
      </w:r>
    </w:p>
    <w:p w14:paraId="55EA63D3">
      <w:pPr>
        <w:pStyle w:val="2"/>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安缺员或须调换时，供应商向采购人新派的保安须向采购人提供该保安身份证明、工作经历等资料，经采购人认可后方可派驻。新进保安试用期一个月，期间如发现违反采购人制度、工作不能胜任等情况的，应立即调换到位。</w:t>
      </w:r>
    </w:p>
    <w:p w14:paraId="28679439">
      <w:pPr>
        <w:keepNext w:val="0"/>
        <w:keepLines w:val="0"/>
        <w:pageBreakBefore w:val="0"/>
        <w:widowControl w:val="0"/>
        <w:kinsoku/>
        <w:wordWrap/>
        <w:overflowPunct/>
        <w:topLinePunct w:val="0"/>
        <w:bidi w:val="0"/>
        <w:adjustRightInd w:val="0"/>
        <w:snapToGrid/>
        <w:spacing w:line="40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交通秩序整治保安上班时间以及考核</w:t>
      </w:r>
    </w:p>
    <w:p w14:paraId="40198DDE">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保安按照采购人要求时间上岗，注意工作形象。特殊情况必须服从采购人安排。实行每月考核制，考核不合格或不满足采购人相关要求的则每次罚款1000元。有迟到早退旷工情况或工作期间不听从管理方的安排，将计入每月考核。</w:t>
      </w:r>
    </w:p>
    <w:p w14:paraId="24225826">
      <w:pPr>
        <w:keepNext w:val="0"/>
        <w:keepLines w:val="0"/>
        <w:pageBreakBefore w:val="0"/>
        <w:widowControl w:val="0"/>
        <w:kinsoku/>
        <w:wordWrap/>
        <w:overflowPunct/>
        <w:topLinePunct w:val="0"/>
        <w:bidi w:val="0"/>
        <w:adjustRightInd w:val="0"/>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保安公司职责</w:t>
      </w:r>
    </w:p>
    <w:p w14:paraId="1C88A529">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1、管理职责</w:t>
      </w:r>
    </w:p>
    <w:p w14:paraId="4535834C">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1.1保安公司加强对保安的日常管理，保安在上岗执勤期间必须注意执勤形象，劝导违法人员要做到文明规范，理性、平和，严禁因言语不当</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管理不到位产生负面舆情。</w:t>
      </w:r>
    </w:p>
    <w:p w14:paraId="7FD121BE">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1.2对出工不出力的保安经管理方提醒后仍不改正的要作出处罚，情节严重的予以开除。</w:t>
      </w:r>
    </w:p>
    <w:p w14:paraId="584E3925">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1.3注意保安的执勤形象，不乱停放车辆，工作时间不吸烟、不乱扔垃圾，不乱放物品，不随意躺卧等其他不文明现象。上下班途中要遵守交通规则，驾驶电动车要戴好头盔。</w:t>
      </w:r>
    </w:p>
    <w:p w14:paraId="61A5FFD6">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2、培训要求</w:t>
      </w:r>
    </w:p>
    <w:p w14:paraId="54E87C70">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2.1所派保安人员应当经过培训合格，</w:t>
      </w:r>
      <w:r>
        <w:rPr>
          <w:rFonts w:hint="eastAsia" w:ascii="宋体" w:hAnsi="宋体" w:eastAsia="宋体" w:cs="宋体"/>
          <w:color w:val="auto"/>
          <w:sz w:val="24"/>
          <w:szCs w:val="24"/>
          <w:highlight w:val="none"/>
        </w:rPr>
        <w:t>持健康证明，</w:t>
      </w:r>
      <w:r>
        <w:rPr>
          <w:rFonts w:hint="eastAsia" w:ascii="宋体" w:hAnsi="宋体" w:eastAsia="宋体" w:cs="宋体"/>
          <w:color w:val="auto"/>
          <w:sz w:val="24"/>
          <w:szCs w:val="24"/>
          <w:highlight w:val="none"/>
        </w:rPr>
        <w:t>并向采购人提供保安人员的人事档案，供应商不得瞒报、谎报虚假人事信息，否则一经发现，采购人有权退回并要求供应商调换保安人员。</w:t>
      </w:r>
    </w:p>
    <w:p w14:paraId="144CA830">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供应商负责对保安人员进行业务培训，业务培训内容不仅限于日常工作业务培训，更要求队员有各类突发事件处置，队员遇事具有初步判断的能力。</w:t>
      </w:r>
    </w:p>
    <w:p w14:paraId="519EEF7E">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3、管理要求</w:t>
      </w:r>
    </w:p>
    <w:p w14:paraId="7B9F9E5F">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有权对保安人员的工作进行监督检查，对不适合岗位工作的或不服从采购人安排的保安人员，采购人有权退回并要求供应商予以调换处理。供应商应当在3日内予以调换，供应商不配合采购人调换保安人员或者未及时调换的，采购人有权扣除所缺人次当月的保安服务费，同时向其他公司紧急聘用保安人员以弥补岗位缺口，由此产生的费用由供应商承担。如采购人先行垫付的，采购人有权直接从当月应支付供应商的费用中直接扣除。</w:t>
      </w:r>
    </w:p>
    <w:p w14:paraId="381FBF8A">
      <w:pPr>
        <w:pStyle w:val="2"/>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合同履行期间保安自实行双重领导，供应商负责对保安员思想、业务、保密、安全等教育和培训，要定期进行培训和教育。采购人负责对保安员工作的检查。供应商提供保安员统一的着装及保安工作需要的必要装备，保安必须着装上岗。           </w:t>
      </w:r>
    </w:p>
    <w:p w14:paraId="75A9A414">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3.3采购人为供应商保安人员提供必要的保安办公条件，如工作场地、办公用品等，便于保安人员执行保安任务。</w:t>
      </w:r>
    </w:p>
    <w:p w14:paraId="08F7C2FC">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3.4采购人为供应商保安人员在执勤期间提供必要的休息与就餐条件。 </w:t>
      </w:r>
    </w:p>
    <w:p w14:paraId="612F5ED7">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3.5供应商按照本合同约定向采购人派出符合条件的保安人员，协助采购人做好各项辅助性或安保性工作，接受采购人的管理与监督，完成采购人交办的工作。</w:t>
      </w:r>
    </w:p>
    <w:p w14:paraId="530BD2F2">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3.6保安员因事因病及其它原因缺员时，供应商应及时补足。对采购人提出的不称职保安员，供应商在核实其表现后，七个工作日内调换到位 。</w:t>
      </w:r>
    </w:p>
    <w:p w14:paraId="79612DEF">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3.7供应商保安员发生各类工伤、人身、安全、治安、刑事等事件、事故等的均由供应商负责承担和处理；供应商人员工作日期间发生的事故、情况等由供应商处理，与采购人无涉。</w:t>
      </w:r>
    </w:p>
    <w:p w14:paraId="0C21C121">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3.8本项目服务区内的保安人员不得在外兼职从事其他工作，否则一经发现，视为严重违反采购人工作纪律，采购人有权退回并要求供应商予以调换处理。</w:t>
      </w:r>
    </w:p>
    <w:p w14:paraId="0A7EBE90">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3.9保安人员自身参与违法行为的，一经查实，供应商应当立即调换保安人员。对采购人造成损害的，供应商还应当全额赔偿。</w:t>
      </w:r>
    </w:p>
    <w:p w14:paraId="427498D9">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对于发生在服务区域内的刑事案件、治安案件和治安灾害事故，保安人员应及时处理并报告采购人相关负责人和当地公安机关，采取措施保护案发现场，协助公安机关侦查各类治安、刑事案件，协助采购人妥善处理责任范围内的其他突发事件。</w:t>
      </w:r>
    </w:p>
    <w:p w14:paraId="7E25D2F1">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3.11所派保安人员应当落实防火、防盗、防破坏、防事故等安全防范措施，发现服务区域内的安全隐患，及时报告采购人并协助处理。</w:t>
      </w:r>
    </w:p>
    <w:p w14:paraId="5D9393BF">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3.12供应商应为保安人员配备制服及基本保安装备，负责支付保安人员的工资及缴纳社会保险、津贴补贴、奖金、加班费等各项劳动关系福利待遇。 </w:t>
      </w:r>
    </w:p>
    <w:p w14:paraId="1365FA83">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供应商未及时与保安人员签订劳动合同、无故拖欠保安人员工资、未实现保安队伍稳定相关保障措施承诺的，采购人可以暂停支付保安服务费直至供应商完成整改，由此给采购人造成损失的，供应商还应当全额赔偿。</w:t>
      </w:r>
    </w:p>
    <w:p w14:paraId="0402CD54">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3.14供应商不得将采购人的保安服务费用以与保安工作无关的事项。</w:t>
      </w:r>
    </w:p>
    <w:p w14:paraId="3B24CF38">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3.15供应商必须亲自履行合同义务，未经采购人书面同意，供应商不得将合同项下全部或部分义务转委托他人。</w:t>
      </w:r>
    </w:p>
    <w:p w14:paraId="01B9DA09">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3.16供应商必须严格遵守相关法律法规，并遵守采购人的各项管理制度和工作安排。</w:t>
      </w:r>
    </w:p>
    <w:p w14:paraId="27CC7E78">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4、其他责任承担</w:t>
      </w:r>
    </w:p>
    <w:p w14:paraId="67A7B397">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合同履行期内，保安人员在履行工作职责的过程中因违反采购人工作制度、工作要求造成采购人（及其采购人员工）、供应商（及其供应商员工）、第三方人身、财产受损的，所有责任均由供应商自行承担，与采购人无关。</w:t>
      </w:r>
    </w:p>
    <w:p w14:paraId="4E3C1E09">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4.2供应商保安人员应合理使用采购人物品，爱护并维护采购人及与采购人相关的设施、设备以及材料物品等安全完整，因供应商保安人员自身原因导致采购人财物受损的，由供应商承担全部赔偿责任。</w:t>
      </w:r>
    </w:p>
    <w:p w14:paraId="422FA84C">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4.3供应商保安人员在执勤期间，为了确保采购人财产免遭损失，在防盗、防火、防破坏、防事故中受伤、致残、殉职的，由供应商负责处理，采购人协助供应商做好善后工作。发生责任事故供应商需要保险理赔时，采购人应积极协助并于事故发生的10个工作日内出具保险理赔所需的各类证明资料。保安人员在工作时间以外发生一切事故与采购人无关。</w:t>
      </w:r>
    </w:p>
    <w:p w14:paraId="08F8384F">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4.4保安人员违反合同约定在外从事其他工作期间造成采购人、供应商（含保安人员自身）或其他第三方人身、财产受损的，所有责任均由供应商自行承担，与采购人无关。</w:t>
      </w:r>
    </w:p>
    <w:p w14:paraId="68397F55">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4.5保安人员如发生劳资、工伤或其他劳动用工等方面的矛盾纠纷的，由供应商自行处理并承担全部责任，与采购人无关，但采购人可协助提供相关证明材料。</w:t>
      </w:r>
    </w:p>
    <w:p w14:paraId="690FD216">
      <w:pPr>
        <w:pStyle w:val="2"/>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4.6合同期限内双方不得擅自变更和终止，任何一方未经对方同意违反合同约定，应承担违约责任。违约金为合同总金额的10%。</w:t>
      </w:r>
    </w:p>
    <w:p w14:paraId="16D9AD58">
      <w:pPr>
        <w:pStyle w:val="2"/>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因保安员上岗期间不履行职责，造成采购人财产损失的，经相关部门鉴定，确为供应商责任的，供应商在采购人查证属实的直接实际损失范围内按全年不超过合同总额5%比例承担责任。保安员未经采购人同意，擅自离岗、无故缺岗的，每发现一次扣考核分5分。</w:t>
      </w:r>
    </w:p>
    <w:p w14:paraId="39063A12">
      <w:pPr>
        <w:keepNext w:val="0"/>
        <w:keepLines w:val="0"/>
        <w:pageBreakBefore w:val="0"/>
        <w:widowControl w:val="0"/>
        <w:kinsoku/>
        <w:wordWrap/>
        <w:overflowPunct/>
        <w:topLinePunct w:val="0"/>
        <w:bidi w:val="0"/>
        <w:adjustRightInd w:val="0"/>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考核办法</w:t>
      </w:r>
    </w:p>
    <w:p w14:paraId="5D418640">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实行动态考核，按照实际情况制定动态考核指标（考核办法详见附件1）；服务期内考核不合格的，采购人可提前解除服务合同。</w:t>
      </w:r>
    </w:p>
    <w:p w14:paraId="078890FF">
      <w:pPr>
        <w:keepNext w:val="0"/>
        <w:keepLines w:val="0"/>
        <w:pageBreakBefore w:val="0"/>
        <w:widowControl w:val="0"/>
        <w:kinsoku/>
        <w:wordWrap/>
        <w:overflowPunct/>
        <w:topLinePunct w:val="0"/>
        <w:bidi w:val="0"/>
        <w:adjustRightInd w:val="0"/>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验收标准</w:t>
      </w:r>
    </w:p>
    <w:p w14:paraId="5D22E62B">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采购人根据考核办法和合同约定进行年度验收。</w:t>
      </w:r>
    </w:p>
    <w:p w14:paraId="759A79FB">
      <w:pPr>
        <w:rPr>
          <w:rFonts w:hint="eastAsia"/>
          <w:color w:val="auto"/>
          <w:highlight w:val="none"/>
        </w:rPr>
      </w:pPr>
    </w:p>
    <w:p w14:paraId="736932B1">
      <w:pPr>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商务需求</w:t>
      </w:r>
    </w:p>
    <w:p w14:paraId="5D5B6C62">
      <w:pPr>
        <w:keepNext w:val="0"/>
        <w:keepLines w:val="0"/>
        <w:pageBreakBefore w:val="0"/>
        <w:widowControl w:val="0"/>
        <w:kinsoku/>
        <w:wordWrap/>
        <w:overflowPunct/>
        <w:topLinePunct w:val="0"/>
        <w:bidi w:val="0"/>
        <w:adjustRightInd w:val="0"/>
        <w:snapToGrid/>
        <w:spacing w:line="40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合同履行期限、合同履行地点</w:t>
      </w:r>
    </w:p>
    <w:p w14:paraId="06794FC8">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1.合同履行期限： 2年（具体起始日期以合同签订为准），合同一年一签订，服务期内，成交人服务优良且经业主认可，服务期结束可续签合同，最多不超过12个月。服务期内每一年度进行年度考核，如成交人在服务期内违反合同约定，经考核不合格，交易发起人有权提前终止合同。合同履行完毕后，在未找到接替安保公司前，采购人可要求中标单位延续1-2个月的服务，费用按原合同签订的费用标准经采购人审核确认后根据实际产生的人力成本支付。</w:t>
      </w:r>
    </w:p>
    <w:p w14:paraId="681F98AB">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2.合同履行地点：</w:t>
      </w:r>
      <w:r>
        <w:rPr>
          <w:rFonts w:hint="eastAsia" w:ascii="宋体" w:hAnsi="宋体" w:cs="宋体"/>
          <w:color w:val="auto"/>
          <w:sz w:val="24"/>
          <w:szCs w:val="24"/>
          <w:highlight w:val="none"/>
          <w:lang w:val="en-US" w:eastAsia="zh-CN"/>
        </w:rPr>
        <w:t>采购人指定地点</w:t>
      </w:r>
    </w:p>
    <w:p w14:paraId="75743513">
      <w:pPr>
        <w:keepNext w:val="0"/>
        <w:keepLines w:val="0"/>
        <w:pageBreakBefore w:val="0"/>
        <w:widowControl w:val="0"/>
        <w:kinsoku/>
        <w:wordWrap/>
        <w:overflowPunct/>
        <w:topLinePunct w:val="0"/>
        <w:bidi w:val="0"/>
        <w:adjustRightInd w:val="0"/>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支付方式和条件</w:t>
      </w:r>
    </w:p>
    <w:p w14:paraId="484EE7E5">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1、支付</w:t>
      </w:r>
    </w:p>
    <w:p w14:paraId="3BEF58A9">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1.1预付款：合同生效且具备实施条件后5个工作日内，支付合同金额的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p>
    <w:p w14:paraId="195BBEFD">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1.2预付款扣回的方式：采购人将分2个季度在应支付给供应商的费用中抵扣。</w:t>
      </w:r>
    </w:p>
    <w:p w14:paraId="17561A39">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1.3付款方式：按</w:t>
      </w:r>
      <w:r>
        <w:rPr>
          <w:rFonts w:hint="eastAsia" w:ascii="宋体" w:hAnsi="宋体" w:cs="宋体"/>
          <w:color w:val="auto"/>
          <w:sz w:val="24"/>
          <w:szCs w:val="24"/>
          <w:highlight w:val="none"/>
          <w:lang w:val="en-US" w:eastAsia="zh-CN"/>
        </w:rPr>
        <w:t>季度</w:t>
      </w:r>
      <w:r>
        <w:rPr>
          <w:rFonts w:hint="eastAsia" w:ascii="宋体" w:hAnsi="宋体" w:eastAsia="宋体" w:cs="宋体"/>
          <w:color w:val="auto"/>
          <w:sz w:val="24"/>
          <w:szCs w:val="24"/>
          <w:highlight w:val="none"/>
        </w:rPr>
        <w:t>支付，根据中标综合单价（元/每人/月）乘以实际保安人数服务费，</w:t>
      </w:r>
      <w:r>
        <w:rPr>
          <w:rFonts w:hint="eastAsia" w:ascii="宋体" w:hAnsi="宋体" w:cs="宋体"/>
          <w:color w:val="auto"/>
          <w:sz w:val="24"/>
          <w:highlight w:val="none"/>
        </w:rPr>
        <w:t>根据结算清单</w:t>
      </w:r>
      <w:r>
        <w:rPr>
          <w:rFonts w:ascii="宋体" w:hAnsi="宋体" w:cs="宋体"/>
          <w:color w:val="auto"/>
          <w:sz w:val="24"/>
          <w:highlight w:val="none"/>
        </w:rPr>
        <w:t>，</w:t>
      </w:r>
      <w:r>
        <w:rPr>
          <w:rFonts w:hint="default" w:ascii="宋体" w:hAnsi="宋体" w:eastAsia="宋体" w:cs="宋体"/>
          <w:color w:val="auto"/>
          <w:sz w:val="24"/>
          <w:highlight w:val="none"/>
          <w:lang w:val="en-US" w:eastAsia="zh-CN"/>
        </w:rPr>
        <w:t>业主签字确认后结算</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扣除考核款项、违约金等费用后支付，按实结算，每</w:t>
      </w:r>
      <w:r>
        <w:rPr>
          <w:rFonts w:hint="eastAsia" w:ascii="宋体" w:hAnsi="宋体" w:cs="宋体"/>
          <w:color w:val="auto"/>
          <w:sz w:val="24"/>
          <w:szCs w:val="24"/>
          <w:highlight w:val="none"/>
          <w:lang w:val="en-US" w:eastAsia="zh-CN"/>
        </w:rPr>
        <w:t>季度未</w:t>
      </w:r>
      <w:r>
        <w:rPr>
          <w:rFonts w:hint="eastAsia" w:ascii="宋体" w:hAnsi="宋体" w:eastAsia="宋体" w:cs="宋体"/>
          <w:color w:val="auto"/>
          <w:sz w:val="24"/>
          <w:szCs w:val="24"/>
          <w:highlight w:val="none"/>
        </w:rPr>
        <w:t>支付；</w:t>
      </w:r>
    </w:p>
    <w:p w14:paraId="6E724247">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1.4如遇采购数量与实际使用数量不一致时，最终结算金额按实际使用的保安人员数量乘以中标综合单价进行计算。</w:t>
      </w:r>
    </w:p>
    <w:p w14:paraId="592F06EB">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1.5采购人有权在每</w:t>
      </w:r>
      <w:r>
        <w:rPr>
          <w:rFonts w:hint="eastAsia" w:ascii="宋体" w:hAnsi="宋体" w:cs="宋体"/>
          <w:color w:val="auto"/>
          <w:sz w:val="24"/>
          <w:szCs w:val="24"/>
          <w:highlight w:val="none"/>
          <w:lang w:val="en-US" w:eastAsia="zh-CN"/>
        </w:rPr>
        <w:t>季度</w:t>
      </w:r>
      <w:r>
        <w:rPr>
          <w:rFonts w:hint="eastAsia" w:ascii="宋体" w:hAnsi="宋体" w:eastAsia="宋体" w:cs="宋体"/>
          <w:color w:val="auto"/>
          <w:sz w:val="24"/>
          <w:szCs w:val="24"/>
          <w:highlight w:val="none"/>
        </w:rPr>
        <w:t>结算时，从应付款</w:t>
      </w:r>
      <w:r>
        <w:rPr>
          <w:rFonts w:hint="eastAsia" w:ascii="宋体" w:hAnsi="宋体" w:eastAsia="宋体" w:cs="宋体"/>
          <w:color w:val="auto"/>
          <w:sz w:val="24"/>
          <w:szCs w:val="24"/>
          <w:highlight w:val="none"/>
        </w:rPr>
        <w:t>中扣除（含违约、考核处罚等扣款）因供应商违反本合同所应向采购人支付的违约金以及因供应商原因致使采购人承担的第三方法律责任等费用。</w:t>
      </w:r>
    </w:p>
    <w:p w14:paraId="606F06CF">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1.6若合同期结束时，该项目下一轮采购还未完成，超出合同期部分的服务费按实际天数及考核结果结算。</w:t>
      </w:r>
    </w:p>
    <w:p w14:paraId="0512AED1">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2、支付条件</w:t>
      </w:r>
    </w:p>
    <w:p w14:paraId="4C93F472">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2.1合同综合单价/人/月中包括保安人员的全部工资、各类基本社会保险、各类补贴津贴、培训费、奖金、服装费、保安服务费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配套装备及车辆费</w:t>
      </w:r>
      <w:r>
        <w:rPr>
          <w:rFonts w:hint="eastAsia" w:ascii="宋体" w:hAnsi="宋体" w:eastAsia="宋体" w:cs="宋体"/>
          <w:color w:val="auto"/>
          <w:sz w:val="24"/>
          <w:szCs w:val="24"/>
          <w:highlight w:val="none"/>
        </w:rPr>
        <w:t>和其它福利待遇及税金等</w:t>
      </w:r>
      <w:r>
        <w:rPr>
          <w:rFonts w:hint="eastAsia" w:ascii="宋体" w:hAnsi="宋体" w:cs="宋体"/>
          <w:color w:val="auto"/>
          <w:sz w:val="24"/>
          <w:szCs w:val="24"/>
          <w:highlight w:val="none"/>
          <w:lang w:val="en-US" w:eastAsia="zh-CN"/>
        </w:rPr>
        <w:t>完成本项目所需的</w:t>
      </w:r>
      <w:r>
        <w:rPr>
          <w:rFonts w:hint="eastAsia" w:ascii="宋体" w:hAnsi="宋体" w:eastAsia="宋体" w:cs="宋体"/>
          <w:color w:val="auto"/>
          <w:sz w:val="24"/>
          <w:szCs w:val="24"/>
          <w:highlight w:val="none"/>
        </w:rPr>
        <w:t>全部费用。</w:t>
      </w:r>
    </w:p>
    <w:p w14:paraId="2C585C6F">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按财务要求，在收到供应商开具的符合法律法规规定发票后，以转账支付的方式，支付给供应商保安服务费。供应商逾期开具发票或开具的发票不符合采购人要求的，采购人有权延迟付款时间，且该行为不视为违约。</w:t>
      </w:r>
    </w:p>
    <w:p w14:paraId="47F221A7">
      <w:pPr>
        <w:keepNext w:val="0"/>
        <w:keepLines w:val="0"/>
        <w:pageBreakBefore w:val="0"/>
        <w:widowControl w:val="0"/>
        <w:kinsoku/>
        <w:wordWrap/>
        <w:overflowPunct/>
        <w:topLinePunct w:val="0"/>
        <w:bidi w:val="0"/>
        <w:adjustRightInd w:val="0"/>
        <w:snapToGrid/>
        <w:spacing w:line="400" w:lineRule="exact"/>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特别说明</w:t>
      </w:r>
    </w:p>
    <w:p w14:paraId="35A8DA95">
      <w:pPr>
        <w:keepNext w:val="0"/>
        <w:keepLines w:val="0"/>
        <w:pageBreakBefore w:val="0"/>
        <w:widowControl w:val="0"/>
        <w:kinsoku/>
        <w:wordWrap/>
        <w:overflowPunct/>
        <w:topLinePunct w:val="0"/>
        <w:bidi w:val="0"/>
        <w:adjustRightInd w:val="0"/>
        <w:snapToGrid/>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与服务人员签订劳动合同办理有关政府部门规定缴纳的社会保险手续（基本养老保险、基本医疗保险、工伤保险、失业保险、生育保险），员工负担的部分由供应商负责代扣代缴，认真贯彻《杭州市人民政府关于调整市区最低工资标准的通知》（</w:t>
      </w:r>
      <w:r>
        <w:rPr>
          <w:rFonts w:hint="eastAsia" w:ascii="宋体" w:hAnsi="宋体" w:eastAsia="宋体" w:cs="宋体"/>
          <w:color w:val="auto"/>
          <w:kern w:val="0"/>
          <w:sz w:val="24"/>
          <w:szCs w:val="24"/>
          <w:highlight w:val="none"/>
        </w:rPr>
        <w:t>杭政函[2021]69号）</w:t>
      </w:r>
      <w:r>
        <w:rPr>
          <w:rFonts w:hint="eastAsia" w:ascii="宋体" w:hAnsi="宋体" w:eastAsia="宋体" w:cs="宋体"/>
          <w:color w:val="auto"/>
          <w:sz w:val="24"/>
          <w:szCs w:val="24"/>
          <w:highlight w:val="none"/>
        </w:rPr>
        <w:t>文件精神（如有最新文件按最新文件执行）。</w:t>
      </w:r>
    </w:p>
    <w:p w14:paraId="7B9A3C70">
      <w:pPr>
        <w:pStyle w:val="964"/>
        <w:rPr>
          <w:rFonts w:hint="default" w:ascii="宋体" w:hAnsi="宋体" w:eastAsia="宋体" w:cs="宋体"/>
          <w:color w:val="auto"/>
          <w:sz w:val="24"/>
          <w:highlight w:val="none"/>
          <w:lang w:val="en-US" w:eastAsia="zh-CN"/>
        </w:rPr>
      </w:pPr>
    </w:p>
    <w:p w14:paraId="24BAB86E">
      <w:pPr>
        <w:pStyle w:val="964"/>
        <w:rPr>
          <w:rFonts w:hint="default" w:ascii="宋体" w:hAnsi="宋体" w:eastAsia="宋体" w:cs="宋体"/>
          <w:color w:val="auto"/>
          <w:sz w:val="24"/>
          <w:highlight w:val="none"/>
          <w:lang w:val="en-US" w:eastAsia="zh-CN"/>
        </w:rPr>
      </w:pPr>
    </w:p>
    <w:p w14:paraId="1C9FB8F4">
      <w:pPr>
        <w:pStyle w:val="964"/>
        <w:rPr>
          <w:rFonts w:hint="default" w:ascii="宋体" w:hAnsi="宋体" w:eastAsia="宋体" w:cs="宋体"/>
          <w:color w:val="auto"/>
          <w:sz w:val="24"/>
          <w:highlight w:val="none"/>
          <w:lang w:val="en-US" w:eastAsia="zh-CN"/>
        </w:rPr>
      </w:pPr>
    </w:p>
    <w:p w14:paraId="42048B8E">
      <w:pPr>
        <w:pStyle w:val="964"/>
        <w:rPr>
          <w:rFonts w:hint="default" w:ascii="宋体" w:hAnsi="宋体" w:eastAsia="宋体" w:cs="宋体"/>
          <w:color w:val="auto"/>
          <w:sz w:val="24"/>
          <w:highlight w:val="none"/>
          <w:lang w:val="en-US" w:eastAsia="zh-CN"/>
        </w:rPr>
      </w:pPr>
    </w:p>
    <w:p w14:paraId="60515D02">
      <w:pPr>
        <w:pStyle w:val="964"/>
        <w:rPr>
          <w:rFonts w:hint="default" w:ascii="宋体" w:hAnsi="宋体" w:eastAsia="宋体" w:cs="宋体"/>
          <w:color w:val="auto"/>
          <w:sz w:val="24"/>
          <w:highlight w:val="none"/>
          <w:lang w:val="en-US" w:eastAsia="zh-CN"/>
        </w:rPr>
      </w:pPr>
    </w:p>
    <w:p w14:paraId="2E3D513F">
      <w:pPr>
        <w:rPr>
          <w:rFonts w:hint="eastAsia"/>
          <w:color w:val="auto"/>
          <w:highlight w:val="none"/>
        </w:rPr>
      </w:pPr>
      <w:r>
        <w:rPr>
          <w:rFonts w:hint="eastAsia" w:ascii="宋体" w:hAnsi="宋体" w:cs="宋体"/>
          <w:color w:val="auto"/>
          <w:sz w:val="24"/>
          <w:highlight w:val="none"/>
        </w:rPr>
        <w:t>注：打▲内容为实质性要求，不允许有负偏离，否则将以涉及无效投标条款作无效投标。</w:t>
      </w:r>
      <w:r>
        <w:rPr>
          <w:rFonts w:hint="eastAsia"/>
          <w:color w:val="auto"/>
          <w:highlight w:val="none"/>
        </w:rPr>
        <w:br w:type="page"/>
      </w:r>
    </w:p>
    <w:p w14:paraId="42B12C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14:paraId="0AE0A985">
      <w:pPr>
        <w:pStyle w:val="4"/>
        <w:tabs>
          <w:tab w:val="left" w:pos="0"/>
          <w:tab w:val="clear" w:pos="432"/>
        </w:tabs>
        <w:spacing w:line="240" w:lineRule="auto"/>
        <w:ind w:left="12" w:leftChars="0" w:right="-540" w:rightChars="-257" w:hanging="12" w:firstLineChars="0"/>
        <w:jc w:val="center"/>
        <w:rPr>
          <w:rFonts w:hint="eastAsia"/>
          <w:color w:val="auto"/>
          <w:highlight w:val="none"/>
        </w:rPr>
      </w:pPr>
      <w:r>
        <w:rPr>
          <w:rFonts w:hint="eastAsia"/>
          <w:color w:val="auto"/>
          <w:highlight w:val="none"/>
        </w:rPr>
        <w:t>参考考核方法</w:t>
      </w:r>
    </w:p>
    <w:p w14:paraId="74412A07">
      <w:pPr>
        <w:pStyle w:val="4"/>
        <w:tabs>
          <w:tab w:val="left" w:pos="0"/>
          <w:tab w:val="clear" w:pos="432"/>
        </w:tabs>
        <w:spacing w:line="240" w:lineRule="auto"/>
        <w:ind w:left="12" w:leftChars="0" w:right="-540" w:rightChars="-257" w:hanging="12" w:firstLineChars="0"/>
        <w:jc w:val="center"/>
        <w:rPr>
          <w:color w:val="auto"/>
          <w:highlight w:val="none"/>
        </w:rPr>
      </w:pPr>
      <w:r>
        <w:rPr>
          <w:rFonts w:hint="eastAsia"/>
          <w:color w:val="auto"/>
          <w:highlight w:val="none"/>
        </w:rPr>
        <w:t>（采购人和中标人协商一致情况下可再次修订）</w:t>
      </w:r>
    </w:p>
    <w:tbl>
      <w:tblPr>
        <w:tblStyle w:val="63"/>
        <w:tblpPr w:leftFromText="180" w:rightFromText="180" w:vertAnchor="text" w:horzAnchor="margin" w:tblpXSpec="center" w:tblpY="151"/>
        <w:tblW w:w="913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31"/>
        <w:gridCol w:w="4432"/>
        <w:gridCol w:w="962"/>
        <w:gridCol w:w="930"/>
        <w:gridCol w:w="992"/>
      </w:tblGrid>
      <w:tr w14:paraId="326F8C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88" w:type="dxa"/>
            <w:vAlign w:val="center"/>
          </w:tcPr>
          <w:p w14:paraId="5F7288D5">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31" w:type="dxa"/>
            <w:vAlign w:val="center"/>
          </w:tcPr>
          <w:p w14:paraId="60A127B9">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考核项目</w:t>
            </w:r>
          </w:p>
        </w:tc>
        <w:tc>
          <w:tcPr>
            <w:tcW w:w="4432" w:type="dxa"/>
            <w:vAlign w:val="center"/>
          </w:tcPr>
          <w:p w14:paraId="28B6C7CD">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考核内容</w:t>
            </w:r>
          </w:p>
        </w:tc>
        <w:tc>
          <w:tcPr>
            <w:tcW w:w="962" w:type="dxa"/>
            <w:vAlign w:val="center"/>
          </w:tcPr>
          <w:p w14:paraId="0D4746FC">
            <w:pPr>
              <w:ind w:left="-199" w:leftChars="-95"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基础分</w:t>
            </w:r>
          </w:p>
        </w:tc>
        <w:tc>
          <w:tcPr>
            <w:tcW w:w="930" w:type="dxa"/>
            <w:vAlign w:val="center"/>
          </w:tcPr>
          <w:p w14:paraId="5ADE3A14">
            <w:pPr>
              <w:keepNext w:val="0"/>
              <w:keepLines w:val="0"/>
              <w:pageBreakBefore w:val="0"/>
              <w:widowControl w:val="0"/>
              <w:kinsoku/>
              <w:wordWrap/>
              <w:overflowPunct/>
              <w:topLinePunct w:val="0"/>
              <w:autoSpaceDE/>
              <w:autoSpaceDN/>
              <w:bidi w:val="0"/>
              <w:adjustRightInd w:val="0"/>
              <w:snapToGrid/>
              <w:ind w:left="105" w:leftChars="50" w:right="105" w:rightChars="5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扣项</w:t>
            </w:r>
          </w:p>
        </w:tc>
        <w:tc>
          <w:tcPr>
            <w:tcW w:w="992" w:type="dxa"/>
            <w:vAlign w:val="center"/>
          </w:tcPr>
          <w:p w14:paraId="1A489828">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w:t>
            </w:r>
          </w:p>
        </w:tc>
      </w:tr>
      <w:tr w14:paraId="31A007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88" w:type="dxa"/>
            <w:vAlign w:val="center"/>
          </w:tcPr>
          <w:p w14:paraId="741B6C88">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231" w:type="dxa"/>
            <w:vAlign w:val="center"/>
          </w:tcPr>
          <w:p w14:paraId="7748F577">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4432" w:type="dxa"/>
            <w:vAlign w:val="center"/>
          </w:tcPr>
          <w:p w14:paraId="0784E570">
            <w:pPr>
              <w:spacing w:line="24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人员配备，脱岗缺岗情况。员工持证上岗。有突发事件，及时处理紧急情况。全年保障安全，无重大责任事故</w:t>
            </w:r>
          </w:p>
        </w:tc>
        <w:tc>
          <w:tcPr>
            <w:tcW w:w="962" w:type="dxa"/>
            <w:vAlign w:val="center"/>
          </w:tcPr>
          <w:p w14:paraId="6AF77C79">
            <w:pPr>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30" w:type="dxa"/>
            <w:vAlign w:val="center"/>
          </w:tcPr>
          <w:p w14:paraId="3C8E0A28">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jc w:val="center"/>
              <w:textAlignment w:val="auto"/>
              <w:rPr>
                <w:rFonts w:hint="eastAsia" w:ascii="宋体" w:hAnsi="宋体" w:eastAsia="宋体" w:cs="宋体"/>
                <w:color w:val="auto"/>
                <w:sz w:val="24"/>
                <w:szCs w:val="24"/>
                <w:highlight w:val="none"/>
              </w:rPr>
            </w:pPr>
          </w:p>
        </w:tc>
        <w:tc>
          <w:tcPr>
            <w:tcW w:w="992" w:type="dxa"/>
            <w:vAlign w:val="center"/>
          </w:tcPr>
          <w:p w14:paraId="6A26B94F">
            <w:pPr>
              <w:spacing w:line="240" w:lineRule="auto"/>
              <w:ind w:firstLine="0"/>
              <w:jc w:val="center"/>
              <w:rPr>
                <w:rFonts w:hint="eastAsia" w:ascii="宋体" w:hAnsi="宋体" w:eastAsia="宋体" w:cs="宋体"/>
                <w:color w:val="auto"/>
                <w:sz w:val="24"/>
                <w:szCs w:val="24"/>
                <w:highlight w:val="none"/>
              </w:rPr>
            </w:pPr>
          </w:p>
        </w:tc>
      </w:tr>
      <w:tr w14:paraId="078012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88" w:type="dxa"/>
            <w:vAlign w:val="center"/>
          </w:tcPr>
          <w:p w14:paraId="70C214B0">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231" w:type="dxa"/>
            <w:vAlign w:val="center"/>
          </w:tcPr>
          <w:p w14:paraId="6D86DFC3">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日常管理</w:t>
            </w:r>
          </w:p>
        </w:tc>
        <w:tc>
          <w:tcPr>
            <w:tcW w:w="4432" w:type="dxa"/>
            <w:vAlign w:val="center"/>
          </w:tcPr>
          <w:p w14:paraId="6F92A8FC">
            <w:pPr>
              <w:spacing w:line="24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人员遵章守纪，工作纪律严明。统一着装，各类工作记录情况完整。保安人员稳定，人员变动对口管理部门。在岗人员工作期间通讯工具保持正常的使用常态。</w:t>
            </w:r>
          </w:p>
        </w:tc>
        <w:tc>
          <w:tcPr>
            <w:tcW w:w="962" w:type="dxa"/>
            <w:vAlign w:val="center"/>
          </w:tcPr>
          <w:p w14:paraId="270646E8">
            <w:pPr>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30" w:type="dxa"/>
            <w:vAlign w:val="center"/>
          </w:tcPr>
          <w:p w14:paraId="1375224D">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jc w:val="center"/>
              <w:textAlignment w:val="auto"/>
              <w:rPr>
                <w:rFonts w:hint="eastAsia" w:ascii="宋体" w:hAnsi="宋体" w:eastAsia="宋体" w:cs="宋体"/>
                <w:color w:val="auto"/>
                <w:sz w:val="24"/>
                <w:szCs w:val="24"/>
                <w:highlight w:val="none"/>
              </w:rPr>
            </w:pPr>
          </w:p>
        </w:tc>
        <w:tc>
          <w:tcPr>
            <w:tcW w:w="992" w:type="dxa"/>
            <w:vAlign w:val="center"/>
          </w:tcPr>
          <w:p w14:paraId="3D2AB4E6">
            <w:pPr>
              <w:spacing w:line="240" w:lineRule="auto"/>
              <w:ind w:firstLine="0"/>
              <w:jc w:val="center"/>
              <w:rPr>
                <w:rFonts w:hint="eastAsia" w:ascii="宋体" w:hAnsi="宋体" w:eastAsia="宋体" w:cs="宋体"/>
                <w:color w:val="auto"/>
                <w:sz w:val="24"/>
                <w:szCs w:val="24"/>
                <w:highlight w:val="none"/>
              </w:rPr>
            </w:pPr>
          </w:p>
        </w:tc>
      </w:tr>
      <w:tr w14:paraId="5D87EA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88" w:type="dxa"/>
            <w:vAlign w:val="center"/>
          </w:tcPr>
          <w:p w14:paraId="61ED518D">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1231" w:type="dxa"/>
            <w:vAlign w:val="center"/>
          </w:tcPr>
          <w:p w14:paraId="52B1FA42">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服务意识</w:t>
            </w:r>
          </w:p>
          <w:p w14:paraId="2E014F82">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服务态度</w:t>
            </w:r>
          </w:p>
        </w:tc>
        <w:tc>
          <w:tcPr>
            <w:tcW w:w="4432" w:type="dxa"/>
            <w:vAlign w:val="center"/>
          </w:tcPr>
          <w:p w14:paraId="1771B3E2">
            <w:pPr>
              <w:spacing w:line="24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值岗期间的精神工作状态、仪容仪表、工作态度及文明用语工作态度情况。有无主动服务意识。</w:t>
            </w:r>
          </w:p>
        </w:tc>
        <w:tc>
          <w:tcPr>
            <w:tcW w:w="962" w:type="dxa"/>
            <w:vAlign w:val="center"/>
          </w:tcPr>
          <w:p w14:paraId="51503397">
            <w:pPr>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30" w:type="dxa"/>
            <w:vAlign w:val="center"/>
          </w:tcPr>
          <w:p w14:paraId="44524E51">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jc w:val="center"/>
              <w:textAlignment w:val="auto"/>
              <w:rPr>
                <w:rFonts w:hint="eastAsia" w:ascii="宋体" w:hAnsi="宋体" w:eastAsia="宋体" w:cs="宋体"/>
                <w:color w:val="auto"/>
                <w:sz w:val="24"/>
                <w:szCs w:val="24"/>
                <w:highlight w:val="none"/>
              </w:rPr>
            </w:pPr>
          </w:p>
        </w:tc>
        <w:tc>
          <w:tcPr>
            <w:tcW w:w="992" w:type="dxa"/>
            <w:vAlign w:val="center"/>
          </w:tcPr>
          <w:p w14:paraId="124A9FD7">
            <w:pPr>
              <w:spacing w:line="240" w:lineRule="auto"/>
              <w:ind w:firstLine="0"/>
              <w:jc w:val="center"/>
              <w:rPr>
                <w:rFonts w:hint="eastAsia" w:ascii="宋体" w:hAnsi="宋体" w:eastAsia="宋体" w:cs="宋体"/>
                <w:color w:val="auto"/>
                <w:sz w:val="24"/>
                <w:szCs w:val="24"/>
                <w:highlight w:val="none"/>
              </w:rPr>
            </w:pPr>
          </w:p>
        </w:tc>
      </w:tr>
      <w:tr w14:paraId="28708C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88" w:type="dxa"/>
            <w:vAlign w:val="center"/>
          </w:tcPr>
          <w:p w14:paraId="1F7AB230">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1231" w:type="dxa"/>
            <w:vAlign w:val="center"/>
          </w:tcPr>
          <w:p w14:paraId="5288B527">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工作责任心、主动性</w:t>
            </w:r>
          </w:p>
        </w:tc>
        <w:tc>
          <w:tcPr>
            <w:tcW w:w="4432" w:type="dxa"/>
            <w:vAlign w:val="center"/>
          </w:tcPr>
          <w:p w14:paraId="5781092B">
            <w:pPr>
              <w:spacing w:line="24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熟悉工作环境，清楚工作事项。主动、及时汇报工作中发现的安全隐患和问题。坚守岗位，不得离职和脱岗，迟到早退现象。保安熟悉并掌握使用执勤工作器械情况。</w:t>
            </w:r>
          </w:p>
        </w:tc>
        <w:tc>
          <w:tcPr>
            <w:tcW w:w="962" w:type="dxa"/>
            <w:vAlign w:val="center"/>
          </w:tcPr>
          <w:p w14:paraId="08E5C55F">
            <w:pPr>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30" w:type="dxa"/>
            <w:vAlign w:val="center"/>
          </w:tcPr>
          <w:p w14:paraId="3734A587">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jc w:val="center"/>
              <w:textAlignment w:val="auto"/>
              <w:rPr>
                <w:rFonts w:hint="eastAsia" w:ascii="宋体" w:hAnsi="宋体" w:eastAsia="宋体" w:cs="宋体"/>
                <w:color w:val="auto"/>
                <w:sz w:val="24"/>
                <w:szCs w:val="24"/>
                <w:highlight w:val="none"/>
              </w:rPr>
            </w:pPr>
          </w:p>
          <w:p w14:paraId="5D1D62B5">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jc w:val="center"/>
              <w:textAlignment w:val="auto"/>
              <w:rPr>
                <w:rFonts w:hint="eastAsia" w:ascii="宋体" w:hAnsi="宋体" w:eastAsia="宋体" w:cs="宋体"/>
                <w:color w:val="auto"/>
                <w:sz w:val="24"/>
                <w:szCs w:val="24"/>
                <w:highlight w:val="none"/>
              </w:rPr>
            </w:pPr>
          </w:p>
        </w:tc>
        <w:tc>
          <w:tcPr>
            <w:tcW w:w="992" w:type="dxa"/>
            <w:vAlign w:val="center"/>
          </w:tcPr>
          <w:p w14:paraId="6CDBC260">
            <w:pPr>
              <w:spacing w:line="240" w:lineRule="auto"/>
              <w:ind w:firstLine="0"/>
              <w:jc w:val="center"/>
              <w:rPr>
                <w:rFonts w:hint="eastAsia" w:ascii="宋体" w:hAnsi="宋体" w:eastAsia="宋体" w:cs="宋体"/>
                <w:color w:val="auto"/>
                <w:sz w:val="24"/>
                <w:szCs w:val="24"/>
                <w:highlight w:val="none"/>
              </w:rPr>
            </w:pPr>
          </w:p>
        </w:tc>
      </w:tr>
      <w:tr w14:paraId="70C39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588" w:type="dxa"/>
            <w:vAlign w:val="center"/>
          </w:tcPr>
          <w:p w14:paraId="5DB9EE40">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1231" w:type="dxa"/>
            <w:vAlign w:val="center"/>
          </w:tcPr>
          <w:p w14:paraId="5AF764B5">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特色服务</w:t>
            </w:r>
          </w:p>
        </w:tc>
        <w:tc>
          <w:tcPr>
            <w:tcW w:w="4432" w:type="dxa"/>
            <w:vAlign w:val="center"/>
          </w:tcPr>
          <w:p w14:paraId="55DCB99D">
            <w:pPr>
              <w:spacing w:line="24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每季度对所有保安人员组织一次安全、道路交通基础知识的培训，每月对安保人员进行岗位培训，每周两次对全体保安员队列、体能、技能的训练。每日总结当天工作情况及存在的问题，布置下一班工作任务。</w:t>
            </w:r>
          </w:p>
        </w:tc>
        <w:tc>
          <w:tcPr>
            <w:tcW w:w="962" w:type="dxa"/>
            <w:vAlign w:val="center"/>
          </w:tcPr>
          <w:p w14:paraId="2C3E2BB1">
            <w:pPr>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30" w:type="dxa"/>
            <w:vAlign w:val="center"/>
          </w:tcPr>
          <w:p w14:paraId="3CDE1963">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jc w:val="center"/>
              <w:textAlignment w:val="auto"/>
              <w:rPr>
                <w:rFonts w:hint="eastAsia" w:ascii="宋体" w:hAnsi="宋体" w:eastAsia="宋体" w:cs="宋体"/>
                <w:color w:val="auto"/>
                <w:sz w:val="24"/>
                <w:szCs w:val="24"/>
                <w:highlight w:val="none"/>
              </w:rPr>
            </w:pPr>
          </w:p>
          <w:p w14:paraId="427E8173">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jc w:val="center"/>
              <w:textAlignment w:val="auto"/>
              <w:rPr>
                <w:rFonts w:hint="eastAsia" w:ascii="宋体" w:hAnsi="宋体" w:eastAsia="宋体" w:cs="宋体"/>
                <w:color w:val="auto"/>
                <w:sz w:val="24"/>
                <w:szCs w:val="24"/>
                <w:highlight w:val="none"/>
              </w:rPr>
            </w:pPr>
          </w:p>
        </w:tc>
        <w:tc>
          <w:tcPr>
            <w:tcW w:w="992" w:type="dxa"/>
            <w:vAlign w:val="center"/>
          </w:tcPr>
          <w:p w14:paraId="0B8792B3">
            <w:pPr>
              <w:spacing w:line="240" w:lineRule="auto"/>
              <w:ind w:firstLine="0"/>
              <w:jc w:val="center"/>
              <w:rPr>
                <w:rFonts w:hint="eastAsia" w:ascii="宋体" w:hAnsi="宋体" w:eastAsia="宋体" w:cs="宋体"/>
                <w:color w:val="auto"/>
                <w:sz w:val="24"/>
                <w:szCs w:val="24"/>
                <w:highlight w:val="none"/>
              </w:rPr>
            </w:pPr>
          </w:p>
        </w:tc>
      </w:tr>
      <w:tr w14:paraId="6FED11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88" w:type="dxa"/>
            <w:vAlign w:val="center"/>
          </w:tcPr>
          <w:p w14:paraId="26F56F9C">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1231" w:type="dxa"/>
            <w:vAlign w:val="center"/>
          </w:tcPr>
          <w:p w14:paraId="5F7F77C0">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满意率</w:t>
            </w:r>
          </w:p>
        </w:tc>
        <w:tc>
          <w:tcPr>
            <w:tcW w:w="4432" w:type="dxa"/>
            <w:vAlign w:val="center"/>
          </w:tcPr>
          <w:p w14:paraId="5824271F">
            <w:pPr>
              <w:spacing w:line="24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以被服务对象满意度为标准，每月进行奖惩，若由于保安公司培训不到位等因素影响满意度的，发生一次有理投诉，扣除保安公司5分，扣完为止。</w:t>
            </w:r>
          </w:p>
        </w:tc>
        <w:tc>
          <w:tcPr>
            <w:tcW w:w="962" w:type="dxa"/>
            <w:vAlign w:val="center"/>
          </w:tcPr>
          <w:p w14:paraId="7C5546EA">
            <w:pPr>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30" w:type="dxa"/>
            <w:vAlign w:val="center"/>
          </w:tcPr>
          <w:p w14:paraId="3076EBA1">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jc w:val="center"/>
              <w:textAlignment w:val="auto"/>
              <w:rPr>
                <w:rFonts w:hint="eastAsia" w:ascii="宋体" w:hAnsi="宋体" w:eastAsia="宋体" w:cs="宋体"/>
                <w:color w:val="auto"/>
                <w:sz w:val="24"/>
                <w:szCs w:val="24"/>
                <w:highlight w:val="none"/>
              </w:rPr>
            </w:pPr>
          </w:p>
        </w:tc>
        <w:tc>
          <w:tcPr>
            <w:tcW w:w="992" w:type="dxa"/>
            <w:vAlign w:val="center"/>
          </w:tcPr>
          <w:p w14:paraId="269C55FA">
            <w:pPr>
              <w:spacing w:line="240" w:lineRule="auto"/>
              <w:ind w:firstLine="0"/>
              <w:jc w:val="center"/>
              <w:rPr>
                <w:rFonts w:hint="eastAsia" w:ascii="宋体" w:hAnsi="宋体" w:eastAsia="宋体" w:cs="宋体"/>
                <w:color w:val="auto"/>
                <w:sz w:val="24"/>
                <w:szCs w:val="24"/>
                <w:highlight w:val="none"/>
              </w:rPr>
            </w:pPr>
          </w:p>
        </w:tc>
      </w:tr>
      <w:tr w14:paraId="2C62E1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88" w:type="dxa"/>
            <w:vAlign w:val="center"/>
          </w:tcPr>
          <w:p w14:paraId="3EF91F8B">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p>
        </w:tc>
        <w:tc>
          <w:tcPr>
            <w:tcW w:w="1231" w:type="dxa"/>
            <w:vAlign w:val="center"/>
          </w:tcPr>
          <w:p w14:paraId="7004D6D9">
            <w:pPr>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考勤管理</w:t>
            </w:r>
          </w:p>
        </w:tc>
        <w:tc>
          <w:tcPr>
            <w:tcW w:w="4432" w:type="dxa"/>
            <w:vAlign w:val="center"/>
          </w:tcPr>
          <w:p w14:paraId="55A60AF5">
            <w:pPr>
              <w:spacing w:line="24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安保人员脱岗2小时以内扣除考核分2分，脱岗2小时以上视为缺岗，每缺岗一人，扣除考核分5分</w:t>
            </w:r>
          </w:p>
        </w:tc>
        <w:tc>
          <w:tcPr>
            <w:tcW w:w="962" w:type="dxa"/>
            <w:vAlign w:val="center"/>
          </w:tcPr>
          <w:p w14:paraId="7557E631">
            <w:pPr>
              <w:spacing w:line="24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930" w:type="dxa"/>
            <w:vAlign w:val="center"/>
          </w:tcPr>
          <w:p w14:paraId="1BC73045">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jc w:val="center"/>
              <w:textAlignment w:val="auto"/>
              <w:rPr>
                <w:rFonts w:hint="eastAsia" w:ascii="宋体" w:hAnsi="宋体" w:eastAsia="宋体" w:cs="宋体"/>
                <w:color w:val="auto"/>
                <w:sz w:val="24"/>
                <w:szCs w:val="24"/>
                <w:highlight w:val="none"/>
              </w:rPr>
            </w:pPr>
          </w:p>
        </w:tc>
        <w:tc>
          <w:tcPr>
            <w:tcW w:w="992" w:type="dxa"/>
            <w:vAlign w:val="center"/>
          </w:tcPr>
          <w:p w14:paraId="6DE05B96">
            <w:pPr>
              <w:spacing w:line="240" w:lineRule="auto"/>
              <w:ind w:firstLine="0"/>
              <w:jc w:val="center"/>
              <w:rPr>
                <w:rFonts w:hint="eastAsia" w:ascii="宋体" w:hAnsi="宋体" w:eastAsia="宋体" w:cs="宋体"/>
                <w:color w:val="auto"/>
                <w:sz w:val="24"/>
                <w:szCs w:val="24"/>
                <w:highlight w:val="none"/>
              </w:rPr>
            </w:pPr>
          </w:p>
        </w:tc>
      </w:tr>
      <w:tr w14:paraId="0B773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251" w:type="dxa"/>
            <w:gridSpan w:val="3"/>
            <w:vAlign w:val="center"/>
          </w:tcPr>
          <w:p w14:paraId="76E95D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w:t>
            </w:r>
          </w:p>
        </w:tc>
        <w:tc>
          <w:tcPr>
            <w:tcW w:w="2884" w:type="dxa"/>
            <w:gridSpan w:val="3"/>
            <w:vAlign w:val="center"/>
          </w:tcPr>
          <w:p w14:paraId="5DE88CD2">
            <w:pPr>
              <w:keepNext w:val="0"/>
              <w:keepLines w:val="0"/>
              <w:pageBreakBefore w:val="0"/>
              <w:widowControl w:val="0"/>
              <w:kinsoku/>
              <w:wordWrap/>
              <w:overflowPunct/>
              <w:topLinePunct w:val="0"/>
              <w:autoSpaceDE/>
              <w:autoSpaceDN/>
              <w:bidi w:val="0"/>
              <w:adjustRightInd w:val="0"/>
              <w:snapToGrid/>
              <w:ind w:left="105" w:leftChars="50" w:right="105" w:rightChars="5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r>
    </w:tbl>
    <w:p w14:paraId="69BCC218">
      <w:pPr>
        <w:keepNext w:val="0"/>
        <w:keepLines w:val="0"/>
        <w:pageBreakBefore w:val="0"/>
        <w:widowControl w:val="0"/>
        <w:kinsoku/>
        <w:wordWrap/>
        <w:overflowPunct/>
        <w:topLinePunct w:val="0"/>
        <w:autoSpaceDE/>
        <w:autoSpaceDN/>
        <w:bidi w:val="0"/>
        <w:adjustRightInd w:val="0"/>
        <w:snapToGrid/>
        <w:spacing w:line="440" w:lineRule="exact"/>
        <w:ind w:left="-420" w:leftChars="-200" w:right="-340" w:rightChars="-162"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采购人会对中标人在服务合同期内每月进行服务质量考核，每月的综合评分必须达90分以上，否则将会予以经济处罚，按四舍五入法，每低一分扣1000元，并在当月的服务费中扣除，当月封顶10000元。</w:t>
      </w:r>
    </w:p>
    <w:p w14:paraId="778FC641">
      <w:pPr>
        <w:spacing w:line="360" w:lineRule="auto"/>
        <w:ind w:firstLine="467" w:firstLineChars="194"/>
        <w:rPr>
          <w:rFonts w:ascii="宋体" w:hAnsi="宋体" w:cs="宋体"/>
          <w:color w:val="auto"/>
          <w:sz w:val="24"/>
          <w:highlight w:val="none"/>
        </w:rPr>
      </w:pPr>
      <w:r>
        <w:rPr>
          <w:rFonts w:hint="eastAsia" w:ascii="宋体" w:hAnsi="宋体"/>
          <w:b/>
          <w:color w:val="auto"/>
          <w:sz w:val="24"/>
          <w:highlight w:val="none"/>
        </w:rPr>
        <w:br w:type="page"/>
      </w:r>
    </w:p>
    <w:p w14:paraId="43687582">
      <w:pPr>
        <w:snapToGrid w:val="0"/>
        <w:spacing w:line="360" w:lineRule="auto"/>
        <w:jc w:val="center"/>
        <w:rPr>
          <w:rFonts w:ascii="仿宋" w:hAnsi="仿宋" w:eastAsia="仿宋" w:cs="仿宋_GB2312"/>
          <w:b/>
          <w:color w:val="auto"/>
          <w:sz w:val="36"/>
          <w:szCs w:val="36"/>
          <w:highlight w:val="none"/>
        </w:rPr>
      </w:pPr>
      <w:bookmarkStart w:id="39" w:name="_Toc184313280"/>
      <w:bookmarkEnd w:id="39"/>
      <w:bookmarkStart w:id="40" w:name="_Toc184312132"/>
      <w:bookmarkEnd w:id="40"/>
      <w:bookmarkStart w:id="41" w:name="_Toc184313260"/>
      <w:bookmarkEnd w:id="41"/>
      <w:bookmarkStart w:id="42" w:name="_Toc184308088"/>
      <w:bookmarkEnd w:id="42"/>
      <w:bookmarkStart w:id="43" w:name="_Toc184312105"/>
      <w:bookmarkEnd w:id="43"/>
      <w:bookmarkStart w:id="44" w:name="_Toc184314422"/>
      <w:bookmarkEnd w:id="44"/>
      <w:bookmarkStart w:id="45" w:name="_Toc184312123"/>
      <w:bookmarkEnd w:id="45"/>
      <w:bookmarkStart w:id="46" w:name="_Toc184314465"/>
      <w:bookmarkEnd w:id="46"/>
      <w:bookmarkStart w:id="47" w:name="_Toc184312069"/>
      <w:bookmarkEnd w:id="47"/>
      <w:bookmarkStart w:id="48" w:name="_Toc184314462"/>
      <w:bookmarkEnd w:id="48"/>
      <w:bookmarkStart w:id="49" w:name="_Toc184314463"/>
      <w:bookmarkEnd w:id="49"/>
      <w:bookmarkStart w:id="50" w:name="_Toc184314438"/>
      <w:bookmarkEnd w:id="50"/>
      <w:bookmarkStart w:id="51" w:name="_Toc184314420"/>
      <w:bookmarkEnd w:id="51"/>
      <w:bookmarkStart w:id="52" w:name="_Toc184314437"/>
      <w:bookmarkEnd w:id="52"/>
      <w:bookmarkStart w:id="53" w:name="_Toc184308078"/>
      <w:bookmarkEnd w:id="53"/>
      <w:bookmarkStart w:id="54" w:name="_Toc184310272"/>
      <w:bookmarkEnd w:id="54"/>
      <w:bookmarkStart w:id="55" w:name="_Toc184312093"/>
      <w:bookmarkEnd w:id="55"/>
      <w:bookmarkStart w:id="56" w:name="_Toc184310328"/>
      <w:bookmarkEnd w:id="56"/>
      <w:bookmarkStart w:id="57" w:name="_Toc184310285"/>
      <w:bookmarkEnd w:id="57"/>
      <w:bookmarkStart w:id="58" w:name="_Toc184314436"/>
      <w:bookmarkEnd w:id="58"/>
      <w:bookmarkStart w:id="59" w:name="_Toc184314427"/>
      <w:bookmarkEnd w:id="59"/>
      <w:bookmarkStart w:id="60" w:name="_Toc184312074"/>
      <w:bookmarkEnd w:id="60"/>
      <w:bookmarkStart w:id="61" w:name="_Toc184313299"/>
      <w:bookmarkEnd w:id="61"/>
      <w:bookmarkStart w:id="62" w:name="_Toc184312100"/>
      <w:bookmarkEnd w:id="62"/>
      <w:bookmarkStart w:id="63" w:name="_Toc184312139"/>
      <w:bookmarkEnd w:id="63"/>
      <w:bookmarkStart w:id="64" w:name="_Toc184314423"/>
      <w:bookmarkEnd w:id="64"/>
      <w:bookmarkStart w:id="65" w:name="_Toc184310319"/>
      <w:bookmarkEnd w:id="65"/>
      <w:bookmarkStart w:id="66" w:name="_Toc184314459"/>
      <w:bookmarkEnd w:id="66"/>
      <w:bookmarkStart w:id="67" w:name="_Toc184312101"/>
      <w:bookmarkEnd w:id="67"/>
      <w:bookmarkStart w:id="68" w:name="_Toc184314416"/>
      <w:bookmarkEnd w:id="68"/>
      <w:bookmarkStart w:id="69" w:name="_Toc184308040"/>
      <w:bookmarkEnd w:id="69"/>
      <w:bookmarkStart w:id="70" w:name="_Toc184312081"/>
      <w:bookmarkEnd w:id="70"/>
      <w:bookmarkStart w:id="71" w:name="_Toc184313274"/>
      <w:bookmarkEnd w:id="71"/>
      <w:bookmarkStart w:id="72" w:name="_Toc184312134"/>
      <w:bookmarkEnd w:id="72"/>
      <w:bookmarkStart w:id="73" w:name="_Toc184314440"/>
      <w:bookmarkEnd w:id="73"/>
      <w:bookmarkStart w:id="74" w:name="_Toc184314449"/>
      <w:bookmarkEnd w:id="74"/>
      <w:bookmarkStart w:id="75" w:name="_Toc184310276"/>
      <w:bookmarkEnd w:id="75"/>
      <w:bookmarkStart w:id="76" w:name="_Toc184314415"/>
      <w:bookmarkEnd w:id="76"/>
      <w:bookmarkStart w:id="77" w:name="_Toc184312124"/>
      <w:bookmarkEnd w:id="77"/>
      <w:bookmarkStart w:id="78" w:name="_Toc184313310"/>
      <w:bookmarkEnd w:id="78"/>
      <w:bookmarkStart w:id="79" w:name="_Toc184308060"/>
      <w:bookmarkEnd w:id="79"/>
      <w:bookmarkStart w:id="80" w:name="_Toc184314431"/>
      <w:bookmarkEnd w:id="80"/>
      <w:bookmarkStart w:id="81" w:name="_Toc184313285"/>
      <w:bookmarkEnd w:id="81"/>
      <w:bookmarkStart w:id="82" w:name="_Toc184314454"/>
      <w:bookmarkEnd w:id="82"/>
      <w:bookmarkStart w:id="83" w:name="_Toc184312135"/>
      <w:bookmarkEnd w:id="83"/>
      <w:bookmarkStart w:id="84" w:name="_Toc184308103"/>
      <w:bookmarkEnd w:id="84"/>
      <w:bookmarkStart w:id="85" w:name="_Toc184312077"/>
      <w:bookmarkEnd w:id="85"/>
      <w:bookmarkStart w:id="86" w:name="_Toc184312080"/>
      <w:bookmarkEnd w:id="86"/>
      <w:bookmarkStart w:id="87" w:name="_Toc184310300"/>
      <w:bookmarkEnd w:id="87"/>
      <w:bookmarkStart w:id="88" w:name="_Toc184308087"/>
      <w:bookmarkEnd w:id="88"/>
      <w:bookmarkStart w:id="89" w:name="_Toc184314445"/>
      <w:bookmarkEnd w:id="89"/>
      <w:bookmarkStart w:id="90" w:name="_Toc184314410"/>
      <w:bookmarkEnd w:id="90"/>
      <w:bookmarkStart w:id="91" w:name="_Toc184313261"/>
      <w:bookmarkEnd w:id="91"/>
      <w:bookmarkStart w:id="92" w:name="_Toc184308106"/>
      <w:bookmarkEnd w:id="92"/>
      <w:bookmarkStart w:id="93" w:name="_Toc184314477"/>
      <w:bookmarkEnd w:id="93"/>
      <w:bookmarkStart w:id="94" w:name="_Toc184308074"/>
      <w:bookmarkEnd w:id="94"/>
      <w:bookmarkStart w:id="95" w:name="_Toc184313289"/>
      <w:bookmarkEnd w:id="95"/>
      <w:bookmarkStart w:id="96" w:name="_Toc184313255"/>
      <w:bookmarkEnd w:id="96"/>
      <w:bookmarkStart w:id="97" w:name="_Toc184308101"/>
      <w:bookmarkEnd w:id="97"/>
      <w:bookmarkStart w:id="98" w:name="_Toc184308043"/>
      <w:bookmarkEnd w:id="98"/>
      <w:bookmarkStart w:id="99" w:name="_Toc184312088"/>
      <w:bookmarkEnd w:id="99"/>
      <w:bookmarkStart w:id="100" w:name="_Toc184310340"/>
      <w:bookmarkEnd w:id="100"/>
      <w:bookmarkStart w:id="101" w:name="_Toc184310327"/>
      <w:bookmarkEnd w:id="101"/>
      <w:bookmarkStart w:id="102" w:name="_Toc184313307"/>
      <w:bookmarkEnd w:id="102"/>
      <w:bookmarkStart w:id="103" w:name="_Toc184314474"/>
      <w:bookmarkEnd w:id="103"/>
      <w:bookmarkStart w:id="104" w:name="_Toc184314479"/>
      <w:bookmarkEnd w:id="104"/>
      <w:bookmarkStart w:id="105" w:name="_Toc184314444"/>
      <w:bookmarkEnd w:id="105"/>
      <w:bookmarkStart w:id="106" w:name="_Toc184310291"/>
      <w:bookmarkEnd w:id="106"/>
      <w:bookmarkStart w:id="107" w:name="_Toc184314457"/>
      <w:bookmarkEnd w:id="107"/>
      <w:bookmarkStart w:id="108" w:name="_Toc184313263"/>
      <w:bookmarkEnd w:id="108"/>
      <w:bookmarkStart w:id="109" w:name="_Toc184310312"/>
      <w:bookmarkEnd w:id="109"/>
      <w:bookmarkStart w:id="110" w:name="_Toc184310310"/>
      <w:bookmarkEnd w:id="110"/>
      <w:bookmarkStart w:id="111" w:name="_Toc184312129"/>
      <w:bookmarkEnd w:id="111"/>
      <w:bookmarkStart w:id="112" w:name="_Toc184310321"/>
      <w:bookmarkEnd w:id="112"/>
      <w:bookmarkStart w:id="113" w:name="_Toc184310341"/>
      <w:bookmarkEnd w:id="113"/>
      <w:bookmarkStart w:id="114" w:name="_Toc184312122"/>
      <w:bookmarkEnd w:id="114"/>
      <w:bookmarkStart w:id="115" w:name="_Toc184314418"/>
      <w:bookmarkEnd w:id="115"/>
      <w:bookmarkStart w:id="116" w:name="_Toc184310339"/>
      <w:bookmarkEnd w:id="116"/>
      <w:bookmarkStart w:id="117" w:name="_Toc184314411"/>
      <w:bookmarkEnd w:id="117"/>
      <w:bookmarkStart w:id="118" w:name="_Toc184313288"/>
      <w:bookmarkEnd w:id="118"/>
      <w:bookmarkStart w:id="119" w:name="_Toc184310282"/>
      <w:bookmarkEnd w:id="119"/>
      <w:bookmarkStart w:id="120" w:name="_Toc184314468"/>
      <w:bookmarkEnd w:id="120"/>
      <w:bookmarkStart w:id="121" w:name="_Toc184310296"/>
      <w:bookmarkEnd w:id="121"/>
      <w:bookmarkStart w:id="122" w:name="_Toc184313294"/>
      <w:bookmarkEnd w:id="122"/>
      <w:bookmarkStart w:id="123" w:name="_Toc184310289"/>
      <w:bookmarkEnd w:id="123"/>
      <w:bookmarkStart w:id="124" w:name="_Toc184312094"/>
      <w:bookmarkEnd w:id="124"/>
      <w:bookmarkStart w:id="125" w:name="_Toc184314414"/>
      <w:bookmarkEnd w:id="125"/>
      <w:bookmarkStart w:id="126" w:name="_Toc184310295"/>
      <w:bookmarkEnd w:id="126"/>
      <w:bookmarkStart w:id="127" w:name="_Toc184312107"/>
      <w:bookmarkEnd w:id="127"/>
      <w:bookmarkStart w:id="128" w:name="_Toc184308062"/>
      <w:bookmarkEnd w:id="128"/>
      <w:bookmarkStart w:id="129" w:name="_Toc184313304"/>
      <w:bookmarkEnd w:id="129"/>
      <w:bookmarkStart w:id="130" w:name="_Toc184310281"/>
      <w:bookmarkEnd w:id="130"/>
      <w:bookmarkStart w:id="131" w:name="_Toc184308086"/>
      <w:bookmarkEnd w:id="131"/>
      <w:bookmarkStart w:id="132" w:name="_Toc184314453"/>
      <w:bookmarkEnd w:id="132"/>
      <w:bookmarkStart w:id="133" w:name="_Toc184310333"/>
      <w:bookmarkEnd w:id="133"/>
      <w:bookmarkStart w:id="134" w:name="_Toc184314470"/>
      <w:bookmarkEnd w:id="134"/>
      <w:bookmarkStart w:id="135" w:name="_Toc184310331"/>
      <w:bookmarkEnd w:id="135"/>
      <w:bookmarkStart w:id="136" w:name="_Toc184308056"/>
      <w:bookmarkEnd w:id="136"/>
      <w:bookmarkStart w:id="137" w:name="_Toc184312085"/>
      <w:bookmarkEnd w:id="137"/>
      <w:bookmarkStart w:id="138" w:name="_Toc184314446"/>
      <w:bookmarkEnd w:id="138"/>
      <w:bookmarkStart w:id="139" w:name="_Toc184312076"/>
      <w:bookmarkEnd w:id="139"/>
      <w:bookmarkStart w:id="140" w:name="_Toc184312126"/>
      <w:bookmarkEnd w:id="140"/>
      <w:bookmarkStart w:id="141" w:name="_Toc184314466"/>
      <w:bookmarkEnd w:id="141"/>
      <w:bookmarkStart w:id="142" w:name="_Toc184308102"/>
      <w:bookmarkEnd w:id="142"/>
      <w:bookmarkStart w:id="143" w:name="_Toc184308098"/>
      <w:bookmarkEnd w:id="143"/>
      <w:bookmarkStart w:id="144" w:name="_Toc184310273"/>
      <w:bookmarkEnd w:id="144"/>
      <w:bookmarkStart w:id="145" w:name="_Toc184313298"/>
      <w:bookmarkEnd w:id="145"/>
      <w:bookmarkStart w:id="146" w:name="_Toc184314461"/>
      <w:bookmarkEnd w:id="146"/>
      <w:bookmarkStart w:id="147" w:name="_Toc184313257"/>
      <w:bookmarkEnd w:id="147"/>
      <w:bookmarkStart w:id="148" w:name="_Toc184310342"/>
      <w:bookmarkEnd w:id="148"/>
      <w:bookmarkStart w:id="149" w:name="_Toc184313250"/>
      <w:bookmarkEnd w:id="149"/>
      <w:bookmarkStart w:id="150" w:name="_Toc184308070"/>
      <w:bookmarkEnd w:id="150"/>
      <w:bookmarkStart w:id="151" w:name="_Toc184310315"/>
      <w:bookmarkEnd w:id="151"/>
      <w:bookmarkStart w:id="152" w:name="_Toc184312087"/>
      <w:bookmarkEnd w:id="152"/>
      <w:bookmarkStart w:id="153" w:name="_Toc184313287"/>
      <w:bookmarkEnd w:id="153"/>
      <w:bookmarkStart w:id="154" w:name="_Toc184308045"/>
      <w:bookmarkEnd w:id="154"/>
      <w:bookmarkStart w:id="155" w:name="_Toc184313272"/>
      <w:bookmarkEnd w:id="155"/>
      <w:bookmarkStart w:id="156" w:name="_Toc184312138"/>
      <w:bookmarkEnd w:id="156"/>
      <w:bookmarkStart w:id="157" w:name="_Toc184312113"/>
      <w:bookmarkEnd w:id="157"/>
      <w:bookmarkStart w:id="158" w:name="_Toc184308093"/>
      <w:bookmarkEnd w:id="158"/>
      <w:bookmarkStart w:id="159" w:name="_Toc184313293"/>
      <w:bookmarkEnd w:id="159"/>
      <w:bookmarkStart w:id="160" w:name="_Toc184314451"/>
      <w:bookmarkEnd w:id="160"/>
      <w:bookmarkStart w:id="161" w:name="_Toc184312119"/>
      <w:bookmarkEnd w:id="161"/>
      <w:bookmarkStart w:id="162" w:name="_Toc184312072"/>
      <w:bookmarkEnd w:id="162"/>
      <w:bookmarkStart w:id="163" w:name="_Toc184312097"/>
      <w:bookmarkEnd w:id="163"/>
      <w:bookmarkStart w:id="164" w:name="_Toc184310306"/>
      <w:bookmarkEnd w:id="164"/>
      <w:bookmarkStart w:id="165" w:name="_Toc184313241"/>
      <w:bookmarkEnd w:id="165"/>
      <w:bookmarkStart w:id="166" w:name="_Toc184308046"/>
      <w:bookmarkEnd w:id="166"/>
      <w:bookmarkStart w:id="167" w:name="_Toc184314482"/>
      <w:bookmarkEnd w:id="167"/>
      <w:bookmarkStart w:id="168" w:name="_Toc184312131"/>
      <w:bookmarkEnd w:id="168"/>
      <w:bookmarkStart w:id="169" w:name="_Toc184312136"/>
      <w:bookmarkEnd w:id="169"/>
      <w:bookmarkStart w:id="170" w:name="_Toc184314467"/>
      <w:bookmarkEnd w:id="170"/>
      <w:bookmarkStart w:id="171" w:name="_Toc184312133"/>
      <w:bookmarkEnd w:id="171"/>
      <w:bookmarkStart w:id="172" w:name="_Toc184313270"/>
      <w:bookmarkEnd w:id="172"/>
      <w:bookmarkStart w:id="173" w:name="_Toc184308099"/>
      <w:bookmarkEnd w:id="173"/>
      <w:bookmarkStart w:id="174" w:name="_Toc184308082"/>
      <w:bookmarkEnd w:id="174"/>
      <w:bookmarkStart w:id="175" w:name="_Toc184312078"/>
      <w:bookmarkEnd w:id="175"/>
      <w:bookmarkStart w:id="176" w:name="_Toc184310330"/>
      <w:bookmarkEnd w:id="176"/>
      <w:bookmarkStart w:id="177" w:name="_Toc184313305"/>
      <w:bookmarkEnd w:id="177"/>
      <w:bookmarkStart w:id="178" w:name="_Toc184308085"/>
      <w:bookmarkEnd w:id="178"/>
      <w:bookmarkStart w:id="179" w:name="_Toc184310305"/>
      <w:bookmarkEnd w:id="179"/>
      <w:bookmarkStart w:id="180" w:name="_Toc184314473"/>
      <w:bookmarkEnd w:id="180"/>
      <w:bookmarkStart w:id="181" w:name="_Toc184314460"/>
      <w:bookmarkEnd w:id="181"/>
      <w:bookmarkStart w:id="182" w:name="_Toc184314481"/>
      <w:bookmarkEnd w:id="182"/>
      <w:bookmarkStart w:id="183" w:name="_Toc184314428"/>
      <w:bookmarkEnd w:id="183"/>
      <w:bookmarkStart w:id="184" w:name="_Toc184310279"/>
      <w:bookmarkEnd w:id="184"/>
      <w:bookmarkStart w:id="185" w:name="_Toc184314476"/>
      <w:bookmarkEnd w:id="185"/>
      <w:bookmarkStart w:id="186" w:name="_Toc184314472"/>
      <w:bookmarkEnd w:id="186"/>
      <w:bookmarkStart w:id="187" w:name="_Toc184314442"/>
      <w:bookmarkEnd w:id="187"/>
      <w:bookmarkStart w:id="188" w:name="_Toc184310335"/>
      <w:bookmarkEnd w:id="188"/>
      <w:bookmarkStart w:id="189" w:name="_Toc184314475"/>
      <w:bookmarkEnd w:id="189"/>
      <w:bookmarkStart w:id="190" w:name="_Toc184310277"/>
      <w:bookmarkEnd w:id="190"/>
      <w:bookmarkStart w:id="191" w:name="_Toc184308058"/>
      <w:bookmarkEnd w:id="191"/>
      <w:bookmarkStart w:id="192" w:name="_Toc184310303"/>
      <w:bookmarkEnd w:id="192"/>
      <w:bookmarkStart w:id="193" w:name="_Toc184310334"/>
      <w:bookmarkEnd w:id="193"/>
      <w:bookmarkStart w:id="194" w:name="_Toc184308079"/>
      <w:bookmarkEnd w:id="194"/>
      <w:bookmarkStart w:id="195" w:name="_Toc184314448"/>
      <w:bookmarkEnd w:id="195"/>
      <w:bookmarkStart w:id="196" w:name="_Toc184308041"/>
      <w:bookmarkEnd w:id="196"/>
      <w:bookmarkStart w:id="197" w:name="_Toc184308105"/>
      <w:bookmarkEnd w:id="197"/>
      <w:bookmarkStart w:id="198" w:name="_Toc184312102"/>
      <w:bookmarkEnd w:id="198"/>
      <w:bookmarkStart w:id="199" w:name="_Toc184308044"/>
      <w:bookmarkEnd w:id="199"/>
      <w:bookmarkStart w:id="200" w:name="_Toc184313245"/>
      <w:bookmarkEnd w:id="200"/>
      <w:bookmarkStart w:id="201" w:name="_Toc184310302"/>
      <w:bookmarkEnd w:id="201"/>
      <w:bookmarkStart w:id="202" w:name="_Toc184308108"/>
      <w:bookmarkEnd w:id="202"/>
      <w:bookmarkStart w:id="203" w:name="_Toc184310275"/>
      <w:bookmarkEnd w:id="203"/>
      <w:bookmarkStart w:id="204" w:name="_Toc184313252"/>
      <w:bookmarkEnd w:id="204"/>
      <w:bookmarkStart w:id="205" w:name="_Toc184314435"/>
      <w:bookmarkEnd w:id="205"/>
      <w:bookmarkStart w:id="206" w:name="_Toc184313284"/>
      <w:bookmarkEnd w:id="206"/>
      <w:bookmarkStart w:id="207" w:name="_Toc184312114"/>
      <w:bookmarkEnd w:id="207"/>
      <w:bookmarkStart w:id="208" w:name="_Toc184313267"/>
      <w:bookmarkEnd w:id="208"/>
      <w:bookmarkStart w:id="209" w:name="_Toc184310297"/>
      <w:bookmarkEnd w:id="209"/>
      <w:bookmarkStart w:id="210" w:name="_Toc184312068"/>
      <w:bookmarkEnd w:id="210"/>
      <w:bookmarkStart w:id="211" w:name="_Toc184310324"/>
      <w:bookmarkEnd w:id="211"/>
      <w:bookmarkStart w:id="212" w:name="_Toc184314434"/>
      <w:bookmarkEnd w:id="212"/>
      <w:bookmarkStart w:id="213" w:name="_Toc184312086"/>
      <w:bookmarkEnd w:id="213"/>
      <w:bookmarkStart w:id="214" w:name="_Toc184313283"/>
      <w:bookmarkEnd w:id="214"/>
      <w:bookmarkStart w:id="215" w:name="_Toc184308037"/>
      <w:bookmarkEnd w:id="215"/>
      <w:bookmarkStart w:id="216" w:name="_Toc184312092"/>
      <w:bookmarkEnd w:id="216"/>
      <w:bookmarkStart w:id="217" w:name="_Toc184308084"/>
      <w:bookmarkEnd w:id="217"/>
      <w:bookmarkStart w:id="218" w:name="_Toc184308072"/>
      <w:bookmarkEnd w:id="218"/>
      <w:bookmarkStart w:id="219" w:name="_Toc184310280"/>
      <w:bookmarkEnd w:id="219"/>
      <w:bookmarkStart w:id="220" w:name="_Toc184308064"/>
      <w:bookmarkEnd w:id="220"/>
      <w:bookmarkStart w:id="221" w:name="_Toc184308049"/>
      <w:bookmarkEnd w:id="221"/>
      <w:bookmarkStart w:id="222" w:name="_Toc184312071"/>
      <w:bookmarkEnd w:id="222"/>
      <w:bookmarkStart w:id="223" w:name="_Toc184313251"/>
      <w:bookmarkEnd w:id="223"/>
      <w:bookmarkStart w:id="224" w:name="_Toc184310344"/>
      <w:bookmarkEnd w:id="224"/>
      <w:bookmarkStart w:id="225" w:name="_Toc184308055"/>
      <w:bookmarkEnd w:id="225"/>
      <w:bookmarkStart w:id="226" w:name="_Toc184308054"/>
      <w:bookmarkEnd w:id="226"/>
      <w:bookmarkStart w:id="227" w:name="_Toc184312099"/>
      <w:bookmarkEnd w:id="227"/>
      <w:bookmarkStart w:id="228" w:name="_Toc184308104"/>
      <w:bookmarkEnd w:id="228"/>
      <w:bookmarkStart w:id="229" w:name="_Toc184308065"/>
      <w:bookmarkEnd w:id="229"/>
      <w:bookmarkStart w:id="230" w:name="_Toc184308095"/>
      <w:bookmarkEnd w:id="230"/>
      <w:bookmarkStart w:id="231" w:name="_Toc184310338"/>
      <w:bookmarkEnd w:id="231"/>
      <w:bookmarkStart w:id="232" w:name="_Toc184308080"/>
      <w:bookmarkEnd w:id="232"/>
      <w:bookmarkStart w:id="233" w:name="_Toc184308083"/>
      <w:bookmarkEnd w:id="233"/>
      <w:bookmarkStart w:id="234" w:name="_Toc184308077"/>
      <w:bookmarkEnd w:id="234"/>
      <w:bookmarkStart w:id="235" w:name="_Toc184308052"/>
      <w:bookmarkEnd w:id="235"/>
      <w:bookmarkStart w:id="236" w:name="_Toc184314456"/>
      <w:bookmarkEnd w:id="236"/>
      <w:bookmarkStart w:id="237" w:name="_Toc184314429"/>
      <w:bookmarkEnd w:id="237"/>
      <w:bookmarkStart w:id="238" w:name="_Toc184313295"/>
      <w:bookmarkEnd w:id="238"/>
      <w:bookmarkStart w:id="239" w:name="_Toc184310316"/>
      <w:bookmarkEnd w:id="239"/>
      <w:bookmarkStart w:id="240" w:name="_Toc184308069"/>
      <w:bookmarkEnd w:id="240"/>
      <w:bookmarkStart w:id="241" w:name="_Toc184314469"/>
      <w:bookmarkEnd w:id="241"/>
      <w:bookmarkStart w:id="242" w:name="_Toc184312108"/>
      <w:bookmarkEnd w:id="242"/>
      <w:bookmarkStart w:id="243" w:name="_Toc184313248"/>
      <w:bookmarkEnd w:id="243"/>
      <w:bookmarkStart w:id="244" w:name="_Toc184312096"/>
      <w:bookmarkEnd w:id="244"/>
      <w:bookmarkStart w:id="245" w:name="_Toc184308061"/>
      <w:bookmarkEnd w:id="245"/>
      <w:bookmarkStart w:id="246" w:name="_Toc184313282"/>
      <w:bookmarkEnd w:id="246"/>
      <w:bookmarkStart w:id="247" w:name="_Toc184310337"/>
      <w:bookmarkEnd w:id="247"/>
      <w:bookmarkStart w:id="248" w:name="_Toc184313281"/>
      <w:bookmarkEnd w:id="248"/>
      <w:bookmarkStart w:id="249" w:name="_Toc184312125"/>
      <w:bookmarkEnd w:id="249"/>
      <w:bookmarkStart w:id="250" w:name="_Toc184314421"/>
      <w:bookmarkEnd w:id="250"/>
      <w:bookmarkStart w:id="251" w:name="_Toc184312067"/>
      <w:bookmarkEnd w:id="251"/>
      <w:bookmarkStart w:id="252" w:name="_Toc184312089"/>
      <w:bookmarkEnd w:id="252"/>
      <w:bookmarkStart w:id="253" w:name="_Toc184313262"/>
      <w:bookmarkEnd w:id="253"/>
      <w:bookmarkStart w:id="254" w:name="_Toc184313253"/>
      <w:bookmarkEnd w:id="254"/>
      <w:bookmarkStart w:id="255" w:name="_Toc184312082"/>
      <w:bookmarkEnd w:id="255"/>
      <w:bookmarkStart w:id="256" w:name="_Toc184313292"/>
      <w:bookmarkEnd w:id="256"/>
      <w:bookmarkStart w:id="257" w:name="_Toc184314443"/>
      <w:bookmarkEnd w:id="257"/>
      <w:bookmarkStart w:id="258" w:name="_Toc184313308"/>
      <w:bookmarkEnd w:id="258"/>
      <w:bookmarkStart w:id="259" w:name="_Toc184314413"/>
      <w:bookmarkEnd w:id="259"/>
      <w:bookmarkStart w:id="260" w:name="_Toc184310299"/>
      <w:bookmarkEnd w:id="260"/>
      <w:bookmarkStart w:id="261" w:name="_Toc184308059"/>
      <w:bookmarkEnd w:id="261"/>
      <w:bookmarkStart w:id="262" w:name="_Toc184310298"/>
      <w:bookmarkEnd w:id="262"/>
      <w:bookmarkStart w:id="263" w:name="_Toc184308068"/>
      <w:bookmarkEnd w:id="263"/>
      <w:bookmarkStart w:id="264" w:name="_Toc184312083"/>
      <w:bookmarkEnd w:id="264"/>
      <w:bookmarkStart w:id="265" w:name="_Toc184313273"/>
      <w:bookmarkEnd w:id="265"/>
      <w:bookmarkStart w:id="266" w:name="_Toc184312110"/>
      <w:bookmarkEnd w:id="266"/>
      <w:bookmarkStart w:id="267" w:name="_Toc184310317"/>
      <w:bookmarkEnd w:id="267"/>
      <w:bookmarkStart w:id="268" w:name="_Toc184314458"/>
      <w:bookmarkEnd w:id="268"/>
      <w:bookmarkStart w:id="269" w:name="_Toc184310307"/>
      <w:bookmarkEnd w:id="269"/>
      <w:bookmarkStart w:id="270" w:name="_Toc184310318"/>
      <w:bookmarkEnd w:id="270"/>
      <w:bookmarkStart w:id="271" w:name="_Toc184312079"/>
      <w:bookmarkEnd w:id="271"/>
      <w:bookmarkStart w:id="272" w:name="_Toc184312111"/>
      <w:bookmarkEnd w:id="272"/>
      <w:bookmarkStart w:id="273" w:name="_Toc184314433"/>
      <w:bookmarkEnd w:id="273"/>
      <w:bookmarkStart w:id="274" w:name="_Toc184310332"/>
      <w:bookmarkEnd w:id="274"/>
      <w:bookmarkStart w:id="275" w:name="_Toc184312073"/>
      <w:bookmarkEnd w:id="275"/>
      <w:bookmarkStart w:id="276" w:name="_Toc184314412"/>
      <w:bookmarkEnd w:id="276"/>
      <w:bookmarkStart w:id="277" w:name="_Toc184313247"/>
      <w:bookmarkEnd w:id="277"/>
      <w:bookmarkStart w:id="278" w:name="_Toc184314471"/>
      <w:bookmarkEnd w:id="278"/>
      <w:bookmarkStart w:id="279" w:name="_Toc184312115"/>
      <w:bookmarkEnd w:id="279"/>
      <w:bookmarkStart w:id="280" w:name="_Toc184308090"/>
      <w:bookmarkEnd w:id="280"/>
      <w:bookmarkStart w:id="281" w:name="_Toc184308107"/>
      <w:bookmarkEnd w:id="281"/>
      <w:bookmarkStart w:id="282" w:name="_Toc184308076"/>
      <w:bookmarkEnd w:id="282"/>
      <w:bookmarkStart w:id="283" w:name="_Toc184312084"/>
      <w:bookmarkEnd w:id="283"/>
      <w:bookmarkStart w:id="284" w:name="_Toc184310278"/>
      <w:bookmarkEnd w:id="284"/>
      <w:bookmarkStart w:id="285" w:name="_Toc184308067"/>
      <w:bookmarkEnd w:id="285"/>
      <w:bookmarkStart w:id="286" w:name="_Toc184312120"/>
      <w:bookmarkEnd w:id="286"/>
      <w:bookmarkStart w:id="287" w:name="_Toc184314430"/>
      <w:bookmarkEnd w:id="287"/>
      <w:bookmarkStart w:id="288" w:name="_Toc184310290"/>
      <w:bookmarkEnd w:id="288"/>
      <w:bookmarkStart w:id="289" w:name="_Toc184313306"/>
      <w:bookmarkEnd w:id="289"/>
      <w:bookmarkStart w:id="290" w:name="_Toc184313297"/>
      <w:bookmarkEnd w:id="290"/>
      <w:bookmarkStart w:id="291" w:name="_Toc184308075"/>
      <w:bookmarkEnd w:id="291"/>
      <w:bookmarkStart w:id="292" w:name="_Toc184313243"/>
      <w:bookmarkEnd w:id="292"/>
      <w:bookmarkStart w:id="293" w:name="_Toc184308089"/>
      <w:bookmarkEnd w:id="293"/>
      <w:bookmarkStart w:id="294" w:name="_Toc184310301"/>
      <w:bookmarkEnd w:id="294"/>
      <w:bookmarkStart w:id="295" w:name="_Toc184308047"/>
      <w:bookmarkEnd w:id="295"/>
      <w:bookmarkStart w:id="296" w:name="_Toc184308051"/>
      <w:bookmarkEnd w:id="296"/>
      <w:bookmarkStart w:id="297" w:name="_Toc184308066"/>
      <w:bookmarkEnd w:id="297"/>
      <w:bookmarkStart w:id="298" w:name="_Toc184310322"/>
      <w:bookmarkEnd w:id="298"/>
      <w:bookmarkStart w:id="299" w:name="_Toc184310343"/>
      <w:bookmarkEnd w:id="299"/>
      <w:bookmarkStart w:id="300" w:name="_Toc184313296"/>
      <w:bookmarkEnd w:id="300"/>
      <w:bookmarkStart w:id="301" w:name="_Toc184310288"/>
      <w:bookmarkEnd w:id="301"/>
      <w:bookmarkStart w:id="302" w:name="_Toc184313309"/>
      <w:bookmarkEnd w:id="302"/>
      <w:bookmarkStart w:id="303" w:name="_Toc184313240"/>
      <w:bookmarkEnd w:id="303"/>
      <w:bookmarkStart w:id="304" w:name="_Toc184312103"/>
      <w:bookmarkEnd w:id="304"/>
      <w:bookmarkStart w:id="305" w:name="_Toc184310336"/>
      <w:bookmarkEnd w:id="305"/>
      <w:bookmarkStart w:id="306" w:name="_Toc184312095"/>
      <w:bookmarkEnd w:id="306"/>
      <w:bookmarkStart w:id="307" w:name="_Toc184312137"/>
      <w:bookmarkEnd w:id="307"/>
      <w:bookmarkStart w:id="308" w:name="_Toc184310311"/>
      <w:bookmarkEnd w:id="308"/>
      <w:bookmarkStart w:id="309" w:name="_Toc184308094"/>
      <w:bookmarkEnd w:id="309"/>
      <w:bookmarkStart w:id="310" w:name="_Toc184310320"/>
      <w:bookmarkEnd w:id="310"/>
      <w:bookmarkStart w:id="311" w:name="_Toc184308039"/>
      <w:bookmarkEnd w:id="311"/>
      <w:bookmarkStart w:id="312" w:name="_Toc184314441"/>
      <w:bookmarkEnd w:id="312"/>
      <w:bookmarkStart w:id="313" w:name="_Toc184313258"/>
      <w:bookmarkEnd w:id="313"/>
      <w:bookmarkStart w:id="314" w:name="_Toc184313242"/>
      <w:bookmarkEnd w:id="314"/>
      <w:bookmarkStart w:id="315" w:name="_Toc184312117"/>
      <w:bookmarkEnd w:id="315"/>
      <w:bookmarkStart w:id="316" w:name="_Toc184314432"/>
      <w:bookmarkEnd w:id="316"/>
      <w:bookmarkStart w:id="317" w:name="_Toc184312130"/>
      <w:bookmarkEnd w:id="317"/>
      <w:bookmarkStart w:id="318" w:name="_Toc184314452"/>
      <w:bookmarkEnd w:id="318"/>
      <w:bookmarkStart w:id="319" w:name="_Toc184313275"/>
      <w:bookmarkEnd w:id="319"/>
      <w:bookmarkStart w:id="320" w:name="_Toc184313256"/>
      <w:bookmarkEnd w:id="320"/>
      <w:bookmarkStart w:id="321" w:name="_Toc184313238"/>
      <w:bookmarkEnd w:id="321"/>
      <w:bookmarkStart w:id="322" w:name="_Toc184308053"/>
      <w:bookmarkEnd w:id="322"/>
      <w:bookmarkStart w:id="323" w:name="_Toc184308050"/>
      <w:bookmarkEnd w:id="323"/>
      <w:bookmarkStart w:id="324" w:name="_Toc184310329"/>
      <w:bookmarkEnd w:id="324"/>
      <w:bookmarkStart w:id="325" w:name="_Toc184313249"/>
      <w:bookmarkEnd w:id="325"/>
      <w:bookmarkStart w:id="326" w:name="_Toc184313286"/>
      <w:bookmarkEnd w:id="326"/>
      <w:bookmarkStart w:id="327" w:name="_Toc184313269"/>
      <w:bookmarkEnd w:id="327"/>
      <w:bookmarkStart w:id="328" w:name="_Toc184312127"/>
      <w:bookmarkEnd w:id="328"/>
      <w:bookmarkStart w:id="329" w:name="_Toc184310274"/>
      <w:bookmarkEnd w:id="329"/>
      <w:bookmarkStart w:id="330" w:name="_Toc184308100"/>
      <w:bookmarkEnd w:id="330"/>
      <w:bookmarkStart w:id="331" w:name="_Toc184312091"/>
      <w:bookmarkEnd w:id="331"/>
      <w:bookmarkStart w:id="332" w:name="_Toc184312112"/>
      <w:bookmarkEnd w:id="332"/>
      <w:bookmarkStart w:id="333" w:name="_Toc184314450"/>
      <w:bookmarkEnd w:id="333"/>
      <w:bookmarkStart w:id="334" w:name="_Toc184308081"/>
      <w:bookmarkEnd w:id="334"/>
      <w:bookmarkStart w:id="335" w:name="_Toc184308097"/>
      <w:bookmarkEnd w:id="335"/>
      <w:bookmarkStart w:id="336" w:name="_Toc184313276"/>
      <w:bookmarkEnd w:id="336"/>
      <w:bookmarkStart w:id="337" w:name="_Toc184310294"/>
      <w:bookmarkEnd w:id="337"/>
      <w:bookmarkStart w:id="338" w:name="_Toc184308057"/>
      <w:bookmarkEnd w:id="338"/>
      <w:bookmarkStart w:id="339" w:name="_Toc184313259"/>
      <w:bookmarkEnd w:id="339"/>
      <w:bookmarkStart w:id="340" w:name="_Toc184312116"/>
      <w:bookmarkEnd w:id="340"/>
      <w:bookmarkStart w:id="341" w:name="_Toc184313277"/>
      <w:bookmarkEnd w:id="341"/>
      <w:bookmarkStart w:id="342" w:name="_Toc184308063"/>
      <w:bookmarkEnd w:id="342"/>
      <w:bookmarkStart w:id="343" w:name="_Toc184310313"/>
      <w:bookmarkEnd w:id="343"/>
      <w:bookmarkStart w:id="344" w:name="_Toc184310292"/>
      <w:bookmarkEnd w:id="344"/>
      <w:bookmarkStart w:id="345" w:name="_Toc184310283"/>
      <w:bookmarkEnd w:id="345"/>
      <w:bookmarkStart w:id="346" w:name="_Toc184310325"/>
      <w:bookmarkEnd w:id="346"/>
      <w:bookmarkStart w:id="347" w:name="_Toc184308042"/>
      <w:bookmarkEnd w:id="347"/>
      <w:bookmarkStart w:id="348" w:name="_Toc184308036"/>
      <w:bookmarkEnd w:id="348"/>
      <w:bookmarkStart w:id="349" w:name="_Toc184310304"/>
      <w:bookmarkEnd w:id="349"/>
      <w:bookmarkStart w:id="350" w:name="_Toc184308091"/>
      <w:bookmarkEnd w:id="350"/>
      <w:bookmarkStart w:id="351" w:name="_Toc184310308"/>
      <w:bookmarkEnd w:id="351"/>
      <w:bookmarkStart w:id="352" w:name="_Toc184314455"/>
      <w:bookmarkEnd w:id="352"/>
      <w:bookmarkStart w:id="353" w:name="_Toc184310287"/>
      <w:bookmarkEnd w:id="353"/>
      <w:bookmarkStart w:id="354" w:name="_Toc184313254"/>
      <w:bookmarkEnd w:id="354"/>
      <w:bookmarkStart w:id="355" w:name="_Toc184312106"/>
      <w:bookmarkEnd w:id="355"/>
      <w:bookmarkStart w:id="356" w:name="_Toc184314480"/>
      <w:bookmarkEnd w:id="356"/>
      <w:bookmarkStart w:id="357" w:name="_Toc184308038"/>
      <w:bookmarkEnd w:id="357"/>
      <w:bookmarkStart w:id="358" w:name="_Toc184313244"/>
      <w:bookmarkEnd w:id="358"/>
      <w:bookmarkStart w:id="359" w:name="_Toc184310323"/>
      <w:bookmarkEnd w:id="359"/>
      <w:bookmarkStart w:id="360" w:name="_Toc184313264"/>
      <w:bookmarkEnd w:id="360"/>
      <w:bookmarkStart w:id="361" w:name="_Toc184308071"/>
      <w:bookmarkEnd w:id="361"/>
      <w:bookmarkStart w:id="362" w:name="_Toc184312109"/>
      <w:bookmarkEnd w:id="362"/>
      <w:bookmarkStart w:id="363" w:name="_Toc184314424"/>
      <w:bookmarkEnd w:id="363"/>
      <w:bookmarkStart w:id="364" w:name="_Toc184312118"/>
      <w:bookmarkEnd w:id="364"/>
      <w:bookmarkStart w:id="365" w:name="_Toc184314417"/>
      <w:bookmarkEnd w:id="365"/>
      <w:bookmarkStart w:id="366" w:name="_Toc184314447"/>
      <w:bookmarkEnd w:id="366"/>
      <w:bookmarkStart w:id="367" w:name="_Toc184312090"/>
      <w:bookmarkEnd w:id="367"/>
      <w:bookmarkStart w:id="368" w:name="_Toc184313279"/>
      <w:bookmarkEnd w:id="368"/>
      <w:bookmarkStart w:id="369" w:name="_Toc184312121"/>
      <w:bookmarkEnd w:id="369"/>
      <w:bookmarkStart w:id="370" w:name="_Toc184313266"/>
      <w:bookmarkEnd w:id="370"/>
      <w:bookmarkStart w:id="371" w:name="_Toc184310309"/>
      <w:bookmarkEnd w:id="371"/>
      <w:bookmarkStart w:id="372" w:name="_Toc184310326"/>
      <w:bookmarkEnd w:id="372"/>
      <w:bookmarkStart w:id="373" w:name="_Toc184308092"/>
      <w:bookmarkEnd w:id="373"/>
      <w:bookmarkStart w:id="374" w:name="_Toc184313239"/>
      <w:bookmarkEnd w:id="374"/>
      <w:bookmarkStart w:id="375" w:name="_Toc184310314"/>
      <w:bookmarkEnd w:id="375"/>
      <w:bookmarkStart w:id="376" w:name="_Toc184313246"/>
      <w:bookmarkEnd w:id="376"/>
      <w:bookmarkStart w:id="377" w:name="_Toc184308048"/>
      <w:bookmarkEnd w:id="377"/>
      <w:bookmarkStart w:id="378" w:name="_Toc184310284"/>
      <w:bookmarkEnd w:id="378"/>
      <w:bookmarkStart w:id="379" w:name="_Toc184313268"/>
      <w:bookmarkEnd w:id="379"/>
      <w:bookmarkStart w:id="380" w:name="_Toc184308096"/>
      <w:bookmarkEnd w:id="380"/>
      <w:bookmarkStart w:id="381" w:name="_Toc184313300"/>
      <w:bookmarkEnd w:id="381"/>
      <w:bookmarkStart w:id="382" w:name="_Toc184313303"/>
      <w:bookmarkEnd w:id="382"/>
      <w:bookmarkStart w:id="383" w:name="_Toc184314426"/>
      <w:bookmarkEnd w:id="383"/>
      <w:bookmarkStart w:id="384" w:name="_Toc184313291"/>
      <w:bookmarkEnd w:id="384"/>
      <w:bookmarkStart w:id="385" w:name="_Toc184308073"/>
      <w:bookmarkEnd w:id="385"/>
      <w:bookmarkStart w:id="386" w:name="_Toc184314464"/>
      <w:bookmarkEnd w:id="386"/>
      <w:bookmarkStart w:id="387" w:name="_Toc184312075"/>
      <w:bookmarkEnd w:id="387"/>
      <w:bookmarkStart w:id="388" w:name="_Toc184312128"/>
      <w:bookmarkEnd w:id="388"/>
      <w:bookmarkStart w:id="389" w:name="_Toc184310286"/>
      <w:bookmarkEnd w:id="389"/>
      <w:bookmarkStart w:id="390" w:name="_Toc184312070"/>
      <w:bookmarkEnd w:id="390"/>
      <w:bookmarkStart w:id="391" w:name="_Toc184314478"/>
      <w:bookmarkEnd w:id="391"/>
      <w:bookmarkStart w:id="392" w:name="_Toc184314439"/>
      <w:bookmarkEnd w:id="392"/>
      <w:bookmarkStart w:id="393" w:name="_Toc184313278"/>
      <w:bookmarkEnd w:id="393"/>
      <w:bookmarkStart w:id="394" w:name="_Toc184314419"/>
      <w:bookmarkEnd w:id="394"/>
      <w:bookmarkStart w:id="395" w:name="_Toc184310293"/>
      <w:bookmarkEnd w:id="395"/>
      <w:bookmarkStart w:id="396" w:name="_Toc184313301"/>
      <w:bookmarkEnd w:id="396"/>
      <w:bookmarkStart w:id="397" w:name="_Toc184314425"/>
      <w:bookmarkEnd w:id="397"/>
      <w:bookmarkStart w:id="398" w:name="_Toc184312104"/>
      <w:bookmarkEnd w:id="398"/>
      <w:bookmarkStart w:id="399" w:name="_Toc184313290"/>
      <w:bookmarkEnd w:id="399"/>
      <w:bookmarkStart w:id="400" w:name="_Toc184312098"/>
      <w:bookmarkEnd w:id="400"/>
      <w:bookmarkStart w:id="401" w:name="_Toc184313265"/>
      <w:bookmarkEnd w:id="401"/>
      <w:bookmarkStart w:id="402" w:name="_Toc184313302"/>
      <w:bookmarkEnd w:id="402"/>
      <w:bookmarkStart w:id="403" w:name="_Toc184313271"/>
      <w:bookmarkEnd w:id="403"/>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评标办法</w:t>
      </w:r>
    </w:p>
    <w:p w14:paraId="62DA4B3A">
      <w:pPr>
        <w:snapToGrid w:val="0"/>
        <w:spacing w:line="360" w:lineRule="auto"/>
        <w:jc w:val="center"/>
        <w:rPr>
          <w:rFonts w:ascii="宋体" w:hAnsi="宋体" w:cs="仿宋"/>
          <w:b/>
          <w:bCs/>
          <w:color w:val="auto"/>
          <w:sz w:val="24"/>
          <w:highlight w:val="none"/>
        </w:rPr>
      </w:pPr>
      <w:r>
        <w:rPr>
          <w:rFonts w:hint="eastAsia" w:ascii="宋体" w:hAnsi="宋体" w:cs="宋体"/>
          <w:b/>
          <w:color w:val="auto"/>
          <w:sz w:val="32"/>
          <w:szCs w:val="20"/>
          <w:highlight w:val="none"/>
        </w:rPr>
        <w:t>评标办法前附表</w:t>
      </w:r>
    </w:p>
    <w:p w14:paraId="11F9B9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w:t>
      </w:r>
      <w:r>
        <w:rPr>
          <w:rFonts w:hint="eastAsia" w:ascii="宋体" w:hAnsi="宋体" w:cs="宋体"/>
          <w:color w:val="auto"/>
          <w:sz w:val="24"/>
          <w:highlight w:val="none"/>
          <w:lang w:val="en-US" w:eastAsia="zh-CN"/>
        </w:rPr>
        <w:t>技术部分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分）</w:t>
      </w:r>
    </w:p>
    <w:tbl>
      <w:tblPr>
        <w:tblStyle w:val="63"/>
        <w:tblpPr w:leftFromText="180" w:rightFromText="180" w:vertAnchor="text" w:horzAnchor="page" w:tblpX="1255" w:tblpY="126"/>
        <w:tblW w:w="55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51"/>
        <w:gridCol w:w="12"/>
        <w:gridCol w:w="6230"/>
        <w:gridCol w:w="930"/>
        <w:gridCol w:w="990"/>
        <w:gridCol w:w="6"/>
      </w:tblGrid>
      <w:tr w14:paraId="3D73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4" w:type="pct"/>
            <w:vAlign w:val="center"/>
          </w:tcPr>
          <w:p w14:paraId="5B63EA30">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728" w:type="pct"/>
            <w:gridSpan w:val="3"/>
            <w:vAlign w:val="center"/>
          </w:tcPr>
          <w:p w14:paraId="5828276C">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评分内容和标准</w:t>
            </w:r>
          </w:p>
        </w:tc>
        <w:tc>
          <w:tcPr>
            <w:tcW w:w="495" w:type="pct"/>
            <w:vAlign w:val="center"/>
          </w:tcPr>
          <w:p w14:paraId="334AA6BA">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权重/分值</w:t>
            </w:r>
          </w:p>
        </w:tc>
        <w:tc>
          <w:tcPr>
            <w:tcW w:w="531" w:type="pct"/>
            <w:gridSpan w:val="2"/>
            <w:vAlign w:val="center"/>
          </w:tcPr>
          <w:p w14:paraId="0237C57E">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主/客观分</w:t>
            </w:r>
          </w:p>
        </w:tc>
      </w:tr>
      <w:tr w14:paraId="685E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44" w:type="pct"/>
            <w:vAlign w:val="center"/>
          </w:tcPr>
          <w:p w14:paraId="464DBDF3">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28" w:type="pct"/>
            <w:gridSpan w:val="3"/>
            <w:vAlign w:val="center"/>
          </w:tcPr>
          <w:p w14:paraId="670E7747">
            <w:pPr>
              <w:keepNext w:val="0"/>
              <w:keepLines w:val="0"/>
              <w:pageBreakBefore w:val="0"/>
              <w:widowControl/>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投标人自</w:t>
            </w:r>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rPr>
              <w:t>1月1日（时间以合同签订为准）以来，</w:t>
            </w:r>
            <w:r>
              <w:rPr>
                <w:rFonts w:hint="eastAsia" w:ascii="宋体" w:hAnsi="宋体" w:eastAsia="宋体" w:cs="宋体"/>
                <w:color w:val="auto"/>
                <w:kern w:val="0"/>
                <w:sz w:val="24"/>
                <w:szCs w:val="24"/>
                <w:highlight w:val="none"/>
                <w:lang w:val="en-US" w:eastAsia="zh-CN"/>
              </w:rPr>
              <w:t>承担过</w:t>
            </w:r>
            <w:r>
              <w:rPr>
                <w:rFonts w:hint="eastAsia" w:ascii="宋体" w:hAnsi="宋体" w:cs="宋体"/>
                <w:color w:val="auto"/>
                <w:kern w:val="0"/>
                <w:sz w:val="24"/>
                <w:szCs w:val="24"/>
                <w:highlight w:val="none"/>
                <w:lang w:val="en-US" w:eastAsia="zh-CN"/>
              </w:rPr>
              <w:t>道路交通治理安保</w:t>
            </w:r>
            <w:r>
              <w:rPr>
                <w:rFonts w:hint="eastAsia" w:ascii="宋体" w:hAnsi="宋体" w:eastAsia="宋体" w:cs="宋体"/>
                <w:color w:val="auto"/>
                <w:kern w:val="0"/>
                <w:sz w:val="24"/>
                <w:szCs w:val="24"/>
                <w:highlight w:val="none"/>
              </w:rPr>
              <w:t>项目业绩</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每个得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证明材料：提供合同</w:t>
            </w:r>
            <w:r>
              <w:rPr>
                <w:rFonts w:hint="eastAsia" w:ascii="宋体" w:hAnsi="宋体" w:eastAsia="宋体" w:cs="宋体"/>
                <w:color w:val="auto"/>
                <w:kern w:val="0"/>
                <w:sz w:val="24"/>
                <w:szCs w:val="24"/>
                <w:highlight w:val="none"/>
              </w:rPr>
              <w:t>）</w:t>
            </w:r>
          </w:p>
          <w:p w14:paraId="13AE131E">
            <w:pPr>
              <w:keepNext w:val="0"/>
              <w:keepLines w:val="0"/>
              <w:pageBreakBefore w:val="0"/>
              <w:widowControl/>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注：一个单位分年度多次签订的业绩，只计入1个业绩；同一个项目，分两期或以上服务完成的，只计入1个业绩。</w:t>
            </w:r>
          </w:p>
        </w:tc>
        <w:tc>
          <w:tcPr>
            <w:tcW w:w="495" w:type="pct"/>
            <w:vAlign w:val="center"/>
          </w:tcPr>
          <w:p w14:paraId="0E43E6F0">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531" w:type="pct"/>
            <w:gridSpan w:val="2"/>
            <w:vAlign w:val="center"/>
          </w:tcPr>
          <w:p w14:paraId="73A83D4E">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BCE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44" w:type="pct"/>
            <w:vAlign w:val="center"/>
          </w:tcPr>
          <w:p w14:paraId="1668FDED">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28" w:type="pct"/>
            <w:gridSpan w:val="3"/>
            <w:vAlign w:val="center"/>
          </w:tcPr>
          <w:p w14:paraId="72E2F37F">
            <w:pPr>
              <w:keepNext w:val="0"/>
              <w:keepLines w:val="0"/>
              <w:pageBreakBefore w:val="0"/>
              <w:widowControl/>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具</w:t>
            </w:r>
            <w:r>
              <w:rPr>
                <w:rFonts w:hint="eastAsia" w:ascii="宋体" w:hAnsi="宋体" w:eastAsia="宋体" w:cs="宋体"/>
                <w:color w:val="auto"/>
                <w:kern w:val="0"/>
                <w:sz w:val="24"/>
                <w:szCs w:val="24"/>
                <w:highlight w:val="none"/>
                <w:lang w:val="en-US" w:eastAsia="zh-CN"/>
              </w:rPr>
              <w:t>有</w:t>
            </w:r>
            <w:r>
              <w:rPr>
                <w:rFonts w:hint="eastAsia" w:ascii="宋体" w:hAnsi="宋体" w:eastAsia="宋体" w:cs="宋体"/>
                <w:color w:val="auto"/>
                <w:kern w:val="0"/>
                <w:sz w:val="24"/>
                <w:szCs w:val="24"/>
                <w:highlight w:val="none"/>
              </w:rPr>
              <w:t>质量管理体系认证证书、环境管理体系认证证书、职业健康安全管理体系认证证书，且均在有效期内的，</w:t>
            </w:r>
            <w:r>
              <w:rPr>
                <w:rFonts w:hint="eastAsia" w:ascii="宋体" w:hAnsi="宋体" w:eastAsia="宋体" w:cs="宋体"/>
                <w:color w:val="auto"/>
                <w:kern w:val="0"/>
                <w:sz w:val="24"/>
                <w:szCs w:val="24"/>
                <w:highlight w:val="none"/>
                <w:lang w:val="en-US" w:eastAsia="zh-CN"/>
              </w:rPr>
              <w:t>每提供一个得1分，最高得3分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证明材料：提供证书</w:t>
            </w:r>
            <w:r>
              <w:rPr>
                <w:rFonts w:hint="eastAsia" w:ascii="宋体" w:hAnsi="宋体" w:cs="宋体"/>
                <w:color w:val="auto"/>
                <w:sz w:val="24"/>
                <w:highlight w:val="none"/>
              </w:rPr>
              <w:t>，不提供不得分</w:t>
            </w:r>
            <w:r>
              <w:rPr>
                <w:rFonts w:hint="eastAsia" w:ascii="宋体" w:hAnsi="宋体" w:eastAsia="宋体" w:cs="宋体"/>
                <w:color w:val="auto"/>
                <w:kern w:val="0"/>
                <w:sz w:val="24"/>
                <w:szCs w:val="24"/>
                <w:highlight w:val="none"/>
                <w:lang w:val="en-US" w:eastAsia="zh-CN"/>
              </w:rPr>
              <w:t>）</w:t>
            </w:r>
          </w:p>
        </w:tc>
        <w:tc>
          <w:tcPr>
            <w:tcW w:w="495" w:type="pct"/>
            <w:vAlign w:val="center"/>
          </w:tcPr>
          <w:p w14:paraId="0568AACE">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531" w:type="pct"/>
            <w:gridSpan w:val="2"/>
            <w:vAlign w:val="center"/>
          </w:tcPr>
          <w:p w14:paraId="6C458CA1">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5BF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901" w:hRule="atLeast"/>
        </w:trPr>
        <w:tc>
          <w:tcPr>
            <w:tcW w:w="244" w:type="pct"/>
            <w:vMerge w:val="restart"/>
            <w:vAlign w:val="center"/>
          </w:tcPr>
          <w:p w14:paraId="6FC985A5">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00" w:type="pct"/>
            <w:vMerge w:val="restart"/>
            <w:vAlign w:val="center"/>
          </w:tcPr>
          <w:p w14:paraId="38092A3C">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管理团队力量及人员装备配置</w:t>
            </w:r>
          </w:p>
        </w:tc>
        <w:tc>
          <w:tcPr>
            <w:tcW w:w="3328" w:type="pct"/>
            <w:gridSpan w:val="2"/>
            <w:vAlign w:val="center"/>
          </w:tcPr>
          <w:p w14:paraId="422C9963">
            <w:pPr>
              <w:keepNext w:val="0"/>
              <w:keepLines w:val="0"/>
              <w:pageBreakBefore w:val="0"/>
              <w:widowControl/>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项目负责人</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rPr>
              <w:t>为5</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周岁以下，拥有大专及以上学历，得1分；拥有一级保安员</w:t>
            </w:r>
            <w:r>
              <w:rPr>
                <w:rFonts w:hint="eastAsia" w:ascii="宋体" w:hAnsi="宋体" w:eastAsia="宋体" w:cs="宋体"/>
                <w:color w:val="auto"/>
                <w:sz w:val="24"/>
                <w:szCs w:val="24"/>
                <w:highlight w:val="none"/>
              </w:rPr>
              <w:t>证书，得2分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拥有二级保安员</w:t>
            </w:r>
            <w:r>
              <w:rPr>
                <w:rFonts w:hint="eastAsia" w:ascii="宋体" w:hAnsi="宋体" w:eastAsia="宋体" w:cs="宋体"/>
                <w:color w:val="auto"/>
                <w:sz w:val="24"/>
                <w:szCs w:val="24"/>
                <w:highlight w:val="none"/>
              </w:rPr>
              <w:t>证书，得1分；拥有红十字救护员证，得1分；</w:t>
            </w:r>
            <w:r>
              <w:rPr>
                <w:rFonts w:hint="eastAsia" w:ascii="宋体" w:hAnsi="宋体" w:eastAsia="宋体" w:cs="宋体"/>
                <w:color w:val="auto"/>
                <w:sz w:val="24"/>
                <w:szCs w:val="24"/>
                <w:highlight w:val="none"/>
                <w:lang w:val="en-US" w:eastAsia="zh-CN"/>
              </w:rPr>
              <w:t>本项最高得4分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sz w:val="24"/>
                <w:szCs w:val="24"/>
                <w:highlight w:val="none"/>
              </w:rPr>
              <w:t>提供人员证书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身份证件</w:t>
            </w:r>
            <w:r>
              <w:rPr>
                <w:rFonts w:hint="eastAsia" w:ascii="宋体" w:hAnsi="宋体" w:eastAsia="宋体" w:cs="宋体"/>
                <w:color w:val="auto"/>
                <w:sz w:val="24"/>
                <w:szCs w:val="24"/>
                <w:highlight w:val="none"/>
              </w:rPr>
              <w:t>及近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个月社保证明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保安员证按高计取，不重复计分</w:t>
            </w:r>
            <w:r>
              <w:rPr>
                <w:rFonts w:hint="eastAsia" w:ascii="宋体" w:hAnsi="宋体" w:eastAsia="宋体" w:cs="宋体"/>
                <w:color w:val="auto"/>
                <w:sz w:val="24"/>
                <w:szCs w:val="24"/>
                <w:highlight w:val="none"/>
              </w:rPr>
              <w:t>）</w:t>
            </w:r>
          </w:p>
        </w:tc>
        <w:tc>
          <w:tcPr>
            <w:tcW w:w="495" w:type="pct"/>
            <w:vAlign w:val="center"/>
          </w:tcPr>
          <w:p w14:paraId="4DE1ECC0">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4853F280">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505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901" w:hRule="atLeast"/>
        </w:trPr>
        <w:tc>
          <w:tcPr>
            <w:tcW w:w="244" w:type="pct"/>
            <w:vMerge w:val="continue"/>
            <w:vAlign w:val="center"/>
          </w:tcPr>
          <w:p w14:paraId="7F21D4C1">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p>
        </w:tc>
        <w:tc>
          <w:tcPr>
            <w:tcW w:w="400" w:type="pct"/>
            <w:vMerge w:val="continue"/>
            <w:vAlign w:val="center"/>
          </w:tcPr>
          <w:p w14:paraId="703E922B">
            <w:pPr>
              <w:pageBreakBefore w:val="0"/>
              <w:kinsoku/>
              <w:wordWrap/>
              <w:overflowPunct/>
              <w:topLinePunct w:val="0"/>
              <w:autoSpaceDE/>
              <w:autoSpaceDN/>
              <w:bidi w:val="0"/>
              <w:snapToGrid/>
              <w:spacing w:line="400" w:lineRule="exact"/>
              <w:ind w:firstLine="0"/>
              <w:textAlignment w:val="auto"/>
              <w:rPr>
                <w:rFonts w:hint="eastAsia" w:ascii="宋体" w:hAnsi="宋体" w:cs="宋体"/>
                <w:color w:val="auto"/>
                <w:sz w:val="24"/>
                <w:highlight w:val="none"/>
              </w:rPr>
            </w:pPr>
          </w:p>
        </w:tc>
        <w:tc>
          <w:tcPr>
            <w:tcW w:w="3328" w:type="pct"/>
            <w:gridSpan w:val="2"/>
            <w:vAlign w:val="center"/>
          </w:tcPr>
          <w:p w14:paraId="573B0221">
            <w:pPr>
              <w:keepNext w:val="0"/>
              <w:keepLines w:val="0"/>
              <w:pageBreakBefore w:val="0"/>
              <w:widowControl/>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管理团队人员配备（项目负责人除外）</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管理</w:t>
            </w:r>
            <w:r>
              <w:rPr>
                <w:rFonts w:hint="eastAsia" w:ascii="宋体" w:hAnsi="宋体" w:eastAsia="宋体" w:cs="宋体"/>
                <w:color w:val="auto"/>
                <w:sz w:val="24"/>
                <w:szCs w:val="24"/>
                <w:highlight w:val="none"/>
              </w:rPr>
              <w:t>团队拥有三级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保安员</w:t>
            </w:r>
            <w:r>
              <w:rPr>
                <w:rFonts w:hint="eastAsia" w:ascii="宋体" w:hAnsi="宋体" w:eastAsia="宋体" w:cs="宋体"/>
                <w:color w:val="auto"/>
                <w:sz w:val="24"/>
                <w:szCs w:val="24"/>
                <w:highlight w:val="none"/>
              </w:rPr>
              <w:t>证书，每本证得0.5分，最高2分；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团队拥有红十字救护员证，每本证得0.5分，最高2分；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团队为退伍军人的每人得0.5分，最高2分；本项最高得6分</w:t>
            </w:r>
            <w:r>
              <w:rPr>
                <w:rFonts w:hint="eastAsia" w:ascii="宋体" w:hAnsi="宋体" w:eastAsia="宋体" w:cs="宋体"/>
                <w:color w:val="auto"/>
                <w:sz w:val="24"/>
                <w:szCs w:val="24"/>
                <w:highlight w:val="none"/>
                <w:lang w:eastAsia="zh-CN"/>
              </w:rPr>
              <w:t>。</w:t>
            </w:r>
          </w:p>
          <w:p w14:paraId="2EE0B2AE">
            <w:pPr>
              <w:keepNext w:val="0"/>
              <w:keepLines w:val="0"/>
              <w:pageBreakBefore w:val="0"/>
              <w:widowControl/>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证明材料：</w:t>
            </w:r>
            <w:r>
              <w:rPr>
                <w:rFonts w:hint="eastAsia" w:ascii="宋体" w:hAnsi="宋体" w:eastAsia="宋体" w:cs="宋体"/>
                <w:color w:val="auto"/>
                <w:sz w:val="24"/>
                <w:szCs w:val="24"/>
                <w:highlight w:val="none"/>
              </w:rPr>
              <w:t>提供人员证书及近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个月社保证明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p>
        </w:tc>
        <w:tc>
          <w:tcPr>
            <w:tcW w:w="495" w:type="pct"/>
            <w:vAlign w:val="center"/>
          </w:tcPr>
          <w:p w14:paraId="4525AF07">
            <w:pPr>
              <w:pageBreakBefore w:val="0"/>
              <w:kinsoku/>
              <w:wordWrap/>
              <w:overflowPunct/>
              <w:topLinePunct w:val="0"/>
              <w:autoSpaceDE/>
              <w:autoSpaceDN/>
              <w:bidi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6分</w:t>
            </w:r>
          </w:p>
        </w:tc>
        <w:tc>
          <w:tcPr>
            <w:tcW w:w="527" w:type="pct"/>
            <w:vAlign w:val="center"/>
          </w:tcPr>
          <w:p w14:paraId="047C07D7">
            <w:pPr>
              <w:pageBreakBefore w:val="0"/>
              <w:kinsoku/>
              <w:wordWrap/>
              <w:overflowPunct/>
              <w:topLinePunct w:val="0"/>
              <w:autoSpaceDE/>
              <w:autoSpaceDN/>
              <w:bidi w:val="0"/>
              <w:snapToGrid/>
              <w:spacing w:line="40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08FA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204" w:hRule="atLeast"/>
        </w:trPr>
        <w:tc>
          <w:tcPr>
            <w:tcW w:w="244" w:type="pct"/>
            <w:vMerge w:val="continue"/>
            <w:vAlign w:val="center"/>
          </w:tcPr>
          <w:p w14:paraId="7F5CBAF1">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p>
        </w:tc>
        <w:tc>
          <w:tcPr>
            <w:tcW w:w="400" w:type="pct"/>
            <w:vMerge w:val="continue"/>
            <w:vAlign w:val="center"/>
          </w:tcPr>
          <w:p w14:paraId="4EED0F29">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p>
        </w:tc>
        <w:tc>
          <w:tcPr>
            <w:tcW w:w="3328" w:type="pct"/>
            <w:gridSpan w:val="2"/>
            <w:vAlign w:val="center"/>
          </w:tcPr>
          <w:p w14:paraId="39C30B53">
            <w:pPr>
              <w:keepNext w:val="0"/>
              <w:keepLines w:val="0"/>
              <w:pageBreakBefore w:val="0"/>
              <w:widowControl/>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theme="majorEastAsia"/>
                <w:color w:val="auto"/>
                <w:sz w:val="24"/>
                <w:highlight w:val="none"/>
              </w:rPr>
              <w:t>3、</w:t>
            </w:r>
            <w:r>
              <w:rPr>
                <w:rFonts w:hint="eastAsia" w:ascii="宋体" w:hAnsi="宋体" w:eastAsia="宋体" w:cstheme="majorEastAsia"/>
                <w:color w:val="auto"/>
                <w:sz w:val="24"/>
                <w:szCs w:val="24"/>
                <w:highlight w:val="none"/>
              </w:rPr>
              <w:t>拟投入服务人员及装备：投标人投入的人员数量</w:t>
            </w:r>
            <w:r>
              <w:rPr>
                <w:rFonts w:hint="eastAsia" w:ascii="宋体" w:hAnsi="宋体" w:cstheme="majorEastAsia"/>
                <w:color w:val="auto"/>
                <w:sz w:val="24"/>
                <w:highlight w:val="none"/>
              </w:rPr>
              <w:t>、</w:t>
            </w:r>
            <w:r>
              <w:rPr>
                <w:rFonts w:hint="eastAsia" w:ascii="宋体" w:hAnsi="宋体" w:eastAsia="宋体" w:cstheme="majorEastAsia"/>
                <w:color w:val="auto"/>
                <w:sz w:val="24"/>
                <w:szCs w:val="24"/>
                <w:highlight w:val="none"/>
              </w:rPr>
              <w:t>通讯器材、交通工具、服装</w:t>
            </w:r>
            <w:r>
              <w:rPr>
                <w:rFonts w:hint="eastAsia" w:ascii="宋体" w:hAnsi="宋体" w:cstheme="majorEastAsia"/>
                <w:color w:val="auto"/>
                <w:sz w:val="24"/>
                <w:highlight w:val="none"/>
              </w:rPr>
              <w:t>及相关装备的</w:t>
            </w:r>
            <w:r>
              <w:rPr>
                <w:rFonts w:hint="eastAsia" w:ascii="宋体" w:hAnsi="宋体" w:eastAsia="宋体" w:cstheme="majorEastAsia"/>
                <w:color w:val="auto"/>
                <w:sz w:val="24"/>
                <w:szCs w:val="24"/>
                <w:highlight w:val="none"/>
              </w:rPr>
              <w:t>配置情况，根据</w:t>
            </w:r>
            <w:r>
              <w:rPr>
                <w:rFonts w:hint="eastAsia" w:ascii="宋体" w:hAnsi="宋体" w:cs="仿宋"/>
                <w:bCs/>
                <w:color w:val="auto"/>
                <w:sz w:val="24"/>
                <w:highlight w:val="none"/>
              </w:rPr>
              <w:t>配置的合理性进行评定</w:t>
            </w:r>
            <w:r>
              <w:rPr>
                <w:rFonts w:hint="eastAsia" w:ascii="宋体" w:hAnsi="宋体" w:eastAsia="宋体" w:cstheme="majorEastAsia"/>
                <w:color w:val="auto"/>
                <w:sz w:val="24"/>
                <w:szCs w:val="24"/>
                <w:highlight w:val="none"/>
              </w:rPr>
              <w:t>。</w:t>
            </w:r>
            <w:r>
              <w:rPr>
                <w:rFonts w:hint="eastAsia" w:ascii="宋体" w:hAnsi="宋体" w:cs="宋体"/>
                <w:color w:val="auto"/>
                <w:sz w:val="24"/>
                <w:highlight w:val="none"/>
              </w:rPr>
              <w:t>全部符合采购需求的得4</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分，部分符合的得2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分，少量符合得1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w:t>
            </w:r>
          </w:p>
        </w:tc>
        <w:tc>
          <w:tcPr>
            <w:tcW w:w="495" w:type="pct"/>
            <w:vAlign w:val="center"/>
          </w:tcPr>
          <w:p w14:paraId="4DBE454F">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4分</w:t>
            </w:r>
          </w:p>
        </w:tc>
        <w:tc>
          <w:tcPr>
            <w:tcW w:w="527" w:type="pct"/>
            <w:vAlign w:val="center"/>
          </w:tcPr>
          <w:p w14:paraId="7F296150">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主观分</w:t>
            </w:r>
          </w:p>
        </w:tc>
      </w:tr>
      <w:tr w14:paraId="3AEC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215" w:hRule="atLeast"/>
        </w:trPr>
        <w:tc>
          <w:tcPr>
            <w:tcW w:w="244" w:type="pct"/>
            <w:vMerge w:val="restart"/>
            <w:vAlign w:val="center"/>
          </w:tcPr>
          <w:p w14:paraId="641CCE34">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00" w:type="pct"/>
            <w:vMerge w:val="restart"/>
            <w:vAlign w:val="center"/>
          </w:tcPr>
          <w:p w14:paraId="5EE896B2">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项目理解情况</w:t>
            </w:r>
          </w:p>
        </w:tc>
        <w:tc>
          <w:tcPr>
            <w:tcW w:w="3328" w:type="pct"/>
            <w:gridSpan w:val="2"/>
            <w:vAlign w:val="center"/>
          </w:tcPr>
          <w:p w14:paraId="44AEE44E">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1、供应商是否充分考虑业主的需求和项目特点，对本项目有较深入的理解，提出项目重难点分析及合理化建议。方案分析透彻、建议合理、全面可行，满足采购需求的视为符合。符合得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，部分符合得</w:t>
            </w:r>
            <w:r>
              <w:rPr>
                <w:rFonts w:hint="eastAsia" w:ascii="宋体" w:hAnsi="宋体" w:cs="宋体"/>
                <w:color w:val="auto"/>
                <w:sz w:val="24"/>
                <w:highlight w:val="none"/>
                <w:lang w:val="en-US" w:eastAsia="zh-CN"/>
              </w:rPr>
              <w:t>2-1.1分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0845AE6A">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5665C25B">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BCB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340" w:hRule="atLeast"/>
        </w:trPr>
        <w:tc>
          <w:tcPr>
            <w:tcW w:w="244" w:type="pct"/>
            <w:vMerge w:val="continue"/>
            <w:vAlign w:val="center"/>
          </w:tcPr>
          <w:p w14:paraId="12144C99">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p>
        </w:tc>
        <w:tc>
          <w:tcPr>
            <w:tcW w:w="400" w:type="pct"/>
            <w:vMerge w:val="continue"/>
            <w:vAlign w:val="center"/>
          </w:tcPr>
          <w:p w14:paraId="1C52226A">
            <w:pPr>
              <w:pStyle w:val="4"/>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b w:val="0"/>
                <w:bCs w:val="0"/>
                <w:color w:val="auto"/>
                <w:sz w:val="24"/>
                <w:szCs w:val="24"/>
                <w:highlight w:val="none"/>
                <w:lang w:val="en-US"/>
              </w:rPr>
            </w:pPr>
          </w:p>
        </w:tc>
        <w:tc>
          <w:tcPr>
            <w:tcW w:w="3328" w:type="pct"/>
            <w:gridSpan w:val="2"/>
            <w:vAlign w:val="center"/>
          </w:tcPr>
          <w:p w14:paraId="50778C64">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2、对本项目的目标、任务把握情况是否全面清晰的评审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全部符合采购需求的得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，部分符合的得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740B3B28">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73FB31AA">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0C1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330" w:hRule="atLeast"/>
        </w:trPr>
        <w:tc>
          <w:tcPr>
            <w:tcW w:w="244" w:type="pct"/>
            <w:vMerge w:val="continue"/>
            <w:vAlign w:val="center"/>
          </w:tcPr>
          <w:p w14:paraId="2F74824B">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p>
        </w:tc>
        <w:tc>
          <w:tcPr>
            <w:tcW w:w="400" w:type="pct"/>
            <w:vMerge w:val="continue"/>
            <w:vAlign w:val="center"/>
          </w:tcPr>
          <w:p w14:paraId="5B25D171">
            <w:pPr>
              <w:pStyle w:val="4"/>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b w:val="0"/>
                <w:bCs w:val="0"/>
                <w:color w:val="auto"/>
                <w:sz w:val="24"/>
                <w:szCs w:val="24"/>
                <w:highlight w:val="none"/>
                <w:lang w:val="en-US"/>
              </w:rPr>
            </w:pPr>
          </w:p>
        </w:tc>
        <w:tc>
          <w:tcPr>
            <w:tcW w:w="3328" w:type="pct"/>
            <w:gridSpan w:val="2"/>
            <w:vAlign w:val="center"/>
          </w:tcPr>
          <w:p w14:paraId="499DA749">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3、对本项目的服务组织、统筹是否全面清晰的评审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全部符合采购需求的得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，部分符合的得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479B9E2B">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1A59F684">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390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410" w:hRule="atLeast"/>
        </w:trPr>
        <w:tc>
          <w:tcPr>
            <w:tcW w:w="244" w:type="pct"/>
            <w:vMerge w:val="continue"/>
            <w:vAlign w:val="center"/>
          </w:tcPr>
          <w:p w14:paraId="57B9608A">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p>
        </w:tc>
        <w:tc>
          <w:tcPr>
            <w:tcW w:w="400" w:type="pct"/>
            <w:vMerge w:val="continue"/>
            <w:vAlign w:val="center"/>
          </w:tcPr>
          <w:p w14:paraId="229E8A75">
            <w:pPr>
              <w:pStyle w:val="4"/>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b w:val="0"/>
                <w:bCs w:val="0"/>
                <w:color w:val="auto"/>
                <w:sz w:val="24"/>
                <w:szCs w:val="24"/>
                <w:highlight w:val="none"/>
                <w:lang w:val="en-US"/>
              </w:rPr>
            </w:pPr>
          </w:p>
        </w:tc>
        <w:tc>
          <w:tcPr>
            <w:tcW w:w="3328" w:type="pct"/>
            <w:gridSpan w:val="2"/>
            <w:vAlign w:val="center"/>
          </w:tcPr>
          <w:p w14:paraId="389E153D">
            <w:pPr>
              <w:pStyle w:val="4"/>
              <w:pageBreakBefore w:val="0"/>
              <w:tabs>
                <w:tab w:val="left" w:pos="0"/>
                <w:tab w:val="clear" w:pos="432"/>
              </w:tabs>
              <w:kinsoku/>
              <w:wordWrap/>
              <w:overflowPunct/>
              <w:topLinePunct w:val="0"/>
              <w:autoSpaceDE/>
              <w:autoSpaceDN/>
              <w:bidi w:val="0"/>
              <w:snapToGrid/>
              <w:spacing w:line="400" w:lineRule="exact"/>
              <w:ind w:left="12" w:leftChars="0" w:hanging="12" w:firstLineChars="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4、针对本项目的保安人员管理思路是否科学合理的评审。全部符合采购需求的得</w:t>
            </w:r>
            <w:r>
              <w:rPr>
                <w:rFonts w:hint="eastAsia" w:ascii="宋体" w:hAnsi="宋体" w:eastAsia="宋体" w:cs="宋体"/>
                <w:b w:val="0"/>
                <w:bCs w:val="0"/>
                <w:color w:val="auto"/>
                <w:sz w:val="24"/>
                <w:highlight w:val="none"/>
                <w:lang w:val="en-US" w:eastAsia="zh-CN"/>
              </w:rPr>
              <w:t>4-2.1分</w:t>
            </w:r>
            <w:r>
              <w:rPr>
                <w:rFonts w:hint="eastAsia" w:ascii="宋体" w:hAnsi="宋体" w:eastAsia="宋体" w:cs="宋体"/>
                <w:b w:val="0"/>
                <w:bCs w:val="0"/>
                <w:color w:val="auto"/>
                <w:sz w:val="24"/>
                <w:szCs w:val="24"/>
                <w:highlight w:val="none"/>
                <w:lang w:val="en-US"/>
              </w:rPr>
              <w:t>，部分符合的得</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val="0"/>
                <w:bCs w:val="0"/>
                <w:color w:val="auto"/>
                <w:sz w:val="24"/>
                <w:highlight w:val="none"/>
              </w:rPr>
              <w:t>分</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eastAsia="宋体" w:cs="宋体"/>
                <w:b w:val="0"/>
                <w:bCs w:val="0"/>
                <w:color w:val="auto"/>
                <w:sz w:val="24"/>
                <w:highlight w:val="none"/>
                <w:lang w:val="en-US" w:eastAsia="zh-CN"/>
              </w:rPr>
              <w:t>1-0分</w:t>
            </w:r>
            <w:r>
              <w:rPr>
                <w:rFonts w:hint="eastAsia" w:ascii="宋体" w:hAnsi="宋体" w:eastAsia="宋体" w:cs="宋体"/>
                <w:b w:val="0"/>
                <w:bCs w:val="0"/>
                <w:color w:val="auto"/>
                <w:sz w:val="24"/>
                <w:szCs w:val="24"/>
                <w:highlight w:val="none"/>
                <w:lang w:val="en-US"/>
              </w:rPr>
              <w:t>。</w:t>
            </w:r>
          </w:p>
        </w:tc>
        <w:tc>
          <w:tcPr>
            <w:tcW w:w="495" w:type="pct"/>
            <w:vAlign w:val="center"/>
          </w:tcPr>
          <w:p w14:paraId="47726A2D">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1BA4DE86">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AAE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694" w:hRule="atLeast"/>
        </w:trPr>
        <w:tc>
          <w:tcPr>
            <w:tcW w:w="244" w:type="pct"/>
            <w:vMerge w:val="restart"/>
            <w:vAlign w:val="center"/>
          </w:tcPr>
          <w:p w14:paraId="2CA0008B">
            <w:pPr>
              <w:pageBreakBefore w:val="0"/>
              <w:widowControl w:val="0"/>
              <w:kinsoku/>
              <w:wordWrap/>
              <w:overflowPunct/>
              <w:topLinePunct w:val="0"/>
              <w:autoSpaceDE/>
              <w:autoSpaceDN/>
              <w:bidi w:val="0"/>
              <w:snapToGrid/>
              <w:spacing w:line="400" w:lineRule="exact"/>
              <w:ind w:left="105" w:leftChars="50" w:right="105" w:rightChars="5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00" w:type="pct"/>
            <w:vMerge w:val="restart"/>
            <w:vAlign w:val="center"/>
          </w:tcPr>
          <w:p w14:paraId="4BCE693C">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供应商响应本项目总体方案</w:t>
            </w:r>
          </w:p>
        </w:tc>
        <w:tc>
          <w:tcPr>
            <w:tcW w:w="3328" w:type="pct"/>
            <w:gridSpan w:val="2"/>
            <w:vAlign w:val="center"/>
          </w:tcPr>
          <w:p w14:paraId="67B15BF4">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1、供应商针对本项目的服务范围涉及区域制定的总体服务方案的全面性、合理性进行评审。方案详细、全面、完善，满足采购需求的视为符合。符合得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1615A6C2">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527" w:type="pct"/>
            <w:vAlign w:val="center"/>
          </w:tcPr>
          <w:p w14:paraId="3AD86891">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312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655" w:hRule="atLeast"/>
        </w:trPr>
        <w:tc>
          <w:tcPr>
            <w:tcW w:w="244" w:type="pct"/>
            <w:vMerge w:val="continue"/>
            <w:vAlign w:val="center"/>
          </w:tcPr>
          <w:p w14:paraId="31689F4C">
            <w:pPr>
              <w:pageBreakBefore w:val="0"/>
              <w:widowControl w:val="0"/>
              <w:kinsoku/>
              <w:wordWrap/>
              <w:overflowPunct/>
              <w:topLinePunct w:val="0"/>
              <w:autoSpaceDE/>
              <w:autoSpaceDN/>
              <w:bidi w:val="0"/>
              <w:snapToGrid/>
              <w:spacing w:line="400" w:lineRule="exact"/>
              <w:ind w:left="105" w:leftChars="50" w:right="105" w:rightChars="50" w:firstLine="0"/>
              <w:jc w:val="center"/>
              <w:textAlignment w:val="auto"/>
              <w:rPr>
                <w:rFonts w:hint="eastAsia" w:ascii="宋体" w:hAnsi="宋体" w:eastAsia="宋体" w:cs="宋体"/>
                <w:color w:val="auto"/>
                <w:sz w:val="24"/>
                <w:szCs w:val="24"/>
                <w:highlight w:val="none"/>
              </w:rPr>
            </w:pPr>
          </w:p>
        </w:tc>
        <w:tc>
          <w:tcPr>
            <w:tcW w:w="400" w:type="pct"/>
            <w:vMerge w:val="continue"/>
            <w:vAlign w:val="center"/>
          </w:tcPr>
          <w:p w14:paraId="50317CB0">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p>
        </w:tc>
        <w:tc>
          <w:tcPr>
            <w:tcW w:w="3328" w:type="pct"/>
            <w:gridSpan w:val="2"/>
            <w:vAlign w:val="center"/>
          </w:tcPr>
          <w:p w14:paraId="3D1359D6">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2、响应方案针对保安人员的服务特点、服务定位、目标、管理模式等情况。根据提供的方案：切合实际的评审，符合的得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，部分符合的得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p>
        </w:tc>
        <w:tc>
          <w:tcPr>
            <w:tcW w:w="495" w:type="pct"/>
            <w:vAlign w:val="center"/>
          </w:tcPr>
          <w:p w14:paraId="338A024B">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73E4DEDD">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C89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885" w:hRule="atLeast"/>
        </w:trPr>
        <w:tc>
          <w:tcPr>
            <w:tcW w:w="244" w:type="pct"/>
            <w:vMerge w:val="continue"/>
            <w:vAlign w:val="center"/>
          </w:tcPr>
          <w:p w14:paraId="1F8A65FC">
            <w:pPr>
              <w:pageBreakBefore w:val="0"/>
              <w:widowControl w:val="0"/>
              <w:kinsoku/>
              <w:wordWrap/>
              <w:overflowPunct/>
              <w:topLinePunct w:val="0"/>
              <w:autoSpaceDE/>
              <w:autoSpaceDN/>
              <w:bidi w:val="0"/>
              <w:snapToGrid/>
              <w:spacing w:line="400" w:lineRule="exact"/>
              <w:ind w:left="105" w:leftChars="50" w:right="105" w:rightChars="50" w:firstLine="0"/>
              <w:jc w:val="center"/>
              <w:textAlignment w:val="auto"/>
              <w:rPr>
                <w:rFonts w:hint="eastAsia" w:ascii="宋体" w:hAnsi="宋体" w:eastAsia="宋体" w:cs="宋体"/>
                <w:color w:val="auto"/>
                <w:sz w:val="24"/>
                <w:szCs w:val="24"/>
                <w:highlight w:val="none"/>
              </w:rPr>
            </w:pPr>
          </w:p>
        </w:tc>
        <w:tc>
          <w:tcPr>
            <w:tcW w:w="400" w:type="pct"/>
            <w:vMerge w:val="continue"/>
            <w:vAlign w:val="center"/>
          </w:tcPr>
          <w:p w14:paraId="70AA5A71">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p>
        </w:tc>
        <w:tc>
          <w:tcPr>
            <w:tcW w:w="3328" w:type="pct"/>
            <w:gridSpan w:val="2"/>
            <w:vAlign w:val="center"/>
          </w:tcPr>
          <w:p w14:paraId="20F677F2">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3、对交通秩序维护、非机动车和行人劝导工作内容认知清晰。符合的得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，部分符合的得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418B467D">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527" w:type="pct"/>
            <w:vAlign w:val="center"/>
          </w:tcPr>
          <w:p w14:paraId="73600154">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888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990" w:hRule="atLeast"/>
        </w:trPr>
        <w:tc>
          <w:tcPr>
            <w:tcW w:w="244" w:type="pct"/>
            <w:vMerge w:val="continue"/>
            <w:vAlign w:val="center"/>
          </w:tcPr>
          <w:p w14:paraId="23D82E11">
            <w:pPr>
              <w:pStyle w:val="4"/>
              <w:pageBreakBefore w:val="0"/>
              <w:widowControl w:val="0"/>
              <w:kinsoku/>
              <w:wordWrap/>
              <w:overflowPunct/>
              <w:topLinePunct w:val="0"/>
              <w:autoSpaceDE/>
              <w:autoSpaceDN/>
              <w:bidi w:val="0"/>
              <w:snapToGrid/>
              <w:spacing w:line="400" w:lineRule="exact"/>
              <w:ind w:left="105" w:leftChars="50" w:right="105" w:rightChars="50" w:firstLine="0"/>
              <w:jc w:val="center"/>
              <w:textAlignment w:val="auto"/>
              <w:rPr>
                <w:rFonts w:hint="eastAsia" w:ascii="宋体" w:hAnsi="宋体" w:eastAsia="宋体" w:cs="宋体"/>
                <w:b w:val="0"/>
                <w:bCs w:val="0"/>
                <w:color w:val="auto"/>
                <w:sz w:val="24"/>
                <w:szCs w:val="24"/>
                <w:highlight w:val="none"/>
                <w:lang w:val="en-US"/>
              </w:rPr>
            </w:pPr>
          </w:p>
        </w:tc>
        <w:tc>
          <w:tcPr>
            <w:tcW w:w="400" w:type="pct"/>
            <w:vMerge w:val="continue"/>
            <w:vAlign w:val="center"/>
          </w:tcPr>
          <w:p w14:paraId="65F3B5D5">
            <w:pPr>
              <w:pStyle w:val="4"/>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b w:val="0"/>
                <w:bCs w:val="0"/>
                <w:color w:val="auto"/>
                <w:sz w:val="24"/>
                <w:szCs w:val="24"/>
                <w:highlight w:val="none"/>
                <w:lang w:val="en-US"/>
              </w:rPr>
            </w:pPr>
          </w:p>
        </w:tc>
        <w:tc>
          <w:tcPr>
            <w:tcW w:w="3328" w:type="pct"/>
            <w:gridSpan w:val="2"/>
            <w:vAlign w:val="center"/>
          </w:tcPr>
          <w:p w14:paraId="42D1D634">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4、方案切合实际，且安全可行，具有保密性。符合的得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，部分符合的得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03D78422">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2C501FB0">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9F7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44" w:type="pct"/>
            <w:vAlign w:val="center"/>
          </w:tcPr>
          <w:p w14:paraId="43DF2AF7">
            <w:pPr>
              <w:pStyle w:val="4"/>
              <w:pageBreakBefore w:val="0"/>
              <w:widowControl w:val="0"/>
              <w:kinsoku/>
              <w:wordWrap/>
              <w:overflowPunct/>
              <w:topLinePunct w:val="0"/>
              <w:autoSpaceDE/>
              <w:autoSpaceDN/>
              <w:bidi w:val="0"/>
              <w:snapToGrid/>
              <w:spacing w:line="400" w:lineRule="exact"/>
              <w:ind w:left="105" w:leftChars="50" w:right="105" w:rightChars="50" w:firstLine="0"/>
              <w:jc w:val="center"/>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6</w:t>
            </w:r>
          </w:p>
        </w:tc>
        <w:tc>
          <w:tcPr>
            <w:tcW w:w="3728" w:type="pct"/>
            <w:gridSpan w:val="3"/>
            <w:vAlign w:val="center"/>
          </w:tcPr>
          <w:p w14:paraId="472B9F64">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组织实施方案：</w:t>
            </w:r>
          </w:p>
          <w:p w14:paraId="7F67A1E1">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根据供应商的组织实施方案对本次项目进度安排及各阶段详细工作计划的评审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全部符合采购需求的得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，部分符合的得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59C90348">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31" w:type="pct"/>
            <w:gridSpan w:val="2"/>
            <w:vAlign w:val="center"/>
          </w:tcPr>
          <w:p w14:paraId="3FD0DFDD">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074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244" w:type="pct"/>
            <w:vAlign w:val="center"/>
          </w:tcPr>
          <w:p w14:paraId="51D371A6">
            <w:pPr>
              <w:pStyle w:val="4"/>
              <w:pageBreakBefore w:val="0"/>
              <w:widowControl w:val="0"/>
              <w:kinsoku/>
              <w:wordWrap/>
              <w:overflowPunct/>
              <w:topLinePunct w:val="0"/>
              <w:autoSpaceDE/>
              <w:autoSpaceDN/>
              <w:bidi w:val="0"/>
              <w:snapToGrid/>
              <w:spacing w:line="400" w:lineRule="exact"/>
              <w:ind w:left="105" w:leftChars="50" w:right="105" w:rightChars="50" w:firstLine="0"/>
              <w:jc w:val="center"/>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7</w:t>
            </w:r>
          </w:p>
        </w:tc>
        <w:tc>
          <w:tcPr>
            <w:tcW w:w="3728" w:type="pct"/>
            <w:gridSpan w:val="3"/>
            <w:vAlign w:val="center"/>
          </w:tcPr>
          <w:p w14:paraId="5378E769">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应急方案：</w:t>
            </w:r>
          </w:p>
          <w:p w14:paraId="7A649D1B">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1.提供各类处理突发事件的应急预案及相应的措施。预案及措施详细、全面、可行，满足采购需求的视为符合。符合得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p w14:paraId="76469B70">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2.应对重大活动等需要交通管制的服务方案。方案完善、全面、可行，满足采购需求的视为符合。符合得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34EA9961">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8分</w:t>
            </w:r>
          </w:p>
        </w:tc>
        <w:tc>
          <w:tcPr>
            <w:tcW w:w="531" w:type="pct"/>
            <w:gridSpan w:val="2"/>
            <w:vAlign w:val="center"/>
          </w:tcPr>
          <w:p w14:paraId="20952D7B">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028D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335" w:hRule="atLeast"/>
        </w:trPr>
        <w:tc>
          <w:tcPr>
            <w:tcW w:w="244" w:type="pct"/>
            <w:vMerge w:val="restart"/>
            <w:vAlign w:val="center"/>
          </w:tcPr>
          <w:p w14:paraId="0424D8C0">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06" w:type="pct"/>
            <w:gridSpan w:val="2"/>
            <w:vMerge w:val="restart"/>
            <w:vAlign w:val="center"/>
          </w:tcPr>
          <w:p w14:paraId="5C305D73">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w:t>
            </w:r>
            <w:r>
              <w:rPr>
                <w:rFonts w:hint="eastAsia" w:ascii="宋体" w:hAnsi="宋体" w:cs="宋体"/>
                <w:color w:val="auto"/>
                <w:sz w:val="24"/>
                <w:szCs w:val="24"/>
                <w:highlight w:val="none"/>
                <w:lang w:val="en-US" w:eastAsia="zh-CN"/>
              </w:rPr>
              <w:t>商</w:t>
            </w:r>
            <w:r>
              <w:rPr>
                <w:rFonts w:hint="eastAsia" w:ascii="宋体" w:hAnsi="宋体" w:eastAsia="宋体" w:cs="宋体"/>
                <w:color w:val="auto"/>
                <w:sz w:val="24"/>
                <w:szCs w:val="24"/>
                <w:highlight w:val="none"/>
              </w:rPr>
              <w:t>内部管理制度</w:t>
            </w:r>
          </w:p>
          <w:p w14:paraId="6B8904DF">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p>
        </w:tc>
        <w:tc>
          <w:tcPr>
            <w:tcW w:w="3321" w:type="pct"/>
            <w:vAlign w:val="center"/>
          </w:tcPr>
          <w:p w14:paraId="5984A0CF">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1、日常组织管理：供应商具有完善的组织管理架构，有合理的运作流程的视为符合。符合得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49276CC3">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46271052">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799E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402" w:hRule="atLeast"/>
        </w:trPr>
        <w:tc>
          <w:tcPr>
            <w:tcW w:w="244" w:type="pct"/>
            <w:vMerge w:val="continue"/>
            <w:vAlign w:val="center"/>
          </w:tcPr>
          <w:p w14:paraId="6398F056">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p>
        </w:tc>
        <w:tc>
          <w:tcPr>
            <w:tcW w:w="406" w:type="pct"/>
            <w:gridSpan w:val="2"/>
            <w:vMerge w:val="continue"/>
            <w:vAlign w:val="center"/>
          </w:tcPr>
          <w:p w14:paraId="69AB443B">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p>
        </w:tc>
        <w:tc>
          <w:tcPr>
            <w:tcW w:w="3321" w:type="pct"/>
            <w:vAlign w:val="center"/>
          </w:tcPr>
          <w:p w14:paraId="728ADB9C">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2、保安工作人员职责制度：供应商提供的制度完善详细、科学、合理，满足采购需求的视为符合。符合得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30F01B9E">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23BE7AE2">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254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340" w:hRule="atLeast"/>
        </w:trPr>
        <w:tc>
          <w:tcPr>
            <w:tcW w:w="244" w:type="pct"/>
            <w:vMerge w:val="continue"/>
            <w:vAlign w:val="center"/>
          </w:tcPr>
          <w:p w14:paraId="0E4242AC">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p>
        </w:tc>
        <w:tc>
          <w:tcPr>
            <w:tcW w:w="406" w:type="pct"/>
            <w:gridSpan w:val="2"/>
            <w:vMerge w:val="continue"/>
            <w:vAlign w:val="center"/>
          </w:tcPr>
          <w:p w14:paraId="13F84EEF">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p>
        </w:tc>
        <w:tc>
          <w:tcPr>
            <w:tcW w:w="3321" w:type="pct"/>
            <w:vAlign w:val="center"/>
          </w:tcPr>
          <w:p w14:paraId="7E87BA57">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3、队伍绩效考核和奖惩管理制度：供应商提供的制度完善详细、科学、合理，满足采购需求的视为符合。符合得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3E1C500B">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4C3CDDFB">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59F2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457" w:hRule="atLeast"/>
        </w:trPr>
        <w:tc>
          <w:tcPr>
            <w:tcW w:w="244" w:type="pct"/>
            <w:vMerge w:val="continue"/>
            <w:vAlign w:val="center"/>
          </w:tcPr>
          <w:p w14:paraId="44C8BDF4">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p>
        </w:tc>
        <w:tc>
          <w:tcPr>
            <w:tcW w:w="406" w:type="pct"/>
            <w:gridSpan w:val="2"/>
            <w:vMerge w:val="continue"/>
            <w:vAlign w:val="center"/>
          </w:tcPr>
          <w:p w14:paraId="4E3B3E8B">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p>
        </w:tc>
        <w:tc>
          <w:tcPr>
            <w:tcW w:w="3321" w:type="pct"/>
            <w:vAlign w:val="center"/>
          </w:tcPr>
          <w:p w14:paraId="09C01907">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4、稳定员工的措施和制度情况：供应商提供的制度和措施科学合理、全面、完善，满足采购需求的视为符合。符合得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53E37B55">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4674BCE1">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2E5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400" w:hRule="atLeast"/>
        </w:trPr>
        <w:tc>
          <w:tcPr>
            <w:tcW w:w="244" w:type="pct"/>
            <w:vMerge w:val="continue"/>
            <w:vAlign w:val="center"/>
          </w:tcPr>
          <w:p w14:paraId="3F9C4427">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p>
        </w:tc>
        <w:tc>
          <w:tcPr>
            <w:tcW w:w="406" w:type="pct"/>
            <w:gridSpan w:val="2"/>
            <w:vMerge w:val="continue"/>
            <w:vAlign w:val="center"/>
          </w:tcPr>
          <w:p w14:paraId="0458ECA3">
            <w:pPr>
              <w:pStyle w:val="4"/>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b w:val="0"/>
                <w:bCs w:val="0"/>
                <w:color w:val="auto"/>
                <w:sz w:val="24"/>
                <w:szCs w:val="24"/>
                <w:highlight w:val="none"/>
                <w:lang w:val="en-US"/>
              </w:rPr>
            </w:pPr>
          </w:p>
        </w:tc>
        <w:tc>
          <w:tcPr>
            <w:tcW w:w="3321" w:type="pct"/>
            <w:vAlign w:val="center"/>
          </w:tcPr>
          <w:p w14:paraId="510B0A7A">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5、人员培训、质量控制和支持方案。方案科学合理、详细、完善，满足采购需求的视为符合。符合得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4065D0EB">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27" w:type="pct"/>
            <w:vAlign w:val="center"/>
          </w:tcPr>
          <w:p w14:paraId="31654A3E">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6AE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44" w:type="pct"/>
            <w:vAlign w:val="center"/>
          </w:tcPr>
          <w:p w14:paraId="3E778D5C">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728" w:type="pct"/>
            <w:gridSpan w:val="3"/>
            <w:vAlign w:val="center"/>
          </w:tcPr>
          <w:p w14:paraId="7D2C0FFD">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1、承诺保证按照采购需求中人员要求100%到岗率，提供承诺书的得1分，不提供的不得分；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承诺书格式自拟）</w:t>
            </w:r>
          </w:p>
          <w:p w14:paraId="6F91B931">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2、如人员安排出现特殊情况的紧急处理措施的评审。合理可行、全部符合采购需求的得</w:t>
            </w:r>
            <w:r>
              <w:rPr>
                <w:rFonts w:hint="eastAsia" w:ascii="宋体" w:hAnsi="宋体" w:cs="宋体"/>
                <w:color w:val="auto"/>
                <w:sz w:val="24"/>
                <w:szCs w:val="24"/>
                <w:highlight w:val="none"/>
                <w:lang w:val="en-US" w:eastAsia="zh-CN"/>
              </w:rPr>
              <w:t>4-2.1</w:t>
            </w:r>
            <w:r>
              <w:rPr>
                <w:rFonts w:hint="eastAsia" w:ascii="宋体" w:hAnsi="宋体" w:eastAsia="宋体" w:cs="宋体"/>
                <w:color w:val="auto"/>
                <w:sz w:val="24"/>
                <w:szCs w:val="24"/>
                <w:highlight w:val="none"/>
              </w:rPr>
              <w:t>分；部分合理的得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lang w:eastAsia="zh-CN"/>
              </w:rPr>
              <w:t>。</w:t>
            </w:r>
          </w:p>
        </w:tc>
        <w:tc>
          <w:tcPr>
            <w:tcW w:w="495" w:type="pct"/>
            <w:vAlign w:val="center"/>
          </w:tcPr>
          <w:p w14:paraId="3F1C118E">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31" w:type="pct"/>
            <w:gridSpan w:val="2"/>
            <w:vAlign w:val="center"/>
          </w:tcPr>
          <w:p w14:paraId="1D037A93">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20C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44" w:type="pct"/>
            <w:vAlign w:val="center"/>
          </w:tcPr>
          <w:p w14:paraId="32E37737">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728" w:type="pct"/>
            <w:gridSpan w:val="3"/>
            <w:vAlign w:val="center"/>
          </w:tcPr>
          <w:p w14:paraId="5B9A2FB2">
            <w:pPr>
              <w:pageBreakBefore w:val="0"/>
              <w:kinsoku/>
              <w:wordWrap/>
              <w:overflowPunct/>
              <w:topLinePunct w:val="0"/>
              <w:autoSpaceDE/>
              <w:autoSpaceDN/>
              <w:bidi w:val="0"/>
              <w:snapToGrid/>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承诺健全保安人员福利制度和促进提高服务质量情况。承诺内容详细全面，满足采购需求的视为符合。符合得</w:t>
            </w:r>
            <w:r>
              <w:rPr>
                <w:rFonts w:hint="eastAsia" w:ascii="宋体" w:hAnsi="宋体" w:cs="宋体"/>
                <w:color w:val="auto"/>
                <w:sz w:val="24"/>
                <w:highlight w:val="none"/>
                <w:lang w:val="en-US" w:eastAsia="zh-CN"/>
              </w:rPr>
              <w:t>4-2.1分</w:t>
            </w:r>
            <w:r>
              <w:rPr>
                <w:rFonts w:hint="eastAsia" w:ascii="宋体" w:hAnsi="宋体" w:eastAsia="宋体" w:cs="宋体"/>
                <w:color w:val="auto"/>
                <w:sz w:val="24"/>
                <w:szCs w:val="24"/>
                <w:highlight w:val="none"/>
              </w:rPr>
              <w:t>，部分符合得</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分</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少量符合得</w:t>
            </w:r>
            <w:r>
              <w:rPr>
                <w:rFonts w:hint="eastAsia" w:ascii="宋体" w:hAnsi="宋体" w:cs="宋体"/>
                <w:color w:val="auto"/>
                <w:sz w:val="24"/>
                <w:highlight w:val="none"/>
                <w:lang w:val="en-US" w:eastAsia="zh-CN"/>
              </w:rPr>
              <w:t>1-0分</w:t>
            </w:r>
            <w:r>
              <w:rPr>
                <w:rFonts w:hint="eastAsia" w:ascii="宋体" w:hAnsi="宋体" w:eastAsia="宋体" w:cs="宋体"/>
                <w:color w:val="auto"/>
                <w:sz w:val="24"/>
                <w:szCs w:val="24"/>
                <w:highlight w:val="none"/>
              </w:rPr>
              <w:t>。</w:t>
            </w:r>
          </w:p>
        </w:tc>
        <w:tc>
          <w:tcPr>
            <w:tcW w:w="495" w:type="pct"/>
            <w:vAlign w:val="center"/>
          </w:tcPr>
          <w:p w14:paraId="29671EFD">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w:t>
            </w:r>
          </w:p>
        </w:tc>
        <w:tc>
          <w:tcPr>
            <w:tcW w:w="531" w:type="pct"/>
            <w:gridSpan w:val="2"/>
            <w:vAlign w:val="center"/>
          </w:tcPr>
          <w:p w14:paraId="6BB8EA92">
            <w:pPr>
              <w:pageBreakBefore w:val="0"/>
              <w:kinsoku/>
              <w:wordWrap/>
              <w:overflowPunct/>
              <w:topLinePunct w:val="0"/>
              <w:autoSpaceDE/>
              <w:autoSpaceDN/>
              <w:bidi w:val="0"/>
              <w:snapToGrid/>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bl>
    <w:p w14:paraId="6F4F726B">
      <w:pPr>
        <w:rPr>
          <w:rFonts w:ascii="宋体" w:hAnsi="宋体" w:cs="宋体"/>
          <w:color w:val="auto"/>
          <w:highlight w:val="none"/>
        </w:rPr>
      </w:pPr>
    </w:p>
    <w:p w14:paraId="02E1B505">
      <w:pPr>
        <w:widowControl/>
        <w:spacing w:line="360" w:lineRule="auto"/>
        <w:jc w:val="left"/>
        <w:rPr>
          <w:rFonts w:hint="eastAsia" w:ascii="宋体" w:hAnsi="宋体" w:cs="宋体"/>
          <w:color w:val="auto"/>
          <w:kern w:val="0"/>
          <w:sz w:val="24"/>
          <w:highlight w:val="none"/>
        </w:rPr>
      </w:pPr>
    </w:p>
    <w:p w14:paraId="7D8D666E">
      <w:pPr>
        <w:widowControl/>
        <w:spacing w:line="360" w:lineRule="auto"/>
        <w:jc w:val="left"/>
        <w:rPr>
          <w:rFonts w:hint="eastAsia" w:ascii="宋体" w:hAnsi="宋体" w:cs="宋体"/>
          <w:color w:val="auto"/>
          <w:kern w:val="0"/>
          <w:sz w:val="24"/>
          <w:highlight w:val="none"/>
        </w:rPr>
      </w:pPr>
    </w:p>
    <w:p w14:paraId="1BDA6BFB">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价格部分（1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分）</w:t>
      </w:r>
    </w:p>
    <w:tbl>
      <w:tblPr>
        <w:tblStyle w:val="63"/>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125"/>
      </w:tblGrid>
      <w:tr w14:paraId="5072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90" w:type="dxa"/>
            <w:tcBorders>
              <w:top w:val="single" w:color="auto" w:sz="4" w:space="0"/>
              <w:left w:val="single" w:color="auto" w:sz="4" w:space="0"/>
              <w:bottom w:val="single" w:color="auto" w:sz="4" w:space="0"/>
              <w:right w:val="single" w:color="auto" w:sz="4" w:space="0"/>
            </w:tcBorders>
            <w:noWrap/>
            <w:vAlign w:val="center"/>
          </w:tcPr>
          <w:p w14:paraId="3FC4A3B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价格权值</w:t>
            </w:r>
          </w:p>
        </w:tc>
        <w:tc>
          <w:tcPr>
            <w:tcW w:w="7125" w:type="dxa"/>
            <w:tcBorders>
              <w:top w:val="single" w:color="auto" w:sz="4" w:space="0"/>
              <w:left w:val="single" w:color="auto" w:sz="4" w:space="0"/>
              <w:bottom w:val="single" w:color="auto" w:sz="4" w:space="0"/>
              <w:right w:val="single" w:color="auto" w:sz="4" w:space="0"/>
            </w:tcBorders>
            <w:noWrap/>
            <w:vAlign w:val="center"/>
          </w:tcPr>
          <w:p w14:paraId="683DF57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计算方法</w:t>
            </w:r>
          </w:p>
        </w:tc>
      </w:tr>
      <w:tr w14:paraId="0C8D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590" w:type="dxa"/>
            <w:tcBorders>
              <w:top w:val="single" w:color="auto" w:sz="4" w:space="0"/>
              <w:left w:val="single" w:color="auto" w:sz="4" w:space="0"/>
              <w:bottom w:val="single" w:color="auto" w:sz="4" w:space="0"/>
              <w:right w:val="single" w:color="auto" w:sz="4" w:space="0"/>
            </w:tcBorders>
            <w:noWrap/>
            <w:vAlign w:val="center"/>
          </w:tcPr>
          <w:p w14:paraId="57717DF9">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rPr>
              <w:t>价格</w:t>
            </w:r>
            <w:r>
              <w:rPr>
                <w:rFonts w:hint="eastAsia" w:ascii="宋体" w:hAnsi="宋体"/>
                <w:color w:val="auto"/>
                <w:sz w:val="24"/>
                <w:szCs w:val="24"/>
                <w:highlight w:val="none"/>
              </w:rPr>
              <w:t>权值</w:t>
            </w:r>
            <w:r>
              <w:rPr>
                <w:rFonts w:hint="eastAsia" w:ascii="宋体" w:hAnsi="宋体" w:cs="宋体"/>
                <w:color w:val="auto"/>
                <w:sz w:val="24"/>
                <w:szCs w:val="24"/>
                <w:highlight w:val="none"/>
              </w:rPr>
              <w:t>=0.1</w:t>
            </w:r>
            <w:r>
              <w:rPr>
                <w:rFonts w:hint="eastAsia" w:ascii="宋体" w:hAnsi="宋体" w:cs="宋体"/>
                <w:color w:val="auto"/>
                <w:sz w:val="24"/>
                <w:szCs w:val="24"/>
                <w:highlight w:val="none"/>
                <w:lang w:val="en-US" w:eastAsia="zh-CN"/>
              </w:rPr>
              <w:t>0</w:t>
            </w:r>
          </w:p>
        </w:tc>
        <w:tc>
          <w:tcPr>
            <w:tcW w:w="7125" w:type="dxa"/>
            <w:tcBorders>
              <w:top w:val="single" w:color="auto" w:sz="4" w:space="0"/>
              <w:left w:val="single" w:color="auto" w:sz="4" w:space="0"/>
              <w:bottom w:val="single" w:color="auto" w:sz="4" w:space="0"/>
              <w:right w:val="single" w:color="auto" w:sz="4" w:space="0"/>
            </w:tcBorders>
            <w:noWrap/>
            <w:vAlign w:val="center"/>
          </w:tcPr>
          <w:p w14:paraId="10FE5DFE">
            <w:pPr>
              <w:keepNext w:val="0"/>
              <w:keepLines w:val="0"/>
              <w:pageBreakBefore w:val="0"/>
              <w:widowControl w:val="0"/>
              <w:kinsoku/>
              <w:wordWrap/>
              <w:overflowPunct/>
              <w:topLinePunct w:val="0"/>
              <w:autoSpaceDE/>
              <w:autoSpaceDN/>
              <w:bidi w:val="0"/>
              <w:adjustRightInd w:val="0"/>
              <w:snapToGrid/>
              <w:spacing w:after="0" w:line="400" w:lineRule="exact"/>
              <w:ind w:left="0" w:leftChars="0" w:firstLine="199" w:firstLineChars="83"/>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082F8368">
            <w:pPr>
              <w:keepNext w:val="0"/>
              <w:keepLines w:val="0"/>
              <w:pageBreakBefore w:val="0"/>
              <w:widowControl w:val="0"/>
              <w:kinsoku/>
              <w:wordWrap/>
              <w:overflowPunct/>
              <w:topLinePunct w:val="0"/>
              <w:autoSpaceDE/>
              <w:autoSpaceDN/>
              <w:bidi w:val="0"/>
              <w:adjustRightInd w:val="0"/>
              <w:snapToGrid/>
              <w:spacing w:after="0" w:line="400" w:lineRule="exact"/>
              <w:ind w:left="0" w:leftChars="0" w:firstLine="199" w:firstLineChars="83"/>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37F190FB">
            <w:pPr>
              <w:keepNext w:val="0"/>
              <w:keepLines w:val="0"/>
              <w:pageBreakBefore w:val="0"/>
              <w:widowControl w:val="0"/>
              <w:kinsoku/>
              <w:wordWrap/>
              <w:overflowPunct/>
              <w:topLinePunct w:val="0"/>
              <w:autoSpaceDE/>
              <w:autoSpaceDN/>
              <w:bidi w:val="0"/>
              <w:adjustRightInd w:val="0"/>
              <w:snapToGrid/>
              <w:spacing w:after="0" w:line="400" w:lineRule="exact"/>
              <w:ind w:left="0" w:leftChars="0" w:firstLine="199" w:firstLineChars="83"/>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tc>
      </w:tr>
    </w:tbl>
    <w:p w14:paraId="759FF3F6">
      <w:pPr>
        <w:spacing w:line="360" w:lineRule="auto"/>
        <w:rPr>
          <w:rFonts w:hint="eastAsia" w:ascii="宋体" w:hAnsi="宋体" w:eastAsia="宋体" w:cs="宋体"/>
          <w:b w:val="0"/>
          <w:bCs w:val="0"/>
          <w:color w:val="auto"/>
          <w:sz w:val="20"/>
          <w:szCs w:val="20"/>
          <w:highlight w:val="none"/>
          <w:shd w:val="clear" w:color="auto" w:fill="FFFFFF"/>
        </w:rPr>
      </w:pPr>
    </w:p>
    <w:p w14:paraId="6F30DE03">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0"/>
          <w:szCs w:val="20"/>
          <w:highlight w:val="none"/>
          <w:shd w:val="clear" w:color="auto" w:fill="FFFFFF"/>
        </w:rPr>
        <w:t>*</w:t>
      </w:r>
      <w:r>
        <w:rPr>
          <w:rFonts w:hint="eastAsia" w:ascii="宋体" w:hAnsi="宋体" w:eastAsia="宋体" w:cs="宋体"/>
          <w:b w:val="0"/>
          <w:bCs w:val="0"/>
          <w:color w:val="auto"/>
          <w:sz w:val="24"/>
          <w:highlight w:val="none"/>
        </w:rPr>
        <w:t xml:space="preserve">备注：1、投标人编制投标文件（商务技术文件部分）时，建议按此目录（序号和内容）提供评标标准相应的商务技术资料。 </w:t>
      </w:r>
    </w:p>
    <w:p w14:paraId="20C5F6B7">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2、评分条款中涉及的业绩、荣誉、人员、社保等分公司均有效。涉及社保、劳动关系证明关系的，如人员为法人代表，则无需提供相关证明，提供营业执照及身份证。</w:t>
      </w:r>
    </w:p>
    <w:p w14:paraId="63B1A2F4">
      <w:pPr>
        <w:spacing w:line="360" w:lineRule="auto"/>
        <w:rPr>
          <w:rFonts w:ascii="宋体" w:hAnsi="宋体" w:cs="宋体"/>
          <w:b/>
          <w:color w:val="auto"/>
          <w:sz w:val="32"/>
          <w:highlight w:val="none"/>
        </w:rPr>
      </w:pPr>
      <w:r>
        <w:rPr>
          <w:rFonts w:hint="eastAsia" w:ascii="宋体" w:hAnsi="宋体" w:eastAsia="宋体" w:cs="宋体"/>
          <w:b w:val="0"/>
          <w:bCs w:val="0"/>
          <w:color w:val="auto"/>
          <w:sz w:val="24"/>
          <w:highlight w:val="none"/>
        </w:rPr>
        <w:t>3、投标文件中如附有外文资料，必须逐一对应翻译成中文并加盖投标人公章后附在相关外文资料后面，否则外文资料不予认可。</w:t>
      </w:r>
      <w:r>
        <w:rPr>
          <w:rFonts w:hint="eastAsia" w:ascii="宋体" w:hAnsi="宋体" w:eastAsia="宋体" w:cs="宋体"/>
          <w:b w:val="0"/>
          <w:bCs w:val="0"/>
          <w:color w:val="auto"/>
          <w:sz w:val="24"/>
          <w:highlight w:val="none"/>
        </w:rPr>
        <w:br w:type="page"/>
      </w:r>
    </w:p>
    <w:p w14:paraId="352B698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0DE549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A61F51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C109FE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5AE6D86">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222FAD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F69209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4539D6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0FF133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E84587">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939E9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A88638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6788E1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EEE3E4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5F06242">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w:t>
      </w:r>
      <w:r>
        <w:rPr>
          <w:rFonts w:hint="eastAsia" w:ascii="宋体" w:hAnsi="宋体" w:cs="宋体"/>
          <w:color w:val="auto"/>
          <w:kern w:val="0"/>
          <w:szCs w:val="24"/>
          <w:highlight w:val="none"/>
          <w:lang w:val="en-US" w:eastAsia="zh-CN"/>
        </w:rPr>
        <w:t>参</w:t>
      </w:r>
      <w:r>
        <w:rPr>
          <w:rFonts w:hint="eastAsia" w:ascii="宋体" w:hAnsi="宋体" w:cs="宋体"/>
          <w:color w:val="auto"/>
          <w:kern w:val="0"/>
          <w:szCs w:val="24"/>
          <w:highlight w:val="none"/>
        </w:rPr>
        <w:t>照财政部第87号令 《政府采购货物和服务招标投标管理办法》第五十一条第二款的规定经投标人确认后产生约束力。</w:t>
      </w:r>
    </w:p>
    <w:p w14:paraId="5620CEC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DCD929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CFE658A">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9416CB">
      <w:pPr>
        <w:spacing w:line="360" w:lineRule="auto"/>
        <w:ind w:firstLine="512" w:firstLineChars="200"/>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3.4.5对于未预留份额专门面向中小企业的政府采购货物项目，以及预留份额政府采购货物项目中的非预留部分标项，对小型和微型企业的投标报价给予10</w:t>
      </w:r>
      <w:r>
        <w:rPr>
          <w:rFonts w:hint="eastAsia" w:ascii="宋体" w:hAnsi="宋体" w:cs="宋体"/>
          <w:color w:val="auto"/>
          <w:spacing w:val="8"/>
          <w:kern w:val="0"/>
          <w:sz w:val="24"/>
          <w:highlight w:val="none"/>
          <w:lang w:val="en-US" w:eastAsia="zh-CN"/>
        </w:rPr>
        <w:t>-20</w:t>
      </w:r>
      <w:r>
        <w:rPr>
          <w:rFonts w:hint="eastAsia" w:ascii="宋体" w:hAnsi="宋体" w:eastAsia="宋体" w:cs="宋体"/>
          <w:color w:val="auto"/>
          <w:spacing w:val="8"/>
          <w:kern w:val="0"/>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hint="eastAsia" w:ascii="宋体" w:hAnsi="宋体" w:cs="宋体"/>
          <w:color w:val="auto"/>
          <w:spacing w:val="8"/>
          <w:kern w:val="0"/>
          <w:sz w:val="24"/>
          <w:highlight w:val="none"/>
          <w:lang w:val="en-US" w:eastAsia="zh-CN"/>
        </w:rPr>
        <w:t>-6</w:t>
      </w:r>
      <w:r>
        <w:rPr>
          <w:rFonts w:hint="eastAsia" w:ascii="宋体" w:hAnsi="宋体" w:eastAsia="宋体" w:cs="宋体"/>
          <w:color w:val="auto"/>
          <w:spacing w:val="8"/>
          <w:kern w:val="0"/>
          <w:sz w:val="24"/>
          <w:highlight w:val="none"/>
        </w:rPr>
        <w:t>%的扣除，用扣除后的价格参加评审。组成联合体或者接受分包的小微企业与联合体内其他企业、分包企业之间存在直接控股、管理关系的，不享受价格扣除优惠政策。</w:t>
      </w:r>
    </w:p>
    <w:p w14:paraId="26F0029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D52E0B">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BCBB0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74728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E3835FB">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D756F9">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C8263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7145FE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3CBAB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7045CE6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624EEE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4.2.5投标文件出现不是唯一的、有选择性投标报价的;</w:t>
      </w:r>
    </w:p>
    <w:p w14:paraId="7F9B495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4.2.6投标报价超过招标文件中规定的预算金额或者最高限价的;</w:t>
      </w:r>
    </w:p>
    <w:p w14:paraId="30DD75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620297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73C21C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20B840E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4.2.10投标人有恶意串通、妨碍其他投标人的竞争行为、损害采购人或者其他投标人的合法权益情形的；</w:t>
      </w:r>
    </w:p>
    <w:p w14:paraId="7A5B324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4.2.11投标人仅提交备份投标文件，未在电子交易平台传输递交投标文件的，投标无效；</w:t>
      </w:r>
    </w:p>
    <w:p w14:paraId="50B1B9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4.2.12投标文件不满足招标文件的其它实质性要求的；</w:t>
      </w:r>
    </w:p>
    <w:p w14:paraId="223F21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法律、法规、规章（适用本市的）及省级以上规范性文件（适用本市的）规定的其他无效情形。</w:t>
      </w:r>
    </w:p>
    <w:p w14:paraId="7309A60D">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4FCAEC47">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F47FA42">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1D7D6476">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2644222">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602753D0">
      <w:pPr>
        <w:pStyle w:val="27"/>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3CE507F3">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BE3CE44">
      <w:pPr>
        <w:pStyle w:val="27"/>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有政府采购法第七十一条、第七十二条规定的违法行为之一，影响或者可能影响中标、成交结果的，依照下列规定处理：</w:t>
      </w:r>
    </w:p>
    <w:p w14:paraId="4875CB7B">
      <w:pPr>
        <w:pStyle w:val="27"/>
        <w:snapToGrid w:val="0"/>
        <w:spacing w:line="360" w:lineRule="auto"/>
        <w:ind w:firstLine="600" w:firstLineChars="250"/>
        <w:rPr>
          <w:rFonts w:cs="宋体"/>
          <w:color w:val="auto"/>
          <w:highlight w:val="none"/>
        </w:rPr>
      </w:pPr>
      <w:r>
        <w:rPr>
          <w:rFonts w:hint="eastAsia" w:cs="宋体"/>
          <w:color w:val="auto"/>
          <w:highlight w:val="none"/>
        </w:rPr>
        <w:t>7.1未确定中标或者中标人的，终止本次采购活动，重新开展采购活动。</w:t>
      </w:r>
    </w:p>
    <w:p w14:paraId="7A3B1B85">
      <w:pPr>
        <w:pStyle w:val="27"/>
        <w:snapToGrid w:val="0"/>
        <w:spacing w:line="360" w:lineRule="auto"/>
        <w:ind w:firstLine="600" w:firstLineChars="250"/>
        <w:rPr>
          <w:rFonts w:cs="宋体"/>
          <w:color w:val="auto"/>
          <w:highlight w:val="none"/>
        </w:rPr>
      </w:pPr>
      <w:r>
        <w:rPr>
          <w:rFonts w:hint="eastAsia" w:cs="宋体"/>
          <w:color w:val="auto"/>
          <w:highlight w:val="none"/>
        </w:rPr>
        <w:t>7.2已确定中标或者中标人但尚未签订采购合同的，中标或者成交结果无效，从合格的中标或者成交候选人中另行确定中标或者中标人；没有合格的中标或者成交候选人的，重新开展采购活动。</w:t>
      </w:r>
    </w:p>
    <w:p w14:paraId="61BB689E">
      <w:pPr>
        <w:pStyle w:val="27"/>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7.3采购合同已签订但尚未履行的，撤销合同，从合格的中标或者成交候选人中另行确定中标或者中标人；没有合格的中标或者成交候选人的，重新开展采购活动。</w:t>
      </w:r>
    </w:p>
    <w:p w14:paraId="22E8DB0E">
      <w:pPr>
        <w:pStyle w:val="2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3F72490F">
      <w:pPr>
        <w:pStyle w:val="27"/>
        <w:snapToGrid w:val="0"/>
        <w:spacing w:line="360" w:lineRule="auto"/>
        <w:rPr>
          <w:rFonts w:cs="宋体"/>
          <w:color w:val="auto"/>
          <w:highlight w:val="none"/>
        </w:rPr>
      </w:pPr>
      <w:r>
        <w:rPr>
          <w:rFonts w:hint="eastAsia" w:cs="宋体"/>
          <w:color w:val="auto"/>
          <w:highlight w:val="none"/>
        </w:rPr>
        <w:t>7.5采购当事人有其他违反采购相关</w:t>
      </w:r>
      <w:r>
        <w:rPr>
          <w:rFonts w:hint="eastAsia" w:cs="宋体"/>
          <w:color w:val="auto"/>
          <w:kern w:val="0"/>
          <w:highlight w:val="none"/>
        </w:rPr>
        <w:t>法律法规规定</w:t>
      </w:r>
      <w:r>
        <w:rPr>
          <w:rFonts w:hint="eastAsia" w:cs="宋体"/>
          <w:color w:val="auto"/>
          <w:highlight w:val="none"/>
        </w:rPr>
        <w:t>的行为，经改正后仍然影响或者可能影响中标、成交结果或者依法被认定为中标、成交无效的，依照7.1-7.4规定处理。</w:t>
      </w:r>
    </w:p>
    <w:bookmarkEnd w:id="18"/>
    <w:p w14:paraId="41990712">
      <w:pPr>
        <w:spacing w:line="360" w:lineRule="auto"/>
        <w:outlineLvl w:val="0"/>
        <w:rPr>
          <w:rFonts w:ascii="宋体" w:hAnsi="宋体" w:cs="宋体"/>
          <w:b/>
          <w:color w:val="auto"/>
          <w:sz w:val="36"/>
          <w:szCs w:val="36"/>
          <w:highlight w:val="none"/>
        </w:rPr>
      </w:pPr>
      <w:bookmarkStart w:id="404" w:name="第五部分"/>
      <w:bookmarkStart w:id="405" w:name="_Toc86217003"/>
      <w:r>
        <w:rPr>
          <w:rFonts w:hint="eastAsia" w:ascii="宋体" w:hAnsi="宋体" w:cs="宋体"/>
          <w:b/>
          <w:color w:val="auto"/>
          <w:sz w:val="36"/>
          <w:szCs w:val="36"/>
          <w:highlight w:val="none"/>
        </w:rPr>
        <w:br w:type="page"/>
      </w:r>
    </w:p>
    <w:p w14:paraId="2C695322">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第五部分 </w:t>
      </w:r>
      <w:r>
        <w:rPr>
          <w:rFonts w:hint="eastAsia" w:ascii="宋体" w:hAnsi="宋体" w:cs="宋体"/>
          <w:b/>
          <w:color w:val="auto"/>
          <w:sz w:val="36"/>
          <w:szCs w:val="20"/>
          <w:highlight w:val="none"/>
        </w:rPr>
        <w:t xml:space="preserve"> </w:t>
      </w:r>
      <w:r>
        <w:rPr>
          <w:rFonts w:hint="eastAsia" w:ascii="宋体" w:hAnsi="宋体" w:cs="宋体"/>
          <w:b/>
          <w:color w:val="auto"/>
          <w:sz w:val="36"/>
          <w:szCs w:val="36"/>
          <w:highlight w:val="none"/>
        </w:rPr>
        <w:t>拟签订的合同文本</w:t>
      </w:r>
    </w:p>
    <w:p w14:paraId="361733B4">
      <w:pPr>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53354F9">
      <w:pPr>
        <w:ind w:firstLine="6000" w:firstLineChars="2500"/>
        <w:rPr>
          <w:rFonts w:ascii="宋体" w:hAnsi="宋体" w:cs="宋体"/>
          <w:color w:val="auto"/>
          <w:sz w:val="24"/>
          <w:highlight w:val="none"/>
          <w:u w:val="single"/>
        </w:rPr>
      </w:pPr>
      <w:r>
        <w:rPr>
          <w:rFonts w:hint="eastAsia" w:ascii="宋体" w:hAnsi="宋体" w:cs="宋体"/>
          <w:color w:val="auto"/>
          <w:sz w:val="24"/>
          <w:highlight w:val="none"/>
        </w:rPr>
        <w:t xml:space="preserve"> 合同编号：</w:t>
      </w:r>
      <w:r>
        <w:rPr>
          <w:rFonts w:hint="eastAsia" w:ascii="宋体" w:hAnsi="宋体" w:cs="宋体"/>
          <w:color w:val="auto"/>
          <w:sz w:val="24"/>
          <w:highlight w:val="none"/>
          <w:u w:val="single"/>
        </w:rPr>
        <w:t xml:space="preserve">           </w:t>
      </w:r>
    </w:p>
    <w:p w14:paraId="6125A5F5">
      <w:pPr>
        <w:spacing w:line="480" w:lineRule="auto"/>
        <w:jc w:val="center"/>
        <w:rPr>
          <w:rFonts w:ascii="宋体" w:hAnsi="宋体" w:cs="宋体"/>
          <w:b/>
          <w:color w:val="auto"/>
          <w:sz w:val="28"/>
          <w:szCs w:val="28"/>
          <w:highlight w:val="none"/>
        </w:rPr>
      </w:pPr>
    </w:p>
    <w:p w14:paraId="1CF22276">
      <w:pPr>
        <w:spacing w:line="480" w:lineRule="auto"/>
        <w:jc w:val="center"/>
        <w:rPr>
          <w:rFonts w:ascii="宋体" w:hAnsi="宋体" w:cs="宋体"/>
          <w:b/>
          <w:color w:val="auto"/>
          <w:sz w:val="24"/>
          <w:highlight w:val="none"/>
        </w:rPr>
      </w:pPr>
    </w:p>
    <w:p w14:paraId="7CB19851">
      <w:pPr>
        <w:spacing w:line="480" w:lineRule="auto"/>
        <w:jc w:val="center"/>
        <w:rPr>
          <w:rFonts w:ascii="宋体" w:hAnsi="宋体" w:cs="宋体"/>
          <w:b/>
          <w:color w:val="auto"/>
          <w:sz w:val="24"/>
          <w:highlight w:val="none"/>
        </w:rPr>
      </w:pPr>
    </w:p>
    <w:p w14:paraId="521736B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14:paraId="7ABBB95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E572124">
      <w:pPr>
        <w:pStyle w:val="8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14DA1F9">
      <w:pPr>
        <w:spacing w:before="120" w:line="22" w:lineRule="atLeast"/>
        <w:rPr>
          <w:rFonts w:ascii="宋体" w:hAnsi="宋体" w:cs="宋体"/>
          <w:color w:val="auto"/>
          <w:sz w:val="24"/>
          <w:highlight w:val="none"/>
        </w:rPr>
      </w:pPr>
    </w:p>
    <w:p w14:paraId="48341968">
      <w:pPr>
        <w:pStyle w:val="4"/>
        <w:rPr>
          <w:color w:val="auto"/>
          <w:highlight w:val="none"/>
        </w:rPr>
      </w:pPr>
    </w:p>
    <w:p w14:paraId="583B19F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5FEE262">
      <w:pPr>
        <w:pStyle w:val="601"/>
        <w:spacing w:before="120" w:line="22" w:lineRule="atLeast"/>
        <w:rPr>
          <w:rFonts w:ascii="宋体" w:hAnsi="宋体" w:eastAsia="宋体" w:cs="宋体"/>
          <w:color w:val="auto"/>
          <w:szCs w:val="24"/>
          <w:highlight w:val="none"/>
        </w:rPr>
      </w:pPr>
    </w:p>
    <w:p w14:paraId="4ABB355C">
      <w:pPr>
        <w:pStyle w:val="601"/>
        <w:spacing w:before="120" w:line="22" w:lineRule="atLeast"/>
        <w:rPr>
          <w:rFonts w:ascii="宋体" w:hAnsi="宋体" w:eastAsia="宋体" w:cs="宋体"/>
          <w:color w:val="auto"/>
          <w:szCs w:val="24"/>
          <w:highlight w:val="none"/>
        </w:rPr>
      </w:pPr>
    </w:p>
    <w:p w14:paraId="1A3ABB91">
      <w:pPr>
        <w:rPr>
          <w:rFonts w:ascii="宋体" w:hAnsi="宋体" w:cs="宋体"/>
          <w:color w:val="auto"/>
          <w:sz w:val="24"/>
          <w:highlight w:val="none"/>
        </w:rPr>
      </w:pPr>
    </w:p>
    <w:p w14:paraId="07FDE55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2D23C2B">
      <w:pPr>
        <w:spacing w:before="120" w:line="22" w:lineRule="atLeast"/>
        <w:rPr>
          <w:rFonts w:ascii="宋体" w:hAnsi="宋体" w:cs="宋体"/>
          <w:color w:val="auto"/>
          <w:sz w:val="24"/>
          <w:highlight w:val="none"/>
        </w:rPr>
      </w:pPr>
    </w:p>
    <w:p w14:paraId="430D7F7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063AD7D">
      <w:pPr>
        <w:spacing w:before="120" w:line="22" w:lineRule="atLeast"/>
        <w:rPr>
          <w:rFonts w:ascii="宋体" w:hAnsi="宋体" w:cs="宋体"/>
          <w:color w:val="auto"/>
          <w:sz w:val="24"/>
          <w:highlight w:val="none"/>
        </w:rPr>
      </w:pPr>
    </w:p>
    <w:p w14:paraId="5A9ABAC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36950">
      <w:pPr>
        <w:spacing w:before="120" w:line="22" w:lineRule="atLeast"/>
        <w:rPr>
          <w:rFonts w:ascii="宋体" w:hAnsi="宋体" w:cs="宋体"/>
          <w:color w:val="auto"/>
          <w:sz w:val="24"/>
          <w:highlight w:val="none"/>
        </w:rPr>
      </w:pPr>
    </w:p>
    <w:p w14:paraId="09BF07F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23F04DF">
      <w:pPr>
        <w:widowControl/>
        <w:jc w:val="left"/>
        <w:rPr>
          <w:rFonts w:ascii="宋体" w:hAnsi="宋体" w:cs="宋体"/>
          <w:color w:val="auto"/>
          <w:kern w:val="0"/>
          <w:sz w:val="24"/>
          <w:highlight w:val="none"/>
        </w:rPr>
        <w:sectPr>
          <w:footerReference r:id="rId3" w:type="default"/>
          <w:pgSz w:w="11907" w:h="16840"/>
          <w:pgMar w:top="1474" w:right="1814" w:bottom="1474" w:left="1814" w:header="851" w:footer="1271" w:gutter="0"/>
          <w:cols w:space="720" w:num="1"/>
        </w:sectPr>
      </w:pPr>
    </w:p>
    <w:p w14:paraId="1463040A">
      <w:pPr>
        <w:rPr>
          <w:rFonts w:ascii="宋体" w:hAnsi="宋体" w:cs="宋体"/>
          <w:b/>
          <w:color w:val="auto"/>
          <w:sz w:val="24"/>
          <w:highlight w:val="none"/>
        </w:rPr>
      </w:pPr>
    </w:p>
    <w:p w14:paraId="5FE84B26">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45921FA">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2F57954D">
      <w:pPr>
        <w:spacing w:line="560" w:lineRule="exact"/>
        <w:ind w:firstLine="482" w:firstLineChars="200"/>
        <w:outlineLvl w:val="0"/>
        <w:rPr>
          <w:rFonts w:ascii="宋体" w:hAnsi="宋体"/>
          <w:color w:val="auto"/>
          <w:sz w:val="24"/>
          <w:highlight w:val="none"/>
        </w:rPr>
      </w:pPr>
      <w:bookmarkStart w:id="406" w:name="_Toc22967"/>
      <w:bookmarkStart w:id="407" w:name="_Toc28855"/>
      <w:bookmarkStart w:id="408" w:name="_Toc15367"/>
      <w:bookmarkStart w:id="409" w:name="_Toc20421"/>
      <w:bookmarkStart w:id="41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14:paraId="3AF37A3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B731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FED953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09D23F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CD7C7A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F674DE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1717706">
      <w:pPr>
        <w:spacing w:line="560" w:lineRule="exact"/>
        <w:ind w:firstLine="482" w:firstLineChars="200"/>
        <w:outlineLvl w:val="0"/>
        <w:rPr>
          <w:rFonts w:ascii="宋体" w:hAnsi="宋体"/>
          <w:b/>
          <w:color w:val="auto"/>
          <w:sz w:val="24"/>
          <w:highlight w:val="none"/>
        </w:rPr>
      </w:pPr>
      <w:bookmarkStart w:id="411" w:name="_Toc18585"/>
      <w:bookmarkStart w:id="412" w:name="_Toc6773"/>
      <w:bookmarkStart w:id="413" w:name="_Toc2918"/>
      <w:bookmarkStart w:id="414" w:name="_Toc6311"/>
      <w:bookmarkStart w:id="415"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14:paraId="2969D7B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4B5B84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DE1CA5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68333F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FCAE1C6">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7E1C8E80">
      <w:pPr>
        <w:spacing w:line="560" w:lineRule="exact"/>
        <w:ind w:firstLine="480" w:firstLineChars="200"/>
        <w:rPr>
          <w:rFonts w:ascii="宋体" w:hAnsi="宋体" w:cs="宋体"/>
          <w:color w:val="auto"/>
          <w:sz w:val="24"/>
          <w:highlight w:val="none"/>
          <w:u w:val="single"/>
        </w:rPr>
      </w:pPr>
      <w:bookmarkStart w:id="416" w:name="_Toc21124"/>
      <w:bookmarkStart w:id="417" w:name="_Toc4929"/>
      <w:bookmarkStart w:id="418" w:name="_Toc13918"/>
      <w:bookmarkStart w:id="419" w:name="_Toc5635"/>
      <w:bookmarkStart w:id="420"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DD8A5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AC632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B6765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6"/>
      <w:bookmarkEnd w:id="417"/>
      <w:bookmarkEnd w:id="418"/>
      <w:bookmarkEnd w:id="419"/>
      <w:bookmarkEnd w:id="420"/>
    </w:p>
    <w:p w14:paraId="6B0A8F5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8B2526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0FC7C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96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FD0D5B">
            <w:pPr>
              <w:pStyle w:val="32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FB21503">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0C2A7FE">
            <w:pPr>
              <w:pStyle w:val="322"/>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DF8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3A9414">
            <w:pPr>
              <w:pStyle w:val="322"/>
              <w:spacing w:line="560" w:lineRule="exact"/>
              <w:ind w:firstLine="200"/>
              <w:jc w:val="center"/>
              <w:rPr>
                <w:rFonts w:hAnsi="宋体"/>
                <w:color w:val="auto"/>
                <w:sz w:val="24"/>
                <w:szCs w:val="24"/>
                <w:highlight w:val="none"/>
              </w:rPr>
            </w:pPr>
          </w:p>
        </w:tc>
        <w:tc>
          <w:tcPr>
            <w:tcW w:w="3402" w:type="dxa"/>
            <w:vAlign w:val="center"/>
          </w:tcPr>
          <w:p w14:paraId="4B13E5B0">
            <w:pPr>
              <w:pStyle w:val="322"/>
              <w:spacing w:line="560" w:lineRule="exact"/>
              <w:ind w:firstLine="200"/>
              <w:jc w:val="center"/>
              <w:rPr>
                <w:rFonts w:hAnsi="宋体"/>
                <w:color w:val="auto"/>
                <w:sz w:val="24"/>
                <w:szCs w:val="24"/>
                <w:highlight w:val="none"/>
              </w:rPr>
            </w:pPr>
          </w:p>
        </w:tc>
        <w:tc>
          <w:tcPr>
            <w:tcW w:w="2552" w:type="dxa"/>
            <w:vAlign w:val="center"/>
          </w:tcPr>
          <w:p w14:paraId="26F12A32">
            <w:pPr>
              <w:pStyle w:val="322"/>
              <w:spacing w:line="560" w:lineRule="exact"/>
              <w:ind w:firstLine="200"/>
              <w:jc w:val="center"/>
              <w:rPr>
                <w:rFonts w:hAnsi="宋体"/>
                <w:color w:val="auto"/>
                <w:sz w:val="24"/>
                <w:szCs w:val="24"/>
                <w:highlight w:val="none"/>
              </w:rPr>
            </w:pPr>
          </w:p>
        </w:tc>
      </w:tr>
      <w:tr w14:paraId="0648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E97D66">
            <w:pPr>
              <w:pStyle w:val="322"/>
              <w:spacing w:line="560" w:lineRule="exact"/>
              <w:ind w:firstLine="200"/>
              <w:jc w:val="center"/>
              <w:rPr>
                <w:rFonts w:hAnsi="宋体"/>
                <w:color w:val="auto"/>
                <w:sz w:val="24"/>
                <w:szCs w:val="24"/>
                <w:highlight w:val="none"/>
              </w:rPr>
            </w:pPr>
          </w:p>
        </w:tc>
        <w:tc>
          <w:tcPr>
            <w:tcW w:w="3402" w:type="dxa"/>
            <w:vAlign w:val="center"/>
          </w:tcPr>
          <w:p w14:paraId="5A7DE510">
            <w:pPr>
              <w:pStyle w:val="322"/>
              <w:spacing w:line="560" w:lineRule="exact"/>
              <w:ind w:firstLine="200"/>
              <w:jc w:val="center"/>
              <w:rPr>
                <w:rFonts w:hAnsi="宋体"/>
                <w:color w:val="auto"/>
                <w:sz w:val="24"/>
                <w:szCs w:val="24"/>
                <w:highlight w:val="none"/>
              </w:rPr>
            </w:pPr>
          </w:p>
        </w:tc>
        <w:tc>
          <w:tcPr>
            <w:tcW w:w="2552" w:type="dxa"/>
            <w:vAlign w:val="center"/>
          </w:tcPr>
          <w:p w14:paraId="396521C3">
            <w:pPr>
              <w:pStyle w:val="322"/>
              <w:spacing w:line="560" w:lineRule="exact"/>
              <w:ind w:firstLine="200"/>
              <w:jc w:val="center"/>
              <w:rPr>
                <w:rFonts w:hAnsi="宋体"/>
                <w:color w:val="auto"/>
                <w:sz w:val="24"/>
                <w:szCs w:val="24"/>
                <w:highlight w:val="none"/>
              </w:rPr>
            </w:pPr>
          </w:p>
        </w:tc>
      </w:tr>
      <w:tr w14:paraId="2054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16F082">
            <w:pPr>
              <w:pStyle w:val="322"/>
              <w:spacing w:line="560" w:lineRule="exact"/>
              <w:ind w:firstLine="200"/>
              <w:jc w:val="center"/>
              <w:rPr>
                <w:rFonts w:hAnsi="宋体"/>
                <w:color w:val="auto"/>
                <w:sz w:val="24"/>
                <w:szCs w:val="24"/>
                <w:highlight w:val="none"/>
              </w:rPr>
            </w:pPr>
          </w:p>
        </w:tc>
        <w:tc>
          <w:tcPr>
            <w:tcW w:w="3402" w:type="dxa"/>
            <w:vAlign w:val="center"/>
          </w:tcPr>
          <w:p w14:paraId="593285B2">
            <w:pPr>
              <w:pStyle w:val="322"/>
              <w:spacing w:line="560" w:lineRule="exact"/>
              <w:ind w:firstLine="200"/>
              <w:jc w:val="center"/>
              <w:rPr>
                <w:rFonts w:hAnsi="宋体"/>
                <w:color w:val="auto"/>
                <w:sz w:val="24"/>
                <w:szCs w:val="24"/>
                <w:highlight w:val="none"/>
              </w:rPr>
            </w:pPr>
          </w:p>
        </w:tc>
        <w:tc>
          <w:tcPr>
            <w:tcW w:w="2552" w:type="dxa"/>
            <w:vAlign w:val="center"/>
          </w:tcPr>
          <w:p w14:paraId="010E1278">
            <w:pPr>
              <w:pStyle w:val="322"/>
              <w:spacing w:line="560" w:lineRule="exact"/>
              <w:ind w:firstLine="200"/>
              <w:jc w:val="center"/>
              <w:rPr>
                <w:rFonts w:hAnsi="宋体"/>
                <w:color w:val="auto"/>
                <w:sz w:val="24"/>
                <w:szCs w:val="24"/>
                <w:highlight w:val="none"/>
              </w:rPr>
            </w:pPr>
          </w:p>
        </w:tc>
      </w:tr>
      <w:tr w14:paraId="753D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0F94A1">
            <w:pPr>
              <w:pStyle w:val="322"/>
              <w:spacing w:line="560" w:lineRule="exact"/>
              <w:ind w:firstLine="200"/>
              <w:jc w:val="center"/>
              <w:rPr>
                <w:rFonts w:hAnsi="宋体"/>
                <w:color w:val="auto"/>
                <w:sz w:val="24"/>
                <w:szCs w:val="24"/>
                <w:highlight w:val="none"/>
              </w:rPr>
            </w:pPr>
          </w:p>
        </w:tc>
        <w:tc>
          <w:tcPr>
            <w:tcW w:w="3402" w:type="dxa"/>
            <w:vAlign w:val="center"/>
          </w:tcPr>
          <w:p w14:paraId="3BE5E7F9">
            <w:pPr>
              <w:pStyle w:val="322"/>
              <w:spacing w:line="560" w:lineRule="exact"/>
              <w:ind w:firstLine="200"/>
              <w:jc w:val="center"/>
              <w:rPr>
                <w:rFonts w:hAnsi="宋体"/>
                <w:color w:val="auto"/>
                <w:sz w:val="24"/>
                <w:szCs w:val="24"/>
                <w:highlight w:val="none"/>
              </w:rPr>
            </w:pPr>
          </w:p>
        </w:tc>
        <w:tc>
          <w:tcPr>
            <w:tcW w:w="2552" w:type="dxa"/>
            <w:vAlign w:val="center"/>
          </w:tcPr>
          <w:p w14:paraId="25755E4E">
            <w:pPr>
              <w:pStyle w:val="322"/>
              <w:spacing w:line="560" w:lineRule="exact"/>
              <w:ind w:firstLine="200"/>
              <w:jc w:val="center"/>
              <w:rPr>
                <w:rFonts w:hAnsi="宋体"/>
                <w:color w:val="auto"/>
                <w:sz w:val="24"/>
                <w:szCs w:val="24"/>
                <w:highlight w:val="none"/>
              </w:rPr>
            </w:pPr>
          </w:p>
        </w:tc>
      </w:tr>
      <w:tr w14:paraId="44FB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3303526">
            <w:pPr>
              <w:pStyle w:val="32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931D396">
            <w:pPr>
              <w:pStyle w:val="322"/>
              <w:spacing w:line="560" w:lineRule="exact"/>
              <w:ind w:firstLine="200"/>
              <w:jc w:val="center"/>
              <w:rPr>
                <w:rFonts w:hAnsi="宋体"/>
                <w:color w:val="auto"/>
                <w:sz w:val="24"/>
                <w:szCs w:val="24"/>
                <w:highlight w:val="none"/>
              </w:rPr>
            </w:pPr>
          </w:p>
        </w:tc>
      </w:tr>
    </w:tbl>
    <w:p w14:paraId="4BB3C934">
      <w:pPr>
        <w:spacing w:line="560" w:lineRule="exact"/>
        <w:ind w:firstLine="480" w:firstLineChars="200"/>
        <w:rPr>
          <w:rFonts w:ascii="宋体" w:hAnsi="宋体"/>
          <w:color w:val="auto"/>
          <w:sz w:val="24"/>
          <w:highlight w:val="none"/>
        </w:rPr>
      </w:pPr>
      <w:bookmarkStart w:id="421" w:name="_Toc30506"/>
      <w:bookmarkStart w:id="422" w:name="_Toc26916"/>
      <w:bookmarkStart w:id="423" w:name="_Toc3654"/>
      <w:bookmarkStart w:id="424" w:name="_Toc30158"/>
      <w:bookmarkStart w:id="425"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720293B5">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1"/>
    <w:bookmarkEnd w:id="422"/>
    <w:bookmarkEnd w:id="423"/>
    <w:bookmarkEnd w:id="424"/>
    <w:bookmarkEnd w:id="425"/>
    <w:p w14:paraId="026A8877">
      <w:pPr>
        <w:pStyle w:val="960"/>
        <w:spacing w:before="0" w:beforeAutospacing="0" w:after="0" w:afterAutospacing="0" w:line="360" w:lineRule="auto"/>
        <w:ind w:firstLine="480"/>
        <w:rPr>
          <w:b/>
          <w:color w:val="auto"/>
          <w:highlight w:val="none"/>
        </w:rPr>
      </w:pPr>
      <w:bookmarkStart w:id="426" w:name="_Toc1814"/>
      <w:bookmarkStart w:id="427" w:name="_Toc22618"/>
      <w:bookmarkStart w:id="428" w:name="_Toc10340"/>
      <w:bookmarkStart w:id="429" w:name="_Toc3625"/>
      <w:bookmarkStart w:id="430" w:name="_Toc31421"/>
      <w:bookmarkStart w:id="431" w:name="_Toc11108"/>
      <w:bookmarkStart w:id="432" w:name="_Toc8772"/>
      <w:bookmarkStart w:id="433" w:name="_Toc4760"/>
      <w:r>
        <w:rPr>
          <w:rFonts w:hint="eastAsia"/>
          <w:b/>
          <w:color w:val="auto"/>
          <w:highlight w:val="none"/>
        </w:rPr>
        <w:t>1.4履约保证金</w:t>
      </w:r>
    </w:p>
    <w:p w14:paraId="66E8B399">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0D9613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CBE76C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438B0C3">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C8233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86FCBE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6"/>
      <w:bookmarkEnd w:id="427"/>
      <w:bookmarkEnd w:id="428"/>
      <w:r>
        <w:rPr>
          <w:rFonts w:hint="eastAsia" w:ascii="宋体" w:hAnsi="宋体" w:cs="宋体"/>
          <w:b/>
          <w:color w:val="auto"/>
          <w:sz w:val="24"/>
          <w:highlight w:val="none"/>
        </w:rPr>
        <w:t>预付款</w:t>
      </w:r>
    </w:p>
    <w:p w14:paraId="72412F7A">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376EF0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40C89FC">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A6F7088">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4CB1EB2">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74B126C">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8A0974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7ECAE2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9"/>
      <w:bookmarkEnd w:id="430"/>
      <w:bookmarkEnd w:id="431"/>
      <w:bookmarkEnd w:id="432"/>
      <w:bookmarkEnd w:id="433"/>
    </w:p>
    <w:p w14:paraId="2E8993E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A60CE2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F9097D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B165491">
      <w:pPr>
        <w:spacing w:line="560" w:lineRule="exact"/>
        <w:ind w:firstLine="480" w:firstLineChars="200"/>
        <w:outlineLvl w:val="0"/>
        <w:rPr>
          <w:rFonts w:ascii="宋体" w:hAnsi="宋体"/>
          <w:bCs/>
          <w:color w:val="auto"/>
          <w:sz w:val="24"/>
          <w:highlight w:val="none"/>
        </w:rPr>
      </w:pPr>
      <w:bookmarkStart w:id="434" w:name="_Toc24662"/>
      <w:bookmarkStart w:id="435" w:name="_Toc2375"/>
      <w:bookmarkStart w:id="436" w:name="_Toc5698"/>
      <w:bookmarkStart w:id="437" w:name="_Toc8586"/>
      <w:bookmarkStart w:id="438"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0010BE7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21240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0745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029F165">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4"/>
      <w:bookmarkEnd w:id="435"/>
      <w:bookmarkEnd w:id="436"/>
      <w:bookmarkEnd w:id="437"/>
      <w:bookmarkEnd w:id="438"/>
    </w:p>
    <w:p w14:paraId="28175D5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6FB77C">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5FED86B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62AD93F">
      <w:pPr>
        <w:spacing w:line="560" w:lineRule="exact"/>
        <w:ind w:firstLine="480" w:firstLineChars="200"/>
        <w:rPr>
          <w:rFonts w:ascii="宋体" w:hAnsi="宋体" w:cs="宋体"/>
          <w:color w:val="auto"/>
          <w:sz w:val="24"/>
          <w:highlight w:val="none"/>
        </w:rPr>
      </w:pPr>
      <w:bookmarkStart w:id="439" w:name="_Toc9497"/>
      <w:bookmarkStart w:id="440" w:name="_Toc32454"/>
      <w:bookmarkStart w:id="441" w:name="_Toc26807"/>
      <w:bookmarkStart w:id="442" w:name="_Toc18683"/>
      <w:bookmarkStart w:id="443"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B988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EE7D1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7840D1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9"/>
    <w:bookmarkEnd w:id="440"/>
    <w:bookmarkEnd w:id="441"/>
    <w:bookmarkEnd w:id="442"/>
    <w:bookmarkEnd w:id="443"/>
    <w:p w14:paraId="3CD2E6D9">
      <w:pPr>
        <w:spacing w:line="560" w:lineRule="exact"/>
        <w:ind w:firstLine="482" w:firstLineChars="200"/>
        <w:outlineLvl w:val="0"/>
        <w:rPr>
          <w:rFonts w:ascii="宋体" w:hAnsi="宋体" w:cs="宋体"/>
          <w:b/>
          <w:color w:val="auto"/>
          <w:sz w:val="24"/>
          <w:highlight w:val="none"/>
        </w:rPr>
      </w:pPr>
      <w:bookmarkStart w:id="444" w:name="_Toc15583"/>
      <w:bookmarkStart w:id="445" w:name="_Toc28375"/>
      <w:bookmarkStart w:id="446" w:name="_Toc16021"/>
      <w:r>
        <w:rPr>
          <w:rFonts w:hint="eastAsia" w:ascii="宋体" w:hAnsi="宋体" w:cs="宋体"/>
          <w:b/>
          <w:color w:val="auto"/>
          <w:sz w:val="24"/>
          <w:highlight w:val="none"/>
        </w:rPr>
        <w:t>1.9合同争议的解决</w:t>
      </w:r>
      <w:bookmarkEnd w:id="444"/>
      <w:bookmarkEnd w:id="445"/>
      <w:bookmarkEnd w:id="446"/>
    </w:p>
    <w:p w14:paraId="7A97CCB6">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0BD2B96">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90DDF2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0234F78">
      <w:pPr>
        <w:spacing w:line="560" w:lineRule="exact"/>
        <w:ind w:firstLine="482" w:firstLineChars="200"/>
        <w:outlineLvl w:val="0"/>
        <w:rPr>
          <w:rFonts w:ascii="宋体" w:hAnsi="宋体" w:cs="宋体"/>
          <w:b/>
          <w:color w:val="auto"/>
          <w:sz w:val="24"/>
          <w:highlight w:val="none"/>
        </w:rPr>
      </w:pPr>
      <w:bookmarkStart w:id="447" w:name="_Toc7245"/>
      <w:bookmarkStart w:id="448" w:name="_Toc11173"/>
      <w:bookmarkStart w:id="449" w:name="_Toc15322"/>
      <w:r>
        <w:rPr>
          <w:rFonts w:hint="eastAsia" w:ascii="宋体" w:hAnsi="宋体" w:cs="宋体"/>
          <w:b/>
          <w:color w:val="auto"/>
          <w:sz w:val="24"/>
          <w:highlight w:val="none"/>
        </w:rPr>
        <w:t>2.0 合同生效</w:t>
      </w:r>
      <w:bookmarkEnd w:id="447"/>
      <w:bookmarkEnd w:id="448"/>
      <w:bookmarkEnd w:id="449"/>
    </w:p>
    <w:p w14:paraId="69E7E8A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474F8F3">
      <w:pPr>
        <w:autoSpaceDE w:val="0"/>
        <w:autoSpaceDN w:val="0"/>
        <w:spacing w:line="560" w:lineRule="exact"/>
        <w:rPr>
          <w:rFonts w:ascii="宋体" w:hAnsi="宋体"/>
          <w:color w:val="auto"/>
          <w:sz w:val="24"/>
          <w:highlight w:val="none"/>
          <w:lang w:val="zh-CN"/>
        </w:rPr>
      </w:pPr>
    </w:p>
    <w:p w14:paraId="20BDD1CC">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AC24FC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95891CA">
      <w:pPr>
        <w:autoSpaceDE w:val="0"/>
        <w:autoSpaceDN w:val="0"/>
        <w:spacing w:line="560" w:lineRule="exact"/>
        <w:rPr>
          <w:rFonts w:ascii="宋体" w:hAnsi="宋体"/>
          <w:color w:val="auto"/>
          <w:sz w:val="24"/>
          <w:highlight w:val="none"/>
          <w:lang w:val="zh-CN"/>
        </w:rPr>
      </w:pPr>
    </w:p>
    <w:p w14:paraId="165D1A7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3B1E04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2950C4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4EC41E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2F45BF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4711CA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08AFCA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207717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623DFF0">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1890A16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CD7583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E587FD9">
      <w:pPr>
        <w:pStyle w:val="80"/>
        <w:spacing w:line="560" w:lineRule="exact"/>
        <w:ind w:left="0" w:leftChars="0" w:firstLine="0" w:firstLineChars="0"/>
        <w:rPr>
          <w:rFonts w:ascii="宋体" w:hAnsi="宋体"/>
          <w:color w:val="auto"/>
          <w:highlight w:val="none"/>
        </w:rPr>
      </w:pPr>
      <w:r>
        <w:rPr>
          <w:rFonts w:hint="eastAsia" w:ascii="宋体" w:hAnsi="宋体"/>
          <w:color w:val="auto"/>
          <w:highlight w:val="none"/>
        </w:rPr>
        <w:t>开户账号：</w:t>
      </w:r>
      <w:r>
        <w:rPr>
          <w:rFonts w:ascii="宋体" w:hAnsi="宋体"/>
          <w:color w:val="auto"/>
          <w:highlight w:val="none"/>
          <w:lang w:val="zh-CN"/>
        </w:rPr>
        <w:t xml:space="preserve">                               </w:t>
      </w:r>
      <w:r>
        <w:rPr>
          <w:rFonts w:hint="eastAsia" w:ascii="宋体" w:hAnsi="宋体"/>
          <w:color w:val="auto"/>
          <w:highlight w:val="none"/>
        </w:rPr>
        <w:t>开户账号：</w:t>
      </w:r>
    </w:p>
    <w:p w14:paraId="79743596">
      <w:pPr>
        <w:rPr>
          <w:rFonts w:ascii="宋体" w:hAnsi="宋体" w:cs="宋体"/>
          <w:b/>
          <w:color w:val="auto"/>
          <w:sz w:val="36"/>
          <w:szCs w:val="36"/>
          <w:highlight w:val="none"/>
        </w:rPr>
      </w:pPr>
    </w:p>
    <w:p w14:paraId="45625996">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52C3D4BA">
      <w:pPr>
        <w:pStyle w:val="80"/>
        <w:spacing w:line="560" w:lineRule="exact"/>
        <w:ind w:left="0" w:leftChars="0" w:firstLine="0" w:firstLineChars="0"/>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F155F6C">
      <w:pPr>
        <w:spacing w:line="560" w:lineRule="exact"/>
        <w:ind w:firstLine="482" w:firstLineChars="200"/>
        <w:outlineLvl w:val="0"/>
        <w:rPr>
          <w:rFonts w:ascii="宋体" w:hAnsi="宋体"/>
          <w:b/>
          <w:color w:val="auto"/>
          <w:sz w:val="24"/>
          <w:highlight w:val="none"/>
        </w:rPr>
      </w:pPr>
      <w:bookmarkStart w:id="450" w:name="_Toc25079"/>
      <w:bookmarkStart w:id="451" w:name="_Toc19680"/>
      <w:bookmarkStart w:id="452" w:name="_Toc31297"/>
      <w:bookmarkStart w:id="453" w:name="_Toc14021"/>
      <w:bookmarkStart w:id="454" w:name="_Toc5228"/>
      <w:r>
        <w:rPr>
          <w:rFonts w:ascii="宋体" w:hAnsi="宋体"/>
          <w:b/>
          <w:color w:val="auto"/>
          <w:sz w:val="24"/>
          <w:highlight w:val="none"/>
        </w:rPr>
        <w:t>2.1 定义</w:t>
      </w:r>
      <w:bookmarkEnd w:id="450"/>
      <w:bookmarkEnd w:id="451"/>
      <w:bookmarkEnd w:id="452"/>
      <w:bookmarkEnd w:id="453"/>
      <w:bookmarkEnd w:id="454"/>
    </w:p>
    <w:p w14:paraId="51D7A5DB">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F73449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7F7FC2E">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7844842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2E01FB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788713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9EE422">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7360B90">
      <w:pPr>
        <w:spacing w:line="560" w:lineRule="exact"/>
        <w:ind w:firstLine="482" w:firstLineChars="200"/>
        <w:outlineLvl w:val="0"/>
        <w:rPr>
          <w:rFonts w:ascii="宋体" w:hAnsi="宋体"/>
          <w:b/>
          <w:color w:val="auto"/>
          <w:sz w:val="24"/>
          <w:highlight w:val="none"/>
        </w:rPr>
      </w:pPr>
      <w:bookmarkStart w:id="455" w:name="_Toc23289"/>
      <w:bookmarkStart w:id="456" w:name="_Toc19539"/>
      <w:bookmarkStart w:id="457" w:name="_Toc3769"/>
      <w:bookmarkStart w:id="458" w:name="_Toc31402"/>
      <w:bookmarkStart w:id="459" w:name="_Toc16752"/>
      <w:r>
        <w:rPr>
          <w:rFonts w:ascii="宋体" w:hAnsi="宋体"/>
          <w:b/>
          <w:color w:val="auto"/>
          <w:sz w:val="24"/>
          <w:highlight w:val="none"/>
        </w:rPr>
        <w:t>2.2 技术规范</w:t>
      </w:r>
      <w:bookmarkEnd w:id="455"/>
      <w:bookmarkEnd w:id="456"/>
      <w:bookmarkEnd w:id="457"/>
      <w:bookmarkEnd w:id="458"/>
      <w:bookmarkEnd w:id="459"/>
    </w:p>
    <w:p w14:paraId="099981C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2476CE6">
      <w:pPr>
        <w:spacing w:line="560" w:lineRule="exact"/>
        <w:ind w:firstLine="482" w:firstLineChars="200"/>
        <w:outlineLvl w:val="0"/>
        <w:rPr>
          <w:rFonts w:ascii="宋体" w:hAnsi="宋体"/>
          <w:b/>
          <w:color w:val="auto"/>
          <w:sz w:val="24"/>
          <w:highlight w:val="none"/>
        </w:rPr>
      </w:pPr>
      <w:bookmarkStart w:id="460" w:name="_Toc4133"/>
      <w:bookmarkStart w:id="461" w:name="_Toc9161"/>
      <w:bookmarkStart w:id="462" w:name="_Toc27945"/>
      <w:bookmarkStart w:id="463" w:name="_Toc13673"/>
      <w:bookmarkStart w:id="464" w:name="_Toc12412"/>
      <w:r>
        <w:rPr>
          <w:rFonts w:ascii="宋体" w:hAnsi="宋体"/>
          <w:b/>
          <w:color w:val="auto"/>
          <w:sz w:val="24"/>
          <w:highlight w:val="none"/>
        </w:rPr>
        <w:t>2.3 知识产权</w:t>
      </w:r>
      <w:bookmarkEnd w:id="460"/>
      <w:bookmarkEnd w:id="461"/>
      <w:bookmarkEnd w:id="462"/>
      <w:bookmarkEnd w:id="463"/>
      <w:bookmarkEnd w:id="464"/>
    </w:p>
    <w:p w14:paraId="7AD5C6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5BE6E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9D432C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CD94F13">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3C1B16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9784575">
      <w:pPr>
        <w:spacing w:line="560" w:lineRule="exact"/>
        <w:ind w:firstLine="482" w:firstLineChars="200"/>
        <w:outlineLvl w:val="0"/>
        <w:rPr>
          <w:rFonts w:ascii="宋体" w:hAnsi="宋体"/>
          <w:b/>
          <w:color w:val="auto"/>
          <w:sz w:val="24"/>
          <w:highlight w:val="none"/>
        </w:rPr>
      </w:pPr>
      <w:bookmarkStart w:id="465" w:name="_Toc31233"/>
      <w:bookmarkStart w:id="466" w:name="_Toc26555"/>
      <w:bookmarkStart w:id="467" w:name="_Toc32670"/>
      <w:bookmarkStart w:id="468" w:name="_Toc15447"/>
      <w:bookmarkStart w:id="469" w:name="_Toc22011"/>
      <w:r>
        <w:rPr>
          <w:rFonts w:ascii="宋体" w:hAnsi="宋体"/>
          <w:b/>
          <w:color w:val="auto"/>
          <w:sz w:val="24"/>
          <w:highlight w:val="none"/>
        </w:rPr>
        <w:t>2.5 结算方式和付款条件</w:t>
      </w:r>
      <w:bookmarkEnd w:id="465"/>
      <w:bookmarkEnd w:id="466"/>
      <w:bookmarkEnd w:id="467"/>
      <w:bookmarkEnd w:id="468"/>
      <w:bookmarkEnd w:id="469"/>
    </w:p>
    <w:p w14:paraId="2DCC8ED5">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6736880">
      <w:pPr>
        <w:spacing w:line="560" w:lineRule="exact"/>
        <w:ind w:firstLine="482" w:firstLineChars="200"/>
        <w:outlineLvl w:val="0"/>
        <w:rPr>
          <w:rFonts w:ascii="宋体" w:hAnsi="宋体"/>
          <w:b/>
          <w:color w:val="auto"/>
          <w:sz w:val="24"/>
          <w:highlight w:val="none"/>
        </w:rPr>
      </w:pPr>
      <w:bookmarkStart w:id="470" w:name="_Toc30507"/>
      <w:bookmarkStart w:id="471" w:name="_Toc18990"/>
      <w:bookmarkStart w:id="472" w:name="_Toc13467"/>
      <w:bookmarkStart w:id="473" w:name="_Toc13154"/>
      <w:bookmarkStart w:id="474" w:name="_Toc16163"/>
      <w:r>
        <w:rPr>
          <w:rFonts w:ascii="宋体" w:hAnsi="宋体"/>
          <w:b/>
          <w:color w:val="auto"/>
          <w:sz w:val="24"/>
          <w:highlight w:val="none"/>
        </w:rPr>
        <w:t>2.6 技术资料和保密义务</w:t>
      </w:r>
      <w:bookmarkEnd w:id="470"/>
      <w:bookmarkEnd w:id="471"/>
      <w:bookmarkEnd w:id="472"/>
      <w:bookmarkEnd w:id="473"/>
      <w:bookmarkEnd w:id="474"/>
    </w:p>
    <w:p w14:paraId="4500D73B">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4FF1BF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CDA29C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005926">
      <w:pPr>
        <w:spacing w:line="560" w:lineRule="exact"/>
        <w:ind w:firstLine="482" w:firstLineChars="200"/>
        <w:outlineLvl w:val="0"/>
        <w:rPr>
          <w:rFonts w:ascii="宋体" w:hAnsi="宋体"/>
          <w:b/>
          <w:color w:val="auto"/>
          <w:sz w:val="24"/>
          <w:highlight w:val="none"/>
        </w:rPr>
      </w:pPr>
      <w:bookmarkStart w:id="47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5"/>
    </w:p>
    <w:p w14:paraId="28D2E8E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171AFF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E8AE847">
      <w:pPr>
        <w:spacing w:line="560" w:lineRule="exact"/>
        <w:ind w:firstLine="482" w:firstLineChars="200"/>
        <w:outlineLvl w:val="0"/>
        <w:rPr>
          <w:rFonts w:ascii="宋体" w:hAnsi="宋体"/>
          <w:b/>
          <w:color w:val="auto"/>
          <w:sz w:val="24"/>
          <w:highlight w:val="none"/>
        </w:rPr>
      </w:pPr>
      <w:bookmarkStart w:id="47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6"/>
    </w:p>
    <w:p w14:paraId="62D3A86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C9DFB67">
      <w:pPr>
        <w:spacing w:line="560" w:lineRule="exact"/>
        <w:ind w:firstLine="482" w:firstLineChars="200"/>
        <w:outlineLvl w:val="0"/>
        <w:rPr>
          <w:rFonts w:ascii="宋体" w:hAnsi="宋体"/>
          <w:b/>
          <w:color w:val="auto"/>
          <w:sz w:val="24"/>
          <w:highlight w:val="none"/>
        </w:rPr>
      </w:pPr>
      <w:bookmarkStart w:id="47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7"/>
    </w:p>
    <w:p w14:paraId="1747061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77A844C">
      <w:pPr>
        <w:spacing w:line="560" w:lineRule="exact"/>
        <w:ind w:firstLine="482" w:firstLineChars="200"/>
        <w:outlineLvl w:val="0"/>
        <w:rPr>
          <w:rFonts w:ascii="宋体" w:hAnsi="宋体"/>
          <w:b/>
          <w:color w:val="auto"/>
          <w:sz w:val="24"/>
          <w:highlight w:val="none"/>
        </w:rPr>
      </w:pPr>
      <w:bookmarkStart w:id="478" w:name="_Toc21830"/>
      <w:bookmarkStart w:id="479" w:name="_Toc23368"/>
      <w:bookmarkStart w:id="480" w:name="_Toc26689"/>
      <w:bookmarkStart w:id="481" w:name="_Toc10663"/>
      <w:bookmarkStart w:id="482" w:name="_Toc42"/>
      <w:r>
        <w:rPr>
          <w:rFonts w:ascii="宋体" w:hAnsi="宋体"/>
          <w:b/>
          <w:color w:val="auto"/>
          <w:sz w:val="24"/>
          <w:highlight w:val="none"/>
        </w:rPr>
        <w:t>2.10 合同转让和分包</w:t>
      </w:r>
      <w:bookmarkEnd w:id="478"/>
      <w:bookmarkEnd w:id="479"/>
      <w:bookmarkEnd w:id="480"/>
      <w:bookmarkEnd w:id="481"/>
      <w:bookmarkEnd w:id="482"/>
    </w:p>
    <w:p w14:paraId="08E1B8E8">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9C3BE8F">
      <w:pPr>
        <w:spacing w:line="560" w:lineRule="exact"/>
        <w:ind w:firstLine="482" w:firstLineChars="200"/>
        <w:outlineLvl w:val="0"/>
        <w:rPr>
          <w:rFonts w:ascii="宋体" w:hAnsi="宋体"/>
          <w:b/>
          <w:color w:val="auto"/>
          <w:sz w:val="24"/>
          <w:highlight w:val="none"/>
        </w:rPr>
      </w:pPr>
      <w:bookmarkStart w:id="483" w:name="_Toc26633"/>
      <w:bookmarkStart w:id="484" w:name="_Toc32494"/>
      <w:bookmarkStart w:id="485" w:name="_Toc25571"/>
      <w:bookmarkStart w:id="486" w:name="_Toc14371"/>
      <w:bookmarkStart w:id="487" w:name="_Toc4720"/>
      <w:r>
        <w:rPr>
          <w:rFonts w:ascii="宋体" w:hAnsi="宋体"/>
          <w:b/>
          <w:color w:val="auto"/>
          <w:sz w:val="24"/>
          <w:highlight w:val="none"/>
        </w:rPr>
        <w:t>2.11 不可抗力</w:t>
      </w:r>
      <w:bookmarkEnd w:id="483"/>
      <w:bookmarkEnd w:id="484"/>
      <w:bookmarkEnd w:id="485"/>
      <w:bookmarkEnd w:id="486"/>
      <w:bookmarkEnd w:id="487"/>
    </w:p>
    <w:p w14:paraId="29D6571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37F49E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2C61CC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6F5842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6ABEB32">
      <w:pPr>
        <w:spacing w:line="560" w:lineRule="exact"/>
        <w:ind w:firstLine="482" w:firstLineChars="200"/>
        <w:outlineLvl w:val="0"/>
        <w:rPr>
          <w:rFonts w:ascii="宋体" w:hAnsi="宋体"/>
          <w:b/>
          <w:color w:val="auto"/>
          <w:sz w:val="24"/>
          <w:highlight w:val="none"/>
        </w:rPr>
      </w:pPr>
      <w:bookmarkStart w:id="488" w:name="_Toc14115"/>
      <w:bookmarkStart w:id="489" w:name="_Toc3638"/>
      <w:bookmarkStart w:id="490" w:name="_Toc24465"/>
      <w:bookmarkStart w:id="491" w:name="_Toc25783"/>
      <w:bookmarkStart w:id="492" w:name="_Toc23854"/>
      <w:r>
        <w:rPr>
          <w:rFonts w:ascii="宋体" w:hAnsi="宋体"/>
          <w:b/>
          <w:color w:val="auto"/>
          <w:sz w:val="24"/>
          <w:highlight w:val="none"/>
        </w:rPr>
        <w:t>2.12 税费</w:t>
      </w:r>
      <w:bookmarkEnd w:id="488"/>
      <w:bookmarkEnd w:id="489"/>
      <w:bookmarkEnd w:id="490"/>
      <w:bookmarkEnd w:id="491"/>
      <w:bookmarkEnd w:id="492"/>
    </w:p>
    <w:p w14:paraId="64FCCB8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7CE5124">
      <w:pPr>
        <w:spacing w:line="560" w:lineRule="exact"/>
        <w:ind w:firstLine="482" w:firstLineChars="200"/>
        <w:outlineLvl w:val="0"/>
        <w:rPr>
          <w:rFonts w:ascii="宋体" w:hAnsi="宋体"/>
          <w:b/>
          <w:color w:val="auto"/>
          <w:sz w:val="24"/>
          <w:highlight w:val="none"/>
        </w:rPr>
      </w:pPr>
      <w:bookmarkStart w:id="493" w:name="_Toc25525"/>
      <w:bookmarkStart w:id="494" w:name="_Toc14814"/>
      <w:bookmarkStart w:id="495" w:name="_Toc26883"/>
      <w:bookmarkStart w:id="496" w:name="_Toc7315"/>
      <w:bookmarkStart w:id="497" w:name="_Toc30105"/>
      <w:r>
        <w:rPr>
          <w:rFonts w:ascii="宋体" w:hAnsi="宋体"/>
          <w:b/>
          <w:color w:val="auto"/>
          <w:sz w:val="24"/>
          <w:highlight w:val="none"/>
        </w:rPr>
        <w:t>2.13 乙方破产</w:t>
      </w:r>
      <w:bookmarkEnd w:id="493"/>
      <w:bookmarkEnd w:id="494"/>
      <w:bookmarkEnd w:id="495"/>
      <w:bookmarkEnd w:id="496"/>
      <w:bookmarkEnd w:id="497"/>
    </w:p>
    <w:p w14:paraId="38F635A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6319D5F">
      <w:pPr>
        <w:spacing w:line="560" w:lineRule="exact"/>
        <w:ind w:firstLine="482" w:firstLineChars="200"/>
        <w:outlineLvl w:val="0"/>
        <w:rPr>
          <w:rFonts w:ascii="宋体" w:hAnsi="宋体"/>
          <w:b/>
          <w:color w:val="auto"/>
          <w:sz w:val="24"/>
          <w:highlight w:val="none"/>
        </w:rPr>
      </w:pPr>
      <w:bookmarkStart w:id="498" w:name="_Toc2016"/>
      <w:bookmarkStart w:id="499" w:name="_Toc23323"/>
      <w:bookmarkStart w:id="500" w:name="_Toc1123"/>
      <w:r>
        <w:rPr>
          <w:rFonts w:ascii="宋体" w:hAnsi="宋体"/>
          <w:b/>
          <w:color w:val="auto"/>
          <w:sz w:val="24"/>
          <w:highlight w:val="none"/>
        </w:rPr>
        <w:t>2.14 合同中止、终止</w:t>
      </w:r>
      <w:bookmarkEnd w:id="498"/>
      <w:bookmarkEnd w:id="499"/>
      <w:bookmarkEnd w:id="500"/>
    </w:p>
    <w:p w14:paraId="2D8B0D4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BDDB37F">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F366A53">
      <w:pPr>
        <w:spacing w:line="560" w:lineRule="exact"/>
        <w:ind w:firstLine="482" w:firstLineChars="200"/>
        <w:outlineLvl w:val="0"/>
        <w:rPr>
          <w:rFonts w:ascii="宋体" w:hAnsi="宋体"/>
          <w:b/>
          <w:color w:val="auto"/>
          <w:sz w:val="24"/>
          <w:highlight w:val="none"/>
        </w:rPr>
      </w:pPr>
      <w:bookmarkStart w:id="501" w:name="_Toc14525"/>
      <w:bookmarkStart w:id="502" w:name="_Toc17363"/>
      <w:bookmarkStart w:id="503" w:name="_Toc1969"/>
      <w:r>
        <w:rPr>
          <w:rFonts w:ascii="宋体" w:hAnsi="宋体"/>
          <w:b/>
          <w:color w:val="auto"/>
          <w:sz w:val="24"/>
          <w:highlight w:val="none"/>
        </w:rPr>
        <w:t>2.15 检验和验收</w:t>
      </w:r>
      <w:bookmarkEnd w:id="501"/>
      <w:bookmarkEnd w:id="502"/>
      <w:bookmarkEnd w:id="503"/>
    </w:p>
    <w:p w14:paraId="61C9C96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258CBF4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EA8907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FAE1819">
      <w:pPr>
        <w:spacing w:line="560" w:lineRule="exact"/>
        <w:ind w:firstLine="482" w:firstLineChars="200"/>
        <w:outlineLvl w:val="0"/>
        <w:rPr>
          <w:rFonts w:ascii="宋体" w:hAnsi="宋体"/>
          <w:b/>
          <w:color w:val="auto"/>
          <w:sz w:val="24"/>
          <w:highlight w:val="none"/>
        </w:rPr>
      </w:pPr>
      <w:bookmarkStart w:id="504" w:name="_Toc2308"/>
      <w:bookmarkStart w:id="505" w:name="_Toc12666"/>
      <w:bookmarkStart w:id="506" w:name="_Toc31892"/>
      <w:bookmarkStart w:id="507" w:name="_Toc9808"/>
      <w:bookmarkStart w:id="508" w:name="_Toc25198"/>
      <w:r>
        <w:rPr>
          <w:rFonts w:ascii="宋体" w:hAnsi="宋体"/>
          <w:b/>
          <w:color w:val="auto"/>
          <w:sz w:val="24"/>
          <w:highlight w:val="none"/>
        </w:rPr>
        <w:t>2.16 通知和送达</w:t>
      </w:r>
      <w:bookmarkEnd w:id="504"/>
      <w:bookmarkEnd w:id="505"/>
      <w:bookmarkEnd w:id="506"/>
      <w:bookmarkEnd w:id="507"/>
      <w:bookmarkEnd w:id="508"/>
    </w:p>
    <w:p w14:paraId="4BFFA1D2">
      <w:pPr>
        <w:spacing w:line="560" w:lineRule="exact"/>
        <w:ind w:firstLine="480" w:firstLineChars="200"/>
        <w:rPr>
          <w:rFonts w:ascii="宋体" w:hAnsi="宋体"/>
          <w:color w:val="auto"/>
          <w:sz w:val="24"/>
          <w:highlight w:val="none"/>
        </w:rPr>
      </w:pPr>
      <w:bookmarkStart w:id="509" w:name="_Toc18401"/>
      <w:bookmarkStart w:id="51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7ABDE18">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9"/>
      <w:bookmarkEnd w:id="510"/>
    </w:p>
    <w:p w14:paraId="5A080B60">
      <w:pPr>
        <w:spacing w:line="560" w:lineRule="exact"/>
        <w:ind w:firstLine="482" w:firstLineChars="200"/>
        <w:outlineLvl w:val="0"/>
        <w:rPr>
          <w:rFonts w:ascii="宋体" w:hAnsi="宋体"/>
          <w:b/>
          <w:color w:val="auto"/>
          <w:sz w:val="24"/>
          <w:highlight w:val="none"/>
        </w:rPr>
      </w:pPr>
      <w:bookmarkStart w:id="511" w:name="_Toc5063"/>
      <w:bookmarkStart w:id="512" w:name="_Toc20808"/>
      <w:bookmarkStart w:id="513" w:name="_Toc27644"/>
      <w:bookmarkStart w:id="514" w:name="_Toc28906"/>
      <w:bookmarkStart w:id="515"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11"/>
      <w:bookmarkEnd w:id="512"/>
      <w:bookmarkEnd w:id="513"/>
      <w:bookmarkEnd w:id="514"/>
      <w:bookmarkEnd w:id="515"/>
    </w:p>
    <w:p w14:paraId="660C716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5ACBA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0A444417">
      <w:pPr>
        <w:spacing w:line="560" w:lineRule="exact"/>
        <w:ind w:firstLine="482" w:firstLineChars="200"/>
        <w:outlineLvl w:val="0"/>
        <w:rPr>
          <w:rFonts w:ascii="宋体" w:hAnsi="宋体" w:cs="宋体"/>
          <w:b/>
          <w:color w:val="auto"/>
          <w:sz w:val="24"/>
          <w:highlight w:val="none"/>
        </w:rPr>
      </w:pPr>
      <w:bookmarkStart w:id="516" w:name="_Toc18540"/>
      <w:bookmarkStart w:id="517" w:name="_Toc4355"/>
      <w:bookmarkStart w:id="518" w:name="_Toc30599"/>
      <w:r>
        <w:rPr>
          <w:rFonts w:hint="eastAsia" w:ascii="宋体" w:hAnsi="宋体" w:cs="宋体"/>
          <w:b/>
          <w:color w:val="auto"/>
          <w:sz w:val="24"/>
          <w:highlight w:val="none"/>
        </w:rPr>
        <w:t>2.18 计量单位</w:t>
      </w:r>
      <w:bookmarkEnd w:id="516"/>
      <w:bookmarkEnd w:id="517"/>
      <w:bookmarkEnd w:id="518"/>
    </w:p>
    <w:p w14:paraId="69F973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B1CB617">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3528604">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D209CBF">
      <w:pPr>
        <w:rPr>
          <w:rFonts w:ascii="宋体" w:hAnsi="宋体" w:cs="宋体"/>
          <w:b/>
          <w:color w:val="auto"/>
          <w:sz w:val="24"/>
          <w:highlight w:val="none"/>
        </w:rPr>
      </w:pPr>
      <w:r>
        <w:rPr>
          <w:rFonts w:hint="eastAsia" w:ascii="宋体" w:hAnsi="宋体" w:cs="宋体"/>
          <w:b/>
          <w:color w:val="auto"/>
          <w:sz w:val="24"/>
          <w:highlight w:val="none"/>
        </w:rPr>
        <w:br w:type="page"/>
      </w:r>
    </w:p>
    <w:p w14:paraId="5B99436D">
      <w:pPr>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3ED1EE47">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3481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4F2AE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3544F1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F112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EB80FA">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23ABF83C">
            <w:pPr>
              <w:spacing w:line="360" w:lineRule="auto"/>
              <w:rPr>
                <w:rFonts w:ascii="宋体" w:hAnsi="宋体" w:cs="宋体"/>
                <w:color w:val="auto"/>
                <w:sz w:val="24"/>
                <w:highlight w:val="none"/>
              </w:rPr>
            </w:pPr>
          </w:p>
        </w:tc>
      </w:tr>
      <w:tr w14:paraId="01A09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DFCB5A">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567EB82D">
            <w:pPr>
              <w:spacing w:line="360" w:lineRule="auto"/>
              <w:rPr>
                <w:rFonts w:ascii="宋体" w:hAnsi="宋体" w:cs="宋体"/>
                <w:color w:val="auto"/>
                <w:sz w:val="24"/>
                <w:highlight w:val="none"/>
              </w:rPr>
            </w:pPr>
          </w:p>
        </w:tc>
      </w:tr>
      <w:tr w14:paraId="42A95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2603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72D19AD7">
            <w:pPr>
              <w:spacing w:line="360" w:lineRule="auto"/>
              <w:rPr>
                <w:rFonts w:ascii="宋体" w:hAnsi="宋体" w:cs="宋体"/>
                <w:color w:val="auto"/>
                <w:sz w:val="24"/>
                <w:highlight w:val="none"/>
              </w:rPr>
            </w:pPr>
          </w:p>
        </w:tc>
      </w:tr>
      <w:tr w14:paraId="0ACFE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DA2B1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7C6FD4FE">
            <w:pPr>
              <w:spacing w:line="360" w:lineRule="auto"/>
              <w:rPr>
                <w:rFonts w:ascii="宋体" w:hAnsi="宋体" w:cs="宋体"/>
                <w:color w:val="auto"/>
                <w:sz w:val="24"/>
                <w:highlight w:val="none"/>
              </w:rPr>
            </w:pPr>
          </w:p>
        </w:tc>
      </w:tr>
      <w:tr w14:paraId="5C106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31B7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166804C4">
            <w:pPr>
              <w:spacing w:line="360" w:lineRule="auto"/>
              <w:rPr>
                <w:rFonts w:ascii="宋体" w:hAnsi="宋体" w:cs="宋体"/>
                <w:color w:val="auto"/>
                <w:sz w:val="24"/>
                <w:highlight w:val="none"/>
              </w:rPr>
            </w:pPr>
          </w:p>
        </w:tc>
      </w:tr>
      <w:tr w14:paraId="6EAE2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59637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1B56B227">
            <w:pPr>
              <w:spacing w:line="360" w:lineRule="auto"/>
              <w:rPr>
                <w:rFonts w:ascii="宋体" w:hAnsi="宋体" w:cs="宋体"/>
                <w:color w:val="auto"/>
                <w:sz w:val="24"/>
                <w:highlight w:val="none"/>
              </w:rPr>
            </w:pPr>
          </w:p>
        </w:tc>
      </w:tr>
      <w:tr w14:paraId="3C7C4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C04F60">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43DB8E17">
            <w:pPr>
              <w:spacing w:line="360" w:lineRule="auto"/>
              <w:rPr>
                <w:rFonts w:ascii="宋体" w:hAnsi="宋体" w:cs="宋体"/>
                <w:color w:val="auto"/>
                <w:sz w:val="24"/>
                <w:highlight w:val="none"/>
              </w:rPr>
            </w:pPr>
          </w:p>
        </w:tc>
      </w:tr>
      <w:tr w14:paraId="6CC06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97322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6F8C334A">
            <w:pPr>
              <w:spacing w:line="360" w:lineRule="auto"/>
              <w:rPr>
                <w:rFonts w:ascii="宋体" w:hAnsi="宋体" w:cs="宋体"/>
                <w:color w:val="auto"/>
                <w:sz w:val="24"/>
                <w:highlight w:val="none"/>
              </w:rPr>
            </w:pPr>
          </w:p>
        </w:tc>
      </w:tr>
      <w:tr w14:paraId="418C4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8E3CCD">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F67F892">
            <w:pPr>
              <w:spacing w:line="360" w:lineRule="auto"/>
              <w:rPr>
                <w:rFonts w:ascii="宋体" w:hAnsi="宋体" w:cs="宋体"/>
                <w:color w:val="auto"/>
                <w:sz w:val="24"/>
                <w:highlight w:val="none"/>
              </w:rPr>
            </w:pPr>
          </w:p>
        </w:tc>
      </w:tr>
      <w:tr w14:paraId="13DD2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923E6F">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378BAC3B">
            <w:pPr>
              <w:spacing w:line="360" w:lineRule="auto"/>
              <w:rPr>
                <w:rFonts w:ascii="宋体" w:hAnsi="宋体" w:cs="宋体"/>
                <w:color w:val="auto"/>
                <w:sz w:val="24"/>
                <w:highlight w:val="none"/>
              </w:rPr>
            </w:pPr>
          </w:p>
        </w:tc>
      </w:tr>
      <w:tr w14:paraId="09B99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E4B64D">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C749F5A">
            <w:pPr>
              <w:spacing w:line="360" w:lineRule="auto"/>
              <w:rPr>
                <w:rFonts w:ascii="宋体" w:hAnsi="宋体" w:cs="宋体"/>
                <w:color w:val="auto"/>
                <w:sz w:val="24"/>
                <w:highlight w:val="none"/>
              </w:rPr>
            </w:pPr>
          </w:p>
        </w:tc>
      </w:tr>
      <w:tr w14:paraId="141CC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F96394">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602157D6">
            <w:pPr>
              <w:spacing w:line="360" w:lineRule="auto"/>
              <w:rPr>
                <w:rFonts w:ascii="宋体" w:hAnsi="宋体" w:cs="宋体"/>
                <w:color w:val="auto"/>
                <w:sz w:val="24"/>
                <w:highlight w:val="none"/>
              </w:rPr>
            </w:pPr>
          </w:p>
        </w:tc>
      </w:tr>
      <w:tr w14:paraId="0CC52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6C0DC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05924204">
            <w:pPr>
              <w:spacing w:line="360" w:lineRule="auto"/>
              <w:rPr>
                <w:rFonts w:ascii="宋体" w:hAnsi="宋体" w:cs="宋体"/>
                <w:color w:val="auto"/>
                <w:sz w:val="24"/>
                <w:highlight w:val="none"/>
              </w:rPr>
            </w:pPr>
          </w:p>
        </w:tc>
      </w:tr>
      <w:tr w14:paraId="0725B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0A818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B199F92">
            <w:pPr>
              <w:spacing w:line="360" w:lineRule="auto"/>
              <w:rPr>
                <w:rFonts w:ascii="宋体" w:hAnsi="宋体" w:cs="宋体"/>
                <w:color w:val="auto"/>
                <w:sz w:val="24"/>
                <w:highlight w:val="none"/>
              </w:rPr>
            </w:pPr>
          </w:p>
        </w:tc>
      </w:tr>
      <w:tr w14:paraId="006FC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8F65B4">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9053601">
            <w:pPr>
              <w:spacing w:line="360" w:lineRule="auto"/>
              <w:rPr>
                <w:rFonts w:ascii="宋体" w:hAnsi="宋体" w:cs="宋体"/>
                <w:color w:val="auto"/>
                <w:sz w:val="24"/>
                <w:highlight w:val="none"/>
              </w:rPr>
            </w:pPr>
          </w:p>
        </w:tc>
      </w:tr>
      <w:tr w14:paraId="020F5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0C5FD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44AB413">
            <w:pPr>
              <w:spacing w:line="360" w:lineRule="auto"/>
              <w:ind w:left="-420" w:leftChars="-200" w:right="-420" w:rightChars="-200" w:firstLine="480" w:firstLineChars="200"/>
              <w:rPr>
                <w:rFonts w:ascii="宋体" w:hAnsi="宋体" w:cs="宋体"/>
                <w:color w:val="auto"/>
                <w:sz w:val="24"/>
                <w:highlight w:val="none"/>
              </w:rPr>
            </w:pPr>
          </w:p>
        </w:tc>
      </w:tr>
      <w:tr w14:paraId="3683F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7C9AD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79FEAE26">
            <w:pPr>
              <w:spacing w:line="360" w:lineRule="auto"/>
              <w:ind w:left="-420" w:leftChars="-200" w:right="-420" w:rightChars="-200" w:firstLine="480" w:firstLineChars="200"/>
              <w:rPr>
                <w:rFonts w:ascii="宋体" w:hAnsi="宋体" w:cs="宋体"/>
                <w:color w:val="auto"/>
                <w:sz w:val="24"/>
                <w:highlight w:val="none"/>
              </w:rPr>
            </w:pPr>
          </w:p>
        </w:tc>
      </w:tr>
      <w:tr w14:paraId="248C0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A5018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453E371">
            <w:pPr>
              <w:spacing w:line="360" w:lineRule="auto"/>
              <w:rPr>
                <w:rFonts w:ascii="宋体" w:hAnsi="宋体" w:cs="宋体"/>
                <w:color w:val="auto"/>
                <w:sz w:val="24"/>
                <w:highlight w:val="none"/>
              </w:rPr>
            </w:pPr>
          </w:p>
        </w:tc>
      </w:tr>
      <w:tr w14:paraId="106F5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CFFD5F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0F5797BE">
            <w:pPr>
              <w:spacing w:line="360" w:lineRule="auto"/>
              <w:rPr>
                <w:rFonts w:ascii="宋体" w:hAnsi="宋体" w:cs="宋体"/>
                <w:color w:val="auto"/>
                <w:sz w:val="24"/>
                <w:highlight w:val="none"/>
              </w:rPr>
            </w:pPr>
          </w:p>
        </w:tc>
      </w:tr>
      <w:tr w14:paraId="0C275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3A604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241CDA1A">
            <w:pPr>
              <w:spacing w:line="360" w:lineRule="auto"/>
              <w:rPr>
                <w:rFonts w:ascii="宋体" w:hAnsi="宋体" w:cs="宋体"/>
                <w:color w:val="auto"/>
                <w:sz w:val="24"/>
                <w:highlight w:val="none"/>
              </w:rPr>
            </w:pPr>
          </w:p>
        </w:tc>
      </w:tr>
      <w:tr w14:paraId="635AF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DBFC1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C122547">
            <w:pPr>
              <w:spacing w:line="360" w:lineRule="auto"/>
              <w:rPr>
                <w:rFonts w:ascii="宋体" w:hAnsi="宋体" w:cs="宋体"/>
                <w:color w:val="auto"/>
                <w:sz w:val="24"/>
                <w:highlight w:val="none"/>
              </w:rPr>
            </w:pPr>
          </w:p>
        </w:tc>
      </w:tr>
      <w:tr w14:paraId="3B144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FE77110">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FC10BFF">
            <w:pPr>
              <w:spacing w:line="360" w:lineRule="auto"/>
              <w:rPr>
                <w:rFonts w:ascii="宋体" w:hAnsi="宋体" w:cs="宋体"/>
                <w:color w:val="auto"/>
                <w:sz w:val="24"/>
                <w:highlight w:val="none"/>
              </w:rPr>
            </w:pPr>
          </w:p>
        </w:tc>
      </w:tr>
    </w:tbl>
    <w:p w14:paraId="5A1DDE95">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76E33FF2">
      <w:pPr>
        <w:spacing w:line="360" w:lineRule="auto"/>
        <w:ind w:left="-420" w:leftChars="-200" w:right="-420" w:rightChars="-200" w:firstLine="723" w:firstLineChars="200"/>
        <w:jc w:val="center"/>
        <w:outlineLvl w:val="0"/>
        <w:rPr>
          <w:rFonts w:ascii="宋体" w:hAnsi="宋体" w:cs="宋体"/>
          <w:b/>
          <w:color w:val="auto"/>
          <w:sz w:val="36"/>
          <w:szCs w:val="20"/>
          <w:highlight w:val="none"/>
        </w:rPr>
      </w:pPr>
      <w:r>
        <w:rPr>
          <w:rFonts w:hint="eastAsia" w:ascii="宋体" w:hAnsi="宋体" w:cs="宋体"/>
          <w:b/>
          <w:color w:val="auto"/>
          <w:sz w:val="36"/>
          <w:szCs w:val="36"/>
          <w:highlight w:val="none"/>
        </w:rPr>
        <w:t xml:space="preserve">第六部分 </w:t>
      </w:r>
      <w:bookmarkEnd w:id="404"/>
      <w:r>
        <w:rPr>
          <w:rFonts w:hint="eastAsia" w:ascii="宋体" w:hAnsi="宋体" w:cs="宋体"/>
          <w:b/>
          <w:color w:val="auto"/>
          <w:sz w:val="36"/>
          <w:szCs w:val="20"/>
          <w:highlight w:val="none"/>
        </w:rPr>
        <w:t xml:space="preserve"> </w:t>
      </w:r>
      <w:bookmarkEnd w:id="405"/>
      <w:r>
        <w:rPr>
          <w:rFonts w:hint="eastAsia" w:ascii="宋体" w:hAnsi="宋体" w:cs="宋体"/>
          <w:b/>
          <w:color w:val="auto"/>
          <w:sz w:val="36"/>
          <w:szCs w:val="20"/>
          <w:highlight w:val="none"/>
        </w:rPr>
        <w:t>应提交的有关格式范例</w:t>
      </w:r>
    </w:p>
    <w:p w14:paraId="0496A6A3">
      <w:pPr>
        <w:spacing w:line="360" w:lineRule="auto"/>
        <w:jc w:val="center"/>
        <w:outlineLvl w:val="0"/>
        <w:rPr>
          <w:rFonts w:ascii="宋体" w:hAnsi="宋体" w:cs="宋体"/>
          <w:b/>
          <w:color w:val="auto"/>
          <w:kern w:val="0"/>
          <w:sz w:val="36"/>
          <w:szCs w:val="36"/>
          <w:highlight w:val="none"/>
        </w:rPr>
      </w:pPr>
    </w:p>
    <w:p w14:paraId="744D7D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58686F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AC3ED51">
      <w:pPr>
        <w:spacing w:line="360" w:lineRule="auto"/>
        <w:jc w:val="center"/>
        <w:outlineLvl w:val="0"/>
        <w:rPr>
          <w:rFonts w:ascii="宋体" w:hAnsi="宋体" w:cs="宋体"/>
          <w:b/>
          <w:color w:val="auto"/>
          <w:kern w:val="0"/>
          <w:sz w:val="36"/>
          <w:szCs w:val="36"/>
          <w:highlight w:val="none"/>
        </w:rPr>
      </w:pPr>
    </w:p>
    <w:p w14:paraId="69552B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037985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（2）落实政府采购政策需满足的资格要求………………………………（页码）</w:t>
      </w:r>
    </w:p>
    <w:p w14:paraId="2D44B7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（3）本项目的特定资格要求………………………………………………（页码）</w:t>
      </w:r>
    </w:p>
    <w:p w14:paraId="695241F3">
      <w:pPr>
        <w:snapToGrid w:val="0"/>
        <w:spacing w:line="360" w:lineRule="auto"/>
        <w:ind w:firstLine="480" w:firstLineChars="200"/>
        <w:rPr>
          <w:rFonts w:ascii="宋体" w:hAnsi="宋体" w:cs="宋体"/>
          <w:color w:val="auto"/>
          <w:sz w:val="24"/>
          <w:highlight w:val="none"/>
        </w:rPr>
      </w:pPr>
    </w:p>
    <w:p w14:paraId="26DB8AEB">
      <w:pPr>
        <w:spacing w:line="360" w:lineRule="auto"/>
        <w:ind w:firstLine="480" w:firstLineChars="200"/>
        <w:rPr>
          <w:rFonts w:ascii="宋体" w:hAnsi="宋体" w:cs="宋体"/>
          <w:color w:val="auto"/>
          <w:sz w:val="24"/>
          <w:highlight w:val="none"/>
        </w:rPr>
      </w:pPr>
    </w:p>
    <w:p w14:paraId="5615371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7BC502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BD466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我方参与（项目名称）【招标编号：（采购编号）】采购活动，郑重承诺：</w:t>
      </w:r>
    </w:p>
    <w:p w14:paraId="6421426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w:t>
      </w:r>
      <w:r>
        <w:rPr>
          <w:rFonts w:hint="eastAsia" w:ascii="宋体" w:hAnsi="宋体" w:eastAsia="宋体" w:cs="宋体"/>
          <w:color w:val="auto"/>
          <w:sz w:val="24"/>
          <w:highlight w:val="none"/>
        </w:rPr>
        <w:t>具备《中华人民共和国政府采购法》第二十二条第一款规定</w:t>
      </w:r>
      <w:r>
        <w:rPr>
          <w:rFonts w:hint="eastAsia" w:ascii="宋体" w:hAnsi="宋体" w:eastAsia="宋体" w:cs="宋体"/>
          <w:color w:val="auto"/>
          <w:sz w:val="24"/>
          <w:highlight w:val="none"/>
          <w:lang w:val="en-US" w:eastAsia="zh-CN"/>
        </w:rPr>
        <w:t>的</w:t>
      </w:r>
      <w:r>
        <w:rPr>
          <w:rFonts w:hint="eastAsia" w:ascii="宋体" w:hAnsi="宋体" w:cs="宋体"/>
          <w:color w:val="auto"/>
          <w:sz w:val="24"/>
          <w:highlight w:val="none"/>
        </w:rPr>
        <w:t>条件：</w:t>
      </w:r>
    </w:p>
    <w:p w14:paraId="06594D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603E2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ECECC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9040D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5051E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635996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F8F3C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41156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739C4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8D281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93DC105">
      <w:pPr>
        <w:pStyle w:val="4"/>
        <w:rPr>
          <w:rFonts w:ascii="宋体" w:hAnsi="宋体" w:eastAsia="宋体" w:cs="宋体"/>
          <w:color w:val="auto"/>
          <w:sz w:val="24"/>
          <w:highlight w:val="none"/>
        </w:rPr>
      </w:pPr>
    </w:p>
    <w:p w14:paraId="4DE43B4D">
      <w:pPr>
        <w:rPr>
          <w:color w:val="auto"/>
          <w:highlight w:val="none"/>
        </w:rPr>
      </w:pPr>
    </w:p>
    <w:p w14:paraId="3EEB5A9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936A3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1BD678">
      <w:pPr>
        <w:snapToGrid w:val="0"/>
        <w:spacing w:line="360" w:lineRule="auto"/>
        <w:ind w:right="480"/>
        <w:jc w:val="center"/>
        <w:rPr>
          <w:rFonts w:ascii="宋体" w:hAnsi="宋体" w:cs="宋体"/>
          <w:b/>
          <w:color w:val="auto"/>
          <w:kern w:val="0"/>
          <w:sz w:val="32"/>
          <w:szCs w:val="32"/>
          <w:highlight w:val="none"/>
        </w:rPr>
      </w:pPr>
    </w:p>
    <w:p w14:paraId="53C2F11A">
      <w:pPr>
        <w:snapToGrid w:val="0"/>
        <w:spacing w:line="360" w:lineRule="auto"/>
        <w:ind w:right="480"/>
        <w:jc w:val="center"/>
        <w:rPr>
          <w:rFonts w:ascii="宋体" w:hAnsi="宋体" w:cs="宋体"/>
          <w:b/>
          <w:color w:val="auto"/>
          <w:kern w:val="0"/>
          <w:sz w:val="32"/>
          <w:szCs w:val="32"/>
          <w:highlight w:val="none"/>
        </w:rPr>
      </w:pPr>
    </w:p>
    <w:p w14:paraId="7593056A">
      <w:pPr>
        <w:rPr>
          <w:rFonts w:ascii="宋体" w:hAnsi="宋体" w:cs="宋体"/>
          <w:color w:val="auto"/>
          <w:highlight w:val="none"/>
        </w:rPr>
      </w:pPr>
    </w:p>
    <w:p w14:paraId="645B0307">
      <w:pPr>
        <w:snapToGrid w:val="0"/>
        <w:spacing w:line="360" w:lineRule="auto"/>
        <w:ind w:right="480"/>
        <w:jc w:val="center"/>
        <w:rPr>
          <w:rFonts w:ascii="宋体" w:hAnsi="宋体" w:cs="宋体"/>
          <w:b/>
          <w:color w:val="auto"/>
          <w:kern w:val="0"/>
          <w:sz w:val="32"/>
          <w:szCs w:val="32"/>
          <w:highlight w:val="none"/>
        </w:rPr>
      </w:pPr>
    </w:p>
    <w:p w14:paraId="1A106809">
      <w:pPr>
        <w:snapToGrid w:val="0"/>
        <w:spacing w:line="360" w:lineRule="auto"/>
        <w:ind w:right="480"/>
        <w:jc w:val="center"/>
        <w:rPr>
          <w:rFonts w:ascii="宋体" w:hAnsi="宋体" w:cs="宋体"/>
          <w:b/>
          <w:color w:val="auto"/>
          <w:kern w:val="0"/>
          <w:sz w:val="32"/>
          <w:szCs w:val="32"/>
          <w:highlight w:val="none"/>
        </w:rPr>
      </w:pPr>
    </w:p>
    <w:p w14:paraId="132A8541">
      <w:pPr>
        <w:snapToGrid w:val="0"/>
        <w:spacing w:line="360" w:lineRule="auto"/>
        <w:ind w:right="480"/>
        <w:jc w:val="center"/>
        <w:rPr>
          <w:rFonts w:ascii="宋体" w:hAnsi="宋体" w:cs="宋体"/>
          <w:b/>
          <w:color w:val="auto"/>
          <w:kern w:val="0"/>
          <w:sz w:val="32"/>
          <w:szCs w:val="32"/>
          <w:highlight w:val="none"/>
        </w:rPr>
      </w:pPr>
    </w:p>
    <w:p w14:paraId="728719B3">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5363B3C">
      <w:pPr>
        <w:widowControl/>
        <w:spacing w:line="360" w:lineRule="auto"/>
        <w:ind w:left="150"/>
        <w:jc w:val="center"/>
        <w:rPr>
          <w:rFonts w:ascii="宋体" w:hAnsi="宋体" w:cs="宋体"/>
          <w:b/>
          <w:color w:val="auto"/>
          <w:kern w:val="0"/>
          <w:sz w:val="32"/>
          <w:szCs w:val="32"/>
          <w:highlight w:val="none"/>
        </w:rPr>
      </w:pPr>
    </w:p>
    <w:p w14:paraId="0DC55C8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14:paraId="684D63F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AF46756">
      <w:pPr>
        <w:widowControl/>
        <w:spacing w:line="360" w:lineRule="auto"/>
        <w:ind w:left="150"/>
        <w:jc w:val="center"/>
        <w:rPr>
          <w:rFonts w:ascii="宋体" w:hAnsi="宋体" w:cs="宋体"/>
          <w:b/>
          <w:color w:val="auto"/>
          <w:kern w:val="0"/>
          <w:sz w:val="32"/>
          <w:szCs w:val="32"/>
          <w:highlight w:val="none"/>
        </w:rPr>
      </w:pPr>
    </w:p>
    <w:p w14:paraId="23CCA71D">
      <w:pPr>
        <w:widowControl/>
        <w:spacing w:line="360" w:lineRule="auto"/>
        <w:ind w:left="150"/>
        <w:jc w:val="center"/>
        <w:rPr>
          <w:rFonts w:ascii="宋体" w:hAnsi="宋体" w:cs="宋体"/>
          <w:b/>
          <w:color w:val="auto"/>
          <w:kern w:val="0"/>
          <w:sz w:val="32"/>
          <w:szCs w:val="32"/>
          <w:highlight w:val="none"/>
        </w:rPr>
      </w:pPr>
    </w:p>
    <w:p w14:paraId="6E8565B3">
      <w:pPr>
        <w:widowControl/>
        <w:spacing w:line="360" w:lineRule="auto"/>
        <w:ind w:left="150"/>
        <w:jc w:val="center"/>
        <w:rPr>
          <w:rFonts w:ascii="宋体" w:hAnsi="宋体" w:cs="宋体"/>
          <w:b/>
          <w:color w:val="auto"/>
          <w:kern w:val="0"/>
          <w:sz w:val="32"/>
          <w:szCs w:val="32"/>
          <w:highlight w:val="none"/>
        </w:rPr>
      </w:pPr>
    </w:p>
    <w:p w14:paraId="715AF16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14:paraId="1035EF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7C825C6">
      <w:pPr>
        <w:rPr>
          <w:rFonts w:ascii="宋体" w:hAnsi="宋体" w:cs="宋体"/>
          <w:color w:val="auto"/>
          <w:highlight w:val="none"/>
        </w:rPr>
      </w:pPr>
    </w:p>
    <w:p w14:paraId="4A54D25F">
      <w:pPr>
        <w:snapToGrid w:val="0"/>
        <w:spacing w:line="360" w:lineRule="auto"/>
        <w:ind w:right="480"/>
        <w:jc w:val="center"/>
        <w:rPr>
          <w:rFonts w:ascii="宋体" w:hAnsi="宋体" w:cs="宋体"/>
          <w:b/>
          <w:color w:val="auto"/>
          <w:kern w:val="0"/>
          <w:sz w:val="32"/>
          <w:szCs w:val="32"/>
          <w:highlight w:val="none"/>
        </w:rPr>
      </w:pPr>
    </w:p>
    <w:p w14:paraId="7A41DC4E">
      <w:pPr>
        <w:snapToGrid w:val="0"/>
        <w:spacing w:line="360" w:lineRule="auto"/>
        <w:ind w:right="480"/>
        <w:jc w:val="center"/>
        <w:rPr>
          <w:rFonts w:ascii="宋体" w:hAnsi="宋体" w:cs="宋体"/>
          <w:b/>
          <w:color w:val="auto"/>
          <w:kern w:val="0"/>
          <w:sz w:val="32"/>
          <w:szCs w:val="32"/>
          <w:highlight w:val="none"/>
        </w:rPr>
      </w:pPr>
    </w:p>
    <w:p w14:paraId="07B67190">
      <w:pPr>
        <w:snapToGrid w:val="0"/>
        <w:spacing w:line="360" w:lineRule="auto"/>
        <w:ind w:right="480"/>
        <w:jc w:val="center"/>
        <w:rPr>
          <w:rFonts w:ascii="宋体" w:hAnsi="宋体" w:cs="宋体"/>
          <w:b/>
          <w:color w:val="auto"/>
          <w:kern w:val="0"/>
          <w:sz w:val="32"/>
          <w:szCs w:val="32"/>
          <w:highlight w:val="none"/>
        </w:rPr>
      </w:pPr>
    </w:p>
    <w:p w14:paraId="5F02AD4C">
      <w:pPr>
        <w:snapToGrid w:val="0"/>
        <w:spacing w:line="360" w:lineRule="auto"/>
        <w:ind w:right="480"/>
        <w:jc w:val="center"/>
        <w:rPr>
          <w:rFonts w:ascii="宋体" w:hAnsi="宋体" w:cs="宋体"/>
          <w:b/>
          <w:color w:val="auto"/>
          <w:kern w:val="0"/>
          <w:sz w:val="32"/>
          <w:szCs w:val="32"/>
          <w:highlight w:val="none"/>
        </w:rPr>
      </w:pPr>
    </w:p>
    <w:p w14:paraId="734C7170">
      <w:pPr>
        <w:snapToGrid w:val="0"/>
        <w:spacing w:line="360" w:lineRule="auto"/>
        <w:ind w:right="480"/>
        <w:jc w:val="center"/>
        <w:rPr>
          <w:rFonts w:ascii="宋体" w:hAnsi="宋体" w:cs="宋体"/>
          <w:b/>
          <w:color w:val="auto"/>
          <w:kern w:val="0"/>
          <w:sz w:val="32"/>
          <w:szCs w:val="32"/>
          <w:highlight w:val="none"/>
        </w:rPr>
      </w:pPr>
    </w:p>
    <w:p w14:paraId="5FCA2D73">
      <w:pPr>
        <w:snapToGrid w:val="0"/>
        <w:spacing w:line="360" w:lineRule="auto"/>
        <w:ind w:right="480"/>
        <w:jc w:val="center"/>
        <w:rPr>
          <w:rFonts w:ascii="宋体" w:hAnsi="宋体" w:cs="宋体"/>
          <w:b/>
          <w:color w:val="auto"/>
          <w:kern w:val="0"/>
          <w:sz w:val="32"/>
          <w:szCs w:val="32"/>
          <w:highlight w:val="none"/>
        </w:rPr>
      </w:pPr>
    </w:p>
    <w:p w14:paraId="40902C08">
      <w:pPr>
        <w:spacing w:line="360" w:lineRule="auto"/>
        <w:jc w:val="center"/>
        <w:outlineLvl w:val="0"/>
        <w:rPr>
          <w:rFonts w:ascii="宋体" w:hAnsi="宋体" w:cs="宋体"/>
          <w:b/>
          <w:color w:val="auto"/>
          <w:kern w:val="0"/>
          <w:sz w:val="36"/>
          <w:szCs w:val="36"/>
          <w:highlight w:val="none"/>
        </w:rPr>
      </w:pPr>
    </w:p>
    <w:p w14:paraId="03B44209">
      <w:pPr>
        <w:snapToGrid w:val="0"/>
        <w:spacing w:line="360" w:lineRule="auto"/>
        <w:ind w:right="480"/>
        <w:jc w:val="center"/>
        <w:rPr>
          <w:rFonts w:ascii="宋体" w:hAnsi="宋体" w:cs="宋体"/>
          <w:b/>
          <w:color w:val="auto"/>
          <w:kern w:val="0"/>
          <w:sz w:val="32"/>
          <w:szCs w:val="32"/>
          <w:highlight w:val="none"/>
        </w:rPr>
      </w:pPr>
    </w:p>
    <w:p w14:paraId="493B08FD">
      <w:pPr>
        <w:spacing w:line="360" w:lineRule="auto"/>
        <w:jc w:val="center"/>
        <w:outlineLvl w:val="0"/>
        <w:rPr>
          <w:rFonts w:ascii="宋体" w:hAnsi="宋体" w:cs="宋体"/>
          <w:b/>
          <w:color w:val="auto"/>
          <w:kern w:val="0"/>
          <w:sz w:val="36"/>
          <w:szCs w:val="36"/>
          <w:highlight w:val="none"/>
        </w:rPr>
      </w:pPr>
    </w:p>
    <w:p w14:paraId="0186592D">
      <w:pPr>
        <w:snapToGrid w:val="0"/>
        <w:spacing w:line="360" w:lineRule="auto"/>
        <w:ind w:right="480"/>
        <w:jc w:val="center"/>
        <w:rPr>
          <w:rFonts w:ascii="宋体" w:hAnsi="宋体" w:cs="宋体"/>
          <w:b/>
          <w:color w:val="auto"/>
          <w:kern w:val="0"/>
          <w:sz w:val="32"/>
          <w:szCs w:val="32"/>
          <w:highlight w:val="none"/>
        </w:rPr>
      </w:pPr>
    </w:p>
    <w:p w14:paraId="0ABB5547">
      <w:pPr>
        <w:spacing w:line="360" w:lineRule="auto"/>
        <w:jc w:val="center"/>
        <w:outlineLvl w:val="0"/>
        <w:rPr>
          <w:rFonts w:ascii="宋体" w:hAnsi="宋体" w:cs="宋体"/>
          <w:b/>
          <w:color w:val="auto"/>
          <w:kern w:val="0"/>
          <w:sz w:val="36"/>
          <w:szCs w:val="36"/>
          <w:highlight w:val="none"/>
        </w:rPr>
      </w:pPr>
    </w:p>
    <w:p w14:paraId="3EBDA68A">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975524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4B10E6E">
      <w:pPr>
        <w:spacing w:line="360" w:lineRule="auto"/>
        <w:jc w:val="center"/>
        <w:outlineLvl w:val="0"/>
        <w:rPr>
          <w:rFonts w:ascii="宋体" w:hAnsi="宋体" w:cs="宋体"/>
          <w:b/>
          <w:color w:val="auto"/>
          <w:kern w:val="0"/>
          <w:sz w:val="24"/>
          <w:highlight w:val="none"/>
        </w:rPr>
      </w:pPr>
    </w:p>
    <w:p w14:paraId="32812C0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   录</w:t>
      </w:r>
    </w:p>
    <w:p w14:paraId="7E8B6BC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A6B794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 xml:space="preserve">（3）符合性审查资料 </w:t>
      </w:r>
      <w:r>
        <w:rPr>
          <w:rFonts w:hint="eastAsia" w:ascii="宋体" w:hAnsi="宋体" w:cs="宋体"/>
          <w:color w:val="auto"/>
          <w:highlight w:val="none"/>
        </w:rPr>
        <w:t>……………………………………………………………………（页码）</w:t>
      </w:r>
    </w:p>
    <w:p w14:paraId="456AA505">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 评标标准相应的商务技术资料……………………………………………（页码）</w:t>
      </w:r>
    </w:p>
    <w:p w14:paraId="71007B4E">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（5）投标标的清单………………………………………………………………（页码）</w:t>
      </w:r>
    </w:p>
    <w:p w14:paraId="755B102F">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（6）商务技术偏离表……………………………………………………………（页码）</w:t>
      </w:r>
    </w:p>
    <w:p w14:paraId="3518227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4C2EC768">
      <w:pPr>
        <w:snapToGrid w:val="0"/>
        <w:spacing w:line="360" w:lineRule="auto"/>
        <w:jc w:val="center"/>
        <w:rPr>
          <w:rFonts w:ascii="宋体" w:hAnsi="宋体" w:cs="宋体"/>
          <w:b/>
          <w:color w:val="auto"/>
          <w:kern w:val="0"/>
          <w:sz w:val="32"/>
          <w:szCs w:val="32"/>
          <w:highlight w:val="none"/>
          <w:lang w:val="zh-CN"/>
        </w:rPr>
      </w:pPr>
    </w:p>
    <w:p w14:paraId="15ABB156">
      <w:pPr>
        <w:snapToGrid w:val="0"/>
        <w:spacing w:line="360" w:lineRule="auto"/>
        <w:jc w:val="center"/>
        <w:rPr>
          <w:rFonts w:ascii="宋体" w:hAnsi="宋体" w:cs="宋体"/>
          <w:b/>
          <w:color w:val="auto"/>
          <w:kern w:val="0"/>
          <w:sz w:val="32"/>
          <w:szCs w:val="32"/>
          <w:highlight w:val="none"/>
          <w:lang w:val="zh-CN"/>
        </w:rPr>
      </w:pPr>
    </w:p>
    <w:p w14:paraId="33F48A4D">
      <w:pPr>
        <w:snapToGrid w:val="0"/>
        <w:spacing w:line="360" w:lineRule="auto"/>
        <w:jc w:val="center"/>
        <w:rPr>
          <w:rFonts w:ascii="宋体" w:hAnsi="宋体" w:cs="宋体"/>
          <w:b/>
          <w:color w:val="auto"/>
          <w:kern w:val="0"/>
          <w:sz w:val="32"/>
          <w:szCs w:val="32"/>
          <w:highlight w:val="none"/>
          <w:lang w:val="zh-CN"/>
        </w:rPr>
      </w:pPr>
    </w:p>
    <w:p w14:paraId="4DFC7C7F">
      <w:pPr>
        <w:snapToGrid w:val="0"/>
        <w:spacing w:line="360" w:lineRule="auto"/>
        <w:jc w:val="center"/>
        <w:rPr>
          <w:rFonts w:ascii="宋体" w:hAnsi="宋体" w:cs="宋体"/>
          <w:b/>
          <w:color w:val="auto"/>
          <w:kern w:val="0"/>
          <w:sz w:val="32"/>
          <w:szCs w:val="32"/>
          <w:highlight w:val="none"/>
          <w:lang w:val="zh-CN"/>
        </w:rPr>
      </w:pPr>
    </w:p>
    <w:p w14:paraId="2FB6CD05">
      <w:pPr>
        <w:snapToGrid w:val="0"/>
        <w:spacing w:line="360" w:lineRule="auto"/>
        <w:jc w:val="center"/>
        <w:rPr>
          <w:rFonts w:ascii="宋体" w:hAnsi="宋体" w:cs="宋体"/>
          <w:b/>
          <w:color w:val="auto"/>
          <w:kern w:val="0"/>
          <w:sz w:val="32"/>
          <w:szCs w:val="32"/>
          <w:highlight w:val="none"/>
          <w:lang w:val="zh-CN"/>
        </w:rPr>
      </w:pPr>
    </w:p>
    <w:p w14:paraId="6DF0D455">
      <w:pPr>
        <w:snapToGrid w:val="0"/>
        <w:spacing w:line="360" w:lineRule="auto"/>
        <w:jc w:val="center"/>
        <w:outlineLvl w:val="0"/>
        <w:rPr>
          <w:rFonts w:ascii="宋体" w:hAnsi="宋体" w:cs="宋体"/>
          <w:b/>
          <w:color w:val="auto"/>
          <w:kern w:val="0"/>
          <w:sz w:val="32"/>
          <w:szCs w:val="32"/>
          <w:highlight w:val="none"/>
        </w:rPr>
      </w:pPr>
    </w:p>
    <w:p w14:paraId="05053953">
      <w:pPr>
        <w:snapToGrid w:val="0"/>
        <w:spacing w:line="360" w:lineRule="auto"/>
        <w:jc w:val="center"/>
        <w:outlineLvl w:val="0"/>
        <w:rPr>
          <w:rFonts w:ascii="宋体" w:hAnsi="宋体" w:cs="宋体"/>
          <w:b/>
          <w:color w:val="auto"/>
          <w:kern w:val="0"/>
          <w:sz w:val="32"/>
          <w:szCs w:val="32"/>
          <w:highlight w:val="none"/>
        </w:rPr>
      </w:pPr>
    </w:p>
    <w:p w14:paraId="769F736F">
      <w:pPr>
        <w:rPr>
          <w:rFonts w:ascii="宋体" w:hAnsi="宋体" w:cs="宋体"/>
          <w:color w:val="auto"/>
          <w:highlight w:val="none"/>
        </w:rPr>
      </w:pPr>
    </w:p>
    <w:p w14:paraId="343396FB">
      <w:pPr>
        <w:snapToGrid w:val="0"/>
        <w:spacing w:line="360" w:lineRule="auto"/>
        <w:jc w:val="center"/>
        <w:outlineLvl w:val="0"/>
        <w:rPr>
          <w:rFonts w:ascii="宋体" w:hAnsi="宋体" w:cs="宋体"/>
          <w:b/>
          <w:color w:val="auto"/>
          <w:kern w:val="0"/>
          <w:sz w:val="32"/>
          <w:szCs w:val="32"/>
          <w:highlight w:val="none"/>
        </w:rPr>
      </w:pPr>
    </w:p>
    <w:p w14:paraId="31C0F2AA">
      <w:pPr>
        <w:snapToGrid w:val="0"/>
        <w:spacing w:line="360" w:lineRule="auto"/>
        <w:jc w:val="center"/>
        <w:outlineLvl w:val="0"/>
        <w:rPr>
          <w:rFonts w:ascii="宋体" w:hAnsi="宋体" w:cs="宋体"/>
          <w:b/>
          <w:color w:val="auto"/>
          <w:kern w:val="0"/>
          <w:sz w:val="32"/>
          <w:szCs w:val="32"/>
          <w:highlight w:val="none"/>
        </w:rPr>
      </w:pPr>
    </w:p>
    <w:p w14:paraId="0AE968D8">
      <w:pPr>
        <w:snapToGrid w:val="0"/>
        <w:spacing w:line="360" w:lineRule="auto"/>
        <w:jc w:val="center"/>
        <w:outlineLvl w:val="0"/>
        <w:rPr>
          <w:rFonts w:ascii="宋体" w:hAnsi="宋体" w:cs="宋体"/>
          <w:b/>
          <w:color w:val="auto"/>
          <w:kern w:val="0"/>
          <w:sz w:val="32"/>
          <w:szCs w:val="32"/>
          <w:highlight w:val="none"/>
        </w:rPr>
      </w:pPr>
    </w:p>
    <w:p w14:paraId="032EDFF5">
      <w:pPr>
        <w:snapToGrid w:val="0"/>
        <w:spacing w:line="360" w:lineRule="auto"/>
        <w:jc w:val="center"/>
        <w:outlineLvl w:val="0"/>
        <w:rPr>
          <w:rFonts w:ascii="宋体" w:hAnsi="宋体" w:cs="宋体"/>
          <w:b/>
          <w:color w:val="auto"/>
          <w:kern w:val="0"/>
          <w:sz w:val="32"/>
          <w:szCs w:val="32"/>
          <w:highlight w:val="none"/>
        </w:rPr>
      </w:pPr>
    </w:p>
    <w:p w14:paraId="0B38EF8B">
      <w:pPr>
        <w:snapToGrid w:val="0"/>
        <w:spacing w:line="360" w:lineRule="auto"/>
        <w:jc w:val="center"/>
        <w:outlineLvl w:val="0"/>
        <w:rPr>
          <w:rFonts w:ascii="宋体" w:hAnsi="宋体" w:cs="宋体"/>
          <w:b/>
          <w:color w:val="auto"/>
          <w:kern w:val="0"/>
          <w:sz w:val="32"/>
          <w:szCs w:val="32"/>
          <w:highlight w:val="none"/>
        </w:rPr>
      </w:pPr>
    </w:p>
    <w:p w14:paraId="70E4470C">
      <w:pPr>
        <w:snapToGrid w:val="0"/>
        <w:spacing w:line="360" w:lineRule="auto"/>
        <w:jc w:val="center"/>
        <w:outlineLvl w:val="0"/>
        <w:rPr>
          <w:rFonts w:ascii="宋体" w:hAnsi="宋体" w:cs="宋体"/>
          <w:b/>
          <w:color w:val="auto"/>
          <w:kern w:val="0"/>
          <w:sz w:val="32"/>
          <w:szCs w:val="32"/>
          <w:highlight w:val="none"/>
        </w:rPr>
      </w:pPr>
    </w:p>
    <w:p w14:paraId="68140D0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B83CC1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252DB44">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68DFCCB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（项目名称）【招标编号：（采购编号）】</w:t>
      </w:r>
      <w:r>
        <w:rPr>
          <w:rFonts w:hint="eastAsia" w:ascii="宋体" w:hAnsi="宋体" w:cs="宋体"/>
          <w:color w:val="auto"/>
          <w:sz w:val="24"/>
          <w:highlight w:val="none"/>
        </w:rPr>
        <w:t>招标的有关活动，并对此项目进行投标。为此：</w:t>
      </w:r>
    </w:p>
    <w:p w14:paraId="7DF10BC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520107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5EBF8BF">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14:paraId="73072AC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2.1.1符合参加采购活动应当具备的一般条件的承诺函；</w:t>
      </w:r>
    </w:p>
    <w:p w14:paraId="44C4DC2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2.1.2落实政府采购政策需满足的资格要求（如果有）；</w:t>
      </w:r>
    </w:p>
    <w:p w14:paraId="065E0CE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2.1.3本项目的特定资格要求（如果有）。</w:t>
      </w:r>
    </w:p>
    <w:p w14:paraId="28CAD263">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C38ABE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A8550D6">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2.2.2授权委托书或法定代表人（单位负责人、自然人本人）身份证明；</w:t>
      </w:r>
    </w:p>
    <w:p w14:paraId="37566D63">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2.2.3符合性审查资料；</w:t>
      </w:r>
    </w:p>
    <w:p w14:paraId="69D232C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14:paraId="0D6C949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2.2.5投标标的清单；</w:t>
      </w:r>
    </w:p>
    <w:p w14:paraId="66FE325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14:paraId="6A1B5CA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采购供应商廉洁自律承诺书。</w:t>
      </w:r>
    </w:p>
    <w:p w14:paraId="1B8E943F">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CDE1C7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69DB7CF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2.3.2</w:t>
      </w:r>
      <w:r>
        <w:rPr>
          <w:rFonts w:hint="eastAsia" w:ascii="宋体" w:hAnsi="宋体" w:cs="宋体"/>
          <w:color w:val="auto"/>
          <w:sz w:val="24"/>
          <w:highlight w:val="none"/>
        </w:rPr>
        <w:t>中小企业声明函。</w:t>
      </w:r>
    </w:p>
    <w:p w14:paraId="0928DB6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99432D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4、如我方中标，我方承诺：</w:t>
      </w:r>
    </w:p>
    <w:p w14:paraId="731B22D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0F2F16D">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1FB6A28">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78FC6A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45A9D1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47B6CA">
      <w:pPr>
        <w:keepNext w:val="0"/>
        <w:keepLines w:val="0"/>
        <w:pageBreakBefore w:val="0"/>
        <w:widowControl w:val="0"/>
        <w:kinsoku/>
        <w:wordWrap/>
        <w:overflowPunct/>
        <w:topLinePunct w:val="0"/>
        <w:autoSpaceDE/>
        <w:autoSpaceDN/>
        <w:bidi w:val="0"/>
        <w:adjustRightInd w:val="0"/>
        <w:spacing w:line="420" w:lineRule="exact"/>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7C46B2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339022">
      <w:pPr>
        <w:jc w:val="left"/>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CEF184">
      <w:pPr>
        <w:rPr>
          <w:rFonts w:ascii="宋体" w:hAnsi="宋体" w:cs="宋体"/>
          <w:color w:val="auto"/>
          <w:sz w:val="24"/>
          <w:highlight w:val="none"/>
        </w:rPr>
      </w:pPr>
      <w:r>
        <w:rPr>
          <w:rFonts w:hint="eastAsia" w:ascii="宋体" w:hAnsi="宋体" w:cs="宋体"/>
          <w:color w:val="auto"/>
          <w:sz w:val="24"/>
          <w:highlight w:val="none"/>
        </w:rPr>
        <w:br w:type="page"/>
      </w:r>
    </w:p>
    <w:p w14:paraId="7DE3F8D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AC252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9A9D7DA">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3E55748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E091D7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采购投标的一切事项，其法律后果由我方承担。</w:t>
      </w:r>
    </w:p>
    <w:p w14:paraId="4CBA2A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ADD4C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A9A092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4C8BA9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1FB1EB8">
      <w:pPr>
        <w:snapToGrid w:val="0"/>
        <w:spacing w:line="360" w:lineRule="auto"/>
        <w:rPr>
          <w:rFonts w:ascii="宋体" w:hAnsi="宋体" w:cs="宋体"/>
          <w:color w:val="auto"/>
          <w:sz w:val="24"/>
          <w:highlight w:val="none"/>
        </w:rPr>
      </w:pPr>
    </w:p>
    <w:p w14:paraId="2D211FFB">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14:paraId="7ECEBB8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CE700DD">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2A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24DD5E05">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3FF834C">
            <w:pPr>
              <w:pStyle w:val="151"/>
              <w:adjustRightInd w:val="0"/>
              <w:spacing w:line="360" w:lineRule="auto"/>
              <w:rPr>
                <w:rFonts w:hAnsi="宋体" w:cs="宋体"/>
                <w:bCs/>
                <w:color w:val="auto"/>
                <w:sz w:val="24"/>
                <w:highlight w:val="none"/>
              </w:rPr>
            </w:pPr>
          </w:p>
        </w:tc>
      </w:tr>
    </w:tbl>
    <w:p w14:paraId="679190A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9E6A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A965D5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AF9AE79">
      <w:pPr>
        <w:jc w:val="center"/>
        <w:rPr>
          <w:rFonts w:ascii="宋体" w:hAnsi="宋体" w:cs="宋体"/>
          <w:b/>
          <w:color w:val="auto"/>
          <w:kern w:val="0"/>
          <w:sz w:val="32"/>
          <w:szCs w:val="32"/>
          <w:highlight w:val="none"/>
        </w:rPr>
      </w:pPr>
    </w:p>
    <w:p w14:paraId="395ED954">
      <w:pPr>
        <w:snapToGrid w:val="0"/>
        <w:spacing w:line="360" w:lineRule="auto"/>
        <w:rPr>
          <w:rFonts w:ascii="宋体" w:hAnsi="宋体" w:cs="宋体"/>
          <w:color w:val="auto"/>
          <w:kern w:val="0"/>
          <w:sz w:val="24"/>
          <w:highlight w:val="none"/>
        </w:rPr>
      </w:pPr>
    </w:p>
    <w:p w14:paraId="0F7E98B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1AA064BA">
      <w:pPr>
        <w:jc w:val="center"/>
        <w:rPr>
          <w:rFonts w:ascii="宋体" w:hAnsi="宋体" w:cs="宋体"/>
          <w:b/>
          <w:color w:val="auto"/>
          <w:kern w:val="0"/>
          <w:sz w:val="32"/>
          <w:szCs w:val="32"/>
          <w:highlight w:val="none"/>
        </w:rPr>
      </w:pPr>
    </w:p>
    <w:tbl>
      <w:tblPr>
        <w:tblStyle w:val="6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90"/>
        <w:gridCol w:w="2933"/>
        <w:gridCol w:w="1418"/>
      </w:tblGrid>
      <w:tr w14:paraId="08B7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510F1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290" w:type="dxa"/>
            <w:vAlign w:val="center"/>
          </w:tcPr>
          <w:p w14:paraId="6DC37B9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933" w:type="dxa"/>
            <w:vAlign w:val="center"/>
          </w:tcPr>
          <w:p w14:paraId="2BB896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419EC7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FCD37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C4D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E5FE3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290" w:type="dxa"/>
            <w:vAlign w:val="center"/>
          </w:tcPr>
          <w:p w14:paraId="3814EF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933" w:type="dxa"/>
            <w:vAlign w:val="center"/>
          </w:tcPr>
          <w:p w14:paraId="7A839D50">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02F6A8EB">
            <w:pPr>
              <w:jc w:val="center"/>
              <w:rPr>
                <w:rFonts w:ascii="宋体" w:hAnsi="宋体" w:cs="宋体"/>
                <w:color w:val="auto"/>
                <w:sz w:val="24"/>
                <w:highlight w:val="none"/>
              </w:rPr>
            </w:pPr>
          </w:p>
          <w:p w14:paraId="041577F5">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5F56DBAF">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20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EE6C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290" w:type="dxa"/>
            <w:vAlign w:val="center"/>
          </w:tcPr>
          <w:p w14:paraId="2F680414">
            <w:pPr>
              <w:jc w:val="cente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933" w:type="dxa"/>
            <w:vAlign w:val="center"/>
          </w:tcPr>
          <w:p w14:paraId="255BDD63">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13021260">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F4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296E6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290" w:type="dxa"/>
            <w:vAlign w:val="center"/>
          </w:tcPr>
          <w:p w14:paraId="0358A12F">
            <w:pPr>
              <w:jc w:val="cente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933" w:type="dxa"/>
            <w:vAlign w:val="center"/>
          </w:tcPr>
          <w:p w14:paraId="0357EBBA">
            <w:pPr>
              <w:jc w:val="cente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0EF4D072">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BF2AD0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213C3FF">
      <w:pPr>
        <w:jc w:val="center"/>
        <w:rPr>
          <w:rFonts w:ascii="宋体" w:hAnsi="宋体" w:cs="宋体"/>
          <w:b/>
          <w:color w:val="auto"/>
          <w:kern w:val="0"/>
          <w:sz w:val="32"/>
          <w:szCs w:val="32"/>
          <w:highlight w:val="none"/>
        </w:rPr>
      </w:pPr>
    </w:p>
    <w:p w14:paraId="47611D2F">
      <w:pPr>
        <w:jc w:val="center"/>
        <w:rPr>
          <w:rFonts w:ascii="宋体" w:hAnsi="宋体" w:cs="宋体"/>
          <w:b/>
          <w:color w:val="auto"/>
          <w:kern w:val="0"/>
          <w:sz w:val="32"/>
          <w:szCs w:val="32"/>
          <w:highlight w:val="none"/>
        </w:rPr>
      </w:pPr>
    </w:p>
    <w:p w14:paraId="65EAFDC6">
      <w:pPr>
        <w:jc w:val="center"/>
        <w:rPr>
          <w:rFonts w:ascii="宋体" w:hAnsi="宋体" w:cs="宋体"/>
          <w:b/>
          <w:color w:val="auto"/>
          <w:kern w:val="0"/>
          <w:sz w:val="32"/>
          <w:szCs w:val="32"/>
          <w:highlight w:val="none"/>
        </w:rPr>
      </w:pPr>
    </w:p>
    <w:p w14:paraId="39468813">
      <w:pPr>
        <w:jc w:val="center"/>
        <w:rPr>
          <w:rFonts w:ascii="宋体" w:hAnsi="宋体" w:cs="宋体"/>
          <w:b/>
          <w:color w:val="auto"/>
          <w:kern w:val="0"/>
          <w:sz w:val="32"/>
          <w:szCs w:val="32"/>
          <w:highlight w:val="none"/>
        </w:rPr>
      </w:pPr>
    </w:p>
    <w:p w14:paraId="5A7550D5">
      <w:pPr>
        <w:jc w:val="center"/>
        <w:rPr>
          <w:rFonts w:ascii="宋体" w:hAnsi="宋体" w:cs="宋体"/>
          <w:b/>
          <w:color w:val="auto"/>
          <w:kern w:val="0"/>
          <w:sz w:val="32"/>
          <w:szCs w:val="32"/>
          <w:highlight w:val="none"/>
        </w:rPr>
      </w:pPr>
    </w:p>
    <w:p w14:paraId="3D097095">
      <w:pPr>
        <w:jc w:val="center"/>
        <w:rPr>
          <w:rFonts w:ascii="宋体" w:hAnsi="宋体" w:cs="宋体"/>
          <w:b/>
          <w:color w:val="auto"/>
          <w:kern w:val="0"/>
          <w:sz w:val="32"/>
          <w:szCs w:val="32"/>
          <w:highlight w:val="none"/>
        </w:rPr>
      </w:pPr>
    </w:p>
    <w:p w14:paraId="0D71F1D0">
      <w:pPr>
        <w:jc w:val="center"/>
        <w:rPr>
          <w:rFonts w:ascii="宋体" w:hAnsi="宋体" w:cs="宋体"/>
          <w:b/>
          <w:color w:val="auto"/>
          <w:kern w:val="0"/>
          <w:sz w:val="32"/>
          <w:szCs w:val="32"/>
          <w:highlight w:val="none"/>
        </w:rPr>
      </w:pPr>
    </w:p>
    <w:p w14:paraId="21589A00">
      <w:pPr>
        <w:jc w:val="center"/>
        <w:rPr>
          <w:rFonts w:ascii="宋体" w:hAnsi="宋体" w:cs="宋体"/>
          <w:b/>
          <w:color w:val="auto"/>
          <w:kern w:val="0"/>
          <w:sz w:val="32"/>
          <w:szCs w:val="32"/>
          <w:highlight w:val="none"/>
        </w:rPr>
      </w:pPr>
    </w:p>
    <w:p w14:paraId="2EB88689">
      <w:pPr>
        <w:jc w:val="center"/>
        <w:rPr>
          <w:rFonts w:ascii="宋体" w:hAnsi="宋体" w:cs="宋体"/>
          <w:color w:val="auto"/>
          <w:highlight w:val="none"/>
        </w:rPr>
      </w:pPr>
      <w:r>
        <w:rPr>
          <w:rFonts w:hint="eastAsia" w:ascii="宋体" w:hAnsi="宋体" w:cs="宋体"/>
          <w:b/>
          <w:color w:val="auto"/>
          <w:kern w:val="0"/>
          <w:sz w:val="32"/>
          <w:szCs w:val="32"/>
          <w:highlight w:val="none"/>
        </w:rPr>
        <w:t>四、评标标准相应的商务技术资料</w:t>
      </w:r>
    </w:p>
    <w:p w14:paraId="16D1A14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7FF44AD">
      <w:pPr>
        <w:jc w:val="center"/>
        <w:rPr>
          <w:rFonts w:ascii="宋体" w:hAnsi="宋体" w:cs="宋体"/>
          <w:b/>
          <w:color w:val="auto"/>
          <w:kern w:val="0"/>
          <w:sz w:val="32"/>
          <w:szCs w:val="32"/>
          <w:highlight w:val="none"/>
        </w:rPr>
      </w:pPr>
    </w:p>
    <w:p w14:paraId="763E1979">
      <w:pPr>
        <w:jc w:val="center"/>
        <w:rPr>
          <w:rFonts w:ascii="宋体" w:hAnsi="宋体" w:cs="宋体"/>
          <w:b/>
          <w:color w:val="auto"/>
          <w:kern w:val="0"/>
          <w:sz w:val="32"/>
          <w:szCs w:val="32"/>
          <w:highlight w:val="none"/>
        </w:rPr>
      </w:pPr>
    </w:p>
    <w:p w14:paraId="4DC858AC">
      <w:pPr>
        <w:jc w:val="center"/>
        <w:rPr>
          <w:rFonts w:ascii="宋体" w:hAnsi="宋体" w:cs="宋体"/>
          <w:b/>
          <w:color w:val="auto"/>
          <w:kern w:val="0"/>
          <w:sz w:val="32"/>
          <w:szCs w:val="32"/>
          <w:highlight w:val="none"/>
        </w:rPr>
      </w:pPr>
    </w:p>
    <w:p w14:paraId="4F4754EF">
      <w:pPr>
        <w:pStyle w:val="4"/>
        <w:rPr>
          <w:color w:val="auto"/>
          <w:highlight w:val="none"/>
        </w:rPr>
      </w:pPr>
    </w:p>
    <w:p w14:paraId="3EAFFB15">
      <w:pPr>
        <w:jc w:val="center"/>
        <w:rPr>
          <w:rFonts w:ascii="宋体" w:hAnsi="宋体" w:cs="宋体"/>
          <w:b/>
          <w:color w:val="auto"/>
          <w:kern w:val="0"/>
          <w:sz w:val="32"/>
          <w:szCs w:val="32"/>
          <w:highlight w:val="none"/>
        </w:rPr>
      </w:pPr>
    </w:p>
    <w:p w14:paraId="2896061D">
      <w:pPr>
        <w:jc w:val="center"/>
        <w:rPr>
          <w:rFonts w:ascii="宋体" w:hAnsi="宋体" w:cs="宋体"/>
          <w:b/>
          <w:color w:val="auto"/>
          <w:kern w:val="0"/>
          <w:sz w:val="32"/>
          <w:szCs w:val="32"/>
          <w:highlight w:val="none"/>
        </w:rPr>
      </w:pPr>
    </w:p>
    <w:p w14:paraId="0094D36E">
      <w:pPr>
        <w:jc w:val="center"/>
        <w:rPr>
          <w:rFonts w:ascii="宋体" w:hAnsi="宋体" w:cs="宋体"/>
          <w:b/>
          <w:color w:val="auto"/>
          <w:kern w:val="0"/>
          <w:sz w:val="32"/>
          <w:szCs w:val="32"/>
          <w:highlight w:val="none"/>
        </w:rPr>
      </w:pPr>
    </w:p>
    <w:p w14:paraId="3B5D111C">
      <w:pPr>
        <w:jc w:val="center"/>
        <w:rPr>
          <w:rFonts w:ascii="宋体" w:hAnsi="宋体" w:cs="宋体"/>
          <w:b/>
          <w:color w:val="auto"/>
          <w:kern w:val="0"/>
          <w:sz w:val="32"/>
          <w:szCs w:val="32"/>
          <w:highlight w:val="none"/>
        </w:rPr>
      </w:pPr>
    </w:p>
    <w:p w14:paraId="46B251C3">
      <w:pPr>
        <w:ind w:firstLine="2891" w:firstLineChars="900"/>
        <w:rPr>
          <w:rFonts w:ascii="宋体" w:hAnsi="宋体" w:cs="宋体"/>
          <w:b/>
          <w:color w:val="auto"/>
          <w:kern w:val="0"/>
          <w:sz w:val="32"/>
          <w:szCs w:val="32"/>
          <w:highlight w:val="none"/>
        </w:rPr>
      </w:pPr>
    </w:p>
    <w:p w14:paraId="6E99A7A3">
      <w:pPr>
        <w:ind w:firstLine="2891" w:firstLineChars="900"/>
        <w:rPr>
          <w:rFonts w:ascii="宋体" w:hAnsi="宋体" w:cs="宋体"/>
          <w:b/>
          <w:color w:val="auto"/>
          <w:kern w:val="0"/>
          <w:sz w:val="32"/>
          <w:szCs w:val="32"/>
          <w:highlight w:val="none"/>
        </w:rPr>
      </w:pPr>
    </w:p>
    <w:p w14:paraId="056FBD4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39"/>
        <w:gridCol w:w="1677"/>
        <w:gridCol w:w="1705"/>
        <w:gridCol w:w="1636"/>
        <w:gridCol w:w="948"/>
      </w:tblGrid>
      <w:tr w14:paraId="75CA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1868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2CA27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39" w:type="dxa"/>
            <w:tcBorders>
              <w:top w:val="single" w:color="auto" w:sz="4" w:space="0"/>
              <w:left w:val="single" w:color="auto" w:sz="4" w:space="0"/>
              <w:bottom w:val="single" w:color="auto" w:sz="4" w:space="0"/>
              <w:right w:val="single" w:color="auto" w:sz="4" w:space="0"/>
            </w:tcBorders>
            <w:vAlign w:val="center"/>
          </w:tcPr>
          <w:p w14:paraId="3EC201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677" w:type="dxa"/>
            <w:tcBorders>
              <w:top w:val="single" w:color="auto" w:sz="4" w:space="0"/>
              <w:left w:val="single" w:color="auto" w:sz="4" w:space="0"/>
              <w:bottom w:val="single" w:color="auto" w:sz="4" w:space="0"/>
              <w:right w:val="single" w:color="auto" w:sz="4" w:space="0"/>
            </w:tcBorders>
            <w:vAlign w:val="center"/>
          </w:tcPr>
          <w:p w14:paraId="70102F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705" w:type="dxa"/>
            <w:tcBorders>
              <w:top w:val="single" w:color="auto" w:sz="4" w:space="0"/>
              <w:left w:val="single" w:color="auto" w:sz="4" w:space="0"/>
              <w:bottom w:val="single" w:color="auto" w:sz="4" w:space="0"/>
              <w:right w:val="single" w:color="auto" w:sz="4" w:space="0"/>
            </w:tcBorders>
            <w:vAlign w:val="center"/>
          </w:tcPr>
          <w:p w14:paraId="2D394F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636" w:type="dxa"/>
            <w:tcBorders>
              <w:top w:val="single" w:color="auto" w:sz="4" w:space="0"/>
              <w:left w:val="single" w:color="auto" w:sz="4" w:space="0"/>
              <w:bottom w:val="single" w:color="auto" w:sz="4" w:space="0"/>
              <w:right w:val="single" w:color="auto" w:sz="4" w:space="0"/>
            </w:tcBorders>
            <w:vAlign w:val="center"/>
          </w:tcPr>
          <w:p w14:paraId="7D34A8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948" w:type="dxa"/>
            <w:tcBorders>
              <w:top w:val="single" w:color="auto" w:sz="4" w:space="0"/>
              <w:left w:val="single" w:color="auto" w:sz="4" w:space="0"/>
              <w:bottom w:val="single" w:color="auto" w:sz="4" w:space="0"/>
              <w:right w:val="single" w:color="auto" w:sz="4" w:space="0"/>
            </w:tcBorders>
            <w:vAlign w:val="center"/>
          </w:tcPr>
          <w:p w14:paraId="0348D5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246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3F9A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7222DC">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0EDC1D2B">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4519554">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3D426C62">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63655A27">
            <w:pPr>
              <w:spacing w:line="360" w:lineRule="auto"/>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2A9C75B7">
            <w:pPr>
              <w:spacing w:line="360" w:lineRule="auto"/>
              <w:jc w:val="center"/>
              <w:rPr>
                <w:rFonts w:ascii="宋体" w:hAnsi="宋体" w:cs="宋体"/>
                <w:color w:val="auto"/>
                <w:sz w:val="24"/>
                <w:highlight w:val="none"/>
              </w:rPr>
            </w:pPr>
          </w:p>
        </w:tc>
      </w:tr>
      <w:tr w14:paraId="26D2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C7B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EB333EB">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7C0169B9">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B51E9FD">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6F7EAC3">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21A25CAE">
            <w:pPr>
              <w:spacing w:line="360" w:lineRule="auto"/>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30AF1766">
            <w:pPr>
              <w:spacing w:line="360" w:lineRule="auto"/>
              <w:jc w:val="center"/>
              <w:rPr>
                <w:rFonts w:ascii="宋体" w:hAnsi="宋体" w:cs="宋体"/>
                <w:color w:val="auto"/>
                <w:sz w:val="24"/>
                <w:highlight w:val="none"/>
              </w:rPr>
            </w:pPr>
          </w:p>
        </w:tc>
      </w:tr>
      <w:tr w14:paraId="2DEF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DD82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495A02C">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73D26DF1">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8DA0BED">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42539C20">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7AD58042">
            <w:pPr>
              <w:spacing w:line="360" w:lineRule="auto"/>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7E90DFD3">
            <w:pPr>
              <w:spacing w:line="360" w:lineRule="auto"/>
              <w:jc w:val="center"/>
              <w:rPr>
                <w:rFonts w:ascii="宋体" w:hAnsi="宋体" w:cs="宋体"/>
                <w:color w:val="auto"/>
                <w:sz w:val="24"/>
                <w:highlight w:val="none"/>
              </w:rPr>
            </w:pPr>
          </w:p>
        </w:tc>
      </w:tr>
    </w:tbl>
    <w:p w14:paraId="431E061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0E2E02">
      <w:pPr>
        <w:jc w:val="center"/>
        <w:rPr>
          <w:rFonts w:ascii="宋体" w:hAnsi="宋体" w:cs="宋体"/>
          <w:b/>
          <w:color w:val="auto"/>
          <w:kern w:val="0"/>
          <w:sz w:val="32"/>
          <w:szCs w:val="32"/>
          <w:highlight w:val="none"/>
        </w:rPr>
      </w:pPr>
    </w:p>
    <w:p w14:paraId="2C83A484">
      <w:pPr>
        <w:jc w:val="center"/>
        <w:rPr>
          <w:rFonts w:ascii="宋体" w:hAnsi="宋体" w:cs="宋体"/>
          <w:b/>
          <w:color w:val="auto"/>
          <w:kern w:val="0"/>
          <w:sz w:val="32"/>
          <w:szCs w:val="32"/>
          <w:highlight w:val="none"/>
        </w:rPr>
      </w:pPr>
    </w:p>
    <w:p w14:paraId="1DFB819A">
      <w:pPr>
        <w:pStyle w:val="4"/>
        <w:rPr>
          <w:rFonts w:ascii="宋体" w:hAnsi="宋体" w:cs="宋体"/>
          <w:color w:val="auto"/>
          <w:kern w:val="0"/>
          <w:highlight w:val="none"/>
          <w:lang w:val="en-US"/>
        </w:rPr>
      </w:pPr>
    </w:p>
    <w:p w14:paraId="1707DEA7">
      <w:pPr>
        <w:rPr>
          <w:rFonts w:ascii="宋体" w:hAnsi="宋体" w:cs="宋体"/>
          <w:b/>
          <w:color w:val="auto"/>
          <w:kern w:val="0"/>
          <w:sz w:val="32"/>
          <w:szCs w:val="32"/>
          <w:highlight w:val="none"/>
        </w:rPr>
      </w:pPr>
    </w:p>
    <w:p w14:paraId="51930FFB">
      <w:pPr>
        <w:pStyle w:val="4"/>
        <w:rPr>
          <w:color w:val="auto"/>
          <w:highlight w:val="none"/>
          <w:lang w:val="en-US"/>
        </w:rPr>
      </w:pPr>
    </w:p>
    <w:p w14:paraId="7AD6A98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9B3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C571D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3E9614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F3F861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BF2E8A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F73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E1EAB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AFCE506">
            <w:pPr>
              <w:jc w:val="center"/>
              <w:rPr>
                <w:rFonts w:ascii="宋体" w:hAnsi="宋体" w:cs="宋体"/>
                <w:b/>
                <w:color w:val="auto"/>
                <w:kern w:val="0"/>
                <w:sz w:val="32"/>
                <w:szCs w:val="32"/>
                <w:highlight w:val="none"/>
              </w:rPr>
            </w:pPr>
          </w:p>
        </w:tc>
        <w:tc>
          <w:tcPr>
            <w:tcW w:w="3546" w:type="dxa"/>
          </w:tcPr>
          <w:p w14:paraId="225CB112">
            <w:pPr>
              <w:jc w:val="center"/>
              <w:rPr>
                <w:rFonts w:ascii="宋体" w:hAnsi="宋体" w:cs="宋体"/>
                <w:b/>
                <w:color w:val="auto"/>
                <w:kern w:val="0"/>
                <w:sz w:val="32"/>
                <w:szCs w:val="32"/>
                <w:highlight w:val="none"/>
              </w:rPr>
            </w:pPr>
          </w:p>
        </w:tc>
        <w:tc>
          <w:tcPr>
            <w:tcW w:w="1276" w:type="dxa"/>
          </w:tcPr>
          <w:p w14:paraId="79E1B539">
            <w:pPr>
              <w:jc w:val="center"/>
              <w:rPr>
                <w:rFonts w:ascii="宋体" w:hAnsi="宋体" w:cs="宋体"/>
                <w:b/>
                <w:color w:val="auto"/>
                <w:kern w:val="0"/>
                <w:sz w:val="32"/>
                <w:szCs w:val="32"/>
                <w:highlight w:val="none"/>
              </w:rPr>
            </w:pPr>
          </w:p>
        </w:tc>
      </w:tr>
      <w:tr w14:paraId="31DC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B9132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446E747">
            <w:pPr>
              <w:jc w:val="center"/>
              <w:rPr>
                <w:rFonts w:ascii="宋体" w:hAnsi="宋体" w:cs="宋体"/>
                <w:b/>
                <w:color w:val="auto"/>
                <w:kern w:val="0"/>
                <w:sz w:val="32"/>
                <w:szCs w:val="32"/>
                <w:highlight w:val="none"/>
              </w:rPr>
            </w:pPr>
          </w:p>
        </w:tc>
        <w:tc>
          <w:tcPr>
            <w:tcW w:w="3546" w:type="dxa"/>
          </w:tcPr>
          <w:p w14:paraId="0B4B4BD3">
            <w:pPr>
              <w:jc w:val="center"/>
              <w:rPr>
                <w:rFonts w:ascii="宋体" w:hAnsi="宋体" w:cs="宋体"/>
                <w:b/>
                <w:color w:val="auto"/>
                <w:kern w:val="0"/>
                <w:sz w:val="32"/>
                <w:szCs w:val="32"/>
                <w:highlight w:val="none"/>
              </w:rPr>
            </w:pPr>
          </w:p>
        </w:tc>
        <w:tc>
          <w:tcPr>
            <w:tcW w:w="1276" w:type="dxa"/>
          </w:tcPr>
          <w:p w14:paraId="563534B3">
            <w:pPr>
              <w:jc w:val="center"/>
              <w:rPr>
                <w:rFonts w:ascii="宋体" w:hAnsi="宋体" w:cs="宋体"/>
                <w:b/>
                <w:color w:val="auto"/>
                <w:kern w:val="0"/>
                <w:sz w:val="32"/>
                <w:szCs w:val="32"/>
                <w:highlight w:val="none"/>
              </w:rPr>
            </w:pPr>
          </w:p>
        </w:tc>
      </w:tr>
      <w:tr w14:paraId="1006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FD4B6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2796322">
            <w:pPr>
              <w:jc w:val="center"/>
              <w:rPr>
                <w:rFonts w:ascii="宋体" w:hAnsi="宋体" w:cs="宋体"/>
                <w:b/>
                <w:color w:val="auto"/>
                <w:kern w:val="0"/>
                <w:sz w:val="32"/>
                <w:szCs w:val="32"/>
                <w:highlight w:val="none"/>
              </w:rPr>
            </w:pPr>
          </w:p>
        </w:tc>
        <w:tc>
          <w:tcPr>
            <w:tcW w:w="3546" w:type="dxa"/>
          </w:tcPr>
          <w:p w14:paraId="35F79453">
            <w:pPr>
              <w:jc w:val="center"/>
              <w:rPr>
                <w:rFonts w:ascii="宋体" w:hAnsi="宋体" w:cs="宋体"/>
                <w:b/>
                <w:color w:val="auto"/>
                <w:kern w:val="0"/>
                <w:sz w:val="32"/>
                <w:szCs w:val="32"/>
                <w:highlight w:val="none"/>
              </w:rPr>
            </w:pPr>
          </w:p>
        </w:tc>
        <w:tc>
          <w:tcPr>
            <w:tcW w:w="1276" w:type="dxa"/>
          </w:tcPr>
          <w:p w14:paraId="71C48016">
            <w:pPr>
              <w:jc w:val="center"/>
              <w:rPr>
                <w:rFonts w:ascii="宋体" w:hAnsi="宋体" w:cs="宋体"/>
                <w:b/>
                <w:color w:val="auto"/>
                <w:kern w:val="0"/>
                <w:sz w:val="32"/>
                <w:szCs w:val="32"/>
                <w:highlight w:val="none"/>
              </w:rPr>
            </w:pPr>
          </w:p>
        </w:tc>
      </w:tr>
    </w:tbl>
    <w:p w14:paraId="7843F3D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5766DBE">
      <w:pPr>
        <w:jc w:val="center"/>
        <w:rPr>
          <w:rFonts w:ascii="宋体" w:hAnsi="宋体" w:cs="宋体"/>
          <w:b/>
          <w:color w:val="auto"/>
          <w:kern w:val="0"/>
          <w:sz w:val="32"/>
          <w:szCs w:val="32"/>
          <w:highlight w:val="none"/>
        </w:rPr>
      </w:pPr>
    </w:p>
    <w:p w14:paraId="77751B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EAC18B">
      <w:pPr>
        <w:jc w:val="center"/>
        <w:rPr>
          <w:rFonts w:ascii="宋体" w:hAnsi="宋体" w:cs="宋体"/>
          <w:b/>
          <w:color w:val="auto"/>
          <w:kern w:val="0"/>
          <w:sz w:val="32"/>
          <w:szCs w:val="32"/>
          <w:highlight w:val="none"/>
        </w:rPr>
      </w:pPr>
    </w:p>
    <w:p w14:paraId="5F2F0D91">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7FDF9D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6348D3C">
      <w:pPr>
        <w:snapToGrid w:val="0"/>
        <w:spacing w:line="360" w:lineRule="auto"/>
        <w:rPr>
          <w:rFonts w:ascii="宋体" w:hAnsi="宋体" w:cs="宋体"/>
          <w:color w:val="auto"/>
          <w:sz w:val="24"/>
          <w:highlight w:val="none"/>
        </w:rPr>
      </w:pPr>
    </w:p>
    <w:p w14:paraId="6F7D9E7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0A648D8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36103F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003D5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204464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F63744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A62BD4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FDC201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F7A59C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4DF1A24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AE41078">
      <w:pPr>
        <w:autoSpaceDE w:val="0"/>
        <w:autoSpaceDN w:val="0"/>
        <w:spacing w:line="360" w:lineRule="auto"/>
        <w:ind w:left="2"/>
        <w:jc w:val="left"/>
        <w:rPr>
          <w:rFonts w:ascii="宋体" w:hAnsi="宋体" w:cs="宋体"/>
          <w:color w:val="auto"/>
          <w:kern w:val="0"/>
          <w:sz w:val="24"/>
          <w:highlight w:val="none"/>
          <w:lang w:val="zh-CN"/>
        </w:rPr>
      </w:pPr>
    </w:p>
    <w:p w14:paraId="12849ACC">
      <w:pPr>
        <w:autoSpaceDE w:val="0"/>
        <w:autoSpaceDN w:val="0"/>
        <w:spacing w:line="360" w:lineRule="auto"/>
        <w:ind w:left="2"/>
        <w:jc w:val="left"/>
        <w:rPr>
          <w:rFonts w:ascii="宋体" w:hAnsi="宋体" w:cs="宋体"/>
          <w:color w:val="auto"/>
          <w:kern w:val="0"/>
          <w:sz w:val="24"/>
          <w:highlight w:val="none"/>
          <w:lang w:val="zh-CN"/>
        </w:rPr>
      </w:pPr>
    </w:p>
    <w:p w14:paraId="37B6A792">
      <w:pPr>
        <w:autoSpaceDE w:val="0"/>
        <w:autoSpaceDN w:val="0"/>
        <w:spacing w:line="360" w:lineRule="auto"/>
        <w:ind w:left="2"/>
        <w:jc w:val="left"/>
        <w:rPr>
          <w:rFonts w:ascii="宋体" w:hAnsi="宋体" w:cs="宋体"/>
          <w:color w:val="auto"/>
          <w:kern w:val="0"/>
          <w:sz w:val="24"/>
          <w:highlight w:val="none"/>
          <w:lang w:val="zh-CN"/>
        </w:rPr>
      </w:pPr>
    </w:p>
    <w:p w14:paraId="0B32B62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0D046E2">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6E7E4C5">
      <w:pPr>
        <w:spacing w:line="360" w:lineRule="auto"/>
        <w:jc w:val="center"/>
        <w:rPr>
          <w:rFonts w:ascii="宋体" w:hAnsi="宋体" w:cs="宋体"/>
          <w:b/>
          <w:bCs/>
          <w:color w:val="auto"/>
          <w:sz w:val="24"/>
          <w:highlight w:val="none"/>
        </w:rPr>
      </w:pPr>
    </w:p>
    <w:p w14:paraId="311F25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E53CA2">
      <w:pPr>
        <w:spacing w:line="360" w:lineRule="auto"/>
        <w:jc w:val="center"/>
        <w:rPr>
          <w:rFonts w:ascii="宋体" w:hAnsi="宋体" w:cs="宋体"/>
          <w:b/>
          <w:bCs/>
          <w:color w:val="auto"/>
          <w:sz w:val="24"/>
          <w:highlight w:val="none"/>
        </w:rPr>
        <w:sectPr>
          <w:headerReference r:id="rId5" w:type="first"/>
          <w:footerReference r:id="rId7" w:type="first"/>
          <w:headerReference r:id="rId4" w:type="default"/>
          <w:footerReference r:id="rId6" w:type="default"/>
          <w:pgSz w:w="11906" w:h="16838"/>
          <w:pgMar w:top="1276" w:right="1418" w:bottom="1247" w:left="1418" w:header="851" w:footer="992" w:gutter="0"/>
          <w:cols w:space="720" w:num="1"/>
          <w:titlePg/>
          <w:docGrid w:linePitch="312" w:charSpace="0"/>
        </w:sectPr>
      </w:pPr>
    </w:p>
    <w:p w14:paraId="6335361C">
      <w:pPr>
        <w:spacing w:line="360" w:lineRule="auto"/>
        <w:jc w:val="center"/>
        <w:outlineLvl w:val="0"/>
        <w:rPr>
          <w:rFonts w:ascii="宋体" w:hAnsi="宋体" w:cs="宋体"/>
          <w:b/>
          <w:color w:val="auto"/>
          <w:kern w:val="0"/>
          <w:sz w:val="36"/>
          <w:szCs w:val="36"/>
          <w:highlight w:val="none"/>
        </w:rPr>
      </w:pPr>
    </w:p>
    <w:p w14:paraId="24544F8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52652B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C860D4A">
      <w:pPr>
        <w:spacing w:line="360" w:lineRule="auto"/>
        <w:jc w:val="center"/>
        <w:outlineLvl w:val="0"/>
        <w:rPr>
          <w:rFonts w:ascii="宋体" w:hAnsi="宋体" w:cs="宋体"/>
          <w:b/>
          <w:color w:val="auto"/>
          <w:kern w:val="0"/>
          <w:sz w:val="36"/>
          <w:szCs w:val="36"/>
          <w:highlight w:val="none"/>
        </w:rPr>
      </w:pPr>
    </w:p>
    <w:p w14:paraId="687B9F6D">
      <w:pPr>
        <w:numPr>
          <w:ilvl w:val="0"/>
          <w:numId w:val="0"/>
        </w:numPr>
        <w:snapToGrid w:val="0"/>
        <w:spacing w:line="360" w:lineRule="auto"/>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（1）</w:t>
      </w:r>
      <w:r>
        <w:rPr>
          <w:rFonts w:hint="eastAsia" w:ascii="宋体" w:hAnsi="宋体" w:cs="宋体"/>
          <w:color w:val="auto"/>
          <w:sz w:val="24"/>
          <w:highlight w:val="none"/>
        </w:rPr>
        <w:t>开标一览表（报价表）………………………………………………………（页码）</w:t>
      </w:r>
    </w:p>
    <w:p w14:paraId="1C6DA760">
      <w:pPr>
        <w:numPr>
          <w:ilvl w:val="0"/>
          <w:numId w:val="0"/>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311A9582">
      <w:pPr>
        <w:snapToGrid w:val="0"/>
        <w:spacing w:line="360" w:lineRule="auto"/>
        <w:ind w:right="480"/>
        <w:jc w:val="center"/>
        <w:rPr>
          <w:rFonts w:ascii="宋体" w:hAnsi="宋体" w:cs="宋体"/>
          <w:b/>
          <w:color w:val="auto"/>
          <w:kern w:val="0"/>
          <w:sz w:val="32"/>
          <w:szCs w:val="32"/>
          <w:highlight w:val="none"/>
        </w:rPr>
      </w:pPr>
    </w:p>
    <w:p w14:paraId="2E75E896">
      <w:pPr>
        <w:snapToGrid w:val="0"/>
        <w:spacing w:line="360" w:lineRule="auto"/>
        <w:ind w:right="480"/>
        <w:jc w:val="center"/>
        <w:rPr>
          <w:rFonts w:ascii="宋体" w:hAnsi="宋体" w:cs="宋体"/>
          <w:b/>
          <w:color w:val="auto"/>
          <w:kern w:val="0"/>
          <w:sz w:val="32"/>
          <w:szCs w:val="32"/>
          <w:highlight w:val="none"/>
        </w:rPr>
      </w:pPr>
    </w:p>
    <w:p w14:paraId="143673F5">
      <w:pPr>
        <w:snapToGrid w:val="0"/>
        <w:spacing w:line="360" w:lineRule="auto"/>
        <w:ind w:right="480"/>
        <w:jc w:val="center"/>
        <w:rPr>
          <w:rFonts w:ascii="宋体" w:hAnsi="宋体" w:cs="宋体"/>
          <w:b/>
          <w:color w:val="auto"/>
          <w:kern w:val="0"/>
          <w:sz w:val="32"/>
          <w:szCs w:val="32"/>
          <w:highlight w:val="none"/>
        </w:rPr>
      </w:pPr>
    </w:p>
    <w:p w14:paraId="79D17F30">
      <w:pPr>
        <w:snapToGrid w:val="0"/>
        <w:spacing w:line="360" w:lineRule="auto"/>
        <w:ind w:right="480"/>
        <w:jc w:val="center"/>
        <w:rPr>
          <w:rFonts w:ascii="宋体" w:hAnsi="宋体" w:cs="宋体"/>
          <w:b/>
          <w:color w:val="auto"/>
          <w:kern w:val="0"/>
          <w:sz w:val="32"/>
          <w:szCs w:val="32"/>
          <w:highlight w:val="none"/>
        </w:rPr>
      </w:pPr>
    </w:p>
    <w:p w14:paraId="74455662">
      <w:pPr>
        <w:snapToGrid w:val="0"/>
        <w:spacing w:line="360" w:lineRule="auto"/>
        <w:ind w:right="480"/>
        <w:jc w:val="center"/>
        <w:rPr>
          <w:rFonts w:ascii="宋体" w:hAnsi="宋体" w:cs="宋体"/>
          <w:b/>
          <w:color w:val="auto"/>
          <w:kern w:val="0"/>
          <w:sz w:val="32"/>
          <w:szCs w:val="32"/>
          <w:highlight w:val="none"/>
        </w:rPr>
      </w:pPr>
    </w:p>
    <w:p w14:paraId="426B3DCB">
      <w:pPr>
        <w:snapToGrid w:val="0"/>
        <w:spacing w:line="360" w:lineRule="auto"/>
        <w:ind w:right="480"/>
        <w:jc w:val="center"/>
        <w:rPr>
          <w:rFonts w:ascii="宋体" w:hAnsi="宋体" w:cs="宋体"/>
          <w:b/>
          <w:color w:val="auto"/>
          <w:kern w:val="0"/>
          <w:sz w:val="32"/>
          <w:szCs w:val="32"/>
          <w:highlight w:val="none"/>
        </w:rPr>
      </w:pPr>
    </w:p>
    <w:p w14:paraId="00DA411B">
      <w:pPr>
        <w:snapToGrid w:val="0"/>
        <w:spacing w:line="360" w:lineRule="auto"/>
        <w:ind w:right="480"/>
        <w:jc w:val="center"/>
        <w:rPr>
          <w:rFonts w:ascii="宋体" w:hAnsi="宋体" w:cs="宋体"/>
          <w:b/>
          <w:color w:val="auto"/>
          <w:kern w:val="0"/>
          <w:sz w:val="32"/>
          <w:szCs w:val="32"/>
          <w:highlight w:val="none"/>
        </w:rPr>
      </w:pPr>
    </w:p>
    <w:p w14:paraId="367A9CD8">
      <w:pPr>
        <w:snapToGrid w:val="0"/>
        <w:spacing w:line="360" w:lineRule="auto"/>
        <w:ind w:right="480"/>
        <w:jc w:val="center"/>
        <w:rPr>
          <w:rFonts w:ascii="宋体" w:hAnsi="宋体" w:cs="宋体"/>
          <w:b/>
          <w:color w:val="auto"/>
          <w:kern w:val="0"/>
          <w:sz w:val="32"/>
          <w:szCs w:val="32"/>
          <w:highlight w:val="none"/>
        </w:rPr>
      </w:pPr>
    </w:p>
    <w:p w14:paraId="5644F649">
      <w:pPr>
        <w:snapToGrid w:val="0"/>
        <w:spacing w:line="360" w:lineRule="auto"/>
        <w:ind w:right="480"/>
        <w:jc w:val="center"/>
        <w:rPr>
          <w:rFonts w:ascii="宋体" w:hAnsi="宋体" w:cs="宋体"/>
          <w:b/>
          <w:color w:val="auto"/>
          <w:kern w:val="0"/>
          <w:sz w:val="32"/>
          <w:szCs w:val="32"/>
          <w:highlight w:val="none"/>
        </w:rPr>
      </w:pPr>
    </w:p>
    <w:p w14:paraId="3D5DDA13">
      <w:pPr>
        <w:snapToGrid w:val="0"/>
        <w:spacing w:line="360" w:lineRule="auto"/>
        <w:ind w:right="480"/>
        <w:jc w:val="center"/>
        <w:rPr>
          <w:rFonts w:ascii="宋体" w:hAnsi="宋体" w:cs="宋体"/>
          <w:b/>
          <w:color w:val="auto"/>
          <w:kern w:val="0"/>
          <w:sz w:val="32"/>
          <w:szCs w:val="32"/>
          <w:highlight w:val="none"/>
        </w:rPr>
      </w:pPr>
    </w:p>
    <w:p w14:paraId="600224B4">
      <w:pPr>
        <w:snapToGrid w:val="0"/>
        <w:spacing w:line="360" w:lineRule="auto"/>
        <w:ind w:right="480"/>
        <w:jc w:val="center"/>
        <w:rPr>
          <w:rFonts w:ascii="宋体" w:hAnsi="宋体" w:cs="宋体"/>
          <w:b/>
          <w:color w:val="auto"/>
          <w:kern w:val="0"/>
          <w:sz w:val="32"/>
          <w:szCs w:val="32"/>
          <w:highlight w:val="none"/>
        </w:rPr>
      </w:pPr>
    </w:p>
    <w:p w14:paraId="7266E8B5">
      <w:pPr>
        <w:snapToGrid w:val="0"/>
        <w:spacing w:line="360" w:lineRule="auto"/>
        <w:ind w:right="480"/>
        <w:jc w:val="center"/>
        <w:rPr>
          <w:rFonts w:ascii="宋体" w:hAnsi="宋体" w:cs="宋体"/>
          <w:b/>
          <w:color w:val="auto"/>
          <w:kern w:val="0"/>
          <w:sz w:val="32"/>
          <w:szCs w:val="32"/>
          <w:highlight w:val="none"/>
        </w:rPr>
      </w:pPr>
    </w:p>
    <w:p w14:paraId="3A1F189E">
      <w:pPr>
        <w:snapToGrid w:val="0"/>
        <w:spacing w:line="360" w:lineRule="auto"/>
        <w:ind w:right="480"/>
        <w:jc w:val="center"/>
        <w:rPr>
          <w:rFonts w:ascii="宋体" w:hAnsi="宋体" w:cs="宋体"/>
          <w:b/>
          <w:color w:val="auto"/>
          <w:kern w:val="0"/>
          <w:sz w:val="32"/>
          <w:szCs w:val="32"/>
          <w:highlight w:val="none"/>
        </w:rPr>
      </w:pPr>
    </w:p>
    <w:p w14:paraId="255F6D75">
      <w:pPr>
        <w:snapToGrid w:val="0"/>
        <w:spacing w:line="360" w:lineRule="auto"/>
        <w:ind w:right="480"/>
        <w:jc w:val="center"/>
        <w:rPr>
          <w:rFonts w:ascii="宋体" w:hAnsi="宋体" w:cs="宋体"/>
          <w:b/>
          <w:color w:val="auto"/>
          <w:kern w:val="0"/>
          <w:sz w:val="32"/>
          <w:szCs w:val="32"/>
          <w:highlight w:val="none"/>
        </w:rPr>
      </w:pPr>
    </w:p>
    <w:p w14:paraId="67D6E025">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D2FF12F">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3DBA3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7001C41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1470DE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328"/>
        <w:gridCol w:w="1474"/>
        <w:gridCol w:w="1721"/>
        <w:gridCol w:w="1380"/>
        <w:gridCol w:w="1245"/>
        <w:gridCol w:w="1290"/>
        <w:gridCol w:w="1360"/>
        <w:gridCol w:w="1820"/>
      </w:tblGrid>
      <w:tr w14:paraId="4D3D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2" w:type="dxa"/>
            <w:vAlign w:val="center"/>
          </w:tcPr>
          <w:p w14:paraId="1DC5DC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28" w:type="dxa"/>
            <w:vAlign w:val="center"/>
          </w:tcPr>
          <w:p w14:paraId="2F5022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474" w:type="dxa"/>
            <w:vAlign w:val="center"/>
          </w:tcPr>
          <w:p w14:paraId="4ED200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721" w:type="dxa"/>
            <w:vAlign w:val="center"/>
          </w:tcPr>
          <w:p w14:paraId="54CCEE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380" w:type="dxa"/>
            <w:vAlign w:val="center"/>
          </w:tcPr>
          <w:p w14:paraId="427658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245" w:type="dxa"/>
            <w:vAlign w:val="center"/>
          </w:tcPr>
          <w:p w14:paraId="5B8153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90" w:type="dxa"/>
            <w:vAlign w:val="center"/>
          </w:tcPr>
          <w:p w14:paraId="7CB9EDF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p w14:paraId="2B9AFCED">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元/月）</w:t>
            </w:r>
          </w:p>
        </w:tc>
        <w:tc>
          <w:tcPr>
            <w:tcW w:w="1360" w:type="dxa"/>
            <w:vAlign w:val="center"/>
          </w:tcPr>
          <w:p w14:paraId="6335887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总价</w:t>
            </w:r>
          </w:p>
          <w:p w14:paraId="7B751E82">
            <w:pPr>
              <w:spacing w:line="360" w:lineRule="auto"/>
              <w:jc w:val="center"/>
              <w:rPr>
                <w:rFonts w:hint="default" w:eastAsia="宋体"/>
                <w:color w:val="auto"/>
                <w:highlight w:val="none"/>
                <w:lang w:val="en-US" w:eastAsia="zh-CN"/>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p>
        </w:tc>
        <w:tc>
          <w:tcPr>
            <w:tcW w:w="1820" w:type="dxa"/>
            <w:vAlign w:val="center"/>
          </w:tcPr>
          <w:p w14:paraId="6C5D9D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1FE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812" w:type="dxa"/>
            <w:vAlign w:val="center"/>
          </w:tcPr>
          <w:p w14:paraId="47732E6F">
            <w:pPr>
              <w:spacing w:line="36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rPr>
              <w:t>1</w:t>
            </w:r>
          </w:p>
        </w:tc>
        <w:tc>
          <w:tcPr>
            <w:tcW w:w="3328" w:type="dxa"/>
            <w:vAlign w:val="center"/>
          </w:tcPr>
          <w:p w14:paraId="4CAC0CE0">
            <w:pPr>
              <w:spacing w:line="240" w:lineRule="auto"/>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rPr>
              <w:t>沪昆铁路杭州南至萧山段抬升改建工程临时交通改造项目</w:t>
            </w:r>
            <w:r>
              <w:rPr>
                <w:rFonts w:hint="eastAsia" w:ascii="宋体" w:hAnsi="宋体" w:cs="宋体"/>
                <w:b/>
                <w:color w:val="auto"/>
                <w:sz w:val="24"/>
                <w:highlight w:val="none"/>
                <w:lang w:val="en-US" w:eastAsia="zh-CN"/>
              </w:rPr>
              <w:t>安保</w:t>
            </w:r>
            <w:r>
              <w:rPr>
                <w:rFonts w:hint="eastAsia" w:ascii="宋体" w:hAnsi="宋体" w:cs="宋体"/>
                <w:b/>
                <w:color w:val="auto"/>
                <w:sz w:val="24"/>
                <w:highlight w:val="none"/>
              </w:rPr>
              <w:t>服务采购</w:t>
            </w:r>
          </w:p>
        </w:tc>
        <w:tc>
          <w:tcPr>
            <w:tcW w:w="1474" w:type="dxa"/>
            <w:vAlign w:val="center"/>
          </w:tcPr>
          <w:p w14:paraId="17CDA2A4">
            <w:pPr>
              <w:snapToGrid w:val="0"/>
              <w:spacing w:line="360" w:lineRule="auto"/>
              <w:jc w:val="center"/>
              <w:rPr>
                <w:rFonts w:ascii="宋体" w:hAnsi="宋体" w:cs="宋体"/>
                <w:color w:val="auto"/>
                <w:sz w:val="24"/>
                <w:highlight w:val="none"/>
              </w:rPr>
            </w:pPr>
          </w:p>
        </w:tc>
        <w:tc>
          <w:tcPr>
            <w:tcW w:w="1721" w:type="dxa"/>
            <w:vAlign w:val="center"/>
          </w:tcPr>
          <w:p w14:paraId="707305C3">
            <w:pPr>
              <w:snapToGrid w:val="0"/>
              <w:spacing w:line="360" w:lineRule="auto"/>
              <w:jc w:val="center"/>
              <w:rPr>
                <w:rFonts w:ascii="宋体" w:hAnsi="宋体" w:cs="宋体"/>
                <w:color w:val="auto"/>
                <w:sz w:val="24"/>
                <w:highlight w:val="none"/>
              </w:rPr>
            </w:pPr>
          </w:p>
        </w:tc>
        <w:tc>
          <w:tcPr>
            <w:tcW w:w="1380" w:type="dxa"/>
            <w:vAlign w:val="center"/>
          </w:tcPr>
          <w:p w14:paraId="290FC582">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2年</w:t>
            </w:r>
          </w:p>
        </w:tc>
        <w:tc>
          <w:tcPr>
            <w:tcW w:w="1245" w:type="dxa"/>
            <w:vAlign w:val="center"/>
          </w:tcPr>
          <w:p w14:paraId="53774109">
            <w:pPr>
              <w:spacing w:line="36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94人</w:t>
            </w:r>
          </w:p>
        </w:tc>
        <w:tc>
          <w:tcPr>
            <w:tcW w:w="1290" w:type="dxa"/>
            <w:vAlign w:val="center"/>
          </w:tcPr>
          <w:p w14:paraId="57262177">
            <w:pPr>
              <w:spacing w:line="360" w:lineRule="auto"/>
              <w:jc w:val="center"/>
              <w:rPr>
                <w:rFonts w:hint="eastAsia" w:ascii="宋体" w:hAnsi="宋体" w:cs="宋体"/>
                <w:b/>
                <w:color w:val="auto"/>
                <w:sz w:val="24"/>
                <w:highlight w:val="none"/>
              </w:rPr>
            </w:pPr>
          </w:p>
        </w:tc>
        <w:tc>
          <w:tcPr>
            <w:tcW w:w="1360" w:type="dxa"/>
            <w:vAlign w:val="center"/>
          </w:tcPr>
          <w:p w14:paraId="5EF906F2">
            <w:pPr>
              <w:spacing w:line="360" w:lineRule="auto"/>
              <w:jc w:val="center"/>
              <w:rPr>
                <w:rFonts w:ascii="宋体" w:hAnsi="宋体" w:cs="宋体"/>
                <w:color w:val="auto"/>
                <w:sz w:val="24"/>
                <w:highlight w:val="none"/>
              </w:rPr>
            </w:pPr>
          </w:p>
        </w:tc>
        <w:tc>
          <w:tcPr>
            <w:tcW w:w="1820" w:type="dxa"/>
            <w:vAlign w:val="center"/>
          </w:tcPr>
          <w:p w14:paraId="05B8F350">
            <w:pPr>
              <w:spacing w:line="360" w:lineRule="auto"/>
              <w:jc w:val="center"/>
              <w:rPr>
                <w:rFonts w:ascii="宋体" w:hAnsi="宋体" w:cs="宋体"/>
                <w:color w:val="auto"/>
                <w:sz w:val="24"/>
                <w:highlight w:val="none"/>
              </w:rPr>
            </w:pPr>
          </w:p>
        </w:tc>
      </w:tr>
      <w:tr w14:paraId="310C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2" w:type="dxa"/>
            <w:vAlign w:val="center"/>
          </w:tcPr>
          <w:p w14:paraId="19CC78AC">
            <w:pPr>
              <w:jc w:val="center"/>
              <w:rPr>
                <w:rFonts w:hint="eastAsia"/>
                <w:color w:val="auto"/>
                <w:highlight w:val="none"/>
                <w:lang w:val="en-US" w:eastAsia="zh-CN"/>
              </w:rPr>
            </w:pPr>
          </w:p>
        </w:tc>
        <w:tc>
          <w:tcPr>
            <w:tcW w:w="3328" w:type="dxa"/>
            <w:vAlign w:val="center"/>
          </w:tcPr>
          <w:p w14:paraId="515316EC">
            <w:pPr>
              <w:jc w:val="center"/>
              <w:rPr>
                <w:color w:val="auto"/>
                <w:highlight w:val="none"/>
                <w:lang w:val="en-US" w:eastAsia="zh-CN"/>
              </w:rPr>
            </w:pPr>
            <w:r>
              <w:rPr>
                <w:rFonts w:hint="eastAsia"/>
                <w:color w:val="auto"/>
                <w:highlight w:val="none"/>
                <w:lang w:val="en-US" w:eastAsia="zh-CN"/>
              </w:rPr>
              <w:t>……</w:t>
            </w:r>
          </w:p>
        </w:tc>
        <w:tc>
          <w:tcPr>
            <w:tcW w:w="1474" w:type="dxa"/>
            <w:vAlign w:val="center"/>
          </w:tcPr>
          <w:p w14:paraId="1E716BFA">
            <w:pPr>
              <w:snapToGrid w:val="0"/>
              <w:spacing w:line="360" w:lineRule="auto"/>
              <w:jc w:val="center"/>
              <w:rPr>
                <w:rFonts w:ascii="宋体" w:hAnsi="宋体" w:cs="宋体"/>
                <w:color w:val="auto"/>
                <w:sz w:val="24"/>
                <w:highlight w:val="none"/>
              </w:rPr>
            </w:pPr>
          </w:p>
        </w:tc>
        <w:tc>
          <w:tcPr>
            <w:tcW w:w="1721" w:type="dxa"/>
            <w:vAlign w:val="center"/>
          </w:tcPr>
          <w:p w14:paraId="3E2ED276">
            <w:pPr>
              <w:snapToGrid w:val="0"/>
              <w:spacing w:line="360" w:lineRule="auto"/>
              <w:jc w:val="center"/>
              <w:rPr>
                <w:rFonts w:ascii="宋体" w:hAnsi="宋体" w:cs="宋体"/>
                <w:color w:val="auto"/>
                <w:sz w:val="24"/>
                <w:highlight w:val="none"/>
              </w:rPr>
            </w:pPr>
          </w:p>
        </w:tc>
        <w:tc>
          <w:tcPr>
            <w:tcW w:w="1380" w:type="dxa"/>
            <w:vAlign w:val="center"/>
          </w:tcPr>
          <w:p w14:paraId="6F4F9E41">
            <w:pPr>
              <w:spacing w:line="360" w:lineRule="auto"/>
              <w:jc w:val="center"/>
              <w:rPr>
                <w:rFonts w:ascii="宋体" w:hAnsi="宋体" w:cs="宋体"/>
                <w:color w:val="auto"/>
                <w:sz w:val="24"/>
                <w:highlight w:val="none"/>
              </w:rPr>
            </w:pPr>
          </w:p>
        </w:tc>
        <w:tc>
          <w:tcPr>
            <w:tcW w:w="1245" w:type="dxa"/>
            <w:vAlign w:val="center"/>
          </w:tcPr>
          <w:p w14:paraId="4332171D">
            <w:pPr>
              <w:spacing w:line="360" w:lineRule="auto"/>
              <w:jc w:val="center"/>
              <w:rPr>
                <w:rFonts w:ascii="宋体" w:hAnsi="宋体" w:cs="宋体"/>
                <w:color w:val="auto"/>
                <w:sz w:val="24"/>
                <w:highlight w:val="none"/>
              </w:rPr>
            </w:pPr>
          </w:p>
        </w:tc>
        <w:tc>
          <w:tcPr>
            <w:tcW w:w="1290" w:type="dxa"/>
            <w:vAlign w:val="center"/>
          </w:tcPr>
          <w:p w14:paraId="3CA473C4">
            <w:pPr>
              <w:spacing w:line="360" w:lineRule="auto"/>
              <w:jc w:val="center"/>
              <w:rPr>
                <w:rFonts w:ascii="宋体" w:hAnsi="宋体" w:cs="宋体"/>
                <w:color w:val="auto"/>
                <w:sz w:val="24"/>
                <w:highlight w:val="none"/>
              </w:rPr>
            </w:pPr>
          </w:p>
        </w:tc>
        <w:tc>
          <w:tcPr>
            <w:tcW w:w="1360" w:type="dxa"/>
            <w:vAlign w:val="center"/>
          </w:tcPr>
          <w:p w14:paraId="1F3747B1">
            <w:pPr>
              <w:spacing w:line="360" w:lineRule="auto"/>
              <w:jc w:val="center"/>
              <w:rPr>
                <w:rFonts w:ascii="宋体" w:hAnsi="宋体" w:cs="宋体"/>
                <w:color w:val="auto"/>
                <w:sz w:val="24"/>
                <w:highlight w:val="none"/>
              </w:rPr>
            </w:pPr>
          </w:p>
        </w:tc>
        <w:tc>
          <w:tcPr>
            <w:tcW w:w="1820" w:type="dxa"/>
            <w:vAlign w:val="center"/>
          </w:tcPr>
          <w:p w14:paraId="1FA21FF8">
            <w:pPr>
              <w:spacing w:line="360" w:lineRule="auto"/>
              <w:jc w:val="center"/>
              <w:rPr>
                <w:rFonts w:ascii="宋体" w:hAnsi="宋体" w:cs="宋体"/>
                <w:color w:val="auto"/>
                <w:sz w:val="24"/>
                <w:highlight w:val="none"/>
              </w:rPr>
            </w:pPr>
          </w:p>
        </w:tc>
      </w:tr>
      <w:tr w14:paraId="5E68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2" w:type="dxa"/>
            <w:vAlign w:val="center"/>
          </w:tcPr>
          <w:p w14:paraId="3E808E63">
            <w:pPr>
              <w:spacing w:line="360" w:lineRule="auto"/>
              <w:jc w:val="center"/>
              <w:rPr>
                <w:rFonts w:ascii="宋体" w:hAnsi="宋体" w:cs="宋体"/>
                <w:color w:val="auto"/>
                <w:sz w:val="24"/>
                <w:highlight w:val="none"/>
              </w:rPr>
            </w:pPr>
          </w:p>
        </w:tc>
        <w:tc>
          <w:tcPr>
            <w:tcW w:w="3328" w:type="dxa"/>
            <w:vAlign w:val="center"/>
          </w:tcPr>
          <w:p w14:paraId="7A41AB73">
            <w:pPr>
              <w:snapToGrid w:val="0"/>
              <w:spacing w:line="360" w:lineRule="auto"/>
              <w:jc w:val="center"/>
              <w:rPr>
                <w:rFonts w:ascii="宋体" w:hAnsi="宋体" w:cs="宋体"/>
                <w:color w:val="auto"/>
                <w:sz w:val="24"/>
                <w:highlight w:val="none"/>
              </w:rPr>
            </w:pPr>
          </w:p>
        </w:tc>
        <w:tc>
          <w:tcPr>
            <w:tcW w:w="1474" w:type="dxa"/>
            <w:vAlign w:val="center"/>
          </w:tcPr>
          <w:p w14:paraId="13113EA3">
            <w:pPr>
              <w:snapToGrid w:val="0"/>
              <w:spacing w:line="360" w:lineRule="auto"/>
              <w:jc w:val="center"/>
              <w:rPr>
                <w:rFonts w:ascii="宋体" w:hAnsi="宋体" w:cs="宋体"/>
                <w:color w:val="auto"/>
                <w:sz w:val="24"/>
                <w:highlight w:val="none"/>
              </w:rPr>
            </w:pPr>
          </w:p>
        </w:tc>
        <w:tc>
          <w:tcPr>
            <w:tcW w:w="1721" w:type="dxa"/>
            <w:vAlign w:val="center"/>
          </w:tcPr>
          <w:p w14:paraId="3DC6F8AA">
            <w:pPr>
              <w:snapToGrid w:val="0"/>
              <w:spacing w:line="360" w:lineRule="auto"/>
              <w:jc w:val="center"/>
              <w:rPr>
                <w:rFonts w:ascii="宋体" w:hAnsi="宋体" w:cs="宋体"/>
                <w:color w:val="auto"/>
                <w:sz w:val="24"/>
                <w:highlight w:val="none"/>
              </w:rPr>
            </w:pPr>
          </w:p>
        </w:tc>
        <w:tc>
          <w:tcPr>
            <w:tcW w:w="1380" w:type="dxa"/>
            <w:vAlign w:val="center"/>
          </w:tcPr>
          <w:p w14:paraId="74FA6083">
            <w:pPr>
              <w:spacing w:line="360" w:lineRule="auto"/>
              <w:jc w:val="center"/>
              <w:rPr>
                <w:rFonts w:ascii="宋体" w:hAnsi="宋体" w:cs="宋体"/>
                <w:color w:val="auto"/>
                <w:sz w:val="24"/>
                <w:highlight w:val="none"/>
              </w:rPr>
            </w:pPr>
          </w:p>
        </w:tc>
        <w:tc>
          <w:tcPr>
            <w:tcW w:w="1245" w:type="dxa"/>
            <w:vAlign w:val="center"/>
          </w:tcPr>
          <w:p w14:paraId="575F99D3">
            <w:pPr>
              <w:spacing w:line="360" w:lineRule="auto"/>
              <w:jc w:val="center"/>
              <w:rPr>
                <w:rFonts w:ascii="宋体" w:hAnsi="宋体" w:cs="宋体"/>
                <w:color w:val="auto"/>
                <w:sz w:val="24"/>
                <w:highlight w:val="none"/>
              </w:rPr>
            </w:pPr>
          </w:p>
        </w:tc>
        <w:tc>
          <w:tcPr>
            <w:tcW w:w="1290" w:type="dxa"/>
            <w:vAlign w:val="center"/>
          </w:tcPr>
          <w:p w14:paraId="54EA62AC">
            <w:pPr>
              <w:spacing w:line="360" w:lineRule="auto"/>
              <w:jc w:val="center"/>
              <w:rPr>
                <w:rFonts w:ascii="宋体" w:hAnsi="宋体" w:cs="宋体"/>
                <w:color w:val="auto"/>
                <w:sz w:val="24"/>
                <w:highlight w:val="none"/>
              </w:rPr>
            </w:pPr>
          </w:p>
        </w:tc>
        <w:tc>
          <w:tcPr>
            <w:tcW w:w="1360" w:type="dxa"/>
            <w:vAlign w:val="center"/>
          </w:tcPr>
          <w:p w14:paraId="3CFF9C52">
            <w:pPr>
              <w:spacing w:line="360" w:lineRule="auto"/>
              <w:jc w:val="center"/>
              <w:rPr>
                <w:rFonts w:ascii="宋体" w:hAnsi="宋体" w:cs="宋体"/>
                <w:color w:val="auto"/>
                <w:sz w:val="24"/>
                <w:highlight w:val="none"/>
              </w:rPr>
            </w:pPr>
          </w:p>
        </w:tc>
        <w:tc>
          <w:tcPr>
            <w:tcW w:w="1820" w:type="dxa"/>
            <w:vAlign w:val="center"/>
          </w:tcPr>
          <w:p w14:paraId="5CE35D61">
            <w:pPr>
              <w:spacing w:line="360" w:lineRule="auto"/>
              <w:jc w:val="center"/>
              <w:rPr>
                <w:rFonts w:ascii="宋体" w:hAnsi="宋体" w:cs="宋体"/>
                <w:color w:val="auto"/>
                <w:sz w:val="24"/>
                <w:highlight w:val="none"/>
              </w:rPr>
            </w:pPr>
          </w:p>
        </w:tc>
      </w:tr>
      <w:tr w14:paraId="14BE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14" w:type="dxa"/>
            <w:gridSpan w:val="3"/>
            <w:vAlign w:val="center"/>
          </w:tcPr>
          <w:p w14:paraId="2BA12C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816" w:type="dxa"/>
            <w:gridSpan w:val="6"/>
            <w:vAlign w:val="center"/>
          </w:tcPr>
          <w:p w14:paraId="46260E81">
            <w:pPr>
              <w:spacing w:line="360" w:lineRule="auto"/>
              <w:jc w:val="center"/>
              <w:rPr>
                <w:rFonts w:ascii="宋体" w:hAnsi="宋体" w:cs="宋体"/>
                <w:color w:val="auto"/>
                <w:sz w:val="24"/>
                <w:highlight w:val="none"/>
              </w:rPr>
            </w:pPr>
          </w:p>
        </w:tc>
      </w:tr>
      <w:tr w14:paraId="0BA8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614" w:type="dxa"/>
            <w:gridSpan w:val="3"/>
            <w:vAlign w:val="center"/>
          </w:tcPr>
          <w:p w14:paraId="351A9F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816" w:type="dxa"/>
            <w:gridSpan w:val="6"/>
            <w:vAlign w:val="center"/>
          </w:tcPr>
          <w:p w14:paraId="3D6043F1">
            <w:pPr>
              <w:spacing w:line="360" w:lineRule="auto"/>
              <w:jc w:val="center"/>
              <w:rPr>
                <w:rFonts w:ascii="宋体" w:hAnsi="宋体" w:cs="宋体"/>
                <w:color w:val="auto"/>
                <w:sz w:val="24"/>
                <w:highlight w:val="none"/>
              </w:rPr>
            </w:pPr>
          </w:p>
        </w:tc>
      </w:tr>
    </w:tbl>
    <w:p w14:paraId="7C195C0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5C9884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2FB457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D80E56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3、特别提示：采购代理机构将对项目名称和项目编号，中标供应商名称、地址和中标金额，主要中标标的名称、服务范围、服务要求、服务时间等予以公示。</w:t>
      </w:r>
    </w:p>
    <w:p w14:paraId="646AEC51">
      <w:pPr>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0C83B02">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537F66D6">
      <w:pPr>
        <w:snapToGrid w:val="0"/>
        <w:spacing w:line="360" w:lineRule="auto"/>
        <w:ind w:firstLine="480" w:firstLineChars="200"/>
        <w:jc w:val="left"/>
        <w:rPr>
          <w:rFonts w:ascii="宋体" w:hAnsi="宋体" w:cs="宋体"/>
          <w:color w:val="auto"/>
          <w:kern w:val="0"/>
          <w:sz w:val="24"/>
          <w:highlight w:val="none"/>
          <w:lang w:val="zh-CN"/>
        </w:rPr>
      </w:pPr>
    </w:p>
    <w:p w14:paraId="6CF69B2F">
      <w:pPr>
        <w:spacing w:line="360" w:lineRule="auto"/>
        <w:ind w:firstLine="482" w:firstLineChars="200"/>
        <w:rPr>
          <w:rFonts w:ascii="宋体" w:hAnsi="宋体" w:cs="宋体"/>
          <w:b/>
          <w:color w:val="auto"/>
          <w:kern w:val="0"/>
          <w:sz w:val="24"/>
          <w:highlight w:val="none"/>
        </w:rPr>
      </w:pPr>
    </w:p>
    <w:p w14:paraId="6A5C54B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57007EE">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1697ABD">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19" w:name="_Hlk101259491"/>
      <w:r>
        <w:rPr>
          <w:rFonts w:hint="eastAsia" w:ascii="宋体" w:hAnsi="宋体" w:eastAsia="宋体" w:cs="宋体"/>
          <w:color w:val="auto"/>
          <w:sz w:val="32"/>
          <w:szCs w:val="32"/>
          <w:highlight w:val="none"/>
        </w:rPr>
        <w:t>（如果有）</w:t>
      </w:r>
      <w:bookmarkEnd w:id="519"/>
    </w:p>
    <w:p w14:paraId="72994346">
      <w:pPr>
        <w:snapToGrid w:val="0"/>
        <w:spacing w:line="360" w:lineRule="auto"/>
        <w:ind w:firstLine="482" w:firstLineChars="200"/>
        <w:jc w:val="left"/>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val="zh-CN"/>
        </w:rPr>
        <w:t>）。]</w:t>
      </w:r>
    </w:p>
    <w:p w14:paraId="3B69C326">
      <w:pPr>
        <w:rPr>
          <w:rFonts w:hint="eastAsia" w:ascii="宋体" w:hAnsi="宋体" w:cs="宋体"/>
          <w:b/>
          <w:color w:val="auto"/>
          <w:spacing w:val="6"/>
          <w:sz w:val="44"/>
          <w:szCs w:val="44"/>
          <w:highlight w:val="none"/>
        </w:rPr>
      </w:pPr>
    </w:p>
    <w:p w14:paraId="4B2D6CFA">
      <w:pPr>
        <w:rPr>
          <w:rFonts w:hint="eastAsia" w:ascii="宋体" w:hAnsi="宋体" w:cs="宋体"/>
          <w:b/>
          <w:color w:val="auto"/>
          <w:spacing w:val="6"/>
          <w:sz w:val="44"/>
          <w:szCs w:val="44"/>
          <w:highlight w:val="none"/>
        </w:rPr>
      </w:pPr>
      <w:r>
        <w:rPr>
          <w:rFonts w:hint="eastAsia" w:ascii="宋体" w:hAnsi="宋体" w:cs="宋体"/>
          <w:b/>
          <w:color w:val="auto"/>
          <w:spacing w:val="6"/>
          <w:sz w:val="44"/>
          <w:szCs w:val="44"/>
          <w:highlight w:val="none"/>
        </w:rPr>
        <w:br w:type="page"/>
      </w:r>
    </w:p>
    <w:p w14:paraId="1568DBC3">
      <w:pPr>
        <w:spacing w:line="360" w:lineRule="auto"/>
        <w:jc w:val="left"/>
        <w:rPr>
          <w:rFonts w:hint="eastAsia" w:ascii="宋体" w:hAnsi="宋体" w:cs="宋体"/>
          <w:b/>
          <w:color w:val="auto"/>
          <w:spacing w:val="6"/>
          <w:sz w:val="44"/>
          <w:szCs w:val="44"/>
          <w:highlight w:val="none"/>
        </w:rPr>
      </w:pPr>
      <w:r>
        <w:rPr>
          <w:rFonts w:hint="eastAsia" w:ascii="宋体" w:hAnsi="宋体" w:cs="宋体"/>
          <w:b/>
          <w:color w:val="auto"/>
          <w:spacing w:val="6"/>
          <w:sz w:val="44"/>
          <w:szCs w:val="44"/>
          <w:highlight w:val="none"/>
        </w:rPr>
        <w:t>附 件</w:t>
      </w:r>
    </w:p>
    <w:p w14:paraId="17C404FD">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1E229B6E">
      <w:pPr>
        <w:spacing w:line="360" w:lineRule="auto"/>
        <w:jc w:val="center"/>
        <w:rPr>
          <w:rFonts w:hint="eastAsia" w:ascii="宋体" w:hAnsi="宋体" w:eastAsia="宋体" w:cs="宋体"/>
          <w:b/>
          <w:color w:val="auto"/>
          <w:spacing w:val="6"/>
          <w:sz w:val="32"/>
          <w:szCs w:val="32"/>
          <w:highlight w:val="none"/>
        </w:rPr>
      </w:pPr>
      <w:bookmarkStart w:id="520" w:name="OLE_LINK14"/>
      <w:bookmarkStart w:id="521" w:name="OLE_LINK13"/>
      <w:r>
        <w:rPr>
          <w:rFonts w:hint="eastAsia" w:ascii="宋体" w:hAnsi="宋体" w:eastAsia="宋体" w:cs="宋体"/>
          <w:b/>
          <w:color w:val="auto"/>
          <w:spacing w:val="6"/>
          <w:sz w:val="32"/>
          <w:szCs w:val="32"/>
          <w:highlight w:val="none"/>
        </w:rPr>
        <w:t>残疾人福利性单位声明函</w:t>
      </w:r>
    </w:p>
    <w:bookmarkEnd w:id="520"/>
    <w:bookmarkEnd w:id="521"/>
    <w:p w14:paraId="3DF1EFDD">
      <w:pPr>
        <w:spacing w:line="360" w:lineRule="auto"/>
        <w:rPr>
          <w:rFonts w:hint="eastAsia" w:ascii="宋体" w:hAnsi="宋体" w:eastAsia="宋体" w:cs="宋体"/>
          <w:b/>
          <w:color w:val="auto"/>
          <w:spacing w:val="6"/>
          <w:sz w:val="30"/>
          <w:szCs w:val="30"/>
          <w:highlight w:val="none"/>
        </w:rPr>
      </w:pPr>
    </w:p>
    <w:p w14:paraId="4861B0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w:t>
      </w:r>
      <w:r>
        <w:rPr>
          <w:rFonts w:hint="eastAsia" w:ascii="宋体" w:hAnsi="宋体" w:eastAsia="宋体" w:cs="宋体"/>
          <w:color w:val="auto"/>
          <w:sz w:val="24"/>
          <w:highlight w:val="none"/>
        </w:rPr>
        <w:t>位参加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w:t>
      </w:r>
      <w:r>
        <w:rPr>
          <w:rFonts w:hint="eastAsia" w:ascii="宋体" w:hAnsi="宋体" w:eastAsia="宋体" w:cs="宋体"/>
          <w:color w:val="auto"/>
          <w:sz w:val="24"/>
          <w:highlight w:val="none"/>
        </w:rPr>
        <w:t>购活动提供本单位制造的货物（由本单位承担工程/提供服务），或者提供其他残疾人福利性单位制造的货物（不包括使用非残疾人福利性单位注册商标的货物）。</w:t>
      </w:r>
    </w:p>
    <w:p w14:paraId="388E23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A60D50E">
      <w:pPr>
        <w:spacing w:line="360" w:lineRule="auto"/>
        <w:ind w:firstLine="480" w:firstLineChars="200"/>
        <w:rPr>
          <w:rFonts w:hint="eastAsia" w:ascii="宋体" w:hAnsi="宋体" w:eastAsia="宋体" w:cs="宋体"/>
          <w:color w:val="auto"/>
          <w:sz w:val="24"/>
          <w:highlight w:val="none"/>
        </w:rPr>
      </w:pPr>
    </w:p>
    <w:p w14:paraId="767E70F6">
      <w:pPr>
        <w:spacing w:line="360" w:lineRule="auto"/>
        <w:ind w:firstLine="480" w:firstLineChars="200"/>
        <w:rPr>
          <w:rFonts w:hint="eastAsia" w:ascii="宋体" w:hAnsi="宋体" w:eastAsia="宋体" w:cs="宋体"/>
          <w:color w:val="auto"/>
          <w:sz w:val="24"/>
          <w:highlight w:val="none"/>
        </w:rPr>
      </w:pPr>
    </w:p>
    <w:p w14:paraId="5C86A395">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016BF88E">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648409A">
      <w:pPr>
        <w:rPr>
          <w:rFonts w:hint="eastAsia" w:ascii="宋体" w:hAnsi="宋体" w:cs="宋体"/>
          <w:b/>
          <w:color w:val="auto"/>
          <w:spacing w:val="6"/>
          <w:sz w:val="44"/>
          <w:szCs w:val="44"/>
          <w:highlight w:val="none"/>
        </w:rPr>
      </w:pPr>
    </w:p>
    <w:p w14:paraId="5D762656">
      <w:pPr>
        <w:pStyle w:val="4"/>
        <w:rPr>
          <w:color w:val="auto"/>
          <w:highlight w:val="none"/>
        </w:rPr>
      </w:pPr>
    </w:p>
    <w:p w14:paraId="3F41DEE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5ADF2A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7E1DAE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CCE036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EE14A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C730D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5BED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4272E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1371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B702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4CD474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59EDD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A2228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280676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BE95A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9778FA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7C70D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C69E8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8B01BF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BEEE5E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D624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B6F90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2E7D8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423DFE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C29E0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00D70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4C292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0B722D">
      <w:pPr>
        <w:spacing w:line="360" w:lineRule="auto"/>
        <w:jc w:val="center"/>
        <w:rPr>
          <w:rFonts w:ascii="宋体" w:hAnsi="宋体" w:cs="宋体"/>
          <w:b/>
          <w:bCs/>
          <w:color w:val="auto"/>
          <w:sz w:val="24"/>
          <w:highlight w:val="none"/>
        </w:rPr>
      </w:pPr>
    </w:p>
    <w:p w14:paraId="3E757CF8">
      <w:pPr>
        <w:spacing w:line="360" w:lineRule="auto"/>
        <w:rPr>
          <w:rFonts w:ascii="宋体" w:hAnsi="宋体" w:cs="宋体"/>
          <w:b/>
          <w:color w:val="auto"/>
          <w:sz w:val="24"/>
          <w:highlight w:val="none"/>
        </w:rPr>
      </w:pPr>
    </w:p>
    <w:p w14:paraId="70E8334F">
      <w:pPr>
        <w:spacing w:line="360" w:lineRule="auto"/>
        <w:rPr>
          <w:rFonts w:ascii="宋体" w:hAnsi="宋体" w:cs="宋体"/>
          <w:b/>
          <w:color w:val="auto"/>
          <w:sz w:val="24"/>
          <w:highlight w:val="none"/>
        </w:rPr>
      </w:pPr>
    </w:p>
    <w:p w14:paraId="3074507A">
      <w:pPr>
        <w:spacing w:line="360" w:lineRule="auto"/>
        <w:rPr>
          <w:rFonts w:ascii="宋体" w:hAnsi="宋体" w:cs="宋体"/>
          <w:b/>
          <w:color w:val="auto"/>
          <w:sz w:val="24"/>
          <w:highlight w:val="none"/>
        </w:rPr>
      </w:pPr>
    </w:p>
    <w:p w14:paraId="5998CD9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557A8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00A15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E6021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E8F90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C81B4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17683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CFE3C6C">
      <w:pPr>
        <w:widowControl/>
        <w:spacing w:line="360" w:lineRule="auto"/>
        <w:ind w:firstLine="600" w:firstLineChars="200"/>
        <w:jc w:val="left"/>
        <w:rPr>
          <w:rFonts w:ascii="宋体" w:hAnsi="宋体" w:cs="宋体"/>
          <w:color w:val="auto"/>
          <w:sz w:val="30"/>
          <w:szCs w:val="30"/>
          <w:highlight w:val="none"/>
        </w:rPr>
      </w:pPr>
    </w:p>
    <w:p w14:paraId="7CCC9302">
      <w:pPr>
        <w:spacing w:line="360" w:lineRule="auto"/>
        <w:jc w:val="center"/>
        <w:rPr>
          <w:rFonts w:ascii="宋体" w:hAnsi="宋体" w:cs="宋体"/>
          <w:b/>
          <w:color w:val="auto"/>
          <w:spacing w:val="6"/>
          <w:sz w:val="32"/>
          <w:szCs w:val="32"/>
          <w:highlight w:val="none"/>
        </w:rPr>
      </w:pPr>
    </w:p>
    <w:p w14:paraId="5EC29E74">
      <w:pPr>
        <w:spacing w:line="360" w:lineRule="auto"/>
        <w:jc w:val="center"/>
        <w:rPr>
          <w:rFonts w:ascii="宋体" w:hAnsi="宋体" w:cs="宋体"/>
          <w:b/>
          <w:color w:val="auto"/>
          <w:spacing w:val="6"/>
          <w:sz w:val="32"/>
          <w:szCs w:val="32"/>
          <w:highlight w:val="none"/>
        </w:rPr>
      </w:pPr>
    </w:p>
    <w:p w14:paraId="2B172C00">
      <w:pPr>
        <w:spacing w:line="360" w:lineRule="auto"/>
        <w:jc w:val="center"/>
        <w:rPr>
          <w:rFonts w:ascii="宋体" w:hAnsi="宋体" w:cs="宋体"/>
          <w:b/>
          <w:color w:val="auto"/>
          <w:spacing w:val="6"/>
          <w:sz w:val="32"/>
          <w:szCs w:val="32"/>
          <w:highlight w:val="none"/>
        </w:rPr>
      </w:pPr>
    </w:p>
    <w:p w14:paraId="18838420">
      <w:pPr>
        <w:spacing w:line="360" w:lineRule="auto"/>
        <w:jc w:val="center"/>
        <w:rPr>
          <w:rFonts w:ascii="宋体" w:hAnsi="宋体" w:cs="宋体"/>
          <w:b/>
          <w:color w:val="auto"/>
          <w:spacing w:val="6"/>
          <w:sz w:val="32"/>
          <w:szCs w:val="32"/>
          <w:highlight w:val="none"/>
        </w:rPr>
      </w:pPr>
    </w:p>
    <w:p w14:paraId="0D759AD1">
      <w:pPr>
        <w:spacing w:line="360" w:lineRule="auto"/>
        <w:jc w:val="center"/>
        <w:rPr>
          <w:rFonts w:ascii="宋体" w:hAnsi="宋体" w:cs="宋体"/>
          <w:b/>
          <w:color w:val="auto"/>
          <w:spacing w:val="6"/>
          <w:sz w:val="32"/>
          <w:szCs w:val="32"/>
          <w:highlight w:val="none"/>
        </w:rPr>
      </w:pPr>
    </w:p>
    <w:p w14:paraId="4B4B4B59">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3D1B93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7487ADBA">
      <w:pPr>
        <w:spacing w:line="360" w:lineRule="auto"/>
        <w:jc w:val="center"/>
        <w:rPr>
          <w:rFonts w:ascii="宋体" w:hAnsi="宋体" w:cs="宋体"/>
          <w:b/>
          <w:color w:val="auto"/>
          <w:sz w:val="24"/>
          <w:highlight w:val="none"/>
        </w:rPr>
      </w:pPr>
    </w:p>
    <w:p w14:paraId="381A1F4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BECA47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19D251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F2EC2A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30E12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8EB3C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BF80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31B85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A8FBB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B0AB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29E4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61600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E52D5F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06DC3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5686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4EE9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592BD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91E0B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48526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8D82C2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36A6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25145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9CD74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5F462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1B662C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3FA52B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48653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1469C1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3965D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8F60F2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E2FAD1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FE88A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7188D6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B19B0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67606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63C43C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D88B27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3E11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20870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6836D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154117">
      <w:pPr>
        <w:spacing w:line="360" w:lineRule="auto"/>
        <w:rPr>
          <w:rFonts w:ascii="宋体" w:hAnsi="宋体" w:cs="宋体"/>
          <w:b/>
          <w:color w:val="auto"/>
          <w:sz w:val="24"/>
          <w:highlight w:val="none"/>
        </w:rPr>
      </w:pPr>
    </w:p>
    <w:p w14:paraId="2B459197">
      <w:pPr>
        <w:spacing w:line="360" w:lineRule="auto"/>
        <w:rPr>
          <w:rFonts w:ascii="宋体" w:hAnsi="宋体" w:cs="宋体"/>
          <w:b/>
          <w:color w:val="auto"/>
          <w:sz w:val="24"/>
          <w:highlight w:val="none"/>
        </w:rPr>
      </w:pPr>
    </w:p>
    <w:p w14:paraId="0429A4D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B13015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BA2902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D9C28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D854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D3BDB5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E186B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DB2029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C38B15C">
      <w:pPr>
        <w:spacing w:line="360" w:lineRule="auto"/>
        <w:rPr>
          <w:rFonts w:ascii="宋体" w:hAnsi="宋体" w:cs="宋体"/>
          <w:b/>
          <w:color w:val="auto"/>
          <w:sz w:val="24"/>
          <w:highlight w:val="none"/>
        </w:rPr>
      </w:pPr>
    </w:p>
    <w:p w14:paraId="7122E6B6">
      <w:pPr>
        <w:autoSpaceDE w:val="0"/>
        <w:autoSpaceDN w:val="0"/>
        <w:jc w:val="center"/>
        <w:rPr>
          <w:rFonts w:ascii="宋体" w:hAnsi="宋体" w:cs="宋体"/>
          <w:b/>
          <w:color w:val="auto"/>
          <w:spacing w:val="6"/>
          <w:sz w:val="32"/>
          <w:szCs w:val="32"/>
          <w:highlight w:val="none"/>
        </w:rPr>
      </w:pPr>
    </w:p>
    <w:p w14:paraId="45391682">
      <w:pPr>
        <w:autoSpaceDE w:val="0"/>
        <w:autoSpaceDN w:val="0"/>
        <w:jc w:val="center"/>
        <w:rPr>
          <w:rFonts w:ascii="宋体" w:hAnsi="宋体" w:cs="宋体"/>
          <w:b/>
          <w:color w:val="auto"/>
          <w:spacing w:val="6"/>
          <w:sz w:val="32"/>
          <w:szCs w:val="32"/>
          <w:highlight w:val="none"/>
        </w:rPr>
      </w:pPr>
    </w:p>
    <w:p w14:paraId="7DA86753">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98F47A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1A7EAA75">
      <w:pPr>
        <w:spacing w:line="360" w:lineRule="auto"/>
        <w:rPr>
          <w:rFonts w:ascii="宋体" w:hAnsi="宋体" w:cs="宋体"/>
          <w:color w:val="auto"/>
          <w:sz w:val="24"/>
          <w:highlight w:val="none"/>
          <w:u w:val="single"/>
        </w:rPr>
      </w:pPr>
    </w:p>
    <w:p w14:paraId="4CC8682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46485D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ABCD8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A15F50E">
      <w:pPr>
        <w:spacing w:line="360" w:lineRule="auto"/>
        <w:ind w:firstLine="494"/>
        <w:rPr>
          <w:rFonts w:ascii="宋体" w:hAnsi="宋体" w:cs="宋体"/>
          <w:color w:val="auto"/>
          <w:sz w:val="24"/>
          <w:highlight w:val="none"/>
        </w:rPr>
      </w:pPr>
    </w:p>
    <w:p w14:paraId="40BE06C1">
      <w:pPr>
        <w:spacing w:line="360" w:lineRule="auto"/>
        <w:ind w:firstLine="494"/>
        <w:rPr>
          <w:rFonts w:ascii="宋体" w:hAnsi="宋体" w:cs="宋体"/>
          <w:color w:val="auto"/>
          <w:sz w:val="24"/>
          <w:highlight w:val="none"/>
        </w:rPr>
      </w:pPr>
    </w:p>
    <w:p w14:paraId="4936028C">
      <w:pPr>
        <w:spacing w:line="360" w:lineRule="auto"/>
        <w:ind w:firstLine="494"/>
        <w:rPr>
          <w:rFonts w:ascii="宋体" w:hAnsi="宋体" w:cs="宋体"/>
          <w:color w:val="auto"/>
          <w:sz w:val="24"/>
          <w:highlight w:val="none"/>
        </w:rPr>
      </w:pPr>
    </w:p>
    <w:p w14:paraId="49FFD754">
      <w:pPr>
        <w:spacing w:line="360" w:lineRule="auto"/>
        <w:ind w:firstLine="494"/>
        <w:rPr>
          <w:rFonts w:ascii="宋体" w:hAnsi="宋体" w:cs="宋体"/>
          <w:color w:val="auto"/>
          <w:sz w:val="24"/>
          <w:highlight w:val="none"/>
        </w:rPr>
      </w:pPr>
    </w:p>
    <w:p w14:paraId="78546B3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9605D1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EAB6202">
      <w:pPr>
        <w:rPr>
          <w:rFonts w:ascii="宋体" w:hAnsi="宋体" w:cs="宋体"/>
          <w:color w:val="auto"/>
          <w:sz w:val="24"/>
          <w:highlight w:val="none"/>
        </w:rPr>
      </w:pPr>
      <w:r>
        <w:rPr>
          <w:rFonts w:hint="eastAsia" w:ascii="宋体" w:hAnsi="宋体" w:cs="宋体"/>
          <w:b/>
          <w:bCs/>
          <w:color w:val="auto"/>
          <w:sz w:val="24"/>
          <w:highlight w:val="none"/>
        </w:rPr>
        <w:t>附：</w:t>
      </w:r>
    </w:p>
    <w:p w14:paraId="587B6B24">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8"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KMUEy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p7Y7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GKMUEy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7"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skktSoCAAB0BAAADgAAAGRycy9lMm9Eb2MueG1srVTL&#10;btswELwX6D8QvDeyVD9qwXIQ2EhRIG2Cpv0AmqIsoiSXXdKW3a/vinJcJ+0hh+ogcLXL4czsUovr&#10;gzVsrzBocBXPr0acKSeh1m5b8e/fbt994CxE4WphwKmKH1Xg18u3bxadL1UBLZhaISMQF8rOV7yN&#10;0ZdZFmSrrAhX4JWjZANoRaQQt1mNoiN0a7JiNJpmHWDtEaQKgb6uhyQ/IeJrAKFptFRrkDurXBxQ&#10;URkRSVJotQ98mdg2jZLxvmmCisxUnJTG9KZDaL3p39lyIcotCt9qeaIgXkPhhSYrtKNDz1BrEQXb&#10;of4LymqJEKCJVxJsNghJjpCKfPTCm8dWeJW0kNXBn00P/w9Wftk/INN1xWecOWGp4V/JNOG2RrF8&#10;2vvT+VBS2aN/wF5h8HcgfwTmYNVSmbpBhK5VoiZWeV+fPdvQB4G2sk33GWqCF7sIyapDg7YHJBPY&#10;IXXkeO6IOkQm6WMxHc/mE2qWpFxRTN5P80k6Q5RP2z2G+FGBZf2i4kjsE7zY34XY0xHlU0miD0bX&#10;t9qYFOB2szLI9oLG4zY9J/RwWWYc6yo+nxSThPwsFy4hRun5F4TVkW6N0ZZkXBYZdzKs92jwegP1&#10;kfxCGIaVriotWsBfnHU0qBUPP3cCFWfmkyPP5/l43E92CsaTWUEBXmY2lxnhJEFVPHI2LFdxuA07&#10;j3rb0kl50ujghvrU6ORg38OB1YksDWMy9nRx+mm/jFPVn5/F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tskkt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9D7E125">
      <w:pPr>
        <w:autoSpaceDE w:val="0"/>
        <w:autoSpaceDN w:val="0"/>
        <w:jc w:val="center"/>
        <w:rPr>
          <w:rFonts w:ascii="宋体" w:hAnsi="宋体" w:cs="宋体"/>
          <w:b/>
          <w:color w:val="auto"/>
          <w:spacing w:val="6"/>
          <w:sz w:val="32"/>
          <w:szCs w:val="32"/>
          <w:highlight w:val="none"/>
        </w:rPr>
      </w:pPr>
    </w:p>
    <w:p w14:paraId="2110F49A">
      <w:pPr>
        <w:autoSpaceDE w:val="0"/>
        <w:autoSpaceDN w:val="0"/>
        <w:jc w:val="center"/>
        <w:rPr>
          <w:rFonts w:ascii="宋体" w:hAnsi="宋体" w:cs="宋体"/>
          <w:b/>
          <w:color w:val="auto"/>
          <w:spacing w:val="6"/>
          <w:sz w:val="32"/>
          <w:szCs w:val="32"/>
          <w:highlight w:val="none"/>
        </w:rPr>
      </w:pPr>
    </w:p>
    <w:p w14:paraId="707CEF45">
      <w:pPr>
        <w:autoSpaceDE w:val="0"/>
        <w:autoSpaceDN w:val="0"/>
        <w:jc w:val="center"/>
        <w:rPr>
          <w:rFonts w:ascii="宋体" w:hAnsi="宋体" w:cs="宋体"/>
          <w:b/>
          <w:color w:val="auto"/>
          <w:spacing w:val="6"/>
          <w:sz w:val="32"/>
          <w:szCs w:val="32"/>
          <w:highlight w:val="none"/>
        </w:rPr>
      </w:pPr>
    </w:p>
    <w:p w14:paraId="1685959F">
      <w:pPr>
        <w:autoSpaceDE w:val="0"/>
        <w:autoSpaceDN w:val="0"/>
        <w:jc w:val="center"/>
        <w:rPr>
          <w:rFonts w:ascii="宋体" w:hAnsi="宋体" w:cs="宋体"/>
          <w:b/>
          <w:color w:val="auto"/>
          <w:spacing w:val="6"/>
          <w:sz w:val="32"/>
          <w:szCs w:val="32"/>
          <w:highlight w:val="none"/>
        </w:rPr>
      </w:pPr>
    </w:p>
    <w:p w14:paraId="756EFFDF">
      <w:pPr>
        <w:autoSpaceDE w:val="0"/>
        <w:autoSpaceDN w:val="0"/>
        <w:jc w:val="center"/>
        <w:rPr>
          <w:rFonts w:ascii="宋体" w:hAnsi="宋体" w:cs="宋体"/>
          <w:b/>
          <w:color w:val="auto"/>
          <w:spacing w:val="6"/>
          <w:sz w:val="32"/>
          <w:szCs w:val="32"/>
          <w:highlight w:val="none"/>
        </w:rPr>
      </w:pPr>
    </w:p>
    <w:p w14:paraId="2A615631">
      <w:pPr>
        <w:autoSpaceDE w:val="0"/>
        <w:autoSpaceDN w:val="0"/>
        <w:jc w:val="center"/>
        <w:rPr>
          <w:rFonts w:ascii="宋体" w:hAnsi="宋体" w:cs="宋体"/>
          <w:b/>
          <w:color w:val="auto"/>
          <w:spacing w:val="6"/>
          <w:sz w:val="32"/>
          <w:szCs w:val="32"/>
          <w:highlight w:val="none"/>
        </w:rPr>
      </w:pPr>
    </w:p>
    <w:p w14:paraId="34EABBCC">
      <w:pPr>
        <w:autoSpaceDE w:val="0"/>
        <w:autoSpaceDN w:val="0"/>
        <w:jc w:val="center"/>
        <w:rPr>
          <w:rFonts w:ascii="宋体" w:hAnsi="宋体" w:cs="宋体"/>
          <w:b/>
          <w:color w:val="auto"/>
          <w:spacing w:val="6"/>
          <w:sz w:val="32"/>
          <w:szCs w:val="32"/>
          <w:highlight w:val="none"/>
        </w:rPr>
      </w:pPr>
    </w:p>
    <w:p w14:paraId="692F7174">
      <w:pPr>
        <w:autoSpaceDE w:val="0"/>
        <w:autoSpaceDN w:val="0"/>
        <w:jc w:val="center"/>
        <w:rPr>
          <w:rFonts w:ascii="宋体" w:hAnsi="宋体" w:cs="宋体"/>
          <w:b/>
          <w:color w:val="auto"/>
          <w:spacing w:val="6"/>
          <w:sz w:val="32"/>
          <w:szCs w:val="32"/>
          <w:highlight w:val="none"/>
        </w:rPr>
      </w:pPr>
    </w:p>
    <w:p w14:paraId="7DAECC00">
      <w:pPr>
        <w:autoSpaceDE w:val="0"/>
        <w:autoSpaceDN w:val="0"/>
        <w:jc w:val="center"/>
        <w:rPr>
          <w:rFonts w:ascii="宋体" w:hAnsi="宋体" w:cs="宋体"/>
          <w:b/>
          <w:color w:val="auto"/>
          <w:spacing w:val="6"/>
          <w:sz w:val="32"/>
          <w:szCs w:val="32"/>
          <w:highlight w:val="none"/>
        </w:rPr>
      </w:pPr>
    </w:p>
    <w:p w14:paraId="5B95FAB1">
      <w:pPr>
        <w:autoSpaceDE w:val="0"/>
        <w:autoSpaceDN w:val="0"/>
        <w:jc w:val="center"/>
        <w:rPr>
          <w:rFonts w:ascii="宋体" w:hAnsi="宋体" w:cs="宋体"/>
          <w:b/>
          <w:color w:val="auto"/>
          <w:spacing w:val="6"/>
          <w:sz w:val="32"/>
          <w:szCs w:val="32"/>
          <w:highlight w:val="none"/>
        </w:rPr>
      </w:pPr>
    </w:p>
    <w:p w14:paraId="2D2F2E8F">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180987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5</w:t>
      </w:r>
      <w:r>
        <w:rPr>
          <w:rFonts w:hint="eastAsia" w:ascii="宋体" w:hAnsi="宋体" w:cs="宋体"/>
          <w:b/>
          <w:color w:val="auto"/>
          <w:sz w:val="36"/>
          <w:szCs w:val="20"/>
          <w:highlight w:val="none"/>
        </w:rPr>
        <w:t>：中小企业声明函</w:t>
      </w:r>
    </w:p>
    <w:p w14:paraId="3FE23650">
      <w:pPr>
        <w:spacing w:line="360" w:lineRule="auto"/>
        <w:jc w:val="center"/>
        <w:rPr>
          <w:rFonts w:ascii="宋体" w:hAnsi="宋体" w:cs="宋体"/>
          <w:color w:val="auto"/>
          <w:sz w:val="24"/>
          <w:highlight w:val="none"/>
          <w:u w:val="single"/>
        </w:rPr>
      </w:pPr>
    </w:p>
    <w:p w14:paraId="234CFEE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3127AF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1309C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193C9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967B9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FACEDB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9CA65C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8EB0C2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2B4E77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49C62EC">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3386B90">
      <w:pPr>
        <w:spacing w:line="360" w:lineRule="auto"/>
        <w:ind w:right="420"/>
        <w:rPr>
          <w:rFonts w:ascii="宋体" w:hAnsi="宋体" w:cs="宋体"/>
          <w:color w:val="auto"/>
          <w:sz w:val="24"/>
          <w:highlight w:val="none"/>
        </w:rPr>
      </w:pPr>
    </w:p>
    <w:p w14:paraId="417425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5A7910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1540948">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73F332">
      <w:pPr>
        <w:pStyle w:val="4"/>
        <w:rPr>
          <w:color w:val="auto"/>
          <w:highlight w:val="none"/>
        </w:rPr>
      </w:pPr>
    </w:p>
    <w:bookmarkEnd w:id="522"/>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FE5D">
    <w:pPr>
      <w:pStyle w:val="4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5ADA8">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45ADA8">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6824">
    <w:pPr>
      <w:pStyle w:val="43"/>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1270"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21402EE6">
                          <w:pPr>
                            <w:pStyle w:val="43"/>
                            <w:jc w:val="center"/>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LfsDZvsBAAABBAAADgAAAGRycy9lMm9Eb2MueG1srVNNb9swDL0P&#10;2H8QdF8cB0s/jDhF1yDDgG4d0PYHKLJsC7NEgVJiZ79+lBxnXXfpoReDpqjH9x6p1c1gOnZQ6DXY&#10;kuezOWfKSqi0bUr+/LT9dMWZD8JWogOrSn5Unt+sP35Y9a5QC2ihqxQyArG+6F3J2xBckWVetsoI&#10;PwOnLB3WgEYE+sUmq1D0hG66bDGfX2Q9YOUQpPKespvxkJ8Q8S2AUNdaqg3IvVE2jKioOhFIkm+1&#10;83yd2Na1kuGhrr0KrCs5KQ3pS00o3sVvtl6JokHhWi1PFMRbKLzSZIS21PQMtRFBsD3q/6CMlgge&#10;6jCTYLJRSHKEVOTzV948tsKppIWs9u5sun8/WPnj8BOZrkp+wZkVhgb+pIbAvsDAFtGd3vmCih4d&#10;lYWB0rQzSal39yB/eWbhrhW2UbeI0LdKVMQujzezF1dHHB9Bdv13qKiN2AdIQEONJlpHZjBCp8kc&#10;z5OJVCQlry8X+dWSM0lH+efL6+UydRDFdNmhD18VGBaDkiMNPoGLw70PkYwoppLYy8JWd10afmf/&#10;SVBhzCTyke/IPAy74WTGDqojyUAYd4leEgUt4G/Oetqjklt6Npx13ywZEVduCnAKdlMgrKSLJQ+c&#10;jeFdGFdz71A3LeFOVt+SWVudhERXRw4nlrQZSd9pi+PqvfxPVX9f7v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J2k0NIAAAAEAQAADwAAAAAAAAABACAAAAAiAAAAZHJzL2Rvd25yZXYueG1sUEsB&#10;AhQAFAAAAAgAh07iQC37A2b7AQAAAQQAAA4AAAAAAAAAAQAgAAAAIQEAAGRycy9lMm9Eb2MueG1s&#10;UEsFBgAAAAAGAAYAWQEAAI4FAAAAAA==&#10;">
              <v:fill on="f" focussize="0,0"/>
              <v:stroke on="f"/>
              <v:imagedata o:title=""/>
              <o:lock v:ext="edit" aspectratio="f"/>
              <v:textbox inset="0mm,0mm,0mm,0mm" style="mso-fit-shape-to-text:t;">
                <w:txbxContent>
                  <w:p w14:paraId="21402EE6">
                    <w:pPr>
                      <w:pStyle w:val="43"/>
                      <w:jc w:val="center"/>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p w14:paraId="1E8BDEB2">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8595">
    <w:pPr>
      <w:pStyle w:val="43"/>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1270" b="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68411400">
                          <w:pPr>
                            <w:pStyle w:val="43"/>
                            <w:jc w:val="center"/>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BKPi7vsBAAABBAAADgAAAGRycy9lMm9Eb2MueG1srVPBbtswDL0P&#10;2D8Iui9OsmVtjThF1yDDgK4b0PYDZFm2hVmiQCmxs68fJcdZ11562MWgKerxvUdqfT2Yjh0Ueg22&#10;4IvZnDNlJVTaNgV/etx9uOTMB2Er0YFVBT8qz68379+te5erJbTQVQoZgVif967gbQguzzIvW2WE&#10;n4FTlg5rQCMC/WKTVSh6QjddtpzPP2c9YOUQpPKestvxkJ8Q8S2AUNdaqi3IvVE2jKioOhFIkm+1&#10;83yT2Na1kuFHXXsVWFdwUhrSl5pQXMZvtlmLvEHhWi1PFMRbKLzQZIS21PQMtRVBsD3qV1BGSwQP&#10;dZhJMNkoJDlCKhbzF948tMKppIWs9u5suv9/sPL+8BOZrgq+4swKQwN/VENgX2BgH6M7vfM5FT04&#10;KgsDpWlnklLv7kD+8szCbStso24QoW+VqIjdIt7Mnl0dcXwEKfvvUFEbsQ+QgIYaTbSOzGCETpM5&#10;nicTqUhKXl0sF5fEUNLR4tPF1WqVOoh8uuzQh68KDItBwZEGn8DF4c6HSEbkU0nsZWGnuy4Nv7P/&#10;JKgwZhL5yHdkHoZyOJlRQnUkGQjjLtFLoqAF/M1ZT3tUcEvPhrPumyUj4spNAU5BOQXCSrpY8MDZ&#10;GN6GcTX3DnXTEu5k9Q2ZtdNJSHR15HBiSZuR9J22OK7e8/9U9fflb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J2k0NIAAAAEAQAADwAAAAAAAAABACAAAAAiAAAAZHJzL2Rvd25yZXYueG1sUEsB&#10;AhQAFAAAAAgAh07iQASj4u77AQAAAQQAAA4AAAAAAAAAAQAgAAAAIQEAAGRycy9lMm9Eb2MueG1s&#10;UEsFBgAAAAAGAAYAWQEAAI4FAAAAAA==&#10;">
              <v:fill on="f" focussize="0,0"/>
              <v:stroke on="f"/>
              <v:imagedata o:title=""/>
              <o:lock v:ext="edit" aspectratio="f"/>
              <v:textbox inset="0mm,0mm,0mm,0mm" style="mso-fit-shape-to-text:t;">
                <w:txbxContent>
                  <w:p w14:paraId="68411400">
                    <w:pPr>
                      <w:pStyle w:val="43"/>
                      <w:jc w:val="center"/>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p w14:paraId="6CDDFA4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8241F">
    <w:pPr>
      <w:pStyle w:val="4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1905"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6D287B82">
                          <w:pPr>
                            <w:pStyle w:val="43"/>
                            <w:jc w:val="center"/>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8YkNQPsBAAABBAAADgAAAGRycy9lMm9Eb2MueG1srVPBbtswDL0P&#10;2D8Iui+Og2RtjThF1yDDgG4d0O4DFFmOhVmiQCmxs68fJdtZ11162MWgKerxvUdqfdublp0Ueg22&#10;5PlszpmyEiptDyX/8bz7cM2ZD8JWogWrSn5Wnt9u3r9bd65QC2igrRQyArG+6FzJmxBckWVeNsoI&#10;PwOnLB3WgEYE+sVDVqHoCN202WI+/5h1gJVDkMp7ym6HQz4i4lsAoa61VFuQR6NsGFBRtSKQJN9o&#10;5/kmsa1rJcNjXXsVWFtyUhrSl5pQvI/fbLMWxQGFa7QcKYi3UHilyQhtqekFaiuCYEfU/0AZLRE8&#10;1GEmwWSDkOQIqcjnr7x5aoRTSQtZ7d3FdP//YOW303dkuir5kjMrDA38WfWBfYKeLaM7nfMFFT05&#10;Kgs9pWlnklLvHkD+9MzCfSPsQd0hQtcoURG7PN7MXlwdcHwE2XdfoaI24hggAfU1mmgdmcEInSZz&#10;vkwmUpGUvLla5NcrziQd5curm9UqdRDFdNmhD58VGBaDkiMNPoGL04MPkYwoppLYy8JOt20afmv/&#10;SlBhzCTyke/APPT7fjRjD9WZZCAMu0QviYIG8BdnHe1RyS09G87aL5aMiCs3BTgF+ykQVtLFkgfO&#10;hvA+DKt5dKgPDeFOVt+RWTudhERXBw4jS9qMpG/c4rh6L/9T1Z+Xu/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J2k0NIAAAAEAQAADwAAAAAAAAABACAAAAAiAAAAZHJzL2Rvd25yZXYueG1sUEsB&#10;AhQAFAAAAAgAh07iQPGJDUD7AQAAAQQAAA4AAAAAAAAAAQAgAAAAIQEAAGRycy9lMm9Eb2MueG1s&#10;UEsFBgAAAAAGAAYAWQEAAI4FAAAAAA==&#10;">
              <v:fill on="f" focussize="0,0"/>
              <v:stroke on="f"/>
              <v:imagedata o:title=""/>
              <o:lock v:ext="edit" aspectratio="f"/>
              <v:textbox inset="0mm,0mm,0mm,0mm" style="mso-fit-shape-to-text:t;">
                <w:txbxContent>
                  <w:p w14:paraId="6D287B82">
                    <w:pPr>
                      <w:pStyle w:val="43"/>
                      <w:jc w:val="center"/>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mc:Fallback>
      </mc:AlternateContent>
    </w:r>
  </w:p>
  <w:p w14:paraId="67902B6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FEF7">
    <w:pPr>
      <w:pStyle w:val="43"/>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1905"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4A117C42">
                          <w:pPr>
                            <w:pStyle w:val="43"/>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jAa5mfsBAAABBAAADgAAAGRycy9lMm9Eb2MueG1srVPBbtswDL0P&#10;2D8Iui9OsmVtjThF1yDDgK4b0PYDZFm2hVmiQCmxs68fJcdZ11562EWgKOrpvUdqfT2Yjh0Ueg22&#10;4IvZnDNlJVTaNgV/etx9uOTMB2Er0YFVBT8qz68379+te5erJbTQVQoZgVif967gbQguzzIvW2WE&#10;n4FTlg5rQCMCbbHJKhQ9oZsuW87nn7MesHIIUnlP2e14yE+I+BZAqGst1Rbk3igbRlRUnQgkybfa&#10;eb5JbOtayfCjrr0KrCs4KQ1ppUcoLuOabdYib1C4VssTBfEWCi80GaEtPXqG2oog2B71KyijJYKH&#10;OswkmGwUkhwhFYv5C28eWuFU0kJWe3c23f8/WHl/+IlMVwX/yJkVhhr+qIbAvsDAVtGd3vmcih4c&#10;lYWB0jQzSal3dyB/eWbhthW2UTeI0LdKVMRuEW9mz66OOD6ClP13qOgZsQ+QgIYaTbSOzGCETp05&#10;njsTqUhKXl0sF5crziQdLT5dXK0St0zk02WHPnxVYFgMCo7U+AQuDnc+RDIin0riWxZ2uutS8zv7&#10;T4IKYyaRj3xH5mEoh5MZJVRHkoEwzhL9JApawN+c9TRHBbf0bTjrvlkyIo7cFOAUlFMgrKSLBQ+c&#10;jeFtGEdz71A3LeFOVt+QWTudhERXRw4nljQZSd9piuPoPd+nqr8/d/M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J2k0NIAAAAEAQAADwAAAAAAAAABACAAAAAiAAAAZHJzL2Rvd25yZXYueG1sUEsB&#10;AhQAFAAAAAgAh07iQIwGuZn7AQAAAQQAAA4AAAAAAAAAAQAgAAAAIQEAAGRycy9lMm9Eb2MueG1s&#10;UEsFBgAAAAAGAAYAWQEAAI4FAAAAAA==&#10;">
              <v:fill on="f" focussize="0,0"/>
              <v:stroke on="f"/>
              <v:imagedata o:title=""/>
              <o:lock v:ext="edit" aspectratio="f"/>
              <v:textbox inset="0mm,0mm,0mm,0mm" style="mso-fit-shape-to-text:t;">
                <w:txbxContent>
                  <w:p w14:paraId="4A117C42">
                    <w:pPr>
                      <w:pStyle w:val="43"/>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p w14:paraId="779E2F4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EFB44">
    <w:pPr>
      <w:pStyle w:val="43"/>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2185" cy="147955"/>
              <wp:effectExtent l="0" t="0" r="127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2F883CD3">
                          <w:pPr>
                            <w:pStyle w:val="43"/>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3360;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4j++ivsBAAABBAAADgAAAGRycy9lMm9Eb2MueG1srVNNb9swDL0P&#10;2H8QdF8cB0s/jDhF1yDDgG4d0PYHKLJsC7NEgVJiZ79+lBxnXXfpoReDpqjH9x6p1c1gOnZQ6DXY&#10;kuezOWfKSqi0bUr+/LT9dMWZD8JWogOrSn5Unt+sP35Y9a5QC2ihqxQyArG+6F3J2xBckWVetsoI&#10;PwOnLB3WgEYE+sUmq1D0hG66bDGfX2Q9YOUQpPKespvxkJ8Q8S2AUNdaqg3IvVE2jKioOhFIkm+1&#10;83yd2Na1kuGhrr0KrCs5KQ3pS00o3sVvtl6JokHhWi1PFMRbKLzSZIS21PQMtRFBsD3q/6CMlgge&#10;6jCTYLJRSHKEVOTzV948tsKppIWs9u5sun8/WPnj8BOZrkq+4MwKQwN/UkNgX2BgF9Gd3vmCih4d&#10;lYWB0rQzSal39yB/eWbhrhW2UbeI0LdKVMQujzezF1dHHB9Bdv13qKiN2AdIQEONJlpHZjBCp8kc&#10;z5OJVCQlry8X+dWSM0lH+efL6+UydRDFdNmhD18VGBaDkiMNPoGLw70PkYwoppLYy8JWd10afmf/&#10;SVBhzCTyke/IPAy74WTGDqojyUAYd4leEgUt4G/Oetqjklt6Npx13ywZEVduCnAKdlMgrKSLJQ+c&#10;jeFdGFdz71A3LeFOVt+SWVudhERXRw4nlrQZSd9pi+PqvfxPVX9f7v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J2k0NIAAAAEAQAADwAAAAAAAAABACAAAAAiAAAAZHJzL2Rvd25yZXYueG1sUEsB&#10;AhQAFAAAAAgAh07iQOI/vor7AQAAAQQAAA4AAAAAAAAAAQAgAAAAIQEAAGRycy9lMm9Eb2MueG1s&#10;UEsFBgAAAAAGAAYAWQEAAI4FAAAAAA==&#10;">
              <v:fill on="f" focussize="0,0"/>
              <v:stroke on="f"/>
              <v:imagedata o:title=""/>
              <o:lock v:ext="edit" aspectratio="f"/>
              <v:textbox inset="0mm,0mm,0mm,0mm" style="mso-fit-shape-to-text:t;">
                <w:txbxContent>
                  <w:p w14:paraId="2F883CD3">
                    <w:pPr>
                      <w:pStyle w:val="43"/>
                      <w:jc w:val="center"/>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E7811">
    <w:pPr>
      <w:pStyle w:val="43"/>
      <w:framePr w:wrap="around" w:vAnchor="text" w:hAnchor="margin" w:xAlign="right" w:y="1"/>
      <w:rPr>
        <w:rStyle w:val="73"/>
      </w:rPr>
    </w:pPr>
    <w:r>
      <w:fldChar w:fldCharType="begin"/>
    </w:r>
    <w:r>
      <w:rPr>
        <w:rStyle w:val="73"/>
      </w:rPr>
      <w:instrText xml:space="preserve">PAGE  </w:instrText>
    </w:r>
    <w:r>
      <w:fldChar w:fldCharType="end"/>
    </w:r>
  </w:p>
  <w:p w14:paraId="5EEE7103">
    <w:pPr>
      <w:pStyle w:val="4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A892F">
    <w:pPr>
      <w:pStyle w:val="4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972185" cy="147955"/>
              <wp:effectExtent l="0" t="0" r="127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7903810C">
                          <w:pPr>
                            <w:pStyle w:val="43"/>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65pt;width:76.55pt;mso-position-horizontal:center;mso-position-horizontal-relative:margin;mso-wrap-style:none;z-index:251664384;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y2dfAvoBAAABBAAADgAAAGRycy9lMm9Eb2MueG1srVNNb9swDL0P&#10;2H8QdF8cB8vSGnGKrkGGAd0H0PYHKLIcC7NEgVJiZ79+lGxnXXvpYReDpqjH9x6p9U1vWnZS6DXY&#10;kuezOWfKSqi0PZT86XH34YozH4StRAtWlfysPL/ZvH+37lyhFtBAWylkBGJ90bmSNyG4Isu8bJQR&#10;fgZOWTqsAY0I9IuHrELREbpps8V8/inrACuHIJX3lN0Oh3xExLcAQl1rqbYgj0bZMKCiakUgSb7R&#10;zvNNYlvXSoYfde1VYG3JSWlIX2pC8T5+s81aFAcUrtFypCDeQuGFJiO0paYXqK0Igh1Rv4IyWiJ4&#10;qMNMgskGIckRUpHPX3jz0Ainkhay2ruL6f7/wcrvp5/IdEWbwJkVhgb+qPrAPkPPVtGdzvmCih4c&#10;lYWe0rEyKvXuHuQvzyzcNcIe1C0idI0SFbHL483s2dUBx0eQffcNKmojjgESUF+jiYBkBiN0msz5&#10;MplIRVLyerXIr5acSTrKP66ul8vUQRTTZYc+fFFgWAxKjjT4BC5O9z5EMqKYSmIvCzvdtmn4rf0n&#10;QYUxk8hHvgPz0O/70Yw9VGeSgTDsEr0kChrA35x1tEclt/RsOGu/WjIirtwU4BTsp0BYSRdLHjgb&#10;wrswrObRoT40hDtZfUtm7XQSEl0dOIwsaTOSvnGL4+o9/09Vf1/u5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naTQ0gAAAAQBAAAPAAAAAAAAAAEAIAAAACIAAABkcnMvZG93bnJldi54bWxQSwEC&#10;FAAUAAAACACHTuJAy2dfAvoBAAABBAAADgAAAAAAAAABACAAAAAhAQAAZHJzL2Uyb0RvYy54bWxQ&#10;SwUGAAAAAAYABgBZAQAAjQUAAAAA&#10;">
              <v:fill on="f" focussize="0,0"/>
              <v:stroke on="f"/>
              <v:imagedata o:title=""/>
              <o:lock v:ext="edit" aspectratio="f"/>
              <v:textbox inset="0mm,0mm,0mm,0mm" style="mso-fit-shape-to-text:t;">
                <w:txbxContent>
                  <w:p w14:paraId="7903810C">
                    <w:pPr>
                      <w:pStyle w:val="43"/>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8999">
    <w:pPr>
      <w:pStyle w:val="44"/>
      <w:jc w:val="right"/>
      <w:rPr>
        <w:rFonts w:ascii="仿宋_GB2312" w:eastAsia="仿宋_GB2312"/>
        <w:b/>
        <w:i/>
        <w:u w:val="single"/>
      </w:rPr>
    </w:pPr>
    <w:r>
      <w:t></w:t>
    </w:r>
    <w:r>
      <w:rPr>
        <w:rFonts w:hint="eastAsia"/>
      </w:rPr>
      <w:t xml:space="preserve">                                                  </w:t>
    </w:r>
    <w:r>
      <w:t>公开招标文件</w:t>
    </w:r>
  </w:p>
  <w:p w14:paraId="40086C47">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16E20">
    <w:pPr>
      <w:pStyle w:val="44"/>
    </w:pPr>
    <w:r>
      <w:t></w:t>
    </w:r>
    <w:r>
      <w:rPr>
        <w:rFonts w:hint="eastAsia"/>
      </w:rPr>
      <w:t xml:space="preserve">         </w:t>
    </w:r>
  </w:p>
  <w:p w14:paraId="1297EC83">
    <w:pPr>
      <w:pStyle w:val="44"/>
      <w:jc w:val="right"/>
    </w:pPr>
    <w:r>
      <w:rPr>
        <w:rFonts w:hint="eastAsia"/>
      </w:rPr>
      <w:t xml:space="preserve">                                                                   </w:t>
    </w:r>
    <w: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5484A">
    <w:pPr>
      <w:pStyle w:val="44"/>
      <w:jc w:val="right"/>
      <w:rPr>
        <w:rFonts w:ascii="仿宋_GB2312" w:eastAsia="仿宋_GB2312"/>
        <w:b/>
        <w:i/>
        <w:u w:val="single"/>
      </w:rPr>
    </w:pPr>
    <w:r>
      <w:rPr>
        <w:rFonts w:hint="eastAsia"/>
      </w:rPr>
      <w:t xml:space="preserve">                                 </w:t>
    </w:r>
    <w:r>
      <w:t>公开招标文件</w:t>
    </w:r>
  </w:p>
  <w:p w14:paraId="48B0894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77C1C">
    <w:pPr>
      <w:pStyle w:val="44"/>
      <w:jc w:val="right"/>
    </w:pP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99F00">
    <w:pPr>
      <w:pStyle w:val="44"/>
      <w:jc w:val="right"/>
      <w:rPr>
        <w:rFonts w:ascii="仿宋_GB2312" w:eastAsia="仿宋_GB2312"/>
        <w:b/>
        <w:i/>
        <w:iCs/>
        <w:u w:val="single"/>
      </w:rPr>
    </w:pP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1D64D">
    <w:pPr>
      <w:pStyle w:val="44"/>
      <w:jc w:val="right"/>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9CFBD"/>
    <w:multiLevelType w:val="singleLevel"/>
    <w:tmpl w:val="FBD9CFBD"/>
    <w:lvl w:ilvl="0" w:tentative="0">
      <w:start w:val="1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OGYzODg4OTM1ZTVlMDM1ZDdiZjA5ODAzNTgxY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2E9"/>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1BD"/>
    <w:rsid w:val="000D11E5"/>
    <w:rsid w:val="000D19E8"/>
    <w:rsid w:val="000D1FA1"/>
    <w:rsid w:val="000D2834"/>
    <w:rsid w:val="000D2CAC"/>
    <w:rsid w:val="000D34C8"/>
    <w:rsid w:val="000D34FD"/>
    <w:rsid w:val="000D3BE5"/>
    <w:rsid w:val="000D3C37"/>
    <w:rsid w:val="000D453A"/>
    <w:rsid w:val="000D49D7"/>
    <w:rsid w:val="000D4AFA"/>
    <w:rsid w:val="000D5EA6"/>
    <w:rsid w:val="000D5F00"/>
    <w:rsid w:val="000D6C9F"/>
    <w:rsid w:val="000D6E3B"/>
    <w:rsid w:val="000D6F30"/>
    <w:rsid w:val="000D74E4"/>
    <w:rsid w:val="000D7998"/>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8CF"/>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358"/>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20E"/>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5D1"/>
    <w:rsid w:val="00157D5F"/>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8A1"/>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5E6"/>
    <w:rsid w:val="001D16F5"/>
    <w:rsid w:val="001D1970"/>
    <w:rsid w:val="001D1D55"/>
    <w:rsid w:val="001D21EF"/>
    <w:rsid w:val="001D29A4"/>
    <w:rsid w:val="001D2B73"/>
    <w:rsid w:val="001D3136"/>
    <w:rsid w:val="001D330D"/>
    <w:rsid w:val="001D4AB6"/>
    <w:rsid w:val="001D4AD3"/>
    <w:rsid w:val="001D5281"/>
    <w:rsid w:val="001E17E3"/>
    <w:rsid w:val="001E1EDE"/>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564"/>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A70"/>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CC6"/>
    <w:rsid w:val="002542F8"/>
    <w:rsid w:val="002543EF"/>
    <w:rsid w:val="00254F2A"/>
    <w:rsid w:val="00255784"/>
    <w:rsid w:val="00255A29"/>
    <w:rsid w:val="0025631F"/>
    <w:rsid w:val="00256986"/>
    <w:rsid w:val="00256D61"/>
    <w:rsid w:val="00256E23"/>
    <w:rsid w:val="00257246"/>
    <w:rsid w:val="00257438"/>
    <w:rsid w:val="00260666"/>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1A9"/>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2B"/>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792"/>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7A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F5D"/>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2AA"/>
    <w:rsid w:val="004B4EA9"/>
    <w:rsid w:val="004B5C96"/>
    <w:rsid w:val="004B6124"/>
    <w:rsid w:val="004B6E50"/>
    <w:rsid w:val="004B728F"/>
    <w:rsid w:val="004B7317"/>
    <w:rsid w:val="004B75B2"/>
    <w:rsid w:val="004B75C6"/>
    <w:rsid w:val="004C02C5"/>
    <w:rsid w:val="004C0BF0"/>
    <w:rsid w:val="004C0D40"/>
    <w:rsid w:val="004C114F"/>
    <w:rsid w:val="004C11A9"/>
    <w:rsid w:val="004C1A9A"/>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A61"/>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B6"/>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600"/>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6D1C"/>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3BA"/>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A5A"/>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E5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918"/>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41"/>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666"/>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67E"/>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9CA"/>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C28"/>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62"/>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E8F"/>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5F2"/>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4B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5D"/>
    <w:rsid w:val="007D03BC"/>
    <w:rsid w:val="007D0DC9"/>
    <w:rsid w:val="007D0ECD"/>
    <w:rsid w:val="007D2882"/>
    <w:rsid w:val="007D296C"/>
    <w:rsid w:val="007D2C31"/>
    <w:rsid w:val="007D2E50"/>
    <w:rsid w:val="007D3D74"/>
    <w:rsid w:val="007D445F"/>
    <w:rsid w:val="007D4DED"/>
    <w:rsid w:val="007D52BA"/>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10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D84"/>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75F"/>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BC"/>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28"/>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1F99"/>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3C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BCC"/>
    <w:rsid w:val="008C6E0C"/>
    <w:rsid w:val="008C716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CB3"/>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776"/>
    <w:rsid w:val="00971415"/>
    <w:rsid w:val="009716D8"/>
    <w:rsid w:val="00971F54"/>
    <w:rsid w:val="00972057"/>
    <w:rsid w:val="0097227B"/>
    <w:rsid w:val="0097262E"/>
    <w:rsid w:val="0097293F"/>
    <w:rsid w:val="0097301E"/>
    <w:rsid w:val="00973103"/>
    <w:rsid w:val="00974022"/>
    <w:rsid w:val="009743E8"/>
    <w:rsid w:val="009745D8"/>
    <w:rsid w:val="00974F3B"/>
    <w:rsid w:val="0097552A"/>
    <w:rsid w:val="0097564A"/>
    <w:rsid w:val="00975974"/>
    <w:rsid w:val="00975D06"/>
    <w:rsid w:val="00975D63"/>
    <w:rsid w:val="00975DAE"/>
    <w:rsid w:val="00976BBE"/>
    <w:rsid w:val="00980272"/>
    <w:rsid w:val="009803F3"/>
    <w:rsid w:val="0098055B"/>
    <w:rsid w:val="00980B30"/>
    <w:rsid w:val="009810BE"/>
    <w:rsid w:val="009817BC"/>
    <w:rsid w:val="009819A7"/>
    <w:rsid w:val="0098220A"/>
    <w:rsid w:val="00982E75"/>
    <w:rsid w:val="00983337"/>
    <w:rsid w:val="00983424"/>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17A"/>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96B"/>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2F65"/>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A23"/>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9A"/>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B96"/>
    <w:rsid w:val="00B3412E"/>
    <w:rsid w:val="00B343E0"/>
    <w:rsid w:val="00B35B6D"/>
    <w:rsid w:val="00B35D53"/>
    <w:rsid w:val="00B367C4"/>
    <w:rsid w:val="00B36903"/>
    <w:rsid w:val="00B36D3E"/>
    <w:rsid w:val="00B37B8E"/>
    <w:rsid w:val="00B40222"/>
    <w:rsid w:val="00B404C3"/>
    <w:rsid w:val="00B41A04"/>
    <w:rsid w:val="00B42743"/>
    <w:rsid w:val="00B430E9"/>
    <w:rsid w:val="00B4311F"/>
    <w:rsid w:val="00B431AE"/>
    <w:rsid w:val="00B44288"/>
    <w:rsid w:val="00B448BF"/>
    <w:rsid w:val="00B45A59"/>
    <w:rsid w:val="00B45B6E"/>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7D2"/>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AFF"/>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256"/>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22F"/>
    <w:rsid w:val="00C31320"/>
    <w:rsid w:val="00C316B4"/>
    <w:rsid w:val="00C32D39"/>
    <w:rsid w:val="00C332D4"/>
    <w:rsid w:val="00C33A66"/>
    <w:rsid w:val="00C33E51"/>
    <w:rsid w:val="00C34C45"/>
    <w:rsid w:val="00C34C47"/>
    <w:rsid w:val="00C34FCE"/>
    <w:rsid w:val="00C35411"/>
    <w:rsid w:val="00C35EED"/>
    <w:rsid w:val="00C36B2C"/>
    <w:rsid w:val="00C3701A"/>
    <w:rsid w:val="00C379EF"/>
    <w:rsid w:val="00C405C8"/>
    <w:rsid w:val="00C40C2F"/>
    <w:rsid w:val="00C41417"/>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F1E"/>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13B"/>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DE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0D8"/>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2A2"/>
    <w:rsid w:val="00E42E94"/>
    <w:rsid w:val="00E43006"/>
    <w:rsid w:val="00E4312A"/>
    <w:rsid w:val="00E4331B"/>
    <w:rsid w:val="00E43551"/>
    <w:rsid w:val="00E437FA"/>
    <w:rsid w:val="00E440EB"/>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CAA"/>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58D"/>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05"/>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28C"/>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292"/>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3EEB"/>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BC5"/>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6B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A57"/>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09F"/>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5F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68"/>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1A5"/>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8DD"/>
    <w:rsid w:val="01027FD7"/>
    <w:rsid w:val="010651D9"/>
    <w:rsid w:val="010845F2"/>
    <w:rsid w:val="0117101D"/>
    <w:rsid w:val="011F6449"/>
    <w:rsid w:val="01236AFB"/>
    <w:rsid w:val="01255120"/>
    <w:rsid w:val="01363832"/>
    <w:rsid w:val="014063FE"/>
    <w:rsid w:val="014F4893"/>
    <w:rsid w:val="01907A1B"/>
    <w:rsid w:val="019F7441"/>
    <w:rsid w:val="01AC2E1E"/>
    <w:rsid w:val="01B37585"/>
    <w:rsid w:val="01C963F3"/>
    <w:rsid w:val="01D17056"/>
    <w:rsid w:val="01D55165"/>
    <w:rsid w:val="01DF6BF8"/>
    <w:rsid w:val="01EC2C57"/>
    <w:rsid w:val="024C19B1"/>
    <w:rsid w:val="025F0711"/>
    <w:rsid w:val="026B2E25"/>
    <w:rsid w:val="02750329"/>
    <w:rsid w:val="02824D4D"/>
    <w:rsid w:val="02DC4B10"/>
    <w:rsid w:val="02DD76CE"/>
    <w:rsid w:val="02F36323"/>
    <w:rsid w:val="02F5619C"/>
    <w:rsid w:val="02FD0351"/>
    <w:rsid w:val="03067DC3"/>
    <w:rsid w:val="031F4F41"/>
    <w:rsid w:val="0326446A"/>
    <w:rsid w:val="032D5555"/>
    <w:rsid w:val="03343D40"/>
    <w:rsid w:val="034C7701"/>
    <w:rsid w:val="0350044F"/>
    <w:rsid w:val="036634D2"/>
    <w:rsid w:val="036D7252"/>
    <w:rsid w:val="03771E7F"/>
    <w:rsid w:val="0388408C"/>
    <w:rsid w:val="03B31109"/>
    <w:rsid w:val="03B92498"/>
    <w:rsid w:val="03BB6210"/>
    <w:rsid w:val="03C2759E"/>
    <w:rsid w:val="03DD35E4"/>
    <w:rsid w:val="03F4685F"/>
    <w:rsid w:val="04025BED"/>
    <w:rsid w:val="04076900"/>
    <w:rsid w:val="041A5A3B"/>
    <w:rsid w:val="04212517"/>
    <w:rsid w:val="042311BA"/>
    <w:rsid w:val="042B157A"/>
    <w:rsid w:val="0442423B"/>
    <w:rsid w:val="0449381C"/>
    <w:rsid w:val="048F763B"/>
    <w:rsid w:val="049F330E"/>
    <w:rsid w:val="04AA775C"/>
    <w:rsid w:val="04AF1889"/>
    <w:rsid w:val="04EA6DAD"/>
    <w:rsid w:val="04F66F48"/>
    <w:rsid w:val="04FD0162"/>
    <w:rsid w:val="051E28A6"/>
    <w:rsid w:val="05251E14"/>
    <w:rsid w:val="05507636"/>
    <w:rsid w:val="05770BD6"/>
    <w:rsid w:val="059C797B"/>
    <w:rsid w:val="05A16594"/>
    <w:rsid w:val="05A7762D"/>
    <w:rsid w:val="05AD3936"/>
    <w:rsid w:val="05C04DC2"/>
    <w:rsid w:val="05DA68EB"/>
    <w:rsid w:val="05DD246D"/>
    <w:rsid w:val="060E5941"/>
    <w:rsid w:val="06110FAF"/>
    <w:rsid w:val="06336531"/>
    <w:rsid w:val="06493CA7"/>
    <w:rsid w:val="064B68DC"/>
    <w:rsid w:val="064D76F3"/>
    <w:rsid w:val="065A6178"/>
    <w:rsid w:val="065C072B"/>
    <w:rsid w:val="065F76C6"/>
    <w:rsid w:val="0664493D"/>
    <w:rsid w:val="066F1CF3"/>
    <w:rsid w:val="0687062B"/>
    <w:rsid w:val="06930BB8"/>
    <w:rsid w:val="06A66D03"/>
    <w:rsid w:val="07245D42"/>
    <w:rsid w:val="07264C62"/>
    <w:rsid w:val="0779354C"/>
    <w:rsid w:val="07D93108"/>
    <w:rsid w:val="07EF0236"/>
    <w:rsid w:val="08061376"/>
    <w:rsid w:val="080C2E93"/>
    <w:rsid w:val="08452D77"/>
    <w:rsid w:val="084F5179"/>
    <w:rsid w:val="086401F8"/>
    <w:rsid w:val="086A1C95"/>
    <w:rsid w:val="08744BDF"/>
    <w:rsid w:val="08751CAA"/>
    <w:rsid w:val="087E4C40"/>
    <w:rsid w:val="088017D6"/>
    <w:rsid w:val="08940DDD"/>
    <w:rsid w:val="08A871D0"/>
    <w:rsid w:val="08B253D3"/>
    <w:rsid w:val="08BB636A"/>
    <w:rsid w:val="08C416C3"/>
    <w:rsid w:val="08C711B3"/>
    <w:rsid w:val="08D66AD6"/>
    <w:rsid w:val="08DA33A3"/>
    <w:rsid w:val="08DA68C6"/>
    <w:rsid w:val="08E80F13"/>
    <w:rsid w:val="08F04266"/>
    <w:rsid w:val="09242161"/>
    <w:rsid w:val="09335624"/>
    <w:rsid w:val="093C394F"/>
    <w:rsid w:val="0944690F"/>
    <w:rsid w:val="09535675"/>
    <w:rsid w:val="09584C25"/>
    <w:rsid w:val="095A5849"/>
    <w:rsid w:val="095F057D"/>
    <w:rsid w:val="09642282"/>
    <w:rsid w:val="097035F9"/>
    <w:rsid w:val="09733572"/>
    <w:rsid w:val="09772C16"/>
    <w:rsid w:val="097A6225"/>
    <w:rsid w:val="098353B5"/>
    <w:rsid w:val="09A92330"/>
    <w:rsid w:val="09B06B87"/>
    <w:rsid w:val="09C13146"/>
    <w:rsid w:val="09D11329"/>
    <w:rsid w:val="09E04166"/>
    <w:rsid w:val="09FD3E67"/>
    <w:rsid w:val="0A1C0718"/>
    <w:rsid w:val="0A3A3692"/>
    <w:rsid w:val="0A3E7710"/>
    <w:rsid w:val="0A4800D1"/>
    <w:rsid w:val="0A5B7E63"/>
    <w:rsid w:val="0A7B04A7"/>
    <w:rsid w:val="0A7B4003"/>
    <w:rsid w:val="0AA374A5"/>
    <w:rsid w:val="0AAB7649"/>
    <w:rsid w:val="0ABC5606"/>
    <w:rsid w:val="0ACC2AB1"/>
    <w:rsid w:val="0AE12916"/>
    <w:rsid w:val="0AEB73DB"/>
    <w:rsid w:val="0B30404E"/>
    <w:rsid w:val="0B3215A4"/>
    <w:rsid w:val="0B4C6C14"/>
    <w:rsid w:val="0B5722B0"/>
    <w:rsid w:val="0B5A4560"/>
    <w:rsid w:val="0B631A88"/>
    <w:rsid w:val="0B683D45"/>
    <w:rsid w:val="0B7F3F11"/>
    <w:rsid w:val="0B884417"/>
    <w:rsid w:val="0B8909A2"/>
    <w:rsid w:val="0BC1013B"/>
    <w:rsid w:val="0BEA7692"/>
    <w:rsid w:val="0BF416C5"/>
    <w:rsid w:val="0BF4406D"/>
    <w:rsid w:val="0BF6188C"/>
    <w:rsid w:val="0BF73C91"/>
    <w:rsid w:val="0BFE313E"/>
    <w:rsid w:val="0C0A3890"/>
    <w:rsid w:val="0C170175"/>
    <w:rsid w:val="0C3B6140"/>
    <w:rsid w:val="0C571A41"/>
    <w:rsid w:val="0C5C1171"/>
    <w:rsid w:val="0C5E1CBC"/>
    <w:rsid w:val="0C615B50"/>
    <w:rsid w:val="0C6311F3"/>
    <w:rsid w:val="0C8445DA"/>
    <w:rsid w:val="0C87121B"/>
    <w:rsid w:val="0C8834C0"/>
    <w:rsid w:val="0CBD0903"/>
    <w:rsid w:val="0CC007F7"/>
    <w:rsid w:val="0CC617AC"/>
    <w:rsid w:val="0CD209FC"/>
    <w:rsid w:val="0CEE6D0E"/>
    <w:rsid w:val="0CF746D1"/>
    <w:rsid w:val="0CF968D2"/>
    <w:rsid w:val="0CFE707A"/>
    <w:rsid w:val="0D063BDA"/>
    <w:rsid w:val="0D08375F"/>
    <w:rsid w:val="0D184CFB"/>
    <w:rsid w:val="0D4A7419"/>
    <w:rsid w:val="0D827401"/>
    <w:rsid w:val="0D84094E"/>
    <w:rsid w:val="0D865199"/>
    <w:rsid w:val="0D8A00E9"/>
    <w:rsid w:val="0D8D589E"/>
    <w:rsid w:val="0DA01C73"/>
    <w:rsid w:val="0DB00D12"/>
    <w:rsid w:val="0DB80D41"/>
    <w:rsid w:val="0DD423A8"/>
    <w:rsid w:val="0DD56120"/>
    <w:rsid w:val="0DD63300"/>
    <w:rsid w:val="0DDA54E4"/>
    <w:rsid w:val="0DF50604"/>
    <w:rsid w:val="0DF702FE"/>
    <w:rsid w:val="0DF742E8"/>
    <w:rsid w:val="0E032C8D"/>
    <w:rsid w:val="0E060E51"/>
    <w:rsid w:val="0E06174A"/>
    <w:rsid w:val="0E5604B2"/>
    <w:rsid w:val="0E6574A4"/>
    <w:rsid w:val="0E664FCA"/>
    <w:rsid w:val="0E680D42"/>
    <w:rsid w:val="0E6D5D79"/>
    <w:rsid w:val="0E721BC1"/>
    <w:rsid w:val="0E885B7A"/>
    <w:rsid w:val="0E9D0089"/>
    <w:rsid w:val="0EB803EE"/>
    <w:rsid w:val="0EBD7DC2"/>
    <w:rsid w:val="0ED85EC8"/>
    <w:rsid w:val="0EF94D4B"/>
    <w:rsid w:val="0EF95E3E"/>
    <w:rsid w:val="0F1B5DB5"/>
    <w:rsid w:val="0F2729AB"/>
    <w:rsid w:val="0F346E76"/>
    <w:rsid w:val="0F4958DC"/>
    <w:rsid w:val="0F4C0664"/>
    <w:rsid w:val="0F515DF7"/>
    <w:rsid w:val="0F596BA8"/>
    <w:rsid w:val="0F6248D2"/>
    <w:rsid w:val="0F693536"/>
    <w:rsid w:val="0F7B0511"/>
    <w:rsid w:val="0F7B76D9"/>
    <w:rsid w:val="0F7F00F1"/>
    <w:rsid w:val="0F816ACD"/>
    <w:rsid w:val="0F9832DB"/>
    <w:rsid w:val="0FBF3FD2"/>
    <w:rsid w:val="0FBF7FF3"/>
    <w:rsid w:val="0FD77F2D"/>
    <w:rsid w:val="0FE903AF"/>
    <w:rsid w:val="0FF70D71"/>
    <w:rsid w:val="10467EDA"/>
    <w:rsid w:val="1053332C"/>
    <w:rsid w:val="10646583"/>
    <w:rsid w:val="107D4B15"/>
    <w:rsid w:val="108A3C80"/>
    <w:rsid w:val="10B93AD7"/>
    <w:rsid w:val="10C26171"/>
    <w:rsid w:val="10DE353E"/>
    <w:rsid w:val="10F33360"/>
    <w:rsid w:val="10F863AD"/>
    <w:rsid w:val="10FC16EA"/>
    <w:rsid w:val="110F1D40"/>
    <w:rsid w:val="11266F33"/>
    <w:rsid w:val="114E2471"/>
    <w:rsid w:val="115D0906"/>
    <w:rsid w:val="115E01DA"/>
    <w:rsid w:val="117B2614"/>
    <w:rsid w:val="117D5443"/>
    <w:rsid w:val="11851C0B"/>
    <w:rsid w:val="118963A1"/>
    <w:rsid w:val="11C6522A"/>
    <w:rsid w:val="11E104CC"/>
    <w:rsid w:val="11E20309"/>
    <w:rsid w:val="11FA43A7"/>
    <w:rsid w:val="120945EA"/>
    <w:rsid w:val="120E5E65"/>
    <w:rsid w:val="12255233"/>
    <w:rsid w:val="12530213"/>
    <w:rsid w:val="126D4B79"/>
    <w:rsid w:val="127723A9"/>
    <w:rsid w:val="12862074"/>
    <w:rsid w:val="12883966"/>
    <w:rsid w:val="129E45B4"/>
    <w:rsid w:val="12D21374"/>
    <w:rsid w:val="12D81596"/>
    <w:rsid w:val="12E36BE9"/>
    <w:rsid w:val="12ED7A68"/>
    <w:rsid w:val="13072A44"/>
    <w:rsid w:val="131A1B7F"/>
    <w:rsid w:val="13223BB5"/>
    <w:rsid w:val="135F4BE2"/>
    <w:rsid w:val="1393060F"/>
    <w:rsid w:val="139B1A0A"/>
    <w:rsid w:val="139D25C7"/>
    <w:rsid w:val="13BF3CE4"/>
    <w:rsid w:val="13E1581F"/>
    <w:rsid w:val="141008D8"/>
    <w:rsid w:val="14125FE6"/>
    <w:rsid w:val="1430586C"/>
    <w:rsid w:val="14333BA0"/>
    <w:rsid w:val="143C0CA7"/>
    <w:rsid w:val="144731A8"/>
    <w:rsid w:val="144813FA"/>
    <w:rsid w:val="14500381"/>
    <w:rsid w:val="146D271E"/>
    <w:rsid w:val="147C10A3"/>
    <w:rsid w:val="14830684"/>
    <w:rsid w:val="14977C8B"/>
    <w:rsid w:val="14982588"/>
    <w:rsid w:val="149A5AD9"/>
    <w:rsid w:val="149C1746"/>
    <w:rsid w:val="14A7619D"/>
    <w:rsid w:val="14E768F5"/>
    <w:rsid w:val="150536C3"/>
    <w:rsid w:val="150C1963"/>
    <w:rsid w:val="151447A0"/>
    <w:rsid w:val="152359C3"/>
    <w:rsid w:val="15325C06"/>
    <w:rsid w:val="15396F94"/>
    <w:rsid w:val="153F0F6E"/>
    <w:rsid w:val="15475B55"/>
    <w:rsid w:val="154A6454"/>
    <w:rsid w:val="15762120"/>
    <w:rsid w:val="15914BE7"/>
    <w:rsid w:val="15995C85"/>
    <w:rsid w:val="15B14DD0"/>
    <w:rsid w:val="15B30AF5"/>
    <w:rsid w:val="15D8055B"/>
    <w:rsid w:val="15DA2525"/>
    <w:rsid w:val="15F1161D"/>
    <w:rsid w:val="15FA34F8"/>
    <w:rsid w:val="160E4D29"/>
    <w:rsid w:val="16320B5C"/>
    <w:rsid w:val="163506CD"/>
    <w:rsid w:val="16A8729C"/>
    <w:rsid w:val="16B33777"/>
    <w:rsid w:val="16BC70A7"/>
    <w:rsid w:val="16C6339E"/>
    <w:rsid w:val="16F47617"/>
    <w:rsid w:val="16FE2244"/>
    <w:rsid w:val="172F2D79"/>
    <w:rsid w:val="174B2FAF"/>
    <w:rsid w:val="17557BEF"/>
    <w:rsid w:val="17A70B2D"/>
    <w:rsid w:val="17D349C1"/>
    <w:rsid w:val="17DF2075"/>
    <w:rsid w:val="180C6BE2"/>
    <w:rsid w:val="1830729E"/>
    <w:rsid w:val="1870062C"/>
    <w:rsid w:val="18817102"/>
    <w:rsid w:val="18830A15"/>
    <w:rsid w:val="18852B28"/>
    <w:rsid w:val="188B5321"/>
    <w:rsid w:val="18910B4E"/>
    <w:rsid w:val="18BA03EC"/>
    <w:rsid w:val="18FE477D"/>
    <w:rsid w:val="19151AC7"/>
    <w:rsid w:val="19793E03"/>
    <w:rsid w:val="19932372"/>
    <w:rsid w:val="19A20DD5"/>
    <w:rsid w:val="19AE03F1"/>
    <w:rsid w:val="19C24BC8"/>
    <w:rsid w:val="19CC4660"/>
    <w:rsid w:val="19CE6E5E"/>
    <w:rsid w:val="19E41BC5"/>
    <w:rsid w:val="1A071A03"/>
    <w:rsid w:val="1A1911BC"/>
    <w:rsid w:val="1A1F16AE"/>
    <w:rsid w:val="1A23520E"/>
    <w:rsid w:val="1A3B5C77"/>
    <w:rsid w:val="1A4268EB"/>
    <w:rsid w:val="1A46462D"/>
    <w:rsid w:val="1A472154"/>
    <w:rsid w:val="1A58610F"/>
    <w:rsid w:val="1A646862"/>
    <w:rsid w:val="1A984BAD"/>
    <w:rsid w:val="1AB8220E"/>
    <w:rsid w:val="1AC86859"/>
    <w:rsid w:val="1AE4166C"/>
    <w:rsid w:val="1AE44BBE"/>
    <w:rsid w:val="1AE9320B"/>
    <w:rsid w:val="1AF06CFB"/>
    <w:rsid w:val="1AF11B8D"/>
    <w:rsid w:val="1AF1784F"/>
    <w:rsid w:val="1B11359C"/>
    <w:rsid w:val="1B13595F"/>
    <w:rsid w:val="1B2837D2"/>
    <w:rsid w:val="1B2A271F"/>
    <w:rsid w:val="1B351FAC"/>
    <w:rsid w:val="1B527F1C"/>
    <w:rsid w:val="1B530544"/>
    <w:rsid w:val="1B713184"/>
    <w:rsid w:val="1BA209CF"/>
    <w:rsid w:val="1BAF4061"/>
    <w:rsid w:val="1BB4777D"/>
    <w:rsid w:val="1BD75AB8"/>
    <w:rsid w:val="1BE22A26"/>
    <w:rsid w:val="1C0459C2"/>
    <w:rsid w:val="1C1B3B4A"/>
    <w:rsid w:val="1C427A2B"/>
    <w:rsid w:val="1C5E0518"/>
    <w:rsid w:val="1C88086E"/>
    <w:rsid w:val="1CC45CDD"/>
    <w:rsid w:val="1CDF5485"/>
    <w:rsid w:val="1D185952"/>
    <w:rsid w:val="1D230C56"/>
    <w:rsid w:val="1D266CE1"/>
    <w:rsid w:val="1D373C47"/>
    <w:rsid w:val="1D3963AF"/>
    <w:rsid w:val="1D440BCC"/>
    <w:rsid w:val="1D6A673C"/>
    <w:rsid w:val="1D6D0123"/>
    <w:rsid w:val="1D9247AE"/>
    <w:rsid w:val="1D9B6A3E"/>
    <w:rsid w:val="1DB567EC"/>
    <w:rsid w:val="1DD42718"/>
    <w:rsid w:val="1DF51A98"/>
    <w:rsid w:val="1DF90EA1"/>
    <w:rsid w:val="1E0A5972"/>
    <w:rsid w:val="1E124827"/>
    <w:rsid w:val="1E3331C4"/>
    <w:rsid w:val="1E3D060F"/>
    <w:rsid w:val="1E3F7D2E"/>
    <w:rsid w:val="1E4134E4"/>
    <w:rsid w:val="1E4E1D03"/>
    <w:rsid w:val="1E5062B3"/>
    <w:rsid w:val="1E523514"/>
    <w:rsid w:val="1E6C03DB"/>
    <w:rsid w:val="1E714A66"/>
    <w:rsid w:val="1E802593"/>
    <w:rsid w:val="1E8B6156"/>
    <w:rsid w:val="1EA703CC"/>
    <w:rsid w:val="1EB7330C"/>
    <w:rsid w:val="1ED61CF8"/>
    <w:rsid w:val="1F0A0FF3"/>
    <w:rsid w:val="1F0B1D9E"/>
    <w:rsid w:val="1F32168E"/>
    <w:rsid w:val="1F3E1D77"/>
    <w:rsid w:val="1F5771FF"/>
    <w:rsid w:val="1F7D3D13"/>
    <w:rsid w:val="1F882FA8"/>
    <w:rsid w:val="1FC81641"/>
    <w:rsid w:val="1FE521F3"/>
    <w:rsid w:val="1FE868A9"/>
    <w:rsid w:val="20034907"/>
    <w:rsid w:val="20106966"/>
    <w:rsid w:val="20173E4B"/>
    <w:rsid w:val="204E48BC"/>
    <w:rsid w:val="206A6B9C"/>
    <w:rsid w:val="207417C9"/>
    <w:rsid w:val="20822C25"/>
    <w:rsid w:val="208921B3"/>
    <w:rsid w:val="20962966"/>
    <w:rsid w:val="20973DEB"/>
    <w:rsid w:val="20B26522"/>
    <w:rsid w:val="20B44310"/>
    <w:rsid w:val="20CA13E8"/>
    <w:rsid w:val="20E642FD"/>
    <w:rsid w:val="20F16975"/>
    <w:rsid w:val="211116EB"/>
    <w:rsid w:val="213351E0"/>
    <w:rsid w:val="21454407"/>
    <w:rsid w:val="21463165"/>
    <w:rsid w:val="216133FC"/>
    <w:rsid w:val="218C0A6C"/>
    <w:rsid w:val="21D4251F"/>
    <w:rsid w:val="21D50045"/>
    <w:rsid w:val="21D56769"/>
    <w:rsid w:val="21E52EF3"/>
    <w:rsid w:val="21FB5D7B"/>
    <w:rsid w:val="220B1C3D"/>
    <w:rsid w:val="221D1D20"/>
    <w:rsid w:val="222C1D3E"/>
    <w:rsid w:val="22334A87"/>
    <w:rsid w:val="22401962"/>
    <w:rsid w:val="22765384"/>
    <w:rsid w:val="22824FB7"/>
    <w:rsid w:val="22940A6D"/>
    <w:rsid w:val="22947F00"/>
    <w:rsid w:val="22BE6801"/>
    <w:rsid w:val="22C32593"/>
    <w:rsid w:val="22DB78DD"/>
    <w:rsid w:val="23224A7F"/>
    <w:rsid w:val="232C4819"/>
    <w:rsid w:val="23307C29"/>
    <w:rsid w:val="233500BF"/>
    <w:rsid w:val="23377FF7"/>
    <w:rsid w:val="23425BAE"/>
    <w:rsid w:val="234E00AF"/>
    <w:rsid w:val="236B425F"/>
    <w:rsid w:val="23836192"/>
    <w:rsid w:val="23901F29"/>
    <w:rsid w:val="239C0061"/>
    <w:rsid w:val="23B26890"/>
    <w:rsid w:val="23B908A4"/>
    <w:rsid w:val="23D61F79"/>
    <w:rsid w:val="23E7405F"/>
    <w:rsid w:val="23E95BEF"/>
    <w:rsid w:val="23EB3B50"/>
    <w:rsid w:val="23FD0064"/>
    <w:rsid w:val="24114070"/>
    <w:rsid w:val="24164E4D"/>
    <w:rsid w:val="2419690F"/>
    <w:rsid w:val="241E3F25"/>
    <w:rsid w:val="24303C58"/>
    <w:rsid w:val="243B4AD7"/>
    <w:rsid w:val="244B4CFE"/>
    <w:rsid w:val="245375B0"/>
    <w:rsid w:val="24642C0A"/>
    <w:rsid w:val="24883A94"/>
    <w:rsid w:val="249307DC"/>
    <w:rsid w:val="24B22173"/>
    <w:rsid w:val="24B95AD9"/>
    <w:rsid w:val="24BE24DA"/>
    <w:rsid w:val="24CF5825"/>
    <w:rsid w:val="24D663E6"/>
    <w:rsid w:val="24D77F2B"/>
    <w:rsid w:val="24ED586D"/>
    <w:rsid w:val="25007ACF"/>
    <w:rsid w:val="251B66B7"/>
    <w:rsid w:val="253D03DB"/>
    <w:rsid w:val="2542313F"/>
    <w:rsid w:val="25665B84"/>
    <w:rsid w:val="256F64AA"/>
    <w:rsid w:val="258B00E2"/>
    <w:rsid w:val="259B5C26"/>
    <w:rsid w:val="25A917A6"/>
    <w:rsid w:val="25BA5ED0"/>
    <w:rsid w:val="25BD1F10"/>
    <w:rsid w:val="25BE27CC"/>
    <w:rsid w:val="25C44B51"/>
    <w:rsid w:val="25D074A1"/>
    <w:rsid w:val="25DA50F2"/>
    <w:rsid w:val="25F74A5C"/>
    <w:rsid w:val="2628662C"/>
    <w:rsid w:val="262D45DE"/>
    <w:rsid w:val="264F1540"/>
    <w:rsid w:val="26871DC8"/>
    <w:rsid w:val="26A53EF9"/>
    <w:rsid w:val="26A94201"/>
    <w:rsid w:val="26AC274F"/>
    <w:rsid w:val="26B90E15"/>
    <w:rsid w:val="26F45411"/>
    <w:rsid w:val="26F74D67"/>
    <w:rsid w:val="27044A29"/>
    <w:rsid w:val="271D34C8"/>
    <w:rsid w:val="27335084"/>
    <w:rsid w:val="274243CE"/>
    <w:rsid w:val="27437E3D"/>
    <w:rsid w:val="274A6DDF"/>
    <w:rsid w:val="275168DE"/>
    <w:rsid w:val="276142BF"/>
    <w:rsid w:val="27783712"/>
    <w:rsid w:val="277B4669"/>
    <w:rsid w:val="27907362"/>
    <w:rsid w:val="279A5FD7"/>
    <w:rsid w:val="27C226C0"/>
    <w:rsid w:val="282D0BDB"/>
    <w:rsid w:val="28333E1D"/>
    <w:rsid w:val="28454BD6"/>
    <w:rsid w:val="28455253"/>
    <w:rsid w:val="28551971"/>
    <w:rsid w:val="285B1C53"/>
    <w:rsid w:val="288B5901"/>
    <w:rsid w:val="289E5635"/>
    <w:rsid w:val="289F7086"/>
    <w:rsid w:val="28C32028"/>
    <w:rsid w:val="28CC490F"/>
    <w:rsid w:val="28DE40AA"/>
    <w:rsid w:val="28F178BA"/>
    <w:rsid w:val="28F416F8"/>
    <w:rsid w:val="29003BF9"/>
    <w:rsid w:val="29345E48"/>
    <w:rsid w:val="29345E77"/>
    <w:rsid w:val="294C65AD"/>
    <w:rsid w:val="29606D8E"/>
    <w:rsid w:val="29806583"/>
    <w:rsid w:val="298B3C4C"/>
    <w:rsid w:val="299D3B3E"/>
    <w:rsid w:val="299F78B6"/>
    <w:rsid w:val="29A547A1"/>
    <w:rsid w:val="29C15A7E"/>
    <w:rsid w:val="29D07A70"/>
    <w:rsid w:val="29E74DB9"/>
    <w:rsid w:val="29E90E77"/>
    <w:rsid w:val="29F26D24"/>
    <w:rsid w:val="2A1200C5"/>
    <w:rsid w:val="2A15033F"/>
    <w:rsid w:val="2A1662C1"/>
    <w:rsid w:val="2A1C7367"/>
    <w:rsid w:val="2A2815FA"/>
    <w:rsid w:val="2A2E0C3A"/>
    <w:rsid w:val="2A4D4A65"/>
    <w:rsid w:val="2A6428AE"/>
    <w:rsid w:val="2A6A7F1A"/>
    <w:rsid w:val="2A6D6092"/>
    <w:rsid w:val="2A7D76B4"/>
    <w:rsid w:val="2ABC5A2A"/>
    <w:rsid w:val="2ACA307B"/>
    <w:rsid w:val="2AD4533E"/>
    <w:rsid w:val="2ADA1047"/>
    <w:rsid w:val="2AFB6D6E"/>
    <w:rsid w:val="2B1C4F36"/>
    <w:rsid w:val="2B437463"/>
    <w:rsid w:val="2B4B72F4"/>
    <w:rsid w:val="2B6B7CEF"/>
    <w:rsid w:val="2B6D12EE"/>
    <w:rsid w:val="2B715282"/>
    <w:rsid w:val="2B77770B"/>
    <w:rsid w:val="2B7807EE"/>
    <w:rsid w:val="2B873C21"/>
    <w:rsid w:val="2B931DF5"/>
    <w:rsid w:val="2BA50BF7"/>
    <w:rsid w:val="2BAB6CDC"/>
    <w:rsid w:val="2BB654CA"/>
    <w:rsid w:val="2BBF00EC"/>
    <w:rsid w:val="2BC37CFD"/>
    <w:rsid w:val="2BD5237F"/>
    <w:rsid w:val="2BE512DE"/>
    <w:rsid w:val="2BE536CE"/>
    <w:rsid w:val="2BE758D9"/>
    <w:rsid w:val="2C09049E"/>
    <w:rsid w:val="2C0A653C"/>
    <w:rsid w:val="2C191F85"/>
    <w:rsid w:val="2C19528B"/>
    <w:rsid w:val="2C275941"/>
    <w:rsid w:val="2C3368D3"/>
    <w:rsid w:val="2C5D5807"/>
    <w:rsid w:val="2C884632"/>
    <w:rsid w:val="2CE82D6F"/>
    <w:rsid w:val="2D0D0FDB"/>
    <w:rsid w:val="2D343236"/>
    <w:rsid w:val="2D4D13D7"/>
    <w:rsid w:val="2D6F75A0"/>
    <w:rsid w:val="2DBB4593"/>
    <w:rsid w:val="2DCC67A0"/>
    <w:rsid w:val="2DD15014"/>
    <w:rsid w:val="2DED6716"/>
    <w:rsid w:val="2DF72DE4"/>
    <w:rsid w:val="2DFB0E33"/>
    <w:rsid w:val="2E0220AF"/>
    <w:rsid w:val="2E312239"/>
    <w:rsid w:val="2E4B082A"/>
    <w:rsid w:val="2E4B3B69"/>
    <w:rsid w:val="2E5D4E86"/>
    <w:rsid w:val="2E5D790B"/>
    <w:rsid w:val="2E642E71"/>
    <w:rsid w:val="2E652751"/>
    <w:rsid w:val="2E6B420B"/>
    <w:rsid w:val="2E9A3C18"/>
    <w:rsid w:val="2EAD65D1"/>
    <w:rsid w:val="2EBB0FEE"/>
    <w:rsid w:val="2EC63002"/>
    <w:rsid w:val="2F0A6B38"/>
    <w:rsid w:val="2F297691"/>
    <w:rsid w:val="2F2B6BEA"/>
    <w:rsid w:val="2F4744A7"/>
    <w:rsid w:val="2F5922B5"/>
    <w:rsid w:val="2F5A7DDB"/>
    <w:rsid w:val="2F656EAC"/>
    <w:rsid w:val="2F946CCB"/>
    <w:rsid w:val="2FBB4D1E"/>
    <w:rsid w:val="2FC31E25"/>
    <w:rsid w:val="2FCF2577"/>
    <w:rsid w:val="2FD25781"/>
    <w:rsid w:val="2FD47B8E"/>
    <w:rsid w:val="2FEE50F3"/>
    <w:rsid w:val="2FFD7934"/>
    <w:rsid w:val="30247897"/>
    <w:rsid w:val="302F3957"/>
    <w:rsid w:val="303F594F"/>
    <w:rsid w:val="304C3BC8"/>
    <w:rsid w:val="30676C54"/>
    <w:rsid w:val="30733ACD"/>
    <w:rsid w:val="308C3862"/>
    <w:rsid w:val="309379D8"/>
    <w:rsid w:val="309F1F4A"/>
    <w:rsid w:val="30A270F7"/>
    <w:rsid w:val="30AD0B0B"/>
    <w:rsid w:val="30DF1478"/>
    <w:rsid w:val="30E402A4"/>
    <w:rsid w:val="30E81B43"/>
    <w:rsid w:val="30EB1633"/>
    <w:rsid w:val="30EC586F"/>
    <w:rsid w:val="311375ED"/>
    <w:rsid w:val="3148438F"/>
    <w:rsid w:val="31745184"/>
    <w:rsid w:val="319C6071"/>
    <w:rsid w:val="31AC537E"/>
    <w:rsid w:val="31D9592F"/>
    <w:rsid w:val="31E3679B"/>
    <w:rsid w:val="31E732FD"/>
    <w:rsid w:val="31F12C79"/>
    <w:rsid w:val="320F43FF"/>
    <w:rsid w:val="323777C6"/>
    <w:rsid w:val="32517576"/>
    <w:rsid w:val="32747406"/>
    <w:rsid w:val="327E7D9E"/>
    <w:rsid w:val="32A64673"/>
    <w:rsid w:val="32AE0B6A"/>
    <w:rsid w:val="32BE5C2C"/>
    <w:rsid w:val="32C83002"/>
    <w:rsid w:val="32D3237F"/>
    <w:rsid w:val="32FB6478"/>
    <w:rsid w:val="3303601C"/>
    <w:rsid w:val="331A3B6C"/>
    <w:rsid w:val="33263B3F"/>
    <w:rsid w:val="33446DD8"/>
    <w:rsid w:val="334B460B"/>
    <w:rsid w:val="336456CD"/>
    <w:rsid w:val="336963EB"/>
    <w:rsid w:val="33791178"/>
    <w:rsid w:val="337B3785"/>
    <w:rsid w:val="337F42B4"/>
    <w:rsid w:val="33816EEB"/>
    <w:rsid w:val="33B65F28"/>
    <w:rsid w:val="33E12879"/>
    <w:rsid w:val="33EB55CD"/>
    <w:rsid w:val="33EC4C02"/>
    <w:rsid w:val="33FE7475"/>
    <w:rsid w:val="340D2360"/>
    <w:rsid w:val="3410665D"/>
    <w:rsid w:val="34211214"/>
    <w:rsid w:val="342E63AB"/>
    <w:rsid w:val="344924A8"/>
    <w:rsid w:val="346C65E7"/>
    <w:rsid w:val="348558FB"/>
    <w:rsid w:val="34950E68"/>
    <w:rsid w:val="349618B6"/>
    <w:rsid w:val="34986E94"/>
    <w:rsid w:val="34AF62C9"/>
    <w:rsid w:val="34CB4388"/>
    <w:rsid w:val="34E95E89"/>
    <w:rsid w:val="34FA6E12"/>
    <w:rsid w:val="35390E3C"/>
    <w:rsid w:val="354237EC"/>
    <w:rsid w:val="354D7158"/>
    <w:rsid w:val="358D5588"/>
    <w:rsid w:val="35BF6BEA"/>
    <w:rsid w:val="35C81134"/>
    <w:rsid w:val="35CB1A33"/>
    <w:rsid w:val="361E5AEF"/>
    <w:rsid w:val="363A3B40"/>
    <w:rsid w:val="364C5153"/>
    <w:rsid w:val="365302AE"/>
    <w:rsid w:val="36607A0A"/>
    <w:rsid w:val="366E227C"/>
    <w:rsid w:val="366F2E0D"/>
    <w:rsid w:val="367B6A5C"/>
    <w:rsid w:val="36A74ADA"/>
    <w:rsid w:val="36AD60D5"/>
    <w:rsid w:val="36B224F9"/>
    <w:rsid w:val="36B424C7"/>
    <w:rsid w:val="36EC0CC9"/>
    <w:rsid w:val="373553B6"/>
    <w:rsid w:val="373F410B"/>
    <w:rsid w:val="376E08C8"/>
    <w:rsid w:val="377A54BF"/>
    <w:rsid w:val="377C4D93"/>
    <w:rsid w:val="37C34D5B"/>
    <w:rsid w:val="37EE7094"/>
    <w:rsid w:val="38044D88"/>
    <w:rsid w:val="38286CC9"/>
    <w:rsid w:val="38296C89"/>
    <w:rsid w:val="383002EB"/>
    <w:rsid w:val="383C493E"/>
    <w:rsid w:val="383F6FC1"/>
    <w:rsid w:val="384C481B"/>
    <w:rsid w:val="38586797"/>
    <w:rsid w:val="38BC0149"/>
    <w:rsid w:val="38D87D1C"/>
    <w:rsid w:val="39107C23"/>
    <w:rsid w:val="3914549F"/>
    <w:rsid w:val="395C1320"/>
    <w:rsid w:val="39636459"/>
    <w:rsid w:val="396B7F6C"/>
    <w:rsid w:val="399A59A4"/>
    <w:rsid w:val="39A6259B"/>
    <w:rsid w:val="39B0341A"/>
    <w:rsid w:val="39B417A9"/>
    <w:rsid w:val="39FC5695"/>
    <w:rsid w:val="3A006D8E"/>
    <w:rsid w:val="3A1E0383"/>
    <w:rsid w:val="3A3651E5"/>
    <w:rsid w:val="3A40479E"/>
    <w:rsid w:val="3A43428E"/>
    <w:rsid w:val="3A4A73CA"/>
    <w:rsid w:val="3A4B3142"/>
    <w:rsid w:val="3A744481"/>
    <w:rsid w:val="3A7A7DC8"/>
    <w:rsid w:val="3A8C7BEF"/>
    <w:rsid w:val="3A906246"/>
    <w:rsid w:val="3AC21656"/>
    <w:rsid w:val="3AC86C20"/>
    <w:rsid w:val="3ACC7DDF"/>
    <w:rsid w:val="3AD41619"/>
    <w:rsid w:val="3AEE4BF7"/>
    <w:rsid w:val="3B2349B7"/>
    <w:rsid w:val="3B616CFF"/>
    <w:rsid w:val="3B6259F6"/>
    <w:rsid w:val="3B677B08"/>
    <w:rsid w:val="3B697D24"/>
    <w:rsid w:val="3B7751AF"/>
    <w:rsid w:val="3B787957"/>
    <w:rsid w:val="3B9558B0"/>
    <w:rsid w:val="3B976654"/>
    <w:rsid w:val="3BC01EFC"/>
    <w:rsid w:val="3BCA786A"/>
    <w:rsid w:val="3BD31E2F"/>
    <w:rsid w:val="3BF15831"/>
    <w:rsid w:val="3C0417FB"/>
    <w:rsid w:val="3C105946"/>
    <w:rsid w:val="3C340332"/>
    <w:rsid w:val="3C3F75D5"/>
    <w:rsid w:val="3C471448"/>
    <w:rsid w:val="3C597D99"/>
    <w:rsid w:val="3C5F759A"/>
    <w:rsid w:val="3C601127"/>
    <w:rsid w:val="3C6C525A"/>
    <w:rsid w:val="3CAE7CE5"/>
    <w:rsid w:val="3CBF11A5"/>
    <w:rsid w:val="3CC96EA4"/>
    <w:rsid w:val="3CCE23CB"/>
    <w:rsid w:val="3CD17D17"/>
    <w:rsid w:val="3CDD2778"/>
    <w:rsid w:val="3CEA6C43"/>
    <w:rsid w:val="3CED04E1"/>
    <w:rsid w:val="3D320741"/>
    <w:rsid w:val="3D330DC4"/>
    <w:rsid w:val="3D3C7F39"/>
    <w:rsid w:val="3D440F09"/>
    <w:rsid w:val="3D4504A0"/>
    <w:rsid w:val="3D69400B"/>
    <w:rsid w:val="3D712EC0"/>
    <w:rsid w:val="3D8734BB"/>
    <w:rsid w:val="3D9A11D4"/>
    <w:rsid w:val="3DA16D89"/>
    <w:rsid w:val="3DA364BE"/>
    <w:rsid w:val="3DB66340"/>
    <w:rsid w:val="3DC94AAA"/>
    <w:rsid w:val="3DE041CB"/>
    <w:rsid w:val="3DE23DBE"/>
    <w:rsid w:val="3DE43692"/>
    <w:rsid w:val="3DE6565C"/>
    <w:rsid w:val="3E031B5F"/>
    <w:rsid w:val="3E0D48F6"/>
    <w:rsid w:val="3E1868B4"/>
    <w:rsid w:val="3E280DC0"/>
    <w:rsid w:val="3E344619"/>
    <w:rsid w:val="3E377251"/>
    <w:rsid w:val="3E42664B"/>
    <w:rsid w:val="3E5A7334"/>
    <w:rsid w:val="3E5C591E"/>
    <w:rsid w:val="3E7B5D6B"/>
    <w:rsid w:val="3E843E66"/>
    <w:rsid w:val="3E8F51FE"/>
    <w:rsid w:val="3E926F87"/>
    <w:rsid w:val="3E9A59DE"/>
    <w:rsid w:val="3EAF4836"/>
    <w:rsid w:val="3EB70DA6"/>
    <w:rsid w:val="3EC33DFA"/>
    <w:rsid w:val="3EDC6A5F"/>
    <w:rsid w:val="3EEA117C"/>
    <w:rsid w:val="3EF24D05"/>
    <w:rsid w:val="3F033FEC"/>
    <w:rsid w:val="3F060E16"/>
    <w:rsid w:val="3F1D1096"/>
    <w:rsid w:val="3F2F0234"/>
    <w:rsid w:val="3F310B59"/>
    <w:rsid w:val="3F4D34B9"/>
    <w:rsid w:val="3F6363FE"/>
    <w:rsid w:val="3F6F78D3"/>
    <w:rsid w:val="3F756B8F"/>
    <w:rsid w:val="3F7D3BEB"/>
    <w:rsid w:val="3F95482B"/>
    <w:rsid w:val="3F964E60"/>
    <w:rsid w:val="3FCF3656"/>
    <w:rsid w:val="400022D9"/>
    <w:rsid w:val="40183AC7"/>
    <w:rsid w:val="4019356B"/>
    <w:rsid w:val="404C17AC"/>
    <w:rsid w:val="40592157"/>
    <w:rsid w:val="405A40DF"/>
    <w:rsid w:val="406E1CAE"/>
    <w:rsid w:val="40842F0A"/>
    <w:rsid w:val="408F5331"/>
    <w:rsid w:val="40A0133A"/>
    <w:rsid w:val="40C31A53"/>
    <w:rsid w:val="40CF687B"/>
    <w:rsid w:val="40FF545D"/>
    <w:rsid w:val="410067C8"/>
    <w:rsid w:val="414D77A0"/>
    <w:rsid w:val="415B010F"/>
    <w:rsid w:val="41764F49"/>
    <w:rsid w:val="418F0D2A"/>
    <w:rsid w:val="41AE4707"/>
    <w:rsid w:val="41C05B83"/>
    <w:rsid w:val="41D01505"/>
    <w:rsid w:val="41D57EC1"/>
    <w:rsid w:val="41E41EB2"/>
    <w:rsid w:val="41F34BAD"/>
    <w:rsid w:val="424566C9"/>
    <w:rsid w:val="42462B6D"/>
    <w:rsid w:val="42474939"/>
    <w:rsid w:val="424C3C57"/>
    <w:rsid w:val="42613FF3"/>
    <w:rsid w:val="42644F0C"/>
    <w:rsid w:val="42660D96"/>
    <w:rsid w:val="428667D2"/>
    <w:rsid w:val="428C60A6"/>
    <w:rsid w:val="429C09DF"/>
    <w:rsid w:val="42CD1CE0"/>
    <w:rsid w:val="42E1381E"/>
    <w:rsid w:val="42ED6459"/>
    <w:rsid w:val="42FE58DD"/>
    <w:rsid w:val="43010842"/>
    <w:rsid w:val="430345BA"/>
    <w:rsid w:val="430640AA"/>
    <w:rsid w:val="430F11B1"/>
    <w:rsid w:val="43174B3D"/>
    <w:rsid w:val="4346094B"/>
    <w:rsid w:val="434B790E"/>
    <w:rsid w:val="4360274F"/>
    <w:rsid w:val="43612E6A"/>
    <w:rsid w:val="43664B49"/>
    <w:rsid w:val="43754D8C"/>
    <w:rsid w:val="43770B04"/>
    <w:rsid w:val="43977AB6"/>
    <w:rsid w:val="43A3342B"/>
    <w:rsid w:val="43B835F7"/>
    <w:rsid w:val="43B93E5A"/>
    <w:rsid w:val="43C77C27"/>
    <w:rsid w:val="43DD40A0"/>
    <w:rsid w:val="43DE09EE"/>
    <w:rsid w:val="44002FAD"/>
    <w:rsid w:val="4430589B"/>
    <w:rsid w:val="44380293"/>
    <w:rsid w:val="44427B83"/>
    <w:rsid w:val="444924A1"/>
    <w:rsid w:val="44564BBE"/>
    <w:rsid w:val="445D419E"/>
    <w:rsid w:val="449101DD"/>
    <w:rsid w:val="449D00C3"/>
    <w:rsid w:val="44A21BB1"/>
    <w:rsid w:val="44BF2763"/>
    <w:rsid w:val="44DE1391"/>
    <w:rsid w:val="44E63512"/>
    <w:rsid w:val="450C4287"/>
    <w:rsid w:val="45156827"/>
    <w:rsid w:val="451B225C"/>
    <w:rsid w:val="452410C9"/>
    <w:rsid w:val="45317DFB"/>
    <w:rsid w:val="456D3CE4"/>
    <w:rsid w:val="4579042C"/>
    <w:rsid w:val="457F0571"/>
    <w:rsid w:val="45837C34"/>
    <w:rsid w:val="45851176"/>
    <w:rsid w:val="458F3E4A"/>
    <w:rsid w:val="45A532AA"/>
    <w:rsid w:val="45A858ED"/>
    <w:rsid w:val="45C344D5"/>
    <w:rsid w:val="45C63B94"/>
    <w:rsid w:val="45C82CE2"/>
    <w:rsid w:val="45FB1105"/>
    <w:rsid w:val="460E7DA5"/>
    <w:rsid w:val="46422483"/>
    <w:rsid w:val="464D0671"/>
    <w:rsid w:val="4659254A"/>
    <w:rsid w:val="465B0637"/>
    <w:rsid w:val="465E3F0D"/>
    <w:rsid w:val="46603AD2"/>
    <w:rsid w:val="4665558C"/>
    <w:rsid w:val="466A16E6"/>
    <w:rsid w:val="466C2B34"/>
    <w:rsid w:val="46893F2B"/>
    <w:rsid w:val="46916381"/>
    <w:rsid w:val="46AE0CE1"/>
    <w:rsid w:val="46BD0F24"/>
    <w:rsid w:val="46C4686E"/>
    <w:rsid w:val="46CD4FD5"/>
    <w:rsid w:val="46F04E55"/>
    <w:rsid w:val="46F84C65"/>
    <w:rsid w:val="46FE788D"/>
    <w:rsid w:val="472F0FFA"/>
    <w:rsid w:val="47555600"/>
    <w:rsid w:val="475E6263"/>
    <w:rsid w:val="476E221E"/>
    <w:rsid w:val="47775FB9"/>
    <w:rsid w:val="477B778F"/>
    <w:rsid w:val="478203EC"/>
    <w:rsid w:val="47B025FA"/>
    <w:rsid w:val="47E77F9C"/>
    <w:rsid w:val="4809698F"/>
    <w:rsid w:val="4811697D"/>
    <w:rsid w:val="48253225"/>
    <w:rsid w:val="486E0728"/>
    <w:rsid w:val="487A3E25"/>
    <w:rsid w:val="488B5503"/>
    <w:rsid w:val="488F1049"/>
    <w:rsid w:val="48937E21"/>
    <w:rsid w:val="489A0361"/>
    <w:rsid w:val="48B94FF3"/>
    <w:rsid w:val="48C26CC5"/>
    <w:rsid w:val="48E37AAB"/>
    <w:rsid w:val="48F30C2D"/>
    <w:rsid w:val="48FD4B4C"/>
    <w:rsid w:val="490A68E0"/>
    <w:rsid w:val="491055FE"/>
    <w:rsid w:val="49331390"/>
    <w:rsid w:val="493C6A78"/>
    <w:rsid w:val="494C24B5"/>
    <w:rsid w:val="49573BE3"/>
    <w:rsid w:val="495F5B3E"/>
    <w:rsid w:val="496F77D7"/>
    <w:rsid w:val="497654FD"/>
    <w:rsid w:val="49971F00"/>
    <w:rsid w:val="499E328F"/>
    <w:rsid w:val="49B02FC2"/>
    <w:rsid w:val="49B64211"/>
    <w:rsid w:val="49F6167F"/>
    <w:rsid w:val="49F904C5"/>
    <w:rsid w:val="4A064FA0"/>
    <w:rsid w:val="4A16615C"/>
    <w:rsid w:val="4A1B6EFD"/>
    <w:rsid w:val="4A2663F2"/>
    <w:rsid w:val="4A2A5AFD"/>
    <w:rsid w:val="4A4424D7"/>
    <w:rsid w:val="4A9425D2"/>
    <w:rsid w:val="4A9B0079"/>
    <w:rsid w:val="4AB82D0F"/>
    <w:rsid w:val="4AD60806"/>
    <w:rsid w:val="4AEB7664"/>
    <w:rsid w:val="4AF72D23"/>
    <w:rsid w:val="4AF84C20"/>
    <w:rsid w:val="4AFD7C19"/>
    <w:rsid w:val="4B005883"/>
    <w:rsid w:val="4B0567D1"/>
    <w:rsid w:val="4B236AAE"/>
    <w:rsid w:val="4B41632B"/>
    <w:rsid w:val="4B6C4CC7"/>
    <w:rsid w:val="4B707271"/>
    <w:rsid w:val="4B9739F7"/>
    <w:rsid w:val="4B9C55AC"/>
    <w:rsid w:val="4BBC6EDA"/>
    <w:rsid w:val="4BDC009E"/>
    <w:rsid w:val="4BEE2503"/>
    <w:rsid w:val="4C003D8D"/>
    <w:rsid w:val="4C0B2731"/>
    <w:rsid w:val="4C245A30"/>
    <w:rsid w:val="4C39729F"/>
    <w:rsid w:val="4C44192C"/>
    <w:rsid w:val="4C676029"/>
    <w:rsid w:val="4C83676C"/>
    <w:rsid w:val="4CB6685F"/>
    <w:rsid w:val="4CB72A04"/>
    <w:rsid w:val="4CC22665"/>
    <w:rsid w:val="4CC367FE"/>
    <w:rsid w:val="4D077F3C"/>
    <w:rsid w:val="4D123355"/>
    <w:rsid w:val="4D2A3B31"/>
    <w:rsid w:val="4D2E66D8"/>
    <w:rsid w:val="4D312C52"/>
    <w:rsid w:val="4D381304"/>
    <w:rsid w:val="4D4742B5"/>
    <w:rsid w:val="4D4E277F"/>
    <w:rsid w:val="4D602609"/>
    <w:rsid w:val="4D8409ED"/>
    <w:rsid w:val="4D905305"/>
    <w:rsid w:val="4D964A72"/>
    <w:rsid w:val="4D9C1254"/>
    <w:rsid w:val="4DC4703C"/>
    <w:rsid w:val="4DDF3E76"/>
    <w:rsid w:val="4DEA0673"/>
    <w:rsid w:val="4E305CD9"/>
    <w:rsid w:val="4E793892"/>
    <w:rsid w:val="4E800872"/>
    <w:rsid w:val="4EC569ED"/>
    <w:rsid w:val="4ECA68D4"/>
    <w:rsid w:val="4ED50EA1"/>
    <w:rsid w:val="4ED96B17"/>
    <w:rsid w:val="4EDF237F"/>
    <w:rsid w:val="4EEC050C"/>
    <w:rsid w:val="4F0022F6"/>
    <w:rsid w:val="4F0B583E"/>
    <w:rsid w:val="4F104EC3"/>
    <w:rsid w:val="4F47354A"/>
    <w:rsid w:val="4F5148FF"/>
    <w:rsid w:val="4F530677"/>
    <w:rsid w:val="4F6665FD"/>
    <w:rsid w:val="4F7003C5"/>
    <w:rsid w:val="4F911C54"/>
    <w:rsid w:val="4FA47125"/>
    <w:rsid w:val="4FA73FB3"/>
    <w:rsid w:val="4FBA6948"/>
    <w:rsid w:val="4FE237A9"/>
    <w:rsid w:val="4FE625E0"/>
    <w:rsid w:val="4FE62AD6"/>
    <w:rsid w:val="500F0A42"/>
    <w:rsid w:val="5021480F"/>
    <w:rsid w:val="503E1327"/>
    <w:rsid w:val="50962ECB"/>
    <w:rsid w:val="50A42E38"/>
    <w:rsid w:val="50A4577F"/>
    <w:rsid w:val="50B73D1F"/>
    <w:rsid w:val="50BD5BC9"/>
    <w:rsid w:val="50C11EEE"/>
    <w:rsid w:val="50E97CFC"/>
    <w:rsid w:val="50FA4028"/>
    <w:rsid w:val="510D65B7"/>
    <w:rsid w:val="511157AB"/>
    <w:rsid w:val="51204589"/>
    <w:rsid w:val="513220D6"/>
    <w:rsid w:val="5142540C"/>
    <w:rsid w:val="514E7348"/>
    <w:rsid w:val="51532BB1"/>
    <w:rsid w:val="518832C8"/>
    <w:rsid w:val="51A0432A"/>
    <w:rsid w:val="51A86090"/>
    <w:rsid w:val="51B51175"/>
    <w:rsid w:val="51B7396D"/>
    <w:rsid w:val="51D80FB3"/>
    <w:rsid w:val="51F779E0"/>
    <w:rsid w:val="522E4CC3"/>
    <w:rsid w:val="5244713B"/>
    <w:rsid w:val="52552958"/>
    <w:rsid w:val="52615633"/>
    <w:rsid w:val="526419DD"/>
    <w:rsid w:val="5285323E"/>
    <w:rsid w:val="52977FD4"/>
    <w:rsid w:val="529E225B"/>
    <w:rsid w:val="52A25790"/>
    <w:rsid w:val="52A96B6F"/>
    <w:rsid w:val="52AA6800"/>
    <w:rsid w:val="52AB07CA"/>
    <w:rsid w:val="52AC6214"/>
    <w:rsid w:val="52B45975"/>
    <w:rsid w:val="52B92EE7"/>
    <w:rsid w:val="52D94AA4"/>
    <w:rsid w:val="52EA3A62"/>
    <w:rsid w:val="52F50BB8"/>
    <w:rsid w:val="53097272"/>
    <w:rsid w:val="530F0D59"/>
    <w:rsid w:val="531243A6"/>
    <w:rsid w:val="53155374"/>
    <w:rsid w:val="53161566"/>
    <w:rsid w:val="531E5743"/>
    <w:rsid w:val="53426A39"/>
    <w:rsid w:val="53544462"/>
    <w:rsid w:val="53654A3B"/>
    <w:rsid w:val="53682217"/>
    <w:rsid w:val="53864448"/>
    <w:rsid w:val="5397158E"/>
    <w:rsid w:val="53A14298"/>
    <w:rsid w:val="53A82AA8"/>
    <w:rsid w:val="53AB0A82"/>
    <w:rsid w:val="53CB1124"/>
    <w:rsid w:val="53CC09F8"/>
    <w:rsid w:val="53CC21CF"/>
    <w:rsid w:val="53E45D42"/>
    <w:rsid w:val="53ED1CCF"/>
    <w:rsid w:val="54013861"/>
    <w:rsid w:val="540E4BBB"/>
    <w:rsid w:val="54210D44"/>
    <w:rsid w:val="54224B5B"/>
    <w:rsid w:val="543A44C4"/>
    <w:rsid w:val="54442C85"/>
    <w:rsid w:val="54487265"/>
    <w:rsid w:val="544D6070"/>
    <w:rsid w:val="54605E1E"/>
    <w:rsid w:val="54646E83"/>
    <w:rsid w:val="54696247"/>
    <w:rsid w:val="547A48F8"/>
    <w:rsid w:val="54860EF0"/>
    <w:rsid w:val="54B3506A"/>
    <w:rsid w:val="54CA0D16"/>
    <w:rsid w:val="54CF07A0"/>
    <w:rsid w:val="54DD4057"/>
    <w:rsid w:val="54E7490F"/>
    <w:rsid w:val="55061018"/>
    <w:rsid w:val="550764A4"/>
    <w:rsid w:val="550B2BF6"/>
    <w:rsid w:val="55214EB5"/>
    <w:rsid w:val="55364EFD"/>
    <w:rsid w:val="55517407"/>
    <w:rsid w:val="555313D1"/>
    <w:rsid w:val="555D4828"/>
    <w:rsid w:val="557A4C8B"/>
    <w:rsid w:val="5583158B"/>
    <w:rsid w:val="558931E1"/>
    <w:rsid w:val="558A0B6B"/>
    <w:rsid w:val="55923347"/>
    <w:rsid w:val="55925180"/>
    <w:rsid w:val="55983B1B"/>
    <w:rsid w:val="55A8376B"/>
    <w:rsid w:val="55B55BE8"/>
    <w:rsid w:val="55D41DE6"/>
    <w:rsid w:val="55DC29B6"/>
    <w:rsid w:val="55DD4241"/>
    <w:rsid w:val="55F61D5C"/>
    <w:rsid w:val="55FB7373"/>
    <w:rsid w:val="56101070"/>
    <w:rsid w:val="5627460C"/>
    <w:rsid w:val="56496330"/>
    <w:rsid w:val="564B6067"/>
    <w:rsid w:val="564E3947"/>
    <w:rsid w:val="566B6D1E"/>
    <w:rsid w:val="567809C3"/>
    <w:rsid w:val="567E5695"/>
    <w:rsid w:val="569E129D"/>
    <w:rsid w:val="56AE2637"/>
    <w:rsid w:val="57032A2C"/>
    <w:rsid w:val="570F5219"/>
    <w:rsid w:val="571B5F1F"/>
    <w:rsid w:val="57572CCF"/>
    <w:rsid w:val="575D12B5"/>
    <w:rsid w:val="57610A87"/>
    <w:rsid w:val="57633422"/>
    <w:rsid w:val="577B1140"/>
    <w:rsid w:val="577B7F21"/>
    <w:rsid w:val="577F181B"/>
    <w:rsid w:val="57882E88"/>
    <w:rsid w:val="57921984"/>
    <w:rsid w:val="579737F0"/>
    <w:rsid w:val="579A4ED2"/>
    <w:rsid w:val="579C1A7C"/>
    <w:rsid w:val="57AB7B30"/>
    <w:rsid w:val="57AC4C45"/>
    <w:rsid w:val="57AF5251"/>
    <w:rsid w:val="57B26373"/>
    <w:rsid w:val="57B343A9"/>
    <w:rsid w:val="57B63F04"/>
    <w:rsid w:val="57BD5E9A"/>
    <w:rsid w:val="57CD20C2"/>
    <w:rsid w:val="57D675AB"/>
    <w:rsid w:val="57D95FDD"/>
    <w:rsid w:val="58047FBA"/>
    <w:rsid w:val="5809221B"/>
    <w:rsid w:val="58134E48"/>
    <w:rsid w:val="584414A5"/>
    <w:rsid w:val="587D0513"/>
    <w:rsid w:val="588D4BFA"/>
    <w:rsid w:val="58917D2F"/>
    <w:rsid w:val="5894085C"/>
    <w:rsid w:val="589E4C5C"/>
    <w:rsid w:val="589F3D31"/>
    <w:rsid w:val="58AE4F0C"/>
    <w:rsid w:val="58AF34FE"/>
    <w:rsid w:val="58B85899"/>
    <w:rsid w:val="58CA7BFC"/>
    <w:rsid w:val="58D2085F"/>
    <w:rsid w:val="58D81BED"/>
    <w:rsid w:val="58E363A9"/>
    <w:rsid w:val="591075D9"/>
    <w:rsid w:val="595E1678"/>
    <w:rsid w:val="596D5BD4"/>
    <w:rsid w:val="597E3DD8"/>
    <w:rsid w:val="599124C8"/>
    <w:rsid w:val="59926240"/>
    <w:rsid w:val="59A3044D"/>
    <w:rsid w:val="59AE50D6"/>
    <w:rsid w:val="59CA3C2C"/>
    <w:rsid w:val="59D16D68"/>
    <w:rsid w:val="59E52814"/>
    <w:rsid w:val="59F738EE"/>
    <w:rsid w:val="59F80043"/>
    <w:rsid w:val="5A09252F"/>
    <w:rsid w:val="5A0B2778"/>
    <w:rsid w:val="5A1E1882"/>
    <w:rsid w:val="5A22220C"/>
    <w:rsid w:val="5A2A7C7B"/>
    <w:rsid w:val="5A3E2560"/>
    <w:rsid w:val="5A5D3B6E"/>
    <w:rsid w:val="5A637A76"/>
    <w:rsid w:val="5A6D33BA"/>
    <w:rsid w:val="5A792B1F"/>
    <w:rsid w:val="5A805EA5"/>
    <w:rsid w:val="5A874767"/>
    <w:rsid w:val="5A91789C"/>
    <w:rsid w:val="5AA35734"/>
    <w:rsid w:val="5AA85BE2"/>
    <w:rsid w:val="5AAD6F28"/>
    <w:rsid w:val="5ABA3CA0"/>
    <w:rsid w:val="5AD63A24"/>
    <w:rsid w:val="5B2E1A1D"/>
    <w:rsid w:val="5B7025B1"/>
    <w:rsid w:val="5B7812FD"/>
    <w:rsid w:val="5B81656C"/>
    <w:rsid w:val="5B843A1C"/>
    <w:rsid w:val="5B873E3F"/>
    <w:rsid w:val="5B893675"/>
    <w:rsid w:val="5BA65FD3"/>
    <w:rsid w:val="5BB35E70"/>
    <w:rsid w:val="5BCA1CC1"/>
    <w:rsid w:val="5BE268F4"/>
    <w:rsid w:val="5C02690E"/>
    <w:rsid w:val="5C0D4152"/>
    <w:rsid w:val="5C196DA7"/>
    <w:rsid w:val="5C2A048C"/>
    <w:rsid w:val="5C313AEE"/>
    <w:rsid w:val="5C3B496D"/>
    <w:rsid w:val="5C4E46A0"/>
    <w:rsid w:val="5C5C2DB9"/>
    <w:rsid w:val="5C80234E"/>
    <w:rsid w:val="5C8A680C"/>
    <w:rsid w:val="5CA6628A"/>
    <w:rsid w:val="5CCE57E1"/>
    <w:rsid w:val="5CD146D7"/>
    <w:rsid w:val="5CFA2255"/>
    <w:rsid w:val="5D0C4701"/>
    <w:rsid w:val="5D0F0395"/>
    <w:rsid w:val="5D221076"/>
    <w:rsid w:val="5D355860"/>
    <w:rsid w:val="5D397964"/>
    <w:rsid w:val="5D3C0FBC"/>
    <w:rsid w:val="5D5A391C"/>
    <w:rsid w:val="5D5F10C0"/>
    <w:rsid w:val="5D63417B"/>
    <w:rsid w:val="5D891B7B"/>
    <w:rsid w:val="5DA50ADA"/>
    <w:rsid w:val="5DAD38EE"/>
    <w:rsid w:val="5DAF3B8B"/>
    <w:rsid w:val="5DCC147A"/>
    <w:rsid w:val="5E006862"/>
    <w:rsid w:val="5E0207B9"/>
    <w:rsid w:val="5E1834A1"/>
    <w:rsid w:val="5E1C257C"/>
    <w:rsid w:val="5E261785"/>
    <w:rsid w:val="5E43273F"/>
    <w:rsid w:val="5E4A7017"/>
    <w:rsid w:val="5E4E6BDA"/>
    <w:rsid w:val="5E552BBA"/>
    <w:rsid w:val="5E5B30A5"/>
    <w:rsid w:val="5E611C10"/>
    <w:rsid w:val="5E745F14"/>
    <w:rsid w:val="5E7A0F3F"/>
    <w:rsid w:val="5E956320"/>
    <w:rsid w:val="5ED6097D"/>
    <w:rsid w:val="5EE237C6"/>
    <w:rsid w:val="5EEC63F2"/>
    <w:rsid w:val="5EFC7377"/>
    <w:rsid w:val="5F012A1A"/>
    <w:rsid w:val="5F06174D"/>
    <w:rsid w:val="5F0C439F"/>
    <w:rsid w:val="5F3A3602"/>
    <w:rsid w:val="5F45733B"/>
    <w:rsid w:val="5F6277C6"/>
    <w:rsid w:val="5F6D0B1D"/>
    <w:rsid w:val="5F8403D9"/>
    <w:rsid w:val="5F8D0B82"/>
    <w:rsid w:val="5F9A7BFD"/>
    <w:rsid w:val="5FAA42E4"/>
    <w:rsid w:val="5FAD1AF7"/>
    <w:rsid w:val="5FAD6DF1"/>
    <w:rsid w:val="5FC9079D"/>
    <w:rsid w:val="5FCC5339"/>
    <w:rsid w:val="5FE34A5B"/>
    <w:rsid w:val="5FF11F12"/>
    <w:rsid w:val="5FFE04A8"/>
    <w:rsid w:val="5FFE1E36"/>
    <w:rsid w:val="60003F04"/>
    <w:rsid w:val="600A3B2D"/>
    <w:rsid w:val="60232584"/>
    <w:rsid w:val="603E4A2C"/>
    <w:rsid w:val="604A1623"/>
    <w:rsid w:val="604A628F"/>
    <w:rsid w:val="605864BB"/>
    <w:rsid w:val="605E50CE"/>
    <w:rsid w:val="606324F0"/>
    <w:rsid w:val="607330CE"/>
    <w:rsid w:val="60825176"/>
    <w:rsid w:val="609F2AC4"/>
    <w:rsid w:val="60C2740B"/>
    <w:rsid w:val="60C56EFB"/>
    <w:rsid w:val="60EA0710"/>
    <w:rsid w:val="60FA2EE8"/>
    <w:rsid w:val="60FD6695"/>
    <w:rsid w:val="61054A27"/>
    <w:rsid w:val="610A52BC"/>
    <w:rsid w:val="611D2366"/>
    <w:rsid w:val="61421856"/>
    <w:rsid w:val="61460157"/>
    <w:rsid w:val="615227C4"/>
    <w:rsid w:val="61563F40"/>
    <w:rsid w:val="61654E3F"/>
    <w:rsid w:val="6182292A"/>
    <w:rsid w:val="61882403"/>
    <w:rsid w:val="61970898"/>
    <w:rsid w:val="619F7F92"/>
    <w:rsid w:val="61BC02FE"/>
    <w:rsid w:val="61CD6067"/>
    <w:rsid w:val="61F94C26"/>
    <w:rsid w:val="62000E56"/>
    <w:rsid w:val="6200629B"/>
    <w:rsid w:val="62244584"/>
    <w:rsid w:val="6240283F"/>
    <w:rsid w:val="624F3E49"/>
    <w:rsid w:val="62632286"/>
    <w:rsid w:val="62885958"/>
    <w:rsid w:val="628F77C1"/>
    <w:rsid w:val="629628FD"/>
    <w:rsid w:val="62996FF1"/>
    <w:rsid w:val="62B64D4D"/>
    <w:rsid w:val="62D81168"/>
    <w:rsid w:val="62F40B65"/>
    <w:rsid w:val="62FC2CFE"/>
    <w:rsid w:val="62FE04A2"/>
    <w:rsid w:val="63024505"/>
    <w:rsid w:val="630C43A8"/>
    <w:rsid w:val="63191B9E"/>
    <w:rsid w:val="6333639E"/>
    <w:rsid w:val="63340B90"/>
    <w:rsid w:val="63536A40"/>
    <w:rsid w:val="635B1DB5"/>
    <w:rsid w:val="63711FED"/>
    <w:rsid w:val="63880DDC"/>
    <w:rsid w:val="638D750D"/>
    <w:rsid w:val="63AC6CC0"/>
    <w:rsid w:val="64055776"/>
    <w:rsid w:val="64104931"/>
    <w:rsid w:val="64240056"/>
    <w:rsid w:val="64283A29"/>
    <w:rsid w:val="643E143A"/>
    <w:rsid w:val="644F7208"/>
    <w:rsid w:val="648B6EEF"/>
    <w:rsid w:val="64BB489D"/>
    <w:rsid w:val="64C158BF"/>
    <w:rsid w:val="64C432EC"/>
    <w:rsid w:val="64C71494"/>
    <w:rsid w:val="64CA0F84"/>
    <w:rsid w:val="64CE2EAA"/>
    <w:rsid w:val="651A1369"/>
    <w:rsid w:val="653C3090"/>
    <w:rsid w:val="657F1D6E"/>
    <w:rsid w:val="65854376"/>
    <w:rsid w:val="658767BE"/>
    <w:rsid w:val="65892531"/>
    <w:rsid w:val="66195831"/>
    <w:rsid w:val="661F2C0A"/>
    <w:rsid w:val="6626043C"/>
    <w:rsid w:val="662E75B1"/>
    <w:rsid w:val="66342C2E"/>
    <w:rsid w:val="663E784C"/>
    <w:rsid w:val="664F13A6"/>
    <w:rsid w:val="66551A38"/>
    <w:rsid w:val="66770C98"/>
    <w:rsid w:val="66807BCE"/>
    <w:rsid w:val="668533B4"/>
    <w:rsid w:val="668B6A45"/>
    <w:rsid w:val="66BC66AA"/>
    <w:rsid w:val="66CF2882"/>
    <w:rsid w:val="66D72346"/>
    <w:rsid w:val="66F81DD8"/>
    <w:rsid w:val="670A5668"/>
    <w:rsid w:val="672F1572"/>
    <w:rsid w:val="672F3F24"/>
    <w:rsid w:val="673E055F"/>
    <w:rsid w:val="675255B9"/>
    <w:rsid w:val="67551CE3"/>
    <w:rsid w:val="67A22552"/>
    <w:rsid w:val="67B22DCC"/>
    <w:rsid w:val="67BE71AA"/>
    <w:rsid w:val="67C1666E"/>
    <w:rsid w:val="67D90273"/>
    <w:rsid w:val="67DE5875"/>
    <w:rsid w:val="67E55852"/>
    <w:rsid w:val="67EB1AB4"/>
    <w:rsid w:val="67EB7247"/>
    <w:rsid w:val="67F02AB0"/>
    <w:rsid w:val="67FA1285"/>
    <w:rsid w:val="681D0A33"/>
    <w:rsid w:val="683706DE"/>
    <w:rsid w:val="68551F4F"/>
    <w:rsid w:val="686A0AB4"/>
    <w:rsid w:val="687A05CB"/>
    <w:rsid w:val="687C10C9"/>
    <w:rsid w:val="68840C16"/>
    <w:rsid w:val="68876EFB"/>
    <w:rsid w:val="68884654"/>
    <w:rsid w:val="689F444F"/>
    <w:rsid w:val="68B96DBB"/>
    <w:rsid w:val="68C36416"/>
    <w:rsid w:val="68C54B2B"/>
    <w:rsid w:val="68CA2805"/>
    <w:rsid w:val="68E937A3"/>
    <w:rsid w:val="691B0000"/>
    <w:rsid w:val="6922313D"/>
    <w:rsid w:val="692D1AE1"/>
    <w:rsid w:val="69392234"/>
    <w:rsid w:val="693E15D3"/>
    <w:rsid w:val="69627681"/>
    <w:rsid w:val="6977531D"/>
    <w:rsid w:val="698F62F8"/>
    <w:rsid w:val="69CC2BFF"/>
    <w:rsid w:val="69FD55B8"/>
    <w:rsid w:val="69FF6FDA"/>
    <w:rsid w:val="6A0B1C62"/>
    <w:rsid w:val="6A130CD7"/>
    <w:rsid w:val="6A2406C8"/>
    <w:rsid w:val="6A576E16"/>
    <w:rsid w:val="6A5827AD"/>
    <w:rsid w:val="6A8F2B46"/>
    <w:rsid w:val="6AC36259"/>
    <w:rsid w:val="6ADE0BD1"/>
    <w:rsid w:val="6ADE7537"/>
    <w:rsid w:val="6AE96859"/>
    <w:rsid w:val="6AF36DA7"/>
    <w:rsid w:val="6B147746"/>
    <w:rsid w:val="6B24787C"/>
    <w:rsid w:val="6B3501CF"/>
    <w:rsid w:val="6B360FED"/>
    <w:rsid w:val="6B3D425E"/>
    <w:rsid w:val="6B573233"/>
    <w:rsid w:val="6B5B6274"/>
    <w:rsid w:val="6B9079EA"/>
    <w:rsid w:val="6B935D53"/>
    <w:rsid w:val="6B945E48"/>
    <w:rsid w:val="6BA45E0C"/>
    <w:rsid w:val="6BAB26A5"/>
    <w:rsid w:val="6BAD2D8D"/>
    <w:rsid w:val="6BB42046"/>
    <w:rsid w:val="6BC524A5"/>
    <w:rsid w:val="6BD12BF8"/>
    <w:rsid w:val="6BE4292B"/>
    <w:rsid w:val="6BEB1F0C"/>
    <w:rsid w:val="6C0E1756"/>
    <w:rsid w:val="6C196F71"/>
    <w:rsid w:val="6C226FCB"/>
    <w:rsid w:val="6C31226F"/>
    <w:rsid w:val="6C552F0B"/>
    <w:rsid w:val="6C6E6699"/>
    <w:rsid w:val="6C8C67B7"/>
    <w:rsid w:val="6C9D744C"/>
    <w:rsid w:val="6CFE67A8"/>
    <w:rsid w:val="6D0B213A"/>
    <w:rsid w:val="6D125276"/>
    <w:rsid w:val="6D167928"/>
    <w:rsid w:val="6D196605"/>
    <w:rsid w:val="6D26299B"/>
    <w:rsid w:val="6D3E250F"/>
    <w:rsid w:val="6D4772EC"/>
    <w:rsid w:val="6D521B17"/>
    <w:rsid w:val="6D9078AF"/>
    <w:rsid w:val="6DAA3FEF"/>
    <w:rsid w:val="6DAC1227"/>
    <w:rsid w:val="6DAF0D17"/>
    <w:rsid w:val="6DC0172B"/>
    <w:rsid w:val="6DC5053A"/>
    <w:rsid w:val="6DCB690C"/>
    <w:rsid w:val="6DCF30D4"/>
    <w:rsid w:val="6DCF6AFE"/>
    <w:rsid w:val="6DD41A5B"/>
    <w:rsid w:val="6DF43C2E"/>
    <w:rsid w:val="6DF51CA3"/>
    <w:rsid w:val="6DFF4543"/>
    <w:rsid w:val="6E1E4A95"/>
    <w:rsid w:val="6E2C2368"/>
    <w:rsid w:val="6E460CF8"/>
    <w:rsid w:val="6E4C47B8"/>
    <w:rsid w:val="6E6715F2"/>
    <w:rsid w:val="6E6A0D4E"/>
    <w:rsid w:val="6E71421E"/>
    <w:rsid w:val="6E7855AD"/>
    <w:rsid w:val="6E8335BD"/>
    <w:rsid w:val="6E8E12EF"/>
    <w:rsid w:val="6E972936"/>
    <w:rsid w:val="6EAA1C6A"/>
    <w:rsid w:val="6EB72579"/>
    <w:rsid w:val="6EC627BC"/>
    <w:rsid w:val="6ED446C5"/>
    <w:rsid w:val="6EDE7B06"/>
    <w:rsid w:val="6F2A7D94"/>
    <w:rsid w:val="6F4A6F49"/>
    <w:rsid w:val="6F513EE6"/>
    <w:rsid w:val="6F8331F1"/>
    <w:rsid w:val="6FAE1A09"/>
    <w:rsid w:val="6FB013F4"/>
    <w:rsid w:val="6FB77638"/>
    <w:rsid w:val="6FC50CC6"/>
    <w:rsid w:val="6FD75BF8"/>
    <w:rsid w:val="6FF375E1"/>
    <w:rsid w:val="70207CAA"/>
    <w:rsid w:val="70251764"/>
    <w:rsid w:val="7047792D"/>
    <w:rsid w:val="7051344B"/>
    <w:rsid w:val="707723D0"/>
    <w:rsid w:val="70E138DD"/>
    <w:rsid w:val="70EB02B8"/>
    <w:rsid w:val="70F5661B"/>
    <w:rsid w:val="71122865"/>
    <w:rsid w:val="71360107"/>
    <w:rsid w:val="713B688E"/>
    <w:rsid w:val="71573B9F"/>
    <w:rsid w:val="716A68F6"/>
    <w:rsid w:val="717958C4"/>
    <w:rsid w:val="71D43752"/>
    <w:rsid w:val="71DD22F7"/>
    <w:rsid w:val="71ED1BB7"/>
    <w:rsid w:val="71F1796A"/>
    <w:rsid w:val="71F63E6A"/>
    <w:rsid w:val="72154626"/>
    <w:rsid w:val="72247F25"/>
    <w:rsid w:val="72262B5D"/>
    <w:rsid w:val="72283FF7"/>
    <w:rsid w:val="722E7212"/>
    <w:rsid w:val="723A0474"/>
    <w:rsid w:val="72457588"/>
    <w:rsid w:val="725923E4"/>
    <w:rsid w:val="727918F3"/>
    <w:rsid w:val="72802C82"/>
    <w:rsid w:val="72864BF7"/>
    <w:rsid w:val="729023FC"/>
    <w:rsid w:val="72AC4779"/>
    <w:rsid w:val="72C94629"/>
    <w:rsid w:val="72D0088C"/>
    <w:rsid w:val="72D059B7"/>
    <w:rsid w:val="73012015"/>
    <w:rsid w:val="73320420"/>
    <w:rsid w:val="734D7008"/>
    <w:rsid w:val="73541358"/>
    <w:rsid w:val="73781BAB"/>
    <w:rsid w:val="73C0646E"/>
    <w:rsid w:val="73E32E5F"/>
    <w:rsid w:val="742222F5"/>
    <w:rsid w:val="742C2C75"/>
    <w:rsid w:val="74393A30"/>
    <w:rsid w:val="74476126"/>
    <w:rsid w:val="74534AF2"/>
    <w:rsid w:val="745B5755"/>
    <w:rsid w:val="74706664"/>
    <w:rsid w:val="747F3682"/>
    <w:rsid w:val="748527D2"/>
    <w:rsid w:val="749C4185"/>
    <w:rsid w:val="74C4779E"/>
    <w:rsid w:val="74C7103C"/>
    <w:rsid w:val="74CE23CA"/>
    <w:rsid w:val="74E4399C"/>
    <w:rsid w:val="75067759"/>
    <w:rsid w:val="752E6DCD"/>
    <w:rsid w:val="7545005E"/>
    <w:rsid w:val="7551380D"/>
    <w:rsid w:val="75600BE5"/>
    <w:rsid w:val="7564475C"/>
    <w:rsid w:val="7583797F"/>
    <w:rsid w:val="75D06F51"/>
    <w:rsid w:val="75D20F1D"/>
    <w:rsid w:val="75DA2C18"/>
    <w:rsid w:val="75E80D38"/>
    <w:rsid w:val="75F06371"/>
    <w:rsid w:val="75F54412"/>
    <w:rsid w:val="761D08E0"/>
    <w:rsid w:val="765D347C"/>
    <w:rsid w:val="7668377A"/>
    <w:rsid w:val="76826699"/>
    <w:rsid w:val="76A809F9"/>
    <w:rsid w:val="76B1006A"/>
    <w:rsid w:val="76C87133"/>
    <w:rsid w:val="76CD08D5"/>
    <w:rsid w:val="76CE0460"/>
    <w:rsid w:val="76DB4B92"/>
    <w:rsid w:val="77052AA4"/>
    <w:rsid w:val="770B3029"/>
    <w:rsid w:val="77136511"/>
    <w:rsid w:val="77340A39"/>
    <w:rsid w:val="77351FD0"/>
    <w:rsid w:val="77472422"/>
    <w:rsid w:val="77536BB7"/>
    <w:rsid w:val="777F31F2"/>
    <w:rsid w:val="77AD7A3B"/>
    <w:rsid w:val="77CF2D34"/>
    <w:rsid w:val="77D1700D"/>
    <w:rsid w:val="77D446FF"/>
    <w:rsid w:val="77DE0B76"/>
    <w:rsid w:val="77EB5041"/>
    <w:rsid w:val="77EC04CC"/>
    <w:rsid w:val="783B145B"/>
    <w:rsid w:val="785D7D6F"/>
    <w:rsid w:val="7865760E"/>
    <w:rsid w:val="78775729"/>
    <w:rsid w:val="78802ABA"/>
    <w:rsid w:val="78A0407E"/>
    <w:rsid w:val="78A42DB0"/>
    <w:rsid w:val="78A656AB"/>
    <w:rsid w:val="78A7540C"/>
    <w:rsid w:val="78AF42C1"/>
    <w:rsid w:val="78B2245C"/>
    <w:rsid w:val="78DE0702"/>
    <w:rsid w:val="78E172CC"/>
    <w:rsid w:val="78EA1D1F"/>
    <w:rsid w:val="78F10436"/>
    <w:rsid w:val="7904172F"/>
    <w:rsid w:val="790F7E27"/>
    <w:rsid w:val="79270BDC"/>
    <w:rsid w:val="792A231A"/>
    <w:rsid w:val="79316829"/>
    <w:rsid w:val="793D7B1F"/>
    <w:rsid w:val="794C448E"/>
    <w:rsid w:val="79507852"/>
    <w:rsid w:val="796230E1"/>
    <w:rsid w:val="796E7CD8"/>
    <w:rsid w:val="79751067"/>
    <w:rsid w:val="797E66A9"/>
    <w:rsid w:val="798C47A1"/>
    <w:rsid w:val="79A97383"/>
    <w:rsid w:val="79B61ECB"/>
    <w:rsid w:val="79BA116F"/>
    <w:rsid w:val="79C21DD2"/>
    <w:rsid w:val="79E27E8B"/>
    <w:rsid w:val="79F850CE"/>
    <w:rsid w:val="79FD443C"/>
    <w:rsid w:val="7A1D1975"/>
    <w:rsid w:val="7A3E5150"/>
    <w:rsid w:val="7A4670D6"/>
    <w:rsid w:val="7A534B63"/>
    <w:rsid w:val="7A615382"/>
    <w:rsid w:val="7A67303B"/>
    <w:rsid w:val="7A7B08FF"/>
    <w:rsid w:val="7AAB1D04"/>
    <w:rsid w:val="7ABA4368"/>
    <w:rsid w:val="7ABE2599"/>
    <w:rsid w:val="7AD05746"/>
    <w:rsid w:val="7AD4000F"/>
    <w:rsid w:val="7ADD74AF"/>
    <w:rsid w:val="7B257FFD"/>
    <w:rsid w:val="7B343476"/>
    <w:rsid w:val="7B5A2978"/>
    <w:rsid w:val="7B5A49B8"/>
    <w:rsid w:val="7B5A7E4C"/>
    <w:rsid w:val="7B667AF9"/>
    <w:rsid w:val="7B7468F8"/>
    <w:rsid w:val="7B76172D"/>
    <w:rsid w:val="7B821819"/>
    <w:rsid w:val="7B85133E"/>
    <w:rsid w:val="7BCE2CB0"/>
    <w:rsid w:val="7BDA1655"/>
    <w:rsid w:val="7BE02445"/>
    <w:rsid w:val="7BEE0103"/>
    <w:rsid w:val="7C0A0FE4"/>
    <w:rsid w:val="7C254906"/>
    <w:rsid w:val="7C590818"/>
    <w:rsid w:val="7C5C650E"/>
    <w:rsid w:val="7C684EB3"/>
    <w:rsid w:val="7C7C10F6"/>
    <w:rsid w:val="7C853BEA"/>
    <w:rsid w:val="7C881368"/>
    <w:rsid w:val="7CA64D1B"/>
    <w:rsid w:val="7CD17DC8"/>
    <w:rsid w:val="7CE27788"/>
    <w:rsid w:val="7CEC7892"/>
    <w:rsid w:val="7CEF2EDE"/>
    <w:rsid w:val="7D014B09"/>
    <w:rsid w:val="7D0357E5"/>
    <w:rsid w:val="7D0C32F1"/>
    <w:rsid w:val="7D0F408D"/>
    <w:rsid w:val="7D162B61"/>
    <w:rsid w:val="7D491C6C"/>
    <w:rsid w:val="7D5429C0"/>
    <w:rsid w:val="7D691D77"/>
    <w:rsid w:val="7D6E6D43"/>
    <w:rsid w:val="7D7069D2"/>
    <w:rsid w:val="7D747887"/>
    <w:rsid w:val="7D9817C8"/>
    <w:rsid w:val="7D9A5540"/>
    <w:rsid w:val="7DB54128"/>
    <w:rsid w:val="7DB57A34"/>
    <w:rsid w:val="7DBC3708"/>
    <w:rsid w:val="7DD24CD9"/>
    <w:rsid w:val="7DD32800"/>
    <w:rsid w:val="7DE60973"/>
    <w:rsid w:val="7DE762AB"/>
    <w:rsid w:val="7DE93DD1"/>
    <w:rsid w:val="7DEF0916"/>
    <w:rsid w:val="7DFA4230"/>
    <w:rsid w:val="7E1E5218"/>
    <w:rsid w:val="7E486D4A"/>
    <w:rsid w:val="7E5242ED"/>
    <w:rsid w:val="7E8A55B4"/>
    <w:rsid w:val="7E9957F7"/>
    <w:rsid w:val="7E9A4E1F"/>
    <w:rsid w:val="7EA7723A"/>
    <w:rsid w:val="7EC00FD6"/>
    <w:rsid w:val="7EC02D84"/>
    <w:rsid w:val="7EF56FBB"/>
    <w:rsid w:val="7F0768EB"/>
    <w:rsid w:val="7F143BEC"/>
    <w:rsid w:val="7F6C2F0C"/>
    <w:rsid w:val="7F715AF2"/>
    <w:rsid w:val="7F741DC0"/>
    <w:rsid w:val="7F7B314F"/>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7"/>
    <w:autoRedefine/>
    <w:qFormat/>
    <w:uiPriority w:val="0"/>
    <w:pPr>
      <w:spacing w:line="480" w:lineRule="exact"/>
      <w:ind w:firstLine="480" w:firstLineChars="200"/>
    </w:pPr>
    <w:rPr>
      <w:rFonts w:ascii="宋体" w:hAnsi="宋体"/>
      <w:sz w:val="24"/>
    </w:rPr>
  </w:style>
  <w:style w:type="paragraph" w:styleId="28">
    <w:name w:val="envelope return"/>
    <w:basedOn w:val="1"/>
    <w:autoRedefine/>
    <w:qFormat/>
    <w:uiPriority w:val="99"/>
    <w:pPr>
      <w:snapToGrid w:val="0"/>
    </w:pPr>
    <w:rPr>
      <w:rFonts w:ascii="Arial" w:hAnsi="Arial" w:cs="Arial"/>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127"/>
    <w:autoRedefine/>
    <w:qFormat/>
    <w:uiPriority w:val="0"/>
    <w:rPr>
      <w:rFonts w:ascii="宋体" w:hAnsi="Courier New" w:cs="Arial"/>
      <w:snapToGrid w:val="0"/>
      <w:szCs w:val="21"/>
    </w:r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2"/>
    <w:autoRedefine/>
    <w:qFormat/>
    <w:uiPriority w:val="0"/>
    <w:rPr>
      <w:lang w:val="zh-CN"/>
    </w:rPr>
  </w:style>
  <w:style w:type="paragraph" w:styleId="42">
    <w:name w:val="Balloon Text"/>
    <w:basedOn w:val="1"/>
    <w:link w:val="190"/>
    <w:autoRedefine/>
    <w:qFormat/>
    <w:uiPriority w:val="0"/>
    <w:rPr>
      <w:sz w:val="18"/>
      <w:szCs w:val="18"/>
    </w:rPr>
  </w:style>
  <w:style w:type="paragraph" w:styleId="43">
    <w:name w:val="footer"/>
    <w:basedOn w:val="1"/>
    <w:link w:val="385"/>
    <w:autoRedefine/>
    <w:qFormat/>
    <w:uiPriority w:val="99"/>
    <w:pPr>
      <w:tabs>
        <w:tab w:val="center" w:pos="4153"/>
        <w:tab w:val="right" w:pos="8306"/>
      </w:tabs>
      <w:snapToGrid w:val="0"/>
      <w:jc w:val="left"/>
    </w:pPr>
    <w:rPr>
      <w:sz w:val="18"/>
      <w:szCs w:val="18"/>
    </w:rPr>
  </w:style>
  <w:style w:type="paragraph" w:styleId="44">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8"/>
    <w:autoRedefine/>
    <w:qFormat/>
    <w:uiPriority w:val="0"/>
    <w:rPr>
      <w:b/>
      <w:bCs/>
    </w:rPr>
  </w:style>
  <w:style w:type="paragraph" w:styleId="62">
    <w:name w:val="Body Text First Indent 2"/>
    <w:basedOn w:val="27"/>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缩进1"/>
    <w:basedOn w:val="81"/>
    <w:next w:val="27"/>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5"/>
    <w:next w:val="82"/>
    <w:autoRedefine/>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83">
    <w:name w:val="正文文本首行缩进 2"/>
    <w:basedOn w:val="80"/>
    <w:autoRedefine/>
    <w:qFormat/>
    <w:uiPriority w:val="99"/>
    <w:pPr>
      <w:spacing w:line="200" w:lineRule="atLeast"/>
      <w:ind w:firstLine="420"/>
    </w:pPr>
    <w:rPr>
      <w:rFonts w:ascii="宋体" w:hAnsi="Courier New" w:cs="宋体"/>
      <w:spacing w:val="-4"/>
      <w:sz w:val="18"/>
      <w:szCs w:val="18"/>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字符"/>
    <w:link w:val="62"/>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basedOn w:val="70"/>
    <w:autoRedefine/>
    <w:qFormat/>
    <w:uiPriority w:val="0"/>
    <w:rPr>
      <w:rFonts w:hint="eastAsia" w:ascii="仿宋_GB2312" w:eastAsia="仿宋_GB2312" w:cs="仿宋_GB2312"/>
      <w:color w:val="000000"/>
      <w:sz w:val="22"/>
      <w:szCs w:val="22"/>
      <w:u w:val="none"/>
    </w:rPr>
  </w:style>
  <w:style w:type="character" w:customStyle="1" w:styleId="149">
    <w:name w:val="标题 6 字符"/>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7"/>
    <w:autoRedefine/>
    <w:qFormat/>
    <w:uiPriority w:val="0"/>
    <w:rPr>
      <w:rFonts w:ascii="宋体"/>
      <w:kern w:val="2"/>
      <w:sz w:val="24"/>
      <w:szCs w:val="21"/>
      <w:lang w:val="zh-CN"/>
    </w:rPr>
  </w:style>
  <w:style w:type="character" w:customStyle="1" w:styleId="184">
    <w:name w:val="标题 9 字符"/>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2"/>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3"/>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7"/>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0"/>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8"/>
    <w:autoRedefine/>
    <w:qFormat/>
    <w:uiPriority w:val="0"/>
    <w:rPr>
      <w:rFonts w:ascii="黑体" w:hAnsi="Courier New" w:eastAsia="黑体"/>
    </w:rPr>
  </w:style>
  <w:style w:type="character" w:customStyle="1" w:styleId="304">
    <w:name w:val="正文文本 2 字符1"/>
    <w:link w:val="57"/>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9"/>
    <w:autoRedefine/>
    <w:qFormat/>
    <w:uiPriority w:val="0"/>
    <w:rPr>
      <w:b/>
      <w:bCs/>
      <w:kern w:val="2"/>
      <w:sz w:val="24"/>
      <w:szCs w:val="24"/>
    </w:rPr>
  </w:style>
  <w:style w:type="character" w:customStyle="1" w:styleId="310">
    <w:name w:val="正文文本缩进 2 字符"/>
    <w:link w:val="40"/>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字符"/>
    <w:link w:val="25"/>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2"/>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autoRedefine/>
    <w:qFormat/>
    <w:uiPriority w:val="0"/>
    <w:rPr>
      <w:kern w:val="2"/>
      <w:sz w:val="21"/>
      <w:szCs w:val="24"/>
    </w:rPr>
  </w:style>
  <w:style w:type="character" w:customStyle="1" w:styleId="347">
    <w:name w:val="签名 字符"/>
    <w:link w:val="45"/>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3"/>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4"/>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40"/>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5"/>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41"/>
    <w:autoRedefine/>
    <w:qFormat/>
    <w:uiPriority w:val="0"/>
    <w:rPr>
      <w:kern w:val="2"/>
      <w:sz w:val="21"/>
      <w:szCs w:val="24"/>
      <w:lang w:val="zh-CN"/>
    </w:rPr>
  </w:style>
  <w:style w:type="character" w:customStyle="1" w:styleId="933">
    <w:name w:val="无间隔 字符"/>
    <w:link w:val="485"/>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0"/>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PlainText"/>
    <w:basedOn w:val="1"/>
    <w:autoRedefine/>
    <w:qFormat/>
    <w:uiPriority w:val="0"/>
    <w:pPr>
      <w:textAlignment w:val="baseline"/>
    </w:pPr>
    <w:rPr>
      <w:rFonts w:ascii="宋体" w:hAnsi="Courier New"/>
      <w:szCs w:val="20"/>
    </w:rPr>
  </w:style>
  <w:style w:type="paragraph" w:customStyle="1" w:styleId="965">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BF29C-62D7-48B9-B63F-856AF99C2E00}">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15536</Words>
  <Characters>16577</Characters>
  <Lines>294</Lines>
  <Paragraphs>82</Paragraphs>
  <TotalTime>19</TotalTime>
  <ScaleCrop>false</ScaleCrop>
  <LinksUpToDate>false</LinksUpToDate>
  <CharactersWithSpaces>16865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2023-11-01T09:18:00Z</dcterms:created>
  <dc:creator>玥</dc:creator>
  <cp:lastModifiedBy>WPS_1699257394</cp:lastModifiedBy>
  <cp:lastPrinted>2025-03-13T02:41:00Z</cp:lastPrinted>
  <dcterms:modified xsi:type="dcterms:W3CDTF">2025-03-13T05:06:32Z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eyJoZGlkIjoiM2NjMTQ2NWQ5NWY5OWFhM2IzNGVhOTBmMGQ2Njc4MDciLCJ1c2VySWQiOiIxNTU1NzgyNDEwIn0=</vt:lpwstr>
  </property>
</Properties>
</file>