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52F34">
      <w:pPr>
        <w:ind w:left="0" w:leftChars="0" w:firstLine="0" w:firstLineChars="0"/>
        <w:jc w:val="center"/>
        <w:rPr>
          <w:rFonts w:hint="eastAsia" w:eastAsia="汉仪正圆 55简"/>
          <w:sz w:val="44"/>
          <w:szCs w:val="44"/>
          <w:lang w:eastAsia="zh-CN"/>
        </w:rPr>
      </w:pPr>
      <w:r>
        <w:rPr>
          <w:rFonts w:hint="eastAsia"/>
          <w:b/>
          <w:bCs/>
          <w:color w:val="FF0000"/>
          <w:sz w:val="44"/>
          <w:szCs w:val="44"/>
          <w:lang w:eastAsia="zh-CN"/>
        </w:rPr>
        <w:t>桐庐县保安服务有限公司2025年度消防器材框架协议采购项目</w:t>
      </w:r>
    </w:p>
    <w:p w14:paraId="3F94183F">
      <w:pPr>
        <w:ind w:left="0" w:leftChars="0" w:firstLine="0" w:firstLineChars="0"/>
        <w:jc w:val="center"/>
        <w:rPr>
          <w:rFonts w:hint="eastAsia"/>
          <w:lang w:val="en-US" w:eastAsia="zh-CN"/>
        </w:rPr>
      </w:pPr>
      <w:r>
        <w:rPr>
          <w:rFonts w:hint="eastAsia"/>
          <w:lang w:val="en-US" w:eastAsia="zh-CN"/>
        </w:rPr>
        <w:t>【项目</w:t>
      </w:r>
      <w:r>
        <w:rPr>
          <w:rFonts w:hint="eastAsia"/>
        </w:rPr>
        <w:t>编号:</w:t>
      </w:r>
      <w:r>
        <w:rPr>
          <w:rFonts w:hint="eastAsia"/>
          <w:b/>
          <w:bCs/>
          <w:color w:val="FF0000"/>
          <w:lang w:eastAsia="zh-CN"/>
        </w:rPr>
        <w:t>QZ2330122202405</w:t>
      </w:r>
      <w:r>
        <w:rPr>
          <w:rFonts w:hint="eastAsia"/>
          <w:b/>
          <w:bCs/>
          <w:color w:val="FF0000"/>
          <w:lang w:val="en-US" w:eastAsia="zh-CN"/>
        </w:rPr>
        <w:t>6</w:t>
      </w:r>
      <w:r>
        <w:rPr>
          <w:rFonts w:hint="eastAsia"/>
          <w:lang w:val="en-US" w:eastAsia="zh-CN"/>
        </w:rPr>
        <w:t>】</w:t>
      </w:r>
    </w:p>
    <w:p w14:paraId="69D6F6B0">
      <w:pPr>
        <w:ind w:left="0" w:leftChars="0" w:firstLine="0" w:firstLineChars="0"/>
        <w:jc w:val="center"/>
        <w:rPr>
          <w:rFonts w:hint="eastAsia"/>
          <w:lang w:val="en-US" w:eastAsia="zh-CN"/>
        </w:rPr>
      </w:pPr>
    </w:p>
    <w:p w14:paraId="6490ABC7">
      <w:pPr>
        <w:ind w:left="0" w:leftChars="0" w:firstLine="0" w:firstLineChars="0"/>
        <w:jc w:val="center"/>
        <w:rPr>
          <w:rFonts w:hint="eastAsia"/>
          <w:sz w:val="72"/>
          <w:szCs w:val="72"/>
          <w:lang w:val="en-US" w:eastAsia="zh-CN"/>
        </w:rPr>
      </w:pPr>
      <w:r>
        <w:rPr>
          <w:rFonts w:hint="eastAsia"/>
          <w:sz w:val="72"/>
          <w:szCs w:val="72"/>
          <w:lang w:val="en-US" w:eastAsia="zh-CN"/>
        </w:rPr>
        <w:t>征</w:t>
      </w:r>
    </w:p>
    <w:p w14:paraId="430ABFE6">
      <w:pPr>
        <w:ind w:left="0" w:leftChars="0" w:firstLine="0" w:firstLineChars="0"/>
        <w:jc w:val="center"/>
        <w:rPr>
          <w:rFonts w:hint="default" w:eastAsia="汉仪正圆 55简"/>
          <w:sz w:val="72"/>
          <w:szCs w:val="72"/>
          <w:lang w:val="en-US" w:eastAsia="zh-CN"/>
        </w:rPr>
      </w:pPr>
      <w:r>
        <w:rPr>
          <w:rFonts w:hint="eastAsia"/>
          <w:sz w:val="72"/>
          <w:szCs w:val="72"/>
          <w:lang w:val="en-US" w:eastAsia="zh-CN"/>
        </w:rPr>
        <w:t>集</w:t>
      </w:r>
    </w:p>
    <w:p w14:paraId="55A0DD4E">
      <w:pPr>
        <w:ind w:left="0" w:leftChars="0" w:firstLine="0" w:firstLineChars="0"/>
        <w:jc w:val="center"/>
        <w:rPr>
          <w:rFonts w:hint="eastAsia"/>
          <w:sz w:val="72"/>
          <w:szCs w:val="72"/>
        </w:rPr>
      </w:pPr>
      <w:r>
        <w:rPr>
          <w:rFonts w:hint="eastAsia"/>
          <w:sz w:val="72"/>
          <w:szCs w:val="72"/>
        </w:rPr>
        <w:t>文</w:t>
      </w:r>
    </w:p>
    <w:p w14:paraId="3CA35E02">
      <w:pPr>
        <w:ind w:left="0" w:leftChars="0" w:firstLine="0" w:firstLineChars="0"/>
        <w:jc w:val="center"/>
        <w:rPr>
          <w:rFonts w:hint="eastAsia"/>
          <w:sz w:val="72"/>
          <w:szCs w:val="72"/>
        </w:rPr>
      </w:pPr>
      <w:r>
        <w:rPr>
          <w:rFonts w:hint="eastAsia"/>
          <w:sz w:val="72"/>
          <w:szCs w:val="72"/>
        </w:rPr>
        <w:t>件</w:t>
      </w:r>
    </w:p>
    <w:p w14:paraId="5C445B7C">
      <w:pPr>
        <w:ind w:left="0" w:leftChars="0" w:firstLine="0" w:firstLineChars="0"/>
        <w:jc w:val="center"/>
        <w:rPr>
          <w:rFonts w:hint="eastAsia"/>
          <w:sz w:val="32"/>
          <w:szCs w:val="32"/>
        </w:rPr>
      </w:pPr>
    </w:p>
    <w:p w14:paraId="3524767C">
      <w:pPr>
        <w:ind w:left="0" w:leftChars="0" w:firstLine="0" w:firstLineChars="0"/>
        <w:jc w:val="center"/>
        <w:rPr>
          <w:rFonts w:hint="default"/>
          <w:sz w:val="32"/>
          <w:szCs w:val="32"/>
          <w:lang w:val="en-US" w:eastAsia="zh-CN"/>
        </w:rPr>
      </w:pPr>
      <w:r>
        <w:rPr>
          <w:rFonts w:hint="eastAsia"/>
          <w:sz w:val="32"/>
          <w:szCs w:val="32"/>
          <w:lang w:eastAsia="zh-CN"/>
        </w:rPr>
        <w:t>（</w:t>
      </w:r>
      <w:r>
        <w:rPr>
          <w:rFonts w:hint="eastAsia"/>
          <w:sz w:val="32"/>
          <w:szCs w:val="32"/>
          <w:lang w:val="en-US" w:eastAsia="zh-CN"/>
        </w:rPr>
        <w:t>国企采购</w:t>
      </w:r>
      <w:r>
        <w:rPr>
          <w:rFonts w:hint="eastAsia"/>
          <w:sz w:val="32"/>
          <w:szCs w:val="32"/>
          <w:lang w:eastAsia="zh-CN"/>
        </w:rPr>
        <w:t>）（</w:t>
      </w:r>
      <w:r>
        <w:rPr>
          <w:rFonts w:hint="eastAsia"/>
          <w:sz w:val="32"/>
          <w:szCs w:val="32"/>
          <w:lang w:val="en-US" w:eastAsia="zh-CN"/>
        </w:rPr>
        <w:t>半电子招投标）</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1"/>
        <w:gridCol w:w="4498"/>
      </w:tblGrid>
      <w:tr w14:paraId="5022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3341" w:type="dxa"/>
            <w:tcBorders>
              <w:tl2br w:val="nil"/>
              <w:tr2bl w:val="nil"/>
            </w:tcBorders>
            <w:vAlign w:val="top"/>
          </w:tcPr>
          <w:p w14:paraId="2951CB6B">
            <w:pPr>
              <w:bidi w:val="0"/>
              <w:jc w:val="right"/>
              <w:rPr>
                <w:rFonts w:hint="eastAsia"/>
                <w:sz w:val="28"/>
                <w:szCs w:val="28"/>
                <w:lang w:eastAsia="zh-CN"/>
              </w:rPr>
            </w:pPr>
            <w:r>
              <w:rPr>
                <w:rFonts w:hint="eastAsia"/>
                <w:spacing w:val="56"/>
                <w:kern w:val="0"/>
                <w:sz w:val="28"/>
                <w:szCs w:val="28"/>
                <w:fitText w:val="2640" w:id="1327629089"/>
              </w:rPr>
              <w:t>采购人（盖章</w:t>
            </w:r>
            <w:r>
              <w:rPr>
                <w:rFonts w:hint="eastAsia"/>
                <w:spacing w:val="4"/>
                <w:kern w:val="0"/>
                <w:sz w:val="28"/>
                <w:szCs w:val="28"/>
                <w:fitText w:val="2640" w:id="1327629089"/>
              </w:rPr>
              <w:t>）</w:t>
            </w:r>
            <w:r>
              <w:rPr>
                <w:rFonts w:hint="eastAsia"/>
                <w:sz w:val="28"/>
                <w:szCs w:val="28"/>
                <w:lang w:eastAsia="zh-CN"/>
              </w:rPr>
              <w:t>：</w:t>
            </w:r>
          </w:p>
        </w:tc>
        <w:tc>
          <w:tcPr>
            <w:tcW w:w="4498" w:type="dxa"/>
            <w:tcBorders>
              <w:tl2br w:val="nil"/>
              <w:tr2bl w:val="nil"/>
            </w:tcBorders>
            <w:vAlign w:val="top"/>
          </w:tcPr>
          <w:p w14:paraId="70C269D4">
            <w:pPr>
              <w:bidi w:val="0"/>
              <w:rPr>
                <w:rFonts w:hint="eastAsia"/>
                <w:b/>
                <w:bCs/>
                <w:color w:val="FF0000"/>
                <w:sz w:val="28"/>
                <w:szCs w:val="28"/>
                <w:lang w:eastAsia="zh-CN"/>
              </w:rPr>
            </w:pPr>
            <w:r>
              <w:rPr>
                <w:rFonts w:hint="eastAsia"/>
                <w:b/>
                <w:bCs/>
                <w:color w:val="FF0000"/>
                <w:sz w:val="28"/>
                <w:szCs w:val="28"/>
                <w:lang w:val="en-US" w:eastAsia="zh-CN"/>
              </w:rPr>
              <w:t>桐庐县保安服务有限公司</w:t>
            </w:r>
          </w:p>
        </w:tc>
      </w:tr>
      <w:tr w14:paraId="0235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3341" w:type="dxa"/>
            <w:tcBorders>
              <w:tl2br w:val="nil"/>
              <w:tr2bl w:val="nil"/>
            </w:tcBorders>
            <w:vAlign w:val="top"/>
          </w:tcPr>
          <w:p w14:paraId="23FA4A87">
            <w:pPr>
              <w:bidi w:val="0"/>
              <w:jc w:val="right"/>
              <w:rPr>
                <w:rFonts w:hint="eastAsia"/>
                <w:sz w:val="28"/>
                <w:szCs w:val="28"/>
                <w:lang w:eastAsia="zh-CN"/>
              </w:rPr>
            </w:pPr>
            <w:r>
              <w:rPr>
                <w:rFonts w:hint="eastAsia"/>
                <w:spacing w:val="1"/>
                <w:w w:val="94"/>
                <w:kern w:val="0"/>
                <w:sz w:val="28"/>
                <w:szCs w:val="28"/>
                <w:fitText w:val="2640" w:id="559295827"/>
              </w:rPr>
              <w:t>采购代理机构（盖章</w:t>
            </w:r>
            <w:r>
              <w:rPr>
                <w:rFonts w:hint="eastAsia"/>
                <w:spacing w:val="-1"/>
                <w:w w:val="94"/>
                <w:kern w:val="0"/>
                <w:sz w:val="28"/>
                <w:szCs w:val="28"/>
                <w:fitText w:val="2640" w:id="559295827"/>
              </w:rPr>
              <w:t>）</w:t>
            </w:r>
            <w:r>
              <w:rPr>
                <w:rFonts w:hint="eastAsia"/>
                <w:sz w:val="28"/>
                <w:szCs w:val="28"/>
                <w:lang w:eastAsia="zh-CN"/>
              </w:rPr>
              <w:t>：</w:t>
            </w:r>
          </w:p>
        </w:tc>
        <w:tc>
          <w:tcPr>
            <w:tcW w:w="4498" w:type="dxa"/>
            <w:tcBorders>
              <w:tl2br w:val="nil"/>
              <w:tr2bl w:val="nil"/>
            </w:tcBorders>
            <w:vAlign w:val="top"/>
          </w:tcPr>
          <w:p w14:paraId="408948C8">
            <w:pPr>
              <w:bidi w:val="0"/>
              <w:rPr>
                <w:b/>
                <w:bCs/>
                <w:color w:val="FF0000"/>
                <w:sz w:val="28"/>
                <w:szCs w:val="28"/>
              </w:rPr>
            </w:pPr>
            <w:r>
              <w:rPr>
                <w:rFonts w:hint="eastAsia"/>
                <w:b/>
                <w:bCs/>
                <w:color w:val="FF0000"/>
                <w:sz w:val="28"/>
                <w:szCs w:val="28"/>
              </w:rPr>
              <w:t>杭州全咨项目管理有限公司</w:t>
            </w:r>
          </w:p>
        </w:tc>
      </w:tr>
      <w:tr w14:paraId="727E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3341" w:type="dxa"/>
            <w:tcBorders>
              <w:tl2br w:val="nil"/>
              <w:tr2bl w:val="nil"/>
            </w:tcBorders>
            <w:vAlign w:val="top"/>
          </w:tcPr>
          <w:p w14:paraId="4F9EA18E">
            <w:pPr>
              <w:bidi w:val="0"/>
              <w:jc w:val="right"/>
              <w:rPr>
                <w:rFonts w:hint="default" w:eastAsia="仿宋"/>
                <w:spacing w:val="2640"/>
                <w:w w:val="100"/>
                <w:kern w:val="0"/>
                <w:sz w:val="28"/>
                <w:szCs w:val="28"/>
                <w:fitText w:val="2640" w:id="559295827"/>
                <w:lang w:val="en-US" w:eastAsia="zh-CN"/>
              </w:rPr>
            </w:pPr>
            <w:r>
              <w:rPr>
                <w:rFonts w:hint="eastAsia"/>
                <w:spacing w:val="28"/>
                <w:w w:val="100"/>
                <w:kern w:val="0"/>
                <w:sz w:val="28"/>
                <w:szCs w:val="28"/>
                <w:fitText w:val="2640" w:id="559295827"/>
                <w:lang w:val="en-US" w:eastAsia="zh-CN"/>
              </w:rPr>
              <w:t>监管部门（盖章</w:t>
            </w:r>
            <w:r>
              <w:rPr>
                <w:rFonts w:hint="eastAsia"/>
                <w:spacing w:val="4"/>
                <w:w w:val="100"/>
                <w:kern w:val="0"/>
                <w:sz w:val="28"/>
                <w:szCs w:val="28"/>
                <w:fitText w:val="2640" w:id="559295827"/>
                <w:lang w:val="en-US" w:eastAsia="zh-CN"/>
              </w:rPr>
              <w:t>）</w:t>
            </w:r>
            <w:r>
              <w:rPr>
                <w:rFonts w:hint="eastAsia"/>
                <w:kern w:val="0"/>
                <w:sz w:val="28"/>
                <w:szCs w:val="28"/>
                <w:lang w:val="en-US" w:eastAsia="zh-CN"/>
              </w:rPr>
              <w:t>：</w:t>
            </w:r>
          </w:p>
        </w:tc>
        <w:tc>
          <w:tcPr>
            <w:tcW w:w="4498" w:type="dxa"/>
            <w:tcBorders>
              <w:tl2br w:val="nil"/>
              <w:tr2bl w:val="nil"/>
            </w:tcBorders>
            <w:vAlign w:val="top"/>
          </w:tcPr>
          <w:p w14:paraId="0279D5E1">
            <w:pPr>
              <w:bidi w:val="0"/>
              <w:rPr>
                <w:rFonts w:hint="eastAsia"/>
                <w:b/>
                <w:bCs/>
                <w:color w:val="FF0000"/>
                <w:sz w:val="28"/>
                <w:szCs w:val="28"/>
              </w:rPr>
            </w:pPr>
          </w:p>
        </w:tc>
      </w:tr>
      <w:tr w14:paraId="7360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3341" w:type="dxa"/>
            <w:tcBorders>
              <w:tl2br w:val="nil"/>
              <w:tr2bl w:val="nil"/>
            </w:tcBorders>
            <w:vAlign w:val="top"/>
          </w:tcPr>
          <w:p w14:paraId="5AA28859">
            <w:pPr>
              <w:bidi w:val="0"/>
              <w:jc w:val="right"/>
              <w:rPr>
                <w:rFonts w:hint="default"/>
                <w:spacing w:val="2640"/>
                <w:w w:val="100"/>
                <w:kern w:val="0"/>
                <w:sz w:val="28"/>
                <w:szCs w:val="28"/>
                <w:fitText w:val="2640" w:id="559295827"/>
                <w:lang w:val="en-US" w:eastAsia="zh-CN"/>
              </w:rPr>
            </w:pPr>
            <w:r>
              <w:rPr>
                <w:rFonts w:hint="eastAsia"/>
                <w:spacing w:val="28"/>
                <w:w w:val="100"/>
                <w:kern w:val="0"/>
                <w:sz w:val="28"/>
                <w:szCs w:val="28"/>
                <w:fitText w:val="2640" w:id="559295827"/>
                <w:lang w:val="en-US" w:eastAsia="zh-CN"/>
              </w:rPr>
              <w:t>备案单位（盖章</w:t>
            </w:r>
            <w:r>
              <w:rPr>
                <w:rFonts w:hint="eastAsia"/>
                <w:spacing w:val="4"/>
                <w:w w:val="100"/>
                <w:kern w:val="0"/>
                <w:sz w:val="28"/>
                <w:szCs w:val="28"/>
                <w:fitText w:val="2640" w:id="559295827"/>
                <w:lang w:val="en-US" w:eastAsia="zh-CN"/>
              </w:rPr>
              <w:t>）</w:t>
            </w:r>
            <w:r>
              <w:rPr>
                <w:rFonts w:hint="eastAsia"/>
                <w:kern w:val="0"/>
                <w:sz w:val="28"/>
                <w:szCs w:val="28"/>
                <w:lang w:val="en-US" w:eastAsia="zh-CN"/>
              </w:rPr>
              <w:t>：</w:t>
            </w:r>
          </w:p>
        </w:tc>
        <w:tc>
          <w:tcPr>
            <w:tcW w:w="4498" w:type="dxa"/>
            <w:tcBorders>
              <w:tl2br w:val="nil"/>
              <w:tr2bl w:val="nil"/>
            </w:tcBorders>
            <w:vAlign w:val="top"/>
          </w:tcPr>
          <w:p w14:paraId="1AA8697C">
            <w:pPr>
              <w:bidi w:val="0"/>
              <w:rPr>
                <w:rFonts w:hint="eastAsia"/>
                <w:b/>
                <w:bCs/>
                <w:color w:val="FF0000"/>
                <w:sz w:val="28"/>
                <w:szCs w:val="28"/>
              </w:rPr>
            </w:pPr>
          </w:p>
        </w:tc>
      </w:tr>
      <w:tr w14:paraId="3960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7839" w:type="dxa"/>
            <w:gridSpan w:val="2"/>
            <w:tcBorders>
              <w:tl2br w:val="nil"/>
              <w:tr2bl w:val="nil"/>
            </w:tcBorders>
            <w:vAlign w:val="top"/>
          </w:tcPr>
          <w:p w14:paraId="06669581">
            <w:pPr>
              <w:bidi w:val="0"/>
              <w:jc w:val="center"/>
              <w:rPr>
                <w:sz w:val="28"/>
                <w:szCs w:val="28"/>
              </w:rPr>
            </w:pPr>
            <w:r>
              <w:rPr>
                <w:rFonts w:hint="eastAsia"/>
                <w:b/>
                <w:bCs/>
                <w:color w:val="FF0000"/>
                <w:sz w:val="28"/>
                <w:szCs w:val="28"/>
              </w:rPr>
              <w:t>二〇二四年</w:t>
            </w:r>
            <w:r>
              <w:rPr>
                <w:rFonts w:hint="eastAsia"/>
                <w:b/>
                <w:bCs/>
                <w:color w:val="FF0000"/>
                <w:sz w:val="28"/>
                <w:szCs w:val="28"/>
                <w:lang w:val="en-US" w:eastAsia="zh-CN"/>
              </w:rPr>
              <w:t>十一</w:t>
            </w:r>
            <w:r>
              <w:rPr>
                <w:rFonts w:hint="eastAsia"/>
                <w:b/>
                <w:bCs/>
                <w:color w:val="FF0000"/>
                <w:sz w:val="28"/>
                <w:szCs w:val="28"/>
              </w:rPr>
              <w:t>月</w:t>
            </w:r>
          </w:p>
        </w:tc>
      </w:tr>
    </w:tbl>
    <w:sdt>
      <w:sdtPr>
        <w:rPr>
          <w:rFonts w:ascii="宋体" w:hAnsi="宋体" w:eastAsia="宋体" w:cstheme="minorBidi"/>
          <w:kern w:val="2"/>
          <w:sz w:val="21"/>
          <w:szCs w:val="22"/>
          <w:lang w:val="en-US" w:eastAsia="zh-CN" w:bidi="ar-SA"/>
        </w:rPr>
        <w:id w:val="147470730"/>
        <w15:color w:val="DBDBDB"/>
        <w:docPartObj>
          <w:docPartGallery w:val="Table of Contents"/>
          <w:docPartUnique/>
        </w:docPartObj>
      </w:sdtPr>
      <w:sdtEndPr>
        <w:rPr>
          <w:rFonts w:ascii="汉仪正圆 55简" w:hAnsi="汉仪正圆 55简" w:eastAsia="仿宋" w:cstheme="minorBidi"/>
          <w:kern w:val="2"/>
          <w:sz w:val="24"/>
          <w:szCs w:val="22"/>
          <w:lang w:val="en-US" w:eastAsia="zh-CN" w:bidi="ar-SA"/>
        </w:rPr>
      </w:sdtEndPr>
      <w:sdtContent>
        <w:p w14:paraId="2F80E2C1">
          <w:pPr>
            <w:spacing w:before="0" w:beforeLines="0" w:after="0" w:afterLines="0" w:line="240" w:lineRule="auto"/>
            <w:ind w:left="0" w:leftChars="0" w:right="0" w:rightChars="0" w:firstLine="0" w:firstLineChars="0"/>
            <w:jc w:val="center"/>
          </w:pPr>
          <w:bookmarkStart w:id="108" w:name="_GoBack"/>
          <w:bookmarkEnd w:id="108"/>
          <w:r>
            <w:rPr>
              <w:rFonts w:ascii="宋体" w:hAnsi="宋体" w:eastAsia="宋体"/>
              <w:sz w:val="21"/>
            </w:rPr>
            <w:t>目录</w:t>
          </w:r>
        </w:p>
        <w:p w14:paraId="6C71236B">
          <w:pPr>
            <w:pStyle w:val="14"/>
            <w:tabs>
              <w:tab w:val="right" w:leader="dot" w:pos="9746"/>
            </w:tabs>
          </w:pPr>
          <w:r>
            <w:fldChar w:fldCharType="begin"/>
          </w:r>
          <w:r>
            <w:instrText xml:space="preserve">TOC \o "1-3" \h \u </w:instrText>
          </w:r>
          <w:r>
            <w:fldChar w:fldCharType="separate"/>
          </w:r>
          <w:r>
            <w:fldChar w:fldCharType="begin"/>
          </w:r>
          <w:r>
            <w:instrText xml:space="preserve"> HYPERLINK \l _Toc31208 </w:instrText>
          </w:r>
          <w:r>
            <w:fldChar w:fldCharType="separate"/>
          </w:r>
          <w:r>
            <w:rPr>
              <w:rFonts w:hint="eastAsia"/>
              <w:bCs/>
              <w:i w:val="0"/>
              <w:iCs w:val="0"/>
              <w:lang w:val="en-US" w:eastAsia="zh-CN"/>
            </w:rPr>
            <w:t xml:space="preserve">第一章 </w:t>
          </w:r>
          <w:r>
            <w:rPr>
              <w:rFonts w:hint="eastAsia"/>
              <w:lang w:val="en-US" w:eastAsia="zh-CN"/>
            </w:rPr>
            <w:t>征集公告</w:t>
          </w:r>
          <w:r>
            <w:tab/>
          </w:r>
          <w:r>
            <w:fldChar w:fldCharType="begin"/>
          </w:r>
          <w:r>
            <w:instrText xml:space="preserve"> PAGEREF _Toc31208 \h </w:instrText>
          </w:r>
          <w:r>
            <w:fldChar w:fldCharType="separate"/>
          </w:r>
          <w:r>
            <w:t>5</w:t>
          </w:r>
          <w:r>
            <w:fldChar w:fldCharType="end"/>
          </w:r>
          <w:r>
            <w:fldChar w:fldCharType="end"/>
          </w:r>
        </w:p>
        <w:p w14:paraId="77A797AA">
          <w:pPr>
            <w:pStyle w:val="11"/>
            <w:tabs>
              <w:tab w:val="right" w:leader="dot" w:pos="9746"/>
            </w:tabs>
          </w:pPr>
          <w:r>
            <w:fldChar w:fldCharType="begin"/>
          </w:r>
          <w:r>
            <w:instrText xml:space="preserve"> HYPERLINK \l _Toc9006 </w:instrText>
          </w:r>
          <w:r>
            <w:fldChar w:fldCharType="separate"/>
          </w:r>
          <w:r>
            <w:rPr>
              <w:rFonts w:hint="eastAsia"/>
            </w:rPr>
            <w:t>一、 项目基本情况</w:t>
          </w:r>
          <w:r>
            <w:tab/>
          </w:r>
          <w:r>
            <w:fldChar w:fldCharType="begin"/>
          </w:r>
          <w:r>
            <w:instrText xml:space="preserve"> PAGEREF _Toc9006 \h </w:instrText>
          </w:r>
          <w:r>
            <w:fldChar w:fldCharType="separate"/>
          </w:r>
          <w:r>
            <w:t>5</w:t>
          </w:r>
          <w:r>
            <w:fldChar w:fldCharType="end"/>
          </w:r>
          <w:r>
            <w:fldChar w:fldCharType="end"/>
          </w:r>
        </w:p>
        <w:p w14:paraId="634E2C0B">
          <w:pPr>
            <w:pStyle w:val="11"/>
            <w:tabs>
              <w:tab w:val="right" w:leader="dot" w:pos="9746"/>
            </w:tabs>
          </w:pPr>
          <w:r>
            <w:fldChar w:fldCharType="begin"/>
          </w:r>
          <w:r>
            <w:instrText xml:space="preserve"> HYPERLINK \l _Toc28841 </w:instrText>
          </w:r>
          <w:r>
            <w:fldChar w:fldCharType="separate"/>
          </w:r>
          <w:r>
            <w:rPr>
              <w:rFonts w:hint="eastAsia"/>
            </w:rPr>
            <w:t xml:space="preserve">二、 </w:t>
          </w:r>
          <w:r>
            <w:rPr>
              <w:rFonts w:hint="eastAsia"/>
              <w:lang w:val="en-US" w:eastAsia="zh-CN"/>
            </w:rPr>
            <w:t>申请人的</w:t>
          </w:r>
          <w:r>
            <w:rPr>
              <w:rFonts w:hint="eastAsia"/>
            </w:rPr>
            <w:t>资格要求</w:t>
          </w:r>
          <w:r>
            <w:tab/>
          </w:r>
          <w:r>
            <w:fldChar w:fldCharType="begin"/>
          </w:r>
          <w:r>
            <w:instrText xml:space="preserve"> PAGEREF _Toc28841 \h </w:instrText>
          </w:r>
          <w:r>
            <w:fldChar w:fldCharType="separate"/>
          </w:r>
          <w:r>
            <w:t>5</w:t>
          </w:r>
          <w:r>
            <w:fldChar w:fldCharType="end"/>
          </w:r>
          <w:r>
            <w:fldChar w:fldCharType="end"/>
          </w:r>
        </w:p>
        <w:p w14:paraId="0EB1286B">
          <w:pPr>
            <w:pStyle w:val="11"/>
            <w:tabs>
              <w:tab w:val="right" w:leader="dot" w:pos="9746"/>
            </w:tabs>
          </w:pPr>
          <w:r>
            <w:fldChar w:fldCharType="begin"/>
          </w:r>
          <w:r>
            <w:instrText xml:space="preserve"> HYPERLINK \l _Toc24323 </w:instrText>
          </w:r>
          <w:r>
            <w:fldChar w:fldCharType="separate"/>
          </w:r>
          <w:r>
            <w:rPr>
              <w:rFonts w:hint="eastAsia"/>
            </w:rPr>
            <w:t>三、 获取（下载）</w:t>
          </w:r>
          <w:r>
            <w:rPr>
              <w:rFonts w:hint="eastAsia"/>
              <w:lang w:val="en-US" w:eastAsia="zh-CN"/>
            </w:rPr>
            <w:t>征集文件</w:t>
          </w:r>
          <w:r>
            <w:tab/>
          </w:r>
          <w:r>
            <w:fldChar w:fldCharType="begin"/>
          </w:r>
          <w:r>
            <w:instrText xml:space="preserve"> PAGEREF _Toc24323 \h </w:instrText>
          </w:r>
          <w:r>
            <w:fldChar w:fldCharType="separate"/>
          </w:r>
          <w:r>
            <w:t>6</w:t>
          </w:r>
          <w:r>
            <w:fldChar w:fldCharType="end"/>
          </w:r>
          <w:r>
            <w:fldChar w:fldCharType="end"/>
          </w:r>
        </w:p>
        <w:p w14:paraId="16F85E25">
          <w:pPr>
            <w:pStyle w:val="11"/>
            <w:tabs>
              <w:tab w:val="right" w:leader="dot" w:pos="9746"/>
            </w:tabs>
          </w:pPr>
          <w:r>
            <w:fldChar w:fldCharType="begin"/>
          </w:r>
          <w:r>
            <w:instrText xml:space="preserve"> HYPERLINK \l _Toc14216 </w:instrText>
          </w:r>
          <w:r>
            <w:fldChar w:fldCharType="separate"/>
          </w:r>
          <w:r>
            <w:rPr>
              <w:rFonts w:hint="eastAsia"/>
            </w:rPr>
            <w:t>四、 提交响应文件截止时间、</w:t>
          </w:r>
          <w:r>
            <w:rPr>
              <w:rFonts w:hint="eastAsia"/>
              <w:lang w:val="en-US" w:eastAsia="zh-CN"/>
            </w:rPr>
            <w:t>开标</w:t>
          </w:r>
          <w:r>
            <w:rPr>
              <w:rFonts w:hint="eastAsia"/>
            </w:rPr>
            <w:t>时间和地点</w:t>
          </w:r>
          <w:r>
            <w:tab/>
          </w:r>
          <w:r>
            <w:fldChar w:fldCharType="begin"/>
          </w:r>
          <w:r>
            <w:instrText xml:space="preserve"> PAGEREF _Toc14216 \h </w:instrText>
          </w:r>
          <w:r>
            <w:fldChar w:fldCharType="separate"/>
          </w:r>
          <w:r>
            <w:t>6</w:t>
          </w:r>
          <w:r>
            <w:fldChar w:fldCharType="end"/>
          </w:r>
          <w:r>
            <w:fldChar w:fldCharType="end"/>
          </w:r>
        </w:p>
        <w:p w14:paraId="3FDFB550">
          <w:pPr>
            <w:pStyle w:val="11"/>
            <w:tabs>
              <w:tab w:val="right" w:leader="dot" w:pos="9746"/>
            </w:tabs>
          </w:pPr>
          <w:r>
            <w:fldChar w:fldCharType="begin"/>
          </w:r>
          <w:r>
            <w:instrText xml:space="preserve"> HYPERLINK \l _Toc2924 </w:instrText>
          </w:r>
          <w:r>
            <w:fldChar w:fldCharType="separate"/>
          </w:r>
          <w:r>
            <w:rPr>
              <w:rFonts w:hint="eastAsia"/>
              <w:lang w:val="en-US" w:eastAsia="zh-CN"/>
            </w:rPr>
            <w:t xml:space="preserve">五、 </w:t>
          </w:r>
          <w:r>
            <w:rPr>
              <w:rFonts w:hint="default"/>
              <w:lang w:val="en-US" w:eastAsia="zh-CN"/>
            </w:rPr>
            <w:t>公告期限</w:t>
          </w:r>
          <w:r>
            <w:tab/>
          </w:r>
          <w:r>
            <w:fldChar w:fldCharType="begin"/>
          </w:r>
          <w:r>
            <w:instrText xml:space="preserve"> PAGEREF _Toc2924 \h </w:instrText>
          </w:r>
          <w:r>
            <w:fldChar w:fldCharType="separate"/>
          </w:r>
          <w:r>
            <w:t>6</w:t>
          </w:r>
          <w:r>
            <w:fldChar w:fldCharType="end"/>
          </w:r>
          <w:r>
            <w:fldChar w:fldCharType="end"/>
          </w:r>
        </w:p>
        <w:p w14:paraId="37A2EAFF">
          <w:pPr>
            <w:pStyle w:val="11"/>
            <w:tabs>
              <w:tab w:val="right" w:leader="dot" w:pos="9746"/>
            </w:tabs>
          </w:pPr>
          <w:r>
            <w:fldChar w:fldCharType="begin"/>
          </w:r>
          <w:r>
            <w:instrText xml:space="preserve"> HYPERLINK \l _Toc24280 </w:instrText>
          </w:r>
          <w:r>
            <w:fldChar w:fldCharType="separate"/>
          </w:r>
          <w:r>
            <w:rPr>
              <w:rFonts w:hint="eastAsia"/>
              <w:lang w:val="en-US" w:eastAsia="zh-CN"/>
            </w:rPr>
            <w:t>六、 其他事项</w:t>
          </w:r>
          <w:r>
            <w:tab/>
          </w:r>
          <w:r>
            <w:fldChar w:fldCharType="begin"/>
          </w:r>
          <w:r>
            <w:instrText xml:space="preserve"> PAGEREF _Toc24280 \h </w:instrText>
          </w:r>
          <w:r>
            <w:fldChar w:fldCharType="separate"/>
          </w:r>
          <w:r>
            <w:t>6</w:t>
          </w:r>
          <w:r>
            <w:fldChar w:fldCharType="end"/>
          </w:r>
          <w:r>
            <w:fldChar w:fldCharType="end"/>
          </w:r>
        </w:p>
        <w:p w14:paraId="64FBC58D">
          <w:pPr>
            <w:pStyle w:val="11"/>
            <w:tabs>
              <w:tab w:val="right" w:leader="dot" w:pos="9746"/>
            </w:tabs>
          </w:pPr>
          <w:r>
            <w:fldChar w:fldCharType="begin"/>
          </w:r>
          <w:r>
            <w:instrText xml:space="preserve"> HYPERLINK \l _Toc256 </w:instrText>
          </w:r>
          <w:r>
            <w:fldChar w:fldCharType="separate"/>
          </w:r>
          <w:r>
            <w:rPr>
              <w:rFonts w:hint="eastAsia"/>
              <w:lang w:val="en-US" w:eastAsia="zh-CN"/>
            </w:rPr>
            <w:t xml:space="preserve">七、 </w:t>
          </w:r>
          <w:r>
            <w:rPr>
              <w:rFonts w:hint="default"/>
              <w:lang w:val="en-US" w:eastAsia="zh-CN"/>
            </w:rPr>
            <w:t>对本次采购提出询问、质疑、投诉，请按以下方式联系</w:t>
          </w:r>
          <w:r>
            <w:tab/>
          </w:r>
          <w:r>
            <w:fldChar w:fldCharType="begin"/>
          </w:r>
          <w:r>
            <w:instrText xml:space="preserve"> PAGEREF _Toc256 \h </w:instrText>
          </w:r>
          <w:r>
            <w:fldChar w:fldCharType="separate"/>
          </w:r>
          <w:r>
            <w:t>6</w:t>
          </w:r>
          <w:r>
            <w:fldChar w:fldCharType="end"/>
          </w:r>
          <w:r>
            <w:fldChar w:fldCharType="end"/>
          </w:r>
        </w:p>
        <w:p w14:paraId="620662D6">
          <w:pPr>
            <w:pStyle w:val="14"/>
            <w:tabs>
              <w:tab w:val="right" w:leader="dot" w:pos="9746"/>
            </w:tabs>
          </w:pPr>
          <w:r>
            <w:fldChar w:fldCharType="begin"/>
          </w:r>
          <w:r>
            <w:instrText xml:space="preserve"> HYPERLINK \l _Toc26675 </w:instrText>
          </w:r>
          <w:r>
            <w:fldChar w:fldCharType="separate"/>
          </w:r>
          <w:r>
            <w:rPr>
              <w:rFonts w:hint="eastAsia"/>
              <w:bCs/>
              <w:i w:val="0"/>
              <w:iCs w:val="0"/>
              <w:lang w:val="en-US" w:eastAsia="zh-CN"/>
            </w:rPr>
            <w:t xml:space="preserve">第二章 </w:t>
          </w:r>
          <w:r>
            <w:rPr>
              <w:rFonts w:hint="eastAsia"/>
              <w:lang w:val="en-US" w:eastAsia="zh-CN"/>
            </w:rPr>
            <w:t>投标人须知</w:t>
          </w:r>
          <w:r>
            <w:tab/>
          </w:r>
          <w:r>
            <w:fldChar w:fldCharType="begin"/>
          </w:r>
          <w:r>
            <w:instrText xml:space="preserve"> PAGEREF _Toc26675 \h </w:instrText>
          </w:r>
          <w:r>
            <w:fldChar w:fldCharType="separate"/>
          </w:r>
          <w:r>
            <w:t>8</w:t>
          </w:r>
          <w:r>
            <w:fldChar w:fldCharType="end"/>
          </w:r>
          <w:r>
            <w:fldChar w:fldCharType="end"/>
          </w:r>
        </w:p>
        <w:p w14:paraId="141FA009">
          <w:pPr>
            <w:pStyle w:val="15"/>
            <w:tabs>
              <w:tab w:val="right" w:leader="dot" w:pos="9746"/>
            </w:tabs>
          </w:pPr>
          <w:r>
            <w:fldChar w:fldCharType="begin"/>
          </w:r>
          <w:r>
            <w:instrText xml:space="preserve"> HYPERLINK \l _Toc8391 </w:instrText>
          </w:r>
          <w:r>
            <w:fldChar w:fldCharType="separate"/>
          </w:r>
          <w:r>
            <w:rPr>
              <w:rFonts w:hint="eastAsia"/>
              <w:lang w:val="en-US" w:eastAsia="zh-CN"/>
            </w:rPr>
            <w:t>第一节 总则</w:t>
          </w:r>
          <w:r>
            <w:tab/>
          </w:r>
          <w:r>
            <w:fldChar w:fldCharType="begin"/>
          </w:r>
          <w:r>
            <w:instrText xml:space="preserve"> PAGEREF _Toc8391 \h </w:instrText>
          </w:r>
          <w:r>
            <w:fldChar w:fldCharType="separate"/>
          </w:r>
          <w:r>
            <w:t>9</w:t>
          </w:r>
          <w:r>
            <w:fldChar w:fldCharType="end"/>
          </w:r>
          <w:r>
            <w:fldChar w:fldCharType="end"/>
          </w:r>
        </w:p>
        <w:p w14:paraId="75E1CAEB">
          <w:pPr>
            <w:pStyle w:val="15"/>
            <w:tabs>
              <w:tab w:val="right" w:leader="dot" w:pos="9746"/>
            </w:tabs>
          </w:pPr>
          <w:r>
            <w:fldChar w:fldCharType="begin"/>
          </w:r>
          <w:r>
            <w:instrText xml:space="preserve"> HYPERLINK \l _Toc26358 </w:instrText>
          </w:r>
          <w:r>
            <w:fldChar w:fldCharType="separate"/>
          </w:r>
          <w:r>
            <w:rPr>
              <w:rFonts w:hint="eastAsia"/>
              <w:lang w:val="en-US" w:eastAsia="zh-CN"/>
            </w:rPr>
            <w:t xml:space="preserve">第二节 </w:t>
          </w:r>
          <w:r>
            <w:rPr>
              <w:rFonts w:hint="default"/>
              <w:lang w:val="en-US" w:eastAsia="zh-CN"/>
            </w:rPr>
            <w:t>征集文件的构成、澄清、修改</w:t>
          </w:r>
          <w:r>
            <w:tab/>
          </w:r>
          <w:r>
            <w:fldChar w:fldCharType="begin"/>
          </w:r>
          <w:r>
            <w:instrText xml:space="preserve"> PAGEREF _Toc26358 \h </w:instrText>
          </w:r>
          <w:r>
            <w:fldChar w:fldCharType="separate"/>
          </w:r>
          <w:r>
            <w:t>11</w:t>
          </w:r>
          <w:r>
            <w:fldChar w:fldCharType="end"/>
          </w:r>
          <w:r>
            <w:fldChar w:fldCharType="end"/>
          </w:r>
        </w:p>
        <w:p w14:paraId="178276F9">
          <w:pPr>
            <w:pStyle w:val="15"/>
            <w:tabs>
              <w:tab w:val="right" w:leader="dot" w:pos="9746"/>
            </w:tabs>
          </w:pPr>
          <w:r>
            <w:fldChar w:fldCharType="begin"/>
          </w:r>
          <w:r>
            <w:instrText xml:space="preserve"> HYPERLINK \l _Toc21843 </w:instrText>
          </w:r>
          <w:r>
            <w:fldChar w:fldCharType="separate"/>
          </w:r>
          <w:r>
            <w:rPr>
              <w:rFonts w:hint="eastAsia"/>
              <w:lang w:val="en-US" w:eastAsia="zh-CN"/>
            </w:rPr>
            <w:t>第三节 投标</w:t>
          </w:r>
          <w:r>
            <w:tab/>
          </w:r>
          <w:r>
            <w:fldChar w:fldCharType="begin"/>
          </w:r>
          <w:r>
            <w:instrText xml:space="preserve"> PAGEREF _Toc21843 \h </w:instrText>
          </w:r>
          <w:r>
            <w:fldChar w:fldCharType="separate"/>
          </w:r>
          <w:r>
            <w:t>12</w:t>
          </w:r>
          <w:r>
            <w:fldChar w:fldCharType="end"/>
          </w:r>
          <w:r>
            <w:fldChar w:fldCharType="end"/>
          </w:r>
        </w:p>
        <w:p w14:paraId="6B91D3DF">
          <w:pPr>
            <w:pStyle w:val="15"/>
            <w:tabs>
              <w:tab w:val="right" w:leader="dot" w:pos="9746"/>
            </w:tabs>
          </w:pPr>
          <w:r>
            <w:fldChar w:fldCharType="begin"/>
          </w:r>
          <w:r>
            <w:instrText xml:space="preserve"> HYPERLINK \l _Toc21869 </w:instrText>
          </w:r>
          <w:r>
            <w:fldChar w:fldCharType="separate"/>
          </w:r>
          <w:r>
            <w:rPr>
              <w:rFonts w:hint="eastAsia"/>
              <w:lang w:val="en-US" w:eastAsia="zh-CN"/>
            </w:rPr>
            <w:t xml:space="preserve">第四节 </w:t>
          </w:r>
          <w:r>
            <w:rPr>
              <w:rFonts w:hint="default"/>
              <w:lang w:val="en-US" w:eastAsia="zh-CN"/>
            </w:rPr>
            <w:t>开标、资格审查与信用信息查询</w:t>
          </w:r>
          <w:r>
            <w:tab/>
          </w:r>
          <w:r>
            <w:fldChar w:fldCharType="begin"/>
          </w:r>
          <w:r>
            <w:instrText xml:space="preserve"> PAGEREF _Toc21869 \h </w:instrText>
          </w:r>
          <w:r>
            <w:fldChar w:fldCharType="separate"/>
          </w:r>
          <w:r>
            <w:t>14</w:t>
          </w:r>
          <w:r>
            <w:fldChar w:fldCharType="end"/>
          </w:r>
          <w:r>
            <w:fldChar w:fldCharType="end"/>
          </w:r>
        </w:p>
        <w:p w14:paraId="27A932D3">
          <w:pPr>
            <w:pStyle w:val="15"/>
            <w:tabs>
              <w:tab w:val="right" w:leader="dot" w:pos="9746"/>
            </w:tabs>
          </w:pPr>
          <w:r>
            <w:fldChar w:fldCharType="begin"/>
          </w:r>
          <w:r>
            <w:instrText xml:space="preserve"> HYPERLINK \l _Toc2495 </w:instrText>
          </w:r>
          <w:r>
            <w:fldChar w:fldCharType="separate"/>
          </w:r>
          <w:r>
            <w:rPr>
              <w:rFonts w:hint="eastAsia"/>
              <w:lang w:val="en-US" w:eastAsia="zh-CN"/>
            </w:rPr>
            <w:t>第五节 评标</w:t>
          </w:r>
          <w:r>
            <w:tab/>
          </w:r>
          <w:r>
            <w:fldChar w:fldCharType="begin"/>
          </w:r>
          <w:r>
            <w:instrText xml:space="preserve"> PAGEREF _Toc2495 \h </w:instrText>
          </w:r>
          <w:r>
            <w:fldChar w:fldCharType="separate"/>
          </w:r>
          <w:r>
            <w:t>14</w:t>
          </w:r>
          <w:r>
            <w:fldChar w:fldCharType="end"/>
          </w:r>
          <w:r>
            <w:fldChar w:fldCharType="end"/>
          </w:r>
        </w:p>
        <w:p w14:paraId="008019B6">
          <w:pPr>
            <w:pStyle w:val="15"/>
            <w:tabs>
              <w:tab w:val="right" w:leader="dot" w:pos="9746"/>
            </w:tabs>
          </w:pPr>
          <w:r>
            <w:fldChar w:fldCharType="begin"/>
          </w:r>
          <w:r>
            <w:instrText xml:space="preserve"> HYPERLINK \l _Toc19542 </w:instrText>
          </w:r>
          <w:r>
            <w:fldChar w:fldCharType="separate"/>
          </w:r>
          <w:r>
            <w:rPr>
              <w:rFonts w:hint="eastAsia"/>
              <w:lang w:val="en-US" w:eastAsia="zh-CN"/>
            </w:rPr>
            <w:t>第六节 定标</w:t>
          </w:r>
          <w:r>
            <w:tab/>
          </w:r>
          <w:r>
            <w:fldChar w:fldCharType="begin"/>
          </w:r>
          <w:r>
            <w:instrText xml:space="preserve"> PAGEREF _Toc19542 \h </w:instrText>
          </w:r>
          <w:r>
            <w:fldChar w:fldCharType="separate"/>
          </w:r>
          <w:r>
            <w:t>15</w:t>
          </w:r>
          <w:r>
            <w:fldChar w:fldCharType="end"/>
          </w:r>
          <w:r>
            <w:fldChar w:fldCharType="end"/>
          </w:r>
        </w:p>
        <w:p w14:paraId="17C1099E">
          <w:pPr>
            <w:pStyle w:val="15"/>
            <w:tabs>
              <w:tab w:val="right" w:leader="dot" w:pos="9746"/>
            </w:tabs>
          </w:pPr>
          <w:r>
            <w:fldChar w:fldCharType="begin"/>
          </w:r>
          <w:r>
            <w:instrText xml:space="preserve"> HYPERLINK \l _Toc11670 </w:instrText>
          </w:r>
          <w:r>
            <w:fldChar w:fldCharType="separate"/>
          </w:r>
          <w:r>
            <w:rPr>
              <w:rFonts w:hint="eastAsia"/>
              <w:lang w:val="en-US" w:eastAsia="zh-CN"/>
            </w:rPr>
            <w:t>第七节 合同授予</w:t>
          </w:r>
          <w:r>
            <w:tab/>
          </w:r>
          <w:r>
            <w:fldChar w:fldCharType="begin"/>
          </w:r>
          <w:r>
            <w:instrText xml:space="preserve"> PAGEREF _Toc11670 \h </w:instrText>
          </w:r>
          <w:r>
            <w:fldChar w:fldCharType="separate"/>
          </w:r>
          <w:r>
            <w:t>15</w:t>
          </w:r>
          <w:r>
            <w:fldChar w:fldCharType="end"/>
          </w:r>
          <w:r>
            <w:fldChar w:fldCharType="end"/>
          </w:r>
        </w:p>
        <w:p w14:paraId="7E304561">
          <w:pPr>
            <w:pStyle w:val="14"/>
            <w:tabs>
              <w:tab w:val="right" w:leader="dot" w:pos="9746"/>
            </w:tabs>
          </w:pPr>
          <w:r>
            <w:fldChar w:fldCharType="begin"/>
          </w:r>
          <w:r>
            <w:instrText xml:space="preserve"> HYPERLINK \l _Toc30646 </w:instrText>
          </w:r>
          <w:r>
            <w:fldChar w:fldCharType="separate"/>
          </w:r>
          <w:r>
            <w:rPr>
              <w:rFonts w:hint="eastAsia"/>
              <w:bCs/>
              <w:i w:val="0"/>
              <w:iCs w:val="0"/>
              <w:lang w:val="en-US" w:eastAsia="zh-CN"/>
            </w:rPr>
            <w:t xml:space="preserve">第三章 </w:t>
          </w:r>
          <w:r>
            <w:rPr>
              <w:rFonts w:hint="eastAsia"/>
              <w:lang w:val="en-US" w:eastAsia="zh-CN"/>
            </w:rPr>
            <w:t>采购需求</w:t>
          </w:r>
          <w:r>
            <w:tab/>
          </w:r>
          <w:r>
            <w:fldChar w:fldCharType="begin"/>
          </w:r>
          <w:r>
            <w:instrText xml:space="preserve"> PAGEREF _Toc30646 \h </w:instrText>
          </w:r>
          <w:r>
            <w:fldChar w:fldCharType="separate"/>
          </w:r>
          <w:r>
            <w:t>16</w:t>
          </w:r>
          <w:r>
            <w:fldChar w:fldCharType="end"/>
          </w:r>
          <w:r>
            <w:fldChar w:fldCharType="end"/>
          </w:r>
        </w:p>
        <w:p w14:paraId="79B86D5A">
          <w:pPr>
            <w:pStyle w:val="11"/>
            <w:tabs>
              <w:tab w:val="right" w:leader="dot" w:pos="9746"/>
            </w:tabs>
          </w:pPr>
          <w:r>
            <w:fldChar w:fldCharType="begin"/>
          </w:r>
          <w:r>
            <w:instrText xml:space="preserve"> HYPERLINK \l _Toc21737 </w:instrText>
          </w:r>
          <w:r>
            <w:fldChar w:fldCharType="separate"/>
          </w:r>
          <w:r>
            <w:rPr>
              <w:rFonts w:hint="eastAsia"/>
              <w:lang w:val="en-US" w:eastAsia="zh-CN"/>
            </w:rPr>
            <w:t>一、 项目概况</w:t>
          </w:r>
          <w:r>
            <w:tab/>
          </w:r>
          <w:r>
            <w:fldChar w:fldCharType="begin"/>
          </w:r>
          <w:r>
            <w:instrText xml:space="preserve"> PAGEREF _Toc21737 \h </w:instrText>
          </w:r>
          <w:r>
            <w:fldChar w:fldCharType="separate"/>
          </w:r>
          <w:r>
            <w:t>16</w:t>
          </w:r>
          <w:r>
            <w:fldChar w:fldCharType="end"/>
          </w:r>
          <w:r>
            <w:fldChar w:fldCharType="end"/>
          </w:r>
        </w:p>
        <w:p w14:paraId="6974415F">
          <w:pPr>
            <w:pStyle w:val="11"/>
            <w:tabs>
              <w:tab w:val="right" w:leader="dot" w:pos="9746"/>
            </w:tabs>
          </w:pPr>
          <w:r>
            <w:fldChar w:fldCharType="begin"/>
          </w:r>
          <w:r>
            <w:instrText xml:space="preserve"> HYPERLINK \l _Toc15117 </w:instrText>
          </w:r>
          <w:r>
            <w:fldChar w:fldCharType="separate"/>
          </w:r>
          <w:r>
            <w:rPr>
              <w:rFonts w:hint="eastAsia"/>
              <w:lang w:val="en-US" w:eastAsia="zh-CN"/>
            </w:rPr>
            <w:t>二、 采购内容</w:t>
          </w:r>
          <w:r>
            <w:tab/>
          </w:r>
          <w:r>
            <w:fldChar w:fldCharType="begin"/>
          </w:r>
          <w:r>
            <w:instrText xml:space="preserve"> PAGEREF _Toc15117 \h </w:instrText>
          </w:r>
          <w:r>
            <w:fldChar w:fldCharType="separate"/>
          </w:r>
          <w:r>
            <w:t>16</w:t>
          </w:r>
          <w:r>
            <w:fldChar w:fldCharType="end"/>
          </w:r>
          <w:r>
            <w:fldChar w:fldCharType="end"/>
          </w:r>
        </w:p>
        <w:p w14:paraId="4A3D61B3">
          <w:pPr>
            <w:pStyle w:val="11"/>
            <w:tabs>
              <w:tab w:val="right" w:leader="dot" w:pos="9746"/>
            </w:tabs>
          </w:pPr>
          <w:r>
            <w:fldChar w:fldCharType="begin"/>
          </w:r>
          <w:r>
            <w:instrText xml:space="preserve"> HYPERLINK \l _Toc15900 </w:instrText>
          </w:r>
          <w:r>
            <w:fldChar w:fldCharType="separate"/>
          </w:r>
          <w:r>
            <w:rPr>
              <w:rFonts w:hint="eastAsia"/>
              <w:lang w:val="en-US" w:eastAsia="zh-CN"/>
            </w:rPr>
            <w:t>三、 质量要求</w:t>
          </w:r>
          <w:r>
            <w:tab/>
          </w:r>
          <w:r>
            <w:fldChar w:fldCharType="begin"/>
          </w:r>
          <w:r>
            <w:instrText xml:space="preserve"> PAGEREF _Toc15900 \h </w:instrText>
          </w:r>
          <w:r>
            <w:fldChar w:fldCharType="separate"/>
          </w:r>
          <w:r>
            <w:t>16</w:t>
          </w:r>
          <w:r>
            <w:fldChar w:fldCharType="end"/>
          </w:r>
          <w:r>
            <w:fldChar w:fldCharType="end"/>
          </w:r>
        </w:p>
        <w:p w14:paraId="4A76C321">
          <w:pPr>
            <w:pStyle w:val="11"/>
            <w:tabs>
              <w:tab w:val="right" w:leader="dot" w:pos="9746"/>
            </w:tabs>
          </w:pPr>
          <w:r>
            <w:fldChar w:fldCharType="begin"/>
          </w:r>
          <w:r>
            <w:instrText xml:space="preserve"> HYPERLINK \l _Toc18538 </w:instrText>
          </w:r>
          <w:r>
            <w:fldChar w:fldCharType="separate"/>
          </w:r>
          <w:r>
            <w:rPr>
              <w:rFonts w:hint="eastAsia"/>
              <w:lang w:val="en-US" w:eastAsia="zh-CN"/>
            </w:rPr>
            <w:t>四、 供货要求</w:t>
          </w:r>
          <w:r>
            <w:tab/>
          </w:r>
          <w:r>
            <w:fldChar w:fldCharType="begin"/>
          </w:r>
          <w:r>
            <w:instrText xml:space="preserve"> PAGEREF _Toc18538 \h </w:instrText>
          </w:r>
          <w:r>
            <w:fldChar w:fldCharType="separate"/>
          </w:r>
          <w:r>
            <w:t>17</w:t>
          </w:r>
          <w:r>
            <w:fldChar w:fldCharType="end"/>
          </w:r>
          <w:r>
            <w:fldChar w:fldCharType="end"/>
          </w:r>
        </w:p>
        <w:p w14:paraId="5C4BEA5E">
          <w:pPr>
            <w:pStyle w:val="11"/>
            <w:tabs>
              <w:tab w:val="right" w:leader="dot" w:pos="9746"/>
            </w:tabs>
          </w:pPr>
          <w:r>
            <w:fldChar w:fldCharType="begin"/>
          </w:r>
          <w:r>
            <w:instrText xml:space="preserve"> HYPERLINK \l _Toc4927 </w:instrText>
          </w:r>
          <w:r>
            <w:fldChar w:fldCharType="separate"/>
          </w:r>
          <w:r>
            <w:rPr>
              <w:rFonts w:hint="eastAsia"/>
              <w:lang w:val="en-US" w:eastAsia="zh-CN"/>
            </w:rPr>
            <w:t>五、 验收要求</w:t>
          </w:r>
          <w:r>
            <w:tab/>
          </w:r>
          <w:r>
            <w:fldChar w:fldCharType="begin"/>
          </w:r>
          <w:r>
            <w:instrText xml:space="preserve"> PAGEREF _Toc4927 \h </w:instrText>
          </w:r>
          <w:r>
            <w:fldChar w:fldCharType="separate"/>
          </w:r>
          <w:r>
            <w:t>18</w:t>
          </w:r>
          <w:r>
            <w:fldChar w:fldCharType="end"/>
          </w:r>
          <w:r>
            <w:fldChar w:fldCharType="end"/>
          </w:r>
        </w:p>
        <w:p w14:paraId="1733EFA0">
          <w:pPr>
            <w:pStyle w:val="11"/>
            <w:tabs>
              <w:tab w:val="right" w:leader="dot" w:pos="9746"/>
            </w:tabs>
          </w:pPr>
          <w:r>
            <w:fldChar w:fldCharType="begin"/>
          </w:r>
          <w:r>
            <w:instrText xml:space="preserve"> HYPERLINK \l _Toc18678 </w:instrText>
          </w:r>
          <w:r>
            <w:fldChar w:fldCharType="separate"/>
          </w:r>
          <w:r>
            <w:rPr>
              <w:rFonts w:hint="eastAsia"/>
              <w:lang w:val="en-US" w:eastAsia="zh-CN"/>
            </w:rPr>
            <w:t>六、 服务要求</w:t>
          </w:r>
          <w:r>
            <w:tab/>
          </w:r>
          <w:r>
            <w:fldChar w:fldCharType="begin"/>
          </w:r>
          <w:r>
            <w:instrText xml:space="preserve"> PAGEREF _Toc18678 \h </w:instrText>
          </w:r>
          <w:r>
            <w:fldChar w:fldCharType="separate"/>
          </w:r>
          <w:r>
            <w:t>18</w:t>
          </w:r>
          <w:r>
            <w:fldChar w:fldCharType="end"/>
          </w:r>
          <w:r>
            <w:fldChar w:fldCharType="end"/>
          </w:r>
        </w:p>
        <w:p w14:paraId="4BDDBE4C">
          <w:pPr>
            <w:pStyle w:val="11"/>
            <w:tabs>
              <w:tab w:val="right" w:leader="dot" w:pos="9746"/>
            </w:tabs>
          </w:pPr>
          <w:r>
            <w:fldChar w:fldCharType="begin"/>
          </w:r>
          <w:r>
            <w:instrText xml:space="preserve"> HYPERLINK \l _Toc10975 </w:instrText>
          </w:r>
          <w:r>
            <w:fldChar w:fldCharType="separate"/>
          </w:r>
          <w:r>
            <w:rPr>
              <w:rFonts w:hint="eastAsia"/>
              <w:lang w:val="en-US" w:eastAsia="zh-CN"/>
            </w:rPr>
            <w:t>七、 考核</w:t>
          </w:r>
          <w:r>
            <w:tab/>
          </w:r>
          <w:r>
            <w:fldChar w:fldCharType="begin"/>
          </w:r>
          <w:r>
            <w:instrText xml:space="preserve"> PAGEREF _Toc10975 \h </w:instrText>
          </w:r>
          <w:r>
            <w:fldChar w:fldCharType="separate"/>
          </w:r>
          <w:r>
            <w:t>19</w:t>
          </w:r>
          <w:r>
            <w:fldChar w:fldCharType="end"/>
          </w:r>
          <w:r>
            <w:fldChar w:fldCharType="end"/>
          </w:r>
        </w:p>
        <w:p w14:paraId="351C8AF9">
          <w:pPr>
            <w:pStyle w:val="11"/>
            <w:tabs>
              <w:tab w:val="right" w:leader="dot" w:pos="9746"/>
            </w:tabs>
          </w:pPr>
          <w:r>
            <w:fldChar w:fldCharType="begin"/>
          </w:r>
          <w:r>
            <w:instrText xml:space="preserve"> HYPERLINK \l _Toc27366 </w:instrText>
          </w:r>
          <w:r>
            <w:fldChar w:fldCharType="separate"/>
          </w:r>
          <w:r>
            <w:rPr>
              <w:rFonts w:hint="eastAsia"/>
              <w:lang w:val="en-US" w:eastAsia="zh-CN"/>
            </w:rPr>
            <w:t>八、 商务条款</w:t>
          </w:r>
          <w:r>
            <w:tab/>
          </w:r>
          <w:r>
            <w:fldChar w:fldCharType="begin"/>
          </w:r>
          <w:r>
            <w:instrText xml:space="preserve"> PAGEREF _Toc27366 \h </w:instrText>
          </w:r>
          <w:r>
            <w:fldChar w:fldCharType="separate"/>
          </w:r>
          <w:r>
            <w:t>20</w:t>
          </w:r>
          <w:r>
            <w:fldChar w:fldCharType="end"/>
          </w:r>
          <w:r>
            <w:fldChar w:fldCharType="end"/>
          </w:r>
        </w:p>
        <w:p w14:paraId="44C3748B">
          <w:pPr>
            <w:pStyle w:val="14"/>
            <w:tabs>
              <w:tab w:val="right" w:leader="dot" w:pos="9746"/>
            </w:tabs>
          </w:pPr>
          <w:r>
            <w:fldChar w:fldCharType="begin"/>
          </w:r>
          <w:r>
            <w:instrText xml:space="preserve"> HYPERLINK \l _Toc27834 </w:instrText>
          </w:r>
          <w:r>
            <w:fldChar w:fldCharType="separate"/>
          </w:r>
          <w:r>
            <w:rPr>
              <w:rFonts w:hint="eastAsia"/>
              <w:bCs/>
              <w:i w:val="0"/>
              <w:iCs w:val="0"/>
              <w:lang w:val="en-US" w:eastAsia="zh-CN"/>
            </w:rPr>
            <w:t xml:space="preserve">第四章 </w:t>
          </w:r>
          <w:r>
            <w:rPr>
              <w:rFonts w:hint="default"/>
              <w:lang w:val="en-US" w:eastAsia="zh-CN"/>
            </w:rPr>
            <w:t>评标办法</w:t>
          </w:r>
          <w:r>
            <w:tab/>
          </w:r>
          <w:r>
            <w:fldChar w:fldCharType="begin"/>
          </w:r>
          <w:r>
            <w:instrText xml:space="preserve"> PAGEREF _Toc27834 \h </w:instrText>
          </w:r>
          <w:r>
            <w:fldChar w:fldCharType="separate"/>
          </w:r>
          <w:r>
            <w:t>23</w:t>
          </w:r>
          <w:r>
            <w:fldChar w:fldCharType="end"/>
          </w:r>
          <w:r>
            <w:fldChar w:fldCharType="end"/>
          </w:r>
        </w:p>
        <w:p w14:paraId="74CED912">
          <w:pPr>
            <w:pStyle w:val="11"/>
            <w:tabs>
              <w:tab w:val="right" w:leader="dot" w:pos="9746"/>
            </w:tabs>
          </w:pPr>
          <w:r>
            <w:fldChar w:fldCharType="begin"/>
          </w:r>
          <w:r>
            <w:instrText xml:space="preserve"> HYPERLINK \l _Toc2041 </w:instrText>
          </w:r>
          <w:r>
            <w:fldChar w:fldCharType="separate"/>
          </w:r>
          <w:r>
            <w:rPr>
              <w:rFonts w:hint="eastAsia"/>
              <w:lang w:val="en-US" w:eastAsia="zh-CN"/>
            </w:rPr>
            <w:t xml:space="preserve">一、 </w:t>
          </w:r>
          <w:r>
            <w:rPr>
              <w:rFonts w:hint="default"/>
              <w:lang w:val="en-US" w:eastAsia="zh-CN"/>
            </w:rPr>
            <w:t>评标方法</w:t>
          </w:r>
          <w:r>
            <w:tab/>
          </w:r>
          <w:r>
            <w:fldChar w:fldCharType="begin"/>
          </w:r>
          <w:r>
            <w:instrText xml:space="preserve"> PAGEREF _Toc2041 \h </w:instrText>
          </w:r>
          <w:r>
            <w:fldChar w:fldCharType="separate"/>
          </w:r>
          <w:r>
            <w:t>23</w:t>
          </w:r>
          <w:r>
            <w:fldChar w:fldCharType="end"/>
          </w:r>
          <w:r>
            <w:fldChar w:fldCharType="end"/>
          </w:r>
        </w:p>
        <w:p w14:paraId="51043E74">
          <w:pPr>
            <w:pStyle w:val="11"/>
            <w:tabs>
              <w:tab w:val="right" w:leader="dot" w:pos="9746"/>
            </w:tabs>
          </w:pPr>
          <w:r>
            <w:fldChar w:fldCharType="begin"/>
          </w:r>
          <w:r>
            <w:instrText xml:space="preserve"> HYPERLINK \l _Toc24762 </w:instrText>
          </w:r>
          <w:r>
            <w:fldChar w:fldCharType="separate"/>
          </w:r>
          <w:r>
            <w:rPr>
              <w:rFonts w:hint="eastAsia"/>
              <w:lang w:val="en-US" w:eastAsia="zh-CN"/>
            </w:rPr>
            <w:t xml:space="preserve">二、 </w:t>
          </w:r>
          <w:r>
            <w:rPr>
              <w:rFonts w:hint="default"/>
              <w:lang w:val="en-US" w:eastAsia="zh-CN"/>
            </w:rPr>
            <w:t>评标委员会</w:t>
          </w:r>
          <w:r>
            <w:tab/>
          </w:r>
          <w:r>
            <w:fldChar w:fldCharType="begin"/>
          </w:r>
          <w:r>
            <w:instrText xml:space="preserve"> PAGEREF _Toc24762 \h </w:instrText>
          </w:r>
          <w:r>
            <w:fldChar w:fldCharType="separate"/>
          </w:r>
          <w:r>
            <w:t>23</w:t>
          </w:r>
          <w:r>
            <w:fldChar w:fldCharType="end"/>
          </w:r>
          <w:r>
            <w:fldChar w:fldCharType="end"/>
          </w:r>
        </w:p>
        <w:p w14:paraId="57F0A294">
          <w:pPr>
            <w:pStyle w:val="11"/>
            <w:tabs>
              <w:tab w:val="right" w:leader="dot" w:pos="9746"/>
            </w:tabs>
          </w:pPr>
          <w:r>
            <w:fldChar w:fldCharType="begin"/>
          </w:r>
          <w:r>
            <w:instrText xml:space="preserve"> HYPERLINK \l _Toc28908 </w:instrText>
          </w:r>
          <w:r>
            <w:fldChar w:fldCharType="separate"/>
          </w:r>
          <w:r>
            <w:rPr>
              <w:rFonts w:hint="eastAsia"/>
              <w:lang w:val="en-US" w:eastAsia="zh-CN"/>
            </w:rPr>
            <w:t xml:space="preserve">三、 </w:t>
          </w:r>
          <w:r>
            <w:rPr>
              <w:rFonts w:hint="default"/>
              <w:lang w:val="en-US" w:eastAsia="zh-CN"/>
            </w:rPr>
            <w:t>评审程序</w:t>
          </w:r>
          <w:r>
            <w:tab/>
          </w:r>
          <w:r>
            <w:fldChar w:fldCharType="begin"/>
          </w:r>
          <w:r>
            <w:instrText xml:space="preserve"> PAGEREF _Toc28908 \h </w:instrText>
          </w:r>
          <w:r>
            <w:fldChar w:fldCharType="separate"/>
          </w:r>
          <w:r>
            <w:t>24</w:t>
          </w:r>
          <w:r>
            <w:fldChar w:fldCharType="end"/>
          </w:r>
          <w:r>
            <w:fldChar w:fldCharType="end"/>
          </w:r>
        </w:p>
        <w:p w14:paraId="7A60F4AB">
          <w:pPr>
            <w:pStyle w:val="11"/>
            <w:tabs>
              <w:tab w:val="right" w:leader="dot" w:pos="9746"/>
            </w:tabs>
          </w:pPr>
          <w:r>
            <w:fldChar w:fldCharType="begin"/>
          </w:r>
          <w:r>
            <w:instrText xml:space="preserve"> HYPERLINK \l _Toc25379 </w:instrText>
          </w:r>
          <w:r>
            <w:fldChar w:fldCharType="separate"/>
          </w:r>
          <w:r>
            <w:rPr>
              <w:rFonts w:hint="eastAsia"/>
              <w:lang w:val="en-US" w:eastAsia="zh-CN"/>
            </w:rPr>
            <w:t xml:space="preserve">四、 </w:t>
          </w:r>
          <w:r>
            <w:rPr>
              <w:rFonts w:hint="default"/>
              <w:lang w:val="en-US" w:eastAsia="zh-CN"/>
            </w:rPr>
            <w:t>评审流程</w:t>
          </w:r>
          <w:r>
            <w:tab/>
          </w:r>
          <w:r>
            <w:fldChar w:fldCharType="begin"/>
          </w:r>
          <w:r>
            <w:instrText xml:space="preserve"> PAGEREF _Toc25379 \h </w:instrText>
          </w:r>
          <w:r>
            <w:fldChar w:fldCharType="separate"/>
          </w:r>
          <w:r>
            <w:t>24</w:t>
          </w:r>
          <w:r>
            <w:fldChar w:fldCharType="end"/>
          </w:r>
          <w:r>
            <w:fldChar w:fldCharType="end"/>
          </w:r>
        </w:p>
        <w:p w14:paraId="6C0E5851">
          <w:pPr>
            <w:pStyle w:val="11"/>
            <w:tabs>
              <w:tab w:val="right" w:leader="dot" w:pos="9746"/>
            </w:tabs>
          </w:pPr>
          <w:r>
            <w:fldChar w:fldCharType="begin"/>
          </w:r>
          <w:r>
            <w:instrText xml:space="preserve"> HYPERLINK \l _Toc3468 </w:instrText>
          </w:r>
          <w:r>
            <w:fldChar w:fldCharType="separate"/>
          </w:r>
          <w:r>
            <w:rPr>
              <w:rFonts w:hint="eastAsia"/>
              <w:lang w:val="en-US" w:eastAsia="zh-CN"/>
            </w:rPr>
            <w:t xml:space="preserve">五、 </w:t>
          </w:r>
          <w:r>
            <w:rPr>
              <w:rFonts w:hint="default"/>
              <w:lang w:val="en-US" w:eastAsia="zh-CN"/>
            </w:rPr>
            <w:t>淘汰率、顺序排列与入围推荐</w:t>
          </w:r>
          <w:r>
            <w:tab/>
          </w:r>
          <w:r>
            <w:fldChar w:fldCharType="begin"/>
          </w:r>
          <w:r>
            <w:instrText xml:space="preserve"> PAGEREF _Toc3468 \h </w:instrText>
          </w:r>
          <w:r>
            <w:fldChar w:fldCharType="separate"/>
          </w:r>
          <w:r>
            <w:t>27</w:t>
          </w:r>
          <w:r>
            <w:fldChar w:fldCharType="end"/>
          </w:r>
          <w:r>
            <w:fldChar w:fldCharType="end"/>
          </w:r>
        </w:p>
        <w:p w14:paraId="3E6EDED4">
          <w:pPr>
            <w:pStyle w:val="11"/>
            <w:tabs>
              <w:tab w:val="right" w:leader="dot" w:pos="9746"/>
            </w:tabs>
          </w:pPr>
          <w:r>
            <w:fldChar w:fldCharType="begin"/>
          </w:r>
          <w:r>
            <w:instrText xml:space="preserve"> HYPERLINK \l _Toc3801 </w:instrText>
          </w:r>
          <w:r>
            <w:fldChar w:fldCharType="separate"/>
          </w:r>
          <w:r>
            <w:rPr>
              <w:rFonts w:hint="eastAsia"/>
              <w:lang w:val="en-US" w:eastAsia="zh-CN"/>
            </w:rPr>
            <w:t xml:space="preserve">六、 </w:t>
          </w:r>
          <w:r>
            <w:rPr>
              <w:rFonts w:hint="default"/>
              <w:lang w:val="en-US" w:eastAsia="zh-CN"/>
            </w:rPr>
            <w:t>评标报告</w:t>
          </w:r>
          <w:r>
            <w:tab/>
          </w:r>
          <w:r>
            <w:fldChar w:fldCharType="begin"/>
          </w:r>
          <w:r>
            <w:instrText xml:space="preserve"> PAGEREF _Toc3801 \h </w:instrText>
          </w:r>
          <w:r>
            <w:fldChar w:fldCharType="separate"/>
          </w:r>
          <w:r>
            <w:t>27</w:t>
          </w:r>
          <w:r>
            <w:fldChar w:fldCharType="end"/>
          </w:r>
          <w:r>
            <w:fldChar w:fldCharType="end"/>
          </w:r>
        </w:p>
        <w:p w14:paraId="5A4FDB7C">
          <w:pPr>
            <w:pStyle w:val="11"/>
            <w:tabs>
              <w:tab w:val="right" w:leader="dot" w:pos="9746"/>
            </w:tabs>
          </w:pPr>
          <w:r>
            <w:fldChar w:fldCharType="begin"/>
          </w:r>
          <w:r>
            <w:instrText xml:space="preserve"> HYPERLINK \l _Toc15945 </w:instrText>
          </w:r>
          <w:r>
            <w:fldChar w:fldCharType="separate"/>
          </w:r>
          <w:r>
            <w:rPr>
              <w:rFonts w:hint="eastAsia"/>
              <w:lang w:val="en-US" w:eastAsia="zh-CN"/>
            </w:rPr>
            <w:t xml:space="preserve">七、 </w:t>
          </w:r>
          <w:r>
            <w:rPr>
              <w:rFonts w:hint="default"/>
              <w:lang w:val="en-US" w:eastAsia="zh-CN"/>
            </w:rPr>
            <w:t>重新组织采购或补充征集供应商</w:t>
          </w:r>
          <w:r>
            <w:tab/>
          </w:r>
          <w:r>
            <w:fldChar w:fldCharType="begin"/>
          </w:r>
          <w:r>
            <w:instrText xml:space="preserve"> PAGEREF _Toc15945 \h </w:instrText>
          </w:r>
          <w:r>
            <w:fldChar w:fldCharType="separate"/>
          </w:r>
          <w:r>
            <w:t>27</w:t>
          </w:r>
          <w:r>
            <w:fldChar w:fldCharType="end"/>
          </w:r>
          <w:r>
            <w:fldChar w:fldCharType="end"/>
          </w:r>
        </w:p>
        <w:p w14:paraId="797D75F7">
          <w:pPr>
            <w:pStyle w:val="11"/>
            <w:tabs>
              <w:tab w:val="right" w:leader="dot" w:pos="9746"/>
            </w:tabs>
          </w:pPr>
          <w:r>
            <w:fldChar w:fldCharType="begin"/>
          </w:r>
          <w:r>
            <w:instrText xml:space="preserve"> HYPERLINK \l _Toc14118 </w:instrText>
          </w:r>
          <w:r>
            <w:fldChar w:fldCharType="separate"/>
          </w:r>
          <w:r>
            <w:rPr>
              <w:rFonts w:hint="eastAsia"/>
              <w:lang w:val="en-US" w:eastAsia="zh-CN"/>
            </w:rPr>
            <w:t xml:space="preserve">八、 </w:t>
          </w:r>
          <w:r>
            <w:rPr>
              <w:rFonts w:hint="default"/>
              <w:lang w:val="en-US" w:eastAsia="zh-CN"/>
            </w:rPr>
            <w:t>评审过程的保密与录像</w:t>
          </w:r>
          <w:r>
            <w:tab/>
          </w:r>
          <w:r>
            <w:fldChar w:fldCharType="begin"/>
          </w:r>
          <w:r>
            <w:instrText xml:space="preserve"> PAGEREF _Toc14118 \h </w:instrText>
          </w:r>
          <w:r>
            <w:fldChar w:fldCharType="separate"/>
          </w:r>
          <w:r>
            <w:t>28</w:t>
          </w:r>
          <w:r>
            <w:fldChar w:fldCharType="end"/>
          </w:r>
          <w:r>
            <w:fldChar w:fldCharType="end"/>
          </w:r>
        </w:p>
        <w:p w14:paraId="32CA8B42">
          <w:pPr>
            <w:pStyle w:val="14"/>
            <w:tabs>
              <w:tab w:val="right" w:leader="dot" w:pos="9746"/>
            </w:tabs>
          </w:pPr>
          <w:r>
            <w:fldChar w:fldCharType="begin"/>
          </w:r>
          <w:r>
            <w:instrText xml:space="preserve"> HYPERLINK \l _Toc4985 </w:instrText>
          </w:r>
          <w:r>
            <w:fldChar w:fldCharType="separate"/>
          </w:r>
          <w:r>
            <w:rPr>
              <w:rFonts w:hint="eastAsia"/>
              <w:bCs/>
              <w:i w:val="0"/>
              <w:iCs w:val="0"/>
              <w:lang w:val="en-US" w:eastAsia="zh-CN"/>
            </w:rPr>
            <w:t xml:space="preserve">第五章 </w:t>
          </w:r>
          <w:r>
            <w:rPr>
              <w:rFonts w:hint="default"/>
              <w:lang w:val="en-US" w:eastAsia="zh-CN"/>
            </w:rPr>
            <w:t>拟签订的合同文本</w:t>
          </w:r>
          <w:r>
            <w:tab/>
          </w:r>
          <w:r>
            <w:fldChar w:fldCharType="begin"/>
          </w:r>
          <w:r>
            <w:instrText xml:space="preserve"> PAGEREF _Toc4985 \h </w:instrText>
          </w:r>
          <w:r>
            <w:fldChar w:fldCharType="separate"/>
          </w:r>
          <w:r>
            <w:t>29</w:t>
          </w:r>
          <w:r>
            <w:fldChar w:fldCharType="end"/>
          </w:r>
          <w:r>
            <w:fldChar w:fldCharType="end"/>
          </w:r>
        </w:p>
        <w:p w14:paraId="74B801A3">
          <w:pPr>
            <w:pStyle w:val="14"/>
            <w:tabs>
              <w:tab w:val="right" w:leader="dot" w:pos="9746"/>
            </w:tabs>
          </w:pPr>
          <w:r>
            <w:fldChar w:fldCharType="begin"/>
          </w:r>
          <w:r>
            <w:instrText xml:space="preserve"> HYPERLINK \l _Toc21613 </w:instrText>
          </w:r>
          <w:r>
            <w:fldChar w:fldCharType="separate"/>
          </w:r>
          <w:r>
            <w:rPr>
              <w:rFonts w:hint="eastAsia"/>
              <w:bCs/>
              <w:i w:val="0"/>
              <w:iCs w:val="0"/>
              <w:lang w:val="en-US" w:eastAsia="zh-CN"/>
            </w:rPr>
            <w:t xml:space="preserve">第六章 </w:t>
          </w:r>
          <w:r>
            <w:rPr>
              <w:rFonts w:hint="default"/>
              <w:lang w:val="en-US" w:eastAsia="zh-CN"/>
            </w:rPr>
            <w:t>应提交的有关格式范例</w:t>
          </w:r>
          <w:r>
            <w:tab/>
          </w:r>
          <w:r>
            <w:fldChar w:fldCharType="begin"/>
          </w:r>
          <w:r>
            <w:instrText xml:space="preserve"> PAGEREF _Toc21613 \h </w:instrText>
          </w:r>
          <w:r>
            <w:fldChar w:fldCharType="separate"/>
          </w:r>
          <w:r>
            <w:t>40</w:t>
          </w:r>
          <w:r>
            <w:fldChar w:fldCharType="end"/>
          </w:r>
          <w:r>
            <w:fldChar w:fldCharType="end"/>
          </w:r>
        </w:p>
        <w:p w14:paraId="00C8EC1A">
          <w:pPr>
            <w:pStyle w:val="15"/>
            <w:tabs>
              <w:tab w:val="right" w:leader="dot" w:pos="9746"/>
            </w:tabs>
          </w:pPr>
          <w:r>
            <w:fldChar w:fldCharType="begin"/>
          </w:r>
          <w:r>
            <w:instrText xml:space="preserve"> HYPERLINK \l _Toc20404 </w:instrText>
          </w:r>
          <w:r>
            <w:fldChar w:fldCharType="separate"/>
          </w:r>
          <w:r>
            <w:rPr>
              <w:rFonts w:hint="eastAsia"/>
              <w:lang w:val="en-US" w:eastAsia="zh-CN"/>
            </w:rPr>
            <w:t xml:space="preserve">第一节 </w:t>
          </w:r>
          <w:r>
            <w:rPr>
              <w:rFonts w:hint="default"/>
              <w:lang w:val="en-US" w:eastAsia="zh-CN"/>
            </w:rPr>
            <w:t>资格文件</w:t>
          </w:r>
          <w:r>
            <w:tab/>
          </w:r>
          <w:r>
            <w:fldChar w:fldCharType="begin"/>
          </w:r>
          <w:r>
            <w:instrText xml:space="preserve"> PAGEREF _Toc20404 \h </w:instrText>
          </w:r>
          <w:r>
            <w:fldChar w:fldCharType="separate"/>
          </w:r>
          <w:r>
            <w:t>41</w:t>
          </w:r>
          <w:r>
            <w:fldChar w:fldCharType="end"/>
          </w:r>
          <w:r>
            <w:fldChar w:fldCharType="end"/>
          </w:r>
        </w:p>
        <w:p w14:paraId="1AA25636">
          <w:pPr>
            <w:pStyle w:val="11"/>
            <w:tabs>
              <w:tab w:val="right" w:leader="dot" w:pos="9746"/>
            </w:tabs>
          </w:pPr>
          <w:r>
            <w:fldChar w:fldCharType="begin"/>
          </w:r>
          <w:r>
            <w:instrText xml:space="preserve"> HYPERLINK \l _Toc9128 </w:instrText>
          </w:r>
          <w:r>
            <w:fldChar w:fldCharType="separate"/>
          </w:r>
          <w:r>
            <w:rPr>
              <w:rFonts w:hint="eastAsia"/>
            </w:rPr>
            <w:t>一、 授权委托书</w:t>
          </w:r>
          <w:r>
            <w:rPr>
              <w:rFonts w:hint="eastAsia"/>
              <w:lang w:eastAsia="zh-CN"/>
            </w:rPr>
            <w:t>、</w:t>
          </w:r>
          <w:r>
            <w:rPr>
              <w:rFonts w:hint="eastAsia"/>
            </w:rPr>
            <w:t>法定代表人身份证明</w:t>
          </w:r>
          <w:r>
            <w:tab/>
          </w:r>
          <w:r>
            <w:fldChar w:fldCharType="begin"/>
          </w:r>
          <w:r>
            <w:instrText xml:space="preserve"> PAGEREF _Toc9128 \h </w:instrText>
          </w:r>
          <w:r>
            <w:fldChar w:fldCharType="separate"/>
          </w:r>
          <w:r>
            <w:t>42</w:t>
          </w:r>
          <w:r>
            <w:fldChar w:fldCharType="end"/>
          </w:r>
          <w:r>
            <w:fldChar w:fldCharType="end"/>
          </w:r>
        </w:p>
        <w:p w14:paraId="406D51E9">
          <w:pPr>
            <w:pStyle w:val="11"/>
            <w:tabs>
              <w:tab w:val="right" w:leader="dot" w:pos="9746"/>
            </w:tabs>
          </w:pPr>
          <w:r>
            <w:fldChar w:fldCharType="begin"/>
          </w:r>
          <w:r>
            <w:instrText xml:space="preserve"> HYPERLINK \l _Toc5602 </w:instrText>
          </w:r>
          <w:r>
            <w:fldChar w:fldCharType="separate"/>
          </w:r>
          <w:r>
            <w:rPr>
              <w:rFonts w:hint="eastAsia"/>
            </w:rPr>
            <w:t xml:space="preserve">二、 </w:t>
          </w:r>
          <w:r>
            <w:rPr>
              <w:rFonts w:hint="eastAsia" w:eastAsia="汉仪正圆 55简"/>
              <w:lang w:val="en-US" w:eastAsia="zh-CN"/>
            </w:rPr>
            <w:t>投标</w:t>
          </w:r>
          <w:r>
            <w:rPr>
              <w:rFonts w:hint="eastAsia"/>
            </w:rPr>
            <w:t>函</w:t>
          </w:r>
          <w:r>
            <w:tab/>
          </w:r>
          <w:r>
            <w:fldChar w:fldCharType="begin"/>
          </w:r>
          <w:r>
            <w:instrText xml:space="preserve"> PAGEREF _Toc5602 \h </w:instrText>
          </w:r>
          <w:r>
            <w:fldChar w:fldCharType="separate"/>
          </w:r>
          <w:r>
            <w:t>44</w:t>
          </w:r>
          <w:r>
            <w:fldChar w:fldCharType="end"/>
          </w:r>
          <w:r>
            <w:fldChar w:fldCharType="end"/>
          </w:r>
        </w:p>
        <w:p w14:paraId="72B25A1D">
          <w:pPr>
            <w:pStyle w:val="11"/>
            <w:tabs>
              <w:tab w:val="right" w:leader="dot" w:pos="9746"/>
            </w:tabs>
          </w:pPr>
          <w:r>
            <w:fldChar w:fldCharType="begin"/>
          </w:r>
          <w:r>
            <w:instrText xml:space="preserve"> HYPERLINK \l _Toc30372 </w:instrText>
          </w:r>
          <w:r>
            <w:fldChar w:fldCharType="separate"/>
          </w:r>
          <w:r>
            <w:rPr>
              <w:rFonts w:hint="eastAsia"/>
            </w:rPr>
            <w:t>三、 符合参加</w:t>
          </w:r>
          <w:r>
            <w:rPr>
              <w:rFonts w:hint="eastAsia"/>
              <w:lang w:val="en-US" w:eastAsia="zh-CN"/>
            </w:rPr>
            <w:t>国企</w:t>
          </w:r>
          <w:r>
            <w:rPr>
              <w:rFonts w:hint="eastAsia"/>
            </w:rPr>
            <w:t>采购活动应当具备的一般条件的承诺函</w:t>
          </w:r>
          <w:r>
            <w:tab/>
          </w:r>
          <w:r>
            <w:fldChar w:fldCharType="begin"/>
          </w:r>
          <w:r>
            <w:instrText xml:space="preserve"> PAGEREF _Toc30372 \h </w:instrText>
          </w:r>
          <w:r>
            <w:fldChar w:fldCharType="separate"/>
          </w:r>
          <w:r>
            <w:t>45</w:t>
          </w:r>
          <w:r>
            <w:fldChar w:fldCharType="end"/>
          </w:r>
          <w:r>
            <w:fldChar w:fldCharType="end"/>
          </w:r>
        </w:p>
        <w:p w14:paraId="49669880">
          <w:pPr>
            <w:pStyle w:val="11"/>
            <w:tabs>
              <w:tab w:val="right" w:leader="dot" w:pos="9746"/>
            </w:tabs>
          </w:pPr>
          <w:r>
            <w:fldChar w:fldCharType="begin"/>
          </w:r>
          <w:r>
            <w:instrText xml:space="preserve"> HYPERLINK \l _Toc26874 </w:instrText>
          </w:r>
          <w:r>
            <w:fldChar w:fldCharType="separate"/>
          </w:r>
          <w:r>
            <w:rPr>
              <w:rFonts w:hint="eastAsia"/>
            </w:rPr>
            <w:t xml:space="preserve">四、 </w:t>
          </w:r>
          <w:r>
            <w:rPr>
              <w:rFonts w:hint="eastAsia"/>
              <w:lang w:val="en-US" w:eastAsia="zh-CN"/>
            </w:rPr>
            <w:t>有效的《企业法人营业执照》扫描件</w:t>
          </w:r>
          <w:r>
            <w:tab/>
          </w:r>
          <w:r>
            <w:fldChar w:fldCharType="begin"/>
          </w:r>
          <w:r>
            <w:instrText xml:space="preserve"> PAGEREF _Toc26874 \h </w:instrText>
          </w:r>
          <w:r>
            <w:fldChar w:fldCharType="separate"/>
          </w:r>
          <w:r>
            <w:t>46</w:t>
          </w:r>
          <w:r>
            <w:fldChar w:fldCharType="end"/>
          </w:r>
          <w:r>
            <w:fldChar w:fldCharType="end"/>
          </w:r>
        </w:p>
        <w:p w14:paraId="4BB34A26">
          <w:pPr>
            <w:pStyle w:val="11"/>
            <w:tabs>
              <w:tab w:val="right" w:leader="dot" w:pos="9746"/>
            </w:tabs>
          </w:pPr>
          <w:r>
            <w:fldChar w:fldCharType="begin"/>
          </w:r>
          <w:r>
            <w:instrText xml:space="preserve"> HYPERLINK \l _Toc25434 </w:instrText>
          </w:r>
          <w:r>
            <w:fldChar w:fldCharType="separate"/>
          </w:r>
          <w:r>
            <w:rPr>
              <w:rFonts w:hint="eastAsia"/>
              <w:lang w:val="en-US" w:eastAsia="zh-CN"/>
            </w:rPr>
            <w:t>五、 特定资格条件（如有）</w:t>
          </w:r>
          <w:r>
            <w:tab/>
          </w:r>
          <w:r>
            <w:fldChar w:fldCharType="begin"/>
          </w:r>
          <w:r>
            <w:instrText xml:space="preserve"> PAGEREF _Toc25434 \h </w:instrText>
          </w:r>
          <w:r>
            <w:fldChar w:fldCharType="separate"/>
          </w:r>
          <w:r>
            <w:t>47</w:t>
          </w:r>
          <w:r>
            <w:fldChar w:fldCharType="end"/>
          </w:r>
          <w:r>
            <w:fldChar w:fldCharType="end"/>
          </w:r>
        </w:p>
        <w:p w14:paraId="750511EE">
          <w:pPr>
            <w:pStyle w:val="11"/>
            <w:tabs>
              <w:tab w:val="right" w:leader="dot" w:pos="9746"/>
            </w:tabs>
          </w:pPr>
          <w:r>
            <w:fldChar w:fldCharType="begin"/>
          </w:r>
          <w:r>
            <w:instrText xml:space="preserve"> HYPERLINK \l _Toc4739 </w:instrText>
          </w:r>
          <w:r>
            <w:fldChar w:fldCharType="separate"/>
          </w:r>
          <w:r>
            <w:rPr>
              <w:rFonts w:hint="eastAsia"/>
              <w:lang w:val="en-US" w:eastAsia="zh-CN"/>
            </w:rPr>
            <w:t>六、 国企采购供应商廉洁自律承诺书</w:t>
          </w:r>
          <w:r>
            <w:tab/>
          </w:r>
          <w:r>
            <w:fldChar w:fldCharType="begin"/>
          </w:r>
          <w:r>
            <w:instrText xml:space="preserve"> PAGEREF _Toc4739 \h </w:instrText>
          </w:r>
          <w:r>
            <w:fldChar w:fldCharType="separate"/>
          </w:r>
          <w:r>
            <w:t>48</w:t>
          </w:r>
          <w:r>
            <w:fldChar w:fldCharType="end"/>
          </w:r>
          <w:r>
            <w:fldChar w:fldCharType="end"/>
          </w:r>
        </w:p>
        <w:p w14:paraId="21BA8DD9">
          <w:pPr>
            <w:pStyle w:val="15"/>
            <w:tabs>
              <w:tab w:val="right" w:leader="dot" w:pos="9746"/>
            </w:tabs>
          </w:pPr>
          <w:r>
            <w:fldChar w:fldCharType="begin"/>
          </w:r>
          <w:r>
            <w:instrText xml:space="preserve"> HYPERLINK \l _Toc13016 </w:instrText>
          </w:r>
          <w:r>
            <w:fldChar w:fldCharType="separate"/>
          </w:r>
          <w:r>
            <w:rPr>
              <w:rFonts w:hint="eastAsia"/>
              <w:lang w:val="en-US" w:eastAsia="zh-CN"/>
            </w:rPr>
            <w:t xml:space="preserve">第二节 </w:t>
          </w:r>
          <w:r>
            <w:rPr>
              <w:rFonts w:hint="default"/>
              <w:lang w:val="en-US" w:eastAsia="zh-CN"/>
            </w:rPr>
            <w:t>商务技术文件</w:t>
          </w:r>
          <w:r>
            <w:tab/>
          </w:r>
          <w:r>
            <w:fldChar w:fldCharType="begin"/>
          </w:r>
          <w:r>
            <w:instrText xml:space="preserve"> PAGEREF _Toc13016 \h </w:instrText>
          </w:r>
          <w:r>
            <w:fldChar w:fldCharType="separate"/>
          </w:r>
          <w:r>
            <w:t>49</w:t>
          </w:r>
          <w:r>
            <w:fldChar w:fldCharType="end"/>
          </w:r>
          <w:r>
            <w:fldChar w:fldCharType="end"/>
          </w:r>
        </w:p>
        <w:p w14:paraId="178C606E">
          <w:pPr>
            <w:pStyle w:val="11"/>
            <w:tabs>
              <w:tab w:val="right" w:leader="dot" w:pos="9746"/>
            </w:tabs>
          </w:pPr>
          <w:r>
            <w:fldChar w:fldCharType="begin"/>
          </w:r>
          <w:r>
            <w:instrText xml:space="preserve"> HYPERLINK \l _Toc28248 </w:instrText>
          </w:r>
          <w:r>
            <w:fldChar w:fldCharType="separate"/>
          </w:r>
          <w:r>
            <w:rPr>
              <w:rFonts w:hint="eastAsia"/>
              <w:lang w:val="en-US" w:eastAsia="zh-CN"/>
            </w:rPr>
            <w:t xml:space="preserve">一、 </w:t>
          </w:r>
          <w:r>
            <w:rPr>
              <w:rFonts w:hint="default"/>
              <w:lang w:val="en-US" w:eastAsia="zh-CN"/>
            </w:rPr>
            <w:t>投标人情况介绍</w:t>
          </w:r>
          <w:r>
            <w:tab/>
          </w:r>
          <w:r>
            <w:fldChar w:fldCharType="begin"/>
          </w:r>
          <w:r>
            <w:instrText xml:space="preserve"> PAGEREF _Toc28248 \h </w:instrText>
          </w:r>
          <w:r>
            <w:fldChar w:fldCharType="separate"/>
          </w:r>
          <w:r>
            <w:t>50</w:t>
          </w:r>
          <w:r>
            <w:fldChar w:fldCharType="end"/>
          </w:r>
          <w:r>
            <w:fldChar w:fldCharType="end"/>
          </w:r>
        </w:p>
        <w:p w14:paraId="48CCDBAE">
          <w:pPr>
            <w:pStyle w:val="11"/>
            <w:tabs>
              <w:tab w:val="right" w:leader="dot" w:pos="9746"/>
            </w:tabs>
          </w:pPr>
          <w:r>
            <w:fldChar w:fldCharType="begin"/>
          </w:r>
          <w:r>
            <w:instrText xml:space="preserve"> HYPERLINK \l _Toc13454 </w:instrText>
          </w:r>
          <w:r>
            <w:fldChar w:fldCharType="separate"/>
          </w:r>
          <w:r>
            <w:rPr>
              <w:rFonts w:hint="eastAsia"/>
              <w:lang w:val="en-US" w:eastAsia="zh-CN"/>
            </w:rPr>
            <w:t xml:space="preserve">二、 </w:t>
          </w:r>
          <w:r>
            <w:rPr>
              <w:rFonts w:hint="default"/>
              <w:lang w:val="en-US" w:eastAsia="zh-CN"/>
            </w:rPr>
            <w:t>商务技术偏离表</w:t>
          </w:r>
          <w:r>
            <w:tab/>
          </w:r>
          <w:r>
            <w:fldChar w:fldCharType="begin"/>
          </w:r>
          <w:r>
            <w:instrText xml:space="preserve"> PAGEREF _Toc13454 \h </w:instrText>
          </w:r>
          <w:r>
            <w:fldChar w:fldCharType="separate"/>
          </w:r>
          <w:r>
            <w:t>51</w:t>
          </w:r>
          <w:r>
            <w:fldChar w:fldCharType="end"/>
          </w:r>
          <w:r>
            <w:fldChar w:fldCharType="end"/>
          </w:r>
        </w:p>
        <w:p w14:paraId="5026E6AE">
          <w:pPr>
            <w:pStyle w:val="11"/>
            <w:tabs>
              <w:tab w:val="right" w:leader="dot" w:pos="9746"/>
            </w:tabs>
          </w:pPr>
          <w:r>
            <w:fldChar w:fldCharType="begin"/>
          </w:r>
          <w:r>
            <w:instrText xml:space="preserve"> HYPERLINK \l _Toc19768 </w:instrText>
          </w:r>
          <w:r>
            <w:fldChar w:fldCharType="separate"/>
          </w:r>
          <w:r>
            <w:rPr>
              <w:rFonts w:hint="eastAsia"/>
              <w:lang w:val="en-US" w:eastAsia="zh-CN"/>
            </w:rPr>
            <w:t xml:space="preserve">三、 </w:t>
          </w:r>
          <w:r>
            <w:rPr>
              <w:rFonts w:hint="default"/>
              <w:lang w:val="en-US" w:eastAsia="zh-CN"/>
            </w:rPr>
            <w:t>完全响应询价文件第三部分采购需求的承诺书</w:t>
          </w:r>
          <w:r>
            <w:tab/>
          </w:r>
          <w:r>
            <w:fldChar w:fldCharType="begin"/>
          </w:r>
          <w:r>
            <w:instrText xml:space="preserve"> PAGEREF _Toc19768 \h </w:instrText>
          </w:r>
          <w:r>
            <w:fldChar w:fldCharType="separate"/>
          </w:r>
          <w:r>
            <w:t>52</w:t>
          </w:r>
          <w:r>
            <w:fldChar w:fldCharType="end"/>
          </w:r>
          <w:r>
            <w:fldChar w:fldCharType="end"/>
          </w:r>
        </w:p>
        <w:p w14:paraId="600218ED">
          <w:pPr>
            <w:pStyle w:val="11"/>
            <w:tabs>
              <w:tab w:val="right" w:leader="dot" w:pos="9746"/>
            </w:tabs>
          </w:pPr>
          <w:r>
            <w:fldChar w:fldCharType="begin"/>
          </w:r>
          <w:r>
            <w:instrText xml:space="preserve"> HYPERLINK \l _Toc263 </w:instrText>
          </w:r>
          <w:r>
            <w:fldChar w:fldCharType="separate"/>
          </w:r>
          <w:r>
            <w:rPr>
              <w:rFonts w:hint="eastAsia"/>
              <w:lang w:val="en-US" w:eastAsia="zh-CN"/>
            </w:rPr>
            <w:t xml:space="preserve">四、 </w:t>
          </w:r>
          <w:r>
            <w:rPr>
              <w:rFonts w:hint="default"/>
              <w:lang w:val="en-US" w:eastAsia="zh-CN"/>
            </w:rPr>
            <w:t>供应商认为有必要提供的其他文件和说明</w:t>
          </w:r>
          <w:r>
            <w:tab/>
          </w:r>
          <w:r>
            <w:fldChar w:fldCharType="begin"/>
          </w:r>
          <w:r>
            <w:instrText xml:space="preserve"> PAGEREF _Toc263 \h </w:instrText>
          </w:r>
          <w:r>
            <w:fldChar w:fldCharType="separate"/>
          </w:r>
          <w:r>
            <w:t>53</w:t>
          </w:r>
          <w:r>
            <w:fldChar w:fldCharType="end"/>
          </w:r>
          <w:r>
            <w:fldChar w:fldCharType="end"/>
          </w:r>
        </w:p>
        <w:p w14:paraId="6F5C0E81">
          <w:pPr>
            <w:pStyle w:val="15"/>
            <w:tabs>
              <w:tab w:val="right" w:leader="dot" w:pos="9746"/>
            </w:tabs>
          </w:pPr>
          <w:r>
            <w:fldChar w:fldCharType="begin"/>
          </w:r>
          <w:r>
            <w:instrText xml:space="preserve"> HYPERLINK \l _Toc27944 </w:instrText>
          </w:r>
          <w:r>
            <w:fldChar w:fldCharType="separate"/>
          </w:r>
          <w:r>
            <w:rPr>
              <w:rFonts w:hint="eastAsia"/>
              <w:lang w:val="en-US" w:eastAsia="zh-CN"/>
            </w:rPr>
            <w:t xml:space="preserve">第三节 </w:t>
          </w:r>
          <w:r>
            <w:rPr>
              <w:rFonts w:hint="default"/>
              <w:lang w:val="en-US" w:eastAsia="zh-CN"/>
            </w:rPr>
            <w:t>报价文件</w:t>
          </w:r>
          <w:r>
            <w:tab/>
          </w:r>
          <w:r>
            <w:fldChar w:fldCharType="begin"/>
          </w:r>
          <w:r>
            <w:instrText xml:space="preserve"> PAGEREF _Toc27944 \h </w:instrText>
          </w:r>
          <w:r>
            <w:fldChar w:fldCharType="separate"/>
          </w:r>
          <w:r>
            <w:t>54</w:t>
          </w:r>
          <w:r>
            <w:fldChar w:fldCharType="end"/>
          </w:r>
          <w:r>
            <w:fldChar w:fldCharType="end"/>
          </w:r>
        </w:p>
        <w:p w14:paraId="1CE16B8A">
          <w:pPr>
            <w:pStyle w:val="11"/>
            <w:tabs>
              <w:tab w:val="right" w:leader="dot" w:pos="9746"/>
            </w:tabs>
          </w:pPr>
          <w:r>
            <w:fldChar w:fldCharType="begin"/>
          </w:r>
          <w:r>
            <w:instrText xml:space="preserve"> HYPERLINK \l _Toc20298 </w:instrText>
          </w:r>
          <w:r>
            <w:fldChar w:fldCharType="separate"/>
          </w:r>
          <w:r>
            <w:rPr>
              <w:rFonts w:hint="eastAsia"/>
            </w:rPr>
            <w:t>一、 开标一览表（报价表）</w:t>
          </w:r>
          <w:r>
            <w:tab/>
          </w:r>
          <w:r>
            <w:fldChar w:fldCharType="begin"/>
          </w:r>
          <w:r>
            <w:instrText xml:space="preserve"> PAGEREF _Toc20298 \h </w:instrText>
          </w:r>
          <w:r>
            <w:fldChar w:fldCharType="separate"/>
          </w:r>
          <w:r>
            <w:t>55</w:t>
          </w:r>
          <w:r>
            <w:fldChar w:fldCharType="end"/>
          </w:r>
          <w:r>
            <w:fldChar w:fldCharType="end"/>
          </w:r>
        </w:p>
        <w:p w14:paraId="47480BE1">
          <w:pPr>
            <w:pStyle w:val="11"/>
            <w:tabs>
              <w:tab w:val="right" w:leader="dot" w:pos="9746"/>
            </w:tabs>
          </w:pPr>
          <w:r>
            <w:fldChar w:fldCharType="begin"/>
          </w:r>
          <w:r>
            <w:instrText xml:space="preserve"> HYPERLINK \l _Toc15807 </w:instrText>
          </w:r>
          <w:r>
            <w:fldChar w:fldCharType="separate"/>
          </w:r>
          <w:r>
            <w:rPr>
              <w:rFonts w:hint="eastAsia"/>
            </w:rPr>
            <w:t xml:space="preserve">二、 </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_Toc15807 \h </w:instrText>
          </w:r>
          <w:r>
            <w:fldChar w:fldCharType="separate"/>
          </w:r>
          <w:r>
            <w:t>56</w:t>
          </w:r>
          <w:r>
            <w:fldChar w:fldCharType="end"/>
          </w:r>
          <w:r>
            <w:fldChar w:fldCharType="end"/>
          </w:r>
        </w:p>
        <w:p w14:paraId="555D7183">
          <w:pPr>
            <w:pStyle w:val="11"/>
            <w:tabs>
              <w:tab w:val="right" w:leader="dot" w:pos="9746"/>
            </w:tabs>
          </w:pPr>
          <w:r>
            <w:fldChar w:fldCharType="begin"/>
          </w:r>
          <w:r>
            <w:instrText xml:space="preserve"> HYPERLINK \l _Toc23171 </w:instrText>
          </w:r>
          <w:r>
            <w:fldChar w:fldCharType="separate"/>
          </w:r>
          <w:r>
            <w:rPr>
              <w:rFonts w:hint="eastAsia"/>
              <w:lang w:val="en-US" w:eastAsia="zh-CN"/>
            </w:rPr>
            <w:t>三、 供应商针对报价需要说明的其他文件和资料</w:t>
          </w:r>
          <w:r>
            <w:tab/>
          </w:r>
          <w:r>
            <w:fldChar w:fldCharType="begin"/>
          </w:r>
          <w:r>
            <w:instrText xml:space="preserve"> PAGEREF _Toc23171 \h </w:instrText>
          </w:r>
          <w:r>
            <w:fldChar w:fldCharType="separate"/>
          </w:r>
          <w:r>
            <w:t>57</w:t>
          </w:r>
          <w:r>
            <w:fldChar w:fldCharType="end"/>
          </w:r>
          <w:r>
            <w:fldChar w:fldCharType="end"/>
          </w:r>
        </w:p>
        <w:p w14:paraId="3496D7F1">
          <w:pPr>
            <w:pStyle w:val="15"/>
            <w:tabs>
              <w:tab w:val="right" w:leader="dot" w:pos="9746"/>
            </w:tabs>
          </w:pPr>
          <w:r>
            <w:fldChar w:fldCharType="begin"/>
          </w:r>
          <w:r>
            <w:instrText xml:space="preserve"> HYPERLINK \l _Toc6081 </w:instrText>
          </w:r>
          <w:r>
            <w:fldChar w:fldCharType="separate"/>
          </w:r>
          <w:r>
            <w:rPr>
              <w:rFonts w:hint="eastAsia"/>
              <w:lang w:val="en-US" w:eastAsia="zh-CN"/>
            </w:rPr>
            <w:t xml:space="preserve">第四节 </w:t>
          </w:r>
          <w:r>
            <w:rPr>
              <w:rFonts w:hint="default"/>
              <w:lang w:val="en-US" w:eastAsia="zh-CN"/>
            </w:rPr>
            <w:t>附件</w:t>
          </w:r>
          <w:r>
            <w:tab/>
          </w:r>
          <w:r>
            <w:fldChar w:fldCharType="begin"/>
          </w:r>
          <w:r>
            <w:instrText xml:space="preserve"> PAGEREF _Toc6081 \h </w:instrText>
          </w:r>
          <w:r>
            <w:fldChar w:fldCharType="separate"/>
          </w:r>
          <w:r>
            <w:t>58</w:t>
          </w:r>
          <w:r>
            <w:fldChar w:fldCharType="end"/>
          </w:r>
          <w:r>
            <w:fldChar w:fldCharType="end"/>
          </w:r>
        </w:p>
        <w:p w14:paraId="76E5F930">
          <w:pPr>
            <w:pStyle w:val="11"/>
            <w:tabs>
              <w:tab w:val="right" w:leader="dot" w:pos="9746"/>
            </w:tabs>
          </w:pPr>
          <w:r>
            <w:fldChar w:fldCharType="begin"/>
          </w:r>
          <w:r>
            <w:instrText xml:space="preserve"> HYPERLINK \l _Toc411 </w:instrText>
          </w:r>
          <w:r>
            <w:fldChar w:fldCharType="separate"/>
          </w:r>
          <w:r>
            <w:rPr>
              <w:rFonts w:hint="eastAsia"/>
              <w:lang w:val="en-US" w:eastAsia="zh-CN"/>
            </w:rPr>
            <w:t xml:space="preserve">一、 </w:t>
          </w:r>
          <w:r>
            <w:rPr>
              <w:rFonts w:hint="default"/>
              <w:lang w:val="en-US" w:eastAsia="zh-CN"/>
            </w:rPr>
            <w:t>附件1质疑函范本及制作说明</w:t>
          </w:r>
          <w:r>
            <w:tab/>
          </w:r>
          <w:r>
            <w:fldChar w:fldCharType="begin"/>
          </w:r>
          <w:r>
            <w:instrText xml:space="preserve"> PAGEREF _Toc411 \h </w:instrText>
          </w:r>
          <w:r>
            <w:fldChar w:fldCharType="separate"/>
          </w:r>
          <w:r>
            <w:t>58</w:t>
          </w:r>
          <w:r>
            <w:fldChar w:fldCharType="end"/>
          </w:r>
          <w:r>
            <w:fldChar w:fldCharType="end"/>
          </w:r>
        </w:p>
        <w:p w14:paraId="6913BCE8">
          <w:pPr>
            <w:pStyle w:val="11"/>
            <w:tabs>
              <w:tab w:val="right" w:leader="dot" w:pos="9746"/>
            </w:tabs>
          </w:pPr>
          <w:r>
            <w:fldChar w:fldCharType="begin"/>
          </w:r>
          <w:r>
            <w:instrText xml:space="preserve"> HYPERLINK \l _Toc2750 </w:instrText>
          </w:r>
          <w:r>
            <w:fldChar w:fldCharType="separate"/>
          </w:r>
          <w:r>
            <w:rPr>
              <w:rFonts w:hint="eastAsia"/>
              <w:lang w:val="en-US" w:eastAsia="zh-CN"/>
            </w:rPr>
            <w:t xml:space="preserve">二、 </w:t>
          </w:r>
          <w:r>
            <w:rPr>
              <w:rFonts w:hint="default"/>
              <w:lang w:val="en-US" w:eastAsia="zh-CN"/>
            </w:rPr>
            <w:t>附件2投诉书范本及制作说明</w:t>
          </w:r>
          <w:r>
            <w:tab/>
          </w:r>
          <w:r>
            <w:fldChar w:fldCharType="begin"/>
          </w:r>
          <w:r>
            <w:instrText xml:space="preserve"> PAGEREF _Toc2750 \h </w:instrText>
          </w:r>
          <w:r>
            <w:fldChar w:fldCharType="separate"/>
          </w:r>
          <w:r>
            <w:t>60</w:t>
          </w:r>
          <w:r>
            <w:fldChar w:fldCharType="end"/>
          </w:r>
          <w:r>
            <w:fldChar w:fldCharType="end"/>
          </w:r>
        </w:p>
        <w:p w14:paraId="52F8B4EE">
          <w:pPr>
            <w:pStyle w:val="11"/>
            <w:tabs>
              <w:tab w:val="right" w:leader="dot" w:pos="9746"/>
            </w:tabs>
          </w:pPr>
          <w:r>
            <w:fldChar w:fldCharType="begin"/>
          </w:r>
          <w:r>
            <w:instrText xml:space="preserve"> HYPERLINK \l _Toc22762 </w:instrText>
          </w:r>
          <w:r>
            <w:fldChar w:fldCharType="separate"/>
          </w:r>
          <w:r>
            <w:rPr>
              <w:rFonts w:hint="eastAsia"/>
              <w:lang w:val="en-US" w:eastAsia="zh-CN"/>
            </w:rPr>
            <w:t xml:space="preserve">三、 </w:t>
          </w:r>
          <w:r>
            <w:rPr>
              <w:rFonts w:hint="default"/>
              <w:lang w:val="en-US" w:eastAsia="zh-CN"/>
            </w:rPr>
            <w:t>附件3业务专用章使用说明函</w:t>
          </w:r>
          <w:r>
            <w:tab/>
          </w:r>
          <w:r>
            <w:fldChar w:fldCharType="begin"/>
          </w:r>
          <w:r>
            <w:instrText xml:space="preserve"> PAGEREF _Toc22762 \h </w:instrText>
          </w:r>
          <w:r>
            <w:fldChar w:fldCharType="separate"/>
          </w:r>
          <w:r>
            <w:t>63</w:t>
          </w:r>
          <w:r>
            <w:fldChar w:fldCharType="end"/>
          </w:r>
          <w:r>
            <w:fldChar w:fldCharType="end"/>
          </w:r>
        </w:p>
        <w:p w14:paraId="001C3C68">
          <w:pPr>
            <w:rPr>
              <w:rFonts w:ascii="汉仪正圆 55简" w:hAnsi="汉仪正圆 55简" w:eastAsia="仿宋" w:cstheme="minorBidi"/>
              <w:kern w:val="2"/>
              <w:sz w:val="24"/>
              <w:szCs w:val="22"/>
              <w:lang w:val="en-US" w:eastAsia="zh-CN" w:bidi="ar-SA"/>
            </w:rPr>
          </w:pPr>
          <w:r>
            <w:fldChar w:fldCharType="end"/>
          </w:r>
        </w:p>
      </w:sdtContent>
    </w:sdt>
    <w:p w14:paraId="55D48BEF">
      <w:pPr>
        <w:rPr>
          <w:rFonts w:ascii="汉仪正圆 55简" w:hAnsi="汉仪正圆 55简" w:eastAsia="仿宋" w:cstheme="minorBidi"/>
          <w:kern w:val="2"/>
          <w:sz w:val="24"/>
          <w:szCs w:val="22"/>
          <w:lang w:val="en-US" w:eastAsia="zh-CN" w:bidi="ar-SA"/>
        </w:rPr>
      </w:pPr>
    </w:p>
    <w:p w14:paraId="75FC443D"/>
    <w:p w14:paraId="1D669B81"/>
    <w:p w14:paraId="550A4964"/>
    <w:p w14:paraId="4C99A6FD"/>
    <w:p w14:paraId="1CE50D50"/>
    <w:p w14:paraId="5A757124"/>
    <w:p w14:paraId="51291425"/>
    <w:p w14:paraId="31D42C4D"/>
    <w:p w14:paraId="2FB19F63"/>
    <w:p w14:paraId="448B3955"/>
    <w:p w14:paraId="63AA9C95"/>
    <w:p w14:paraId="0867447F"/>
    <w:p w14:paraId="661CC756"/>
    <w:p w14:paraId="49051920"/>
    <w:p w14:paraId="7E033483"/>
    <w:p w14:paraId="6E598889"/>
    <w:p w14:paraId="3471B4A3"/>
    <w:p w14:paraId="63B57982"/>
    <w:p w14:paraId="4E22EFDE"/>
    <w:p w14:paraId="7EA9963B">
      <w:pPr>
        <w:pStyle w:val="2"/>
        <w:bidi w:val="0"/>
        <w:jc w:val="center"/>
        <w:rPr>
          <w:rFonts w:hint="eastAsia"/>
          <w:lang w:val="en-US" w:eastAsia="zh-CN"/>
        </w:rPr>
      </w:pPr>
      <w:bookmarkStart w:id="0" w:name="_Toc31208"/>
      <w:r>
        <w:rPr>
          <w:rFonts w:hint="eastAsia"/>
          <w:lang w:val="en-US" w:eastAsia="zh-CN"/>
        </w:rPr>
        <w:t>征集公告</w:t>
      </w:r>
      <w:bookmarkEnd w:id="0"/>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55"/>
      </w:tblGrid>
      <w:tr w14:paraId="3B1592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55" w:type="dxa"/>
            <w:tcBorders>
              <w:tl2br w:val="nil"/>
              <w:tr2bl w:val="nil"/>
            </w:tcBorders>
            <w:noWrap w:val="0"/>
            <w:vAlign w:val="top"/>
          </w:tcPr>
          <w:p w14:paraId="111ADF85">
            <w:pPr>
              <w:bidi w:val="0"/>
              <w:rPr>
                <w:sz w:val="24"/>
                <w:szCs w:val="24"/>
              </w:rPr>
            </w:pPr>
            <w:r>
              <w:rPr>
                <w:rFonts w:hint="eastAsia"/>
                <w:sz w:val="24"/>
                <w:szCs w:val="24"/>
              </w:rPr>
              <w:t>项目概况：</w:t>
            </w:r>
          </w:p>
          <w:p w14:paraId="0D485E9E">
            <w:pPr>
              <w:bidi w:val="0"/>
              <w:ind w:firstLine="482" w:firstLineChars="200"/>
              <w:rPr>
                <w:rFonts w:hint="eastAsia"/>
                <w:sz w:val="24"/>
                <w:szCs w:val="24"/>
              </w:rPr>
            </w:pPr>
            <w:r>
              <w:rPr>
                <w:rFonts w:hint="eastAsia"/>
                <w:b/>
                <w:bCs/>
                <w:color w:val="FF0000"/>
                <w:lang w:val="en-US" w:eastAsia="zh-CN"/>
              </w:rPr>
              <w:t>桐庐县保安服务有限公司2025年度消防器材框架协议采购项目</w:t>
            </w:r>
            <w:r>
              <w:rPr>
                <w:rFonts w:hint="eastAsia"/>
                <w:sz w:val="24"/>
                <w:szCs w:val="24"/>
              </w:rPr>
              <w:t>的潜在供应商应在乐采云平台（</w:t>
            </w:r>
            <w:r>
              <w:rPr>
                <w:rStyle w:val="21"/>
                <w:rFonts w:hint="eastAsia"/>
              </w:rPr>
              <w:t>www.lecaiyun.com</w:t>
            </w:r>
            <w:r>
              <w:rPr>
                <w:rFonts w:hint="eastAsia"/>
                <w:sz w:val="24"/>
                <w:szCs w:val="24"/>
              </w:rPr>
              <w:t>）获取（下载）询价</w:t>
            </w:r>
            <w:r>
              <w:rPr>
                <w:rFonts w:hint="eastAsia"/>
                <w:sz w:val="24"/>
                <w:szCs w:val="24"/>
                <w:lang w:val="en-US" w:eastAsia="zh-CN"/>
              </w:rPr>
              <w:t>文件</w:t>
            </w:r>
            <w:r>
              <w:rPr>
                <w:rFonts w:hint="eastAsia"/>
                <w:sz w:val="24"/>
                <w:szCs w:val="24"/>
              </w:rPr>
              <w:t>，并于</w:t>
            </w:r>
            <w:r>
              <w:rPr>
                <w:rFonts w:hint="eastAsia"/>
                <w:b/>
                <w:bCs/>
                <w:color w:val="FF0000"/>
                <w:sz w:val="24"/>
                <w:szCs w:val="24"/>
                <w:lang w:eastAsia="zh-CN"/>
              </w:rPr>
              <w:t>2024年12月06日09时30分00秒</w:t>
            </w:r>
            <w:r>
              <w:rPr>
                <w:rFonts w:hint="eastAsia"/>
                <w:sz w:val="24"/>
                <w:szCs w:val="24"/>
              </w:rPr>
              <w:t>（北京时间）前递交（上传）响应文件。</w:t>
            </w:r>
          </w:p>
        </w:tc>
      </w:tr>
    </w:tbl>
    <w:p w14:paraId="3816958B">
      <w:pPr>
        <w:pStyle w:val="4"/>
        <w:bidi w:val="0"/>
        <w:rPr>
          <w:rFonts w:hint="eastAsia"/>
        </w:rPr>
      </w:pPr>
      <w:bookmarkStart w:id="1" w:name="_Toc9006"/>
      <w:bookmarkStart w:id="2" w:name="_Toc3902"/>
      <w:r>
        <w:rPr>
          <w:rFonts w:hint="eastAsia"/>
        </w:rPr>
        <w:t>项目基本情况</w:t>
      </w:r>
      <w:bookmarkEnd w:id="1"/>
      <w:bookmarkEnd w:id="2"/>
    </w:p>
    <w:p w14:paraId="1F3D2C29">
      <w:pPr>
        <w:rPr>
          <w:rFonts w:hint="eastAsia" w:eastAsia="仿宋"/>
          <w:lang w:eastAsia="zh-CN"/>
        </w:rPr>
      </w:pPr>
      <w:r>
        <w:rPr>
          <w:rFonts w:hint="eastAsia"/>
          <w:lang w:val="en-US" w:eastAsia="zh-CN"/>
        </w:rPr>
        <w:t>1.</w:t>
      </w:r>
      <w:r>
        <w:rPr>
          <w:rFonts w:hint="eastAsia"/>
        </w:rPr>
        <w:t>项目编号：</w:t>
      </w:r>
      <w:r>
        <w:rPr>
          <w:rFonts w:hint="eastAsia"/>
          <w:b/>
          <w:bCs/>
          <w:color w:val="FF0000"/>
        </w:rPr>
        <w:t>QZ2330122202405</w:t>
      </w:r>
      <w:r>
        <w:rPr>
          <w:rFonts w:hint="eastAsia"/>
          <w:b/>
          <w:bCs/>
          <w:color w:val="FF0000"/>
          <w:lang w:val="en-US" w:eastAsia="zh-CN"/>
        </w:rPr>
        <w:t>6</w:t>
      </w:r>
    </w:p>
    <w:p w14:paraId="40F3EDF5">
      <w:pPr>
        <w:rPr>
          <w:rFonts w:hint="eastAsia"/>
          <w:b/>
          <w:bCs/>
          <w:color w:val="FF0000"/>
        </w:rPr>
      </w:pPr>
      <w:r>
        <w:rPr>
          <w:rFonts w:hint="eastAsia"/>
          <w:lang w:val="en-US" w:eastAsia="zh-CN"/>
        </w:rPr>
        <w:t>2.</w:t>
      </w:r>
      <w:r>
        <w:rPr>
          <w:rFonts w:hint="eastAsia"/>
        </w:rPr>
        <w:t>项目名称：</w:t>
      </w:r>
      <w:r>
        <w:rPr>
          <w:rFonts w:hint="eastAsia"/>
          <w:b/>
          <w:bCs/>
          <w:color w:val="FF0000"/>
          <w:lang w:val="en-US" w:eastAsia="zh-CN"/>
        </w:rPr>
        <w:t>桐庐县保安服务有限公司2025年度消防器材框架协议采购项目</w:t>
      </w:r>
    </w:p>
    <w:p w14:paraId="2B234D68">
      <w:pPr>
        <w:rPr>
          <w:rFonts w:hint="eastAsia"/>
          <w:b/>
          <w:bCs/>
          <w:color w:val="FF0000"/>
        </w:rPr>
      </w:pPr>
      <w:r>
        <w:rPr>
          <w:rFonts w:hint="eastAsia"/>
          <w:b w:val="0"/>
          <w:bCs w:val="0"/>
          <w:color w:val="auto"/>
          <w:lang w:val="en-US" w:eastAsia="zh-CN"/>
        </w:rPr>
        <w:t>3.</w:t>
      </w:r>
      <w:r>
        <w:rPr>
          <w:rFonts w:hint="eastAsia"/>
          <w:b w:val="0"/>
          <w:bCs w:val="0"/>
          <w:color w:val="auto"/>
        </w:rPr>
        <w:t>采购组织类型</w:t>
      </w:r>
      <w:r>
        <w:rPr>
          <w:rFonts w:hint="eastAsia"/>
          <w:b/>
          <w:bCs/>
          <w:color w:val="FF0000"/>
        </w:rPr>
        <w:t>：分散采购（国企采购）</w:t>
      </w:r>
    </w:p>
    <w:p w14:paraId="2F6A4CC2">
      <w:pPr>
        <w:rPr>
          <w:rFonts w:hint="eastAsia"/>
          <w:b/>
          <w:bCs/>
          <w:color w:val="FF0000"/>
          <w:lang w:val="en-US" w:eastAsia="zh-CN"/>
        </w:rPr>
      </w:pPr>
      <w:r>
        <w:rPr>
          <w:rFonts w:hint="eastAsia"/>
          <w:lang w:val="en-US" w:eastAsia="zh-CN"/>
        </w:rPr>
        <w:t>4.</w:t>
      </w:r>
      <w:r>
        <w:rPr>
          <w:rFonts w:hint="eastAsia"/>
        </w:rPr>
        <w:t>采购方式：</w:t>
      </w:r>
      <w:r>
        <w:rPr>
          <w:rFonts w:hint="eastAsia"/>
          <w:b/>
          <w:bCs/>
          <w:color w:val="FF0000"/>
          <w:lang w:val="en-US" w:eastAsia="zh-CN"/>
        </w:rPr>
        <w:t>框架协议采购</w:t>
      </w:r>
    </w:p>
    <w:p w14:paraId="5C4E7909">
      <w:pPr>
        <w:rPr>
          <w:rFonts w:hint="eastAsia"/>
        </w:rPr>
      </w:pPr>
      <w:r>
        <w:rPr>
          <w:rFonts w:hint="eastAsia"/>
          <w:lang w:val="en-US" w:eastAsia="zh-CN"/>
        </w:rPr>
        <w:t>5.</w:t>
      </w:r>
      <w:r>
        <w:rPr>
          <w:rFonts w:hint="eastAsia"/>
        </w:rPr>
        <w:t>采购需求</w:t>
      </w:r>
    </w:p>
    <w:tbl>
      <w:tblPr>
        <w:tblStyle w:val="17"/>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3"/>
        <w:gridCol w:w="2122"/>
        <w:gridCol w:w="922"/>
        <w:gridCol w:w="1855"/>
        <w:gridCol w:w="1454"/>
        <w:gridCol w:w="1474"/>
        <w:gridCol w:w="1394"/>
      </w:tblGrid>
      <w:tr w14:paraId="0A49A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jc w:val="center"/>
        </w:trPr>
        <w:tc>
          <w:tcPr>
            <w:tcW w:w="368" w:type="pct"/>
            <w:tcBorders>
              <w:tl2br w:val="nil"/>
              <w:tr2bl w:val="nil"/>
            </w:tcBorders>
            <w:noWrap w:val="0"/>
            <w:vAlign w:val="center"/>
          </w:tcPr>
          <w:p w14:paraId="1AB34BD7">
            <w:pPr>
              <w:bidi w:val="0"/>
              <w:jc w:val="center"/>
              <w:rPr>
                <w:rFonts w:hint="eastAsia"/>
                <w:lang w:eastAsia="zh-CN"/>
              </w:rPr>
            </w:pPr>
            <w:bookmarkStart w:id="3" w:name="OLE_LINK1" w:colFirst="3" w:colLast="3"/>
            <w:r>
              <w:rPr>
                <w:rFonts w:hint="eastAsia"/>
                <w:lang w:eastAsia="zh-CN"/>
              </w:rPr>
              <w:t>序号</w:t>
            </w:r>
          </w:p>
        </w:tc>
        <w:tc>
          <w:tcPr>
            <w:tcW w:w="1065" w:type="pct"/>
            <w:tcBorders>
              <w:tl2br w:val="nil"/>
              <w:tr2bl w:val="nil"/>
            </w:tcBorders>
            <w:noWrap w:val="0"/>
            <w:vAlign w:val="center"/>
          </w:tcPr>
          <w:p w14:paraId="1A847EBD">
            <w:pPr>
              <w:bidi w:val="0"/>
              <w:jc w:val="both"/>
              <w:rPr>
                <w:rFonts w:hint="eastAsia"/>
                <w:lang w:val="en-US" w:eastAsia="zh-CN"/>
              </w:rPr>
            </w:pPr>
            <w:r>
              <w:rPr>
                <w:rFonts w:hint="eastAsia"/>
                <w:lang w:val="en-US" w:eastAsia="zh-CN"/>
              </w:rPr>
              <w:t>项目名称</w:t>
            </w:r>
          </w:p>
        </w:tc>
        <w:tc>
          <w:tcPr>
            <w:tcW w:w="463" w:type="pct"/>
            <w:tcBorders>
              <w:tl2br w:val="nil"/>
              <w:tr2bl w:val="nil"/>
            </w:tcBorders>
            <w:noWrap w:val="0"/>
            <w:vAlign w:val="center"/>
          </w:tcPr>
          <w:p w14:paraId="193E5E55">
            <w:pPr>
              <w:bidi w:val="0"/>
              <w:jc w:val="center"/>
              <w:rPr>
                <w:rFonts w:hint="eastAsia"/>
              </w:rPr>
            </w:pPr>
            <w:r>
              <w:rPr>
                <w:rFonts w:hint="eastAsia"/>
              </w:rPr>
              <w:t>数量</w:t>
            </w:r>
          </w:p>
        </w:tc>
        <w:tc>
          <w:tcPr>
            <w:tcW w:w="931" w:type="pct"/>
            <w:tcBorders>
              <w:tl2br w:val="nil"/>
              <w:tr2bl w:val="nil"/>
            </w:tcBorders>
            <w:noWrap w:val="0"/>
            <w:vAlign w:val="center"/>
          </w:tcPr>
          <w:p w14:paraId="46BA11DB">
            <w:pPr>
              <w:bidi w:val="0"/>
              <w:jc w:val="center"/>
              <w:rPr>
                <w:rFonts w:hint="default"/>
                <w:lang w:val="en-US" w:eastAsia="zh-CN"/>
              </w:rPr>
            </w:pPr>
            <w:r>
              <w:rPr>
                <w:rFonts w:hint="eastAsia"/>
                <w:lang w:val="en-US" w:eastAsia="zh-CN"/>
              </w:rPr>
              <w:t>入围数量</w:t>
            </w:r>
          </w:p>
        </w:tc>
        <w:tc>
          <w:tcPr>
            <w:tcW w:w="730" w:type="pct"/>
            <w:tcBorders>
              <w:tl2br w:val="nil"/>
              <w:tr2bl w:val="nil"/>
            </w:tcBorders>
            <w:noWrap w:val="0"/>
            <w:vAlign w:val="center"/>
          </w:tcPr>
          <w:p w14:paraId="475B8511">
            <w:pPr>
              <w:bidi w:val="0"/>
              <w:jc w:val="center"/>
              <w:rPr>
                <w:rFonts w:hint="eastAsia"/>
                <w:lang w:val="en-US" w:eastAsia="zh-CN"/>
              </w:rPr>
            </w:pPr>
            <w:r>
              <w:rPr>
                <w:rFonts w:hint="eastAsia"/>
                <w:lang w:val="en-US" w:eastAsia="zh-CN"/>
              </w:rPr>
              <w:t>最高限价</w:t>
            </w:r>
          </w:p>
          <w:p w14:paraId="1D42E359">
            <w:pPr>
              <w:bidi w:val="0"/>
              <w:jc w:val="center"/>
              <w:rPr>
                <w:rFonts w:hint="default"/>
                <w:lang w:val="en-US" w:eastAsia="zh-CN"/>
              </w:rPr>
            </w:pPr>
            <w:r>
              <w:rPr>
                <w:rFonts w:hint="eastAsia"/>
                <w:lang w:val="en-US" w:eastAsia="zh-CN"/>
              </w:rPr>
              <w:t>（折扣率）</w:t>
            </w:r>
          </w:p>
        </w:tc>
        <w:tc>
          <w:tcPr>
            <w:tcW w:w="740" w:type="pct"/>
            <w:tcBorders>
              <w:tl2br w:val="nil"/>
              <w:tr2bl w:val="nil"/>
            </w:tcBorders>
            <w:noWrap w:val="0"/>
            <w:vAlign w:val="center"/>
          </w:tcPr>
          <w:p w14:paraId="430634B5">
            <w:pPr>
              <w:bidi w:val="0"/>
              <w:jc w:val="center"/>
              <w:rPr>
                <w:rFonts w:hint="eastAsia"/>
                <w:lang w:val="en-US" w:eastAsia="zh-CN"/>
              </w:rPr>
            </w:pPr>
            <w:r>
              <w:rPr>
                <w:rFonts w:hint="eastAsia"/>
                <w:lang w:val="en-US" w:eastAsia="zh-CN"/>
              </w:rPr>
              <w:t>履约期限</w:t>
            </w:r>
          </w:p>
        </w:tc>
        <w:tc>
          <w:tcPr>
            <w:tcW w:w="699" w:type="pct"/>
            <w:tcBorders>
              <w:tl2br w:val="nil"/>
              <w:tr2bl w:val="nil"/>
            </w:tcBorders>
            <w:noWrap w:val="0"/>
            <w:vAlign w:val="center"/>
          </w:tcPr>
          <w:p w14:paraId="25393688">
            <w:pPr>
              <w:bidi w:val="0"/>
              <w:jc w:val="center"/>
              <w:rPr>
                <w:rFonts w:hint="eastAsia"/>
                <w:lang w:val="en-US" w:eastAsia="zh-CN"/>
              </w:rPr>
            </w:pPr>
            <w:r>
              <w:rPr>
                <w:rFonts w:hint="eastAsia"/>
                <w:lang w:val="en-US" w:eastAsia="zh-CN"/>
              </w:rPr>
              <w:t>备注</w:t>
            </w:r>
          </w:p>
        </w:tc>
      </w:tr>
      <w:tr w14:paraId="6C2E51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4" w:hRule="atLeast"/>
          <w:jc w:val="center"/>
        </w:trPr>
        <w:tc>
          <w:tcPr>
            <w:tcW w:w="368" w:type="pct"/>
            <w:tcBorders>
              <w:tl2br w:val="nil"/>
              <w:tr2bl w:val="nil"/>
            </w:tcBorders>
            <w:noWrap w:val="0"/>
            <w:vAlign w:val="center"/>
          </w:tcPr>
          <w:p w14:paraId="396634BB">
            <w:pPr>
              <w:bidi w:val="0"/>
              <w:jc w:val="center"/>
              <w:rPr>
                <w:rFonts w:hint="eastAsia"/>
              </w:rPr>
            </w:pPr>
            <w:r>
              <w:rPr>
                <w:rFonts w:hint="eastAsia"/>
              </w:rPr>
              <w:t>1</w:t>
            </w:r>
          </w:p>
        </w:tc>
        <w:tc>
          <w:tcPr>
            <w:tcW w:w="1065" w:type="pct"/>
            <w:tcBorders>
              <w:tl2br w:val="nil"/>
              <w:tr2bl w:val="nil"/>
            </w:tcBorders>
            <w:noWrap w:val="0"/>
            <w:vAlign w:val="center"/>
          </w:tcPr>
          <w:p w14:paraId="3723B657">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b/>
                <w:bCs/>
                <w:color w:val="FF0000"/>
                <w:lang w:val="en-US" w:eastAsia="zh-CN"/>
              </w:rPr>
              <w:t>桐庐县保安服务有限公司2025年度消防器材框架协议采购项目</w:t>
            </w:r>
          </w:p>
        </w:tc>
        <w:tc>
          <w:tcPr>
            <w:tcW w:w="463" w:type="pct"/>
            <w:tcBorders>
              <w:tl2br w:val="nil"/>
              <w:tr2bl w:val="nil"/>
            </w:tcBorders>
            <w:noWrap w:val="0"/>
            <w:vAlign w:val="center"/>
          </w:tcPr>
          <w:p w14:paraId="1F755241">
            <w:pPr>
              <w:bidi w:val="0"/>
              <w:jc w:val="center"/>
              <w:rPr>
                <w:rFonts w:hint="eastAsia"/>
                <w:color w:val="FF0000"/>
                <w:lang w:val="en-US" w:eastAsia="zh-CN"/>
              </w:rPr>
            </w:pPr>
            <w:r>
              <w:rPr>
                <w:rFonts w:hint="eastAsia"/>
                <w:color w:val="FF0000"/>
                <w:lang w:val="en-US" w:eastAsia="zh-CN"/>
              </w:rPr>
              <w:t>1项</w:t>
            </w:r>
          </w:p>
        </w:tc>
        <w:tc>
          <w:tcPr>
            <w:tcW w:w="931" w:type="pct"/>
            <w:tcBorders>
              <w:tl2br w:val="nil"/>
              <w:tr2bl w:val="nil"/>
            </w:tcBorders>
            <w:noWrap w:val="0"/>
            <w:vAlign w:val="center"/>
          </w:tcPr>
          <w:p w14:paraId="3094CA4A">
            <w:pPr>
              <w:bidi w:val="0"/>
              <w:jc w:val="center"/>
              <w:rPr>
                <w:rFonts w:hint="default" w:eastAsia="仿宋"/>
                <w:color w:val="FF0000"/>
                <w:lang w:val="en-US" w:eastAsia="zh-CN"/>
              </w:rPr>
            </w:pPr>
            <w:r>
              <w:rPr>
                <w:rFonts w:hint="eastAsia"/>
                <w:b/>
                <w:bCs/>
                <w:color w:val="FF0000"/>
                <w:lang w:val="en-US" w:eastAsia="zh-CN"/>
              </w:rPr>
              <w:t>6家</w:t>
            </w:r>
          </w:p>
        </w:tc>
        <w:tc>
          <w:tcPr>
            <w:tcW w:w="730" w:type="pct"/>
            <w:tcBorders>
              <w:tl2br w:val="nil"/>
              <w:tr2bl w:val="nil"/>
            </w:tcBorders>
            <w:noWrap w:val="0"/>
            <w:vAlign w:val="center"/>
          </w:tcPr>
          <w:p w14:paraId="2CD39C5B">
            <w:pPr>
              <w:bidi w:val="0"/>
              <w:jc w:val="center"/>
              <w:rPr>
                <w:rFonts w:hint="eastAsia"/>
                <w:color w:val="FF0000"/>
                <w:lang w:val="en-US" w:eastAsia="zh-CN"/>
              </w:rPr>
            </w:pPr>
            <w:r>
              <w:rPr>
                <w:rFonts w:hint="eastAsia"/>
                <w:b/>
                <w:bCs/>
                <w:color w:val="FF0000"/>
                <w:lang w:val="en-US" w:eastAsia="zh-CN"/>
              </w:rPr>
              <w:t>100%</w:t>
            </w:r>
          </w:p>
        </w:tc>
        <w:tc>
          <w:tcPr>
            <w:tcW w:w="740" w:type="pct"/>
            <w:tcBorders>
              <w:tl2br w:val="nil"/>
              <w:tr2bl w:val="nil"/>
            </w:tcBorders>
            <w:noWrap w:val="0"/>
            <w:vAlign w:val="center"/>
          </w:tcPr>
          <w:p w14:paraId="3A750FD6">
            <w:pPr>
              <w:bidi w:val="0"/>
              <w:jc w:val="both"/>
              <w:rPr>
                <w:rFonts w:hint="default" w:eastAsia="仿宋"/>
                <w:color w:val="FF0000"/>
                <w:lang w:val="en-US" w:eastAsia="zh-CN"/>
              </w:rPr>
            </w:pPr>
            <w:r>
              <w:rPr>
                <w:rFonts w:hint="eastAsia"/>
                <w:b/>
                <w:bCs/>
                <w:color w:val="FF0000"/>
              </w:rPr>
              <w:t>合同签订</w:t>
            </w:r>
            <w:r>
              <w:rPr>
                <w:rFonts w:hint="eastAsia"/>
                <w:b/>
                <w:bCs/>
                <w:color w:val="FF0000"/>
                <w:lang w:val="en-US" w:eastAsia="zh-CN"/>
              </w:rPr>
              <w:t>之</w:t>
            </w:r>
            <w:r>
              <w:rPr>
                <w:rFonts w:hint="eastAsia"/>
                <w:b/>
                <w:bCs/>
                <w:color w:val="FF0000"/>
              </w:rPr>
              <w:t>日起1年</w:t>
            </w:r>
          </w:p>
        </w:tc>
        <w:tc>
          <w:tcPr>
            <w:tcW w:w="699" w:type="pct"/>
            <w:tcBorders>
              <w:tl2br w:val="nil"/>
              <w:tr2bl w:val="nil"/>
            </w:tcBorders>
            <w:noWrap w:val="0"/>
            <w:vAlign w:val="center"/>
          </w:tcPr>
          <w:p w14:paraId="68A8C3DB">
            <w:pPr>
              <w:bidi w:val="0"/>
              <w:jc w:val="center"/>
              <w:rPr>
                <w:rFonts w:hint="eastAsia"/>
                <w:color w:val="FF0000"/>
                <w:lang w:val="en-US" w:eastAsia="zh-CN"/>
              </w:rPr>
            </w:pPr>
            <w:r>
              <w:rPr>
                <w:rFonts w:hint="eastAsia"/>
                <w:color w:val="FF0000"/>
                <w:lang w:val="en-US" w:eastAsia="zh-CN"/>
              </w:rPr>
              <w:t>具体详见采购文件</w:t>
            </w:r>
          </w:p>
        </w:tc>
      </w:tr>
      <w:bookmarkEnd w:id="3"/>
    </w:tbl>
    <w:p w14:paraId="5EB6097A">
      <w:pPr>
        <w:pStyle w:val="4"/>
        <w:bidi w:val="0"/>
        <w:rPr>
          <w:rFonts w:hint="eastAsia"/>
        </w:rPr>
      </w:pPr>
      <w:bookmarkStart w:id="4" w:name="_Toc28841"/>
      <w:bookmarkStart w:id="5" w:name="_Toc16549"/>
      <w:r>
        <w:rPr>
          <w:rFonts w:hint="eastAsia"/>
          <w:lang w:val="en-US" w:eastAsia="zh-CN"/>
        </w:rPr>
        <w:t>申请人的</w:t>
      </w:r>
      <w:r>
        <w:rPr>
          <w:rFonts w:hint="eastAsia"/>
        </w:rPr>
        <w:t>资格要求</w:t>
      </w:r>
      <w:bookmarkEnd w:id="4"/>
      <w:bookmarkEnd w:id="5"/>
    </w:p>
    <w:p w14:paraId="76841C13">
      <w:pPr>
        <w:rPr>
          <w:rFonts w:hint="eastAsia"/>
        </w:rPr>
      </w:pPr>
      <w:r>
        <w:rPr>
          <w:rFonts w:hint="eastAsia"/>
        </w:rPr>
        <w:t>1.符合《中华人民共和国政府采购法》第二十二条之规定，在中华人民共和国境内注册，且符合、承认并承诺履行本询价通知书各项规定，所提供的货物和服务须在我国境内合法生产或销售的；未被“信用中国”</w:t>
      </w:r>
      <w:r>
        <w:rPr>
          <w:rStyle w:val="21"/>
          <w:rFonts w:hint="eastAsia"/>
        </w:rPr>
        <w:t>(www.creditchina.gov.cn</w:t>
      </w:r>
      <w:r>
        <w:rPr>
          <w:rFonts w:hint="eastAsia"/>
        </w:rPr>
        <w:t>)、中国政府采购网（</w:t>
      </w:r>
      <w:r>
        <w:rPr>
          <w:rStyle w:val="21"/>
          <w:rFonts w:hint="eastAsia"/>
        </w:rPr>
        <w:t>www.ccgp.gov.cn</w:t>
      </w:r>
      <w:r>
        <w:rPr>
          <w:rFonts w:hint="eastAsia"/>
        </w:rPr>
        <w:t>）列入失信被执行人、重大税收违法案件当事人名单、政府采购严重违法失信行为记录名单；</w:t>
      </w:r>
    </w:p>
    <w:p w14:paraId="2DD065E7">
      <w:pPr>
        <w:rPr>
          <w:rFonts w:hint="eastAsia" w:eastAsia="仿宋"/>
          <w:lang w:eastAsia="zh-CN"/>
        </w:rPr>
      </w:pPr>
      <w:r>
        <w:rPr>
          <w:rFonts w:hint="eastAsia"/>
        </w:rPr>
        <w:t>2.本项目</w:t>
      </w:r>
      <w:r>
        <w:rPr>
          <w:rFonts w:hint="eastAsia"/>
          <w:b/>
          <w:bCs/>
          <w:color w:val="FF0000"/>
          <w:u w:val="single"/>
          <w:lang w:val="en-US" w:eastAsia="zh-CN"/>
        </w:rPr>
        <w:t>不</w:t>
      </w:r>
      <w:r>
        <w:rPr>
          <w:rFonts w:hint="eastAsia"/>
        </w:rPr>
        <w:t>接受联合体投标</w:t>
      </w:r>
      <w:r>
        <w:rPr>
          <w:rFonts w:hint="eastAsia"/>
          <w:lang w:eastAsia="zh-CN"/>
        </w:rPr>
        <w:t>；</w:t>
      </w:r>
    </w:p>
    <w:p w14:paraId="5125DC8B">
      <w:pPr>
        <w:shd w:val="clear"/>
        <w:rPr>
          <w:rFonts w:hint="eastAsia" w:eastAsia="仿宋"/>
          <w:lang w:eastAsia="zh-CN"/>
        </w:rPr>
      </w:pPr>
      <w:r>
        <w:rPr>
          <w:rFonts w:hint="eastAsia"/>
          <w:lang w:val="en-US" w:eastAsia="zh-CN"/>
        </w:rPr>
        <w:t>3</w:t>
      </w:r>
      <w:r>
        <w:rPr>
          <w:rFonts w:hint="eastAsia"/>
        </w:rPr>
        <w:t>.本项目的特定资格要求：</w:t>
      </w:r>
      <w:r>
        <w:rPr>
          <w:rFonts w:hint="eastAsia"/>
          <w:b/>
          <w:bCs/>
          <w:color w:val="FF0000"/>
          <w:u w:val="single"/>
          <w:lang w:val="en-US" w:eastAsia="zh-CN"/>
        </w:rPr>
        <w:t>无</w:t>
      </w:r>
      <w:r>
        <w:rPr>
          <w:rFonts w:hint="eastAsia"/>
          <w:b/>
          <w:bCs/>
          <w:color w:val="FF0000"/>
          <w:lang w:val="en-US" w:eastAsia="zh-CN"/>
        </w:rPr>
        <w:t>。</w:t>
      </w:r>
    </w:p>
    <w:p w14:paraId="5791FDCD">
      <w:pPr>
        <w:rPr>
          <w:rFonts w:hint="eastAsia" w:eastAsia="仿宋"/>
          <w:lang w:eastAsia="zh-CN"/>
        </w:rPr>
      </w:pPr>
      <w:r>
        <w:rPr>
          <w:rFonts w:hint="eastAsia"/>
          <w:lang w:val="en-US" w:eastAsia="zh-CN"/>
        </w:rPr>
        <w:t>4</w:t>
      </w:r>
      <w:r>
        <w:rPr>
          <w:rFonts w:hint="eastAsia"/>
        </w:rPr>
        <w:t>.单位负责人为同一人或者存在直接控股、管理关系的不同供应商，不得参加同一合同项下的</w:t>
      </w:r>
      <w:r>
        <w:rPr>
          <w:rFonts w:hint="eastAsia"/>
          <w:lang w:eastAsia="zh-CN"/>
        </w:rPr>
        <w:t>国企采购</w:t>
      </w:r>
      <w:r>
        <w:rPr>
          <w:rFonts w:hint="eastAsia"/>
        </w:rPr>
        <w:t>活动；为本采购项目提供整体设计、规范编制或者项目管理、监理、检测等服务的供应商，不得再参加该采购项目的其他采购活动</w:t>
      </w:r>
      <w:r>
        <w:rPr>
          <w:rFonts w:hint="eastAsia"/>
          <w:lang w:eastAsia="zh-CN"/>
        </w:rPr>
        <w:t>；</w:t>
      </w:r>
    </w:p>
    <w:p w14:paraId="41150155">
      <w:pPr>
        <w:rPr>
          <w:rFonts w:hint="eastAsia"/>
        </w:rPr>
      </w:pPr>
      <w:r>
        <w:rPr>
          <w:rFonts w:hint="eastAsia"/>
          <w:lang w:val="en-US" w:eastAsia="zh-CN"/>
        </w:rPr>
        <w:t>5.</w:t>
      </w:r>
      <w:r>
        <w:rPr>
          <w:rFonts w:hint="eastAsia"/>
        </w:rPr>
        <w:t>供应商为其他组织（即不是自然人、法人）的，提供具有独立承担民事责任能力的证明材料或政策依据。</w:t>
      </w:r>
    </w:p>
    <w:p w14:paraId="23D7F2C8">
      <w:pPr>
        <w:pStyle w:val="4"/>
        <w:bidi w:val="0"/>
        <w:rPr>
          <w:rFonts w:hint="eastAsia"/>
        </w:rPr>
      </w:pPr>
      <w:bookmarkStart w:id="6" w:name="_Toc31913"/>
      <w:bookmarkStart w:id="7" w:name="_Toc24323"/>
      <w:r>
        <w:rPr>
          <w:rFonts w:hint="eastAsia"/>
        </w:rPr>
        <w:t>获取（下载）</w:t>
      </w:r>
      <w:bookmarkEnd w:id="6"/>
      <w:r>
        <w:rPr>
          <w:rFonts w:hint="eastAsia"/>
          <w:lang w:val="en-US" w:eastAsia="zh-CN"/>
        </w:rPr>
        <w:t>征集文件</w:t>
      </w:r>
      <w:bookmarkEnd w:id="7"/>
    </w:p>
    <w:p w14:paraId="624BEC71">
      <w:pPr>
        <w:bidi w:val="0"/>
        <w:rPr>
          <w:rFonts w:hint="eastAsia" w:eastAsia="仿宋"/>
          <w:lang w:eastAsia="zh-CN"/>
        </w:rPr>
      </w:pPr>
      <w:r>
        <w:rPr>
          <w:rFonts w:hint="eastAsia"/>
          <w:lang w:val="en-US" w:eastAsia="zh-CN"/>
        </w:rPr>
        <w:t>1.</w:t>
      </w:r>
      <w:r>
        <w:rPr>
          <w:rFonts w:hint="eastAsia"/>
        </w:rPr>
        <w:t>时间：/至</w:t>
      </w:r>
      <w:r>
        <w:rPr>
          <w:rFonts w:hint="eastAsia"/>
          <w:b/>
          <w:bCs/>
          <w:color w:val="FF0000"/>
          <w:lang w:eastAsia="zh-CN"/>
        </w:rPr>
        <w:t>2024年12月06日09时30分00秒</w:t>
      </w:r>
      <w:r>
        <w:rPr>
          <w:rFonts w:hint="eastAsia"/>
        </w:rPr>
        <w:t>，每天上午00:00至12:00</w:t>
      </w:r>
      <w:r>
        <w:rPr>
          <w:rFonts w:hint="eastAsia"/>
          <w:lang w:eastAsia="zh-CN"/>
        </w:rPr>
        <w:t>，</w:t>
      </w:r>
      <w:r>
        <w:rPr>
          <w:rFonts w:hint="eastAsia"/>
        </w:rPr>
        <w:t>下午12:00至23:59（北京时间，线上获取法定节假日均可，线下获取文件法定节假日除外）</w:t>
      </w:r>
      <w:r>
        <w:rPr>
          <w:rFonts w:hint="eastAsia"/>
          <w:lang w:eastAsia="zh-CN"/>
        </w:rPr>
        <w:t>；</w:t>
      </w:r>
    </w:p>
    <w:p w14:paraId="6CED2A5D">
      <w:pPr>
        <w:bidi w:val="0"/>
        <w:rPr>
          <w:rFonts w:hint="eastAsia" w:eastAsia="仿宋"/>
          <w:lang w:eastAsia="zh-CN"/>
        </w:rPr>
      </w:pPr>
      <w:r>
        <w:rPr>
          <w:rFonts w:hint="eastAsia"/>
          <w:lang w:val="en-US" w:eastAsia="zh-CN"/>
        </w:rPr>
        <w:t>2.</w:t>
      </w:r>
      <w:r>
        <w:rPr>
          <w:rFonts w:hint="eastAsia"/>
        </w:rPr>
        <w:t>地点（网址）：乐采云平台（</w:t>
      </w:r>
      <w:r>
        <w:rPr>
          <w:rStyle w:val="21"/>
          <w:rFonts w:hint="eastAsia"/>
        </w:rPr>
        <w:t>www.lecaiyun.com</w:t>
      </w:r>
      <w:r>
        <w:rPr>
          <w:rFonts w:hint="eastAsia"/>
        </w:rPr>
        <w:t>）</w:t>
      </w:r>
      <w:r>
        <w:rPr>
          <w:rFonts w:hint="eastAsia"/>
          <w:lang w:eastAsia="zh-CN"/>
        </w:rPr>
        <w:t>；</w:t>
      </w:r>
    </w:p>
    <w:p w14:paraId="330C1195">
      <w:pPr>
        <w:bidi w:val="0"/>
        <w:rPr>
          <w:rFonts w:hint="eastAsia" w:eastAsia="仿宋"/>
          <w:lang w:eastAsia="zh-CN"/>
        </w:rPr>
      </w:pPr>
      <w:r>
        <w:rPr>
          <w:rFonts w:hint="eastAsia"/>
          <w:lang w:val="en-US" w:eastAsia="zh-CN"/>
        </w:rPr>
        <w:t>3.</w:t>
      </w:r>
      <w:r>
        <w:rPr>
          <w:rFonts w:hint="eastAsia"/>
        </w:rPr>
        <w:t>方式：供应商登录乐采云平台（</w:t>
      </w:r>
      <w:r>
        <w:rPr>
          <w:rStyle w:val="21"/>
          <w:rFonts w:hint="eastAsia"/>
        </w:rPr>
        <w:t>www.lecaiyun.com</w:t>
      </w:r>
      <w:r>
        <w:rPr>
          <w:rFonts w:hint="eastAsia"/>
        </w:rPr>
        <w:t>）在线申请获取采购文件（进入“项目采购”应用，在获取采购文件菜单中选择项目，申请获取采购文件）</w:t>
      </w:r>
      <w:r>
        <w:rPr>
          <w:rFonts w:hint="eastAsia"/>
          <w:lang w:eastAsia="zh-CN"/>
        </w:rPr>
        <w:t>；</w:t>
      </w:r>
    </w:p>
    <w:p w14:paraId="373FB07E">
      <w:pPr>
        <w:bidi w:val="0"/>
        <w:rPr>
          <w:rFonts w:hint="eastAsia" w:eastAsia="仿宋"/>
          <w:lang w:eastAsia="zh-CN"/>
        </w:rPr>
      </w:pPr>
      <w:r>
        <w:rPr>
          <w:rFonts w:hint="eastAsia"/>
          <w:lang w:val="en-US" w:eastAsia="zh-CN"/>
        </w:rPr>
        <w:t>4.</w:t>
      </w:r>
      <w:r>
        <w:rPr>
          <w:rFonts w:hint="eastAsia"/>
        </w:rPr>
        <w:t xml:space="preserve">售价（元）：0 </w:t>
      </w:r>
      <w:r>
        <w:rPr>
          <w:rFonts w:hint="eastAsia"/>
          <w:lang w:eastAsia="zh-CN"/>
        </w:rPr>
        <w:t>；</w:t>
      </w:r>
    </w:p>
    <w:p w14:paraId="2981DE9F">
      <w:pPr>
        <w:rPr>
          <w:rFonts w:hint="eastAsia"/>
          <w:lang w:eastAsia="zh-CN"/>
        </w:rPr>
      </w:pPr>
      <w:r>
        <w:rPr>
          <w:rFonts w:hint="eastAsia"/>
        </w:rPr>
        <w:t>5.</w:t>
      </w:r>
      <w:r>
        <w:rPr>
          <w:rFonts w:hint="eastAsia"/>
          <w:lang w:val="en-US" w:eastAsia="zh-CN"/>
        </w:rPr>
        <w:t>申请人</w:t>
      </w:r>
      <w:r>
        <w:rPr>
          <w:rFonts w:hint="eastAsia"/>
        </w:rPr>
        <w:t>获取</w:t>
      </w:r>
      <w:r>
        <w:rPr>
          <w:rFonts w:hint="eastAsia"/>
          <w:lang w:val="en-US" w:eastAsia="zh-CN"/>
        </w:rPr>
        <w:t>征集文件</w:t>
      </w:r>
      <w:r>
        <w:rPr>
          <w:rFonts w:hint="eastAsia"/>
        </w:rPr>
        <w:t>时须提交的文件资料：</w:t>
      </w:r>
      <w:r>
        <w:rPr>
          <w:rFonts w:hint="eastAsia"/>
          <w:b/>
          <w:bCs/>
          <w:color w:val="FF0000"/>
        </w:rPr>
        <w:t>无</w:t>
      </w:r>
      <w:r>
        <w:rPr>
          <w:rFonts w:hint="eastAsia"/>
          <w:lang w:eastAsia="zh-CN"/>
        </w:rPr>
        <w:t>。</w:t>
      </w:r>
    </w:p>
    <w:p w14:paraId="4163D587">
      <w:pPr>
        <w:pStyle w:val="4"/>
        <w:bidi w:val="0"/>
        <w:rPr>
          <w:rFonts w:hint="eastAsia"/>
        </w:rPr>
      </w:pPr>
      <w:bookmarkStart w:id="8" w:name="_Toc22371"/>
      <w:bookmarkStart w:id="9" w:name="_Toc14216"/>
      <w:r>
        <w:rPr>
          <w:rFonts w:hint="eastAsia"/>
        </w:rPr>
        <w:t>提交响应文件截止时间、</w:t>
      </w:r>
      <w:r>
        <w:rPr>
          <w:rFonts w:hint="eastAsia"/>
          <w:lang w:val="en-US" w:eastAsia="zh-CN"/>
        </w:rPr>
        <w:t>开标</w:t>
      </w:r>
      <w:r>
        <w:rPr>
          <w:rFonts w:hint="eastAsia"/>
        </w:rPr>
        <w:t>时间和地点</w:t>
      </w:r>
      <w:bookmarkEnd w:id="8"/>
      <w:bookmarkEnd w:id="9"/>
    </w:p>
    <w:p w14:paraId="03367F3C">
      <w:pPr>
        <w:rPr>
          <w:rFonts w:hint="eastAsia"/>
          <w:b/>
          <w:bCs/>
          <w:color w:val="auto"/>
          <w:lang w:eastAsia="zh-CN"/>
        </w:rPr>
      </w:pPr>
      <w:r>
        <w:rPr>
          <w:rFonts w:hint="eastAsia"/>
          <w:lang w:val="en-US" w:eastAsia="zh-CN"/>
        </w:rPr>
        <w:t>1.</w:t>
      </w:r>
      <w:r>
        <w:rPr>
          <w:rFonts w:hint="eastAsia"/>
        </w:rPr>
        <w:t>提交响应文件截止时间：</w:t>
      </w:r>
      <w:r>
        <w:rPr>
          <w:rFonts w:hint="eastAsia"/>
          <w:b/>
          <w:bCs/>
          <w:color w:val="FF0000"/>
          <w:lang w:eastAsia="zh-CN"/>
        </w:rPr>
        <w:t>2024年12月06日09时30分00秒</w:t>
      </w:r>
      <w:r>
        <w:rPr>
          <w:rFonts w:hint="eastAsia"/>
          <w:b/>
          <w:bCs/>
          <w:color w:val="auto"/>
          <w:lang w:eastAsia="zh-CN"/>
        </w:rPr>
        <w:t>（</w:t>
      </w:r>
      <w:r>
        <w:rPr>
          <w:rFonts w:hint="eastAsia"/>
          <w:b/>
          <w:bCs/>
          <w:color w:val="auto"/>
          <w:lang w:val="en-US" w:eastAsia="zh-CN"/>
        </w:rPr>
        <w:t>北京时间</w:t>
      </w:r>
      <w:r>
        <w:rPr>
          <w:rFonts w:hint="eastAsia"/>
          <w:b/>
          <w:bCs/>
          <w:color w:val="auto"/>
          <w:lang w:eastAsia="zh-CN"/>
        </w:rPr>
        <w:t>）；</w:t>
      </w:r>
    </w:p>
    <w:p w14:paraId="75FDD833">
      <w:pPr>
        <w:bidi w:val="0"/>
        <w:rPr>
          <w:rFonts w:hint="eastAsia" w:eastAsia="仿宋"/>
          <w:lang w:eastAsia="zh-CN"/>
        </w:rPr>
      </w:pPr>
      <w:r>
        <w:rPr>
          <w:rFonts w:hint="eastAsia"/>
          <w:lang w:val="en-US" w:eastAsia="zh-CN"/>
        </w:rPr>
        <w:t>2.</w:t>
      </w:r>
      <w:r>
        <w:rPr>
          <w:rFonts w:hint="eastAsia"/>
          <w:lang w:eastAsia="zh-CN"/>
        </w:rPr>
        <w:t>提交响应文件地点：</w:t>
      </w:r>
      <w:r>
        <w:rPr>
          <w:rFonts w:hint="eastAsia"/>
          <w:b/>
          <w:bCs/>
          <w:color w:val="FF0000"/>
        </w:rPr>
        <w:t>杭州市公共资源交易中心桐庐分中心</w:t>
      </w:r>
      <w:r>
        <w:rPr>
          <w:rFonts w:hint="eastAsia"/>
          <w:b/>
          <w:bCs/>
          <w:color w:val="FF0000"/>
          <w:lang w:val="en-US" w:eastAsia="zh-CN"/>
        </w:rPr>
        <w:t>4</w:t>
      </w:r>
      <w:r>
        <w:rPr>
          <w:rFonts w:hint="eastAsia"/>
          <w:b/>
          <w:bCs/>
          <w:color w:val="FF0000"/>
        </w:rPr>
        <w:t>号开标室</w:t>
      </w:r>
      <w:r>
        <w:rPr>
          <w:rFonts w:hint="eastAsia"/>
          <w:lang w:eastAsia="zh-CN"/>
        </w:rPr>
        <w:t>；</w:t>
      </w:r>
    </w:p>
    <w:p w14:paraId="4A15DEC8">
      <w:pPr>
        <w:bidi w:val="0"/>
        <w:rPr>
          <w:rFonts w:hint="eastAsia"/>
          <w:b/>
          <w:bCs/>
          <w:color w:val="auto"/>
          <w:lang w:eastAsia="zh-CN"/>
        </w:rPr>
      </w:pPr>
      <w:r>
        <w:rPr>
          <w:rFonts w:hint="eastAsia"/>
          <w:lang w:val="en-US" w:eastAsia="zh-CN"/>
        </w:rPr>
        <w:t>3.开标时间：</w:t>
      </w:r>
      <w:r>
        <w:rPr>
          <w:rFonts w:hint="eastAsia"/>
          <w:b/>
          <w:bCs/>
          <w:color w:val="FF0000"/>
          <w:lang w:eastAsia="zh-CN"/>
        </w:rPr>
        <w:t>2024年12月06日09时30分00秒</w:t>
      </w:r>
      <w:r>
        <w:rPr>
          <w:rFonts w:hint="eastAsia"/>
          <w:b/>
          <w:bCs/>
          <w:color w:val="auto"/>
          <w:lang w:eastAsia="zh-CN"/>
        </w:rPr>
        <w:t>（</w:t>
      </w:r>
      <w:r>
        <w:rPr>
          <w:rFonts w:hint="eastAsia"/>
          <w:b/>
          <w:bCs/>
          <w:color w:val="auto"/>
          <w:lang w:val="en-US" w:eastAsia="zh-CN"/>
        </w:rPr>
        <w:t>北京时间</w:t>
      </w:r>
      <w:r>
        <w:rPr>
          <w:rFonts w:hint="eastAsia"/>
          <w:b/>
          <w:bCs/>
          <w:color w:val="auto"/>
          <w:lang w:eastAsia="zh-CN"/>
        </w:rPr>
        <w:t>）；</w:t>
      </w:r>
    </w:p>
    <w:p w14:paraId="3A2FFC4E">
      <w:pPr>
        <w:bidi w:val="0"/>
        <w:rPr>
          <w:rFonts w:hint="eastAsia"/>
          <w:lang w:eastAsia="zh-CN"/>
        </w:rPr>
      </w:pPr>
      <w:r>
        <w:rPr>
          <w:rFonts w:hint="eastAsia"/>
          <w:lang w:val="en-US" w:eastAsia="zh-CN"/>
        </w:rPr>
        <w:t>4.开标</w:t>
      </w:r>
      <w:r>
        <w:rPr>
          <w:rFonts w:hint="default"/>
          <w:lang w:val="en-US" w:eastAsia="zh-CN"/>
        </w:rPr>
        <w:t>地点：</w:t>
      </w:r>
      <w:r>
        <w:rPr>
          <w:rFonts w:hint="eastAsia"/>
          <w:b/>
          <w:bCs/>
          <w:color w:val="FF0000"/>
        </w:rPr>
        <w:t>杭州市公共资源交易中心桐庐分中心</w:t>
      </w:r>
      <w:r>
        <w:rPr>
          <w:rFonts w:hint="eastAsia"/>
          <w:b/>
          <w:bCs/>
          <w:color w:val="FF0000"/>
          <w:lang w:val="en-US" w:eastAsia="zh-CN"/>
        </w:rPr>
        <w:t>4</w:t>
      </w:r>
      <w:r>
        <w:rPr>
          <w:rFonts w:hint="eastAsia"/>
          <w:b/>
          <w:bCs/>
          <w:color w:val="FF0000"/>
        </w:rPr>
        <w:t>号开标室</w:t>
      </w:r>
      <w:r>
        <w:rPr>
          <w:rFonts w:hint="eastAsia"/>
          <w:lang w:eastAsia="zh-CN"/>
        </w:rPr>
        <w:t>；。</w:t>
      </w:r>
    </w:p>
    <w:p w14:paraId="262EF1E4">
      <w:pPr>
        <w:pStyle w:val="4"/>
        <w:bidi w:val="0"/>
        <w:rPr>
          <w:rFonts w:hint="default"/>
          <w:lang w:val="en-US" w:eastAsia="zh-CN"/>
        </w:rPr>
      </w:pPr>
      <w:bookmarkStart w:id="10" w:name="_Toc1986"/>
      <w:bookmarkStart w:id="11" w:name="_Toc2924"/>
      <w:r>
        <w:rPr>
          <w:rFonts w:hint="default"/>
          <w:lang w:val="en-US" w:eastAsia="zh-CN"/>
        </w:rPr>
        <w:t>公告期限</w:t>
      </w:r>
      <w:bookmarkEnd w:id="10"/>
      <w:bookmarkEnd w:id="11"/>
    </w:p>
    <w:p w14:paraId="0B1CDB36">
      <w:pPr>
        <w:rPr>
          <w:rFonts w:hint="default"/>
          <w:lang w:val="en-US" w:eastAsia="zh-CN"/>
        </w:rPr>
      </w:pPr>
      <w:r>
        <w:rPr>
          <w:rFonts w:hint="default"/>
          <w:lang w:val="en-US" w:eastAsia="zh-CN"/>
        </w:rPr>
        <w:t>自本公告发布之日起</w:t>
      </w:r>
      <w:r>
        <w:rPr>
          <w:rFonts w:hint="eastAsia"/>
          <w:lang w:val="en-US" w:eastAsia="zh-CN"/>
        </w:rPr>
        <w:t>5</w:t>
      </w:r>
      <w:r>
        <w:rPr>
          <w:rFonts w:hint="default"/>
          <w:lang w:val="en-US" w:eastAsia="zh-CN"/>
        </w:rPr>
        <w:t>个工作日。</w:t>
      </w:r>
    </w:p>
    <w:p w14:paraId="38332ECB">
      <w:pPr>
        <w:pStyle w:val="4"/>
        <w:bidi w:val="0"/>
        <w:rPr>
          <w:rFonts w:hint="default"/>
          <w:lang w:val="en-US" w:eastAsia="zh-CN"/>
        </w:rPr>
      </w:pPr>
      <w:bookmarkStart w:id="12" w:name="_Toc9493"/>
      <w:bookmarkStart w:id="13" w:name="_Toc24280"/>
      <w:r>
        <w:rPr>
          <w:rFonts w:hint="eastAsia"/>
          <w:lang w:val="en-US" w:eastAsia="zh-CN"/>
        </w:rPr>
        <w:t>其他事项</w:t>
      </w:r>
      <w:bookmarkEnd w:id="12"/>
      <w:bookmarkEnd w:id="13"/>
    </w:p>
    <w:p w14:paraId="3B93D847">
      <w:pPr>
        <w:ind w:firstLine="480" w:firstLineChars="200"/>
        <w:rPr>
          <w:rFonts w:hint="default"/>
          <w:lang w:val="en-US" w:eastAsia="zh-CN"/>
        </w:rPr>
      </w:pPr>
      <w:r>
        <w:rPr>
          <w:rFonts w:hint="default"/>
          <w:lang w:val="en-US" w:eastAsia="zh-CN"/>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国企采购监督管理部门投诉。质疑函范本、投诉书范本请参照附件。</w:t>
      </w:r>
    </w:p>
    <w:p w14:paraId="4D06C746">
      <w:pPr>
        <w:pStyle w:val="4"/>
        <w:bidi w:val="0"/>
        <w:rPr>
          <w:rFonts w:hint="default"/>
          <w:lang w:val="en-US" w:eastAsia="zh-CN"/>
        </w:rPr>
      </w:pPr>
      <w:bookmarkStart w:id="14" w:name="_Toc17176"/>
      <w:bookmarkStart w:id="15" w:name="_Toc256"/>
      <w:r>
        <w:rPr>
          <w:rFonts w:hint="default"/>
          <w:lang w:val="en-US" w:eastAsia="zh-CN"/>
        </w:rPr>
        <w:t>对本次采购提出询问、质疑、投诉，请按以下方式联系</w:t>
      </w:r>
      <w:bookmarkEnd w:id="14"/>
      <w:bookmarkEnd w:id="15"/>
    </w:p>
    <w:p w14:paraId="5EC6F071">
      <w:pPr>
        <w:bidi w:val="0"/>
        <w:rPr>
          <w:rFonts w:hint="eastAsia"/>
          <w:b/>
          <w:bCs/>
          <w:sz w:val="22"/>
          <w:szCs w:val="21"/>
          <w:lang w:eastAsia="zh-CN"/>
        </w:rPr>
      </w:pPr>
      <w:r>
        <w:rPr>
          <w:rFonts w:hint="eastAsia"/>
          <w:b/>
          <w:bCs/>
          <w:sz w:val="22"/>
          <w:szCs w:val="21"/>
          <w:lang w:eastAsia="zh-CN"/>
        </w:rPr>
        <w:t>1.采购人信息</w:t>
      </w:r>
    </w:p>
    <w:p w14:paraId="2D3469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60"/>
          <w:kern w:val="0"/>
          <w:fitText w:val="2400" w:id="345918728"/>
          <w:lang w:eastAsia="zh-CN"/>
        </w:rPr>
        <w:t>名</w:t>
      </w:r>
      <w:r>
        <w:rPr>
          <w:rFonts w:hint="eastAsia"/>
          <w:spacing w:val="0"/>
          <w:kern w:val="0"/>
          <w:fitText w:val="2400" w:id="345918728"/>
          <w:lang w:eastAsia="zh-CN"/>
        </w:rPr>
        <w:t>称</w:t>
      </w:r>
      <w:r>
        <w:rPr>
          <w:rFonts w:hint="eastAsia"/>
          <w:lang w:eastAsia="zh-CN"/>
        </w:rPr>
        <w:t>：</w:t>
      </w:r>
      <w:r>
        <w:rPr>
          <w:rFonts w:hint="eastAsia"/>
          <w:b/>
          <w:bCs/>
          <w:color w:val="FF0000"/>
          <w:lang w:val="en-US" w:eastAsia="zh-CN"/>
        </w:rPr>
        <w:t>桐庐县保安服务有限公司</w:t>
      </w:r>
    </w:p>
    <w:p w14:paraId="0D1D28F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834491052"/>
          <w:lang w:eastAsia="zh-CN"/>
        </w:rPr>
        <w:t>地</w:t>
      </w:r>
      <w:r>
        <w:rPr>
          <w:rFonts w:hint="eastAsia"/>
          <w:spacing w:val="0"/>
          <w:kern w:val="0"/>
          <w:fitText w:val="2400" w:id="834491052"/>
          <w:lang w:eastAsia="zh-CN"/>
        </w:rPr>
        <w:t>址</w:t>
      </w:r>
      <w:r>
        <w:rPr>
          <w:rFonts w:hint="eastAsia"/>
          <w:lang w:eastAsia="zh-CN"/>
        </w:rPr>
        <w:t>：</w:t>
      </w:r>
      <w:r>
        <w:rPr>
          <w:rFonts w:hint="eastAsia"/>
          <w:b/>
          <w:bCs/>
          <w:color w:val="FF0000"/>
          <w:lang w:val="en-US" w:eastAsia="zh-CN"/>
        </w:rPr>
        <w:t>浙江省杭州市桐庐县城南街道上杭路777号智城大厦11楼</w:t>
      </w:r>
    </w:p>
    <w:p w14:paraId="624C333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15"/>
          <w:kern w:val="0"/>
          <w:fitText w:val="2400" w:id="1593704911"/>
          <w:lang w:eastAsia="zh-CN"/>
        </w:rPr>
        <w:t>项目联系人（询问</w:t>
      </w:r>
      <w:r>
        <w:rPr>
          <w:rFonts w:hint="eastAsia"/>
          <w:spacing w:val="0"/>
          <w:kern w:val="0"/>
          <w:fitText w:val="2400" w:id="1593704911"/>
          <w:lang w:eastAsia="zh-CN"/>
        </w:rPr>
        <w:t>）</w:t>
      </w:r>
      <w:r>
        <w:rPr>
          <w:rFonts w:hint="eastAsia"/>
          <w:lang w:eastAsia="zh-CN"/>
        </w:rPr>
        <w:t>：</w:t>
      </w:r>
      <w:r>
        <w:rPr>
          <w:rFonts w:hint="eastAsia"/>
          <w:b/>
          <w:bCs/>
          <w:color w:val="FF0000"/>
          <w:lang w:val="en-US" w:eastAsia="zh-CN"/>
        </w:rPr>
        <w:t>郑斌</w:t>
      </w:r>
    </w:p>
    <w:p w14:paraId="414329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0"/>
          <w:kern w:val="0"/>
          <w:fitText w:val="2400" w:id="1401577392"/>
          <w:lang w:eastAsia="zh-CN"/>
        </w:rPr>
        <w:t>项目联系方式（询问）</w:t>
      </w:r>
      <w:r>
        <w:rPr>
          <w:rFonts w:hint="eastAsia"/>
          <w:lang w:eastAsia="zh-CN"/>
        </w:rPr>
        <w:t>：</w:t>
      </w:r>
      <w:r>
        <w:rPr>
          <w:rFonts w:hint="eastAsia"/>
          <w:b/>
          <w:bCs/>
          <w:color w:val="FF0000"/>
          <w:lang w:val="en-US" w:eastAsia="zh-CN"/>
        </w:rPr>
        <w:t>13806510200</w:t>
      </w:r>
    </w:p>
    <w:p w14:paraId="2BFD05A6">
      <w:pPr>
        <w:bidi w:val="0"/>
        <w:rPr>
          <w:rFonts w:hint="eastAsia"/>
          <w:lang w:eastAsia="zh-CN"/>
        </w:rPr>
      </w:pPr>
      <w:r>
        <w:rPr>
          <w:rFonts w:hint="eastAsia"/>
          <w:b/>
          <w:bCs/>
          <w:sz w:val="22"/>
          <w:szCs w:val="21"/>
          <w:lang w:eastAsia="zh-CN"/>
        </w:rPr>
        <w:t xml:space="preserve">2.采购代理机构信息 </w:t>
      </w:r>
      <w:r>
        <w:rPr>
          <w:rFonts w:hint="eastAsia"/>
          <w:lang w:eastAsia="zh-CN"/>
        </w:rPr>
        <w:t xml:space="preserve">           </w:t>
      </w:r>
    </w:p>
    <w:p w14:paraId="00BD4C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名称：杭州全咨项目管理有限公司 </w:t>
      </w:r>
    </w:p>
    <w:p w14:paraId="4CC825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339548698"/>
          <w:lang w:eastAsia="zh-CN"/>
        </w:rPr>
        <w:t>地</w:t>
      </w:r>
      <w:r>
        <w:rPr>
          <w:rFonts w:hint="eastAsia"/>
          <w:spacing w:val="0"/>
          <w:kern w:val="0"/>
          <w:fitText w:val="2400" w:id="339548698"/>
          <w:lang w:eastAsia="zh-CN"/>
        </w:rPr>
        <w:t>址</w:t>
      </w:r>
      <w:r>
        <w:rPr>
          <w:rFonts w:hint="eastAsia"/>
          <w:lang w:eastAsia="zh-CN"/>
        </w:rPr>
        <w:t>：浙江省杭州市桐庐县城南街道春江路719号国贸大厦7楼</w:t>
      </w:r>
    </w:p>
    <w:p w14:paraId="6E53C0F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15"/>
          <w:kern w:val="0"/>
          <w:fitText w:val="2400" w:id="618618830"/>
          <w:lang w:eastAsia="zh-CN"/>
        </w:rPr>
        <w:t>项目联系人（询问</w:t>
      </w:r>
      <w:r>
        <w:rPr>
          <w:rFonts w:hint="eastAsia"/>
          <w:spacing w:val="0"/>
          <w:kern w:val="0"/>
          <w:fitText w:val="2400" w:id="618618830"/>
          <w:lang w:eastAsia="zh-CN"/>
        </w:rPr>
        <w:t>）</w:t>
      </w:r>
      <w:r>
        <w:rPr>
          <w:rFonts w:hint="eastAsia"/>
          <w:lang w:eastAsia="zh-CN"/>
        </w:rPr>
        <w:t>：</w:t>
      </w:r>
      <w:r>
        <w:rPr>
          <w:rFonts w:hint="eastAsia"/>
          <w:lang w:val="en-US" w:eastAsia="zh-CN"/>
        </w:rPr>
        <w:t>余林</w:t>
      </w:r>
    </w:p>
    <w:p w14:paraId="7278A0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0"/>
          <w:kern w:val="0"/>
          <w:fitText w:val="2400" w:id="1613765971"/>
          <w:lang w:eastAsia="zh-CN"/>
        </w:rPr>
        <w:t>项目联系方式（询问）</w:t>
      </w:r>
      <w:r>
        <w:rPr>
          <w:rFonts w:hint="eastAsia"/>
          <w:lang w:eastAsia="zh-CN"/>
        </w:rPr>
        <w:t>：</w:t>
      </w:r>
      <w:r>
        <w:rPr>
          <w:rFonts w:hint="eastAsia"/>
          <w:lang w:val="en-US" w:eastAsia="zh-CN"/>
        </w:rPr>
        <w:t>13968085088</w:t>
      </w:r>
    </w:p>
    <w:p w14:paraId="64F3FD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Wonder Arial" w:hAnsi="Wonder Arial" w:cs="Wonder Arial"/>
          <w:lang w:eastAsia="zh-CN"/>
        </w:rPr>
      </w:pPr>
      <w:r>
        <w:rPr>
          <w:rFonts w:hint="eastAsia"/>
          <w:spacing w:val="150"/>
          <w:kern w:val="0"/>
          <w:fitText w:val="2400" w:id="357517657"/>
          <w:lang w:eastAsia="zh-CN"/>
        </w:rPr>
        <w:t>质疑联系</w:t>
      </w:r>
      <w:r>
        <w:rPr>
          <w:rFonts w:hint="eastAsia"/>
          <w:spacing w:val="0"/>
          <w:kern w:val="0"/>
          <w:fitText w:val="2400" w:id="357517657"/>
          <w:lang w:eastAsia="zh-CN"/>
        </w:rPr>
        <w:t>人</w:t>
      </w:r>
      <w:r>
        <w:rPr>
          <w:rFonts w:hint="eastAsia"/>
          <w:lang w:eastAsia="zh-CN"/>
        </w:rPr>
        <w:t>：许红霞</w:t>
      </w:r>
    </w:p>
    <w:p w14:paraId="137DAB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
          <w:kern w:val="0"/>
          <w:fitText w:val="2400" w:id="1027278089"/>
          <w:lang w:eastAsia="zh-CN"/>
        </w:rPr>
        <w:t>质疑联系方</w:t>
      </w:r>
      <w:r>
        <w:rPr>
          <w:rFonts w:hint="eastAsia"/>
          <w:spacing w:val="0"/>
          <w:kern w:val="0"/>
          <w:fitText w:val="2400" w:id="1027278089"/>
          <w:lang w:eastAsia="zh-CN"/>
        </w:rPr>
        <w:t>式</w:t>
      </w:r>
      <w:r>
        <w:rPr>
          <w:rFonts w:hint="eastAsia"/>
          <w:lang w:eastAsia="zh-CN"/>
        </w:rPr>
        <w:t>：15024476646</w:t>
      </w:r>
    </w:p>
    <w:p w14:paraId="5FDC765D">
      <w:pPr>
        <w:bidi w:val="0"/>
        <w:rPr>
          <w:rFonts w:hint="eastAsia"/>
          <w:b/>
          <w:bCs/>
          <w:sz w:val="22"/>
          <w:szCs w:val="21"/>
          <w:lang w:eastAsia="zh-CN"/>
        </w:rPr>
      </w:pPr>
      <w:r>
        <w:rPr>
          <w:rFonts w:hint="eastAsia"/>
          <w:b/>
          <w:bCs/>
          <w:sz w:val="22"/>
          <w:szCs w:val="21"/>
          <w:lang w:eastAsia="zh-CN"/>
        </w:rPr>
        <w:t>3.同级</w:t>
      </w:r>
      <w:r>
        <w:rPr>
          <w:rFonts w:hint="eastAsia"/>
          <w:b/>
          <w:bCs/>
          <w:sz w:val="22"/>
          <w:szCs w:val="21"/>
          <w:lang w:val="en-US" w:eastAsia="zh-CN"/>
        </w:rPr>
        <w:t>国企</w:t>
      </w:r>
      <w:r>
        <w:rPr>
          <w:rFonts w:hint="eastAsia"/>
          <w:b/>
          <w:bCs/>
          <w:sz w:val="22"/>
          <w:szCs w:val="21"/>
          <w:lang w:eastAsia="zh-CN"/>
        </w:rPr>
        <w:t>采购监督管理部门</w:t>
      </w:r>
    </w:p>
    <w:p w14:paraId="24C7519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1904490485"/>
          <w:lang w:eastAsia="zh-CN"/>
        </w:rPr>
        <w:t>名</w:t>
      </w:r>
      <w:r>
        <w:rPr>
          <w:rFonts w:hint="eastAsia"/>
          <w:spacing w:val="0"/>
          <w:kern w:val="0"/>
          <w:fitText w:val="2400" w:id="1904490485"/>
          <w:lang w:eastAsia="zh-CN"/>
        </w:rPr>
        <w:t>称</w:t>
      </w:r>
      <w:r>
        <w:rPr>
          <w:rFonts w:hint="eastAsia"/>
          <w:lang w:eastAsia="zh-CN"/>
        </w:rPr>
        <w:t>：</w:t>
      </w:r>
      <w:r>
        <w:rPr>
          <w:rFonts w:hint="eastAsia"/>
          <w:b/>
          <w:bCs/>
          <w:color w:val="FF0000"/>
          <w:lang w:eastAsia="zh-CN"/>
        </w:rPr>
        <w:t>桐庐投资建设发展集团有限公司</w:t>
      </w:r>
    </w:p>
    <w:p w14:paraId="7439EA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60"/>
          <w:kern w:val="0"/>
          <w:fitText w:val="2400" w:id="1432833170"/>
          <w:lang w:eastAsia="zh-CN"/>
        </w:rPr>
        <w:t>地</w:t>
      </w:r>
      <w:r>
        <w:rPr>
          <w:rFonts w:hint="eastAsia"/>
          <w:spacing w:val="0"/>
          <w:kern w:val="0"/>
          <w:fitText w:val="2400" w:id="1432833170"/>
          <w:lang w:eastAsia="zh-CN"/>
        </w:rPr>
        <w:t>址</w:t>
      </w:r>
      <w:r>
        <w:rPr>
          <w:rFonts w:hint="eastAsia"/>
          <w:lang w:eastAsia="zh-CN"/>
        </w:rPr>
        <w:t>：</w:t>
      </w:r>
      <w:r>
        <w:rPr>
          <w:rFonts w:hint="eastAsia"/>
          <w:b/>
          <w:bCs/>
          <w:color w:val="FF0000"/>
          <w:lang w:val="en-US" w:eastAsia="zh-CN"/>
        </w:rPr>
        <w:t>浙江省杭州市</w:t>
      </w:r>
      <w:r>
        <w:rPr>
          <w:rFonts w:hint="eastAsia"/>
          <w:b/>
          <w:bCs/>
          <w:color w:val="FF0000"/>
          <w:lang w:eastAsia="zh-CN"/>
        </w:rPr>
        <w:t>桐庐县城南街道春江西路</w:t>
      </w:r>
      <w:r>
        <w:rPr>
          <w:rFonts w:hint="eastAsia"/>
          <w:b/>
          <w:bCs/>
          <w:color w:val="FF0000"/>
          <w:lang w:val="en-US" w:eastAsia="zh-CN"/>
        </w:rPr>
        <w:t>69号</w:t>
      </w:r>
      <w:r>
        <w:rPr>
          <w:rFonts w:hint="eastAsia"/>
          <w:b/>
          <w:bCs/>
          <w:color w:val="FF0000"/>
          <w:lang w:eastAsia="zh-CN"/>
        </w:rPr>
        <w:t>滨江大厦</w:t>
      </w:r>
      <w:r>
        <w:rPr>
          <w:rFonts w:hint="eastAsia"/>
          <w:b/>
          <w:bCs/>
          <w:color w:val="FF0000"/>
          <w:lang w:val="en-US" w:eastAsia="zh-CN"/>
        </w:rPr>
        <w:t>20楼</w:t>
      </w:r>
    </w:p>
    <w:p w14:paraId="70003F3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1827346775"/>
          <w:lang w:eastAsia="zh-CN"/>
        </w:rPr>
        <w:t>传</w:t>
      </w:r>
      <w:r>
        <w:rPr>
          <w:rFonts w:hint="eastAsia"/>
          <w:spacing w:val="0"/>
          <w:kern w:val="0"/>
          <w:fitText w:val="2400" w:id="1827346775"/>
          <w:lang w:eastAsia="zh-CN"/>
        </w:rPr>
        <w:t>真</w:t>
      </w:r>
      <w:r>
        <w:rPr>
          <w:rFonts w:hint="eastAsia"/>
          <w:lang w:eastAsia="zh-CN"/>
        </w:rPr>
        <w:t>： /</w:t>
      </w:r>
    </w:p>
    <w:p w14:paraId="71D876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420"/>
          <w:kern w:val="0"/>
          <w:fitText w:val="2400" w:id="2041914357"/>
          <w:lang w:eastAsia="zh-CN"/>
        </w:rPr>
        <w:t>联系</w:t>
      </w:r>
      <w:r>
        <w:rPr>
          <w:rFonts w:hint="eastAsia"/>
          <w:spacing w:val="0"/>
          <w:kern w:val="0"/>
          <w:fitText w:val="2400" w:id="2041914357"/>
          <w:lang w:eastAsia="zh-CN"/>
        </w:rPr>
        <w:t>人</w:t>
      </w:r>
      <w:r>
        <w:rPr>
          <w:rFonts w:hint="eastAsia"/>
          <w:lang w:eastAsia="zh-CN"/>
        </w:rPr>
        <w:t>：</w:t>
      </w:r>
      <w:r>
        <w:rPr>
          <w:rFonts w:hint="eastAsia"/>
          <w:b/>
          <w:bCs/>
          <w:color w:val="FF0000"/>
          <w:lang w:eastAsia="zh-CN"/>
        </w:rPr>
        <w:t>朱琳</w:t>
      </w:r>
    </w:p>
    <w:p w14:paraId="7CD4FB9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lang w:eastAsia="zh-CN"/>
        </w:rPr>
      </w:pPr>
      <w:r>
        <w:rPr>
          <w:rFonts w:hint="eastAsia"/>
          <w:spacing w:val="96"/>
          <w:kern w:val="0"/>
          <w:fitText w:val="2400" w:id="1940789068"/>
          <w:lang w:eastAsia="zh-CN"/>
        </w:rPr>
        <w:t>监督投诉电</w:t>
      </w:r>
      <w:r>
        <w:rPr>
          <w:rFonts w:hint="eastAsia"/>
          <w:spacing w:val="0"/>
          <w:kern w:val="0"/>
          <w:fitText w:val="2400" w:id="1940789068"/>
          <w:lang w:eastAsia="zh-CN"/>
        </w:rPr>
        <w:t>话</w:t>
      </w:r>
      <w:r>
        <w:rPr>
          <w:rFonts w:hint="eastAsia"/>
          <w:lang w:eastAsia="zh-CN"/>
        </w:rPr>
        <w:t>：</w:t>
      </w:r>
      <w:r>
        <w:rPr>
          <w:rFonts w:hint="eastAsia"/>
          <w:b/>
          <w:bCs/>
          <w:color w:val="FF0000"/>
          <w:lang w:eastAsia="zh-CN"/>
        </w:rPr>
        <w:t>13588052704</w:t>
      </w:r>
    </w:p>
    <w:p w14:paraId="06489504">
      <w:pPr>
        <w:bidi w:val="0"/>
        <w:rPr>
          <w:rFonts w:hint="eastAsia"/>
          <w:lang w:val="en-US" w:eastAsia="zh-CN"/>
        </w:rPr>
      </w:pPr>
    </w:p>
    <w:p w14:paraId="36940A05">
      <w:pPr>
        <w:bidi w:val="0"/>
        <w:rPr>
          <w:rFonts w:hint="eastAsia"/>
          <w:lang w:val="en-US" w:eastAsia="zh-CN"/>
        </w:rPr>
      </w:pPr>
    </w:p>
    <w:p w14:paraId="0D269F0D">
      <w:pPr>
        <w:bidi w:val="0"/>
        <w:rPr>
          <w:rFonts w:hint="eastAsia"/>
          <w:lang w:val="en-US" w:eastAsia="zh-CN"/>
        </w:rPr>
      </w:pPr>
    </w:p>
    <w:p w14:paraId="68BE1A1F">
      <w:pPr>
        <w:bidi w:val="0"/>
        <w:rPr>
          <w:rFonts w:hint="eastAsia"/>
          <w:lang w:val="en-US" w:eastAsia="zh-CN"/>
        </w:rPr>
      </w:pPr>
    </w:p>
    <w:p w14:paraId="17FA696A">
      <w:pPr>
        <w:bidi w:val="0"/>
        <w:rPr>
          <w:rFonts w:hint="eastAsia"/>
          <w:lang w:val="en-US" w:eastAsia="zh-CN"/>
        </w:rPr>
      </w:pPr>
    </w:p>
    <w:p w14:paraId="295FF733">
      <w:pPr>
        <w:bidi w:val="0"/>
        <w:rPr>
          <w:rFonts w:hint="eastAsia"/>
          <w:lang w:val="en-US" w:eastAsia="zh-CN"/>
        </w:rPr>
      </w:pPr>
    </w:p>
    <w:p w14:paraId="5CA94684">
      <w:pPr>
        <w:bidi w:val="0"/>
        <w:rPr>
          <w:rFonts w:hint="eastAsia"/>
          <w:lang w:val="en-US" w:eastAsia="zh-CN"/>
        </w:rPr>
      </w:pPr>
    </w:p>
    <w:p w14:paraId="58C288FD">
      <w:pPr>
        <w:bidi w:val="0"/>
        <w:rPr>
          <w:rFonts w:hint="eastAsia"/>
          <w:lang w:val="en-US" w:eastAsia="zh-CN"/>
        </w:rPr>
      </w:pPr>
    </w:p>
    <w:p w14:paraId="7CC0CA00">
      <w:pPr>
        <w:bidi w:val="0"/>
        <w:rPr>
          <w:rFonts w:hint="eastAsia"/>
          <w:lang w:val="en-US" w:eastAsia="zh-CN"/>
        </w:rPr>
      </w:pPr>
    </w:p>
    <w:p w14:paraId="6E175B4B">
      <w:pPr>
        <w:bidi w:val="0"/>
        <w:rPr>
          <w:rFonts w:hint="eastAsia"/>
          <w:lang w:val="en-US" w:eastAsia="zh-CN"/>
        </w:rPr>
      </w:pPr>
    </w:p>
    <w:p w14:paraId="73487CBD">
      <w:pPr>
        <w:bidi w:val="0"/>
        <w:rPr>
          <w:rFonts w:hint="eastAsia"/>
          <w:lang w:val="en-US" w:eastAsia="zh-CN"/>
        </w:rPr>
      </w:pPr>
    </w:p>
    <w:p w14:paraId="579771AB">
      <w:pPr>
        <w:bidi w:val="0"/>
        <w:rPr>
          <w:rFonts w:hint="eastAsia"/>
          <w:lang w:val="en-US" w:eastAsia="zh-CN"/>
        </w:rPr>
      </w:pPr>
    </w:p>
    <w:p w14:paraId="6C97227F">
      <w:pPr>
        <w:bidi w:val="0"/>
        <w:rPr>
          <w:rFonts w:hint="eastAsia"/>
          <w:lang w:val="en-US" w:eastAsia="zh-CN"/>
        </w:rPr>
      </w:pPr>
    </w:p>
    <w:p w14:paraId="5F95944A">
      <w:pPr>
        <w:pStyle w:val="2"/>
        <w:bidi w:val="0"/>
        <w:jc w:val="center"/>
        <w:rPr>
          <w:rFonts w:hint="default"/>
          <w:lang w:val="en-US" w:eastAsia="zh-CN"/>
        </w:rPr>
      </w:pPr>
      <w:bookmarkStart w:id="16" w:name="_Toc26675"/>
      <w:r>
        <w:rPr>
          <w:rFonts w:hint="eastAsia"/>
          <w:lang w:val="en-US" w:eastAsia="zh-CN"/>
        </w:rPr>
        <w:t>投标人须知</w:t>
      </w:r>
      <w:bookmarkEnd w:id="16"/>
    </w:p>
    <w:p w14:paraId="51F99025">
      <w:pPr>
        <w:jc w:val="center"/>
        <w:rPr>
          <w:rFonts w:hint="eastAsia"/>
          <w:b/>
          <w:bCs/>
          <w:sz w:val="28"/>
          <w:szCs w:val="24"/>
          <w:lang w:val="en-US" w:eastAsia="zh-CN"/>
        </w:rPr>
      </w:pPr>
      <w:r>
        <w:rPr>
          <w:rFonts w:hint="eastAsia"/>
          <w:b/>
          <w:bCs/>
          <w:sz w:val="28"/>
          <w:szCs w:val="24"/>
          <w:lang w:val="en-US" w:eastAsia="zh-CN"/>
        </w:rPr>
        <w:t>前附表</w:t>
      </w:r>
    </w:p>
    <w:tbl>
      <w:tblPr>
        <w:tblStyle w:val="17"/>
        <w:tblW w:w="9180"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708"/>
      </w:tblGrid>
      <w:tr w14:paraId="77230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74DD971">
            <w:pPr>
              <w:bidi w:val="0"/>
              <w:jc w:val="center"/>
              <w:rPr>
                <w:rFonts w:hint="eastAsia"/>
              </w:rPr>
            </w:pPr>
            <w:r>
              <w:rPr>
                <w:rFonts w:hint="eastAsia"/>
              </w:rPr>
              <w:t>序号</w:t>
            </w:r>
          </w:p>
        </w:tc>
        <w:tc>
          <w:tcPr>
            <w:tcW w:w="1843" w:type="dxa"/>
            <w:tcBorders>
              <w:tl2br w:val="nil"/>
              <w:tr2bl w:val="nil"/>
            </w:tcBorders>
            <w:vAlign w:val="center"/>
          </w:tcPr>
          <w:p w14:paraId="77B57724">
            <w:pPr>
              <w:bidi w:val="0"/>
              <w:jc w:val="center"/>
              <w:rPr>
                <w:rFonts w:hint="eastAsia"/>
              </w:rPr>
            </w:pPr>
            <w:r>
              <w:rPr>
                <w:rFonts w:hint="eastAsia"/>
              </w:rPr>
              <w:t>事项</w:t>
            </w:r>
          </w:p>
        </w:tc>
        <w:tc>
          <w:tcPr>
            <w:tcW w:w="6708" w:type="dxa"/>
            <w:tcBorders>
              <w:tl2br w:val="nil"/>
              <w:tr2bl w:val="nil"/>
            </w:tcBorders>
            <w:vAlign w:val="center"/>
          </w:tcPr>
          <w:p w14:paraId="62C3E5E3">
            <w:pPr>
              <w:bidi w:val="0"/>
              <w:jc w:val="center"/>
              <w:rPr>
                <w:rFonts w:hint="eastAsia"/>
              </w:rPr>
            </w:pPr>
            <w:r>
              <w:rPr>
                <w:rFonts w:hint="eastAsia"/>
              </w:rPr>
              <w:t>本项目的特别规定</w:t>
            </w:r>
          </w:p>
        </w:tc>
      </w:tr>
      <w:tr w14:paraId="64276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886" w:hRule="atLeast"/>
          <w:tblHeader/>
        </w:trPr>
        <w:tc>
          <w:tcPr>
            <w:tcW w:w="629" w:type="dxa"/>
            <w:tcBorders>
              <w:tl2br w:val="nil"/>
              <w:tr2bl w:val="nil"/>
            </w:tcBorders>
            <w:vAlign w:val="center"/>
          </w:tcPr>
          <w:p w14:paraId="12598F73">
            <w:pPr>
              <w:bidi w:val="0"/>
              <w:jc w:val="center"/>
              <w:rPr>
                <w:rFonts w:hint="eastAsia"/>
                <w:lang w:val="en-US" w:eastAsia="zh-CN"/>
              </w:rPr>
            </w:pPr>
            <w:r>
              <w:rPr>
                <w:rFonts w:hint="eastAsia"/>
                <w:lang w:val="en-US" w:eastAsia="zh-CN"/>
              </w:rPr>
              <w:t>1</w:t>
            </w:r>
          </w:p>
        </w:tc>
        <w:tc>
          <w:tcPr>
            <w:tcW w:w="1843" w:type="dxa"/>
            <w:tcBorders>
              <w:tl2br w:val="nil"/>
              <w:tr2bl w:val="nil"/>
            </w:tcBorders>
            <w:vAlign w:val="center"/>
          </w:tcPr>
          <w:p w14:paraId="72038214">
            <w:pPr>
              <w:bidi w:val="0"/>
              <w:jc w:val="center"/>
              <w:rPr>
                <w:rFonts w:hint="eastAsia"/>
                <w:lang w:val="en-US" w:eastAsia="zh-CN"/>
              </w:rPr>
            </w:pPr>
            <w:r>
              <w:rPr>
                <w:rFonts w:hint="eastAsia"/>
              </w:rPr>
              <w:t>入围方式</w:t>
            </w:r>
          </w:p>
        </w:tc>
        <w:tc>
          <w:tcPr>
            <w:tcW w:w="6708" w:type="dxa"/>
            <w:tcBorders>
              <w:tl2br w:val="nil"/>
              <w:tr2bl w:val="nil"/>
            </w:tcBorders>
            <w:vAlign w:val="center"/>
          </w:tcPr>
          <w:p w14:paraId="1DE6E049">
            <w:pPr>
              <w:bidi w:val="0"/>
              <w:jc w:val="both"/>
              <w:rPr>
                <w:rFonts w:hint="eastAsia"/>
                <w:b/>
                <w:bCs/>
              </w:rPr>
            </w:pPr>
            <w:r>
              <w:rPr>
                <w:rFonts w:hint="eastAsia"/>
                <w:b/>
                <w:bCs/>
              </w:rPr>
              <w:t>1、根据中华人民共和国财政部令第 110 号《政府采购框架协议采购方式管理办法》，</w:t>
            </w:r>
            <w:r>
              <w:rPr>
                <w:rFonts w:hint="eastAsia"/>
                <w:b/>
                <w:bCs/>
                <w:lang w:val="en-US" w:eastAsia="zh-CN"/>
              </w:rPr>
              <w:t>本项目采用封闭式框架协议采购，</w:t>
            </w:r>
            <w:r>
              <w:rPr>
                <w:rFonts w:hint="eastAsia"/>
                <w:b/>
                <w:bCs/>
              </w:rPr>
              <w:t>确定第一阶段入围供应商的评审方法为</w:t>
            </w:r>
            <w:r>
              <w:rPr>
                <w:rFonts w:hint="eastAsia"/>
                <w:b/>
                <w:bCs/>
                <w:lang w:val="en-US" w:eastAsia="zh-CN"/>
              </w:rPr>
              <w:t>价格</w:t>
            </w:r>
            <w:r>
              <w:rPr>
                <w:rFonts w:hint="eastAsia"/>
                <w:b/>
                <w:bCs/>
              </w:rPr>
              <w:t>优先法，确定第二阶段成交供应商的方式为</w:t>
            </w:r>
            <w:r>
              <w:rPr>
                <w:rFonts w:hint="eastAsia"/>
                <w:b/>
                <w:bCs/>
                <w:lang w:eastAsia="zh-CN"/>
              </w:rPr>
              <w:t>二次竞价</w:t>
            </w:r>
            <w:r>
              <w:rPr>
                <w:rFonts w:hint="eastAsia"/>
                <w:b/>
                <w:bCs/>
                <w:lang w:val="en-US" w:eastAsia="zh-CN"/>
              </w:rPr>
              <w:t>方式</w:t>
            </w:r>
            <w:r>
              <w:rPr>
                <w:rFonts w:hint="eastAsia"/>
                <w:b/>
                <w:bCs/>
              </w:rPr>
              <w:t>。</w:t>
            </w:r>
          </w:p>
          <w:p w14:paraId="5F4AFF14">
            <w:pPr>
              <w:bidi w:val="0"/>
              <w:jc w:val="both"/>
              <w:rPr>
                <w:rFonts w:hint="eastAsia"/>
                <w:b/>
                <w:bCs/>
              </w:rPr>
            </w:pPr>
            <w:r>
              <w:rPr>
                <w:rFonts w:hint="eastAsia"/>
                <w:b/>
                <w:bCs/>
              </w:rPr>
              <w:t>价格优先法是指对满足采购需求且响应报价不超过最高限制单价的货物、服务，按照响应报价从低到高排序，根据征集文件规定的淘汰率或者入围供应商数量上限，确定入围供应商的评审方法。</w:t>
            </w:r>
          </w:p>
          <w:p w14:paraId="7074B583">
            <w:pPr>
              <w:bidi w:val="0"/>
              <w:jc w:val="both"/>
              <w:rPr>
                <w:rFonts w:hint="eastAsia"/>
                <w:b/>
                <w:bCs/>
              </w:rPr>
            </w:pPr>
            <w:r>
              <w:rPr>
                <w:rFonts w:hint="eastAsia"/>
                <w:b/>
                <w:bCs/>
              </w:rPr>
              <w:t>二次竞价方式是指以框架协议约定的入围</w:t>
            </w:r>
            <w:r>
              <w:rPr>
                <w:rFonts w:hint="eastAsia"/>
                <w:b/>
                <w:bCs/>
                <w:lang w:eastAsia="zh-CN"/>
              </w:rPr>
              <w:t>供应商</w:t>
            </w:r>
            <w:r>
              <w:rPr>
                <w:rFonts w:hint="eastAsia"/>
                <w:b/>
                <w:bCs/>
              </w:rPr>
              <w:t>为依据，以协议价格为最高限价，采购人明确第二阶段竞价需求，从入围供应商中选择所有符合竞价需求的供应商参与二次竞价，确定报价最低的为成交供应商的方式。</w:t>
            </w:r>
          </w:p>
          <w:p w14:paraId="7B23136E">
            <w:pPr>
              <w:bidi w:val="0"/>
              <w:jc w:val="both"/>
              <w:rPr>
                <w:rFonts w:hint="eastAsia"/>
                <w:b/>
                <w:bCs/>
              </w:rPr>
            </w:pPr>
            <w:r>
              <w:rPr>
                <w:rFonts w:hint="eastAsia"/>
                <w:b/>
                <w:bCs/>
              </w:rPr>
              <w:t>2、评标委员会按按照响应报价从低到高排序，根据征集文件规定的淘汰率或者入围供应商数量上限，确定入围供应商。</w:t>
            </w:r>
            <w:r>
              <w:rPr>
                <w:rFonts w:hint="eastAsia"/>
                <w:b/>
                <w:bCs/>
                <w:lang w:val="en-US" w:eastAsia="zh-CN"/>
              </w:rPr>
              <w:t>报价</w:t>
            </w:r>
            <w:r>
              <w:rPr>
                <w:rFonts w:hint="eastAsia"/>
                <w:b/>
                <w:bCs/>
              </w:rPr>
              <w:t>得分相同的，按《政府采购货物和服务招标投标管理办法》（财政部令第 87 号）第六十八条 由评标委员会随机抽取的方式确定。</w:t>
            </w:r>
          </w:p>
          <w:p w14:paraId="1B7BCEFF">
            <w:pPr>
              <w:bidi w:val="0"/>
              <w:jc w:val="both"/>
              <w:rPr>
                <w:rFonts w:hint="eastAsia"/>
                <w:b/>
                <w:bCs/>
                <w:lang w:val="en-US" w:eastAsia="zh-CN"/>
              </w:rPr>
            </w:pPr>
            <w:r>
              <w:rPr>
                <w:rFonts w:hint="eastAsia"/>
                <w:b/>
                <w:bCs/>
              </w:rPr>
              <w:t>3、本项目给定了入围供应商的数量，评标委员会按照征集文件中规定的各项因素进行评审后，以报价从低到高排序，根据征集文件规定的淘汰率或者入围供应商数量上限，确定入围供应商。</w:t>
            </w:r>
          </w:p>
        </w:tc>
      </w:tr>
      <w:tr w14:paraId="7E985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1826B892">
            <w:pPr>
              <w:bidi w:val="0"/>
              <w:jc w:val="center"/>
              <w:rPr>
                <w:rFonts w:hint="eastAsia"/>
                <w:lang w:eastAsia="zh-CN"/>
              </w:rPr>
            </w:pPr>
            <w:r>
              <w:rPr>
                <w:rFonts w:hint="eastAsia"/>
                <w:lang w:val="en-US" w:eastAsia="zh-CN"/>
              </w:rPr>
              <w:t>2</w:t>
            </w:r>
          </w:p>
        </w:tc>
        <w:tc>
          <w:tcPr>
            <w:tcW w:w="1843" w:type="dxa"/>
            <w:tcBorders>
              <w:tl2br w:val="nil"/>
              <w:tr2bl w:val="nil"/>
            </w:tcBorders>
            <w:vAlign w:val="center"/>
          </w:tcPr>
          <w:p w14:paraId="573BCB0D">
            <w:pPr>
              <w:bidi w:val="0"/>
              <w:jc w:val="center"/>
              <w:rPr>
                <w:rFonts w:hint="eastAsia"/>
              </w:rPr>
            </w:pPr>
            <w:r>
              <w:rPr>
                <w:rFonts w:hint="eastAsia"/>
              </w:rPr>
              <w:t>分包</w:t>
            </w:r>
          </w:p>
        </w:tc>
        <w:tc>
          <w:tcPr>
            <w:tcW w:w="6708" w:type="dxa"/>
            <w:tcBorders>
              <w:tl2br w:val="nil"/>
              <w:tr2bl w:val="nil"/>
            </w:tcBorders>
            <w:vAlign w:val="center"/>
          </w:tcPr>
          <w:p w14:paraId="7E4BA95A">
            <w:pPr>
              <w:bidi w:val="0"/>
              <w:jc w:val="both"/>
              <w:rPr>
                <w:rFonts w:hint="eastAsia"/>
              </w:rPr>
            </w:pPr>
            <w:r>
              <w:rPr>
                <w:rFonts w:hint="eastAsia"/>
              </w:rPr>
              <w:t>不同意分包。</w:t>
            </w:r>
          </w:p>
        </w:tc>
      </w:tr>
      <w:tr w14:paraId="36060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2FE4BEA1">
            <w:pPr>
              <w:bidi w:val="0"/>
              <w:jc w:val="center"/>
              <w:rPr>
                <w:rFonts w:hint="eastAsia"/>
              </w:rPr>
            </w:pPr>
          </w:p>
          <w:p w14:paraId="7E644923">
            <w:pPr>
              <w:bidi w:val="0"/>
              <w:jc w:val="center"/>
              <w:rPr>
                <w:rFonts w:hint="eastAsia"/>
              </w:rPr>
            </w:pPr>
          </w:p>
          <w:p w14:paraId="271C6922">
            <w:pPr>
              <w:bidi w:val="0"/>
              <w:jc w:val="center"/>
              <w:rPr>
                <w:rFonts w:hint="eastAsia"/>
                <w:lang w:eastAsia="zh-CN"/>
              </w:rPr>
            </w:pPr>
            <w:r>
              <w:rPr>
                <w:rFonts w:hint="eastAsia"/>
                <w:lang w:val="en-US" w:eastAsia="zh-CN"/>
              </w:rPr>
              <w:t>3</w:t>
            </w:r>
          </w:p>
        </w:tc>
        <w:tc>
          <w:tcPr>
            <w:tcW w:w="1843" w:type="dxa"/>
            <w:vMerge w:val="restart"/>
            <w:tcBorders>
              <w:tl2br w:val="nil"/>
              <w:tr2bl w:val="nil"/>
            </w:tcBorders>
            <w:vAlign w:val="center"/>
          </w:tcPr>
          <w:p w14:paraId="11AD63B3">
            <w:pPr>
              <w:bidi w:val="0"/>
              <w:jc w:val="center"/>
              <w:rPr>
                <w:rFonts w:hint="eastAsia"/>
              </w:rPr>
            </w:pPr>
            <w:r>
              <w:rPr>
                <w:rFonts w:hint="eastAsia"/>
              </w:rPr>
              <w:t>投标人应当提供的投标文件</w:t>
            </w:r>
          </w:p>
        </w:tc>
        <w:tc>
          <w:tcPr>
            <w:tcW w:w="6708" w:type="dxa"/>
            <w:tcBorders>
              <w:tl2br w:val="nil"/>
              <w:tr2bl w:val="nil"/>
            </w:tcBorders>
            <w:vAlign w:val="center"/>
          </w:tcPr>
          <w:p w14:paraId="357E014D">
            <w:pPr>
              <w:bidi w:val="0"/>
              <w:jc w:val="both"/>
              <w:rPr>
                <w:rFonts w:hint="eastAsia"/>
              </w:rPr>
            </w:pPr>
            <w:r>
              <w:rPr>
                <w:rFonts w:hint="eastAsia"/>
              </w:rPr>
              <w:t>（1）资格证明文件：见</w:t>
            </w:r>
            <w:r>
              <w:rPr>
                <w:rFonts w:hint="eastAsia"/>
                <w:lang w:eastAsia="zh-CN"/>
              </w:rPr>
              <w:t>征集文件</w:t>
            </w:r>
            <w:r>
              <w:rPr>
                <w:rFonts w:hint="eastAsia"/>
              </w:rPr>
              <w:t>第二部分1</w:t>
            </w:r>
            <w:r>
              <w:rPr>
                <w:rFonts w:hint="eastAsia"/>
                <w:lang w:val="en-US" w:eastAsia="zh-CN"/>
              </w:rPr>
              <w:t>0</w:t>
            </w:r>
            <w:r>
              <w:rPr>
                <w:rFonts w:hint="eastAsia"/>
              </w:rPr>
              <w:t>.1。</w:t>
            </w:r>
          </w:p>
          <w:p w14:paraId="618019EA">
            <w:pPr>
              <w:bidi w:val="0"/>
              <w:jc w:val="both"/>
              <w:rPr>
                <w:rFonts w:hint="eastAsia"/>
              </w:rPr>
            </w:pPr>
            <w:r>
              <w:rPr>
                <w:rFonts w:hint="eastAsia"/>
                <w:lang w:val="zh-CN"/>
              </w:rPr>
              <w:t>投标人未提供有效的资格证明文件的，视为投标人不具备征集文件中规定的资格要求，投标无效。</w:t>
            </w:r>
          </w:p>
        </w:tc>
      </w:tr>
      <w:tr w14:paraId="0EFAF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90" w:hRule="atLeast"/>
          <w:tblHeader/>
        </w:trPr>
        <w:tc>
          <w:tcPr>
            <w:tcW w:w="629" w:type="dxa"/>
            <w:vMerge w:val="continue"/>
            <w:tcBorders>
              <w:tl2br w:val="nil"/>
              <w:tr2bl w:val="nil"/>
            </w:tcBorders>
            <w:vAlign w:val="center"/>
          </w:tcPr>
          <w:p w14:paraId="53B4985D">
            <w:pPr>
              <w:bidi w:val="0"/>
              <w:jc w:val="center"/>
              <w:rPr>
                <w:rFonts w:hint="eastAsia"/>
                <w:lang w:val="en-US" w:eastAsia="zh-CN"/>
              </w:rPr>
            </w:pPr>
          </w:p>
        </w:tc>
        <w:tc>
          <w:tcPr>
            <w:tcW w:w="1843" w:type="dxa"/>
            <w:vMerge w:val="continue"/>
            <w:tcBorders>
              <w:tl2br w:val="nil"/>
              <w:tr2bl w:val="nil"/>
            </w:tcBorders>
            <w:vAlign w:val="center"/>
          </w:tcPr>
          <w:p w14:paraId="76F3D048">
            <w:pPr>
              <w:bidi w:val="0"/>
              <w:jc w:val="center"/>
              <w:rPr>
                <w:rFonts w:hint="eastAsia"/>
              </w:rPr>
            </w:pPr>
          </w:p>
        </w:tc>
        <w:tc>
          <w:tcPr>
            <w:tcW w:w="6708" w:type="dxa"/>
            <w:tcBorders>
              <w:tl2br w:val="nil"/>
              <w:tr2bl w:val="nil"/>
            </w:tcBorders>
            <w:vAlign w:val="center"/>
          </w:tcPr>
          <w:p w14:paraId="0AE5D901">
            <w:pPr>
              <w:bidi w:val="0"/>
              <w:jc w:val="both"/>
              <w:rPr>
                <w:rFonts w:hint="eastAsia"/>
                <w:lang w:val="zh-CN"/>
              </w:rPr>
            </w:pPr>
            <w:r>
              <w:rPr>
                <w:rFonts w:hint="eastAsia"/>
              </w:rPr>
              <w:t>（2）商务技术文件：见</w:t>
            </w:r>
            <w:r>
              <w:rPr>
                <w:rFonts w:hint="eastAsia"/>
                <w:lang w:eastAsia="zh-CN"/>
              </w:rPr>
              <w:t>征集文件</w:t>
            </w:r>
            <w:r>
              <w:rPr>
                <w:rFonts w:hint="eastAsia"/>
              </w:rPr>
              <w:t>第二部分1</w:t>
            </w:r>
            <w:r>
              <w:rPr>
                <w:rFonts w:hint="eastAsia"/>
                <w:lang w:val="en-US" w:eastAsia="zh-CN"/>
              </w:rPr>
              <w:t>0</w:t>
            </w:r>
            <w:r>
              <w:rPr>
                <w:rFonts w:hint="eastAsia"/>
              </w:rPr>
              <w:t>.</w:t>
            </w:r>
            <w:r>
              <w:rPr>
                <w:rFonts w:hint="eastAsia"/>
                <w:lang w:val="en-US" w:eastAsia="zh-CN"/>
              </w:rPr>
              <w:t>2</w:t>
            </w:r>
            <w:r>
              <w:rPr>
                <w:rFonts w:hint="eastAsia"/>
              </w:rPr>
              <w:t>。</w:t>
            </w:r>
          </w:p>
        </w:tc>
      </w:tr>
      <w:tr w14:paraId="17B8E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6" w:hRule="atLeast"/>
          <w:tblHeader/>
        </w:trPr>
        <w:tc>
          <w:tcPr>
            <w:tcW w:w="629" w:type="dxa"/>
            <w:vMerge w:val="continue"/>
            <w:tcBorders>
              <w:tl2br w:val="nil"/>
              <w:tr2bl w:val="nil"/>
            </w:tcBorders>
            <w:vAlign w:val="center"/>
          </w:tcPr>
          <w:p w14:paraId="507D9DFE">
            <w:pPr>
              <w:bidi w:val="0"/>
              <w:jc w:val="center"/>
              <w:rPr>
                <w:rFonts w:hint="eastAsia"/>
              </w:rPr>
            </w:pPr>
          </w:p>
        </w:tc>
        <w:tc>
          <w:tcPr>
            <w:tcW w:w="1843" w:type="dxa"/>
            <w:vMerge w:val="continue"/>
            <w:tcBorders>
              <w:tl2br w:val="nil"/>
              <w:tr2bl w:val="nil"/>
            </w:tcBorders>
            <w:vAlign w:val="center"/>
          </w:tcPr>
          <w:p w14:paraId="019422C6">
            <w:pPr>
              <w:bidi w:val="0"/>
              <w:jc w:val="center"/>
              <w:rPr>
                <w:rFonts w:hint="eastAsia"/>
              </w:rPr>
            </w:pPr>
          </w:p>
        </w:tc>
        <w:tc>
          <w:tcPr>
            <w:tcW w:w="6708" w:type="dxa"/>
            <w:tcBorders>
              <w:tl2br w:val="nil"/>
              <w:tr2bl w:val="nil"/>
            </w:tcBorders>
            <w:vAlign w:val="center"/>
          </w:tcPr>
          <w:p w14:paraId="7CC9BBE9">
            <w:pPr>
              <w:bidi w:val="0"/>
              <w:jc w:val="both"/>
              <w:rPr>
                <w:rFonts w:hint="eastAsia"/>
              </w:rPr>
            </w:pPr>
            <w:r>
              <w:rPr>
                <w:rFonts w:hint="eastAsia"/>
                <w:lang w:eastAsia="zh-CN"/>
              </w:rPr>
              <w:t>（</w:t>
            </w:r>
            <w:r>
              <w:rPr>
                <w:rFonts w:hint="eastAsia"/>
                <w:lang w:val="en-US" w:eastAsia="zh-CN"/>
              </w:rPr>
              <w:t>3</w:t>
            </w:r>
            <w:r>
              <w:rPr>
                <w:rFonts w:hint="eastAsia"/>
                <w:lang w:eastAsia="zh-CN"/>
              </w:rPr>
              <w:t>）报价</w:t>
            </w:r>
            <w:r>
              <w:rPr>
                <w:rFonts w:hint="eastAsia"/>
              </w:rPr>
              <w:t>文件：见</w:t>
            </w:r>
            <w:r>
              <w:rPr>
                <w:rFonts w:hint="eastAsia"/>
                <w:lang w:eastAsia="zh-CN"/>
              </w:rPr>
              <w:t>征集文件</w:t>
            </w:r>
            <w:r>
              <w:rPr>
                <w:rFonts w:hint="eastAsia"/>
              </w:rPr>
              <w:t>第二部分1</w:t>
            </w:r>
            <w:r>
              <w:rPr>
                <w:rFonts w:hint="eastAsia"/>
                <w:lang w:val="en-US" w:eastAsia="zh-CN"/>
              </w:rPr>
              <w:t>0</w:t>
            </w:r>
            <w:r>
              <w:rPr>
                <w:rFonts w:hint="eastAsia"/>
              </w:rPr>
              <w:t>.</w:t>
            </w:r>
            <w:r>
              <w:rPr>
                <w:rFonts w:hint="eastAsia"/>
                <w:lang w:val="en-US" w:eastAsia="zh-CN"/>
              </w:rPr>
              <w:t>3</w:t>
            </w:r>
            <w:r>
              <w:rPr>
                <w:rFonts w:hint="eastAsia"/>
              </w:rPr>
              <w:t>。</w:t>
            </w:r>
          </w:p>
        </w:tc>
      </w:tr>
      <w:tr w14:paraId="45CD0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5" w:hRule="atLeast"/>
          <w:tblHeader/>
        </w:trPr>
        <w:tc>
          <w:tcPr>
            <w:tcW w:w="629" w:type="dxa"/>
            <w:tcBorders>
              <w:tl2br w:val="nil"/>
              <w:tr2bl w:val="nil"/>
            </w:tcBorders>
            <w:vAlign w:val="center"/>
          </w:tcPr>
          <w:p w14:paraId="078904E6">
            <w:pPr>
              <w:bidi w:val="0"/>
              <w:jc w:val="center"/>
              <w:rPr>
                <w:rFonts w:hint="eastAsia"/>
              </w:rPr>
            </w:pPr>
          </w:p>
          <w:p w14:paraId="7FC5A106">
            <w:pPr>
              <w:bidi w:val="0"/>
              <w:jc w:val="center"/>
              <w:rPr>
                <w:rFonts w:hint="eastAsia"/>
                <w:lang w:eastAsia="zh-CN"/>
              </w:rPr>
            </w:pPr>
            <w:r>
              <w:rPr>
                <w:rFonts w:hint="eastAsia"/>
                <w:lang w:val="en-US" w:eastAsia="zh-CN"/>
              </w:rPr>
              <w:t>4</w:t>
            </w:r>
          </w:p>
        </w:tc>
        <w:tc>
          <w:tcPr>
            <w:tcW w:w="1843" w:type="dxa"/>
            <w:tcBorders>
              <w:tl2br w:val="nil"/>
              <w:tr2bl w:val="nil"/>
            </w:tcBorders>
            <w:vAlign w:val="center"/>
          </w:tcPr>
          <w:p w14:paraId="1BC0677B">
            <w:pPr>
              <w:bidi w:val="0"/>
              <w:jc w:val="center"/>
              <w:rPr>
                <w:rFonts w:hint="eastAsia"/>
                <w:lang w:eastAsia="zh-CN"/>
              </w:rPr>
            </w:pPr>
            <w:r>
              <w:rPr>
                <w:rFonts w:hint="eastAsia"/>
                <w:lang w:eastAsia="zh-CN"/>
              </w:rPr>
              <w:t>响应文件的组成</w:t>
            </w:r>
          </w:p>
        </w:tc>
        <w:tc>
          <w:tcPr>
            <w:tcW w:w="6708" w:type="dxa"/>
            <w:tcBorders>
              <w:tl2br w:val="nil"/>
              <w:tr2bl w:val="nil"/>
            </w:tcBorders>
            <w:vAlign w:val="center"/>
          </w:tcPr>
          <w:p w14:paraId="19B282D1">
            <w:pPr>
              <w:bidi w:val="0"/>
              <w:jc w:val="both"/>
              <w:rPr>
                <w:rFonts w:hint="eastAsia"/>
              </w:rPr>
            </w:pPr>
            <w:r>
              <w:rPr>
                <w:rFonts w:hint="eastAsia"/>
              </w:rPr>
              <w:t>资格文件</w:t>
            </w:r>
            <w:r>
              <w:rPr>
                <w:rFonts w:hint="eastAsia"/>
                <w:lang w:val="zh-CN"/>
              </w:rPr>
              <w:t>、商务技术文件、报价文件正本各1份，副本各</w:t>
            </w:r>
            <w:r>
              <w:rPr>
                <w:rFonts w:hint="eastAsia"/>
                <w:lang w:val="en-US" w:eastAsia="zh-CN"/>
              </w:rPr>
              <w:t>4</w:t>
            </w:r>
            <w:r>
              <w:rPr>
                <w:rFonts w:hint="eastAsia"/>
                <w:lang w:val="zh-CN"/>
              </w:rPr>
              <w:t>份分别编制并单独装订成册。</w:t>
            </w:r>
          </w:p>
        </w:tc>
      </w:tr>
      <w:tr w14:paraId="2BB62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112B62F5">
            <w:pPr>
              <w:bidi w:val="0"/>
              <w:jc w:val="center"/>
              <w:rPr>
                <w:rFonts w:hint="eastAsia"/>
                <w:lang w:eastAsia="zh-CN"/>
              </w:rPr>
            </w:pPr>
            <w:r>
              <w:rPr>
                <w:rFonts w:hint="eastAsia"/>
                <w:lang w:val="en-US" w:eastAsia="zh-CN"/>
              </w:rPr>
              <w:t>5</w:t>
            </w:r>
          </w:p>
        </w:tc>
        <w:tc>
          <w:tcPr>
            <w:tcW w:w="1843" w:type="dxa"/>
            <w:tcBorders>
              <w:tl2br w:val="nil"/>
              <w:tr2bl w:val="nil"/>
            </w:tcBorders>
            <w:vAlign w:val="center"/>
          </w:tcPr>
          <w:p w14:paraId="487512DC">
            <w:pPr>
              <w:bidi w:val="0"/>
              <w:jc w:val="center"/>
              <w:rPr>
                <w:rFonts w:hint="eastAsia"/>
              </w:rPr>
            </w:pPr>
            <w:r>
              <w:rPr>
                <w:rFonts w:hint="eastAsia"/>
              </w:rPr>
              <w:t>开标前答疑会或现场考察</w:t>
            </w:r>
          </w:p>
        </w:tc>
        <w:tc>
          <w:tcPr>
            <w:tcW w:w="6708" w:type="dxa"/>
            <w:tcBorders>
              <w:tl2br w:val="nil"/>
              <w:tr2bl w:val="nil"/>
            </w:tcBorders>
            <w:vAlign w:val="center"/>
          </w:tcPr>
          <w:p w14:paraId="2325F3A7">
            <w:pPr>
              <w:bidi w:val="0"/>
              <w:jc w:val="both"/>
              <w:rPr>
                <w:rFonts w:hint="eastAsia"/>
              </w:rPr>
            </w:pPr>
            <w:r>
              <w:rPr>
                <w:rFonts w:hint="eastAsia"/>
              </w:rPr>
              <w:t>不组织。</w:t>
            </w:r>
          </w:p>
        </w:tc>
      </w:tr>
      <w:tr w14:paraId="68C5F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5E09758">
            <w:pPr>
              <w:bidi w:val="0"/>
              <w:jc w:val="center"/>
              <w:rPr>
                <w:rFonts w:hint="eastAsia"/>
                <w:lang w:eastAsia="zh-CN"/>
              </w:rPr>
            </w:pPr>
            <w:r>
              <w:rPr>
                <w:rFonts w:hint="eastAsia"/>
                <w:lang w:val="en-US" w:eastAsia="zh-CN"/>
              </w:rPr>
              <w:t>6</w:t>
            </w:r>
          </w:p>
        </w:tc>
        <w:tc>
          <w:tcPr>
            <w:tcW w:w="1843" w:type="dxa"/>
            <w:tcBorders>
              <w:tl2br w:val="nil"/>
              <w:tr2bl w:val="nil"/>
            </w:tcBorders>
            <w:vAlign w:val="center"/>
          </w:tcPr>
          <w:p w14:paraId="681DA000">
            <w:pPr>
              <w:bidi w:val="0"/>
              <w:jc w:val="center"/>
              <w:rPr>
                <w:rFonts w:hint="eastAsia"/>
              </w:rPr>
            </w:pPr>
            <w:r>
              <w:rPr>
                <w:rFonts w:hint="eastAsia"/>
              </w:rPr>
              <w:t>样品提供</w:t>
            </w:r>
          </w:p>
        </w:tc>
        <w:tc>
          <w:tcPr>
            <w:tcW w:w="6708" w:type="dxa"/>
            <w:tcBorders>
              <w:tl2br w:val="nil"/>
              <w:tr2bl w:val="nil"/>
            </w:tcBorders>
            <w:vAlign w:val="center"/>
          </w:tcPr>
          <w:p w14:paraId="7DB82AC5">
            <w:pPr>
              <w:bidi w:val="0"/>
              <w:jc w:val="both"/>
              <w:rPr>
                <w:rFonts w:hint="eastAsia"/>
                <w:lang w:val="zh-CN"/>
              </w:rPr>
            </w:pPr>
            <w:r>
              <w:rPr>
                <w:rFonts w:hint="eastAsia"/>
              </w:rPr>
              <w:t>不要求提供。</w:t>
            </w:r>
          </w:p>
        </w:tc>
      </w:tr>
      <w:tr w14:paraId="58632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085FF895">
            <w:pPr>
              <w:bidi w:val="0"/>
              <w:jc w:val="center"/>
              <w:rPr>
                <w:rFonts w:hint="eastAsia"/>
                <w:lang w:eastAsia="zh-CN"/>
              </w:rPr>
            </w:pPr>
            <w:r>
              <w:rPr>
                <w:rFonts w:hint="eastAsia"/>
                <w:lang w:val="en-US" w:eastAsia="zh-CN"/>
              </w:rPr>
              <w:t>7</w:t>
            </w:r>
          </w:p>
        </w:tc>
        <w:tc>
          <w:tcPr>
            <w:tcW w:w="1843" w:type="dxa"/>
            <w:tcBorders>
              <w:tl2br w:val="nil"/>
              <w:tr2bl w:val="nil"/>
            </w:tcBorders>
            <w:vAlign w:val="center"/>
          </w:tcPr>
          <w:p w14:paraId="7CAB69CD">
            <w:pPr>
              <w:bidi w:val="0"/>
              <w:jc w:val="center"/>
              <w:rPr>
                <w:rFonts w:hint="eastAsia"/>
              </w:rPr>
            </w:pPr>
            <w:r>
              <w:rPr>
                <w:rFonts w:hint="eastAsia"/>
              </w:rPr>
              <w:t>方案讲解演示</w:t>
            </w:r>
          </w:p>
        </w:tc>
        <w:tc>
          <w:tcPr>
            <w:tcW w:w="6708" w:type="dxa"/>
            <w:tcBorders>
              <w:tl2br w:val="nil"/>
              <w:tr2bl w:val="nil"/>
            </w:tcBorders>
            <w:vAlign w:val="center"/>
          </w:tcPr>
          <w:p w14:paraId="61902A7D">
            <w:pPr>
              <w:bidi w:val="0"/>
              <w:jc w:val="both"/>
              <w:rPr>
                <w:rFonts w:hint="eastAsia"/>
                <w:lang w:val="zh-CN"/>
              </w:rPr>
            </w:pPr>
            <w:r>
              <w:rPr>
                <w:rFonts w:hint="eastAsia"/>
              </w:rPr>
              <w:t>不组织。</w:t>
            </w:r>
          </w:p>
        </w:tc>
      </w:tr>
      <w:tr w14:paraId="2FA74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304B5F1F">
            <w:pPr>
              <w:bidi w:val="0"/>
              <w:jc w:val="center"/>
              <w:rPr>
                <w:rFonts w:hint="eastAsia"/>
                <w:lang w:eastAsia="zh-CN"/>
              </w:rPr>
            </w:pPr>
            <w:r>
              <w:rPr>
                <w:rFonts w:hint="eastAsia"/>
                <w:lang w:val="en-US" w:eastAsia="zh-CN"/>
              </w:rPr>
              <w:t>8</w:t>
            </w:r>
          </w:p>
        </w:tc>
        <w:tc>
          <w:tcPr>
            <w:tcW w:w="1843" w:type="dxa"/>
            <w:tcBorders>
              <w:tl2br w:val="nil"/>
              <w:tr2bl w:val="nil"/>
            </w:tcBorders>
            <w:vAlign w:val="center"/>
          </w:tcPr>
          <w:p w14:paraId="2FC30BF1">
            <w:pPr>
              <w:bidi w:val="0"/>
              <w:jc w:val="center"/>
              <w:rPr>
                <w:rFonts w:hint="eastAsia"/>
              </w:rPr>
            </w:pPr>
            <w:r>
              <w:rPr>
                <w:rFonts w:hint="eastAsia"/>
              </w:rPr>
              <w:t>是否允许采购进口产品</w:t>
            </w:r>
          </w:p>
        </w:tc>
        <w:tc>
          <w:tcPr>
            <w:tcW w:w="6708" w:type="dxa"/>
            <w:tcBorders>
              <w:tl2br w:val="nil"/>
              <w:tr2bl w:val="nil"/>
            </w:tcBorders>
            <w:vAlign w:val="center"/>
          </w:tcPr>
          <w:p w14:paraId="47468369">
            <w:pPr>
              <w:bidi w:val="0"/>
              <w:jc w:val="both"/>
              <w:rPr>
                <w:rFonts w:hint="eastAsia"/>
              </w:rPr>
            </w:pPr>
            <w:r>
              <w:rPr>
                <w:rFonts w:hint="eastAsia"/>
              </w:rPr>
              <w:t>本项目不允许采购进口产品。</w:t>
            </w:r>
          </w:p>
        </w:tc>
      </w:tr>
      <w:tr w14:paraId="253E0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24386336">
            <w:pPr>
              <w:bidi w:val="0"/>
              <w:jc w:val="center"/>
              <w:rPr>
                <w:rFonts w:hint="eastAsia"/>
                <w:lang w:val="en-US" w:eastAsia="zh-CN"/>
              </w:rPr>
            </w:pPr>
            <w:r>
              <w:rPr>
                <w:rFonts w:hint="eastAsia"/>
                <w:lang w:val="en-US" w:eastAsia="zh-CN"/>
              </w:rPr>
              <w:t>9</w:t>
            </w:r>
          </w:p>
        </w:tc>
        <w:tc>
          <w:tcPr>
            <w:tcW w:w="1843" w:type="dxa"/>
            <w:tcBorders>
              <w:tl2br w:val="nil"/>
              <w:tr2bl w:val="nil"/>
            </w:tcBorders>
            <w:vAlign w:val="center"/>
          </w:tcPr>
          <w:p w14:paraId="115A26EB">
            <w:pPr>
              <w:bidi w:val="0"/>
              <w:jc w:val="center"/>
              <w:rPr>
                <w:rFonts w:hint="eastAsia"/>
              </w:rPr>
            </w:pPr>
            <w:r>
              <w:rPr>
                <w:rFonts w:hint="eastAsia"/>
              </w:rPr>
              <w:t>项目属性与核心产品</w:t>
            </w:r>
          </w:p>
        </w:tc>
        <w:tc>
          <w:tcPr>
            <w:tcW w:w="6708" w:type="dxa"/>
            <w:tcBorders>
              <w:tl2br w:val="nil"/>
              <w:tr2bl w:val="nil"/>
            </w:tcBorders>
            <w:vAlign w:val="center"/>
          </w:tcPr>
          <w:p w14:paraId="429FEDDE">
            <w:pPr>
              <w:bidi w:val="0"/>
              <w:jc w:val="both"/>
              <w:rPr>
                <w:rFonts w:hint="eastAsia"/>
                <w:lang w:eastAsia="zh-CN"/>
              </w:rPr>
            </w:pPr>
            <w:r>
              <w:rPr>
                <w:rFonts w:hint="eastAsia"/>
                <w:lang w:val="en-US" w:eastAsia="zh-CN"/>
              </w:rPr>
              <w:t>货物类</w:t>
            </w:r>
          </w:p>
        </w:tc>
      </w:tr>
      <w:tr w14:paraId="7CAF0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30" w:hRule="atLeast"/>
          <w:tblHeader/>
        </w:trPr>
        <w:tc>
          <w:tcPr>
            <w:tcW w:w="629" w:type="dxa"/>
            <w:tcBorders>
              <w:tl2br w:val="nil"/>
              <w:tr2bl w:val="nil"/>
            </w:tcBorders>
            <w:vAlign w:val="center"/>
          </w:tcPr>
          <w:p w14:paraId="00A39F12">
            <w:pPr>
              <w:bidi w:val="0"/>
              <w:jc w:val="center"/>
              <w:rPr>
                <w:rFonts w:hint="eastAsia"/>
                <w:lang w:eastAsia="zh-CN"/>
              </w:rPr>
            </w:pPr>
            <w:r>
              <w:rPr>
                <w:rFonts w:hint="eastAsia"/>
              </w:rPr>
              <w:t>1</w:t>
            </w:r>
            <w:r>
              <w:rPr>
                <w:rFonts w:hint="eastAsia"/>
                <w:lang w:val="en-US" w:eastAsia="zh-CN"/>
              </w:rPr>
              <w:t>0</w:t>
            </w:r>
          </w:p>
        </w:tc>
        <w:tc>
          <w:tcPr>
            <w:tcW w:w="1843" w:type="dxa"/>
            <w:tcBorders>
              <w:tl2br w:val="nil"/>
              <w:tr2bl w:val="nil"/>
            </w:tcBorders>
            <w:vAlign w:val="center"/>
          </w:tcPr>
          <w:p w14:paraId="672099E0">
            <w:pPr>
              <w:bidi w:val="0"/>
              <w:jc w:val="center"/>
              <w:rPr>
                <w:rFonts w:hint="eastAsia"/>
              </w:rPr>
            </w:pPr>
            <w:r>
              <w:rPr>
                <w:rFonts w:hint="eastAsia"/>
              </w:rPr>
              <w:t>代理服务费</w:t>
            </w:r>
          </w:p>
        </w:tc>
        <w:tc>
          <w:tcPr>
            <w:tcW w:w="6708" w:type="dxa"/>
            <w:tcBorders>
              <w:tl2br w:val="nil"/>
              <w:tr2bl w:val="nil"/>
            </w:tcBorders>
            <w:vAlign w:val="center"/>
          </w:tcPr>
          <w:p w14:paraId="09BB3476">
            <w:pPr>
              <w:bidi w:val="0"/>
              <w:jc w:val="both"/>
              <w:rPr>
                <w:rFonts w:hint="eastAsia"/>
              </w:rPr>
            </w:pPr>
            <w:r>
              <w:rPr>
                <w:rFonts w:hint="eastAsia"/>
              </w:rPr>
              <w:t>开标过程中产生的其他费用按实际支出收取。</w:t>
            </w:r>
          </w:p>
          <w:p w14:paraId="55B7B07F">
            <w:pPr>
              <w:bidi w:val="0"/>
              <w:jc w:val="both"/>
              <w:rPr>
                <w:rFonts w:hint="eastAsia"/>
              </w:rPr>
            </w:pPr>
            <w:r>
              <w:rPr>
                <w:rFonts w:hint="eastAsia"/>
              </w:rPr>
              <w:t>采购代理服务费</w:t>
            </w:r>
            <w:r>
              <w:rPr>
                <w:rFonts w:hint="eastAsia"/>
                <w:lang w:eastAsia="zh-CN"/>
              </w:rPr>
              <w:t>缴</w:t>
            </w:r>
            <w:r>
              <w:rPr>
                <w:rFonts w:hint="eastAsia"/>
              </w:rPr>
              <w:t>纳形式：汇票/支票/电汇/现金。</w:t>
            </w:r>
          </w:p>
          <w:p w14:paraId="0D954961">
            <w:pPr>
              <w:bidi w:val="0"/>
              <w:jc w:val="both"/>
              <w:rPr>
                <w:rFonts w:hint="default"/>
                <w:lang w:val="en-US" w:eastAsia="zh-CN"/>
              </w:rPr>
            </w:pPr>
            <w:r>
              <w:rPr>
                <w:rFonts w:hint="eastAsia"/>
              </w:rPr>
              <w:t>采购代理服务费由中标人在收到中标通知书时以人民币方式向采购代理机构支付。</w:t>
            </w:r>
            <w:r>
              <w:rPr>
                <w:rFonts w:hint="eastAsia"/>
                <w:lang w:val="en-US" w:eastAsia="zh-CN"/>
              </w:rPr>
              <w:t>本项目代理费为</w:t>
            </w:r>
            <w:r>
              <w:rPr>
                <w:rFonts w:hint="eastAsia"/>
                <w:b/>
                <w:bCs/>
                <w:color w:val="auto"/>
                <w:shd w:val="clear"/>
                <w:lang w:val="en-US" w:eastAsia="zh-CN"/>
              </w:rPr>
              <w:t>5000</w:t>
            </w:r>
            <w:r>
              <w:rPr>
                <w:rFonts w:hint="eastAsia"/>
                <w:lang w:val="en-US" w:eastAsia="zh-CN"/>
              </w:rPr>
              <w:t>元。</w:t>
            </w:r>
          </w:p>
        </w:tc>
      </w:tr>
      <w:tr w14:paraId="267F6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26AF1D40">
            <w:pPr>
              <w:bidi w:val="0"/>
              <w:jc w:val="center"/>
              <w:rPr>
                <w:rFonts w:hint="eastAsia"/>
                <w:lang w:val="en-US" w:eastAsia="zh-CN"/>
              </w:rPr>
            </w:pPr>
            <w:r>
              <w:rPr>
                <w:rFonts w:hint="eastAsia"/>
              </w:rPr>
              <w:t>1</w:t>
            </w:r>
            <w:r>
              <w:rPr>
                <w:rFonts w:hint="eastAsia"/>
                <w:lang w:val="en-US" w:eastAsia="zh-CN"/>
              </w:rPr>
              <w:t>1</w:t>
            </w:r>
          </w:p>
        </w:tc>
        <w:tc>
          <w:tcPr>
            <w:tcW w:w="1843" w:type="dxa"/>
            <w:tcBorders>
              <w:tl2br w:val="nil"/>
              <w:tr2bl w:val="nil"/>
            </w:tcBorders>
            <w:vAlign w:val="center"/>
          </w:tcPr>
          <w:p w14:paraId="49149E8B">
            <w:pPr>
              <w:bidi w:val="0"/>
              <w:jc w:val="center"/>
              <w:rPr>
                <w:rFonts w:hint="eastAsia"/>
              </w:rPr>
            </w:pPr>
            <w:r>
              <w:rPr>
                <w:rFonts w:hint="eastAsia"/>
              </w:rPr>
              <w:t>特别说明</w:t>
            </w:r>
          </w:p>
        </w:tc>
        <w:tc>
          <w:tcPr>
            <w:tcW w:w="6708" w:type="dxa"/>
            <w:tcBorders>
              <w:tl2br w:val="nil"/>
              <w:tr2bl w:val="nil"/>
            </w:tcBorders>
            <w:vAlign w:val="center"/>
          </w:tcPr>
          <w:p w14:paraId="15724767">
            <w:pPr>
              <w:bidi w:val="0"/>
              <w:jc w:val="both"/>
              <w:rPr>
                <w:rFonts w:hint="eastAsia"/>
              </w:rPr>
            </w:pPr>
            <w:r>
              <w:rPr>
                <w:rFonts w:hint="eastAsia"/>
              </w:rPr>
              <w:t>本</w:t>
            </w:r>
            <w:r>
              <w:rPr>
                <w:rFonts w:hint="eastAsia"/>
                <w:lang w:val="en-US" w:eastAsia="zh-CN"/>
              </w:rPr>
              <w:t>征集</w:t>
            </w:r>
            <w:r>
              <w:rPr>
                <w:rFonts w:hint="eastAsia"/>
              </w:rPr>
              <w:t>文件的解释权</w:t>
            </w:r>
            <w:r>
              <w:rPr>
                <w:rFonts w:hint="eastAsia"/>
                <w:lang w:val="en-US" w:eastAsia="zh-CN"/>
              </w:rPr>
              <w:t>归采购代理机构和</w:t>
            </w:r>
            <w:r>
              <w:rPr>
                <w:rFonts w:hint="eastAsia"/>
              </w:rPr>
              <w:t>采购人</w:t>
            </w:r>
            <w:r>
              <w:rPr>
                <w:rFonts w:hint="eastAsia"/>
                <w:lang w:val="en-US" w:eastAsia="zh-CN"/>
              </w:rPr>
              <w:t>所有</w:t>
            </w:r>
            <w:r>
              <w:rPr>
                <w:rFonts w:hint="eastAsia"/>
              </w:rPr>
              <w:t>。</w:t>
            </w:r>
          </w:p>
        </w:tc>
      </w:tr>
      <w:tr w14:paraId="448DA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386A8384">
            <w:pPr>
              <w:bidi w:val="0"/>
              <w:jc w:val="center"/>
              <w:rPr>
                <w:rFonts w:hint="default" w:eastAsia="仿宋"/>
                <w:lang w:val="en-US" w:eastAsia="zh-CN"/>
              </w:rPr>
            </w:pPr>
            <w:r>
              <w:rPr>
                <w:rFonts w:hint="eastAsia"/>
                <w:lang w:val="en-US" w:eastAsia="zh-CN"/>
              </w:rPr>
              <w:t>12</w:t>
            </w:r>
          </w:p>
        </w:tc>
        <w:tc>
          <w:tcPr>
            <w:tcW w:w="1843" w:type="dxa"/>
            <w:tcBorders>
              <w:tl2br w:val="nil"/>
              <w:tr2bl w:val="nil"/>
            </w:tcBorders>
            <w:vAlign w:val="center"/>
          </w:tcPr>
          <w:p w14:paraId="7D2BB3B9">
            <w:pPr>
              <w:bidi w:val="0"/>
              <w:jc w:val="center"/>
              <w:rPr>
                <w:rFonts w:hint="default" w:eastAsia="仿宋"/>
                <w:lang w:val="en-US" w:eastAsia="zh-CN"/>
              </w:rPr>
            </w:pPr>
            <w:r>
              <w:rPr>
                <w:rFonts w:hint="eastAsia"/>
                <w:lang w:val="en-US" w:eastAsia="zh-CN"/>
              </w:rPr>
              <w:t>报价说明</w:t>
            </w:r>
          </w:p>
        </w:tc>
        <w:tc>
          <w:tcPr>
            <w:tcW w:w="6708" w:type="dxa"/>
            <w:tcBorders>
              <w:tl2br w:val="nil"/>
              <w:tr2bl w:val="nil"/>
            </w:tcBorders>
            <w:vAlign w:val="center"/>
          </w:tcPr>
          <w:p w14:paraId="17776CFC">
            <w:pPr>
              <w:bidi w:val="0"/>
              <w:jc w:val="both"/>
              <w:rPr>
                <w:rFonts w:hint="eastAsia"/>
              </w:rPr>
            </w:pPr>
            <w:r>
              <w:rPr>
                <w:rFonts w:hint="eastAsia"/>
              </w:rPr>
              <w:t>入围后二次竞价的报价标准不得高于本次框架协议的报价（百分比），如：本次报价80%，在二次竞价时最高限价为100%时，供应商最高限价即为80%；如二次竞价时最高限价为90%时，供应商最高限价即为72%。</w:t>
            </w:r>
          </w:p>
        </w:tc>
      </w:tr>
    </w:tbl>
    <w:p w14:paraId="3C02CF03">
      <w:pPr>
        <w:pStyle w:val="3"/>
        <w:bidi w:val="0"/>
        <w:jc w:val="center"/>
        <w:rPr>
          <w:rFonts w:hint="default"/>
          <w:lang w:val="en-US" w:eastAsia="zh-CN"/>
        </w:rPr>
      </w:pPr>
      <w:bookmarkStart w:id="17" w:name="_Toc8391"/>
      <w:r>
        <w:rPr>
          <w:rFonts w:hint="eastAsia"/>
          <w:lang w:val="en-US" w:eastAsia="zh-CN"/>
        </w:rPr>
        <w:t>总则</w:t>
      </w:r>
      <w:bookmarkEnd w:id="17"/>
    </w:p>
    <w:p w14:paraId="21F1278F">
      <w:pPr>
        <w:bidi w:val="0"/>
        <w:rPr>
          <w:rFonts w:hint="default"/>
          <w:b/>
          <w:bCs/>
          <w:lang w:val="en-US" w:eastAsia="zh-CN"/>
        </w:rPr>
      </w:pPr>
      <w:r>
        <w:rPr>
          <w:rFonts w:hint="eastAsia"/>
          <w:b/>
          <w:bCs/>
          <w:lang w:val="en-US" w:eastAsia="zh-CN"/>
        </w:rPr>
        <w:t>1.适用范围</w:t>
      </w:r>
    </w:p>
    <w:p w14:paraId="1E67E8F4">
      <w:pPr>
        <w:rPr>
          <w:rFonts w:hint="default"/>
          <w:lang w:val="en-US" w:eastAsia="zh-CN"/>
        </w:rPr>
      </w:pPr>
      <w:r>
        <w:rPr>
          <w:rFonts w:hint="default"/>
          <w:lang w:val="en-US" w:eastAsia="zh-CN"/>
        </w:rPr>
        <w:t>本征集文件适用于</w:t>
      </w:r>
      <w:r>
        <w:rPr>
          <w:rFonts w:hint="eastAsia"/>
          <w:b/>
          <w:bCs/>
          <w:color w:val="FF0000"/>
          <w:lang w:val="en-US" w:eastAsia="zh-CN"/>
        </w:rPr>
        <w:t>桐庐县保安服务有限公司2025年度消防器材框架协议采购项目</w:t>
      </w:r>
      <w:r>
        <w:rPr>
          <w:rFonts w:hint="default"/>
          <w:lang w:val="en-US" w:eastAsia="zh-CN"/>
        </w:rPr>
        <w:t>的招标、投标、开标、资格审查及信用信息查询、评标、定标、合同、验收等行为（法律、法规另有规定的，从其规定）。</w:t>
      </w:r>
    </w:p>
    <w:p w14:paraId="6B96525E">
      <w:pPr>
        <w:bidi w:val="0"/>
        <w:rPr>
          <w:rFonts w:hint="default"/>
          <w:b/>
          <w:bCs/>
          <w:lang w:val="en-US" w:eastAsia="zh-CN"/>
        </w:rPr>
      </w:pPr>
      <w:r>
        <w:rPr>
          <w:rFonts w:hint="eastAsia"/>
          <w:b/>
          <w:bCs/>
          <w:lang w:val="en-US" w:eastAsia="zh-CN"/>
        </w:rPr>
        <w:t>2.定义</w:t>
      </w:r>
    </w:p>
    <w:p w14:paraId="6A955D59">
      <w:pPr>
        <w:rPr>
          <w:rFonts w:hint="default"/>
          <w:lang w:val="en-US" w:eastAsia="zh-CN"/>
        </w:rPr>
      </w:pPr>
      <w:r>
        <w:rPr>
          <w:rFonts w:hint="default"/>
          <w:lang w:val="en-US" w:eastAsia="zh-CN"/>
        </w:rPr>
        <w:t>2.1</w:t>
      </w:r>
      <w:r>
        <w:rPr>
          <w:rFonts w:hint="eastAsia"/>
          <w:lang w:val="en-US" w:eastAsia="zh-CN"/>
        </w:rPr>
        <w:t>.</w:t>
      </w:r>
      <w:r>
        <w:rPr>
          <w:rFonts w:hint="default"/>
          <w:lang w:val="en-US" w:eastAsia="zh-CN"/>
        </w:rPr>
        <w:t xml:space="preserve">“征集人”、“采购人”和“甲方”是指（采购人）。 </w:t>
      </w:r>
    </w:p>
    <w:p w14:paraId="408F850C">
      <w:pPr>
        <w:rPr>
          <w:rFonts w:hint="default"/>
          <w:lang w:val="en-US" w:eastAsia="zh-CN"/>
        </w:rPr>
      </w:pPr>
      <w:r>
        <w:rPr>
          <w:rFonts w:hint="default"/>
          <w:lang w:val="en-US" w:eastAsia="zh-CN"/>
        </w:rPr>
        <w:t>2.2</w:t>
      </w:r>
      <w:r>
        <w:rPr>
          <w:rFonts w:hint="eastAsia"/>
          <w:lang w:val="en-US" w:eastAsia="zh-CN"/>
        </w:rPr>
        <w:t>.</w:t>
      </w:r>
      <w:r>
        <w:rPr>
          <w:rFonts w:hint="default"/>
          <w:lang w:val="en-US" w:eastAsia="zh-CN"/>
        </w:rPr>
        <w:t>“征集人”是指（采购人）和（招标代理机构）。</w:t>
      </w:r>
    </w:p>
    <w:p w14:paraId="318EBCC7">
      <w:pPr>
        <w:rPr>
          <w:rFonts w:hint="default"/>
          <w:lang w:val="en-US" w:eastAsia="zh-CN"/>
        </w:rPr>
      </w:pPr>
      <w:r>
        <w:rPr>
          <w:rFonts w:hint="default"/>
          <w:lang w:val="en-US" w:eastAsia="zh-CN"/>
        </w:rPr>
        <w:t>2.3</w:t>
      </w:r>
      <w:r>
        <w:rPr>
          <w:rFonts w:hint="eastAsia"/>
          <w:lang w:val="en-US" w:eastAsia="zh-CN"/>
        </w:rPr>
        <w:t>.</w:t>
      </w:r>
      <w:r>
        <w:rPr>
          <w:rFonts w:hint="default"/>
          <w:lang w:val="en-US" w:eastAsia="zh-CN"/>
        </w:rPr>
        <w:t>“投标人”“供应商”系指响应招标、参加投标竞争的法人、其他组织或者自然人。</w:t>
      </w:r>
    </w:p>
    <w:p w14:paraId="292CB998">
      <w:pPr>
        <w:rPr>
          <w:rFonts w:hint="default"/>
          <w:lang w:val="en-US" w:eastAsia="zh-CN"/>
        </w:rPr>
      </w:pPr>
      <w:r>
        <w:rPr>
          <w:rFonts w:hint="default"/>
          <w:lang w:val="en-US" w:eastAsia="zh-CN"/>
        </w:rPr>
        <w:t>2.4</w:t>
      </w:r>
      <w:r>
        <w:rPr>
          <w:rFonts w:hint="eastAsia"/>
          <w:lang w:val="en-US" w:eastAsia="zh-CN"/>
        </w:rPr>
        <w:t>.</w:t>
      </w:r>
      <w:r>
        <w:rPr>
          <w:rFonts w:hint="default"/>
          <w:lang w:val="en-US" w:eastAsia="zh-CN"/>
        </w:rPr>
        <w:t>“负责人”系指法人企业的法定负责人，或其他组织为法律、行政法规规定代表单位行使职权的主要负责人，或自然人本人。</w:t>
      </w:r>
    </w:p>
    <w:p w14:paraId="6139B0A3">
      <w:pPr>
        <w:rPr>
          <w:rFonts w:hint="default"/>
          <w:lang w:val="en-US" w:eastAsia="zh-CN"/>
        </w:rPr>
      </w:pPr>
      <w:r>
        <w:rPr>
          <w:rFonts w:hint="eastAsia"/>
          <w:lang w:val="en-US" w:eastAsia="zh-CN"/>
        </w:rPr>
        <w:t>2.5.“公章”系指单位法定名称章。如因特殊原因需要使用冠以法定名称的业务专用章的，投标时须提供《业务专用章使用说明函》（附件4）。</w:t>
      </w:r>
    </w:p>
    <w:p w14:paraId="3EB7FDAF">
      <w:pPr>
        <w:rPr>
          <w:rFonts w:hint="default"/>
          <w:lang w:val="en-US" w:eastAsia="zh-CN"/>
        </w:rPr>
      </w:pPr>
      <w:r>
        <w:rPr>
          <w:rFonts w:hint="default"/>
          <w:lang w:val="en-US" w:eastAsia="zh-CN"/>
        </w:rPr>
        <w:t>2.</w:t>
      </w:r>
      <w:r>
        <w:rPr>
          <w:rFonts w:hint="eastAsia"/>
          <w:lang w:val="en-US" w:eastAsia="zh-CN"/>
        </w:rPr>
        <w:t>6.</w:t>
      </w:r>
      <w:r>
        <w:rPr>
          <w:rFonts w:hint="default"/>
          <w:lang w:val="en-US" w:eastAsia="zh-CN"/>
        </w:rPr>
        <w:t>“▲” 系指实质性要求条款，“</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position w:val="-4"/>
          <w:sz w:val="36"/>
          <w:highlight w:val="none"/>
        </w:rPr>
        <w:instrText xml:space="preserve">□</w:instrText>
      </w:r>
      <w:r>
        <w:rPr>
          <w:rFonts w:hint="eastAsia" w:ascii="宋体" w:hAnsi="宋体" w:eastAsia="宋体" w:cs="宋体"/>
          <w:color w:val="auto"/>
          <w:position w:val="-4"/>
          <w:sz w:val="36"/>
          <w:highlight w:val="none"/>
          <w:lang w:eastAsia="zh-CN"/>
        </w:rPr>
        <w:instrText xml:space="preserve">,</w:instrText>
      </w:r>
      <w:r>
        <w:rPr>
          <w:rFonts w:hint="eastAsia" w:ascii="宋体" w:hAnsi="宋体" w:eastAsia="宋体" w:cs="宋体"/>
          <w:color w:val="auto"/>
          <w:position w:val="0"/>
          <w:sz w:val="25"/>
          <w:highlight w:val="none"/>
          <w:lang w:eastAsia="zh-CN"/>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default"/>
          <w:lang w:val="en-US" w:eastAsia="zh-CN"/>
        </w:rPr>
        <w:t>” 系指适用本项目的要求，“</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position w:val="-4"/>
          <w:sz w:val="36"/>
          <w:highlight w:val="none"/>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default"/>
          <w:lang w:val="en-US" w:eastAsia="zh-CN"/>
        </w:rPr>
        <w:t>” 系指不适用本项目的要求。</w:t>
      </w:r>
    </w:p>
    <w:p w14:paraId="7084C0CB">
      <w:pPr>
        <w:bidi w:val="0"/>
        <w:rPr>
          <w:rFonts w:hint="default"/>
          <w:b/>
          <w:bCs/>
          <w:lang w:val="en-US" w:eastAsia="zh-CN"/>
        </w:rPr>
      </w:pPr>
      <w:r>
        <w:rPr>
          <w:rFonts w:hint="eastAsia"/>
          <w:b/>
          <w:bCs/>
          <w:lang w:val="en-US" w:eastAsia="zh-CN"/>
        </w:rPr>
        <w:t>3.</w:t>
      </w:r>
      <w:r>
        <w:rPr>
          <w:rFonts w:hint="default"/>
          <w:b/>
          <w:bCs/>
          <w:lang w:val="en-US" w:eastAsia="zh-CN"/>
        </w:rPr>
        <w:t>询问、质疑、投诉</w:t>
      </w:r>
    </w:p>
    <w:p w14:paraId="0D2B0319">
      <w:pPr>
        <w:rPr>
          <w:rFonts w:hint="default"/>
          <w:b/>
          <w:bCs/>
          <w:lang w:val="en-US" w:eastAsia="zh-CN"/>
        </w:rPr>
      </w:pPr>
      <w:r>
        <w:rPr>
          <w:rFonts w:hint="default"/>
          <w:b/>
          <w:bCs/>
          <w:lang w:val="en-US" w:eastAsia="zh-CN"/>
        </w:rPr>
        <w:t>3.1供应商询问</w:t>
      </w:r>
    </w:p>
    <w:p w14:paraId="45B04444">
      <w:pPr>
        <w:rPr>
          <w:rFonts w:hint="default"/>
          <w:lang w:val="en-US" w:eastAsia="zh-CN"/>
        </w:rPr>
      </w:pPr>
      <w:r>
        <w:rPr>
          <w:rFonts w:hint="default"/>
          <w:lang w:val="en-US" w:eastAsia="zh-CN"/>
        </w:rPr>
        <w:t>供应商对国企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0D8222">
      <w:pPr>
        <w:rPr>
          <w:rFonts w:hint="default"/>
          <w:b/>
          <w:bCs/>
          <w:lang w:val="en-US" w:eastAsia="zh-CN"/>
        </w:rPr>
      </w:pPr>
      <w:r>
        <w:rPr>
          <w:rFonts w:hint="default"/>
          <w:b/>
          <w:bCs/>
          <w:lang w:val="en-US" w:eastAsia="zh-CN"/>
        </w:rPr>
        <w:t>3.2供应商质疑</w:t>
      </w:r>
    </w:p>
    <w:p w14:paraId="67315BDA">
      <w:pPr>
        <w:rPr>
          <w:rFonts w:hint="default"/>
          <w:lang w:val="en-US" w:eastAsia="zh-CN"/>
        </w:rPr>
      </w:pPr>
      <w:r>
        <w:rPr>
          <w:rFonts w:hint="default"/>
          <w:lang w:val="en-US" w:eastAsia="zh-CN"/>
        </w:rPr>
        <w:t>3.2.1提出质疑的供应商应当是参与所质疑项目采购活动的供应商。潜在供应商已依法获取其可质疑的采购文件的，可以对该文件提出质疑。</w:t>
      </w:r>
    </w:p>
    <w:p w14:paraId="0B40FA78">
      <w:pPr>
        <w:rPr>
          <w:rFonts w:hint="default"/>
          <w:lang w:val="en-US" w:eastAsia="zh-CN"/>
        </w:rPr>
      </w:pPr>
      <w:r>
        <w:rPr>
          <w:rFonts w:hint="default"/>
          <w:lang w:val="en-US" w:eastAsia="zh-CN"/>
        </w:rPr>
        <w:t>3.2.2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7D97341">
      <w:pPr>
        <w:rPr>
          <w:rFonts w:hint="default"/>
          <w:lang w:val="en-US" w:eastAsia="zh-CN"/>
        </w:rPr>
      </w:pPr>
      <w:r>
        <w:rPr>
          <w:rFonts w:hint="default"/>
          <w:lang w:val="en-US" w:eastAsia="zh-CN"/>
        </w:rPr>
        <w:t>3.2.2.1对采购文件提出质疑的，质疑期限为供应商获得采购文件之日或者采购文件公告期限届满之日起计算。</w:t>
      </w:r>
    </w:p>
    <w:p w14:paraId="2614057B">
      <w:pPr>
        <w:rPr>
          <w:rFonts w:hint="default"/>
          <w:lang w:val="en-US" w:eastAsia="zh-CN"/>
        </w:rPr>
      </w:pPr>
      <w:r>
        <w:rPr>
          <w:rFonts w:hint="default"/>
          <w:lang w:val="en-US" w:eastAsia="zh-CN"/>
        </w:rPr>
        <w:t>3.2.2.2对采购过程提出质疑的，质疑期限为各采购程序环节结束之日起计算。对同一采购程序环节的质疑，供应商须一次性提出。</w:t>
      </w:r>
    </w:p>
    <w:p w14:paraId="52B5B8B3">
      <w:pPr>
        <w:rPr>
          <w:rFonts w:hint="default"/>
          <w:lang w:val="en-US" w:eastAsia="zh-CN"/>
        </w:rPr>
      </w:pPr>
      <w:r>
        <w:rPr>
          <w:rFonts w:hint="default"/>
          <w:lang w:val="en-US" w:eastAsia="zh-CN"/>
        </w:rPr>
        <w:t>3.2.2.3对采购结果提出质疑的，质疑期限自采购结果公告期限届满之日起计算。</w:t>
      </w:r>
    </w:p>
    <w:p w14:paraId="0D1A12C0">
      <w:pPr>
        <w:rPr>
          <w:rFonts w:hint="default"/>
          <w:lang w:val="en-US" w:eastAsia="zh-CN"/>
        </w:rPr>
      </w:pPr>
      <w:r>
        <w:rPr>
          <w:rFonts w:hint="default"/>
          <w:lang w:val="en-US" w:eastAsia="zh-CN"/>
        </w:rPr>
        <w:t>3.2.3供应商提出质疑应当提交质疑函和必要的证明材料。质疑函应当包括下列内容：</w:t>
      </w:r>
    </w:p>
    <w:p w14:paraId="49586F4F">
      <w:pPr>
        <w:rPr>
          <w:rFonts w:hint="default"/>
          <w:lang w:val="en-US" w:eastAsia="zh-CN"/>
        </w:rPr>
      </w:pPr>
      <w:r>
        <w:rPr>
          <w:rFonts w:hint="default"/>
          <w:lang w:val="en-US" w:eastAsia="zh-CN"/>
        </w:rPr>
        <w:t>3.2.3.1供应商的姓名或者名称、地址、邮编、联系人及联系电话；</w:t>
      </w:r>
    </w:p>
    <w:p w14:paraId="286F8BFF">
      <w:pPr>
        <w:rPr>
          <w:rFonts w:hint="default"/>
          <w:lang w:val="en-US" w:eastAsia="zh-CN"/>
        </w:rPr>
      </w:pPr>
      <w:r>
        <w:rPr>
          <w:rFonts w:hint="default"/>
          <w:lang w:val="en-US" w:eastAsia="zh-CN"/>
        </w:rPr>
        <w:t>3.2.3.2质疑项目的名称、编号；</w:t>
      </w:r>
    </w:p>
    <w:p w14:paraId="6B9B77C4">
      <w:pPr>
        <w:rPr>
          <w:rFonts w:hint="default"/>
          <w:lang w:val="en-US" w:eastAsia="zh-CN"/>
        </w:rPr>
      </w:pPr>
      <w:r>
        <w:rPr>
          <w:rFonts w:hint="default"/>
          <w:lang w:val="en-US" w:eastAsia="zh-CN"/>
        </w:rPr>
        <w:t>3.2.3.3具体、明确的质疑事项和与质疑事项相关的请求；</w:t>
      </w:r>
    </w:p>
    <w:p w14:paraId="3BB098D3">
      <w:pPr>
        <w:rPr>
          <w:rFonts w:hint="default"/>
          <w:lang w:val="en-US" w:eastAsia="zh-CN"/>
        </w:rPr>
      </w:pPr>
      <w:r>
        <w:rPr>
          <w:rFonts w:hint="default"/>
          <w:lang w:val="en-US" w:eastAsia="zh-CN"/>
        </w:rPr>
        <w:t>3.2.3.4事实依据；</w:t>
      </w:r>
    </w:p>
    <w:p w14:paraId="21EB5D8F">
      <w:pPr>
        <w:rPr>
          <w:rFonts w:hint="default"/>
          <w:lang w:val="en-US" w:eastAsia="zh-CN"/>
        </w:rPr>
      </w:pPr>
      <w:r>
        <w:rPr>
          <w:rFonts w:hint="default"/>
          <w:lang w:val="en-US" w:eastAsia="zh-CN"/>
        </w:rPr>
        <w:t>3.2.3.5必要的法律依据；</w:t>
      </w:r>
    </w:p>
    <w:p w14:paraId="42338A86">
      <w:pPr>
        <w:rPr>
          <w:rFonts w:hint="default"/>
          <w:lang w:val="en-US" w:eastAsia="zh-CN"/>
        </w:rPr>
      </w:pPr>
      <w:r>
        <w:rPr>
          <w:rFonts w:hint="default"/>
          <w:lang w:val="en-US" w:eastAsia="zh-CN"/>
        </w:rPr>
        <w:t>3.2.3.6提出质疑的日期。</w:t>
      </w:r>
    </w:p>
    <w:p w14:paraId="640FDC35">
      <w:pPr>
        <w:rPr>
          <w:rFonts w:hint="default"/>
          <w:lang w:val="en-US" w:eastAsia="zh-CN"/>
        </w:rPr>
      </w:pPr>
      <w:r>
        <w:rPr>
          <w:rFonts w:hint="default"/>
          <w:lang w:val="en-US" w:eastAsia="zh-CN"/>
        </w:rPr>
        <w:t>供应商提交的质疑函需一式三份。供应商为自然人的，应当由本人签字；供应商为法人或者其他组织的，应当由法定代表人、主要负责人，或者其授权代表签字（授权代表提供询价前三个月的在本公司的社保证明）或者盖章，并加盖公章。</w:t>
      </w:r>
    </w:p>
    <w:p w14:paraId="323E6790">
      <w:pPr>
        <w:rPr>
          <w:rFonts w:hint="default"/>
          <w:lang w:val="en-US" w:eastAsia="zh-CN"/>
        </w:rPr>
      </w:pPr>
      <w:r>
        <w:rPr>
          <w:rFonts w:hint="default"/>
          <w:lang w:val="en-US" w:eastAsia="zh-CN"/>
        </w:rPr>
        <w:t>质疑函范本及制作说明详见附件。</w:t>
      </w:r>
    </w:p>
    <w:p w14:paraId="17E87944">
      <w:pPr>
        <w:rPr>
          <w:rFonts w:hint="default"/>
          <w:lang w:val="en-US" w:eastAsia="zh-CN"/>
        </w:rPr>
      </w:pPr>
      <w:r>
        <w:rPr>
          <w:rFonts w:hint="default"/>
          <w:lang w:val="en-US" w:eastAsia="zh-CN"/>
        </w:rPr>
        <w:t>3.2.4采购人或者采购机构应当在收到供应商的书面质疑后七个工作日内作出答复，并以书面形式通知质疑供应商和其他与质疑处理结果有利害关系的</w:t>
      </w:r>
      <w:r>
        <w:rPr>
          <w:rFonts w:hint="eastAsia"/>
          <w:lang w:val="en-US" w:eastAsia="zh-CN"/>
        </w:rPr>
        <w:t>国企采购</w:t>
      </w:r>
      <w:r>
        <w:rPr>
          <w:rFonts w:hint="default"/>
          <w:lang w:val="en-US" w:eastAsia="zh-CN"/>
        </w:rPr>
        <w:t>当事人，但答复的内容不得涉及商业秘密。采购人或者采购代理机构在质疑回复后5个工作日内，在浙江政府采购网的“其他公告”栏目公开质疑答复，答复内容应当完整。质疑函作为附件上传。</w:t>
      </w:r>
    </w:p>
    <w:p w14:paraId="14CBD565">
      <w:pPr>
        <w:rPr>
          <w:rFonts w:hint="default"/>
          <w:lang w:val="en-US" w:eastAsia="zh-CN"/>
        </w:rPr>
      </w:pPr>
      <w:r>
        <w:rPr>
          <w:rFonts w:hint="default"/>
          <w:lang w:val="en-US" w:eastAsia="zh-CN"/>
        </w:rPr>
        <w:t>3.2.5询问或者质疑事项可能影响采购结果的，采购人应当暂停签订合同，已经签订合同的，应当中止履行合同。</w:t>
      </w:r>
    </w:p>
    <w:p w14:paraId="6EB43243">
      <w:pPr>
        <w:rPr>
          <w:rFonts w:hint="default"/>
          <w:b/>
          <w:bCs/>
          <w:lang w:val="en-US" w:eastAsia="zh-CN"/>
        </w:rPr>
      </w:pPr>
      <w:r>
        <w:rPr>
          <w:rFonts w:hint="default"/>
          <w:b/>
          <w:bCs/>
          <w:lang w:val="en-US" w:eastAsia="zh-CN"/>
        </w:rPr>
        <w:t>3.3供应商投诉</w:t>
      </w:r>
    </w:p>
    <w:p w14:paraId="3FD3BC21">
      <w:pPr>
        <w:rPr>
          <w:rFonts w:hint="default"/>
          <w:lang w:val="en-US" w:eastAsia="zh-CN"/>
        </w:rPr>
      </w:pPr>
      <w:r>
        <w:rPr>
          <w:rFonts w:hint="default"/>
          <w:lang w:val="en-US" w:eastAsia="zh-CN"/>
        </w:rPr>
        <w:t>3.3.1质疑供应商对采购人、采购代理机构的答复不满意或者采购人、采购代理机构未在规定的时间内作出答复的，可以在答复期满后十五个工作日内向同级</w:t>
      </w:r>
      <w:r>
        <w:rPr>
          <w:rFonts w:hint="eastAsia"/>
          <w:lang w:val="en-US" w:eastAsia="zh-CN"/>
        </w:rPr>
        <w:t>国企采购</w:t>
      </w:r>
      <w:r>
        <w:rPr>
          <w:rFonts w:hint="default"/>
          <w:lang w:val="en-US" w:eastAsia="zh-CN"/>
        </w:rPr>
        <w:t>监督管理部门提出投诉。</w:t>
      </w:r>
    </w:p>
    <w:p w14:paraId="67885C9D">
      <w:pPr>
        <w:rPr>
          <w:rFonts w:hint="default"/>
          <w:lang w:val="en-US" w:eastAsia="zh-CN"/>
        </w:rPr>
      </w:pPr>
      <w:r>
        <w:rPr>
          <w:rFonts w:hint="default"/>
          <w:lang w:val="en-US" w:eastAsia="zh-CN"/>
        </w:rPr>
        <w:t>3.3.2供应商投诉的事项不得超出已质疑事项的范围，基于质疑答复内容提出的投诉事项除外。</w:t>
      </w:r>
    </w:p>
    <w:p w14:paraId="25D1ACBF">
      <w:pPr>
        <w:rPr>
          <w:rFonts w:hint="default"/>
          <w:lang w:val="en-US" w:eastAsia="zh-CN"/>
        </w:rPr>
      </w:pPr>
      <w:r>
        <w:rPr>
          <w:rFonts w:hint="default"/>
          <w:lang w:val="en-US" w:eastAsia="zh-CN"/>
        </w:rPr>
        <w:t>3.3.3供应商投诉应当有明确的请求和必要的证明材料。</w:t>
      </w:r>
    </w:p>
    <w:p w14:paraId="53C25368">
      <w:pPr>
        <w:rPr>
          <w:rFonts w:hint="default"/>
          <w:lang w:val="en-US" w:eastAsia="zh-CN"/>
        </w:rPr>
      </w:pPr>
      <w:r>
        <w:rPr>
          <w:rFonts w:hint="default"/>
          <w:lang w:val="en-US" w:eastAsia="zh-CN"/>
        </w:rPr>
        <w:t>3.3.5以联合体形式参加</w:t>
      </w:r>
      <w:r>
        <w:rPr>
          <w:rFonts w:hint="eastAsia"/>
          <w:lang w:val="en-US" w:eastAsia="zh-CN"/>
        </w:rPr>
        <w:t>国企采购</w:t>
      </w:r>
      <w:r>
        <w:rPr>
          <w:rFonts w:hint="default"/>
          <w:lang w:val="en-US" w:eastAsia="zh-CN"/>
        </w:rPr>
        <w:t>活动的，其投诉应当由组成联合体的所有供应商共同提出。</w:t>
      </w:r>
    </w:p>
    <w:p w14:paraId="6C7376F0">
      <w:pPr>
        <w:rPr>
          <w:rFonts w:hint="default"/>
          <w:lang w:val="en-US" w:eastAsia="zh-CN"/>
        </w:rPr>
      </w:pPr>
      <w:r>
        <w:rPr>
          <w:rFonts w:hint="default"/>
          <w:b/>
          <w:bCs/>
          <w:lang w:val="en-US" w:eastAsia="zh-CN"/>
        </w:rPr>
        <w:t>投诉书范本及制作说明详见附件。</w:t>
      </w:r>
    </w:p>
    <w:p w14:paraId="44146185">
      <w:pPr>
        <w:pStyle w:val="3"/>
        <w:bidi w:val="0"/>
        <w:jc w:val="center"/>
        <w:rPr>
          <w:rFonts w:hint="default"/>
          <w:lang w:val="en-US" w:eastAsia="zh-CN"/>
        </w:rPr>
      </w:pPr>
      <w:bookmarkStart w:id="18" w:name="_Toc26358"/>
      <w:r>
        <w:rPr>
          <w:rFonts w:hint="default"/>
          <w:lang w:val="en-US" w:eastAsia="zh-CN"/>
        </w:rPr>
        <w:t>征集文件的构成、澄清、修改</w:t>
      </w:r>
      <w:bookmarkEnd w:id="18"/>
    </w:p>
    <w:p w14:paraId="1FF8CDC9">
      <w:pPr>
        <w:bidi w:val="0"/>
        <w:rPr>
          <w:rFonts w:hint="default"/>
          <w:b/>
          <w:bCs/>
          <w:lang w:val="en-US" w:eastAsia="zh-CN"/>
        </w:rPr>
      </w:pPr>
      <w:r>
        <w:rPr>
          <w:rFonts w:hint="eastAsia"/>
          <w:b/>
          <w:bCs/>
          <w:lang w:val="en-US" w:eastAsia="zh-CN"/>
        </w:rPr>
        <w:t>4</w:t>
      </w:r>
      <w:r>
        <w:rPr>
          <w:rFonts w:hint="default"/>
          <w:b/>
          <w:bCs/>
          <w:lang w:val="en-US" w:eastAsia="zh-CN"/>
        </w:rPr>
        <w:t>．征集文件的构成</w:t>
      </w:r>
    </w:p>
    <w:p w14:paraId="6D3ABDFB">
      <w:pPr>
        <w:bidi w:val="0"/>
        <w:rPr>
          <w:rFonts w:hint="default"/>
          <w:lang w:val="en-US" w:eastAsia="zh-CN"/>
        </w:rPr>
      </w:pPr>
      <w:r>
        <w:rPr>
          <w:rFonts w:hint="eastAsia"/>
          <w:lang w:val="en-US" w:eastAsia="zh-CN"/>
        </w:rPr>
        <w:t>4</w:t>
      </w:r>
      <w:r>
        <w:rPr>
          <w:rFonts w:hint="default"/>
          <w:lang w:val="en-US" w:eastAsia="zh-CN"/>
        </w:rPr>
        <w:t>.1 征集文件包括下列文件及附件：</w:t>
      </w:r>
    </w:p>
    <w:p w14:paraId="36C0BDF8">
      <w:pPr>
        <w:bidi w:val="0"/>
        <w:rPr>
          <w:rFonts w:hint="default"/>
          <w:lang w:val="en-US" w:eastAsia="zh-CN"/>
        </w:rPr>
      </w:pPr>
      <w:r>
        <w:rPr>
          <w:rFonts w:hint="eastAsia"/>
          <w:lang w:val="en-US" w:eastAsia="zh-CN"/>
        </w:rPr>
        <w:t>4</w:t>
      </w:r>
      <w:r>
        <w:rPr>
          <w:rFonts w:hint="default"/>
          <w:lang w:val="en-US" w:eastAsia="zh-CN"/>
        </w:rPr>
        <w:t>.1.1征集公告；</w:t>
      </w:r>
    </w:p>
    <w:p w14:paraId="356C85CC">
      <w:pPr>
        <w:bidi w:val="0"/>
        <w:rPr>
          <w:rFonts w:hint="default"/>
          <w:lang w:val="en-US" w:eastAsia="zh-CN"/>
        </w:rPr>
      </w:pPr>
      <w:r>
        <w:rPr>
          <w:rFonts w:hint="eastAsia"/>
          <w:lang w:val="en-US" w:eastAsia="zh-CN"/>
        </w:rPr>
        <w:t>4</w:t>
      </w:r>
      <w:r>
        <w:rPr>
          <w:rFonts w:hint="default"/>
          <w:lang w:val="en-US" w:eastAsia="zh-CN"/>
        </w:rPr>
        <w:t>.1.2投标人须知；</w:t>
      </w:r>
    </w:p>
    <w:p w14:paraId="25E964D7">
      <w:pPr>
        <w:bidi w:val="0"/>
        <w:rPr>
          <w:rFonts w:hint="default"/>
          <w:lang w:val="en-US" w:eastAsia="zh-CN"/>
        </w:rPr>
      </w:pPr>
      <w:r>
        <w:rPr>
          <w:rFonts w:hint="eastAsia"/>
          <w:lang w:val="en-US" w:eastAsia="zh-CN"/>
        </w:rPr>
        <w:t>4</w:t>
      </w:r>
      <w:r>
        <w:rPr>
          <w:rFonts w:hint="default"/>
          <w:lang w:val="en-US" w:eastAsia="zh-CN"/>
        </w:rPr>
        <w:t>.1.3采购需求；</w:t>
      </w:r>
    </w:p>
    <w:p w14:paraId="2D7504EB">
      <w:pPr>
        <w:bidi w:val="0"/>
        <w:rPr>
          <w:rFonts w:hint="default"/>
          <w:lang w:val="en-US" w:eastAsia="zh-CN"/>
        </w:rPr>
      </w:pPr>
      <w:r>
        <w:rPr>
          <w:rFonts w:hint="eastAsia"/>
          <w:lang w:val="en-US" w:eastAsia="zh-CN"/>
        </w:rPr>
        <w:t>4</w:t>
      </w:r>
      <w:r>
        <w:rPr>
          <w:rFonts w:hint="default"/>
          <w:lang w:val="en-US" w:eastAsia="zh-CN"/>
        </w:rPr>
        <w:t>.1.4评标办法；</w:t>
      </w:r>
    </w:p>
    <w:p w14:paraId="673E6EC7">
      <w:pPr>
        <w:bidi w:val="0"/>
        <w:rPr>
          <w:rFonts w:hint="default"/>
          <w:lang w:val="en-US" w:eastAsia="zh-CN"/>
        </w:rPr>
      </w:pPr>
      <w:r>
        <w:rPr>
          <w:rFonts w:hint="eastAsia"/>
          <w:lang w:val="en-US" w:eastAsia="zh-CN"/>
        </w:rPr>
        <w:t>4</w:t>
      </w:r>
      <w:r>
        <w:rPr>
          <w:rFonts w:hint="default"/>
          <w:lang w:val="en-US" w:eastAsia="zh-CN"/>
        </w:rPr>
        <w:t>.1.</w:t>
      </w:r>
      <w:r>
        <w:rPr>
          <w:rFonts w:hint="eastAsia"/>
          <w:lang w:val="en-US" w:eastAsia="zh-CN"/>
        </w:rPr>
        <w:t>5</w:t>
      </w:r>
      <w:r>
        <w:rPr>
          <w:rFonts w:hint="default"/>
          <w:lang w:val="en-US" w:eastAsia="zh-CN"/>
        </w:rPr>
        <w:t>拟签订的合同文本；</w:t>
      </w:r>
    </w:p>
    <w:p w14:paraId="7F681FAF">
      <w:pPr>
        <w:bidi w:val="0"/>
        <w:rPr>
          <w:rFonts w:hint="default"/>
          <w:lang w:val="en-US" w:eastAsia="zh-CN"/>
        </w:rPr>
      </w:pPr>
      <w:r>
        <w:rPr>
          <w:rFonts w:hint="eastAsia"/>
          <w:lang w:val="en-US" w:eastAsia="zh-CN"/>
        </w:rPr>
        <w:t>4</w:t>
      </w:r>
      <w:r>
        <w:rPr>
          <w:rFonts w:hint="default"/>
          <w:lang w:val="en-US" w:eastAsia="zh-CN"/>
        </w:rPr>
        <w:t>.1.6应提交的有关格式范例。</w:t>
      </w:r>
    </w:p>
    <w:p w14:paraId="54B39791">
      <w:pPr>
        <w:bidi w:val="0"/>
        <w:rPr>
          <w:rFonts w:hint="default"/>
          <w:lang w:val="en-US" w:eastAsia="zh-CN"/>
        </w:rPr>
      </w:pPr>
      <w:r>
        <w:rPr>
          <w:rFonts w:hint="eastAsia"/>
          <w:lang w:val="en-US" w:eastAsia="zh-CN"/>
        </w:rPr>
        <w:t>4</w:t>
      </w:r>
      <w:r>
        <w:rPr>
          <w:rFonts w:hint="default"/>
          <w:lang w:val="en-US" w:eastAsia="zh-CN"/>
        </w:rPr>
        <w:t>.2与本项目有关的澄清或者修改的内容为征集文件的组成部分。</w:t>
      </w:r>
    </w:p>
    <w:p w14:paraId="3C94531C">
      <w:pPr>
        <w:bidi w:val="0"/>
        <w:rPr>
          <w:rFonts w:hint="default"/>
          <w:b/>
          <w:bCs/>
          <w:lang w:val="en-US" w:eastAsia="zh-CN"/>
        </w:rPr>
      </w:pPr>
      <w:r>
        <w:rPr>
          <w:rFonts w:hint="eastAsia"/>
          <w:b/>
          <w:bCs/>
          <w:lang w:val="en-US" w:eastAsia="zh-CN"/>
        </w:rPr>
        <w:t>5</w:t>
      </w:r>
      <w:r>
        <w:rPr>
          <w:rFonts w:hint="default"/>
          <w:b/>
          <w:bCs/>
          <w:lang w:val="en-US" w:eastAsia="zh-CN"/>
        </w:rPr>
        <w:t>. 征集文件的澄清、修改</w:t>
      </w:r>
    </w:p>
    <w:p w14:paraId="221B84D9">
      <w:pPr>
        <w:bidi w:val="0"/>
        <w:rPr>
          <w:rFonts w:hint="default"/>
          <w:lang w:val="en-US" w:eastAsia="zh-CN"/>
        </w:rPr>
      </w:pPr>
      <w:r>
        <w:rPr>
          <w:rFonts w:hint="eastAsia"/>
          <w:lang w:val="en-US" w:eastAsia="zh-CN"/>
        </w:rPr>
        <w:t>5</w:t>
      </w:r>
      <w:r>
        <w:rPr>
          <w:rFonts w:hint="default"/>
          <w:lang w:val="en-US" w:eastAsia="zh-CN"/>
        </w:rPr>
        <w:t>.1已获取征集文件的潜在投标人，若有问题需要澄清，应于投标截止时间前，以书面形式向采购代理机构提出。</w:t>
      </w:r>
    </w:p>
    <w:p w14:paraId="44469612">
      <w:pPr>
        <w:bidi w:val="0"/>
        <w:rPr>
          <w:rFonts w:hint="default"/>
          <w:lang w:val="en-US" w:eastAsia="zh-CN"/>
        </w:rPr>
      </w:pPr>
      <w:r>
        <w:rPr>
          <w:rFonts w:hint="eastAsia"/>
          <w:lang w:val="en-US" w:eastAsia="zh-CN"/>
        </w:rPr>
        <w:t>5</w:t>
      </w:r>
      <w:r>
        <w:rPr>
          <w:rFonts w:hint="default"/>
          <w:lang w:val="en-US" w:eastAsia="zh-CN"/>
        </w:rPr>
        <w:t>.2 采购代理机构对征集文件进行澄清或修改的，将同时通知已获取征集文件的潜在投标人。依法应当公告的，将按规定公告，同时视情况延长投标截止时间和开标时间。该澄清或者修改的内容为征集文件的组成部分。</w:t>
      </w:r>
    </w:p>
    <w:p w14:paraId="7801A5DF">
      <w:pPr>
        <w:pStyle w:val="3"/>
        <w:bidi w:val="0"/>
        <w:jc w:val="center"/>
        <w:rPr>
          <w:rFonts w:hint="default"/>
          <w:lang w:val="en-US" w:eastAsia="zh-CN"/>
        </w:rPr>
      </w:pPr>
      <w:bookmarkStart w:id="19" w:name="_Toc21843"/>
      <w:r>
        <w:rPr>
          <w:rFonts w:hint="eastAsia"/>
          <w:lang w:val="en-US" w:eastAsia="zh-CN"/>
        </w:rPr>
        <w:t>投标</w:t>
      </w:r>
      <w:bookmarkEnd w:id="19"/>
    </w:p>
    <w:p w14:paraId="02CC5202">
      <w:pPr>
        <w:rPr>
          <w:rFonts w:hint="default"/>
          <w:b/>
          <w:bCs/>
          <w:lang w:val="en-US" w:eastAsia="zh-CN"/>
        </w:rPr>
      </w:pPr>
      <w:r>
        <w:rPr>
          <w:rFonts w:hint="eastAsia"/>
          <w:b/>
          <w:bCs/>
          <w:lang w:val="en-US" w:eastAsia="zh-CN"/>
        </w:rPr>
        <w:t>6</w:t>
      </w:r>
      <w:r>
        <w:rPr>
          <w:rFonts w:hint="default"/>
          <w:b/>
          <w:bCs/>
          <w:lang w:val="en-US" w:eastAsia="zh-CN"/>
        </w:rPr>
        <w:t>. 征集文件的获取</w:t>
      </w:r>
    </w:p>
    <w:p w14:paraId="2A755AE0">
      <w:pPr>
        <w:rPr>
          <w:rFonts w:hint="default"/>
          <w:lang w:val="en-US" w:eastAsia="zh-CN"/>
        </w:rPr>
      </w:pPr>
      <w:r>
        <w:rPr>
          <w:rFonts w:hint="default"/>
          <w:lang w:val="en-US" w:eastAsia="zh-CN"/>
        </w:rPr>
        <w:t>详见征集公告中获取征集文件的时间期限、地点、方式及征集文件售价。</w:t>
      </w:r>
    </w:p>
    <w:p w14:paraId="7BFC9ABB">
      <w:pPr>
        <w:rPr>
          <w:rFonts w:hint="default"/>
          <w:b/>
          <w:bCs/>
          <w:lang w:val="en-US" w:eastAsia="zh-CN"/>
        </w:rPr>
      </w:pPr>
      <w:r>
        <w:rPr>
          <w:rFonts w:hint="eastAsia"/>
          <w:b/>
          <w:bCs/>
          <w:lang w:val="en-US" w:eastAsia="zh-CN"/>
        </w:rPr>
        <w:t>7</w:t>
      </w:r>
      <w:r>
        <w:rPr>
          <w:rFonts w:hint="default"/>
          <w:b/>
          <w:bCs/>
          <w:lang w:val="en-US" w:eastAsia="zh-CN"/>
        </w:rPr>
        <w:t>.投标委托</w:t>
      </w:r>
    </w:p>
    <w:p w14:paraId="39C5F55E">
      <w:pPr>
        <w:rPr>
          <w:rFonts w:hint="default"/>
          <w:lang w:val="en-US" w:eastAsia="zh-CN"/>
        </w:rPr>
      </w:pPr>
      <w:r>
        <w:rPr>
          <w:rFonts w:hint="default"/>
          <w:lang w:val="en-US" w:eastAsia="zh-CN"/>
        </w:rPr>
        <w:t>供应商代表须携带居民身份证（如投标人代表不是法定代表人还须提供法定代表人出具的授权委托书）参与投标。</w:t>
      </w:r>
    </w:p>
    <w:p w14:paraId="4A28D775">
      <w:pPr>
        <w:rPr>
          <w:rFonts w:hint="default"/>
          <w:b/>
          <w:bCs/>
          <w:lang w:val="en-US" w:eastAsia="zh-CN"/>
        </w:rPr>
      </w:pPr>
      <w:r>
        <w:rPr>
          <w:rFonts w:hint="eastAsia"/>
          <w:b/>
          <w:bCs/>
          <w:lang w:val="en-US" w:eastAsia="zh-CN"/>
        </w:rPr>
        <w:t>8</w:t>
      </w:r>
      <w:r>
        <w:rPr>
          <w:rFonts w:hint="default"/>
          <w:b/>
          <w:bCs/>
          <w:lang w:val="en-US" w:eastAsia="zh-CN"/>
        </w:rPr>
        <w:t>.投标保证金</w:t>
      </w:r>
    </w:p>
    <w:p w14:paraId="616E2035">
      <w:pPr>
        <w:rPr>
          <w:rFonts w:hint="default"/>
          <w:lang w:val="en-US" w:eastAsia="zh-CN"/>
        </w:rPr>
      </w:pPr>
      <w:r>
        <w:rPr>
          <w:rFonts w:hint="default"/>
          <w:lang w:val="en-US" w:eastAsia="zh-CN"/>
        </w:rPr>
        <w:t>本项目不需缴纳投标保证金。</w:t>
      </w:r>
    </w:p>
    <w:p w14:paraId="5DAAAD03">
      <w:pPr>
        <w:rPr>
          <w:rFonts w:hint="default"/>
          <w:b/>
          <w:bCs/>
          <w:lang w:val="en-US" w:eastAsia="zh-CN"/>
        </w:rPr>
      </w:pPr>
      <w:r>
        <w:rPr>
          <w:rFonts w:hint="eastAsia"/>
          <w:b/>
          <w:bCs/>
          <w:lang w:val="en-US" w:eastAsia="zh-CN"/>
        </w:rPr>
        <w:t>9</w:t>
      </w:r>
      <w:r>
        <w:rPr>
          <w:rFonts w:hint="default"/>
          <w:b/>
          <w:bCs/>
          <w:lang w:val="en-US" w:eastAsia="zh-CN"/>
        </w:rPr>
        <w:t>. 响应文件的语言</w:t>
      </w:r>
    </w:p>
    <w:p w14:paraId="4560BFD0">
      <w:pPr>
        <w:rPr>
          <w:rFonts w:hint="default"/>
          <w:lang w:val="en-US" w:eastAsia="zh-CN"/>
        </w:rPr>
      </w:pPr>
      <w:r>
        <w:rPr>
          <w:rFonts w:hint="default"/>
          <w:lang w:val="en-US" w:eastAsia="zh-CN"/>
        </w:rPr>
        <w:t>响应文件及投标人与采购有关的来往通知、函件和文件均应使用中文。</w:t>
      </w:r>
    </w:p>
    <w:p w14:paraId="56AE1721">
      <w:pPr>
        <w:rPr>
          <w:rFonts w:hint="default"/>
          <w:b/>
          <w:bCs/>
          <w:lang w:val="en-US" w:eastAsia="zh-CN"/>
        </w:rPr>
      </w:pPr>
      <w:r>
        <w:rPr>
          <w:rFonts w:hint="eastAsia"/>
          <w:b/>
          <w:bCs/>
          <w:lang w:val="en-US" w:eastAsia="zh-CN"/>
        </w:rPr>
        <w:t>10</w:t>
      </w:r>
      <w:r>
        <w:rPr>
          <w:rFonts w:hint="default"/>
          <w:b/>
          <w:bCs/>
          <w:lang w:val="en-US" w:eastAsia="zh-CN"/>
        </w:rPr>
        <w:t>. 响应文件的组成</w:t>
      </w:r>
    </w:p>
    <w:p w14:paraId="3F6A9912">
      <w:pPr>
        <w:bidi w:val="0"/>
        <w:rPr>
          <w:rFonts w:hint="default"/>
          <w:b/>
          <w:bCs/>
          <w:lang w:val="en-US" w:eastAsia="zh-CN"/>
        </w:rPr>
      </w:pPr>
      <w:r>
        <w:rPr>
          <w:rFonts w:hint="default"/>
          <w:b/>
          <w:bCs/>
          <w:lang w:val="en-US" w:eastAsia="zh-CN"/>
        </w:rPr>
        <w:t>1</w:t>
      </w:r>
      <w:r>
        <w:rPr>
          <w:rFonts w:hint="eastAsia"/>
          <w:b/>
          <w:bCs/>
          <w:lang w:val="en-US" w:eastAsia="zh-CN"/>
        </w:rPr>
        <w:t>0</w:t>
      </w:r>
      <w:r>
        <w:rPr>
          <w:rFonts w:hint="default"/>
          <w:b/>
          <w:bCs/>
          <w:lang w:val="en-US" w:eastAsia="zh-CN"/>
        </w:rPr>
        <w:t>.1资格文件：</w:t>
      </w:r>
    </w:p>
    <w:p w14:paraId="60B747D7">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.1.1授权委托书或法定代表人（单位负责人、自然人本人）身份证明</w:t>
      </w:r>
      <w:r>
        <w:rPr>
          <w:rFonts w:hint="eastAsia"/>
          <w:lang w:val="en-US" w:eastAsia="zh-CN"/>
        </w:rPr>
        <w:t>；</w:t>
      </w:r>
    </w:p>
    <w:p w14:paraId="3B683B56">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.1.2</w:t>
      </w:r>
      <w:r>
        <w:rPr>
          <w:rFonts w:hint="eastAsia"/>
          <w:lang w:val="en-US" w:eastAsia="zh-CN"/>
        </w:rPr>
        <w:t>投标</w:t>
      </w:r>
      <w:r>
        <w:rPr>
          <w:rFonts w:hint="default"/>
          <w:lang w:val="en-US" w:eastAsia="zh-CN"/>
        </w:rPr>
        <w:t>函；</w:t>
      </w:r>
    </w:p>
    <w:p w14:paraId="2BD30A33">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.1.3符合参加</w:t>
      </w:r>
      <w:r>
        <w:rPr>
          <w:rFonts w:hint="eastAsia"/>
          <w:lang w:val="en-US" w:eastAsia="zh-CN"/>
        </w:rPr>
        <w:t>国企</w:t>
      </w:r>
      <w:r>
        <w:rPr>
          <w:rFonts w:hint="default"/>
          <w:lang w:val="en-US" w:eastAsia="zh-CN"/>
        </w:rPr>
        <w:t>采购活动应当具备的一般条件的承诺函；</w:t>
      </w:r>
    </w:p>
    <w:p w14:paraId="7762A15A">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.1.4营业执照；</w:t>
      </w:r>
    </w:p>
    <w:p w14:paraId="343983CC">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.1.5</w:t>
      </w:r>
      <w:r>
        <w:rPr>
          <w:rFonts w:hint="eastAsia"/>
          <w:lang w:val="en-US" w:eastAsia="zh-CN"/>
        </w:rPr>
        <w:t>特定资格条件（如有）</w:t>
      </w:r>
      <w:r>
        <w:rPr>
          <w:rFonts w:hint="default"/>
          <w:lang w:val="en-US" w:eastAsia="zh-CN"/>
        </w:rPr>
        <w:t>；</w:t>
      </w:r>
    </w:p>
    <w:p w14:paraId="4470F23B">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.1.6</w:t>
      </w:r>
      <w:r>
        <w:rPr>
          <w:rFonts w:hint="eastAsia"/>
          <w:lang w:val="en-US" w:eastAsia="zh-CN"/>
        </w:rPr>
        <w:t>国企</w:t>
      </w:r>
      <w:r>
        <w:rPr>
          <w:rFonts w:hint="default"/>
          <w:lang w:val="en-US" w:eastAsia="zh-CN"/>
        </w:rPr>
        <w:t>采购供应商廉洁自律承诺书；</w:t>
      </w:r>
    </w:p>
    <w:p w14:paraId="76E4A4D8">
      <w:pPr>
        <w:bidi w:val="0"/>
        <w:rPr>
          <w:rFonts w:hint="default"/>
          <w:b/>
          <w:bCs/>
          <w:lang w:val="en-US" w:eastAsia="zh-CN"/>
        </w:rPr>
      </w:pPr>
      <w:r>
        <w:rPr>
          <w:rFonts w:hint="default"/>
          <w:b/>
          <w:bCs/>
          <w:lang w:val="en-US" w:eastAsia="zh-CN"/>
        </w:rPr>
        <w:t>1</w:t>
      </w:r>
      <w:r>
        <w:rPr>
          <w:rFonts w:hint="eastAsia"/>
          <w:b/>
          <w:bCs/>
          <w:lang w:val="en-US" w:eastAsia="zh-CN"/>
        </w:rPr>
        <w:t>0</w:t>
      </w:r>
      <w:r>
        <w:rPr>
          <w:rFonts w:hint="default"/>
          <w:b/>
          <w:bCs/>
          <w:lang w:val="en-US" w:eastAsia="zh-CN"/>
        </w:rPr>
        <w:t>.2商务技术文件：</w:t>
      </w:r>
    </w:p>
    <w:p w14:paraId="6364CC9F">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.2.1投标人情况介绍(格式见附件)</w:t>
      </w:r>
      <w:r>
        <w:rPr>
          <w:rFonts w:hint="eastAsia"/>
          <w:lang w:val="en-US" w:eastAsia="zh-CN"/>
        </w:rPr>
        <w:t>；</w:t>
      </w:r>
    </w:p>
    <w:p w14:paraId="43DB966D">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.2.2</w:t>
      </w:r>
      <w:r>
        <w:rPr>
          <w:rFonts w:hint="eastAsia"/>
          <w:lang w:val="en-US" w:eastAsia="zh-CN"/>
        </w:rPr>
        <w:t>商务技术偏离表(格式见附件)；</w:t>
      </w:r>
    </w:p>
    <w:p w14:paraId="313AA033">
      <w:pPr>
        <w:bidi w:val="0"/>
        <w:rPr>
          <w:rFonts w:hint="eastAsia"/>
          <w:lang w:val="en-US" w:eastAsia="zh-CN"/>
        </w:rPr>
      </w:pPr>
      <w:r>
        <w:rPr>
          <w:rFonts w:hint="eastAsia"/>
          <w:lang w:val="en-US" w:eastAsia="zh-CN"/>
        </w:rPr>
        <w:t>10.2.3</w:t>
      </w:r>
      <w:r>
        <w:rPr>
          <w:rFonts w:hint="default"/>
          <w:lang w:val="en-US" w:eastAsia="zh-CN"/>
        </w:rPr>
        <w:t>完全响应</w:t>
      </w:r>
      <w:r>
        <w:rPr>
          <w:rFonts w:hint="eastAsia"/>
          <w:lang w:val="en-US" w:eastAsia="zh-CN"/>
        </w:rPr>
        <w:t>征集</w:t>
      </w:r>
      <w:r>
        <w:rPr>
          <w:rFonts w:hint="default"/>
          <w:lang w:val="en-US" w:eastAsia="zh-CN"/>
        </w:rPr>
        <w:t>文件第三部分采购需求的承诺书</w:t>
      </w:r>
      <w:r>
        <w:rPr>
          <w:rFonts w:hint="eastAsia"/>
          <w:lang w:val="en-US" w:eastAsia="zh-CN"/>
        </w:rPr>
        <w:t>（格式自拟）</w:t>
      </w:r>
      <w:r>
        <w:rPr>
          <w:rFonts w:hint="default"/>
          <w:lang w:val="en-US" w:eastAsia="zh-CN"/>
        </w:rPr>
        <w:t>。</w:t>
      </w:r>
    </w:p>
    <w:p w14:paraId="14FE2FAD">
      <w:pPr>
        <w:bidi w:val="0"/>
        <w:rPr>
          <w:rFonts w:hint="default"/>
          <w:lang w:val="en-US" w:eastAsia="zh-CN"/>
        </w:rPr>
      </w:pPr>
      <w:r>
        <w:rPr>
          <w:rFonts w:hint="eastAsia"/>
          <w:lang w:val="en-US" w:eastAsia="zh-CN"/>
        </w:rPr>
        <w:t>10.2.4供应商认为有必要提供的其他文件和说明（格式自拟）。</w:t>
      </w:r>
    </w:p>
    <w:p w14:paraId="1A56CB6D">
      <w:pPr>
        <w:bidi w:val="0"/>
        <w:rPr>
          <w:rFonts w:hint="default"/>
          <w:b/>
          <w:bCs/>
          <w:lang w:val="en-US" w:eastAsia="zh-CN"/>
        </w:rPr>
      </w:pPr>
      <w:r>
        <w:rPr>
          <w:rFonts w:hint="default"/>
          <w:b/>
          <w:bCs/>
          <w:lang w:val="en-US" w:eastAsia="zh-CN"/>
        </w:rPr>
        <w:t>1</w:t>
      </w:r>
      <w:r>
        <w:rPr>
          <w:rFonts w:hint="eastAsia"/>
          <w:b/>
          <w:bCs/>
          <w:lang w:val="en-US" w:eastAsia="zh-CN"/>
        </w:rPr>
        <w:t>0</w:t>
      </w:r>
      <w:r>
        <w:rPr>
          <w:rFonts w:hint="default"/>
          <w:b/>
          <w:bCs/>
          <w:lang w:val="en-US" w:eastAsia="zh-CN"/>
        </w:rPr>
        <w:t xml:space="preserve">.3报价文件： </w:t>
      </w:r>
    </w:p>
    <w:p w14:paraId="2A09A8E3">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.3.1开标一览表（报价表）</w:t>
      </w:r>
      <w:r>
        <w:rPr>
          <w:rFonts w:hint="eastAsia"/>
          <w:lang w:val="en-US" w:eastAsia="zh-CN"/>
        </w:rPr>
        <w:t>；</w:t>
      </w:r>
    </w:p>
    <w:p w14:paraId="164BD95A">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.3.2</w:t>
      </w:r>
      <w:r>
        <w:rPr>
          <w:rFonts w:hint="eastAsia"/>
          <w:lang w:val="en-US" w:eastAsia="zh-CN"/>
        </w:rPr>
        <w:t>报价说明（如有）</w:t>
      </w:r>
      <w:r>
        <w:rPr>
          <w:rFonts w:hint="default"/>
          <w:lang w:val="en-US" w:eastAsia="zh-CN"/>
        </w:rPr>
        <w:t>；</w:t>
      </w:r>
    </w:p>
    <w:p w14:paraId="7BAA90F7">
      <w:pPr>
        <w:bidi w:val="0"/>
        <w:rPr>
          <w:rFonts w:hint="default"/>
          <w:lang w:val="en-US" w:eastAsia="zh-CN"/>
        </w:rPr>
      </w:pPr>
      <w:r>
        <w:rPr>
          <w:rFonts w:hint="eastAsia"/>
          <w:lang w:val="en-US" w:eastAsia="zh-CN"/>
        </w:rPr>
        <w:t>10.3.3供应商针对报价需要说明的其他文件和资料（格式自拟）；</w:t>
      </w:r>
    </w:p>
    <w:p w14:paraId="735DE8B9">
      <w:pPr>
        <w:rPr>
          <w:rFonts w:hint="default"/>
          <w:lang w:val="en-US" w:eastAsia="zh-CN"/>
        </w:rPr>
      </w:pPr>
      <w:r>
        <w:rPr>
          <w:rFonts w:hint="default"/>
          <w:b/>
          <w:bCs/>
          <w:lang w:val="en-US" w:eastAsia="zh-CN"/>
        </w:rPr>
        <w:t>投标文件含有采购人不能接受的附加条件的，投标无效；供应商提供虚假材料的，响应无效。</w:t>
      </w:r>
    </w:p>
    <w:p w14:paraId="7D8B363F">
      <w:pPr>
        <w:rPr>
          <w:rFonts w:hint="default"/>
          <w:b/>
          <w:bCs/>
          <w:lang w:val="en-US" w:eastAsia="zh-CN"/>
        </w:rPr>
      </w:pPr>
      <w:r>
        <w:rPr>
          <w:rFonts w:hint="default"/>
          <w:b/>
          <w:bCs/>
          <w:lang w:val="en-US" w:eastAsia="zh-CN"/>
        </w:rPr>
        <w:t>1</w:t>
      </w:r>
      <w:r>
        <w:rPr>
          <w:rFonts w:hint="eastAsia"/>
          <w:b/>
          <w:bCs/>
          <w:lang w:val="en-US" w:eastAsia="zh-CN"/>
        </w:rPr>
        <w:t>1</w:t>
      </w:r>
      <w:r>
        <w:rPr>
          <w:rFonts w:hint="default"/>
          <w:b/>
          <w:bCs/>
          <w:lang w:val="en-US" w:eastAsia="zh-CN"/>
        </w:rPr>
        <w:t>. 响应文件的编制</w:t>
      </w:r>
    </w:p>
    <w:p w14:paraId="33C2A092">
      <w:pPr>
        <w:rPr>
          <w:rFonts w:hint="default"/>
          <w:lang w:val="en-US" w:eastAsia="zh-CN"/>
        </w:rPr>
      </w:pPr>
      <w:r>
        <w:rPr>
          <w:rFonts w:hint="default"/>
          <w:lang w:val="en-US" w:eastAsia="zh-CN"/>
        </w:rPr>
        <w:t>1</w:t>
      </w:r>
      <w:r>
        <w:rPr>
          <w:rFonts w:hint="eastAsia"/>
          <w:lang w:val="en-US" w:eastAsia="zh-CN"/>
        </w:rPr>
        <w:t>1</w:t>
      </w:r>
      <w:r>
        <w:rPr>
          <w:rFonts w:hint="default"/>
          <w:lang w:val="en-US" w:eastAsia="zh-CN"/>
        </w:rPr>
        <w:t>.1响应文件分为资格文件、商务技术文件、报价文件三部分。各投标人在编制响应文件时请按照征集文件第六部分规定的格式进行，混乱的编排导致响应文件被误读或评标委员会查找不到有效文件是投标人的风险。</w:t>
      </w:r>
    </w:p>
    <w:p w14:paraId="6D1CB06A">
      <w:pPr>
        <w:rPr>
          <w:rFonts w:hint="default"/>
          <w:b/>
          <w:bCs/>
          <w:lang w:val="en-US" w:eastAsia="zh-CN"/>
        </w:rPr>
      </w:pPr>
      <w:r>
        <w:rPr>
          <w:rFonts w:hint="default"/>
          <w:b/>
          <w:bCs/>
          <w:lang w:val="en-US" w:eastAsia="zh-CN"/>
        </w:rPr>
        <w:t>1</w:t>
      </w:r>
      <w:r>
        <w:rPr>
          <w:rFonts w:hint="eastAsia"/>
          <w:b/>
          <w:bCs/>
          <w:lang w:val="en-US" w:eastAsia="zh-CN"/>
        </w:rPr>
        <w:t>2</w:t>
      </w:r>
      <w:r>
        <w:rPr>
          <w:rFonts w:hint="default"/>
          <w:b/>
          <w:bCs/>
          <w:lang w:val="en-US" w:eastAsia="zh-CN"/>
        </w:rPr>
        <w:t>.响应文件的签署、盖章</w:t>
      </w:r>
    </w:p>
    <w:p w14:paraId="2B656260">
      <w:pPr>
        <w:rPr>
          <w:rFonts w:hint="default"/>
          <w:lang w:val="en-US" w:eastAsia="zh-CN"/>
        </w:rPr>
      </w:pPr>
      <w:r>
        <w:rPr>
          <w:rFonts w:hint="default"/>
          <w:lang w:val="en-US" w:eastAsia="zh-CN"/>
        </w:rPr>
        <w:t>响应文件按照征集文件第六部分格式要求进行签署、盖章。▲投标人的响应文件未按照征集文件要求签署、盖章的，其投标无效。</w:t>
      </w:r>
    </w:p>
    <w:p w14:paraId="2EE22949">
      <w:pPr>
        <w:rPr>
          <w:rFonts w:hint="default"/>
          <w:b/>
          <w:bCs/>
          <w:lang w:val="en-US" w:eastAsia="zh-CN"/>
        </w:rPr>
      </w:pPr>
      <w:r>
        <w:rPr>
          <w:rFonts w:hint="default"/>
          <w:b/>
          <w:bCs/>
          <w:lang w:val="en-US" w:eastAsia="zh-CN"/>
        </w:rPr>
        <w:t>1</w:t>
      </w:r>
      <w:r>
        <w:rPr>
          <w:rFonts w:hint="eastAsia"/>
          <w:b/>
          <w:bCs/>
          <w:lang w:val="en-US" w:eastAsia="zh-CN"/>
        </w:rPr>
        <w:t>3</w:t>
      </w:r>
      <w:r>
        <w:rPr>
          <w:rFonts w:hint="default"/>
          <w:b/>
          <w:bCs/>
          <w:lang w:val="en-US" w:eastAsia="zh-CN"/>
        </w:rPr>
        <w:t>.响应文件的份数</w:t>
      </w:r>
    </w:p>
    <w:p w14:paraId="2509A8E2">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.1供应商应按照本征集文件规定的格式编制、装订响应文件，响应文件内容不完整、编排混乱导致响应文件被误读、漏读或者查找不到相关内容的，是供应商的责任。</w:t>
      </w:r>
    </w:p>
    <w:p w14:paraId="056CECC2">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.2 供应商应按响应资格文件、商务技术文件、报价文件正本各1份，副本各4份分别编制并单独装订成册，响应文件的封面应注明“正本”、“副本”字样。响应文件的正本需打印或用不褪色的墨水填写。正本与副本内容不一致的，以正本为准。</w:t>
      </w:r>
    </w:p>
    <w:p w14:paraId="506976D8">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.3 响应文件须由供应商在规定位置盖公章并由法定代表人或法定代表授权人签署，供应商应写全称。</w:t>
      </w:r>
    </w:p>
    <w:p w14:paraId="65B13D91">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 xml:space="preserve">.4 响应文件不得涂改，若有修改错漏处，须加盖单位公章或者法定代表人或委托代理人签字或盖章。响应文件因字迹潦草或表达不清所引起的后果由供应商负责。 </w:t>
      </w:r>
    </w:p>
    <w:p w14:paraId="099B20A3">
      <w:pPr>
        <w:rPr>
          <w:rFonts w:hint="default"/>
          <w:lang w:val="en-US" w:eastAsia="zh-CN"/>
        </w:rPr>
      </w:pPr>
      <w:r>
        <w:rPr>
          <w:rFonts w:hint="default"/>
          <w:b/>
          <w:bCs/>
          <w:lang w:val="en-US" w:eastAsia="zh-CN"/>
        </w:rPr>
        <w:t>1</w:t>
      </w:r>
      <w:r>
        <w:rPr>
          <w:rFonts w:hint="eastAsia"/>
          <w:b/>
          <w:bCs/>
          <w:lang w:val="en-US" w:eastAsia="zh-CN"/>
        </w:rPr>
        <w:t>4</w:t>
      </w:r>
      <w:r>
        <w:rPr>
          <w:rFonts w:hint="default"/>
          <w:b/>
          <w:bCs/>
          <w:lang w:val="en-US" w:eastAsia="zh-CN"/>
        </w:rPr>
        <w:t>.响应文件的包装、递交</w:t>
      </w:r>
      <w:r>
        <w:rPr>
          <w:rFonts w:hint="default"/>
          <w:b/>
          <w:bCs/>
          <w:lang w:val="en-US" w:eastAsia="zh-CN"/>
        </w:rPr>
        <w:tab/>
      </w:r>
      <w:r>
        <w:rPr>
          <w:rFonts w:hint="default"/>
          <w:b/>
          <w:bCs/>
          <w:lang w:val="en-US" w:eastAsia="zh-CN"/>
        </w:rPr>
        <w:t xml:space="preserve"> </w:t>
      </w:r>
      <w:r>
        <w:rPr>
          <w:rFonts w:hint="default"/>
          <w:lang w:val="en-US" w:eastAsia="zh-CN"/>
        </w:rPr>
        <w:t xml:space="preserve">                            </w:t>
      </w:r>
    </w:p>
    <w:p w14:paraId="1AD7D1F2">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1供应商应按资格文件、商务技术文件两部分分别密封封装响应文件，[参照《响应文件外层包装封面格式》（见附件）的要求]在包装封面上注明供应商名称、供应商地址、响应文件名称（资格文件、商务技术文件等）、项目名称、项目编号等内容，并加盖供应商公章。</w:t>
      </w:r>
    </w:p>
    <w:p w14:paraId="0604B2E3">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.2 未按规定密封或标记的响应文件将有可能被拒绝，由此造成响应文件被误投或提前拆封的风险由供应商承担。</w:t>
      </w:r>
    </w:p>
    <w:p w14:paraId="1D5BE7E5">
      <w:pPr>
        <w:rPr>
          <w:rFonts w:hint="default"/>
          <w:b/>
          <w:bCs/>
          <w:lang w:val="en-US" w:eastAsia="zh-CN"/>
        </w:rPr>
      </w:pPr>
      <w:r>
        <w:rPr>
          <w:rFonts w:hint="default"/>
          <w:b/>
          <w:bCs/>
          <w:lang w:val="en-US" w:eastAsia="zh-CN"/>
        </w:rPr>
        <w:t>1</w:t>
      </w:r>
      <w:r>
        <w:rPr>
          <w:rFonts w:hint="eastAsia"/>
          <w:b/>
          <w:bCs/>
          <w:lang w:val="en-US" w:eastAsia="zh-CN"/>
        </w:rPr>
        <w:t>5</w:t>
      </w:r>
      <w:r>
        <w:rPr>
          <w:rFonts w:hint="default"/>
          <w:b/>
          <w:bCs/>
          <w:lang w:val="en-US" w:eastAsia="zh-CN"/>
        </w:rPr>
        <w:t>.响应文件的无效处理</w:t>
      </w:r>
    </w:p>
    <w:p w14:paraId="1B790A11">
      <w:pPr>
        <w:rPr>
          <w:rFonts w:hint="default"/>
          <w:lang w:val="en-US" w:eastAsia="zh-CN"/>
        </w:rPr>
      </w:pPr>
      <w:r>
        <w:rPr>
          <w:rFonts w:hint="default"/>
          <w:lang w:val="en-US" w:eastAsia="zh-CN"/>
        </w:rPr>
        <w:t>有征集文件第四部分第4.2项规定的情形之一的，投标无效：</w:t>
      </w:r>
    </w:p>
    <w:p w14:paraId="125F25CD">
      <w:pPr>
        <w:rPr>
          <w:rFonts w:hint="default"/>
          <w:b/>
          <w:bCs/>
          <w:lang w:val="en-US" w:eastAsia="zh-CN"/>
        </w:rPr>
      </w:pPr>
      <w:r>
        <w:rPr>
          <w:rFonts w:hint="default"/>
          <w:b/>
          <w:bCs/>
          <w:lang w:val="en-US" w:eastAsia="zh-CN"/>
        </w:rPr>
        <w:t>1</w:t>
      </w:r>
      <w:r>
        <w:rPr>
          <w:rFonts w:hint="eastAsia"/>
          <w:b/>
          <w:bCs/>
          <w:lang w:val="en-US" w:eastAsia="zh-CN"/>
        </w:rPr>
        <w:t>6</w:t>
      </w:r>
      <w:r>
        <w:rPr>
          <w:rFonts w:hint="default"/>
          <w:b/>
          <w:bCs/>
          <w:lang w:val="en-US" w:eastAsia="zh-CN"/>
        </w:rPr>
        <w:t>.投标有效期</w:t>
      </w:r>
    </w:p>
    <w:p w14:paraId="754C61C2">
      <w:pPr>
        <w:rPr>
          <w:rFonts w:hint="default"/>
          <w:lang w:val="en-US" w:eastAsia="zh-CN"/>
        </w:rPr>
      </w:pPr>
      <w:r>
        <w:rPr>
          <w:rFonts w:hint="default"/>
          <w:lang w:val="en-US" w:eastAsia="zh-CN"/>
        </w:rPr>
        <w:t>1</w:t>
      </w:r>
      <w:r>
        <w:rPr>
          <w:rFonts w:hint="eastAsia"/>
          <w:lang w:val="en-US" w:eastAsia="zh-CN"/>
        </w:rPr>
        <w:t>6</w:t>
      </w:r>
      <w:r>
        <w:rPr>
          <w:rFonts w:hint="default"/>
          <w:lang w:val="en-US" w:eastAsia="zh-CN"/>
        </w:rPr>
        <w:t>.1投标有效期为从提交响应文件的截止之日起90天。▲投标人的响应文件中承诺的投标有效期少于征集文件中载明的投标有效期的，投标无效。</w:t>
      </w:r>
    </w:p>
    <w:p w14:paraId="4BD726F1">
      <w:pPr>
        <w:rPr>
          <w:rFonts w:hint="default"/>
          <w:lang w:val="en-US" w:eastAsia="zh-CN"/>
        </w:rPr>
      </w:pPr>
      <w:r>
        <w:rPr>
          <w:rFonts w:hint="default"/>
          <w:lang w:val="en-US" w:eastAsia="zh-CN"/>
        </w:rPr>
        <w:t>1</w:t>
      </w:r>
      <w:r>
        <w:rPr>
          <w:rFonts w:hint="eastAsia"/>
          <w:lang w:val="en-US" w:eastAsia="zh-CN"/>
        </w:rPr>
        <w:t>6</w:t>
      </w:r>
      <w:r>
        <w:rPr>
          <w:rFonts w:hint="default"/>
          <w:lang w:val="en-US" w:eastAsia="zh-CN"/>
        </w:rPr>
        <w:t>.2响应文件合格投递后，自投标截止日期起，在投标有效期内有效。</w:t>
      </w:r>
    </w:p>
    <w:p w14:paraId="67F8D731">
      <w:pPr>
        <w:rPr>
          <w:rFonts w:hint="default"/>
          <w:lang w:val="en-US" w:eastAsia="zh-CN"/>
        </w:rPr>
      </w:pPr>
      <w:r>
        <w:rPr>
          <w:rFonts w:hint="default"/>
          <w:lang w:val="en-US" w:eastAsia="zh-CN"/>
        </w:rPr>
        <w:t>1</w:t>
      </w:r>
      <w:r>
        <w:rPr>
          <w:rFonts w:hint="eastAsia"/>
          <w:lang w:val="en-US" w:eastAsia="zh-CN"/>
        </w:rPr>
        <w:t>6</w:t>
      </w:r>
      <w:r>
        <w:rPr>
          <w:rFonts w:hint="default"/>
          <w:lang w:val="en-US" w:eastAsia="zh-CN"/>
        </w:rPr>
        <w:t>.3在原定投标有效期满之前，如果出现特殊情况，采购代理机构可以以书面形式通知投标人延长投标有效期。投标人同意延长的，不得要求或被允许修改其响应文件，投标人拒绝延长的，其投标无效。</w:t>
      </w:r>
    </w:p>
    <w:p w14:paraId="23EE8F31">
      <w:pPr>
        <w:pStyle w:val="3"/>
        <w:bidi w:val="0"/>
        <w:jc w:val="center"/>
        <w:rPr>
          <w:rFonts w:hint="default"/>
          <w:lang w:val="en-US" w:eastAsia="zh-CN"/>
        </w:rPr>
      </w:pPr>
      <w:bookmarkStart w:id="20" w:name="_Toc21869"/>
      <w:r>
        <w:rPr>
          <w:rFonts w:hint="default"/>
          <w:lang w:val="en-US" w:eastAsia="zh-CN"/>
        </w:rPr>
        <w:t>开标、资格审查与信用信息查询</w:t>
      </w:r>
      <w:bookmarkEnd w:id="20"/>
    </w:p>
    <w:p w14:paraId="58F96418">
      <w:pPr>
        <w:rPr>
          <w:rFonts w:hint="default"/>
          <w:b/>
          <w:bCs/>
          <w:lang w:val="en-US" w:eastAsia="zh-CN"/>
        </w:rPr>
      </w:pPr>
      <w:r>
        <w:rPr>
          <w:rFonts w:hint="default"/>
          <w:b/>
          <w:bCs/>
          <w:lang w:val="en-US" w:eastAsia="zh-CN"/>
        </w:rPr>
        <w:t>1</w:t>
      </w:r>
      <w:r>
        <w:rPr>
          <w:rFonts w:hint="eastAsia"/>
          <w:b/>
          <w:bCs/>
          <w:lang w:val="en-US" w:eastAsia="zh-CN"/>
        </w:rPr>
        <w:t>7</w:t>
      </w:r>
      <w:r>
        <w:rPr>
          <w:rFonts w:hint="default"/>
          <w:b/>
          <w:bCs/>
          <w:lang w:val="en-US" w:eastAsia="zh-CN"/>
        </w:rPr>
        <w:t xml:space="preserve">.开标 </w:t>
      </w:r>
    </w:p>
    <w:p w14:paraId="5ED6AA45">
      <w:pPr>
        <w:rPr>
          <w:rFonts w:hint="default"/>
          <w:lang w:val="en-US" w:eastAsia="zh-CN"/>
        </w:rPr>
      </w:pPr>
      <w:r>
        <w:rPr>
          <w:rFonts w:hint="default"/>
          <w:lang w:val="en-US" w:eastAsia="zh-CN"/>
        </w:rPr>
        <w:t>采购代理机构按照响应文件规定的时间组织开标，投标人不足3家的，不得开标。</w:t>
      </w:r>
    </w:p>
    <w:p w14:paraId="1298BE42">
      <w:pPr>
        <w:rPr>
          <w:rFonts w:hint="default"/>
          <w:b/>
          <w:bCs/>
          <w:lang w:val="en-US" w:eastAsia="zh-CN"/>
        </w:rPr>
      </w:pPr>
      <w:r>
        <w:rPr>
          <w:rFonts w:hint="eastAsia"/>
          <w:b/>
          <w:bCs/>
          <w:lang w:val="en-US" w:eastAsia="zh-CN"/>
        </w:rPr>
        <w:t>18.</w:t>
      </w:r>
      <w:r>
        <w:rPr>
          <w:rFonts w:hint="default"/>
          <w:b/>
          <w:bCs/>
          <w:lang w:val="en-US" w:eastAsia="zh-CN"/>
        </w:rPr>
        <w:t>资格审查</w:t>
      </w:r>
    </w:p>
    <w:p w14:paraId="737C3236">
      <w:pPr>
        <w:rPr>
          <w:rFonts w:hint="default"/>
          <w:lang w:val="en-US" w:eastAsia="zh-CN"/>
        </w:rPr>
      </w:pPr>
      <w:r>
        <w:rPr>
          <w:rFonts w:hint="eastAsia"/>
          <w:lang w:val="en-US" w:eastAsia="zh-CN"/>
        </w:rPr>
        <w:t>18</w:t>
      </w:r>
      <w:r>
        <w:rPr>
          <w:rFonts w:hint="default"/>
          <w:lang w:val="en-US" w:eastAsia="zh-CN"/>
        </w:rPr>
        <w:t>.1开标后，采购人或采购代理机构将依法对投标人的资格进行审查。</w:t>
      </w:r>
    </w:p>
    <w:p w14:paraId="5A4BF83D">
      <w:pPr>
        <w:rPr>
          <w:rFonts w:hint="default"/>
          <w:lang w:val="en-US" w:eastAsia="zh-CN"/>
        </w:rPr>
      </w:pPr>
      <w:r>
        <w:rPr>
          <w:rFonts w:hint="eastAsia"/>
          <w:lang w:val="en-US" w:eastAsia="zh-CN"/>
        </w:rPr>
        <w:t>18</w:t>
      </w:r>
      <w:r>
        <w:rPr>
          <w:rFonts w:hint="default"/>
          <w:lang w:val="en-US" w:eastAsia="zh-CN"/>
        </w:rPr>
        <w:t>.2采购人或采购代理机构依据法律法规和征集文件的规定，对投标人的基本资格条件、特定资格条件进行审查。</w:t>
      </w:r>
    </w:p>
    <w:p w14:paraId="36016E01">
      <w:pPr>
        <w:rPr>
          <w:rFonts w:hint="default"/>
          <w:lang w:val="en-US" w:eastAsia="zh-CN"/>
        </w:rPr>
      </w:pPr>
      <w:r>
        <w:rPr>
          <w:rFonts w:hint="eastAsia"/>
          <w:lang w:val="en-US" w:eastAsia="zh-CN"/>
        </w:rPr>
        <w:t>18</w:t>
      </w:r>
      <w:r>
        <w:rPr>
          <w:rFonts w:hint="default"/>
          <w:lang w:val="en-US" w:eastAsia="zh-CN"/>
        </w:rPr>
        <w:t>.3投标人未按照征集文件要求提供与基本资格条件、特定资格条件相应的有效资格证明材料的，视为投标人不具备征集文件中规定的资格要求，其投标无效。</w:t>
      </w:r>
    </w:p>
    <w:p w14:paraId="34C7F033">
      <w:pPr>
        <w:rPr>
          <w:rFonts w:hint="default"/>
          <w:lang w:val="en-US" w:eastAsia="zh-CN"/>
        </w:rPr>
      </w:pPr>
      <w:r>
        <w:rPr>
          <w:rFonts w:hint="eastAsia"/>
          <w:lang w:val="en-US" w:eastAsia="zh-CN"/>
        </w:rPr>
        <w:t>18</w:t>
      </w:r>
      <w:r>
        <w:rPr>
          <w:rFonts w:hint="default"/>
          <w:lang w:val="en-US" w:eastAsia="zh-CN"/>
        </w:rPr>
        <w:t>.4对未通过资格审查的投标人，采购人或采购代理机构告知其未通过的原因。</w:t>
      </w:r>
    </w:p>
    <w:p w14:paraId="119BD29B">
      <w:pPr>
        <w:rPr>
          <w:rFonts w:hint="default"/>
          <w:lang w:val="en-US" w:eastAsia="zh-CN"/>
        </w:rPr>
      </w:pPr>
      <w:r>
        <w:rPr>
          <w:rFonts w:hint="eastAsia"/>
          <w:lang w:val="en-US" w:eastAsia="zh-CN"/>
        </w:rPr>
        <w:t>18</w:t>
      </w:r>
      <w:r>
        <w:rPr>
          <w:rFonts w:hint="default"/>
          <w:lang w:val="en-US" w:eastAsia="zh-CN"/>
        </w:rPr>
        <w:t>.5合格投标人不足3家的，不再评标。</w:t>
      </w:r>
    </w:p>
    <w:p w14:paraId="74CEBB5F">
      <w:pPr>
        <w:rPr>
          <w:rFonts w:hint="default"/>
          <w:b/>
          <w:bCs/>
          <w:lang w:val="en-US" w:eastAsia="zh-CN"/>
        </w:rPr>
      </w:pPr>
      <w:r>
        <w:rPr>
          <w:rFonts w:hint="eastAsia"/>
          <w:b/>
          <w:bCs/>
          <w:lang w:val="en-US" w:eastAsia="zh-CN"/>
        </w:rPr>
        <w:t>19</w:t>
      </w:r>
      <w:r>
        <w:rPr>
          <w:rFonts w:hint="default"/>
          <w:b/>
          <w:bCs/>
          <w:lang w:val="en-US" w:eastAsia="zh-CN"/>
        </w:rPr>
        <w:t>、信用信息查询</w:t>
      </w:r>
    </w:p>
    <w:p w14:paraId="290FAF14">
      <w:pPr>
        <w:rPr>
          <w:rFonts w:hint="default"/>
          <w:lang w:val="en-US" w:eastAsia="zh-CN"/>
        </w:rPr>
      </w:pPr>
      <w:r>
        <w:rPr>
          <w:rFonts w:hint="eastAsia"/>
          <w:lang w:val="en-US" w:eastAsia="zh-CN"/>
        </w:rPr>
        <w:t>19</w:t>
      </w:r>
      <w:r>
        <w:rPr>
          <w:rFonts w:hint="default"/>
          <w:lang w:val="en-US" w:eastAsia="zh-CN"/>
        </w:rPr>
        <w:t>.1信用信息查询渠道及截止时间：采购代理机构将通过“信用中国”网站(</w:t>
      </w:r>
      <w:r>
        <w:rPr>
          <w:rStyle w:val="21"/>
          <w:rFonts w:hint="default"/>
          <w:lang w:val="en-US" w:eastAsia="zh-CN"/>
        </w:rPr>
        <w:t>www.creditchina.gov.cn</w:t>
      </w:r>
      <w:r>
        <w:rPr>
          <w:rFonts w:hint="default"/>
          <w:lang w:val="en-US" w:eastAsia="zh-CN"/>
        </w:rPr>
        <w:t>)、中国政府采购网(</w:t>
      </w:r>
      <w:r>
        <w:rPr>
          <w:rStyle w:val="21"/>
          <w:rFonts w:hint="default"/>
          <w:lang w:val="en-US" w:eastAsia="zh-CN"/>
        </w:rPr>
        <w:t>www.ccgp.gov.cn</w:t>
      </w:r>
      <w:r>
        <w:rPr>
          <w:rFonts w:hint="default"/>
          <w:lang w:val="en-US" w:eastAsia="zh-CN"/>
        </w:rPr>
        <w:t>)渠道查询投标人投标截止时间当天的信用记录。</w:t>
      </w:r>
    </w:p>
    <w:p w14:paraId="4009D545">
      <w:pPr>
        <w:rPr>
          <w:rFonts w:hint="default"/>
          <w:lang w:val="en-US" w:eastAsia="zh-CN"/>
        </w:rPr>
      </w:pPr>
      <w:r>
        <w:rPr>
          <w:rFonts w:hint="eastAsia"/>
          <w:lang w:val="en-US" w:eastAsia="zh-CN"/>
        </w:rPr>
        <w:t>19</w:t>
      </w:r>
      <w:r>
        <w:rPr>
          <w:rFonts w:hint="default"/>
          <w:lang w:val="en-US" w:eastAsia="zh-CN"/>
        </w:rPr>
        <w:t>.2信用信息查询记录和证据留存的具体方式：现场查询的投标人的信用记录、查询结果经确认后将与采购文件一起存档。</w:t>
      </w:r>
    </w:p>
    <w:p w14:paraId="0A1A4B68">
      <w:pPr>
        <w:rPr>
          <w:rFonts w:hint="default"/>
          <w:lang w:val="en-US" w:eastAsia="zh-CN"/>
        </w:rPr>
      </w:pPr>
      <w:r>
        <w:rPr>
          <w:rFonts w:hint="eastAsia"/>
          <w:lang w:val="en-US" w:eastAsia="zh-CN"/>
        </w:rPr>
        <w:t>19</w:t>
      </w:r>
      <w:r>
        <w:rPr>
          <w:rFonts w:hint="default"/>
          <w:lang w:val="en-US" w:eastAsia="zh-CN"/>
        </w:rPr>
        <w:t>.3信用信息的使用规则：经查询列入失信被执行人名单、重大税收违法案件当事人名单、</w:t>
      </w:r>
      <w:r>
        <w:rPr>
          <w:rFonts w:hint="eastAsia"/>
          <w:lang w:val="en-US" w:eastAsia="zh-CN"/>
        </w:rPr>
        <w:t>国企采购</w:t>
      </w:r>
      <w:r>
        <w:rPr>
          <w:rFonts w:hint="default"/>
          <w:lang w:val="en-US" w:eastAsia="zh-CN"/>
        </w:rPr>
        <w:t>严重违法失信行为记录名单的投标人将被拒绝参与</w:t>
      </w:r>
      <w:r>
        <w:rPr>
          <w:rFonts w:hint="eastAsia"/>
          <w:lang w:val="en-US" w:eastAsia="zh-CN"/>
        </w:rPr>
        <w:t>国企</w:t>
      </w:r>
      <w:r>
        <w:rPr>
          <w:rFonts w:hint="default"/>
          <w:lang w:val="en-US" w:eastAsia="zh-CN"/>
        </w:rPr>
        <w:t>采购活动。</w:t>
      </w:r>
    </w:p>
    <w:p w14:paraId="51D06AA0">
      <w:pPr>
        <w:pStyle w:val="3"/>
        <w:bidi w:val="0"/>
        <w:jc w:val="center"/>
        <w:rPr>
          <w:rFonts w:hint="default"/>
          <w:lang w:val="en-US" w:eastAsia="zh-CN"/>
        </w:rPr>
      </w:pPr>
      <w:bookmarkStart w:id="21" w:name="_Toc2495"/>
      <w:r>
        <w:rPr>
          <w:rFonts w:hint="eastAsia"/>
          <w:lang w:val="en-US" w:eastAsia="zh-CN"/>
        </w:rPr>
        <w:t>评标</w:t>
      </w:r>
      <w:bookmarkEnd w:id="21"/>
    </w:p>
    <w:p w14:paraId="65A2445A">
      <w:pPr>
        <w:rPr>
          <w:rFonts w:hint="default"/>
          <w:lang w:val="en-US" w:eastAsia="zh-CN"/>
        </w:rPr>
      </w:pPr>
      <w:r>
        <w:rPr>
          <w:rFonts w:hint="default"/>
          <w:lang w:val="en-US" w:eastAsia="zh-CN"/>
        </w:rPr>
        <w:t>2</w:t>
      </w:r>
      <w:r>
        <w:rPr>
          <w:rFonts w:hint="eastAsia"/>
          <w:lang w:val="en-US" w:eastAsia="zh-CN"/>
        </w:rPr>
        <w:t>0</w:t>
      </w:r>
      <w:r>
        <w:rPr>
          <w:rFonts w:hint="default"/>
          <w:lang w:val="en-US" w:eastAsia="zh-CN"/>
        </w:rPr>
        <w:t>. 评标委员会将根据征集文件和有关规定，履行评标工作职责，并按照评标方法及评分标准，全面衡量各投标人对征集文件的响应情况。对实质上响应征集文件的投标人，按照评审因素的量化指标排出推荐中标的投标人的先后顺序，并按顺序提出授标建议。详见征集文件第四部分评标办法。</w:t>
      </w:r>
    </w:p>
    <w:p w14:paraId="7D222722">
      <w:pPr>
        <w:pStyle w:val="3"/>
        <w:bidi w:val="0"/>
        <w:jc w:val="center"/>
        <w:rPr>
          <w:rFonts w:hint="default"/>
          <w:lang w:val="en-US" w:eastAsia="zh-CN"/>
        </w:rPr>
      </w:pPr>
      <w:bookmarkStart w:id="22" w:name="_Toc19542"/>
      <w:r>
        <w:rPr>
          <w:rFonts w:hint="eastAsia"/>
          <w:lang w:val="en-US" w:eastAsia="zh-CN"/>
        </w:rPr>
        <w:t>定标</w:t>
      </w:r>
      <w:bookmarkEnd w:id="22"/>
    </w:p>
    <w:p w14:paraId="7132A82D">
      <w:pPr>
        <w:rPr>
          <w:rFonts w:hint="default"/>
          <w:lang w:val="en-US" w:eastAsia="zh-CN"/>
        </w:rPr>
      </w:pPr>
      <w:r>
        <w:rPr>
          <w:rFonts w:hint="default"/>
          <w:lang w:val="en-US" w:eastAsia="zh-CN"/>
        </w:rPr>
        <w:t>2</w:t>
      </w:r>
      <w:r>
        <w:rPr>
          <w:rFonts w:hint="eastAsia"/>
          <w:lang w:val="en-US" w:eastAsia="zh-CN"/>
        </w:rPr>
        <w:t>1</w:t>
      </w:r>
      <w:r>
        <w:rPr>
          <w:rFonts w:hint="default"/>
          <w:lang w:val="en-US" w:eastAsia="zh-CN"/>
        </w:rPr>
        <w:t>. 确定入围供应商</w:t>
      </w:r>
    </w:p>
    <w:p w14:paraId="26960356">
      <w:pPr>
        <w:rPr>
          <w:rFonts w:hint="default"/>
          <w:lang w:val="en-US" w:eastAsia="zh-CN"/>
        </w:rPr>
      </w:pPr>
      <w:r>
        <w:rPr>
          <w:rFonts w:hint="default"/>
          <w:lang w:val="en-US" w:eastAsia="zh-CN"/>
        </w:rPr>
        <w:t>采购人将自收到评审报告之日起3个工作日内在评审报告推荐的入围候选人中按顺序确定入围供应商。</w:t>
      </w:r>
    </w:p>
    <w:p w14:paraId="15467EBF">
      <w:pPr>
        <w:rPr>
          <w:rFonts w:hint="default"/>
          <w:lang w:val="en-US" w:eastAsia="zh-CN"/>
        </w:rPr>
      </w:pPr>
      <w:r>
        <w:rPr>
          <w:rFonts w:hint="default"/>
          <w:lang w:val="en-US" w:eastAsia="zh-CN"/>
        </w:rPr>
        <w:t>2</w:t>
      </w:r>
      <w:r>
        <w:rPr>
          <w:rFonts w:hint="eastAsia"/>
          <w:lang w:val="en-US" w:eastAsia="zh-CN"/>
        </w:rPr>
        <w:t>2</w:t>
      </w:r>
      <w:r>
        <w:rPr>
          <w:rFonts w:hint="default"/>
          <w:lang w:val="en-US" w:eastAsia="zh-CN"/>
        </w:rPr>
        <w:t>. 入围通知与入围结果公告</w:t>
      </w:r>
    </w:p>
    <w:p w14:paraId="59BBEE99">
      <w:pPr>
        <w:rPr>
          <w:rFonts w:hint="default"/>
          <w:lang w:val="en-US" w:eastAsia="zh-CN"/>
        </w:rPr>
      </w:pPr>
      <w:r>
        <w:rPr>
          <w:rFonts w:hint="default"/>
          <w:lang w:val="en-US" w:eastAsia="zh-CN"/>
        </w:rPr>
        <w:t>2</w:t>
      </w:r>
      <w:r>
        <w:rPr>
          <w:rFonts w:hint="eastAsia"/>
          <w:lang w:val="en-US" w:eastAsia="zh-CN"/>
        </w:rPr>
        <w:t>2</w:t>
      </w:r>
      <w:r>
        <w:rPr>
          <w:rFonts w:hint="default"/>
          <w:lang w:val="en-US" w:eastAsia="zh-CN"/>
        </w:rPr>
        <w:t>.1自入围供应商确定之日起2个工作日内，采购代理机构向入围供应商发出入围通知书，同时编制发布采购结果公告。采购代理机构也可以以纸质形式进行入围通知。</w:t>
      </w:r>
    </w:p>
    <w:p w14:paraId="4C99511B">
      <w:pPr>
        <w:rPr>
          <w:rFonts w:hint="default"/>
          <w:lang w:val="en-US" w:eastAsia="zh-CN"/>
        </w:rPr>
      </w:pPr>
      <w:r>
        <w:rPr>
          <w:rFonts w:hint="default"/>
          <w:lang w:val="en-US" w:eastAsia="zh-CN"/>
        </w:rPr>
        <w:t>2</w:t>
      </w:r>
      <w:r>
        <w:rPr>
          <w:rFonts w:hint="eastAsia"/>
          <w:lang w:val="en-US" w:eastAsia="zh-CN"/>
        </w:rPr>
        <w:t>2</w:t>
      </w:r>
      <w:r>
        <w:rPr>
          <w:rFonts w:hint="default"/>
          <w:lang w:val="en-US" w:eastAsia="zh-CN"/>
        </w:rPr>
        <w:t>.2入围结果公告内容包括采购人及其委托的采购代理机构的名称、地址、联系方式，项目名称和项目编号，入围供应商名称、地址和中标金额，主要中标标的的名称、规格型号、数量、单价、服务要求，开标记录、未中标情况说明、中标公告期限以及评审专家名单、评分汇总及明细。</w:t>
      </w:r>
    </w:p>
    <w:p w14:paraId="66E913E9">
      <w:pPr>
        <w:rPr>
          <w:rFonts w:hint="default"/>
          <w:lang w:val="en-US" w:eastAsia="zh-CN"/>
        </w:rPr>
      </w:pPr>
      <w:r>
        <w:rPr>
          <w:rFonts w:hint="default"/>
          <w:lang w:val="en-US" w:eastAsia="zh-CN"/>
        </w:rPr>
        <w:t>2</w:t>
      </w:r>
      <w:r>
        <w:rPr>
          <w:rFonts w:hint="eastAsia"/>
          <w:lang w:val="en-US" w:eastAsia="zh-CN"/>
        </w:rPr>
        <w:t>2</w:t>
      </w:r>
      <w:r>
        <w:rPr>
          <w:rFonts w:hint="default"/>
          <w:lang w:val="en-US" w:eastAsia="zh-CN"/>
        </w:rPr>
        <w:t>.3公告期限为1个工作日。</w:t>
      </w:r>
    </w:p>
    <w:p w14:paraId="249BE097">
      <w:pPr>
        <w:pStyle w:val="3"/>
        <w:bidi w:val="0"/>
        <w:jc w:val="center"/>
        <w:rPr>
          <w:rFonts w:hint="default"/>
          <w:lang w:val="en-US" w:eastAsia="zh-CN"/>
        </w:rPr>
      </w:pPr>
      <w:bookmarkStart w:id="23" w:name="_Toc11670"/>
      <w:r>
        <w:rPr>
          <w:rFonts w:hint="eastAsia"/>
          <w:lang w:val="en-US" w:eastAsia="zh-CN"/>
        </w:rPr>
        <w:t>合同授予</w:t>
      </w:r>
      <w:bookmarkEnd w:id="23"/>
    </w:p>
    <w:p w14:paraId="0A601015">
      <w:pPr>
        <w:rPr>
          <w:rFonts w:hint="default"/>
          <w:lang w:val="en-US" w:eastAsia="zh-CN"/>
        </w:rPr>
      </w:pPr>
      <w:r>
        <w:rPr>
          <w:rFonts w:hint="default"/>
          <w:lang w:val="en-US" w:eastAsia="zh-CN"/>
        </w:rPr>
        <w:t>2</w:t>
      </w:r>
      <w:r>
        <w:rPr>
          <w:rFonts w:hint="eastAsia"/>
          <w:lang w:val="en-US" w:eastAsia="zh-CN"/>
        </w:rPr>
        <w:t>3</w:t>
      </w:r>
      <w:r>
        <w:rPr>
          <w:rFonts w:hint="default"/>
          <w:lang w:val="en-US" w:eastAsia="zh-CN"/>
        </w:rPr>
        <w:t>. 合同主要条款详见第五部分拟签订的合同文本。</w:t>
      </w:r>
    </w:p>
    <w:p w14:paraId="6EC51AB1">
      <w:pPr>
        <w:rPr>
          <w:rFonts w:hint="default"/>
          <w:lang w:val="en-US" w:eastAsia="zh-CN"/>
        </w:rPr>
      </w:pPr>
      <w:r>
        <w:rPr>
          <w:rFonts w:hint="default"/>
          <w:lang w:val="en-US" w:eastAsia="zh-CN"/>
        </w:rPr>
        <w:t>2</w:t>
      </w:r>
      <w:r>
        <w:rPr>
          <w:rFonts w:hint="eastAsia"/>
          <w:lang w:val="en-US" w:eastAsia="zh-CN"/>
        </w:rPr>
        <w:t>4</w:t>
      </w:r>
      <w:r>
        <w:rPr>
          <w:rFonts w:hint="default"/>
          <w:lang w:val="en-US" w:eastAsia="zh-CN"/>
        </w:rPr>
        <w:t>. 合同的签订</w:t>
      </w:r>
    </w:p>
    <w:p w14:paraId="136312C2">
      <w:pPr>
        <w:rPr>
          <w:rFonts w:hint="default"/>
          <w:lang w:val="en-US" w:eastAsia="zh-CN"/>
        </w:rPr>
      </w:pPr>
      <w:r>
        <w:rPr>
          <w:rFonts w:hint="default"/>
          <w:lang w:val="en-US" w:eastAsia="zh-CN"/>
        </w:rPr>
        <w:t>2</w:t>
      </w:r>
      <w:r>
        <w:rPr>
          <w:rFonts w:hint="eastAsia"/>
          <w:lang w:val="en-US" w:eastAsia="zh-CN"/>
        </w:rPr>
        <w:t>4</w:t>
      </w:r>
      <w:r>
        <w:rPr>
          <w:rFonts w:hint="default"/>
          <w:lang w:val="en-US" w:eastAsia="zh-CN"/>
        </w:rPr>
        <w:t>.1 采购人与入围供应商应当在入围通知书发出之日起三十日内，按照征集文件确定的事项签订采购合同，并在合同签订之日起2个工作日内依法发布合同公告。</w:t>
      </w:r>
    </w:p>
    <w:p w14:paraId="2EB72DA6">
      <w:pPr>
        <w:rPr>
          <w:rFonts w:hint="default"/>
          <w:lang w:val="en-US" w:eastAsia="zh-CN"/>
        </w:rPr>
      </w:pPr>
      <w:r>
        <w:rPr>
          <w:rFonts w:hint="default"/>
          <w:lang w:val="en-US" w:eastAsia="zh-CN"/>
        </w:rPr>
        <w:t>2</w:t>
      </w:r>
      <w:r>
        <w:rPr>
          <w:rFonts w:hint="eastAsia"/>
          <w:lang w:val="en-US" w:eastAsia="zh-CN"/>
        </w:rPr>
        <w:t>4</w:t>
      </w:r>
      <w:r>
        <w:rPr>
          <w:rFonts w:hint="default"/>
          <w:lang w:val="en-US" w:eastAsia="zh-CN"/>
        </w:rPr>
        <w:t>.2入围供应商按规定的日期、时间、地点，由法定代表人或其授权代表与采购人代表签订合同。</w:t>
      </w:r>
    </w:p>
    <w:p w14:paraId="3F2B4440">
      <w:pPr>
        <w:rPr>
          <w:rFonts w:hint="default"/>
          <w:lang w:val="en-US" w:eastAsia="zh-CN"/>
        </w:rPr>
      </w:pPr>
      <w:r>
        <w:rPr>
          <w:rFonts w:hint="default"/>
          <w:lang w:val="en-US" w:eastAsia="zh-CN"/>
        </w:rPr>
        <w:t>2</w:t>
      </w:r>
      <w:r>
        <w:rPr>
          <w:rFonts w:hint="eastAsia"/>
          <w:lang w:val="en-US" w:eastAsia="zh-CN"/>
        </w:rPr>
        <w:t>4</w:t>
      </w:r>
      <w:r>
        <w:rPr>
          <w:rFonts w:hint="default"/>
          <w:lang w:val="en-US" w:eastAsia="zh-CN"/>
        </w:rPr>
        <w:t>.3如签订合同并生效后，供应商无故拒绝或延期，除按照合同条款处理外，列入不良行为记录一次，并给予通报。</w:t>
      </w:r>
    </w:p>
    <w:p w14:paraId="63B08309">
      <w:pPr>
        <w:rPr>
          <w:rFonts w:hint="default"/>
          <w:lang w:val="en-US" w:eastAsia="zh-CN"/>
        </w:rPr>
      </w:pPr>
      <w:r>
        <w:rPr>
          <w:rFonts w:hint="default"/>
          <w:lang w:val="en-US" w:eastAsia="zh-CN"/>
        </w:rPr>
        <w:t>2</w:t>
      </w:r>
      <w:r>
        <w:rPr>
          <w:rFonts w:hint="eastAsia"/>
          <w:lang w:val="en-US" w:eastAsia="zh-CN"/>
        </w:rPr>
        <w:t>4</w:t>
      </w:r>
      <w:r>
        <w:rPr>
          <w:rFonts w:hint="default"/>
          <w:lang w:val="en-US" w:eastAsia="zh-CN"/>
        </w:rPr>
        <w:t>.4入围供应商拒绝与采购人签订合同的，采购人可以按照评审报告推荐的中标或者成交候选人名单排序，确定下一候选人为入围供应商，也可以重新开展采购活动。</w:t>
      </w:r>
    </w:p>
    <w:p w14:paraId="3360BDB7">
      <w:pPr>
        <w:rPr>
          <w:rFonts w:hint="default"/>
          <w:lang w:val="en-US" w:eastAsia="zh-CN"/>
        </w:rPr>
      </w:pPr>
    </w:p>
    <w:p w14:paraId="22D259B9">
      <w:pPr>
        <w:rPr>
          <w:rFonts w:hint="default"/>
          <w:lang w:val="en-US" w:eastAsia="zh-CN"/>
        </w:rPr>
      </w:pPr>
    </w:p>
    <w:p w14:paraId="20B56475">
      <w:pPr>
        <w:rPr>
          <w:rFonts w:hint="default"/>
          <w:lang w:val="en-US" w:eastAsia="zh-CN"/>
        </w:rPr>
      </w:pPr>
    </w:p>
    <w:p w14:paraId="163227AE">
      <w:pPr>
        <w:pStyle w:val="2"/>
        <w:bidi w:val="0"/>
        <w:jc w:val="center"/>
        <w:rPr>
          <w:rFonts w:hint="default"/>
          <w:lang w:val="en-US" w:eastAsia="zh-CN"/>
        </w:rPr>
      </w:pPr>
      <w:bookmarkStart w:id="24" w:name="_Toc30646"/>
      <w:r>
        <w:rPr>
          <w:rFonts w:hint="eastAsia"/>
          <w:lang w:val="en-US" w:eastAsia="zh-CN"/>
        </w:rPr>
        <w:t>采购需求</w:t>
      </w:r>
      <w:bookmarkEnd w:id="24"/>
    </w:p>
    <w:p w14:paraId="48E28FF9">
      <w:pPr>
        <w:pStyle w:val="4"/>
        <w:bidi w:val="0"/>
        <w:rPr>
          <w:rFonts w:hint="default"/>
          <w:lang w:val="en-US" w:eastAsia="zh-CN"/>
        </w:rPr>
      </w:pPr>
      <w:bookmarkStart w:id="25" w:name="_Toc21737"/>
      <w:bookmarkStart w:id="26" w:name="_Toc8045"/>
      <w:r>
        <w:rPr>
          <w:rFonts w:hint="eastAsia"/>
          <w:lang w:val="en-US" w:eastAsia="zh-CN"/>
        </w:rPr>
        <w:t>项目概况</w:t>
      </w:r>
      <w:bookmarkEnd w:id="25"/>
      <w:bookmarkEnd w:id="26"/>
    </w:p>
    <w:p w14:paraId="2CAFC910">
      <w:pPr>
        <w:rPr>
          <w:rFonts w:hint="eastAsia"/>
          <w:lang w:val="en-US" w:eastAsia="zh-CN"/>
        </w:rPr>
      </w:pPr>
      <w:r>
        <w:rPr>
          <w:rFonts w:hint="eastAsia"/>
          <w:lang w:val="en-US" w:eastAsia="zh-CN"/>
        </w:rPr>
        <w:t>为保障桐庐县保安服务有限公司消防器材供应，经集团审批同意，特面向社会供应商采购消防器材，本项目为年度采购，入围供应商根据采购人实际需求保质、保量、按期供货。</w:t>
      </w:r>
    </w:p>
    <w:p w14:paraId="6288A822">
      <w:pPr>
        <w:pStyle w:val="4"/>
        <w:bidi w:val="0"/>
        <w:rPr>
          <w:rFonts w:hint="default"/>
          <w:lang w:val="en-US" w:eastAsia="zh-CN"/>
        </w:rPr>
      </w:pPr>
      <w:bookmarkStart w:id="27" w:name="_Toc15117"/>
      <w:bookmarkStart w:id="28" w:name="_Toc20051"/>
      <w:r>
        <w:rPr>
          <w:rFonts w:hint="eastAsia"/>
          <w:lang w:val="en-US" w:eastAsia="zh-CN"/>
        </w:rPr>
        <w:t>采购内容</w:t>
      </w:r>
      <w:bookmarkEnd w:id="27"/>
      <w:bookmarkEnd w:id="28"/>
    </w:p>
    <w:p w14:paraId="32BBBA25">
      <w:pPr>
        <w:numPr>
          <w:ilvl w:val="0"/>
          <w:numId w:val="2"/>
        </w:numPr>
        <w:rPr>
          <w:rFonts w:hint="eastAsia"/>
          <w:lang w:val="en-US" w:eastAsia="zh-CN"/>
        </w:rPr>
      </w:pPr>
      <w:r>
        <w:rPr>
          <w:rFonts w:hint="eastAsia"/>
          <w:lang w:val="en-US" w:eastAsia="zh-CN"/>
        </w:rPr>
        <w:t>采购产品</w:t>
      </w:r>
    </w:p>
    <w:tbl>
      <w:tblPr>
        <w:tblStyle w:val="17"/>
        <w:tblW w:w="499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36"/>
        <w:gridCol w:w="1479"/>
        <w:gridCol w:w="7627"/>
      </w:tblGrid>
      <w:tr w14:paraId="0A91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53" w:hRule="atLeast"/>
        </w:trPr>
        <w:tc>
          <w:tcPr>
            <w:tcW w:w="420" w:type="pct"/>
            <w:vMerge w:val="restart"/>
            <w:tcBorders>
              <w:tl2br w:val="nil"/>
              <w:tr2bl w:val="nil"/>
            </w:tcBorders>
            <w:shd w:val="clear" w:color="auto" w:fill="auto"/>
            <w:noWrap/>
            <w:vAlign w:val="center"/>
          </w:tcPr>
          <w:p w14:paraId="0A4EFF47">
            <w:pPr>
              <w:bidi w:val="0"/>
              <w:jc w:val="center"/>
              <w:rPr>
                <w:rFonts w:hint="eastAsia"/>
              </w:rPr>
            </w:pPr>
            <w:r>
              <w:rPr>
                <w:rFonts w:hint="eastAsia"/>
                <w:lang w:val="en-US" w:eastAsia="zh-CN"/>
              </w:rPr>
              <w:t>序号</w:t>
            </w:r>
          </w:p>
        </w:tc>
        <w:tc>
          <w:tcPr>
            <w:tcW w:w="743" w:type="pct"/>
            <w:vMerge w:val="restart"/>
            <w:tcBorders>
              <w:tl2br w:val="nil"/>
              <w:tr2bl w:val="nil"/>
            </w:tcBorders>
            <w:shd w:val="clear" w:color="auto" w:fill="auto"/>
            <w:noWrap/>
            <w:vAlign w:val="center"/>
          </w:tcPr>
          <w:p w14:paraId="4BAD6085">
            <w:pPr>
              <w:bidi w:val="0"/>
              <w:jc w:val="center"/>
              <w:rPr>
                <w:rFonts w:hint="eastAsia"/>
              </w:rPr>
            </w:pPr>
            <w:r>
              <w:rPr>
                <w:rFonts w:hint="eastAsia"/>
                <w:lang w:val="en-US" w:eastAsia="zh-CN"/>
              </w:rPr>
              <w:t>产品名称</w:t>
            </w:r>
          </w:p>
        </w:tc>
        <w:tc>
          <w:tcPr>
            <w:tcW w:w="3835" w:type="pct"/>
            <w:vMerge w:val="restart"/>
            <w:tcBorders>
              <w:tl2br w:val="nil"/>
              <w:tr2bl w:val="nil"/>
            </w:tcBorders>
            <w:shd w:val="clear" w:color="auto" w:fill="auto"/>
            <w:noWrap/>
            <w:vAlign w:val="center"/>
          </w:tcPr>
          <w:p w14:paraId="0D928512">
            <w:pPr>
              <w:keepNext w:val="0"/>
              <w:keepLines w:val="0"/>
              <w:widowControl/>
              <w:suppressLineNumbers w:val="0"/>
              <w:jc w:val="left"/>
              <w:rPr>
                <w:rFonts w:hint="default"/>
                <w:lang w:val="en-US" w:eastAsia="zh-CN"/>
              </w:rPr>
            </w:pPr>
            <w:r>
              <w:rPr>
                <w:rFonts w:hint="eastAsia" w:ascii="仿宋" w:hAnsi="仿宋" w:cs="仿宋"/>
                <w:b/>
                <w:bCs/>
                <w:color w:val="000000"/>
                <w:kern w:val="0"/>
                <w:sz w:val="24"/>
                <w:szCs w:val="24"/>
                <w:lang w:val="en-US" w:eastAsia="zh-CN" w:bidi="ar"/>
              </w:rPr>
              <w:t>品牌要求：</w:t>
            </w:r>
            <w:r>
              <w:rPr>
                <w:rFonts w:ascii="仿宋" w:hAnsi="仿宋" w:eastAsia="仿宋" w:cs="仿宋"/>
                <w:b/>
                <w:bCs/>
                <w:color w:val="000000"/>
                <w:kern w:val="0"/>
                <w:sz w:val="24"/>
                <w:szCs w:val="24"/>
                <w:lang w:val="en-US" w:eastAsia="zh-CN" w:bidi="ar"/>
              </w:rPr>
              <w:t>供应商须具备以下品牌货源（但不限于）。</w:t>
            </w:r>
          </w:p>
        </w:tc>
      </w:tr>
      <w:tr w14:paraId="324C4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420" w:type="pct"/>
            <w:vMerge w:val="continue"/>
            <w:tcBorders>
              <w:tl2br w:val="nil"/>
              <w:tr2bl w:val="nil"/>
            </w:tcBorders>
            <w:shd w:val="clear" w:color="auto" w:fill="auto"/>
            <w:noWrap/>
            <w:vAlign w:val="center"/>
          </w:tcPr>
          <w:p w14:paraId="20D2E5A4">
            <w:pPr>
              <w:bidi w:val="0"/>
              <w:jc w:val="center"/>
              <w:rPr>
                <w:rFonts w:hint="eastAsia"/>
                <w:lang w:val="en-US" w:eastAsia="zh-CN"/>
              </w:rPr>
            </w:pPr>
          </w:p>
        </w:tc>
        <w:tc>
          <w:tcPr>
            <w:tcW w:w="743" w:type="pct"/>
            <w:vMerge w:val="continue"/>
            <w:tcBorders>
              <w:tl2br w:val="nil"/>
              <w:tr2bl w:val="nil"/>
            </w:tcBorders>
            <w:shd w:val="clear" w:color="auto" w:fill="auto"/>
            <w:noWrap/>
            <w:vAlign w:val="center"/>
          </w:tcPr>
          <w:p w14:paraId="321E1216">
            <w:pPr>
              <w:bidi w:val="0"/>
              <w:jc w:val="center"/>
              <w:rPr>
                <w:rFonts w:hint="eastAsia"/>
                <w:lang w:val="en-US" w:eastAsia="zh-CN"/>
              </w:rPr>
            </w:pPr>
          </w:p>
        </w:tc>
        <w:tc>
          <w:tcPr>
            <w:tcW w:w="3835" w:type="pct"/>
            <w:vMerge w:val="continue"/>
            <w:tcBorders>
              <w:tl2br w:val="nil"/>
              <w:tr2bl w:val="nil"/>
            </w:tcBorders>
            <w:shd w:val="clear" w:color="auto" w:fill="auto"/>
            <w:noWrap/>
            <w:vAlign w:val="center"/>
          </w:tcPr>
          <w:p w14:paraId="66B7B15A">
            <w:pPr>
              <w:bidi w:val="0"/>
              <w:jc w:val="center"/>
              <w:rPr>
                <w:rFonts w:hint="eastAsia"/>
                <w:lang w:val="en-US" w:eastAsia="zh-CN"/>
              </w:rPr>
            </w:pPr>
          </w:p>
        </w:tc>
      </w:tr>
      <w:tr w14:paraId="458FD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 w:hRule="atLeast"/>
        </w:trPr>
        <w:tc>
          <w:tcPr>
            <w:tcW w:w="420" w:type="pct"/>
            <w:vMerge w:val="continue"/>
            <w:tcBorders>
              <w:tl2br w:val="nil"/>
              <w:tr2bl w:val="nil"/>
            </w:tcBorders>
            <w:shd w:val="clear" w:color="auto" w:fill="auto"/>
            <w:noWrap/>
            <w:vAlign w:val="center"/>
          </w:tcPr>
          <w:p w14:paraId="11F04C8C">
            <w:pPr>
              <w:bidi w:val="0"/>
              <w:jc w:val="center"/>
              <w:rPr>
                <w:rFonts w:hint="eastAsia"/>
                <w:lang w:val="en-US" w:eastAsia="zh-CN"/>
              </w:rPr>
            </w:pPr>
          </w:p>
        </w:tc>
        <w:tc>
          <w:tcPr>
            <w:tcW w:w="743" w:type="pct"/>
            <w:vMerge w:val="continue"/>
            <w:tcBorders>
              <w:tl2br w:val="nil"/>
              <w:tr2bl w:val="nil"/>
            </w:tcBorders>
            <w:shd w:val="clear" w:color="auto" w:fill="auto"/>
            <w:noWrap/>
            <w:vAlign w:val="center"/>
          </w:tcPr>
          <w:p w14:paraId="41419DDF">
            <w:pPr>
              <w:bidi w:val="0"/>
              <w:jc w:val="center"/>
              <w:rPr>
                <w:rFonts w:hint="eastAsia"/>
                <w:lang w:val="en-US" w:eastAsia="zh-CN"/>
              </w:rPr>
            </w:pPr>
          </w:p>
        </w:tc>
        <w:tc>
          <w:tcPr>
            <w:tcW w:w="3835" w:type="pct"/>
            <w:vMerge w:val="continue"/>
            <w:tcBorders>
              <w:tl2br w:val="nil"/>
              <w:tr2bl w:val="nil"/>
            </w:tcBorders>
            <w:shd w:val="clear" w:color="auto" w:fill="auto"/>
            <w:noWrap/>
            <w:vAlign w:val="center"/>
          </w:tcPr>
          <w:p w14:paraId="09FBE6F2">
            <w:pPr>
              <w:bidi w:val="0"/>
              <w:jc w:val="center"/>
              <w:rPr>
                <w:rFonts w:hint="eastAsia"/>
                <w:lang w:val="en-US" w:eastAsia="zh-CN"/>
              </w:rPr>
            </w:pPr>
          </w:p>
        </w:tc>
      </w:tr>
      <w:tr w14:paraId="2E513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48B36DFA">
            <w:pPr>
              <w:bidi w:val="0"/>
              <w:jc w:val="center"/>
              <w:rPr>
                <w:rFonts w:hint="eastAsia" w:eastAsia="仿宋"/>
                <w:lang w:val="en-US" w:eastAsia="zh-CN"/>
              </w:rPr>
            </w:pPr>
            <w:r>
              <w:rPr>
                <w:rFonts w:hint="eastAsia"/>
                <w:lang w:val="en-US" w:eastAsia="zh-CN"/>
              </w:rPr>
              <w:t>1</w:t>
            </w:r>
          </w:p>
        </w:tc>
        <w:tc>
          <w:tcPr>
            <w:tcW w:w="743" w:type="pct"/>
            <w:tcBorders>
              <w:tl2br w:val="nil"/>
              <w:tr2bl w:val="nil"/>
            </w:tcBorders>
            <w:shd w:val="clear" w:color="auto" w:fill="auto"/>
            <w:noWrap/>
            <w:vAlign w:val="center"/>
          </w:tcPr>
          <w:p w14:paraId="4A82C5F7">
            <w:pPr>
              <w:bidi w:val="0"/>
              <w:jc w:val="center"/>
              <w:rPr>
                <w:rFonts w:hint="eastAsia"/>
              </w:rPr>
            </w:pPr>
            <w:r>
              <w:rPr>
                <w:rFonts w:hint="eastAsia"/>
                <w:lang w:val="en-US" w:eastAsia="zh-CN"/>
              </w:rPr>
              <w:t>灭火器</w:t>
            </w:r>
          </w:p>
        </w:tc>
        <w:tc>
          <w:tcPr>
            <w:tcW w:w="3835" w:type="pct"/>
            <w:vMerge w:val="restart"/>
            <w:tcBorders>
              <w:tl2br w:val="nil"/>
              <w:tr2bl w:val="nil"/>
            </w:tcBorders>
            <w:shd w:val="clear" w:color="auto" w:fill="auto"/>
            <w:noWrap/>
            <w:vAlign w:val="center"/>
          </w:tcPr>
          <w:p w14:paraId="14801EA7">
            <w:pPr>
              <w:keepNext w:val="0"/>
              <w:keepLines w:val="0"/>
              <w:widowControl/>
              <w:suppressLineNumbers w:val="0"/>
              <w:jc w:val="left"/>
              <w:rPr>
                <w:rFonts w:hint="eastAsia"/>
                <w:lang w:val="en-US" w:eastAsia="zh-CN"/>
              </w:rPr>
            </w:pPr>
            <w:r>
              <w:rPr>
                <w:rFonts w:hint="eastAsia"/>
                <w:lang w:val="en-US" w:eastAsia="zh-CN"/>
              </w:rPr>
              <w:t>星浙安、威能（杭消）、浙江金盾、沱雨（泰州三江）、福建双龙</w:t>
            </w:r>
          </w:p>
          <w:p w14:paraId="63374FAD">
            <w:pPr>
              <w:bidi w:val="0"/>
              <w:jc w:val="center"/>
              <w:rPr>
                <w:rFonts w:hint="default"/>
                <w:lang w:val="en-US" w:eastAsia="zh-CN"/>
              </w:rPr>
            </w:pPr>
          </w:p>
        </w:tc>
      </w:tr>
      <w:tr w14:paraId="6E09F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5F5F9057">
            <w:pPr>
              <w:bidi w:val="0"/>
              <w:jc w:val="center"/>
              <w:rPr>
                <w:rFonts w:hint="default"/>
                <w:lang w:val="en-US" w:eastAsia="zh-CN"/>
              </w:rPr>
            </w:pPr>
            <w:r>
              <w:rPr>
                <w:rFonts w:hint="eastAsia"/>
                <w:lang w:val="en-US" w:eastAsia="zh-CN"/>
              </w:rPr>
              <w:t>2</w:t>
            </w:r>
          </w:p>
        </w:tc>
        <w:tc>
          <w:tcPr>
            <w:tcW w:w="743" w:type="pct"/>
            <w:tcBorders>
              <w:tl2br w:val="nil"/>
              <w:tr2bl w:val="nil"/>
            </w:tcBorders>
            <w:shd w:val="clear" w:color="auto" w:fill="auto"/>
            <w:noWrap/>
            <w:vAlign w:val="center"/>
          </w:tcPr>
          <w:p w14:paraId="41E3EF5B">
            <w:pPr>
              <w:bidi w:val="0"/>
              <w:jc w:val="center"/>
              <w:rPr>
                <w:rFonts w:hint="default"/>
                <w:lang w:val="en-US" w:eastAsia="zh-CN"/>
              </w:rPr>
            </w:pPr>
            <w:r>
              <w:rPr>
                <w:rFonts w:hint="eastAsia"/>
                <w:lang w:val="en-US" w:eastAsia="zh-CN"/>
              </w:rPr>
              <w:t>消火栓</w:t>
            </w:r>
          </w:p>
        </w:tc>
        <w:tc>
          <w:tcPr>
            <w:tcW w:w="3835" w:type="pct"/>
            <w:vMerge w:val="continue"/>
            <w:tcBorders>
              <w:tl2br w:val="nil"/>
              <w:tr2bl w:val="nil"/>
            </w:tcBorders>
            <w:shd w:val="clear" w:color="auto" w:fill="auto"/>
            <w:noWrap/>
            <w:vAlign w:val="center"/>
          </w:tcPr>
          <w:p w14:paraId="0BF6D44F">
            <w:pPr>
              <w:bidi w:val="0"/>
              <w:jc w:val="center"/>
              <w:rPr>
                <w:rFonts w:hint="eastAsia"/>
                <w:lang w:val="en-US" w:eastAsia="zh-CN"/>
              </w:rPr>
            </w:pPr>
          </w:p>
        </w:tc>
      </w:tr>
      <w:tr w14:paraId="6D221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17A0C1AB">
            <w:pPr>
              <w:bidi w:val="0"/>
              <w:jc w:val="center"/>
              <w:rPr>
                <w:rFonts w:hint="default"/>
                <w:lang w:val="en-US" w:eastAsia="zh-CN"/>
              </w:rPr>
            </w:pPr>
            <w:r>
              <w:rPr>
                <w:rFonts w:hint="eastAsia"/>
                <w:lang w:val="en-US" w:eastAsia="zh-CN"/>
              </w:rPr>
              <w:t>3</w:t>
            </w:r>
          </w:p>
        </w:tc>
        <w:tc>
          <w:tcPr>
            <w:tcW w:w="743" w:type="pct"/>
            <w:tcBorders>
              <w:tl2br w:val="nil"/>
              <w:tr2bl w:val="nil"/>
            </w:tcBorders>
            <w:shd w:val="clear" w:color="auto" w:fill="auto"/>
            <w:noWrap/>
            <w:vAlign w:val="center"/>
          </w:tcPr>
          <w:p w14:paraId="579D0761">
            <w:pPr>
              <w:bidi w:val="0"/>
              <w:jc w:val="center"/>
              <w:rPr>
                <w:rFonts w:hint="default" w:ascii="汉仪正圆 55简" w:hAnsi="汉仪正圆 55简" w:eastAsia="仿宋" w:cstheme="minorBidi"/>
                <w:kern w:val="2"/>
                <w:sz w:val="24"/>
                <w:szCs w:val="22"/>
                <w:lang w:val="en-US" w:eastAsia="zh-CN" w:bidi="ar-SA"/>
              </w:rPr>
            </w:pPr>
            <w:r>
              <w:rPr>
                <w:rFonts w:hint="eastAsia"/>
                <w:lang w:val="en-US" w:eastAsia="zh-CN"/>
              </w:rPr>
              <w:t>灭火器箱</w:t>
            </w:r>
          </w:p>
        </w:tc>
        <w:tc>
          <w:tcPr>
            <w:tcW w:w="3835" w:type="pct"/>
            <w:vMerge w:val="continue"/>
            <w:tcBorders>
              <w:tl2br w:val="nil"/>
              <w:tr2bl w:val="nil"/>
            </w:tcBorders>
            <w:shd w:val="clear" w:color="auto" w:fill="auto"/>
            <w:noWrap/>
            <w:vAlign w:val="center"/>
          </w:tcPr>
          <w:p w14:paraId="3367D5DE">
            <w:pPr>
              <w:bidi w:val="0"/>
              <w:jc w:val="center"/>
              <w:rPr>
                <w:rFonts w:hint="eastAsia"/>
                <w:lang w:val="en-US" w:eastAsia="zh-CN"/>
              </w:rPr>
            </w:pPr>
          </w:p>
        </w:tc>
      </w:tr>
      <w:tr w14:paraId="43E94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37F810F3">
            <w:pPr>
              <w:bidi w:val="0"/>
              <w:jc w:val="center"/>
              <w:rPr>
                <w:rFonts w:hint="default"/>
                <w:lang w:val="en-US" w:eastAsia="zh-CN"/>
              </w:rPr>
            </w:pPr>
            <w:r>
              <w:rPr>
                <w:rFonts w:hint="eastAsia"/>
                <w:lang w:val="en-US" w:eastAsia="zh-CN"/>
              </w:rPr>
              <w:t>4</w:t>
            </w:r>
          </w:p>
        </w:tc>
        <w:tc>
          <w:tcPr>
            <w:tcW w:w="743" w:type="pct"/>
            <w:tcBorders>
              <w:tl2br w:val="nil"/>
              <w:tr2bl w:val="nil"/>
            </w:tcBorders>
            <w:shd w:val="clear" w:color="auto" w:fill="auto"/>
            <w:noWrap/>
            <w:vAlign w:val="center"/>
          </w:tcPr>
          <w:p w14:paraId="6EF32832">
            <w:pPr>
              <w:bidi w:val="0"/>
              <w:jc w:val="center"/>
              <w:rPr>
                <w:rFonts w:hint="default" w:ascii="汉仪正圆 55简" w:hAnsi="汉仪正圆 55简" w:eastAsia="仿宋" w:cstheme="minorBidi"/>
                <w:kern w:val="2"/>
                <w:sz w:val="24"/>
                <w:szCs w:val="22"/>
                <w:lang w:val="en-US" w:eastAsia="zh-CN" w:bidi="ar-SA"/>
              </w:rPr>
            </w:pPr>
            <w:r>
              <w:rPr>
                <w:rFonts w:hint="eastAsia"/>
                <w:lang w:val="en-US" w:eastAsia="zh-CN"/>
              </w:rPr>
              <w:t>消火栓箱</w:t>
            </w:r>
          </w:p>
        </w:tc>
        <w:tc>
          <w:tcPr>
            <w:tcW w:w="3835" w:type="pct"/>
            <w:vMerge w:val="continue"/>
            <w:tcBorders>
              <w:tl2br w:val="nil"/>
              <w:tr2bl w:val="nil"/>
            </w:tcBorders>
            <w:shd w:val="clear" w:color="auto" w:fill="auto"/>
            <w:noWrap/>
            <w:vAlign w:val="center"/>
          </w:tcPr>
          <w:p w14:paraId="4B689EE4">
            <w:pPr>
              <w:bidi w:val="0"/>
              <w:jc w:val="center"/>
              <w:rPr>
                <w:rFonts w:hint="eastAsia"/>
                <w:lang w:val="en-US" w:eastAsia="zh-CN"/>
              </w:rPr>
            </w:pPr>
          </w:p>
        </w:tc>
      </w:tr>
      <w:tr w14:paraId="1629A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3F8041B8">
            <w:pPr>
              <w:bidi w:val="0"/>
              <w:jc w:val="center"/>
              <w:rPr>
                <w:rFonts w:hint="default"/>
                <w:lang w:val="en-US" w:eastAsia="zh-CN"/>
              </w:rPr>
            </w:pPr>
            <w:r>
              <w:rPr>
                <w:rFonts w:hint="eastAsia"/>
                <w:lang w:val="en-US" w:eastAsia="zh-CN"/>
              </w:rPr>
              <w:t>5</w:t>
            </w:r>
          </w:p>
        </w:tc>
        <w:tc>
          <w:tcPr>
            <w:tcW w:w="743" w:type="pct"/>
            <w:tcBorders>
              <w:tl2br w:val="nil"/>
              <w:tr2bl w:val="nil"/>
            </w:tcBorders>
            <w:shd w:val="clear" w:color="auto" w:fill="auto"/>
            <w:noWrap/>
            <w:vAlign w:val="center"/>
          </w:tcPr>
          <w:p w14:paraId="42BB7C22">
            <w:pPr>
              <w:bidi w:val="0"/>
              <w:jc w:val="center"/>
              <w:rPr>
                <w:rFonts w:hint="default" w:ascii="汉仪正圆 55简" w:hAnsi="汉仪正圆 55简" w:eastAsia="仿宋" w:cstheme="minorBidi"/>
                <w:kern w:val="2"/>
                <w:sz w:val="24"/>
                <w:szCs w:val="22"/>
                <w:lang w:val="en-US" w:eastAsia="zh-CN" w:bidi="ar-SA"/>
              </w:rPr>
            </w:pPr>
            <w:r>
              <w:rPr>
                <w:rFonts w:hint="eastAsia" w:cstheme="minorBidi"/>
                <w:kern w:val="2"/>
                <w:sz w:val="24"/>
                <w:szCs w:val="22"/>
                <w:lang w:val="en-US" w:eastAsia="zh-CN" w:bidi="ar-SA"/>
              </w:rPr>
              <w:t>水枪</w:t>
            </w:r>
          </w:p>
        </w:tc>
        <w:tc>
          <w:tcPr>
            <w:tcW w:w="3835" w:type="pct"/>
            <w:vMerge w:val="continue"/>
            <w:tcBorders>
              <w:tl2br w:val="nil"/>
              <w:tr2bl w:val="nil"/>
            </w:tcBorders>
            <w:shd w:val="clear" w:color="auto" w:fill="auto"/>
            <w:noWrap/>
            <w:vAlign w:val="center"/>
          </w:tcPr>
          <w:p w14:paraId="3DE288E7">
            <w:pPr>
              <w:bidi w:val="0"/>
              <w:jc w:val="center"/>
              <w:rPr>
                <w:rFonts w:hint="eastAsia"/>
                <w:lang w:val="en-US" w:eastAsia="zh-CN"/>
              </w:rPr>
            </w:pPr>
          </w:p>
        </w:tc>
      </w:tr>
      <w:tr w14:paraId="579C2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3C6B5B41">
            <w:pPr>
              <w:bidi w:val="0"/>
              <w:jc w:val="center"/>
              <w:rPr>
                <w:rFonts w:hint="default"/>
                <w:lang w:val="en-US" w:eastAsia="zh-CN"/>
              </w:rPr>
            </w:pPr>
            <w:r>
              <w:rPr>
                <w:rFonts w:hint="eastAsia"/>
                <w:lang w:val="en-US" w:eastAsia="zh-CN"/>
              </w:rPr>
              <w:t>6</w:t>
            </w:r>
          </w:p>
        </w:tc>
        <w:tc>
          <w:tcPr>
            <w:tcW w:w="743" w:type="pct"/>
            <w:tcBorders>
              <w:tl2br w:val="nil"/>
              <w:tr2bl w:val="nil"/>
            </w:tcBorders>
            <w:shd w:val="clear" w:color="auto" w:fill="auto"/>
            <w:noWrap/>
            <w:vAlign w:val="center"/>
          </w:tcPr>
          <w:p w14:paraId="22B5D4B0">
            <w:pPr>
              <w:bidi w:val="0"/>
              <w:jc w:val="center"/>
              <w:rPr>
                <w:rFonts w:hint="default" w:ascii="汉仪正圆 55简" w:hAnsi="汉仪正圆 55简" w:eastAsia="仿宋" w:cstheme="minorBidi"/>
                <w:kern w:val="2"/>
                <w:sz w:val="24"/>
                <w:szCs w:val="22"/>
                <w:lang w:val="en-US" w:eastAsia="zh-CN" w:bidi="ar-SA"/>
              </w:rPr>
            </w:pPr>
            <w:r>
              <w:rPr>
                <w:rFonts w:hint="eastAsia" w:cstheme="minorBidi"/>
                <w:kern w:val="2"/>
                <w:sz w:val="24"/>
                <w:szCs w:val="22"/>
                <w:lang w:val="en-US" w:eastAsia="zh-CN" w:bidi="ar-SA"/>
              </w:rPr>
              <w:t>水带</w:t>
            </w:r>
          </w:p>
        </w:tc>
        <w:tc>
          <w:tcPr>
            <w:tcW w:w="3835" w:type="pct"/>
            <w:vMerge w:val="continue"/>
            <w:tcBorders>
              <w:tl2br w:val="nil"/>
              <w:tr2bl w:val="nil"/>
            </w:tcBorders>
            <w:shd w:val="clear" w:color="auto" w:fill="auto"/>
            <w:noWrap/>
            <w:vAlign w:val="center"/>
          </w:tcPr>
          <w:p w14:paraId="00E56E4F">
            <w:pPr>
              <w:bidi w:val="0"/>
              <w:jc w:val="center"/>
              <w:rPr>
                <w:rFonts w:hint="eastAsia"/>
                <w:lang w:val="en-US" w:eastAsia="zh-CN"/>
              </w:rPr>
            </w:pPr>
          </w:p>
        </w:tc>
      </w:tr>
      <w:tr w14:paraId="430D8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409A6BC0">
            <w:pPr>
              <w:bidi w:val="0"/>
              <w:jc w:val="center"/>
              <w:rPr>
                <w:rFonts w:hint="default"/>
                <w:lang w:val="en-US" w:eastAsia="zh-CN"/>
              </w:rPr>
            </w:pPr>
            <w:r>
              <w:rPr>
                <w:rFonts w:hint="eastAsia"/>
                <w:lang w:val="en-US" w:eastAsia="zh-CN"/>
              </w:rPr>
              <w:t>7</w:t>
            </w:r>
          </w:p>
        </w:tc>
        <w:tc>
          <w:tcPr>
            <w:tcW w:w="743" w:type="pct"/>
            <w:tcBorders>
              <w:tl2br w:val="nil"/>
              <w:tr2bl w:val="nil"/>
            </w:tcBorders>
            <w:shd w:val="clear" w:color="auto" w:fill="auto"/>
            <w:noWrap/>
            <w:vAlign w:val="center"/>
          </w:tcPr>
          <w:p w14:paraId="1B60E562">
            <w:pPr>
              <w:bidi w:val="0"/>
              <w:jc w:val="center"/>
              <w:rPr>
                <w:rFonts w:hint="default"/>
                <w:lang w:val="en-US" w:eastAsia="zh-CN"/>
              </w:rPr>
            </w:pPr>
            <w:r>
              <w:rPr>
                <w:rFonts w:hint="eastAsia"/>
                <w:lang w:val="en-US" w:eastAsia="zh-CN"/>
              </w:rPr>
              <w:t>自救卷盘</w:t>
            </w:r>
          </w:p>
        </w:tc>
        <w:tc>
          <w:tcPr>
            <w:tcW w:w="3835" w:type="pct"/>
            <w:vMerge w:val="continue"/>
            <w:tcBorders>
              <w:tl2br w:val="nil"/>
              <w:tr2bl w:val="nil"/>
            </w:tcBorders>
            <w:shd w:val="clear" w:color="auto" w:fill="auto"/>
            <w:noWrap/>
            <w:vAlign w:val="center"/>
          </w:tcPr>
          <w:p w14:paraId="49B33556">
            <w:pPr>
              <w:bidi w:val="0"/>
              <w:jc w:val="center"/>
              <w:rPr>
                <w:rFonts w:hint="eastAsia"/>
                <w:lang w:val="en-US" w:eastAsia="zh-CN"/>
              </w:rPr>
            </w:pPr>
          </w:p>
        </w:tc>
      </w:tr>
      <w:tr w14:paraId="21834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153D3EE5">
            <w:pPr>
              <w:bidi w:val="0"/>
              <w:jc w:val="center"/>
              <w:rPr>
                <w:rFonts w:hint="default"/>
                <w:lang w:val="en-US" w:eastAsia="zh-CN"/>
              </w:rPr>
            </w:pPr>
            <w:r>
              <w:rPr>
                <w:rFonts w:hint="eastAsia"/>
                <w:lang w:val="en-US" w:eastAsia="zh-CN"/>
              </w:rPr>
              <w:t>8</w:t>
            </w:r>
          </w:p>
        </w:tc>
        <w:tc>
          <w:tcPr>
            <w:tcW w:w="743" w:type="pct"/>
            <w:tcBorders>
              <w:tl2br w:val="nil"/>
              <w:tr2bl w:val="nil"/>
            </w:tcBorders>
            <w:shd w:val="clear" w:color="auto" w:fill="auto"/>
            <w:noWrap/>
            <w:vAlign w:val="center"/>
          </w:tcPr>
          <w:p w14:paraId="773DC22D">
            <w:pPr>
              <w:bidi w:val="0"/>
              <w:jc w:val="center"/>
              <w:rPr>
                <w:rFonts w:hint="default"/>
                <w:lang w:val="en-US" w:eastAsia="zh-CN"/>
              </w:rPr>
            </w:pPr>
            <w:r>
              <w:rPr>
                <w:rFonts w:hint="eastAsia"/>
                <w:lang w:val="en-US" w:eastAsia="zh-CN"/>
              </w:rPr>
              <w:t>消防应急照明</w:t>
            </w:r>
          </w:p>
        </w:tc>
        <w:tc>
          <w:tcPr>
            <w:tcW w:w="3835" w:type="pct"/>
            <w:tcBorders>
              <w:tl2br w:val="nil"/>
              <w:tr2bl w:val="nil"/>
            </w:tcBorders>
            <w:shd w:val="clear" w:color="auto" w:fill="auto"/>
            <w:noWrap/>
            <w:vAlign w:val="center"/>
          </w:tcPr>
          <w:p w14:paraId="0BB51368">
            <w:pPr>
              <w:keepNext w:val="0"/>
              <w:keepLines w:val="0"/>
              <w:widowControl/>
              <w:suppressLineNumbers w:val="0"/>
              <w:jc w:val="left"/>
              <w:rPr>
                <w:rFonts w:hint="eastAsia"/>
                <w:lang w:val="en-US" w:eastAsia="zh-CN"/>
              </w:rPr>
            </w:pPr>
            <w:r>
              <w:rPr>
                <w:rFonts w:hint="eastAsia"/>
                <w:lang w:val="en-US" w:eastAsia="zh-CN"/>
              </w:rPr>
              <w:t>TYST（浙江台谊）、敏华、青鸟消防</w:t>
            </w:r>
          </w:p>
        </w:tc>
      </w:tr>
    </w:tbl>
    <w:p w14:paraId="144EEECB">
      <w:pPr>
        <w:bidi w:val="0"/>
        <w:rPr>
          <w:rFonts w:hint="default"/>
          <w:b/>
          <w:bCs/>
          <w:color w:val="FF0000"/>
          <w:lang w:val="en-US" w:eastAsia="zh-CN"/>
        </w:rPr>
      </w:pPr>
      <w:bookmarkStart w:id="29" w:name="_Toc3584"/>
      <w:r>
        <w:rPr>
          <w:rFonts w:hint="default"/>
          <w:b/>
          <w:bCs/>
          <w:color w:val="FF0000"/>
          <w:lang w:val="en-US" w:eastAsia="zh-CN"/>
        </w:rPr>
        <w:t>▲注：</w:t>
      </w:r>
      <w:r>
        <w:rPr>
          <w:rFonts w:hint="eastAsia"/>
          <w:b/>
          <w:bCs/>
          <w:color w:val="FF0000"/>
          <w:lang w:val="en-US" w:eastAsia="zh-CN"/>
        </w:rPr>
        <w:t>①具体需采购消防器材的型号、规格及品牌等根据采购人的需要在二次竞价明确。</w:t>
      </w:r>
    </w:p>
    <w:p w14:paraId="14B4FB54">
      <w:pPr>
        <w:bidi w:val="0"/>
        <w:ind w:left="961" w:leftChars="300" w:hanging="241" w:hangingChars="100"/>
        <w:rPr>
          <w:rFonts w:hint="default"/>
          <w:b/>
          <w:bCs/>
          <w:color w:val="FF0000"/>
          <w:lang w:val="en-US" w:eastAsia="zh-CN"/>
        </w:rPr>
      </w:pPr>
      <w:r>
        <w:rPr>
          <w:rFonts w:hint="eastAsia"/>
          <w:b/>
          <w:bCs/>
          <w:color w:val="FF0000"/>
          <w:lang w:val="en-US" w:eastAsia="zh-CN"/>
        </w:rPr>
        <w:t>②</w:t>
      </w:r>
      <w:r>
        <w:rPr>
          <w:rFonts w:hint="default"/>
          <w:b/>
          <w:bCs/>
          <w:color w:val="FF0000"/>
          <w:lang w:val="en-US" w:eastAsia="zh-CN"/>
        </w:rPr>
        <w:t>上述表格内未列明的其他</w:t>
      </w:r>
      <w:r>
        <w:rPr>
          <w:rFonts w:hint="eastAsia"/>
          <w:b/>
          <w:bCs/>
          <w:color w:val="FF0000"/>
          <w:lang w:val="en-US" w:eastAsia="zh-CN"/>
        </w:rPr>
        <w:t>品牌、其他种类的</w:t>
      </w:r>
      <w:r>
        <w:rPr>
          <w:rFonts w:hint="default"/>
          <w:b/>
          <w:bCs/>
          <w:color w:val="FF0000"/>
          <w:lang w:val="en-US" w:eastAsia="zh-CN"/>
        </w:rPr>
        <w:t>消防器材，如采购人在合同履约期内</w:t>
      </w:r>
      <w:r>
        <w:rPr>
          <w:rFonts w:hint="eastAsia"/>
          <w:b/>
          <w:bCs/>
          <w:color w:val="FF0000"/>
          <w:lang w:val="en-US" w:eastAsia="zh-CN"/>
        </w:rPr>
        <w:t>确</w:t>
      </w:r>
      <w:r>
        <w:rPr>
          <w:rFonts w:hint="default"/>
          <w:b/>
          <w:bCs/>
          <w:color w:val="FF0000"/>
          <w:lang w:val="en-US" w:eastAsia="zh-CN"/>
        </w:rPr>
        <w:t>需采购的，采购人</w:t>
      </w:r>
      <w:r>
        <w:rPr>
          <w:rFonts w:hint="eastAsia"/>
          <w:b/>
          <w:bCs/>
          <w:color w:val="FF0000"/>
          <w:lang w:val="en-US" w:eastAsia="zh-CN"/>
        </w:rPr>
        <w:t>可向入围供应商进行二次竞价采购</w:t>
      </w:r>
      <w:r>
        <w:rPr>
          <w:rFonts w:hint="default"/>
          <w:b/>
          <w:bCs/>
          <w:color w:val="FF0000"/>
          <w:lang w:val="en-US" w:eastAsia="zh-CN"/>
        </w:rPr>
        <w:t>。</w:t>
      </w:r>
    </w:p>
    <w:p w14:paraId="7028FDE3">
      <w:pPr>
        <w:bidi w:val="0"/>
        <w:ind w:left="961" w:leftChars="300" w:hanging="241" w:hangingChars="100"/>
        <w:rPr>
          <w:rFonts w:hint="eastAsia"/>
          <w:b/>
          <w:bCs/>
          <w:color w:val="FF0000"/>
          <w:lang w:val="en-US" w:eastAsia="zh-CN"/>
        </w:rPr>
      </w:pPr>
      <w:r>
        <w:rPr>
          <w:rFonts w:hint="eastAsia"/>
          <w:b/>
          <w:bCs/>
          <w:color w:val="FF0000"/>
          <w:lang w:val="en-US" w:eastAsia="zh-CN"/>
        </w:rPr>
        <w:t>③采购人证明能够以更低价格向非入围供应商采购相同货物，且入围供应商不同意将价格降至非入围供应商以下的，可以将合同授予非入围供应商。</w:t>
      </w:r>
    </w:p>
    <w:p w14:paraId="4883B505">
      <w:pPr>
        <w:pStyle w:val="4"/>
        <w:bidi w:val="0"/>
        <w:rPr>
          <w:rFonts w:hint="default"/>
          <w:lang w:val="en-US" w:eastAsia="zh-CN"/>
        </w:rPr>
      </w:pPr>
      <w:bookmarkStart w:id="30" w:name="_Toc15900"/>
      <w:r>
        <w:rPr>
          <w:rFonts w:hint="eastAsia"/>
          <w:lang w:val="en-US" w:eastAsia="zh-CN"/>
        </w:rPr>
        <w:t>质量要求</w:t>
      </w:r>
      <w:bookmarkEnd w:id="29"/>
      <w:bookmarkEnd w:id="30"/>
    </w:p>
    <w:p w14:paraId="1DC80F07">
      <w:r>
        <w:rPr>
          <w:rFonts w:hint="default"/>
          <w:lang w:val="en-US" w:eastAsia="zh-CN"/>
        </w:rPr>
        <w:t>▲</w:t>
      </w:r>
      <w:r>
        <w:rPr>
          <w:rFonts w:hint="eastAsia"/>
          <w:lang w:val="en-US" w:eastAsia="zh-CN"/>
        </w:rPr>
        <w:t>1.供应商所有的消防</w:t>
      </w:r>
      <w:r>
        <w:t>器材必须严格遵守</w:t>
      </w:r>
      <w:r>
        <w:rPr>
          <w:rFonts w:hint="eastAsia"/>
          <w:lang w:val="en-US" w:eastAsia="zh-CN"/>
        </w:rPr>
        <w:t>现行的消防器材产品质量</w:t>
      </w:r>
      <w:r>
        <w:t>国家或行业制定的标准，并且拥有相应的质量认证标志，如CE标志、UL认证等，以证明其符合国际或国内的安全要求。每一件消防器材都应经过精心设计和制造，确保其材料、结构和工艺能够经受住火灾等极端条件的考验。</w:t>
      </w:r>
    </w:p>
    <w:p w14:paraId="48B94B0E">
      <w:r>
        <w:rPr>
          <w:rFonts w:hint="default"/>
          <w:lang w:val="en-US" w:eastAsia="zh-CN"/>
        </w:rPr>
        <w:t>▲</w:t>
      </w:r>
      <w:r>
        <w:rPr>
          <w:rFonts w:hint="eastAsia"/>
          <w:lang w:val="en-US" w:eastAsia="zh-CN"/>
        </w:rPr>
        <w:t>2.供应商</w:t>
      </w:r>
      <w:r>
        <w:t>应</w:t>
      </w:r>
      <w:r>
        <w:rPr>
          <w:rFonts w:hint="eastAsia"/>
          <w:lang w:val="en-US" w:eastAsia="zh-CN"/>
        </w:rPr>
        <w:t>提供相关</w:t>
      </w:r>
      <w:r>
        <w:t>产品的质量证明文件，确保其在规定的使用期限内具备应有的性能。此外，消防器材的外观应清晰标有使用说明和维护保养指南，例如，灭火器上应有明确的使用方法图示和操作步骤，以及定期检查和更换药剂的建议。</w:t>
      </w:r>
    </w:p>
    <w:p w14:paraId="08F2BE31">
      <w:pPr>
        <w:spacing w:after="156"/>
      </w:pPr>
      <w:r>
        <w:rPr>
          <w:rFonts w:hint="default"/>
          <w:lang w:val="en-US" w:eastAsia="zh-CN"/>
        </w:rPr>
        <w:t>▲</w:t>
      </w:r>
      <w:r>
        <w:rPr>
          <w:rFonts w:hint="eastAsia"/>
          <w:lang w:val="en-US" w:eastAsia="zh-CN"/>
        </w:rPr>
        <w:t>3.</w:t>
      </w:r>
      <w:r>
        <w:t>为了进一步确保消防器材的可靠性，制造商应提供详细的产品说明书，包括器材的使用环境、操作限制和可能的故障排除方法。同时，消防器材的包装和运输也应符合特定的安全标准，以防止在运输过程中对器材造成损坏。</w:t>
      </w:r>
    </w:p>
    <w:p w14:paraId="169FFD12">
      <w:pPr>
        <w:pStyle w:val="4"/>
        <w:bidi w:val="0"/>
        <w:rPr>
          <w:rFonts w:hint="default"/>
          <w:lang w:val="en-US" w:eastAsia="zh-CN"/>
        </w:rPr>
      </w:pPr>
      <w:bookmarkStart w:id="31" w:name="_Toc21766"/>
      <w:bookmarkStart w:id="32" w:name="_Toc18538"/>
      <w:r>
        <w:rPr>
          <w:rFonts w:hint="eastAsia"/>
          <w:lang w:val="en-US" w:eastAsia="zh-CN"/>
        </w:rPr>
        <w:t>供货要求</w:t>
      </w:r>
      <w:bookmarkEnd w:id="31"/>
      <w:bookmarkEnd w:id="32"/>
    </w:p>
    <w:p w14:paraId="4978CEE4">
      <w:pPr>
        <w:rPr>
          <w:rFonts w:hint="default"/>
          <w:lang w:val="en-US" w:eastAsia="zh-CN"/>
        </w:rPr>
      </w:pPr>
      <w:r>
        <w:rPr>
          <w:rFonts w:hint="default"/>
          <w:lang w:val="en-US" w:eastAsia="zh-CN"/>
        </w:rPr>
        <w:t>▲</w:t>
      </w:r>
      <w:r>
        <w:rPr>
          <w:rFonts w:hint="eastAsia"/>
          <w:lang w:val="en-US" w:eastAsia="zh-CN"/>
        </w:rPr>
        <w:t>1.供货时效：因本项目服务期为一年，统一采购、分次供货，中标供应商应按采购人要求的时间前完成供货；</w:t>
      </w:r>
    </w:p>
    <w:p w14:paraId="22862344">
      <w:pPr>
        <w:rPr>
          <w:rFonts w:hint="eastAsia"/>
          <w:lang w:val="en-US" w:eastAsia="zh-CN"/>
        </w:rPr>
      </w:pPr>
      <w:r>
        <w:rPr>
          <w:rFonts w:hint="default"/>
          <w:lang w:val="en-US" w:eastAsia="zh-CN"/>
        </w:rPr>
        <w:t>▲</w:t>
      </w:r>
      <w:r>
        <w:rPr>
          <w:rFonts w:hint="eastAsia"/>
          <w:lang w:val="en-US" w:eastAsia="zh-CN"/>
        </w:rPr>
        <w:t>2.供货地址：因本项目服务期为一年，统一采购、分次供货，中标供应商应将货物运送至按采购人要求的地址；</w:t>
      </w:r>
    </w:p>
    <w:p w14:paraId="47559769">
      <w:pPr>
        <w:spacing w:after="156"/>
        <w:rPr>
          <w:rFonts w:hint="default" w:eastAsia="仿宋"/>
          <w:lang w:val="en-US" w:eastAsia="zh-CN"/>
        </w:rPr>
      </w:pPr>
      <w:r>
        <w:rPr>
          <w:rFonts w:hint="eastAsia"/>
          <w:lang w:val="en-US" w:eastAsia="zh-CN"/>
        </w:rPr>
        <w:t>3.运输要求：</w:t>
      </w:r>
      <w:r>
        <w:t>消防器材的包装和运输也应符合特定的安全标准，以防止在运输过程中对器材造成损坏。</w:t>
      </w:r>
      <w:r>
        <w:rPr>
          <w:rFonts w:hint="eastAsia"/>
          <w:lang w:val="en-US" w:eastAsia="zh-CN"/>
        </w:rPr>
        <w:t>包括但不限于以下内容：</w:t>
      </w:r>
    </w:p>
    <w:p w14:paraId="7BACFED6">
      <w:pPr>
        <w:numPr>
          <w:ilvl w:val="0"/>
          <w:numId w:val="0"/>
        </w:numPr>
        <w:bidi w:val="0"/>
      </w:pPr>
      <w:r>
        <w:rPr>
          <w:rFonts w:hint="eastAsia"/>
          <w:lang w:val="en-US" w:eastAsia="zh-CN"/>
        </w:rPr>
        <w:t>3.1</w:t>
      </w:r>
      <w:r>
        <w:t>确保消防器材包装牢固，防止在运输过程中发生损坏。</w:t>
      </w:r>
    </w:p>
    <w:p w14:paraId="60A7AB12">
      <w:pPr>
        <w:numPr>
          <w:ilvl w:val="0"/>
          <w:numId w:val="0"/>
        </w:numPr>
        <w:bidi w:val="0"/>
      </w:pPr>
      <w:r>
        <w:rPr>
          <w:rFonts w:hint="eastAsia"/>
          <w:lang w:val="en-US" w:eastAsia="zh-CN"/>
        </w:rPr>
        <w:t>3.2</w:t>
      </w:r>
      <w:r>
        <w:t>根据消防器材的种类和特性，选择合适的运输方式，如陆运、海运或空运。</w:t>
      </w:r>
    </w:p>
    <w:p w14:paraId="2BB163E2">
      <w:pPr>
        <w:numPr>
          <w:ilvl w:val="0"/>
          <w:numId w:val="0"/>
        </w:numPr>
        <w:bidi w:val="0"/>
      </w:pPr>
      <w:r>
        <w:rPr>
          <w:rFonts w:hint="eastAsia"/>
          <w:lang w:val="en-US" w:eastAsia="zh-CN"/>
        </w:rPr>
        <w:t>3.3</w:t>
      </w:r>
      <w:r>
        <w:t>对于易燃、易爆或有毒的消防器材，必须遵守相关危险品运输规定。</w:t>
      </w:r>
    </w:p>
    <w:p w14:paraId="6185CAF4">
      <w:pPr>
        <w:numPr>
          <w:ilvl w:val="0"/>
          <w:numId w:val="0"/>
        </w:numPr>
        <w:bidi w:val="0"/>
      </w:pPr>
      <w:r>
        <w:rPr>
          <w:rFonts w:hint="eastAsia"/>
          <w:lang w:val="en-US" w:eastAsia="zh-CN"/>
        </w:rPr>
        <w:t>3.4</w:t>
      </w:r>
      <w:r>
        <w:t>运输车辆或容器应符合消防器材的特殊要求，如防震、防潮、防火等。</w:t>
      </w:r>
    </w:p>
    <w:p w14:paraId="572B2F55">
      <w:pPr>
        <w:numPr>
          <w:ilvl w:val="0"/>
          <w:numId w:val="0"/>
        </w:numPr>
        <w:bidi w:val="0"/>
      </w:pPr>
      <w:r>
        <w:rPr>
          <w:rFonts w:hint="eastAsia"/>
          <w:lang w:val="en-US" w:eastAsia="zh-CN"/>
        </w:rPr>
        <w:t>3.5</w:t>
      </w:r>
      <w:r>
        <w:t>运输过程中应有明确的标识和警示标志，确保运输人员和公众的安全。</w:t>
      </w:r>
    </w:p>
    <w:p w14:paraId="7CA0CDDA">
      <w:pPr>
        <w:numPr>
          <w:ilvl w:val="0"/>
          <w:numId w:val="0"/>
        </w:numPr>
        <w:bidi w:val="0"/>
      </w:pPr>
      <w:r>
        <w:rPr>
          <w:rFonts w:hint="eastAsia"/>
          <w:lang w:val="en-US" w:eastAsia="zh-CN"/>
        </w:rPr>
        <w:t>3.6</w:t>
      </w:r>
      <w:r>
        <w:t>运输人员应接受专业培训，了解消防器材的性质和应急处理措施。</w:t>
      </w:r>
    </w:p>
    <w:p w14:paraId="66EE5CBC">
      <w:pPr>
        <w:numPr>
          <w:ilvl w:val="0"/>
          <w:numId w:val="0"/>
        </w:numPr>
        <w:bidi w:val="0"/>
      </w:pPr>
      <w:r>
        <w:rPr>
          <w:rFonts w:hint="eastAsia"/>
          <w:lang w:val="en-US" w:eastAsia="zh-CN"/>
        </w:rPr>
        <w:t>3.7</w:t>
      </w:r>
      <w:r>
        <w:t>在运输前，应检查所有消防器材是否符合国家或地区的规定。</w:t>
      </w:r>
    </w:p>
    <w:p w14:paraId="1D5D3AA2">
      <w:pPr>
        <w:numPr>
          <w:ilvl w:val="0"/>
          <w:numId w:val="0"/>
        </w:numPr>
        <w:bidi w:val="0"/>
      </w:pPr>
      <w:r>
        <w:rPr>
          <w:rFonts w:hint="eastAsia"/>
          <w:lang w:val="en-US" w:eastAsia="zh-CN"/>
        </w:rPr>
        <w:t>3.8</w:t>
      </w:r>
      <w:r>
        <w:t>运输过程中，应定期检查消防器材的状态，确保其在运输过程中的安全。</w:t>
      </w:r>
    </w:p>
    <w:p w14:paraId="4E61B7E4">
      <w:pPr>
        <w:numPr>
          <w:ilvl w:val="0"/>
          <w:numId w:val="0"/>
        </w:numPr>
        <w:bidi w:val="0"/>
      </w:pPr>
      <w:r>
        <w:rPr>
          <w:rFonts w:hint="eastAsia"/>
          <w:lang w:val="en-US" w:eastAsia="zh-CN"/>
        </w:rPr>
        <w:t>3.9</w:t>
      </w:r>
      <w:r>
        <w:t>到达目的地后，应按照规定程序进行卸载和储存，避免消防器材受损或失效。</w:t>
      </w:r>
    </w:p>
    <w:p w14:paraId="28EF705E">
      <w:pPr>
        <w:numPr>
          <w:ilvl w:val="0"/>
          <w:numId w:val="0"/>
        </w:numPr>
        <w:bidi w:val="0"/>
      </w:pPr>
      <w:r>
        <w:rPr>
          <w:rFonts w:hint="eastAsia"/>
          <w:lang w:val="en-US" w:eastAsia="zh-CN"/>
        </w:rPr>
        <w:t>3.10</w:t>
      </w:r>
      <w:r>
        <w:t>对于需要特殊储存条件的消防器材，如低温或干燥环境，应在运输和储存过程中严格遵守相关要求。</w:t>
      </w:r>
    </w:p>
    <w:p w14:paraId="366D27E8">
      <w:pPr>
        <w:numPr>
          <w:ilvl w:val="0"/>
          <w:numId w:val="0"/>
        </w:numPr>
        <w:bidi w:val="0"/>
      </w:pPr>
      <w:r>
        <w:rPr>
          <w:rFonts w:hint="eastAsia"/>
          <w:lang w:val="en-US" w:eastAsia="zh-CN"/>
        </w:rPr>
        <w:t>3.11</w:t>
      </w:r>
      <w:r>
        <w:t>在运输过程中，应建立完善的记录系统，详细记录消防器材的运输时间、地点、状态等信息，以便追踪和查询。</w:t>
      </w:r>
    </w:p>
    <w:p w14:paraId="059F6D73">
      <w:pPr>
        <w:numPr>
          <w:ilvl w:val="0"/>
          <w:numId w:val="0"/>
        </w:numPr>
        <w:bidi w:val="0"/>
      </w:pPr>
      <w:r>
        <w:rPr>
          <w:rFonts w:hint="eastAsia"/>
          <w:lang w:val="en-US" w:eastAsia="zh-CN"/>
        </w:rPr>
        <w:t>3.12</w:t>
      </w:r>
      <w:r>
        <w:t>若在运输过程中发现消防器材有损坏或失效迹象，应立即停止运输，并联系专业人员进行处理。</w:t>
      </w:r>
    </w:p>
    <w:p w14:paraId="67BCEB93">
      <w:pPr>
        <w:numPr>
          <w:ilvl w:val="0"/>
          <w:numId w:val="0"/>
        </w:numPr>
        <w:bidi w:val="0"/>
      </w:pPr>
      <w:r>
        <w:rPr>
          <w:rFonts w:hint="eastAsia"/>
          <w:lang w:val="en-US" w:eastAsia="zh-CN"/>
        </w:rPr>
        <w:t>3.13</w:t>
      </w:r>
      <w:r>
        <w:t>对于大型或重型消防器材，在运输过程中应使用专业的吊装和搬运工具，确保操作安全。</w:t>
      </w:r>
    </w:p>
    <w:p w14:paraId="01BCBB05">
      <w:pPr>
        <w:numPr>
          <w:ilvl w:val="0"/>
          <w:numId w:val="0"/>
        </w:numPr>
        <w:bidi w:val="0"/>
      </w:pPr>
      <w:r>
        <w:rPr>
          <w:rFonts w:hint="eastAsia"/>
          <w:lang w:val="en-US" w:eastAsia="zh-CN"/>
        </w:rPr>
        <w:t>3.14</w:t>
      </w:r>
      <w:r>
        <w:t>在运输易燃易爆消防器材时，应严禁烟火，并配备相应的灭火器材和应急处理设备。</w:t>
      </w:r>
    </w:p>
    <w:p w14:paraId="3693B1BB">
      <w:pPr>
        <w:numPr>
          <w:ilvl w:val="0"/>
          <w:numId w:val="0"/>
        </w:numPr>
        <w:bidi w:val="0"/>
      </w:pPr>
      <w:r>
        <w:rPr>
          <w:rFonts w:hint="eastAsia"/>
          <w:lang w:val="en-US" w:eastAsia="zh-CN"/>
        </w:rPr>
        <w:t>3.15</w:t>
      </w:r>
      <w:r>
        <w:t>运输完成后，应对运输车辆或容器进行彻底清洗和消毒，防止残留物对后续运输造成影响。</w:t>
      </w:r>
    </w:p>
    <w:p w14:paraId="5FE62FDE">
      <w:pPr>
        <w:numPr>
          <w:ilvl w:val="0"/>
          <w:numId w:val="0"/>
        </w:numPr>
        <w:bidi w:val="0"/>
      </w:pPr>
      <w:r>
        <w:rPr>
          <w:rFonts w:hint="eastAsia"/>
          <w:lang w:val="en-US" w:eastAsia="zh-CN"/>
        </w:rPr>
        <w:t>3.16</w:t>
      </w:r>
      <w:r>
        <w:t>定期对运输人员进行培训和考核，确保其熟悉消防器材的运输要求和应急处理措施，提高运输安全性。</w:t>
      </w:r>
    </w:p>
    <w:p w14:paraId="5D70DAD2">
      <w:pPr>
        <w:numPr>
          <w:ilvl w:val="0"/>
          <w:numId w:val="0"/>
        </w:numPr>
        <w:bidi w:val="0"/>
        <w:rPr>
          <w:rFonts w:hint="eastAsia"/>
        </w:rPr>
      </w:pPr>
      <w:r>
        <w:rPr>
          <w:rFonts w:hint="eastAsia"/>
        </w:rPr>
        <w:t>4.供货时货物外观应清洁，标记编号以及盘面显示等字体清晰、明确。铭牌、使用指示、警告指示应以中文或英文及易懂的通用符号来表示，应准确无误地表明货物之型号、规格、品牌、厂家、原产地及生产或出厂日期，应与招标文件、投标文件和合同保持一致。</w:t>
      </w:r>
    </w:p>
    <w:p w14:paraId="59795C73">
      <w:pPr>
        <w:numPr>
          <w:ilvl w:val="0"/>
          <w:numId w:val="0"/>
        </w:numPr>
        <w:bidi w:val="0"/>
      </w:pPr>
      <w:r>
        <w:rPr>
          <w:rFonts w:hint="eastAsia"/>
        </w:rPr>
        <w:t>5.采购人根据情况，随机抽取供方的灭火器、消防水带、室内外消火栓、接口、消防应急灯、消防指示灯等产品到浙江省消防救援总队质检站进行质量检测，检测费由供方承担。如果产品不合格，采购人可以终止合同。</w:t>
      </w:r>
    </w:p>
    <w:p w14:paraId="0F634546">
      <w:pPr>
        <w:pStyle w:val="4"/>
        <w:bidi w:val="0"/>
        <w:rPr>
          <w:rFonts w:hint="default"/>
          <w:lang w:val="en-US" w:eastAsia="zh-CN"/>
        </w:rPr>
      </w:pPr>
      <w:bookmarkStart w:id="33" w:name="_Toc4927"/>
      <w:bookmarkStart w:id="34" w:name="_Toc27710"/>
      <w:r>
        <w:rPr>
          <w:rFonts w:hint="eastAsia"/>
          <w:lang w:val="en-US" w:eastAsia="zh-CN"/>
        </w:rPr>
        <w:t>验收要求</w:t>
      </w:r>
      <w:bookmarkEnd w:id="33"/>
      <w:bookmarkEnd w:id="34"/>
    </w:p>
    <w:p w14:paraId="1E78F9DC">
      <w:pPr>
        <w:bidi w:val="0"/>
        <w:rPr>
          <w:rFonts w:hint="default" w:eastAsia="仿宋"/>
          <w:lang w:val="en-US" w:eastAsia="zh-CN"/>
        </w:rPr>
      </w:pPr>
      <w:r>
        <w:rPr>
          <w:rFonts w:hint="eastAsia"/>
          <w:lang w:val="en-US" w:eastAsia="zh-CN"/>
        </w:rPr>
        <w:t>采购人将组建履约验收小组（</w:t>
      </w:r>
      <w:r>
        <w:t>专业人员</w:t>
      </w:r>
      <w:r>
        <w:rPr>
          <w:rFonts w:hint="eastAsia"/>
          <w:lang w:val="en-US" w:eastAsia="zh-CN"/>
        </w:rPr>
        <w:t>及履约验收专家组成），对供应商所提供的所有产品进行履约验收，</w:t>
      </w:r>
      <w:r>
        <w:t>并详细记录验收过程。验收记录应包括验收时间、验收人员、存在的问题及处理意见等。这些记录将作为器材验收合格的证明文件，同时也是日后维护和管理的重要参考资料。</w:t>
      </w:r>
      <w:r>
        <w:rPr>
          <w:rFonts w:hint="eastAsia"/>
          <w:lang w:val="en-US" w:eastAsia="zh-CN"/>
        </w:rPr>
        <w:t>验收内容如下（包括但不限于）：</w:t>
      </w:r>
    </w:p>
    <w:p w14:paraId="29227732">
      <w:pPr>
        <w:bidi w:val="0"/>
      </w:pPr>
      <w:r>
        <w:rPr>
          <w:rFonts w:hint="default"/>
          <w:lang w:val="en-US" w:eastAsia="zh-CN"/>
        </w:rPr>
        <w:t>▲</w:t>
      </w:r>
      <w:r>
        <w:rPr>
          <w:rFonts w:hint="eastAsia"/>
          <w:lang w:val="en-US" w:eastAsia="zh-CN"/>
        </w:rPr>
        <w:t>1.</w:t>
      </w:r>
      <w:r>
        <w:t>所有消防器材必须严格遵守国家消防产品标准，并且必须附带完整的合格证明文件。这些文件包括但不限于产品合格证、检验报告以及相关的质量认证标志，以确保每一件器材都经过了严格的检测和质量控制。</w:t>
      </w:r>
    </w:p>
    <w:p w14:paraId="0043F393">
      <w:pPr>
        <w:bidi w:val="0"/>
      </w:pPr>
      <w:r>
        <w:rPr>
          <w:rFonts w:hint="default"/>
          <w:lang w:val="en-US" w:eastAsia="zh-CN"/>
        </w:rPr>
        <w:t>▲</w:t>
      </w:r>
      <w:r>
        <w:rPr>
          <w:rFonts w:hint="eastAsia"/>
          <w:lang w:val="en-US" w:eastAsia="zh-CN"/>
        </w:rPr>
        <w:t>2.</w:t>
      </w:r>
      <w:r>
        <w:t>消防器材的规格、型号和数量必须与设计要求和合同条款</w:t>
      </w:r>
      <w:r>
        <w:rPr>
          <w:rFonts w:hint="eastAsia"/>
          <w:lang w:val="en-US" w:eastAsia="zh-CN"/>
        </w:rPr>
        <w:t>及采购文件要求</w:t>
      </w:r>
      <w:r>
        <w:t>完全一致。在验收过程中，应仔细核对每一件器材的规格型号，确保没有遗漏或错误，以保证消防系统的完整性和有效性。</w:t>
      </w:r>
    </w:p>
    <w:p w14:paraId="57AF7B88">
      <w:pPr>
        <w:bidi w:val="0"/>
      </w:pPr>
      <w:r>
        <w:rPr>
          <w:rFonts w:hint="eastAsia"/>
          <w:lang w:val="en-US" w:eastAsia="zh-CN"/>
        </w:rPr>
        <w:t>3.</w:t>
      </w:r>
      <w:r>
        <w:t>消防器材的外观应无明显缺陷，如裂纹、变形、锈蚀、损坏等。在验收时，应细致检查器材的每一个角落，确保其外观完好无损，因为任何微小的瑕疵都可能影响器材的性能和使用寿命。</w:t>
      </w:r>
    </w:p>
    <w:p w14:paraId="026B38B8">
      <w:pPr>
        <w:bidi w:val="0"/>
      </w:pPr>
      <w:r>
        <w:rPr>
          <w:rFonts w:hint="eastAsia"/>
          <w:lang w:val="en-US" w:eastAsia="zh-CN"/>
        </w:rPr>
        <w:t>4.</w:t>
      </w:r>
      <w:r>
        <w:t>消防器材的安装位置、方向和高度应严格遵守设计规范和相关标准。安装人员应根据设计图纸和说明书进行精确安装，确保器材在最佳位置发挥最大效能。</w:t>
      </w:r>
    </w:p>
    <w:p w14:paraId="7367C279">
      <w:pPr>
        <w:rPr>
          <w:rFonts w:hint="default"/>
          <w:lang w:val="en-US" w:eastAsia="zh-CN"/>
        </w:rPr>
      </w:pPr>
      <w:r>
        <w:rPr>
          <w:rFonts w:hint="eastAsia"/>
          <w:lang w:val="en-US" w:eastAsia="zh-CN"/>
        </w:rPr>
        <w:t>5.</w:t>
      </w:r>
      <w:r>
        <w:t>应对消防器材进行功能测试，确保其在正常工作环境下能正常启动和运行。功能测试应模拟实际使用情况，以验证器材的响应时间和操作性能是否达到设计要求。</w:t>
      </w:r>
    </w:p>
    <w:p w14:paraId="16493F32">
      <w:pPr>
        <w:pStyle w:val="4"/>
        <w:bidi w:val="0"/>
        <w:rPr>
          <w:rFonts w:hint="default"/>
          <w:lang w:val="en-US" w:eastAsia="zh-CN"/>
        </w:rPr>
      </w:pPr>
      <w:bookmarkStart w:id="35" w:name="_Toc18678"/>
      <w:bookmarkStart w:id="36" w:name="_Toc9834"/>
      <w:r>
        <w:rPr>
          <w:rFonts w:hint="eastAsia"/>
          <w:lang w:val="en-US" w:eastAsia="zh-CN"/>
        </w:rPr>
        <w:t>服务要求</w:t>
      </w:r>
      <w:bookmarkEnd w:id="35"/>
      <w:bookmarkEnd w:id="36"/>
    </w:p>
    <w:p w14:paraId="57ABFA05">
      <w:pPr>
        <w:rPr>
          <w:rFonts w:hint="eastAsia"/>
          <w:lang w:val="en-US" w:eastAsia="zh-CN"/>
        </w:rPr>
      </w:pPr>
      <w:r>
        <w:rPr>
          <w:rFonts w:hint="eastAsia"/>
          <w:lang w:val="en-US" w:eastAsia="zh-CN"/>
        </w:rPr>
        <w:t>1.</w:t>
      </w:r>
      <w:r>
        <w:rPr>
          <w:rFonts w:hint="default"/>
          <w:lang w:val="en-US" w:eastAsia="zh-CN"/>
        </w:rPr>
        <w:t>▲</w:t>
      </w:r>
      <w:r>
        <w:rPr>
          <w:rFonts w:hint="eastAsia"/>
          <w:lang w:val="en-US" w:eastAsia="zh-CN"/>
        </w:rPr>
        <w:t>响应时间：在服务期及质保期内，供应商应该确保服务范围内的质量标准符合本招标文件要求。当出现问题时，中标供应商应承诺在2小时内响应并提出解决方案，4小时之内到现场对存在问题进行处理，并提出相应防范措施。</w:t>
      </w:r>
    </w:p>
    <w:p w14:paraId="39555EF7">
      <w:pPr>
        <w:rPr>
          <w:rFonts w:hint="default"/>
          <w:lang w:val="en-US" w:eastAsia="zh-CN"/>
        </w:rPr>
      </w:pPr>
      <w:r>
        <w:rPr>
          <w:rFonts w:hint="eastAsia"/>
          <w:lang w:val="en-US" w:eastAsia="zh-CN"/>
        </w:rPr>
        <w:t>2.</w:t>
      </w:r>
      <w:r>
        <w:rPr>
          <w:rFonts w:hint="default"/>
          <w:lang w:val="en-US" w:eastAsia="zh-CN"/>
        </w:rPr>
        <w:t>▲</w:t>
      </w:r>
      <w:r>
        <w:rPr>
          <w:rFonts w:hint="eastAsia"/>
          <w:lang w:val="en-US" w:eastAsia="zh-CN"/>
        </w:rPr>
        <w:t>安全生产：在服务期及质保期内，供应商所提供服务的相关人员必须为供应商在职缴纳社保人员，此外还需对所有人员购买人生意外伤害险，如在项目实施、质保期、售后服务过程中产生的安全生产责任事故，由供应商承担所有责任。</w:t>
      </w:r>
    </w:p>
    <w:p w14:paraId="16AF7CB1">
      <w:pPr>
        <w:rPr>
          <w:rFonts w:hint="eastAsia"/>
          <w:lang w:val="en-US" w:eastAsia="zh-CN"/>
        </w:rPr>
      </w:pPr>
      <w:r>
        <w:rPr>
          <w:rFonts w:hint="eastAsia"/>
          <w:lang w:val="en-US" w:eastAsia="zh-CN"/>
        </w:rPr>
        <w:t>3.</w:t>
      </w:r>
      <w:r>
        <w:rPr>
          <w:rFonts w:hint="default"/>
          <w:lang w:val="en-US" w:eastAsia="zh-CN"/>
        </w:rPr>
        <w:t>▲</w:t>
      </w:r>
      <w:r>
        <w:rPr>
          <w:rFonts w:hint="eastAsia"/>
          <w:lang w:val="en-US" w:eastAsia="zh-CN"/>
        </w:rPr>
        <w:t>质量保障：所有产品质保时间根据采购人签订的合同为准，在质保期内发生的质量问题，中标供应商承诺在2小时内响应并提出解决方案，4小时内到达现场对存在的问题进行处理，并提出行营防范措施。</w:t>
      </w:r>
    </w:p>
    <w:p w14:paraId="1F99B68A">
      <w:pPr>
        <w:rPr>
          <w:rFonts w:hint="eastAsia"/>
          <w:lang w:val="en-US" w:eastAsia="zh-CN"/>
        </w:rPr>
      </w:pPr>
      <w:r>
        <w:rPr>
          <w:rFonts w:hint="eastAsia"/>
          <w:lang w:val="en-US" w:eastAsia="zh-CN"/>
        </w:rPr>
        <w:t>4.</w:t>
      </w:r>
      <w:r>
        <w:rPr>
          <w:rFonts w:hint="default"/>
          <w:lang w:val="en-US" w:eastAsia="zh-CN"/>
        </w:rPr>
        <w:t>▲</w:t>
      </w:r>
      <w:r>
        <w:rPr>
          <w:rFonts w:hint="eastAsia"/>
          <w:lang w:val="en-US" w:eastAsia="zh-CN"/>
        </w:rPr>
        <w:t>备货要求：供应商在服务期及质保期内，应对本项目所需的消防器材进行备货，当问题出现时，以便更换。</w:t>
      </w:r>
    </w:p>
    <w:p w14:paraId="645D974E">
      <w:pPr>
        <w:rPr>
          <w:rFonts w:hint="eastAsia"/>
          <w:lang w:val="en-US" w:eastAsia="zh-CN"/>
        </w:rPr>
      </w:pPr>
      <w:r>
        <w:rPr>
          <w:rFonts w:hint="eastAsia"/>
          <w:lang w:val="en-US" w:eastAsia="zh-CN"/>
        </w:rPr>
        <w:t>5.</w:t>
      </w:r>
      <w:r>
        <w:rPr>
          <w:rFonts w:hint="default"/>
          <w:lang w:val="en-US" w:eastAsia="zh-CN"/>
        </w:rPr>
        <w:t>▲</w:t>
      </w:r>
      <w:r>
        <w:rPr>
          <w:rFonts w:hint="eastAsia"/>
          <w:lang w:val="en-US" w:eastAsia="zh-CN"/>
        </w:rPr>
        <w:t>品牌要求：供应商应根据采购人要求提供相对应的品牌产品。</w:t>
      </w:r>
    </w:p>
    <w:p w14:paraId="001C5B03">
      <w:pPr>
        <w:pStyle w:val="4"/>
        <w:bidi w:val="0"/>
        <w:rPr>
          <w:rFonts w:hint="default"/>
          <w:lang w:val="en-US" w:eastAsia="zh-CN"/>
        </w:rPr>
      </w:pPr>
      <w:bookmarkStart w:id="37" w:name="_Toc27228"/>
      <w:bookmarkStart w:id="38" w:name="_Toc10975"/>
      <w:r>
        <w:rPr>
          <w:rFonts w:hint="eastAsia"/>
          <w:lang w:val="en-US" w:eastAsia="zh-CN"/>
        </w:rPr>
        <w:t>考核</w:t>
      </w:r>
      <w:bookmarkEnd w:id="37"/>
      <w:bookmarkEnd w:id="38"/>
    </w:p>
    <w:p w14:paraId="7D1DABAE">
      <w:pPr>
        <w:rPr>
          <w:rFonts w:hint="eastAsia"/>
          <w:lang w:val="en-US" w:eastAsia="zh-CN"/>
        </w:rPr>
      </w:pPr>
      <w:r>
        <w:rPr>
          <w:rFonts w:hint="eastAsia"/>
          <w:lang w:val="en-US" w:eastAsia="zh-CN"/>
        </w:rPr>
        <w:t>本项目将对供应商指定考核制度，具体如下：</w:t>
      </w:r>
    </w:p>
    <w:p w14:paraId="6F0D7FB9">
      <w:pPr>
        <w:rPr>
          <w:rFonts w:hint="eastAsia"/>
          <w:lang w:val="en-US" w:eastAsia="zh-CN"/>
        </w:rPr>
      </w:pPr>
      <w:r>
        <w:rPr>
          <w:rFonts w:hint="default"/>
          <w:lang w:val="en-US" w:eastAsia="zh-CN"/>
        </w:rPr>
        <w:t>本项目采取考核机制，总分24分，考核内容及分值详见下表</w:t>
      </w:r>
      <w:r>
        <w:rPr>
          <w:rFonts w:hint="eastAsia"/>
          <w:lang w:val="en-US" w:eastAsia="zh-CN"/>
        </w:rPr>
        <w:t>：</w:t>
      </w:r>
    </w:p>
    <w:tbl>
      <w:tblPr>
        <w:tblStyle w:val="18"/>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72"/>
        <w:gridCol w:w="7549"/>
        <w:gridCol w:w="1339"/>
      </w:tblGrid>
      <w:tr w14:paraId="7BBED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shd w:val="clear" w:color="auto" w:fill="A4A4A4" w:themeFill="background1" w:themeFillShade="A5"/>
            <w:vAlign w:val="center"/>
          </w:tcPr>
          <w:p w14:paraId="753D8E75">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序号</w:t>
            </w:r>
          </w:p>
        </w:tc>
        <w:tc>
          <w:tcPr>
            <w:tcW w:w="3789" w:type="pct"/>
            <w:tcBorders>
              <w:tl2br w:val="nil"/>
              <w:tr2bl w:val="nil"/>
            </w:tcBorders>
            <w:shd w:val="clear" w:color="auto" w:fill="A4A4A4" w:themeFill="background1" w:themeFillShade="A5"/>
            <w:vAlign w:val="center"/>
          </w:tcPr>
          <w:p w14:paraId="629DB869">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考核内容</w:t>
            </w:r>
          </w:p>
        </w:tc>
        <w:tc>
          <w:tcPr>
            <w:tcW w:w="672" w:type="pct"/>
            <w:tcBorders>
              <w:tl2br w:val="nil"/>
              <w:tr2bl w:val="nil"/>
            </w:tcBorders>
            <w:shd w:val="clear" w:color="auto" w:fill="A4A4A4" w:themeFill="background1" w:themeFillShade="A5"/>
            <w:vAlign w:val="center"/>
          </w:tcPr>
          <w:p w14:paraId="7C5979FA">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分值</w:t>
            </w:r>
          </w:p>
        </w:tc>
      </w:tr>
      <w:tr w14:paraId="1BA5B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38" w:type="pct"/>
            <w:tcBorders>
              <w:tl2br w:val="nil"/>
              <w:tr2bl w:val="nil"/>
            </w:tcBorders>
            <w:vAlign w:val="center"/>
          </w:tcPr>
          <w:p w14:paraId="4B5A8B3F">
            <w:pPr>
              <w:jc w:val="center"/>
              <w:rPr>
                <w:rFonts w:hint="default"/>
                <w:vertAlign w:val="baseline"/>
                <w:lang w:val="en-US" w:eastAsia="zh-CN"/>
              </w:rPr>
            </w:pPr>
            <w:r>
              <w:rPr>
                <w:rFonts w:hint="eastAsia"/>
                <w:vertAlign w:val="baseline"/>
                <w:lang w:val="en-US" w:eastAsia="zh-CN"/>
              </w:rPr>
              <w:t>1</w:t>
            </w:r>
          </w:p>
        </w:tc>
        <w:tc>
          <w:tcPr>
            <w:tcW w:w="3789" w:type="pct"/>
            <w:tcBorders>
              <w:tl2br w:val="nil"/>
              <w:tr2bl w:val="nil"/>
            </w:tcBorders>
            <w:vAlign w:val="center"/>
          </w:tcPr>
          <w:p w14:paraId="6D40A1B3">
            <w:pPr>
              <w:jc w:val="both"/>
              <w:rPr>
                <w:rFonts w:hint="default"/>
                <w:vertAlign w:val="baseline"/>
                <w:lang w:val="en-US" w:eastAsia="zh-CN"/>
              </w:rPr>
            </w:pPr>
            <w:r>
              <w:rPr>
                <w:rFonts w:hint="eastAsia"/>
                <w:vertAlign w:val="baseline"/>
                <w:lang w:val="en-US" w:eastAsia="zh-CN"/>
              </w:rPr>
              <w:t>违反本条例的：</w:t>
            </w:r>
            <w:r>
              <w:rPr>
                <w:rFonts w:hint="eastAsia"/>
                <w:lang w:val="en-US" w:eastAsia="zh-CN"/>
              </w:rPr>
              <w:t>在服务期及质保期内，供应商应该确保服务范围内的质量标准符合本招标文件要求。当出现问题时，中标供应商应承诺在2小时内响应并提出解决方案，4小时之内到现场对存在问题进行处理，并提出相应防范措施。</w:t>
            </w:r>
          </w:p>
        </w:tc>
        <w:tc>
          <w:tcPr>
            <w:tcW w:w="672" w:type="pct"/>
            <w:tcBorders>
              <w:tl2br w:val="nil"/>
              <w:tr2bl w:val="nil"/>
            </w:tcBorders>
            <w:vAlign w:val="center"/>
          </w:tcPr>
          <w:p w14:paraId="4C841198">
            <w:pPr>
              <w:jc w:val="center"/>
              <w:rPr>
                <w:rFonts w:hint="default"/>
                <w:color w:val="FF0000"/>
                <w:vertAlign w:val="baseline"/>
                <w:lang w:val="en-US" w:eastAsia="zh-CN"/>
              </w:rPr>
            </w:pPr>
            <w:r>
              <w:rPr>
                <w:rFonts w:hint="eastAsia"/>
                <w:color w:val="FF0000"/>
                <w:vertAlign w:val="baseline"/>
                <w:lang w:val="en-US" w:eastAsia="zh-CN"/>
              </w:rPr>
              <w:t>-5/次</w:t>
            </w:r>
          </w:p>
        </w:tc>
      </w:tr>
      <w:tr w14:paraId="121D75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54B9A652">
            <w:pPr>
              <w:jc w:val="center"/>
              <w:rPr>
                <w:rFonts w:hint="default"/>
                <w:vertAlign w:val="baseline"/>
                <w:lang w:val="en-US" w:eastAsia="zh-CN"/>
              </w:rPr>
            </w:pPr>
            <w:r>
              <w:rPr>
                <w:rFonts w:hint="eastAsia"/>
                <w:vertAlign w:val="baseline"/>
                <w:lang w:val="en-US" w:eastAsia="zh-CN"/>
              </w:rPr>
              <w:t>2</w:t>
            </w:r>
          </w:p>
        </w:tc>
        <w:tc>
          <w:tcPr>
            <w:tcW w:w="3789" w:type="pct"/>
            <w:tcBorders>
              <w:tl2br w:val="nil"/>
              <w:tr2bl w:val="nil"/>
            </w:tcBorders>
            <w:vAlign w:val="center"/>
          </w:tcPr>
          <w:p w14:paraId="142647BB">
            <w:pPr>
              <w:jc w:val="both"/>
              <w:rPr>
                <w:rFonts w:hint="default"/>
                <w:vertAlign w:val="baseline"/>
                <w:lang w:val="en-US" w:eastAsia="zh-CN"/>
              </w:rPr>
            </w:pPr>
            <w:r>
              <w:rPr>
                <w:rFonts w:hint="eastAsia"/>
                <w:vertAlign w:val="baseline"/>
                <w:lang w:val="en-US" w:eastAsia="zh-CN"/>
              </w:rPr>
              <w:t>违反本条例的：</w:t>
            </w:r>
            <w:r>
              <w:rPr>
                <w:rFonts w:hint="eastAsia"/>
                <w:lang w:eastAsia="zh-CN"/>
              </w:rPr>
              <w:t>本项目提供的产品必须是正品合格。所</w:t>
            </w:r>
            <w:r>
              <w:rPr>
                <w:rFonts w:hint="eastAsia"/>
                <w:lang w:val="en-US" w:eastAsia="zh-CN"/>
              </w:rPr>
              <w:t>有</w:t>
            </w:r>
            <w:r>
              <w:rPr>
                <w:rFonts w:hint="eastAsia"/>
                <w:lang w:eastAsia="zh-CN"/>
              </w:rPr>
              <w:t>的</w:t>
            </w:r>
            <w:r>
              <w:rPr>
                <w:rFonts w:hint="eastAsia"/>
                <w:lang w:val="en-US" w:eastAsia="zh-CN"/>
              </w:rPr>
              <w:t>产品</w:t>
            </w:r>
            <w:r>
              <w:rPr>
                <w:rFonts w:hint="eastAsia"/>
                <w:lang w:eastAsia="zh-CN"/>
              </w:rPr>
              <w:t>必须有合法的进货渠道，</w:t>
            </w:r>
            <w:r>
              <w:rPr>
                <w:rFonts w:hint="eastAsia"/>
                <w:lang w:val="en-US" w:eastAsia="zh-CN"/>
              </w:rPr>
              <w:t>必须为采购人指定品牌、型号规格等，</w:t>
            </w:r>
            <w:r>
              <w:rPr>
                <w:rFonts w:hint="eastAsia"/>
                <w:lang w:eastAsia="zh-CN"/>
              </w:rPr>
              <w:t>必须符合</w:t>
            </w:r>
            <w:r>
              <w:rPr>
                <w:rFonts w:hint="eastAsia"/>
                <w:lang w:val="en-US" w:eastAsia="zh-CN"/>
              </w:rPr>
              <w:t>现行的消防器材质量</w:t>
            </w:r>
            <w:r>
              <w:rPr>
                <w:rFonts w:hint="eastAsia"/>
                <w:lang w:eastAsia="zh-CN"/>
              </w:rPr>
              <w:t>国家</w:t>
            </w:r>
            <w:r>
              <w:rPr>
                <w:rFonts w:hint="eastAsia"/>
                <w:lang w:val="en-US" w:eastAsia="zh-CN"/>
              </w:rPr>
              <w:t>及行业标准</w:t>
            </w:r>
            <w:r>
              <w:rPr>
                <w:rFonts w:hint="eastAsia"/>
                <w:lang w:eastAsia="zh-CN"/>
              </w:rPr>
              <w:t>，不得使用假冒伪劣产品或以次充好；</w:t>
            </w:r>
          </w:p>
        </w:tc>
        <w:tc>
          <w:tcPr>
            <w:tcW w:w="672" w:type="pct"/>
            <w:tcBorders>
              <w:tl2br w:val="nil"/>
              <w:tr2bl w:val="nil"/>
            </w:tcBorders>
            <w:vAlign w:val="center"/>
          </w:tcPr>
          <w:p w14:paraId="421EB90B">
            <w:pPr>
              <w:jc w:val="center"/>
              <w:rPr>
                <w:rFonts w:hint="default"/>
                <w:color w:val="FF0000"/>
                <w:vertAlign w:val="baseline"/>
                <w:lang w:val="en-US" w:eastAsia="zh-CN"/>
              </w:rPr>
            </w:pPr>
            <w:r>
              <w:rPr>
                <w:rFonts w:hint="eastAsia"/>
                <w:color w:val="FF0000"/>
                <w:vertAlign w:val="baseline"/>
                <w:lang w:val="en-US" w:eastAsia="zh-CN"/>
              </w:rPr>
              <w:t>-5/次</w:t>
            </w:r>
          </w:p>
        </w:tc>
      </w:tr>
      <w:tr w14:paraId="03900D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2179884B">
            <w:pPr>
              <w:jc w:val="center"/>
              <w:rPr>
                <w:rFonts w:hint="default"/>
                <w:vertAlign w:val="baseline"/>
                <w:lang w:val="en-US" w:eastAsia="zh-CN"/>
              </w:rPr>
            </w:pPr>
            <w:r>
              <w:rPr>
                <w:rFonts w:hint="eastAsia"/>
                <w:vertAlign w:val="baseline"/>
                <w:lang w:val="en-US" w:eastAsia="zh-CN"/>
              </w:rPr>
              <w:t>3</w:t>
            </w:r>
          </w:p>
        </w:tc>
        <w:tc>
          <w:tcPr>
            <w:tcW w:w="3789" w:type="pct"/>
            <w:tcBorders>
              <w:tl2br w:val="nil"/>
              <w:tr2bl w:val="nil"/>
            </w:tcBorders>
            <w:vAlign w:val="center"/>
          </w:tcPr>
          <w:p w14:paraId="7AC1846C">
            <w:pPr>
              <w:rPr>
                <w:rFonts w:hint="default"/>
                <w:vertAlign w:val="baseline"/>
                <w:lang w:val="en-US" w:eastAsia="zh-CN"/>
              </w:rPr>
            </w:pPr>
            <w:r>
              <w:rPr>
                <w:rFonts w:hint="eastAsia"/>
                <w:vertAlign w:val="baseline"/>
                <w:lang w:val="en-US" w:eastAsia="zh-CN"/>
              </w:rPr>
              <w:t>违反本条例的：</w:t>
            </w:r>
            <w:r>
              <w:rPr>
                <w:rFonts w:hint="eastAsia"/>
                <w:lang w:val="en-US" w:eastAsia="zh-CN"/>
              </w:rPr>
              <w:t>供应商在服务期及质保期内，应对本项目所需的消防器材进行备货，当问题出现时，以便更换。采购人有权不固定时间对供应商进行备货抽查。</w:t>
            </w:r>
          </w:p>
        </w:tc>
        <w:tc>
          <w:tcPr>
            <w:tcW w:w="672" w:type="pct"/>
            <w:tcBorders>
              <w:tl2br w:val="nil"/>
              <w:tr2bl w:val="nil"/>
            </w:tcBorders>
            <w:vAlign w:val="center"/>
          </w:tcPr>
          <w:p w14:paraId="0C66DB1E">
            <w:pPr>
              <w:jc w:val="center"/>
              <w:rPr>
                <w:rFonts w:hint="default"/>
                <w:color w:val="FF0000"/>
                <w:vertAlign w:val="baseline"/>
                <w:lang w:val="en-US" w:eastAsia="zh-CN"/>
              </w:rPr>
            </w:pPr>
            <w:r>
              <w:rPr>
                <w:rFonts w:hint="eastAsia"/>
                <w:color w:val="FF0000"/>
                <w:vertAlign w:val="baseline"/>
                <w:lang w:val="en-US" w:eastAsia="zh-CN"/>
              </w:rPr>
              <w:t>-3/次</w:t>
            </w:r>
          </w:p>
        </w:tc>
      </w:tr>
      <w:tr w14:paraId="484B6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3889B6AB">
            <w:pPr>
              <w:jc w:val="center"/>
              <w:rPr>
                <w:rFonts w:hint="default"/>
                <w:vertAlign w:val="baseline"/>
                <w:lang w:val="en-US" w:eastAsia="zh-CN"/>
              </w:rPr>
            </w:pPr>
            <w:r>
              <w:rPr>
                <w:rFonts w:hint="eastAsia"/>
                <w:vertAlign w:val="baseline"/>
                <w:lang w:val="en-US" w:eastAsia="zh-CN"/>
              </w:rPr>
              <w:t>4</w:t>
            </w:r>
          </w:p>
        </w:tc>
        <w:tc>
          <w:tcPr>
            <w:tcW w:w="3789" w:type="pct"/>
            <w:tcBorders>
              <w:tl2br w:val="nil"/>
              <w:tr2bl w:val="nil"/>
            </w:tcBorders>
            <w:vAlign w:val="center"/>
          </w:tcPr>
          <w:p w14:paraId="369C7A41">
            <w:pPr>
              <w:jc w:val="both"/>
              <w:rPr>
                <w:rFonts w:hint="default"/>
                <w:vertAlign w:val="baseline"/>
                <w:lang w:val="en-US" w:eastAsia="zh-CN"/>
              </w:rPr>
            </w:pPr>
            <w:r>
              <w:rPr>
                <w:rFonts w:hint="eastAsia"/>
                <w:vertAlign w:val="baseline"/>
                <w:lang w:val="en-US" w:eastAsia="zh-CN"/>
              </w:rPr>
              <w:t>违反本条例的：</w:t>
            </w:r>
            <w:r>
              <w:rPr>
                <w:rFonts w:hint="eastAsia"/>
                <w:lang w:val="en-US" w:eastAsia="zh-CN"/>
              </w:rPr>
              <w:t>在服务期及质保期内，供应商所提供服务的相关人员必须为供应商在职缴纳社保人员，此外还需对所有人员购买人生意外伤害险，如在项目实施、质保期、售后服务过程中产生的安全生产责任事故，由供应商承担所有责任。</w:t>
            </w:r>
          </w:p>
        </w:tc>
        <w:tc>
          <w:tcPr>
            <w:tcW w:w="672" w:type="pct"/>
            <w:tcBorders>
              <w:tl2br w:val="nil"/>
              <w:tr2bl w:val="nil"/>
            </w:tcBorders>
            <w:vAlign w:val="center"/>
          </w:tcPr>
          <w:p w14:paraId="5D7D9546">
            <w:pPr>
              <w:jc w:val="center"/>
              <w:rPr>
                <w:rFonts w:hint="default"/>
                <w:color w:val="FF0000"/>
                <w:vertAlign w:val="baseline"/>
                <w:lang w:val="en-US" w:eastAsia="zh-CN"/>
              </w:rPr>
            </w:pPr>
            <w:r>
              <w:rPr>
                <w:rFonts w:hint="eastAsia"/>
                <w:color w:val="FF0000"/>
                <w:vertAlign w:val="baseline"/>
                <w:lang w:val="en-US" w:eastAsia="zh-CN"/>
              </w:rPr>
              <w:t>-3/次</w:t>
            </w:r>
          </w:p>
        </w:tc>
      </w:tr>
      <w:tr w14:paraId="19912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0CBDF337">
            <w:pPr>
              <w:jc w:val="center"/>
              <w:rPr>
                <w:rFonts w:hint="default"/>
                <w:vertAlign w:val="baseline"/>
                <w:lang w:val="en-US" w:eastAsia="zh-CN"/>
              </w:rPr>
            </w:pPr>
            <w:r>
              <w:rPr>
                <w:rFonts w:hint="eastAsia"/>
                <w:vertAlign w:val="baseline"/>
                <w:lang w:val="en-US" w:eastAsia="zh-CN"/>
              </w:rPr>
              <w:t>5</w:t>
            </w:r>
          </w:p>
        </w:tc>
        <w:tc>
          <w:tcPr>
            <w:tcW w:w="3789" w:type="pct"/>
            <w:tcBorders>
              <w:tl2br w:val="nil"/>
              <w:tr2bl w:val="nil"/>
            </w:tcBorders>
            <w:vAlign w:val="center"/>
          </w:tcPr>
          <w:p w14:paraId="110079B7">
            <w:pPr>
              <w:jc w:val="both"/>
              <w:rPr>
                <w:rFonts w:hint="default"/>
                <w:vertAlign w:val="baseline"/>
                <w:lang w:val="en-US" w:eastAsia="zh-CN"/>
              </w:rPr>
            </w:pPr>
            <w:r>
              <w:rPr>
                <w:rFonts w:hint="eastAsia"/>
                <w:vertAlign w:val="baseline"/>
                <w:lang w:val="en-US" w:eastAsia="zh-CN"/>
              </w:rPr>
              <w:t>违反本条例的：</w:t>
            </w:r>
            <w:r>
              <w:rPr>
                <w:rFonts w:hint="eastAsia"/>
                <w:lang w:val="en-US" w:eastAsia="zh-CN"/>
              </w:rPr>
              <w:t>所有产品质保时间根据采购人签订的合同为准，在质保期内发生的质量问题，中标供应商承诺在2小时内响应并提出解决方案，4小时内到达现场对存在的问题进行处理，并提出行营防范措施。</w:t>
            </w:r>
          </w:p>
        </w:tc>
        <w:tc>
          <w:tcPr>
            <w:tcW w:w="672" w:type="pct"/>
            <w:tcBorders>
              <w:tl2br w:val="nil"/>
              <w:tr2bl w:val="nil"/>
            </w:tcBorders>
            <w:vAlign w:val="center"/>
          </w:tcPr>
          <w:p w14:paraId="38B22A03">
            <w:pPr>
              <w:jc w:val="center"/>
              <w:rPr>
                <w:rFonts w:hint="default"/>
                <w:color w:val="FF0000"/>
                <w:vertAlign w:val="baseline"/>
                <w:lang w:val="en-US" w:eastAsia="zh-CN"/>
              </w:rPr>
            </w:pPr>
            <w:r>
              <w:rPr>
                <w:rFonts w:hint="eastAsia"/>
                <w:color w:val="FF0000"/>
                <w:vertAlign w:val="baseline"/>
                <w:lang w:val="en-US" w:eastAsia="zh-CN"/>
              </w:rPr>
              <w:t>-3/次</w:t>
            </w:r>
          </w:p>
        </w:tc>
      </w:tr>
      <w:tr w14:paraId="324201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652B0EFB">
            <w:pPr>
              <w:jc w:val="center"/>
              <w:rPr>
                <w:rFonts w:hint="default"/>
                <w:vertAlign w:val="baseline"/>
                <w:lang w:val="en-US" w:eastAsia="zh-CN"/>
              </w:rPr>
            </w:pPr>
            <w:r>
              <w:rPr>
                <w:rFonts w:hint="eastAsia"/>
                <w:vertAlign w:val="baseline"/>
                <w:lang w:val="en-US" w:eastAsia="zh-CN"/>
              </w:rPr>
              <w:t>6</w:t>
            </w:r>
          </w:p>
        </w:tc>
        <w:tc>
          <w:tcPr>
            <w:tcW w:w="3789" w:type="pct"/>
            <w:tcBorders>
              <w:tl2br w:val="nil"/>
              <w:tr2bl w:val="nil"/>
            </w:tcBorders>
            <w:vAlign w:val="center"/>
          </w:tcPr>
          <w:p w14:paraId="30F44B90">
            <w:pPr>
              <w:jc w:val="both"/>
              <w:rPr>
                <w:rFonts w:hint="default"/>
                <w:vertAlign w:val="baseline"/>
                <w:lang w:val="en-US" w:eastAsia="zh-CN"/>
              </w:rPr>
            </w:pPr>
            <w:r>
              <w:rPr>
                <w:rFonts w:hint="eastAsia"/>
                <w:vertAlign w:val="baseline"/>
                <w:lang w:val="en-US" w:eastAsia="zh-CN"/>
              </w:rPr>
              <w:t>履约验收不通过的。</w:t>
            </w:r>
          </w:p>
        </w:tc>
        <w:tc>
          <w:tcPr>
            <w:tcW w:w="672" w:type="pct"/>
            <w:tcBorders>
              <w:tl2br w:val="nil"/>
              <w:tr2bl w:val="nil"/>
            </w:tcBorders>
            <w:vAlign w:val="center"/>
          </w:tcPr>
          <w:p w14:paraId="7A7B5E80">
            <w:pPr>
              <w:jc w:val="center"/>
              <w:rPr>
                <w:rFonts w:hint="default"/>
                <w:color w:val="FF0000"/>
                <w:vertAlign w:val="baseline"/>
                <w:lang w:val="en-US" w:eastAsia="zh-CN"/>
              </w:rPr>
            </w:pPr>
            <w:r>
              <w:rPr>
                <w:rFonts w:hint="eastAsia"/>
                <w:color w:val="FF0000"/>
                <w:vertAlign w:val="baseline"/>
                <w:lang w:val="en-US" w:eastAsia="zh-CN"/>
              </w:rPr>
              <w:t>-5/次</w:t>
            </w:r>
          </w:p>
        </w:tc>
      </w:tr>
      <w:tr w14:paraId="5AE60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0286319E">
            <w:pPr>
              <w:jc w:val="center"/>
              <w:rPr>
                <w:rFonts w:hint="default"/>
                <w:vertAlign w:val="baseline"/>
                <w:lang w:val="en-US" w:eastAsia="zh-CN"/>
              </w:rPr>
            </w:pPr>
            <w:r>
              <w:rPr>
                <w:rFonts w:hint="eastAsia"/>
                <w:vertAlign w:val="baseline"/>
                <w:lang w:val="en-US" w:eastAsia="zh-CN"/>
              </w:rPr>
              <w:t>7</w:t>
            </w:r>
          </w:p>
        </w:tc>
        <w:tc>
          <w:tcPr>
            <w:tcW w:w="3789" w:type="pct"/>
            <w:tcBorders>
              <w:tl2br w:val="nil"/>
              <w:tr2bl w:val="nil"/>
            </w:tcBorders>
            <w:vAlign w:val="center"/>
          </w:tcPr>
          <w:p w14:paraId="04508ADF">
            <w:pPr>
              <w:jc w:val="both"/>
              <w:rPr>
                <w:rFonts w:hint="default"/>
                <w:vertAlign w:val="baseline"/>
                <w:lang w:val="en-US" w:eastAsia="zh-CN"/>
              </w:rPr>
            </w:pPr>
            <w:r>
              <w:rPr>
                <w:rFonts w:hint="eastAsia"/>
                <w:vertAlign w:val="baseline"/>
                <w:lang w:val="en-US" w:eastAsia="zh-CN"/>
              </w:rPr>
              <w:t>第二阶段不响应的。</w:t>
            </w:r>
          </w:p>
        </w:tc>
        <w:tc>
          <w:tcPr>
            <w:tcW w:w="672" w:type="pct"/>
            <w:tcBorders>
              <w:tl2br w:val="nil"/>
              <w:tr2bl w:val="nil"/>
            </w:tcBorders>
            <w:vAlign w:val="center"/>
          </w:tcPr>
          <w:p w14:paraId="2417DF93">
            <w:pPr>
              <w:jc w:val="center"/>
              <w:rPr>
                <w:rFonts w:hint="eastAsia"/>
                <w:color w:val="FF0000"/>
                <w:vertAlign w:val="baseline"/>
                <w:lang w:val="en-US" w:eastAsia="zh-CN"/>
              </w:rPr>
            </w:pPr>
            <w:r>
              <w:rPr>
                <w:rFonts w:hint="eastAsia"/>
                <w:color w:val="FF0000"/>
                <w:vertAlign w:val="baseline"/>
                <w:lang w:val="en-US" w:eastAsia="zh-CN"/>
              </w:rPr>
              <w:t>-3/次</w:t>
            </w:r>
          </w:p>
        </w:tc>
      </w:tr>
    </w:tbl>
    <w:p w14:paraId="72FC65D0">
      <w:pPr>
        <w:rPr>
          <w:rFonts w:hint="default"/>
          <w:lang w:val="en-US" w:eastAsia="zh-CN"/>
        </w:rPr>
      </w:pPr>
      <w:r>
        <w:rPr>
          <w:rFonts w:hint="default"/>
          <w:lang w:val="en-US" w:eastAsia="zh-CN"/>
        </w:rPr>
        <w:t>考核规则详见下表：</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0"/>
        <w:gridCol w:w="2144"/>
        <w:gridCol w:w="4437"/>
        <w:gridCol w:w="2491"/>
      </w:tblGrid>
      <w:tr w14:paraId="2440C1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 w:type="dxa"/>
            <w:tcBorders>
              <w:tl2br w:val="nil"/>
              <w:tr2bl w:val="nil"/>
            </w:tcBorders>
            <w:shd w:val="clear" w:color="auto" w:fill="A4A4A4" w:themeFill="background1" w:themeFillShade="A5"/>
            <w:vAlign w:val="center"/>
          </w:tcPr>
          <w:p w14:paraId="3178FFF3">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序号</w:t>
            </w:r>
          </w:p>
        </w:tc>
        <w:tc>
          <w:tcPr>
            <w:tcW w:w="2144" w:type="dxa"/>
            <w:tcBorders>
              <w:tl2br w:val="nil"/>
              <w:tr2bl w:val="nil"/>
            </w:tcBorders>
            <w:shd w:val="clear" w:color="auto" w:fill="A4A4A4" w:themeFill="background1" w:themeFillShade="A5"/>
            <w:vAlign w:val="center"/>
          </w:tcPr>
          <w:p w14:paraId="4D0BFA35">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分值</w:t>
            </w:r>
          </w:p>
        </w:tc>
        <w:tc>
          <w:tcPr>
            <w:tcW w:w="4437" w:type="dxa"/>
            <w:tcBorders>
              <w:tl2br w:val="nil"/>
              <w:tr2bl w:val="nil"/>
            </w:tcBorders>
            <w:shd w:val="clear" w:color="auto" w:fill="A4A4A4" w:themeFill="background1" w:themeFillShade="A5"/>
            <w:vAlign w:val="center"/>
          </w:tcPr>
          <w:p w14:paraId="5545E705">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处罚内容</w:t>
            </w:r>
          </w:p>
        </w:tc>
        <w:tc>
          <w:tcPr>
            <w:tcW w:w="2491" w:type="dxa"/>
            <w:tcBorders>
              <w:tl2br w:val="nil"/>
              <w:tr2bl w:val="nil"/>
            </w:tcBorders>
            <w:shd w:val="clear" w:color="auto" w:fill="A4A4A4" w:themeFill="background1" w:themeFillShade="A5"/>
            <w:vAlign w:val="center"/>
          </w:tcPr>
          <w:p w14:paraId="2ED20337">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备注</w:t>
            </w:r>
          </w:p>
        </w:tc>
      </w:tr>
      <w:tr w14:paraId="11D1A4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 w:type="dxa"/>
            <w:tcBorders>
              <w:tl2br w:val="nil"/>
              <w:tr2bl w:val="nil"/>
            </w:tcBorders>
            <w:vAlign w:val="center"/>
          </w:tcPr>
          <w:p w14:paraId="27AC719F">
            <w:pPr>
              <w:jc w:val="center"/>
              <w:rPr>
                <w:rFonts w:hint="default"/>
                <w:vertAlign w:val="baseline"/>
                <w:lang w:val="en-US" w:eastAsia="zh-CN"/>
              </w:rPr>
            </w:pPr>
            <w:r>
              <w:rPr>
                <w:rFonts w:hint="eastAsia"/>
                <w:vertAlign w:val="baseline"/>
                <w:lang w:val="en-US" w:eastAsia="zh-CN"/>
              </w:rPr>
              <w:t>1</w:t>
            </w:r>
          </w:p>
        </w:tc>
        <w:tc>
          <w:tcPr>
            <w:tcW w:w="2144" w:type="dxa"/>
            <w:tcBorders>
              <w:tl2br w:val="nil"/>
              <w:tr2bl w:val="nil"/>
            </w:tcBorders>
            <w:vAlign w:val="center"/>
          </w:tcPr>
          <w:p w14:paraId="160AFB8B">
            <w:pPr>
              <w:jc w:val="center"/>
              <w:rPr>
                <w:rFonts w:hint="default"/>
                <w:vertAlign w:val="baseline"/>
                <w:lang w:val="en-US" w:eastAsia="zh-CN"/>
              </w:rPr>
            </w:pPr>
            <w:r>
              <w:rPr>
                <w:rFonts w:hint="eastAsia"/>
                <w:vertAlign w:val="baseline"/>
                <w:lang w:val="en-US" w:eastAsia="zh-CN"/>
              </w:rPr>
              <w:t>0分</w:t>
            </w:r>
          </w:p>
        </w:tc>
        <w:tc>
          <w:tcPr>
            <w:tcW w:w="4437" w:type="dxa"/>
            <w:tcBorders>
              <w:tl2br w:val="nil"/>
              <w:tr2bl w:val="nil"/>
            </w:tcBorders>
            <w:vAlign w:val="center"/>
          </w:tcPr>
          <w:p w14:paraId="4297D863">
            <w:pPr>
              <w:jc w:val="center"/>
              <w:rPr>
                <w:rFonts w:hint="default"/>
                <w:vertAlign w:val="baseline"/>
                <w:lang w:val="en-US" w:eastAsia="zh-CN"/>
              </w:rPr>
            </w:pPr>
            <w:r>
              <w:rPr>
                <w:rFonts w:hint="eastAsia"/>
                <w:vertAlign w:val="baseline"/>
                <w:lang w:val="en-US" w:eastAsia="zh-CN"/>
              </w:rPr>
              <w:t>终止合同，同时扣除100%履约保证金</w:t>
            </w:r>
          </w:p>
        </w:tc>
        <w:tc>
          <w:tcPr>
            <w:tcW w:w="2491" w:type="dxa"/>
            <w:tcBorders>
              <w:tl2br w:val="nil"/>
              <w:tr2bl w:val="nil"/>
            </w:tcBorders>
            <w:vAlign w:val="center"/>
          </w:tcPr>
          <w:p w14:paraId="72BE36E4">
            <w:pPr>
              <w:jc w:val="center"/>
              <w:rPr>
                <w:rFonts w:hint="default"/>
                <w:vertAlign w:val="baseline"/>
                <w:lang w:val="en-US" w:eastAsia="zh-CN"/>
              </w:rPr>
            </w:pPr>
          </w:p>
        </w:tc>
      </w:tr>
      <w:tr w14:paraId="3E89C8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 w:type="dxa"/>
            <w:tcBorders>
              <w:tl2br w:val="nil"/>
              <w:tr2bl w:val="nil"/>
            </w:tcBorders>
            <w:vAlign w:val="center"/>
          </w:tcPr>
          <w:p w14:paraId="4A6E1841">
            <w:pPr>
              <w:jc w:val="center"/>
              <w:rPr>
                <w:rFonts w:hint="default"/>
                <w:vertAlign w:val="baseline"/>
                <w:lang w:val="en-US" w:eastAsia="zh-CN"/>
              </w:rPr>
            </w:pPr>
            <w:r>
              <w:rPr>
                <w:rFonts w:hint="eastAsia"/>
                <w:vertAlign w:val="baseline"/>
                <w:lang w:val="en-US" w:eastAsia="zh-CN"/>
              </w:rPr>
              <w:t>2</w:t>
            </w:r>
          </w:p>
        </w:tc>
        <w:tc>
          <w:tcPr>
            <w:tcW w:w="2144" w:type="dxa"/>
            <w:tcBorders>
              <w:tl2br w:val="nil"/>
              <w:tr2bl w:val="nil"/>
            </w:tcBorders>
            <w:vAlign w:val="center"/>
          </w:tcPr>
          <w:p w14:paraId="443DF7C1">
            <w:pPr>
              <w:jc w:val="center"/>
              <w:rPr>
                <w:rFonts w:hint="default"/>
                <w:vertAlign w:val="baseline"/>
                <w:lang w:val="en-US" w:eastAsia="zh-CN"/>
              </w:rPr>
            </w:pPr>
            <w:r>
              <w:rPr>
                <w:rFonts w:hint="eastAsia"/>
                <w:vertAlign w:val="baseline"/>
                <w:lang w:val="en-US" w:eastAsia="zh-CN"/>
              </w:rPr>
              <w:t>＞0分≤6分</w:t>
            </w:r>
          </w:p>
        </w:tc>
        <w:tc>
          <w:tcPr>
            <w:tcW w:w="4437" w:type="dxa"/>
            <w:tcBorders>
              <w:tl2br w:val="nil"/>
              <w:tr2bl w:val="nil"/>
            </w:tcBorders>
            <w:vAlign w:val="center"/>
          </w:tcPr>
          <w:p w14:paraId="434E9E7B">
            <w:pPr>
              <w:jc w:val="center"/>
              <w:rPr>
                <w:rFonts w:hint="default"/>
                <w:vertAlign w:val="baseline"/>
                <w:lang w:val="en-US" w:eastAsia="zh-CN"/>
              </w:rPr>
            </w:pPr>
            <w:r>
              <w:rPr>
                <w:rFonts w:hint="eastAsia"/>
                <w:vertAlign w:val="baseline"/>
                <w:lang w:val="en-US" w:eastAsia="zh-CN"/>
              </w:rPr>
              <w:t>暂停合同3个月，同时扣除30%履约保证金</w:t>
            </w:r>
          </w:p>
        </w:tc>
        <w:tc>
          <w:tcPr>
            <w:tcW w:w="2491" w:type="dxa"/>
            <w:tcBorders>
              <w:tl2br w:val="nil"/>
              <w:tr2bl w:val="nil"/>
            </w:tcBorders>
            <w:vAlign w:val="center"/>
          </w:tcPr>
          <w:p w14:paraId="1DB03CFE">
            <w:pPr>
              <w:jc w:val="center"/>
              <w:rPr>
                <w:rFonts w:hint="default"/>
                <w:vertAlign w:val="baseline"/>
                <w:lang w:val="en-US" w:eastAsia="zh-CN"/>
              </w:rPr>
            </w:pPr>
          </w:p>
        </w:tc>
      </w:tr>
      <w:tr w14:paraId="3CD2E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 w:type="dxa"/>
            <w:tcBorders>
              <w:tl2br w:val="nil"/>
              <w:tr2bl w:val="nil"/>
            </w:tcBorders>
            <w:vAlign w:val="center"/>
          </w:tcPr>
          <w:p w14:paraId="58DE4222">
            <w:pPr>
              <w:jc w:val="center"/>
              <w:rPr>
                <w:rFonts w:hint="default"/>
                <w:vertAlign w:val="baseline"/>
                <w:lang w:val="en-US" w:eastAsia="zh-CN"/>
              </w:rPr>
            </w:pPr>
            <w:r>
              <w:rPr>
                <w:rFonts w:hint="eastAsia"/>
                <w:vertAlign w:val="baseline"/>
                <w:lang w:val="en-US" w:eastAsia="zh-CN"/>
              </w:rPr>
              <w:t>3</w:t>
            </w:r>
          </w:p>
        </w:tc>
        <w:tc>
          <w:tcPr>
            <w:tcW w:w="2144" w:type="dxa"/>
            <w:tcBorders>
              <w:tl2br w:val="nil"/>
              <w:tr2bl w:val="nil"/>
            </w:tcBorders>
            <w:vAlign w:val="center"/>
          </w:tcPr>
          <w:p w14:paraId="7A575E8A">
            <w:pPr>
              <w:jc w:val="center"/>
              <w:rPr>
                <w:rFonts w:hint="default"/>
                <w:vertAlign w:val="baseline"/>
                <w:lang w:val="en-US" w:eastAsia="zh-CN"/>
              </w:rPr>
            </w:pPr>
            <w:r>
              <w:rPr>
                <w:rFonts w:hint="eastAsia"/>
                <w:vertAlign w:val="baseline"/>
                <w:lang w:val="en-US" w:eastAsia="zh-CN"/>
              </w:rPr>
              <w:t>＞6分≤12分</w:t>
            </w:r>
          </w:p>
        </w:tc>
        <w:tc>
          <w:tcPr>
            <w:tcW w:w="4437" w:type="dxa"/>
            <w:tcBorders>
              <w:tl2br w:val="nil"/>
              <w:tr2bl w:val="nil"/>
            </w:tcBorders>
            <w:vAlign w:val="center"/>
          </w:tcPr>
          <w:p w14:paraId="0931B49C">
            <w:pPr>
              <w:jc w:val="center"/>
              <w:rPr>
                <w:rFonts w:hint="default"/>
                <w:vertAlign w:val="baseline"/>
                <w:lang w:val="en-US" w:eastAsia="zh-CN"/>
              </w:rPr>
            </w:pPr>
            <w:r>
              <w:rPr>
                <w:rFonts w:hint="eastAsia"/>
                <w:vertAlign w:val="baseline"/>
                <w:lang w:val="en-US" w:eastAsia="zh-CN"/>
              </w:rPr>
              <w:t>暂停合同2个月，同时扣除20%履约保证金</w:t>
            </w:r>
          </w:p>
        </w:tc>
        <w:tc>
          <w:tcPr>
            <w:tcW w:w="2491" w:type="dxa"/>
            <w:tcBorders>
              <w:tl2br w:val="nil"/>
              <w:tr2bl w:val="nil"/>
            </w:tcBorders>
            <w:vAlign w:val="center"/>
          </w:tcPr>
          <w:p w14:paraId="5B2CE549">
            <w:pPr>
              <w:jc w:val="center"/>
              <w:rPr>
                <w:rFonts w:hint="default"/>
                <w:vertAlign w:val="baseline"/>
                <w:lang w:val="en-US" w:eastAsia="zh-CN"/>
              </w:rPr>
            </w:pPr>
          </w:p>
        </w:tc>
      </w:tr>
      <w:tr w14:paraId="3EF82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 w:type="dxa"/>
            <w:tcBorders>
              <w:tl2br w:val="nil"/>
              <w:tr2bl w:val="nil"/>
            </w:tcBorders>
            <w:vAlign w:val="center"/>
          </w:tcPr>
          <w:p w14:paraId="4D2F4774">
            <w:pPr>
              <w:jc w:val="center"/>
              <w:rPr>
                <w:rFonts w:hint="default"/>
                <w:vertAlign w:val="baseline"/>
                <w:lang w:val="en-US" w:eastAsia="zh-CN"/>
              </w:rPr>
            </w:pPr>
            <w:r>
              <w:rPr>
                <w:rFonts w:hint="eastAsia"/>
                <w:vertAlign w:val="baseline"/>
                <w:lang w:val="en-US" w:eastAsia="zh-CN"/>
              </w:rPr>
              <w:t>4</w:t>
            </w:r>
          </w:p>
        </w:tc>
        <w:tc>
          <w:tcPr>
            <w:tcW w:w="2144" w:type="dxa"/>
            <w:tcBorders>
              <w:tl2br w:val="nil"/>
              <w:tr2bl w:val="nil"/>
            </w:tcBorders>
            <w:vAlign w:val="center"/>
          </w:tcPr>
          <w:p w14:paraId="0EC7594B">
            <w:pPr>
              <w:jc w:val="center"/>
              <w:rPr>
                <w:rFonts w:hint="default"/>
                <w:vertAlign w:val="baseline"/>
                <w:lang w:val="en-US" w:eastAsia="zh-CN"/>
              </w:rPr>
            </w:pPr>
            <w:r>
              <w:rPr>
                <w:rFonts w:hint="eastAsia"/>
                <w:vertAlign w:val="baseline"/>
                <w:lang w:val="en-US" w:eastAsia="zh-CN"/>
              </w:rPr>
              <w:t>＞12分≤18分</w:t>
            </w:r>
          </w:p>
        </w:tc>
        <w:tc>
          <w:tcPr>
            <w:tcW w:w="4437" w:type="dxa"/>
            <w:tcBorders>
              <w:tl2br w:val="nil"/>
              <w:tr2bl w:val="nil"/>
            </w:tcBorders>
            <w:vAlign w:val="center"/>
          </w:tcPr>
          <w:p w14:paraId="351E1406">
            <w:pPr>
              <w:jc w:val="center"/>
              <w:rPr>
                <w:rFonts w:hint="default"/>
                <w:vertAlign w:val="baseline"/>
                <w:lang w:val="en-US" w:eastAsia="zh-CN"/>
              </w:rPr>
            </w:pPr>
            <w:r>
              <w:rPr>
                <w:rFonts w:hint="eastAsia"/>
                <w:vertAlign w:val="baseline"/>
                <w:lang w:val="en-US" w:eastAsia="zh-CN"/>
              </w:rPr>
              <w:t>暂停合同1个月，同时扣除10%履约保证金</w:t>
            </w:r>
          </w:p>
        </w:tc>
        <w:tc>
          <w:tcPr>
            <w:tcW w:w="2491" w:type="dxa"/>
            <w:tcBorders>
              <w:tl2br w:val="nil"/>
              <w:tr2bl w:val="nil"/>
            </w:tcBorders>
            <w:vAlign w:val="center"/>
          </w:tcPr>
          <w:p w14:paraId="5212CBEF">
            <w:pPr>
              <w:jc w:val="center"/>
              <w:rPr>
                <w:rFonts w:hint="default"/>
                <w:vertAlign w:val="baseline"/>
                <w:lang w:val="en-US" w:eastAsia="zh-CN"/>
              </w:rPr>
            </w:pPr>
          </w:p>
        </w:tc>
      </w:tr>
      <w:tr w14:paraId="64DECA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962" w:type="dxa"/>
            <w:gridSpan w:val="4"/>
            <w:tcBorders>
              <w:tl2br w:val="nil"/>
              <w:tr2bl w:val="nil"/>
            </w:tcBorders>
            <w:vAlign w:val="center"/>
          </w:tcPr>
          <w:p w14:paraId="4CA01964">
            <w:pPr>
              <w:jc w:val="both"/>
              <w:rPr>
                <w:rFonts w:hint="default"/>
                <w:vertAlign w:val="baseline"/>
                <w:lang w:val="en-US" w:eastAsia="zh-CN"/>
              </w:rPr>
            </w:pPr>
            <w:r>
              <w:rPr>
                <w:rFonts w:hint="eastAsia"/>
                <w:b/>
                <w:bCs/>
                <w:vertAlign w:val="baseline"/>
                <w:lang w:val="en-US" w:eastAsia="zh-CN"/>
              </w:rPr>
              <w:t>本项目考核总分：24分；由采购人委派3人及以上单数的专员负责考核。如供应商对考核结果有疑义，可书面提出，经采购人复核确认。在项目实施过程中，采购人有权对考核内容进行调整，并通知入围供应商执行。</w:t>
            </w:r>
          </w:p>
        </w:tc>
      </w:tr>
    </w:tbl>
    <w:p w14:paraId="2A1C11E6">
      <w:pPr>
        <w:pStyle w:val="4"/>
        <w:bidi w:val="0"/>
        <w:rPr>
          <w:rFonts w:hint="default"/>
          <w:lang w:val="en-US" w:eastAsia="zh-CN"/>
        </w:rPr>
      </w:pPr>
      <w:bookmarkStart w:id="39" w:name="_Toc12632"/>
      <w:bookmarkStart w:id="40" w:name="_Toc27366"/>
      <w:r>
        <w:rPr>
          <w:rFonts w:hint="eastAsia"/>
          <w:lang w:val="en-US" w:eastAsia="zh-CN"/>
        </w:rPr>
        <w:t>商务条款</w:t>
      </w:r>
      <w:bookmarkEnd w:id="39"/>
      <w:bookmarkEnd w:id="40"/>
    </w:p>
    <w:p w14:paraId="6E294F06">
      <w:pPr>
        <w:rPr>
          <w:rFonts w:hint="default"/>
          <w:lang w:val="en-US" w:eastAsia="zh-CN"/>
        </w:rPr>
      </w:pPr>
      <w:r>
        <w:rPr>
          <w:rFonts w:hint="default"/>
          <w:lang w:val="en-US" w:eastAsia="zh-CN"/>
        </w:rPr>
        <w:t>1.总体要求</w:t>
      </w:r>
    </w:p>
    <w:p w14:paraId="787DD644">
      <w:pPr>
        <w:rPr>
          <w:rFonts w:hint="default"/>
          <w:lang w:val="en-US" w:eastAsia="zh-CN"/>
        </w:rPr>
      </w:pPr>
      <w:r>
        <w:rPr>
          <w:rFonts w:hint="default"/>
          <w:lang w:val="en-US" w:eastAsia="zh-CN"/>
        </w:rPr>
        <w:t>必须符合采购文件（包括补充更正，如有）的服务要求，符合国家相关服务标准和采购文件规定标准。</w:t>
      </w:r>
    </w:p>
    <w:p w14:paraId="238B00E9">
      <w:pPr>
        <w:rPr>
          <w:rFonts w:hint="default"/>
          <w:lang w:val="en-US" w:eastAsia="zh-CN"/>
        </w:rPr>
      </w:pPr>
      <w:r>
        <w:rPr>
          <w:rFonts w:hint="default"/>
          <w:lang w:val="en-US" w:eastAsia="zh-CN"/>
        </w:rPr>
        <w:t>2.服务期限</w:t>
      </w:r>
    </w:p>
    <w:p w14:paraId="311F2C57">
      <w:pPr>
        <w:rPr>
          <w:rFonts w:hint="default"/>
          <w:lang w:val="en-US" w:eastAsia="zh-CN"/>
        </w:rPr>
      </w:pPr>
      <w:r>
        <w:rPr>
          <w:rFonts w:hint="default"/>
          <w:lang w:val="en-US" w:eastAsia="zh-CN"/>
        </w:rPr>
        <w:t>本项目</w:t>
      </w:r>
      <w:r>
        <w:rPr>
          <w:rFonts w:hint="eastAsia"/>
          <w:lang w:val="en-US" w:eastAsia="zh-CN"/>
        </w:rPr>
        <w:t>服务期</w:t>
      </w:r>
      <w:r>
        <w:rPr>
          <w:rFonts w:hint="default"/>
          <w:lang w:val="en-US" w:eastAsia="zh-CN"/>
        </w:rPr>
        <w:t>期为</w:t>
      </w:r>
      <w:r>
        <w:rPr>
          <w:rFonts w:hint="eastAsia"/>
          <w:b/>
          <w:bCs/>
          <w:color w:val="FF0000"/>
        </w:rPr>
        <w:t>合同签订</w:t>
      </w:r>
      <w:r>
        <w:rPr>
          <w:rFonts w:hint="eastAsia"/>
          <w:b/>
          <w:bCs/>
          <w:color w:val="FF0000"/>
          <w:lang w:val="en-US" w:eastAsia="zh-CN"/>
        </w:rPr>
        <w:t>之</w:t>
      </w:r>
      <w:r>
        <w:rPr>
          <w:rFonts w:hint="eastAsia"/>
          <w:b/>
          <w:bCs/>
          <w:color w:val="FF0000"/>
        </w:rPr>
        <w:t>日起1年</w:t>
      </w:r>
      <w:r>
        <w:rPr>
          <w:rFonts w:hint="default"/>
          <w:lang w:val="en-US" w:eastAsia="zh-CN"/>
        </w:rPr>
        <w:t>，具体以合同签订的时间为准。</w:t>
      </w:r>
    </w:p>
    <w:p w14:paraId="17AC3BD1">
      <w:pPr>
        <w:rPr>
          <w:rFonts w:hint="default"/>
          <w:lang w:val="en-US" w:eastAsia="zh-CN"/>
        </w:rPr>
      </w:pPr>
      <w:r>
        <w:rPr>
          <w:rFonts w:hint="default"/>
          <w:lang w:val="en-US" w:eastAsia="zh-CN"/>
        </w:rPr>
        <w:t>3.质量要求</w:t>
      </w:r>
    </w:p>
    <w:p w14:paraId="5CDC007F">
      <w:pPr>
        <w:rPr>
          <w:rFonts w:hint="default"/>
          <w:lang w:val="en-US" w:eastAsia="zh-CN"/>
        </w:rPr>
      </w:pPr>
      <w:r>
        <w:rPr>
          <w:rFonts w:hint="eastAsia"/>
          <w:lang w:val="en-US" w:eastAsia="zh-CN"/>
        </w:rPr>
        <w:t>供应商多提供的产品</w:t>
      </w:r>
      <w:r>
        <w:rPr>
          <w:rFonts w:hint="default"/>
          <w:lang w:val="en-US" w:eastAsia="zh-CN"/>
        </w:rPr>
        <w:t>均应符合</w:t>
      </w:r>
      <w:r>
        <w:rPr>
          <w:rFonts w:hint="eastAsia"/>
          <w:lang w:val="en-US" w:eastAsia="zh-CN"/>
        </w:rPr>
        <w:t>相关现行的国家级行业标准</w:t>
      </w:r>
      <w:r>
        <w:rPr>
          <w:rFonts w:hint="default"/>
          <w:lang w:val="en-US" w:eastAsia="zh-CN"/>
        </w:rPr>
        <w:t>，同时必须满足</w:t>
      </w:r>
      <w:r>
        <w:rPr>
          <w:rFonts w:hint="eastAsia"/>
          <w:lang w:val="en-US" w:eastAsia="zh-CN"/>
        </w:rPr>
        <w:t>业主单位</w:t>
      </w:r>
      <w:r>
        <w:rPr>
          <w:rFonts w:hint="default"/>
          <w:lang w:val="en-US" w:eastAsia="zh-CN"/>
        </w:rPr>
        <w:t>的有关要求。</w:t>
      </w:r>
    </w:p>
    <w:p w14:paraId="66F5D16A">
      <w:pPr>
        <w:rPr>
          <w:rFonts w:hint="default"/>
          <w:lang w:val="en-US" w:eastAsia="zh-CN"/>
        </w:rPr>
      </w:pPr>
      <w:r>
        <w:rPr>
          <w:rFonts w:hint="default"/>
          <w:lang w:val="en-US" w:eastAsia="zh-CN"/>
        </w:rPr>
        <w:t>4.质保期</w:t>
      </w:r>
    </w:p>
    <w:p w14:paraId="59FEB8C2">
      <w:pPr>
        <w:rPr>
          <w:rFonts w:hint="default"/>
          <w:lang w:val="en-US" w:eastAsia="zh-CN"/>
        </w:rPr>
      </w:pPr>
      <w:r>
        <w:rPr>
          <w:rFonts w:hint="default"/>
          <w:lang w:val="en-US" w:eastAsia="zh-CN"/>
        </w:rPr>
        <w:t>本项目所有货物质保期为</w:t>
      </w:r>
      <w:r>
        <w:rPr>
          <w:rFonts w:hint="default"/>
          <w:b/>
          <w:bCs/>
          <w:color w:val="FF0000"/>
          <w:lang w:val="en-US" w:eastAsia="zh-CN"/>
        </w:rPr>
        <w:t>2</w:t>
      </w:r>
      <w:r>
        <w:rPr>
          <w:rFonts w:hint="default"/>
          <w:lang w:val="en-US" w:eastAsia="zh-CN"/>
        </w:rPr>
        <w:t>年。</w:t>
      </w:r>
    </w:p>
    <w:p w14:paraId="3522E74A">
      <w:pPr>
        <w:rPr>
          <w:rFonts w:hint="default"/>
          <w:lang w:val="en-US" w:eastAsia="zh-CN"/>
        </w:rPr>
      </w:pPr>
      <w:r>
        <w:rPr>
          <w:rFonts w:hint="eastAsia"/>
          <w:lang w:val="en-US" w:eastAsia="zh-CN"/>
        </w:rPr>
        <w:t>5</w:t>
      </w:r>
      <w:r>
        <w:rPr>
          <w:rFonts w:hint="default"/>
          <w:lang w:val="en-US" w:eastAsia="zh-CN"/>
        </w:rPr>
        <w:t>.服务要求</w:t>
      </w:r>
    </w:p>
    <w:p w14:paraId="73BEBE05">
      <w:pPr>
        <w:rPr>
          <w:rFonts w:hint="default"/>
          <w:lang w:val="en-US" w:eastAsia="zh-CN"/>
        </w:rPr>
      </w:pPr>
      <w:r>
        <w:rPr>
          <w:rFonts w:hint="default"/>
          <w:lang w:val="en-US" w:eastAsia="zh-CN"/>
        </w:rPr>
        <w:t>1）供应商在履行合同义务期间，应遵守国家有关法律法规、维护采购单位的合法权益。</w:t>
      </w:r>
    </w:p>
    <w:p w14:paraId="1234FD32">
      <w:pPr>
        <w:rPr>
          <w:rFonts w:hint="default"/>
          <w:lang w:val="en-US" w:eastAsia="zh-CN"/>
        </w:rPr>
      </w:pPr>
      <w:r>
        <w:rPr>
          <w:rFonts w:hint="default"/>
          <w:lang w:val="en-US" w:eastAsia="zh-CN"/>
        </w:rPr>
        <w:t>2）供应商应组建能够满足本项目服务需要的项目组，按照工作范围和内容完成服务工作，并按约定向采购单位汇报工作进展。</w:t>
      </w:r>
    </w:p>
    <w:p w14:paraId="05A18219">
      <w:pPr>
        <w:rPr>
          <w:rFonts w:hint="default"/>
          <w:lang w:val="en-US" w:eastAsia="zh-CN"/>
        </w:rPr>
      </w:pPr>
      <w:r>
        <w:rPr>
          <w:rFonts w:hint="default"/>
          <w:lang w:val="en-US" w:eastAsia="zh-CN"/>
        </w:rPr>
        <w:t>3）供应商项目成果必须满足采购单位的工作要求。</w:t>
      </w:r>
    </w:p>
    <w:p w14:paraId="129E74A5">
      <w:pPr>
        <w:rPr>
          <w:rFonts w:hint="default"/>
          <w:lang w:val="en-US" w:eastAsia="zh-CN"/>
        </w:rPr>
      </w:pPr>
      <w:r>
        <w:rPr>
          <w:rFonts w:hint="default"/>
          <w:lang w:val="en-US" w:eastAsia="zh-CN"/>
        </w:rPr>
        <w:t>4）供应商应自行承担项目实施过程中的安全责任，采购单位在任何情况下不承担任何责任。</w:t>
      </w:r>
    </w:p>
    <w:p w14:paraId="3CE4662D">
      <w:pPr>
        <w:rPr>
          <w:rFonts w:hint="default"/>
          <w:lang w:val="en-US" w:eastAsia="zh-CN"/>
        </w:rPr>
      </w:pPr>
      <w:r>
        <w:rPr>
          <w:rFonts w:hint="default"/>
          <w:lang w:val="en-US" w:eastAsia="zh-CN"/>
        </w:rPr>
        <w:t>5）履约服务：中标供应商须提供不少于1年的免费</w:t>
      </w:r>
      <w:r>
        <w:rPr>
          <w:rFonts w:hint="eastAsia"/>
          <w:lang w:val="en-US" w:eastAsia="zh-CN"/>
        </w:rPr>
        <w:t>售后</w:t>
      </w:r>
      <w:r>
        <w:rPr>
          <w:rFonts w:hint="default"/>
          <w:lang w:val="en-US" w:eastAsia="zh-CN"/>
        </w:rPr>
        <w:t>维护期，时间从项目验收合格之日开始计算。</w:t>
      </w:r>
    </w:p>
    <w:p w14:paraId="13A49A5A">
      <w:pPr>
        <w:rPr>
          <w:rFonts w:hint="default"/>
          <w:lang w:val="en-US" w:eastAsia="zh-CN"/>
        </w:rPr>
      </w:pPr>
      <w:r>
        <w:rPr>
          <w:rFonts w:hint="default"/>
          <w:lang w:val="en-US" w:eastAsia="zh-CN"/>
        </w:rPr>
        <w:t>6）在服务期及维护期内，供应商应该确保服务范围内的质量标准符合本招标文件要求。当出现问题时，中标供应商应承诺在2小时内响应并提出解决方案，4小时之内到现场对存在问题进行处理，并提出相应防范措施。</w:t>
      </w:r>
    </w:p>
    <w:p w14:paraId="6AD91594">
      <w:pPr>
        <w:rPr>
          <w:rFonts w:hint="default"/>
          <w:lang w:val="en-US" w:eastAsia="zh-CN"/>
        </w:rPr>
      </w:pPr>
      <w:r>
        <w:rPr>
          <w:rFonts w:hint="default"/>
          <w:lang w:val="en-US" w:eastAsia="zh-CN"/>
        </w:rPr>
        <w:t>7），由</w:t>
      </w:r>
      <w:r>
        <w:rPr>
          <w:rFonts w:hint="eastAsia"/>
          <w:lang w:val="en-US" w:eastAsia="zh-CN"/>
        </w:rPr>
        <w:t>供应商</w:t>
      </w:r>
      <w:r>
        <w:rPr>
          <w:rFonts w:hint="default"/>
          <w:lang w:val="en-US" w:eastAsia="zh-CN"/>
        </w:rPr>
        <w:t>负责组织对</w:t>
      </w:r>
      <w:r>
        <w:rPr>
          <w:rFonts w:hint="eastAsia"/>
          <w:lang w:val="en-US" w:eastAsia="zh-CN"/>
        </w:rPr>
        <w:t>采购人</w:t>
      </w:r>
      <w:r>
        <w:rPr>
          <w:rFonts w:hint="default"/>
          <w:lang w:val="en-US" w:eastAsia="zh-CN"/>
        </w:rPr>
        <w:t>单位人员的培训。</w:t>
      </w:r>
    </w:p>
    <w:p w14:paraId="762246C7">
      <w:pPr>
        <w:rPr>
          <w:rFonts w:hint="default"/>
          <w:lang w:val="en-US" w:eastAsia="zh-CN"/>
        </w:rPr>
      </w:pPr>
      <w:r>
        <w:rPr>
          <w:rFonts w:hint="default"/>
          <w:lang w:val="en-US" w:eastAsia="zh-CN"/>
        </w:rPr>
        <w:t>8）保密性原则，对服务过程中获知的任何信息均属秘密信息，不得泄露给第三方单位或个人，不得利用这些信息进行任何侵害</w:t>
      </w:r>
      <w:r>
        <w:rPr>
          <w:rFonts w:hint="eastAsia"/>
          <w:lang w:val="en-US" w:eastAsia="zh-CN"/>
        </w:rPr>
        <w:t>采购人</w:t>
      </w:r>
      <w:r>
        <w:rPr>
          <w:rFonts w:hint="default"/>
          <w:lang w:val="en-US" w:eastAsia="zh-CN"/>
        </w:rPr>
        <w:t>的行为。</w:t>
      </w:r>
    </w:p>
    <w:p w14:paraId="33150A12">
      <w:pPr>
        <w:rPr>
          <w:rFonts w:hint="default"/>
          <w:lang w:val="en-US" w:eastAsia="zh-CN"/>
        </w:rPr>
      </w:pPr>
      <w:r>
        <w:rPr>
          <w:rFonts w:hint="default"/>
          <w:lang w:val="en-US" w:eastAsia="zh-CN"/>
        </w:rPr>
        <w:t>5.验收</w:t>
      </w:r>
    </w:p>
    <w:p w14:paraId="51D0E550">
      <w:pPr>
        <w:rPr>
          <w:rFonts w:hint="default"/>
          <w:lang w:val="en-US" w:eastAsia="zh-CN"/>
        </w:rPr>
      </w:pPr>
      <w:r>
        <w:rPr>
          <w:rFonts w:hint="default"/>
          <w:lang w:val="en-US" w:eastAsia="zh-CN"/>
        </w:rPr>
        <w:t>1）履约验收的时间：项目实施完成，供应商提交履约验收书面申请且经采购人确认后7日内完成履约验收。具体验收流程、程序以采购人要求为准。</w:t>
      </w:r>
    </w:p>
    <w:p w14:paraId="7370F97A">
      <w:pPr>
        <w:rPr>
          <w:rFonts w:hint="default"/>
          <w:lang w:val="en-US" w:eastAsia="zh-CN"/>
        </w:rPr>
      </w:pPr>
      <w:r>
        <w:rPr>
          <w:rFonts w:hint="default"/>
          <w:lang w:val="en-US" w:eastAsia="zh-CN"/>
        </w:rPr>
        <w:t>2）验收标准：按相关文件、采购文件、技术要求及主要作业依据完成所有工作内容，按采购需求提交所有成果资料，实施进度符合采购要求。</w:t>
      </w:r>
    </w:p>
    <w:p w14:paraId="5C16B443">
      <w:pPr>
        <w:rPr>
          <w:rFonts w:hint="default"/>
          <w:lang w:val="en-US" w:eastAsia="zh-CN"/>
        </w:rPr>
      </w:pPr>
      <w:r>
        <w:rPr>
          <w:rFonts w:hint="default"/>
          <w:lang w:val="en-US" w:eastAsia="zh-CN"/>
        </w:rPr>
        <w:t>3）验收费用由中标供应商承担。</w:t>
      </w:r>
    </w:p>
    <w:p w14:paraId="38DCC121">
      <w:pPr>
        <w:rPr>
          <w:rFonts w:hint="default"/>
          <w:lang w:val="en-US" w:eastAsia="zh-CN"/>
        </w:rPr>
      </w:pPr>
      <w:r>
        <w:rPr>
          <w:rFonts w:hint="default"/>
          <w:lang w:val="en-US" w:eastAsia="zh-CN"/>
        </w:rPr>
        <w:t>6.项目款的结算</w:t>
      </w:r>
    </w:p>
    <w:p w14:paraId="4F0A8C07">
      <w:pPr>
        <w:rPr>
          <w:rFonts w:hint="default"/>
          <w:b/>
          <w:bCs/>
          <w:lang w:val="en-US" w:eastAsia="zh-CN"/>
        </w:rPr>
      </w:pPr>
      <w:r>
        <w:rPr>
          <w:rFonts w:hint="eastAsia"/>
          <w:b/>
          <w:bCs/>
          <w:lang w:val="en-US" w:eastAsia="zh-CN"/>
        </w:rPr>
        <w:t>（1）本项目不支付</w:t>
      </w:r>
      <w:r>
        <w:rPr>
          <w:rFonts w:hint="default"/>
          <w:b/>
          <w:bCs/>
          <w:lang w:val="en-US" w:eastAsia="zh-CN"/>
        </w:rPr>
        <w:t>预付款</w:t>
      </w:r>
      <w:r>
        <w:rPr>
          <w:rFonts w:hint="eastAsia"/>
          <w:b/>
          <w:bCs/>
          <w:lang w:val="en-US" w:eastAsia="zh-CN"/>
        </w:rPr>
        <w:t>，按实结算，具体单价为最高限价×二次报价百分比，最高限价为二次竞价当月杭州市信息价（含税）×下浮系数（系数由采购人调整），各入围供应商二次报价不得超第一阶段报价百分比</w:t>
      </w:r>
      <w:r>
        <w:rPr>
          <w:rFonts w:hint="default"/>
          <w:b/>
          <w:bCs/>
          <w:lang w:val="en-US" w:eastAsia="zh-CN"/>
        </w:rPr>
        <w:t>；</w:t>
      </w:r>
    </w:p>
    <w:p w14:paraId="4E15FAD8">
      <w:pPr>
        <w:rPr>
          <w:rFonts w:hint="default"/>
          <w:lang w:val="en-US" w:eastAsia="zh-CN"/>
        </w:rPr>
      </w:pPr>
      <w:r>
        <w:rPr>
          <w:rFonts w:hint="eastAsia"/>
          <w:lang w:val="en-US" w:eastAsia="zh-CN"/>
        </w:rPr>
        <w:t>（2）税费：供应商应按供货标的物增值税税费为采购人开13%的增值税专用发票，税费应包含在投标报价中；</w:t>
      </w:r>
    </w:p>
    <w:p w14:paraId="7779132F">
      <w:pPr>
        <w:rPr>
          <w:rFonts w:hint="default"/>
          <w:lang w:val="en-US" w:eastAsia="zh-CN"/>
        </w:rPr>
      </w:pPr>
      <w:r>
        <w:rPr>
          <w:rFonts w:hint="eastAsia"/>
          <w:lang w:val="en-US" w:eastAsia="zh-CN"/>
        </w:rPr>
        <w:t>（3）本项目按季度支付，入围供应商提交结算单并经采购人审核确认后，支付至当季审定价款的95%，剩余5%作为质量保证金，待质保期满后一次性支付。</w:t>
      </w:r>
    </w:p>
    <w:p w14:paraId="2192DAE3">
      <w:pPr>
        <w:rPr>
          <w:rFonts w:hint="default"/>
          <w:lang w:val="en-US" w:eastAsia="zh-CN"/>
        </w:rPr>
      </w:pPr>
      <w:r>
        <w:rPr>
          <w:rFonts w:hint="default"/>
          <w:lang w:val="en-US" w:eastAsia="zh-CN"/>
        </w:rPr>
        <w:t>结算时中标供应商将结款申请1份、发票原件（按实际支付的当期金额）及复印件1份、合同复印件1份和经采购单位验收确认的资料提交采购单位，由采购单位向中标供应商支付当期项目款，采购单位自收到发票后7个工作日内支付当期项目款。</w:t>
      </w:r>
    </w:p>
    <w:p w14:paraId="1E66E0F6">
      <w:pPr>
        <w:rPr>
          <w:rFonts w:hint="default"/>
          <w:lang w:val="en-US" w:eastAsia="zh-CN"/>
        </w:rPr>
      </w:pPr>
      <w:r>
        <w:rPr>
          <w:rFonts w:hint="default"/>
          <w:lang w:val="en-US" w:eastAsia="zh-CN"/>
        </w:rPr>
        <w:t>7.履约保证金</w:t>
      </w:r>
    </w:p>
    <w:p w14:paraId="23B3C42A">
      <w:pPr>
        <w:rPr>
          <w:rFonts w:hint="default"/>
          <w:lang w:val="en-US" w:eastAsia="zh-CN"/>
        </w:rPr>
      </w:pPr>
      <w:r>
        <w:rPr>
          <w:rFonts w:hint="default"/>
          <w:b/>
          <w:bCs/>
          <w:lang w:val="en-US" w:eastAsia="zh-CN"/>
        </w:rPr>
        <w:t>项目收取履约保证金。收取方式：现金或转账；金额：</w:t>
      </w:r>
      <w:r>
        <w:rPr>
          <w:rFonts w:hint="eastAsia"/>
          <w:b/>
          <w:bCs/>
          <w:lang w:val="en-US" w:eastAsia="zh-CN"/>
        </w:rPr>
        <w:t>5000</w:t>
      </w:r>
      <w:r>
        <w:rPr>
          <w:rFonts w:hint="default"/>
          <w:b/>
          <w:bCs/>
          <w:lang w:val="en-US" w:eastAsia="zh-CN"/>
        </w:rPr>
        <w:t>元/家。入围供应商在收到中标（成交）通知书后签订采购合同之前，将履约保证金支付至采购人指定账户（本框架协议合同期满且所有供货服务结束后28天内退还履约保证金）。</w:t>
      </w:r>
    </w:p>
    <w:p w14:paraId="71665DF8">
      <w:pPr>
        <w:rPr>
          <w:rFonts w:hint="default"/>
          <w:lang w:val="en-US" w:eastAsia="zh-CN"/>
        </w:rPr>
      </w:pPr>
    </w:p>
    <w:p w14:paraId="7E528789">
      <w:pPr>
        <w:rPr>
          <w:rFonts w:hint="default"/>
          <w:lang w:val="en-US" w:eastAsia="zh-CN"/>
        </w:rPr>
      </w:pPr>
    </w:p>
    <w:p w14:paraId="6EB5F2B5">
      <w:pPr>
        <w:rPr>
          <w:rFonts w:hint="default"/>
          <w:lang w:val="en-US" w:eastAsia="zh-CN"/>
        </w:rPr>
      </w:pPr>
    </w:p>
    <w:p w14:paraId="784839F5">
      <w:pPr>
        <w:rPr>
          <w:rFonts w:hint="default"/>
          <w:lang w:val="en-US" w:eastAsia="zh-CN"/>
        </w:rPr>
      </w:pPr>
    </w:p>
    <w:p w14:paraId="7B31B95A">
      <w:pPr>
        <w:rPr>
          <w:rFonts w:hint="default"/>
          <w:lang w:val="en-US" w:eastAsia="zh-CN"/>
        </w:rPr>
      </w:pPr>
    </w:p>
    <w:p w14:paraId="4C343094">
      <w:pPr>
        <w:rPr>
          <w:rFonts w:hint="default"/>
          <w:lang w:val="en-US" w:eastAsia="zh-CN"/>
        </w:rPr>
      </w:pPr>
    </w:p>
    <w:p w14:paraId="6E46D6FA">
      <w:pPr>
        <w:rPr>
          <w:rFonts w:hint="default"/>
          <w:lang w:val="en-US" w:eastAsia="zh-CN"/>
        </w:rPr>
      </w:pPr>
    </w:p>
    <w:p w14:paraId="2EF47F22">
      <w:pPr>
        <w:rPr>
          <w:rFonts w:hint="default"/>
          <w:lang w:val="en-US" w:eastAsia="zh-CN"/>
        </w:rPr>
      </w:pPr>
    </w:p>
    <w:p w14:paraId="7A9C2DF5">
      <w:pPr>
        <w:rPr>
          <w:rFonts w:hint="default"/>
          <w:lang w:val="en-US" w:eastAsia="zh-CN"/>
        </w:rPr>
      </w:pPr>
    </w:p>
    <w:p w14:paraId="638E896E">
      <w:pPr>
        <w:rPr>
          <w:rFonts w:hint="default"/>
          <w:lang w:val="en-US" w:eastAsia="zh-CN"/>
        </w:rPr>
      </w:pPr>
    </w:p>
    <w:p w14:paraId="58049C5F">
      <w:pPr>
        <w:rPr>
          <w:rFonts w:hint="default"/>
          <w:lang w:val="en-US" w:eastAsia="zh-CN"/>
        </w:rPr>
      </w:pPr>
    </w:p>
    <w:p w14:paraId="6CE4439B">
      <w:pPr>
        <w:rPr>
          <w:rFonts w:hint="default"/>
          <w:lang w:val="en-US" w:eastAsia="zh-CN"/>
        </w:rPr>
      </w:pPr>
    </w:p>
    <w:p w14:paraId="0DD73C62">
      <w:pPr>
        <w:rPr>
          <w:rFonts w:hint="default"/>
          <w:lang w:val="en-US" w:eastAsia="zh-CN"/>
        </w:rPr>
      </w:pPr>
    </w:p>
    <w:p w14:paraId="34CF1CBC">
      <w:pPr>
        <w:rPr>
          <w:rFonts w:hint="default"/>
          <w:lang w:val="en-US" w:eastAsia="zh-CN"/>
        </w:rPr>
      </w:pPr>
    </w:p>
    <w:p w14:paraId="712E7A46">
      <w:pPr>
        <w:rPr>
          <w:rFonts w:hint="default"/>
          <w:lang w:val="en-US" w:eastAsia="zh-CN"/>
        </w:rPr>
      </w:pPr>
    </w:p>
    <w:p w14:paraId="5A341AE5">
      <w:pPr>
        <w:rPr>
          <w:rFonts w:hint="default"/>
          <w:lang w:val="en-US" w:eastAsia="zh-CN"/>
        </w:rPr>
      </w:pPr>
    </w:p>
    <w:p w14:paraId="2E000559">
      <w:pPr>
        <w:rPr>
          <w:rFonts w:hint="default"/>
          <w:lang w:val="en-US" w:eastAsia="zh-CN"/>
        </w:rPr>
      </w:pPr>
    </w:p>
    <w:p w14:paraId="4B56EB6D">
      <w:pPr>
        <w:rPr>
          <w:rFonts w:hint="default"/>
          <w:lang w:val="en-US" w:eastAsia="zh-CN"/>
        </w:rPr>
      </w:pPr>
    </w:p>
    <w:p w14:paraId="25EEB8E0">
      <w:pPr>
        <w:rPr>
          <w:rFonts w:hint="default"/>
          <w:lang w:val="en-US" w:eastAsia="zh-CN"/>
        </w:rPr>
      </w:pPr>
    </w:p>
    <w:p w14:paraId="4BAAB7D9">
      <w:pPr>
        <w:rPr>
          <w:rFonts w:hint="default"/>
          <w:lang w:val="en-US" w:eastAsia="zh-CN"/>
        </w:rPr>
      </w:pPr>
    </w:p>
    <w:p w14:paraId="56AAD433">
      <w:pPr>
        <w:rPr>
          <w:rFonts w:hint="default"/>
          <w:lang w:val="en-US" w:eastAsia="zh-CN"/>
        </w:rPr>
      </w:pPr>
    </w:p>
    <w:p w14:paraId="76E59615">
      <w:pPr>
        <w:pStyle w:val="2"/>
        <w:bidi w:val="0"/>
        <w:jc w:val="center"/>
        <w:rPr>
          <w:rFonts w:hint="default"/>
          <w:lang w:val="en-US" w:eastAsia="zh-CN"/>
        </w:rPr>
      </w:pPr>
      <w:bookmarkStart w:id="41" w:name="_Toc27834"/>
      <w:r>
        <w:rPr>
          <w:rFonts w:hint="default"/>
          <w:lang w:val="en-US" w:eastAsia="zh-CN"/>
        </w:rPr>
        <w:t>评标办法</w:t>
      </w:r>
      <w:bookmarkEnd w:id="41"/>
    </w:p>
    <w:p w14:paraId="6472E180">
      <w:pPr>
        <w:pStyle w:val="4"/>
        <w:bidi w:val="0"/>
        <w:rPr>
          <w:rFonts w:hint="default"/>
          <w:lang w:val="en-US" w:eastAsia="zh-CN"/>
        </w:rPr>
      </w:pPr>
      <w:bookmarkStart w:id="42" w:name="_Toc2041"/>
      <w:r>
        <w:rPr>
          <w:rFonts w:hint="default"/>
          <w:lang w:val="en-US" w:eastAsia="zh-CN"/>
        </w:rPr>
        <w:t>评标方法</w:t>
      </w:r>
      <w:bookmarkEnd w:id="42"/>
    </w:p>
    <w:p w14:paraId="29204D80">
      <w:pPr>
        <w:rPr>
          <w:rFonts w:hint="default"/>
          <w:lang w:val="en-US" w:eastAsia="zh-CN"/>
        </w:rPr>
      </w:pPr>
      <w:r>
        <w:rPr>
          <w:rFonts w:hint="default"/>
          <w:lang w:val="en-US" w:eastAsia="zh-CN"/>
        </w:rPr>
        <w:t>采用政府采购框架协议采购方式管理暂行办法中规定的</w:t>
      </w:r>
      <w:r>
        <w:rPr>
          <w:rFonts w:hint="eastAsia"/>
          <w:lang w:val="en-US" w:eastAsia="zh-CN"/>
        </w:rPr>
        <w:t>价格</w:t>
      </w:r>
      <w:r>
        <w:rPr>
          <w:rFonts w:hint="default"/>
          <w:lang w:val="en-US" w:eastAsia="zh-CN"/>
        </w:rPr>
        <w:t>优先法。</w:t>
      </w:r>
      <w:r>
        <w:rPr>
          <w:rFonts w:hint="eastAsia"/>
        </w:rPr>
        <w:t>价格优先法是指对满足采购需求且响应报价不超过最高限制单价的货物、服务，按照响应报价从低到高排序，根据征集文件规定的淘汰率或者入围供应商数量上限，确定入围供应商的评审方法。</w:t>
      </w:r>
    </w:p>
    <w:p w14:paraId="36CCDF66">
      <w:pPr>
        <w:pStyle w:val="4"/>
        <w:bidi w:val="0"/>
        <w:rPr>
          <w:rFonts w:hint="default"/>
          <w:lang w:val="en-US" w:eastAsia="zh-CN"/>
        </w:rPr>
      </w:pPr>
      <w:bookmarkStart w:id="43" w:name="_Toc24762"/>
      <w:r>
        <w:rPr>
          <w:rFonts w:hint="default"/>
          <w:lang w:val="en-US" w:eastAsia="zh-CN"/>
        </w:rPr>
        <w:t>评标委员会</w:t>
      </w:r>
      <w:bookmarkEnd w:id="43"/>
    </w:p>
    <w:p w14:paraId="358D21BA">
      <w:pPr>
        <w:rPr>
          <w:rFonts w:hint="default"/>
          <w:b/>
          <w:bCs/>
          <w:lang w:val="en-US" w:eastAsia="zh-CN"/>
        </w:rPr>
      </w:pPr>
      <w:r>
        <w:rPr>
          <w:rFonts w:hint="eastAsia"/>
          <w:b/>
          <w:bCs/>
          <w:lang w:val="en-US" w:eastAsia="zh-CN"/>
        </w:rPr>
        <w:t>1</w:t>
      </w:r>
      <w:r>
        <w:rPr>
          <w:rFonts w:hint="default"/>
          <w:b/>
          <w:bCs/>
          <w:lang w:val="en-US" w:eastAsia="zh-CN"/>
        </w:rPr>
        <w:t>.评标委员会的组成</w:t>
      </w:r>
    </w:p>
    <w:p w14:paraId="21F67EC9">
      <w:pPr>
        <w:rPr>
          <w:rFonts w:hint="default"/>
          <w:lang w:val="en-US" w:eastAsia="zh-CN"/>
        </w:rPr>
      </w:pPr>
      <w:r>
        <w:rPr>
          <w:rFonts w:hint="default"/>
          <w:lang w:val="en-US" w:eastAsia="zh-CN"/>
        </w:rPr>
        <w:t>评标委员会由采购人代表和评审专家组成，成员人数为5人及以上单数，其中评审专家不少于成员总数的三分之二。评标委员会集体推荐组长一名，采购人代表不得推荐为组长。</w:t>
      </w:r>
    </w:p>
    <w:p w14:paraId="6AA98A95">
      <w:pPr>
        <w:rPr>
          <w:rFonts w:hint="default"/>
          <w:b/>
          <w:bCs/>
          <w:lang w:val="en-US" w:eastAsia="zh-CN"/>
        </w:rPr>
      </w:pPr>
      <w:r>
        <w:rPr>
          <w:rFonts w:hint="eastAsia"/>
          <w:b/>
          <w:bCs/>
          <w:lang w:val="en-US" w:eastAsia="zh-CN"/>
        </w:rPr>
        <w:t>2</w:t>
      </w:r>
      <w:r>
        <w:rPr>
          <w:rFonts w:hint="default"/>
          <w:b/>
          <w:bCs/>
          <w:lang w:val="en-US" w:eastAsia="zh-CN"/>
        </w:rPr>
        <w:t>.评标委员会的组成人员的回避</w:t>
      </w:r>
    </w:p>
    <w:p w14:paraId="1AC14BD1">
      <w:pPr>
        <w:rPr>
          <w:rFonts w:hint="default"/>
          <w:lang w:val="en-US" w:eastAsia="zh-CN"/>
        </w:rPr>
      </w:pPr>
      <w:r>
        <w:rPr>
          <w:rFonts w:hint="default"/>
          <w:lang w:val="en-US" w:eastAsia="zh-CN"/>
        </w:rPr>
        <w:t>在</w:t>
      </w:r>
      <w:r>
        <w:rPr>
          <w:rFonts w:hint="eastAsia"/>
          <w:lang w:val="en-US" w:eastAsia="zh-CN"/>
        </w:rPr>
        <w:t>国企</w:t>
      </w:r>
      <w:r>
        <w:rPr>
          <w:rFonts w:hint="default"/>
          <w:lang w:val="en-US" w:eastAsia="zh-CN"/>
        </w:rPr>
        <w:t>采购活动中，评标委员会的组成人员与供应商有下列利害关系之一的，应当回避：</w:t>
      </w:r>
    </w:p>
    <w:p w14:paraId="06A02C61">
      <w:pPr>
        <w:rPr>
          <w:rFonts w:hint="default"/>
          <w:lang w:val="en-US" w:eastAsia="zh-CN"/>
        </w:rPr>
      </w:pPr>
      <w:r>
        <w:rPr>
          <w:rFonts w:hint="eastAsia"/>
          <w:lang w:val="en-US" w:eastAsia="zh-CN"/>
        </w:rPr>
        <w:t>2</w:t>
      </w:r>
      <w:r>
        <w:rPr>
          <w:rFonts w:hint="default"/>
          <w:lang w:val="en-US" w:eastAsia="zh-CN"/>
        </w:rPr>
        <w:t>.1参加采购活动前3年内与供应商存在劳动关系；</w:t>
      </w:r>
    </w:p>
    <w:p w14:paraId="6E48B027">
      <w:pPr>
        <w:rPr>
          <w:rFonts w:hint="default"/>
          <w:lang w:val="en-US" w:eastAsia="zh-CN"/>
        </w:rPr>
      </w:pPr>
      <w:r>
        <w:rPr>
          <w:rFonts w:hint="eastAsia"/>
          <w:lang w:val="en-US" w:eastAsia="zh-CN"/>
        </w:rPr>
        <w:t>2</w:t>
      </w:r>
      <w:r>
        <w:rPr>
          <w:rFonts w:hint="default"/>
          <w:lang w:val="en-US" w:eastAsia="zh-CN"/>
        </w:rPr>
        <w:t>.2参加采购活动前3年内担任供应商的董事、监事；</w:t>
      </w:r>
    </w:p>
    <w:p w14:paraId="5183F16E">
      <w:pPr>
        <w:rPr>
          <w:rFonts w:hint="default"/>
          <w:lang w:val="en-US" w:eastAsia="zh-CN"/>
        </w:rPr>
      </w:pPr>
      <w:r>
        <w:rPr>
          <w:rFonts w:hint="eastAsia"/>
          <w:lang w:val="en-US" w:eastAsia="zh-CN"/>
        </w:rPr>
        <w:t>2</w:t>
      </w:r>
      <w:r>
        <w:rPr>
          <w:rFonts w:hint="default"/>
          <w:lang w:val="en-US" w:eastAsia="zh-CN"/>
        </w:rPr>
        <w:t>.3参加采购活动前3年内是供应商的控股股东或者实际控制人；</w:t>
      </w:r>
    </w:p>
    <w:p w14:paraId="733E7514">
      <w:pPr>
        <w:rPr>
          <w:rFonts w:hint="default"/>
          <w:lang w:val="en-US" w:eastAsia="zh-CN"/>
        </w:rPr>
      </w:pPr>
      <w:r>
        <w:rPr>
          <w:rFonts w:hint="eastAsia"/>
          <w:lang w:val="en-US" w:eastAsia="zh-CN"/>
        </w:rPr>
        <w:t>2</w:t>
      </w:r>
      <w:r>
        <w:rPr>
          <w:rFonts w:hint="default"/>
          <w:lang w:val="en-US" w:eastAsia="zh-CN"/>
        </w:rPr>
        <w:t>.4与供应商的法定代表人或者负责人有夫妻、直系血亲、三代以内旁系血亲或者近姻亲关系；</w:t>
      </w:r>
    </w:p>
    <w:p w14:paraId="375A2A53">
      <w:pPr>
        <w:rPr>
          <w:rFonts w:hint="default"/>
          <w:lang w:val="en-US" w:eastAsia="zh-CN"/>
        </w:rPr>
      </w:pPr>
      <w:r>
        <w:rPr>
          <w:rFonts w:hint="eastAsia"/>
          <w:lang w:val="en-US" w:eastAsia="zh-CN"/>
        </w:rPr>
        <w:t>2</w:t>
      </w:r>
      <w:r>
        <w:rPr>
          <w:rFonts w:hint="default"/>
          <w:lang w:val="en-US" w:eastAsia="zh-CN"/>
        </w:rPr>
        <w:t>.5与供应商有其他可能影响采购活动公平、公正进行的关系。</w:t>
      </w:r>
    </w:p>
    <w:p w14:paraId="0894893C">
      <w:pPr>
        <w:rPr>
          <w:rFonts w:hint="default"/>
          <w:b/>
          <w:bCs/>
          <w:lang w:val="en-US" w:eastAsia="zh-CN"/>
        </w:rPr>
      </w:pPr>
      <w:r>
        <w:rPr>
          <w:rFonts w:hint="eastAsia"/>
          <w:b/>
          <w:bCs/>
          <w:lang w:val="en-US" w:eastAsia="zh-CN"/>
        </w:rPr>
        <w:t>3</w:t>
      </w:r>
      <w:r>
        <w:rPr>
          <w:rFonts w:hint="default"/>
          <w:b/>
          <w:bCs/>
          <w:lang w:val="en-US" w:eastAsia="zh-CN"/>
        </w:rPr>
        <w:t>.评标委员会负责具体评标事务，并独立履行下列职责：</w:t>
      </w:r>
    </w:p>
    <w:p w14:paraId="25C0AEF0">
      <w:pPr>
        <w:rPr>
          <w:rFonts w:hint="default"/>
          <w:lang w:val="en-US" w:eastAsia="zh-CN"/>
        </w:rPr>
      </w:pPr>
      <w:r>
        <w:rPr>
          <w:rFonts w:hint="eastAsia"/>
          <w:lang w:val="en-US" w:eastAsia="zh-CN"/>
        </w:rPr>
        <w:t>3</w:t>
      </w:r>
      <w:r>
        <w:rPr>
          <w:rFonts w:hint="default"/>
          <w:lang w:val="en-US" w:eastAsia="zh-CN"/>
        </w:rPr>
        <w:t>.1审查、评价投标文件是否符合招标文件的商务、技术等实质性要求；</w:t>
      </w:r>
    </w:p>
    <w:p w14:paraId="57C177C9">
      <w:pPr>
        <w:rPr>
          <w:rFonts w:hint="default"/>
          <w:lang w:val="en-US" w:eastAsia="zh-CN"/>
        </w:rPr>
      </w:pPr>
      <w:r>
        <w:rPr>
          <w:rFonts w:hint="eastAsia"/>
          <w:lang w:val="en-US" w:eastAsia="zh-CN"/>
        </w:rPr>
        <w:t>3</w:t>
      </w:r>
      <w:r>
        <w:rPr>
          <w:rFonts w:hint="default"/>
          <w:lang w:val="en-US" w:eastAsia="zh-CN"/>
        </w:rPr>
        <w:t>.2要求供应商对投标文件有关事项作出澄清或者说明；</w:t>
      </w:r>
    </w:p>
    <w:p w14:paraId="59F813A8">
      <w:pPr>
        <w:rPr>
          <w:rFonts w:hint="default"/>
          <w:lang w:val="en-US" w:eastAsia="zh-CN"/>
        </w:rPr>
      </w:pPr>
      <w:r>
        <w:rPr>
          <w:rFonts w:hint="eastAsia"/>
          <w:lang w:val="en-US" w:eastAsia="zh-CN"/>
        </w:rPr>
        <w:t>3</w:t>
      </w:r>
      <w:r>
        <w:rPr>
          <w:rFonts w:hint="default"/>
          <w:lang w:val="en-US" w:eastAsia="zh-CN"/>
        </w:rPr>
        <w:t>.3对投标文件进行比较和评价；</w:t>
      </w:r>
    </w:p>
    <w:p w14:paraId="2834BFB0">
      <w:pPr>
        <w:rPr>
          <w:rFonts w:hint="default"/>
          <w:lang w:val="en-US" w:eastAsia="zh-CN"/>
        </w:rPr>
      </w:pPr>
      <w:r>
        <w:rPr>
          <w:rFonts w:hint="eastAsia"/>
          <w:lang w:val="en-US" w:eastAsia="zh-CN"/>
        </w:rPr>
        <w:t>3</w:t>
      </w:r>
      <w:r>
        <w:rPr>
          <w:rFonts w:hint="default"/>
          <w:lang w:val="en-US" w:eastAsia="zh-CN"/>
        </w:rPr>
        <w:t>.4确定中标候选人名单，以及根据采购人委托直接确定中标人；</w:t>
      </w:r>
    </w:p>
    <w:p w14:paraId="48814117">
      <w:pPr>
        <w:rPr>
          <w:rFonts w:hint="default"/>
          <w:lang w:val="en-US" w:eastAsia="zh-CN"/>
        </w:rPr>
      </w:pPr>
      <w:r>
        <w:rPr>
          <w:rFonts w:hint="eastAsia"/>
          <w:lang w:val="en-US" w:eastAsia="zh-CN"/>
        </w:rPr>
        <w:t>3</w:t>
      </w:r>
      <w:r>
        <w:rPr>
          <w:rFonts w:hint="default"/>
          <w:lang w:val="en-US" w:eastAsia="zh-CN"/>
        </w:rPr>
        <w:t>.5向采购人、采购代理机构或者有关部门报告评标中发现的违法行为；</w:t>
      </w:r>
    </w:p>
    <w:p w14:paraId="62B5E175">
      <w:pPr>
        <w:rPr>
          <w:rFonts w:hint="default"/>
          <w:lang w:val="en-US" w:eastAsia="zh-CN"/>
        </w:rPr>
      </w:pPr>
      <w:r>
        <w:rPr>
          <w:rFonts w:hint="eastAsia"/>
          <w:lang w:val="en-US" w:eastAsia="zh-CN"/>
        </w:rPr>
        <w:t>3</w:t>
      </w:r>
      <w:r>
        <w:rPr>
          <w:rFonts w:hint="default"/>
          <w:lang w:val="en-US" w:eastAsia="zh-CN"/>
        </w:rPr>
        <w:t>.6法律、法规、规章、招标文件等规定的其它事项。</w:t>
      </w:r>
    </w:p>
    <w:p w14:paraId="7B42A138">
      <w:pPr>
        <w:rPr>
          <w:rFonts w:hint="default"/>
          <w:b/>
          <w:bCs/>
          <w:lang w:val="en-US" w:eastAsia="zh-CN"/>
        </w:rPr>
      </w:pPr>
      <w:r>
        <w:rPr>
          <w:rFonts w:hint="eastAsia"/>
          <w:b/>
          <w:bCs/>
          <w:lang w:val="en-US" w:eastAsia="zh-CN"/>
        </w:rPr>
        <w:t>4</w:t>
      </w:r>
      <w:r>
        <w:rPr>
          <w:rFonts w:hint="default"/>
          <w:b/>
          <w:bCs/>
          <w:lang w:val="en-US" w:eastAsia="zh-CN"/>
        </w:rPr>
        <w:t>.评标委员会及其成员不得有下列行为：</w:t>
      </w:r>
    </w:p>
    <w:p w14:paraId="0BDFA3DB">
      <w:pPr>
        <w:rPr>
          <w:rFonts w:hint="default"/>
          <w:lang w:val="en-US" w:eastAsia="zh-CN"/>
        </w:rPr>
      </w:pPr>
      <w:r>
        <w:rPr>
          <w:rFonts w:hint="eastAsia"/>
          <w:lang w:val="en-US" w:eastAsia="zh-CN"/>
        </w:rPr>
        <w:t>4</w:t>
      </w:r>
      <w:r>
        <w:rPr>
          <w:rFonts w:hint="default"/>
          <w:lang w:val="en-US" w:eastAsia="zh-CN"/>
        </w:rPr>
        <w:t>.1确定参与评标至评标结束前私自接触供应商；</w:t>
      </w:r>
    </w:p>
    <w:p w14:paraId="3F253820">
      <w:pPr>
        <w:rPr>
          <w:rFonts w:hint="default"/>
          <w:lang w:val="en-US" w:eastAsia="zh-CN"/>
        </w:rPr>
      </w:pPr>
      <w:r>
        <w:rPr>
          <w:rFonts w:hint="eastAsia"/>
          <w:lang w:val="en-US" w:eastAsia="zh-CN"/>
        </w:rPr>
        <w:t>4</w:t>
      </w:r>
      <w:r>
        <w:rPr>
          <w:rFonts w:hint="default"/>
          <w:lang w:val="en-US" w:eastAsia="zh-CN"/>
        </w:rPr>
        <w:t>.2接受供应商提出的与投标文件不一致的澄清或者说明；</w:t>
      </w:r>
    </w:p>
    <w:p w14:paraId="6BAAA5D2">
      <w:pPr>
        <w:rPr>
          <w:rFonts w:hint="default"/>
          <w:lang w:val="en-US" w:eastAsia="zh-CN"/>
        </w:rPr>
      </w:pPr>
      <w:r>
        <w:rPr>
          <w:rFonts w:hint="eastAsia"/>
          <w:lang w:val="en-US" w:eastAsia="zh-CN"/>
        </w:rPr>
        <w:t>4</w:t>
      </w:r>
      <w:r>
        <w:rPr>
          <w:rFonts w:hint="default"/>
          <w:lang w:val="en-US" w:eastAsia="zh-CN"/>
        </w:rPr>
        <w:t>.3违反评标纪律发表倾向性意见或者征询采购人的倾向性意见；</w:t>
      </w:r>
    </w:p>
    <w:p w14:paraId="261B4DA0">
      <w:pPr>
        <w:rPr>
          <w:rFonts w:hint="default"/>
          <w:lang w:val="en-US" w:eastAsia="zh-CN"/>
        </w:rPr>
      </w:pPr>
      <w:r>
        <w:rPr>
          <w:rFonts w:hint="eastAsia"/>
          <w:lang w:val="en-US" w:eastAsia="zh-CN"/>
        </w:rPr>
        <w:t>4</w:t>
      </w:r>
      <w:r>
        <w:rPr>
          <w:rFonts w:hint="default"/>
          <w:lang w:val="en-US" w:eastAsia="zh-CN"/>
        </w:rPr>
        <w:t>.4对需要专业判断的主观评审因素协商评分；</w:t>
      </w:r>
    </w:p>
    <w:p w14:paraId="0CE98E6E">
      <w:pPr>
        <w:rPr>
          <w:rFonts w:hint="default"/>
          <w:lang w:val="en-US" w:eastAsia="zh-CN"/>
        </w:rPr>
      </w:pPr>
      <w:r>
        <w:rPr>
          <w:rFonts w:hint="eastAsia"/>
          <w:lang w:val="en-US" w:eastAsia="zh-CN"/>
        </w:rPr>
        <w:t>4</w:t>
      </w:r>
      <w:r>
        <w:rPr>
          <w:rFonts w:hint="default"/>
          <w:lang w:val="en-US" w:eastAsia="zh-CN"/>
        </w:rPr>
        <w:t>.5在评标过程中擅离职守，影响评标程序正常进行的；</w:t>
      </w:r>
    </w:p>
    <w:p w14:paraId="7BE4F2DE">
      <w:pPr>
        <w:rPr>
          <w:rFonts w:hint="default"/>
          <w:lang w:val="en-US" w:eastAsia="zh-CN"/>
        </w:rPr>
      </w:pPr>
      <w:r>
        <w:rPr>
          <w:rFonts w:hint="eastAsia"/>
          <w:lang w:val="en-US" w:eastAsia="zh-CN"/>
        </w:rPr>
        <w:t>4</w:t>
      </w:r>
      <w:r>
        <w:rPr>
          <w:rFonts w:hint="default"/>
          <w:lang w:val="en-US" w:eastAsia="zh-CN"/>
        </w:rPr>
        <w:t>.6记录、复制或者带走任何评标资料；</w:t>
      </w:r>
    </w:p>
    <w:p w14:paraId="7CD94E6F">
      <w:pPr>
        <w:rPr>
          <w:rFonts w:hint="default"/>
          <w:lang w:val="en-US" w:eastAsia="zh-CN"/>
        </w:rPr>
      </w:pPr>
      <w:r>
        <w:rPr>
          <w:rFonts w:hint="eastAsia"/>
          <w:lang w:val="en-US" w:eastAsia="zh-CN"/>
        </w:rPr>
        <w:t>4</w:t>
      </w:r>
      <w:r>
        <w:rPr>
          <w:rFonts w:hint="default"/>
          <w:lang w:val="en-US" w:eastAsia="zh-CN"/>
        </w:rPr>
        <w:t>.7其他不遵守评标纪律的行为</w:t>
      </w:r>
    </w:p>
    <w:p w14:paraId="2E9B72F8">
      <w:pPr>
        <w:rPr>
          <w:rFonts w:hint="default"/>
          <w:lang w:val="en-US" w:eastAsia="zh-CN"/>
        </w:rPr>
      </w:pPr>
      <w:r>
        <w:rPr>
          <w:rFonts w:hint="default"/>
          <w:lang w:val="en-US" w:eastAsia="zh-CN"/>
        </w:rPr>
        <w:t>评标委员会成员有</w:t>
      </w:r>
      <w:r>
        <w:rPr>
          <w:rFonts w:hint="eastAsia"/>
          <w:lang w:val="en-US" w:eastAsia="zh-CN"/>
        </w:rPr>
        <w:t>4</w:t>
      </w:r>
      <w:r>
        <w:rPr>
          <w:rFonts w:hint="default"/>
          <w:lang w:val="en-US" w:eastAsia="zh-CN"/>
        </w:rPr>
        <w:t>.1-</w:t>
      </w:r>
      <w:r>
        <w:rPr>
          <w:rFonts w:hint="eastAsia"/>
          <w:lang w:val="en-US" w:eastAsia="zh-CN"/>
        </w:rPr>
        <w:t>4</w:t>
      </w:r>
      <w:r>
        <w:rPr>
          <w:rFonts w:hint="default"/>
          <w:lang w:val="en-US" w:eastAsia="zh-CN"/>
        </w:rPr>
        <w:t>.5行为之一的，其评审意见无效，并不得获取评审劳务报酬和报销异地评审差旅费。</w:t>
      </w:r>
    </w:p>
    <w:p w14:paraId="6C345663">
      <w:pPr>
        <w:pStyle w:val="4"/>
        <w:bidi w:val="0"/>
        <w:rPr>
          <w:rFonts w:hint="default"/>
          <w:lang w:val="en-US" w:eastAsia="zh-CN"/>
        </w:rPr>
      </w:pPr>
      <w:bookmarkStart w:id="44" w:name="_Toc28908"/>
      <w:r>
        <w:rPr>
          <w:rFonts w:hint="default"/>
          <w:lang w:val="en-US" w:eastAsia="zh-CN"/>
        </w:rPr>
        <w:t>评审程序</w:t>
      </w:r>
      <w:bookmarkEnd w:id="44"/>
    </w:p>
    <w:p w14:paraId="5FDEBADD">
      <w:pPr>
        <w:rPr>
          <w:rFonts w:hint="eastAsia"/>
          <w:b w:val="0"/>
          <w:bCs w:val="0"/>
          <w:lang w:val="en-US" w:eastAsia="zh-CN"/>
        </w:rPr>
      </w:pPr>
      <w:r>
        <w:rPr>
          <w:rFonts w:hint="eastAsia"/>
          <w:b w:val="0"/>
          <w:bCs w:val="0"/>
          <w:lang w:val="en-US" w:eastAsia="zh-CN"/>
        </w:rPr>
        <w:t>1.征集人工作人员按评标委员会名单核对评委身份，组织评委及监管等人员签到；</w:t>
      </w:r>
    </w:p>
    <w:p w14:paraId="3F6308BF">
      <w:pPr>
        <w:rPr>
          <w:rFonts w:hint="eastAsia"/>
          <w:b w:val="0"/>
          <w:bCs w:val="0"/>
          <w:lang w:val="en-US" w:eastAsia="zh-CN"/>
        </w:rPr>
      </w:pPr>
      <w:r>
        <w:rPr>
          <w:rFonts w:hint="eastAsia"/>
          <w:b w:val="0"/>
          <w:bCs w:val="0"/>
          <w:lang w:val="en-US" w:eastAsia="zh-CN"/>
        </w:rPr>
        <w:t>2.征集人工作人员宣布评审纪律，征询评委有无回避情形；</w:t>
      </w:r>
    </w:p>
    <w:p w14:paraId="2F08B08F">
      <w:pPr>
        <w:rPr>
          <w:rFonts w:hint="eastAsia"/>
          <w:b w:val="0"/>
          <w:bCs w:val="0"/>
          <w:lang w:val="en-US" w:eastAsia="zh-CN"/>
        </w:rPr>
      </w:pPr>
      <w:r>
        <w:rPr>
          <w:rFonts w:hint="eastAsia"/>
          <w:b w:val="0"/>
          <w:bCs w:val="0"/>
          <w:lang w:val="en-US" w:eastAsia="zh-CN"/>
        </w:rPr>
        <w:t>3.选定评标委员会组长，负责组织评审活动；</w:t>
      </w:r>
    </w:p>
    <w:p w14:paraId="75214B54">
      <w:pPr>
        <w:rPr>
          <w:rFonts w:hint="eastAsia"/>
          <w:b w:val="0"/>
          <w:bCs w:val="0"/>
          <w:lang w:val="en-US" w:eastAsia="zh-CN"/>
        </w:rPr>
      </w:pPr>
      <w:r>
        <w:rPr>
          <w:rFonts w:hint="eastAsia"/>
          <w:b w:val="0"/>
          <w:bCs w:val="0"/>
          <w:lang w:val="en-US" w:eastAsia="zh-CN"/>
        </w:rPr>
        <w:t>4.征集人工作人员对每个评委评审情况进行复核，有差错的，提醒评委进行修正，评委拒绝修正的，提交评委会按少数服从多数原则集体决定，并记入评审记录内。情节严重的，报监管部门处理；</w:t>
      </w:r>
    </w:p>
    <w:p w14:paraId="44AA994F">
      <w:pPr>
        <w:rPr>
          <w:rFonts w:hint="eastAsia"/>
          <w:b w:val="0"/>
          <w:bCs w:val="0"/>
          <w:lang w:val="en-US" w:eastAsia="zh-CN"/>
        </w:rPr>
      </w:pPr>
      <w:r>
        <w:rPr>
          <w:rFonts w:hint="eastAsia"/>
          <w:b w:val="0"/>
          <w:bCs w:val="0"/>
          <w:lang w:val="en-US" w:eastAsia="zh-CN"/>
        </w:rPr>
        <w:t>5.征集人工作人员协助做好价格分和评审情况的计算、汇总工作；</w:t>
      </w:r>
    </w:p>
    <w:p w14:paraId="6BB7A73F">
      <w:pPr>
        <w:rPr>
          <w:rFonts w:hint="eastAsia"/>
          <w:b w:val="0"/>
          <w:bCs w:val="0"/>
          <w:lang w:val="en-US" w:eastAsia="zh-CN"/>
        </w:rPr>
      </w:pPr>
      <w:r>
        <w:rPr>
          <w:rFonts w:hint="eastAsia"/>
          <w:b w:val="0"/>
          <w:bCs w:val="0"/>
          <w:lang w:val="en-US" w:eastAsia="zh-CN"/>
        </w:rPr>
        <w:t>6.评标委员会形成评标报告，应由全体成员签字确认。有保留意见的可以在评标报告中申明，未申明且拒绝签字的视同默认评标报告并载明此情形；</w:t>
      </w:r>
    </w:p>
    <w:p w14:paraId="4F8969E6">
      <w:pPr>
        <w:rPr>
          <w:rFonts w:hint="eastAsia"/>
          <w:b w:val="0"/>
          <w:bCs w:val="0"/>
          <w:lang w:val="en-US" w:eastAsia="zh-CN"/>
        </w:rPr>
      </w:pPr>
      <w:r>
        <w:rPr>
          <w:rFonts w:hint="eastAsia"/>
          <w:b w:val="0"/>
          <w:bCs w:val="0"/>
          <w:lang w:val="en-US" w:eastAsia="zh-CN"/>
        </w:rPr>
        <w:t>7.征集人工作人员宣布会议结束。</w:t>
      </w:r>
    </w:p>
    <w:p w14:paraId="5F51E1F9">
      <w:pPr>
        <w:pStyle w:val="4"/>
        <w:bidi w:val="0"/>
        <w:rPr>
          <w:rFonts w:hint="default"/>
          <w:lang w:val="en-US" w:eastAsia="zh-CN"/>
        </w:rPr>
      </w:pPr>
      <w:bookmarkStart w:id="45" w:name="_Toc25379"/>
      <w:r>
        <w:rPr>
          <w:rFonts w:hint="default"/>
          <w:lang w:val="en-US" w:eastAsia="zh-CN"/>
        </w:rPr>
        <w:t>评审流程</w:t>
      </w:r>
      <w:bookmarkEnd w:id="45"/>
    </w:p>
    <w:p w14:paraId="5733D350">
      <w:pPr>
        <w:rPr>
          <w:rFonts w:hint="default"/>
          <w:lang w:val="en-US" w:eastAsia="zh-CN"/>
        </w:rPr>
      </w:pPr>
      <w:r>
        <w:rPr>
          <w:rFonts w:hint="default"/>
          <w:lang w:val="en-US" w:eastAsia="zh-CN"/>
        </w:rPr>
        <w:t>（一）初步评审</w:t>
      </w:r>
    </w:p>
    <w:p w14:paraId="3C4778B0">
      <w:pPr>
        <w:rPr>
          <w:rFonts w:hint="default"/>
          <w:lang w:val="en-US" w:eastAsia="zh-CN"/>
        </w:rPr>
      </w:pPr>
      <w:r>
        <w:rPr>
          <w:rFonts w:hint="default"/>
          <w:lang w:val="en-US" w:eastAsia="zh-CN"/>
        </w:rPr>
        <w:t>1.资格条件审查、符合性审查由评标委员会负责。</w:t>
      </w:r>
    </w:p>
    <w:p w14:paraId="1D9EF245">
      <w:pPr>
        <w:rPr>
          <w:rFonts w:hint="default"/>
          <w:lang w:val="en-US" w:eastAsia="zh-CN"/>
        </w:rPr>
      </w:pPr>
      <w:r>
        <w:rPr>
          <w:rFonts w:hint="default"/>
          <w:lang w:val="en-US" w:eastAsia="zh-CN"/>
        </w:rPr>
        <w:t>2.对响应文件进行资格性审查，符合下列条件之一的，资格条件审查不合格：</w:t>
      </w:r>
    </w:p>
    <w:p w14:paraId="10228CB9">
      <w:pPr>
        <w:rPr>
          <w:rFonts w:hint="default"/>
          <w:lang w:val="en-US" w:eastAsia="zh-CN"/>
        </w:rPr>
      </w:pPr>
      <w:r>
        <w:rPr>
          <w:rFonts w:hint="default"/>
          <w:lang w:val="en-US" w:eastAsia="zh-CN"/>
        </w:rPr>
        <w:t>（1）不符合政府采购法第二十二条之规定；</w:t>
      </w:r>
    </w:p>
    <w:p w14:paraId="410EE9A3">
      <w:pPr>
        <w:rPr>
          <w:rFonts w:hint="default"/>
          <w:lang w:val="en-US" w:eastAsia="zh-CN"/>
        </w:rPr>
      </w:pPr>
      <w:r>
        <w:rPr>
          <w:rFonts w:hint="default"/>
          <w:lang w:val="en-US" w:eastAsia="zh-CN"/>
        </w:rPr>
        <w:t>（2）列入失信被执行人、重大税收违法案件当事人名单、政府采购严重违法失信记录名单在禁止参加采购期限的供应商（以投标截止日“</w:t>
      </w:r>
      <w:r>
        <w:rPr>
          <w:rStyle w:val="21"/>
          <w:rFonts w:hint="default"/>
          <w:lang w:val="en-US" w:eastAsia="zh-CN"/>
        </w:rPr>
        <w:t>www.creditchina.gov.cn</w:t>
      </w:r>
      <w:r>
        <w:rPr>
          <w:rFonts w:hint="default"/>
          <w:lang w:val="en-US" w:eastAsia="zh-CN"/>
        </w:rPr>
        <w:t>、</w:t>
      </w:r>
      <w:r>
        <w:rPr>
          <w:rStyle w:val="21"/>
          <w:rFonts w:hint="default"/>
          <w:lang w:val="en-US" w:eastAsia="zh-CN"/>
        </w:rPr>
        <w:t>www.ccgp.gov.cn</w:t>
      </w:r>
      <w:r>
        <w:rPr>
          <w:rFonts w:hint="default"/>
          <w:lang w:val="en-US" w:eastAsia="zh-CN"/>
        </w:rPr>
        <w:t>”网站查询数据为准，打印不合格投标人的查询记录网页一并作为资格审查资料存档。如相关失信记录已失效，投标人需提供相关证明资料）；</w:t>
      </w:r>
    </w:p>
    <w:p w14:paraId="15AB5853">
      <w:pPr>
        <w:rPr>
          <w:rFonts w:hint="default"/>
          <w:lang w:val="en-US" w:eastAsia="zh-CN"/>
        </w:rPr>
      </w:pPr>
      <w:r>
        <w:rPr>
          <w:rFonts w:hint="default"/>
          <w:lang w:val="en-US" w:eastAsia="zh-CN"/>
        </w:rPr>
        <w:t>（3）不符合特定资格要求的。</w:t>
      </w:r>
    </w:p>
    <w:p w14:paraId="3369FFE5">
      <w:pPr>
        <w:rPr>
          <w:rFonts w:hint="default"/>
          <w:lang w:val="en-US" w:eastAsia="zh-CN"/>
        </w:rPr>
      </w:pPr>
      <w:r>
        <w:rPr>
          <w:rFonts w:hint="default"/>
          <w:lang w:val="en-US" w:eastAsia="zh-CN"/>
        </w:rPr>
        <w:t>3.对响应文件进行符合性审查，符合下列条件之一的，符合性审查不合格：</w:t>
      </w:r>
    </w:p>
    <w:p w14:paraId="774CFA1E">
      <w:pPr>
        <w:rPr>
          <w:rFonts w:hint="default"/>
          <w:lang w:val="en-US" w:eastAsia="zh-CN"/>
        </w:rPr>
      </w:pPr>
      <w:r>
        <w:rPr>
          <w:rFonts w:hint="default"/>
          <w:lang w:val="en-US" w:eastAsia="zh-CN"/>
        </w:rPr>
        <w:t>（1）未按要求提供诚信投标承诺书、投标函、开标一览表；</w:t>
      </w:r>
    </w:p>
    <w:p w14:paraId="423BE0EA">
      <w:pPr>
        <w:rPr>
          <w:rFonts w:hint="default"/>
          <w:lang w:val="en-US" w:eastAsia="zh-CN"/>
        </w:rPr>
      </w:pPr>
      <w:r>
        <w:rPr>
          <w:rFonts w:hint="default"/>
          <w:lang w:val="en-US" w:eastAsia="zh-CN"/>
        </w:rPr>
        <w:t>（2）应当提供法定代表人授权书而未提供的；</w:t>
      </w:r>
    </w:p>
    <w:p w14:paraId="4510B569">
      <w:pPr>
        <w:rPr>
          <w:rFonts w:hint="default"/>
          <w:lang w:val="en-US" w:eastAsia="zh-CN"/>
        </w:rPr>
      </w:pPr>
      <w:r>
        <w:rPr>
          <w:rFonts w:hint="default"/>
          <w:lang w:val="en-US" w:eastAsia="zh-CN"/>
        </w:rPr>
        <w:t>（3）响应有效期少于征集文件要求的；</w:t>
      </w:r>
    </w:p>
    <w:p w14:paraId="7DBCF9E3">
      <w:pPr>
        <w:rPr>
          <w:rFonts w:hint="default"/>
          <w:lang w:val="en-US" w:eastAsia="zh-CN"/>
        </w:rPr>
      </w:pPr>
      <w:r>
        <w:rPr>
          <w:rFonts w:hint="default"/>
          <w:lang w:val="en-US" w:eastAsia="zh-CN"/>
        </w:rPr>
        <w:t>（4）不满足实质性条款要求的；</w:t>
      </w:r>
    </w:p>
    <w:p w14:paraId="45CCAAFE">
      <w:pPr>
        <w:rPr>
          <w:rFonts w:hint="default"/>
          <w:lang w:val="en-US" w:eastAsia="zh-CN"/>
        </w:rPr>
      </w:pPr>
      <w:r>
        <w:rPr>
          <w:rFonts w:hint="default"/>
          <w:lang w:val="en-US" w:eastAsia="zh-CN"/>
        </w:rPr>
        <w:t>（5）投标人应填写全称，加盖与全称相一致的公章（不得加盖带有“专用章”等字样的印章），未按规定签署、盖章的，影响投标效力的；</w:t>
      </w:r>
    </w:p>
    <w:p w14:paraId="42A32D0F">
      <w:pPr>
        <w:rPr>
          <w:rFonts w:hint="default"/>
          <w:lang w:val="en-US" w:eastAsia="zh-CN"/>
        </w:rPr>
      </w:pPr>
      <w:r>
        <w:rPr>
          <w:rFonts w:hint="default"/>
          <w:lang w:val="en-US" w:eastAsia="zh-CN"/>
        </w:rPr>
        <w:t>（6）响应文件未按要求编制，内容缺失、不完整，导致无法评审的；</w:t>
      </w:r>
    </w:p>
    <w:p w14:paraId="7D28BDED">
      <w:pPr>
        <w:rPr>
          <w:rFonts w:hint="default"/>
          <w:lang w:val="en-US" w:eastAsia="zh-CN"/>
        </w:rPr>
      </w:pPr>
      <w:r>
        <w:rPr>
          <w:rFonts w:hint="default"/>
          <w:lang w:val="en-US" w:eastAsia="zh-CN"/>
        </w:rPr>
        <w:t>（7）投标价格错误且不同意按征集文件要求进行修正的；</w:t>
      </w:r>
    </w:p>
    <w:p w14:paraId="3F247400">
      <w:pPr>
        <w:rPr>
          <w:rFonts w:hint="default"/>
          <w:lang w:val="en-US" w:eastAsia="zh-CN"/>
        </w:rPr>
      </w:pPr>
      <w:r>
        <w:rPr>
          <w:rFonts w:hint="default"/>
          <w:lang w:val="en-US" w:eastAsia="zh-CN"/>
        </w:rPr>
        <w:t>（8）评标委员会认为投标人的报价明显低于其他通过符合性审查投标人的报价，有可能影响产品质量或者不能诚信履约的，投标人应在1小时内向评审委员会提供报价合理性说明，必要时提交相关证明材料，提供的材料不能证明投标人服务质量不受影响或能诚信履约的。</w:t>
      </w:r>
    </w:p>
    <w:p w14:paraId="041690E5">
      <w:pPr>
        <w:rPr>
          <w:rFonts w:hint="default"/>
          <w:lang w:val="en-US" w:eastAsia="zh-CN"/>
        </w:rPr>
      </w:pPr>
      <w:r>
        <w:rPr>
          <w:rFonts w:hint="default"/>
          <w:lang w:val="en-US" w:eastAsia="zh-CN"/>
        </w:rPr>
        <w:t>（9）出现征集文件规定作无效标处理的其他情形。</w:t>
      </w:r>
    </w:p>
    <w:p w14:paraId="7D22561B">
      <w:pPr>
        <w:rPr>
          <w:rFonts w:hint="default"/>
          <w:lang w:val="en-US" w:eastAsia="zh-CN"/>
        </w:rPr>
      </w:pPr>
      <w:r>
        <w:rPr>
          <w:rFonts w:hint="default"/>
          <w:lang w:val="en-US" w:eastAsia="zh-CN"/>
        </w:rPr>
        <w:t>（10）法律、法规规定的其他情形。</w:t>
      </w:r>
    </w:p>
    <w:p w14:paraId="40BD3F98">
      <w:pPr>
        <w:rPr>
          <w:rFonts w:hint="eastAsia"/>
          <w:lang w:val="en-US" w:eastAsia="zh-CN"/>
        </w:rPr>
      </w:pPr>
      <w:r>
        <w:rPr>
          <w:rFonts w:hint="eastAsia"/>
          <w:lang w:val="en-US" w:eastAsia="zh-CN"/>
        </w:rPr>
        <w:t>（二）投标无效</w:t>
      </w:r>
    </w:p>
    <w:p w14:paraId="59BC99A6">
      <w:pPr>
        <w:rPr>
          <w:rFonts w:hint="default"/>
          <w:lang w:val="en-US" w:eastAsia="zh-CN"/>
        </w:rPr>
      </w:pPr>
      <w:r>
        <w:rPr>
          <w:rFonts w:hint="default"/>
          <w:lang w:val="en-US" w:eastAsia="zh-CN"/>
        </w:rPr>
        <w:t>有下列情况之一的，投标无效：</w:t>
      </w:r>
    </w:p>
    <w:p w14:paraId="35D1EE47">
      <w:pPr>
        <w:rPr>
          <w:rFonts w:hint="default"/>
          <w:lang w:val="en-US" w:eastAsia="zh-CN"/>
        </w:rPr>
      </w:pPr>
      <w:r>
        <w:rPr>
          <w:rFonts w:hint="eastAsia"/>
          <w:lang w:val="en-US" w:eastAsia="zh-CN"/>
        </w:rPr>
        <w:t>1.</w:t>
      </w:r>
      <w:r>
        <w:rPr>
          <w:rFonts w:hint="default"/>
          <w:lang w:val="en-US" w:eastAsia="zh-CN"/>
        </w:rPr>
        <w:t>单位负责人为同一人或者存在直接控股、管理关系的不同供应商参加同一合同项下的</w:t>
      </w:r>
      <w:r>
        <w:rPr>
          <w:rFonts w:hint="eastAsia"/>
          <w:lang w:val="en-US" w:eastAsia="zh-CN"/>
        </w:rPr>
        <w:t>国企采购</w:t>
      </w:r>
      <w:r>
        <w:rPr>
          <w:rFonts w:hint="default"/>
          <w:lang w:val="en-US" w:eastAsia="zh-CN"/>
        </w:rPr>
        <w:t>活动的（均无效）；</w:t>
      </w:r>
    </w:p>
    <w:p w14:paraId="442B8D1E">
      <w:pPr>
        <w:rPr>
          <w:rFonts w:hint="default"/>
          <w:lang w:val="en-US" w:eastAsia="zh-CN"/>
        </w:rPr>
      </w:pPr>
      <w:r>
        <w:rPr>
          <w:rFonts w:hint="eastAsia"/>
          <w:lang w:val="en-US" w:eastAsia="zh-CN"/>
        </w:rPr>
        <w:t>2.</w:t>
      </w:r>
      <w:r>
        <w:rPr>
          <w:rFonts w:hint="default"/>
          <w:lang w:val="en-US" w:eastAsia="zh-CN"/>
        </w:rPr>
        <w:t>为采购项目提供整体设计、规范编制或者项目管理、监理、检测等服务的供应商再参加该采购项目的其他采购活动的；</w:t>
      </w:r>
    </w:p>
    <w:p w14:paraId="56AF31BC">
      <w:pPr>
        <w:rPr>
          <w:rFonts w:hint="default"/>
          <w:lang w:val="en-US" w:eastAsia="zh-CN"/>
        </w:rPr>
      </w:pPr>
      <w:r>
        <w:rPr>
          <w:rFonts w:hint="eastAsia"/>
          <w:lang w:val="en-US" w:eastAsia="zh-CN"/>
        </w:rPr>
        <w:t>3.</w:t>
      </w:r>
      <w:r>
        <w:rPr>
          <w:rFonts w:hint="default"/>
          <w:lang w:val="en-US" w:eastAsia="zh-CN"/>
        </w:rPr>
        <w:t>供应商不具备招标文件中规定的资格要求的（供应商未提供有效的资格证明文件的，视为供应商不具备招标文件中规定的资格要求）；</w:t>
      </w:r>
    </w:p>
    <w:p w14:paraId="059C584D">
      <w:pPr>
        <w:rPr>
          <w:rFonts w:hint="default"/>
          <w:lang w:val="en-US" w:eastAsia="zh-CN"/>
        </w:rPr>
      </w:pPr>
      <w:r>
        <w:rPr>
          <w:rFonts w:hint="eastAsia"/>
          <w:lang w:val="en-US" w:eastAsia="zh-CN"/>
        </w:rPr>
        <w:t>4.</w:t>
      </w:r>
      <w:r>
        <w:rPr>
          <w:rFonts w:hint="default"/>
          <w:lang w:val="en-US" w:eastAsia="zh-CN"/>
        </w:rPr>
        <w:t>如以联合体形式参加</w:t>
      </w:r>
      <w:r>
        <w:rPr>
          <w:rFonts w:hint="eastAsia"/>
          <w:lang w:val="en-US" w:eastAsia="zh-CN"/>
        </w:rPr>
        <w:t>国企采购</w:t>
      </w:r>
      <w:r>
        <w:rPr>
          <w:rFonts w:hint="default"/>
          <w:lang w:val="en-US" w:eastAsia="zh-CN"/>
        </w:rPr>
        <w:t>活动的，联合体协议不符合招标文件规定的联合体协议要求的；</w:t>
      </w:r>
    </w:p>
    <w:p w14:paraId="5BC7D269">
      <w:pPr>
        <w:rPr>
          <w:rFonts w:hint="default"/>
          <w:lang w:val="en-US" w:eastAsia="zh-CN"/>
        </w:rPr>
      </w:pPr>
      <w:r>
        <w:rPr>
          <w:rFonts w:hint="eastAsia"/>
          <w:lang w:val="en-US" w:eastAsia="zh-CN"/>
        </w:rPr>
        <w:t>5.</w:t>
      </w:r>
      <w:r>
        <w:rPr>
          <w:rFonts w:hint="default"/>
          <w:lang w:val="en-US" w:eastAsia="zh-CN"/>
        </w:rPr>
        <w:t>投标文件未按招标文件的澄清、修改的内容编制，又不符合实质性要求的；</w:t>
      </w:r>
    </w:p>
    <w:p w14:paraId="520F366D">
      <w:pPr>
        <w:rPr>
          <w:rFonts w:hint="default"/>
          <w:lang w:val="en-US" w:eastAsia="zh-CN"/>
        </w:rPr>
      </w:pPr>
      <w:r>
        <w:rPr>
          <w:rFonts w:hint="eastAsia"/>
          <w:lang w:val="en-US" w:eastAsia="zh-CN"/>
        </w:rPr>
        <w:t>6.</w:t>
      </w:r>
      <w:r>
        <w:rPr>
          <w:rFonts w:hint="default"/>
          <w:lang w:val="en-US" w:eastAsia="zh-CN"/>
        </w:rPr>
        <w:t>投标文件中法定代表人授权书所载内容与本项目内容有异的；</w:t>
      </w:r>
    </w:p>
    <w:p w14:paraId="49602C00">
      <w:pPr>
        <w:rPr>
          <w:rFonts w:hint="default"/>
          <w:lang w:val="en-US" w:eastAsia="zh-CN"/>
        </w:rPr>
      </w:pPr>
      <w:r>
        <w:rPr>
          <w:rFonts w:hint="eastAsia"/>
          <w:lang w:val="en-US" w:eastAsia="zh-CN"/>
        </w:rPr>
        <w:t>7.</w:t>
      </w:r>
      <w:r>
        <w:rPr>
          <w:rFonts w:hint="default"/>
          <w:lang w:val="en-US" w:eastAsia="zh-CN"/>
        </w:rPr>
        <w:t>投标文件未按照招标文件要求签署、盖章的；</w:t>
      </w:r>
    </w:p>
    <w:p w14:paraId="181D2FB5">
      <w:pPr>
        <w:rPr>
          <w:rFonts w:hint="default"/>
          <w:lang w:val="en-US" w:eastAsia="zh-CN"/>
        </w:rPr>
      </w:pPr>
      <w:r>
        <w:rPr>
          <w:rFonts w:hint="eastAsia"/>
          <w:lang w:val="en-US" w:eastAsia="zh-CN"/>
        </w:rPr>
        <w:t>8.</w:t>
      </w:r>
      <w:r>
        <w:rPr>
          <w:rFonts w:hint="default"/>
          <w:lang w:val="en-US" w:eastAsia="zh-CN"/>
        </w:rPr>
        <w:t>采购人拟采购的产品属于政府强制采购的节能产品品目清单范围的，供应商未按招标文件要求提供国家确定的认证机构出具的、处于有效期之内的节能产品认证证书的；</w:t>
      </w:r>
    </w:p>
    <w:p w14:paraId="74F1A05B">
      <w:pPr>
        <w:rPr>
          <w:rFonts w:hint="default"/>
          <w:lang w:val="en-US" w:eastAsia="zh-CN"/>
        </w:rPr>
      </w:pPr>
      <w:r>
        <w:rPr>
          <w:rFonts w:hint="eastAsia"/>
          <w:lang w:val="en-US" w:eastAsia="zh-CN"/>
        </w:rPr>
        <w:t>9.</w:t>
      </w:r>
      <w:r>
        <w:rPr>
          <w:rFonts w:hint="default"/>
          <w:lang w:val="en-US" w:eastAsia="zh-CN"/>
        </w:rPr>
        <w:t>投标文件含有采购人不能接受的附加条件的；</w:t>
      </w:r>
    </w:p>
    <w:p w14:paraId="4BDD40CC">
      <w:pPr>
        <w:rPr>
          <w:rFonts w:hint="default"/>
          <w:lang w:val="en-US" w:eastAsia="zh-CN"/>
        </w:rPr>
      </w:pPr>
      <w:r>
        <w:rPr>
          <w:rFonts w:hint="eastAsia"/>
          <w:lang w:val="en-US" w:eastAsia="zh-CN"/>
        </w:rPr>
        <w:t>10.</w:t>
      </w:r>
      <w:r>
        <w:rPr>
          <w:rFonts w:hint="default"/>
          <w:lang w:val="en-US" w:eastAsia="zh-CN"/>
        </w:rPr>
        <w:t>投标文件中承诺的投标有效期少于招标文件中载明的投标有效期的；</w:t>
      </w:r>
    </w:p>
    <w:p w14:paraId="0C219448">
      <w:pPr>
        <w:rPr>
          <w:rFonts w:hint="default"/>
          <w:lang w:val="en-US" w:eastAsia="zh-CN"/>
        </w:rPr>
      </w:pPr>
      <w:r>
        <w:rPr>
          <w:rFonts w:hint="default"/>
          <w:lang w:val="en-US" w:eastAsia="zh-CN"/>
        </w:rPr>
        <w:t>11.供应商所投内容不符合采购需求中实质性要求的；</w:t>
      </w:r>
    </w:p>
    <w:p w14:paraId="3E00D5D8">
      <w:pPr>
        <w:rPr>
          <w:rFonts w:hint="default"/>
          <w:lang w:val="en-US" w:eastAsia="zh-CN"/>
        </w:rPr>
      </w:pPr>
      <w:r>
        <w:rPr>
          <w:rFonts w:hint="eastAsia"/>
          <w:lang w:val="en-US" w:eastAsia="zh-CN"/>
        </w:rPr>
        <w:t>12.</w:t>
      </w:r>
      <w:r>
        <w:rPr>
          <w:rFonts w:hint="default"/>
          <w:lang w:val="en-US" w:eastAsia="zh-CN"/>
        </w:rPr>
        <w:t>《开标一览表》填写不完整或字迹不能辨认或有漏项的；</w:t>
      </w:r>
    </w:p>
    <w:p w14:paraId="6C5A289B">
      <w:pPr>
        <w:rPr>
          <w:rFonts w:hint="default"/>
          <w:lang w:val="en-US" w:eastAsia="zh-CN"/>
        </w:rPr>
      </w:pPr>
      <w:r>
        <w:rPr>
          <w:rFonts w:hint="eastAsia"/>
          <w:lang w:val="en-US" w:eastAsia="zh-CN"/>
        </w:rPr>
        <w:t>13.</w:t>
      </w:r>
      <w:r>
        <w:rPr>
          <w:rFonts w:hint="default"/>
          <w:lang w:val="en-US" w:eastAsia="zh-CN"/>
        </w:rPr>
        <w:t>供应商提供虚假材料投标的（包括但不限于以下情节）；</w:t>
      </w:r>
    </w:p>
    <w:p w14:paraId="2900B9B7">
      <w:pPr>
        <w:rPr>
          <w:rFonts w:hint="default"/>
          <w:lang w:val="en-US" w:eastAsia="zh-CN"/>
        </w:rPr>
      </w:pPr>
      <w:r>
        <w:rPr>
          <w:rFonts w:hint="default"/>
          <w:lang w:val="en-US" w:eastAsia="zh-CN"/>
        </w:rPr>
        <w:t>13.1使用伪造、变造的许可证件；</w:t>
      </w:r>
    </w:p>
    <w:p w14:paraId="198C950C">
      <w:pPr>
        <w:rPr>
          <w:rFonts w:hint="default"/>
          <w:lang w:val="en-US" w:eastAsia="zh-CN"/>
        </w:rPr>
      </w:pPr>
      <w:r>
        <w:rPr>
          <w:rFonts w:hint="default"/>
          <w:lang w:val="en-US" w:eastAsia="zh-CN"/>
        </w:rPr>
        <w:t>13.2提供虚假的财务状况或者业绩；</w:t>
      </w:r>
    </w:p>
    <w:p w14:paraId="52F4E987">
      <w:pPr>
        <w:rPr>
          <w:rFonts w:hint="default"/>
          <w:lang w:val="en-US" w:eastAsia="zh-CN"/>
        </w:rPr>
      </w:pPr>
      <w:r>
        <w:rPr>
          <w:rFonts w:hint="default"/>
          <w:lang w:val="en-US" w:eastAsia="zh-CN"/>
        </w:rPr>
        <w:t>13.3提供虚假的项目负责人或者主要技术人员简历、劳动关系证明；</w:t>
      </w:r>
    </w:p>
    <w:p w14:paraId="134C7F8F">
      <w:pPr>
        <w:rPr>
          <w:rFonts w:hint="default"/>
          <w:lang w:val="en-US" w:eastAsia="zh-CN"/>
        </w:rPr>
      </w:pPr>
      <w:r>
        <w:rPr>
          <w:rFonts w:hint="default"/>
          <w:lang w:val="en-US" w:eastAsia="zh-CN"/>
        </w:rPr>
        <w:t>13.4提供虚假的信用状况；</w:t>
      </w:r>
    </w:p>
    <w:p w14:paraId="5C0F2D5E">
      <w:pPr>
        <w:rPr>
          <w:rFonts w:hint="default"/>
          <w:lang w:val="en-US" w:eastAsia="zh-CN"/>
        </w:rPr>
      </w:pPr>
      <w:r>
        <w:rPr>
          <w:rFonts w:hint="default"/>
          <w:lang w:val="en-US" w:eastAsia="zh-CN"/>
        </w:rPr>
        <w:t>13.5其他弄虚作假的行为。</w:t>
      </w:r>
    </w:p>
    <w:p w14:paraId="1BF26906">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供应商有恶意串通、妨碍其他供应商的竞争行为、损害采购人或者其</w:t>
      </w:r>
    </w:p>
    <w:p w14:paraId="71ABA51D">
      <w:pPr>
        <w:rPr>
          <w:rFonts w:hint="default"/>
          <w:lang w:val="en-US" w:eastAsia="zh-CN"/>
        </w:rPr>
      </w:pPr>
      <w:r>
        <w:rPr>
          <w:rFonts w:hint="default"/>
          <w:lang w:val="en-US" w:eastAsia="zh-CN"/>
        </w:rPr>
        <w:t>他供应商的合法权益情形的；有下列情形之一的，属于或视为恶意串通，其投标无效；</w:t>
      </w:r>
    </w:p>
    <w:p w14:paraId="71013F01">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.1供应商直接或者间接从采购人或者采购代理机构处获得其他供应商的相关情况并修改其投标文件或者响应文件；</w:t>
      </w:r>
    </w:p>
    <w:p w14:paraId="7E3E1296">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.2供应商按照采购人或者采购代理机构的授意撤换、修改投标文件或者响应文件；</w:t>
      </w:r>
    </w:p>
    <w:p w14:paraId="3C63CCA9">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.3供应商之间协商技术方案等投标文件或者响应文件的实质性内容；</w:t>
      </w:r>
    </w:p>
    <w:p w14:paraId="6CCB1859">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.4属于同一集团、协会、商会等组织成员的供应商按照该组织要求协同参加</w:t>
      </w:r>
      <w:r>
        <w:rPr>
          <w:rFonts w:hint="eastAsia"/>
          <w:lang w:val="en-US" w:eastAsia="zh-CN"/>
        </w:rPr>
        <w:t>国企采购</w:t>
      </w:r>
      <w:r>
        <w:rPr>
          <w:rFonts w:hint="default"/>
          <w:lang w:val="en-US" w:eastAsia="zh-CN"/>
        </w:rPr>
        <w:t>活动；</w:t>
      </w:r>
    </w:p>
    <w:p w14:paraId="0CF2D0D2">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.5供应商之间事先约定由某一特定供应商入围、成交；</w:t>
      </w:r>
    </w:p>
    <w:p w14:paraId="60C0C7A6">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.6供应商之间商定部分供应商放弃参加</w:t>
      </w:r>
      <w:r>
        <w:rPr>
          <w:rFonts w:hint="eastAsia"/>
          <w:lang w:val="en-US" w:eastAsia="zh-CN"/>
        </w:rPr>
        <w:t>国企采购</w:t>
      </w:r>
      <w:r>
        <w:rPr>
          <w:rFonts w:hint="default"/>
          <w:lang w:val="en-US" w:eastAsia="zh-CN"/>
        </w:rPr>
        <w:t>活动或者放弃入围、成交；</w:t>
      </w:r>
    </w:p>
    <w:p w14:paraId="5016DBB8">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.7供应商与采购人或者采购代理机构之间、供应商相互之间，为谋求特定供应商中标、成交或者排斥其他供应商的其他串通行为。</w:t>
      </w:r>
    </w:p>
    <w:p w14:paraId="4A803F2B">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.8不同供应商的投标文件由同一单位或者个人编制；</w:t>
      </w:r>
    </w:p>
    <w:p w14:paraId="21DB104F">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.9不同供应商的投标文件载明的项目管理成员或者联系人员为同一人；</w:t>
      </w:r>
    </w:p>
    <w:p w14:paraId="6E2F9C6C">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.10不同投标人的投标文件异常一致或者规律性差异；</w:t>
      </w:r>
    </w:p>
    <w:p w14:paraId="5BC5A40C">
      <w:pPr>
        <w:rPr>
          <w:rFonts w:hint="default"/>
          <w:lang w:val="en-US" w:eastAsia="zh-CN"/>
        </w:rPr>
      </w:pPr>
      <w:r>
        <w:rPr>
          <w:rFonts w:hint="eastAsia"/>
          <w:lang w:val="en-US" w:eastAsia="zh-CN"/>
        </w:rPr>
        <w:t>16.</w:t>
      </w:r>
      <w:r>
        <w:rPr>
          <w:rFonts w:hint="default"/>
          <w:lang w:val="en-US" w:eastAsia="zh-CN"/>
        </w:rPr>
        <w:t>不同投标人的投标文件相互混装；</w:t>
      </w:r>
    </w:p>
    <w:p w14:paraId="588B9D90">
      <w:pPr>
        <w:rPr>
          <w:rFonts w:hint="default"/>
          <w:lang w:val="en-US" w:eastAsia="zh-CN"/>
        </w:rPr>
      </w:pPr>
      <w:r>
        <w:rPr>
          <w:rFonts w:hint="eastAsia"/>
          <w:lang w:val="en-US" w:eastAsia="zh-CN"/>
        </w:rPr>
        <w:t>17.</w:t>
      </w:r>
      <w:r>
        <w:rPr>
          <w:rFonts w:hint="default"/>
          <w:lang w:val="en-US" w:eastAsia="zh-CN"/>
        </w:rPr>
        <w:t>法律、法规、规章（适用本市的）及省级以上规范性文件（适用本市的）规定的其他无效情形。</w:t>
      </w:r>
    </w:p>
    <w:p w14:paraId="3BCCEE65">
      <w:pPr>
        <w:rPr>
          <w:rFonts w:hint="default"/>
          <w:lang w:val="en-US" w:eastAsia="zh-CN"/>
        </w:rPr>
      </w:pPr>
      <w:r>
        <w:rPr>
          <w:rFonts w:hint="eastAsia"/>
          <w:lang w:val="en-US" w:eastAsia="zh-CN"/>
        </w:rPr>
        <w:t>18.</w:t>
      </w:r>
      <w:r>
        <w:rPr>
          <w:rFonts w:hint="default"/>
          <w:lang w:val="en-US" w:eastAsia="zh-CN"/>
        </w:rPr>
        <w:t>根据法律、法规或招标文件要求，评标委员会认为应当作无效投标的其他情况。</w:t>
      </w:r>
    </w:p>
    <w:p w14:paraId="36E49A60">
      <w:pPr>
        <w:rPr>
          <w:rFonts w:hint="default"/>
          <w:lang w:val="en-US" w:eastAsia="zh-CN"/>
        </w:rPr>
      </w:pPr>
      <w:r>
        <w:rPr>
          <w:rFonts w:hint="default"/>
          <w:lang w:val="en-US" w:eastAsia="zh-CN"/>
        </w:rPr>
        <w:t>（</w:t>
      </w:r>
      <w:r>
        <w:rPr>
          <w:rFonts w:hint="eastAsia"/>
          <w:lang w:val="en-US" w:eastAsia="zh-CN"/>
        </w:rPr>
        <w:t>三</w:t>
      </w:r>
      <w:r>
        <w:rPr>
          <w:rFonts w:hint="default"/>
          <w:lang w:val="en-US" w:eastAsia="zh-CN"/>
        </w:rPr>
        <w:t>）废标</w:t>
      </w:r>
    </w:p>
    <w:p w14:paraId="33B1D620">
      <w:pPr>
        <w:rPr>
          <w:rFonts w:hint="default"/>
          <w:lang w:val="en-US" w:eastAsia="zh-CN"/>
        </w:rPr>
      </w:pPr>
      <w:r>
        <w:rPr>
          <w:rFonts w:hint="default"/>
          <w:lang w:val="en-US" w:eastAsia="zh-CN"/>
        </w:rPr>
        <w:t>凡出现以下情况之一的，对应标项作废标处理：</w:t>
      </w:r>
    </w:p>
    <w:p w14:paraId="34AD1DB4">
      <w:pPr>
        <w:rPr>
          <w:rFonts w:hint="default"/>
          <w:lang w:val="en-US" w:eastAsia="zh-CN"/>
        </w:rPr>
      </w:pPr>
      <w:r>
        <w:rPr>
          <w:rFonts w:hint="default"/>
          <w:lang w:val="en-US" w:eastAsia="zh-CN"/>
        </w:rPr>
        <w:t>1.符合资格条件、符合性及实质性响应的供应商不足两家的；</w:t>
      </w:r>
    </w:p>
    <w:p w14:paraId="506CB92B">
      <w:pPr>
        <w:rPr>
          <w:rFonts w:hint="default"/>
          <w:lang w:val="en-US" w:eastAsia="zh-CN"/>
        </w:rPr>
      </w:pPr>
      <w:r>
        <w:rPr>
          <w:rFonts w:hint="default"/>
          <w:lang w:val="en-US" w:eastAsia="zh-CN"/>
        </w:rPr>
        <w:t>2.出现影响采购公正的违法、违规行为的；</w:t>
      </w:r>
    </w:p>
    <w:p w14:paraId="1A449EAC">
      <w:pPr>
        <w:rPr>
          <w:rFonts w:hint="default"/>
          <w:lang w:val="en-US" w:eastAsia="zh-CN"/>
        </w:rPr>
      </w:pPr>
      <w:r>
        <w:rPr>
          <w:rFonts w:hint="default"/>
          <w:lang w:val="en-US" w:eastAsia="zh-CN"/>
        </w:rPr>
        <w:t>3.因重大变故，采购任务取消的；</w:t>
      </w:r>
    </w:p>
    <w:p w14:paraId="2618F5E0">
      <w:pPr>
        <w:rPr>
          <w:rFonts w:hint="default"/>
          <w:lang w:val="en-US" w:eastAsia="zh-CN"/>
        </w:rPr>
      </w:pPr>
      <w:r>
        <w:rPr>
          <w:rFonts w:hint="default"/>
          <w:lang w:val="en-US" w:eastAsia="zh-CN"/>
        </w:rPr>
        <w:t>4.评标委员会认定征集文件存在歧义、重大缺陷导致评审工作无法进行的；</w:t>
      </w:r>
    </w:p>
    <w:p w14:paraId="29AE8CAC">
      <w:pPr>
        <w:rPr>
          <w:rFonts w:hint="default"/>
          <w:lang w:val="en-US" w:eastAsia="zh-CN"/>
        </w:rPr>
      </w:pPr>
      <w:r>
        <w:rPr>
          <w:rFonts w:hint="default"/>
          <w:lang w:val="en-US" w:eastAsia="zh-CN"/>
        </w:rPr>
        <w:t>5.法律、法规规定的其他情形。</w:t>
      </w:r>
    </w:p>
    <w:p w14:paraId="64AC98B4">
      <w:pPr>
        <w:pStyle w:val="4"/>
        <w:bidi w:val="0"/>
        <w:rPr>
          <w:rFonts w:hint="default"/>
          <w:lang w:val="en-US" w:eastAsia="zh-CN"/>
        </w:rPr>
      </w:pPr>
      <w:bookmarkStart w:id="46" w:name="_Toc3468"/>
      <w:r>
        <w:rPr>
          <w:rFonts w:hint="default"/>
          <w:lang w:val="en-US" w:eastAsia="zh-CN"/>
        </w:rPr>
        <w:t>淘汰率、顺序排列与入围推荐</w:t>
      </w:r>
      <w:bookmarkEnd w:id="46"/>
    </w:p>
    <w:p w14:paraId="6BD3765D">
      <w:pPr>
        <w:rPr>
          <w:rFonts w:hint="default"/>
          <w:lang w:val="en-US" w:eastAsia="zh-CN"/>
        </w:rPr>
      </w:pPr>
      <w:r>
        <w:rPr>
          <w:rFonts w:hint="default"/>
          <w:lang w:val="en-US" w:eastAsia="zh-CN"/>
        </w:rPr>
        <w:t>1.淘汰比例：20%（采用进一法），且至少淘汰一家供应商及产品。对符合资格条件、实质性要求、满足采购需求且响应报价不高于最高限价的供应商及产品，按照评审报价从低到高排序。</w:t>
      </w:r>
    </w:p>
    <w:p w14:paraId="1589E97F">
      <w:pPr>
        <w:rPr>
          <w:rFonts w:hint="default"/>
          <w:lang w:val="en-US" w:eastAsia="zh-CN"/>
        </w:rPr>
      </w:pPr>
      <w:r>
        <w:rPr>
          <w:rFonts w:hint="default"/>
          <w:lang w:val="en-US" w:eastAsia="zh-CN"/>
        </w:rPr>
        <w:t>2.若出现排序前80%中末位供应商评审报价出现并列且同时入围将导致淘汰率不足20%的，并列供应商及产品均淘汰。例：10家有效供应商，甲、乙两家供应商并列第8名（评审报价相同），则甲、乙均不入围，入围供应商为1至7名。</w:t>
      </w:r>
    </w:p>
    <w:p w14:paraId="20FE5B81">
      <w:pPr>
        <w:pStyle w:val="4"/>
        <w:bidi w:val="0"/>
        <w:rPr>
          <w:rFonts w:hint="default"/>
          <w:lang w:val="en-US" w:eastAsia="zh-CN"/>
        </w:rPr>
      </w:pPr>
      <w:bookmarkStart w:id="47" w:name="_Toc3801"/>
      <w:r>
        <w:rPr>
          <w:rFonts w:hint="default"/>
          <w:lang w:val="en-US" w:eastAsia="zh-CN"/>
        </w:rPr>
        <w:t>评标报告</w:t>
      </w:r>
      <w:bookmarkEnd w:id="47"/>
    </w:p>
    <w:p w14:paraId="1ED7881B">
      <w:pPr>
        <w:rPr>
          <w:rFonts w:hint="default"/>
          <w:lang w:val="en-US" w:eastAsia="zh-CN"/>
        </w:rPr>
      </w:pPr>
      <w:r>
        <w:rPr>
          <w:rFonts w:hint="eastAsia"/>
          <w:lang w:val="en-US" w:eastAsia="zh-CN"/>
        </w:rPr>
        <w:t>1</w:t>
      </w:r>
      <w:r>
        <w:rPr>
          <w:rFonts w:hint="default"/>
          <w:lang w:val="en-US" w:eastAsia="zh-CN"/>
        </w:rPr>
        <w:t>.评标报告与推荐入围供应商。评标委员会根据全体评标成员签字的原始评标记录和评标结果编写评标报告，并推荐入围供应商，评审报告由评标委员会成员签字确认提交。</w:t>
      </w:r>
    </w:p>
    <w:p w14:paraId="64910B96">
      <w:pPr>
        <w:rPr>
          <w:rFonts w:hint="default"/>
          <w:lang w:val="en-US" w:eastAsia="zh-CN"/>
        </w:rPr>
      </w:pPr>
      <w:r>
        <w:rPr>
          <w:rFonts w:hint="eastAsia"/>
          <w:lang w:val="en-US" w:eastAsia="zh-CN"/>
        </w:rPr>
        <w:t>2</w:t>
      </w:r>
      <w:r>
        <w:rPr>
          <w:rFonts w:hint="default"/>
          <w:lang w:val="en-US" w:eastAsia="zh-CN"/>
        </w:rPr>
        <w:t>.评标争议事项处理。评标委员会成员对需要共同认定的事项存在争议的，应当按照少数服从多数的原则作出结论。持不同意见的评标委员会成员应当在评标报告上签署不同意见及理由，否则视为同意评标报告。</w:t>
      </w:r>
    </w:p>
    <w:p w14:paraId="271A5D4F">
      <w:pPr>
        <w:pStyle w:val="4"/>
        <w:bidi w:val="0"/>
        <w:rPr>
          <w:rFonts w:hint="default"/>
          <w:lang w:val="en-US" w:eastAsia="zh-CN"/>
        </w:rPr>
      </w:pPr>
      <w:bookmarkStart w:id="48" w:name="_Toc15945"/>
      <w:r>
        <w:rPr>
          <w:rFonts w:hint="default"/>
          <w:lang w:val="en-US" w:eastAsia="zh-CN"/>
        </w:rPr>
        <w:t>重新组织采购或补充征集供应商</w:t>
      </w:r>
      <w:bookmarkEnd w:id="48"/>
    </w:p>
    <w:p w14:paraId="6493B5FB">
      <w:pPr>
        <w:rPr>
          <w:rFonts w:hint="default"/>
          <w:lang w:val="en-US" w:eastAsia="zh-CN"/>
        </w:rPr>
      </w:pPr>
      <w:r>
        <w:rPr>
          <w:rFonts w:hint="eastAsia"/>
          <w:lang w:val="en-US" w:eastAsia="zh-CN"/>
        </w:rPr>
        <w:t>1</w:t>
      </w:r>
      <w:r>
        <w:rPr>
          <w:rFonts w:hint="default"/>
          <w:lang w:val="en-US" w:eastAsia="zh-CN"/>
        </w:rPr>
        <w:t>.修改招标文件，重新组织采购活动。评标委员会发现招标文件存在歧义、重大缺陷且无法修正导致评标工作无法进行，或者招标文件内容违反国家有关强制性规定的，将停止评标工作，并与采购人、采购代理机构沟通并作书面记录。采购人、采购代理机构确认后，将修改招标文件，重新组织采购活动。</w:t>
      </w:r>
    </w:p>
    <w:p w14:paraId="516228A0">
      <w:pPr>
        <w:rPr>
          <w:rFonts w:hint="default"/>
          <w:lang w:val="en-US" w:eastAsia="zh-CN"/>
        </w:rPr>
      </w:pPr>
      <w:r>
        <w:rPr>
          <w:rFonts w:hint="eastAsia"/>
          <w:lang w:val="en-US" w:eastAsia="zh-CN"/>
        </w:rPr>
        <w:t>2</w:t>
      </w:r>
      <w:r>
        <w:rPr>
          <w:rFonts w:hint="default"/>
          <w:lang w:val="en-US" w:eastAsia="zh-CN"/>
        </w:rPr>
        <w:t>.重新开展采购。有政府采购法第七十一条、第七十二条规定的违法行为之一，影响或者可能影响入围结果的，依照下列规定处理：</w:t>
      </w:r>
    </w:p>
    <w:p w14:paraId="4D410280">
      <w:pPr>
        <w:rPr>
          <w:rFonts w:hint="default"/>
          <w:lang w:val="en-US" w:eastAsia="zh-CN"/>
        </w:rPr>
      </w:pPr>
      <w:r>
        <w:rPr>
          <w:rFonts w:hint="eastAsia"/>
          <w:lang w:val="en-US" w:eastAsia="zh-CN"/>
        </w:rPr>
        <w:t>2</w:t>
      </w:r>
      <w:r>
        <w:rPr>
          <w:rFonts w:hint="default"/>
          <w:lang w:val="en-US" w:eastAsia="zh-CN"/>
        </w:rPr>
        <w:t>.1未确定入围供应商的，终止本次</w:t>
      </w:r>
      <w:r>
        <w:rPr>
          <w:rFonts w:hint="eastAsia"/>
          <w:lang w:val="en-US" w:eastAsia="zh-CN"/>
        </w:rPr>
        <w:t>国企采购</w:t>
      </w:r>
      <w:r>
        <w:rPr>
          <w:rFonts w:hint="default"/>
          <w:lang w:val="en-US" w:eastAsia="zh-CN"/>
        </w:rPr>
        <w:t>活动，重新开展</w:t>
      </w:r>
      <w:r>
        <w:rPr>
          <w:rFonts w:hint="eastAsia"/>
          <w:lang w:val="en-US" w:eastAsia="zh-CN"/>
        </w:rPr>
        <w:t>国企采购</w:t>
      </w:r>
      <w:r>
        <w:rPr>
          <w:rFonts w:hint="default"/>
          <w:lang w:val="en-US" w:eastAsia="zh-CN"/>
        </w:rPr>
        <w:t>活动。</w:t>
      </w:r>
    </w:p>
    <w:p w14:paraId="289374EA">
      <w:pPr>
        <w:rPr>
          <w:rFonts w:hint="default"/>
          <w:lang w:val="en-US" w:eastAsia="zh-CN"/>
        </w:rPr>
      </w:pPr>
      <w:r>
        <w:rPr>
          <w:rFonts w:hint="eastAsia"/>
          <w:lang w:val="en-US" w:eastAsia="zh-CN"/>
        </w:rPr>
        <w:t>2</w:t>
      </w:r>
      <w:r>
        <w:rPr>
          <w:rFonts w:hint="default"/>
          <w:lang w:val="en-US" w:eastAsia="zh-CN"/>
        </w:rPr>
        <w:t>.2已确定入围供应商但尚未签订框架协议的，对违法单位直接取消其入围资格且禁止其参与下一次框架协议的签订。</w:t>
      </w:r>
    </w:p>
    <w:p w14:paraId="439E09CB">
      <w:pPr>
        <w:rPr>
          <w:rFonts w:hint="default"/>
          <w:lang w:val="en-US" w:eastAsia="zh-CN"/>
        </w:rPr>
      </w:pPr>
      <w:r>
        <w:rPr>
          <w:rFonts w:hint="eastAsia"/>
          <w:lang w:val="en-US" w:eastAsia="zh-CN"/>
        </w:rPr>
        <w:t>2</w:t>
      </w:r>
      <w:r>
        <w:rPr>
          <w:rFonts w:hint="default"/>
          <w:lang w:val="en-US" w:eastAsia="zh-CN"/>
        </w:rPr>
        <w:t>.3框架协议已签订但尚未履行的，取消其框架协议，被取消框架协议单位超过30%且影响框架协议执行的情形时，采购人将补充征集供应商，补充征集文件按照本次要求不得随意变更。</w:t>
      </w:r>
    </w:p>
    <w:p w14:paraId="2FDCD6D9">
      <w:pPr>
        <w:rPr>
          <w:rFonts w:hint="default"/>
          <w:lang w:val="en-US" w:eastAsia="zh-CN"/>
        </w:rPr>
      </w:pPr>
      <w:r>
        <w:rPr>
          <w:rFonts w:hint="eastAsia"/>
          <w:lang w:val="en-US" w:eastAsia="zh-CN"/>
        </w:rPr>
        <w:t>2</w:t>
      </w:r>
      <w:r>
        <w:rPr>
          <w:rFonts w:hint="default"/>
          <w:lang w:val="en-US" w:eastAsia="zh-CN"/>
        </w:rPr>
        <w:t>.4单项服务合同已经履行，给采购人、供应商造成损失的，由责任人承担赔偿责任。</w:t>
      </w:r>
    </w:p>
    <w:p w14:paraId="383E6F13">
      <w:pPr>
        <w:pStyle w:val="4"/>
        <w:bidi w:val="0"/>
        <w:rPr>
          <w:rFonts w:hint="default"/>
          <w:lang w:val="en-US" w:eastAsia="zh-CN"/>
        </w:rPr>
      </w:pPr>
      <w:bookmarkStart w:id="49" w:name="_Toc14118"/>
      <w:r>
        <w:rPr>
          <w:rFonts w:hint="default"/>
          <w:lang w:val="en-US" w:eastAsia="zh-CN"/>
        </w:rPr>
        <w:t>评审过程的保密与录像</w:t>
      </w:r>
      <w:bookmarkEnd w:id="49"/>
    </w:p>
    <w:p w14:paraId="1FC9CB6C">
      <w:pPr>
        <w:rPr>
          <w:rFonts w:hint="default"/>
          <w:lang w:val="en-US" w:eastAsia="zh-CN"/>
        </w:rPr>
      </w:pPr>
      <w:r>
        <w:rPr>
          <w:rFonts w:hint="eastAsia"/>
          <w:lang w:val="en-US" w:eastAsia="zh-CN"/>
        </w:rPr>
        <w:t>1</w:t>
      </w:r>
      <w:r>
        <w:rPr>
          <w:rFonts w:hint="default"/>
          <w:lang w:val="en-US" w:eastAsia="zh-CN"/>
        </w:rPr>
        <w:t>.保密。评审活动在严格保密的情况下进行。评审过程中凡是与采购响应文件评审和比较、入围供应商推荐等评审有关的情况，以及涉及国家秘密和商业秘密等信息，评审委员会成员、采购人和采购代理机构工作人员、相关监督人员等与评审有关的人员应当予以保密。</w:t>
      </w:r>
    </w:p>
    <w:p w14:paraId="3FD33557">
      <w:pPr>
        <w:rPr>
          <w:rFonts w:hint="default"/>
          <w:lang w:val="en-US" w:eastAsia="zh-CN"/>
        </w:rPr>
      </w:pPr>
      <w:r>
        <w:rPr>
          <w:rFonts w:hint="eastAsia"/>
          <w:lang w:val="en-US" w:eastAsia="zh-CN"/>
        </w:rPr>
        <w:t>2</w:t>
      </w:r>
      <w:r>
        <w:rPr>
          <w:rFonts w:hint="default"/>
          <w:lang w:val="en-US" w:eastAsia="zh-CN"/>
        </w:rPr>
        <w:t>.录音录像。采购代理机构对评审工作现场进行全过程录音录像，录音录像资料作为采购项目文件随其他文件一并存档。</w:t>
      </w:r>
    </w:p>
    <w:p w14:paraId="6E143086">
      <w:pPr>
        <w:rPr>
          <w:rFonts w:hint="default"/>
          <w:lang w:val="en-US" w:eastAsia="zh-CN"/>
        </w:rPr>
      </w:pPr>
    </w:p>
    <w:p w14:paraId="55A5177E">
      <w:pPr>
        <w:rPr>
          <w:rFonts w:hint="default"/>
          <w:lang w:val="en-US" w:eastAsia="zh-CN"/>
        </w:rPr>
      </w:pPr>
    </w:p>
    <w:p w14:paraId="4CB4C7CB">
      <w:pPr>
        <w:rPr>
          <w:rFonts w:hint="default"/>
          <w:lang w:val="en-US" w:eastAsia="zh-CN"/>
        </w:rPr>
      </w:pPr>
    </w:p>
    <w:p w14:paraId="675167DB">
      <w:pPr>
        <w:rPr>
          <w:rFonts w:hint="default"/>
          <w:lang w:val="en-US" w:eastAsia="zh-CN"/>
        </w:rPr>
      </w:pPr>
    </w:p>
    <w:p w14:paraId="15F4A74B">
      <w:pPr>
        <w:rPr>
          <w:rFonts w:hint="default"/>
          <w:lang w:val="en-US" w:eastAsia="zh-CN"/>
        </w:rPr>
      </w:pPr>
    </w:p>
    <w:p w14:paraId="6A4ED221">
      <w:pPr>
        <w:rPr>
          <w:rFonts w:hint="default"/>
          <w:lang w:val="en-US" w:eastAsia="zh-CN"/>
        </w:rPr>
      </w:pPr>
    </w:p>
    <w:p w14:paraId="74D1ECE6">
      <w:pPr>
        <w:rPr>
          <w:rFonts w:hint="default"/>
          <w:lang w:val="en-US" w:eastAsia="zh-CN"/>
        </w:rPr>
      </w:pPr>
    </w:p>
    <w:p w14:paraId="1C5F1A78">
      <w:pPr>
        <w:rPr>
          <w:rFonts w:hint="default"/>
          <w:lang w:val="en-US" w:eastAsia="zh-CN"/>
        </w:rPr>
      </w:pPr>
    </w:p>
    <w:p w14:paraId="35FD7478">
      <w:pPr>
        <w:rPr>
          <w:rFonts w:hint="default"/>
          <w:lang w:val="en-US" w:eastAsia="zh-CN"/>
        </w:rPr>
      </w:pPr>
    </w:p>
    <w:p w14:paraId="436406BB">
      <w:pPr>
        <w:rPr>
          <w:rFonts w:hint="default"/>
          <w:lang w:val="en-US" w:eastAsia="zh-CN"/>
        </w:rPr>
      </w:pPr>
    </w:p>
    <w:p w14:paraId="5C17798B">
      <w:pPr>
        <w:rPr>
          <w:rFonts w:hint="default"/>
          <w:lang w:val="en-US" w:eastAsia="zh-CN"/>
        </w:rPr>
      </w:pPr>
    </w:p>
    <w:p w14:paraId="54C14935">
      <w:pPr>
        <w:rPr>
          <w:rFonts w:hint="default"/>
          <w:lang w:val="en-US" w:eastAsia="zh-CN"/>
        </w:rPr>
      </w:pPr>
    </w:p>
    <w:p w14:paraId="2C2F1926">
      <w:pPr>
        <w:rPr>
          <w:rFonts w:hint="default"/>
          <w:lang w:val="en-US" w:eastAsia="zh-CN"/>
        </w:rPr>
      </w:pPr>
    </w:p>
    <w:p w14:paraId="3FF9165E">
      <w:pPr>
        <w:rPr>
          <w:rFonts w:hint="default"/>
          <w:lang w:val="en-US" w:eastAsia="zh-CN"/>
        </w:rPr>
      </w:pPr>
    </w:p>
    <w:p w14:paraId="4609EE92">
      <w:pPr>
        <w:rPr>
          <w:rFonts w:hint="default"/>
          <w:lang w:val="en-US" w:eastAsia="zh-CN"/>
        </w:rPr>
      </w:pPr>
    </w:p>
    <w:p w14:paraId="40D7BC9B">
      <w:pPr>
        <w:rPr>
          <w:rFonts w:hint="default"/>
          <w:lang w:val="en-US" w:eastAsia="zh-CN"/>
        </w:rPr>
      </w:pPr>
    </w:p>
    <w:p w14:paraId="4CE04239">
      <w:pPr>
        <w:rPr>
          <w:rFonts w:hint="default"/>
          <w:lang w:val="en-US" w:eastAsia="zh-CN"/>
        </w:rPr>
      </w:pPr>
    </w:p>
    <w:p w14:paraId="4ACDDC62">
      <w:pPr>
        <w:pStyle w:val="2"/>
        <w:bidi w:val="0"/>
        <w:jc w:val="center"/>
        <w:rPr>
          <w:rFonts w:hint="default"/>
          <w:lang w:val="en-US" w:eastAsia="zh-CN"/>
        </w:rPr>
      </w:pPr>
      <w:bookmarkStart w:id="50" w:name="_Toc4985"/>
      <w:r>
        <w:rPr>
          <w:rFonts w:hint="default"/>
          <w:lang w:val="en-US" w:eastAsia="zh-CN"/>
        </w:rPr>
        <w:t>拟签订的合同文本</w:t>
      </w:r>
      <w:bookmarkEnd w:id="50"/>
    </w:p>
    <w:tbl>
      <w:tblPr>
        <w:tblStyle w:val="18"/>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0BEAF91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20917C55">
            <w:pPr>
              <w:pageBreakBefore w:val="0"/>
              <w:kinsoku/>
              <w:wordWrap w:val="0"/>
              <w:overflowPunct/>
              <w:topLinePunct w:val="0"/>
              <w:bidi w:val="0"/>
              <w:rPr>
                <w:rFonts w:hint="eastAsia"/>
                <w:vertAlign w:val="baseline"/>
                <w:lang w:val="en-US" w:eastAsia="zh-CN"/>
              </w:rPr>
            </w:pPr>
            <w:r>
              <w:rPr>
                <w:rFonts w:hint="eastAsia"/>
                <w:sz w:val="28"/>
                <w:szCs w:val="24"/>
                <w:vertAlign w:val="baseline"/>
                <w:lang w:val="en-US" w:eastAsia="zh-CN"/>
              </w:rPr>
              <w:t>合同编号：</w:t>
            </w:r>
          </w:p>
        </w:tc>
      </w:tr>
      <w:tr w14:paraId="76F3BFA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3EBDDEB">
            <w:pPr>
              <w:pageBreakBefore w:val="0"/>
              <w:kinsoku/>
              <w:wordWrap w:val="0"/>
              <w:overflowPunct/>
              <w:topLinePunct w:val="0"/>
              <w:bidi w:val="0"/>
              <w:jc w:val="center"/>
              <w:rPr>
                <w:rFonts w:hint="eastAsia"/>
                <w:vertAlign w:val="baseline"/>
                <w:lang w:val="en-US" w:eastAsia="zh-CN"/>
              </w:rPr>
            </w:pPr>
            <w:r>
              <w:rPr>
                <w:rFonts w:hint="eastAsia"/>
                <w:sz w:val="52"/>
                <w:szCs w:val="52"/>
                <w:vertAlign w:val="baseline"/>
                <w:lang w:val="en-US" w:eastAsia="zh-CN"/>
              </w:rPr>
              <w:t>国企采购合同（框架协议）</w:t>
            </w:r>
          </w:p>
        </w:tc>
      </w:tr>
      <w:tr w14:paraId="4C192A3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641" w:hRule="atLeast"/>
        </w:trPr>
        <w:tc>
          <w:tcPr>
            <w:tcW w:w="9962" w:type="dxa"/>
            <w:gridSpan w:val="2"/>
            <w:tcBorders>
              <w:tl2br w:val="nil"/>
              <w:tr2bl w:val="nil"/>
            </w:tcBorders>
            <w:vAlign w:val="center"/>
          </w:tcPr>
          <w:p w14:paraId="3367142C">
            <w:pPr>
              <w:pageBreakBefore w:val="0"/>
              <w:kinsoku/>
              <w:wordWrap w:val="0"/>
              <w:overflowPunct/>
              <w:topLinePunct w:val="0"/>
              <w:bidi w:val="0"/>
              <w:jc w:val="center"/>
              <w:rPr>
                <w:rFonts w:hint="eastAsia"/>
                <w:vertAlign w:val="baseline"/>
                <w:lang w:val="en-US" w:eastAsia="zh-CN"/>
              </w:rPr>
            </w:pPr>
            <w:r>
              <w:rPr>
                <w:rFonts w:hint="eastAsia"/>
                <w:sz w:val="28"/>
                <w:szCs w:val="24"/>
                <w:vertAlign w:val="baseline"/>
                <w:lang w:val="en-US" w:eastAsia="zh-CN"/>
              </w:rPr>
              <w:t>第一部分 合同书</w:t>
            </w:r>
          </w:p>
        </w:tc>
      </w:tr>
      <w:tr w14:paraId="0300D4D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59596AA4">
            <w:pPr>
              <w:pageBreakBefore w:val="0"/>
              <w:kinsoku/>
              <w:wordWrap w:val="0"/>
              <w:overflowPunct/>
              <w:topLinePunct w:val="0"/>
              <w:bidi w:val="0"/>
              <w:jc w:val="center"/>
              <w:rPr>
                <w:rFonts w:hint="eastAsia"/>
                <w:vertAlign w:val="baseline"/>
                <w:lang w:val="en-US" w:eastAsia="zh-CN"/>
              </w:rPr>
            </w:pPr>
            <w:r>
              <w:rPr>
                <w:rFonts w:hint="eastAsia"/>
                <w:spacing w:val="280"/>
                <w:kern w:val="0"/>
                <w:fitText w:val="2640" w:id="733110896"/>
                <w:vertAlign w:val="baseline"/>
                <w:lang w:val="en-US" w:eastAsia="zh-CN"/>
              </w:rPr>
              <w:t>项目名</w:t>
            </w:r>
            <w:r>
              <w:rPr>
                <w:rFonts w:hint="eastAsia"/>
                <w:spacing w:val="0"/>
                <w:kern w:val="0"/>
                <w:fitText w:val="2640" w:id="733110896"/>
                <w:vertAlign w:val="baseline"/>
                <w:lang w:val="en-US" w:eastAsia="zh-CN"/>
              </w:rPr>
              <w:t>称</w:t>
            </w:r>
            <w:r>
              <w:rPr>
                <w:rFonts w:hint="eastAsia"/>
                <w:vertAlign w:val="baseline"/>
                <w:lang w:val="en-US" w:eastAsia="zh-CN"/>
              </w:rPr>
              <w:t>：</w:t>
            </w:r>
          </w:p>
        </w:tc>
        <w:tc>
          <w:tcPr>
            <w:tcW w:w="6866" w:type="dxa"/>
            <w:tcBorders>
              <w:tl2br w:val="nil"/>
              <w:tr2bl w:val="nil"/>
            </w:tcBorders>
          </w:tcPr>
          <w:p w14:paraId="5A8AAAA1">
            <w:pPr>
              <w:pageBreakBefore w:val="0"/>
              <w:kinsoku/>
              <w:wordWrap w:val="0"/>
              <w:overflowPunct/>
              <w:topLinePunct w:val="0"/>
              <w:bidi w:val="0"/>
              <w:rPr>
                <w:rFonts w:hint="eastAsia"/>
                <w:b/>
                <w:bCs/>
                <w:color w:val="FF0000"/>
                <w:lang w:val="en-US" w:eastAsia="zh-CN"/>
              </w:rPr>
            </w:pPr>
            <w:r>
              <w:rPr>
                <w:rFonts w:hint="eastAsia"/>
                <w:b/>
                <w:bCs/>
                <w:color w:val="FF0000"/>
                <w:lang w:val="en-US" w:eastAsia="zh-CN"/>
              </w:rPr>
              <w:t>桐庐县保安服务有限公司2025年度消防器材框架协议采购项目</w:t>
            </w:r>
          </w:p>
        </w:tc>
      </w:tr>
      <w:tr w14:paraId="41E88D9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09368505">
            <w:pPr>
              <w:pageBreakBefore w:val="0"/>
              <w:kinsoku/>
              <w:wordWrap w:val="0"/>
              <w:overflowPunct/>
              <w:topLinePunct w:val="0"/>
              <w:bidi w:val="0"/>
              <w:jc w:val="center"/>
              <w:rPr>
                <w:rFonts w:hint="default"/>
                <w:vertAlign w:val="baseline"/>
                <w:lang w:val="en-US" w:eastAsia="zh-CN"/>
              </w:rPr>
            </w:pPr>
            <w:r>
              <w:rPr>
                <w:rFonts w:hint="eastAsia"/>
                <w:spacing w:val="1080"/>
                <w:kern w:val="0"/>
                <w:fitText w:val="2640" w:id="405566367"/>
                <w:vertAlign w:val="baseline"/>
                <w:lang w:val="en-US" w:eastAsia="zh-CN"/>
              </w:rPr>
              <w:t>甲</w:t>
            </w:r>
            <w:r>
              <w:rPr>
                <w:rFonts w:hint="eastAsia"/>
                <w:spacing w:val="0"/>
                <w:kern w:val="0"/>
                <w:fitText w:val="2640" w:id="405566367"/>
                <w:vertAlign w:val="baseline"/>
                <w:lang w:val="en-US" w:eastAsia="zh-CN"/>
              </w:rPr>
              <w:t>方</w:t>
            </w:r>
            <w:r>
              <w:rPr>
                <w:rFonts w:hint="eastAsia"/>
                <w:vertAlign w:val="baseline"/>
                <w:lang w:val="en-US" w:eastAsia="zh-CN"/>
              </w:rPr>
              <w:t>：</w:t>
            </w:r>
          </w:p>
        </w:tc>
        <w:tc>
          <w:tcPr>
            <w:tcW w:w="6866" w:type="dxa"/>
            <w:tcBorders>
              <w:tl2br w:val="nil"/>
              <w:tr2bl w:val="nil"/>
            </w:tcBorders>
          </w:tcPr>
          <w:p w14:paraId="7ADF57C5">
            <w:pPr>
              <w:pageBreakBefore w:val="0"/>
              <w:kinsoku/>
              <w:wordWrap w:val="0"/>
              <w:overflowPunct/>
              <w:topLinePunct w:val="0"/>
              <w:bidi w:val="0"/>
              <w:rPr>
                <w:rFonts w:hint="eastAsia"/>
                <w:b/>
                <w:bCs/>
                <w:color w:val="FF0000"/>
                <w:lang w:val="en-US" w:eastAsia="zh-CN"/>
              </w:rPr>
            </w:pPr>
            <w:r>
              <w:rPr>
                <w:rFonts w:hint="eastAsia"/>
                <w:b/>
                <w:bCs/>
                <w:color w:val="FF0000"/>
                <w:lang w:val="en-US" w:eastAsia="zh-CN"/>
              </w:rPr>
              <w:t>桐庐县保安服务有限公司</w:t>
            </w:r>
          </w:p>
        </w:tc>
      </w:tr>
      <w:tr w14:paraId="6515B67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16EA694D">
            <w:pPr>
              <w:pageBreakBefore w:val="0"/>
              <w:kinsoku/>
              <w:wordWrap w:val="0"/>
              <w:overflowPunct/>
              <w:topLinePunct w:val="0"/>
              <w:bidi w:val="0"/>
              <w:jc w:val="center"/>
              <w:rPr>
                <w:rFonts w:hint="default"/>
                <w:vertAlign w:val="baseline"/>
                <w:lang w:val="en-US" w:eastAsia="zh-CN"/>
              </w:rPr>
            </w:pPr>
            <w:r>
              <w:rPr>
                <w:rFonts w:hint="eastAsia"/>
                <w:spacing w:val="1080"/>
                <w:kern w:val="0"/>
                <w:fitText w:val="2640" w:id="789462834"/>
                <w:vertAlign w:val="baseline"/>
                <w:lang w:val="en-US" w:eastAsia="zh-CN"/>
              </w:rPr>
              <w:t>乙</w:t>
            </w:r>
            <w:r>
              <w:rPr>
                <w:rFonts w:hint="eastAsia"/>
                <w:spacing w:val="0"/>
                <w:kern w:val="0"/>
                <w:fitText w:val="2640" w:id="789462834"/>
                <w:vertAlign w:val="baseline"/>
                <w:lang w:val="en-US" w:eastAsia="zh-CN"/>
              </w:rPr>
              <w:t>方</w:t>
            </w:r>
            <w:r>
              <w:rPr>
                <w:rFonts w:hint="eastAsia"/>
                <w:vertAlign w:val="baseline"/>
                <w:lang w:val="en-US" w:eastAsia="zh-CN"/>
              </w:rPr>
              <w:t>：</w:t>
            </w:r>
          </w:p>
        </w:tc>
        <w:tc>
          <w:tcPr>
            <w:tcW w:w="6866" w:type="dxa"/>
            <w:tcBorders>
              <w:tl2br w:val="nil"/>
              <w:tr2bl w:val="nil"/>
            </w:tcBorders>
          </w:tcPr>
          <w:p w14:paraId="7BE0BCF0">
            <w:pPr>
              <w:pageBreakBefore w:val="0"/>
              <w:kinsoku/>
              <w:wordWrap w:val="0"/>
              <w:overflowPunct/>
              <w:topLinePunct w:val="0"/>
              <w:bidi w:val="0"/>
              <w:rPr>
                <w:rFonts w:hint="eastAsia"/>
                <w:b/>
                <w:bCs/>
                <w:color w:val="FF0000"/>
                <w:lang w:val="en-US" w:eastAsia="zh-CN"/>
              </w:rPr>
            </w:pPr>
          </w:p>
        </w:tc>
      </w:tr>
      <w:tr w14:paraId="370FF3F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155039FD">
            <w:pPr>
              <w:pageBreakBefore w:val="0"/>
              <w:kinsoku/>
              <w:wordWrap w:val="0"/>
              <w:overflowPunct/>
              <w:topLinePunct w:val="0"/>
              <w:bidi w:val="0"/>
              <w:jc w:val="center"/>
              <w:rPr>
                <w:rFonts w:hint="default"/>
                <w:vertAlign w:val="baseline"/>
                <w:lang w:val="en-US" w:eastAsia="zh-CN"/>
              </w:rPr>
            </w:pPr>
            <w:r>
              <w:rPr>
                <w:rFonts w:hint="eastAsia"/>
                <w:spacing w:val="280"/>
                <w:kern w:val="0"/>
                <w:fitText w:val="2640" w:id="1049298917"/>
                <w:vertAlign w:val="baseline"/>
                <w:lang w:val="en-US" w:eastAsia="zh-CN"/>
              </w:rPr>
              <w:t>签订地</w:t>
            </w:r>
            <w:r>
              <w:rPr>
                <w:rFonts w:hint="eastAsia"/>
                <w:spacing w:val="0"/>
                <w:kern w:val="0"/>
                <w:fitText w:val="2640" w:id="1049298917"/>
                <w:vertAlign w:val="baseline"/>
                <w:lang w:val="en-US" w:eastAsia="zh-CN"/>
              </w:rPr>
              <w:t>点</w:t>
            </w:r>
            <w:r>
              <w:rPr>
                <w:rFonts w:hint="eastAsia"/>
                <w:vertAlign w:val="baseline"/>
                <w:lang w:val="en-US" w:eastAsia="zh-CN"/>
              </w:rPr>
              <w:t>：</w:t>
            </w:r>
          </w:p>
        </w:tc>
        <w:tc>
          <w:tcPr>
            <w:tcW w:w="6866" w:type="dxa"/>
            <w:tcBorders>
              <w:tl2br w:val="nil"/>
              <w:tr2bl w:val="nil"/>
            </w:tcBorders>
          </w:tcPr>
          <w:p w14:paraId="4BAB04B4">
            <w:pPr>
              <w:pageBreakBefore w:val="0"/>
              <w:kinsoku/>
              <w:wordWrap w:val="0"/>
              <w:overflowPunct/>
              <w:topLinePunct w:val="0"/>
              <w:bidi w:val="0"/>
              <w:rPr>
                <w:rFonts w:hint="eastAsia"/>
                <w:b/>
                <w:bCs/>
                <w:color w:val="FF0000"/>
                <w:lang w:val="en-US" w:eastAsia="zh-CN"/>
              </w:rPr>
            </w:pPr>
          </w:p>
        </w:tc>
      </w:tr>
      <w:tr w14:paraId="197DA34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32D0CEE7">
            <w:pPr>
              <w:pageBreakBefore w:val="0"/>
              <w:kinsoku/>
              <w:wordWrap w:val="0"/>
              <w:overflowPunct/>
              <w:topLinePunct w:val="0"/>
              <w:bidi w:val="0"/>
              <w:jc w:val="center"/>
              <w:rPr>
                <w:rFonts w:hint="default"/>
                <w:vertAlign w:val="baseline"/>
                <w:lang w:val="en-US" w:eastAsia="zh-CN"/>
              </w:rPr>
            </w:pPr>
            <w:r>
              <w:rPr>
                <w:rFonts w:hint="eastAsia"/>
                <w:spacing w:val="280"/>
                <w:kern w:val="0"/>
                <w:fitText w:val="2640" w:id="310798277"/>
                <w:vertAlign w:val="baseline"/>
                <w:lang w:val="en-US" w:eastAsia="zh-CN"/>
              </w:rPr>
              <w:t>签订日</w:t>
            </w:r>
            <w:r>
              <w:rPr>
                <w:rFonts w:hint="eastAsia"/>
                <w:spacing w:val="0"/>
                <w:kern w:val="0"/>
                <w:fitText w:val="2640" w:id="310798277"/>
                <w:vertAlign w:val="baseline"/>
                <w:lang w:val="en-US" w:eastAsia="zh-CN"/>
              </w:rPr>
              <w:t>期</w:t>
            </w:r>
            <w:r>
              <w:rPr>
                <w:rFonts w:hint="eastAsia"/>
                <w:vertAlign w:val="baseline"/>
                <w:lang w:val="en-US" w:eastAsia="zh-CN"/>
              </w:rPr>
              <w:t>：</w:t>
            </w:r>
          </w:p>
        </w:tc>
        <w:tc>
          <w:tcPr>
            <w:tcW w:w="6866" w:type="dxa"/>
            <w:tcBorders>
              <w:tl2br w:val="nil"/>
              <w:tr2bl w:val="nil"/>
            </w:tcBorders>
          </w:tcPr>
          <w:p w14:paraId="7EE750ED">
            <w:pPr>
              <w:pageBreakBefore w:val="0"/>
              <w:kinsoku/>
              <w:wordWrap w:val="0"/>
              <w:overflowPunct/>
              <w:topLinePunct w:val="0"/>
              <w:bidi w:val="0"/>
              <w:rPr>
                <w:rFonts w:hint="eastAsia"/>
                <w:b/>
                <w:bCs/>
                <w:color w:val="FF0000"/>
                <w:lang w:val="en-US" w:eastAsia="zh-CN"/>
              </w:rPr>
            </w:pPr>
          </w:p>
        </w:tc>
      </w:tr>
      <w:tr w14:paraId="6F34BBD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3599" w:hRule="atLeast"/>
        </w:trPr>
        <w:tc>
          <w:tcPr>
            <w:tcW w:w="9962" w:type="dxa"/>
            <w:gridSpan w:val="2"/>
            <w:tcBorders>
              <w:tl2br w:val="nil"/>
              <w:tr2bl w:val="nil"/>
            </w:tcBorders>
          </w:tcPr>
          <w:p w14:paraId="3441FC98">
            <w:pPr>
              <w:pageBreakBefore w:val="0"/>
              <w:kinsoku/>
              <w:wordWrap w:val="0"/>
              <w:overflowPunct/>
              <w:topLinePunct w:val="0"/>
              <w:bidi w:val="0"/>
              <w:rPr>
                <w:rFonts w:hint="eastAsia"/>
              </w:rPr>
            </w:pPr>
            <w:r>
              <w:rPr>
                <w:rFonts w:hint="eastAsia"/>
                <w:u w:val="single"/>
                <w:lang w:val="zh-CN"/>
              </w:rPr>
              <w:t xml:space="preserve">      </w:t>
            </w:r>
            <w:r>
              <w:rPr>
                <w:rFonts w:hint="eastAsia"/>
                <w:lang w:val="zh-CN"/>
              </w:rPr>
              <w:t>年</w:t>
            </w:r>
            <w:r>
              <w:rPr>
                <w:rFonts w:hint="eastAsia"/>
                <w:u w:val="single"/>
                <w:lang w:val="zh-CN"/>
              </w:rPr>
              <w:t xml:space="preserve">    </w:t>
            </w:r>
            <w:r>
              <w:rPr>
                <w:rFonts w:hint="eastAsia"/>
                <w:lang w:val="zh-CN"/>
              </w:rPr>
              <w:t>月</w:t>
            </w:r>
            <w:r>
              <w:rPr>
                <w:rFonts w:hint="eastAsia"/>
                <w:u w:val="single"/>
                <w:lang w:val="zh-CN"/>
              </w:rPr>
              <w:t xml:space="preserve">    </w:t>
            </w:r>
            <w:r>
              <w:rPr>
                <w:rFonts w:hint="eastAsia"/>
                <w:lang w:val="zh-CN"/>
              </w:rPr>
              <w:t>日</w:t>
            </w:r>
            <w:r>
              <w:rPr>
                <w:rFonts w:hint="eastAsia"/>
              </w:rPr>
              <w:t>，</w:t>
            </w:r>
            <w:r>
              <w:rPr>
                <w:rFonts w:hint="eastAsia"/>
                <w:b/>
                <w:bCs/>
                <w:color w:val="FF0000"/>
                <w:u w:val="single"/>
                <w:lang w:eastAsia="zh-CN"/>
              </w:rPr>
              <w:t>桐庐县保安服务有限公司</w:t>
            </w:r>
            <w:r>
              <w:rPr>
                <w:rFonts w:hint="eastAsia"/>
                <w:lang w:eastAsia="zh-CN"/>
              </w:rPr>
              <w:t xml:space="preserve"> </w:t>
            </w:r>
            <w:r>
              <w:rPr>
                <w:rFonts w:hint="eastAsia"/>
              </w:rPr>
              <w:t>以</w:t>
            </w:r>
            <w:r>
              <w:rPr>
                <w:rFonts w:hint="eastAsia"/>
                <w:b/>
                <w:bCs/>
                <w:color w:val="FF0000"/>
                <w:u w:val="single"/>
                <w:lang w:val="en-US" w:eastAsia="zh-CN"/>
              </w:rPr>
              <w:t>框架协议采购</w:t>
            </w:r>
            <w:r>
              <w:rPr>
                <w:rFonts w:hint="eastAsia"/>
                <w:u w:val="none"/>
                <w:lang w:val="en-US" w:eastAsia="zh-CN"/>
              </w:rPr>
              <w:t>的方式</w:t>
            </w:r>
            <w:r>
              <w:rPr>
                <w:rFonts w:hint="eastAsia"/>
              </w:rPr>
              <w:t>对</w:t>
            </w:r>
            <w:r>
              <w:rPr>
                <w:rFonts w:hint="eastAsia"/>
                <w:b/>
                <w:bCs/>
                <w:color w:val="FF0000"/>
                <w:u w:val="single"/>
              </w:rPr>
              <w:t>桐庐县保安服务有限公司2025年度消防器材框架协议采购项目</w:t>
            </w:r>
            <w:r>
              <w:rPr>
                <w:rFonts w:hint="eastAsia"/>
                <w:u w:val="none"/>
                <w:lang w:val="en-US" w:eastAsia="zh-CN"/>
              </w:rPr>
              <w:t>项目</w:t>
            </w:r>
            <w:r>
              <w:rPr>
                <w:rFonts w:hint="eastAsia"/>
              </w:rPr>
              <w:t>进行了</w:t>
            </w:r>
            <w:r>
              <w:rPr>
                <w:rFonts w:hint="eastAsia"/>
                <w:b/>
                <w:bCs/>
                <w:color w:val="FF0000"/>
                <w:u w:val="none"/>
                <w:lang w:val="en-US" w:eastAsia="zh-CN"/>
              </w:rPr>
              <w:t>公开征集</w:t>
            </w:r>
            <w:r>
              <w:rPr>
                <w:rFonts w:hint="eastAsia"/>
              </w:rPr>
              <w:t>。经</w:t>
            </w:r>
            <w:r>
              <w:rPr>
                <w:rFonts w:hint="eastAsia"/>
                <w:b/>
                <w:bCs/>
                <w:color w:val="FF0000"/>
                <w:u w:val="single"/>
              </w:rPr>
              <w:t xml:space="preserve">   （相关评定主体名称）   </w:t>
            </w:r>
            <w:r>
              <w:rPr>
                <w:rFonts w:hint="eastAsia"/>
              </w:rPr>
              <w:t>评定，</w:t>
            </w:r>
            <w:r>
              <w:rPr>
                <w:rFonts w:hint="eastAsia"/>
                <w:b/>
                <w:bCs/>
                <w:color w:val="FF0000"/>
                <w:u w:val="single"/>
              </w:rPr>
              <w:t xml:space="preserve">   （中标供应商名称）</w:t>
            </w:r>
            <w:r>
              <w:rPr>
                <w:rFonts w:hint="eastAsia"/>
                <w:b/>
                <w:bCs/>
                <w:color w:val="FF0000"/>
                <w:u w:val="single"/>
                <w:lang w:val="en-US" w:eastAsia="zh-CN"/>
              </w:rPr>
              <w:t xml:space="preserve"> </w:t>
            </w:r>
            <w:r>
              <w:rPr>
                <w:rFonts w:hint="eastAsia"/>
              </w:rPr>
              <w:t>为该项目中标供应商。现于中标通知书发出之日起三十日内，按照采购文件确定的事项签订本合同。</w:t>
            </w:r>
          </w:p>
          <w:p w14:paraId="7C85CB99">
            <w:pPr>
              <w:pageBreakBefore w:val="0"/>
              <w:kinsoku/>
              <w:wordWrap w:val="0"/>
              <w:overflowPunct/>
              <w:topLinePunct w:val="0"/>
              <w:bidi w:val="0"/>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b/>
                <w:bCs/>
                <w:color w:val="FF0000"/>
                <w:u w:val="single"/>
                <w:lang w:eastAsia="zh-CN"/>
              </w:rPr>
              <w:t>桐庐县保安服务有限公司</w:t>
            </w:r>
            <w:r>
              <w:rPr>
                <w:rFonts w:hint="eastAsia"/>
                <w:lang w:val="zh-CN"/>
              </w:rPr>
              <w:t>(以下简称：</w:t>
            </w:r>
            <w:r>
              <w:rPr>
                <w:rFonts w:hint="eastAsia"/>
                <w:u w:val="none"/>
                <w:lang w:val="zh-CN"/>
              </w:rPr>
              <w:t>甲方</w:t>
            </w:r>
            <w:r>
              <w:rPr>
                <w:rFonts w:hint="eastAsia"/>
                <w:lang w:val="zh-CN"/>
              </w:rPr>
              <w:t>)和</w:t>
            </w:r>
            <w:r>
              <w:rPr>
                <w:rFonts w:hint="eastAsia"/>
              </w:rPr>
              <w:t xml:space="preserve"> </w:t>
            </w:r>
            <w:r>
              <w:rPr>
                <w:rFonts w:hint="eastAsia"/>
                <w:b/>
                <w:bCs/>
                <w:color w:val="FF0000"/>
                <w:u w:val="single"/>
              </w:rPr>
              <w:t xml:space="preserve">  （中标供应商名称）  </w:t>
            </w:r>
            <w:r>
              <w:rPr>
                <w:rFonts w:hint="eastAsia"/>
              </w:rPr>
              <w:t xml:space="preserve"> </w:t>
            </w:r>
            <w:r>
              <w:rPr>
                <w:rFonts w:hint="eastAsia"/>
                <w:lang w:val="zh-CN"/>
              </w:rPr>
              <w:t>(以下简称：乙方)协商一致，约定以下合同</w:t>
            </w:r>
            <w:r>
              <w:rPr>
                <w:rFonts w:hint="eastAsia"/>
              </w:rPr>
              <w:t>条款，以兹共同遵守、全面履行。</w:t>
            </w:r>
          </w:p>
          <w:p w14:paraId="3255FCAC">
            <w:pPr>
              <w:pageBreakBefore w:val="0"/>
              <w:kinsoku/>
              <w:wordWrap w:val="0"/>
              <w:overflowPunct/>
              <w:topLinePunct w:val="0"/>
              <w:bidi w:val="0"/>
              <w:rPr>
                <w:rFonts w:hint="eastAsia"/>
              </w:rPr>
            </w:pPr>
            <w:r>
              <w:rPr>
                <w:rFonts w:hint="eastAsia"/>
              </w:rPr>
              <w:t>第一条　合同标的</w:t>
            </w:r>
          </w:p>
          <w:p w14:paraId="1E6D0B20">
            <w:pPr>
              <w:pageBreakBefore w:val="0"/>
              <w:kinsoku/>
              <w:wordWrap w:val="0"/>
              <w:overflowPunct/>
              <w:topLinePunct w:val="0"/>
              <w:bidi w:val="0"/>
              <w:rPr>
                <w:rFonts w:hint="eastAsia"/>
              </w:rPr>
            </w:pPr>
            <w:r>
              <w:rPr>
                <w:rFonts w:hint="eastAsia"/>
              </w:rPr>
              <w:t>1.1</w:t>
            </w:r>
            <w:r>
              <w:rPr>
                <w:rFonts w:hint="eastAsia"/>
                <w:lang w:eastAsia="zh-CN"/>
              </w:rPr>
              <w:t>乙方</w:t>
            </w:r>
            <w:r>
              <w:rPr>
                <w:rFonts w:hint="eastAsia"/>
              </w:rPr>
              <w:t>根据</w:t>
            </w:r>
            <w:r>
              <w:rPr>
                <w:rFonts w:hint="eastAsia"/>
                <w:lang w:eastAsia="zh-CN"/>
              </w:rPr>
              <w:t>甲方</w:t>
            </w:r>
            <w:r>
              <w:rPr>
                <w:rFonts w:hint="eastAsia"/>
              </w:rPr>
              <w:t>需求提供下列货物：</w:t>
            </w:r>
          </w:p>
          <w:tbl>
            <w:tblPr>
              <w:tblStyle w:val="17"/>
              <w:tblW w:w="499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06"/>
              <w:gridCol w:w="1662"/>
              <w:gridCol w:w="7339"/>
            </w:tblGrid>
            <w:tr w14:paraId="3D96A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53" w:hRule="atLeast"/>
              </w:trPr>
              <w:tc>
                <w:tcPr>
                  <w:tcW w:w="420" w:type="pct"/>
                  <w:vMerge w:val="restart"/>
                  <w:tcBorders>
                    <w:tl2br w:val="nil"/>
                    <w:tr2bl w:val="nil"/>
                  </w:tcBorders>
                  <w:shd w:val="clear" w:color="auto" w:fill="auto"/>
                  <w:noWrap/>
                  <w:vAlign w:val="center"/>
                </w:tcPr>
                <w:p w14:paraId="02B572C6">
                  <w:pPr>
                    <w:bidi w:val="0"/>
                    <w:jc w:val="center"/>
                    <w:rPr>
                      <w:rFonts w:hint="eastAsia"/>
                      <w:b/>
                      <w:bCs/>
                      <w:color w:val="FF0000"/>
                    </w:rPr>
                  </w:pPr>
                  <w:r>
                    <w:rPr>
                      <w:rFonts w:hint="eastAsia"/>
                      <w:b/>
                      <w:bCs/>
                      <w:color w:val="FF0000"/>
                      <w:lang w:val="en-US" w:eastAsia="zh-CN"/>
                    </w:rPr>
                    <w:t>序号</w:t>
                  </w:r>
                </w:p>
              </w:tc>
              <w:tc>
                <w:tcPr>
                  <w:tcW w:w="743" w:type="pct"/>
                  <w:vMerge w:val="restart"/>
                  <w:tcBorders>
                    <w:tl2br w:val="nil"/>
                    <w:tr2bl w:val="nil"/>
                  </w:tcBorders>
                  <w:shd w:val="clear" w:color="auto" w:fill="auto"/>
                  <w:noWrap/>
                  <w:vAlign w:val="center"/>
                </w:tcPr>
                <w:p w14:paraId="4FC38154">
                  <w:pPr>
                    <w:bidi w:val="0"/>
                    <w:jc w:val="center"/>
                    <w:rPr>
                      <w:rFonts w:hint="eastAsia"/>
                      <w:b/>
                      <w:bCs/>
                      <w:color w:val="FF0000"/>
                    </w:rPr>
                  </w:pPr>
                  <w:r>
                    <w:rPr>
                      <w:rFonts w:hint="eastAsia"/>
                      <w:b/>
                      <w:bCs/>
                      <w:color w:val="FF0000"/>
                      <w:lang w:val="en-US" w:eastAsia="zh-CN"/>
                    </w:rPr>
                    <w:t>产品名称</w:t>
                  </w:r>
                </w:p>
              </w:tc>
              <w:tc>
                <w:tcPr>
                  <w:tcW w:w="3835" w:type="pct"/>
                  <w:vMerge w:val="restart"/>
                  <w:tcBorders>
                    <w:tl2br w:val="nil"/>
                    <w:tr2bl w:val="nil"/>
                  </w:tcBorders>
                  <w:shd w:val="clear" w:color="auto" w:fill="auto"/>
                  <w:noWrap/>
                  <w:vAlign w:val="center"/>
                </w:tcPr>
                <w:p w14:paraId="644C0431">
                  <w:pPr>
                    <w:keepNext w:val="0"/>
                    <w:keepLines w:val="0"/>
                    <w:widowControl/>
                    <w:suppressLineNumbers w:val="0"/>
                    <w:jc w:val="left"/>
                    <w:rPr>
                      <w:rFonts w:hint="default"/>
                      <w:b/>
                      <w:bCs/>
                      <w:color w:val="FF0000"/>
                      <w:lang w:val="en-US" w:eastAsia="zh-CN"/>
                    </w:rPr>
                  </w:pPr>
                  <w:r>
                    <w:rPr>
                      <w:rFonts w:hint="eastAsia" w:ascii="仿宋" w:hAnsi="仿宋" w:cs="仿宋"/>
                      <w:b/>
                      <w:bCs/>
                      <w:color w:val="FF0000"/>
                      <w:kern w:val="0"/>
                      <w:sz w:val="24"/>
                      <w:szCs w:val="24"/>
                      <w:lang w:val="en-US" w:eastAsia="zh-CN" w:bidi="ar"/>
                    </w:rPr>
                    <w:t>品牌要求：</w:t>
                  </w:r>
                  <w:r>
                    <w:rPr>
                      <w:rFonts w:ascii="仿宋" w:hAnsi="仿宋" w:eastAsia="仿宋" w:cs="仿宋"/>
                      <w:b/>
                      <w:bCs/>
                      <w:color w:val="FF0000"/>
                      <w:kern w:val="0"/>
                      <w:sz w:val="24"/>
                      <w:szCs w:val="24"/>
                      <w:lang w:val="en-US" w:eastAsia="zh-CN" w:bidi="ar"/>
                    </w:rPr>
                    <w:t>供应商须具备以下品牌货源（但不限于）。</w:t>
                  </w:r>
                </w:p>
              </w:tc>
            </w:tr>
            <w:tr w14:paraId="19E49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2" w:hRule="atLeast"/>
              </w:trPr>
              <w:tc>
                <w:tcPr>
                  <w:tcW w:w="420" w:type="pct"/>
                  <w:vMerge w:val="continue"/>
                  <w:tcBorders>
                    <w:tl2br w:val="nil"/>
                    <w:tr2bl w:val="nil"/>
                  </w:tcBorders>
                  <w:shd w:val="clear" w:color="auto" w:fill="auto"/>
                  <w:noWrap/>
                  <w:vAlign w:val="center"/>
                </w:tcPr>
                <w:p w14:paraId="71A76338">
                  <w:pPr>
                    <w:bidi w:val="0"/>
                    <w:jc w:val="center"/>
                    <w:rPr>
                      <w:rFonts w:hint="eastAsia"/>
                      <w:b/>
                      <w:bCs/>
                      <w:color w:val="FF0000"/>
                      <w:lang w:val="en-US" w:eastAsia="zh-CN"/>
                    </w:rPr>
                  </w:pPr>
                </w:p>
              </w:tc>
              <w:tc>
                <w:tcPr>
                  <w:tcW w:w="743" w:type="pct"/>
                  <w:vMerge w:val="continue"/>
                  <w:tcBorders>
                    <w:tl2br w:val="nil"/>
                    <w:tr2bl w:val="nil"/>
                  </w:tcBorders>
                  <w:shd w:val="clear" w:color="auto" w:fill="auto"/>
                  <w:noWrap/>
                  <w:vAlign w:val="center"/>
                </w:tcPr>
                <w:p w14:paraId="7865C82B">
                  <w:pPr>
                    <w:bidi w:val="0"/>
                    <w:jc w:val="center"/>
                    <w:rPr>
                      <w:rFonts w:hint="eastAsia"/>
                      <w:b/>
                      <w:bCs/>
                      <w:color w:val="FF0000"/>
                      <w:lang w:val="en-US" w:eastAsia="zh-CN"/>
                    </w:rPr>
                  </w:pPr>
                </w:p>
              </w:tc>
              <w:tc>
                <w:tcPr>
                  <w:tcW w:w="3835" w:type="pct"/>
                  <w:vMerge w:val="continue"/>
                  <w:tcBorders>
                    <w:tl2br w:val="nil"/>
                    <w:tr2bl w:val="nil"/>
                  </w:tcBorders>
                  <w:shd w:val="clear" w:color="auto" w:fill="auto"/>
                  <w:noWrap/>
                  <w:vAlign w:val="center"/>
                </w:tcPr>
                <w:p w14:paraId="48727BF8">
                  <w:pPr>
                    <w:bidi w:val="0"/>
                    <w:jc w:val="center"/>
                    <w:rPr>
                      <w:rFonts w:hint="eastAsia"/>
                      <w:b/>
                      <w:bCs/>
                      <w:color w:val="FF0000"/>
                      <w:lang w:val="en-US" w:eastAsia="zh-CN"/>
                    </w:rPr>
                  </w:pPr>
                </w:p>
              </w:tc>
            </w:tr>
            <w:tr w14:paraId="1D142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 w:hRule="atLeast"/>
              </w:trPr>
              <w:tc>
                <w:tcPr>
                  <w:tcW w:w="420" w:type="pct"/>
                  <w:vMerge w:val="continue"/>
                  <w:tcBorders>
                    <w:tl2br w:val="nil"/>
                    <w:tr2bl w:val="nil"/>
                  </w:tcBorders>
                  <w:shd w:val="clear" w:color="auto" w:fill="auto"/>
                  <w:noWrap/>
                  <w:vAlign w:val="center"/>
                </w:tcPr>
                <w:p w14:paraId="4EFBD9E7">
                  <w:pPr>
                    <w:bidi w:val="0"/>
                    <w:jc w:val="center"/>
                    <w:rPr>
                      <w:rFonts w:hint="eastAsia"/>
                      <w:b/>
                      <w:bCs/>
                      <w:color w:val="FF0000"/>
                      <w:lang w:val="en-US" w:eastAsia="zh-CN"/>
                    </w:rPr>
                  </w:pPr>
                </w:p>
              </w:tc>
              <w:tc>
                <w:tcPr>
                  <w:tcW w:w="743" w:type="pct"/>
                  <w:vMerge w:val="continue"/>
                  <w:tcBorders>
                    <w:tl2br w:val="nil"/>
                    <w:tr2bl w:val="nil"/>
                  </w:tcBorders>
                  <w:shd w:val="clear" w:color="auto" w:fill="auto"/>
                  <w:noWrap/>
                  <w:vAlign w:val="center"/>
                </w:tcPr>
                <w:p w14:paraId="1C63E23D">
                  <w:pPr>
                    <w:bidi w:val="0"/>
                    <w:jc w:val="center"/>
                    <w:rPr>
                      <w:rFonts w:hint="eastAsia"/>
                      <w:b/>
                      <w:bCs/>
                      <w:color w:val="FF0000"/>
                      <w:lang w:val="en-US" w:eastAsia="zh-CN"/>
                    </w:rPr>
                  </w:pPr>
                </w:p>
              </w:tc>
              <w:tc>
                <w:tcPr>
                  <w:tcW w:w="3835" w:type="pct"/>
                  <w:vMerge w:val="continue"/>
                  <w:tcBorders>
                    <w:tl2br w:val="nil"/>
                    <w:tr2bl w:val="nil"/>
                  </w:tcBorders>
                  <w:shd w:val="clear" w:color="auto" w:fill="auto"/>
                  <w:noWrap/>
                  <w:vAlign w:val="center"/>
                </w:tcPr>
                <w:p w14:paraId="424AE554">
                  <w:pPr>
                    <w:bidi w:val="0"/>
                    <w:jc w:val="center"/>
                    <w:rPr>
                      <w:rFonts w:hint="eastAsia"/>
                      <w:b/>
                      <w:bCs/>
                      <w:color w:val="FF0000"/>
                      <w:lang w:val="en-US" w:eastAsia="zh-CN"/>
                    </w:rPr>
                  </w:pPr>
                </w:p>
              </w:tc>
            </w:tr>
            <w:tr w14:paraId="3014A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437863BC">
                  <w:pPr>
                    <w:bidi w:val="0"/>
                    <w:jc w:val="center"/>
                    <w:rPr>
                      <w:rFonts w:hint="eastAsia" w:eastAsia="仿宋"/>
                      <w:b/>
                      <w:bCs/>
                      <w:color w:val="FF0000"/>
                      <w:lang w:val="en-US" w:eastAsia="zh-CN"/>
                    </w:rPr>
                  </w:pPr>
                  <w:r>
                    <w:rPr>
                      <w:rFonts w:hint="eastAsia"/>
                      <w:b/>
                      <w:bCs/>
                      <w:color w:val="FF0000"/>
                      <w:lang w:val="en-US" w:eastAsia="zh-CN"/>
                    </w:rPr>
                    <w:t>1</w:t>
                  </w:r>
                </w:p>
              </w:tc>
              <w:tc>
                <w:tcPr>
                  <w:tcW w:w="743" w:type="pct"/>
                  <w:tcBorders>
                    <w:tl2br w:val="nil"/>
                    <w:tr2bl w:val="nil"/>
                  </w:tcBorders>
                  <w:shd w:val="clear" w:color="auto" w:fill="auto"/>
                  <w:noWrap/>
                  <w:vAlign w:val="center"/>
                </w:tcPr>
                <w:p w14:paraId="0640FF99">
                  <w:pPr>
                    <w:bidi w:val="0"/>
                    <w:jc w:val="center"/>
                    <w:rPr>
                      <w:rFonts w:hint="eastAsia"/>
                      <w:b/>
                      <w:bCs/>
                      <w:color w:val="FF0000"/>
                    </w:rPr>
                  </w:pPr>
                  <w:r>
                    <w:rPr>
                      <w:rFonts w:hint="eastAsia"/>
                      <w:b/>
                      <w:bCs/>
                      <w:color w:val="FF0000"/>
                      <w:lang w:val="en-US" w:eastAsia="zh-CN"/>
                    </w:rPr>
                    <w:t>灭火器</w:t>
                  </w:r>
                </w:p>
              </w:tc>
              <w:tc>
                <w:tcPr>
                  <w:tcW w:w="3835" w:type="pct"/>
                  <w:vMerge w:val="restart"/>
                  <w:tcBorders>
                    <w:tl2br w:val="nil"/>
                    <w:tr2bl w:val="nil"/>
                  </w:tcBorders>
                  <w:shd w:val="clear" w:color="auto" w:fill="auto"/>
                  <w:noWrap/>
                  <w:vAlign w:val="center"/>
                </w:tcPr>
                <w:p w14:paraId="01595A59">
                  <w:pPr>
                    <w:keepNext w:val="0"/>
                    <w:keepLines w:val="0"/>
                    <w:widowControl/>
                    <w:suppressLineNumbers w:val="0"/>
                    <w:jc w:val="left"/>
                    <w:rPr>
                      <w:rFonts w:hint="eastAsia"/>
                      <w:b/>
                      <w:bCs/>
                      <w:color w:val="FF0000"/>
                      <w:lang w:val="en-US" w:eastAsia="zh-CN"/>
                    </w:rPr>
                  </w:pPr>
                  <w:r>
                    <w:rPr>
                      <w:rFonts w:hint="eastAsia"/>
                      <w:b/>
                      <w:bCs/>
                      <w:color w:val="FF0000"/>
                      <w:lang w:val="en-US" w:eastAsia="zh-CN"/>
                    </w:rPr>
                    <w:t>星浙安、威能（杭消）、浙江金盾、沱雨（泰州三江）、福建双龙</w:t>
                  </w:r>
                </w:p>
                <w:p w14:paraId="65745FD7">
                  <w:pPr>
                    <w:bidi w:val="0"/>
                    <w:jc w:val="center"/>
                    <w:rPr>
                      <w:rFonts w:hint="default"/>
                      <w:b/>
                      <w:bCs/>
                      <w:color w:val="FF0000"/>
                      <w:lang w:val="en-US" w:eastAsia="zh-CN"/>
                    </w:rPr>
                  </w:pPr>
                </w:p>
              </w:tc>
            </w:tr>
            <w:tr w14:paraId="30CFF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21102556">
                  <w:pPr>
                    <w:bidi w:val="0"/>
                    <w:jc w:val="center"/>
                    <w:rPr>
                      <w:rFonts w:hint="default"/>
                      <w:b/>
                      <w:bCs/>
                      <w:color w:val="FF0000"/>
                      <w:lang w:val="en-US" w:eastAsia="zh-CN"/>
                    </w:rPr>
                  </w:pPr>
                  <w:r>
                    <w:rPr>
                      <w:rFonts w:hint="eastAsia"/>
                      <w:b/>
                      <w:bCs/>
                      <w:color w:val="FF0000"/>
                      <w:lang w:val="en-US" w:eastAsia="zh-CN"/>
                    </w:rPr>
                    <w:t>2</w:t>
                  </w:r>
                </w:p>
              </w:tc>
              <w:tc>
                <w:tcPr>
                  <w:tcW w:w="743" w:type="pct"/>
                  <w:tcBorders>
                    <w:tl2br w:val="nil"/>
                    <w:tr2bl w:val="nil"/>
                  </w:tcBorders>
                  <w:shd w:val="clear" w:color="auto" w:fill="auto"/>
                  <w:noWrap/>
                  <w:vAlign w:val="center"/>
                </w:tcPr>
                <w:p w14:paraId="78DF20D0">
                  <w:pPr>
                    <w:bidi w:val="0"/>
                    <w:jc w:val="center"/>
                    <w:rPr>
                      <w:rFonts w:hint="default"/>
                      <w:b/>
                      <w:bCs/>
                      <w:color w:val="FF0000"/>
                      <w:lang w:val="en-US" w:eastAsia="zh-CN"/>
                    </w:rPr>
                  </w:pPr>
                  <w:r>
                    <w:rPr>
                      <w:rFonts w:hint="eastAsia"/>
                      <w:b/>
                      <w:bCs/>
                      <w:color w:val="FF0000"/>
                      <w:lang w:val="en-US" w:eastAsia="zh-CN"/>
                    </w:rPr>
                    <w:t>消火栓</w:t>
                  </w:r>
                </w:p>
              </w:tc>
              <w:tc>
                <w:tcPr>
                  <w:tcW w:w="3835" w:type="pct"/>
                  <w:vMerge w:val="continue"/>
                  <w:tcBorders>
                    <w:tl2br w:val="nil"/>
                    <w:tr2bl w:val="nil"/>
                  </w:tcBorders>
                  <w:shd w:val="clear" w:color="auto" w:fill="auto"/>
                  <w:noWrap/>
                  <w:vAlign w:val="center"/>
                </w:tcPr>
                <w:p w14:paraId="62B8042C">
                  <w:pPr>
                    <w:bidi w:val="0"/>
                    <w:jc w:val="center"/>
                    <w:rPr>
                      <w:rFonts w:hint="eastAsia"/>
                      <w:b/>
                      <w:bCs/>
                      <w:color w:val="FF0000"/>
                      <w:lang w:val="en-US" w:eastAsia="zh-CN"/>
                    </w:rPr>
                  </w:pPr>
                </w:p>
              </w:tc>
            </w:tr>
            <w:tr w14:paraId="45C4D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19936C8A">
                  <w:pPr>
                    <w:bidi w:val="0"/>
                    <w:jc w:val="center"/>
                    <w:rPr>
                      <w:rFonts w:hint="default"/>
                      <w:b/>
                      <w:bCs/>
                      <w:color w:val="FF0000"/>
                      <w:lang w:val="en-US" w:eastAsia="zh-CN"/>
                    </w:rPr>
                  </w:pPr>
                  <w:r>
                    <w:rPr>
                      <w:rFonts w:hint="eastAsia"/>
                      <w:b/>
                      <w:bCs/>
                      <w:color w:val="FF0000"/>
                      <w:lang w:val="en-US" w:eastAsia="zh-CN"/>
                    </w:rPr>
                    <w:t>3</w:t>
                  </w:r>
                </w:p>
              </w:tc>
              <w:tc>
                <w:tcPr>
                  <w:tcW w:w="743" w:type="pct"/>
                  <w:tcBorders>
                    <w:tl2br w:val="nil"/>
                    <w:tr2bl w:val="nil"/>
                  </w:tcBorders>
                  <w:shd w:val="clear" w:color="auto" w:fill="auto"/>
                  <w:noWrap/>
                  <w:vAlign w:val="center"/>
                </w:tcPr>
                <w:p w14:paraId="7FE6A533">
                  <w:pPr>
                    <w:bidi w:val="0"/>
                    <w:jc w:val="center"/>
                    <w:rPr>
                      <w:rFonts w:hint="default" w:ascii="汉仪正圆 55简" w:hAnsi="汉仪正圆 55简" w:eastAsia="仿宋" w:cstheme="minorBidi"/>
                      <w:b/>
                      <w:bCs/>
                      <w:color w:val="FF0000"/>
                      <w:kern w:val="2"/>
                      <w:sz w:val="24"/>
                      <w:szCs w:val="22"/>
                      <w:lang w:val="en-US" w:eastAsia="zh-CN" w:bidi="ar-SA"/>
                    </w:rPr>
                  </w:pPr>
                  <w:r>
                    <w:rPr>
                      <w:rFonts w:hint="eastAsia"/>
                      <w:b/>
                      <w:bCs/>
                      <w:color w:val="FF0000"/>
                      <w:lang w:val="en-US" w:eastAsia="zh-CN"/>
                    </w:rPr>
                    <w:t>灭火器箱</w:t>
                  </w:r>
                </w:p>
              </w:tc>
              <w:tc>
                <w:tcPr>
                  <w:tcW w:w="3835" w:type="pct"/>
                  <w:vMerge w:val="continue"/>
                  <w:tcBorders>
                    <w:tl2br w:val="nil"/>
                    <w:tr2bl w:val="nil"/>
                  </w:tcBorders>
                  <w:shd w:val="clear" w:color="auto" w:fill="auto"/>
                  <w:noWrap/>
                  <w:vAlign w:val="center"/>
                </w:tcPr>
                <w:p w14:paraId="06811F83">
                  <w:pPr>
                    <w:bidi w:val="0"/>
                    <w:jc w:val="center"/>
                    <w:rPr>
                      <w:rFonts w:hint="eastAsia"/>
                      <w:b/>
                      <w:bCs/>
                      <w:color w:val="FF0000"/>
                      <w:lang w:val="en-US" w:eastAsia="zh-CN"/>
                    </w:rPr>
                  </w:pPr>
                </w:p>
              </w:tc>
            </w:tr>
            <w:tr w14:paraId="763F8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5B8C1CEE">
                  <w:pPr>
                    <w:bidi w:val="0"/>
                    <w:jc w:val="center"/>
                    <w:rPr>
                      <w:rFonts w:hint="default"/>
                      <w:b/>
                      <w:bCs/>
                      <w:color w:val="FF0000"/>
                      <w:lang w:val="en-US" w:eastAsia="zh-CN"/>
                    </w:rPr>
                  </w:pPr>
                  <w:r>
                    <w:rPr>
                      <w:rFonts w:hint="eastAsia"/>
                      <w:b/>
                      <w:bCs/>
                      <w:color w:val="FF0000"/>
                      <w:lang w:val="en-US" w:eastAsia="zh-CN"/>
                    </w:rPr>
                    <w:t>4</w:t>
                  </w:r>
                </w:p>
              </w:tc>
              <w:tc>
                <w:tcPr>
                  <w:tcW w:w="743" w:type="pct"/>
                  <w:tcBorders>
                    <w:tl2br w:val="nil"/>
                    <w:tr2bl w:val="nil"/>
                  </w:tcBorders>
                  <w:shd w:val="clear" w:color="auto" w:fill="auto"/>
                  <w:noWrap/>
                  <w:vAlign w:val="center"/>
                </w:tcPr>
                <w:p w14:paraId="0497F528">
                  <w:pPr>
                    <w:bidi w:val="0"/>
                    <w:jc w:val="center"/>
                    <w:rPr>
                      <w:rFonts w:hint="default" w:ascii="汉仪正圆 55简" w:hAnsi="汉仪正圆 55简" w:eastAsia="仿宋" w:cstheme="minorBidi"/>
                      <w:b/>
                      <w:bCs/>
                      <w:color w:val="FF0000"/>
                      <w:kern w:val="2"/>
                      <w:sz w:val="24"/>
                      <w:szCs w:val="22"/>
                      <w:lang w:val="en-US" w:eastAsia="zh-CN" w:bidi="ar-SA"/>
                    </w:rPr>
                  </w:pPr>
                  <w:r>
                    <w:rPr>
                      <w:rFonts w:hint="eastAsia"/>
                      <w:b/>
                      <w:bCs/>
                      <w:color w:val="FF0000"/>
                      <w:lang w:val="en-US" w:eastAsia="zh-CN"/>
                    </w:rPr>
                    <w:t>消火栓箱</w:t>
                  </w:r>
                </w:p>
              </w:tc>
              <w:tc>
                <w:tcPr>
                  <w:tcW w:w="3835" w:type="pct"/>
                  <w:vMerge w:val="continue"/>
                  <w:tcBorders>
                    <w:tl2br w:val="nil"/>
                    <w:tr2bl w:val="nil"/>
                  </w:tcBorders>
                  <w:shd w:val="clear" w:color="auto" w:fill="auto"/>
                  <w:noWrap/>
                  <w:vAlign w:val="center"/>
                </w:tcPr>
                <w:p w14:paraId="5D2138A3">
                  <w:pPr>
                    <w:bidi w:val="0"/>
                    <w:jc w:val="center"/>
                    <w:rPr>
                      <w:rFonts w:hint="eastAsia"/>
                      <w:b/>
                      <w:bCs/>
                      <w:color w:val="FF0000"/>
                      <w:lang w:val="en-US" w:eastAsia="zh-CN"/>
                    </w:rPr>
                  </w:pPr>
                </w:p>
              </w:tc>
            </w:tr>
            <w:tr w14:paraId="66416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19CAB60D">
                  <w:pPr>
                    <w:bidi w:val="0"/>
                    <w:jc w:val="center"/>
                    <w:rPr>
                      <w:rFonts w:hint="default"/>
                      <w:b/>
                      <w:bCs/>
                      <w:color w:val="FF0000"/>
                      <w:lang w:val="en-US" w:eastAsia="zh-CN"/>
                    </w:rPr>
                  </w:pPr>
                  <w:r>
                    <w:rPr>
                      <w:rFonts w:hint="eastAsia"/>
                      <w:b/>
                      <w:bCs/>
                      <w:color w:val="FF0000"/>
                      <w:lang w:val="en-US" w:eastAsia="zh-CN"/>
                    </w:rPr>
                    <w:t>5</w:t>
                  </w:r>
                </w:p>
              </w:tc>
              <w:tc>
                <w:tcPr>
                  <w:tcW w:w="743" w:type="pct"/>
                  <w:tcBorders>
                    <w:tl2br w:val="nil"/>
                    <w:tr2bl w:val="nil"/>
                  </w:tcBorders>
                  <w:shd w:val="clear" w:color="auto" w:fill="auto"/>
                  <w:noWrap/>
                  <w:vAlign w:val="center"/>
                </w:tcPr>
                <w:p w14:paraId="78A40DBA">
                  <w:pPr>
                    <w:bidi w:val="0"/>
                    <w:jc w:val="center"/>
                    <w:rPr>
                      <w:rFonts w:hint="default" w:ascii="汉仪正圆 55简" w:hAnsi="汉仪正圆 55简" w:eastAsia="仿宋" w:cstheme="minorBidi"/>
                      <w:b/>
                      <w:bCs/>
                      <w:color w:val="FF0000"/>
                      <w:kern w:val="2"/>
                      <w:sz w:val="24"/>
                      <w:szCs w:val="22"/>
                      <w:lang w:val="en-US" w:eastAsia="zh-CN" w:bidi="ar-SA"/>
                    </w:rPr>
                  </w:pPr>
                  <w:r>
                    <w:rPr>
                      <w:rFonts w:hint="eastAsia" w:cstheme="minorBidi"/>
                      <w:b/>
                      <w:bCs/>
                      <w:color w:val="FF0000"/>
                      <w:kern w:val="2"/>
                      <w:sz w:val="24"/>
                      <w:szCs w:val="22"/>
                      <w:lang w:val="en-US" w:eastAsia="zh-CN" w:bidi="ar-SA"/>
                    </w:rPr>
                    <w:t>水枪</w:t>
                  </w:r>
                </w:p>
              </w:tc>
              <w:tc>
                <w:tcPr>
                  <w:tcW w:w="3835" w:type="pct"/>
                  <w:vMerge w:val="continue"/>
                  <w:tcBorders>
                    <w:tl2br w:val="nil"/>
                    <w:tr2bl w:val="nil"/>
                  </w:tcBorders>
                  <w:shd w:val="clear" w:color="auto" w:fill="auto"/>
                  <w:noWrap/>
                  <w:vAlign w:val="center"/>
                </w:tcPr>
                <w:p w14:paraId="5DD3DC54">
                  <w:pPr>
                    <w:bidi w:val="0"/>
                    <w:jc w:val="center"/>
                    <w:rPr>
                      <w:rFonts w:hint="eastAsia"/>
                      <w:b/>
                      <w:bCs/>
                      <w:color w:val="FF0000"/>
                      <w:lang w:val="en-US" w:eastAsia="zh-CN"/>
                    </w:rPr>
                  </w:pPr>
                </w:p>
              </w:tc>
            </w:tr>
            <w:tr w14:paraId="7F38F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3117A756">
                  <w:pPr>
                    <w:bidi w:val="0"/>
                    <w:jc w:val="center"/>
                    <w:rPr>
                      <w:rFonts w:hint="default"/>
                      <w:b/>
                      <w:bCs/>
                      <w:color w:val="FF0000"/>
                      <w:lang w:val="en-US" w:eastAsia="zh-CN"/>
                    </w:rPr>
                  </w:pPr>
                  <w:r>
                    <w:rPr>
                      <w:rFonts w:hint="eastAsia"/>
                      <w:b/>
                      <w:bCs/>
                      <w:color w:val="FF0000"/>
                      <w:lang w:val="en-US" w:eastAsia="zh-CN"/>
                    </w:rPr>
                    <w:t>6</w:t>
                  </w:r>
                </w:p>
              </w:tc>
              <w:tc>
                <w:tcPr>
                  <w:tcW w:w="743" w:type="pct"/>
                  <w:tcBorders>
                    <w:tl2br w:val="nil"/>
                    <w:tr2bl w:val="nil"/>
                  </w:tcBorders>
                  <w:shd w:val="clear" w:color="auto" w:fill="auto"/>
                  <w:noWrap/>
                  <w:vAlign w:val="center"/>
                </w:tcPr>
                <w:p w14:paraId="44331489">
                  <w:pPr>
                    <w:bidi w:val="0"/>
                    <w:jc w:val="center"/>
                    <w:rPr>
                      <w:rFonts w:hint="default" w:ascii="汉仪正圆 55简" w:hAnsi="汉仪正圆 55简" w:eastAsia="仿宋" w:cstheme="minorBidi"/>
                      <w:b/>
                      <w:bCs/>
                      <w:color w:val="FF0000"/>
                      <w:kern w:val="2"/>
                      <w:sz w:val="24"/>
                      <w:szCs w:val="22"/>
                      <w:lang w:val="en-US" w:eastAsia="zh-CN" w:bidi="ar-SA"/>
                    </w:rPr>
                  </w:pPr>
                  <w:r>
                    <w:rPr>
                      <w:rFonts w:hint="eastAsia" w:cstheme="minorBidi"/>
                      <w:b/>
                      <w:bCs/>
                      <w:color w:val="FF0000"/>
                      <w:kern w:val="2"/>
                      <w:sz w:val="24"/>
                      <w:szCs w:val="22"/>
                      <w:lang w:val="en-US" w:eastAsia="zh-CN" w:bidi="ar-SA"/>
                    </w:rPr>
                    <w:t>水带</w:t>
                  </w:r>
                </w:p>
              </w:tc>
              <w:tc>
                <w:tcPr>
                  <w:tcW w:w="3835" w:type="pct"/>
                  <w:vMerge w:val="continue"/>
                  <w:tcBorders>
                    <w:tl2br w:val="nil"/>
                    <w:tr2bl w:val="nil"/>
                  </w:tcBorders>
                  <w:shd w:val="clear" w:color="auto" w:fill="auto"/>
                  <w:noWrap/>
                  <w:vAlign w:val="center"/>
                </w:tcPr>
                <w:p w14:paraId="47FA451E">
                  <w:pPr>
                    <w:bidi w:val="0"/>
                    <w:jc w:val="center"/>
                    <w:rPr>
                      <w:rFonts w:hint="eastAsia"/>
                      <w:b/>
                      <w:bCs/>
                      <w:color w:val="FF0000"/>
                      <w:lang w:val="en-US" w:eastAsia="zh-CN"/>
                    </w:rPr>
                  </w:pPr>
                </w:p>
              </w:tc>
            </w:tr>
            <w:tr w14:paraId="2EF7F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3D9A41C8">
                  <w:pPr>
                    <w:bidi w:val="0"/>
                    <w:jc w:val="center"/>
                    <w:rPr>
                      <w:rFonts w:hint="default"/>
                      <w:b/>
                      <w:bCs/>
                      <w:color w:val="FF0000"/>
                      <w:lang w:val="en-US" w:eastAsia="zh-CN"/>
                    </w:rPr>
                  </w:pPr>
                  <w:r>
                    <w:rPr>
                      <w:rFonts w:hint="eastAsia"/>
                      <w:b/>
                      <w:bCs/>
                      <w:color w:val="FF0000"/>
                      <w:lang w:val="en-US" w:eastAsia="zh-CN"/>
                    </w:rPr>
                    <w:t>7</w:t>
                  </w:r>
                </w:p>
              </w:tc>
              <w:tc>
                <w:tcPr>
                  <w:tcW w:w="743" w:type="pct"/>
                  <w:tcBorders>
                    <w:tl2br w:val="nil"/>
                    <w:tr2bl w:val="nil"/>
                  </w:tcBorders>
                  <w:shd w:val="clear" w:color="auto" w:fill="auto"/>
                  <w:noWrap/>
                  <w:vAlign w:val="center"/>
                </w:tcPr>
                <w:p w14:paraId="597A9648">
                  <w:pPr>
                    <w:bidi w:val="0"/>
                    <w:jc w:val="center"/>
                    <w:rPr>
                      <w:rFonts w:hint="default"/>
                      <w:b/>
                      <w:bCs/>
                      <w:color w:val="FF0000"/>
                      <w:lang w:val="en-US" w:eastAsia="zh-CN"/>
                    </w:rPr>
                  </w:pPr>
                  <w:r>
                    <w:rPr>
                      <w:rFonts w:hint="eastAsia"/>
                      <w:b/>
                      <w:bCs/>
                      <w:color w:val="FF0000"/>
                      <w:lang w:val="en-US" w:eastAsia="zh-CN"/>
                    </w:rPr>
                    <w:t>自救卷盘</w:t>
                  </w:r>
                </w:p>
              </w:tc>
              <w:tc>
                <w:tcPr>
                  <w:tcW w:w="3835" w:type="pct"/>
                  <w:vMerge w:val="continue"/>
                  <w:tcBorders>
                    <w:tl2br w:val="nil"/>
                    <w:tr2bl w:val="nil"/>
                  </w:tcBorders>
                  <w:shd w:val="clear" w:color="auto" w:fill="auto"/>
                  <w:noWrap/>
                  <w:vAlign w:val="center"/>
                </w:tcPr>
                <w:p w14:paraId="51FE1BF9">
                  <w:pPr>
                    <w:bidi w:val="0"/>
                    <w:jc w:val="center"/>
                    <w:rPr>
                      <w:rFonts w:hint="eastAsia"/>
                      <w:b/>
                      <w:bCs/>
                      <w:color w:val="FF0000"/>
                      <w:lang w:val="en-US" w:eastAsia="zh-CN"/>
                    </w:rPr>
                  </w:pPr>
                </w:p>
              </w:tc>
            </w:tr>
            <w:tr w14:paraId="70D45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5580F4E9">
                  <w:pPr>
                    <w:bidi w:val="0"/>
                    <w:jc w:val="center"/>
                    <w:rPr>
                      <w:rFonts w:hint="default"/>
                      <w:b/>
                      <w:bCs/>
                      <w:color w:val="FF0000"/>
                      <w:lang w:val="en-US" w:eastAsia="zh-CN"/>
                    </w:rPr>
                  </w:pPr>
                  <w:r>
                    <w:rPr>
                      <w:rFonts w:hint="eastAsia"/>
                      <w:b/>
                      <w:bCs/>
                      <w:color w:val="FF0000"/>
                      <w:lang w:val="en-US" w:eastAsia="zh-CN"/>
                    </w:rPr>
                    <w:t>8</w:t>
                  </w:r>
                </w:p>
              </w:tc>
              <w:tc>
                <w:tcPr>
                  <w:tcW w:w="743" w:type="pct"/>
                  <w:tcBorders>
                    <w:tl2br w:val="nil"/>
                    <w:tr2bl w:val="nil"/>
                  </w:tcBorders>
                  <w:shd w:val="clear" w:color="auto" w:fill="auto"/>
                  <w:noWrap/>
                  <w:vAlign w:val="center"/>
                </w:tcPr>
                <w:p w14:paraId="50CBB324">
                  <w:pPr>
                    <w:bidi w:val="0"/>
                    <w:jc w:val="center"/>
                    <w:rPr>
                      <w:rFonts w:hint="default"/>
                      <w:b/>
                      <w:bCs/>
                      <w:color w:val="FF0000"/>
                      <w:lang w:val="en-US" w:eastAsia="zh-CN"/>
                    </w:rPr>
                  </w:pPr>
                  <w:r>
                    <w:rPr>
                      <w:rFonts w:hint="eastAsia"/>
                      <w:b/>
                      <w:bCs/>
                      <w:color w:val="FF0000"/>
                      <w:lang w:val="en-US" w:eastAsia="zh-CN"/>
                    </w:rPr>
                    <w:t>消防应急照明</w:t>
                  </w:r>
                </w:p>
              </w:tc>
              <w:tc>
                <w:tcPr>
                  <w:tcW w:w="3835" w:type="pct"/>
                  <w:tcBorders>
                    <w:tl2br w:val="nil"/>
                    <w:tr2bl w:val="nil"/>
                  </w:tcBorders>
                  <w:shd w:val="clear" w:color="auto" w:fill="auto"/>
                  <w:noWrap/>
                  <w:vAlign w:val="center"/>
                </w:tcPr>
                <w:p w14:paraId="7C2A1432">
                  <w:pPr>
                    <w:keepNext w:val="0"/>
                    <w:keepLines w:val="0"/>
                    <w:widowControl/>
                    <w:suppressLineNumbers w:val="0"/>
                    <w:jc w:val="left"/>
                    <w:rPr>
                      <w:rFonts w:hint="eastAsia"/>
                      <w:b/>
                      <w:bCs/>
                      <w:color w:val="FF0000"/>
                      <w:lang w:val="en-US" w:eastAsia="zh-CN"/>
                    </w:rPr>
                  </w:pPr>
                  <w:r>
                    <w:rPr>
                      <w:rFonts w:hint="eastAsia"/>
                      <w:b/>
                      <w:bCs/>
                      <w:color w:val="FF0000"/>
                      <w:lang w:val="en-US" w:eastAsia="zh-CN"/>
                    </w:rPr>
                    <w:t>TYST（浙江台谊）、敏华、青鸟消防</w:t>
                  </w:r>
                </w:p>
              </w:tc>
            </w:tr>
          </w:tbl>
          <w:p w14:paraId="6991F0E4">
            <w:pPr>
              <w:pageBreakBefore w:val="0"/>
              <w:kinsoku/>
              <w:wordWrap w:val="0"/>
              <w:overflowPunct/>
              <w:topLinePunct w:val="0"/>
              <w:bidi w:val="0"/>
              <w:rPr>
                <w:rFonts w:hint="eastAsia"/>
                <w:b/>
                <w:bCs/>
                <w:color w:val="FF0000"/>
              </w:rPr>
            </w:pPr>
            <w:r>
              <w:rPr>
                <w:rFonts w:hint="eastAsia"/>
                <w:b/>
                <w:bCs/>
                <w:color w:val="FF0000"/>
              </w:rPr>
              <w:t>▲注：①具体需采购消防器材的型号、规格及品牌等根据采购人的需要在二次竞价明确。</w:t>
            </w:r>
          </w:p>
          <w:p w14:paraId="73F19411">
            <w:pPr>
              <w:pageBreakBefore w:val="0"/>
              <w:kinsoku/>
              <w:wordWrap w:val="0"/>
              <w:overflowPunct/>
              <w:topLinePunct w:val="0"/>
              <w:bidi w:val="0"/>
              <w:ind w:firstLine="723" w:firstLineChars="300"/>
              <w:rPr>
                <w:rFonts w:hint="eastAsia"/>
                <w:b/>
                <w:bCs/>
                <w:color w:val="FF0000"/>
              </w:rPr>
            </w:pPr>
            <w:r>
              <w:rPr>
                <w:rFonts w:hint="eastAsia"/>
                <w:b/>
                <w:bCs/>
                <w:color w:val="FF0000"/>
              </w:rPr>
              <w:t>②上述表格内未列明的其他品牌、其他种类的消防器材，如采购人在合同履约期内确需采购的，采购人可向入围供应商进行二次竞价采购。</w:t>
            </w:r>
          </w:p>
          <w:p w14:paraId="3580F069">
            <w:pPr>
              <w:pageBreakBefore w:val="0"/>
              <w:kinsoku/>
              <w:wordWrap w:val="0"/>
              <w:overflowPunct/>
              <w:topLinePunct w:val="0"/>
              <w:bidi w:val="0"/>
              <w:ind w:firstLine="723" w:firstLineChars="300"/>
              <w:rPr>
                <w:rFonts w:hint="eastAsia"/>
              </w:rPr>
            </w:pPr>
            <w:r>
              <w:rPr>
                <w:rFonts w:hint="eastAsia"/>
                <w:b/>
                <w:bCs/>
                <w:color w:val="FF0000"/>
              </w:rPr>
              <w:t>③采购人证明能够以更低价格向非入围供应商采购相同货物，且入围供应商不同意将价格降至非入围供应商以下的，可以将合同授予非入围供应商。</w:t>
            </w:r>
          </w:p>
          <w:p w14:paraId="3268934C">
            <w:pPr>
              <w:pageBreakBefore w:val="0"/>
              <w:kinsoku/>
              <w:wordWrap w:val="0"/>
              <w:overflowPunct/>
              <w:topLinePunct w:val="0"/>
              <w:bidi w:val="0"/>
              <w:rPr>
                <w:rFonts w:hint="eastAsia"/>
              </w:rPr>
            </w:pPr>
            <w:r>
              <w:rPr>
                <w:rFonts w:hint="eastAsia"/>
              </w:rPr>
              <w:t>第二条　合同总价款</w:t>
            </w:r>
          </w:p>
          <w:p w14:paraId="7EFC4D14">
            <w:pPr>
              <w:pageBreakBefore w:val="0"/>
              <w:kinsoku/>
              <w:wordWrap w:val="0"/>
              <w:overflowPunct/>
              <w:topLinePunct w:val="0"/>
              <w:bidi w:val="0"/>
              <w:rPr>
                <w:rFonts w:hint="eastAsia"/>
              </w:rPr>
            </w:pPr>
            <w:r>
              <w:rPr>
                <w:rFonts w:hint="eastAsia"/>
              </w:rPr>
              <w:t>2.1 本合同项下货物</w:t>
            </w:r>
            <w:r>
              <w:rPr>
                <w:rFonts w:hint="eastAsia"/>
                <w:lang w:val="en-US" w:eastAsia="zh-CN"/>
              </w:rPr>
              <w:t>按实结算，入围供应商报价（%）</w:t>
            </w:r>
            <w:r>
              <w:rPr>
                <w:rFonts w:hint="eastAsia"/>
                <w:b/>
                <w:bCs/>
                <w:color w:val="FF0000"/>
                <w:u w:val="single"/>
                <w:lang w:val="en-US" w:eastAsia="zh-CN"/>
              </w:rPr>
              <w:t xml:space="preserve">             </w:t>
            </w:r>
            <w:r>
              <w:rPr>
                <w:rFonts w:hint="eastAsia"/>
              </w:rPr>
              <w:t xml:space="preserve">； </w:t>
            </w:r>
          </w:p>
          <w:p w14:paraId="06D17A09">
            <w:pPr>
              <w:pageBreakBefore w:val="0"/>
              <w:kinsoku/>
              <w:wordWrap w:val="0"/>
              <w:overflowPunct/>
              <w:topLinePunct w:val="0"/>
              <w:bidi w:val="0"/>
              <w:rPr>
                <w:rFonts w:hint="eastAsia"/>
              </w:rPr>
            </w:pPr>
            <w:r>
              <w:rPr>
                <w:rFonts w:hint="eastAsia"/>
              </w:rPr>
              <w:t xml:space="preserve">2.2 本合同总价款是货物设计、制造、包装、仓储、运输、安装及验收合格之前及保修期内备品备件发生的所有含税费用； </w:t>
            </w:r>
          </w:p>
          <w:p w14:paraId="73AF07B2">
            <w:pPr>
              <w:pageBreakBefore w:val="0"/>
              <w:kinsoku/>
              <w:wordWrap w:val="0"/>
              <w:overflowPunct/>
              <w:topLinePunct w:val="0"/>
              <w:bidi w:val="0"/>
              <w:rPr>
                <w:rFonts w:hint="eastAsia"/>
              </w:rPr>
            </w:pPr>
            <w:r>
              <w:rPr>
                <w:rFonts w:hint="eastAsia"/>
              </w:rPr>
              <w:t>2.3 本合同总价款还包含</w:t>
            </w:r>
            <w:r>
              <w:rPr>
                <w:rFonts w:hint="eastAsia"/>
                <w:lang w:eastAsia="zh-CN"/>
              </w:rPr>
              <w:t>乙方应</w:t>
            </w:r>
            <w:r>
              <w:rPr>
                <w:rFonts w:hint="eastAsia"/>
              </w:rPr>
              <w:t>提供的伴随服务/售后服务费用；</w:t>
            </w:r>
          </w:p>
          <w:p w14:paraId="092E47D2">
            <w:pPr>
              <w:pageBreakBefore w:val="0"/>
              <w:kinsoku/>
              <w:wordWrap w:val="0"/>
              <w:overflowPunct/>
              <w:topLinePunct w:val="0"/>
              <w:bidi w:val="0"/>
              <w:rPr>
                <w:rFonts w:hint="eastAsia"/>
              </w:rPr>
            </w:pPr>
            <w:r>
              <w:rPr>
                <w:rFonts w:hint="eastAsia"/>
              </w:rPr>
              <w:t>2.4 本合同执行期间合同总价款不变。</w:t>
            </w:r>
          </w:p>
          <w:p w14:paraId="1DD61255">
            <w:pPr>
              <w:pageBreakBefore w:val="0"/>
              <w:kinsoku/>
              <w:wordWrap w:val="0"/>
              <w:overflowPunct/>
              <w:topLinePunct w:val="0"/>
              <w:bidi w:val="0"/>
              <w:rPr>
                <w:rFonts w:hint="eastAsia"/>
              </w:rPr>
            </w:pPr>
            <w:r>
              <w:rPr>
                <w:rFonts w:hint="eastAsia"/>
              </w:rPr>
              <w:t>第三条　组成本合同的有关文件</w:t>
            </w:r>
          </w:p>
          <w:p w14:paraId="492BBE63">
            <w:pPr>
              <w:pageBreakBefore w:val="0"/>
              <w:kinsoku/>
              <w:wordWrap w:val="0"/>
              <w:overflowPunct/>
              <w:topLinePunct w:val="0"/>
              <w:bidi w:val="0"/>
              <w:rPr>
                <w:rFonts w:hint="eastAsia"/>
              </w:rPr>
            </w:pPr>
            <w:r>
              <w:rPr>
                <w:rFonts w:hint="eastAsia"/>
              </w:rPr>
              <w:t>3.1 下列文件构成本合同的组成部分，应该认为是一个整体，彼此相互解释，相互补充。组成合同的多个文件的优先支配地位的次序如下：</w:t>
            </w:r>
          </w:p>
          <w:p w14:paraId="009D95CC">
            <w:pPr>
              <w:pageBreakBefore w:val="0"/>
              <w:kinsoku/>
              <w:wordWrap w:val="0"/>
              <w:overflowPunct/>
              <w:topLinePunct w:val="0"/>
              <w:bidi w:val="0"/>
              <w:rPr>
                <w:rFonts w:hint="eastAsia"/>
              </w:rPr>
            </w:pPr>
            <w:r>
              <w:rPr>
                <w:rFonts w:hint="eastAsia"/>
              </w:rPr>
              <w:t>3.1.1 本合同书　</w:t>
            </w:r>
          </w:p>
          <w:p w14:paraId="0F2C2B52">
            <w:pPr>
              <w:pageBreakBefore w:val="0"/>
              <w:kinsoku/>
              <w:wordWrap w:val="0"/>
              <w:overflowPunct/>
              <w:topLinePunct w:val="0"/>
              <w:bidi w:val="0"/>
              <w:rPr>
                <w:rFonts w:hint="eastAsia"/>
              </w:rPr>
            </w:pPr>
            <w:r>
              <w:rPr>
                <w:rFonts w:hint="eastAsia"/>
              </w:rPr>
              <w:t>3.1.2 中标通知书</w:t>
            </w:r>
            <w:r>
              <w:rPr>
                <w:rFonts w:hint="eastAsia"/>
              </w:rPr>
              <w:tab/>
            </w:r>
          </w:p>
          <w:p w14:paraId="31BBF4CB">
            <w:pPr>
              <w:pageBreakBefore w:val="0"/>
              <w:kinsoku/>
              <w:wordWrap w:val="0"/>
              <w:overflowPunct/>
              <w:topLinePunct w:val="0"/>
              <w:bidi w:val="0"/>
              <w:rPr>
                <w:rFonts w:hint="eastAsia"/>
              </w:rPr>
            </w:pPr>
            <w:r>
              <w:rPr>
                <w:rFonts w:hint="eastAsia"/>
              </w:rPr>
              <w:t>3.1.3 中标投标人澄清修改文件</w:t>
            </w:r>
          </w:p>
          <w:p w14:paraId="6BB8BDF0">
            <w:pPr>
              <w:pageBreakBefore w:val="0"/>
              <w:kinsoku/>
              <w:wordWrap w:val="0"/>
              <w:overflowPunct/>
              <w:topLinePunct w:val="0"/>
              <w:bidi w:val="0"/>
              <w:rPr>
                <w:rFonts w:hint="eastAsia"/>
              </w:rPr>
            </w:pPr>
            <w:r>
              <w:rPr>
                <w:rFonts w:hint="eastAsia"/>
              </w:rPr>
              <w:t>3.1.4 中标投标人投标文件</w:t>
            </w:r>
          </w:p>
          <w:p w14:paraId="07076A0F">
            <w:pPr>
              <w:pageBreakBefore w:val="0"/>
              <w:kinsoku/>
              <w:wordWrap w:val="0"/>
              <w:overflowPunct/>
              <w:topLinePunct w:val="0"/>
              <w:bidi w:val="0"/>
              <w:rPr>
                <w:rFonts w:hint="eastAsia"/>
              </w:rPr>
            </w:pPr>
            <w:r>
              <w:rPr>
                <w:rFonts w:hint="eastAsia"/>
              </w:rPr>
              <w:t>3.1.5 招标文件澄清修改文件</w:t>
            </w:r>
          </w:p>
          <w:p w14:paraId="5FC83129">
            <w:pPr>
              <w:pageBreakBefore w:val="0"/>
              <w:kinsoku/>
              <w:wordWrap w:val="0"/>
              <w:overflowPunct/>
              <w:topLinePunct w:val="0"/>
              <w:bidi w:val="0"/>
              <w:rPr>
                <w:rFonts w:hint="eastAsia"/>
              </w:rPr>
            </w:pPr>
            <w:r>
              <w:rPr>
                <w:rFonts w:hint="eastAsia"/>
              </w:rPr>
              <w:t>3.1.6 招标文件</w:t>
            </w:r>
          </w:p>
          <w:p w14:paraId="6D8D3AB0">
            <w:pPr>
              <w:pageBreakBefore w:val="0"/>
              <w:kinsoku/>
              <w:wordWrap w:val="0"/>
              <w:overflowPunct/>
              <w:topLinePunct w:val="0"/>
              <w:bidi w:val="0"/>
              <w:rPr>
                <w:rFonts w:hint="eastAsia"/>
              </w:rPr>
            </w:pPr>
            <w:r>
              <w:rPr>
                <w:rFonts w:hint="eastAsia"/>
              </w:rPr>
              <w:t>第四条　权利保证</w:t>
            </w:r>
          </w:p>
          <w:p w14:paraId="3BFDBB34">
            <w:pPr>
              <w:pageBreakBefore w:val="0"/>
              <w:kinsoku/>
              <w:wordWrap w:val="0"/>
              <w:overflowPunct/>
              <w:topLinePunct w:val="0"/>
              <w:bidi w:val="0"/>
              <w:rPr>
                <w:rFonts w:hint="eastAsia"/>
              </w:rPr>
            </w:pPr>
            <w:r>
              <w:rPr>
                <w:rFonts w:hint="eastAsia"/>
                <w:lang w:val="en-US" w:eastAsia="zh-CN"/>
              </w:rPr>
              <w:t>乙方</w:t>
            </w:r>
            <w:r>
              <w:rPr>
                <w:rFonts w:hint="eastAsia"/>
              </w:rPr>
              <w:t>保证提供的货物不存在对任何第三方侵权行为（包括商标、专利、版权、知识产权等）。若发生侵权行为，由</w:t>
            </w:r>
            <w:r>
              <w:rPr>
                <w:rFonts w:hint="eastAsia"/>
                <w:lang w:val="en-US" w:eastAsia="zh-CN"/>
              </w:rPr>
              <w:t>乙方</w:t>
            </w:r>
            <w:r>
              <w:rPr>
                <w:rFonts w:hint="eastAsia"/>
              </w:rPr>
              <w:t>负全责，应承担由此发生的一切经济和法律责任，并赔偿</w:t>
            </w:r>
            <w:r>
              <w:rPr>
                <w:rFonts w:hint="eastAsia"/>
                <w:lang w:val="en-US" w:eastAsia="zh-CN"/>
              </w:rPr>
              <w:t>甲方</w:t>
            </w:r>
            <w:r>
              <w:rPr>
                <w:rFonts w:hint="eastAsia"/>
                <w:b/>
                <w:bCs/>
                <w:color w:val="FF0000"/>
                <w:u w:val="single"/>
                <w:lang w:val="en-US" w:eastAsia="zh-CN"/>
              </w:rPr>
              <w:t>按本合同总价款 20% 计算的违约金，同时甲方有权单方解除本合同，不足以弥补甲方损失的，乙方仍应全额赔偿。</w:t>
            </w:r>
          </w:p>
          <w:p w14:paraId="10567C43">
            <w:pPr>
              <w:pageBreakBefore w:val="0"/>
              <w:kinsoku/>
              <w:wordWrap w:val="0"/>
              <w:overflowPunct/>
              <w:topLinePunct w:val="0"/>
              <w:bidi w:val="0"/>
              <w:rPr>
                <w:rFonts w:hint="eastAsia"/>
              </w:rPr>
            </w:pPr>
            <w:r>
              <w:rPr>
                <w:rFonts w:hint="eastAsia"/>
              </w:rPr>
              <w:t>第五条　质量保证</w:t>
            </w:r>
          </w:p>
          <w:p w14:paraId="58E81EF2">
            <w:pPr>
              <w:pageBreakBefore w:val="0"/>
              <w:kinsoku/>
              <w:wordWrap w:val="0"/>
              <w:overflowPunct/>
              <w:topLinePunct w:val="0"/>
              <w:bidi w:val="0"/>
              <w:rPr>
                <w:rFonts w:hint="eastAsia"/>
              </w:rPr>
            </w:pPr>
            <w:r>
              <w:rPr>
                <w:rFonts w:hint="eastAsia"/>
              </w:rPr>
              <w:t>5.1 质保期：</w:t>
            </w:r>
            <w:r>
              <w:rPr>
                <w:rFonts w:hint="eastAsia"/>
                <w:b/>
                <w:bCs/>
                <w:color w:val="FF0000"/>
                <w:u w:val="single"/>
                <w:lang w:val="en-US" w:eastAsia="zh-CN"/>
              </w:rPr>
              <w:t>2</w:t>
            </w:r>
            <w:r>
              <w:rPr>
                <w:rFonts w:hint="eastAsia"/>
              </w:rPr>
              <w:t>年。质保期是以成交供应商提供的货物通过最终验收合格之日起计算。在质量保证期内，成交供应商应对所投货物出现的质量及安全问题负责处理解决，一切无条件调换、免费维修。</w:t>
            </w:r>
          </w:p>
          <w:p w14:paraId="1E5334A4">
            <w:pPr>
              <w:pageBreakBefore w:val="0"/>
              <w:kinsoku/>
              <w:wordWrap w:val="0"/>
              <w:overflowPunct/>
              <w:topLinePunct w:val="0"/>
              <w:bidi w:val="0"/>
              <w:rPr>
                <w:rFonts w:hint="default"/>
                <w:b/>
                <w:bCs/>
                <w:color w:val="FF0000"/>
                <w:lang w:val="en-US" w:eastAsia="zh-CN"/>
              </w:rPr>
            </w:pPr>
            <w:r>
              <w:rPr>
                <w:rFonts w:hint="eastAsia"/>
                <w:lang w:val="en-US" w:eastAsia="zh-CN"/>
              </w:rPr>
              <w:t>5.2 乙方在项目实施前须提前联系甲方，按甲方要求做好现场踏勘工作，所有设备必须与专业老师现场对接后方可制作及安装，如因未对接造成货物不符合现场安装条件等情况的，</w:t>
            </w:r>
            <w:r>
              <w:rPr>
                <w:rFonts w:hint="eastAsia"/>
                <w:b/>
                <w:bCs/>
                <w:color w:val="FF0000"/>
                <w:lang w:val="en-US" w:eastAsia="zh-CN"/>
              </w:rPr>
              <w:t>视为乙方违约，乙方应支付按本合同总价10%计算的违约金给甲方，同时及时更换货物符合现场安装。</w:t>
            </w:r>
          </w:p>
          <w:p w14:paraId="5C2DF28E">
            <w:pPr>
              <w:pageBreakBefore w:val="0"/>
              <w:kinsoku/>
              <w:wordWrap w:val="0"/>
              <w:overflowPunct/>
              <w:topLinePunct w:val="0"/>
              <w:bidi w:val="0"/>
              <w:rPr>
                <w:rFonts w:hint="eastAsia"/>
                <w:lang w:eastAsia="zh-CN"/>
              </w:rPr>
            </w:pPr>
            <w:r>
              <w:rPr>
                <w:rFonts w:hint="eastAsia"/>
                <w:lang w:val="en-US" w:eastAsia="zh-CN"/>
              </w:rPr>
              <w:t>5.3</w:t>
            </w:r>
            <w:r>
              <w:rPr>
                <w:rFonts w:hint="eastAsia"/>
                <w:lang w:eastAsia="zh-CN"/>
              </w:rPr>
              <w:t>乙方</w:t>
            </w:r>
            <w:r>
              <w:rPr>
                <w:rFonts w:hint="eastAsia"/>
              </w:rPr>
              <w:t>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r>
              <w:rPr>
                <w:rFonts w:hint="eastAsia"/>
                <w:lang w:eastAsia="zh-CN"/>
              </w:rPr>
              <w:t>。</w:t>
            </w:r>
          </w:p>
          <w:p w14:paraId="784D0987">
            <w:pPr>
              <w:pageBreakBefore w:val="0"/>
              <w:kinsoku/>
              <w:wordWrap w:val="0"/>
              <w:overflowPunct/>
              <w:topLinePunct w:val="0"/>
              <w:bidi w:val="0"/>
              <w:rPr>
                <w:rFonts w:hint="eastAsia"/>
                <w:lang w:eastAsia="zh-CN"/>
              </w:rPr>
            </w:pPr>
            <w:r>
              <w:rPr>
                <w:rFonts w:hint="eastAsia"/>
              </w:rPr>
              <w:t>5.</w:t>
            </w:r>
            <w:r>
              <w:rPr>
                <w:rFonts w:hint="eastAsia"/>
                <w:lang w:val="en-US" w:eastAsia="zh-CN"/>
              </w:rPr>
              <w:t>4</w:t>
            </w:r>
            <w:r>
              <w:rPr>
                <w:rFonts w:hint="eastAsia"/>
              </w:rPr>
              <w:t xml:space="preserve"> </w:t>
            </w:r>
            <w:r>
              <w:rPr>
                <w:rFonts w:hint="eastAsia"/>
                <w:lang w:eastAsia="zh-CN"/>
              </w:rPr>
              <w:t>乙方</w:t>
            </w:r>
            <w:r>
              <w:rPr>
                <w:rFonts w:hint="eastAsia"/>
              </w:rPr>
              <w:t>须保证所提供的货物经正确安装、正常运转和保养，在其使用寿命期内须具有符合质量要求和产品说明书的性能。在货物质量保证期之内，</w:t>
            </w:r>
            <w:r>
              <w:rPr>
                <w:rFonts w:hint="eastAsia"/>
                <w:lang w:eastAsia="zh-CN"/>
              </w:rPr>
              <w:t>乙方</w:t>
            </w:r>
            <w:r>
              <w:rPr>
                <w:rFonts w:hint="eastAsia"/>
              </w:rPr>
              <w:t>须对由于设计、工艺或材料的缺陷而发生的故障负责，由此引发的风险和费用将由</w:t>
            </w:r>
            <w:r>
              <w:rPr>
                <w:rFonts w:hint="eastAsia"/>
                <w:lang w:eastAsia="zh-CN"/>
              </w:rPr>
              <w:t>乙方</w:t>
            </w:r>
            <w:r>
              <w:rPr>
                <w:rFonts w:hint="eastAsia"/>
              </w:rPr>
              <w:t>承担</w:t>
            </w:r>
            <w:r>
              <w:rPr>
                <w:rFonts w:hint="eastAsia"/>
                <w:lang w:eastAsia="zh-CN"/>
              </w:rPr>
              <w:t>。</w:t>
            </w:r>
          </w:p>
          <w:p w14:paraId="7B02EE92">
            <w:pPr>
              <w:pageBreakBefore w:val="0"/>
              <w:kinsoku/>
              <w:wordWrap w:val="0"/>
              <w:overflowPunct/>
              <w:topLinePunct w:val="0"/>
              <w:bidi w:val="0"/>
              <w:rPr>
                <w:rFonts w:hint="eastAsia"/>
                <w:lang w:eastAsia="zh-CN"/>
              </w:rPr>
            </w:pPr>
            <w:r>
              <w:rPr>
                <w:rFonts w:hint="eastAsia"/>
              </w:rPr>
              <w:t>5.</w:t>
            </w:r>
            <w:r>
              <w:rPr>
                <w:rFonts w:hint="eastAsia"/>
                <w:lang w:val="en-US" w:eastAsia="zh-CN"/>
              </w:rPr>
              <w:t>5</w:t>
            </w:r>
            <w:r>
              <w:rPr>
                <w:rFonts w:hint="eastAsia"/>
              </w:rPr>
              <w:t>根据</w:t>
            </w:r>
            <w:r>
              <w:rPr>
                <w:rFonts w:hint="eastAsia"/>
                <w:lang w:eastAsia="zh-CN"/>
              </w:rPr>
              <w:t>甲方</w:t>
            </w:r>
            <w:r>
              <w:rPr>
                <w:rFonts w:hint="eastAsia"/>
              </w:rPr>
              <w:t>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lang w:eastAsia="zh-CN"/>
              </w:rPr>
              <w:t>甲方</w:t>
            </w:r>
            <w:r>
              <w:rPr>
                <w:rFonts w:hint="eastAsia"/>
              </w:rPr>
              <w:t>应尽快以书面形式通知</w:t>
            </w:r>
            <w:r>
              <w:rPr>
                <w:rFonts w:hint="eastAsia"/>
                <w:lang w:eastAsia="zh-CN"/>
              </w:rPr>
              <w:t>乙方</w:t>
            </w:r>
            <w:r>
              <w:rPr>
                <w:rFonts w:hint="eastAsia"/>
              </w:rPr>
              <w:t>。</w:t>
            </w:r>
            <w:r>
              <w:rPr>
                <w:rFonts w:hint="eastAsia"/>
                <w:lang w:eastAsia="zh-CN"/>
              </w:rPr>
              <w:t>乙方</w:t>
            </w:r>
            <w:r>
              <w:rPr>
                <w:rFonts w:hint="eastAsia"/>
              </w:rPr>
              <w:t>在收到通知后</w:t>
            </w:r>
            <w:r>
              <w:rPr>
                <w:rFonts w:hint="eastAsia"/>
                <w:b/>
                <w:bCs/>
                <w:color w:val="FF0000"/>
                <w:u w:val="single"/>
              </w:rPr>
              <w:t xml:space="preserve"> </w:t>
            </w:r>
            <w:r>
              <w:rPr>
                <w:rFonts w:hint="eastAsia"/>
                <w:b/>
                <w:bCs/>
                <w:color w:val="FF0000"/>
                <w:u w:val="single"/>
                <w:lang w:val="en-US" w:eastAsia="zh-CN"/>
              </w:rPr>
              <w:t>4</w:t>
            </w:r>
            <w:r>
              <w:rPr>
                <w:rFonts w:hint="eastAsia"/>
                <w:b/>
                <w:bCs/>
                <w:color w:val="FF0000"/>
                <w:u w:val="single"/>
              </w:rPr>
              <w:t xml:space="preserve"> </w:t>
            </w:r>
            <w:r>
              <w:rPr>
                <w:rFonts w:hint="eastAsia"/>
                <w:b/>
                <w:bCs/>
                <w:color w:val="FF0000"/>
                <w:u w:val="none"/>
                <w:lang w:val="en-US" w:eastAsia="zh-CN"/>
              </w:rPr>
              <w:t>小时</w:t>
            </w:r>
            <w:r>
              <w:rPr>
                <w:rFonts w:hint="eastAsia"/>
              </w:rPr>
              <w:t>内应维修或更换有缺陷的货物或部件</w:t>
            </w:r>
            <w:r>
              <w:rPr>
                <w:rFonts w:hint="eastAsia"/>
                <w:lang w:eastAsia="zh-CN"/>
              </w:rPr>
              <w:t>。</w:t>
            </w:r>
          </w:p>
          <w:p w14:paraId="54AA903A">
            <w:pPr>
              <w:pageBreakBefore w:val="0"/>
              <w:kinsoku/>
              <w:wordWrap w:val="0"/>
              <w:overflowPunct/>
              <w:topLinePunct w:val="0"/>
              <w:bidi w:val="0"/>
              <w:rPr>
                <w:rFonts w:hint="eastAsia"/>
                <w:b/>
                <w:bCs/>
                <w:color w:val="FF0000"/>
              </w:rPr>
            </w:pPr>
            <w:r>
              <w:rPr>
                <w:rFonts w:hint="eastAsia"/>
                <w:b/>
                <w:bCs/>
                <w:color w:val="FF0000"/>
              </w:rPr>
              <w:t>5.</w:t>
            </w:r>
            <w:r>
              <w:rPr>
                <w:rFonts w:hint="eastAsia"/>
                <w:b/>
                <w:bCs/>
                <w:color w:val="FF0000"/>
                <w:lang w:val="en-US" w:eastAsia="zh-CN"/>
              </w:rPr>
              <w:t>6</w:t>
            </w:r>
            <w:r>
              <w:rPr>
                <w:rFonts w:hint="eastAsia"/>
                <w:b/>
                <w:bCs/>
                <w:color w:val="FF0000"/>
              </w:rPr>
              <w:t>如果乙方在收到通知后4小时内没有上门维修或更换有缺陷的货物，甲方可让第三方进场维修更换，费用由乙方承担，甲方可从质保金中直接扣除，不足部分由乙方支付给甲方；</w:t>
            </w:r>
          </w:p>
          <w:p w14:paraId="0664441A">
            <w:pPr>
              <w:pageBreakBefore w:val="0"/>
              <w:kinsoku/>
              <w:wordWrap w:val="0"/>
              <w:overflowPunct/>
              <w:topLinePunct w:val="0"/>
              <w:bidi w:val="0"/>
              <w:rPr>
                <w:rFonts w:hint="eastAsia"/>
                <w:lang w:eastAsia="zh-CN"/>
              </w:rPr>
            </w:pPr>
            <w:r>
              <w:rPr>
                <w:rFonts w:hint="eastAsia"/>
              </w:rPr>
              <w:t>5.</w:t>
            </w:r>
            <w:r>
              <w:rPr>
                <w:rFonts w:hint="eastAsia"/>
                <w:lang w:val="en-US" w:eastAsia="zh-CN"/>
              </w:rPr>
              <w:t>7</w:t>
            </w:r>
            <w:r>
              <w:rPr>
                <w:rFonts w:hint="eastAsia"/>
              </w:rPr>
              <w:t xml:space="preserve"> 其他</w:t>
            </w:r>
            <w:r>
              <w:rPr>
                <w:rFonts w:hint="eastAsia"/>
                <w:lang w:eastAsia="zh-CN"/>
              </w:rPr>
              <w:t>：</w:t>
            </w:r>
          </w:p>
          <w:p w14:paraId="17DF9299">
            <w:pPr>
              <w:rPr>
                <w:b/>
                <w:bCs/>
                <w:color w:val="FF0000"/>
              </w:rPr>
            </w:pPr>
            <w:r>
              <w:rPr>
                <w:rFonts w:hint="default"/>
                <w:b/>
                <w:bCs/>
                <w:color w:val="FF0000"/>
                <w:lang w:val="en-US" w:eastAsia="zh-CN"/>
              </w:rPr>
              <w:t>▲</w:t>
            </w:r>
            <w:r>
              <w:rPr>
                <w:rFonts w:hint="eastAsia"/>
                <w:b/>
                <w:bCs/>
                <w:color w:val="FF0000"/>
                <w:lang w:val="en-US" w:eastAsia="zh-CN"/>
              </w:rPr>
              <w:t>1.供应商所有的消防</w:t>
            </w:r>
            <w:r>
              <w:rPr>
                <w:b/>
                <w:bCs/>
                <w:color w:val="FF0000"/>
              </w:rPr>
              <w:t>器材必须严格遵守</w:t>
            </w:r>
            <w:r>
              <w:rPr>
                <w:rFonts w:hint="eastAsia"/>
                <w:b/>
                <w:bCs/>
                <w:color w:val="FF0000"/>
                <w:lang w:val="en-US" w:eastAsia="zh-CN"/>
              </w:rPr>
              <w:t>现行的消防器材产品质量</w:t>
            </w:r>
            <w:r>
              <w:rPr>
                <w:b/>
                <w:bCs/>
                <w:color w:val="FF0000"/>
              </w:rPr>
              <w:t>国家或行业制定的标准，并且拥有相应的质量认证标志，如CE标志、UL认证等，以证明其符合国际或国内的安全要求。每一件消防器材都应经过精心设计和制造，确保其材料、结构和工艺能够经受住火灾等极端条件的考验。</w:t>
            </w:r>
          </w:p>
          <w:p w14:paraId="20C0EBE1">
            <w:pPr>
              <w:rPr>
                <w:b/>
                <w:bCs/>
                <w:color w:val="FF0000"/>
              </w:rPr>
            </w:pPr>
            <w:r>
              <w:rPr>
                <w:rFonts w:hint="default"/>
                <w:b/>
                <w:bCs/>
                <w:color w:val="FF0000"/>
                <w:lang w:val="en-US" w:eastAsia="zh-CN"/>
              </w:rPr>
              <w:t>▲</w:t>
            </w:r>
            <w:r>
              <w:rPr>
                <w:rFonts w:hint="eastAsia"/>
                <w:b/>
                <w:bCs/>
                <w:color w:val="FF0000"/>
                <w:lang w:val="en-US" w:eastAsia="zh-CN"/>
              </w:rPr>
              <w:t>2.供应商</w:t>
            </w:r>
            <w:r>
              <w:rPr>
                <w:b/>
                <w:bCs/>
                <w:color w:val="FF0000"/>
              </w:rPr>
              <w:t>应</w:t>
            </w:r>
            <w:r>
              <w:rPr>
                <w:rFonts w:hint="eastAsia"/>
                <w:b/>
                <w:bCs/>
                <w:color w:val="FF0000"/>
                <w:lang w:val="en-US" w:eastAsia="zh-CN"/>
              </w:rPr>
              <w:t>提供相关</w:t>
            </w:r>
            <w:r>
              <w:rPr>
                <w:b/>
                <w:bCs/>
                <w:color w:val="FF0000"/>
              </w:rPr>
              <w:t>产品的质量证明文件，确保其在规定的使用期限内具备应有的性能。此外，消防器材的外观应清晰标有使用说明和维护保养指南，例如，灭火器上应有明确的使用方法图示和操作步骤，以及定期检查和更换药剂的建议。</w:t>
            </w:r>
          </w:p>
          <w:p w14:paraId="3DC4F04E">
            <w:pPr>
              <w:pageBreakBefore w:val="0"/>
              <w:kinsoku/>
              <w:wordWrap w:val="0"/>
              <w:overflowPunct/>
              <w:topLinePunct w:val="0"/>
              <w:bidi w:val="0"/>
              <w:rPr>
                <w:rFonts w:hint="eastAsia"/>
                <w:b/>
                <w:bCs/>
                <w:color w:val="FF0000"/>
                <w:lang w:eastAsia="zh-CN"/>
              </w:rPr>
            </w:pPr>
            <w:r>
              <w:rPr>
                <w:rFonts w:hint="default"/>
                <w:b/>
                <w:bCs/>
                <w:color w:val="FF0000"/>
                <w:lang w:val="en-US" w:eastAsia="zh-CN"/>
              </w:rPr>
              <w:t>▲</w:t>
            </w:r>
            <w:r>
              <w:rPr>
                <w:rFonts w:hint="eastAsia"/>
                <w:b/>
                <w:bCs/>
                <w:color w:val="FF0000"/>
                <w:lang w:val="en-US" w:eastAsia="zh-CN"/>
              </w:rPr>
              <w:t>3.</w:t>
            </w:r>
            <w:r>
              <w:rPr>
                <w:b/>
                <w:bCs/>
                <w:color w:val="FF0000"/>
              </w:rPr>
              <w:t>为了进一步确保消防器材的可靠性，制造商应提供详细的产品说明书，包括器材的使用环境、操作限制和可能的故障排除方法。同时，消防器材的包装和运输也应符合特定的安全标准，以防止在运输过程中对器材造成损坏。</w:t>
            </w:r>
          </w:p>
          <w:p w14:paraId="59E928C9">
            <w:pPr>
              <w:pageBreakBefore w:val="0"/>
              <w:kinsoku/>
              <w:wordWrap w:val="0"/>
              <w:overflowPunct/>
              <w:topLinePunct w:val="0"/>
              <w:bidi w:val="0"/>
              <w:rPr>
                <w:rFonts w:hint="eastAsia"/>
              </w:rPr>
            </w:pPr>
            <w:r>
              <w:rPr>
                <w:rFonts w:hint="eastAsia"/>
              </w:rPr>
              <w:t>第六条  技术资料</w:t>
            </w:r>
          </w:p>
          <w:p w14:paraId="1E1D048B">
            <w:pPr>
              <w:pageBreakBefore w:val="0"/>
              <w:kinsoku/>
              <w:wordWrap w:val="0"/>
              <w:overflowPunct/>
              <w:topLinePunct w:val="0"/>
              <w:bidi w:val="0"/>
              <w:rPr>
                <w:rFonts w:hint="eastAsia"/>
                <w:lang w:eastAsia="zh-CN"/>
              </w:rPr>
            </w:pPr>
            <w:r>
              <w:rPr>
                <w:rFonts w:hint="eastAsia"/>
              </w:rPr>
              <w:t xml:space="preserve">6.1 </w:t>
            </w:r>
            <w:r>
              <w:rPr>
                <w:rFonts w:hint="eastAsia"/>
                <w:lang w:eastAsia="zh-CN"/>
              </w:rPr>
              <w:t>乙方</w:t>
            </w:r>
            <w:r>
              <w:rPr>
                <w:rFonts w:hint="eastAsia"/>
              </w:rPr>
              <w:t>应将每</w:t>
            </w:r>
            <w:r>
              <w:rPr>
                <w:rFonts w:hint="eastAsia"/>
                <w:lang w:eastAsia="zh-CN"/>
              </w:rPr>
              <w:t>批</w:t>
            </w:r>
            <w:r>
              <w:rPr>
                <w:rFonts w:hint="eastAsia"/>
                <w:lang w:val="en-US" w:eastAsia="zh-CN"/>
              </w:rPr>
              <w:t>/套产品</w:t>
            </w:r>
            <w:r>
              <w:rPr>
                <w:rFonts w:hint="eastAsia"/>
              </w:rPr>
              <w:t>的中文技术资料完整一套，如目录索引、图纸、操作手册、使用指南、维修指南和／或服务手册和示意图等随同每批货物一起发运</w:t>
            </w:r>
            <w:r>
              <w:rPr>
                <w:rFonts w:hint="eastAsia"/>
                <w:lang w:eastAsia="zh-CN"/>
              </w:rPr>
              <w:t>。</w:t>
            </w:r>
          </w:p>
          <w:p w14:paraId="25302548">
            <w:pPr>
              <w:pageBreakBefore w:val="0"/>
              <w:kinsoku/>
              <w:wordWrap w:val="0"/>
              <w:overflowPunct/>
              <w:topLinePunct w:val="0"/>
              <w:bidi w:val="0"/>
              <w:rPr>
                <w:rFonts w:hint="eastAsia"/>
                <w:lang w:eastAsia="zh-CN"/>
              </w:rPr>
            </w:pPr>
            <w:r>
              <w:rPr>
                <w:rFonts w:hint="eastAsia"/>
              </w:rPr>
              <w:t>6.2 如果</w:t>
            </w:r>
            <w:r>
              <w:rPr>
                <w:rFonts w:hint="eastAsia"/>
                <w:lang w:eastAsia="zh-CN"/>
              </w:rPr>
              <w:t>甲方</w:t>
            </w:r>
            <w:r>
              <w:rPr>
                <w:rFonts w:hint="eastAsia"/>
              </w:rPr>
              <w:t>确认</w:t>
            </w:r>
            <w:r>
              <w:rPr>
                <w:rFonts w:hint="eastAsia"/>
                <w:lang w:eastAsia="zh-CN"/>
              </w:rPr>
              <w:t>乙方</w:t>
            </w:r>
            <w:r>
              <w:rPr>
                <w:rFonts w:hint="eastAsia"/>
              </w:rPr>
              <w:t>提供的技术资料不完整或在运输过程中丢失，</w:t>
            </w:r>
            <w:r>
              <w:rPr>
                <w:rFonts w:hint="eastAsia"/>
                <w:lang w:eastAsia="zh-CN"/>
              </w:rPr>
              <w:t>乙方</w:t>
            </w:r>
            <w:r>
              <w:rPr>
                <w:rFonts w:hint="eastAsia"/>
              </w:rPr>
              <w:t>将在收到</w:t>
            </w:r>
            <w:r>
              <w:rPr>
                <w:rFonts w:hint="eastAsia"/>
                <w:lang w:eastAsia="zh-CN"/>
              </w:rPr>
              <w:t>甲方</w:t>
            </w:r>
            <w:r>
              <w:rPr>
                <w:rFonts w:hint="eastAsia"/>
              </w:rPr>
              <w:t>通知后</w:t>
            </w:r>
            <w:r>
              <w:rPr>
                <w:rFonts w:hint="eastAsia"/>
                <w:b/>
                <w:bCs/>
                <w:color w:val="FF0000"/>
                <w:u w:val="single"/>
              </w:rPr>
              <w:t xml:space="preserve"> </w:t>
            </w:r>
            <w:r>
              <w:rPr>
                <w:rFonts w:hint="eastAsia"/>
                <w:b/>
                <w:bCs/>
                <w:color w:val="FF0000"/>
                <w:u w:val="single"/>
                <w:lang w:val="en-US" w:eastAsia="zh-CN"/>
              </w:rPr>
              <w:t>3</w:t>
            </w:r>
            <w:r>
              <w:rPr>
                <w:rFonts w:hint="eastAsia"/>
                <w:b/>
                <w:bCs/>
                <w:color w:val="FF0000"/>
                <w:u w:val="single"/>
              </w:rPr>
              <w:t xml:space="preserve"> </w:t>
            </w:r>
            <w:r>
              <w:rPr>
                <w:rFonts w:hint="eastAsia"/>
              </w:rPr>
              <w:t>天内将这些资料寄给</w:t>
            </w:r>
            <w:r>
              <w:rPr>
                <w:rFonts w:hint="eastAsia"/>
                <w:lang w:eastAsia="zh-CN"/>
              </w:rPr>
              <w:t>甲方。</w:t>
            </w:r>
          </w:p>
          <w:p w14:paraId="19E53D01">
            <w:pPr>
              <w:pageBreakBefore w:val="0"/>
              <w:kinsoku/>
              <w:wordWrap w:val="0"/>
              <w:overflowPunct/>
              <w:topLinePunct w:val="0"/>
              <w:bidi w:val="0"/>
              <w:rPr>
                <w:rFonts w:hint="eastAsia"/>
              </w:rPr>
            </w:pPr>
            <w:r>
              <w:rPr>
                <w:rFonts w:hint="eastAsia"/>
              </w:rPr>
              <w:t>6.3 其他</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eastAsia="zh-CN"/>
              </w:rPr>
              <w:t>。</w:t>
            </w:r>
          </w:p>
          <w:p w14:paraId="5422A36B">
            <w:pPr>
              <w:pageBreakBefore w:val="0"/>
              <w:kinsoku/>
              <w:wordWrap w:val="0"/>
              <w:overflowPunct/>
              <w:topLinePunct w:val="0"/>
              <w:bidi w:val="0"/>
              <w:rPr>
                <w:rFonts w:hint="eastAsia"/>
              </w:rPr>
            </w:pPr>
            <w:r>
              <w:rPr>
                <w:rFonts w:hint="eastAsia"/>
              </w:rPr>
              <w:t>第七条　包装要求</w:t>
            </w:r>
          </w:p>
          <w:p w14:paraId="242709BB">
            <w:pPr>
              <w:pageBreakBefore w:val="0"/>
              <w:kinsoku/>
              <w:wordWrap w:val="0"/>
              <w:overflowPunct/>
              <w:topLinePunct w:val="0"/>
              <w:bidi w:val="0"/>
              <w:rPr>
                <w:rFonts w:hint="eastAsia"/>
                <w:b/>
                <w:bCs/>
                <w:color w:val="FF0000"/>
                <w:lang w:eastAsia="zh-CN"/>
              </w:rPr>
            </w:pPr>
            <w:r>
              <w:rPr>
                <w:rFonts w:hint="eastAsia"/>
                <w:b/>
                <w:bCs/>
                <w:color w:val="FF0000"/>
              </w:rPr>
              <w:t>7.1 除合同另有规定外，乙方提供的全部货物均应按标准保护措施进行包装。该包装应适应于远距离运输、防潮、防震、防锈和防野蛮装卸，以确保货物安全无损运抵指定地点。甲方签收货物并验收合格前货物毁损灭失的风险均由乙方承担。</w:t>
            </w:r>
          </w:p>
          <w:p w14:paraId="491D2475">
            <w:pPr>
              <w:pageBreakBefore w:val="0"/>
              <w:kinsoku/>
              <w:wordWrap w:val="0"/>
              <w:overflowPunct/>
              <w:topLinePunct w:val="0"/>
              <w:bidi w:val="0"/>
              <w:rPr>
                <w:rFonts w:hint="eastAsia" w:asciiTheme="minorEastAsia" w:hAnsiTheme="minorEastAsia" w:eastAsiaTheme="minorEastAsia" w:cstheme="minorEastAsia"/>
                <w:color w:val="auto"/>
                <w:szCs w:val="24"/>
                <w:highlight w:val="none"/>
              </w:rPr>
            </w:pPr>
            <w:r>
              <w:rPr>
                <w:rFonts w:hint="eastAsia"/>
              </w:rPr>
              <w:t>7.2 每一包装单元内应附详细的装箱单和质量合格凭证。</w:t>
            </w:r>
          </w:p>
          <w:p w14:paraId="5B590E13">
            <w:pPr>
              <w:pageBreakBefore w:val="0"/>
              <w:kinsoku/>
              <w:wordWrap w:val="0"/>
              <w:overflowPunct/>
              <w:topLinePunct w:val="0"/>
              <w:bidi w:val="0"/>
              <w:rPr>
                <w:rFonts w:hint="eastAsia"/>
              </w:rPr>
            </w:pPr>
            <w:r>
              <w:rPr>
                <w:rFonts w:hint="eastAsia"/>
              </w:rPr>
              <w:t>第八条　交货时间、方式、地点</w:t>
            </w:r>
          </w:p>
          <w:p w14:paraId="1EDC09DF">
            <w:pPr>
              <w:pageBreakBefore w:val="0"/>
              <w:kinsoku/>
              <w:wordWrap w:val="0"/>
              <w:overflowPunct/>
              <w:topLinePunct w:val="0"/>
              <w:bidi w:val="0"/>
              <w:rPr>
                <w:rFonts w:hint="eastAsia"/>
                <w:u w:val="single"/>
                <w:lang w:val="en-US" w:eastAsia="zh-CN"/>
              </w:rPr>
            </w:pPr>
            <w:r>
              <w:rPr>
                <w:rFonts w:hint="eastAsia"/>
              </w:rPr>
              <w:t>8.1 乙方应按照本合同或招标文件规定的时间和方式向甲方交付货物，</w:t>
            </w:r>
            <w:r>
              <w:rPr>
                <w:rFonts w:hint="eastAsia"/>
                <w:lang w:val="en-US" w:eastAsia="zh-CN"/>
              </w:rPr>
              <w:t>交货时间</w:t>
            </w:r>
            <w:r>
              <w:rPr>
                <w:rFonts w:hint="eastAsia"/>
                <w:lang w:eastAsia="zh-CN"/>
              </w:rPr>
              <w:t>：</w:t>
            </w:r>
            <w:r>
              <w:rPr>
                <w:rFonts w:hint="eastAsia"/>
                <w:b/>
                <w:bCs/>
                <w:color w:val="FF0000"/>
                <w:u w:val="single"/>
                <w:lang w:val="en-US" w:eastAsia="zh-CN"/>
              </w:rPr>
              <w:t>因本项目服务期为一年，统一采购、分次供货，中标供应商应按采购人要求的时间前完成供货；</w:t>
            </w:r>
          </w:p>
          <w:p w14:paraId="153E46E6">
            <w:pPr>
              <w:pageBreakBefore w:val="0"/>
              <w:kinsoku/>
              <w:wordWrap w:val="0"/>
              <w:overflowPunct/>
              <w:topLinePunct w:val="0"/>
              <w:bidi w:val="0"/>
              <w:rPr>
                <w:rFonts w:hint="eastAsia"/>
                <w:lang w:eastAsia="zh-CN"/>
              </w:rPr>
            </w:pPr>
            <w:r>
              <w:rPr>
                <w:rFonts w:hint="eastAsia"/>
              </w:rPr>
              <w:t>交货地点</w:t>
            </w:r>
            <w:r>
              <w:rPr>
                <w:rFonts w:hint="eastAsia"/>
                <w:lang w:eastAsia="zh-CN"/>
              </w:rPr>
              <w:t>：</w:t>
            </w:r>
            <w:r>
              <w:rPr>
                <w:rFonts w:hint="eastAsia"/>
                <w:b/>
                <w:bCs/>
                <w:color w:val="FF0000"/>
                <w:u w:val="single"/>
                <w:lang w:val="en-US" w:eastAsia="zh-CN"/>
              </w:rPr>
              <w:t>因本项目服务期为一年，统一采购、分次供货，中标供应商应将货物运送至按采购人要求的地址</w:t>
            </w:r>
            <w:r>
              <w:rPr>
                <w:rFonts w:hint="eastAsia"/>
                <w:lang w:eastAsia="zh-CN"/>
              </w:rPr>
              <w:t>。</w:t>
            </w:r>
          </w:p>
          <w:p w14:paraId="77641F8C">
            <w:pPr>
              <w:pageBreakBefore w:val="0"/>
              <w:kinsoku/>
              <w:wordWrap w:val="0"/>
              <w:overflowPunct/>
              <w:topLinePunct w:val="0"/>
              <w:bidi w:val="0"/>
              <w:rPr>
                <w:rFonts w:hint="eastAsia"/>
                <w:lang w:eastAsia="zh-CN"/>
              </w:rPr>
            </w:pPr>
            <w:r>
              <w:rPr>
                <w:rFonts w:hint="eastAsia"/>
              </w:rPr>
              <w:t xml:space="preserve">8.2 </w:t>
            </w:r>
            <w:r>
              <w:rPr>
                <w:rFonts w:hint="eastAsia"/>
                <w:lang w:eastAsia="zh-CN"/>
              </w:rPr>
              <w:t>乙方</w:t>
            </w:r>
            <w:r>
              <w:rPr>
                <w:rFonts w:hint="eastAsia"/>
              </w:rPr>
              <w:t>交付的货物</w:t>
            </w:r>
            <w:r>
              <w:rPr>
                <w:rFonts w:hint="eastAsia"/>
                <w:lang w:eastAsia="zh-CN"/>
              </w:rPr>
              <w:t>应</w:t>
            </w:r>
            <w:r>
              <w:rPr>
                <w:rFonts w:hint="eastAsia"/>
              </w:rPr>
              <w:t>完全符合本合同或者招标文件所规定的货物、数量和规格要求。</w:t>
            </w:r>
            <w:r>
              <w:rPr>
                <w:rFonts w:hint="eastAsia"/>
                <w:lang w:eastAsia="zh-CN"/>
              </w:rPr>
              <w:t>乙方</w:t>
            </w:r>
            <w:r>
              <w:rPr>
                <w:rFonts w:hint="eastAsia"/>
              </w:rPr>
              <w:t>不得少交或多交货物。</w:t>
            </w:r>
            <w:r>
              <w:rPr>
                <w:rFonts w:hint="eastAsia"/>
                <w:lang w:eastAsia="zh-CN"/>
              </w:rPr>
              <w:t>乙方</w:t>
            </w:r>
            <w:r>
              <w:rPr>
                <w:rFonts w:hint="eastAsia"/>
              </w:rPr>
              <w:t>提供的货物不符合招标文件和合同规定的，</w:t>
            </w:r>
            <w:r>
              <w:rPr>
                <w:rFonts w:hint="eastAsia"/>
                <w:lang w:eastAsia="zh-CN"/>
              </w:rPr>
              <w:t>甲方</w:t>
            </w:r>
            <w:r>
              <w:rPr>
                <w:rFonts w:hint="eastAsia"/>
              </w:rPr>
              <w:t>有权拒收货物，由此引起的风险，由</w:t>
            </w:r>
            <w:r>
              <w:rPr>
                <w:rFonts w:hint="eastAsia"/>
                <w:lang w:eastAsia="zh-CN"/>
              </w:rPr>
              <w:t>乙方</w:t>
            </w:r>
            <w:r>
              <w:rPr>
                <w:rFonts w:hint="eastAsia"/>
              </w:rPr>
              <w:t>承担</w:t>
            </w:r>
            <w:r>
              <w:rPr>
                <w:rFonts w:hint="eastAsia"/>
                <w:lang w:eastAsia="zh-CN"/>
              </w:rPr>
              <w:t>。</w:t>
            </w:r>
          </w:p>
          <w:p w14:paraId="2B2F2941">
            <w:pPr>
              <w:pageBreakBefore w:val="0"/>
              <w:kinsoku/>
              <w:wordWrap w:val="0"/>
              <w:overflowPunct/>
              <w:topLinePunct w:val="0"/>
              <w:bidi w:val="0"/>
              <w:rPr>
                <w:rFonts w:hint="eastAsia"/>
                <w:lang w:eastAsia="zh-CN"/>
              </w:rPr>
            </w:pPr>
            <w:r>
              <w:rPr>
                <w:rFonts w:hint="eastAsia"/>
              </w:rPr>
              <w:t>8.3 其他</w:t>
            </w:r>
            <w:r>
              <w:rPr>
                <w:rFonts w:hint="eastAsia"/>
                <w:lang w:eastAsia="zh-CN"/>
              </w:rPr>
              <w:t>：</w:t>
            </w:r>
          </w:p>
          <w:p w14:paraId="012C4562">
            <w:pPr>
              <w:spacing w:after="156"/>
              <w:rPr>
                <w:rFonts w:hint="default" w:eastAsia="仿宋"/>
                <w:b/>
                <w:bCs/>
                <w:color w:val="FF0000"/>
                <w:lang w:val="en-US" w:eastAsia="zh-CN"/>
              </w:rPr>
            </w:pPr>
            <w:r>
              <w:rPr>
                <w:rFonts w:hint="eastAsia"/>
                <w:b/>
                <w:bCs/>
                <w:color w:val="FF0000"/>
                <w:lang w:val="en-US" w:eastAsia="zh-CN"/>
              </w:rPr>
              <w:t>3.运输要求：</w:t>
            </w:r>
            <w:r>
              <w:rPr>
                <w:b/>
                <w:bCs/>
                <w:color w:val="FF0000"/>
              </w:rPr>
              <w:t>消防器材的包装和运输也应符合特定的安全标准，以防止在运输过程中对器材造成损坏。</w:t>
            </w:r>
            <w:r>
              <w:rPr>
                <w:rFonts w:hint="eastAsia"/>
                <w:b/>
                <w:bCs/>
                <w:color w:val="FF0000"/>
                <w:lang w:val="en-US" w:eastAsia="zh-CN"/>
              </w:rPr>
              <w:t>包括但不限于以下内容：</w:t>
            </w:r>
          </w:p>
          <w:p w14:paraId="63749B15">
            <w:pPr>
              <w:numPr>
                <w:ilvl w:val="0"/>
                <w:numId w:val="0"/>
              </w:numPr>
              <w:bidi w:val="0"/>
              <w:rPr>
                <w:b/>
                <w:bCs/>
                <w:color w:val="FF0000"/>
              </w:rPr>
            </w:pPr>
            <w:r>
              <w:rPr>
                <w:rFonts w:hint="eastAsia"/>
                <w:b/>
                <w:bCs/>
                <w:color w:val="FF0000"/>
                <w:lang w:val="en-US" w:eastAsia="zh-CN"/>
              </w:rPr>
              <w:t>3.1</w:t>
            </w:r>
            <w:r>
              <w:rPr>
                <w:b/>
                <w:bCs/>
                <w:color w:val="FF0000"/>
              </w:rPr>
              <w:t>确保消防器材包装牢固，防止在运输过程中发生损坏。</w:t>
            </w:r>
          </w:p>
          <w:p w14:paraId="345AA55A">
            <w:pPr>
              <w:numPr>
                <w:ilvl w:val="0"/>
                <w:numId w:val="0"/>
              </w:numPr>
              <w:bidi w:val="0"/>
              <w:rPr>
                <w:b/>
                <w:bCs/>
                <w:color w:val="FF0000"/>
              </w:rPr>
            </w:pPr>
            <w:r>
              <w:rPr>
                <w:rFonts w:hint="eastAsia"/>
                <w:b/>
                <w:bCs/>
                <w:color w:val="FF0000"/>
                <w:lang w:val="en-US" w:eastAsia="zh-CN"/>
              </w:rPr>
              <w:t>3.2</w:t>
            </w:r>
            <w:r>
              <w:rPr>
                <w:b/>
                <w:bCs/>
                <w:color w:val="FF0000"/>
              </w:rPr>
              <w:t>根据消防器材的种类和特性，选择合适的运输方式，如陆运、海运或空运。</w:t>
            </w:r>
          </w:p>
          <w:p w14:paraId="011839DB">
            <w:pPr>
              <w:numPr>
                <w:ilvl w:val="0"/>
                <w:numId w:val="0"/>
              </w:numPr>
              <w:bidi w:val="0"/>
              <w:rPr>
                <w:b/>
                <w:bCs/>
                <w:color w:val="FF0000"/>
              </w:rPr>
            </w:pPr>
            <w:r>
              <w:rPr>
                <w:rFonts w:hint="eastAsia"/>
                <w:b/>
                <w:bCs/>
                <w:color w:val="FF0000"/>
                <w:lang w:val="en-US" w:eastAsia="zh-CN"/>
              </w:rPr>
              <w:t>3.3</w:t>
            </w:r>
            <w:r>
              <w:rPr>
                <w:b/>
                <w:bCs/>
                <w:color w:val="FF0000"/>
              </w:rPr>
              <w:t>对于易燃、易爆或有毒的消防器材，必须遵守相关危险品运输规定。</w:t>
            </w:r>
          </w:p>
          <w:p w14:paraId="43C1DFE8">
            <w:pPr>
              <w:numPr>
                <w:ilvl w:val="0"/>
                <w:numId w:val="0"/>
              </w:numPr>
              <w:bidi w:val="0"/>
              <w:rPr>
                <w:b/>
                <w:bCs/>
                <w:color w:val="FF0000"/>
              </w:rPr>
            </w:pPr>
            <w:r>
              <w:rPr>
                <w:rFonts w:hint="eastAsia"/>
                <w:b/>
                <w:bCs/>
                <w:color w:val="FF0000"/>
                <w:lang w:val="en-US" w:eastAsia="zh-CN"/>
              </w:rPr>
              <w:t>3.4</w:t>
            </w:r>
            <w:r>
              <w:rPr>
                <w:b/>
                <w:bCs/>
                <w:color w:val="FF0000"/>
              </w:rPr>
              <w:t>运输车辆或容器应符合消防器材的特殊要求，如防震、防潮、防火等。</w:t>
            </w:r>
          </w:p>
          <w:p w14:paraId="2105C001">
            <w:pPr>
              <w:numPr>
                <w:ilvl w:val="0"/>
                <w:numId w:val="0"/>
              </w:numPr>
              <w:bidi w:val="0"/>
              <w:rPr>
                <w:b/>
                <w:bCs/>
                <w:color w:val="FF0000"/>
              </w:rPr>
            </w:pPr>
            <w:r>
              <w:rPr>
                <w:rFonts w:hint="eastAsia"/>
                <w:b/>
                <w:bCs/>
                <w:color w:val="FF0000"/>
                <w:lang w:val="en-US" w:eastAsia="zh-CN"/>
              </w:rPr>
              <w:t>3.5</w:t>
            </w:r>
            <w:r>
              <w:rPr>
                <w:b/>
                <w:bCs/>
                <w:color w:val="FF0000"/>
              </w:rPr>
              <w:t>运输过程中应有明确的标识和警示标志，确保运输人员和公众的安全。</w:t>
            </w:r>
          </w:p>
          <w:p w14:paraId="444693F6">
            <w:pPr>
              <w:numPr>
                <w:ilvl w:val="0"/>
                <w:numId w:val="0"/>
              </w:numPr>
              <w:bidi w:val="0"/>
              <w:rPr>
                <w:b/>
                <w:bCs/>
                <w:color w:val="FF0000"/>
              </w:rPr>
            </w:pPr>
            <w:r>
              <w:rPr>
                <w:rFonts w:hint="eastAsia"/>
                <w:b/>
                <w:bCs/>
                <w:color w:val="FF0000"/>
                <w:lang w:val="en-US" w:eastAsia="zh-CN"/>
              </w:rPr>
              <w:t>3.6</w:t>
            </w:r>
            <w:r>
              <w:rPr>
                <w:b/>
                <w:bCs/>
                <w:color w:val="FF0000"/>
              </w:rPr>
              <w:t>运输人员应接受专业培训，了解消防器材的性质和应急处理措施。</w:t>
            </w:r>
          </w:p>
          <w:p w14:paraId="3ED68113">
            <w:pPr>
              <w:numPr>
                <w:ilvl w:val="0"/>
                <w:numId w:val="0"/>
              </w:numPr>
              <w:bidi w:val="0"/>
              <w:rPr>
                <w:b/>
                <w:bCs/>
                <w:color w:val="FF0000"/>
              </w:rPr>
            </w:pPr>
            <w:r>
              <w:rPr>
                <w:rFonts w:hint="eastAsia"/>
                <w:b/>
                <w:bCs/>
                <w:color w:val="FF0000"/>
                <w:lang w:val="en-US" w:eastAsia="zh-CN"/>
              </w:rPr>
              <w:t>3.7</w:t>
            </w:r>
            <w:r>
              <w:rPr>
                <w:b/>
                <w:bCs/>
                <w:color w:val="FF0000"/>
              </w:rPr>
              <w:t>在运输前，应检查所有消防器材是否符合国家或地区的规定。</w:t>
            </w:r>
          </w:p>
          <w:p w14:paraId="50884F8B">
            <w:pPr>
              <w:numPr>
                <w:ilvl w:val="0"/>
                <w:numId w:val="0"/>
              </w:numPr>
              <w:bidi w:val="0"/>
              <w:rPr>
                <w:b/>
                <w:bCs/>
                <w:color w:val="FF0000"/>
              </w:rPr>
            </w:pPr>
            <w:r>
              <w:rPr>
                <w:rFonts w:hint="eastAsia"/>
                <w:b/>
                <w:bCs/>
                <w:color w:val="FF0000"/>
                <w:lang w:val="en-US" w:eastAsia="zh-CN"/>
              </w:rPr>
              <w:t>3.8</w:t>
            </w:r>
            <w:r>
              <w:rPr>
                <w:b/>
                <w:bCs/>
                <w:color w:val="FF0000"/>
              </w:rPr>
              <w:t>运输过程中，应定期检查消防器材的状态，确保其在运输过程中的安全。</w:t>
            </w:r>
          </w:p>
          <w:p w14:paraId="4902BD56">
            <w:pPr>
              <w:numPr>
                <w:ilvl w:val="0"/>
                <w:numId w:val="0"/>
              </w:numPr>
              <w:bidi w:val="0"/>
              <w:rPr>
                <w:b/>
                <w:bCs/>
                <w:color w:val="FF0000"/>
              </w:rPr>
            </w:pPr>
            <w:r>
              <w:rPr>
                <w:rFonts w:hint="eastAsia"/>
                <w:b/>
                <w:bCs/>
                <w:color w:val="FF0000"/>
                <w:lang w:val="en-US" w:eastAsia="zh-CN"/>
              </w:rPr>
              <w:t>3.9</w:t>
            </w:r>
            <w:r>
              <w:rPr>
                <w:b/>
                <w:bCs/>
                <w:color w:val="FF0000"/>
              </w:rPr>
              <w:t>到达目的地后，应按照规定程序进行卸载和储存，避免消防器材受损或失效。</w:t>
            </w:r>
          </w:p>
          <w:p w14:paraId="46C550FC">
            <w:pPr>
              <w:numPr>
                <w:ilvl w:val="0"/>
                <w:numId w:val="0"/>
              </w:numPr>
              <w:bidi w:val="0"/>
              <w:rPr>
                <w:b/>
                <w:bCs/>
                <w:color w:val="FF0000"/>
              </w:rPr>
            </w:pPr>
            <w:r>
              <w:rPr>
                <w:rFonts w:hint="eastAsia"/>
                <w:b/>
                <w:bCs/>
                <w:color w:val="FF0000"/>
                <w:lang w:val="en-US" w:eastAsia="zh-CN"/>
              </w:rPr>
              <w:t>3.10</w:t>
            </w:r>
            <w:r>
              <w:rPr>
                <w:b/>
                <w:bCs/>
                <w:color w:val="FF0000"/>
              </w:rPr>
              <w:t>对于需要特殊储存条件的消防器材，如低温或干燥环境，应在运输和储存过程中严格遵守相关要求。</w:t>
            </w:r>
          </w:p>
          <w:p w14:paraId="471A5570">
            <w:pPr>
              <w:numPr>
                <w:ilvl w:val="0"/>
                <w:numId w:val="0"/>
              </w:numPr>
              <w:bidi w:val="0"/>
              <w:rPr>
                <w:b/>
                <w:bCs/>
                <w:color w:val="FF0000"/>
              </w:rPr>
            </w:pPr>
            <w:r>
              <w:rPr>
                <w:rFonts w:hint="eastAsia"/>
                <w:b/>
                <w:bCs/>
                <w:color w:val="FF0000"/>
                <w:lang w:val="en-US" w:eastAsia="zh-CN"/>
              </w:rPr>
              <w:t>3.11</w:t>
            </w:r>
            <w:r>
              <w:rPr>
                <w:b/>
                <w:bCs/>
                <w:color w:val="FF0000"/>
              </w:rPr>
              <w:t>在运输过程中，应建立完善的记录系统，详细记录消防器材的运输时间、地点、状态等信息，以便追踪和查询。</w:t>
            </w:r>
          </w:p>
          <w:p w14:paraId="3B8B413F">
            <w:pPr>
              <w:numPr>
                <w:ilvl w:val="0"/>
                <w:numId w:val="0"/>
              </w:numPr>
              <w:bidi w:val="0"/>
              <w:rPr>
                <w:b/>
                <w:bCs/>
                <w:color w:val="FF0000"/>
              </w:rPr>
            </w:pPr>
            <w:r>
              <w:rPr>
                <w:rFonts w:hint="eastAsia"/>
                <w:b/>
                <w:bCs/>
                <w:color w:val="FF0000"/>
                <w:lang w:val="en-US" w:eastAsia="zh-CN"/>
              </w:rPr>
              <w:t>3.12</w:t>
            </w:r>
            <w:r>
              <w:rPr>
                <w:b/>
                <w:bCs/>
                <w:color w:val="FF0000"/>
              </w:rPr>
              <w:t>若在运输过程中发现消防器材有损坏或失效迹象，应立即停止运输，并联系专业人员进行处理。</w:t>
            </w:r>
          </w:p>
          <w:p w14:paraId="53B726CC">
            <w:pPr>
              <w:numPr>
                <w:ilvl w:val="0"/>
                <w:numId w:val="0"/>
              </w:numPr>
              <w:bidi w:val="0"/>
              <w:rPr>
                <w:b/>
                <w:bCs/>
                <w:color w:val="FF0000"/>
              </w:rPr>
            </w:pPr>
            <w:r>
              <w:rPr>
                <w:rFonts w:hint="eastAsia"/>
                <w:b/>
                <w:bCs/>
                <w:color w:val="FF0000"/>
                <w:lang w:val="en-US" w:eastAsia="zh-CN"/>
              </w:rPr>
              <w:t>3.13</w:t>
            </w:r>
            <w:r>
              <w:rPr>
                <w:b/>
                <w:bCs/>
                <w:color w:val="FF0000"/>
              </w:rPr>
              <w:t>对于大型或重型消防器材，在运输过程中应使用专业的吊装和搬运工具，确保操作安全。</w:t>
            </w:r>
          </w:p>
          <w:p w14:paraId="09DEB5EA">
            <w:pPr>
              <w:numPr>
                <w:ilvl w:val="0"/>
                <w:numId w:val="0"/>
              </w:numPr>
              <w:bidi w:val="0"/>
              <w:rPr>
                <w:b/>
                <w:bCs/>
                <w:color w:val="FF0000"/>
              </w:rPr>
            </w:pPr>
            <w:r>
              <w:rPr>
                <w:rFonts w:hint="eastAsia"/>
                <w:b/>
                <w:bCs/>
                <w:color w:val="FF0000"/>
                <w:lang w:val="en-US" w:eastAsia="zh-CN"/>
              </w:rPr>
              <w:t>3.14</w:t>
            </w:r>
            <w:r>
              <w:rPr>
                <w:b/>
                <w:bCs/>
                <w:color w:val="FF0000"/>
              </w:rPr>
              <w:t>在运输易燃易爆消防器材时，应严禁烟火，并配备相应的灭火器材和应急处理设备。</w:t>
            </w:r>
          </w:p>
          <w:p w14:paraId="7CC3AFBC">
            <w:pPr>
              <w:numPr>
                <w:ilvl w:val="0"/>
                <w:numId w:val="0"/>
              </w:numPr>
              <w:bidi w:val="0"/>
              <w:rPr>
                <w:b/>
                <w:bCs/>
                <w:color w:val="FF0000"/>
              </w:rPr>
            </w:pPr>
            <w:r>
              <w:rPr>
                <w:rFonts w:hint="eastAsia"/>
                <w:b/>
                <w:bCs/>
                <w:color w:val="FF0000"/>
                <w:lang w:val="en-US" w:eastAsia="zh-CN"/>
              </w:rPr>
              <w:t>3.15</w:t>
            </w:r>
            <w:r>
              <w:rPr>
                <w:b/>
                <w:bCs/>
                <w:color w:val="FF0000"/>
              </w:rPr>
              <w:t>运输完成后，应对运输车辆或容器进行彻底清洗和消毒，防止残留物对后续运输造成影响。</w:t>
            </w:r>
          </w:p>
          <w:p w14:paraId="4873C722">
            <w:pPr>
              <w:numPr>
                <w:ilvl w:val="0"/>
                <w:numId w:val="0"/>
              </w:numPr>
              <w:bidi w:val="0"/>
              <w:rPr>
                <w:b/>
                <w:bCs/>
                <w:color w:val="FF0000"/>
              </w:rPr>
            </w:pPr>
            <w:r>
              <w:rPr>
                <w:rFonts w:hint="eastAsia"/>
                <w:b/>
                <w:bCs/>
                <w:color w:val="FF0000"/>
                <w:lang w:val="en-US" w:eastAsia="zh-CN"/>
              </w:rPr>
              <w:t>3.16</w:t>
            </w:r>
            <w:r>
              <w:rPr>
                <w:b/>
                <w:bCs/>
                <w:color w:val="FF0000"/>
              </w:rPr>
              <w:t>定期对运输人员进行培训和考核，确保其熟悉消防器材的运输要求和应急处理措施，提高运输安全性。</w:t>
            </w:r>
          </w:p>
          <w:p w14:paraId="3F4574FE">
            <w:pPr>
              <w:numPr>
                <w:ilvl w:val="0"/>
                <w:numId w:val="0"/>
              </w:numPr>
              <w:bidi w:val="0"/>
              <w:rPr>
                <w:rFonts w:hint="eastAsia"/>
                <w:b/>
                <w:bCs/>
                <w:color w:val="FF0000"/>
              </w:rPr>
            </w:pPr>
            <w:r>
              <w:rPr>
                <w:rFonts w:hint="eastAsia"/>
                <w:b/>
                <w:bCs/>
                <w:color w:val="FF0000"/>
              </w:rPr>
              <w:t>4.供货时货物外观应清洁，标记编号以及盘面显示等字体清晰、明确。铭牌、使用指示、警告指示应以中文或英文及易懂的通用符号来表示，应准确无误地表明货物之型号、规格、品牌、厂家、原产地及生产或出厂日期，应与招标文件、投标文件和合同保持一致。</w:t>
            </w:r>
          </w:p>
          <w:p w14:paraId="6199DEFD">
            <w:pPr>
              <w:pageBreakBefore w:val="0"/>
              <w:kinsoku/>
              <w:wordWrap w:val="0"/>
              <w:overflowPunct/>
              <w:topLinePunct w:val="0"/>
              <w:bidi w:val="0"/>
              <w:rPr>
                <w:rFonts w:hint="eastAsia"/>
                <w:b/>
                <w:bCs/>
                <w:color w:val="FF0000"/>
                <w:lang w:eastAsia="zh-CN"/>
              </w:rPr>
            </w:pPr>
            <w:r>
              <w:rPr>
                <w:rFonts w:hint="eastAsia"/>
                <w:b/>
                <w:bCs/>
                <w:color w:val="FF0000"/>
              </w:rPr>
              <w:t>5.采购人根据情况，随机抽取供方的灭火器、消防水带、室内外消火栓、接口、消防应急灯、消防指示灯等产品到浙江省消防救援总队质检站进行质量检测，检测费由供方承担。如果产品不合格，采购人可以单方解除本合同，是否还要求乙方赔偿？。</w:t>
            </w:r>
          </w:p>
          <w:p w14:paraId="60816340">
            <w:pPr>
              <w:pageBreakBefore w:val="0"/>
              <w:kinsoku/>
              <w:wordWrap w:val="0"/>
              <w:overflowPunct/>
              <w:topLinePunct w:val="0"/>
              <w:bidi w:val="0"/>
              <w:rPr>
                <w:rFonts w:hint="eastAsia"/>
              </w:rPr>
            </w:pPr>
            <w:r>
              <w:rPr>
                <w:rFonts w:hint="eastAsia"/>
              </w:rPr>
              <w:t>第九条  检验和验收</w:t>
            </w:r>
          </w:p>
          <w:p w14:paraId="06E56F7D">
            <w:pPr>
              <w:pageBreakBefore w:val="0"/>
              <w:kinsoku/>
              <w:wordWrap w:val="0"/>
              <w:overflowPunct/>
              <w:topLinePunct w:val="0"/>
              <w:bidi w:val="0"/>
              <w:rPr>
                <w:rFonts w:hint="eastAsia"/>
                <w:lang w:eastAsia="zh-CN"/>
              </w:rPr>
            </w:pPr>
            <w:r>
              <w:rPr>
                <w:rFonts w:hint="eastAsia"/>
              </w:rPr>
              <w:t>9.1 乙方应将所提供货物的装箱清单、用户手册、原厂保修卡、随机资料及配件、随机工具等交付给甲方；乙方不能完整交付货物及本款规定的单证和工具的，视为乙方未按合同约定交货，按本合同13.4条逾期交货处理。</w:t>
            </w:r>
          </w:p>
          <w:p w14:paraId="2EF04613">
            <w:pPr>
              <w:pageBreakBefore w:val="0"/>
              <w:kinsoku/>
              <w:wordWrap w:val="0"/>
              <w:overflowPunct/>
              <w:topLinePunct w:val="0"/>
              <w:bidi w:val="0"/>
            </w:pPr>
            <w:r>
              <w:rPr>
                <w:rFonts w:hint="eastAsia"/>
              </w:rPr>
              <w:t>9.2货物的到货验收包括：型号、规格、数量、外观质量、及货物包装是否完好；甲方须按照采购合同规定或招标文件的技术、服务等要求组织对供应商履约的验收，并出具验收书，验收书应当包括每一项技术、服务等要求的履约情况。验收方成员应当在验收书上签字，并承担相应的法律责任。</w:t>
            </w:r>
          </w:p>
          <w:p w14:paraId="379283B4">
            <w:pPr>
              <w:pageBreakBefore w:val="0"/>
              <w:kinsoku/>
              <w:wordWrap w:val="0"/>
              <w:overflowPunct/>
              <w:topLinePunct w:val="0"/>
              <w:bidi w:val="0"/>
              <w:rPr>
                <w:rFonts w:hint="eastAsia"/>
                <w:lang w:eastAsia="zh-CN"/>
              </w:rPr>
            </w:pPr>
            <w:r>
              <w:rPr>
                <w:rFonts w:hint="eastAsia"/>
              </w:rPr>
              <w:t>大型或者复杂的项目，甲方应当邀请国家认可的质量检测机构参加验收。</w:t>
            </w:r>
          </w:p>
          <w:p w14:paraId="63A2C65E">
            <w:pPr>
              <w:pageBreakBefore w:val="0"/>
              <w:kinsoku/>
              <w:wordWrap w:val="0"/>
              <w:overflowPunct/>
              <w:topLinePunct w:val="0"/>
              <w:bidi w:val="0"/>
              <w:rPr>
                <w:rFonts w:hint="eastAsia"/>
              </w:rPr>
            </w:pPr>
            <w:r>
              <w:rPr>
                <w:rFonts w:hint="eastAsia"/>
                <w:lang w:val="en-US" w:eastAsia="zh-CN"/>
              </w:rPr>
              <w:t>9.3甲方应当在到货后的</w:t>
            </w:r>
            <w:r>
              <w:rPr>
                <w:rFonts w:hint="eastAsia"/>
                <w:b w:val="0"/>
                <w:bCs w:val="0"/>
                <w:color w:val="FF0000"/>
                <w:u w:val="single"/>
                <w:lang w:val="en-US" w:eastAsia="zh-CN"/>
              </w:rPr>
              <w:t>7</w:t>
            </w:r>
            <w:r>
              <w:rPr>
                <w:rFonts w:hint="eastAsia"/>
                <w:lang w:val="en-US" w:eastAsia="zh-CN"/>
              </w:rPr>
              <w:t>个工作日内对货物进行验收；需要乙方对货物或系统进行安装调试的，甲方应在货物安装调试完毕后的</w:t>
            </w:r>
            <w:r>
              <w:rPr>
                <w:rFonts w:hint="eastAsia"/>
                <w:b w:val="0"/>
                <w:bCs w:val="0"/>
                <w:color w:val="FF0000"/>
                <w:u w:val="single"/>
                <w:lang w:val="en-US" w:eastAsia="zh-CN"/>
              </w:rPr>
              <w:t>7</w:t>
            </w:r>
            <w:r>
              <w:rPr>
                <w:rFonts w:hint="eastAsia"/>
                <w:lang w:val="en-US" w:eastAsia="zh-CN"/>
              </w:rPr>
              <w:t>个工作日内进行质量验收。验收合格的，由甲方签署验收单并加盖单位公章。招标文件对检验期限另有规定的，从其规定。</w:t>
            </w:r>
          </w:p>
          <w:p w14:paraId="7FF82929">
            <w:pPr>
              <w:pageBreakBefore w:val="0"/>
              <w:kinsoku/>
              <w:wordWrap w:val="0"/>
              <w:overflowPunct/>
              <w:topLinePunct w:val="0"/>
              <w:bidi w:val="0"/>
              <w:rPr>
                <w:rFonts w:hint="eastAsia"/>
              </w:rPr>
            </w:pPr>
            <w:r>
              <w:rPr>
                <w:rFonts w:hint="eastAsia"/>
              </w:rPr>
              <w:t>9.4货物和系统调试验收的标准：按行业通行标准、厂方出厂标准和乙方投标文件的承诺（详见合同附件载明的标准，并不低于国家相关标准）。</w:t>
            </w:r>
          </w:p>
          <w:p w14:paraId="69BBE701">
            <w:pPr>
              <w:pageBreakBefore w:val="0"/>
              <w:kinsoku/>
              <w:wordWrap w:val="0"/>
              <w:overflowPunct/>
              <w:topLinePunct w:val="0"/>
              <w:bidi w:val="0"/>
              <w:rPr>
                <w:rFonts w:hint="eastAsia"/>
              </w:rPr>
            </w:pPr>
            <w:r>
              <w:rPr>
                <w:rFonts w:hint="eastAsia"/>
              </w:rPr>
              <w:t>9.5甲方有在货物制造过程中派员监造的权利，乙方有义务为甲方监造人员行使该权利提供方便。</w:t>
            </w:r>
          </w:p>
          <w:p w14:paraId="76E84D39">
            <w:pPr>
              <w:pageBreakBefore w:val="0"/>
              <w:kinsoku/>
              <w:wordWrap w:val="0"/>
              <w:overflowPunct/>
              <w:topLinePunct w:val="0"/>
              <w:bidi w:val="0"/>
              <w:rPr>
                <w:rFonts w:hint="eastAsia"/>
              </w:rPr>
            </w:pPr>
            <w:r>
              <w:rPr>
                <w:rFonts w:hint="eastAsia"/>
              </w:rPr>
              <w:t>9.6制造厂对所供货物进行机械运转试验和性能试验时，乙方需提前通知甲方。</w:t>
            </w:r>
          </w:p>
          <w:p w14:paraId="66A21CE2">
            <w:pPr>
              <w:pageBreakBefore w:val="0"/>
              <w:kinsoku/>
              <w:wordWrap w:val="0"/>
              <w:overflowPunct/>
              <w:topLinePunct w:val="0"/>
              <w:bidi w:val="0"/>
              <w:rPr>
                <w:rFonts w:hint="eastAsia"/>
              </w:rPr>
            </w:pPr>
            <w:r>
              <w:rPr>
                <w:rFonts w:hint="eastAsia"/>
              </w:rPr>
              <w:t>9.7本项目第三方参与验收：</w:t>
            </w:r>
          </w:p>
          <w:p w14:paraId="648ED470">
            <w:pPr>
              <w:bidi w:val="0"/>
              <w:rPr>
                <w:rFonts w:hint="default" w:eastAsia="仿宋"/>
                <w:b/>
                <w:bCs/>
                <w:color w:val="FF0000"/>
                <w:lang w:val="en-US" w:eastAsia="zh-CN"/>
              </w:rPr>
            </w:pPr>
            <w:r>
              <w:rPr>
                <w:rFonts w:hint="eastAsia"/>
                <w:b/>
                <w:bCs/>
                <w:color w:val="FF0000"/>
                <w:lang w:val="en-US" w:eastAsia="zh-CN"/>
              </w:rPr>
              <w:t>采购人将组建履约验收小组（</w:t>
            </w:r>
            <w:r>
              <w:rPr>
                <w:b/>
                <w:bCs/>
                <w:color w:val="FF0000"/>
              </w:rPr>
              <w:t>专业人员</w:t>
            </w:r>
            <w:r>
              <w:rPr>
                <w:rFonts w:hint="eastAsia"/>
                <w:b/>
                <w:bCs/>
                <w:color w:val="FF0000"/>
                <w:lang w:val="en-US" w:eastAsia="zh-CN"/>
              </w:rPr>
              <w:t>及履约验收专家组成），对供应商所提供的所有产品进行履约验收，</w:t>
            </w:r>
            <w:r>
              <w:rPr>
                <w:b/>
                <w:bCs/>
                <w:color w:val="FF0000"/>
              </w:rPr>
              <w:t>并详细记录验收过程。验收记录应包括验收时间、验收人员、存在的问题及处理意见等。这些记录将作为器材验收合格的证明文件，同时也是日后维护和管理的重要参考资料。</w:t>
            </w:r>
            <w:r>
              <w:rPr>
                <w:rFonts w:hint="eastAsia"/>
                <w:b/>
                <w:bCs/>
                <w:color w:val="FF0000"/>
                <w:lang w:val="en-US" w:eastAsia="zh-CN"/>
              </w:rPr>
              <w:t>验收内容如下（包括但不限于）：</w:t>
            </w:r>
          </w:p>
          <w:p w14:paraId="48BE29A5">
            <w:pPr>
              <w:bidi w:val="0"/>
              <w:rPr>
                <w:b/>
                <w:bCs/>
                <w:color w:val="FF0000"/>
              </w:rPr>
            </w:pPr>
            <w:r>
              <w:rPr>
                <w:rFonts w:hint="default"/>
                <w:b/>
                <w:bCs/>
                <w:color w:val="FF0000"/>
                <w:lang w:val="en-US" w:eastAsia="zh-CN"/>
              </w:rPr>
              <w:t>▲</w:t>
            </w:r>
            <w:r>
              <w:rPr>
                <w:rFonts w:hint="eastAsia"/>
                <w:b/>
                <w:bCs/>
                <w:color w:val="FF0000"/>
                <w:lang w:val="en-US" w:eastAsia="zh-CN"/>
              </w:rPr>
              <w:t>1.</w:t>
            </w:r>
            <w:r>
              <w:rPr>
                <w:b/>
                <w:bCs/>
                <w:color w:val="FF0000"/>
              </w:rPr>
              <w:t>所有消防器材必须严格遵守国家消防产品标准，并且必须附带完整的合格证明文件。这些文件包括但不限于产品合格证、检验报告以及相关的质量认证标志，以确保每一件器材都经过了严格的检测和质量控制。</w:t>
            </w:r>
          </w:p>
          <w:p w14:paraId="3452CB45">
            <w:pPr>
              <w:bidi w:val="0"/>
              <w:rPr>
                <w:b/>
                <w:bCs/>
                <w:color w:val="FF0000"/>
              </w:rPr>
            </w:pPr>
            <w:r>
              <w:rPr>
                <w:rFonts w:hint="default"/>
                <w:b/>
                <w:bCs/>
                <w:color w:val="FF0000"/>
                <w:lang w:val="en-US" w:eastAsia="zh-CN"/>
              </w:rPr>
              <w:t>▲</w:t>
            </w:r>
            <w:r>
              <w:rPr>
                <w:rFonts w:hint="eastAsia"/>
                <w:b/>
                <w:bCs/>
                <w:color w:val="FF0000"/>
                <w:lang w:val="en-US" w:eastAsia="zh-CN"/>
              </w:rPr>
              <w:t>2.</w:t>
            </w:r>
            <w:r>
              <w:rPr>
                <w:b/>
                <w:bCs/>
                <w:color w:val="FF0000"/>
              </w:rPr>
              <w:t>消防器材的规格、型号和数量必须与设计要求和合同条款</w:t>
            </w:r>
            <w:r>
              <w:rPr>
                <w:rFonts w:hint="eastAsia"/>
                <w:b/>
                <w:bCs/>
                <w:color w:val="FF0000"/>
                <w:lang w:val="en-US" w:eastAsia="zh-CN"/>
              </w:rPr>
              <w:t>及采购文件要求</w:t>
            </w:r>
            <w:r>
              <w:rPr>
                <w:b/>
                <w:bCs/>
                <w:color w:val="FF0000"/>
              </w:rPr>
              <w:t>完全一致。在验收过程中，应仔细核对每一件器材的规格型号，确保没有遗漏或错误，以保证消防系统的完整性和有效性。</w:t>
            </w:r>
          </w:p>
          <w:p w14:paraId="253AC52C">
            <w:pPr>
              <w:bidi w:val="0"/>
              <w:rPr>
                <w:b/>
                <w:bCs/>
                <w:color w:val="FF0000"/>
              </w:rPr>
            </w:pPr>
            <w:r>
              <w:rPr>
                <w:rFonts w:hint="eastAsia"/>
                <w:b/>
                <w:bCs/>
                <w:color w:val="FF0000"/>
                <w:lang w:val="en-US" w:eastAsia="zh-CN"/>
              </w:rPr>
              <w:t>3.</w:t>
            </w:r>
            <w:r>
              <w:rPr>
                <w:b/>
                <w:bCs/>
                <w:color w:val="FF0000"/>
              </w:rPr>
              <w:t>消防器材的外观应无明显缺陷，如裂纹、变形、锈蚀、损坏等。在验收时，应细致检查器材的每一个角落，确保其外观完好无损，因为任何微小的瑕疵都可能影响器材的性能和使用寿命。</w:t>
            </w:r>
          </w:p>
          <w:p w14:paraId="63BB9B72">
            <w:pPr>
              <w:bidi w:val="0"/>
              <w:rPr>
                <w:b/>
                <w:bCs/>
                <w:color w:val="FF0000"/>
              </w:rPr>
            </w:pPr>
            <w:r>
              <w:rPr>
                <w:rFonts w:hint="eastAsia"/>
                <w:b/>
                <w:bCs/>
                <w:color w:val="FF0000"/>
                <w:lang w:val="en-US" w:eastAsia="zh-CN"/>
              </w:rPr>
              <w:t>4.</w:t>
            </w:r>
            <w:r>
              <w:rPr>
                <w:b/>
                <w:bCs/>
                <w:color w:val="FF0000"/>
              </w:rPr>
              <w:t>消防器材的安装位置、方向和高度应严格遵守设计规范和相关标准。安装人员应根据设计图纸和说明书进行精确安装，确保器材在最佳位置发挥最大效能。</w:t>
            </w:r>
          </w:p>
          <w:p w14:paraId="3A219887">
            <w:pPr>
              <w:pageBreakBefore w:val="0"/>
              <w:kinsoku/>
              <w:wordWrap w:val="0"/>
              <w:overflowPunct/>
              <w:topLinePunct w:val="0"/>
              <w:bidi w:val="0"/>
              <w:rPr>
                <w:rFonts w:hint="eastAsia"/>
              </w:rPr>
            </w:pPr>
            <w:r>
              <w:rPr>
                <w:rFonts w:hint="eastAsia"/>
                <w:b/>
                <w:bCs/>
                <w:color w:val="FF0000"/>
                <w:lang w:val="en-US" w:eastAsia="zh-CN"/>
              </w:rPr>
              <w:t>5.</w:t>
            </w:r>
            <w:r>
              <w:rPr>
                <w:b/>
                <w:bCs/>
                <w:color w:val="FF0000"/>
              </w:rPr>
              <w:t>应对消防器材进行功能测试，确保其在正常工作环境下能正常启动和运行。功能测试应模拟实际使用情况，以验证器材的响应时间和操作性能是否达到设计要求。</w:t>
            </w:r>
          </w:p>
          <w:p w14:paraId="6EDA2DD1">
            <w:pPr>
              <w:pageBreakBefore w:val="0"/>
              <w:kinsoku/>
              <w:wordWrap w:val="0"/>
              <w:overflowPunct/>
              <w:topLinePunct w:val="0"/>
              <w:bidi w:val="0"/>
              <w:rPr>
                <w:rFonts w:hint="eastAsia"/>
                <w:lang w:eastAsia="zh-CN"/>
              </w:rPr>
            </w:pPr>
            <w:r>
              <w:rPr>
                <w:rFonts w:hint="eastAsia"/>
                <w:lang w:val="en-US" w:eastAsia="zh-CN"/>
              </w:rPr>
              <w:t>9.8</w:t>
            </w:r>
            <w:r>
              <w:rPr>
                <w:rFonts w:hint="eastAsia"/>
              </w:rPr>
              <w:t>其他</w:t>
            </w:r>
            <w:r>
              <w:rPr>
                <w:rFonts w:hint="eastAsia"/>
                <w:lang w:eastAsia="zh-CN"/>
              </w:rPr>
              <w:t>：</w:t>
            </w:r>
          </w:p>
          <w:p w14:paraId="2270C56F">
            <w:pPr>
              <w:rPr>
                <w:rFonts w:hint="default"/>
                <w:b/>
                <w:bCs/>
                <w:color w:val="FF0000"/>
                <w:lang w:val="en-US" w:eastAsia="zh-CN"/>
              </w:rPr>
            </w:pPr>
            <w:r>
              <w:rPr>
                <w:rFonts w:hint="default"/>
                <w:b/>
                <w:bCs/>
                <w:color w:val="FF0000"/>
                <w:lang w:val="en-US" w:eastAsia="zh-CN"/>
              </w:rPr>
              <w:t>1）履约验收的时间：项目实施完成，供应商提交履约验收书面申请且经采购人确认后7日内完成履约验收。具体验收流程、程序以采购人要求为准。</w:t>
            </w:r>
          </w:p>
          <w:p w14:paraId="1BAC434B">
            <w:pPr>
              <w:rPr>
                <w:rFonts w:hint="default"/>
                <w:b/>
                <w:bCs/>
                <w:color w:val="FF0000"/>
                <w:lang w:val="en-US" w:eastAsia="zh-CN"/>
              </w:rPr>
            </w:pPr>
            <w:r>
              <w:rPr>
                <w:rFonts w:hint="default"/>
                <w:b/>
                <w:bCs/>
                <w:color w:val="FF0000"/>
                <w:lang w:val="en-US" w:eastAsia="zh-CN"/>
              </w:rPr>
              <w:t>2）验收标准：按相关文件、采购文件、技术要求及主要作业依据完成所有工作内容，按采购需求提交所有成果资料，实施进度符合采购要求。</w:t>
            </w:r>
          </w:p>
          <w:p w14:paraId="4634021B">
            <w:pPr>
              <w:rPr>
                <w:rFonts w:hint="eastAsia"/>
                <w:b/>
                <w:bCs/>
                <w:color w:val="FF0000"/>
                <w:lang w:eastAsia="zh-CN"/>
              </w:rPr>
            </w:pPr>
            <w:r>
              <w:rPr>
                <w:rFonts w:hint="default"/>
                <w:b/>
                <w:bCs/>
                <w:color w:val="FF0000"/>
                <w:lang w:val="en-US" w:eastAsia="zh-CN"/>
              </w:rPr>
              <w:t>3）验收费用由中标供应商承担。</w:t>
            </w:r>
          </w:p>
          <w:p w14:paraId="21F13FBF">
            <w:pPr>
              <w:pageBreakBefore w:val="0"/>
              <w:kinsoku/>
              <w:wordWrap w:val="0"/>
              <w:overflowPunct/>
              <w:topLinePunct w:val="0"/>
              <w:bidi w:val="0"/>
              <w:rPr>
                <w:rFonts w:hint="eastAsia"/>
              </w:rPr>
            </w:pPr>
            <w:r>
              <w:rPr>
                <w:rFonts w:hint="eastAsia"/>
              </w:rPr>
              <w:t>第十条　伴随服务／售后服务</w:t>
            </w:r>
          </w:p>
          <w:p w14:paraId="19ADE0BF">
            <w:pPr>
              <w:pageBreakBefore w:val="0"/>
              <w:kinsoku/>
              <w:wordWrap w:val="0"/>
              <w:overflowPunct/>
              <w:topLinePunct w:val="0"/>
              <w:bidi w:val="0"/>
            </w:pPr>
            <w:r>
              <w:rPr>
                <w:rFonts w:hint="eastAsia"/>
              </w:rPr>
              <w:t>10.1乙方应按照国家有关法律法规规章和“三包”规定以及合同所附的“服务承诺”提供服务。</w:t>
            </w:r>
          </w:p>
          <w:p w14:paraId="4B39DBDA">
            <w:pPr>
              <w:pageBreakBefore w:val="0"/>
              <w:kinsoku/>
              <w:wordWrap w:val="0"/>
              <w:overflowPunct/>
              <w:topLinePunct w:val="0"/>
              <w:bidi w:val="0"/>
            </w:pPr>
            <w:r>
              <w:rPr>
                <w:rFonts w:hint="eastAsia"/>
              </w:rPr>
              <w:t>10.2除前款规定外，乙方还应提供下列服务：</w:t>
            </w:r>
          </w:p>
          <w:p w14:paraId="533F8D0F">
            <w:pPr>
              <w:pageBreakBefore w:val="0"/>
              <w:kinsoku/>
              <w:wordWrap w:val="0"/>
              <w:overflowPunct/>
              <w:topLinePunct w:val="0"/>
              <w:bidi w:val="0"/>
            </w:pPr>
            <w:r>
              <w:rPr>
                <w:rFonts w:hint="eastAsia"/>
              </w:rPr>
              <w:t>10.2.1货物的现场安装、调试和/或启动监督；</w:t>
            </w:r>
          </w:p>
          <w:p w14:paraId="15D84CCB">
            <w:pPr>
              <w:pageBreakBefore w:val="0"/>
              <w:kinsoku/>
              <w:wordWrap w:val="0"/>
              <w:overflowPunct/>
              <w:topLinePunct w:val="0"/>
              <w:bidi w:val="0"/>
            </w:pPr>
            <w:r>
              <w:rPr>
                <w:rFonts w:hint="eastAsia"/>
              </w:rPr>
              <w:t>10.2.2就货物的安装、启动、运行及维护等对甲方人员进行培训。</w:t>
            </w:r>
          </w:p>
          <w:p w14:paraId="6DC3E27F">
            <w:pPr>
              <w:pageBreakBefore w:val="0"/>
              <w:kinsoku/>
              <w:wordWrap w:val="0"/>
              <w:overflowPunct/>
              <w:topLinePunct w:val="0"/>
              <w:bidi w:val="0"/>
            </w:pPr>
            <w:r>
              <w:rPr>
                <w:rFonts w:hint="eastAsia"/>
              </w:rPr>
              <w:t>10.2.3若招标文件中不包含有关伴随服务或售后服务的承诺，乙方同意仍为甲方提供如下服务：</w:t>
            </w:r>
          </w:p>
          <w:p w14:paraId="2736D361">
            <w:pPr>
              <w:pageBreakBefore w:val="0"/>
              <w:kinsoku/>
              <w:wordWrap w:val="0"/>
              <w:overflowPunct/>
              <w:topLinePunct w:val="0"/>
              <w:bidi w:val="0"/>
              <w:rPr>
                <w:u w:val="single"/>
              </w:rPr>
            </w:pPr>
            <w:r>
              <w:rPr>
                <w:rFonts w:hint="eastAsia"/>
              </w:rPr>
              <w:t xml:space="preserve"> </w:t>
            </w:r>
            <w:r>
              <w:rPr>
                <w:rFonts w:hint="eastAsia"/>
                <w:u w:val="single"/>
              </w:rPr>
              <w:t xml:space="preserve">                   </w:t>
            </w:r>
            <w:r>
              <w:rPr>
                <w:rFonts w:hint="eastAsia"/>
                <w:u w:val="single"/>
                <w:lang w:val="en-US" w:eastAsia="zh-CN"/>
              </w:rPr>
              <w:t xml:space="preserve">                                                           </w:t>
            </w:r>
          </w:p>
          <w:p w14:paraId="08E14708">
            <w:pPr>
              <w:pageBreakBefore w:val="0"/>
              <w:kinsoku/>
              <w:wordWrap w:val="0"/>
              <w:overflowPunct/>
              <w:topLinePunct w:val="0"/>
              <w:bidi w:val="0"/>
            </w:pPr>
            <w:r>
              <w:rPr>
                <w:rFonts w:hint="eastAsia"/>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240F5C6">
            <w:pPr>
              <w:pageBreakBefore w:val="0"/>
              <w:kinsoku/>
              <w:wordWrap w:val="0"/>
              <w:overflowPunct/>
              <w:topLinePunct w:val="0"/>
              <w:bidi w:val="0"/>
            </w:pPr>
            <w:r>
              <w:rPr>
                <w:rFonts w:hint="eastAsia"/>
              </w:rPr>
              <w:t>10.4保修期内，乙方负责对其提供的货物整机进行维修和系统维护，不再收取任何费用，但不可抗力（如火灾、雷击等）造成的故障除外。</w:t>
            </w:r>
          </w:p>
          <w:p w14:paraId="0FA5AF3A">
            <w:pPr>
              <w:pageBreakBefore w:val="0"/>
              <w:kinsoku/>
              <w:wordWrap w:val="0"/>
              <w:overflowPunct/>
              <w:topLinePunct w:val="0"/>
              <w:bidi w:val="0"/>
            </w:pPr>
            <w:r>
              <w:rPr>
                <w:rFonts w:hint="eastAsia"/>
              </w:rPr>
              <w:t>10.5货物故障报修的响应时间为：工作期间（星期一至星期</w:t>
            </w:r>
            <w:r>
              <w:rPr>
                <w:rFonts w:hint="eastAsia"/>
                <w:lang w:val="en-US" w:eastAsia="zh-CN"/>
              </w:rPr>
              <w:t>日00</w:t>
            </w:r>
            <w:r>
              <w:rPr>
                <w:rFonts w:hint="eastAsia"/>
              </w:rPr>
              <w:t>：00-</w:t>
            </w:r>
            <w:r>
              <w:rPr>
                <w:rFonts w:hint="eastAsia"/>
                <w:lang w:val="en-US" w:eastAsia="zh-CN"/>
              </w:rPr>
              <w:t>00</w:t>
            </w:r>
            <w:r>
              <w:rPr>
                <w:rFonts w:hint="eastAsia"/>
              </w:rPr>
              <w:t>：00）为</w:t>
            </w:r>
            <w:r>
              <w:rPr>
                <w:rFonts w:hint="eastAsia"/>
                <w:u w:val="single"/>
                <w:lang w:val="en-US" w:eastAsia="zh-CN"/>
              </w:rPr>
              <w:t>24</w:t>
            </w:r>
            <w:r>
              <w:rPr>
                <w:rFonts w:hint="eastAsia"/>
              </w:rPr>
              <w:t>时；</w:t>
            </w:r>
          </w:p>
          <w:p w14:paraId="54B496F3">
            <w:pPr>
              <w:pageBreakBefore w:val="0"/>
              <w:kinsoku/>
              <w:wordWrap w:val="0"/>
              <w:overflowPunct/>
              <w:topLinePunct w:val="0"/>
              <w:bidi w:val="0"/>
            </w:pPr>
            <w:r>
              <w:rPr>
                <w:rFonts w:hint="eastAsia"/>
              </w:rPr>
              <w:t>10.6货物故障报修的到达指定地点时间为：工作期间（星期一至星期</w:t>
            </w:r>
            <w:r>
              <w:rPr>
                <w:rFonts w:hint="eastAsia"/>
                <w:lang w:val="en-US" w:eastAsia="zh-CN"/>
              </w:rPr>
              <w:t>日00</w:t>
            </w:r>
            <w:r>
              <w:rPr>
                <w:rFonts w:hint="eastAsia"/>
              </w:rPr>
              <w:t>：00-</w:t>
            </w:r>
            <w:r>
              <w:rPr>
                <w:rFonts w:hint="eastAsia"/>
                <w:lang w:val="en-US" w:eastAsia="zh-CN"/>
              </w:rPr>
              <w:t>00</w:t>
            </w:r>
            <w:r>
              <w:rPr>
                <w:rFonts w:hint="eastAsia"/>
              </w:rPr>
              <w:t>：00）为</w:t>
            </w:r>
            <w:r>
              <w:rPr>
                <w:rFonts w:hint="eastAsia"/>
                <w:u w:val="single"/>
                <w:lang w:val="en-US" w:eastAsia="zh-CN"/>
              </w:rPr>
              <w:t>24</w:t>
            </w:r>
            <w:r>
              <w:rPr>
                <w:rFonts w:hint="eastAsia"/>
              </w:rPr>
              <w:t>时；。</w:t>
            </w:r>
          </w:p>
          <w:p w14:paraId="38AD4380">
            <w:pPr>
              <w:pageBreakBefore w:val="0"/>
              <w:kinsoku/>
              <w:wordWrap w:val="0"/>
              <w:overflowPunct/>
              <w:topLinePunct w:val="0"/>
              <w:bidi w:val="0"/>
            </w:pPr>
            <w:r>
              <w:rPr>
                <w:rFonts w:hint="eastAsia"/>
              </w:rPr>
              <w:t>10.7</w:t>
            </w:r>
            <w:r>
              <w:rPr>
                <w:rFonts w:hint="eastAsia"/>
                <w:lang w:val="en-US" w:eastAsia="zh-CN"/>
              </w:rPr>
              <w:t>所有</w:t>
            </w:r>
            <w:r>
              <w:rPr>
                <w:rFonts w:hint="eastAsia"/>
              </w:rPr>
              <w:t>货物若故障在检修8工作小时后仍无法排除，乙方应在48小时内提供不低于故障货物规格型号档次的备用货物供甲方使用，直至故障货物修复。</w:t>
            </w:r>
          </w:p>
          <w:p w14:paraId="620D4707">
            <w:pPr>
              <w:pageBreakBefore w:val="0"/>
              <w:kinsoku/>
              <w:wordWrap w:val="0"/>
              <w:overflowPunct/>
              <w:topLinePunct w:val="0"/>
              <w:bidi w:val="0"/>
            </w:pPr>
            <w:r>
              <w:rPr>
                <w:rFonts w:hint="eastAsia"/>
              </w:rPr>
              <w:t>10.8所有货物保修服务方式均为乙方上门保修，即由乙方派员到货物使用现场维修，由此产生的一切费用均由乙方承担。</w:t>
            </w:r>
          </w:p>
          <w:p w14:paraId="0BB5DA64">
            <w:pPr>
              <w:pageBreakBefore w:val="0"/>
              <w:kinsoku/>
              <w:wordWrap w:val="0"/>
              <w:overflowPunct/>
              <w:topLinePunct w:val="0"/>
              <w:bidi w:val="0"/>
              <w:rPr>
                <w:rFonts w:hint="eastAsia"/>
              </w:rPr>
            </w:pPr>
            <w:r>
              <w:rPr>
                <w:rFonts w:hint="eastAsia"/>
              </w:rPr>
              <w:t>10.9保修期后的货物维护由双方协商再定。</w:t>
            </w:r>
          </w:p>
          <w:p w14:paraId="68A7492D">
            <w:pPr>
              <w:pageBreakBefore w:val="0"/>
              <w:kinsoku/>
              <w:wordWrap w:val="0"/>
              <w:overflowPunct/>
              <w:topLinePunct w:val="0"/>
              <w:bidi w:val="0"/>
              <w:rPr>
                <w:rFonts w:hint="eastAsia"/>
                <w:lang w:val="en-US" w:eastAsia="zh-CN"/>
              </w:rPr>
            </w:pPr>
            <w:r>
              <w:rPr>
                <w:rFonts w:hint="eastAsia"/>
              </w:rPr>
              <w:t>10.10本项目售后服务的特殊条款：</w:t>
            </w:r>
            <w:r>
              <w:rPr>
                <w:rFonts w:hint="eastAsia"/>
                <w:lang w:val="en-US" w:eastAsia="zh-CN"/>
              </w:rPr>
              <w:t xml:space="preserve">                       </w:t>
            </w:r>
          </w:p>
          <w:p w14:paraId="5BB538DA">
            <w:pPr>
              <w:pageBreakBefore w:val="0"/>
              <w:kinsoku/>
              <w:wordWrap w:val="0"/>
              <w:overflowPunct/>
              <w:topLinePunct w:val="0"/>
              <w:bidi w:val="0"/>
              <w:rPr>
                <w:rFonts w:hint="default"/>
                <w:lang w:val="en-US" w:eastAsia="zh-CN"/>
              </w:rPr>
            </w:pPr>
            <w:r>
              <w:rPr>
                <w:rFonts w:hint="eastAsia"/>
              </w:rPr>
              <w:t>10.11本项目培训服务的特殊条款：</w:t>
            </w:r>
            <w:r>
              <w:rPr>
                <w:rFonts w:hint="eastAsia"/>
                <w:lang w:val="en-US" w:eastAsia="zh-CN"/>
              </w:rPr>
              <w:t xml:space="preserve">                       </w:t>
            </w:r>
          </w:p>
          <w:p w14:paraId="4B12E1A9">
            <w:pPr>
              <w:pageBreakBefore w:val="0"/>
              <w:kinsoku/>
              <w:wordWrap w:val="0"/>
              <w:overflowPunct/>
              <w:topLinePunct w:val="0"/>
              <w:bidi w:val="0"/>
              <w:rPr>
                <w:rFonts w:hint="eastAsia"/>
                <w:lang w:eastAsia="zh-CN"/>
              </w:rPr>
            </w:pPr>
            <w:r>
              <w:rPr>
                <w:rFonts w:hint="eastAsia"/>
              </w:rPr>
              <w:t>10.1</w:t>
            </w:r>
            <w:r>
              <w:rPr>
                <w:rFonts w:hint="eastAsia"/>
                <w:lang w:val="en-US" w:eastAsia="zh-CN"/>
              </w:rPr>
              <w:t>2</w:t>
            </w:r>
            <w:r>
              <w:rPr>
                <w:rFonts w:hint="eastAsia"/>
              </w:rPr>
              <w:t xml:space="preserve"> 其他</w:t>
            </w:r>
            <w:r>
              <w:rPr>
                <w:rFonts w:hint="eastAsia"/>
                <w:lang w:eastAsia="zh-CN"/>
              </w:rPr>
              <w:t>：</w:t>
            </w:r>
          </w:p>
          <w:p w14:paraId="21A68318">
            <w:pPr>
              <w:pageBreakBefore w:val="0"/>
              <w:kinsoku/>
              <w:wordWrap w:val="0"/>
              <w:overflowPunct/>
              <w:topLinePunct w:val="0"/>
              <w:bidi w:val="0"/>
              <w:rPr>
                <w:rFonts w:hint="eastAsia"/>
                <w:b/>
                <w:bCs/>
                <w:color w:val="FF0000"/>
                <w:lang w:eastAsia="zh-CN"/>
              </w:rPr>
            </w:pPr>
            <w:r>
              <w:rPr>
                <w:rFonts w:hint="eastAsia"/>
                <w:b/>
                <w:bCs/>
                <w:color w:val="FF0000"/>
                <w:lang w:eastAsia="zh-CN"/>
              </w:rPr>
              <w:t>1.▲响应时间：在服务期及质保期内，供应商应该确保服务范围内的质量标准符合本招标文件要求。当出现问题时，中标供应商应承诺在2小时内响应并提出解决方案，4小时之内到现场对存在问题进行处理，并提出相应防范措施。</w:t>
            </w:r>
          </w:p>
          <w:p w14:paraId="2C5B58DD">
            <w:pPr>
              <w:pageBreakBefore w:val="0"/>
              <w:kinsoku/>
              <w:wordWrap w:val="0"/>
              <w:overflowPunct/>
              <w:topLinePunct w:val="0"/>
              <w:bidi w:val="0"/>
              <w:rPr>
                <w:rFonts w:hint="eastAsia"/>
                <w:b/>
                <w:bCs/>
                <w:color w:val="FF0000"/>
                <w:lang w:eastAsia="zh-CN"/>
              </w:rPr>
            </w:pPr>
            <w:r>
              <w:rPr>
                <w:rFonts w:hint="eastAsia"/>
                <w:b/>
                <w:bCs/>
                <w:color w:val="FF0000"/>
                <w:lang w:eastAsia="zh-CN"/>
              </w:rPr>
              <w:t>2.▲安全生产：在服务期及质保期内，供应商所提供服务的相关人员必须为供应商在职缴纳社保人员，此外还需对所有人员购买人生意外伤害险，如在项目实施、质保期、售后服务过程中产生的安全生产责任事故，由供应商承担所有责任。</w:t>
            </w:r>
          </w:p>
          <w:p w14:paraId="5BCF4032">
            <w:pPr>
              <w:pageBreakBefore w:val="0"/>
              <w:kinsoku/>
              <w:wordWrap w:val="0"/>
              <w:overflowPunct/>
              <w:topLinePunct w:val="0"/>
              <w:bidi w:val="0"/>
              <w:rPr>
                <w:rFonts w:hint="eastAsia"/>
                <w:b/>
                <w:bCs/>
                <w:color w:val="FF0000"/>
                <w:lang w:eastAsia="zh-CN"/>
              </w:rPr>
            </w:pPr>
            <w:r>
              <w:rPr>
                <w:rFonts w:hint="eastAsia"/>
                <w:b/>
                <w:bCs/>
                <w:color w:val="FF0000"/>
                <w:lang w:eastAsia="zh-CN"/>
              </w:rPr>
              <w:t>3.▲质量保障：所有产品质保时间根据采购人签订的合同为准，在质保期内发生的质量问题，中标供应商承诺在2小时内响应并提出解决方案，4小时内到达现场对存在的问题进行处理，并提出行营防范措施。</w:t>
            </w:r>
          </w:p>
          <w:p w14:paraId="5366B04B">
            <w:pPr>
              <w:pageBreakBefore w:val="0"/>
              <w:kinsoku/>
              <w:wordWrap w:val="0"/>
              <w:overflowPunct/>
              <w:topLinePunct w:val="0"/>
              <w:bidi w:val="0"/>
              <w:rPr>
                <w:rFonts w:hint="eastAsia"/>
                <w:b/>
                <w:bCs/>
                <w:color w:val="FF0000"/>
                <w:lang w:eastAsia="zh-CN"/>
              </w:rPr>
            </w:pPr>
            <w:r>
              <w:rPr>
                <w:rFonts w:hint="eastAsia"/>
                <w:b/>
                <w:bCs/>
                <w:color w:val="FF0000"/>
                <w:lang w:eastAsia="zh-CN"/>
              </w:rPr>
              <w:t>4.▲备货要求：供应商在服务期及质保期内，应对本项目所需的消防器材进行备货，当问题出现时，以便更换。</w:t>
            </w:r>
          </w:p>
          <w:p w14:paraId="15151E29">
            <w:pPr>
              <w:pageBreakBefore w:val="0"/>
              <w:kinsoku/>
              <w:wordWrap w:val="0"/>
              <w:overflowPunct/>
              <w:topLinePunct w:val="0"/>
              <w:bidi w:val="0"/>
              <w:rPr>
                <w:rFonts w:hint="eastAsia"/>
                <w:b/>
                <w:bCs/>
                <w:color w:val="FF0000"/>
                <w:lang w:eastAsia="zh-CN"/>
              </w:rPr>
            </w:pPr>
            <w:r>
              <w:rPr>
                <w:rFonts w:hint="eastAsia"/>
                <w:b/>
                <w:bCs/>
                <w:color w:val="FF0000"/>
                <w:lang w:eastAsia="zh-CN"/>
              </w:rPr>
              <w:t>5.▲品牌要求：供应商应根据采购人要求提供相对应的品牌产品。</w:t>
            </w:r>
          </w:p>
          <w:p w14:paraId="6A315B62">
            <w:pPr>
              <w:pageBreakBefore w:val="0"/>
              <w:kinsoku/>
              <w:wordWrap w:val="0"/>
              <w:overflowPunct/>
              <w:topLinePunct w:val="0"/>
              <w:bidi w:val="0"/>
              <w:rPr>
                <w:rFonts w:hint="eastAsia"/>
              </w:rPr>
            </w:pPr>
            <w:r>
              <w:rPr>
                <w:rFonts w:hint="eastAsia"/>
              </w:rPr>
              <w:t>第十一条　履约保证金</w:t>
            </w:r>
          </w:p>
          <w:p w14:paraId="0AD34894">
            <w:pPr>
              <w:pageBreakBefore w:val="0"/>
              <w:kinsoku/>
              <w:wordWrap w:val="0"/>
              <w:overflowPunct/>
              <w:topLinePunct w:val="0"/>
              <w:bidi w:val="0"/>
              <w:rPr>
                <w:rFonts w:hint="eastAsia"/>
              </w:rPr>
            </w:pPr>
            <w:r>
              <w:rPr>
                <w:rFonts w:hint="eastAsia"/>
              </w:rPr>
              <w:t>11.1履约保证金：</w:t>
            </w:r>
          </w:p>
          <w:p w14:paraId="6FC47889">
            <w:pPr>
              <w:rPr>
                <w:rFonts w:hint="default"/>
                <w:lang w:val="en-US"/>
              </w:rPr>
            </w:pPr>
            <w:r>
              <w:rPr>
                <w:rFonts w:hint="default"/>
                <w:b/>
                <w:bCs/>
                <w:color w:val="FF0000"/>
                <w:lang w:val="en-US" w:eastAsia="zh-CN"/>
              </w:rPr>
              <w:t>项目收取履约保证金。收取方式：现金或转账；金额：</w:t>
            </w:r>
            <w:r>
              <w:rPr>
                <w:rFonts w:hint="eastAsia"/>
                <w:b/>
                <w:bCs/>
                <w:color w:val="FF0000"/>
                <w:lang w:val="en-US" w:eastAsia="zh-CN"/>
              </w:rPr>
              <w:t>5000</w:t>
            </w:r>
            <w:r>
              <w:rPr>
                <w:rFonts w:hint="default"/>
                <w:b/>
                <w:bCs/>
                <w:color w:val="FF0000"/>
                <w:lang w:val="en-US" w:eastAsia="zh-CN"/>
              </w:rPr>
              <w:t>元/家。入围供应商在收到中标（成交）通知书后签订采购合同之前，将履约保证金支付至采购人指定账户（本框架协议合同期满且所有供货服务结束后28天内退还履约保证金）。</w:t>
            </w:r>
          </w:p>
          <w:p w14:paraId="6F6C6E3D">
            <w:pPr>
              <w:pageBreakBefore w:val="0"/>
              <w:kinsoku/>
              <w:wordWrap w:val="0"/>
              <w:overflowPunct/>
              <w:topLinePunct w:val="0"/>
              <w:bidi w:val="0"/>
            </w:pPr>
            <w:r>
              <w:rPr>
                <w:rFonts w:hint="eastAsia"/>
              </w:rPr>
              <w:t>11.2乙方应按招标文件的时间内，按要求缴纳履约保证金。</w:t>
            </w:r>
          </w:p>
          <w:p w14:paraId="7566911F">
            <w:pPr>
              <w:pageBreakBefore w:val="0"/>
              <w:kinsoku/>
              <w:wordWrap w:val="0"/>
              <w:overflowPunct/>
              <w:topLinePunct w:val="0"/>
              <w:bidi w:val="0"/>
            </w:pPr>
            <w:r>
              <w:rPr>
                <w:rFonts w:hint="eastAsia"/>
              </w:rPr>
              <w:t>11.3履约保证金应使用本合同货币，按招标文件的规定提交。</w:t>
            </w:r>
          </w:p>
          <w:p w14:paraId="21ED4922">
            <w:pPr>
              <w:pageBreakBefore w:val="0"/>
              <w:kinsoku/>
              <w:wordWrap w:val="0"/>
              <w:overflowPunct/>
              <w:topLinePunct w:val="0"/>
              <w:bidi w:val="0"/>
              <w:rPr>
                <w:rFonts w:hint="eastAsia"/>
              </w:rPr>
            </w:pPr>
            <w:r>
              <w:rPr>
                <w:rFonts w:hint="eastAsia"/>
              </w:rPr>
              <w:t>第十二条　货款支付</w:t>
            </w:r>
          </w:p>
          <w:p w14:paraId="7595C8D7">
            <w:pPr>
              <w:pageBreakBefore w:val="0"/>
              <w:kinsoku/>
              <w:wordWrap w:val="0"/>
              <w:overflowPunct/>
              <w:topLinePunct w:val="0"/>
              <w:bidi w:val="0"/>
            </w:pPr>
            <w:r>
              <w:rPr>
                <w:rFonts w:hint="eastAsia"/>
              </w:rPr>
              <w:t>12.1本合同项下所有款项均以人民币支付。</w:t>
            </w:r>
          </w:p>
          <w:p w14:paraId="65AFABFD">
            <w:pPr>
              <w:pageBreakBefore w:val="0"/>
              <w:kinsoku/>
              <w:wordWrap w:val="0"/>
              <w:overflowPunct/>
              <w:topLinePunct w:val="0"/>
              <w:bidi w:val="0"/>
              <w:rPr>
                <w:rFonts w:hint="eastAsia"/>
              </w:rPr>
            </w:pPr>
            <w:r>
              <w:rPr>
                <w:rFonts w:hint="eastAsia"/>
              </w:rPr>
              <w:t>12.2货款支付方法：</w:t>
            </w:r>
          </w:p>
          <w:p w14:paraId="284D62B7">
            <w:pPr>
              <w:rPr>
                <w:rFonts w:hint="default"/>
                <w:b/>
                <w:bCs/>
                <w:color w:val="FF0000"/>
                <w:lang w:val="en-US" w:eastAsia="zh-CN"/>
              </w:rPr>
            </w:pPr>
            <w:r>
              <w:rPr>
                <w:rFonts w:hint="eastAsia"/>
                <w:b/>
                <w:bCs/>
                <w:color w:val="FF0000"/>
                <w:lang w:val="en-US" w:eastAsia="zh-CN"/>
              </w:rPr>
              <w:t>（1）本项目不支付</w:t>
            </w:r>
            <w:r>
              <w:rPr>
                <w:rFonts w:hint="default"/>
                <w:b/>
                <w:bCs/>
                <w:color w:val="FF0000"/>
                <w:lang w:val="en-US" w:eastAsia="zh-CN"/>
              </w:rPr>
              <w:t>预付款</w:t>
            </w:r>
            <w:r>
              <w:rPr>
                <w:rFonts w:hint="eastAsia"/>
                <w:b/>
                <w:bCs/>
                <w:color w:val="FF0000"/>
                <w:lang w:val="en-US" w:eastAsia="zh-CN"/>
              </w:rPr>
              <w:t>，按实结算，具体单价为最高限价×二次报价百分比，最高限价为二次竞价当月杭州市信息价（含税）×下浮系数（系数由采购人调整），各入围供应商二次报价不得超第一阶段报价百分比</w:t>
            </w:r>
            <w:r>
              <w:rPr>
                <w:rFonts w:hint="default"/>
                <w:b/>
                <w:bCs/>
                <w:color w:val="FF0000"/>
                <w:lang w:val="en-US" w:eastAsia="zh-CN"/>
              </w:rPr>
              <w:t>；</w:t>
            </w:r>
          </w:p>
          <w:p w14:paraId="18D25936">
            <w:pPr>
              <w:rPr>
                <w:rFonts w:hint="default"/>
                <w:b/>
                <w:bCs/>
                <w:color w:val="FF0000"/>
                <w:lang w:val="en-US" w:eastAsia="zh-CN"/>
              </w:rPr>
            </w:pPr>
            <w:r>
              <w:rPr>
                <w:rFonts w:hint="eastAsia"/>
                <w:b/>
                <w:bCs/>
                <w:color w:val="FF0000"/>
                <w:lang w:val="en-US" w:eastAsia="zh-CN"/>
              </w:rPr>
              <w:t>（2）税费：供应商应按供货标的物增值税税费为采购人开13%的增值税专用发票，税费应包含在投标报价中；</w:t>
            </w:r>
          </w:p>
          <w:p w14:paraId="4EAACA1E">
            <w:pPr>
              <w:rPr>
                <w:rFonts w:hint="default"/>
                <w:b/>
                <w:bCs/>
                <w:color w:val="FF0000"/>
                <w:lang w:val="en-US" w:eastAsia="zh-CN"/>
              </w:rPr>
            </w:pPr>
            <w:r>
              <w:rPr>
                <w:rFonts w:hint="eastAsia"/>
                <w:b/>
                <w:bCs/>
                <w:color w:val="FF0000"/>
                <w:lang w:val="en-US" w:eastAsia="zh-CN"/>
              </w:rPr>
              <w:t>（3）本项目按季度支付，入围供应商提交结算单并经采购人审核确认后，支付至当季审定价款的95%，剩余5%作为质量保证金，待质保期满后一次性支付。</w:t>
            </w:r>
          </w:p>
          <w:p w14:paraId="4E4F9003">
            <w:pPr>
              <w:rPr>
                <w:rFonts w:hint="default"/>
                <w:lang w:val="en-US" w:eastAsia="zh-CN"/>
              </w:rPr>
            </w:pPr>
            <w:r>
              <w:rPr>
                <w:rFonts w:hint="default"/>
                <w:b/>
                <w:bCs/>
                <w:color w:val="FF0000"/>
                <w:lang w:val="en-US" w:eastAsia="zh-CN"/>
              </w:rPr>
              <w:t>结算时中标供应商将结款申请1份、发票原件（按实际支付的当期金额）及复印件1份、合同复印件1份和经采购单位验收确认的资料提交采购单位，由采购单位向中标供应商支付当期项目款，采购单位自收到发票后7个工作日内支付当期项目款。</w:t>
            </w:r>
          </w:p>
          <w:p w14:paraId="75C98607">
            <w:pPr>
              <w:pageBreakBefore w:val="0"/>
              <w:kinsoku/>
              <w:wordWrap w:val="0"/>
              <w:overflowPunct/>
              <w:topLinePunct w:val="0"/>
              <w:bidi w:val="0"/>
              <w:rPr>
                <w:rFonts w:hint="eastAsia"/>
              </w:rPr>
            </w:pPr>
            <w:r>
              <w:rPr>
                <w:rFonts w:hint="eastAsia"/>
              </w:rPr>
              <w:t>第十三条　违约责任</w:t>
            </w:r>
          </w:p>
          <w:p w14:paraId="00C345DC">
            <w:pPr>
              <w:pageBreakBefore w:val="0"/>
              <w:kinsoku/>
              <w:wordWrap w:val="0"/>
              <w:overflowPunct/>
              <w:topLinePunct w:val="0"/>
              <w:bidi w:val="0"/>
              <w:rPr>
                <w:rFonts w:hint="eastAsia"/>
              </w:rPr>
            </w:pPr>
            <w:r>
              <w:rPr>
                <w:rFonts w:hint="eastAsia"/>
              </w:rPr>
              <w:t>13.1甲乙双方任何一方违约的，除应承担相应的违约责任外，还需承担守约方为维权支出的所有费用（包括但不限于律师费、诉讼费、保全费、鉴定费等）。</w:t>
            </w:r>
          </w:p>
          <w:p w14:paraId="7A3EB281">
            <w:pPr>
              <w:pageBreakBefore w:val="0"/>
              <w:kinsoku/>
              <w:wordWrap w:val="0"/>
              <w:overflowPunct/>
              <w:topLinePunct w:val="0"/>
              <w:bidi w:val="0"/>
              <w:rPr>
                <w:rFonts w:hint="eastAsia"/>
              </w:rPr>
            </w:pPr>
            <w:r>
              <w:rPr>
                <w:rFonts w:hint="eastAsia"/>
              </w:rPr>
              <w:t>13.2甲方无故未按合同规定的期限向乙方支付货款的，每逾期 1 天甲方向乙方偿付欠款总额万分之五计算的违约金，但违约金总额不超过欠款总额的10%。</w:t>
            </w:r>
          </w:p>
          <w:p w14:paraId="53420476">
            <w:pPr>
              <w:pageBreakBefore w:val="0"/>
              <w:kinsoku/>
              <w:wordWrap w:val="0"/>
              <w:overflowPunct/>
              <w:topLinePunct w:val="0"/>
              <w:bidi w:val="0"/>
              <w:rPr>
                <w:rFonts w:hint="eastAsia"/>
              </w:rPr>
            </w:pPr>
            <w:r>
              <w:rPr>
                <w:rFonts w:hint="eastAsia"/>
              </w:rPr>
              <w:t>13.3乙方有任何违约行为的，除应承担相应的违约责任外，甲方均有权全额没收履约保证金。</w:t>
            </w:r>
          </w:p>
          <w:p w14:paraId="0470DADD">
            <w:pPr>
              <w:pageBreakBefore w:val="0"/>
              <w:kinsoku/>
              <w:wordWrap w:val="0"/>
              <w:overflowPunct/>
              <w:topLinePunct w:val="0"/>
              <w:bidi w:val="0"/>
              <w:rPr>
                <w:rFonts w:hint="eastAsia"/>
              </w:rPr>
            </w:pPr>
            <w:r>
              <w:rPr>
                <w:rFonts w:hint="eastAsia"/>
              </w:rPr>
              <w:t>13.4乙方逾期交付货物的，每逾期1天，乙方向甲方偿付本合同货款总额的千分之三计算的违约金。如乙方逾期交货达30天，甲方有权单方解除合同，解除合同的通知自到达乙方时生效，同时乙方还应全额退还甲方已支付的款项。</w:t>
            </w:r>
          </w:p>
          <w:p w14:paraId="69F06CE0">
            <w:pPr>
              <w:pageBreakBefore w:val="0"/>
              <w:kinsoku/>
              <w:wordWrap w:val="0"/>
              <w:overflowPunct/>
              <w:topLinePunct w:val="0"/>
              <w:bidi w:val="0"/>
              <w:rPr>
                <w:rFonts w:hint="eastAsia"/>
              </w:rPr>
            </w:pPr>
            <w:r>
              <w:rPr>
                <w:rFonts w:hint="eastAsia"/>
              </w:rPr>
              <w:t>13.5乙方所交付的货物品种、型号、规格、技术指标不符合合同规定的，甲方有权拒收，乙方应及时重新提交符合规定的货物，同时按乙方逾期交付处理，若重新提交的货物仍不符合合同规定的，则视为乙方根本性违约，甲方有权单方解除本合同，乙方应按本合同总价款20%计算支付违约金给甲方，不足以弥补损失的，乙方仍应全额赔偿。</w:t>
            </w:r>
          </w:p>
          <w:p w14:paraId="3DC63BBA">
            <w:pPr>
              <w:pageBreakBefore w:val="0"/>
              <w:kinsoku/>
              <w:wordWrap w:val="0"/>
              <w:overflowPunct/>
              <w:topLinePunct w:val="0"/>
              <w:bidi w:val="0"/>
            </w:pPr>
            <w:r>
              <w:rPr>
                <w:rFonts w:hint="eastAsia"/>
              </w:rPr>
              <w:t>13.6在乙方承诺的或国家规定的质量保证期内（取两者中最长的期限），如经乙方两次维修或更换，货物仍不能达到合同约定的质量标准，甲方有权退货，乙方应退回全部货款，同时，乙方还须赔偿甲方因此遭受的损失。</w:t>
            </w:r>
          </w:p>
          <w:p w14:paraId="57134F19">
            <w:pPr>
              <w:pageBreakBefore w:val="0"/>
              <w:kinsoku/>
              <w:wordWrap w:val="0"/>
              <w:overflowPunct/>
              <w:topLinePunct w:val="0"/>
              <w:bidi w:val="0"/>
            </w:pPr>
            <w:r>
              <w:rPr>
                <w:rFonts w:hint="eastAsia"/>
              </w:rPr>
              <w:t>13.7乙方未按本合同的规定和“服务承诺”提供伴随服务/售后服务的，应按合同总价款的</w:t>
            </w:r>
            <w:r>
              <w:rPr>
                <w:rFonts w:hint="eastAsia"/>
                <w:b/>
                <w:bCs/>
                <w:color w:val="FF0000"/>
                <w:u w:val="single"/>
                <w:lang w:val="en-US" w:eastAsia="zh-CN"/>
              </w:rPr>
              <w:t>5</w:t>
            </w:r>
            <w:r>
              <w:rPr>
                <w:rFonts w:hint="eastAsia"/>
              </w:rPr>
              <w:t>%向甲方承担违约责任。</w:t>
            </w:r>
          </w:p>
          <w:p w14:paraId="7384554B">
            <w:pPr>
              <w:pageBreakBefore w:val="0"/>
              <w:kinsoku/>
              <w:wordWrap w:val="0"/>
              <w:overflowPunct/>
              <w:topLinePunct w:val="0"/>
              <w:bidi w:val="0"/>
            </w:pPr>
            <w:r>
              <w:rPr>
                <w:rFonts w:hint="eastAsia"/>
              </w:rPr>
              <w:t>13.8乙方在承担上述13.3～13.7款一项或多项违约责任后，仍应继续履行合同规定的义务（甲方解除合同的除外）。甲方未能及时追究乙方的任何一项违约责任并不表明甲方放弃追究乙方该项或其他违约责任。</w:t>
            </w:r>
          </w:p>
          <w:p w14:paraId="4EED26F4">
            <w:pPr>
              <w:pageBreakBefore w:val="0"/>
              <w:kinsoku/>
              <w:wordWrap w:val="0"/>
              <w:overflowPunct/>
              <w:topLinePunct w:val="0"/>
              <w:bidi w:val="0"/>
              <w:rPr>
                <w:rFonts w:hint="default"/>
                <w:u w:val="single"/>
                <w:lang w:val="en-US" w:eastAsia="zh-CN"/>
              </w:rPr>
            </w:pPr>
            <w:r>
              <w:rPr>
                <w:rFonts w:hint="eastAsia"/>
                <w:lang w:val="en-US" w:eastAsia="zh-CN"/>
              </w:rPr>
              <w:t>13.9</w:t>
            </w:r>
            <w:r>
              <w:rPr>
                <w:rFonts w:hint="eastAsia"/>
              </w:rPr>
              <w:t>其他</w:t>
            </w:r>
            <w:r>
              <w:rPr>
                <w:rFonts w:hint="eastAsia"/>
                <w:lang w:val="en-US" w:eastAsia="zh-CN"/>
              </w:rPr>
              <w:t>补充</w:t>
            </w:r>
            <w:r>
              <w:rPr>
                <w:rFonts w:hint="eastAsia"/>
                <w:lang w:eastAsia="zh-CN"/>
              </w:rPr>
              <w:t>：</w:t>
            </w:r>
            <w:r>
              <w:rPr>
                <w:rFonts w:hint="eastAsia"/>
                <w:u w:val="single"/>
                <w:lang w:val="en-US" w:eastAsia="zh-CN"/>
              </w:rPr>
              <w:t xml:space="preserve">                                  </w:t>
            </w:r>
          </w:p>
          <w:p w14:paraId="1E0E6842">
            <w:pPr>
              <w:pageBreakBefore w:val="0"/>
              <w:kinsoku/>
              <w:wordWrap w:val="0"/>
              <w:overflowPunct/>
              <w:topLinePunct w:val="0"/>
              <w:bidi w:val="0"/>
              <w:rPr>
                <w:rFonts w:hint="eastAsia"/>
              </w:rPr>
            </w:pPr>
            <w:r>
              <w:rPr>
                <w:rFonts w:hint="eastAsia"/>
              </w:rPr>
              <w:t>第十四条　转让和分包</w:t>
            </w:r>
          </w:p>
          <w:p w14:paraId="18948579">
            <w:pPr>
              <w:pageBreakBefore w:val="0"/>
              <w:kinsoku/>
              <w:wordWrap w:val="0"/>
              <w:overflowPunct/>
              <w:topLinePunct w:val="0"/>
              <w:bidi w:val="0"/>
            </w:pPr>
            <w:r>
              <w:rPr>
                <w:rFonts w:hint="eastAsia"/>
              </w:rPr>
              <w:t>乙方不得擅自分包其应履行的合同义务。须将项目的非主体、非关键性工作分包的，应当在投标文件中载明分包承担主体，分包承担主体应当具备相应资质条件且不得再次分包。</w:t>
            </w:r>
          </w:p>
          <w:p w14:paraId="6940C7BE">
            <w:pPr>
              <w:pageBreakBefore w:val="0"/>
              <w:kinsoku/>
              <w:wordWrap w:val="0"/>
              <w:overflowPunct/>
              <w:topLinePunct w:val="0"/>
              <w:bidi w:val="0"/>
              <w:rPr>
                <w:rFonts w:hint="eastAsia"/>
              </w:rPr>
            </w:pPr>
            <w:r>
              <w:rPr>
                <w:rFonts w:hint="eastAsia"/>
              </w:rPr>
              <w:t>第十五条　合同的变更和终止</w:t>
            </w:r>
          </w:p>
          <w:p w14:paraId="37F6D29C">
            <w:pPr>
              <w:pageBreakBefore w:val="0"/>
              <w:kinsoku/>
              <w:wordWrap w:val="0"/>
              <w:overflowPunct/>
              <w:topLinePunct w:val="0"/>
              <w:bidi w:val="0"/>
              <w:rPr>
                <w:rFonts w:cs="宋体"/>
                <w:highlight w:val="none"/>
              </w:rPr>
            </w:pPr>
            <w:r>
              <w:rPr>
                <w:rFonts w:hint="eastAsia"/>
              </w:rPr>
              <w:t>除《政府采购法》第50条第二款规定的情形外，本合同一经签订，双方不得擅自变更、中止或终止合同。</w:t>
            </w:r>
          </w:p>
          <w:p w14:paraId="439D38AE">
            <w:pPr>
              <w:pageBreakBefore w:val="0"/>
              <w:kinsoku/>
              <w:wordWrap w:val="0"/>
              <w:overflowPunct/>
              <w:topLinePunct w:val="0"/>
              <w:bidi w:val="0"/>
              <w:rPr>
                <w:rFonts w:hint="eastAsia"/>
              </w:rPr>
            </w:pPr>
            <w:r>
              <w:rPr>
                <w:rFonts w:hint="eastAsia"/>
              </w:rPr>
              <w:t>第十六条  不可抗力</w:t>
            </w:r>
          </w:p>
          <w:p w14:paraId="5CEB1833">
            <w:pPr>
              <w:pageBreakBefore w:val="0"/>
              <w:kinsoku/>
              <w:wordWrap w:val="0"/>
              <w:overflowPunct/>
              <w:topLinePunct w:val="0"/>
              <w:bidi w:val="0"/>
              <w:rPr>
                <w:rFonts w:hint="eastAsia"/>
                <w:lang w:eastAsia="zh-CN"/>
              </w:rPr>
            </w:pPr>
            <w:r>
              <w:rPr>
                <w:rFonts w:hint="eastAsia"/>
              </w:rPr>
              <w:t>16.1 如果双方中任何一方遭遇法律规定的不可抗力，致使合同履行受阻时，履行合同的期限可应予延长。</w:t>
            </w:r>
          </w:p>
          <w:p w14:paraId="567A204E">
            <w:pPr>
              <w:pageBreakBefore w:val="0"/>
              <w:kinsoku/>
              <w:wordWrap w:val="0"/>
              <w:overflowPunct/>
              <w:topLinePunct w:val="0"/>
              <w:bidi w:val="0"/>
              <w:rPr>
                <w:rFonts w:hint="eastAsia"/>
                <w:lang w:eastAsia="zh-CN"/>
              </w:rPr>
            </w:pPr>
            <w:r>
              <w:rPr>
                <w:rFonts w:hint="eastAsia"/>
              </w:rPr>
              <w:t>16.2 受事故影响的一方应在不可抗力的事故发生后尽快书面形式通知另一方，并尽快将有关部门出具的证明文件送达另一方</w:t>
            </w:r>
            <w:r>
              <w:rPr>
                <w:rFonts w:hint="eastAsia"/>
                <w:lang w:eastAsia="zh-CN"/>
              </w:rPr>
              <w:t>。</w:t>
            </w:r>
          </w:p>
          <w:p w14:paraId="33DF324E">
            <w:pPr>
              <w:pageBreakBefore w:val="0"/>
              <w:kinsoku/>
              <w:wordWrap w:val="0"/>
              <w:overflowPunct/>
              <w:topLinePunct w:val="0"/>
              <w:bidi w:val="0"/>
              <w:rPr>
                <w:rFonts w:hint="eastAsia"/>
              </w:rPr>
            </w:pPr>
            <w:r>
              <w:rPr>
                <w:rFonts w:hint="eastAsia"/>
              </w:rPr>
              <w:t>第十七条　争议的解决</w:t>
            </w:r>
          </w:p>
          <w:p w14:paraId="7DEF9F06">
            <w:pPr>
              <w:pageBreakBefore w:val="0"/>
              <w:kinsoku/>
              <w:wordWrap w:val="0"/>
              <w:overflowPunct/>
              <w:topLinePunct w:val="0"/>
              <w:bidi w:val="0"/>
            </w:pPr>
            <w:r>
              <w:rPr>
                <w:rFonts w:hint="eastAsia"/>
              </w:rPr>
              <w:t>17.1因货物的质量问题发生争议的，应当邀请国家认可的质量检测机构对货物质量进行鉴定。货物符合标准的，鉴定费由甲方承担；货物不符合质量标准的，鉴定费由乙方承担。</w:t>
            </w:r>
          </w:p>
          <w:p w14:paraId="68293331">
            <w:pPr>
              <w:pageBreakBefore w:val="0"/>
              <w:kinsoku/>
              <w:wordWrap w:val="0"/>
              <w:overflowPunct/>
              <w:topLinePunct w:val="0"/>
              <w:bidi w:val="0"/>
            </w:pPr>
            <w:r>
              <w:rPr>
                <w:rFonts w:hint="eastAsia"/>
              </w:rPr>
              <w:t>17.2因履行本合同引起的或与本合同有关的争议，甲、乙双方应首先通过友好协商解决，如果协商不能解决争议，则采取以下第 17.2.</w:t>
            </w:r>
            <w:r>
              <w:rPr>
                <w:rFonts w:hint="eastAsia"/>
                <w:lang w:val="en-US" w:eastAsia="zh-CN"/>
              </w:rPr>
              <w:t>1</w:t>
            </w:r>
            <w:r>
              <w:rPr>
                <w:rFonts w:hint="eastAsia"/>
              </w:rPr>
              <w:t xml:space="preserve"> 种方式解决争议：</w:t>
            </w:r>
          </w:p>
          <w:p w14:paraId="35156824">
            <w:pPr>
              <w:pageBreakBefore w:val="0"/>
              <w:kinsoku/>
              <w:wordWrap w:val="0"/>
              <w:overflowPunct/>
              <w:topLinePunct w:val="0"/>
              <w:bidi w:val="0"/>
            </w:pPr>
            <w:r>
              <w:rPr>
                <w:rFonts w:hint="eastAsia"/>
              </w:rPr>
              <w:t>17.2.1向桐庐县人民法院提起诉讼；</w:t>
            </w:r>
          </w:p>
          <w:p w14:paraId="35AD9D5A">
            <w:pPr>
              <w:pageBreakBefore w:val="0"/>
              <w:kinsoku/>
              <w:wordWrap w:val="0"/>
              <w:overflowPunct/>
              <w:topLinePunct w:val="0"/>
              <w:bidi w:val="0"/>
            </w:pPr>
            <w:r>
              <w:rPr>
                <w:rFonts w:hint="eastAsia"/>
              </w:rPr>
              <w:t>17.2.2向</w:t>
            </w:r>
            <w:r>
              <w:rPr>
                <w:rFonts w:hint="eastAsia"/>
                <w:lang w:val="en-US" w:eastAsia="zh-CN"/>
              </w:rPr>
              <w:t>/</w:t>
            </w:r>
            <w:r>
              <w:rPr>
                <w:rFonts w:hint="eastAsia"/>
              </w:rPr>
              <w:t>仲裁委员会按其仲裁规则申请仲裁。</w:t>
            </w:r>
          </w:p>
          <w:p w14:paraId="46A87917">
            <w:pPr>
              <w:pageBreakBefore w:val="0"/>
              <w:kinsoku/>
              <w:wordWrap w:val="0"/>
              <w:overflowPunct/>
              <w:topLinePunct w:val="0"/>
              <w:bidi w:val="0"/>
              <w:rPr>
                <w:rFonts w:hint="eastAsia"/>
              </w:rPr>
            </w:pPr>
            <w:r>
              <w:rPr>
                <w:rFonts w:hint="eastAsia"/>
              </w:rPr>
              <w:t>第十八条　合同生效及其他</w:t>
            </w:r>
          </w:p>
          <w:p w14:paraId="3AFEC76E">
            <w:pPr>
              <w:pageBreakBefore w:val="0"/>
              <w:kinsoku/>
              <w:wordWrap w:val="0"/>
              <w:overflowPunct/>
              <w:topLinePunct w:val="0"/>
              <w:bidi w:val="0"/>
            </w:pPr>
            <w:r>
              <w:rPr>
                <w:rFonts w:hint="eastAsia"/>
              </w:rPr>
              <w:t>18.1合同经双方负责人或被委托人签字并加盖单位公章。</w:t>
            </w:r>
          </w:p>
          <w:p w14:paraId="1E7096B8">
            <w:pPr>
              <w:pageBreakBefore w:val="0"/>
              <w:kinsoku/>
              <w:wordWrap w:val="0"/>
              <w:overflowPunct/>
              <w:topLinePunct w:val="0"/>
              <w:bidi w:val="0"/>
            </w:pPr>
            <w:r>
              <w:rPr>
                <w:rFonts w:hint="eastAsia"/>
              </w:rPr>
              <w:t>18.2合同执行中涉及采购资金和采购内容修改或补充的，须经财政部门批准，并签订书面补充协议报</w:t>
            </w:r>
            <w:r>
              <w:rPr>
                <w:rFonts w:hint="eastAsia"/>
                <w:lang w:eastAsia="zh-CN"/>
              </w:rPr>
              <w:t>国企采购</w:t>
            </w:r>
            <w:r>
              <w:rPr>
                <w:rFonts w:hint="eastAsia"/>
              </w:rPr>
              <w:t>监督管理部门备案，方可作为合同不可分割的一部分，与本合同具有同等法律效力。</w:t>
            </w:r>
          </w:p>
          <w:p w14:paraId="41C669FD">
            <w:pPr>
              <w:pageBreakBefore w:val="0"/>
              <w:kinsoku/>
              <w:wordWrap w:val="0"/>
              <w:overflowPunct/>
              <w:topLinePunct w:val="0"/>
              <w:bidi w:val="0"/>
            </w:pPr>
            <w:r>
              <w:rPr>
                <w:rFonts w:hint="eastAsia"/>
              </w:rPr>
              <w:t>18.3本合同自签订之日起生效。</w:t>
            </w:r>
          </w:p>
          <w:p w14:paraId="2047F4EB">
            <w:pPr>
              <w:pageBreakBefore w:val="0"/>
              <w:kinsoku/>
              <w:wordWrap w:val="0"/>
              <w:overflowPunct/>
              <w:topLinePunct w:val="0"/>
              <w:bidi w:val="0"/>
            </w:pPr>
            <w:r>
              <w:rPr>
                <w:rFonts w:hint="eastAsia"/>
              </w:rPr>
              <w:t>18.4本合同正本一式陆份，每份均具有同等法律效力，甲方执贰份，乙方执贰份，代理公司存档贰份。</w:t>
            </w:r>
          </w:p>
          <w:p w14:paraId="47AC0902">
            <w:pPr>
              <w:pageBreakBefore w:val="0"/>
              <w:kinsoku/>
              <w:wordWrap w:val="0"/>
              <w:overflowPunct/>
              <w:topLinePunct w:val="0"/>
              <w:bidi w:val="0"/>
              <w:rPr>
                <w:rFonts w:hint="eastAsia"/>
              </w:rPr>
            </w:pPr>
            <w:r>
              <w:rPr>
                <w:rFonts w:hint="eastAsia"/>
              </w:rPr>
              <w:t>18.5本合同应按照中华人民共和国的现行法律进行解释。</w:t>
            </w:r>
          </w:p>
          <w:tbl>
            <w:tblPr>
              <w:tblStyle w:val="1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273D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2FCB1D23">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7921AA6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67949E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17DDD1F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719D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E31CF42">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6CE28B3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8D7BAF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7367D896">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3A56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3225E6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2B24A23D">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73FB8AC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15AC90E0">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75E4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235D68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1618CAD1">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FFA8076">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0BA4A26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7554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7C2AB1B">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60C14C1B">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329468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12A51D7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18FB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A315A36">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 xml:space="preserve">电话: </w:t>
                  </w:r>
                </w:p>
              </w:tc>
              <w:tc>
                <w:tcPr>
                  <w:tcW w:w="2271" w:type="dxa"/>
                  <w:tcBorders>
                    <w:tl2br w:val="nil"/>
                    <w:tr2bl w:val="nil"/>
                  </w:tcBorders>
                  <w:vAlign w:val="top"/>
                </w:tcPr>
                <w:p w14:paraId="0FBA423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96AA2EF">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 xml:space="preserve">电话: </w:t>
                  </w:r>
                </w:p>
              </w:tc>
              <w:tc>
                <w:tcPr>
                  <w:tcW w:w="2502" w:type="dxa"/>
                  <w:tcBorders>
                    <w:tl2br w:val="nil"/>
                    <w:tr2bl w:val="nil"/>
                  </w:tcBorders>
                  <w:vAlign w:val="top"/>
                </w:tcPr>
                <w:p w14:paraId="36FD76E3">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26BB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5C7E862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7DE1DAA0">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0FED9E2A">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72CEE3F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7D7D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9F4518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35DB4083">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DB8B16D">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7C9D4684">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02F2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A2C37D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51433A0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39EAA89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0035176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bl>
          <w:p w14:paraId="04884C47">
            <w:pPr>
              <w:pageBreakBefore w:val="0"/>
              <w:kinsoku/>
              <w:wordWrap w:val="0"/>
              <w:overflowPunct/>
              <w:topLinePunct w:val="0"/>
              <w:bidi w:val="0"/>
              <w:rPr>
                <w:rFonts w:hint="eastAsia"/>
                <w:lang w:val="en-US" w:eastAsia="zh-CN"/>
              </w:rPr>
            </w:pPr>
            <w:r>
              <w:rPr>
                <w:rFonts w:hint="eastAsia"/>
                <w:b/>
                <w:bCs/>
                <w:lang w:val="en-US" w:eastAsia="zh-CN"/>
              </w:rPr>
              <w:t>注: 本合同仅作示范文本，具体以双方签订的正式合同为准，合同内容不得违背本招标文件实质性要求。</w:t>
            </w:r>
          </w:p>
        </w:tc>
      </w:tr>
    </w:tbl>
    <w:p w14:paraId="7BD8918E">
      <w:pPr>
        <w:jc w:val="both"/>
        <w:rPr>
          <w:rFonts w:hint="default"/>
          <w:lang w:val="en-US" w:eastAsia="zh-CN"/>
        </w:rPr>
      </w:pPr>
    </w:p>
    <w:p w14:paraId="15EF1CD1">
      <w:pPr>
        <w:jc w:val="both"/>
        <w:rPr>
          <w:rFonts w:hint="default"/>
          <w:lang w:val="en-US" w:eastAsia="zh-CN"/>
        </w:rPr>
      </w:pPr>
    </w:p>
    <w:p w14:paraId="6B6D60F7">
      <w:pPr>
        <w:jc w:val="both"/>
        <w:rPr>
          <w:rFonts w:hint="default"/>
          <w:lang w:val="en-US" w:eastAsia="zh-CN"/>
        </w:rPr>
      </w:pPr>
    </w:p>
    <w:p w14:paraId="53AEE0F5">
      <w:pPr>
        <w:jc w:val="both"/>
        <w:rPr>
          <w:rFonts w:hint="default"/>
          <w:lang w:val="en-US" w:eastAsia="zh-CN"/>
        </w:rPr>
      </w:pPr>
    </w:p>
    <w:p w14:paraId="7BBE153C">
      <w:pPr>
        <w:jc w:val="both"/>
        <w:rPr>
          <w:rFonts w:hint="default"/>
          <w:lang w:val="en-US" w:eastAsia="zh-CN"/>
        </w:rPr>
      </w:pPr>
    </w:p>
    <w:p w14:paraId="0443AAE9">
      <w:pPr>
        <w:jc w:val="both"/>
        <w:rPr>
          <w:rFonts w:hint="default"/>
          <w:lang w:val="en-US" w:eastAsia="zh-CN"/>
        </w:rPr>
      </w:pPr>
    </w:p>
    <w:p w14:paraId="73FE8C92">
      <w:pPr>
        <w:jc w:val="both"/>
        <w:rPr>
          <w:rFonts w:hint="default"/>
          <w:lang w:val="en-US" w:eastAsia="zh-CN"/>
        </w:rPr>
      </w:pPr>
    </w:p>
    <w:p w14:paraId="65D7D21C">
      <w:pPr>
        <w:jc w:val="both"/>
        <w:rPr>
          <w:rFonts w:hint="default"/>
          <w:lang w:val="en-US" w:eastAsia="zh-CN"/>
        </w:rPr>
      </w:pPr>
    </w:p>
    <w:p w14:paraId="140545D8">
      <w:pPr>
        <w:jc w:val="both"/>
        <w:rPr>
          <w:rFonts w:hint="default"/>
          <w:lang w:val="en-US" w:eastAsia="zh-CN"/>
        </w:rPr>
      </w:pPr>
    </w:p>
    <w:p w14:paraId="51C7E133">
      <w:pPr>
        <w:jc w:val="both"/>
        <w:rPr>
          <w:rFonts w:hint="default"/>
          <w:lang w:val="en-US" w:eastAsia="zh-CN"/>
        </w:rPr>
      </w:pPr>
    </w:p>
    <w:p w14:paraId="6EA36AC8">
      <w:pPr>
        <w:jc w:val="both"/>
        <w:rPr>
          <w:rFonts w:hint="default"/>
          <w:lang w:val="en-US" w:eastAsia="zh-CN"/>
        </w:rPr>
      </w:pPr>
    </w:p>
    <w:p w14:paraId="53C39C80">
      <w:pPr>
        <w:jc w:val="both"/>
        <w:rPr>
          <w:rFonts w:hint="default"/>
          <w:lang w:val="en-US" w:eastAsia="zh-CN"/>
        </w:rPr>
      </w:pPr>
    </w:p>
    <w:p w14:paraId="6EF9E75C">
      <w:pPr>
        <w:jc w:val="both"/>
        <w:rPr>
          <w:rFonts w:hint="default"/>
          <w:lang w:val="en-US" w:eastAsia="zh-CN"/>
        </w:rPr>
      </w:pPr>
    </w:p>
    <w:p w14:paraId="67804A39">
      <w:pPr>
        <w:jc w:val="both"/>
        <w:rPr>
          <w:rFonts w:hint="default"/>
          <w:lang w:val="en-US" w:eastAsia="zh-CN"/>
        </w:rPr>
      </w:pPr>
    </w:p>
    <w:p w14:paraId="5E03325F">
      <w:pPr>
        <w:pStyle w:val="2"/>
        <w:bidi w:val="0"/>
        <w:jc w:val="center"/>
        <w:rPr>
          <w:rFonts w:hint="default"/>
          <w:lang w:val="en-US" w:eastAsia="zh-CN"/>
        </w:rPr>
      </w:pPr>
      <w:bookmarkStart w:id="51" w:name="_Toc21613"/>
      <w:r>
        <w:rPr>
          <w:rFonts w:hint="default"/>
          <w:lang w:val="en-US" w:eastAsia="zh-CN"/>
        </w:rPr>
        <w:t>应提交的有关格式范例</w:t>
      </w:r>
      <w:bookmarkEnd w:id="51"/>
    </w:p>
    <w:p w14:paraId="04B7A5BA">
      <w:pPr>
        <w:rPr>
          <w:rFonts w:hint="default"/>
          <w:lang w:val="en-US" w:eastAsia="zh-CN"/>
        </w:rPr>
      </w:pPr>
      <w:r>
        <w:rPr>
          <w:rFonts w:hint="default"/>
          <w:lang w:val="en-US" w:eastAsia="zh-CN"/>
        </w:rPr>
        <w:t>本项目投标文件由《资格文件》、《商务技术文件》、《报价文件》三部分组成。具体有关格式范例如下：</w:t>
      </w:r>
    </w:p>
    <w:p w14:paraId="5B2ADCC2">
      <w:pPr>
        <w:rPr>
          <w:rFonts w:hint="default"/>
          <w:lang w:val="en-US" w:eastAsia="zh-CN"/>
        </w:rPr>
      </w:pPr>
    </w:p>
    <w:p w14:paraId="067034D9">
      <w:pPr>
        <w:rPr>
          <w:rFonts w:hint="default"/>
          <w:lang w:val="en-US" w:eastAsia="zh-CN"/>
        </w:rPr>
      </w:pPr>
    </w:p>
    <w:p w14:paraId="351D5361">
      <w:pPr>
        <w:rPr>
          <w:rFonts w:hint="default"/>
          <w:lang w:val="en-US" w:eastAsia="zh-CN"/>
        </w:rPr>
      </w:pPr>
    </w:p>
    <w:p w14:paraId="1867550E">
      <w:pPr>
        <w:rPr>
          <w:rFonts w:hint="default"/>
          <w:lang w:val="en-US" w:eastAsia="zh-CN"/>
        </w:rPr>
      </w:pPr>
    </w:p>
    <w:p w14:paraId="20D8CD4E">
      <w:pPr>
        <w:rPr>
          <w:rFonts w:hint="default"/>
          <w:lang w:val="en-US" w:eastAsia="zh-CN"/>
        </w:rPr>
      </w:pPr>
    </w:p>
    <w:p w14:paraId="28C33D00">
      <w:pPr>
        <w:rPr>
          <w:rFonts w:hint="default"/>
          <w:lang w:val="en-US" w:eastAsia="zh-CN"/>
        </w:rPr>
      </w:pPr>
    </w:p>
    <w:p w14:paraId="738E2F79">
      <w:pPr>
        <w:rPr>
          <w:rFonts w:hint="default"/>
          <w:lang w:val="en-US" w:eastAsia="zh-CN"/>
        </w:rPr>
      </w:pPr>
    </w:p>
    <w:p w14:paraId="7B594630">
      <w:pPr>
        <w:rPr>
          <w:rFonts w:hint="default"/>
          <w:lang w:val="en-US" w:eastAsia="zh-CN"/>
        </w:rPr>
      </w:pPr>
    </w:p>
    <w:p w14:paraId="1716323B">
      <w:pPr>
        <w:rPr>
          <w:rFonts w:hint="default"/>
          <w:lang w:val="en-US" w:eastAsia="zh-CN"/>
        </w:rPr>
      </w:pPr>
    </w:p>
    <w:p w14:paraId="14B6F40E">
      <w:pPr>
        <w:rPr>
          <w:rFonts w:hint="default"/>
          <w:lang w:val="en-US" w:eastAsia="zh-CN"/>
        </w:rPr>
      </w:pPr>
    </w:p>
    <w:p w14:paraId="6E8A1547">
      <w:pPr>
        <w:rPr>
          <w:rFonts w:hint="default"/>
          <w:lang w:val="en-US" w:eastAsia="zh-CN"/>
        </w:rPr>
      </w:pPr>
    </w:p>
    <w:p w14:paraId="0767DBC3">
      <w:pPr>
        <w:rPr>
          <w:rFonts w:hint="default"/>
          <w:lang w:val="en-US" w:eastAsia="zh-CN"/>
        </w:rPr>
      </w:pPr>
    </w:p>
    <w:p w14:paraId="1A9BF165">
      <w:pPr>
        <w:rPr>
          <w:rFonts w:hint="default"/>
          <w:lang w:val="en-US" w:eastAsia="zh-CN"/>
        </w:rPr>
      </w:pPr>
    </w:p>
    <w:p w14:paraId="001C9DCE">
      <w:pPr>
        <w:rPr>
          <w:rFonts w:hint="default"/>
          <w:lang w:val="en-US" w:eastAsia="zh-CN"/>
        </w:rPr>
      </w:pPr>
    </w:p>
    <w:p w14:paraId="6EC2C0CB">
      <w:pPr>
        <w:rPr>
          <w:rFonts w:hint="default"/>
          <w:lang w:val="en-US" w:eastAsia="zh-CN"/>
        </w:rPr>
      </w:pPr>
    </w:p>
    <w:p w14:paraId="51C0BF5C">
      <w:pPr>
        <w:rPr>
          <w:rFonts w:hint="default"/>
          <w:lang w:val="en-US" w:eastAsia="zh-CN"/>
        </w:rPr>
      </w:pPr>
    </w:p>
    <w:p w14:paraId="28DD605A">
      <w:pPr>
        <w:rPr>
          <w:rFonts w:hint="default"/>
          <w:lang w:val="en-US" w:eastAsia="zh-CN"/>
        </w:rPr>
      </w:pPr>
    </w:p>
    <w:p w14:paraId="47E911E8">
      <w:pPr>
        <w:rPr>
          <w:rFonts w:hint="default"/>
          <w:lang w:val="en-US" w:eastAsia="zh-CN"/>
        </w:rPr>
      </w:pPr>
    </w:p>
    <w:p w14:paraId="45718147">
      <w:pPr>
        <w:rPr>
          <w:rFonts w:hint="default"/>
          <w:lang w:val="en-US" w:eastAsia="zh-CN"/>
        </w:rPr>
      </w:pPr>
    </w:p>
    <w:p w14:paraId="7C6CC7FB">
      <w:pPr>
        <w:rPr>
          <w:rFonts w:hint="default"/>
          <w:lang w:val="en-US" w:eastAsia="zh-CN"/>
        </w:rPr>
      </w:pPr>
    </w:p>
    <w:p w14:paraId="6EB831C4">
      <w:pPr>
        <w:rPr>
          <w:rFonts w:hint="default"/>
          <w:lang w:val="en-US" w:eastAsia="zh-CN"/>
        </w:rPr>
      </w:pPr>
    </w:p>
    <w:p w14:paraId="5F3776E6">
      <w:pPr>
        <w:rPr>
          <w:rFonts w:hint="default"/>
          <w:lang w:val="en-US" w:eastAsia="zh-CN"/>
        </w:rPr>
      </w:pPr>
    </w:p>
    <w:p w14:paraId="3D28CA73">
      <w:pPr>
        <w:rPr>
          <w:rFonts w:hint="default"/>
          <w:lang w:val="en-US" w:eastAsia="zh-CN"/>
        </w:rPr>
      </w:pPr>
    </w:p>
    <w:p w14:paraId="52EC8615">
      <w:pPr>
        <w:pStyle w:val="3"/>
        <w:bidi w:val="0"/>
        <w:rPr>
          <w:rFonts w:hint="default"/>
          <w:lang w:val="en-US" w:eastAsia="zh-CN"/>
        </w:rPr>
      </w:pPr>
      <w:bookmarkStart w:id="52" w:name="_Toc20404"/>
      <w:bookmarkStart w:id="53" w:name="_Toc23904"/>
      <w:r>
        <w:rPr>
          <w:rFonts w:hint="default"/>
          <w:lang w:val="en-US" w:eastAsia="zh-CN"/>
        </w:rPr>
        <w:t>资格文件</w:t>
      </w:r>
      <w:bookmarkEnd w:id="52"/>
      <w:bookmarkEnd w:id="53"/>
    </w:p>
    <w:tbl>
      <w:tblPr>
        <w:tblStyle w:val="1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BBCC7E5">
            <w:pPr>
              <w:pageBreakBefore w:val="0"/>
              <w:kinsoku/>
              <w:wordWrap w:val="0"/>
              <w:overflowPunct/>
              <w:topLinePunct w:val="0"/>
              <w:bidi w:val="0"/>
              <w:jc w:val="center"/>
              <w:textAlignment w:val="auto"/>
              <w:rPr>
                <w:rFonts w:hint="eastAsia"/>
              </w:rPr>
            </w:pPr>
            <w:r>
              <w:rPr>
                <w:rFonts w:hint="eastAsia"/>
              </w:rPr>
              <w:t>目录</w:t>
            </w:r>
          </w:p>
          <w:p w14:paraId="0AC2DA73">
            <w:pPr>
              <w:pageBreakBefore w:val="0"/>
              <w:kinsoku/>
              <w:wordWrap w:val="0"/>
              <w:overflowPunct/>
              <w:topLinePunct w:val="0"/>
              <w:bidi w:val="0"/>
              <w:textAlignment w:val="auto"/>
              <w:rPr>
                <w:rFonts w:hint="eastAsia"/>
              </w:rPr>
            </w:pPr>
            <w:r>
              <w:rPr>
                <w:rFonts w:hint="eastAsia"/>
              </w:rPr>
              <w:t>（1）授权委托书或法定代表人（单位负责人、自然人本人）身份证明…………（页码）</w:t>
            </w:r>
          </w:p>
          <w:p w14:paraId="0245B5E7">
            <w:pPr>
              <w:pageBreakBefore w:val="0"/>
              <w:kinsoku/>
              <w:wordWrap w:val="0"/>
              <w:overflowPunct/>
              <w:topLinePunct w:val="0"/>
              <w:bidi w:val="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lang w:val="en-US" w:eastAsia="zh-CN"/>
              </w:rPr>
              <w:t>投标</w:t>
            </w:r>
            <w:r>
              <w:rPr>
                <w:rFonts w:hint="eastAsia"/>
              </w:rPr>
              <w:t>函……………………………………………………………………………（页码）</w:t>
            </w:r>
          </w:p>
          <w:p w14:paraId="175A4CEC">
            <w:pPr>
              <w:pageBreakBefore w:val="0"/>
              <w:kinsoku/>
              <w:wordWrap w:val="0"/>
              <w:overflowPunct/>
              <w:topLinePunct w:val="0"/>
              <w:bidi w:val="0"/>
              <w:textAlignment w:val="auto"/>
              <w:rPr>
                <w:rFonts w:hint="eastAsia" w:eastAsia="汉仪正圆 55简"/>
                <w:lang w:eastAsia="zh-CN"/>
              </w:rPr>
            </w:pPr>
            <w:r>
              <w:rPr>
                <w:rFonts w:hint="eastAsia"/>
                <w:lang w:eastAsia="zh-CN"/>
              </w:rPr>
              <w:t>（</w:t>
            </w:r>
            <w:r>
              <w:rPr>
                <w:rFonts w:hint="eastAsia"/>
                <w:lang w:val="en-US" w:eastAsia="zh-CN"/>
              </w:rPr>
              <w:t>3</w:t>
            </w:r>
            <w:r>
              <w:rPr>
                <w:rFonts w:hint="eastAsia"/>
                <w:lang w:eastAsia="zh-CN"/>
              </w:rPr>
              <w:t>）</w:t>
            </w:r>
            <w:r>
              <w:rPr>
                <w:rFonts w:hint="eastAsia"/>
              </w:rPr>
              <w:t>符合参加</w:t>
            </w:r>
            <w:r>
              <w:rPr>
                <w:rFonts w:hint="eastAsia"/>
                <w:lang w:val="en-US" w:eastAsia="zh-CN"/>
              </w:rPr>
              <w:t>国企</w:t>
            </w:r>
            <w:r>
              <w:rPr>
                <w:rFonts w:hint="eastAsia"/>
              </w:rPr>
              <w:t>采购活动应当具备的一般条件的承诺函………………………（页码）</w:t>
            </w:r>
          </w:p>
          <w:p w14:paraId="0C5FAAAD">
            <w:pPr>
              <w:pageBreakBefore w:val="0"/>
              <w:kinsoku/>
              <w:wordWrap w:val="0"/>
              <w:overflowPunct/>
              <w:topLinePunct w:val="0"/>
              <w:bidi w:val="0"/>
              <w:textAlignment w:val="auto"/>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1BFA965A">
            <w:pPr>
              <w:pageBreakBefore w:val="0"/>
              <w:kinsoku/>
              <w:wordWrap w:val="0"/>
              <w:overflowPunct/>
              <w:topLinePunct w:val="0"/>
              <w:bidi w:val="0"/>
              <w:textAlignment w:val="auto"/>
              <w:rPr>
                <w:rFonts w:hint="default"/>
                <w:lang w:val="en-US"/>
              </w:rPr>
            </w:pPr>
            <w:r>
              <w:rPr>
                <w:rFonts w:hint="eastAsia"/>
                <w:vertAlign w:val="baseline"/>
                <w:lang w:val="en-US" w:eastAsia="zh-CN"/>
              </w:rPr>
              <w:t>（5）特定资格条件（如有）</w:t>
            </w:r>
            <w:r>
              <w:rPr>
                <w:rFonts w:hint="eastAsia"/>
              </w:rPr>
              <w:t>…………………………………………………………（页码）</w:t>
            </w:r>
          </w:p>
          <w:p w14:paraId="41AEEDA2">
            <w:pPr>
              <w:pStyle w:val="14"/>
              <w:rPr>
                <w:rFonts w:hint="eastAsia" w:eastAsia="仿宋"/>
                <w:lang w:val="en-US" w:eastAsia="zh-CN"/>
              </w:rPr>
            </w:pPr>
            <w:r>
              <w:rPr>
                <w:rFonts w:hint="eastAsia"/>
                <w:lang w:eastAsia="zh-CN"/>
              </w:rPr>
              <w:t>（</w:t>
            </w:r>
            <w:r>
              <w:rPr>
                <w:rFonts w:hint="eastAsia"/>
                <w:lang w:val="en-US" w:eastAsia="zh-CN"/>
              </w:rPr>
              <w:t>6</w:t>
            </w:r>
            <w:r>
              <w:rPr>
                <w:rFonts w:hint="eastAsia"/>
                <w:lang w:eastAsia="zh-CN"/>
              </w:rPr>
              <w:t>）国企采购供应商廉洁自律承诺书</w:t>
            </w:r>
            <w:r>
              <w:rPr>
                <w:rFonts w:hint="eastAsia"/>
              </w:rPr>
              <w:t>………………………………………………（页码）</w:t>
            </w: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4CE3F5D8">
            <w:pPr>
              <w:pStyle w:val="4"/>
              <w:widowControl w:val="0"/>
              <w:bidi w:val="0"/>
              <w:jc w:val="center"/>
              <w:rPr>
                <w:rFonts w:hint="eastAsia"/>
              </w:rPr>
            </w:pPr>
            <w:bookmarkStart w:id="54" w:name="_Toc9128"/>
            <w:bookmarkStart w:id="55" w:name="_Toc4094"/>
            <w:bookmarkStart w:id="56" w:name="_Toc4832"/>
            <w:bookmarkStart w:id="57" w:name="_Toc5119"/>
            <w:bookmarkStart w:id="58" w:name="_Toc28772"/>
            <w:bookmarkStart w:id="59" w:name="_Toc7783"/>
            <w:bookmarkStart w:id="60" w:name="_Toc29620"/>
            <w:bookmarkStart w:id="61" w:name="_Toc26335"/>
            <w:bookmarkStart w:id="62" w:name="_Toc14722"/>
            <w:bookmarkStart w:id="63" w:name="_Toc12152"/>
            <w:bookmarkStart w:id="64" w:name="_Toc32174"/>
            <w:bookmarkStart w:id="65" w:name="_Toc2894"/>
            <w:r>
              <w:rPr>
                <w:rFonts w:hint="eastAsia"/>
              </w:rPr>
              <w:t>授权委托书</w:t>
            </w:r>
            <w:r>
              <w:rPr>
                <w:rFonts w:hint="eastAsia"/>
                <w:lang w:eastAsia="zh-CN"/>
              </w:rPr>
              <w:t>、</w:t>
            </w:r>
            <w:r>
              <w:rPr>
                <w:rFonts w:hint="eastAsia"/>
              </w:rPr>
              <w:t>法定代表人身份证明</w:t>
            </w:r>
            <w:bookmarkEnd w:id="54"/>
            <w:bookmarkEnd w:id="55"/>
            <w:bookmarkEnd w:id="56"/>
            <w:bookmarkEnd w:id="57"/>
            <w:bookmarkEnd w:id="58"/>
          </w:p>
          <w:p w14:paraId="6DE397FD">
            <w:pPr>
              <w:pageBreakBefore w:val="0"/>
              <w:kinsoku/>
              <w:wordWrap w:val="0"/>
              <w:overflowPunct/>
              <w:topLinePunct w:val="0"/>
              <w:bidi w:val="0"/>
              <w:jc w:val="center"/>
              <w:textAlignment w:val="auto"/>
              <w:rPr>
                <w:rFonts w:hint="eastAsia"/>
                <w:b/>
                <w:bCs/>
              </w:rPr>
            </w:pPr>
          </w:p>
          <w:p w14:paraId="0D74A3F4">
            <w:pPr>
              <w:pageBreakBefore w:val="0"/>
              <w:kinsoku/>
              <w:wordWrap w:val="0"/>
              <w:overflowPunct/>
              <w:topLinePunct w:val="0"/>
              <w:bidi w:val="0"/>
              <w:textAlignment w:val="auto"/>
              <w:rPr>
                <w:rFonts w:hint="eastAsia"/>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1BECFB1A">
            <w:pPr>
              <w:pageBreakBefore w:val="0"/>
              <w:kinsoku/>
              <w:wordWrap w:val="0"/>
              <w:overflowPunct/>
              <w:topLinePunct w:val="0"/>
              <w:bidi w:val="0"/>
              <w:textAlignment w:val="auto"/>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18BD801C">
            <w:pPr>
              <w:pageBreakBefore w:val="0"/>
              <w:kinsoku/>
              <w:wordWrap w:val="0"/>
              <w:overflowPunct/>
              <w:topLinePunct w:val="0"/>
              <w:bidi w:val="0"/>
              <w:textAlignment w:val="auto"/>
              <w:rPr>
                <w:rFonts w:hint="eastAsia"/>
                <w:u w:val="single"/>
                <w:lang w:eastAsia="zh-CN"/>
              </w:rPr>
            </w:pPr>
            <w:r>
              <w:rPr>
                <w:rFonts w:hint="eastAsia"/>
              </w:rPr>
              <w:t>地</w:t>
            </w:r>
            <w:r>
              <w:rPr>
                <w:rFonts w:hint="eastAsia"/>
                <w:lang w:val="en-US" w:eastAsia="zh-CN"/>
              </w:rPr>
              <w:t xml:space="preserve">    </w:t>
            </w:r>
            <w:r>
              <w:rPr>
                <w:rFonts w:hint="eastAsia"/>
              </w:rPr>
              <w:t>址</w:t>
            </w:r>
            <w:r>
              <w:rPr>
                <w:rFonts w:hint="eastAsia"/>
                <w:lang w:eastAsia="zh-CN"/>
              </w:rPr>
              <w:t>：</w:t>
            </w:r>
            <w:r>
              <w:rPr>
                <w:rFonts w:hint="eastAsia"/>
                <w:b/>
                <w:bCs/>
                <w:color w:val="FF0000"/>
                <w:u w:val="single"/>
                <w:lang w:val="en-US" w:eastAsia="zh-CN"/>
              </w:rPr>
              <w:t xml:space="preserve">                             </w:t>
            </w:r>
          </w:p>
          <w:p w14:paraId="78272F38">
            <w:pPr>
              <w:pageBreakBefore w:val="0"/>
              <w:kinsoku/>
              <w:wordWrap w:val="0"/>
              <w:overflowPunct/>
              <w:topLinePunct w:val="0"/>
              <w:bidi w:val="0"/>
              <w:textAlignment w:val="auto"/>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42DBBED6">
            <w:pPr>
              <w:pageBreakBefore w:val="0"/>
              <w:kinsoku/>
              <w:wordWrap w:val="0"/>
              <w:overflowPunct/>
              <w:topLinePunct w:val="0"/>
              <w:bidi w:val="0"/>
              <w:textAlignment w:val="auto"/>
              <w:rPr>
                <w:rFonts w:hint="eastAsia"/>
                <w:lang w:eastAsia="zh-CN"/>
              </w:rPr>
            </w:pPr>
            <w:r>
              <w:rPr>
                <w:rFonts w:hint="eastAsia"/>
              </w:rPr>
              <w:t>成立时间</w:t>
            </w:r>
            <w:r>
              <w:rPr>
                <w:rFonts w:hint="eastAsia"/>
                <w:lang w:eastAsia="zh-CN"/>
              </w:rPr>
              <w:t>：</w:t>
            </w:r>
            <w:r>
              <w:rPr>
                <w:rFonts w:hint="eastAsia"/>
                <w:b/>
                <w:bCs/>
                <w:color w:val="FF0000"/>
                <w:u w:val="single"/>
                <w:lang w:val="en-US" w:eastAsia="zh-CN"/>
              </w:rPr>
              <w:t xml:space="preserve">      </w:t>
            </w:r>
            <w:r>
              <w:rPr>
                <w:rFonts w:hint="eastAsia"/>
                <w:b/>
                <w:bCs/>
                <w:color w:val="FF0000"/>
              </w:rPr>
              <w:t>年</w:t>
            </w:r>
            <w:r>
              <w:rPr>
                <w:rFonts w:hint="eastAsia"/>
                <w:b/>
                <w:bCs/>
                <w:color w:val="FF0000"/>
                <w:u w:val="single"/>
                <w:lang w:val="en-US" w:eastAsia="zh-CN"/>
              </w:rPr>
              <w:t xml:space="preserve">     </w:t>
            </w:r>
            <w:r>
              <w:rPr>
                <w:rFonts w:hint="eastAsia"/>
                <w:b/>
                <w:bCs/>
                <w:color w:val="FF0000"/>
              </w:rPr>
              <w:t>月</w:t>
            </w:r>
            <w:r>
              <w:rPr>
                <w:rFonts w:hint="eastAsia"/>
                <w:b/>
                <w:bCs/>
                <w:color w:val="FF0000"/>
                <w:u w:val="single"/>
                <w:lang w:val="en-US" w:eastAsia="zh-CN"/>
              </w:rPr>
              <w:t xml:space="preserve">     </w:t>
            </w:r>
            <w:r>
              <w:rPr>
                <w:rFonts w:hint="eastAsia"/>
                <w:b/>
                <w:bCs/>
                <w:color w:val="FF0000"/>
              </w:rPr>
              <w:t>日</w:t>
            </w:r>
          </w:p>
          <w:p w14:paraId="5BF0438A">
            <w:pPr>
              <w:pageBreakBefore w:val="0"/>
              <w:kinsoku/>
              <w:wordWrap w:val="0"/>
              <w:overflowPunct/>
              <w:topLinePunct w:val="0"/>
              <w:bidi w:val="0"/>
              <w:textAlignment w:val="auto"/>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3C9EE0DC">
            <w:pPr>
              <w:pageBreakBefore w:val="0"/>
              <w:kinsoku/>
              <w:wordWrap w:val="0"/>
              <w:overflowPunct/>
              <w:topLinePunct w:val="0"/>
              <w:bidi w:val="0"/>
              <w:textAlignment w:val="auto"/>
              <w:rPr>
                <w:rFonts w:hint="eastAsia"/>
                <w:u w:val="single"/>
                <w:lang w:val="en-US" w:eastAsia="zh-CN"/>
              </w:rPr>
            </w:pPr>
            <w:r>
              <w:rPr>
                <w:rFonts w:hint="eastAsia"/>
              </w:rPr>
              <w:t>姓 名</w:t>
            </w:r>
            <w:r>
              <w:rPr>
                <w:rFonts w:hint="eastAsia"/>
                <w:lang w:eastAsia="zh-CN"/>
              </w:rPr>
              <w:t>：</w:t>
            </w:r>
            <w:r>
              <w:rPr>
                <w:rFonts w:hint="eastAsia"/>
                <w:b/>
                <w:bCs/>
                <w:color w:val="FF0000"/>
                <w:u w:val="single"/>
                <w:lang w:val="en-US" w:eastAsia="zh-CN"/>
              </w:rPr>
              <w:t xml:space="preserve">        </w:t>
            </w:r>
            <w:r>
              <w:rPr>
                <w:rFonts w:hint="eastAsia"/>
              </w:rPr>
              <w:t>性别</w:t>
            </w:r>
            <w:r>
              <w:rPr>
                <w:rFonts w:hint="eastAsia"/>
                <w:lang w:eastAsia="zh-CN"/>
              </w:rPr>
              <w:t>：</w:t>
            </w:r>
            <w:r>
              <w:rPr>
                <w:rFonts w:hint="eastAsia"/>
                <w:b/>
                <w:bCs/>
                <w:color w:val="FF0000"/>
                <w:u w:val="single"/>
                <w:lang w:val="en-US" w:eastAsia="zh-CN"/>
              </w:rPr>
              <w:t xml:space="preserve">     </w:t>
            </w:r>
            <w:r>
              <w:rPr>
                <w:rFonts w:hint="eastAsia"/>
              </w:rPr>
              <w:t>年龄</w:t>
            </w:r>
            <w:r>
              <w:rPr>
                <w:rFonts w:hint="eastAsia"/>
                <w:lang w:eastAsia="zh-CN"/>
              </w:rPr>
              <w:t>：</w:t>
            </w:r>
            <w:r>
              <w:rPr>
                <w:rFonts w:hint="eastAsia"/>
                <w:b/>
                <w:bCs/>
                <w:color w:val="FF0000"/>
                <w:u w:val="single"/>
                <w:lang w:val="en-US" w:eastAsia="zh-CN"/>
              </w:rPr>
              <w:t xml:space="preserve">     </w:t>
            </w:r>
            <w:r>
              <w:rPr>
                <w:rFonts w:hint="eastAsia"/>
              </w:rPr>
              <w:t>职务</w:t>
            </w:r>
            <w:r>
              <w:rPr>
                <w:rFonts w:hint="eastAsia"/>
                <w:lang w:eastAsia="zh-CN"/>
              </w:rPr>
              <w:t>：</w:t>
            </w:r>
            <w:r>
              <w:rPr>
                <w:rFonts w:hint="eastAsia"/>
                <w:b/>
                <w:bCs/>
                <w:color w:val="FF0000"/>
                <w:u w:val="single"/>
                <w:lang w:val="en-US" w:eastAsia="zh-CN"/>
              </w:rPr>
              <w:t xml:space="preserve">       </w:t>
            </w:r>
          </w:p>
          <w:p w14:paraId="4EE06555">
            <w:pPr>
              <w:pageBreakBefore w:val="0"/>
              <w:kinsoku/>
              <w:wordWrap w:val="0"/>
              <w:overflowPunct/>
              <w:topLinePunct w:val="0"/>
              <w:bidi w:val="0"/>
              <w:textAlignment w:val="auto"/>
              <w:rPr>
                <w:rFonts w:hint="eastAsia"/>
              </w:rPr>
            </w:pPr>
            <w:r>
              <w:rPr>
                <w:rFonts w:hint="eastAsia"/>
              </w:rPr>
              <w:t>系</w:t>
            </w:r>
            <w:r>
              <w:rPr>
                <w:rFonts w:hint="eastAsia"/>
                <w:b/>
                <w:bCs/>
                <w:color w:val="FF0000"/>
                <w:u w:val="single"/>
                <w:lang w:val="en-US" w:eastAsia="zh-CN"/>
              </w:rPr>
              <w:t xml:space="preserve">                                   </w:t>
            </w:r>
            <w:r>
              <w:rPr>
                <w:rFonts w:hint="eastAsia"/>
              </w:rPr>
              <w:t>的法定代表人。</w:t>
            </w:r>
          </w:p>
          <w:p w14:paraId="791052E9">
            <w:pPr>
              <w:pageBreakBefore w:val="0"/>
              <w:kinsoku/>
              <w:wordWrap w:val="0"/>
              <w:overflowPunct/>
              <w:topLinePunct w:val="0"/>
              <w:bidi w:val="0"/>
              <w:textAlignment w:val="auto"/>
              <w:rPr>
                <w:rFonts w:hint="eastAsia"/>
              </w:rPr>
            </w:pPr>
            <w:r>
              <w:rPr>
                <w:rFonts w:hint="eastAsia"/>
              </w:rPr>
              <w:t>特此证明。</w:t>
            </w:r>
          </w:p>
          <w:p w14:paraId="1FFE1417">
            <w:pPr>
              <w:pageBreakBefore w:val="0"/>
              <w:kinsoku/>
              <w:wordWrap w:val="0"/>
              <w:overflowPunct/>
              <w:topLinePunct w:val="0"/>
              <w:bidi w:val="0"/>
              <w:textAlignment w:val="auto"/>
              <w:rPr>
                <w:rFonts w:hint="eastAsia"/>
                <w:lang w:val="en-US" w:eastAsia="zh-CN"/>
              </w:rPr>
            </w:pPr>
            <w:r>
              <w:rPr>
                <w:rFonts w:hint="eastAsia"/>
                <w:lang w:val="en-US" w:eastAsia="zh-CN"/>
              </w:rPr>
              <w:t>附：法人身份证</w:t>
            </w:r>
          </w:p>
          <w:tbl>
            <w:tblPr>
              <w:tblStyle w:val="17"/>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21A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303" w:type="dxa"/>
                </w:tcPr>
                <w:p w14:paraId="3C920838">
                  <w:pPr>
                    <w:pageBreakBefore w:val="0"/>
                    <w:kinsoku/>
                    <w:wordWrap w:val="0"/>
                    <w:overflowPunct/>
                    <w:topLinePunct w:val="0"/>
                    <w:bidi w:val="0"/>
                    <w:textAlignment w:val="auto"/>
                    <w:rPr>
                      <w:rFonts w:hint="eastAsia"/>
                    </w:rPr>
                  </w:pPr>
                  <w:r>
                    <w:rPr>
                      <w:rFonts w:hint="eastAsia"/>
                    </w:rPr>
                    <w:t>正面：                                 反面：</w:t>
                  </w:r>
                </w:p>
                <w:p w14:paraId="02C8C43F">
                  <w:pPr>
                    <w:pageBreakBefore w:val="0"/>
                    <w:kinsoku/>
                    <w:wordWrap w:val="0"/>
                    <w:overflowPunct/>
                    <w:topLinePunct w:val="0"/>
                    <w:bidi w:val="0"/>
                    <w:textAlignment w:val="auto"/>
                    <w:rPr>
                      <w:rFonts w:hint="eastAsia"/>
                    </w:rPr>
                  </w:pPr>
                </w:p>
              </w:tc>
            </w:tr>
          </w:tbl>
          <w:p w14:paraId="4E267B37">
            <w:pPr>
              <w:pageBreakBefore w:val="0"/>
              <w:kinsoku/>
              <w:wordWrap w:val="0"/>
              <w:overflowPunct/>
              <w:topLinePunct w:val="0"/>
              <w:bidi w:val="0"/>
              <w:textAlignment w:val="auto"/>
              <w:rPr>
                <w:rFonts w:hint="eastAsia"/>
              </w:rPr>
            </w:pPr>
          </w:p>
          <w:p w14:paraId="4E5B3CED">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30"/>
                <w:kern w:val="0"/>
                <w:fitText w:val="2640" w:id="1376871473"/>
                <w:lang w:val="zh-CN"/>
              </w:rPr>
              <w:t>投标人名称（</w:t>
            </w:r>
            <w:r>
              <w:rPr>
                <w:rFonts w:hint="eastAsia"/>
                <w:b/>
                <w:bCs/>
                <w:color w:val="FF0000"/>
                <w:spacing w:val="30"/>
                <w:kern w:val="0"/>
                <w:fitText w:val="2640" w:id="1376871473"/>
                <w:lang w:val="en-US" w:eastAsia="zh-CN"/>
              </w:rPr>
              <w:t>盖章</w:t>
            </w:r>
            <w:r>
              <w:rPr>
                <w:rFonts w:hint="eastAsia"/>
                <w:b/>
                <w:bCs/>
                <w:color w:val="FF0000"/>
                <w:spacing w:val="0"/>
                <w:kern w:val="0"/>
                <w:fitText w:val="2640" w:id="1376871473"/>
                <w:lang w:val="zh-CN"/>
              </w:rPr>
              <w:t>）</w:t>
            </w:r>
            <w:r>
              <w:rPr>
                <w:rFonts w:hint="eastAsia"/>
                <w:b/>
                <w:bCs/>
                <w:color w:val="FF0000"/>
                <w:lang w:val="zh-CN"/>
              </w:rPr>
              <w:t>：</w:t>
            </w:r>
          </w:p>
          <w:p w14:paraId="1FCF91B5">
            <w:pPr>
              <w:bidi w:val="0"/>
              <w:rPr>
                <w:rFonts w:hint="eastAsia"/>
              </w:rPr>
            </w:pPr>
            <w:r>
              <w:rPr>
                <w:rFonts w:hint="eastAsia"/>
                <w:b/>
                <w:bCs/>
                <w:color w:val="FF0000"/>
                <w:spacing w:val="1080"/>
                <w:kern w:val="0"/>
                <w:fitText w:val="2640" w:id="1901734456"/>
                <w:lang w:val="zh-CN"/>
              </w:rPr>
              <w:t>日</w:t>
            </w:r>
            <w:r>
              <w:rPr>
                <w:rFonts w:hint="eastAsia"/>
                <w:b/>
                <w:bCs/>
                <w:color w:val="FF0000"/>
                <w:spacing w:val="0"/>
                <w:kern w:val="0"/>
                <w:fitText w:val="2640" w:id="1901734456"/>
                <w:lang w:val="zh-CN"/>
              </w:rPr>
              <w:t>期</w:t>
            </w:r>
            <w:r>
              <w:rPr>
                <w:rFonts w:hint="eastAsia"/>
                <w:b/>
                <w:bCs/>
                <w:color w:val="FF0000"/>
              </w:rPr>
              <w:t>：</w:t>
            </w:r>
          </w:p>
          <w:p w14:paraId="5D72A8C5">
            <w:pPr>
              <w:bidi w:val="0"/>
              <w:rPr>
                <w:rFonts w:hint="eastAsia"/>
              </w:rPr>
            </w:pPr>
          </w:p>
          <w:p w14:paraId="1E1CA0E1">
            <w:pPr>
              <w:bidi w:val="0"/>
              <w:rPr>
                <w:rFonts w:hint="eastAsia"/>
              </w:rPr>
            </w:pPr>
          </w:p>
          <w:p w14:paraId="4C43D719">
            <w:pPr>
              <w:bidi w:val="0"/>
              <w:rPr>
                <w:rFonts w:hint="eastAsia"/>
              </w:rPr>
            </w:pPr>
          </w:p>
          <w:p w14:paraId="36380831">
            <w:pPr>
              <w:bidi w:val="0"/>
              <w:rPr>
                <w:rFonts w:hint="eastAsia"/>
              </w:rPr>
            </w:pPr>
          </w:p>
          <w:p w14:paraId="60C56875">
            <w:pPr>
              <w:pageBreakBefore w:val="0"/>
              <w:kinsoku/>
              <w:wordWrap w:val="0"/>
              <w:overflowPunct/>
              <w:topLinePunct w:val="0"/>
              <w:bidi w:val="0"/>
              <w:jc w:val="center"/>
              <w:textAlignment w:val="auto"/>
              <w:rPr>
                <w:rFonts w:hint="eastAsia"/>
                <w:b/>
                <w:bCs/>
                <w:lang w:val="zh-CN"/>
              </w:rPr>
            </w:pPr>
            <w:r>
              <w:rPr>
                <w:rFonts w:hint="eastAsia"/>
                <w:b/>
                <w:bCs/>
                <w:lang w:val="zh-CN"/>
              </w:rPr>
              <w:t>授权委托书</w:t>
            </w:r>
          </w:p>
          <w:p w14:paraId="768439A8">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6A69D625">
            <w:pPr>
              <w:pageBreakBefore w:val="0"/>
              <w:kinsoku/>
              <w:wordWrap w:val="0"/>
              <w:overflowPunct/>
              <w:topLinePunct w:val="0"/>
              <w:bidi w:val="0"/>
              <w:textAlignment w:val="auto"/>
              <w:rPr>
                <w:rFonts w:hint="eastAsia"/>
              </w:rPr>
            </w:pPr>
            <w:r>
              <w:rPr>
                <w:rFonts w:hint="eastAsia"/>
              </w:rPr>
              <w:t>现</w:t>
            </w:r>
            <w:r>
              <w:rPr>
                <w:rFonts w:hint="eastAsia"/>
                <w:lang w:val="zh-CN"/>
              </w:rPr>
              <w:t>委托</w:t>
            </w:r>
            <w:r>
              <w:rPr>
                <w:rFonts w:hint="eastAsia"/>
                <w:b/>
                <w:bCs/>
                <w:color w:val="FF0000"/>
                <w:u w:val="single"/>
                <w:lang w:val="zh-CN"/>
              </w:rPr>
              <w:t xml:space="preserve"> （姓名）</w:t>
            </w:r>
            <w:r>
              <w:rPr>
                <w:rFonts w:hint="eastAsia"/>
                <w:lang w:val="zh-CN"/>
              </w:rPr>
              <w:t>为我方代理人（身份证号码：</w:t>
            </w:r>
            <w:r>
              <w:rPr>
                <w:rFonts w:hint="eastAsia"/>
                <w:b/>
                <w:bCs/>
                <w:color w:val="FF0000"/>
                <w:u w:val="single"/>
                <w:lang w:val="zh-CN"/>
              </w:rPr>
              <w:t xml:space="preserve">     </w:t>
            </w:r>
            <w:r>
              <w:rPr>
                <w:rFonts w:hint="eastAsia"/>
                <w:b/>
                <w:bCs/>
                <w:color w:val="FF0000"/>
                <w:u w:val="single"/>
                <w:lang w:val="en-US" w:eastAsia="zh-CN"/>
              </w:rPr>
              <w:t xml:space="preserve">             </w:t>
            </w:r>
            <w:r>
              <w:rPr>
                <w:rFonts w:hint="eastAsia"/>
                <w:b/>
                <w:bCs/>
                <w:color w:val="FF0000"/>
                <w:u w:val="single"/>
                <w:lang w:val="zh-CN"/>
              </w:rPr>
              <w:t xml:space="preserve"> </w:t>
            </w:r>
            <w:r>
              <w:rPr>
                <w:rFonts w:hint="eastAsia"/>
                <w:lang w:val="zh-CN"/>
              </w:rPr>
              <w:t>，手机：</w:t>
            </w:r>
            <w:r>
              <w:rPr>
                <w:rFonts w:hint="eastAsia"/>
                <w:b/>
                <w:bCs/>
                <w:color w:val="FF0000"/>
                <w:u w:val="single"/>
                <w:lang w:val="zh-CN"/>
              </w:rPr>
              <w:t xml:space="preserve">   </w:t>
            </w:r>
            <w:r>
              <w:rPr>
                <w:rFonts w:hint="eastAsia"/>
                <w:b/>
                <w:bCs/>
                <w:color w:val="FF0000"/>
                <w:u w:val="single"/>
                <w:lang w:val="en-US" w:eastAsia="zh-CN"/>
              </w:rPr>
              <w:t xml:space="preserve">   </w:t>
            </w:r>
            <w:r>
              <w:rPr>
                <w:rFonts w:hint="eastAsia"/>
                <w:b/>
                <w:bCs/>
                <w:color w:val="FF0000"/>
                <w:u w:val="single"/>
                <w:lang w:val="zh-CN"/>
              </w:rPr>
              <w:t xml:space="preserve">       </w:t>
            </w:r>
            <w:r>
              <w:rPr>
                <w:rFonts w:hint="eastAsia"/>
                <w:lang w:val="zh-CN"/>
              </w:rPr>
              <w:t>），以我方名义处理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 xml:space="preserve"> （项目编号） </w:t>
            </w:r>
            <w:r>
              <w:rPr>
                <w:rFonts w:hint="eastAsia"/>
              </w:rPr>
              <w:t>】</w:t>
            </w:r>
            <w:r>
              <w:rPr>
                <w:rFonts w:hint="eastAsia"/>
                <w:lang w:val="en-US" w:eastAsia="zh-CN"/>
              </w:rPr>
              <w:t>国企</w:t>
            </w:r>
            <w:r>
              <w:rPr>
                <w:rFonts w:hint="eastAsia"/>
                <w:lang w:val="zh-CN"/>
              </w:rPr>
              <w:t>采购投标的一切事项，其法律后果由我方承担。</w:t>
            </w:r>
          </w:p>
          <w:p w14:paraId="61D44BF3">
            <w:pPr>
              <w:pageBreakBefore w:val="0"/>
              <w:kinsoku/>
              <w:wordWrap w:val="0"/>
              <w:overflowPunct/>
              <w:topLinePunct w:val="0"/>
              <w:bidi w:val="0"/>
              <w:textAlignment w:val="auto"/>
              <w:rPr>
                <w:rFonts w:hint="eastAsia"/>
              </w:rPr>
            </w:pPr>
            <w:r>
              <w:rPr>
                <w:rFonts w:hint="eastAsia"/>
              </w:rPr>
              <w:t xml:space="preserve">    </w:t>
            </w:r>
            <w:r>
              <w:rPr>
                <w:rFonts w:hint="eastAsia"/>
                <w:lang w:val="zh-CN"/>
              </w:rPr>
              <w:t>委托期限</w:t>
            </w:r>
            <w:r>
              <w:rPr>
                <w:rFonts w:hint="eastAsia"/>
              </w:rPr>
              <w:t>：</w:t>
            </w:r>
            <w:r>
              <w:rPr>
                <w:rFonts w:hint="eastAsia"/>
                <w:lang w:val="zh-CN"/>
              </w:rPr>
              <w:t>自</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月</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日起至</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月</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日止。</w:t>
            </w:r>
          </w:p>
          <w:p w14:paraId="4C185A45">
            <w:pPr>
              <w:pageBreakBefore w:val="0"/>
              <w:kinsoku/>
              <w:wordWrap w:val="0"/>
              <w:overflowPunct/>
              <w:topLinePunct w:val="0"/>
              <w:bidi w:val="0"/>
              <w:textAlignment w:val="auto"/>
              <w:rPr>
                <w:rFonts w:hint="eastAsia"/>
              </w:rPr>
            </w:pPr>
            <w:r>
              <w:rPr>
                <w:rFonts w:hint="eastAsia"/>
              </w:rPr>
              <w:t xml:space="preserve">    </w:t>
            </w:r>
            <w:r>
              <w:rPr>
                <w:rFonts w:hint="eastAsia"/>
                <w:lang w:val="zh-CN"/>
              </w:rPr>
              <w:t xml:space="preserve">特此告知。                                       </w:t>
            </w:r>
          </w:p>
          <w:p w14:paraId="03DF1CF9">
            <w:pPr>
              <w:pageBreakBefore w:val="0"/>
              <w:kinsoku/>
              <w:wordWrap w:val="0"/>
              <w:overflowPunct/>
              <w:topLinePunct w:val="0"/>
              <w:bidi w:val="0"/>
              <w:textAlignment w:val="auto"/>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40AF9EA1">
            <w:pPr>
              <w:pageBreakBefore w:val="0"/>
              <w:kinsoku/>
              <w:wordWrap w:val="0"/>
              <w:overflowPunct/>
              <w:topLinePunct w:val="0"/>
              <w:bidi w:val="0"/>
              <w:textAlignment w:val="auto"/>
              <w:rPr>
                <w:rFonts w:hint="eastAsia"/>
                <w:lang w:val="en-US" w:eastAsia="zh-CN"/>
              </w:rPr>
            </w:pPr>
            <w:r>
              <w:rPr>
                <w:rFonts w:hint="eastAsia"/>
                <w:lang w:val="en-US" w:eastAsia="zh-CN"/>
              </w:rPr>
              <w:t>法人身份证</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5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15626135">
                  <w:pPr>
                    <w:pageBreakBefore w:val="0"/>
                    <w:kinsoku/>
                    <w:wordWrap w:val="0"/>
                    <w:overflowPunct/>
                    <w:topLinePunct w:val="0"/>
                    <w:bidi w:val="0"/>
                    <w:textAlignment w:val="auto"/>
                    <w:rPr>
                      <w:rFonts w:hint="eastAsia"/>
                    </w:rPr>
                  </w:pPr>
                  <w:r>
                    <w:rPr>
                      <w:rFonts w:hint="eastAsia"/>
                    </w:rPr>
                    <w:t>正面：                                 反面：</w:t>
                  </w:r>
                </w:p>
                <w:p w14:paraId="47B005C9">
                  <w:pPr>
                    <w:pageBreakBefore w:val="0"/>
                    <w:kinsoku/>
                    <w:wordWrap w:val="0"/>
                    <w:overflowPunct/>
                    <w:topLinePunct w:val="0"/>
                    <w:bidi w:val="0"/>
                    <w:textAlignment w:val="auto"/>
                    <w:rPr>
                      <w:rFonts w:hint="eastAsia"/>
                    </w:rPr>
                  </w:pPr>
                </w:p>
              </w:tc>
            </w:tr>
          </w:tbl>
          <w:p w14:paraId="5A77C3FF">
            <w:pPr>
              <w:pageBreakBefore w:val="0"/>
              <w:kinsoku/>
              <w:wordWrap w:val="0"/>
              <w:overflowPunct/>
              <w:topLinePunct w:val="0"/>
              <w:bidi w:val="0"/>
              <w:textAlignment w:val="auto"/>
              <w:rPr>
                <w:rFonts w:hint="eastAsia"/>
                <w:lang w:val="en-US" w:eastAsia="zh-CN"/>
              </w:rPr>
            </w:pPr>
            <w:r>
              <w:rPr>
                <w:rFonts w:hint="eastAsia"/>
                <w:lang w:val="en-US" w:eastAsia="zh-CN"/>
              </w:rPr>
              <w:t>授权代表身份证</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9F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199994D9">
                  <w:pPr>
                    <w:pageBreakBefore w:val="0"/>
                    <w:kinsoku/>
                    <w:wordWrap w:val="0"/>
                    <w:overflowPunct/>
                    <w:topLinePunct w:val="0"/>
                    <w:bidi w:val="0"/>
                    <w:textAlignment w:val="auto"/>
                    <w:rPr>
                      <w:rFonts w:hint="eastAsia"/>
                    </w:rPr>
                  </w:pPr>
                  <w:r>
                    <w:rPr>
                      <w:rFonts w:hint="eastAsia"/>
                    </w:rPr>
                    <w:t>正面：                                 反面：</w:t>
                  </w:r>
                </w:p>
                <w:p w14:paraId="225BF7F5">
                  <w:pPr>
                    <w:pageBreakBefore w:val="0"/>
                    <w:kinsoku/>
                    <w:wordWrap w:val="0"/>
                    <w:overflowPunct/>
                    <w:topLinePunct w:val="0"/>
                    <w:bidi w:val="0"/>
                    <w:textAlignment w:val="auto"/>
                    <w:rPr>
                      <w:rFonts w:hint="eastAsia"/>
                    </w:rPr>
                  </w:pPr>
                </w:p>
              </w:tc>
            </w:tr>
          </w:tbl>
          <w:p w14:paraId="1FA866D3">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30"/>
                <w:kern w:val="0"/>
                <w:fitText w:val="2640" w:id="2088128097"/>
                <w:lang w:val="zh-CN"/>
              </w:rPr>
              <w:t>投标人名称（</w:t>
            </w:r>
            <w:r>
              <w:rPr>
                <w:rFonts w:hint="eastAsia"/>
                <w:b/>
                <w:bCs/>
                <w:color w:val="FF0000"/>
                <w:spacing w:val="30"/>
                <w:kern w:val="0"/>
                <w:fitText w:val="2640" w:id="2088128097"/>
                <w:lang w:val="en-US" w:eastAsia="zh-CN"/>
              </w:rPr>
              <w:t>盖章</w:t>
            </w:r>
            <w:r>
              <w:rPr>
                <w:rFonts w:hint="eastAsia"/>
                <w:b/>
                <w:bCs/>
                <w:color w:val="FF0000"/>
                <w:spacing w:val="0"/>
                <w:kern w:val="0"/>
                <w:fitText w:val="2640" w:id="2088128097"/>
                <w:lang w:val="zh-CN"/>
              </w:rPr>
              <w:t>）</w:t>
            </w:r>
            <w:r>
              <w:rPr>
                <w:rFonts w:hint="eastAsia"/>
                <w:b/>
                <w:bCs/>
                <w:color w:val="FF0000"/>
                <w:lang w:val="zh-CN"/>
              </w:rPr>
              <w:t>：</w:t>
            </w:r>
          </w:p>
          <w:p w14:paraId="288AFE8E">
            <w:pPr>
              <w:bidi w:val="0"/>
              <w:rPr>
                <w:rFonts w:hint="eastAsia"/>
              </w:rPr>
            </w:pPr>
            <w:r>
              <w:rPr>
                <w:rFonts w:hint="eastAsia"/>
                <w:b/>
                <w:bCs/>
                <w:color w:val="FF0000"/>
                <w:spacing w:val="1080"/>
                <w:kern w:val="0"/>
                <w:fitText w:val="2640" w:id="150097256"/>
                <w:lang w:val="zh-CN"/>
              </w:rPr>
              <w:t>日</w:t>
            </w:r>
            <w:r>
              <w:rPr>
                <w:rFonts w:hint="eastAsia"/>
                <w:b/>
                <w:bCs/>
                <w:color w:val="FF0000"/>
                <w:spacing w:val="0"/>
                <w:kern w:val="0"/>
                <w:fitText w:val="2640" w:id="150097256"/>
                <w:lang w:val="zh-CN"/>
              </w:rPr>
              <w:t>期</w:t>
            </w:r>
            <w:r>
              <w:rPr>
                <w:rFonts w:hint="eastAsia"/>
                <w:b/>
                <w:bCs/>
                <w:color w:val="FF0000"/>
              </w:rPr>
              <w:t>：</w:t>
            </w:r>
          </w:p>
          <w:p w14:paraId="7EDE278B">
            <w:pPr>
              <w:bidi w:val="0"/>
              <w:rPr>
                <w:rFonts w:hint="eastAsia"/>
              </w:rPr>
            </w:pPr>
          </w:p>
          <w:p w14:paraId="64D2FD92">
            <w:pPr>
              <w:rPr>
                <w:rFonts w:hint="eastAsia"/>
              </w:rPr>
            </w:pPr>
          </w:p>
          <w:p w14:paraId="40ED4FE6">
            <w:pPr>
              <w:pStyle w:val="4"/>
              <w:widowControl w:val="0"/>
              <w:bidi w:val="0"/>
              <w:jc w:val="center"/>
              <w:rPr>
                <w:rFonts w:hint="eastAsia"/>
              </w:rPr>
            </w:pPr>
            <w:bookmarkStart w:id="66" w:name="_Toc5602"/>
            <w:bookmarkStart w:id="67" w:name="_Toc32082"/>
            <w:r>
              <w:rPr>
                <w:rFonts w:hint="eastAsia" w:eastAsia="汉仪正圆 55简"/>
                <w:lang w:val="en-US" w:eastAsia="zh-CN"/>
              </w:rPr>
              <w:t>投标</w:t>
            </w:r>
            <w:r>
              <w:rPr>
                <w:rFonts w:hint="eastAsia"/>
              </w:rPr>
              <w:t>函</w:t>
            </w:r>
            <w:bookmarkEnd w:id="59"/>
            <w:bookmarkEnd w:id="60"/>
            <w:bookmarkEnd w:id="61"/>
            <w:bookmarkEnd w:id="66"/>
            <w:bookmarkEnd w:id="67"/>
          </w:p>
          <w:p w14:paraId="55658A3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DBB76C9">
            <w:pPr>
              <w:keepNext w:val="0"/>
              <w:keepLines w:val="0"/>
              <w:pageBreakBefore w:val="0"/>
              <w:widowControl w:val="0"/>
              <w:kinsoku/>
              <w:wordWrap w:val="0"/>
              <w:overflowPunct/>
              <w:topLinePunct w:val="0"/>
              <w:autoSpaceDE/>
              <w:autoSpaceDN/>
              <w:bidi w:val="0"/>
              <w:adjustRightInd w:val="0"/>
              <w:snapToGrid w:val="0"/>
              <w:spacing w:line="240" w:lineRule="exact"/>
              <w:ind w:firstLine="480" w:firstLineChars="200"/>
              <w:textAlignment w:val="auto"/>
              <w:rPr>
                <w:rFonts w:hint="eastAsia"/>
              </w:rPr>
            </w:pPr>
            <w:r>
              <w:rPr>
                <w:rFonts w:hint="eastAsia"/>
              </w:rPr>
              <w:t>我方参加你方组织的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】招标的有关活动，并对此项目进行投标。为此：</w:t>
            </w:r>
          </w:p>
          <w:p w14:paraId="7491979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1、我方承诺投标有效期从提交投标文件的截止之日起</w:t>
            </w:r>
            <w:r>
              <w:rPr>
                <w:rFonts w:hint="eastAsia"/>
                <w:b/>
                <w:bCs/>
                <w:color w:val="FF0000"/>
                <w:u w:val="single"/>
              </w:rPr>
              <w:t xml:space="preserve">     </w:t>
            </w:r>
            <w:r>
              <w:rPr>
                <w:rFonts w:hint="eastAsia"/>
              </w:rPr>
              <w:t>天（不少于90天），本投标文件在投标有效期满之前均具有约束力。</w:t>
            </w:r>
          </w:p>
          <w:p w14:paraId="1051370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2、我方的投标文件包括以下内容：</w:t>
            </w:r>
          </w:p>
          <w:p w14:paraId="7CE22E7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bCs/>
                <w:lang w:val="en-US" w:eastAsia="zh-CN"/>
              </w:rPr>
            </w:pPr>
            <w:r>
              <w:rPr>
                <w:rFonts w:hint="eastAsia"/>
                <w:b/>
                <w:bCs/>
                <w:lang w:val="en-US" w:eastAsia="zh-CN"/>
              </w:rPr>
              <w:t>2</w:t>
            </w:r>
            <w:r>
              <w:rPr>
                <w:rFonts w:hint="default"/>
                <w:b/>
                <w:bCs/>
                <w:lang w:val="en-US" w:eastAsia="zh-CN"/>
              </w:rPr>
              <w:t>.1资格文件：</w:t>
            </w:r>
          </w:p>
          <w:p w14:paraId="2F6AED5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.1.1▲授权委托书或法定代表人（单位负责人、自然人本人）身份证明</w:t>
            </w:r>
            <w:r>
              <w:rPr>
                <w:rFonts w:hint="eastAsia"/>
                <w:lang w:val="en-US" w:eastAsia="zh-CN"/>
              </w:rPr>
              <w:t>；</w:t>
            </w:r>
          </w:p>
          <w:p w14:paraId="145FC1A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.1.2▲询价函；</w:t>
            </w:r>
          </w:p>
          <w:p w14:paraId="6AB53EB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.1.3▲符合参加</w:t>
            </w:r>
            <w:r>
              <w:rPr>
                <w:rFonts w:hint="eastAsia"/>
                <w:lang w:val="en-US" w:eastAsia="zh-CN"/>
              </w:rPr>
              <w:t>国企</w:t>
            </w:r>
            <w:r>
              <w:rPr>
                <w:rFonts w:hint="default"/>
                <w:lang w:val="en-US" w:eastAsia="zh-CN"/>
              </w:rPr>
              <w:t>采购活动应当具备的一般条件的承诺函；</w:t>
            </w:r>
          </w:p>
          <w:p w14:paraId="42F8C44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.1.4▲有效的《企业法人营业执照》扫描件；</w:t>
            </w:r>
          </w:p>
          <w:p w14:paraId="4E210E83">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.1.5▲</w:t>
            </w:r>
            <w:r>
              <w:rPr>
                <w:rFonts w:hint="eastAsia"/>
                <w:lang w:val="en-US" w:eastAsia="zh-CN"/>
              </w:rPr>
              <w:t>特定资格条件（如有）</w:t>
            </w:r>
            <w:r>
              <w:rPr>
                <w:rFonts w:hint="default"/>
                <w:lang w:val="en-US" w:eastAsia="zh-CN"/>
              </w:rPr>
              <w:t>；</w:t>
            </w:r>
          </w:p>
          <w:p w14:paraId="1C9439A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.1.6▲</w:t>
            </w:r>
            <w:r>
              <w:rPr>
                <w:rFonts w:hint="eastAsia"/>
                <w:lang w:val="en-US" w:eastAsia="zh-CN"/>
              </w:rPr>
              <w:t>国企</w:t>
            </w:r>
            <w:r>
              <w:rPr>
                <w:rFonts w:hint="default"/>
                <w:lang w:val="en-US" w:eastAsia="zh-CN"/>
              </w:rPr>
              <w:t>采购供应商廉洁自律承诺书；</w:t>
            </w:r>
          </w:p>
          <w:p w14:paraId="6B9BA60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bCs/>
                <w:lang w:val="en-US" w:eastAsia="zh-CN"/>
              </w:rPr>
            </w:pPr>
            <w:r>
              <w:rPr>
                <w:rFonts w:hint="eastAsia"/>
                <w:b/>
                <w:bCs/>
                <w:lang w:val="en-US" w:eastAsia="zh-CN"/>
              </w:rPr>
              <w:t>2</w:t>
            </w:r>
            <w:r>
              <w:rPr>
                <w:rFonts w:hint="default"/>
                <w:b/>
                <w:bCs/>
                <w:lang w:val="en-US" w:eastAsia="zh-CN"/>
              </w:rPr>
              <w:t>.2商务技术文件：</w:t>
            </w:r>
          </w:p>
          <w:p w14:paraId="62F15C5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.2.1投标人情况介绍(格式见附件)</w:t>
            </w:r>
            <w:r>
              <w:rPr>
                <w:rFonts w:hint="eastAsia"/>
                <w:lang w:val="en-US" w:eastAsia="zh-CN"/>
              </w:rPr>
              <w:t>；</w:t>
            </w:r>
          </w:p>
          <w:p w14:paraId="6ACFC92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.2.2</w:t>
            </w:r>
            <w:r>
              <w:rPr>
                <w:rFonts w:hint="eastAsia"/>
                <w:lang w:val="en-US" w:eastAsia="zh-CN"/>
              </w:rPr>
              <w:t>商务技术偏离表(格式见附件)；</w:t>
            </w:r>
          </w:p>
          <w:p w14:paraId="49E6F2A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val="en-US" w:eastAsia="zh-CN"/>
              </w:rPr>
            </w:pPr>
            <w:r>
              <w:rPr>
                <w:rFonts w:hint="eastAsia"/>
                <w:lang w:val="en-US" w:eastAsia="zh-CN"/>
              </w:rPr>
              <w:t>2.2.3</w:t>
            </w:r>
            <w:r>
              <w:rPr>
                <w:rFonts w:hint="default"/>
                <w:lang w:val="en-US" w:eastAsia="zh-CN"/>
              </w:rPr>
              <w:t>▲完全响应询价文件第三部分采购需求的承诺书</w:t>
            </w:r>
            <w:r>
              <w:rPr>
                <w:rFonts w:hint="eastAsia"/>
                <w:lang w:val="en-US" w:eastAsia="zh-CN"/>
              </w:rPr>
              <w:t>（格式自拟）</w:t>
            </w:r>
            <w:r>
              <w:rPr>
                <w:rFonts w:hint="default"/>
                <w:lang w:val="en-US" w:eastAsia="zh-CN"/>
              </w:rPr>
              <w:t>。</w:t>
            </w:r>
          </w:p>
          <w:p w14:paraId="38DFC72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2.2.4供应商认为有必要提供的其他文件和说明（格式自拟）。</w:t>
            </w:r>
          </w:p>
          <w:p w14:paraId="2180353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bCs/>
                <w:lang w:val="en-US" w:eastAsia="zh-CN"/>
              </w:rPr>
            </w:pPr>
            <w:r>
              <w:rPr>
                <w:rFonts w:hint="eastAsia"/>
                <w:b/>
                <w:bCs/>
                <w:lang w:val="en-US" w:eastAsia="zh-CN"/>
              </w:rPr>
              <w:t>2</w:t>
            </w:r>
            <w:r>
              <w:rPr>
                <w:rFonts w:hint="default"/>
                <w:b/>
                <w:bCs/>
                <w:lang w:val="en-US" w:eastAsia="zh-CN"/>
              </w:rPr>
              <w:t xml:space="preserve">.3报价文件： </w:t>
            </w:r>
          </w:p>
          <w:p w14:paraId="4946713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.3.1▲开标一览表（报价表）</w:t>
            </w:r>
            <w:r>
              <w:rPr>
                <w:rFonts w:hint="eastAsia"/>
                <w:lang w:val="en-US" w:eastAsia="zh-CN"/>
              </w:rPr>
              <w:t>；</w:t>
            </w:r>
          </w:p>
          <w:p w14:paraId="64408D3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.3.2</w:t>
            </w:r>
            <w:r>
              <w:rPr>
                <w:rFonts w:hint="eastAsia"/>
                <w:lang w:val="en-US" w:eastAsia="zh-CN"/>
              </w:rPr>
              <w:t>报价说明（如有）</w:t>
            </w:r>
            <w:r>
              <w:rPr>
                <w:rFonts w:hint="default"/>
                <w:lang w:val="en-US" w:eastAsia="zh-CN"/>
              </w:rPr>
              <w:t>；</w:t>
            </w:r>
          </w:p>
          <w:p w14:paraId="78D69D3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eastAsia="汉仪正圆 55简"/>
                <w:lang w:val="en-US" w:eastAsia="zh-CN"/>
              </w:rPr>
            </w:pPr>
            <w:r>
              <w:rPr>
                <w:rFonts w:hint="eastAsia"/>
                <w:lang w:val="en-US" w:eastAsia="zh-CN"/>
              </w:rPr>
              <w:t>2.3.3供应商针对报价需要说明的其他文件和资料（格式自拟）；</w:t>
            </w:r>
          </w:p>
          <w:p w14:paraId="5A404DE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3、我方承诺除商务技术偏离表列出的偏离外，我方响应招标文件的全部要求。</w:t>
            </w:r>
          </w:p>
          <w:p w14:paraId="78EC66F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4、如我方中标，我方承诺：</w:t>
            </w:r>
          </w:p>
          <w:p w14:paraId="285CA6E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 xml:space="preserve">4.1在收到中标通知书后，在中标通知书规定的期限内与你方签订合同； </w:t>
            </w:r>
          </w:p>
          <w:p w14:paraId="5D1B50D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 xml:space="preserve">4.2在签订合同时不向你方提出附加条件；  </w:t>
            </w:r>
          </w:p>
          <w:p w14:paraId="550E94C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 xml:space="preserve">4.3在合同约定的期限内完成合同规定的全部义务。 </w:t>
            </w:r>
          </w:p>
          <w:p w14:paraId="3224B79D">
            <w:pPr>
              <w:keepNext w:val="0"/>
              <w:keepLines w:val="0"/>
              <w:pageBreakBefore w:val="0"/>
              <w:widowControl w:val="0"/>
              <w:numPr>
                <w:ilvl w:val="0"/>
                <w:numId w:val="3"/>
              </w:numPr>
              <w:kinsoku/>
              <w:wordWrap w:val="0"/>
              <w:overflowPunct/>
              <w:topLinePunct w:val="0"/>
              <w:autoSpaceDE/>
              <w:autoSpaceDN/>
              <w:bidi w:val="0"/>
              <w:adjustRightInd w:val="0"/>
              <w:snapToGrid w:val="0"/>
              <w:spacing w:line="240" w:lineRule="exact"/>
              <w:textAlignment w:val="auto"/>
              <w:rPr>
                <w:rFonts w:hint="eastAsia"/>
              </w:rPr>
            </w:pPr>
            <w:r>
              <w:rPr>
                <w:rFonts w:hint="eastAsia"/>
              </w:rPr>
              <w:t>其他补充说明:</w:t>
            </w:r>
            <w:r>
              <w:rPr>
                <w:rFonts w:hint="eastAsia"/>
                <w:b/>
                <w:bCs/>
                <w:color w:val="FF0000"/>
                <w:u w:val="single"/>
              </w:rPr>
              <w:t xml:space="preserve">                                        </w:t>
            </w:r>
            <w:r>
              <w:rPr>
                <w:rFonts w:hint="eastAsia"/>
              </w:rPr>
              <w:t>。</w:t>
            </w:r>
          </w:p>
          <w:p w14:paraId="5F38B4C8">
            <w:pPr>
              <w:pageBreakBefore w:val="0"/>
              <w:kinsoku/>
              <w:wordWrap w:val="0"/>
              <w:overflowPunct/>
              <w:topLinePunct w:val="0"/>
              <w:bidi w:val="0"/>
              <w:textAlignment w:val="auto"/>
              <w:rPr>
                <w:rFonts w:hint="eastAsia"/>
              </w:rPr>
            </w:pPr>
          </w:p>
          <w:p w14:paraId="75EC494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color w:val="FF0000"/>
              </w:rPr>
            </w:pPr>
            <w:r>
              <w:rPr>
                <w:rFonts w:hint="eastAsia"/>
                <w:b/>
                <w:bCs/>
                <w:color w:val="FF0000"/>
                <w:spacing w:val="30"/>
                <w:kern w:val="0"/>
                <w:fitText w:val="2640" w:id="1685146461"/>
              </w:rPr>
              <w:t>供应商名称</w:t>
            </w:r>
            <w:r>
              <w:rPr>
                <w:rFonts w:hint="eastAsia"/>
                <w:b/>
                <w:bCs/>
                <w:color w:val="FF0000"/>
                <w:spacing w:val="30"/>
                <w:kern w:val="0"/>
                <w:fitText w:val="2640" w:id="1685146461"/>
                <w:lang w:val="zh-CN"/>
              </w:rPr>
              <w:t>（</w:t>
            </w:r>
            <w:r>
              <w:rPr>
                <w:rFonts w:hint="eastAsia"/>
                <w:b/>
                <w:bCs/>
                <w:color w:val="FF0000"/>
                <w:spacing w:val="30"/>
                <w:kern w:val="0"/>
                <w:fitText w:val="2640" w:id="1685146461"/>
                <w:lang w:val="en-US" w:eastAsia="zh-CN"/>
              </w:rPr>
              <w:t>盖章</w:t>
            </w:r>
            <w:r>
              <w:rPr>
                <w:rFonts w:hint="eastAsia"/>
                <w:b/>
                <w:bCs/>
                <w:color w:val="FF0000"/>
                <w:spacing w:val="0"/>
                <w:kern w:val="0"/>
                <w:fitText w:val="2640" w:id="1685146461"/>
                <w:lang w:val="zh-CN"/>
              </w:rPr>
              <w:t>）</w:t>
            </w:r>
            <w:r>
              <w:rPr>
                <w:rFonts w:hint="eastAsia"/>
                <w:b/>
                <w:bCs/>
                <w:color w:val="FF0000"/>
              </w:rPr>
              <w:t>：</w:t>
            </w:r>
          </w:p>
          <w:p w14:paraId="485A7E93">
            <w:pPr>
              <w:bidi w:val="0"/>
              <w:rPr>
                <w:rFonts w:hint="eastAsia"/>
                <w:lang w:val="en-US" w:eastAsia="zh-CN"/>
              </w:rPr>
            </w:pPr>
            <w:r>
              <w:rPr>
                <w:rFonts w:hint="eastAsia"/>
                <w:b/>
                <w:bCs/>
                <w:color w:val="FF0000"/>
                <w:spacing w:val="510"/>
                <w:kern w:val="0"/>
                <w:fitText w:val="2640" w:id="1382119911"/>
              </w:rPr>
              <w:t xml:space="preserve">日 </w:t>
            </w:r>
            <w:r>
              <w:rPr>
                <w:rFonts w:hint="eastAsia"/>
                <w:b/>
                <w:bCs/>
                <w:color w:val="FF0000"/>
                <w:spacing w:val="0"/>
                <w:kern w:val="0"/>
                <w:fitText w:val="2640" w:id="1382119911"/>
              </w:rPr>
              <w:t>期</w:t>
            </w:r>
            <w:r>
              <w:rPr>
                <w:rFonts w:hint="eastAsia"/>
                <w:b/>
                <w:bCs/>
                <w:color w:val="FF0000"/>
              </w:rPr>
              <w:t>：</w:t>
            </w:r>
          </w:p>
          <w:p w14:paraId="5C099C23">
            <w:pPr>
              <w:pStyle w:val="4"/>
              <w:pageBreakBefore w:val="0"/>
              <w:widowControl w:val="0"/>
              <w:numPr>
                <w:ilvl w:val="2"/>
                <w:numId w:val="0"/>
              </w:numPr>
              <w:kinsoku/>
              <w:wordWrap w:val="0"/>
              <w:overflowPunct/>
              <w:topLinePunct w:val="0"/>
              <w:bidi w:val="0"/>
              <w:ind w:left="0" w:leftChars="0" w:firstLine="0" w:firstLineChars="0"/>
              <w:jc w:val="center"/>
              <w:textAlignment w:val="auto"/>
              <w:rPr>
                <w:rFonts w:hint="eastAsia" w:ascii="汉仪正圆 55简" w:hAnsi="汉仪正圆 55简" w:eastAsia="汉仪正圆 55简" w:cstheme="minorBidi"/>
                <w:b/>
                <w:bCs/>
                <w:color w:val="333333"/>
                <w:kern w:val="2"/>
                <w:sz w:val="28"/>
                <w:szCs w:val="28"/>
                <w:lang w:val="en-US" w:eastAsia="zh-CN" w:bidi="ar-SA"/>
              </w:rPr>
            </w:pPr>
          </w:p>
          <w:p w14:paraId="6BFFB52A">
            <w:pPr>
              <w:pStyle w:val="4"/>
              <w:widowControl w:val="0"/>
              <w:bidi w:val="0"/>
              <w:jc w:val="center"/>
              <w:rPr>
                <w:rFonts w:hint="eastAsia"/>
              </w:rPr>
            </w:pPr>
            <w:bookmarkStart w:id="68" w:name="_Toc19142"/>
            <w:bookmarkStart w:id="69" w:name="_Toc30372"/>
            <w:r>
              <w:rPr>
                <w:rFonts w:hint="eastAsia"/>
              </w:rPr>
              <w:t>符合参加</w:t>
            </w:r>
            <w:r>
              <w:rPr>
                <w:rFonts w:hint="eastAsia"/>
                <w:lang w:val="en-US" w:eastAsia="zh-CN"/>
              </w:rPr>
              <w:t>国企</w:t>
            </w:r>
            <w:r>
              <w:rPr>
                <w:rFonts w:hint="eastAsia"/>
              </w:rPr>
              <w:t>采购活动应当具备的一般条件的承诺函</w:t>
            </w:r>
            <w:bookmarkEnd w:id="62"/>
            <w:bookmarkEnd w:id="63"/>
            <w:bookmarkEnd w:id="64"/>
            <w:bookmarkEnd w:id="65"/>
            <w:bookmarkEnd w:id="68"/>
            <w:bookmarkEnd w:id="69"/>
          </w:p>
          <w:p w14:paraId="71DD47F0">
            <w:pPr>
              <w:pageBreakBefore w:val="0"/>
              <w:kinsoku/>
              <w:wordWrap w:val="0"/>
              <w:overflowPunct/>
              <w:topLinePunct w:val="0"/>
              <w:bidi w:val="0"/>
              <w:jc w:val="center"/>
              <w:textAlignment w:val="auto"/>
              <w:rPr>
                <w:rFonts w:hint="eastAsia"/>
                <w:b/>
                <w:bCs/>
              </w:rPr>
            </w:pPr>
            <w:r>
              <w:rPr>
                <w:rFonts w:hint="eastAsia"/>
                <w:b/>
                <w:bCs/>
              </w:rPr>
              <w:t>（联合体形式参与的，则联合体各方均需提供）</w:t>
            </w:r>
          </w:p>
          <w:p w14:paraId="3549BD6B">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pageBreakBefore w:val="0"/>
              <w:kinsoku/>
              <w:wordWrap w:val="0"/>
              <w:overflowPunct/>
              <w:topLinePunct w:val="0"/>
              <w:bidi w:val="0"/>
              <w:ind w:firstLine="720" w:firstLineChars="300"/>
              <w:textAlignment w:val="auto"/>
              <w:rPr>
                <w:rFonts w:hint="eastAsia"/>
              </w:rPr>
            </w:pPr>
            <w:r>
              <w:rPr>
                <w:rFonts w:hint="eastAsia"/>
              </w:rPr>
              <w:t>我方参与</w:t>
            </w:r>
            <w:r>
              <w:rPr>
                <w:rFonts w:hint="eastAsia"/>
                <w:b/>
                <w:bCs/>
                <w:color w:val="FF0000"/>
                <w:lang w:eastAsia="zh-CN"/>
              </w:rPr>
              <w:t>（</w:t>
            </w:r>
            <w:r>
              <w:rPr>
                <w:rFonts w:hint="eastAsia"/>
                <w:b/>
                <w:bCs/>
                <w:color w:val="FF0000"/>
                <w:u w:val="none"/>
                <w:lang w:val="en-US" w:eastAsia="zh-CN"/>
              </w:rPr>
              <w:t>项目名称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rPr>
              <w:t>】</w:t>
            </w:r>
            <w:r>
              <w:rPr>
                <w:rFonts w:hint="eastAsia"/>
                <w:lang w:val="en-US" w:eastAsia="zh-CN"/>
              </w:rPr>
              <w:t>国企</w:t>
            </w:r>
            <w:r>
              <w:rPr>
                <w:rFonts w:hint="eastAsia"/>
              </w:rPr>
              <w:t>采购活动，郑重承诺：</w:t>
            </w:r>
          </w:p>
          <w:p w14:paraId="7441EA00">
            <w:pPr>
              <w:pageBreakBefore w:val="0"/>
              <w:kinsoku/>
              <w:wordWrap w:val="0"/>
              <w:overflowPunct/>
              <w:topLinePunct w:val="0"/>
              <w:bidi w:val="0"/>
              <w:textAlignment w:val="auto"/>
              <w:rPr>
                <w:rFonts w:hint="eastAsia"/>
              </w:rPr>
            </w:pPr>
            <w:r>
              <w:rPr>
                <w:rFonts w:hint="eastAsia"/>
              </w:rPr>
              <w:t>（一）具备《中华人民共和国政府采购法》第二十二条第一款规定的条件：</w:t>
            </w:r>
          </w:p>
          <w:p w14:paraId="2C71BB4C">
            <w:pPr>
              <w:pageBreakBefore w:val="0"/>
              <w:kinsoku/>
              <w:wordWrap w:val="0"/>
              <w:overflowPunct/>
              <w:topLinePunct w:val="0"/>
              <w:bidi w:val="0"/>
              <w:textAlignment w:val="auto"/>
              <w:rPr>
                <w:rFonts w:hint="eastAsia"/>
              </w:rPr>
            </w:pPr>
            <w:r>
              <w:rPr>
                <w:rFonts w:hint="eastAsia"/>
              </w:rPr>
              <w:t>1、具有独立承担民事责任的能力；</w:t>
            </w:r>
          </w:p>
          <w:p w14:paraId="1C6BDBD4">
            <w:pPr>
              <w:pageBreakBefore w:val="0"/>
              <w:kinsoku/>
              <w:wordWrap w:val="0"/>
              <w:overflowPunct/>
              <w:topLinePunct w:val="0"/>
              <w:bidi w:val="0"/>
              <w:textAlignment w:val="auto"/>
              <w:rPr>
                <w:rFonts w:hint="eastAsia"/>
              </w:rPr>
            </w:pPr>
            <w:r>
              <w:rPr>
                <w:rFonts w:hint="eastAsia"/>
              </w:rPr>
              <w:t xml:space="preserve">2、具有良好的商业信誉和健全的财务会计制度； </w:t>
            </w:r>
          </w:p>
          <w:p w14:paraId="728816AB">
            <w:pPr>
              <w:pageBreakBefore w:val="0"/>
              <w:kinsoku/>
              <w:wordWrap w:val="0"/>
              <w:overflowPunct/>
              <w:topLinePunct w:val="0"/>
              <w:bidi w:val="0"/>
              <w:textAlignment w:val="auto"/>
              <w:rPr>
                <w:rFonts w:hint="eastAsia"/>
              </w:rPr>
            </w:pPr>
            <w:r>
              <w:rPr>
                <w:rFonts w:hint="eastAsia"/>
              </w:rPr>
              <w:t>3、具有履行合同所必需的设备和专业技术能力；</w:t>
            </w:r>
          </w:p>
          <w:p w14:paraId="48F38E84">
            <w:pPr>
              <w:pageBreakBefore w:val="0"/>
              <w:kinsoku/>
              <w:wordWrap w:val="0"/>
              <w:overflowPunct/>
              <w:topLinePunct w:val="0"/>
              <w:bidi w:val="0"/>
              <w:textAlignment w:val="auto"/>
              <w:rPr>
                <w:rFonts w:hint="eastAsia"/>
              </w:rPr>
            </w:pPr>
            <w:r>
              <w:rPr>
                <w:rFonts w:hint="eastAsia"/>
              </w:rPr>
              <w:t>4、有依法缴纳税收和社会保障资金的良好记录；</w:t>
            </w:r>
          </w:p>
          <w:p w14:paraId="752A6A98">
            <w:pPr>
              <w:pageBreakBefore w:val="0"/>
              <w:kinsoku/>
              <w:wordWrap w:val="0"/>
              <w:overflowPunct/>
              <w:topLinePunct w:val="0"/>
              <w:bidi w:val="0"/>
              <w:textAlignment w:val="auto"/>
              <w:rPr>
                <w:rFonts w:hint="eastAsia"/>
              </w:rPr>
            </w:pPr>
            <w:r>
              <w:rPr>
                <w:rFonts w:hint="eastAsia"/>
              </w:rPr>
              <w:t>5、参加</w:t>
            </w:r>
            <w:r>
              <w:rPr>
                <w:rFonts w:hint="eastAsia"/>
                <w:lang w:val="en-US" w:eastAsia="zh-CN"/>
              </w:rPr>
              <w:t>国企、</w:t>
            </w:r>
            <w:r>
              <w:rPr>
                <w:rFonts w:hint="eastAsia"/>
              </w:rPr>
              <w:t>政府采购活动前三年内，在经营活动中没有重大违法记录；</w:t>
            </w:r>
          </w:p>
          <w:p w14:paraId="044478D6">
            <w:pPr>
              <w:pageBreakBefore w:val="0"/>
              <w:kinsoku/>
              <w:wordWrap w:val="0"/>
              <w:overflowPunct/>
              <w:topLinePunct w:val="0"/>
              <w:bidi w:val="0"/>
              <w:textAlignment w:val="auto"/>
              <w:rPr>
                <w:rFonts w:hint="eastAsia"/>
              </w:rPr>
            </w:pPr>
            <w:r>
              <w:rPr>
                <w:rFonts w:hint="eastAsia"/>
              </w:rPr>
              <w:t>6、具有法律、行政法规规定的其他条件。</w:t>
            </w:r>
          </w:p>
          <w:p w14:paraId="2A38C5F2">
            <w:pPr>
              <w:pageBreakBefore w:val="0"/>
              <w:kinsoku/>
              <w:wordWrap w:val="0"/>
              <w:overflowPunct/>
              <w:topLinePunct w:val="0"/>
              <w:bidi w:val="0"/>
              <w:textAlignment w:val="auto"/>
              <w:rPr>
                <w:rFonts w:hint="eastAsia"/>
              </w:rPr>
            </w:pPr>
            <w:r>
              <w:rPr>
                <w:rFonts w:hint="eastAsia"/>
              </w:rPr>
              <w:t>（二）未被信用中国（</w:t>
            </w:r>
            <w:r>
              <w:rPr>
                <w:rStyle w:val="21"/>
                <w:rFonts w:hint="eastAsia"/>
              </w:rPr>
              <w:t>www.creditchina.gov.cn</w:t>
            </w:r>
            <w:r>
              <w:rPr>
                <w:rFonts w:hint="eastAsia"/>
              </w:rPr>
              <w:t>)、中国政府采购网（</w:t>
            </w:r>
            <w:r>
              <w:rPr>
                <w:rStyle w:val="21"/>
                <w:rFonts w:hint="eastAsia"/>
              </w:rPr>
              <w:t>www.ccgp.gov.cn</w:t>
            </w:r>
            <w:r>
              <w:rPr>
                <w:rFonts w:hint="eastAsia"/>
              </w:rPr>
              <w:t>）列入失信被执行人、重大税收违法案件当事人名单、政府采购严重违法失信行为记录名单。</w:t>
            </w:r>
          </w:p>
          <w:p w14:paraId="52BAB756">
            <w:pPr>
              <w:pageBreakBefore w:val="0"/>
              <w:kinsoku/>
              <w:wordWrap w:val="0"/>
              <w:overflowPunct/>
              <w:topLinePunct w:val="0"/>
              <w:bidi w:val="0"/>
              <w:textAlignment w:val="auto"/>
              <w:rPr>
                <w:rFonts w:hint="eastAsia"/>
              </w:rPr>
            </w:pPr>
            <w:r>
              <w:rPr>
                <w:rFonts w:hint="eastAsia"/>
              </w:rPr>
              <w:t>（三）不存在以下情况：</w:t>
            </w:r>
          </w:p>
          <w:p w14:paraId="00A0C0E2">
            <w:pPr>
              <w:pageBreakBefore w:val="0"/>
              <w:kinsoku/>
              <w:wordWrap w:val="0"/>
              <w:overflowPunct/>
              <w:topLinePunct w:val="0"/>
              <w:bidi w:val="0"/>
              <w:textAlignment w:val="auto"/>
              <w:rPr>
                <w:rFonts w:hint="eastAsia"/>
              </w:rPr>
            </w:pPr>
            <w:r>
              <w:rPr>
                <w:rFonts w:hint="eastAsia"/>
              </w:rPr>
              <w:t>1、单位负责人为同一人或者存在直接控股、管理关系的不同供应商参加同一合同项下的</w:t>
            </w:r>
            <w:r>
              <w:rPr>
                <w:rFonts w:hint="eastAsia"/>
                <w:lang w:val="en-US" w:eastAsia="zh-CN"/>
              </w:rPr>
              <w:t>国企</w:t>
            </w:r>
            <w:r>
              <w:rPr>
                <w:rFonts w:hint="eastAsia"/>
              </w:rPr>
              <w:t>采购活动的；</w:t>
            </w:r>
          </w:p>
          <w:p w14:paraId="20DA1A0B">
            <w:pPr>
              <w:pageBreakBefore w:val="0"/>
              <w:kinsoku/>
              <w:wordWrap w:val="0"/>
              <w:overflowPunct/>
              <w:topLinePunct w:val="0"/>
              <w:bidi w:val="0"/>
              <w:textAlignment w:val="auto"/>
              <w:rPr>
                <w:rFonts w:hint="eastAsia"/>
              </w:rPr>
            </w:pPr>
            <w:r>
              <w:rPr>
                <w:rFonts w:hint="eastAsia"/>
              </w:rPr>
              <w:t>2、为采购项目提供整体设计、规范编制或者项目管理、监理、检测等服务后再参加该采购项目的其他采购活动的。</w:t>
            </w:r>
          </w:p>
          <w:p w14:paraId="72BC29EF">
            <w:pPr>
              <w:pageBreakBefore w:val="0"/>
              <w:kinsoku/>
              <w:wordWrap w:val="0"/>
              <w:overflowPunct/>
              <w:topLinePunct w:val="0"/>
              <w:bidi w:val="0"/>
              <w:textAlignment w:val="auto"/>
              <w:rPr>
                <w:rFonts w:hint="eastAsia"/>
              </w:rPr>
            </w:pPr>
          </w:p>
          <w:p w14:paraId="28417D64">
            <w:pPr>
              <w:pageBreakBefore w:val="0"/>
              <w:kinsoku/>
              <w:wordWrap w:val="0"/>
              <w:overflowPunct/>
              <w:topLinePunct w:val="0"/>
              <w:bidi w:val="0"/>
              <w:textAlignment w:val="auto"/>
              <w:rPr>
                <w:rFonts w:hint="eastAsia"/>
              </w:rPr>
            </w:pPr>
          </w:p>
          <w:p w14:paraId="1F4B9ADF">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545328533"/>
                <w:lang w:val="zh-CN"/>
              </w:rPr>
              <w:t>投标人名称（</w:t>
            </w:r>
            <w:r>
              <w:rPr>
                <w:rFonts w:hint="eastAsia"/>
                <w:b/>
                <w:bCs/>
                <w:color w:val="FF0000"/>
                <w:spacing w:val="30"/>
                <w:kern w:val="0"/>
                <w:fitText w:val="2640" w:id="545328533"/>
                <w:lang w:val="en-US" w:eastAsia="zh-CN"/>
              </w:rPr>
              <w:t>盖章</w:t>
            </w:r>
            <w:r>
              <w:rPr>
                <w:rFonts w:hint="eastAsia"/>
                <w:b/>
                <w:bCs/>
                <w:color w:val="FF0000"/>
                <w:spacing w:val="0"/>
                <w:kern w:val="0"/>
                <w:fitText w:val="2640" w:id="545328533"/>
                <w:lang w:val="zh-CN"/>
              </w:rPr>
              <w:t>）</w:t>
            </w:r>
            <w:r>
              <w:rPr>
                <w:rFonts w:hint="eastAsia"/>
                <w:b/>
                <w:bCs/>
                <w:color w:val="FF0000"/>
                <w:lang w:val="zh-CN"/>
              </w:rPr>
              <w:t>：</w:t>
            </w:r>
          </w:p>
          <w:p w14:paraId="68E103AF">
            <w:pPr>
              <w:pageBreakBefore w:val="0"/>
              <w:kinsoku/>
              <w:wordWrap w:val="0"/>
              <w:overflowPunct/>
              <w:topLinePunct w:val="0"/>
              <w:bidi w:val="0"/>
              <w:textAlignment w:val="auto"/>
              <w:rPr>
                <w:rFonts w:hint="default"/>
                <w:vertAlign w:val="baseline"/>
                <w:lang w:val="en-US" w:eastAsia="zh-CN"/>
              </w:rPr>
            </w:pPr>
            <w:r>
              <w:rPr>
                <w:rFonts w:hint="eastAsia"/>
                <w:b/>
                <w:bCs/>
                <w:color w:val="FF0000"/>
                <w:spacing w:val="1080"/>
                <w:kern w:val="0"/>
                <w:fitText w:val="2640" w:id="279192271"/>
                <w:lang w:val="zh-CN"/>
              </w:rPr>
              <w:t>日</w:t>
            </w:r>
            <w:r>
              <w:rPr>
                <w:rFonts w:hint="eastAsia"/>
                <w:b/>
                <w:bCs/>
                <w:color w:val="FF0000"/>
                <w:spacing w:val="0"/>
                <w:kern w:val="0"/>
                <w:fitText w:val="2640" w:id="279192271"/>
                <w:lang w:val="zh-CN"/>
              </w:rPr>
              <w:t>期</w:t>
            </w:r>
            <w:r>
              <w:rPr>
                <w:rFonts w:hint="eastAsia"/>
                <w:b/>
                <w:bCs/>
                <w:color w:val="FF0000"/>
              </w:rPr>
              <w:t>：</w:t>
            </w:r>
          </w:p>
        </w:tc>
      </w:tr>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4"/>
              <w:widowControl w:val="0"/>
              <w:bidi w:val="0"/>
              <w:jc w:val="center"/>
              <w:rPr>
                <w:rFonts w:hint="eastAsia"/>
              </w:rPr>
            </w:pPr>
            <w:bookmarkStart w:id="70" w:name="_Toc29474"/>
            <w:bookmarkStart w:id="71" w:name="_Toc26874"/>
            <w:r>
              <w:rPr>
                <w:rFonts w:hint="eastAsia"/>
                <w:lang w:val="en-US" w:eastAsia="zh-CN"/>
              </w:rPr>
              <w:t>营业执照</w:t>
            </w:r>
            <w:bookmarkEnd w:id="70"/>
            <w:bookmarkEnd w:id="71"/>
          </w:p>
          <w:p w14:paraId="1538DBCF">
            <w:pPr>
              <w:rPr>
                <w:rFonts w:hint="eastAsia"/>
                <w:b/>
                <w:bCs/>
                <w:sz w:val="22"/>
                <w:szCs w:val="21"/>
              </w:rPr>
            </w:pPr>
            <w:r>
              <w:rPr>
                <w:rFonts w:hint="eastAsia"/>
                <w:lang w:val="en-US" w:eastAsia="zh-CN"/>
              </w:rPr>
              <w:t>【</w:t>
            </w:r>
            <w:r>
              <w:rPr>
                <w:rFonts w:hint="eastAsia"/>
                <w:b/>
                <w:bCs/>
                <w:sz w:val="22"/>
                <w:szCs w:val="21"/>
                <w:lang w:val="en-US" w:eastAsia="zh-CN"/>
              </w:rPr>
              <w:t>注：</w:t>
            </w:r>
            <w:r>
              <w:rPr>
                <w:rFonts w:hint="eastAsia"/>
                <w:b/>
                <w:bCs/>
                <w:sz w:val="22"/>
                <w:szCs w:val="21"/>
              </w:rPr>
              <w:t xml:space="preserve"> 证明材料：营业执照（或事业单位法人证书或执业许可证）（提供复印件加盖投标供应商公章）。</w:t>
            </w:r>
          </w:p>
          <w:p w14:paraId="73715DE1">
            <w:pPr>
              <w:rPr>
                <w:rFonts w:hint="eastAsia"/>
                <w:b/>
                <w:bCs/>
                <w:sz w:val="22"/>
                <w:szCs w:val="21"/>
              </w:rPr>
            </w:pPr>
            <w:r>
              <w:rPr>
                <w:rFonts w:hint="eastAsia"/>
                <w:b/>
                <w:bCs/>
                <w:sz w:val="22"/>
                <w:szCs w:val="21"/>
              </w:rPr>
              <w:t xml:space="preserve">提示和说明： </w:t>
            </w:r>
          </w:p>
          <w:p w14:paraId="392D3A17">
            <w:pPr>
              <w:rPr>
                <w:rFonts w:hint="eastAsia"/>
                <w:b/>
                <w:bCs/>
                <w:sz w:val="22"/>
                <w:szCs w:val="21"/>
              </w:rPr>
            </w:pPr>
            <w:r>
              <w:rPr>
                <w:rFonts w:hint="eastAsia"/>
                <w:b/>
                <w:bCs/>
                <w:sz w:val="22"/>
                <w:szCs w:val="21"/>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5775481C">
            <w:pPr>
              <w:rPr>
                <w:rFonts w:hint="eastAsia"/>
              </w:rPr>
            </w:pPr>
            <w:r>
              <w:rPr>
                <w:rFonts w:hint="eastAsia"/>
                <w:b/>
                <w:bCs/>
                <w:sz w:val="22"/>
                <w:szCs w:val="21"/>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r>
              <w:rPr>
                <w:rFonts w:hint="eastAsia"/>
                <w:lang w:val="en-US" w:eastAsia="zh-CN"/>
              </w:rPr>
              <w:t>】</w:t>
            </w:r>
          </w:p>
        </w:tc>
      </w:tr>
      <w:tr w14:paraId="171392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88DDB92">
            <w:pPr>
              <w:pStyle w:val="4"/>
              <w:widowControl w:val="0"/>
              <w:bidi w:val="0"/>
              <w:jc w:val="center"/>
              <w:rPr>
                <w:rFonts w:hint="eastAsia"/>
                <w:lang w:val="en-US" w:eastAsia="zh-CN"/>
              </w:rPr>
            </w:pPr>
            <w:bookmarkStart w:id="72" w:name="_Toc25434"/>
            <w:bookmarkStart w:id="73" w:name="_Toc16272"/>
            <w:r>
              <w:rPr>
                <w:rFonts w:hint="eastAsia"/>
                <w:lang w:val="en-US" w:eastAsia="zh-CN"/>
              </w:rPr>
              <w:t>特定资格条件（如有）</w:t>
            </w:r>
            <w:bookmarkEnd w:id="72"/>
            <w:bookmarkEnd w:id="73"/>
          </w:p>
        </w:tc>
      </w:tr>
      <w:tr w14:paraId="1E27B4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547D460E">
            <w:pPr>
              <w:pStyle w:val="4"/>
              <w:widowControl w:val="0"/>
              <w:bidi w:val="0"/>
              <w:jc w:val="center"/>
              <w:rPr>
                <w:rFonts w:hint="eastAsia"/>
                <w:lang w:val="en-US" w:eastAsia="zh-CN"/>
              </w:rPr>
            </w:pPr>
            <w:bookmarkStart w:id="74" w:name="_Toc25268"/>
            <w:bookmarkStart w:id="75" w:name="_Toc4739"/>
            <w:r>
              <w:rPr>
                <w:rFonts w:hint="eastAsia"/>
                <w:lang w:val="en-US" w:eastAsia="zh-CN"/>
              </w:rPr>
              <w:t>国企采购供应商廉洁自律承诺书</w:t>
            </w:r>
            <w:bookmarkEnd w:id="74"/>
            <w:bookmarkEnd w:id="75"/>
          </w:p>
          <w:p w14:paraId="35269C48">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pageBreakBefore w:val="0"/>
              <w:kinsoku/>
              <w:wordWrap w:val="0"/>
              <w:overflowPunct/>
              <w:topLinePunct w:val="0"/>
              <w:bidi w:val="0"/>
              <w:ind w:firstLine="480" w:firstLineChars="200"/>
              <w:textAlignment w:val="auto"/>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pageBreakBefore w:val="0"/>
              <w:kinsoku/>
              <w:wordWrap w:val="0"/>
              <w:overflowPunct/>
              <w:topLinePunct w:val="0"/>
              <w:bidi w:val="0"/>
              <w:textAlignment w:val="auto"/>
              <w:rPr>
                <w:rFonts w:hint="eastAsia"/>
                <w:lang w:val="zh-CN"/>
              </w:rPr>
            </w:pPr>
            <w:r>
              <w:rPr>
                <w:rFonts w:hint="eastAsia"/>
                <w:lang w:val="zh-CN"/>
              </w:rPr>
              <w:t xml:space="preserve">一、不向项目有关人员及部门赠送礼金礼物、有价证券、回扣以及中介费、介绍费、咨询费等好处费； </w:t>
            </w:r>
          </w:p>
          <w:p w14:paraId="0CC08DD9">
            <w:pPr>
              <w:pageBreakBefore w:val="0"/>
              <w:kinsoku/>
              <w:wordWrap w:val="0"/>
              <w:overflowPunct/>
              <w:topLinePunct w:val="0"/>
              <w:bidi w:val="0"/>
              <w:textAlignment w:val="auto"/>
              <w:rPr>
                <w:rFonts w:hint="eastAsia"/>
                <w:lang w:val="zh-CN"/>
              </w:rPr>
            </w:pPr>
            <w:r>
              <w:rPr>
                <w:rFonts w:hint="eastAsia"/>
                <w:lang w:val="zh-CN"/>
              </w:rPr>
              <w:t xml:space="preserve">二、不为项目有关人员及部门报销应由你方单位或个人支付的费用； </w:t>
            </w:r>
          </w:p>
          <w:p w14:paraId="315721FD">
            <w:pPr>
              <w:pageBreakBefore w:val="0"/>
              <w:kinsoku/>
              <w:wordWrap w:val="0"/>
              <w:overflowPunct/>
              <w:topLinePunct w:val="0"/>
              <w:bidi w:val="0"/>
              <w:textAlignment w:val="auto"/>
              <w:rPr>
                <w:rFonts w:hint="eastAsia"/>
                <w:lang w:val="zh-CN"/>
              </w:rPr>
            </w:pPr>
            <w:r>
              <w:rPr>
                <w:rFonts w:hint="eastAsia"/>
                <w:lang w:val="zh-CN"/>
              </w:rPr>
              <w:t xml:space="preserve">三、不向项目有关人员及部门提供有可能影响公正的宴请和健身娱乐等活动； </w:t>
            </w:r>
          </w:p>
          <w:p w14:paraId="420777B0">
            <w:pPr>
              <w:pageBreakBefore w:val="0"/>
              <w:kinsoku/>
              <w:wordWrap w:val="0"/>
              <w:overflowPunct/>
              <w:topLinePunct w:val="0"/>
              <w:bidi w:val="0"/>
              <w:textAlignment w:val="auto"/>
              <w:rPr>
                <w:rFonts w:hint="eastAsia"/>
                <w:lang w:val="zh-CN"/>
              </w:rPr>
            </w:pPr>
            <w:r>
              <w:rPr>
                <w:rFonts w:hint="eastAsia"/>
                <w:lang w:val="zh-CN"/>
              </w:rPr>
              <w:t>四、不为项目有关人员及部门出国（境）、旅游等提供方便；</w:t>
            </w:r>
          </w:p>
          <w:p w14:paraId="662A10D7">
            <w:pPr>
              <w:pageBreakBefore w:val="0"/>
              <w:kinsoku/>
              <w:wordWrap w:val="0"/>
              <w:overflowPunct/>
              <w:topLinePunct w:val="0"/>
              <w:bidi w:val="0"/>
              <w:textAlignment w:val="auto"/>
              <w:rPr>
                <w:rFonts w:hint="eastAsia"/>
                <w:lang w:val="zh-CN"/>
              </w:rPr>
            </w:pPr>
            <w:r>
              <w:rPr>
                <w:rFonts w:hint="eastAsia"/>
                <w:lang w:val="zh-CN"/>
              </w:rPr>
              <w:t>五、不为项目有关人员个人装修住房、婚丧嫁娶、配偶子女工作安排等提供</w:t>
            </w:r>
          </w:p>
          <w:p w14:paraId="5C00FC31">
            <w:pPr>
              <w:pageBreakBefore w:val="0"/>
              <w:kinsoku/>
              <w:wordWrap w:val="0"/>
              <w:overflowPunct/>
              <w:topLinePunct w:val="0"/>
              <w:bidi w:val="0"/>
              <w:textAlignment w:val="auto"/>
              <w:rPr>
                <w:rFonts w:hint="eastAsia"/>
                <w:lang w:val="zh-CN"/>
              </w:rPr>
            </w:pPr>
            <w:r>
              <w:rPr>
                <w:rFonts w:hint="eastAsia"/>
                <w:lang w:val="zh-CN"/>
              </w:rPr>
              <w:t>好处；</w:t>
            </w:r>
          </w:p>
          <w:p w14:paraId="13A1D850">
            <w:pPr>
              <w:pageBreakBefore w:val="0"/>
              <w:kinsoku/>
              <w:wordWrap w:val="0"/>
              <w:overflowPunct/>
              <w:topLinePunct w:val="0"/>
              <w:bidi w:val="0"/>
              <w:textAlignment w:val="auto"/>
              <w:rPr>
                <w:rFonts w:hint="eastAsia"/>
                <w:lang w:val="zh-CN"/>
              </w:rPr>
            </w:pPr>
            <w:r>
              <w:rPr>
                <w:rFonts w:hint="eastAsia"/>
                <w:lang w:val="zh-CN"/>
              </w:rPr>
              <w:t xml:space="preserve">六、严格遵守《中华人民共和国政府采购法》《中华人民共和国招标投标法》《中华人民共和国民法典》等法律法规，诚实守信，合法经营，坚决抵制各种违法违纪行为。 </w:t>
            </w:r>
          </w:p>
          <w:p w14:paraId="663D978C">
            <w:pPr>
              <w:pageBreakBefore w:val="0"/>
              <w:kinsoku/>
              <w:wordWrap w:val="0"/>
              <w:overflowPunct/>
              <w:topLinePunct w:val="0"/>
              <w:bidi w:val="0"/>
              <w:textAlignment w:val="auto"/>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B8146A4">
            <w:pPr>
              <w:pageBreakBefore w:val="0"/>
              <w:kinsoku/>
              <w:wordWrap w:val="0"/>
              <w:overflowPunct/>
              <w:topLinePunct w:val="0"/>
              <w:bidi w:val="0"/>
              <w:textAlignment w:val="auto"/>
              <w:rPr>
                <w:rFonts w:hint="eastAsia"/>
                <w:lang w:val="zh-CN"/>
              </w:rPr>
            </w:pPr>
          </w:p>
          <w:p w14:paraId="5510A0CF">
            <w:pPr>
              <w:pageBreakBefore w:val="0"/>
              <w:kinsoku/>
              <w:wordWrap w:val="0"/>
              <w:overflowPunct/>
              <w:topLinePunct w:val="0"/>
              <w:bidi w:val="0"/>
              <w:textAlignment w:val="auto"/>
              <w:rPr>
                <w:rFonts w:hint="eastAsia"/>
                <w:lang w:val="zh-CN"/>
              </w:rPr>
            </w:pPr>
          </w:p>
          <w:p w14:paraId="5E4F8425">
            <w:pPr>
              <w:pageBreakBefore w:val="0"/>
              <w:kinsoku/>
              <w:wordWrap w:val="0"/>
              <w:overflowPunct/>
              <w:topLinePunct w:val="0"/>
              <w:bidi w:val="0"/>
              <w:textAlignment w:val="auto"/>
              <w:rPr>
                <w:rFonts w:hint="eastAsia"/>
              </w:rPr>
            </w:pPr>
            <w:r>
              <w:rPr>
                <w:rFonts w:hint="eastAsia"/>
              </w:rPr>
              <w:t xml:space="preserve">        </w:t>
            </w:r>
          </w:p>
          <w:p w14:paraId="7B81DCAD">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1228945179"/>
                <w:lang w:val="zh-CN"/>
              </w:rPr>
              <w:t>投标人名称（</w:t>
            </w:r>
            <w:r>
              <w:rPr>
                <w:rFonts w:hint="eastAsia"/>
                <w:b/>
                <w:bCs/>
                <w:color w:val="FF0000"/>
                <w:spacing w:val="30"/>
                <w:kern w:val="0"/>
                <w:fitText w:val="2640" w:id="1228945179"/>
                <w:lang w:val="en-US" w:eastAsia="zh-CN"/>
              </w:rPr>
              <w:t>盖章</w:t>
            </w:r>
            <w:r>
              <w:rPr>
                <w:rFonts w:hint="eastAsia"/>
                <w:b/>
                <w:bCs/>
                <w:color w:val="FF0000"/>
                <w:spacing w:val="0"/>
                <w:kern w:val="0"/>
                <w:fitText w:val="2640" w:id="1228945179"/>
                <w:lang w:val="zh-CN"/>
              </w:rPr>
              <w:t>）</w:t>
            </w:r>
            <w:r>
              <w:rPr>
                <w:rFonts w:hint="eastAsia"/>
                <w:b/>
                <w:bCs/>
                <w:color w:val="FF0000"/>
                <w:lang w:val="zh-CN"/>
              </w:rPr>
              <w:t>：</w:t>
            </w:r>
          </w:p>
          <w:p w14:paraId="165484B9">
            <w:pPr>
              <w:bidi w:val="0"/>
              <w:rPr>
                <w:rFonts w:hint="eastAsia"/>
                <w:lang w:val="en-US" w:eastAsia="zh-CN"/>
              </w:rPr>
            </w:pPr>
            <w:r>
              <w:rPr>
                <w:rFonts w:hint="eastAsia"/>
                <w:b/>
                <w:bCs/>
                <w:color w:val="FF0000"/>
                <w:spacing w:val="1080"/>
                <w:kern w:val="0"/>
                <w:fitText w:val="2640" w:id="1272267229"/>
                <w:lang w:val="zh-CN"/>
              </w:rPr>
              <w:t>日</w:t>
            </w:r>
            <w:r>
              <w:rPr>
                <w:rFonts w:hint="eastAsia"/>
                <w:b/>
                <w:bCs/>
                <w:color w:val="FF0000"/>
                <w:spacing w:val="0"/>
                <w:kern w:val="0"/>
                <w:fitText w:val="2640" w:id="1272267229"/>
                <w:lang w:val="zh-CN"/>
              </w:rPr>
              <w:t>期</w:t>
            </w:r>
            <w:r>
              <w:rPr>
                <w:rFonts w:hint="eastAsia"/>
                <w:b/>
                <w:bCs/>
                <w:color w:val="FF0000"/>
              </w:rPr>
              <w:t>：</w:t>
            </w:r>
          </w:p>
        </w:tc>
      </w:tr>
    </w:tbl>
    <w:p w14:paraId="5DAD1C20">
      <w:pPr>
        <w:rPr>
          <w:rFonts w:hint="default"/>
          <w:lang w:val="en-US" w:eastAsia="zh-CN"/>
        </w:rPr>
      </w:pPr>
    </w:p>
    <w:p w14:paraId="1B9436FC">
      <w:pPr>
        <w:pStyle w:val="14"/>
        <w:rPr>
          <w:rFonts w:hint="default"/>
          <w:lang w:val="en-US" w:eastAsia="zh-CN"/>
        </w:rPr>
      </w:pPr>
    </w:p>
    <w:p w14:paraId="4CDB8CA2">
      <w:pPr>
        <w:pStyle w:val="3"/>
        <w:bidi w:val="0"/>
        <w:rPr>
          <w:rFonts w:hint="default"/>
          <w:lang w:val="en-US" w:eastAsia="zh-CN"/>
        </w:rPr>
      </w:pPr>
      <w:bookmarkStart w:id="76" w:name="_Toc13016"/>
      <w:bookmarkStart w:id="77" w:name="_Toc5429"/>
      <w:r>
        <w:rPr>
          <w:rFonts w:hint="default"/>
          <w:lang w:val="en-US" w:eastAsia="zh-CN"/>
        </w:rPr>
        <w:t>商务技术文件</w:t>
      </w:r>
      <w:bookmarkEnd w:id="76"/>
      <w:bookmarkEnd w:id="77"/>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62"/>
      </w:tblGrid>
      <w:tr w14:paraId="01E57E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95" w:hRule="atLeast"/>
        </w:trPr>
        <w:tc>
          <w:tcPr>
            <w:tcW w:w="9962" w:type="dxa"/>
            <w:tcBorders>
              <w:tl2br w:val="nil"/>
              <w:tr2bl w:val="nil"/>
            </w:tcBorders>
            <w:vAlign w:val="top"/>
          </w:tcPr>
          <w:p w14:paraId="70A640BD">
            <w:pPr>
              <w:bidi w:val="0"/>
              <w:jc w:val="center"/>
              <w:rPr>
                <w:rFonts w:hint="eastAsia"/>
              </w:rPr>
            </w:pPr>
            <w:r>
              <w:rPr>
                <w:rFonts w:hint="eastAsia"/>
              </w:rPr>
              <w:t>目录</w:t>
            </w:r>
          </w:p>
          <w:p w14:paraId="1736A5D9">
            <w:pPr>
              <w:bidi w:val="0"/>
              <w:rPr>
                <w:rFonts w:hint="eastAsia"/>
              </w:rPr>
            </w:pPr>
            <w:r>
              <w:rPr>
                <w:rFonts w:hint="eastAsia"/>
                <w:lang w:eastAsia="zh-CN"/>
              </w:rPr>
              <w:t>（</w:t>
            </w:r>
            <w:r>
              <w:rPr>
                <w:rFonts w:hint="eastAsia"/>
                <w:lang w:val="en-US" w:eastAsia="zh-CN"/>
              </w:rPr>
              <w:t>1</w:t>
            </w:r>
            <w:r>
              <w:rPr>
                <w:rFonts w:hint="eastAsia"/>
                <w:lang w:eastAsia="zh-CN"/>
              </w:rPr>
              <w:t>）</w:t>
            </w:r>
            <w:r>
              <w:rPr>
                <w:rFonts w:hint="default"/>
                <w:lang w:val="en-US" w:eastAsia="zh-CN"/>
              </w:rPr>
              <w:t>投标人情况介绍</w:t>
            </w:r>
            <w:r>
              <w:rPr>
                <w:rFonts w:hint="eastAsia"/>
              </w:rPr>
              <w:t>………………………………………………………………………（页码）</w:t>
            </w:r>
          </w:p>
          <w:p w14:paraId="7EBD5822">
            <w:pPr>
              <w:bidi w:val="0"/>
              <w:rPr>
                <w:rFonts w:hint="eastAsia"/>
              </w:rPr>
            </w:pPr>
            <w:r>
              <w:rPr>
                <w:rFonts w:hint="eastAsia"/>
              </w:rPr>
              <w:t>（2）</w:t>
            </w:r>
            <w:r>
              <w:rPr>
                <w:rFonts w:hint="eastAsia"/>
                <w:lang w:val="en-US" w:eastAsia="zh-CN"/>
              </w:rPr>
              <w:t>商务技术偏离表</w:t>
            </w:r>
            <w:r>
              <w:rPr>
                <w:rFonts w:hint="eastAsia"/>
              </w:rPr>
              <w:t>………………………………………………………………………（页码）</w:t>
            </w:r>
          </w:p>
          <w:p w14:paraId="7D54CAFB">
            <w:pPr>
              <w:bidi w:val="0"/>
              <w:rPr>
                <w:rFonts w:hint="eastAsia"/>
              </w:rPr>
            </w:pPr>
            <w:r>
              <w:rPr>
                <w:rFonts w:hint="eastAsia"/>
              </w:rPr>
              <w:t>（3）</w:t>
            </w:r>
            <w:r>
              <w:rPr>
                <w:rFonts w:hint="default"/>
                <w:lang w:val="en-US" w:eastAsia="zh-CN"/>
              </w:rPr>
              <w:t>完全响应询价文件第三部分采购需求的承诺书</w:t>
            </w:r>
            <w:r>
              <w:rPr>
                <w:rFonts w:hint="eastAsia"/>
              </w:rPr>
              <w:t>……………………………………（页码）</w:t>
            </w:r>
          </w:p>
          <w:p w14:paraId="2EDE42F3">
            <w:pPr>
              <w:bidi w:val="0"/>
              <w:rPr>
                <w:rFonts w:hint="eastAsia"/>
              </w:rPr>
            </w:pPr>
            <w:r>
              <w:rPr>
                <w:rFonts w:hint="eastAsia"/>
              </w:rPr>
              <w:t>（4）</w:t>
            </w:r>
            <w:r>
              <w:rPr>
                <w:rFonts w:hint="eastAsia"/>
                <w:lang w:val="en-US" w:eastAsia="zh-CN"/>
              </w:rPr>
              <w:t>供应商认为有必要提供的其他文件和说明</w:t>
            </w:r>
            <w:r>
              <w:rPr>
                <w:rFonts w:hint="eastAsia"/>
              </w:rPr>
              <w:t>…………………………………………（页码）</w:t>
            </w:r>
          </w:p>
          <w:p w14:paraId="0959834F">
            <w:pPr>
              <w:rPr>
                <w:rFonts w:hint="default"/>
                <w:vertAlign w:val="baseline"/>
                <w:lang w:val="en-US" w:eastAsia="zh-CN"/>
              </w:rPr>
            </w:pPr>
          </w:p>
        </w:tc>
      </w:tr>
    </w:tbl>
    <w:p w14:paraId="0CDD4D4B">
      <w:pPr>
        <w:pStyle w:val="14"/>
        <w:rPr>
          <w:rFonts w:hint="default"/>
          <w:lang w:val="en-US" w:eastAsia="zh-CN"/>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62"/>
      </w:tblGrid>
      <w:tr w14:paraId="7FAE4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4" w:hRule="atLeast"/>
        </w:trPr>
        <w:tc>
          <w:tcPr>
            <w:tcW w:w="9962" w:type="dxa"/>
            <w:tcBorders>
              <w:tl2br w:val="nil"/>
              <w:tr2bl w:val="nil"/>
            </w:tcBorders>
            <w:vAlign w:val="top"/>
          </w:tcPr>
          <w:p w14:paraId="104963EF">
            <w:pPr>
              <w:pStyle w:val="4"/>
              <w:widowControl w:val="0"/>
              <w:bidi w:val="0"/>
              <w:jc w:val="center"/>
              <w:rPr>
                <w:rFonts w:hint="default"/>
                <w:lang w:val="en-US" w:eastAsia="zh-CN"/>
              </w:rPr>
            </w:pPr>
            <w:bookmarkStart w:id="78" w:name="_Toc28248"/>
            <w:bookmarkStart w:id="79" w:name="_Toc19033"/>
            <w:r>
              <w:rPr>
                <w:rFonts w:hint="default"/>
                <w:lang w:val="en-US" w:eastAsia="zh-CN"/>
              </w:rPr>
              <w:t>投标人情况介绍</w:t>
            </w:r>
            <w:bookmarkEnd w:id="78"/>
            <w:bookmarkEnd w:id="79"/>
          </w:p>
          <w:p w14:paraId="63022640">
            <w:pPr>
              <w:rPr>
                <w:rFonts w:hint="eastAsia"/>
                <w:b/>
                <w:bCs/>
                <w:color w:val="FF0000"/>
                <w:lang w:val="en-US" w:eastAsia="zh-CN"/>
              </w:rPr>
            </w:pPr>
            <w:r>
              <w:rPr>
                <w:rFonts w:hint="eastAsia"/>
                <w:b/>
                <w:bCs/>
                <w:color w:val="FF0000"/>
                <w:lang w:val="en-US" w:eastAsia="zh-CN"/>
              </w:rPr>
              <w:t>项目名称：</w:t>
            </w:r>
          </w:p>
          <w:p w14:paraId="3B3D5CA7">
            <w:pPr>
              <w:pStyle w:val="14"/>
              <w:rPr>
                <w:rFonts w:hint="default"/>
                <w:lang w:val="en-US" w:eastAsia="zh-CN"/>
              </w:rPr>
            </w:pPr>
            <w:r>
              <w:rPr>
                <w:rFonts w:hint="eastAsia"/>
                <w:b/>
                <w:bCs/>
                <w:color w:val="FF0000"/>
                <w:lang w:val="en-US" w:eastAsia="zh-CN"/>
              </w:rPr>
              <w:t>项目编号：</w:t>
            </w:r>
          </w:p>
          <w:tbl>
            <w:tblPr>
              <w:tblStyle w:val="18"/>
              <w:tblW w:w="0" w:type="auto"/>
              <w:tblInd w:w="0" w:type="dxa"/>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Layout w:type="autofit"/>
              <w:tblCellMar>
                <w:top w:w="0" w:type="dxa"/>
                <w:left w:w="108" w:type="dxa"/>
                <w:bottom w:w="0" w:type="dxa"/>
                <w:right w:w="108" w:type="dxa"/>
              </w:tblCellMar>
            </w:tblPr>
            <w:tblGrid>
              <w:gridCol w:w="1752"/>
              <w:gridCol w:w="1423"/>
              <w:gridCol w:w="1163"/>
              <w:gridCol w:w="5"/>
              <w:gridCol w:w="1181"/>
              <w:gridCol w:w="24"/>
              <w:gridCol w:w="798"/>
              <w:gridCol w:w="410"/>
              <w:gridCol w:w="54"/>
              <w:gridCol w:w="767"/>
              <w:gridCol w:w="587"/>
              <w:gridCol w:w="1562"/>
            </w:tblGrid>
            <w:tr w14:paraId="1BA26DD3">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90" w:hRule="atLeast"/>
              </w:trPr>
              <w:tc>
                <w:tcPr>
                  <w:tcW w:w="1796" w:type="dxa"/>
                  <w:tcBorders>
                    <w:tl2br w:val="nil"/>
                    <w:tr2bl w:val="nil"/>
                  </w:tcBorders>
                  <w:vAlign w:val="center"/>
                </w:tcPr>
                <w:p w14:paraId="30EE0999">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投标人名称</w:t>
                  </w:r>
                </w:p>
              </w:tc>
              <w:tc>
                <w:tcPr>
                  <w:tcW w:w="8166" w:type="dxa"/>
                  <w:gridSpan w:val="11"/>
                  <w:tcBorders>
                    <w:tl2br w:val="nil"/>
                    <w:tr2bl w:val="nil"/>
                  </w:tcBorders>
                  <w:vAlign w:val="center"/>
                </w:tcPr>
                <w:p w14:paraId="75E0F7D2">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0BBF6555">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045E7C6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注册地址</w:t>
                  </w:r>
                </w:p>
              </w:tc>
              <w:tc>
                <w:tcPr>
                  <w:tcW w:w="4705" w:type="dxa"/>
                  <w:gridSpan w:val="6"/>
                  <w:tcBorders>
                    <w:tl2br w:val="nil"/>
                    <w:tr2bl w:val="nil"/>
                  </w:tcBorders>
                  <w:vAlign w:val="center"/>
                </w:tcPr>
                <w:p w14:paraId="1DBCB46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50" w:type="dxa"/>
                  <w:gridSpan w:val="3"/>
                  <w:tcBorders>
                    <w:tl2br w:val="nil"/>
                    <w:tr2bl w:val="nil"/>
                  </w:tcBorders>
                  <w:vAlign w:val="center"/>
                </w:tcPr>
                <w:p w14:paraId="16D9B623">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邮政编码</w:t>
                  </w:r>
                </w:p>
              </w:tc>
              <w:tc>
                <w:tcPr>
                  <w:tcW w:w="2211" w:type="dxa"/>
                  <w:gridSpan w:val="2"/>
                  <w:tcBorders>
                    <w:tl2br w:val="nil"/>
                    <w:tr2bl w:val="nil"/>
                  </w:tcBorders>
                  <w:vAlign w:val="center"/>
                </w:tcPr>
                <w:p w14:paraId="327111F4">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40C0C3A9">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vMerge w:val="restart"/>
                  <w:tcBorders>
                    <w:tl2br w:val="nil"/>
                    <w:tr2bl w:val="nil"/>
                  </w:tcBorders>
                  <w:vAlign w:val="center"/>
                </w:tcPr>
                <w:p w14:paraId="418949E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联系方式</w:t>
                  </w:r>
                </w:p>
              </w:tc>
              <w:tc>
                <w:tcPr>
                  <w:tcW w:w="1455" w:type="dxa"/>
                  <w:tcBorders>
                    <w:tl2br w:val="nil"/>
                    <w:tr2bl w:val="nil"/>
                  </w:tcBorders>
                  <w:vAlign w:val="center"/>
                </w:tcPr>
                <w:p w14:paraId="18441F4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联系人</w:t>
                  </w:r>
                </w:p>
              </w:tc>
              <w:tc>
                <w:tcPr>
                  <w:tcW w:w="3250" w:type="dxa"/>
                  <w:gridSpan w:val="5"/>
                  <w:tcBorders>
                    <w:tl2br w:val="nil"/>
                    <w:tr2bl w:val="nil"/>
                  </w:tcBorders>
                  <w:vAlign w:val="center"/>
                </w:tcPr>
                <w:p w14:paraId="79C947E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50" w:type="dxa"/>
                  <w:gridSpan w:val="3"/>
                  <w:tcBorders>
                    <w:tl2br w:val="nil"/>
                    <w:tr2bl w:val="nil"/>
                  </w:tcBorders>
                  <w:vAlign w:val="center"/>
                </w:tcPr>
                <w:p w14:paraId="121EEB2D">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电话</w:t>
                  </w:r>
                </w:p>
              </w:tc>
              <w:tc>
                <w:tcPr>
                  <w:tcW w:w="2211" w:type="dxa"/>
                  <w:gridSpan w:val="2"/>
                  <w:tcBorders>
                    <w:tl2br w:val="nil"/>
                    <w:tr2bl w:val="nil"/>
                  </w:tcBorders>
                  <w:vAlign w:val="center"/>
                </w:tcPr>
                <w:p w14:paraId="083BE28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2CEB8073">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vMerge w:val="continue"/>
                  <w:tcBorders>
                    <w:tl2br w:val="nil"/>
                    <w:tr2bl w:val="nil"/>
                  </w:tcBorders>
                  <w:vAlign w:val="center"/>
                </w:tcPr>
                <w:p w14:paraId="7C6C05A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455" w:type="dxa"/>
                  <w:tcBorders>
                    <w:tl2br w:val="nil"/>
                    <w:tr2bl w:val="nil"/>
                  </w:tcBorders>
                  <w:vAlign w:val="center"/>
                </w:tcPr>
                <w:p w14:paraId="3F8C6A3B">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传真</w:t>
                  </w:r>
                </w:p>
              </w:tc>
              <w:tc>
                <w:tcPr>
                  <w:tcW w:w="3250" w:type="dxa"/>
                  <w:gridSpan w:val="5"/>
                  <w:tcBorders>
                    <w:tl2br w:val="nil"/>
                    <w:tr2bl w:val="nil"/>
                  </w:tcBorders>
                  <w:vAlign w:val="center"/>
                </w:tcPr>
                <w:p w14:paraId="7F1595B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50" w:type="dxa"/>
                  <w:gridSpan w:val="3"/>
                  <w:tcBorders>
                    <w:tl2br w:val="nil"/>
                    <w:tr2bl w:val="nil"/>
                  </w:tcBorders>
                  <w:vAlign w:val="center"/>
                </w:tcPr>
                <w:p w14:paraId="201E099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网址</w:t>
                  </w:r>
                </w:p>
              </w:tc>
              <w:tc>
                <w:tcPr>
                  <w:tcW w:w="2211" w:type="dxa"/>
                  <w:gridSpan w:val="2"/>
                  <w:tcBorders>
                    <w:tl2br w:val="nil"/>
                    <w:tr2bl w:val="nil"/>
                  </w:tcBorders>
                  <w:vAlign w:val="center"/>
                </w:tcPr>
                <w:p w14:paraId="4D03F753">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7E4161A7">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6B43E90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组织结构</w:t>
                  </w:r>
                </w:p>
              </w:tc>
              <w:tc>
                <w:tcPr>
                  <w:tcW w:w="8166" w:type="dxa"/>
                  <w:gridSpan w:val="11"/>
                  <w:tcBorders>
                    <w:tl2br w:val="nil"/>
                    <w:tr2bl w:val="nil"/>
                  </w:tcBorders>
                  <w:vAlign w:val="center"/>
                </w:tcPr>
                <w:p w14:paraId="27645EF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1B0359D4">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43A2715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法定代表人</w:t>
                  </w:r>
                </w:p>
              </w:tc>
              <w:tc>
                <w:tcPr>
                  <w:tcW w:w="1455" w:type="dxa"/>
                  <w:tcBorders>
                    <w:tl2br w:val="nil"/>
                    <w:tr2bl w:val="nil"/>
                  </w:tcBorders>
                  <w:vAlign w:val="center"/>
                </w:tcPr>
                <w:p w14:paraId="20D98AD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姓名</w:t>
                  </w:r>
                </w:p>
              </w:tc>
              <w:tc>
                <w:tcPr>
                  <w:tcW w:w="1195" w:type="dxa"/>
                  <w:tcBorders>
                    <w:tl2br w:val="nil"/>
                    <w:tr2bl w:val="nil"/>
                  </w:tcBorders>
                  <w:vAlign w:val="center"/>
                </w:tcPr>
                <w:p w14:paraId="2B85710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10" w:type="dxa"/>
                  <w:gridSpan w:val="2"/>
                  <w:tcBorders>
                    <w:tl2br w:val="nil"/>
                    <w:tr2bl w:val="nil"/>
                  </w:tcBorders>
                  <w:vAlign w:val="center"/>
                </w:tcPr>
                <w:p w14:paraId="1C6E33C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技术职称</w:t>
                  </w:r>
                </w:p>
              </w:tc>
              <w:tc>
                <w:tcPr>
                  <w:tcW w:w="1260" w:type="dxa"/>
                  <w:gridSpan w:val="3"/>
                  <w:tcBorders>
                    <w:tl2br w:val="nil"/>
                    <w:tr2bl w:val="nil"/>
                  </w:tcBorders>
                  <w:vAlign w:val="center"/>
                </w:tcPr>
                <w:p w14:paraId="3939D1D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440" w:type="dxa"/>
                  <w:gridSpan w:val="3"/>
                  <w:tcBorders>
                    <w:tl2br w:val="nil"/>
                    <w:tr2bl w:val="nil"/>
                  </w:tcBorders>
                  <w:vAlign w:val="center"/>
                </w:tcPr>
                <w:p w14:paraId="6E31626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联系电话</w:t>
                  </w:r>
                </w:p>
              </w:tc>
              <w:tc>
                <w:tcPr>
                  <w:tcW w:w="1606" w:type="dxa"/>
                  <w:tcBorders>
                    <w:tl2br w:val="nil"/>
                    <w:tr2bl w:val="nil"/>
                  </w:tcBorders>
                  <w:vAlign w:val="center"/>
                </w:tcPr>
                <w:p w14:paraId="490E08C2">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4210B87D">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1026CD52">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技术负责人</w:t>
                  </w:r>
                </w:p>
              </w:tc>
              <w:tc>
                <w:tcPr>
                  <w:tcW w:w="1455" w:type="dxa"/>
                  <w:tcBorders>
                    <w:tl2br w:val="nil"/>
                    <w:tr2bl w:val="nil"/>
                  </w:tcBorders>
                  <w:vAlign w:val="center"/>
                </w:tcPr>
                <w:p w14:paraId="710BC616">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r>
                    <w:rPr>
                      <w:rFonts w:hint="eastAsia"/>
                      <w:vertAlign w:val="baseline"/>
                      <w:lang w:val="en-US" w:eastAsia="zh-CN"/>
                    </w:rPr>
                    <w:t>姓名</w:t>
                  </w:r>
                </w:p>
              </w:tc>
              <w:tc>
                <w:tcPr>
                  <w:tcW w:w="1195" w:type="dxa"/>
                  <w:tcBorders>
                    <w:tl2br w:val="nil"/>
                    <w:tr2bl w:val="nil"/>
                  </w:tcBorders>
                  <w:vAlign w:val="center"/>
                </w:tcPr>
                <w:p w14:paraId="1BF80C3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10" w:type="dxa"/>
                  <w:gridSpan w:val="2"/>
                  <w:tcBorders>
                    <w:tl2br w:val="nil"/>
                    <w:tr2bl w:val="nil"/>
                  </w:tcBorders>
                  <w:vAlign w:val="center"/>
                </w:tcPr>
                <w:p w14:paraId="723F373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r>
                    <w:rPr>
                      <w:rFonts w:hint="eastAsia"/>
                      <w:vertAlign w:val="baseline"/>
                      <w:lang w:val="en-US" w:eastAsia="zh-CN"/>
                    </w:rPr>
                    <w:t>技术职称</w:t>
                  </w:r>
                </w:p>
              </w:tc>
              <w:tc>
                <w:tcPr>
                  <w:tcW w:w="1260" w:type="dxa"/>
                  <w:gridSpan w:val="3"/>
                  <w:tcBorders>
                    <w:tl2br w:val="nil"/>
                    <w:tr2bl w:val="nil"/>
                  </w:tcBorders>
                  <w:vAlign w:val="center"/>
                </w:tcPr>
                <w:p w14:paraId="7A01440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440" w:type="dxa"/>
                  <w:gridSpan w:val="3"/>
                  <w:tcBorders>
                    <w:tl2br w:val="nil"/>
                    <w:tr2bl w:val="nil"/>
                  </w:tcBorders>
                  <w:vAlign w:val="center"/>
                </w:tcPr>
                <w:p w14:paraId="779533BB">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r>
                    <w:rPr>
                      <w:rFonts w:hint="eastAsia"/>
                      <w:vertAlign w:val="baseline"/>
                      <w:lang w:val="en-US" w:eastAsia="zh-CN"/>
                    </w:rPr>
                    <w:t>联系电话</w:t>
                  </w:r>
                </w:p>
              </w:tc>
              <w:tc>
                <w:tcPr>
                  <w:tcW w:w="1606" w:type="dxa"/>
                  <w:tcBorders>
                    <w:tl2br w:val="nil"/>
                    <w:tr2bl w:val="nil"/>
                  </w:tcBorders>
                  <w:vAlign w:val="center"/>
                </w:tcPr>
                <w:p w14:paraId="55E0BA59">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2D1DDD78">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4119981C">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成立时间</w:t>
                  </w:r>
                </w:p>
              </w:tc>
              <w:tc>
                <w:tcPr>
                  <w:tcW w:w="2655" w:type="dxa"/>
                  <w:gridSpan w:val="3"/>
                  <w:tcBorders>
                    <w:tl2br w:val="nil"/>
                    <w:tr2bl w:val="nil"/>
                  </w:tcBorders>
                  <w:vAlign w:val="center"/>
                </w:tcPr>
                <w:p w14:paraId="25235CF9">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5511" w:type="dxa"/>
                  <w:gridSpan w:val="8"/>
                  <w:tcBorders>
                    <w:tl2br w:val="nil"/>
                    <w:tr2bl w:val="nil"/>
                  </w:tcBorders>
                  <w:vAlign w:val="center"/>
                </w:tcPr>
                <w:p w14:paraId="2785111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员工总人数：</w:t>
                  </w:r>
                </w:p>
              </w:tc>
            </w:tr>
            <w:tr w14:paraId="0ACCBB78">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3FFCEC1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企业资质等级</w:t>
                  </w:r>
                </w:p>
              </w:tc>
              <w:tc>
                <w:tcPr>
                  <w:tcW w:w="2655" w:type="dxa"/>
                  <w:gridSpan w:val="3"/>
                  <w:tcBorders>
                    <w:tl2br w:val="nil"/>
                    <w:tr2bl w:val="nil"/>
                  </w:tcBorders>
                  <w:vAlign w:val="center"/>
                </w:tcPr>
                <w:p w14:paraId="45220CA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30" w:type="dxa"/>
                  <w:gridSpan w:val="2"/>
                  <w:vMerge w:val="restart"/>
                  <w:tcBorders>
                    <w:tl2br w:val="nil"/>
                    <w:tr2bl w:val="nil"/>
                  </w:tcBorders>
                  <w:vAlign w:val="center"/>
                </w:tcPr>
                <w:p w14:paraId="13CCDA96">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其中</w:t>
                  </w:r>
                </w:p>
              </w:tc>
              <w:tc>
                <w:tcPr>
                  <w:tcW w:w="1290" w:type="dxa"/>
                  <w:gridSpan w:val="3"/>
                  <w:tcBorders>
                    <w:tl2br w:val="nil"/>
                    <w:tr2bl w:val="nil"/>
                  </w:tcBorders>
                  <w:vAlign w:val="center"/>
                </w:tcPr>
                <w:p w14:paraId="3CB2662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项目经理</w:t>
                  </w:r>
                </w:p>
              </w:tc>
              <w:tc>
                <w:tcPr>
                  <w:tcW w:w="2991" w:type="dxa"/>
                  <w:gridSpan w:val="3"/>
                  <w:tcBorders>
                    <w:tl2br w:val="nil"/>
                    <w:tr2bl w:val="nil"/>
                  </w:tcBorders>
                  <w:vAlign w:val="center"/>
                </w:tcPr>
                <w:p w14:paraId="13A78A6B">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61320FB3">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0A7BE4D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统一社会信用代码</w:t>
                  </w:r>
                </w:p>
              </w:tc>
              <w:tc>
                <w:tcPr>
                  <w:tcW w:w="2655" w:type="dxa"/>
                  <w:gridSpan w:val="3"/>
                  <w:tcBorders>
                    <w:tl2br w:val="nil"/>
                    <w:tr2bl w:val="nil"/>
                  </w:tcBorders>
                  <w:vAlign w:val="center"/>
                </w:tcPr>
                <w:p w14:paraId="78CA016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30" w:type="dxa"/>
                  <w:gridSpan w:val="2"/>
                  <w:vMerge w:val="continue"/>
                  <w:tcBorders>
                    <w:tl2br w:val="nil"/>
                    <w:tr2bl w:val="nil"/>
                  </w:tcBorders>
                  <w:vAlign w:val="center"/>
                </w:tcPr>
                <w:p w14:paraId="75E1E37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90" w:type="dxa"/>
                  <w:gridSpan w:val="3"/>
                  <w:tcBorders>
                    <w:tl2br w:val="nil"/>
                    <w:tr2bl w:val="nil"/>
                  </w:tcBorders>
                  <w:vAlign w:val="center"/>
                </w:tcPr>
                <w:p w14:paraId="3D87202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高级职称</w:t>
                  </w:r>
                </w:p>
              </w:tc>
              <w:tc>
                <w:tcPr>
                  <w:tcW w:w="2991" w:type="dxa"/>
                  <w:gridSpan w:val="3"/>
                  <w:tcBorders>
                    <w:tl2br w:val="nil"/>
                    <w:tr2bl w:val="nil"/>
                  </w:tcBorders>
                  <w:vAlign w:val="center"/>
                </w:tcPr>
                <w:p w14:paraId="60A84CC3">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490BF7FA">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7138795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注册资金</w:t>
                  </w:r>
                </w:p>
              </w:tc>
              <w:tc>
                <w:tcPr>
                  <w:tcW w:w="2655" w:type="dxa"/>
                  <w:gridSpan w:val="3"/>
                  <w:tcBorders>
                    <w:tl2br w:val="nil"/>
                    <w:tr2bl w:val="nil"/>
                  </w:tcBorders>
                  <w:vAlign w:val="center"/>
                </w:tcPr>
                <w:p w14:paraId="73A58CE9">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30" w:type="dxa"/>
                  <w:gridSpan w:val="2"/>
                  <w:vMerge w:val="continue"/>
                  <w:tcBorders>
                    <w:tl2br w:val="nil"/>
                    <w:tr2bl w:val="nil"/>
                  </w:tcBorders>
                  <w:vAlign w:val="center"/>
                </w:tcPr>
                <w:p w14:paraId="5BD7DB5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90" w:type="dxa"/>
                  <w:gridSpan w:val="3"/>
                  <w:tcBorders>
                    <w:tl2br w:val="nil"/>
                    <w:tr2bl w:val="nil"/>
                  </w:tcBorders>
                  <w:vAlign w:val="center"/>
                </w:tcPr>
                <w:p w14:paraId="61E0FE5D">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中级职称</w:t>
                  </w:r>
                </w:p>
              </w:tc>
              <w:tc>
                <w:tcPr>
                  <w:tcW w:w="2991" w:type="dxa"/>
                  <w:gridSpan w:val="3"/>
                  <w:tcBorders>
                    <w:tl2br w:val="nil"/>
                    <w:tr2bl w:val="nil"/>
                  </w:tcBorders>
                  <w:vAlign w:val="center"/>
                </w:tcPr>
                <w:p w14:paraId="0F9F20A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7821C513">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7477B10C">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开户银行</w:t>
                  </w:r>
                </w:p>
              </w:tc>
              <w:tc>
                <w:tcPr>
                  <w:tcW w:w="2655" w:type="dxa"/>
                  <w:gridSpan w:val="3"/>
                  <w:tcBorders>
                    <w:tl2br w:val="nil"/>
                    <w:tr2bl w:val="nil"/>
                  </w:tcBorders>
                  <w:vAlign w:val="center"/>
                </w:tcPr>
                <w:p w14:paraId="421D083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30" w:type="dxa"/>
                  <w:gridSpan w:val="2"/>
                  <w:vMerge w:val="continue"/>
                  <w:tcBorders>
                    <w:tl2br w:val="nil"/>
                    <w:tr2bl w:val="nil"/>
                  </w:tcBorders>
                  <w:vAlign w:val="center"/>
                </w:tcPr>
                <w:p w14:paraId="4814625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90" w:type="dxa"/>
                  <w:gridSpan w:val="3"/>
                  <w:tcBorders>
                    <w:tl2br w:val="nil"/>
                    <w:tr2bl w:val="nil"/>
                  </w:tcBorders>
                  <w:vAlign w:val="center"/>
                </w:tcPr>
                <w:p w14:paraId="384FA774">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初级职称</w:t>
                  </w:r>
                </w:p>
              </w:tc>
              <w:tc>
                <w:tcPr>
                  <w:tcW w:w="2991" w:type="dxa"/>
                  <w:gridSpan w:val="3"/>
                  <w:tcBorders>
                    <w:tl2br w:val="nil"/>
                    <w:tr2bl w:val="nil"/>
                  </w:tcBorders>
                  <w:vAlign w:val="center"/>
                </w:tcPr>
                <w:p w14:paraId="30093BD9">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68663C26">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6227F2E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账号</w:t>
                  </w:r>
                </w:p>
              </w:tc>
              <w:tc>
                <w:tcPr>
                  <w:tcW w:w="2655" w:type="dxa"/>
                  <w:gridSpan w:val="3"/>
                  <w:tcBorders>
                    <w:tl2br w:val="nil"/>
                    <w:tr2bl w:val="nil"/>
                  </w:tcBorders>
                  <w:vAlign w:val="center"/>
                </w:tcPr>
                <w:p w14:paraId="630E303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30" w:type="dxa"/>
                  <w:gridSpan w:val="2"/>
                  <w:vMerge w:val="continue"/>
                  <w:tcBorders>
                    <w:tl2br w:val="nil"/>
                    <w:tr2bl w:val="nil"/>
                  </w:tcBorders>
                  <w:vAlign w:val="center"/>
                </w:tcPr>
                <w:p w14:paraId="1AAAC42D">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90" w:type="dxa"/>
                  <w:gridSpan w:val="3"/>
                  <w:tcBorders>
                    <w:tl2br w:val="nil"/>
                    <w:tr2bl w:val="nil"/>
                  </w:tcBorders>
                  <w:vAlign w:val="center"/>
                </w:tcPr>
                <w:p w14:paraId="03B5184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技工</w:t>
                  </w:r>
                </w:p>
              </w:tc>
              <w:tc>
                <w:tcPr>
                  <w:tcW w:w="2991" w:type="dxa"/>
                  <w:gridSpan w:val="3"/>
                  <w:tcBorders>
                    <w:tl2br w:val="nil"/>
                    <w:tr2bl w:val="nil"/>
                  </w:tcBorders>
                  <w:vAlign w:val="center"/>
                </w:tcPr>
                <w:p w14:paraId="01AD707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123AD908">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930" w:hRule="atLeast"/>
              </w:trPr>
              <w:tc>
                <w:tcPr>
                  <w:tcW w:w="1796" w:type="dxa"/>
                  <w:tcBorders>
                    <w:tl2br w:val="nil"/>
                    <w:tr2bl w:val="nil"/>
                  </w:tcBorders>
                  <w:vAlign w:val="center"/>
                </w:tcPr>
                <w:p w14:paraId="5F19621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经营范围</w:t>
                  </w:r>
                </w:p>
              </w:tc>
              <w:tc>
                <w:tcPr>
                  <w:tcW w:w="8166" w:type="dxa"/>
                  <w:gridSpan w:val="11"/>
                  <w:tcBorders>
                    <w:tl2br w:val="nil"/>
                    <w:tr2bl w:val="nil"/>
                  </w:tcBorders>
                  <w:vAlign w:val="center"/>
                </w:tcPr>
                <w:p w14:paraId="3E825F8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17B758F7">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899" w:hRule="atLeast"/>
              </w:trPr>
              <w:tc>
                <w:tcPr>
                  <w:tcW w:w="1796" w:type="dxa"/>
                  <w:tcBorders>
                    <w:tl2br w:val="nil"/>
                    <w:tr2bl w:val="nil"/>
                  </w:tcBorders>
                  <w:vAlign w:val="center"/>
                </w:tcPr>
                <w:p w14:paraId="3732572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备注</w:t>
                  </w:r>
                </w:p>
              </w:tc>
              <w:tc>
                <w:tcPr>
                  <w:tcW w:w="8166" w:type="dxa"/>
                  <w:gridSpan w:val="11"/>
                  <w:tcBorders>
                    <w:tl2br w:val="nil"/>
                    <w:tr2bl w:val="nil"/>
                  </w:tcBorders>
                  <w:vAlign w:val="center"/>
                </w:tcPr>
                <w:p w14:paraId="4A9BDCC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bl>
          <w:p w14:paraId="21BB5504">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657330101"/>
                <w:lang w:val="zh-CN"/>
              </w:rPr>
              <w:t>投标人名称（</w:t>
            </w:r>
            <w:r>
              <w:rPr>
                <w:rFonts w:hint="eastAsia"/>
                <w:b/>
                <w:bCs/>
                <w:color w:val="FF0000"/>
                <w:spacing w:val="30"/>
                <w:kern w:val="0"/>
                <w:fitText w:val="2640" w:id="657330101"/>
                <w:lang w:val="en-US" w:eastAsia="zh-CN"/>
              </w:rPr>
              <w:t>盖章</w:t>
            </w:r>
            <w:r>
              <w:rPr>
                <w:rFonts w:hint="eastAsia"/>
                <w:b/>
                <w:bCs/>
                <w:color w:val="FF0000"/>
                <w:spacing w:val="0"/>
                <w:kern w:val="0"/>
                <w:fitText w:val="2640" w:id="657330101"/>
                <w:lang w:val="zh-CN"/>
              </w:rPr>
              <w:t>）</w:t>
            </w:r>
            <w:r>
              <w:rPr>
                <w:rFonts w:hint="eastAsia"/>
                <w:b/>
                <w:bCs/>
                <w:color w:val="FF0000"/>
                <w:lang w:val="zh-CN"/>
              </w:rPr>
              <w:t>：</w:t>
            </w:r>
          </w:p>
          <w:p w14:paraId="525A6E4D">
            <w:pPr>
              <w:rPr>
                <w:rFonts w:hint="default"/>
                <w:lang w:val="en-US" w:eastAsia="zh-CN"/>
              </w:rPr>
            </w:pPr>
            <w:r>
              <w:rPr>
                <w:rFonts w:hint="eastAsia"/>
                <w:b/>
                <w:bCs/>
                <w:color w:val="FF0000"/>
                <w:spacing w:val="1080"/>
                <w:kern w:val="0"/>
                <w:fitText w:val="2640" w:id="218783269"/>
                <w:lang w:val="zh-CN"/>
              </w:rPr>
              <w:t>日</w:t>
            </w:r>
            <w:r>
              <w:rPr>
                <w:rFonts w:hint="eastAsia"/>
                <w:b/>
                <w:bCs/>
                <w:color w:val="FF0000"/>
                <w:spacing w:val="0"/>
                <w:kern w:val="0"/>
                <w:fitText w:val="2640" w:id="218783269"/>
                <w:lang w:val="zh-CN"/>
              </w:rPr>
              <w:t>期</w:t>
            </w:r>
            <w:r>
              <w:rPr>
                <w:rFonts w:hint="eastAsia"/>
                <w:b/>
                <w:bCs/>
                <w:color w:val="FF0000"/>
              </w:rPr>
              <w:t>：</w:t>
            </w:r>
          </w:p>
        </w:tc>
      </w:tr>
    </w:tbl>
    <w:p w14:paraId="650881F5">
      <w:pPr>
        <w:rPr>
          <w:rFonts w:hint="default"/>
          <w:lang w:val="en-US" w:eastAsia="zh-CN"/>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62"/>
      </w:tblGrid>
      <w:tr w14:paraId="0CEC2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65" w:hRule="atLeast"/>
        </w:trPr>
        <w:tc>
          <w:tcPr>
            <w:tcW w:w="9962" w:type="dxa"/>
            <w:tcBorders>
              <w:tl2br w:val="nil"/>
              <w:tr2bl w:val="nil"/>
            </w:tcBorders>
            <w:vAlign w:val="top"/>
          </w:tcPr>
          <w:p w14:paraId="2D3498BE">
            <w:pPr>
              <w:pStyle w:val="4"/>
              <w:widowControl w:val="0"/>
              <w:bidi w:val="0"/>
              <w:jc w:val="center"/>
              <w:rPr>
                <w:rFonts w:hint="default"/>
                <w:lang w:val="en-US" w:eastAsia="zh-CN"/>
              </w:rPr>
            </w:pPr>
            <w:bookmarkStart w:id="80" w:name="_Toc13454"/>
            <w:bookmarkStart w:id="81" w:name="_Toc9125"/>
            <w:r>
              <w:rPr>
                <w:rFonts w:hint="default"/>
                <w:lang w:val="en-US" w:eastAsia="zh-CN"/>
              </w:rPr>
              <w:t>商务技术偏离表</w:t>
            </w:r>
            <w:bookmarkEnd w:id="80"/>
            <w:bookmarkEnd w:id="81"/>
          </w:p>
          <w:p w14:paraId="4A04A1D7">
            <w:pPr>
              <w:rPr>
                <w:rFonts w:hint="eastAsia"/>
                <w:b/>
                <w:bCs/>
                <w:color w:val="FF0000"/>
                <w:lang w:val="en-US" w:eastAsia="zh-CN"/>
              </w:rPr>
            </w:pPr>
            <w:r>
              <w:rPr>
                <w:rFonts w:hint="eastAsia"/>
                <w:b/>
                <w:bCs/>
                <w:color w:val="FF0000"/>
                <w:lang w:val="en-US" w:eastAsia="zh-CN"/>
              </w:rPr>
              <w:t>项目名称：</w:t>
            </w:r>
          </w:p>
          <w:p w14:paraId="7FF706A0">
            <w:pPr>
              <w:rPr>
                <w:rFonts w:hint="eastAsia"/>
              </w:rPr>
            </w:pPr>
            <w:r>
              <w:rPr>
                <w:rFonts w:hint="eastAsia"/>
                <w:b/>
                <w:bCs/>
                <w:color w:val="FF0000"/>
                <w:lang w:val="en-US" w:eastAsia="zh-CN"/>
              </w:rPr>
              <w:t>项目编号：</w:t>
            </w:r>
          </w:p>
          <w:tbl>
            <w:tblPr>
              <w:tblStyle w:val="18"/>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DB086B5">
                  <w:pPr>
                    <w:pageBreakBefore w:val="0"/>
                    <w:kinsoku/>
                    <w:wordWrap w:val="0"/>
                    <w:overflowPunct/>
                    <w:topLinePunct w:val="0"/>
                    <w:bidi w:val="0"/>
                    <w:jc w:val="center"/>
                    <w:textAlignment w:val="auto"/>
                    <w:rPr>
                      <w:rFonts w:hint="eastAsia"/>
                    </w:rPr>
                  </w:pPr>
                  <w:r>
                    <w:rPr>
                      <w:rFonts w:hint="eastAsia"/>
                    </w:rPr>
                    <w:t>序号</w:t>
                  </w:r>
                </w:p>
              </w:tc>
              <w:tc>
                <w:tcPr>
                  <w:tcW w:w="3356" w:type="dxa"/>
                  <w:vAlign w:val="center"/>
                </w:tcPr>
                <w:p w14:paraId="46DE97A9">
                  <w:pPr>
                    <w:pageBreakBefore w:val="0"/>
                    <w:kinsoku/>
                    <w:wordWrap w:val="0"/>
                    <w:overflowPunct/>
                    <w:topLinePunct w:val="0"/>
                    <w:bidi w:val="0"/>
                    <w:jc w:val="center"/>
                    <w:textAlignment w:val="auto"/>
                    <w:rPr>
                      <w:rFonts w:hint="eastAsia"/>
                    </w:rPr>
                  </w:pPr>
                  <w:r>
                    <w:rPr>
                      <w:rFonts w:hint="eastAsia"/>
                    </w:rPr>
                    <w:t>招标文件章节及具体内容</w:t>
                  </w:r>
                </w:p>
              </w:tc>
              <w:tc>
                <w:tcPr>
                  <w:tcW w:w="3540" w:type="dxa"/>
                  <w:vAlign w:val="center"/>
                </w:tcPr>
                <w:p w14:paraId="29F1BB60">
                  <w:pPr>
                    <w:pageBreakBefore w:val="0"/>
                    <w:kinsoku/>
                    <w:wordWrap w:val="0"/>
                    <w:overflowPunct/>
                    <w:topLinePunct w:val="0"/>
                    <w:bidi w:val="0"/>
                    <w:jc w:val="center"/>
                    <w:textAlignment w:val="auto"/>
                    <w:rPr>
                      <w:rFonts w:hint="eastAsia"/>
                    </w:rPr>
                  </w:pPr>
                  <w:r>
                    <w:rPr>
                      <w:rFonts w:hint="eastAsia"/>
                    </w:rPr>
                    <w:t>投标文件章节及具体内容</w:t>
                  </w:r>
                </w:p>
              </w:tc>
              <w:tc>
                <w:tcPr>
                  <w:tcW w:w="1332" w:type="dxa"/>
                  <w:vAlign w:val="center"/>
                </w:tcPr>
                <w:p w14:paraId="1ED157CD">
                  <w:pPr>
                    <w:pageBreakBefore w:val="0"/>
                    <w:kinsoku/>
                    <w:wordWrap w:val="0"/>
                    <w:overflowPunct/>
                    <w:topLinePunct w:val="0"/>
                    <w:bidi w:val="0"/>
                    <w:jc w:val="center"/>
                    <w:textAlignment w:val="auto"/>
                    <w:rPr>
                      <w:rFonts w:hint="eastAsia"/>
                    </w:rPr>
                  </w:pPr>
                  <w:r>
                    <w:rPr>
                      <w:rFonts w:hint="eastAsia"/>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pageBreakBefore w:val="0"/>
                    <w:kinsoku/>
                    <w:wordWrap w:val="0"/>
                    <w:overflowPunct/>
                    <w:topLinePunct w:val="0"/>
                    <w:bidi w:val="0"/>
                    <w:jc w:val="center"/>
                    <w:textAlignment w:val="auto"/>
                    <w:rPr>
                      <w:rFonts w:hint="eastAsia"/>
                    </w:rPr>
                  </w:pPr>
                  <w:r>
                    <w:rPr>
                      <w:rFonts w:hint="eastAsia"/>
                    </w:rPr>
                    <w:t>1</w:t>
                  </w:r>
                </w:p>
              </w:tc>
              <w:tc>
                <w:tcPr>
                  <w:tcW w:w="3356" w:type="dxa"/>
                  <w:vAlign w:val="center"/>
                </w:tcPr>
                <w:p w14:paraId="74D9E5C5">
                  <w:pPr>
                    <w:pageBreakBefore w:val="0"/>
                    <w:kinsoku/>
                    <w:wordWrap w:val="0"/>
                    <w:overflowPunct/>
                    <w:topLinePunct w:val="0"/>
                    <w:bidi w:val="0"/>
                    <w:jc w:val="center"/>
                    <w:textAlignment w:val="auto"/>
                    <w:rPr>
                      <w:rFonts w:hint="eastAsia"/>
                    </w:rPr>
                  </w:pPr>
                </w:p>
              </w:tc>
              <w:tc>
                <w:tcPr>
                  <w:tcW w:w="3540" w:type="dxa"/>
                  <w:vAlign w:val="center"/>
                </w:tcPr>
                <w:p w14:paraId="702C674A">
                  <w:pPr>
                    <w:pageBreakBefore w:val="0"/>
                    <w:kinsoku/>
                    <w:wordWrap w:val="0"/>
                    <w:overflowPunct/>
                    <w:topLinePunct w:val="0"/>
                    <w:bidi w:val="0"/>
                    <w:jc w:val="center"/>
                    <w:textAlignment w:val="auto"/>
                    <w:rPr>
                      <w:rFonts w:hint="eastAsia"/>
                    </w:rPr>
                  </w:pPr>
                </w:p>
              </w:tc>
              <w:tc>
                <w:tcPr>
                  <w:tcW w:w="1332" w:type="dxa"/>
                  <w:vAlign w:val="center"/>
                </w:tcPr>
                <w:p w14:paraId="03CA2C1C">
                  <w:pPr>
                    <w:pageBreakBefore w:val="0"/>
                    <w:kinsoku/>
                    <w:wordWrap w:val="0"/>
                    <w:overflowPunct/>
                    <w:topLinePunct w:val="0"/>
                    <w:bidi w:val="0"/>
                    <w:jc w:val="center"/>
                    <w:textAlignment w:val="auto"/>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pageBreakBefore w:val="0"/>
                    <w:kinsoku/>
                    <w:wordWrap w:val="0"/>
                    <w:overflowPunct/>
                    <w:topLinePunct w:val="0"/>
                    <w:bidi w:val="0"/>
                    <w:jc w:val="center"/>
                    <w:textAlignment w:val="auto"/>
                    <w:rPr>
                      <w:rFonts w:hint="eastAsia"/>
                    </w:rPr>
                  </w:pPr>
                  <w:r>
                    <w:rPr>
                      <w:rFonts w:hint="eastAsia"/>
                    </w:rPr>
                    <w:t>2</w:t>
                  </w:r>
                </w:p>
              </w:tc>
              <w:tc>
                <w:tcPr>
                  <w:tcW w:w="3356" w:type="dxa"/>
                  <w:vAlign w:val="center"/>
                </w:tcPr>
                <w:p w14:paraId="7EA4CB03">
                  <w:pPr>
                    <w:pageBreakBefore w:val="0"/>
                    <w:kinsoku/>
                    <w:wordWrap w:val="0"/>
                    <w:overflowPunct/>
                    <w:topLinePunct w:val="0"/>
                    <w:bidi w:val="0"/>
                    <w:jc w:val="center"/>
                    <w:textAlignment w:val="auto"/>
                    <w:rPr>
                      <w:rFonts w:hint="eastAsia"/>
                    </w:rPr>
                  </w:pPr>
                </w:p>
              </w:tc>
              <w:tc>
                <w:tcPr>
                  <w:tcW w:w="3540" w:type="dxa"/>
                  <w:vAlign w:val="center"/>
                </w:tcPr>
                <w:p w14:paraId="7FBA3F2C">
                  <w:pPr>
                    <w:pageBreakBefore w:val="0"/>
                    <w:kinsoku/>
                    <w:wordWrap w:val="0"/>
                    <w:overflowPunct/>
                    <w:topLinePunct w:val="0"/>
                    <w:bidi w:val="0"/>
                    <w:jc w:val="center"/>
                    <w:textAlignment w:val="auto"/>
                    <w:rPr>
                      <w:rFonts w:hint="eastAsia"/>
                    </w:rPr>
                  </w:pPr>
                </w:p>
              </w:tc>
              <w:tc>
                <w:tcPr>
                  <w:tcW w:w="1332" w:type="dxa"/>
                  <w:vAlign w:val="center"/>
                </w:tcPr>
                <w:p w14:paraId="77FD7969">
                  <w:pPr>
                    <w:pageBreakBefore w:val="0"/>
                    <w:kinsoku/>
                    <w:wordWrap w:val="0"/>
                    <w:overflowPunct/>
                    <w:topLinePunct w:val="0"/>
                    <w:bidi w:val="0"/>
                    <w:jc w:val="center"/>
                    <w:textAlignment w:val="auto"/>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04AF2CA">
                  <w:pPr>
                    <w:pageBreakBefore w:val="0"/>
                    <w:kinsoku/>
                    <w:wordWrap w:val="0"/>
                    <w:overflowPunct/>
                    <w:topLinePunct w:val="0"/>
                    <w:bidi w:val="0"/>
                    <w:jc w:val="center"/>
                    <w:textAlignment w:val="auto"/>
                    <w:rPr>
                      <w:rFonts w:hint="eastAsia"/>
                    </w:rPr>
                  </w:pPr>
                  <w:r>
                    <w:rPr>
                      <w:rFonts w:hint="eastAsia"/>
                    </w:rPr>
                    <w:t>……</w:t>
                  </w:r>
                </w:p>
              </w:tc>
              <w:tc>
                <w:tcPr>
                  <w:tcW w:w="3356" w:type="dxa"/>
                  <w:vAlign w:val="center"/>
                </w:tcPr>
                <w:p w14:paraId="593ACB9F">
                  <w:pPr>
                    <w:pageBreakBefore w:val="0"/>
                    <w:kinsoku/>
                    <w:wordWrap w:val="0"/>
                    <w:overflowPunct/>
                    <w:topLinePunct w:val="0"/>
                    <w:bidi w:val="0"/>
                    <w:jc w:val="center"/>
                    <w:textAlignment w:val="auto"/>
                    <w:rPr>
                      <w:rFonts w:hint="eastAsia"/>
                    </w:rPr>
                  </w:pPr>
                </w:p>
              </w:tc>
              <w:tc>
                <w:tcPr>
                  <w:tcW w:w="3540" w:type="dxa"/>
                  <w:vAlign w:val="center"/>
                </w:tcPr>
                <w:p w14:paraId="4D9DE524">
                  <w:pPr>
                    <w:pageBreakBefore w:val="0"/>
                    <w:kinsoku/>
                    <w:wordWrap w:val="0"/>
                    <w:overflowPunct/>
                    <w:topLinePunct w:val="0"/>
                    <w:bidi w:val="0"/>
                    <w:jc w:val="center"/>
                    <w:textAlignment w:val="auto"/>
                    <w:rPr>
                      <w:rFonts w:hint="eastAsia"/>
                    </w:rPr>
                  </w:pPr>
                </w:p>
              </w:tc>
              <w:tc>
                <w:tcPr>
                  <w:tcW w:w="1332" w:type="dxa"/>
                  <w:vAlign w:val="center"/>
                </w:tcPr>
                <w:p w14:paraId="0705D3E1">
                  <w:pPr>
                    <w:pageBreakBefore w:val="0"/>
                    <w:kinsoku/>
                    <w:wordWrap w:val="0"/>
                    <w:overflowPunct/>
                    <w:topLinePunct w:val="0"/>
                    <w:bidi w:val="0"/>
                    <w:jc w:val="center"/>
                    <w:textAlignment w:val="auto"/>
                    <w:rPr>
                      <w:rFonts w:hint="eastAsia"/>
                    </w:rPr>
                  </w:pPr>
                </w:p>
              </w:tc>
            </w:tr>
          </w:tbl>
          <w:p w14:paraId="10B1C6F3">
            <w:pPr>
              <w:pageBreakBefore w:val="0"/>
              <w:kinsoku/>
              <w:wordWrap w:val="0"/>
              <w:overflowPunct/>
              <w:topLinePunct w:val="0"/>
              <w:bidi w:val="0"/>
              <w:textAlignment w:val="auto"/>
              <w:rPr>
                <w:rFonts w:hint="eastAsia"/>
                <w:lang w:val="en-US" w:eastAsia="zh-CN"/>
              </w:rPr>
            </w:pPr>
            <w:r>
              <w:rPr>
                <w:rFonts w:hint="eastAsia"/>
                <w:lang w:val="en-US" w:eastAsia="zh-CN"/>
              </w:rPr>
              <w:t>注：投标人保证，除商务技术偏离表列出的偏离外，投标人响应招标文件的全部要求。</w:t>
            </w:r>
          </w:p>
          <w:p w14:paraId="4B468692">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1840275760"/>
                <w:lang w:val="zh-CN"/>
              </w:rPr>
              <w:t>投标人名称（</w:t>
            </w:r>
            <w:r>
              <w:rPr>
                <w:rFonts w:hint="eastAsia"/>
                <w:b/>
                <w:bCs/>
                <w:color w:val="FF0000"/>
                <w:spacing w:val="30"/>
                <w:kern w:val="0"/>
                <w:fitText w:val="2640" w:id="1840275760"/>
                <w:lang w:val="en-US" w:eastAsia="zh-CN"/>
              </w:rPr>
              <w:t>盖章</w:t>
            </w:r>
            <w:r>
              <w:rPr>
                <w:rFonts w:hint="eastAsia"/>
                <w:b/>
                <w:bCs/>
                <w:color w:val="FF0000"/>
                <w:spacing w:val="0"/>
                <w:kern w:val="0"/>
                <w:fitText w:val="2640" w:id="1840275760"/>
                <w:lang w:val="zh-CN"/>
              </w:rPr>
              <w:t>）</w:t>
            </w:r>
            <w:r>
              <w:rPr>
                <w:rFonts w:hint="eastAsia"/>
                <w:b/>
                <w:bCs/>
                <w:color w:val="FF0000"/>
                <w:lang w:val="zh-CN"/>
              </w:rPr>
              <w:t>：</w:t>
            </w:r>
          </w:p>
          <w:p w14:paraId="59570149">
            <w:pPr>
              <w:rPr>
                <w:rFonts w:hint="default"/>
                <w:lang w:val="en-US" w:eastAsia="zh-CN"/>
              </w:rPr>
            </w:pPr>
            <w:r>
              <w:rPr>
                <w:rFonts w:hint="eastAsia"/>
                <w:b/>
                <w:bCs/>
                <w:color w:val="FF0000"/>
                <w:spacing w:val="1080"/>
                <w:kern w:val="0"/>
                <w:fitText w:val="2640" w:id="293235460"/>
                <w:lang w:val="zh-CN"/>
              </w:rPr>
              <w:t>日</w:t>
            </w:r>
            <w:r>
              <w:rPr>
                <w:rFonts w:hint="eastAsia"/>
                <w:b/>
                <w:bCs/>
                <w:color w:val="FF0000"/>
                <w:spacing w:val="0"/>
                <w:kern w:val="0"/>
                <w:fitText w:val="2640" w:id="293235460"/>
                <w:lang w:val="zh-CN"/>
              </w:rPr>
              <w:t>期</w:t>
            </w:r>
            <w:r>
              <w:rPr>
                <w:rFonts w:hint="eastAsia"/>
                <w:b/>
                <w:bCs/>
                <w:color w:val="FF0000"/>
              </w:rPr>
              <w:t>：</w:t>
            </w:r>
          </w:p>
        </w:tc>
      </w:tr>
    </w:tbl>
    <w:p w14:paraId="1E4DA4B8">
      <w:pPr>
        <w:rPr>
          <w:rFonts w:hint="default"/>
          <w:lang w:val="en-US" w:eastAsia="zh-CN"/>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62"/>
      </w:tblGrid>
      <w:tr w14:paraId="2E8D1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3024" w:hRule="atLeast"/>
        </w:trPr>
        <w:tc>
          <w:tcPr>
            <w:tcW w:w="9962" w:type="dxa"/>
            <w:tcBorders>
              <w:tl2br w:val="nil"/>
              <w:tr2bl w:val="nil"/>
            </w:tcBorders>
            <w:vAlign w:val="top"/>
          </w:tcPr>
          <w:p w14:paraId="65370BE5">
            <w:pPr>
              <w:pStyle w:val="4"/>
              <w:widowControl w:val="0"/>
              <w:bidi w:val="0"/>
              <w:jc w:val="center"/>
              <w:rPr>
                <w:rFonts w:hint="default"/>
                <w:lang w:val="en-US" w:eastAsia="zh-CN"/>
              </w:rPr>
            </w:pPr>
            <w:bookmarkStart w:id="82" w:name="_Toc20872"/>
            <w:bookmarkStart w:id="83" w:name="_Toc19768"/>
            <w:r>
              <w:rPr>
                <w:rFonts w:hint="default"/>
                <w:lang w:val="en-US" w:eastAsia="zh-CN"/>
              </w:rPr>
              <w:t>完全响应询价文件第三部分采购需求的承诺书</w:t>
            </w:r>
            <w:bookmarkEnd w:id="82"/>
            <w:bookmarkEnd w:id="83"/>
          </w:p>
          <w:p w14:paraId="1FD64E62">
            <w:pPr>
              <w:jc w:val="center"/>
              <w:rPr>
                <w:rFonts w:hint="default"/>
                <w:lang w:val="en-US" w:eastAsia="zh-CN"/>
              </w:rPr>
            </w:pPr>
            <w:r>
              <w:rPr>
                <w:rFonts w:hint="eastAsia"/>
                <w:lang w:val="en-US" w:eastAsia="zh-CN"/>
              </w:rPr>
              <w:t>（格式自拟）</w:t>
            </w:r>
          </w:p>
        </w:tc>
      </w:tr>
    </w:tbl>
    <w:p w14:paraId="2F50D3EE">
      <w:pPr>
        <w:pStyle w:val="14"/>
        <w:rPr>
          <w:rFonts w:hint="default"/>
          <w:lang w:val="en-US" w:eastAsia="zh-CN"/>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62"/>
      </w:tblGrid>
      <w:tr w14:paraId="3D0BA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91" w:hRule="atLeast"/>
        </w:trPr>
        <w:tc>
          <w:tcPr>
            <w:tcW w:w="9962" w:type="dxa"/>
            <w:tcBorders>
              <w:tl2br w:val="nil"/>
              <w:tr2bl w:val="nil"/>
            </w:tcBorders>
            <w:vAlign w:val="top"/>
          </w:tcPr>
          <w:p w14:paraId="53C9F309">
            <w:pPr>
              <w:pStyle w:val="4"/>
              <w:widowControl w:val="0"/>
              <w:bidi w:val="0"/>
              <w:jc w:val="center"/>
              <w:rPr>
                <w:rFonts w:hint="default"/>
                <w:lang w:val="en-US" w:eastAsia="zh-CN"/>
              </w:rPr>
            </w:pPr>
            <w:bookmarkStart w:id="84" w:name="_Toc263"/>
            <w:bookmarkStart w:id="85" w:name="_Toc28347"/>
            <w:r>
              <w:rPr>
                <w:rFonts w:hint="default"/>
                <w:lang w:val="en-US" w:eastAsia="zh-CN"/>
              </w:rPr>
              <w:t>供应商认为有必要提供的其他文件和说明</w:t>
            </w:r>
            <w:bookmarkEnd w:id="84"/>
            <w:bookmarkEnd w:id="85"/>
          </w:p>
          <w:p w14:paraId="4895BBE4">
            <w:pPr>
              <w:jc w:val="center"/>
              <w:rPr>
                <w:rFonts w:hint="default"/>
                <w:vertAlign w:val="baseline"/>
                <w:lang w:val="en-US" w:eastAsia="zh-CN"/>
              </w:rPr>
            </w:pPr>
            <w:r>
              <w:rPr>
                <w:rFonts w:hint="default"/>
                <w:vertAlign w:val="baseline"/>
                <w:lang w:val="en-US" w:eastAsia="zh-CN"/>
              </w:rPr>
              <w:t>（格式自拟）</w:t>
            </w:r>
          </w:p>
          <w:p w14:paraId="508E8203">
            <w:pPr>
              <w:jc w:val="center"/>
              <w:rPr>
                <w:rFonts w:hint="default"/>
                <w:vertAlign w:val="baseline"/>
                <w:lang w:val="en-US" w:eastAsia="zh-CN"/>
              </w:rPr>
            </w:pPr>
            <w:r>
              <w:rPr>
                <w:rFonts w:hint="eastAsia"/>
                <w:vertAlign w:val="baseline"/>
                <w:lang w:val="en-US" w:eastAsia="zh-CN"/>
              </w:rPr>
              <w:t>（提供的厂家授权书放在本条内容内）</w:t>
            </w:r>
          </w:p>
        </w:tc>
      </w:tr>
    </w:tbl>
    <w:p w14:paraId="63BD4C73">
      <w:pPr>
        <w:rPr>
          <w:rFonts w:hint="default"/>
          <w:lang w:val="en-US" w:eastAsia="zh-CN"/>
        </w:rPr>
      </w:pPr>
    </w:p>
    <w:p w14:paraId="12260E71">
      <w:pPr>
        <w:pStyle w:val="3"/>
        <w:bidi w:val="0"/>
        <w:rPr>
          <w:rFonts w:hint="default"/>
          <w:lang w:val="en-US" w:eastAsia="zh-CN"/>
        </w:rPr>
      </w:pPr>
      <w:bookmarkStart w:id="86" w:name="_Toc27944"/>
      <w:bookmarkStart w:id="87" w:name="_Toc26115"/>
      <w:r>
        <w:rPr>
          <w:rFonts w:hint="default"/>
          <w:lang w:val="en-US" w:eastAsia="zh-CN"/>
        </w:rPr>
        <w:t>报价文件</w:t>
      </w:r>
      <w:bookmarkEnd w:id="86"/>
      <w:bookmarkEnd w:id="87"/>
    </w:p>
    <w:tbl>
      <w:tblPr>
        <w:tblStyle w:val="1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jc w:val="center"/>
              <w:rPr>
                <w:rFonts w:hint="default"/>
                <w:vertAlign w:val="baseline"/>
                <w:lang w:val="en-US" w:eastAsia="zh-CN"/>
              </w:rPr>
            </w:pPr>
            <w:r>
              <w:rPr>
                <w:rFonts w:hint="eastAsia"/>
                <w:vertAlign w:val="baseline"/>
                <w:lang w:val="en-US" w:eastAsia="zh-CN"/>
              </w:rPr>
              <w:t>目录</w:t>
            </w:r>
          </w:p>
          <w:p w14:paraId="485A07A3">
            <w:pPr>
              <w:rPr>
                <w:rFonts w:hint="default"/>
                <w:vertAlign w:val="baseline"/>
                <w:lang w:val="en-US" w:eastAsia="zh-CN"/>
              </w:rPr>
            </w:pPr>
            <w:r>
              <w:rPr>
                <w:rFonts w:hint="default"/>
                <w:vertAlign w:val="baseline"/>
                <w:lang w:val="en-US" w:eastAsia="zh-CN"/>
              </w:rPr>
              <w:t>（1）开标一览表（报价表）…………………………………………………………（页码）</w:t>
            </w:r>
          </w:p>
          <w:p w14:paraId="3769EEBA">
            <w:pPr>
              <w:rPr>
                <w:rFonts w:hint="default"/>
                <w:vertAlign w:val="baseline"/>
                <w:lang w:val="en-US" w:eastAsia="zh-CN"/>
              </w:rPr>
            </w:pPr>
            <w:r>
              <w:rPr>
                <w:rFonts w:hint="default"/>
                <w:vertAlign w:val="baseline"/>
                <w:lang w:val="en-US" w:eastAsia="zh-CN"/>
              </w:rPr>
              <w:t>（2）报价说明（如有）………………………………………………………………（页码）</w:t>
            </w:r>
          </w:p>
          <w:p w14:paraId="08E2F3B6">
            <w:pPr>
              <w:rPr>
                <w:rFonts w:hint="default"/>
                <w:vertAlign w:val="baseline"/>
                <w:lang w:val="en-US" w:eastAsia="zh-CN"/>
              </w:rPr>
            </w:pPr>
            <w:r>
              <w:rPr>
                <w:rFonts w:hint="eastAsia"/>
                <w:lang w:val="en-US" w:eastAsia="zh-CN"/>
              </w:rPr>
              <w:t>（3）供应商针对报价需要说明的其他文件和资料</w:t>
            </w:r>
            <w:r>
              <w:rPr>
                <w:rFonts w:hint="default"/>
                <w:vertAlign w:val="baseline"/>
                <w:lang w:val="en-US" w:eastAsia="zh-CN"/>
              </w:rPr>
              <w:t>…………………………………（页码）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39B56D2">
            <w:pPr>
              <w:pStyle w:val="4"/>
              <w:widowControl w:val="0"/>
              <w:bidi w:val="0"/>
              <w:jc w:val="center"/>
              <w:rPr>
                <w:rFonts w:hint="eastAsia"/>
              </w:rPr>
            </w:pPr>
            <w:bookmarkStart w:id="88" w:name="_Toc2357"/>
            <w:bookmarkStart w:id="89" w:name="_Toc20298"/>
            <w:bookmarkStart w:id="90" w:name="_Toc10989"/>
            <w:bookmarkStart w:id="91" w:name="_Toc14731"/>
            <w:bookmarkStart w:id="92" w:name="_Toc8092"/>
            <w:r>
              <w:rPr>
                <w:rFonts w:hint="eastAsia"/>
              </w:rPr>
              <w:t>开标一览表（报价表）</w:t>
            </w:r>
            <w:bookmarkEnd w:id="88"/>
            <w:bookmarkEnd w:id="89"/>
            <w:bookmarkEnd w:id="90"/>
            <w:bookmarkEnd w:id="91"/>
            <w:bookmarkEnd w:id="92"/>
          </w:p>
          <w:p w14:paraId="542CAB2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DDCF71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】的实施</w:t>
            </w:r>
            <w:r>
              <w:rPr>
                <w:rFonts w:hint="eastAsia"/>
                <w:lang w:val="zh-CN"/>
              </w:rPr>
              <w:t>。</w:t>
            </w:r>
          </w:p>
          <w:p w14:paraId="61031D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lang w:val="zh-CN"/>
              </w:rPr>
              <w:t>开标一览表（报价表）(单位均为</w:t>
            </w:r>
            <w:r>
              <w:rPr>
                <w:rFonts w:hint="eastAsia"/>
                <w:lang w:val="en-US" w:eastAsia="zh-CN"/>
              </w:rPr>
              <w:t>%</w:t>
            </w:r>
            <w:r>
              <w:rPr>
                <w:rFonts w:hint="eastAsia"/>
                <w:lang w:val="zh-CN"/>
              </w:rPr>
              <w:t>)</w:t>
            </w:r>
          </w:p>
          <w:tbl>
            <w:tblPr>
              <w:tblStyle w:val="17"/>
              <w:tblW w:w="4990" w:type="pct"/>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0"/>
              <w:gridCol w:w="3355"/>
              <w:gridCol w:w="3551"/>
              <w:gridCol w:w="1951"/>
            </w:tblGrid>
            <w:tr w14:paraId="7941D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trPr>
              <w:tc>
                <w:tcPr>
                  <w:tcW w:w="438" w:type="pct"/>
                  <w:tcBorders>
                    <w:tl2br w:val="nil"/>
                    <w:tr2bl w:val="nil"/>
                  </w:tcBorders>
                  <w:vAlign w:val="center"/>
                </w:tcPr>
                <w:p w14:paraId="10478341">
                  <w:pPr>
                    <w:bidi w:val="0"/>
                    <w:jc w:val="center"/>
                    <w:rPr>
                      <w:rFonts w:hint="eastAsia"/>
                    </w:rPr>
                  </w:pPr>
                  <w:r>
                    <w:rPr>
                      <w:rFonts w:hint="eastAsia"/>
                    </w:rPr>
                    <w:t>序号</w:t>
                  </w:r>
                </w:p>
              </w:tc>
              <w:tc>
                <w:tcPr>
                  <w:tcW w:w="1728" w:type="pct"/>
                  <w:tcBorders>
                    <w:tl2br w:val="nil"/>
                    <w:tr2bl w:val="nil"/>
                  </w:tcBorders>
                  <w:vAlign w:val="center"/>
                </w:tcPr>
                <w:p w14:paraId="65D87BBB">
                  <w:pPr>
                    <w:bidi w:val="0"/>
                    <w:jc w:val="center"/>
                    <w:rPr>
                      <w:rFonts w:hint="eastAsia"/>
                      <w:color w:val="FF0000"/>
                    </w:rPr>
                  </w:pPr>
                  <w:r>
                    <w:rPr>
                      <w:rFonts w:hint="eastAsia"/>
                      <w:b/>
                      <w:bCs/>
                      <w:color w:val="FF0000"/>
                      <w:lang w:val="en-US" w:eastAsia="zh-CN"/>
                    </w:rPr>
                    <w:t>标项</w:t>
                  </w:r>
                  <w:r>
                    <w:rPr>
                      <w:rFonts w:hint="eastAsia"/>
                      <w:b/>
                      <w:bCs/>
                      <w:color w:val="FF0000"/>
                    </w:rPr>
                    <w:t>名称</w:t>
                  </w:r>
                </w:p>
              </w:tc>
              <w:tc>
                <w:tcPr>
                  <w:tcW w:w="1829" w:type="pct"/>
                  <w:tcBorders>
                    <w:tl2br w:val="nil"/>
                    <w:tr2bl w:val="nil"/>
                  </w:tcBorders>
                  <w:vAlign w:val="center"/>
                </w:tcPr>
                <w:p w14:paraId="59C10561">
                  <w:pPr>
                    <w:bidi w:val="0"/>
                    <w:jc w:val="center"/>
                    <w:rPr>
                      <w:rFonts w:hint="default"/>
                      <w:color w:val="FF0000"/>
                      <w:lang w:val="en-US" w:eastAsia="zh-CN"/>
                    </w:rPr>
                  </w:pPr>
                  <w:r>
                    <w:rPr>
                      <w:rFonts w:hint="eastAsia"/>
                      <w:color w:val="FF0000"/>
                      <w:lang w:val="en-US" w:eastAsia="zh-CN"/>
                    </w:rPr>
                    <w:t>服务期</w:t>
                  </w:r>
                </w:p>
              </w:tc>
              <w:tc>
                <w:tcPr>
                  <w:tcW w:w="1002" w:type="pct"/>
                  <w:tcBorders>
                    <w:tl2br w:val="nil"/>
                    <w:tr2bl w:val="nil"/>
                  </w:tcBorders>
                  <w:vAlign w:val="center"/>
                </w:tcPr>
                <w:p w14:paraId="79D3F952">
                  <w:pPr>
                    <w:bidi w:val="0"/>
                    <w:jc w:val="center"/>
                    <w:rPr>
                      <w:rFonts w:hint="eastAsia"/>
                      <w:color w:val="FF0000"/>
                    </w:rPr>
                  </w:pPr>
                  <w:r>
                    <w:rPr>
                      <w:rFonts w:hint="eastAsia"/>
                      <w:color w:val="FF0000"/>
                    </w:rPr>
                    <w:t>报价（</w:t>
                  </w:r>
                  <w:r>
                    <w:rPr>
                      <w:rFonts w:hint="eastAsia"/>
                      <w:color w:val="FF0000"/>
                      <w:lang w:val="en-US" w:eastAsia="zh-CN"/>
                    </w:rPr>
                    <w:t>%</w:t>
                  </w:r>
                  <w:r>
                    <w:rPr>
                      <w:rFonts w:hint="eastAsia"/>
                      <w:color w:val="FF0000"/>
                    </w:rPr>
                    <w:t>）</w:t>
                  </w:r>
                </w:p>
              </w:tc>
            </w:tr>
            <w:tr w14:paraId="7E12C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438" w:type="pct"/>
                  <w:tcBorders>
                    <w:tl2br w:val="nil"/>
                    <w:tr2bl w:val="nil"/>
                  </w:tcBorders>
                  <w:vAlign w:val="center"/>
                </w:tcPr>
                <w:p w14:paraId="7C064D2F">
                  <w:pPr>
                    <w:bidi w:val="0"/>
                    <w:jc w:val="center"/>
                    <w:rPr>
                      <w:rFonts w:hint="eastAsia"/>
                    </w:rPr>
                  </w:pPr>
                  <w:r>
                    <w:rPr>
                      <w:rFonts w:hint="eastAsia"/>
                    </w:rPr>
                    <w:t>1</w:t>
                  </w:r>
                </w:p>
              </w:tc>
              <w:tc>
                <w:tcPr>
                  <w:tcW w:w="1728" w:type="pct"/>
                  <w:tcBorders>
                    <w:tl2br w:val="nil"/>
                    <w:tr2bl w:val="nil"/>
                  </w:tcBorders>
                  <w:vAlign w:val="center"/>
                </w:tcPr>
                <w:p w14:paraId="2CF1D7F6">
                  <w:pPr>
                    <w:bidi w:val="0"/>
                    <w:jc w:val="center"/>
                    <w:rPr>
                      <w:rFonts w:hint="eastAsia"/>
                      <w:color w:val="FF0000"/>
                    </w:rPr>
                  </w:pPr>
                </w:p>
              </w:tc>
              <w:tc>
                <w:tcPr>
                  <w:tcW w:w="1829" w:type="pct"/>
                  <w:tcBorders>
                    <w:tl2br w:val="nil"/>
                    <w:tr2bl w:val="nil"/>
                  </w:tcBorders>
                  <w:vAlign w:val="center"/>
                </w:tcPr>
                <w:p w14:paraId="01262D22">
                  <w:pPr>
                    <w:bidi w:val="0"/>
                    <w:jc w:val="center"/>
                    <w:rPr>
                      <w:rFonts w:hint="default"/>
                      <w:color w:val="FF0000"/>
                      <w:lang w:val="en-US" w:eastAsia="zh-CN"/>
                    </w:rPr>
                  </w:pPr>
                </w:p>
              </w:tc>
              <w:tc>
                <w:tcPr>
                  <w:tcW w:w="1002" w:type="pct"/>
                  <w:tcBorders>
                    <w:tl2br w:val="nil"/>
                    <w:tr2bl w:val="nil"/>
                  </w:tcBorders>
                  <w:vAlign w:val="center"/>
                </w:tcPr>
                <w:p w14:paraId="557C1CC4">
                  <w:pPr>
                    <w:bidi w:val="0"/>
                    <w:jc w:val="center"/>
                    <w:rPr>
                      <w:rFonts w:hint="eastAsia"/>
                      <w:color w:val="FF0000"/>
                      <w:lang w:val="en-US" w:eastAsia="zh-CN"/>
                    </w:rPr>
                  </w:pPr>
                </w:p>
              </w:tc>
            </w:tr>
            <w:tr w14:paraId="745E5C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5000" w:type="pct"/>
                  <w:gridSpan w:val="4"/>
                  <w:tcBorders>
                    <w:tl2br w:val="nil"/>
                    <w:tr2bl w:val="nil"/>
                  </w:tcBorders>
                  <w:vAlign w:val="center"/>
                </w:tcPr>
                <w:p w14:paraId="19C7A6C9">
                  <w:pPr>
                    <w:bidi w:val="0"/>
                    <w:jc w:val="center"/>
                    <w:rPr>
                      <w:rFonts w:hint="eastAsia"/>
                      <w:lang w:val="en-US" w:eastAsia="zh-CN"/>
                    </w:rPr>
                  </w:pPr>
                  <w:r>
                    <w:rPr>
                      <w:rFonts w:hint="eastAsia"/>
                    </w:rPr>
                    <w:t xml:space="preserve">投标报价（大写）：                    </w:t>
                  </w:r>
                </w:p>
              </w:tc>
            </w:tr>
          </w:tbl>
          <w:p w14:paraId="6308E406">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zh-CN"/>
              </w:rPr>
            </w:pPr>
            <w:r>
              <w:rPr>
                <w:rFonts w:hint="eastAsia"/>
                <w:b/>
                <w:bCs/>
                <w:sz w:val="22"/>
                <w:szCs w:val="21"/>
                <w:lang w:val="zh-CN"/>
              </w:rPr>
              <w:t>注：</w:t>
            </w:r>
          </w:p>
          <w:p w14:paraId="3A27403B">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zh-CN"/>
              </w:rPr>
            </w:pPr>
            <w:r>
              <w:rPr>
                <w:rFonts w:hint="eastAsia"/>
                <w:b/>
                <w:bCs/>
                <w:sz w:val="22"/>
                <w:szCs w:val="21"/>
                <w:lang w:val="zh-CN"/>
              </w:rPr>
              <w:t>1、投标人需按本表格式填写，不得自行更改。</w:t>
            </w:r>
          </w:p>
          <w:p w14:paraId="2EA75828">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zh-CN"/>
              </w:rPr>
            </w:pPr>
            <w:r>
              <w:rPr>
                <w:rFonts w:hint="eastAsia"/>
                <w:b/>
                <w:bCs/>
                <w:sz w:val="22"/>
                <w:szCs w:val="21"/>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b/>
                <w:bCs/>
                <w:sz w:val="22"/>
                <w:szCs w:val="21"/>
              </w:rPr>
              <w:t>否则视为投标文件含有采购人不能接受的附加条件的，投标无效</w:t>
            </w:r>
            <w:r>
              <w:rPr>
                <w:rFonts w:hint="eastAsia"/>
                <w:b/>
                <w:bCs/>
                <w:sz w:val="22"/>
                <w:szCs w:val="21"/>
                <w:lang w:val="zh-CN"/>
              </w:rPr>
              <w:t>。</w:t>
            </w:r>
          </w:p>
          <w:p w14:paraId="44426129">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zh-CN"/>
              </w:rPr>
            </w:pPr>
            <w:r>
              <w:rPr>
                <w:rFonts w:hint="eastAsia"/>
                <w:b/>
                <w:bCs/>
                <w:sz w:val="22"/>
                <w:szCs w:val="21"/>
                <w:lang w:val="en-US" w:eastAsia="zh-CN"/>
              </w:rPr>
              <w:t>3、</w:t>
            </w:r>
            <w:r>
              <w:rPr>
                <w:rFonts w:hint="eastAsia"/>
                <w:b/>
                <w:bCs/>
                <w:sz w:val="22"/>
                <w:szCs w:val="21"/>
                <w:lang w:val="zh-CN"/>
              </w:rPr>
              <w:t>如在合同期内采购人所需</w:t>
            </w:r>
            <w:r>
              <w:rPr>
                <w:rFonts w:hint="eastAsia"/>
                <w:b/>
                <w:bCs/>
                <w:sz w:val="22"/>
                <w:szCs w:val="21"/>
                <w:lang w:val="en-US" w:eastAsia="zh-CN"/>
              </w:rPr>
              <w:t>服务项目</w:t>
            </w:r>
            <w:r>
              <w:rPr>
                <w:rFonts w:hint="eastAsia"/>
                <w:b/>
                <w:bCs/>
                <w:sz w:val="22"/>
                <w:szCs w:val="21"/>
                <w:lang w:val="zh-CN"/>
              </w:rPr>
              <w:t>在本次招标采购清单中未列入的，价格则根据采购人市场调研</w:t>
            </w:r>
            <w:r>
              <w:rPr>
                <w:rFonts w:hint="eastAsia"/>
                <w:b/>
                <w:bCs/>
                <w:sz w:val="22"/>
                <w:szCs w:val="21"/>
                <w:lang w:val="en-US" w:eastAsia="zh-CN"/>
              </w:rPr>
              <w:t>并经双方根据实际情况协商后</w:t>
            </w:r>
            <w:r>
              <w:rPr>
                <w:rFonts w:hint="eastAsia"/>
                <w:b/>
                <w:bCs/>
                <w:sz w:val="22"/>
                <w:szCs w:val="21"/>
                <w:lang w:val="zh-CN"/>
              </w:rPr>
              <w:t>确定单价（以本项目确定的结算折扣率为准，</w:t>
            </w:r>
            <w:r>
              <w:rPr>
                <w:rFonts w:hint="eastAsia"/>
                <w:b/>
                <w:bCs/>
                <w:sz w:val="22"/>
                <w:szCs w:val="21"/>
                <w:lang w:val="en-US" w:eastAsia="zh-CN"/>
              </w:rPr>
              <w:t>同比例下浮</w:t>
            </w:r>
            <w:r>
              <w:rPr>
                <w:rFonts w:hint="eastAsia"/>
                <w:b/>
                <w:bCs/>
                <w:sz w:val="22"/>
                <w:szCs w:val="21"/>
                <w:lang w:val="zh-CN"/>
              </w:rPr>
              <w:t>）</w:t>
            </w:r>
            <w:r>
              <w:rPr>
                <w:rFonts w:hint="eastAsia"/>
                <w:b/>
                <w:bCs/>
                <w:sz w:val="22"/>
                <w:szCs w:val="21"/>
              </w:rPr>
              <w:t>。</w:t>
            </w:r>
          </w:p>
          <w:p w14:paraId="0DF34A5F">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zh-CN"/>
              </w:rPr>
            </w:pPr>
            <w:r>
              <w:rPr>
                <w:rFonts w:hint="eastAsia"/>
                <w:b/>
                <w:bCs/>
                <w:sz w:val="22"/>
                <w:szCs w:val="21"/>
                <w:lang w:val="en-US" w:eastAsia="zh-CN"/>
              </w:rPr>
              <w:t>4</w:t>
            </w:r>
            <w:r>
              <w:rPr>
                <w:rFonts w:hint="eastAsia"/>
                <w:b/>
                <w:bCs/>
                <w:sz w:val="22"/>
                <w:szCs w:val="21"/>
                <w:lang w:val="zh-CN"/>
              </w:rPr>
              <w:t>、特别提示：采购机构将对项目名称和项目编号，中标供应商名称、地址和中标金额，主要中标标的的名称、规格型号、数量、单价、服务要求等予以公示。</w:t>
            </w:r>
          </w:p>
          <w:p w14:paraId="3B6A66DF">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eastAsia="仿宋"/>
                <w:b/>
                <w:bCs/>
                <w:sz w:val="22"/>
                <w:szCs w:val="21"/>
                <w:lang w:val="en-US" w:eastAsia="zh-CN"/>
              </w:rPr>
            </w:pPr>
            <w:r>
              <w:rPr>
                <w:rFonts w:hint="eastAsia" w:eastAsia="仿宋"/>
                <w:b/>
                <w:bCs/>
                <w:sz w:val="22"/>
                <w:szCs w:val="21"/>
                <w:lang w:val="en-US" w:eastAsia="zh-CN"/>
              </w:rPr>
              <w:t>6</w:t>
            </w:r>
            <w:r>
              <w:rPr>
                <w:rFonts w:hint="eastAsia"/>
                <w:b/>
                <w:bCs/>
                <w:sz w:val="22"/>
                <w:szCs w:val="21"/>
                <w:lang w:val="en-US" w:eastAsia="zh-CN"/>
              </w:rPr>
              <w:t>、</w:t>
            </w:r>
            <w:r>
              <w:rPr>
                <w:rFonts w:hint="eastAsia" w:eastAsia="仿宋"/>
                <w:b/>
                <w:bCs/>
                <w:sz w:val="22"/>
                <w:szCs w:val="21"/>
                <w:lang w:val="en-US" w:eastAsia="zh-CN"/>
              </w:rPr>
              <w:t>项目款的结算</w:t>
            </w:r>
          </w:p>
          <w:p w14:paraId="15FD8AF4">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default"/>
                <w:b/>
                <w:bCs/>
                <w:sz w:val="22"/>
                <w:szCs w:val="21"/>
                <w:lang w:val="en-US" w:eastAsia="zh-CN"/>
              </w:rPr>
            </w:pPr>
            <w:r>
              <w:rPr>
                <w:rFonts w:hint="eastAsia"/>
                <w:b/>
                <w:bCs/>
                <w:sz w:val="22"/>
                <w:szCs w:val="21"/>
                <w:lang w:val="en-US" w:eastAsia="zh-CN"/>
              </w:rPr>
              <w:t>（1）本项目不支付预付款，按实结算，具体单价为最高限价×二次报价百分比，最高限价为二次竞价当月杭州市信息价（含税）×下浮系数（系数由采购人调整），各入围供应商二次报价不得超第一阶段报价百分比</w:t>
            </w:r>
            <w:r>
              <w:rPr>
                <w:rFonts w:hint="default"/>
                <w:b/>
                <w:bCs/>
                <w:sz w:val="22"/>
                <w:szCs w:val="21"/>
                <w:lang w:val="en-US" w:eastAsia="zh-CN"/>
              </w:rPr>
              <w:t>；</w:t>
            </w:r>
          </w:p>
          <w:p w14:paraId="64ECB96C">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default"/>
                <w:b/>
                <w:bCs/>
                <w:sz w:val="22"/>
                <w:szCs w:val="21"/>
                <w:lang w:val="en-US" w:eastAsia="zh-CN"/>
              </w:rPr>
            </w:pPr>
            <w:r>
              <w:rPr>
                <w:rFonts w:hint="eastAsia"/>
                <w:b/>
                <w:bCs/>
                <w:sz w:val="22"/>
                <w:szCs w:val="21"/>
                <w:lang w:val="en-US" w:eastAsia="zh-CN"/>
              </w:rPr>
              <w:t>（2）税费：供应商应按供货标的物增值税税费为采购人开增值税专用发票，税费应包含在投标报价中；</w:t>
            </w:r>
          </w:p>
          <w:p w14:paraId="0EBBC28B">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en-US" w:eastAsia="zh-CN"/>
              </w:rPr>
            </w:pPr>
            <w:r>
              <w:rPr>
                <w:rFonts w:hint="eastAsia"/>
                <w:b/>
                <w:bCs/>
                <w:sz w:val="22"/>
                <w:szCs w:val="21"/>
                <w:lang w:val="en-US" w:eastAsia="zh-CN"/>
              </w:rPr>
              <w:t>（3）本项目按季度支付，入围供应商提交结算单并经采购人审核确认后，支付至当季审定价款的95%，剩余5%作为质量保证金，待质保期满后一次性支付。</w:t>
            </w:r>
          </w:p>
          <w:p w14:paraId="45F7B452">
            <w:pPr>
              <w:keepNext w:val="0"/>
              <w:keepLines w:val="0"/>
              <w:pageBreakBefore w:val="0"/>
              <w:widowControl w:val="0"/>
              <w:kinsoku/>
              <w:wordWrap/>
              <w:overflowPunct/>
              <w:topLinePunct w:val="0"/>
              <w:autoSpaceDE/>
              <w:autoSpaceDN/>
              <w:bidi w:val="0"/>
              <w:adjustRightInd w:val="0"/>
              <w:snapToGrid w:val="0"/>
              <w:spacing w:line="210" w:lineRule="exact"/>
              <w:ind w:firstLine="442" w:firstLineChars="200"/>
              <w:textAlignment w:val="auto"/>
              <w:rPr>
                <w:rFonts w:hint="eastAsia" w:eastAsia="仿宋"/>
                <w:b/>
                <w:bCs/>
                <w:sz w:val="22"/>
                <w:szCs w:val="21"/>
                <w:lang w:val="en-US" w:eastAsia="zh-CN"/>
              </w:rPr>
            </w:pPr>
            <w:r>
              <w:rPr>
                <w:rFonts w:hint="eastAsia" w:eastAsia="仿宋"/>
                <w:b/>
                <w:bCs/>
                <w:sz w:val="22"/>
                <w:szCs w:val="21"/>
                <w:lang w:val="en-US" w:eastAsia="zh-CN"/>
              </w:rPr>
              <w:t>结算时中标供应商将结款申请1份、发票原件（按实际支付的当期金额）及复印件1份、合同复印件1份和经采购单位验收确认的资料提交采购单位，由采购单位向中标供应商支付当期项目款，采购单位自收到发票后7个工作日内支付当期项目款。</w:t>
            </w:r>
          </w:p>
          <w:p w14:paraId="526778CD">
            <w:pPr>
              <w:bidi w:val="0"/>
              <w:rPr>
                <w:rFonts w:hint="eastAsia"/>
                <w:b/>
                <w:bCs/>
                <w:color w:val="FF0000"/>
              </w:rPr>
            </w:pPr>
            <w:r>
              <w:rPr>
                <w:rFonts w:hint="eastAsia"/>
                <w:b/>
                <w:bCs/>
                <w:color w:val="FF0000"/>
                <w:spacing w:val="30"/>
                <w:kern w:val="0"/>
                <w:fitText w:val="2640" w:id="660172279"/>
                <w:lang w:val="zh-CN"/>
              </w:rPr>
              <w:t>投标人名称（</w:t>
            </w:r>
            <w:r>
              <w:rPr>
                <w:rFonts w:hint="eastAsia"/>
                <w:b/>
                <w:bCs/>
                <w:color w:val="FF0000"/>
                <w:spacing w:val="30"/>
                <w:kern w:val="0"/>
                <w:fitText w:val="2640" w:id="660172279"/>
                <w:lang w:val="en-US" w:eastAsia="zh-CN"/>
              </w:rPr>
              <w:t>盖章</w:t>
            </w:r>
            <w:r>
              <w:rPr>
                <w:rFonts w:hint="eastAsia"/>
                <w:b/>
                <w:bCs/>
                <w:color w:val="FF0000"/>
                <w:spacing w:val="0"/>
                <w:kern w:val="0"/>
                <w:fitText w:val="2640" w:id="660172279"/>
                <w:lang w:val="zh-CN"/>
              </w:rPr>
              <w:t>）</w:t>
            </w:r>
            <w:r>
              <w:rPr>
                <w:rFonts w:hint="eastAsia"/>
                <w:b/>
                <w:bCs/>
                <w:color w:val="FF0000"/>
                <w:lang w:val="zh-CN"/>
              </w:rPr>
              <w:t>：</w:t>
            </w:r>
          </w:p>
          <w:p w14:paraId="025E7629">
            <w:pPr>
              <w:bidi w:val="0"/>
              <w:rPr>
                <w:rFonts w:hint="default"/>
                <w:lang w:val="en-US" w:eastAsia="zh-CN"/>
              </w:rPr>
            </w:pPr>
            <w:r>
              <w:rPr>
                <w:rFonts w:hint="eastAsia"/>
                <w:b/>
                <w:bCs/>
                <w:color w:val="FF0000"/>
                <w:spacing w:val="1080"/>
                <w:kern w:val="0"/>
                <w:fitText w:val="2640" w:id="954274647"/>
                <w:lang w:val="zh-CN"/>
              </w:rPr>
              <w:t>日</w:t>
            </w:r>
            <w:r>
              <w:rPr>
                <w:rFonts w:hint="eastAsia"/>
                <w:b/>
                <w:bCs/>
                <w:color w:val="FF0000"/>
                <w:spacing w:val="0"/>
                <w:kern w:val="0"/>
                <w:fitText w:val="2640" w:id="954274647"/>
                <w:lang w:val="zh-CN"/>
              </w:rPr>
              <w:t>期</w:t>
            </w:r>
            <w:r>
              <w:rPr>
                <w:rFonts w:hint="eastAsia"/>
                <w:b/>
                <w:bCs/>
                <w:color w:val="FF0000"/>
              </w:rPr>
              <w:t>：</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4"/>
              <w:widowControl w:val="0"/>
              <w:bidi w:val="0"/>
              <w:jc w:val="center"/>
              <w:rPr>
                <w:rFonts w:hint="eastAsia"/>
              </w:rPr>
            </w:pPr>
            <w:bookmarkStart w:id="93" w:name="_Toc16109"/>
            <w:bookmarkStart w:id="94" w:name="_Toc15807"/>
            <w:bookmarkStart w:id="95" w:name="_Toc25455"/>
            <w:bookmarkStart w:id="96" w:name="_Toc1685"/>
            <w:bookmarkStart w:id="97" w:name="_Toc9460"/>
            <w:r>
              <w:rPr>
                <w:rFonts w:hint="eastAsia"/>
                <w:lang w:val="en-US" w:eastAsia="zh-CN"/>
              </w:rPr>
              <w:t>报价说明</w:t>
            </w:r>
            <w:r>
              <w:rPr>
                <w:rFonts w:hint="eastAsia"/>
              </w:rPr>
              <w:t>（</w:t>
            </w:r>
            <w:r>
              <w:rPr>
                <w:rFonts w:hint="eastAsia"/>
                <w:lang w:val="en-US" w:eastAsia="zh-CN"/>
              </w:rPr>
              <w:t>如有</w:t>
            </w:r>
            <w:r>
              <w:rPr>
                <w:rFonts w:hint="eastAsia"/>
              </w:rPr>
              <w:t>）</w:t>
            </w:r>
            <w:bookmarkEnd w:id="93"/>
            <w:bookmarkEnd w:id="94"/>
            <w:bookmarkEnd w:id="95"/>
            <w:bookmarkEnd w:id="96"/>
            <w:bookmarkEnd w:id="97"/>
          </w:p>
          <w:p w14:paraId="4557BED4">
            <w:pPr>
              <w:bidi w:val="0"/>
              <w:rPr>
                <w:rFonts w:hint="eastAsia"/>
                <w:spacing w:val="1080"/>
                <w:kern w:val="0"/>
                <w:fitText w:val="2640" w:id="2125804915"/>
                <w:lang w:val="zh-CN"/>
              </w:rPr>
            </w:pPr>
            <w:r>
              <w:rPr>
                <w:rFonts w:hint="eastAsia"/>
                <w:lang w:val="en-US" w:eastAsia="zh-CN"/>
              </w:rPr>
              <w:t xml:space="preserve">   若</w:t>
            </w:r>
            <w:r>
              <w:rPr>
                <w:rFonts w:hint="eastAsia"/>
              </w:rPr>
              <w:t>投标人填报的</w:t>
            </w:r>
            <w:r>
              <w:rPr>
                <w:rFonts w:hint="eastAsia"/>
                <w:lang w:val="en-US" w:eastAsia="zh-CN"/>
              </w:rPr>
              <w:t>报价</w:t>
            </w:r>
            <w:r>
              <w:rPr>
                <w:rFonts w:hint="eastAsia"/>
              </w:rPr>
              <w:t>在</w:t>
            </w:r>
            <w:r>
              <w:rPr>
                <w:rFonts w:hint="eastAsia"/>
                <w:lang w:val="en-US" w:eastAsia="zh-CN"/>
              </w:rPr>
              <w:t>最高限价50%元</w:t>
            </w:r>
            <w:r>
              <w:rPr>
                <w:rFonts w:hint="eastAsia"/>
              </w:rPr>
              <w:t>(含)以下的，应当在报价文件中详细阐述不影响服务质量或者诚信履约的具体理由及</w:t>
            </w:r>
            <w:r>
              <w:rPr>
                <w:rFonts w:hint="eastAsia"/>
                <w:lang w:val="en-US" w:eastAsia="zh-CN"/>
              </w:rPr>
              <w:t>详细的成本明细</w:t>
            </w:r>
            <w:r>
              <w:rPr>
                <w:rFonts w:hint="eastAsia"/>
              </w:rPr>
              <w:t>依据。</w:t>
            </w:r>
            <w:r>
              <w:rPr>
                <w:rFonts w:hint="eastAsia"/>
                <w:b/>
                <w:bCs/>
                <w:lang w:eastAsia="zh-CN"/>
              </w:rPr>
              <w:t>【</w:t>
            </w:r>
            <w:r>
              <w:rPr>
                <w:rFonts w:hint="eastAsia"/>
                <w:b/>
                <w:bCs/>
                <w:lang w:val="en-US" w:eastAsia="zh-CN"/>
              </w:rPr>
              <w:t>注：若未提供具体详实的信息，评审小组将不予认可，且可作废标处理</w:t>
            </w:r>
            <w:r>
              <w:rPr>
                <w:rFonts w:hint="eastAsia"/>
                <w:b/>
                <w:bCs/>
                <w:lang w:eastAsia="zh-CN"/>
              </w:rPr>
              <w:t>】</w:t>
            </w:r>
            <w:r>
              <w:rPr>
                <w:rFonts w:hint="eastAsia"/>
              </w:rPr>
              <w:t>。</w:t>
            </w:r>
          </w:p>
        </w:tc>
      </w:tr>
      <w:tr w14:paraId="0DFDA8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4520F652">
            <w:pPr>
              <w:pStyle w:val="4"/>
              <w:widowControl w:val="0"/>
              <w:bidi w:val="0"/>
              <w:jc w:val="center"/>
              <w:rPr>
                <w:rFonts w:hint="eastAsia"/>
                <w:lang w:val="en-US" w:eastAsia="zh-CN"/>
              </w:rPr>
            </w:pPr>
            <w:bookmarkStart w:id="98" w:name="_Toc23171"/>
            <w:bookmarkStart w:id="99" w:name="_Toc11396"/>
            <w:r>
              <w:rPr>
                <w:rFonts w:hint="eastAsia"/>
                <w:lang w:val="en-US" w:eastAsia="zh-CN"/>
              </w:rPr>
              <w:t>供应商针对报价需要说明的其他文件和资料</w:t>
            </w:r>
            <w:bookmarkEnd w:id="98"/>
            <w:bookmarkEnd w:id="99"/>
          </w:p>
        </w:tc>
      </w:tr>
    </w:tbl>
    <w:p w14:paraId="44F836D8">
      <w:pPr>
        <w:rPr>
          <w:rFonts w:hint="default"/>
          <w:lang w:val="en-US" w:eastAsia="zh-CN"/>
        </w:rPr>
      </w:pPr>
    </w:p>
    <w:p w14:paraId="3CDF66A4">
      <w:pPr>
        <w:rPr>
          <w:rFonts w:hint="default"/>
          <w:lang w:val="en-US" w:eastAsia="zh-CN"/>
        </w:rPr>
      </w:pPr>
    </w:p>
    <w:p w14:paraId="730F710A">
      <w:pPr>
        <w:rPr>
          <w:rFonts w:hint="default"/>
          <w:lang w:val="en-US" w:eastAsia="zh-CN"/>
        </w:rPr>
      </w:pPr>
    </w:p>
    <w:p w14:paraId="21F4AF70">
      <w:pPr>
        <w:pStyle w:val="3"/>
        <w:bidi w:val="0"/>
        <w:rPr>
          <w:rFonts w:hint="default"/>
          <w:lang w:val="en-US" w:eastAsia="zh-CN"/>
        </w:rPr>
      </w:pPr>
      <w:bookmarkStart w:id="100" w:name="_Toc6081"/>
      <w:bookmarkStart w:id="101" w:name="_Toc8300"/>
      <w:r>
        <w:rPr>
          <w:rFonts w:hint="default"/>
          <w:lang w:val="en-US" w:eastAsia="zh-CN"/>
        </w:rPr>
        <w:t>附件</w:t>
      </w:r>
      <w:bookmarkEnd w:id="100"/>
      <w:bookmarkEnd w:id="101"/>
    </w:p>
    <w:p w14:paraId="5588C7CD">
      <w:pPr>
        <w:pStyle w:val="4"/>
        <w:bidi w:val="0"/>
        <w:rPr>
          <w:rFonts w:hint="default"/>
          <w:lang w:val="en-US" w:eastAsia="zh-CN"/>
        </w:rPr>
      </w:pPr>
      <w:bookmarkStart w:id="102" w:name="_Toc411"/>
      <w:bookmarkStart w:id="103" w:name="_Toc5100"/>
      <w:r>
        <w:rPr>
          <w:rFonts w:hint="default"/>
          <w:lang w:val="en-US" w:eastAsia="zh-CN"/>
        </w:rPr>
        <w:t>附件1质疑函范本及制作说明</w:t>
      </w:r>
      <w:bookmarkEnd w:id="102"/>
      <w:bookmarkEnd w:id="103"/>
    </w:p>
    <w:tbl>
      <w:tblPr>
        <w:tblStyle w:val="1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322EAD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1641" w:hRule="atLeast"/>
        </w:trPr>
        <w:tc>
          <w:tcPr>
            <w:tcW w:w="9962" w:type="dxa"/>
            <w:tcBorders>
              <w:tl2br w:val="nil"/>
              <w:tr2bl w:val="nil"/>
            </w:tcBorders>
            <w:vAlign w:val="top"/>
          </w:tcPr>
          <w:p w14:paraId="7D5DC70D">
            <w:pPr>
              <w:bidi w:val="0"/>
              <w:jc w:val="center"/>
              <w:rPr>
                <w:rFonts w:hint="eastAsia"/>
                <w:b/>
                <w:bCs/>
              </w:rPr>
            </w:pPr>
            <w:r>
              <w:rPr>
                <w:rFonts w:hint="eastAsia"/>
                <w:b/>
                <w:bCs/>
              </w:rPr>
              <w:t>质疑函范本</w:t>
            </w:r>
          </w:p>
          <w:p w14:paraId="672459A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71C7078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0743226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313B823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AEAE3E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2EEFEA5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36BD874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4127555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5161C0A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41FF80A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7E3FC41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0CDC04C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55A0D68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196D201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6844992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01D5A6F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61CBB18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35E0551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89D3A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34A7957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6C807E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61C4D2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0B31D9C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074AE82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50319031">
            <w:pPr>
              <w:pStyle w:val="22"/>
              <w:widowControl w:val="0"/>
              <w:jc w:val="both"/>
              <w:rPr>
                <w:rFonts w:hint="default"/>
                <w:lang w:val="en-US" w:eastAsia="zh-CN"/>
              </w:rPr>
            </w:pPr>
          </w:p>
        </w:tc>
      </w:tr>
      <w:tr w14:paraId="5D3C50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4ED6E72C">
            <w:pPr>
              <w:bidi w:val="0"/>
              <w:rPr>
                <w:rFonts w:hint="eastAsia"/>
                <w:b w:val="0"/>
                <w:bCs w:val="0"/>
              </w:rPr>
            </w:pPr>
            <w:r>
              <w:rPr>
                <w:rFonts w:hint="eastAsia"/>
                <w:b w:val="0"/>
                <w:bCs w:val="0"/>
              </w:rPr>
              <w:t>质疑函制作说明：</w:t>
            </w:r>
          </w:p>
          <w:p w14:paraId="7366A2D2">
            <w:pPr>
              <w:bidi w:val="0"/>
              <w:rPr>
                <w:rFonts w:hint="eastAsia"/>
                <w:b w:val="0"/>
                <w:bCs w:val="0"/>
              </w:rPr>
            </w:pPr>
            <w:r>
              <w:rPr>
                <w:rFonts w:hint="eastAsia"/>
                <w:b w:val="0"/>
                <w:bCs w:val="0"/>
              </w:rPr>
              <w:t>1.供应商提出质疑时，应提交质疑函和必要的证明材料。</w:t>
            </w:r>
          </w:p>
          <w:p w14:paraId="6C960471">
            <w:pPr>
              <w:bidi w:val="0"/>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A7EBC6">
            <w:pPr>
              <w:bidi w:val="0"/>
              <w:rPr>
                <w:rFonts w:hint="eastAsia"/>
                <w:b w:val="0"/>
                <w:bCs w:val="0"/>
              </w:rPr>
            </w:pPr>
            <w:r>
              <w:rPr>
                <w:rFonts w:hint="eastAsia"/>
                <w:b w:val="0"/>
                <w:bCs w:val="0"/>
              </w:rPr>
              <w:t>3.质疑供应商若对项目的某一分包进行质疑，质疑函中应列明具体分包号。</w:t>
            </w:r>
          </w:p>
          <w:p w14:paraId="4D2BCB7E">
            <w:pPr>
              <w:bidi w:val="0"/>
              <w:rPr>
                <w:rFonts w:hint="eastAsia"/>
                <w:b w:val="0"/>
                <w:bCs w:val="0"/>
              </w:rPr>
            </w:pPr>
            <w:r>
              <w:rPr>
                <w:rFonts w:hint="eastAsia"/>
                <w:b w:val="0"/>
                <w:bCs w:val="0"/>
              </w:rPr>
              <w:t>4.质疑函的质疑事项应具体、明确，并有必要的事实依据和法律依据。</w:t>
            </w:r>
          </w:p>
          <w:p w14:paraId="64FD5AE3">
            <w:pPr>
              <w:bidi w:val="0"/>
              <w:rPr>
                <w:rFonts w:hint="eastAsia"/>
                <w:b w:val="0"/>
                <w:bCs w:val="0"/>
              </w:rPr>
            </w:pPr>
            <w:r>
              <w:rPr>
                <w:rFonts w:hint="eastAsia"/>
                <w:b w:val="0"/>
                <w:bCs w:val="0"/>
              </w:rPr>
              <w:t>5.质疑函的质疑请求应与质疑事项相关。</w:t>
            </w:r>
          </w:p>
          <w:p w14:paraId="51BD2CFD">
            <w:pPr>
              <w:bidi w:val="0"/>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2A7AF8B0">
      <w:pPr>
        <w:rPr>
          <w:rFonts w:hint="default"/>
          <w:lang w:val="en-US" w:eastAsia="zh-CN"/>
        </w:rPr>
      </w:pPr>
    </w:p>
    <w:p w14:paraId="7A101518">
      <w:pPr>
        <w:pStyle w:val="4"/>
        <w:bidi w:val="0"/>
        <w:rPr>
          <w:rFonts w:hint="default"/>
          <w:lang w:val="en-US" w:eastAsia="zh-CN"/>
        </w:rPr>
      </w:pPr>
      <w:bookmarkStart w:id="104" w:name="_Toc21936"/>
      <w:bookmarkStart w:id="105" w:name="_Toc2750"/>
      <w:r>
        <w:rPr>
          <w:rFonts w:hint="default"/>
          <w:lang w:val="en-US" w:eastAsia="zh-CN"/>
        </w:rPr>
        <w:t>附件2投诉书范本及制作说明</w:t>
      </w:r>
      <w:bookmarkEnd w:id="104"/>
      <w:bookmarkEnd w:id="105"/>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14973E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62" w:type="dxa"/>
            <w:tcBorders>
              <w:tl2br w:val="nil"/>
              <w:tr2bl w:val="nil"/>
            </w:tcBorders>
            <w:vAlign w:val="top"/>
          </w:tcPr>
          <w:p w14:paraId="27F54B22">
            <w:pPr>
              <w:bidi w:val="0"/>
              <w:jc w:val="center"/>
              <w:rPr>
                <w:b/>
                <w:bCs/>
              </w:rPr>
            </w:pPr>
            <w:r>
              <w:rPr>
                <w:rFonts w:hint="eastAsia"/>
                <w:b/>
                <w:bCs/>
              </w:rPr>
              <w:t>投诉书范本</w:t>
            </w:r>
          </w:p>
          <w:p w14:paraId="4A073EA9">
            <w:pPr>
              <w:bidi w:val="0"/>
            </w:pPr>
            <w:r>
              <w:rPr>
                <w:rFonts w:hint="eastAsia"/>
              </w:rPr>
              <w:t>一、投诉相关主体基本情况</w:t>
            </w:r>
          </w:p>
          <w:p w14:paraId="1E55632B">
            <w:pPr>
              <w:bidi w:val="0"/>
              <w:rPr>
                <w:rFonts w:hint="eastAsia"/>
              </w:rPr>
            </w:pPr>
            <w:r>
              <w:rPr>
                <w:rFonts w:hint="eastAsia"/>
              </w:rPr>
              <w:t>投诉人：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89F784D">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72A76203">
            <w:pPr>
              <w:bidi w:val="0"/>
            </w:pPr>
            <w:r>
              <w:rPr>
                <w:rFonts w:hint="eastAsia"/>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B32A9DC">
            <w:pPr>
              <w:bidi w:val="0"/>
              <w:rPr>
                <w:rFonts w:hint="eastAsia" w:ascii="宋体" w:hAnsi="宋体" w:cs="宋体"/>
                <w:color w:val="000000" w:themeColor="text1"/>
                <w:sz w:val="24"/>
                <w:u w:val="dotted"/>
                <w14:textFill>
                  <w14:solidFill>
                    <w14:schemeClr w14:val="tx1"/>
                  </w14:solidFill>
                </w14:textFill>
              </w:rPr>
            </w:pP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291B3832">
            <w:pPr>
              <w:bidi w:val="0"/>
              <w:rPr>
                <w:rFonts w:hint="eastAsia" w:ascii="宋体" w:hAnsi="宋体" w:cs="宋体"/>
                <w:color w:val="000000" w:themeColor="text1"/>
                <w:sz w:val="24"/>
                <w:u w:val="dotted"/>
                <w14:textFill>
                  <w14:solidFill>
                    <w14:schemeClr w14:val="tx1"/>
                  </w14:solidFill>
                </w14:textFill>
              </w:rPr>
            </w:pPr>
            <w:r>
              <w:rPr>
                <w:rFonts w:hint="eastAsia"/>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3F2565C5">
            <w:pPr>
              <w:bidi w:val="0"/>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BD88FF2">
            <w:pPr>
              <w:bidi w:val="0"/>
              <w:rPr>
                <w:rFonts w:hint="eastAsia" w:ascii="宋体" w:hAnsi="宋体" w:cs="宋体"/>
                <w:color w:val="000000" w:themeColor="text1"/>
                <w:sz w:val="24"/>
                <w:u w:val="dotted"/>
                <w14:textFill>
                  <w14:solidFill>
                    <w14:schemeClr w14:val="tx1"/>
                  </w14:solidFill>
                </w14:textFill>
              </w:rPr>
            </w:pPr>
            <w:r>
              <w:rPr>
                <w:rFonts w:hint="eastAsia"/>
              </w:rPr>
              <w:t>被投诉人1：</w:t>
            </w:r>
            <w:r>
              <w:rPr>
                <w:rFonts w:hint="eastAsia" w:ascii="宋体" w:hAnsi="宋体" w:cs="宋体"/>
                <w:color w:val="000000" w:themeColor="text1"/>
                <w:sz w:val="24"/>
                <w:u w:val="dotted"/>
                <w14:textFill>
                  <w14:solidFill>
                    <w14:schemeClr w14:val="tx1"/>
                  </w14:solidFill>
                </w14:textFill>
              </w:rPr>
              <w:t xml:space="preserve">                                           </w:t>
            </w:r>
          </w:p>
          <w:p w14:paraId="2B6595A2">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7CDBF709">
            <w:pPr>
              <w:bidi w:val="0"/>
              <w:rPr>
                <w:rFonts w:hint="eastAsia" w:ascii="宋体" w:hAnsi="宋体" w:cs="宋体"/>
                <w:color w:val="000000" w:themeColor="text1"/>
                <w:sz w:val="24"/>
                <w:u w:val="dotted"/>
                <w14:textFill>
                  <w14:solidFill>
                    <w14:schemeClr w14:val="tx1"/>
                  </w14:solidFill>
                </w14:textFill>
              </w:rPr>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7573FBA8">
            <w:pPr>
              <w:bidi w:val="0"/>
            </w:pPr>
            <w:r>
              <w:rPr>
                <w:rFonts w:hint="eastAsia"/>
              </w:rPr>
              <w:t>被投诉人2</w:t>
            </w:r>
          </w:p>
          <w:p w14:paraId="3D090502">
            <w:pPr>
              <w:bidi w:val="0"/>
            </w:pPr>
            <w:r>
              <w:rPr>
                <w:rFonts w:hint="eastAsia"/>
              </w:rPr>
              <w:t>……</w:t>
            </w:r>
          </w:p>
          <w:p w14:paraId="6D0F90E5">
            <w:pPr>
              <w:bidi w:val="0"/>
            </w:pPr>
            <w:r>
              <w:rPr>
                <w:rFonts w:hint="eastAsia"/>
              </w:rPr>
              <w:t xml:space="preserve">相关供应商：                                               </w:t>
            </w:r>
          </w:p>
          <w:p w14:paraId="127091A3">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6AC6572C">
            <w:pPr>
              <w:bidi w:val="0"/>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362741EB">
            <w:pPr>
              <w:bidi w:val="0"/>
            </w:pPr>
            <w:r>
              <w:rPr>
                <w:rFonts w:hint="eastAsia"/>
              </w:rPr>
              <w:t>二、投诉项目基本情况</w:t>
            </w:r>
          </w:p>
          <w:p w14:paraId="136E1737">
            <w:pPr>
              <w:bidi w:val="0"/>
              <w:rPr>
                <w:rFonts w:hint="eastAsia"/>
              </w:rPr>
            </w:pPr>
            <w:r>
              <w:rPr>
                <w:rFonts w:hint="eastAsia"/>
              </w:rPr>
              <w:t>采购项目名称：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C66CD34">
            <w:pPr>
              <w:bidi w:val="0"/>
              <w:rPr>
                <w:rFonts w:hint="eastAsia" w:ascii="宋体" w:hAnsi="宋体" w:cs="宋体"/>
                <w:color w:val="000000" w:themeColor="text1"/>
                <w:sz w:val="24"/>
                <w:u w:val="dotted"/>
                <w14:textFill>
                  <w14:solidFill>
                    <w14:schemeClr w14:val="tx1"/>
                  </w14:solidFill>
                </w14:textFill>
              </w:rPr>
            </w:pPr>
            <w:r>
              <w:rPr>
                <w:rFonts w:hint="eastAsia"/>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包号：</w:t>
            </w:r>
            <w:r>
              <w:rPr>
                <w:rFonts w:hint="eastAsia" w:ascii="宋体" w:hAnsi="宋体" w:cs="宋体"/>
                <w:color w:val="000000" w:themeColor="text1"/>
                <w:sz w:val="24"/>
                <w:u w:val="dotted"/>
                <w14:textFill>
                  <w14:solidFill>
                    <w14:schemeClr w14:val="tx1"/>
                  </w14:solidFill>
                </w14:textFill>
              </w:rPr>
              <w:t xml:space="preserve">           </w:t>
            </w:r>
          </w:p>
          <w:p w14:paraId="0461C845">
            <w:pPr>
              <w:bidi w:val="0"/>
            </w:pPr>
            <w:r>
              <w:rPr>
                <w:rFonts w:hint="eastAsia"/>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A045639">
            <w:pPr>
              <w:bidi w:val="0"/>
              <w:rPr>
                <w:rFonts w:hint="eastAsia" w:ascii="宋体" w:hAnsi="宋体" w:cs="宋体"/>
                <w:color w:val="000000" w:themeColor="text1"/>
                <w:sz w:val="24"/>
                <w:u w:val="dotted"/>
                <w14:textFill>
                  <w14:solidFill>
                    <w14:schemeClr w14:val="tx1"/>
                  </w14:solidFill>
                </w14:textFill>
              </w:rPr>
            </w:pPr>
            <w:r>
              <w:rPr>
                <w:rFonts w:hint="eastAsia"/>
              </w:rPr>
              <w:t>代理机构名称：</w:t>
            </w:r>
            <w:r>
              <w:rPr>
                <w:rFonts w:hint="eastAsia" w:ascii="宋体" w:hAnsi="宋体" w:cs="宋体"/>
                <w:color w:val="000000" w:themeColor="text1"/>
                <w:sz w:val="24"/>
                <w:u w:val="dotted"/>
                <w14:textFill>
                  <w14:solidFill>
                    <w14:schemeClr w14:val="tx1"/>
                  </w14:solidFill>
                </w14:textFill>
              </w:rPr>
              <w:t xml:space="preserve">                                         </w:t>
            </w:r>
          </w:p>
          <w:p w14:paraId="483E6095">
            <w:pPr>
              <w:bidi w:val="0"/>
              <w:rPr>
                <w:rFonts w:hint="eastAsia" w:ascii="宋体" w:hAnsi="宋体" w:cs="宋体"/>
                <w:color w:val="000000" w:themeColor="text1"/>
                <w:sz w:val="24"/>
                <w:u w:val="dotted"/>
                <w14:textFill>
                  <w14:solidFill>
                    <w14:schemeClr w14:val="tx1"/>
                  </w14:solidFill>
                </w14:textFill>
              </w:rPr>
            </w:pPr>
            <w:r>
              <w:rPr>
                <w:rFonts w:hint="eastAsia"/>
              </w:rPr>
              <w:t>采购文件公告:是/否 公告期限：</w:t>
            </w:r>
            <w:r>
              <w:rPr>
                <w:rFonts w:hint="eastAsia" w:ascii="宋体" w:hAnsi="宋体" w:cs="宋体"/>
                <w:color w:val="000000" w:themeColor="text1"/>
                <w:sz w:val="24"/>
                <w:u w:val="dotted"/>
                <w14:textFill>
                  <w14:solidFill>
                    <w14:schemeClr w14:val="tx1"/>
                  </w14:solidFill>
                </w14:textFill>
              </w:rPr>
              <w:t xml:space="preserve">                            </w:t>
            </w:r>
          </w:p>
          <w:p w14:paraId="00A28872">
            <w:pPr>
              <w:bidi w:val="0"/>
              <w:rPr>
                <w:rFonts w:hint="eastAsia" w:ascii="宋体" w:hAnsi="宋体" w:cs="宋体"/>
                <w:color w:val="000000" w:themeColor="text1"/>
                <w:sz w:val="24"/>
                <w:u w:val="dotted"/>
                <w14:textFill>
                  <w14:solidFill>
                    <w14:schemeClr w14:val="tx1"/>
                  </w14:solidFill>
                </w14:textFill>
              </w:rPr>
            </w:pPr>
            <w:r>
              <w:rPr>
                <w:rFonts w:hint="eastAsia"/>
              </w:rPr>
              <w:t>采购结果公告:是/否 公告期限：</w:t>
            </w:r>
            <w:r>
              <w:rPr>
                <w:rFonts w:hint="eastAsia" w:ascii="宋体" w:hAnsi="宋体" w:cs="宋体"/>
                <w:color w:val="000000" w:themeColor="text1"/>
                <w:sz w:val="24"/>
                <w:u w:val="dotted"/>
                <w14:textFill>
                  <w14:solidFill>
                    <w14:schemeClr w14:val="tx1"/>
                  </w14:solidFill>
                </w14:textFill>
              </w:rPr>
              <w:t xml:space="preserve">                            </w:t>
            </w:r>
          </w:p>
          <w:p w14:paraId="5C3E8174">
            <w:pPr>
              <w:bidi w:val="0"/>
            </w:pPr>
            <w:r>
              <w:rPr>
                <w:rFonts w:hint="eastAsia"/>
              </w:rPr>
              <w:t>三、质疑基本情况</w:t>
            </w:r>
          </w:p>
          <w:p w14:paraId="7A3968EB">
            <w:pPr>
              <w:bidi w:val="0"/>
            </w:pPr>
            <w:r>
              <w:rPr>
                <w:rFonts w:hint="eastAsia"/>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提出质疑，质疑事项为：                                </w:t>
            </w:r>
          </w:p>
          <w:p w14:paraId="1D64191F">
            <w:pPr>
              <w:bidi w:val="0"/>
            </w:pPr>
            <w:r>
              <w:rPr>
                <w:rFonts w:hint="eastAsia"/>
              </w:rPr>
              <w:t xml:space="preserve">                                                       </w:t>
            </w:r>
          </w:p>
          <w:p w14:paraId="297A7906">
            <w:pPr>
              <w:bidi w:val="0"/>
            </w:pPr>
            <w:r>
              <w:rPr>
                <w:rFonts w:hint="eastAsia"/>
              </w:rPr>
              <w:t>采购人/代理机构于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日,就质疑事项作出了答复/没有在法定期限内作出答复。</w:t>
            </w:r>
          </w:p>
          <w:p w14:paraId="513C87E6">
            <w:pPr>
              <w:bidi w:val="0"/>
            </w:pPr>
            <w:r>
              <w:rPr>
                <w:rFonts w:hint="eastAsia"/>
              </w:rPr>
              <w:t>四、投诉事项具体内容</w:t>
            </w:r>
          </w:p>
          <w:p w14:paraId="578C12F5">
            <w:pPr>
              <w:bidi w:val="0"/>
            </w:pPr>
            <w:r>
              <w:rPr>
                <w:rFonts w:hint="eastAsia"/>
              </w:rPr>
              <w:t xml:space="preserve">投诉事项 1：                                       </w:t>
            </w:r>
          </w:p>
          <w:p w14:paraId="348D04B5">
            <w:pPr>
              <w:bidi w:val="0"/>
              <w:rPr>
                <w:rFonts w:hint="eastAsia" w:ascii="宋体" w:hAnsi="宋体" w:cs="宋体"/>
                <w:color w:val="000000" w:themeColor="text1"/>
                <w:sz w:val="24"/>
                <w:u w:val="dotted"/>
                <w14:textFill>
                  <w14:solidFill>
                    <w14:schemeClr w14:val="tx1"/>
                  </w14:solidFill>
                </w14:textFill>
              </w:rPr>
            </w:pPr>
            <w:r>
              <w:rPr>
                <w:rFonts w:hint="eastAsia"/>
              </w:rPr>
              <w:t>事实依据：</w:t>
            </w:r>
            <w:r>
              <w:rPr>
                <w:rFonts w:hint="eastAsia" w:ascii="宋体" w:hAnsi="宋体" w:cs="宋体"/>
                <w:color w:val="000000" w:themeColor="text1"/>
                <w:sz w:val="24"/>
                <w:u w:val="dotted"/>
                <w14:textFill>
                  <w14:solidFill>
                    <w14:schemeClr w14:val="tx1"/>
                  </w14:solidFill>
                </w14:textFill>
              </w:rPr>
              <w:t xml:space="preserve">                                                                       </w:t>
            </w:r>
          </w:p>
          <w:p w14:paraId="086D063A">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E7532C6">
            <w:pPr>
              <w:bidi w:val="0"/>
            </w:pPr>
            <w:r>
              <w:rPr>
                <w:rFonts w:hint="eastAsia"/>
              </w:rPr>
              <w:t>法律依据：</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E7C396A">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57BA7AB">
            <w:pPr>
              <w:bidi w:val="0"/>
            </w:pPr>
            <w:r>
              <w:rPr>
                <w:rFonts w:hint="eastAsia"/>
              </w:rPr>
              <w:t>投诉事项2</w:t>
            </w:r>
          </w:p>
          <w:p w14:paraId="35D011D3">
            <w:pPr>
              <w:bidi w:val="0"/>
            </w:pPr>
            <w:r>
              <w:rPr>
                <w:rFonts w:hint="eastAsia"/>
              </w:rPr>
              <w:t>……</w:t>
            </w:r>
          </w:p>
          <w:p w14:paraId="66280FC6">
            <w:pPr>
              <w:bidi w:val="0"/>
            </w:pPr>
            <w:r>
              <w:rPr>
                <w:rFonts w:hint="eastAsia"/>
              </w:rPr>
              <w:t>五、与投诉事项相关的投诉请求</w:t>
            </w:r>
          </w:p>
          <w:p w14:paraId="26D36E48">
            <w:pPr>
              <w:bidi w:val="0"/>
              <w:rPr>
                <w:rFonts w:hint="eastAsia" w:ascii="宋体" w:hAnsi="宋体" w:cs="宋体"/>
                <w:color w:val="000000" w:themeColor="text1"/>
                <w:sz w:val="24"/>
                <w:u w:val="dotted"/>
                <w14:textFill>
                  <w14:solidFill>
                    <w14:schemeClr w14:val="tx1"/>
                  </w14:solidFill>
                </w14:textFill>
              </w:rPr>
            </w:pPr>
            <w:r>
              <w:rPr>
                <w:rFonts w:hint="eastAsia"/>
              </w:rPr>
              <w:t>请求：</w:t>
            </w:r>
            <w:r>
              <w:rPr>
                <w:rFonts w:hint="eastAsia" w:ascii="宋体" w:hAnsi="宋体" w:cs="宋体"/>
                <w:color w:val="000000" w:themeColor="text1"/>
                <w:sz w:val="24"/>
                <w:u w:val="dotted"/>
                <w14:textFill>
                  <w14:solidFill>
                    <w14:schemeClr w14:val="tx1"/>
                  </w14:solidFill>
                </w14:textFill>
              </w:rPr>
              <w:t xml:space="preserve">                                                                           </w:t>
            </w:r>
          </w:p>
          <w:p w14:paraId="03711E38">
            <w:pPr>
              <w:bidi w:val="0"/>
            </w:pPr>
            <w:r>
              <w:rPr>
                <w:rFonts w:hint="eastAsia" w:ascii="宋体" w:hAnsi="宋体" w:cs="宋体"/>
                <w:color w:val="000000" w:themeColor="text1"/>
                <w:sz w:val="24"/>
                <w:u w:val="dotted"/>
                <w:lang w:val="en-US" w:eastAsia="zh-CN"/>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4730FB6">
            <w:pPr>
              <w:bidi w:val="0"/>
            </w:pPr>
            <w:r>
              <w:rPr>
                <w:rFonts w:hint="eastAsia"/>
              </w:rPr>
              <w:t xml:space="preserve">签字(签章)：       </w:t>
            </w:r>
            <w:r>
              <w:rPr>
                <w:rFonts w:hint="eastAsia"/>
                <w:lang w:val="en-US" w:eastAsia="zh-CN"/>
              </w:rPr>
              <w:t xml:space="preserve">                        </w:t>
            </w:r>
            <w:r>
              <w:rPr>
                <w:rFonts w:hint="eastAsia"/>
              </w:rPr>
              <w:t xml:space="preserve">            公章：                      </w:t>
            </w:r>
          </w:p>
          <w:p w14:paraId="0E559B3F">
            <w:pPr>
              <w:bidi w:val="0"/>
            </w:pPr>
            <w:r>
              <w:rPr>
                <w:rFonts w:hint="eastAsia"/>
              </w:rPr>
              <w:t xml:space="preserve">日期：    </w:t>
            </w:r>
          </w:p>
          <w:p w14:paraId="69D9A722">
            <w:pPr>
              <w:bidi w:val="0"/>
            </w:pPr>
            <w:r>
              <w:rPr>
                <w:rFonts w:hint="eastAsia"/>
              </w:rPr>
              <w:t>投诉书制作说明：</w:t>
            </w:r>
          </w:p>
          <w:p w14:paraId="65051A7D">
            <w:pPr>
              <w:bidi w:val="0"/>
            </w:pPr>
            <w:r>
              <w:rPr>
                <w:rFonts w:hint="eastAsia"/>
              </w:rPr>
              <w:t>1.投诉人提起投诉时，应当提交投诉书和必要的证明材料，并按照被投诉人和与投诉事项有关的供应商数量提供投诉书副本。</w:t>
            </w:r>
          </w:p>
          <w:p w14:paraId="405B91BF">
            <w:pPr>
              <w:bidi w:val="0"/>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6392B10">
            <w:pPr>
              <w:bidi w:val="0"/>
            </w:pPr>
            <w:r>
              <w:rPr>
                <w:rFonts w:hint="eastAsia"/>
              </w:rPr>
              <w:t>3.投诉书应简要列明质疑事项，质疑函、质疑答复等作为附件材料提供。</w:t>
            </w:r>
          </w:p>
          <w:p w14:paraId="15B35D58">
            <w:pPr>
              <w:bidi w:val="0"/>
            </w:pPr>
            <w:r>
              <w:rPr>
                <w:rFonts w:hint="eastAsia"/>
              </w:rPr>
              <w:t>4.投诉书的投诉事项应具体、明确，并有必要的事实依据和法律依据。</w:t>
            </w:r>
          </w:p>
          <w:p w14:paraId="4F60CFBF">
            <w:pPr>
              <w:bidi w:val="0"/>
            </w:pPr>
            <w:r>
              <w:rPr>
                <w:rFonts w:hint="eastAsia"/>
              </w:rPr>
              <w:t>5.投诉书的投诉请求应与投诉事项相关。</w:t>
            </w:r>
          </w:p>
          <w:p w14:paraId="1FBF2BF9">
            <w:pPr>
              <w:bidi w:val="0"/>
            </w:pPr>
            <w:r>
              <w:rPr>
                <w:rFonts w:hint="eastAsia"/>
              </w:rPr>
              <w:t>6.投诉人为自然人的，投诉书应当由本人签字；投诉人为法人或者其他组织的，投诉书应当由法定代表人、主要负责人，或者其授权代表签字或者盖章，并加盖公章。</w:t>
            </w:r>
          </w:p>
          <w:p w14:paraId="2A60AFD0">
            <w:pPr>
              <w:rPr>
                <w:rFonts w:hint="default"/>
                <w:vertAlign w:val="baseline"/>
                <w:lang w:val="en-US" w:eastAsia="zh-CN"/>
              </w:rPr>
            </w:pPr>
          </w:p>
        </w:tc>
      </w:tr>
    </w:tbl>
    <w:p w14:paraId="2E9A8450">
      <w:pPr>
        <w:rPr>
          <w:rFonts w:hint="default"/>
          <w:lang w:val="en-US" w:eastAsia="zh-CN"/>
        </w:rPr>
      </w:pPr>
    </w:p>
    <w:p w14:paraId="4F1421E6">
      <w:pPr>
        <w:rPr>
          <w:rFonts w:hint="default"/>
          <w:lang w:val="en-US" w:eastAsia="zh-CN"/>
        </w:rPr>
      </w:pPr>
    </w:p>
    <w:p w14:paraId="06BCFBB6">
      <w:pPr>
        <w:rPr>
          <w:rFonts w:hint="default"/>
          <w:lang w:val="en-US" w:eastAsia="zh-CN"/>
        </w:rPr>
      </w:pPr>
    </w:p>
    <w:p w14:paraId="1A3B3080">
      <w:pPr>
        <w:rPr>
          <w:rFonts w:hint="default"/>
          <w:lang w:val="en-US" w:eastAsia="zh-CN"/>
        </w:rPr>
      </w:pPr>
    </w:p>
    <w:p w14:paraId="0E14FB6C">
      <w:pPr>
        <w:rPr>
          <w:rFonts w:hint="default"/>
          <w:lang w:val="en-US" w:eastAsia="zh-CN"/>
        </w:rPr>
      </w:pPr>
    </w:p>
    <w:p w14:paraId="08B2B113">
      <w:pPr>
        <w:rPr>
          <w:rFonts w:hint="default"/>
          <w:lang w:val="en-US" w:eastAsia="zh-CN"/>
        </w:rPr>
      </w:pPr>
    </w:p>
    <w:p w14:paraId="5C0A9FCB">
      <w:pPr>
        <w:rPr>
          <w:rFonts w:hint="default"/>
          <w:lang w:val="en-US" w:eastAsia="zh-CN"/>
        </w:rPr>
      </w:pPr>
    </w:p>
    <w:p w14:paraId="061FCBF3">
      <w:pPr>
        <w:rPr>
          <w:rFonts w:hint="default"/>
          <w:lang w:val="en-US" w:eastAsia="zh-CN"/>
        </w:rPr>
      </w:pPr>
    </w:p>
    <w:p w14:paraId="1061B935">
      <w:pPr>
        <w:rPr>
          <w:rFonts w:hint="default"/>
          <w:lang w:val="en-US" w:eastAsia="zh-CN"/>
        </w:rPr>
      </w:pPr>
    </w:p>
    <w:p w14:paraId="6A8407C2">
      <w:pPr>
        <w:rPr>
          <w:rFonts w:hint="default"/>
          <w:lang w:val="en-US" w:eastAsia="zh-CN"/>
        </w:rPr>
      </w:pPr>
    </w:p>
    <w:p w14:paraId="0B147EB7">
      <w:pPr>
        <w:rPr>
          <w:rFonts w:hint="default"/>
          <w:lang w:val="en-US" w:eastAsia="zh-CN"/>
        </w:rPr>
      </w:pPr>
    </w:p>
    <w:p w14:paraId="78C4E85E">
      <w:pPr>
        <w:rPr>
          <w:rFonts w:hint="default"/>
          <w:lang w:val="en-US" w:eastAsia="zh-CN"/>
        </w:rPr>
      </w:pPr>
    </w:p>
    <w:p w14:paraId="6DE896BB">
      <w:pPr>
        <w:rPr>
          <w:rFonts w:hint="default"/>
          <w:lang w:val="en-US" w:eastAsia="zh-CN"/>
        </w:rPr>
      </w:pPr>
    </w:p>
    <w:p w14:paraId="1BC3216C">
      <w:pPr>
        <w:rPr>
          <w:rFonts w:hint="default"/>
          <w:lang w:val="en-US" w:eastAsia="zh-CN"/>
        </w:rPr>
      </w:pPr>
    </w:p>
    <w:p w14:paraId="0E2BFC79">
      <w:pPr>
        <w:rPr>
          <w:rFonts w:hint="default"/>
          <w:lang w:val="en-US" w:eastAsia="zh-CN"/>
        </w:rPr>
      </w:pPr>
    </w:p>
    <w:p w14:paraId="13A880F1">
      <w:pPr>
        <w:rPr>
          <w:rFonts w:hint="default"/>
          <w:lang w:val="en-US" w:eastAsia="zh-CN"/>
        </w:rPr>
      </w:pPr>
    </w:p>
    <w:p w14:paraId="1838CDFA">
      <w:pPr>
        <w:rPr>
          <w:rFonts w:hint="default"/>
          <w:lang w:val="en-US" w:eastAsia="zh-CN"/>
        </w:rPr>
      </w:pPr>
    </w:p>
    <w:p w14:paraId="5F347715">
      <w:pPr>
        <w:rPr>
          <w:rFonts w:hint="default"/>
          <w:lang w:val="en-US" w:eastAsia="zh-CN"/>
        </w:rPr>
      </w:pPr>
    </w:p>
    <w:p w14:paraId="3C9E13CE">
      <w:pPr>
        <w:rPr>
          <w:rFonts w:hint="default"/>
          <w:lang w:val="en-US" w:eastAsia="zh-CN"/>
        </w:rPr>
      </w:pPr>
    </w:p>
    <w:p w14:paraId="051FF3F9">
      <w:pPr>
        <w:rPr>
          <w:rFonts w:hint="default"/>
          <w:lang w:val="en-US" w:eastAsia="zh-CN"/>
        </w:rPr>
      </w:pPr>
    </w:p>
    <w:p w14:paraId="171F9FD9">
      <w:pPr>
        <w:rPr>
          <w:rFonts w:hint="default"/>
          <w:lang w:val="en-US" w:eastAsia="zh-CN"/>
        </w:rPr>
      </w:pPr>
    </w:p>
    <w:p w14:paraId="2408E95C">
      <w:pPr>
        <w:pStyle w:val="4"/>
        <w:bidi w:val="0"/>
        <w:rPr>
          <w:rFonts w:hint="default"/>
          <w:lang w:val="en-US" w:eastAsia="zh-CN"/>
        </w:rPr>
      </w:pPr>
      <w:bookmarkStart w:id="106" w:name="_Toc24012"/>
      <w:bookmarkStart w:id="107" w:name="_Toc22762"/>
      <w:r>
        <w:rPr>
          <w:rFonts w:hint="default"/>
          <w:lang w:val="en-US" w:eastAsia="zh-CN"/>
        </w:rPr>
        <w:t>附件3业务专用章使用说明函</w:t>
      </w:r>
      <w:bookmarkEnd w:id="106"/>
      <w:bookmarkEnd w:id="107"/>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0" w:hRule="atLeast"/>
        </w:trPr>
        <w:tc>
          <w:tcPr>
            <w:tcW w:w="9962" w:type="dxa"/>
            <w:tcBorders>
              <w:tl2br w:val="nil"/>
              <w:tr2bl w:val="nil"/>
            </w:tcBorders>
            <w:vAlign w:val="top"/>
          </w:tcPr>
          <w:p w14:paraId="4B28495F">
            <w:pPr>
              <w:spacing w:line="480" w:lineRule="auto"/>
              <w:jc w:val="center"/>
              <w:rPr>
                <w:rFonts w:hint="default"/>
                <w:b/>
                <w:bCs/>
                <w:vertAlign w:val="baseline"/>
                <w:lang w:val="en-US" w:eastAsia="zh-CN"/>
              </w:rPr>
            </w:pPr>
            <w:r>
              <w:rPr>
                <w:rFonts w:hint="default"/>
                <w:b/>
                <w:bCs/>
                <w:vertAlign w:val="baseline"/>
                <w:lang w:val="en-US" w:eastAsia="zh-CN"/>
              </w:rPr>
              <w:t>业务专用章使用说明函</w:t>
            </w:r>
          </w:p>
          <w:p w14:paraId="700409FF">
            <w:pPr>
              <w:bidi w:val="0"/>
              <w:rPr>
                <w:rFonts w:hint="eastAsia"/>
                <w:lang w:val="zh-CN"/>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1FFEEF9">
            <w:pPr>
              <w:bidi w:val="0"/>
              <w:ind w:firstLine="480" w:firstLineChars="200"/>
              <w:rPr>
                <w:rFonts w:hint="default"/>
                <w:lang w:val="en-US" w:eastAsia="zh-CN"/>
              </w:rPr>
            </w:pPr>
            <w:r>
              <w:rPr>
                <w:rFonts w:hint="default"/>
                <w:lang w:val="en-US" w:eastAsia="zh-CN"/>
              </w:rPr>
              <w:t>我方（投标人全称）是中华人民共和国依法登记注册的合法企业，在参加你方组织的</w:t>
            </w:r>
            <w:r>
              <w:rPr>
                <w:rFonts w:hint="eastAsia"/>
                <w:b/>
                <w:bCs/>
                <w:color w:val="FF0000"/>
                <w:u w:val="single"/>
                <w:lang w:val="en-US" w:eastAsia="zh-CN"/>
              </w:rPr>
              <w:t>项目名称</w:t>
            </w:r>
            <w:r>
              <w:rPr>
                <w:rFonts w:hint="default"/>
                <w:lang w:val="en-US" w:eastAsia="zh-CN"/>
              </w:rPr>
              <w:t>项目【招标编号：</w:t>
            </w:r>
            <w:r>
              <w:rPr>
                <w:rFonts w:hint="eastAsia"/>
                <w:b/>
                <w:bCs/>
                <w:color w:val="FF0000"/>
                <w:u w:val="single"/>
                <w:lang w:val="en-US" w:eastAsia="zh-CN"/>
              </w:rPr>
              <w:t>（项目编号）</w:t>
            </w:r>
            <w:r>
              <w:rPr>
                <w:rFonts w:hint="default"/>
                <w:lang w:val="en-US" w:eastAsia="zh-CN"/>
              </w:rPr>
              <w:t xml:space="preserve">】投标活动中作如下说明：我方所使用的“XX专用章”与法定名称章具有同等的法律效力，对使用“XX专用章”的行为予以完全承认，并愿意承担相应责任。   </w:t>
            </w:r>
          </w:p>
          <w:p w14:paraId="3FB1F780">
            <w:pPr>
              <w:bidi w:val="0"/>
              <w:ind w:firstLine="480" w:firstLineChars="200"/>
              <w:rPr>
                <w:rFonts w:hint="default"/>
                <w:lang w:val="en-US" w:eastAsia="zh-CN"/>
              </w:rPr>
            </w:pPr>
            <w:r>
              <w:rPr>
                <w:rFonts w:hint="default"/>
                <w:lang w:val="en-US" w:eastAsia="zh-CN"/>
              </w:rPr>
              <w:t>特此说明。</w:t>
            </w:r>
          </w:p>
          <w:p w14:paraId="0483BEDE">
            <w:pPr>
              <w:bidi w:val="0"/>
              <w:ind w:firstLine="480" w:firstLineChars="200"/>
              <w:rPr>
                <w:rFonts w:hint="default"/>
                <w:lang w:val="en-US" w:eastAsia="zh-CN"/>
              </w:rPr>
            </w:pPr>
          </w:p>
          <w:p w14:paraId="58420082">
            <w:pPr>
              <w:bidi w:val="0"/>
              <w:rPr>
                <w:rFonts w:hint="eastAsia"/>
                <w:b/>
                <w:bCs/>
                <w:color w:val="FF0000"/>
              </w:rPr>
            </w:pPr>
            <w:r>
              <w:rPr>
                <w:rFonts w:hint="eastAsia"/>
                <w:b/>
                <w:bCs/>
                <w:color w:val="FF0000"/>
                <w:spacing w:val="30"/>
                <w:kern w:val="0"/>
                <w:fitText w:val="2640" w:id="929510884"/>
                <w:lang w:val="zh-CN"/>
              </w:rPr>
              <w:t>投标人名称（</w:t>
            </w:r>
            <w:r>
              <w:rPr>
                <w:rFonts w:hint="eastAsia"/>
                <w:b/>
                <w:bCs/>
                <w:color w:val="FF0000"/>
                <w:spacing w:val="30"/>
                <w:kern w:val="0"/>
                <w:fitText w:val="2640" w:id="929510884"/>
                <w:lang w:val="en-US" w:eastAsia="zh-CN"/>
              </w:rPr>
              <w:t>盖章</w:t>
            </w:r>
            <w:r>
              <w:rPr>
                <w:rFonts w:hint="eastAsia"/>
                <w:b/>
                <w:bCs/>
                <w:color w:val="FF0000"/>
                <w:spacing w:val="0"/>
                <w:kern w:val="0"/>
                <w:fitText w:val="2640" w:id="929510884"/>
                <w:lang w:val="zh-CN"/>
              </w:rPr>
              <w:t>）</w:t>
            </w:r>
            <w:r>
              <w:rPr>
                <w:rFonts w:hint="eastAsia"/>
                <w:b/>
                <w:bCs/>
                <w:color w:val="FF0000"/>
                <w:lang w:val="zh-CN"/>
              </w:rPr>
              <w:t>：</w:t>
            </w:r>
          </w:p>
          <w:p w14:paraId="4BA078FA">
            <w:pPr>
              <w:bidi w:val="0"/>
              <w:rPr>
                <w:rFonts w:hint="eastAsia"/>
              </w:rPr>
            </w:pPr>
            <w:r>
              <w:rPr>
                <w:rFonts w:hint="eastAsia"/>
                <w:b/>
                <w:bCs/>
                <w:color w:val="FF0000"/>
                <w:spacing w:val="1080"/>
                <w:kern w:val="0"/>
                <w:fitText w:val="2640" w:id="858146026"/>
                <w:lang w:val="zh-CN"/>
              </w:rPr>
              <w:t>日</w:t>
            </w:r>
            <w:r>
              <w:rPr>
                <w:rFonts w:hint="eastAsia"/>
                <w:b/>
                <w:bCs/>
                <w:color w:val="FF0000"/>
                <w:spacing w:val="0"/>
                <w:kern w:val="0"/>
                <w:fitText w:val="2640" w:id="858146026"/>
                <w:lang w:val="zh-CN"/>
              </w:rPr>
              <w:t>期</w:t>
            </w:r>
            <w:r>
              <w:rPr>
                <w:rFonts w:hint="eastAsia"/>
                <w:b/>
                <w:bCs/>
                <w:color w:val="FF0000"/>
              </w:rPr>
              <w:t>：</w:t>
            </w:r>
          </w:p>
          <w:p w14:paraId="16D49A86">
            <w:pPr>
              <w:rPr>
                <w:rFonts w:hint="eastAsia" w:ascii="宋体" w:hAnsi="宋体" w:cs="宋体"/>
                <w:sz w:val="24"/>
              </w:rPr>
            </w:pPr>
            <w:r>
              <w:rPr>
                <w:rFonts w:hint="eastAsia" w:ascii="宋体" w:hAnsi="宋体" w:cs="宋体"/>
                <w:b/>
                <w:bCs/>
                <w:sz w:val="24"/>
              </w:rPr>
              <w:t>附：</w:t>
            </w:r>
          </w:p>
          <w:p w14:paraId="7538B189">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7216;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6192;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 xml:space="preserve">投标单位法定名称章（印模）                </w:t>
            </w:r>
            <w:r>
              <w:rPr>
                <w:rFonts w:hint="eastAsia" w:ascii="宋体" w:hAnsi="宋体" w:cs="宋体"/>
                <w:sz w:val="24"/>
                <w:lang w:val="en-US" w:eastAsia="zh-CN"/>
              </w:rPr>
              <w:t xml:space="preserve">   </w:t>
            </w:r>
            <w:r>
              <w:rPr>
                <w:rFonts w:hint="eastAsia" w:ascii="宋体" w:hAnsi="宋体" w:cs="宋体"/>
                <w:sz w:val="24"/>
              </w:rPr>
              <w:t>投标单位“XX专用章”（印模）</w:t>
            </w:r>
          </w:p>
          <w:p w14:paraId="1AFFD114">
            <w:pPr>
              <w:autoSpaceDE w:val="0"/>
              <w:autoSpaceDN w:val="0"/>
              <w:jc w:val="center"/>
              <w:rPr>
                <w:rFonts w:hint="eastAsia" w:ascii="宋体" w:hAnsi="宋体" w:cs="宋体"/>
                <w:b/>
                <w:spacing w:val="6"/>
                <w:sz w:val="32"/>
                <w:szCs w:val="32"/>
              </w:rPr>
            </w:pPr>
          </w:p>
          <w:p w14:paraId="6304ACED">
            <w:pPr>
              <w:autoSpaceDE w:val="0"/>
              <w:autoSpaceDN w:val="0"/>
              <w:jc w:val="center"/>
              <w:rPr>
                <w:rFonts w:hint="eastAsia" w:ascii="宋体" w:hAnsi="宋体" w:cs="宋体"/>
                <w:b/>
                <w:spacing w:val="6"/>
                <w:sz w:val="32"/>
                <w:szCs w:val="32"/>
              </w:rPr>
            </w:pPr>
          </w:p>
          <w:p w14:paraId="456AF6EF">
            <w:pPr>
              <w:autoSpaceDE w:val="0"/>
              <w:autoSpaceDN w:val="0"/>
              <w:jc w:val="center"/>
              <w:rPr>
                <w:rFonts w:hint="eastAsia" w:ascii="宋体" w:hAnsi="宋体" w:cs="宋体"/>
                <w:b/>
                <w:spacing w:val="6"/>
                <w:sz w:val="32"/>
                <w:szCs w:val="32"/>
              </w:rPr>
            </w:pPr>
          </w:p>
          <w:p w14:paraId="33900BD0">
            <w:pPr>
              <w:autoSpaceDE w:val="0"/>
              <w:autoSpaceDN w:val="0"/>
              <w:jc w:val="center"/>
              <w:rPr>
                <w:rFonts w:hint="eastAsia" w:ascii="宋体" w:hAnsi="宋体" w:cs="宋体"/>
                <w:b/>
                <w:spacing w:val="6"/>
                <w:sz w:val="32"/>
                <w:szCs w:val="32"/>
              </w:rPr>
            </w:pPr>
          </w:p>
          <w:p w14:paraId="3821EE00">
            <w:pPr>
              <w:autoSpaceDE w:val="0"/>
              <w:autoSpaceDN w:val="0"/>
              <w:jc w:val="center"/>
              <w:rPr>
                <w:rFonts w:hint="eastAsia" w:ascii="宋体" w:hAnsi="宋体" w:cs="宋体"/>
                <w:b/>
                <w:spacing w:val="6"/>
                <w:sz w:val="32"/>
                <w:szCs w:val="32"/>
              </w:rPr>
            </w:pPr>
          </w:p>
          <w:p w14:paraId="08B43BC3">
            <w:pPr>
              <w:autoSpaceDE w:val="0"/>
              <w:autoSpaceDN w:val="0"/>
              <w:jc w:val="center"/>
              <w:rPr>
                <w:rFonts w:hint="eastAsia" w:ascii="宋体" w:hAnsi="宋体" w:cs="宋体"/>
                <w:b/>
                <w:spacing w:val="6"/>
                <w:sz w:val="32"/>
                <w:szCs w:val="32"/>
              </w:rPr>
            </w:pPr>
          </w:p>
          <w:p w14:paraId="05655F71">
            <w:pPr>
              <w:autoSpaceDE w:val="0"/>
              <w:autoSpaceDN w:val="0"/>
              <w:jc w:val="center"/>
              <w:rPr>
                <w:rFonts w:hint="eastAsia" w:ascii="宋体" w:hAnsi="宋体" w:cs="宋体"/>
                <w:b/>
                <w:spacing w:val="6"/>
                <w:sz w:val="32"/>
                <w:szCs w:val="32"/>
              </w:rPr>
            </w:pPr>
          </w:p>
          <w:p w14:paraId="1D0B1CFD">
            <w:pPr>
              <w:autoSpaceDE w:val="0"/>
              <w:autoSpaceDN w:val="0"/>
              <w:jc w:val="center"/>
              <w:rPr>
                <w:rFonts w:hint="eastAsia" w:ascii="宋体" w:hAnsi="宋体" w:cs="宋体"/>
                <w:b/>
                <w:spacing w:val="6"/>
                <w:sz w:val="32"/>
                <w:szCs w:val="32"/>
              </w:rPr>
            </w:pPr>
          </w:p>
          <w:p w14:paraId="65A78755">
            <w:pPr>
              <w:autoSpaceDE w:val="0"/>
              <w:autoSpaceDN w:val="0"/>
              <w:jc w:val="both"/>
              <w:rPr>
                <w:rFonts w:hint="eastAsia" w:ascii="宋体" w:hAnsi="宋体" w:cs="宋体"/>
                <w:b/>
                <w:spacing w:val="6"/>
                <w:sz w:val="32"/>
                <w:szCs w:val="32"/>
              </w:rPr>
            </w:pPr>
          </w:p>
          <w:p w14:paraId="56098439">
            <w:pPr>
              <w:bidi w:val="0"/>
              <w:rPr>
                <w:rFonts w:hint="default"/>
                <w:lang w:val="en-US" w:eastAsia="zh-CN"/>
              </w:rPr>
            </w:pPr>
          </w:p>
        </w:tc>
      </w:tr>
    </w:tbl>
    <w:p w14:paraId="7A79BB2C">
      <w:pPr>
        <w:rPr>
          <w:rFonts w:hint="default"/>
          <w:lang w:val="en-US" w:eastAsia="zh-CN"/>
        </w:rPr>
      </w:pPr>
    </w:p>
    <w:sectPr>
      <w:headerReference r:id="rId5"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AA614C9-AE49-40EB-9941-712D1317BA92}"/>
  </w:font>
  <w:font w:name="汉仪正圆 55简">
    <w:panose1 w:val="00020600040101010101"/>
    <w:charset w:val="86"/>
    <w:family w:val="auto"/>
    <w:pitch w:val="default"/>
    <w:sig w:usb0="A00002BF" w:usb1="0ACF7CFA" w:usb2="00000016" w:usb3="00000000" w:csb0="0004009F" w:csb1="00000000"/>
    <w:embedRegular r:id="rId2" w:fontKey="{335AAA68-4301-48FF-A0E9-749ED9EC430D}"/>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F38FDCF0-7BA6-45B0-83ED-9E5A210AAB36}"/>
  </w:font>
  <w:font w:name="Wonder Arial">
    <w:panose1 w:val="00000500000000000000"/>
    <w:charset w:val="00"/>
    <w:family w:val="auto"/>
    <w:pitch w:val="default"/>
    <w:sig w:usb0="00000003" w:usb1="00000000" w:usb2="00000000" w:usb3="00000000" w:csb0="00000011" w:csb1="00000000"/>
    <w:embedRegular r:id="rId4" w:fontKey="{E35B064B-B19B-42F4-BA42-C246E50E85B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1F1DA">
    <w:pPr>
      <w:pStyle w:val="13"/>
      <w:pBdr>
        <w:bottom w:val="double" w:color="auto" w:sz="8" w:space="1"/>
      </w:pBdr>
    </w:pPr>
    <w:r>
      <w:rPr>
        <w:rFonts w:hint="eastAsia"/>
        <w:b/>
        <w:bCs/>
        <w:color w:val="FF0000"/>
        <w:lang w:eastAsia="zh-CN"/>
      </w:rPr>
      <w:t>桐庐县保安服务有限公司2025年度消防器材框架协议采购项目</w:t>
    </w:r>
    <w:r>
      <w:rPr>
        <w:rFonts w:hint="eastAsia"/>
        <w:b/>
        <w:bCs/>
        <w:color w:val="FF0000"/>
        <w:lang w:val="en-US" w:eastAsia="zh-CN"/>
      </w:rPr>
      <w:t xml:space="preserve">                                         </w:t>
    </w:r>
    <w:r>
      <w:rPr>
        <w:rFonts w:hint="eastAsia"/>
        <w:b/>
        <w:bCs/>
        <w:color w:val="FF0000"/>
        <w:lang w:eastAsia="zh-CN"/>
      </w:rPr>
      <w:t>【</w:t>
    </w:r>
    <w:r>
      <w:rPr>
        <w:rFonts w:hint="eastAsia"/>
        <w:b/>
        <w:bCs/>
        <w:color w:val="FF0000"/>
        <w:lang w:val="en-US" w:eastAsia="zh-CN"/>
      </w:rPr>
      <w:t>征集文件</w:t>
    </w:r>
    <w:r>
      <w:rPr>
        <w:rFonts w:hint="eastAsia"/>
        <w:b/>
        <w:bCs/>
        <w:color w:val="FF0000"/>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FFE82"/>
    <w:multiLevelType w:val="multilevel"/>
    <w:tmpl w:val="3B8FFE82"/>
    <w:lvl w:ilvl="0" w:tentative="0">
      <w:start w:val="1"/>
      <w:numFmt w:val="chineseCounting"/>
      <w:pStyle w:val="2"/>
      <w:lvlText w:val="第%1章 "/>
      <w:lvlJc w:val="left"/>
      <w:pPr>
        <w:ind w:left="440" w:hanging="440"/>
      </w:pPr>
      <w:rPr>
        <w:rFonts w:hint="eastAsia"/>
        <w:b/>
        <w:bCs/>
        <w:i w:val="0"/>
        <w:iCs w:val="0"/>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1">
    <w:nsid w:val="4CB6D526"/>
    <w:multiLevelType w:val="singleLevel"/>
    <w:tmpl w:val="4CB6D526"/>
    <w:lvl w:ilvl="0" w:tentative="0">
      <w:start w:val="1"/>
      <w:numFmt w:val="decimal"/>
      <w:lvlText w:val="%1."/>
      <w:lvlJc w:val="left"/>
      <w:pPr>
        <w:tabs>
          <w:tab w:val="left" w:pos="312"/>
        </w:tabs>
      </w:pPr>
    </w:lvl>
  </w:abstractNum>
  <w:abstractNum w:abstractNumId="2">
    <w:nsid w:val="5B8107D4"/>
    <w:multiLevelType w:val="singleLevel"/>
    <w:tmpl w:val="5B8107D4"/>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MTQ4MTQxMTg2MjI1ZjkyODU0OWNiMjNmMDEwMDEifQ=="/>
  </w:docVars>
  <w:rsids>
    <w:rsidRoot w:val="729C6C52"/>
    <w:rsid w:val="007D4730"/>
    <w:rsid w:val="015D6D8C"/>
    <w:rsid w:val="02612C77"/>
    <w:rsid w:val="04881B42"/>
    <w:rsid w:val="051C4A8C"/>
    <w:rsid w:val="05803A42"/>
    <w:rsid w:val="063A3A86"/>
    <w:rsid w:val="065C6441"/>
    <w:rsid w:val="0675162B"/>
    <w:rsid w:val="073E0CB3"/>
    <w:rsid w:val="076B5E9B"/>
    <w:rsid w:val="080E0F11"/>
    <w:rsid w:val="08BD0F6E"/>
    <w:rsid w:val="08D75A3D"/>
    <w:rsid w:val="0A412C69"/>
    <w:rsid w:val="0BF0088B"/>
    <w:rsid w:val="0C263B28"/>
    <w:rsid w:val="0CD6178D"/>
    <w:rsid w:val="0D496C15"/>
    <w:rsid w:val="0DE3148C"/>
    <w:rsid w:val="0F4435B7"/>
    <w:rsid w:val="0F960D6F"/>
    <w:rsid w:val="101B6F10"/>
    <w:rsid w:val="101C52A7"/>
    <w:rsid w:val="1160631A"/>
    <w:rsid w:val="116827B7"/>
    <w:rsid w:val="119E475E"/>
    <w:rsid w:val="12AD3B4E"/>
    <w:rsid w:val="14D37654"/>
    <w:rsid w:val="15695BD0"/>
    <w:rsid w:val="161A78EB"/>
    <w:rsid w:val="16F130B9"/>
    <w:rsid w:val="174C64D5"/>
    <w:rsid w:val="18E70028"/>
    <w:rsid w:val="19837E29"/>
    <w:rsid w:val="19F97D9E"/>
    <w:rsid w:val="1B415D46"/>
    <w:rsid w:val="1B5B4923"/>
    <w:rsid w:val="1B6A1AEE"/>
    <w:rsid w:val="1C200B97"/>
    <w:rsid w:val="1C942BEA"/>
    <w:rsid w:val="1CFB1C06"/>
    <w:rsid w:val="1D801E68"/>
    <w:rsid w:val="1DF14D76"/>
    <w:rsid w:val="1E08482A"/>
    <w:rsid w:val="1E1B00F9"/>
    <w:rsid w:val="1E634AEC"/>
    <w:rsid w:val="1F57306A"/>
    <w:rsid w:val="1F60766D"/>
    <w:rsid w:val="1F991443"/>
    <w:rsid w:val="1F9C4138"/>
    <w:rsid w:val="202D726A"/>
    <w:rsid w:val="211666E2"/>
    <w:rsid w:val="214A6DF0"/>
    <w:rsid w:val="21E56462"/>
    <w:rsid w:val="21FF569E"/>
    <w:rsid w:val="22387A21"/>
    <w:rsid w:val="224D4A55"/>
    <w:rsid w:val="2287523A"/>
    <w:rsid w:val="22F57092"/>
    <w:rsid w:val="247D439E"/>
    <w:rsid w:val="259E0643"/>
    <w:rsid w:val="25B633F7"/>
    <w:rsid w:val="26D57EE9"/>
    <w:rsid w:val="26DA6B31"/>
    <w:rsid w:val="28862099"/>
    <w:rsid w:val="294457BA"/>
    <w:rsid w:val="295849BE"/>
    <w:rsid w:val="29D02070"/>
    <w:rsid w:val="29E87F4D"/>
    <w:rsid w:val="2A223C62"/>
    <w:rsid w:val="2A6578AF"/>
    <w:rsid w:val="2ADE1753"/>
    <w:rsid w:val="2B7E4AAA"/>
    <w:rsid w:val="2C1C64F6"/>
    <w:rsid w:val="2C480529"/>
    <w:rsid w:val="2CBC5286"/>
    <w:rsid w:val="2DD86387"/>
    <w:rsid w:val="2F126690"/>
    <w:rsid w:val="304F135C"/>
    <w:rsid w:val="30B26F3C"/>
    <w:rsid w:val="32EB368F"/>
    <w:rsid w:val="339A687B"/>
    <w:rsid w:val="33C01CA0"/>
    <w:rsid w:val="343E0A29"/>
    <w:rsid w:val="34664BE3"/>
    <w:rsid w:val="35E127F3"/>
    <w:rsid w:val="35ED37D6"/>
    <w:rsid w:val="3730681E"/>
    <w:rsid w:val="373A3202"/>
    <w:rsid w:val="37654D3D"/>
    <w:rsid w:val="377D56D8"/>
    <w:rsid w:val="37C001F2"/>
    <w:rsid w:val="381E78BB"/>
    <w:rsid w:val="39A8735E"/>
    <w:rsid w:val="39CC206E"/>
    <w:rsid w:val="39E53CE6"/>
    <w:rsid w:val="39E9776E"/>
    <w:rsid w:val="3A00620B"/>
    <w:rsid w:val="3A0A05A7"/>
    <w:rsid w:val="3A113233"/>
    <w:rsid w:val="3A1A617E"/>
    <w:rsid w:val="3A2F037B"/>
    <w:rsid w:val="3A812D77"/>
    <w:rsid w:val="3B3F016A"/>
    <w:rsid w:val="3B717F49"/>
    <w:rsid w:val="3BD42636"/>
    <w:rsid w:val="3D401267"/>
    <w:rsid w:val="3EE02BB9"/>
    <w:rsid w:val="3FAA755D"/>
    <w:rsid w:val="411A021F"/>
    <w:rsid w:val="412F33F5"/>
    <w:rsid w:val="416C27F9"/>
    <w:rsid w:val="426031AA"/>
    <w:rsid w:val="43AE02ED"/>
    <w:rsid w:val="43E929BC"/>
    <w:rsid w:val="43F63227"/>
    <w:rsid w:val="449E73DC"/>
    <w:rsid w:val="45480A94"/>
    <w:rsid w:val="45515B47"/>
    <w:rsid w:val="45EF791C"/>
    <w:rsid w:val="46F106CB"/>
    <w:rsid w:val="46FA6014"/>
    <w:rsid w:val="48096665"/>
    <w:rsid w:val="48397B86"/>
    <w:rsid w:val="48EF2F0A"/>
    <w:rsid w:val="49940DB0"/>
    <w:rsid w:val="49E92BC2"/>
    <w:rsid w:val="4B9336BF"/>
    <w:rsid w:val="4BD961D9"/>
    <w:rsid w:val="4CAE1BC8"/>
    <w:rsid w:val="4CBF478F"/>
    <w:rsid w:val="4E7E4F24"/>
    <w:rsid w:val="4EBE7F2F"/>
    <w:rsid w:val="4F135E90"/>
    <w:rsid w:val="4F4864B9"/>
    <w:rsid w:val="4FF647D3"/>
    <w:rsid w:val="51845A73"/>
    <w:rsid w:val="51BB778C"/>
    <w:rsid w:val="51C83263"/>
    <w:rsid w:val="52E0031A"/>
    <w:rsid w:val="536162F7"/>
    <w:rsid w:val="53CC12C4"/>
    <w:rsid w:val="54372E20"/>
    <w:rsid w:val="55234EBB"/>
    <w:rsid w:val="552F1725"/>
    <w:rsid w:val="55536349"/>
    <w:rsid w:val="55DE014A"/>
    <w:rsid w:val="55DE44B7"/>
    <w:rsid w:val="56CF17A9"/>
    <w:rsid w:val="57283AD9"/>
    <w:rsid w:val="581408D2"/>
    <w:rsid w:val="58C17EA9"/>
    <w:rsid w:val="59A4636C"/>
    <w:rsid w:val="5B38539A"/>
    <w:rsid w:val="5D2C76F6"/>
    <w:rsid w:val="5D9D5AED"/>
    <w:rsid w:val="5DBB2E78"/>
    <w:rsid w:val="5DD15967"/>
    <w:rsid w:val="5E160989"/>
    <w:rsid w:val="5F21013C"/>
    <w:rsid w:val="5F3B6FE3"/>
    <w:rsid w:val="5F78739F"/>
    <w:rsid w:val="5F983EDD"/>
    <w:rsid w:val="5FDB63AC"/>
    <w:rsid w:val="604304E9"/>
    <w:rsid w:val="610A0480"/>
    <w:rsid w:val="61651B7C"/>
    <w:rsid w:val="6189756A"/>
    <w:rsid w:val="62FC59DD"/>
    <w:rsid w:val="63473364"/>
    <w:rsid w:val="64867C5F"/>
    <w:rsid w:val="64974C2B"/>
    <w:rsid w:val="64B1428F"/>
    <w:rsid w:val="660E3608"/>
    <w:rsid w:val="66231C4B"/>
    <w:rsid w:val="66A6096F"/>
    <w:rsid w:val="675D7D86"/>
    <w:rsid w:val="68120C78"/>
    <w:rsid w:val="682C1D39"/>
    <w:rsid w:val="68666536"/>
    <w:rsid w:val="688D2AED"/>
    <w:rsid w:val="68946C9E"/>
    <w:rsid w:val="68D103D4"/>
    <w:rsid w:val="69274B6A"/>
    <w:rsid w:val="69492530"/>
    <w:rsid w:val="6ABE5C62"/>
    <w:rsid w:val="6B4241F3"/>
    <w:rsid w:val="6BD76355"/>
    <w:rsid w:val="6C2F7D48"/>
    <w:rsid w:val="6C534420"/>
    <w:rsid w:val="6D702A25"/>
    <w:rsid w:val="6E6F4B74"/>
    <w:rsid w:val="6EC71DCE"/>
    <w:rsid w:val="6F2C4380"/>
    <w:rsid w:val="6F9A51B4"/>
    <w:rsid w:val="700F4E10"/>
    <w:rsid w:val="712212A8"/>
    <w:rsid w:val="729C6C52"/>
    <w:rsid w:val="7360397C"/>
    <w:rsid w:val="73C97CC3"/>
    <w:rsid w:val="745A6681"/>
    <w:rsid w:val="747A2D07"/>
    <w:rsid w:val="749B240F"/>
    <w:rsid w:val="76265BB9"/>
    <w:rsid w:val="782F45C9"/>
    <w:rsid w:val="787F5584"/>
    <w:rsid w:val="788F3346"/>
    <w:rsid w:val="78DC024C"/>
    <w:rsid w:val="7957032B"/>
    <w:rsid w:val="79A731EA"/>
    <w:rsid w:val="7A0C7430"/>
    <w:rsid w:val="7A4E7799"/>
    <w:rsid w:val="7ABC3BBA"/>
    <w:rsid w:val="7ACA3DAA"/>
    <w:rsid w:val="7CCC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napToGrid w:val="0"/>
      <w:spacing w:before="156" w:after="156" w:line="240" w:lineRule="auto"/>
      <w:jc w:val="both"/>
    </w:pPr>
    <w:rPr>
      <w:rFonts w:ascii="汉仪正圆 55简" w:hAnsi="汉仪正圆 55简" w:eastAsia="仿宋" w:cstheme="minorBidi"/>
      <w:kern w:val="2"/>
      <w:sz w:val="24"/>
      <w:szCs w:val="22"/>
      <w:lang w:val="en-US" w:eastAsia="zh-CN" w:bidi="ar-SA"/>
    </w:rPr>
  </w:style>
  <w:style w:type="paragraph" w:styleId="2">
    <w:name w:val="heading 1"/>
    <w:basedOn w:val="1"/>
    <w:next w:val="1"/>
    <w:autoRedefine/>
    <w:qFormat/>
    <w:uiPriority w:val="0"/>
    <w:pPr>
      <w:keepNext/>
      <w:keepLines/>
      <w:numPr>
        <w:ilvl w:val="0"/>
        <w:numId w:val="1"/>
      </w:numPr>
      <w:tabs>
        <w:tab w:val="left" w:pos="0"/>
      </w:tabs>
      <w:adjustRightInd w:val="0"/>
      <w:snapToGrid w:val="0"/>
      <w:spacing w:before="50" w:beforeLines="50" w:line="264" w:lineRule="auto"/>
      <w:ind w:left="442" w:hanging="442"/>
      <w:outlineLvl w:val="0"/>
    </w:pPr>
    <w:rPr>
      <w:rFonts w:eastAsia="微软雅黑"/>
      <w:b/>
      <w:bCs/>
      <w:kern w:val="44"/>
      <w:sz w:val="32"/>
      <w:szCs w:val="32"/>
    </w:rPr>
  </w:style>
  <w:style w:type="paragraph" w:styleId="3">
    <w:name w:val="heading 2"/>
    <w:next w:val="1"/>
    <w:unhideWhenUsed/>
    <w:qFormat/>
    <w:uiPriority w:val="0"/>
    <w:pPr>
      <w:numPr>
        <w:ilvl w:val="1"/>
        <w:numId w:val="1"/>
      </w:numPr>
      <w:adjustRightInd w:val="0"/>
      <w:snapToGrid w:val="0"/>
      <w:spacing w:before="50" w:beforeLines="50" w:line="264" w:lineRule="auto"/>
      <w:outlineLvl w:val="1"/>
    </w:pPr>
    <w:rPr>
      <w:rFonts w:ascii="汉仪正圆 55简" w:hAnsi="汉仪正圆 55简" w:eastAsia="微软雅黑" w:cstheme="minorBidi"/>
      <w:b/>
      <w:bCs/>
      <w:kern w:val="2"/>
      <w:sz w:val="28"/>
      <w:szCs w:val="32"/>
      <w:lang w:val="en-US" w:eastAsia="zh-CN" w:bidi="ar-SA"/>
    </w:rPr>
  </w:style>
  <w:style w:type="paragraph" w:styleId="4">
    <w:name w:val="heading 3"/>
    <w:next w:val="1"/>
    <w:unhideWhenUsed/>
    <w:qFormat/>
    <w:uiPriority w:val="0"/>
    <w:pPr>
      <w:numPr>
        <w:ilvl w:val="2"/>
        <w:numId w:val="1"/>
      </w:numPr>
      <w:tabs>
        <w:tab w:val="left" w:pos="312"/>
      </w:tabs>
      <w:adjustRightInd w:val="0"/>
      <w:snapToGrid w:val="0"/>
      <w:spacing w:before="50" w:beforeLines="50" w:line="264" w:lineRule="auto"/>
      <w:outlineLvl w:val="2"/>
    </w:pPr>
    <w:rPr>
      <w:rFonts w:ascii="汉仪正圆 55简" w:hAnsi="汉仪正圆 55简" w:eastAsia="微软雅黑" w:cstheme="minorBidi"/>
      <w:b/>
      <w:bCs/>
      <w:color w:val="333333"/>
      <w:kern w:val="2"/>
      <w:sz w:val="28"/>
      <w:szCs w:val="28"/>
      <w:lang w:val="en-US" w:eastAsia="zh-CN" w:bidi="ar-SA"/>
    </w:rPr>
  </w:style>
  <w:style w:type="paragraph" w:styleId="5">
    <w:name w:val="heading 4"/>
    <w:next w:val="1"/>
    <w:semiHidden/>
    <w:unhideWhenUsed/>
    <w:qFormat/>
    <w:uiPriority w:val="0"/>
    <w:pPr>
      <w:numPr>
        <w:ilvl w:val="3"/>
        <w:numId w:val="1"/>
      </w:numPr>
      <w:ind w:left="0" w:firstLine="0"/>
      <w:outlineLvl w:val="3"/>
    </w:pPr>
    <w:rPr>
      <w:rFonts w:ascii="Arial" w:hAnsi="Arial" w:eastAsia="微软雅黑" w:cs="Times New Roman"/>
      <w:b/>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0"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0" w:firstLineChars="0"/>
      <w:outlineLvl w:val="5"/>
    </w:pPr>
    <w:rPr>
      <w:rFonts w:ascii="Arial" w:hAnsi="Arial" w:eastAsia="黑体"/>
      <w:b/>
      <w:sz w:val="24"/>
    </w:rPr>
  </w:style>
  <w:style w:type="paragraph" w:styleId="8">
    <w:name w:val="heading 7"/>
    <w:next w:val="1"/>
    <w:semiHidden/>
    <w:unhideWhenUsed/>
    <w:qFormat/>
    <w:uiPriority w:val="0"/>
    <w:pPr>
      <w:numPr>
        <w:ilvl w:val="6"/>
        <w:numId w:val="1"/>
      </w:numPr>
      <w:tabs>
        <w:tab w:val="left" w:pos="4800"/>
        <w:tab w:val="clear" w:pos="420"/>
      </w:tabs>
      <w:bidi w:val="0"/>
      <w:snapToGrid w:val="0"/>
      <w:spacing w:before="100" w:beforeLines="100" w:line="288" w:lineRule="auto"/>
      <w:ind w:left="0" w:leftChars="0" w:firstLine="0" w:firstLineChars="0"/>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0" w:firstLineChars="0"/>
      <w:outlineLvl w:val="8"/>
    </w:pPr>
    <w:rPr>
      <w:rFonts w:ascii="Arial" w:hAnsi="Arial" w:eastAsia="黑体"/>
      <w:sz w:val="21"/>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Times New Roman" w:hAnsi="Times New Roman" w:eastAsia="宋体"/>
      <w:b/>
      <w:color w:val="000000" w:themeColor="text1"/>
      <w:sz w:val="24"/>
      <w14:textFill>
        <w14:solidFill>
          <w14:schemeClr w14:val="tx1"/>
        </w14:solidFill>
      </w14:textFill>
    </w:rPr>
  </w:style>
  <w:style w:type="character" w:styleId="21">
    <w:name w:val="Hyperlink"/>
    <w:basedOn w:val="19"/>
    <w:qFormat/>
    <w:uiPriority w:val="0"/>
    <w:rPr>
      <w:color w:val="0000FF"/>
      <w:u w:val="single"/>
    </w:rPr>
  </w:style>
  <w:style w:type="paragraph" w:customStyle="1" w:styleId="22">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10454</Words>
  <Characters>11231</Characters>
  <Lines>0</Lines>
  <Paragraphs>0</Paragraphs>
  <TotalTime>2</TotalTime>
  <ScaleCrop>false</ScaleCrop>
  <LinksUpToDate>false</LinksUpToDate>
  <CharactersWithSpaces>11529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2024-10-29T15:21:00Z</dcterms:created>
  <dc:creator>余麟</dc:creator>
  <cp:lastModifiedBy>余麟</cp:lastModifiedBy>
  <dcterms:modified xsi:type="dcterms:W3CDTF">2024-11-15T03:11:15Z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046D681FACF44165BF01CC2EED0744D2_11</vt:lpwstr>
  </property>
</Properties>
</file>