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A08FD">
      <w:pPr>
        <w:pStyle w:val="16"/>
        <w:ind w:firstLine="0" w:firstLineChars="0"/>
        <w:rPr>
          <w:rFonts w:ascii="宋体" w:hAnsi="宋体" w:cs="宋体"/>
          <w:b/>
          <w:color w:val="auto"/>
          <w:sz w:val="52"/>
          <w:szCs w:val="52"/>
          <w:lang w:val="zh-CN"/>
        </w:rPr>
      </w:pPr>
    </w:p>
    <w:p w14:paraId="4AB11A19">
      <w:pPr>
        <w:spacing w:line="240" w:lineRule="auto"/>
        <w:ind w:firstLine="0" w:firstLineChars="0"/>
        <w:jc w:val="center"/>
        <w:rPr>
          <w:rFonts w:ascii="宋体" w:hAnsi="宋体" w:cs="宋体"/>
          <w:b/>
          <w:color w:val="auto"/>
          <w:sz w:val="36"/>
          <w:szCs w:val="36"/>
          <w:lang w:val="zh-CN"/>
        </w:rPr>
      </w:pPr>
      <w:bookmarkStart w:id="0" w:name="_Toc15022"/>
      <w:bookmarkStart w:id="1" w:name="_Toc29473"/>
      <w:bookmarkStart w:id="2" w:name="_Toc32399"/>
    </w:p>
    <w:p w14:paraId="4BD2354F">
      <w:pPr>
        <w:tabs>
          <w:tab w:val="center" w:pos="4932"/>
          <w:tab w:val="left" w:pos="8491"/>
        </w:tabs>
        <w:spacing w:line="240" w:lineRule="auto"/>
        <w:ind w:firstLine="0" w:firstLineChars="0"/>
        <w:jc w:val="center"/>
        <w:outlineLvl w:val="0"/>
        <w:rPr>
          <w:rFonts w:hint="eastAsia" w:ascii="宋体" w:hAnsi="宋体" w:cs="宋体"/>
          <w:b/>
          <w:color w:val="auto"/>
          <w:sz w:val="32"/>
          <w:szCs w:val="32"/>
          <w:lang w:val="zh-CN"/>
        </w:rPr>
      </w:pPr>
      <w:bookmarkStart w:id="3" w:name="_Toc22968"/>
      <w:bookmarkStart w:id="4" w:name="_Toc9211"/>
      <w:bookmarkStart w:id="5" w:name="_Toc27751"/>
      <w:bookmarkStart w:id="6" w:name="_Toc15456"/>
      <w:bookmarkStart w:id="7" w:name="_Toc22519"/>
      <w:bookmarkStart w:id="8" w:name="_Toc2899"/>
      <w:r>
        <w:rPr>
          <w:rFonts w:hint="eastAsia" w:ascii="宋体" w:hAnsi="宋体" w:cs="宋体"/>
          <w:b/>
          <w:color w:val="auto"/>
          <w:sz w:val="32"/>
          <w:szCs w:val="32"/>
          <w:lang w:val="zh-CN"/>
        </w:rPr>
        <w:t>龙游经济开发区基础设施配套工程-城南特勤消防站家具采购项目</w:t>
      </w:r>
    </w:p>
    <w:p w14:paraId="356A2E35">
      <w:pPr>
        <w:tabs>
          <w:tab w:val="center" w:pos="4932"/>
          <w:tab w:val="left" w:pos="8491"/>
        </w:tabs>
        <w:spacing w:line="240" w:lineRule="auto"/>
        <w:ind w:firstLine="0" w:firstLineChars="0"/>
        <w:jc w:val="center"/>
        <w:outlineLvl w:val="9"/>
        <w:rPr>
          <w:rFonts w:hint="eastAsia" w:ascii="宋体" w:hAnsi="宋体" w:cs="宋体"/>
          <w:b/>
          <w:color w:val="auto"/>
          <w:sz w:val="44"/>
          <w:szCs w:val="44"/>
          <w:lang w:val="zh-CN"/>
        </w:rPr>
      </w:pPr>
    </w:p>
    <w:bookmarkEnd w:id="0"/>
    <w:bookmarkEnd w:id="1"/>
    <w:bookmarkEnd w:id="2"/>
    <w:bookmarkEnd w:id="3"/>
    <w:bookmarkEnd w:id="4"/>
    <w:bookmarkEnd w:id="5"/>
    <w:bookmarkEnd w:id="6"/>
    <w:bookmarkEnd w:id="7"/>
    <w:bookmarkEnd w:id="8"/>
    <w:p w14:paraId="71BD5C6C">
      <w:pPr>
        <w:tabs>
          <w:tab w:val="center" w:pos="4932"/>
          <w:tab w:val="left" w:pos="8491"/>
        </w:tabs>
        <w:spacing w:line="240" w:lineRule="auto"/>
        <w:ind w:firstLine="0" w:firstLineChars="0"/>
        <w:jc w:val="center"/>
        <w:outlineLvl w:val="0"/>
        <w:rPr>
          <w:rFonts w:hint="eastAsia" w:ascii="宋体" w:hAnsi="宋体"/>
          <w:b/>
          <w:bCs/>
          <w:color w:val="auto"/>
          <w:sz w:val="32"/>
          <w:szCs w:val="32"/>
          <w:lang w:val="zh-CN"/>
        </w:rPr>
      </w:pPr>
      <w:bookmarkStart w:id="9" w:name="_Toc4828"/>
    </w:p>
    <w:p w14:paraId="2D2F2067">
      <w:pPr>
        <w:tabs>
          <w:tab w:val="center" w:pos="4932"/>
          <w:tab w:val="left" w:pos="8491"/>
        </w:tabs>
        <w:spacing w:line="240" w:lineRule="auto"/>
        <w:ind w:firstLine="0" w:firstLineChars="0"/>
        <w:jc w:val="center"/>
        <w:outlineLvl w:val="0"/>
        <w:rPr>
          <w:rFonts w:ascii="宋体" w:hAnsi="宋体" w:cs="宋体"/>
          <w:b/>
          <w:color w:val="auto"/>
          <w:sz w:val="44"/>
          <w:szCs w:val="44"/>
          <w:lang w:val="zh-CN"/>
        </w:rPr>
      </w:pPr>
      <w:r>
        <w:rPr>
          <w:rFonts w:hint="eastAsia" w:ascii="宋体" w:hAnsi="宋体"/>
          <w:b/>
          <w:bCs/>
          <w:color w:val="auto"/>
          <w:sz w:val="32"/>
          <w:szCs w:val="32"/>
          <w:lang w:val="zh-CN"/>
        </w:rPr>
        <w:t>项目编号：</w:t>
      </w:r>
      <w:bookmarkEnd w:id="9"/>
      <w:r>
        <w:rPr>
          <w:rFonts w:hint="eastAsia" w:ascii="宋体" w:hAnsi="宋体"/>
          <w:b/>
          <w:bCs/>
          <w:color w:val="auto"/>
          <w:sz w:val="32"/>
          <w:szCs w:val="32"/>
          <w:u w:val="none"/>
          <w:lang w:val="zh-CN"/>
        </w:rPr>
        <w:t>ZJZHGL2025-005</w:t>
      </w:r>
    </w:p>
    <w:p w14:paraId="48AF525B">
      <w:pPr>
        <w:pStyle w:val="4"/>
        <w:numPr>
          <w:ilvl w:val="255"/>
          <w:numId w:val="0"/>
        </w:numPr>
        <w:spacing w:before="156" w:after="156"/>
        <w:jc w:val="both"/>
        <w:outlineLvl w:val="9"/>
        <w:rPr>
          <w:color w:val="auto"/>
        </w:rPr>
      </w:pPr>
    </w:p>
    <w:p w14:paraId="5AED96ED">
      <w:pPr>
        <w:pStyle w:val="12"/>
      </w:pPr>
    </w:p>
    <w:p w14:paraId="5D3079D0"/>
    <w:p w14:paraId="0FC85824">
      <w:pPr>
        <w:pStyle w:val="3"/>
        <w:numPr>
          <w:ilvl w:val="0"/>
          <w:numId w:val="0"/>
        </w:numPr>
        <w:spacing w:before="312" w:after="312"/>
        <w:rPr>
          <w:b w:val="0"/>
          <w:color w:val="auto"/>
          <w:sz w:val="84"/>
          <w:szCs w:val="84"/>
        </w:rPr>
      </w:pPr>
      <w:bookmarkStart w:id="10" w:name="_Toc20415"/>
      <w:bookmarkStart w:id="11" w:name="_Toc29899"/>
      <w:bookmarkStart w:id="12" w:name="_Toc1315"/>
      <w:bookmarkStart w:id="13" w:name="_Toc3353"/>
      <w:bookmarkStart w:id="14" w:name="_Toc316"/>
      <w:bookmarkStart w:id="15" w:name="_Toc3816"/>
      <w:bookmarkStart w:id="16" w:name="_Toc21191"/>
      <w:bookmarkStart w:id="17" w:name="_Toc2996"/>
      <w:bookmarkStart w:id="18" w:name="_Toc22836"/>
      <w:bookmarkStart w:id="19" w:name="_Toc14416"/>
      <w:bookmarkStart w:id="20" w:name="_Toc30029"/>
      <w:bookmarkStart w:id="21" w:name="_Toc32532"/>
      <w:bookmarkStart w:id="22" w:name="_Toc18946"/>
      <w:bookmarkStart w:id="23" w:name="_Toc22509"/>
      <w:bookmarkStart w:id="24" w:name="_Toc19234"/>
      <w:bookmarkStart w:id="25" w:name="_Toc3604"/>
      <w:bookmarkStart w:id="26" w:name="_Toc31437"/>
      <w:bookmarkStart w:id="27" w:name="_Toc24377"/>
      <w:bookmarkStart w:id="28" w:name="_Toc3452"/>
      <w:bookmarkStart w:id="29" w:name="_Toc7862"/>
      <w:bookmarkStart w:id="30" w:name="_Toc16998"/>
      <w:bookmarkStart w:id="31" w:name="_Toc29628"/>
      <w:bookmarkStart w:id="32" w:name="_Toc9907"/>
      <w:bookmarkStart w:id="33" w:name="_Toc13806"/>
      <w:r>
        <w:rPr>
          <w:color w:val="auto"/>
          <w:sz w:val="84"/>
          <w:szCs w:val="84"/>
        </w:rPr>
        <w:t>公开招标文件</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369EE09">
      <w:pPr>
        <w:adjustRightInd w:val="0"/>
        <w:snapToGrid w:val="0"/>
        <w:spacing w:line="800" w:lineRule="exact"/>
        <w:ind w:firstLine="2249" w:firstLineChars="700"/>
        <w:outlineLvl w:val="0"/>
        <w:rPr>
          <w:rFonts w:hint="eastAsia" w:ascii="宋体" w:hAnsi="宋体"/>
          <w:b/>
          <w:bCs/>
          <w:color w:val="auto"/>
          <w:sz w:val="32"/>
          <w:szCs w:val="32"/>
          <w:u w:val="single"/>
          <w:lang w:val="zh-CN"/>
        </w:rPr>
      </w:pPr>
    </w:p>
    <w:p w14:paraId="78276CC2">
      <w:pPr>
        <w:ind w:firstLine="0" w:firstLineChars="0"/>
        <w:rPr>
          <w:rFonts w:ascii="宋体" w:hAnsi="宋体" w:cs="宋体"/>
          <w:b/>
          <w:color w:val="auto"/>
        </w:rPr>
      </w:pPr>
    </w:p>
    <w:p w14:paraId="7B85371D">
      <w:pPr>
        <w:ind w:firstLine="0" w:firstLineChars="0"/>
        <w:rPr>
          <w:color w:val="auto"/>
          <w:lang w:val="zh-CN"/>
        </w:rPr>
      </w:pPr>
    </w:p>
    <w:p w14:paraId="0B5AED5A">
      <w:pPr>
        <w:pStyle w:val="43"/>
        <w:ind w:left="960" w:firstLine="560"/>
        <w:rPr>
          <w:color w:val="auto"/>
          <w:lang w:val="zh-CN"/>
        </w:rPr>
      </w:pPr>
    </w:p>
    <w:p w14:paraId="7B5FDF87">
      <w:pPr>
        <w:pStyle w:val="44"/>
        <w:rPr>
          <w:color w:val="auto"/>
          <w:lang w:val="zh-CN"/>
        </w:rPr>
      </w:pPr>
    </w:p>
    <w:p w14:paraId="6539EB46">
      <w:pPr>
        <w:pStyle w:val="44"/>
        <w:rPr>
          <w:color w:val="auto"/>
          <w:lang w:val="zh-CN"/>
        </w:rPr>
      </w:pPr>
    </w:p>
    <w:p w14:paraId="106039FA">
      <w:pPr>
        <w:keepNext w:val="0"/>
        <w:keepLines w:val="0"/>
        <w:pageBreakBefore w:val="0"/>
        <w:widowControl w:val="0"/>
        <w:kinsoku/>
        <w:wordWrap/>
        <w:overflowPunct/>
        <w:topLinePunct w:val="0"/>
        <w:autoSpaceDE/>
        <w:autoSpaceDN/>
        <w:bidi w:val="0"/>
        <w:adjustRightInd w:val="0"/>
        <w:snapToGrid w:val="0"/>
        <w:spacing w:line="900" w:lineRule="exact"/>
        <w:ind w:firstLine="964" w:firstLineChars="300"/>
        <w:textAlignment w:val="auto"/>
        <w:outlineLvl w:val="0"/>
        <w:rPr>
          <w:rFonts w:ascii="宋体" w:hAnsi="宋体"/>
          <w:b/>
          <w:bCs/>
          <w:color w:val="auto"/>
          <w:sz w:val="32"/>
          <w:szCs w:val="32"/>
          <w:u w:val="single"/>
          <w:lang w:val="zh-CN"/>
        </w:rPr>
      </w:pPr>
      <w:bookmarkStart w:id="34" w:name="_Toc5623"/>
      <w:bookmarkStart w:id="35" w:name="_Toc10292"/>
      <w:bookmarkStart w:id="36" w:name="_Toc6812"/>
      <w:bookmarkStart w:id="37" w:name="_Toc17343"/>
      <w:bookmarkStart w:id="38" w:name="_Toc17773"/>
      <w:bookmarkStart w:id="39" w:name="_Toc21898"/>
      <w:bookmarkStart w:id="40" w:name="_Toc21088"/>
      <w:bookmarkStart w:id="41" w:name="_Toc19150"/>
      <w:bookmarkStart w:id="42" w:name="_Toc25590"/>
      <w:bookmarkStart w:id="43" w:name="_Toc10073"/>
      <w:bookmarkStart w:id="44" w:name="_Toc5870"/>
      <w:bookmarkStart w:id="45" w:name="_Toc13995"/>
      <w:bookmarkStart w:id="46" w:name="_Toc11886"/>
      <w:r>
        <w:rPr>
          <w:rFonts w:hint="eastAsia" w:ascii="宋体" w:hAnsi="宋体"/>
          <w:b/>
          <w:bCs/>
          <w:color w:val="auto"/>
          <w:sz w:val="32"/>
          <w:szCs w:val="32"/>
          <w:lang w:val="zh-CN"/>
        </w:rPr>
        <w:t>采</w:t>
      </w:r>
      <w:r>
        <w:rPr>
          <w:rFonts w:hint="eastAsia" w:ascii="宋体" w:hAnsi="宋体"/>
          <w:b/>
          <w:bCs/>
          <w:color w:val="auto"/>
          <w:sz w:val="32"/>
          <w:szCs w:val="32"/>
          <w:lang w:val="en-US" w:eastAsia="zh-CN"/>
        </w:rPr>
        <w:t xml:space="preserve">   </w:t>
      </w:r>
      <w:r>
        <w:rPr>
          <w:rFonts w:hint="eastAsia" w:ascii="宋体" w:hAnsi="宋体"/>
          <w:b/>
          <w:bCs/>
          <w:color w:val="auto"/>
          <w:sz w:val="32"/>
          <w:szCs w:val="32"/>
          <w:lang w:val="zh-CN"/>
        </w:rPr>
        <w:t>购</w:t>
      </w:r>
      <w:r>
        <w:rPr>
          <w:rFonts w:hint="eastAsia" w:ascii="宋体" w:hAnsi="宋体"/>
          <w:b/>
          <w:bCs/>
          <w:color w:val="auto"/>
          <w:sz w:val="32"/>
          <w:szCs w:val="32"/>
          <w:lang w:val="en-US" w:eastAsia="zh-CN"/>
        </w:rPr>
        <w:t xml:space="preserve">   </w:t>
      </w:r>
      <w:r>
        <w:rPr>
          <w:rFonts w:hint="eastAsia" w:ascii="宋体" w:hAnsi="宋体"/>
          <w:b/>
          <w:bCs/>
          <w:color w:val="auto"/>
          <w:sz w:val="32"/>
          <w:szCs w:val="32"/>
          <w:lang w:val="zh-CN"/>
        </w:rPr>
        <w:t>人：</w:t>
      </w:r>
      <w:r>
        <w:rPr>
          <w:rFonts w:hint="eastAsia" w:ascii="宋体" w:hAnsi="宋体"/>
          <w:b/>
          <w:bCs/>
          <w:color w:val="auto"/>
          <w:sz w:val="32"/>
          <w:szCs w:val="32"/>
          <w:u w:val="single"/>
          <w:lang w:val="zh-CN"/>
        </w:rPr>
        <w:t>龙游兴园基础设施建设有限公司</w:t>
      </w:r>
      <w:r>
        <w:rPr>
          <w:rFonts w:hint="eastAsia" w:ascii="宋体" w:hAnsi="宋体"/>
          <w:b/>
          <w:bCs/>
          <w:color w:val="auto"/>
          <w:sz w:val="32"/>
          <w:szCs w:val="32"/>
          <w:u w:val="single"/>
          <w:lang w:val="en-US" w:eastAsia="zh-CN"/>
        </w:rPr>
        <w:t xml:space="preserve">      </w:t>
      </w:r>
      <w:r>
        <w:rPr>
          <w:rFonts w:hint="eastAsia" w:ascii="宋体" w:hAnsi="宋体"/>
          <w:b/>
          <w:bCs/>
          <w:color w:val="auto"/>
          <w:sz w:val="32"/>
          <w:szCs w:val="32"/>
          <w:u w:val="single"/>
          <w:lang w:val="zh-CN"/>
        </w:rPr>
        <w:t>（</w:t>
      </w:r>
      <w:r>
        <w:rPr>
          <w:rFonts w:hint="eastAsia" w:ascii="宋体" w:hAnsi="宋体"/>
          <w:b/>
          <w:bCs/>
          <w:color w:val="auto"/>
          <w:sz w:val="32"/>
          <w:szCs w:val="32"/>
          <w:u w:val="single"/>
        </w:rPr>
        <w:t>盖章</w:t>
      </w:r>
      <w:r>
        <w:rPr>
          <w:rFonts w:hint="eastAsia" w:ascii="宋体" w:hAnsi="宋体"/>
          <w:b/>
          <w:bCs/>
          <w:color w:val="auto"/>
          <w:sz w:val="32"/>
          <w:szCs w:val="32"/>
          <w:u w:val="single"/>
          <w:lang w:val="zh-CN"/>
        </w:rPr>
        <w:t>）</w:t>
      </w:r>
      <w:bookmarkEnd w:id="34"/>
      <w:bookmarkEnd w:id="35"/>
      <w:bookmarkEnd w:id="36"/>
      <w:bookmarkEnd w:id="37"/>
      <w:bookmarkEnd w:id="38"/>
      <w:bookmarkEnd w:id="39"/>
      <w:bookmarkEnd w:id="40"/>
      <w:bookmarkEnd w:id="41"/>
      <w:bookmarkEnd w:id="42"/>
      <w:bookmarkEnd w:id="43"/>
      <w:bookmarkEnd w:id="44"/>
    </w:p>
    <w:p w14:paraId="1984E14B">
      <w:pPr>
        <w:keepNext w:val="0"/>
        <w:keepLines w:val="0"/>
        <w:pageBreakBefore w:val="0"/>
        <w:widowControl w:val="0"/>
        <w:kinsoku/>
        <w:wordWrap/>
        <w:overflowPunct/>
        <w:topLinePunct w:val="0"/>
        <w:autoSpaceDE/>
        <w:autoSpaceDN/>
        <w:bidi w:val="0"/>
        <w:adjustRightInd w:val="0"/>
        <w:snapToGrid w:val="0"/>
        <w:spacing w:line="900" w:lineRule="exact"/>
        <w:ind w:firstLine="964" w:firstLineChars="300"/>
        <w:textAlignment w:val="auto"/>
        <w:outlineLvl w:val="0"/>
        <w:rPr>
          <w:rFonts w:ascii="宋体" w:hAnsi="宋体"/>
          <w:b/>
          <w:bCs/>
          <w:color w:val="auto"/>
          <w:sz w:val="44"/>
          <w:szCs w:val="44"/>
          <w:u w:val="single"/>
          <w:lang w:val="zh-CN"/>
        </w:rPr>
      </w:pPr>
      <w:bookmarkStart w:id="47" w:name="_Toc22952"/>
      <w:bookmarkStart w:id="48" w:name="_Toc8207"/>
      <w:bookmarkStart w:id="49" w:name="_Toc23740"/>
      <w:bookmarkStart w:id="50" w:name="_Toc6155"/>
      <w:bookmarkStart w:id="51" w:name="_Toc28723"/>
      <w:bookmarkStart w:id="52" w:name="_Toc11940"/>
      <w:bookmarkStart w:id="53" w:name="_Toc17588"/>
      <w:bookmarkStart w:id="54" w:name="_Toc11169"/>
      <w:bookmarkStart w:id="55" w:name="_Toc21860"/>
      <w:bookmarkStart w:id="56" w:name="_Toc5468"/>
      <w:bookmarkStart w:id="57" w:name="_Toc11450"/>
      <w:bookmarkStart w:id="58" w:name="_Toc17743"/>
      <w:bookmarkStart w:id="59" w:name="_Toc10453"/>
      <w:bookmarkStart w:id="60" w:name="_Toc13576"/>
      <w:r>
        <w:rPr>
          <w:rFonts w:hint="eastAsia" w:ascii="宋体" w:hAnsi="宋体"/>
          <w:b/>
          <w:bCs/>
          <w:color w:val="auto"/>
          <w:sz w:val="32"/>
          <w:szCs w:val="32"/>
        </w:rPr>
        <w:t>采购</w:t>
      </w:r>
      <w:r>
        <w:rPr>
          <w:rFonts w:hint="eastAsia" w:ascii="宋体" w:hAnsi="宋体"/>
          <w:b/>
          <w:bCs/>
          <w:color w:val="auto"/>
          <w:sz w:val="32"/>
          <w:szCs w:val="32"/>
          <w:lang w:val="zh-CN"/>
        </w:rPr>
        <w:t>代理机构：</w:t>
      </w:r>
      <w:bookmarkEnd w:id="47"/>
      <w:bookmarkEnd w:id="48"/>
      <w:bookmarkEnd w:id="49"/>
      <w:r>
        <w:rPr>
          <w:rFonts w:hint="eastAsia" w:ascii="宋体" w:hAnsi="宋体"/>
          <w:b/>
          <w:bCs/>
          <w:color w:val="auto"/>
          <w:sz w:val="32"/>
          <w:szCs w:val="32"/>
          <w:u w:val="single"/>
          <w:lang w:val="zh-CN"/>
        </w:rPr>
        <w:t>浙江中合工程管理有限公司</w:t>
      </w:r>
      <w:r>
        <w:rPr>
          <w:rFonts w:hint="eastAsia" w:ascii="宋体" w:hAnsi="宋体"/>
          <w:b/>
          <w:bCs/>
          <w:color w:val="auto"/>
          <w:sz w:val="32"/>
          <w:szCs w:val="32"/>
          <w:u w:val="single"/>
          <w:lang w:val="en-US" w:eastAsia="zh-CN"/>
        </w:rPr>
        <w:t xml:space="preserve">          </w:t>
      </w:r>
      <w:r>
        <w:rPr>
          <w:rFonts w:hint="eastAsia" w:ascii="宋体" w:hAnsi="宋体"/>
          <w:b/>
          <w:bCs/>
          <w:color w:val="auto"/>
          <w:sz w:val="32"/>
          <w:szCs w:val="32"/>
          <w:u w:val="single"/>
          <w:lang w:val="zh-CN"/>
        </w:rPr>
        <w:t>（</w:t>
      </w:r>
      <w:r>
        <w:rPr>
          <w:rFonts w:hint="eastAsia" w:ascii="宋体" w:hAnsi="宋体"/>
          <w:b/>
          <w:bCs/>
          <w:color w:val="auto"/>
          <w:sz w:val="32"/>
          <w:szCs w:val="32"/>
          <w:u w:val="single"/>
        </w:rPr>
        <w:t>盖章</w:t>
      </w:r>
      <w:r>
        <w:rPr>
          <w:rFonts w:hint="eastAsia" w:ascii="宋体" w:hAnsi="宋体"/>
          <w:b/>
          <w:bCs/>
          <w:color w:val="auto"/>
          <w:sz w:val="32"/>
          <w:szCs w:val="32"/>
          <w:u w:val="single"/>
          <w:lang w:val="zh-CN"/>
        </w:rPr>
        <w:t>）</w:t>
      </w:r>
      <w:bookmarkEnd w:id="50"/>
      <w:bookmarkEnd w:id="51"/>
      <w:bookmarkEnd w:id="52"/>
      <w:bookmarkEnd w:id="53"/>
      <w:bookmarkEnd w:id="54"/>
      <w:bookmarkEnd w:id="55"/>
      <w:bookmarkEnd w:id="56"/>
      <w:bookmarkEnd w:id="57"/>
      <w:bookmarkEnd w:id="58"/>
      <w:bookmarkEnd w:id="59"/>
      <w:bookmarkEnd w:id="60"/>
    </w:p>
    <w:p w14:paraId="33A890B5">
      <w:pPr>
        <w:pStyle w:val="35"/>
        <w:ind w:left="0" w:leftChars="0" w:firstLine="0" w:firstLineChars="0"/>
        <w:jc w:val="left"/>
        <w:rPr>
          <w:rFonts w:hint="default" w:hAnsi="宋体"/>
          <w:b/>
          <w:bCs/>
          <w:color w:val="auto"/>
          <w:sz w:val="32"/>
          <w:szCs w:val="32"/>
          <w:lang w:val="zh-CN"/>
        </w:rPr>
      </w:pPr>
    </w:p>
    <w:p w14:paraId="48C95D7E">
      <w:pPr>
        <w:pStyle w:val="47"/>
        <w:rPr>
          <w:rFonts w:hint="default"/>
          <w:lang w:val="zh-CN"/>
        </w:rPr>
      </w:pPr>
    </w:p>
    <w:p w14:paraId="0D567F41">
      <w:pPr>
        <w:pStyle w:val="35"/>
        <w:ind w:left="0" w:leftChars="0" w:firstLine="0" w:firstLineChars="0"/>
        <w:jc w:val="center"/>
        <w:rPr>
          <w:rFonts w:hint="default" w:hAnsi="宋体"/>
          <w:b/>
          <w:bCs/>
          <w:color w:val="auto"/>
          <w:kern w:val="2"/>
          <w:sz w:val="32"/>
          <w:szCs w:val="32"/>
          <w:lang w:val="zh-CN"/>
        </w:rPr>
      </w:pPr>
      <w:r>
        <w:rPr>
          <w:rFonts w:hAnsi="宋体"/>
          <w:b/>
          <w:bCs/>
          <w:color w:val="auto"/>
          <w:kern w:val="2"/>
          <w:sz w:val="32"/>
          <w:szCs w:val="32"/>
          <w:lang w:val="zh-CN"/>
        </w:rPr>
        <w:t>二〇二</w:t>
      </w:r>
      <w:r>
        <w:rPr>
          <w:rFonts w:hint="eastAsia" w:hAnsi="宋体"/>
          <w:b/>
          <w:bCs/>
          <w:color w:val="auto"/>
          <w:kern w:val="2"/>
          <w:sz w:val="32"/>
          <w:szCs w:val="32"/>
          <w:lang w:val="en-US" w:eastAsia="zh-CN"/>
        </w:rPr>
        <w:t>五</w:t>
      </w:r>
      <w:r>
        <w:rPr>
          <w:rFonts w:hAnsi="宋体"/>
          <w:b/>
          <w:bCs/>
          <w:color w:val="auto"/>
          <w:kern w:val="2"/>
          <w:sz w:val="32"/>
          <w:szCs w:val="32"/>
          <w:lang w:val="zh-CN"/>
        </w:rPr>
        <w:t>年</w:t>
      </w:r>
      <w:r>
        <w:rPr>
          <w:rFonts w:hint="eastAsia" w:hAnsi="宋体"/>
          <w:b/>
          <w:bCs/>
          <w:color w:val="auto"/>
          <w:kern w:val="2"/>
          <w:sz w:val="32"/>
          <w:szCs w:val="32"/>
          <w:lang w:val="en-US" w:eastAsia="zh-CN"/>
        </w:rPr>
        <w:t>一</w:t>
      </w:r>
      <w:r>
        <w:rPr>
          <w:rFonts w:hAnsi="宋体"/>
          <w:b/>
          <w:bCs/>
          <w:color w:val="auto"/>
          <w:kern w:val="2"/>
          <w:sz w:val="32"/>
          <w:szCs w:val="32"/>
          <w:lang w:val="zh-CN"/>
        </w:rPr>
        <w:t>月</w:t>
      </w:r>
    </w:p>
    <w:bookmarkEnd w:id="45"/>
    <w:bookmarkEnd w:id="46"/>
    <w:p w14:paraId="15209614">
      <w:pPr>
        <w:ind w:firstLine="0" w:firstLineChars="0"/>
        <w:jc w:val="center"/>
        <w:rPr>
          <w:rFonts w:hint="eastAsia" w:ascii="宋体" w:hAnsi="宋体" w:cs="宋体"/>
          <w:b/>
          <w:color w:val="auto"/>
          <w:sz w:val="44"/>
          <w:szCs w:val="44"/>
        </w:rPr>
        <w:sectPr>
          <w:headerReference r:id="rId6" w:type="first"/>
          <w:headerReference r:id="rId5" w:type="default"/>
          <w:footerReference r:id="rId7" w:type="default"/>
          <w:pgSz w:w="11906" w:h="16838"/>
          <w:pgMar w:top="1440" w:right="1080" w:bottom="1440" w:left="1080" w:header="737" w:footer="964" w:gutter="0"/>
          <w:pgBorders>
            <w:top w:val="none" w:sz="0" w:space="0"/>
            <w:left w:val="none" w:sz="0" w:space="0"/>
            <w:bottom w:val="none" w:sz="0" w:space="0"/>
            <w:right w:val="none" w:sz="0" w:space="0"/>
          </w:pgBorders>
          <w:cols w:space="720" w:num="1"/>
          <w:titlePg/>
          <w:docGrid w:type="lines" w:linePitch="312" w:charSpace="0"/>
        </w:sectPr>
      </w:pPr>
    </w:p>
    <w:p w14:paraId="69A1FC74">
      <w:pPr>
        <w:ind w:firstLine="0" w:firstLineChars="0"/>
        <w:jc w:val="center"/>
        <w:rPr>
          <w:rFonts w:ascii="宋体" w:hAnsi="宋体" w:cs="宋体"/>
          <w:color w:val="auto"/>
        </w:rPr>
      </w:pPr>
      <w:r>
        <w:rPr>
          <w:rFonts w:hint="eastAsia" w:ascii="宋体" w:hAnsi="宋体" w:cs="宋体"/>
          <w:b/>
          <w:color w:val="auto"/>
          <w:sz w:val="44"/>
          <w:szCs w:val="44"/>
        </w:rPr>
        <w:t>目  录</w:t>
      </w:r>
    </w:p>
    <w:sdt>
      <w:sdtPr>
        <w:rPr>
          <w:rFonts w:ascii="宋体" w:hAnsi="宋体" w:eastAsia="宋体" w:cstheme="minorBidi"/>
          <w:color w:val="auto"/>
          <w:kern w:val="2"/>
          <w:sz w:val="21"/>
          <w:szCs w:val="24"/>
          <w:lang w:val="en-US" w:eastAsia="zh-CN" w:bidi="ar-SA"/>
        </w:rPr>
        <w:id w:val="147475695"/>
        <w15:color w:val="DBDBDB"/>
        <w:docPartObj>
          <w:docPartGallery w:val="Table of Contents"/>
          <w:docPartUnique/>
        </w:docPartObj>
      </w:sdtPr>
      <w:sdtEndPr>
        <w:rPr>
          <w:rFonts w:hint="eastAsia" w:ascii="Times New Roman" w:hAnsi="Times New Roman" w:eastAsia="宋体" w:cstheme="minorBidi"/>
          <w:b/>
          <w:bCs/>
          <w:color w:val="auto"/>
          <w:kern w:val="2"/>
          <w:sz w:val="36"/>
          <w:szCs w:val="36"/>
          <w:lang w:val="en-US" w:eastAsia="zh-CN" w:bidi="ar-SA"/>
        </w:rPr>
      </w:sdtEndPr>
      <w:sdtContent>
        <w:p w14:paraId="7C8AADDD">
          <w:pPr>
            <w:spacing w:before="0" w:beforeLines="0" w:after="0" w:afterLines="0" w:line="240" w:lineRule="auto"/>
            <w:ind w:left="0" w:leftChars="0" w:right="0" w:rightChars="0" w:firstLine="0" w:firstLineChars="0"/>
            <w:jc w:val="center"/>
            <w:rPr>
              <w:color w:val="auto"/>
            </w:rPr>
          </w:pPr>
        </w:p>
        <w:p w14:paraId="526306DD">
          <w:pPr>
            <w:pStyle w:val="85"/>
            <w:tabs>
              <w:tab w:val="right" w:leader="dot" w:pos="9746"/>
            </w:tabs>
            <w:rPr>
              <w:b/>
              <w:color w:val="auto"/>
            </w:rPr>
          </w:pPr>
          <w:r>
            <w:rPr>
              <w:rFonts w:hint="eastAsia" w:eastAsia="宋体"/>
              <w:bCs/>
              <w:color w:val="auto"/>
              <w:szCs w:val="36"/>
              <w:lang w:eastAsia="zh-CN"/>
            </w:rPr>
            <w:fldChar w:fldCharType="begin"/>
          </w:r>
          <w:r>
            <w:rPr>
              <w:rFonts w:hint="eastAsia" w:eastAsia="宋体"/>
              <w:bCs/>
              <w:color w:val="auto"/>
              <w:szCs w:val="36"/>
              <w:lang w:eastAsia="zh-CN"/>
            </w:rPr>
            <w:instrText xml:space="preserve">TOC \o "1-2" \h \u </w:instrText>
          </w:r>
          <w:r>
            <w:rPr>
              <w:rFonts w:hint="eastAsia" w:eastAsia="宋体"/>
              <w:bCs/>
              <w:color w:val="auto"/>
              <w:szCs w:val="36"/>
              <w:lang w:eastAsia="zh-CN"/>
            </w:rPr>
            <w:fldChar w:fldCharType="separate"/>
          </w:r>
        </w:p>
        <w:p w14:paraId="70CBBF35">
          <w:pPr>
            <w:pStyle w:val="85"/>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eastAsia="宋体" w:cs="宋体"/>
              <w:b/>
              <w:color w:val="auto"/>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\l _Toc15536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rPr>
            <w:t>第一章 招标公告</w:t>
          </w:r>
          <w:r>
            <w:rPr>
              <w:rFonts w:hint="eastAsia" w:ascii="宋体" w:hAnsi="宋体" w:eastAsia="宋体" w:cs="宋体"/>
              <w:b/>
              <w:color w:val="auto"/>
              <w:sz w:val="24"/>
              <w:szCs w:val="24"/>
            </w:rPr>
            <w:tab/>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 PAGEREF _Toc15536 \h </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1</w:t>
          </w:r>
          <w:r>
            <w:rPr>
              <w:rFonts w:hint="eastAsia" w:ascii="宋体" w:hAnsi="宋体" w:eastAsia="宋体" w:cs="宋体"/>
              <w:b/>
              <w:color w:val="auto"/>
              <w:sz w:val="24"/>
              <w:szCs w:val="24"/>
            </w:rPr>
            <w:fldChar w:fldCharType="end"/>
          </w:r>
          <w:r>
            <w:rPr>
              <w:rFonts w:hint="eastAsia" w:ascii="宋体" w:hAnsi="宋体" w:eastAsia="宋体" w:cs="宋体"/>
              <w:b/>
              <w:bCs/>
              <w:color w:val="auto"/>
              <w:sz w:val="24"/>
              <w:szCs w:val="24"/>
              <w:lang w:eastAsia="zh-CN"/>
            </w:rPr>
            <w:fldChar w:fldCharType="end"/>
          </w:r>
        </w:p>
        <w:p w14:paraId="6FC47EC3">
          <w:pPr>
            <w:pStyle w:val="85"/>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eastAsia="宋体" w:cs="宋体"/>
              <w:b/>
              <w:color w:val="auto"/>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\l _Toc25320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color w:val="auto"/>
              <w:sz w:val="24"/>
              <w:szCs w:val="24"/>
            </w:rPr>
            <w:t>第二章 投标人须知</w:t>
          </w:r>
          <w:r>
            <w:rPr>
              <w:rFonts w:hint="eastAsia" w:ascii="宋体" w:hAnsi="宋体" w:eastAsia="宋体" w:cs="宋体"/>
              <w:b/>
              <w:color w:val="auto"/>
              <w:sz w:val="24"/>
              <w:szCs w:val="24"/>
            </w:rPr>
            <w:tab/>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 PAGEREF _Toc25320 \h </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6</w:t>
          </w:r>
          <w:r>
            <w:rPr>
              <w:rFonts w:hint="eastAsia" w:ascii="宋体" w:hAnsi="宋体" w:eastAsia="宋体" w:cs="宋体"/>
              <w:b/>
              <w:color w:val="auto"/>
              <w:sz w:val="24"/>
              <w:szCs w:val="24"/>
            </w:rPr>
            <w:fldChar w:fldCharType="end"/>
          </w:r>
          <w:r>
            <w:rPr>
              <w:rFonts w:hint="eastAsia" w:ascii="宋体" w:hAnsi="宋体" w:eastAsia="宋体" w:cs="宋体"/>
              <w:b/>
              <w:bCs/>
              <w:color w:val="auto"/>
              <w:sz w:val="24"/>
              <w:szCs w:val="24"/>
              <w:lang w:eastAsia="zh-CN"/>
            </w:rPr>
            <w:fldChar w:fldCharType="end"/>
          </w:r>
        </w:p>
        <w:p w14:paraId="1816814A">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_Toc23471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一、投标人须知前附表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_Toc23471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24DE3CC5">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_Toc24498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二、总 则</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_Toc24498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10</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556A5070">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_Toc12052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三、招标文件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_Toc12052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14</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7F54F8BE">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_Toc31580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四、投标文件的编制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_Toc31580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354391F8">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_Toc16683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五、投标文件的递交</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_Toc16683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18</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30A2A255">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_Toc8698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六、投标无效的情形</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_Toc8698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18</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5279D391">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_Toc4681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七、废标的情形</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_Toc4681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19</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3EC226D3">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_Toc19668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八、开标、评标和定标</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_Toc19668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19</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4FBDC5E3">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_Toc28602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九、电子投标说明</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_Toc28602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22</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49BEEED5">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_Toc28837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十、纪律和监督</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_Toc28837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23</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37A727E9">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_Toc32549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十一、质疑和投诉</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_Toc32549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23</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151EA808">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_Toc30057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十二、授予合同</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_Toc30057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24</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3BAF896D">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_Toc20579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十三、法律责任</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_Toc20579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523B5928">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_Toc18390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rPr>
            <w:t>十四、诚信管理</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_Toc18390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26</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4D2F335C">
          <w:pPr>
            <w:pStyle w:val="86"/>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fldChar w:fldCharType="begin"/>
          </w:r>
          <w:r>
            <w:rPr>
              <w:rFonts w:hint="eastAsia" w:ascii="宋体" w:hAnsi="宋体" w:eastAsia="宋体" w:cs="宋体"/>
              <w:bCs/>
              <w:color w:val="auto"/>
              <w:sz w:val="24"/>
              <w:szCs w:val="24"/>
              <w:lang w:eastAsia="zh-CN"/>
            </w:rPr>
            <w:instrText xml:space="preserve"> HYPERLINK \l _Toc17223 </w:instrText>
          </w:r>
          <w:r>
            <w:rPr>
              <w:rFonts w:hint="eastAsia" w:ascii="宋体" w:hAnsi="宋体" w:eastAsia="宋体" w:cs="宋体"/>
              <w:bCs/>
              <w:color w:val="auto"/>
              <w:sz w:val="24"/>
              <w:szCs w:val="24"/>
              <w:lang w:eastAsia="zh-CN"/>
            </w:rPr>
            <w:fldChar w:fldCharType="separate"/>
          </w:r>
          <w:r>
            <w:rPr>
              <w:rFonts w:hint="eastAsia" w:ascii="宋体" w:hAnsi="宋体" w:eastAsia="宋体" w:cs="宋体"/>
              <w:bCs w:val="0"/>
              <w:color w:val="auto"/>
              <w:sz w:val="24"/>
              <w:szCs w:val="24"/>
              <w:lang w:bidi="ar"/>
            </w:rPr>
            <w:t>十五、其他</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_Toc17223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27</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lang w:eastAsia="zh-CN"/>
            </w:rPr>
            <w:fldChar w:fldCharType="end"/>
          </w:r>
        </w:p>
        <w:p w14:paraId="2C6A76AC">
          <w:pPr>
            <w:pStyle w:val="85"/>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eastAsia="宋体" w:cs="宋体"/>
              <w:b/>
              <w:color w:val="auto"/>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\l _Toc31430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color w:val="auto"/>
              <w:sz w:val="24"/>
              <w:szCs w:val="24"/>
            </w:rPr>
            <w:t>第三章 采购内容及要求</w:t>
          </w:r>
          <w:r>
            <w:rPr>
              <w:rFonts w:hint="eastAsia" w:ascii="宋体" w:hAnsi="宋体" w:eastAsia="宋体" w:cs="宋体"/>
              <w:b/>
              <w:color w:val="auto"/>
              <w:sz w:val="24"/>
              <w:szCs w:val="24"/>
            </w:rPr>
            <w:tab/>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 PAGEREF _Toc31430 \h </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28</w:t>
          </w:r>
          <w:r>
            <w:rPr>
              <w:rFonts w:hint="eastAsia" w:ascii="宋体" w:hAnsi="宋体" w:eastAsia="宋体" w:cs="宋体"/>
              <w:b/>
              <w:color w:val="auto"/>
              <w:sz w:val="24"/>
              <w:szCs w:val="24"/>
            </w:rPr>
            <w:fldChar w:fldCharType="end"/>
          </w:r>
          <w:r>
            <w:rPr>
              <w:rFonts w:hint="eastAsia" w:ascii="宋体" w:hAnsi="宋体" w:eastAsia="宋体" w:cs="宋体"/>
              <w:b/>
              <w:bCs/>
              <w:color w:val="auto"/>
              <w:sz w:val="24"/>
              <w:szCs w:val="24"/>
              <w:lang w:eastAsia="zh-CN"/>
            </w:rPr>
            <w:fldChar w:fldCharType="end"/>
          </w:r>
        </w:p>
        <w:p w14:paraId="01DE2C20">
          <w:pPr>
            <w:pStyle w:val="85"/>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eastAsia="宋体" w:cs="宋体"/>
              <w:b/>
              <w:color w:val="auto"/>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\l _Toc3334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color w:val="auto"/>
              <w:sz w:val="24"/>
              <w:szCs w:val="24"/>
            </w:rPr>
            <w:t xml:space="preserve">第四章 </w:t>
          </w:r>
          <w:r>
            <w:rPr>
              <w:rFonts w:hint="eastAsia" w:ascii="宋体" w:hAnsi="宋体" w:eastAsia="宋体" w:cs="宋体"/>
              <w:b/>
              <w:color w:val="auto"/>
              <w:sz w:val="24"/>
              <w:szCs w:val="24"/>
              <w:lang w:val="zh-CN"/>
            </w:rPr>
            <w:t>评标办法及评分标准</w:t>
          </w:r>
          <w:r>
            <w:rPr>
              <w:rFonts w:hint="eastAsia" w:ascii="宋体" w:hAnsi="宋体" w:eastAsia="宋体" w:cs="宋体"/>
              <w:b/>
              <w:color w:val="auto"/>
              <w:sz w:val="24"/>
              <w:szCs w:val="24"/>
            </w:rPr>
            <w:tab/>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 PAGEREF _Toc3334 \h </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28</w:t>
          </w:r>
          <w:r>
            <w:rPr>
              <w:rFonts w:hint="eastAsia" w:ascii="宋体" w:hAnsi="宋体" w:eastAsia="宋体" w:cs="宋体"/>
              <w:b/>
              <w:color w:val="auto"/>
              <w:sz w:val="24"/>
              <w:szCs w:val="24"/>
            </w:rPr>
            <w:fldChar w:fldCharType="end"/>
          </w:r>
          <w:r>
            <w:rPr>
              <w:rFonts w:hint="eastAsia" w:ascii="宋体" w:hAnsi="宋体" w:eastAsia="宋体" w:cs="宋体"/>
              <w:b/>
              <w:bCs/>
              <w:color w:val="auto"/>
              <w:sz w:val="24"/>
              <w:szCs w:val="24"/>
              <w:lang w:eastAsia="zh-CN"/>
            </w:rPr>
            <w:fldChar w:fldCharType="end"/>
          </w:r>
        </w:p>
        <w:p w14:paraId="3640AAD1">
          <w:pPr>
            <w:pStyle w:val="85"/>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eastAsia="宋体" w:cs="宋体"/>
              <w:b/>
              <w:color w:val="auto"/>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\l _Toc19275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color w:val="auto"/>
              <w:sz w:val="24"/>
              <w:szCs w:val="24"/>
              <w:lang w:val="zh-CN"/>
            </w:rPr>
            <w:t xml:space="preserve">第五章 </w:t>
          </w:r>
          <w:r>
            <w:rPr>
              <w:rFonts w:hint="eastAsia" w:ascii="宋体" w:hAnsi="宋体" w:eastAsia="宋体" w:cs="宋体"/>
              <w:b/>
              <w:color w:val="auto"/>
              <w:sz w:val="24"/>
              <w:szCs w:val="24"/>
            </w:rPr>
            <w:t>合同条款及格式</w:t>
          </w:r>
          <w:r>
            <w:rPr>
              <w:rFonts w:hint="eastAsia" w:ascii="宋体" w:hAnsi="宋体" w:eastAsia="宋体" w:cs="宋体"/>
              <w:b/>
              <w:color w:val="auto"/>
              <w:sz w:val="24"/>
              <w:szCs w:val="24"/>
            </w:rPr>
            <w:tab/>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 PAGEREF _Toc19275 \h </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78</w:t>
          </w:r>
          <w:r>
            <w:rPr>
              <w:rFonts w:hint="eastAsia" w:ascii="宋体" w:hAnsi="宋体" w:eastAsia="宋体" w:cs="宋体"/>
              <w:b/>
              <w:color w:val="auto"/>
              <w:sz w:val="24"/>
              <w:szCs w:val="24"/>
            </w:rPr>
            <w:fldChar w:fldCharType="end"/>
          </w:r>
          <w:r>
            <w:rPr>
              <w:rFonts w:hint="eastAsia" w:ascii="宋体" w:hAnsi="宋体" w:eastAsia="宋体" w:cs="宋体"/>
              <w:b/>
              <w:bCs/>
              <w:color w:val="auto"/>
              <w:sz w:val="24"/>
              <w:szCs w:val="24"/>
              <w:lang w:eastAsia="zh-CN"/>
            </w:rPr>
            <w:fldChar w:fldCharType="end"/>
          </w:r>
        </w:p>
        <w:p w14:paraId="1598B432">
          <w:pPr>
            <w:pStyle w:val="85"/>
            <w:keepNext w:val="0"/>
            <w:keepLines w:val="0"/>
            <w:pageBreakBefore w:val="0"/>
            <w:widowControl/>
            <w:tabs>
              <w:tab w:val="right" w:leader="dot" w:pos="9746"/>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eastAsia="宋体" w:cs="宋体"/>
              <w:b/>
              <w:color w:val="auto"/>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\l _Toc11744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color w:val="auto"/>
              <w:sz w:val="24"/>
              <w:szCs w:val="24"/>
            </w:rPr>
            <w:t>第六章 投标文件格式</w:t>
          </w:r>
          <w:r>
            <w:rPr>
              <w:rFonts w:hint="eastAsia" w:ascii="宋体" w:hAnsi="宋体" w:eastAsia="宋体" w:cs="宋体"/>
              <w:b/>
              <w:color w:val="auto"/>
              <w:sz w:val="24"/>
              <w:szCs w:val="24"/>
            </w:rPr>
            <w:tab/>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 PAGEREF _Toc11744 \h </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78</w:t>
          </w:r>
          <w:r>
            <w:rPr>
              <w:rFonts w:hint="eastAsia" w:ascii="宋体" w:hAnsi="宋体" w:eastAsia="宋体" w:cs="宋体"/>
              <w:b/>
              <w:color w:val="auto"/>
              <w:sz w:val="24"/>
              <w:szCs w:val="24"/>
            </w:rPr>
            <w:fldChar w:fldCharType="end"/>
          </w:r>
          <w:r>
            <w:rPr>
              <w:rFonts w:hint="eastAsia" w:ascii="宋体" w:hAnsi="宋体" w:eastAsia="宋体" w:cs="宋体"/>
              <w:b/>
              <w:bCs/>
              <w:color w:val="auto"/>
              <w:sz w:val="24"/>
              <w:szCs w:val="24"/>
              <w:lang w:eastAsia="zh-CN"/>
            </w:rPr>
            <w:fldChar w:fldCharType="end"/>
          </w:r>
        </w:p>
        <w:p w14:paraId="3A1542D4">
          <w:pPr>
            <w:pStyle w:val="85"/>
            <w:keepNext w:val="0"/>
            <w:keepLines w:val="0"/>
            <w:pageBreakBefore w:val="0"/>
            <w:widowControl/>
            <w:tabs>
              <w:tab w:val="right" w:leader="dot" w:pos="9746"/>
            </w:tabs>
            <w:kinsoku/>
            <w:wordWrap/>
            <w:overflowPunct/>
            <w:topLinePunct w:val="0"/>
            <w:autoSpaceDE/>
            <w:autoSpaceDN/>
            <w:bidi w:val="0"/>
            <w:adjustRightInd/>
            <w:snapToGrid/>
            <w:spacing w:line="360" w:lineRule="auto"/>
            <w:textAlignment w:val="auto"/>
            <w:rPr>
              <w:b/>
              <w:color w:val="auto"/>
            </w:rPr>
          </w:pPr>
        </w:p>
        <w:p w14:paraId="066D5251">
          <w:pPr>
            <w:pStyle w:val="3"/>
            <w:numPr>
              <w:ilvl w:val="0"/>
              <w:numId w:val="0"/>
            </w:numPr>
            <w:spacing w:beforeLines="0" w:afterLines="0" w:line="480" w:lineRule="exact"/>
            <w:jc w:val="center"/>
            <w:outlineLvl w:val="9"/>
            <w:rPr>
              <w:rFonts w:hint="eastAsia"/>
              <w:bCs/>
              <w:color w:val="auto"/>
              <w:szCs w:val="36"/>
            </w:rPr>
          </w:pPr>
          <w:r>
            <w:rPr>
              <w:rFonts w:hint="eastAsia" w:eastAsia="宋体"/>
              <w:b/>
              <w:bCs/>
              <w:color w:val="auto"/>
              <w:szCs w:val="36"/>
              <w:lang w:eastAsia="zh-CN"/>
            </w:rPr>
            <w:fldChar w:fldCharType="end"/>
          </w:r>
          <w:bookmarkStart w:id="61" w:name="_Toc15536"/>
        </w:p>
      </w:sdtContent>
    </w:sdt>
    <w:p w14:paraId="08568F70">
      <w:pPr>
        <w:bidi w:val="0"/>
        <w:rPr>
          <w:rFonts w:hint="eastAsia"/>
          <w:color w:val="auto"/>
        </w:rPr>
      </w:pPr>
    </w:p>
    <w:p w14:paraId="184601A8">
      <w:pPr>
        <w:pStyle w:val="3"/>
        <w:numPr>
          <w:ilvl w:val="0"/>
          <w:numId w:val="0"/>
        </w:numPr>
        <w:spacing w:beforeLines="0" w:afterLines="0" w:line="480" w:lineRule="exact"/>
        <w:jc w:val="center"/>
        <w:rPr>
          <w:color w:val="auto"/>
        </w:rPr>
      </w:pPr>
      <w:r>
        <w:rPr>
          <w:rFonts w:hint="eastAsia"/>
          <w:bCs/>
          <w:color w:val="auto"/>
          <w:szCs w:val="36"/>
        </w:rPr>
        <w:t>第一章 招标公告</w:t>
      </w:r>
      <w:bookmarkEnd w:id="61"/>
    </w:p>
    <w:p w14:paraId="38AE934A">
      <w:pPr>
        <w:numPr>
          <w:ilvl w:val="255"/>
          <w:numId w:val="0"/>
        </w:numPr>
        <w:snapToGrid w:val="0"/>
        <w:spacing w:line="312" w:lineRule="auto"/>
        <w:ind w:firstLine="482" w:firstLineChars="200"/>
        <w:outlineLvl w:val="9"/>
        <w:rPr>
          <w:rFonts w:hint="eastAsia" w:ascii="宋体" w:hAnsi="宋体" w:cs="宋体"/>
          <w:b/>
          <w:bCs/>
          <w:color w:val="auto"/>
        </w:rPr>
      </w:pPr>
      <w:bookmarkStart w:id="62" w:name="_Toc30197"/>
      <w:bookmarkStart w:id="63" w:name="_Toc19851"/>
      <w:bookmarkStart w:id="64" w:name="_Toc26629"/>
      <w:bookmarkStart w:id="65" w:name="_Toc15323"/>
      <w:bookmarkStart w:id="66" w:name="_Toc28535"/>
      <w:bookmarkStart w:id="67" w:name="_Toc14390"/>
      <w:bookmarkStart w:id="68" w:name="_Toc14520"/>
      <w:bookmarkStart w:id="69" w:name="_Toc16052"/>
      <w:bookmarkStart w:id="70" w:name="_Toc23139"/>
      <w:bookmarkStart w:id="71" w:name="_Toc6450"/>
      <w:bookmarkStart w:id="72" w:name="_Toc31067"/>
      <w:bookmarkStart w:id="73" w:name="_Toc29328"/>
      <w:bookmarkStart w:id="74" w:name="_Toc15977"/>
      <w:bookmarkStart w:id="75" w:name="_Toc22093"/>
      <w:bookmarkStart w:id="76" w:name="_Hlk24379207"/>
      <w:bookmarkStart w:id="77" w:name="_Toc24657"/>
      <w:bookmarkStart w:id="78" w:name="_Toc6951"/>
      <w:bookmarkStart w:id="79" w:name="_Toc2153"/>
      <w:bookmarkStart w:id="80" w:name="_Toc28359079"/>
      <w:bookmarkStart w:id="81" w:name="_Toc16976"/>
      <w:bookmarkStart w:id="82" w:name="_Toc23741"/>
      <w:bookmarkStart w:id="83" w:name="_Toc12772"/>
      <w:bookmarkStart w:id="84" w:name="_Toc20476"/>
      <w:bookmarkStart w:id="85" w:name="_Toc11780"/>
      <w:bookmarkStart w:id="86" w:name="_Toc16750"/>
      <w:bookmarkStart w:id="87" w:name="_Toc28359002"/>
      <w:bookmarkStart w:id="88" w:name="_Toc26829"/>
      <w:bookmarkStart w:id="89" w:name="_Toc18103"/>
      <w:bookmarkStart w:id="90" w:name="_Toc5925"/>
      <w:bookmarkStart w:id="91" w:name="_Toc3174"/>
      <w:bookmarkStart w:id="92" w:name="_Toc29696"/>
      <w:bookmarkStart w:id="93" w:name="_Toc5108"/>
      <w:bookmarkStart w:id="94" w:name="_Toc30645"/>
    </w:p>
    <w:p w14:paraId="58E7ADF5">
      <w:pPr>
        <w:pStyle w:val="47"/>
        <w:keepNext w:val="0"/>
        <w:keepLines w:val="0"/>
        <w:pageBreakBefore w:val="0"/>
        <w:tabs>
          <w:tab w:val="left" w:pos="397"/>
          <w:tab w:val="left" w:pos="420"/>
        </w:tabs>
        <w:kinsoku/>
        <w:wordWrap/>
        <w:overflowPunct/>
        <w:topLinePunct w:val="0"/>
        <w:bidi w:val="0"/>
        <w:spacing w:line="500" w:lineRule="exact"/>
        <w:ind w:firstLine="48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根据《龙游县国有企业采购管理办法》（龙政办发〔2021〕58号）等有关规定，</w:t>
      </w:r>
      <w:r>
        <w:rPr>
          <w:rFonts w:hint="eastAsia" w:ascii="宋体" w:hAnsi="宋体" w:cs="宋体"/>
          <w:color w:val="auto"/>
          <w:highlight w:val="none"/>
          <w:lang w:val="zh-CN"/>
        </w:rPr>
        <w:t>浙江中合工程管理有限公司</w:t>
      </w:r>
      <w:r>
        <w:rPr>
          <w:rFonts w:hint="eastAsia" w:ascii="宋体" w:hAnsi="宋体" w:eastAsia="宋体" w:cs="宋体"/>
          <w:color w:val="auto"/>
          <w:highlight w:val="none"/>
          <w:lang w:val="zh-CN"/>
        </w:rPr>
        <w:t>受</w:t>
      </w:r>
      <w:r>
        <w:rPr>
          <w:rFonts w:hint="eastAsia" w:ascii="宋体" w:hAnsi="宋体" w:eastAsia="宋体" w:cs="宋体"/>
          <w:color w:val="auto"/>
          <w:highlight w:val="none"/>
          <w:lang w:val="zh-CN" w:eastAsia="zh-CN"/>
        </w:rPr>
        <w:t>龙游兴园基础设施建设有限公司</w:t>
      </w:r>
      <w:r>
        <w:rPr>
          <w:rFonts w:hint="eastAsia" w:ascii="宋体" w:hAnsi="宋体" w:eastAsia="宋体" w:cs="宋体"/>
          <w:color w:val="auto"/>
          <w:highlight w:val="none"/>
          <w:lang w:val="zh-CN"/>
        </w:rPr>
        <w:t>委托，就</w:t>
      </w:r>
      <w:r>
        <w:rPr>
          <w:rFonts w:hint="eastAsia" w:ascii="宋体" w:hAnsi="宋体" w:cs="宋体"/>
          <w:color w:val="auto"/>
          <w:lang w:eastAsia="zh-CN"/>
        </w:rPr>
        <w:t>龙游经济开发区基础设施配套工程-城南特勤消防站家具采购项目</w:t>
      </w:r>
      <w:r>
        <w:rPr>
          <w:rFonts w:hint="eastAsia" w:ascii="宋体" w:hAnsi="宋体" w:eastAsia="宋体" w:cs="宋体"/>
          <w:color w:val="auto"/>
          <w:highlight w:val="none"/>
          <w:lang w:val="zh-CN"/>
        </w:rPr>
        <w:t>进行公开招标，欢迎符合条件的投标人参加本次采购活动。</w:t>
      </w:r>
    </w:p>
    <w:p w14:paraId="6A6F1143">
      <w:pPr>
        <w:keepNext w:val="0"/>
        <w:keepLines w:val="0"/>
        <w:pageBreakBefore w:val="0"/>
        <w:numPr>
          <w:ilvl w:val="255"/>
          <w:numId w:val="0"/>
        </w:numPr>
        <w:kinsoku/>
        <w:wordWrap/>
        <w:overflowPunct/>
        <w:topLinePunct w:val="0"/>
        <w:bidi w:val="0"/>
        <w:snapToGrid w:val="0"/>
        <w:spacing w:line="500" w:lineRule="exact"/>
        <w:ind w:firstLine="482" w:firstLineChars="200"/>
        <w:textAlignment w:val="auto"/>
        <w:outlineLvl w:val="1"/>
        <w:rPr>
          <w:rFonts w:hint="eastAsia" w:ascii="宋体" w:hAnsi="宋体" w:eastAsia="宋体" w:cs="宋体"/>
          <w:b/>
          <w:bCs/>
          <w:color w:val="auto"/>
          <w:lang w:val="zh-CN"/>
        </w:rPr>
      </w:pPr>
      <w:bookmarkStart w:id="95" w:name="_Toc18378"/>
      <w:r>
        <w:rPr>
          <w:rFonts w:hint="eastAsia" w:ascii="宋体" w:hAnsi="宋体" w:eastAsia="宋体" w:cs="宋体"/>
          <w:b/>
          <w:bCs/>
          <w:color w:val="auto"/>
        </w:rPr>
        <w:t>一、</w:t>
      </w:r>
      <w:r>
        <w:rPr>
          <w:rFonts w:hint="eastAsia" w:ascii="宋体" w:hAnsi="宋体" w:eastAsia="宋体" w:cs="宋体"/>
          <w:b/>
          <w:bCs/>
          <w:color w:val="auto"/>
          <w:lang w:val="zh-CN"/>
        </w:rPr>
        <w:t>项目基本情况</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95"/>
    </w:p>
    <w:p w14:paraId="4F0F469C">
      <w:pPr>
        <w:pStyle w:val="47"/>
        <w:keepNext w:val="0"/>
        <w:keepLines w:val="0"/>
        <w:pageBreakBefore w:val="0"/>
        <w:numPr>
          <w:ilvl w:val="255"/>
          <w:numId w:val="0"/>
        </w:numPr>
        <w:tabs>
          <w:tab w:val="left" w:pos="397"/>
          <w:tab w:val="left" w:pos="420"/>
        </w:tabs>
        <w:kinsoku/>
        <w:wordWrap/>
        <w:overflowPunct/>
        <w:topLinePunct w:val="0"/>
        <w:bidi w:val="0"/>
        <w:snapToGrid w:val="0"/>
        <w:spacing w:line="5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rPr>
        <w:t>1.项目编号：</w:t>
      </w:r>
      <w:r>
        <w:rPr>
          <w:rFonts w:hint="eastAsia" w:ascii="宋体" w:hAnsi="宋体" w:cs="宋体"/>
          <w:color w:val="auto"/>
          <w:lang w:eastAsia="zh-CN"/>
        </w:rPr>
        <w:t>ZJZHGL2025-005</w:t>
      </w:r>
    </w:p>
    <w:p w14:paraId="2A025C62">
      <w:pPr>
        <w:pStyle w:val="47"/>
        <w:keepNext w:val="0"/>
        <w:keepLines w:val="0"/>
        <w:pageBreakBefore w:val="0"/>
        <w:numPr>
          <w:ilvl w:val="255"/>
          <w:numId w:val="0"/>
        </w:numPr>
        <w:tabs>
          <w:tab w:val="left" w:pos="397"/>
          <w:tab w:val="left" w:pos="420"/>
        </w:tabs>
        <w:kinsoku/>
        <w:wordWrap/>
        <w:overflowPunct/>
        <w:topLinePunct w:val="0"/>
        <w:bidi w:val="0"/>
        <w:snapToGrid w:val="0"/>
        <w:spacing w:line="5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rPr>
        <w:t>2.项目名称：</w:t>
      </w:r>
      <w:r>
        <w:rPr>
          <w:rFonts w:hint="eastAsia" w:ascii="宋体" w:hAnsi="宋体" w:cs="宋体"/>
          <w:color w:val="auto"/>
          <w:lang w:eastAsia="zh-CN"/>
        </w:rPr>
        <w:t>龙游经济开发区基础设施配套工程-城南特勤消防站家具采购项目</w:t>
      </w:r>
    </w:p>
    <w:p w14:paraId="381C91EB">
      <w:pPr>
        <w:pStyle w:val="47"/>
        <w:keepNext w:val="0"/>
        <w:keepLines w:val="0"/>
        <w:pageBreakBefore w:val="0"/>
        <w:numPr>
          <w:ilvl w:val="255"/>
          <w:numId w:val="0"/>
        </w:numPr>
        <w:tabs>
          <w:tab w:val="left" w:pos="397"/>
          <w:tab w:val="left" w:pos="420"/>
        </w:tabs>
        <w:kinsoku/>
        <w:wordWrap/>
        <w:overflowPunct/>
        <w:topLinePunct w:val="0"/>
        <w:bidi w:val="0"/>
        <w:snapToGrid w:val="0"/>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rPr>
        <w:t>3.预算金额</w:t>
      </w:r>
      <w:r>
        <w:rPr>
          <w:rFonts w:hint="eastAsia" w:ascii="宋体" w:hAnsi="宋体" w:eastAsia="宋体" w:cs="宋体"/>
          <w:color w:val="auto"/>
          <w:highlight w:val="none"/>
        </w:rPr>
        <w:t>:</w:t>
      </w:r>
      <w:r>
        <w:rPr>
          <w:rFonts w:hint="eastAsia" w:ascii="宋体" w:hAnsi="宋体" w:cs="宋体"/>
          <w:color w:val="auto"/>
          <w:highlight w:val="none"/>
          <w:lang w:eastAsia="zh-CN"/>
        </w:rPr>
        <w:t>1044250</w:t>
      </w:r>
      <w:r>
        <w:rPr>
          <w:rFonts w:hint="eastAsia" w:ascii="宋体" w:hAnsi="宋体" w:eastAsia="宋体" w:cs="宋体"/>
          <w:color w:val="auto"/>
          <w:highlight w:val="none"/>
          <w:lang w:eastAsia="zh-CN"/>
        </w:rPr>
        <w:t>元</w:t>
      </w:r>
    </w:p>
    <w:p w14:paraId="2BC2515C">
      <w:pPr>
        <w:pStyle w:val="47"/>
        <w:keepNext w:val="0"/>
        <w:keepLines w:val="0"/>
        <w:pageBreakBefore w:val="0"/>
        <w:numPr>
          <w:ilvl w:val="255"/>
          <w:numId w:val="0"/>
        </w:numPr>
        <w:tabs>
          <w:tab w:val="left" w:pos="397"/>
          <w:tab w:val="left" w:pos="420"/>
        </w:tabs>
        <w:kinsoku/>
        <w:wordWrap/>
        <w:overflowPunct/>
        <w:topLinePunct w:val="0"/>
        <w:bidi w:val="0"/>
        <w:snapToGrid w:val="0"/>
        <w:spacing w:line="500" w:lineRule="exact"/>
        <w:ind w:firstLine="480" w:firstLineChars="200"/>
        <w:textAlignment w:val="auto"/>
        <w:rPr>
          <w:rFonts w:hint="eastAsia" w:ascii="宋体" w:hAnsi="宋体" w:eastAsia="宋体" w:cs="宋体"/>
          <w:color w:val="auto"/>
          <w:highlight w:val="none"/>
          <w:lang w:val="en-US"/>
        </w:rPr>
      </w:pPr>
      <w:r>
        <w:rPr>
          <w:rFonts w:hint="eastAsia" w:ascii="宋体" w:hAnsi="宋体" w:eastAsia="宋体" w:cs="宋体"/>
          <w:color w:val="auto"/>
          <w:highlight w:val="none"/>
        </w:rPr>
        <w:t>4.最高限价:</w:t>
      </w:r>
      <w:r>
        <w:rPr>
          <w:rFonts w:hint="eastAsia" w:ascii="宋体" w:hAnsi="宋体" w:cs="宋体"/>
          <w:color w:val="auto"/>
          <w:highlight w:val="none"/>
          <w:lang w:eastAsia="zh-CN"/>
        </w:rPr>
        <w:t>1044250</w:t>
      </w:r>
      <w:r>
        <w:rPr>
          <w:rFonts w:hint="eastAsia" w:ascii="宋体" w:hAnsi="宋体" w:eastAsia="宋体" w:cs="宋体"/>
          <w:color w:val="auto"/>
          <w:highlight w:val="none"/>
          <w:lang w:eastAsia="zh-CN"/>
        </w:rPr>
        <w:t>元</w:t>
      </w:r>
    </w:p>
    <w:p w14:paraId="6423F2D2">
      <w:pPr>
        <w:pStyle w:val="47"/>
        <w:keepNext w:val="0"/>
        <w:keepLines w:val="0"/>
        <w:pageBreakBefore w:val="0"/>
        <w:numPr>
          <w:ilvl w:val="255"/>
          <w:numId w:val="0"/>
        </w:numPr>
        <w:tabs>
          <w:tab w:val="left" w:pos="397"/>
          <w:tab w:val="left" w:pos="420"/>
        </w:tabs>
        <w:kinsoku/>
        <w:wordWrap/>
        <w:overflowPunct/>
        <w:topLinePunct w:val="0"/>
        <w:bidi w:val="0"/>
        <w:snapToGrid w:val="0"/>
        <w:spacing w:line="500" w:lineRule="exact"/>
        <w:ind w:firstLine="480" w:firstLineChars="200"/>
        <w:textAlignment w:val="auto"/>
        <w:rPr>
          <w:rFonts w:hint="eastAsia" w:ascii="宋体" w:hAnsi="宋体" w:eastAsia="宋体" w:cs="宋体"/>
          <w:color w:val="auto"/>
          <w:highlight w:val="none"/>
        </w:rPr>
      </w:pPr>
      <w:bookmarkStart w:id="96" w:name="_Toc11832"/>
      <w:bookmarkStart w:id="97" w:name="_Toc14749"/>
      <w:bookmarkStart w:id="98" w:name="_Toc17737"/>
      <w:bookmarkStart w:id="99" w:name="_Toc12876"/>
      <w:bookmarkStart w:id="100" w:name="_Toc8407"/>
      <w:bookmarkStart w:id="101" w:name="_Toc25114"/>
      <w:bookmarkStart w:id="102" w:name="_Toc8671"/>
      <w:bookmarkStart w:id="103" w:name="_Toc2474"/>
      <w:bookmarkStart w:id="104" w:name="_Toc11395"/>
      <w:bookmarkStart w:id="105" w:name="_Toc22029"/>
      <w:bookmarkStart w:id="106" w:name="_Toc16650"/>
      <w:bookmarkStart w:id="107" w:name="_Toc25577"/>
      <w:bookmarkStart w:id="108" w:name="_Toc20050"/>
      <w:bookmarkStart w:id="109" w:name="_Toc19072"/>
      <w:r>
        <w:rPr>
          <w:rFonts w:hint="eastAsia" w:ascii="宋体" w:hAnsi="宋体" w:eastAsia="宋体" w:cs="宋体"/>
          <w:color w:val="auto"/>
          <w:highlight w:val="none"/>
        </w:rPr>
        <w:t>5.简要规格描述或项目基本概况介绍、用途：详见招标文件“第三章 采购内容及要求”（包括但不限于标的的名称、数量、简要技术需求或服务要求等）。</w:t>
      </w:r>
    </w:p>
    <w:p w14:paraId="57E881A3">
      <w:pPr>
        <w:pStyle w:val="47"/>
        <w:keepNext w:val="0"/>
        <w:keepLines w:val="0"/>
        <w:pageBreakBefore w:val="0"/>
        <w:numPr>
          <w:ilvl w:val="255"/>
          <w:numId w:val="0"/>
        </w:numPr>
        <w:tabs>
          <w:tab w:val="left" w:pos="397"/>
          <w:tab w:val="left" w:pos="420"/>
        </w:tabs>
        <w:kinsoku/>
        <w:wordWrap/>
        <w:overflowPunct/>
        <w:topLinePunct w:val="0"/>
        <w:bidi w:val="0"/>
        <w:snapToGrid w:val="0"/>
        <w:spacing w:line="500" w:lineRule="exact"/>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6.</w:t>
      </w:r>
      <w:r>
        <w:rPr>
          <w:rFonts w:hint="eastAsia" w:ascii="宋体" w:hAnsi="宋体" w:eastAsia="宋体" w:cs="宋体"/>
          <w:color w:val="auto"/>
          <w:highlight w:val="none"/>
          <w:lang w:eastAsia="zh-CN"/>
        </w:rPr>
        <w:t>合同履行期限</w:t>
      </w:r>
      <w:r>
        <w:rPr>
          <w:rFonts w:hint="eastAsia" w:ascii="宋体" w:hAnsi="宋体" w:eastAsia="宋体" w:cs="宋体"/>
          <w:color w:val="auto"/>
          <w:highlight w:val="none"/>
        </w:rPr>
        <w:t>：</w:t>
      </w:r>
      <w:r>
        <w:rPr>
          <w:rFonts w:hint="eastAsia" w:ascii="宋体" w:hAnsi="宋体" w:cs="宋体"/>
          <w:color w:val="auto"/>
          <w:highlight w:val="none"/>
          <w:lang w:eastAsia="zh-CN"/>
        </w:rPr>
        <w:t>合同签订后60个日历天内完成供货、安装及验收。</w:t>
      </w:r>
    </w:p>
    <w:p w14:paraId="36FBDA80">
      <w:pPr>
        <w:pStyle w:val="47"/>
        <w:keepNext w:val="0"/>
        <w:keepLines w:val="0"/>
        <w:pageBreakBefore w:val="0"/>
        <w:numPr>
          <w:ilvl w:val="255"/>
          <w:numId w:val="0"/>
        </w:numPr>
        <w:tabs>
          <w:tab w:val="left" w:pos="397"/>
          <w:tab w:val="left" w:pos="420"/>
        </w:tabs>
        <w:kinsoku/>
        <w:wordWrap/>
        <w:overflowPunct/>
        <w:topLinePunct w:val="0"/>
        <w:bidi w:val="0"/>
        <w:snapToGrid w:val="0"/>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7.本项目不接受联合体投标。</w:t>
      </w:r>
    </w:p>
    <w:p w14:paraId="7BA927AE">
      <w:pPr>
        <w:keepNext w:val="0"/>
        <w:keepLines w:val="0"/>
        <w:pageBreakBefore w:val="0"/>
        <w:numPr>
          <w:ilvl w:val="255"/>
          <w:numId w:val="0"/>
        </w:numPr>
        <w:kinsoku/>
        <w:wordWrap/>
        <w:overflowPunct/>
        <w:topLinePunct w:val="0"/>
        <w:bidi w:val="0"/>
        <w:snapToGrid w:val="0"/>
        <w:spacing w:line="500" w:lineRule="exact"/>
        <w:ind w:firstLine="482" w:firstLineChars="200"/>
        <w:textAlignment w:val="auto"/>
        <w:outlineLvl w:val="1"/>
        <w:rPr>
          <w:rFonts w:hint="eastAsia" w:ascii="宋体" w:hAnsi="宋体" w:eastAsia="宋体" w:cs="宋体"/>
          <w:b/>
          <w:bCs/>
          <w:color w:val="auto"/>
          <w:highlight w:val="none"/>
        </w:rPr>
      </w:pPr>
      <w:bookmarkStart w:id="110" w:name="_Toc6501"/>
      <w:bookmarkStart w:id="111" w:name="_Toc3697"/>
      <w:r>
        <w:rPr>
          <w:rFonts w:hint="eastAsia" w:ascii="宋体" w:hAnsi="宋体" w:eastAsia="宋体" w:cs="宋体"/>
          <w:b/>
          <w:bCs/>
          <w:color w:val="auto"/>
          <w:highlight w:val="none"/>
        </w:rPr>
        <w:t>二、申请人的资格要求</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CC318BD">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bookmarkStart w:id="112" w:name="_Toc29933"/>
      <w:bookmarkStart w:id="113" w:name="_Toc17140"/>
      <w:bookmarkStart w:id="114" w:name="_Toc15990"/>
      <w:bookmarkStart w:id="115" w:name="_Toc3109"/>
      <w:bookmarkStart w:id="116" w:name="_Toc11020"/>
      <w:bookmarkStart w:id="117" w:name="_Toc16689"/>
      <w:r>
        <w:rPr>
          <w:rFonts w:hint="eastAsia" w:ascii="宋体" w:hAnsi="宋体" w:eastAsia="宋体" w:cs="宋体"/>
          <w:color w:val="auto"/>
          <w:highlight w:val="none"/>
        </w:rPr>
        <w:t>1.符合《中华人民共和国政府采购法》第二十二条规定：</w:t>
      </w:r>
    </w:p>
    <w:p w14:paraId="09D0AA67">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1）具有独立承担民事责任的能力；</w:t>
      </w:r>
    </w:p>
    <w:p w14:paraId="146C9396">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2）具有良好的商业信誉和健全的财务会计制度；</w:t>
      </w:r>
    </w:p>
    <w:p w14:paraId="14234801">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3）具有履行合同所必需的设备和专业技术能力；</w:t>
      </w:r>
    </w:p>
    <w:p w14:paraId="5A5AD66B">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4）有依法缴纳税收和社会保障资金的良好记录；</w:t>
      </w:r>
    </w:p>
    <w:p w14:paraId="1F75268C">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5）参加政府采购活动前三年内，在经营活动中没有重大违法记录；</w:t>
      </w:r>
    </w:p>
    <w:p w14:paraId="16FFDC8E">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6）法律、行政法规规定的其他条件。</w:t>
      </w:r>
    </w:p>
    <w:p w14:paraId="28142B67">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2.投标人未被列入失信被执行人名单、重大税收违法案件当事人名单、政府采购严重违法失信行为记录名单，信用信息以信用中国网站（www.creditchina.gov.cn）、中国政府采购网（www.ccgp.gov.cn）公布为准。</w:t>
      </w:r>
    </w:p>
    <w:p w14:paraId="7DB44ED8">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3.单位负责人为同一人或者存在直接控股、管理关系的不同投标人，不得参加同一合同项下的采购活动。</w:t>
      </w:r>
    </w:p>
    <w:bookmarkEnd w:id="112"/>
    <w:bookmarkEnd w:id="113"/>
    <w:bookmarkEnd w:id="114"/>
    <w:bookmarkEnd w:id="115"/>
    <w:bookmarkEnd w:id="116"/>
    <w:bookmarkEnd w:id="117"/>
    <w:p w14:paraId="2CFB1AAE">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落实国企采购政策需满足的资格要求：</w:t>
      </w:r>
      <w:r>
        <w:rPr>
          <w:rFonts w:hint="eastAsia" w:ascii="宋体" w:hAnsi="宋体" w:eastAsia="宋体" w:cs="宋体"/>
          <w:color w:val="auto"/>
          <w:highlight w:val="none"/>
          <w:lang w:val="en-US" w:eastAsia="zh-CN"/>
        </w:rPr>
        <w:t>无。</w:t>
      </w:r>
    </w:p>
    <w:p w14:paraId="78048228">
      <w:pPr>
        <w:keepNext w:val="0"/>
        <w:keepLines w:val="0"/>
        <w:pageBreakBefore w:val="0"/>
        <w:kinsoku/>
        <w:wordWrap/>
        <w:overflowPunct/>
        <w:topLinePunct w:val="0"/>
        <w:bidi w:val="0"/>
        <w:adjustRightInd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5.本项目的特定资格要求：</w:t>
      </w:r>
      <w:r>
        <w:rPr>
          <w:rFonts w:hint="eastAsia" w:ascii="宋体" w:hAnsi="宋体" w:eastAsia="宋体" w:cs="宋体"/>
          <w:color w:val="auto"/>
          <w:highlight w:val="none"/>
          <w:lang w:val="en-US" w:eastAsia="zh-CN"/>
        </w:rPr>
        <w:t>无。</w:t>
      </w:r>
    </w:p>
    <w:p w14:paraId="618A646D">
      <w:pPr>
        <w:keepNext w:val="0"/>
        <w:keepLines w:val="0"/>
        <w:pageBreakBefore w:val="0"/>
        <w:widowControl/>
        <w:numPr>
          <w:ilvl w:val="255"/>
          <w:numId w:val="0"/>
        </w:numPr>
        <w:kinsoku/>
        <w:wordWrap/>
        <w:overflowPunct/>
        <w:topLinePunct w:val="0"/>
        <w:autoSpaceDE/>
        <w:autoSpaceDN/>
        <w:bidi w:val="0"/>
        <w:snapToGrid w:val="0"/>
        <w:spacing w:line="500" w:lineRule="exact"/>
        <w:ind w:firstLine="482" w:firstLineChars="200"/>
        <w:textAlignment w:val="auto"/>
        <w:outlineLvl w:val="1"/>
        <w:rPr>
          <w:rFonts w:hint="eastAsia" w:ascii="宋体" w:hAnsi="宋体" w:eastAsia="宋体" w:cs="宋体"/>
          <w:b/>
          <w:bCs/>
          <w:color w:val="auto"/>
        </w:rPr>
      </w:pPr>
      <w:bookmarkStart w:id="118" w:name="_Toc11147"/>
      <w:bookmarkStart w:id="119" w:name="_Toc31197"/>
      <w:bookmarkStart w:id="120" w:name="_Toc23129"/>
      <w:bookmarkStart w:id="121" w:name="_Toc21923"/>
      <w:bookmarkStart w:id="122" w:name="_Toc29791"/>
      <w:bookmarkStart w:id="123" w:name="_Toc26194"/>
      <w:bookmarkStart w:id="124" w:name="_Toc728"/>
      <w:bookmarkStart w:id="125" w:name="_Toc32492"/>
      <w:bookmarkStart w:id="126" w:name="_Toc1399"/>
      <w:bookmarkStart w:id="127" w:name="_Toc20064"/>
      <w:bookmarkStart w:id="128" w:name="_Toc5447"/>
      <w:bookmarkStart w:id="129" w:name="_Toc13512"/>
      <w:bookmarkStart w:id="130" w:name="_Toc20310"/>
      <w:bookmarkStart w:id="131" w:name="_Toc17769"/>
      <w:bookmarkStart w:id="132" w:name="_Toc2752"/>
      <w:bookmarkStart w:id="133" w:name="_Toc1765"/>
      <w:r>
        <w:rPr>
          <w:rFonts w:hint="eastAsia" w:ascii="宋体" w:hAnsi="宋体" w:eastAsia="宋体" w:cs="宋体"/>
          <w:b/>
          <w:bCs/>
          <w:color w:val="auto"/>
        </w:rPr>
        <w:t>三、电子评标</w:t>
      </w:r>
      <w:bookmarkEnd w:id="118"/>
      <w:bookmarkEnd w:id="119"/>
    </w:p>
    <w:p w14:paraId="4A45C8A0">
      <w:pPr>
        <w:keepNext w:val="0"/>
        <w:keepLines w:val="0"/>
        <w:pageBreakBefore w:val="0"/>
        <w:kinsoku/>
        <w:wordWrap/>
        <w:overflowPunct/>
        <w:topLinePunct w:val="0"/>
        <w:autoSpaceDE/>
        <w:autoSpaceDN/>
        <w:bidi w:val="0"/>
        <w:spacing w:line="500" w:lineRule="exact"/>
        <w:ind w:firstLine="480"/>
        <w:textAlignment w:val="auto"/>
        <w:rPr>
          <w:rFonts w:hint="eastAsia" w:ascii="宋体" w:hAnsi="宋体" w:eastAsia="宋体" w:cs="宋体"/>
          <w:color w:val="auto"/>
        </w:rPr>
      </w:pPr>
      <w:r>
        <w:rPr>
          <w:rFonts w:hint="eastAsia" w:ascii="宋体" w:hAnsi="宋体" w:eastAsia="宋体" w:cs="宋体"/>
          <w:color w:val="auto"/>
        </w:rPr>
        <w:t>本项目实行不见面电子招投标方式。</w:t>
      </w:r>
    </w:p>
    <w:p w14:paraId="210F6CAD">
      <w:pPr>
        <w:keepNext w:val="0"/>
        <w:keepLines w:val="0"/>
        <w:pageBreakBefore w:val="0"/>
        <w:widowControl/>
        <w:numPr>
          <w:ilvl w:val="255"/>
          <w:numId w:val="0"/>
        </w:numPr>
        <w:kinsoku/>
        <w:wordWrap/>
        <w:overflowPunct/>
        <w:topLinePunct w:val="0"/>
        <w:autoSpaceDE/>
        <w:autoSpaceDN/>
        <w:bidi w:val="0"/>
        <w:snapToGrid w:val="0"/>
        <w:spacing w:line="500" w:lineRule="exact"/>
        <w:ind w:firstLine="482" w:firstLineChars="200"/>
        <w:textAlignment w:val="auto"/>
        <w:outlineLvl w:val="1"/>
        <w:rPr>
          <w:rFonts w:hint="eastAsia" w:ascii="宋体" w:hAnsi="宋体" w:eastAsia="宋体" w:cs="宋体"/>
          <w:b/>
          <w:bCs/>
          <w:color w:val="auto"/>
          <w:lang w:eastAsia="zh-CN"/>
        </w:rPr>
      </w:pPr>
      <w:bookmarkStart w:id="134" w:name="_Toc30557"/>
      <w:bookmarkStart w:id="135" w:name="_Toc17981"/>
      <w:r>
        <w:rPr>
          <w:rFonts w:hint="eastAsia" w:ascii="宋体" w:hAnsi="宋体" w:eastAsia="宋体" w:cs="宋体"/>
          <w:b/>
          <w:bCs/>
          <w:color w:val="auto"/>
        </w:rPr>
        <w:t>四、</w:t>
      </w:r>
      <w:r>
        <w:rPr>
          <w:rFonts w:hint="eastAsia" w:ascii="宋体" w:hAnsi="宋体" w:eastAsia="宋体" w:cs="宋体"/>
          <w:b/>
          <w:bCs/>
          <w:color w:val="auto"/>
          <w:lang w:val="en-US" w:eastAsia="zh-CN"/>
        </w:rPr>
        <w:t>采购</w:t>
      </w:r>
      <w:r>
        <w:rPr>
          <w:rFonts w:hint="eastAsia" w:ascii="宋体" w:hAnsi="宋体" w:eastAsia="宋体" w:cs="宋体"/>
          <w:b/>
          <w:bCs/>
          <w:color w:val="auto"/>
        </w:rPr>
        <w:t>文件的获取</w:t>
      </w:r>
      <w:bookmarkEnd w:id="134"/>
      <w:bookmarkEnd w:id="135"/>
    </w:p>
    <w:p w14:paraId="0A9B0B94">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1、供应商按下述要求获取采购文件，如未在“衢州市阳光交易服务平台”系统内完成相关流程，引起投标无效，责任自负。</w:t>
      </w:r>
    </w:p>
    <w:p w14:paraId="30366097">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本项目采购文件实行“衢州市阳光交易服务平台”在线申请获取采购文件，不提供纸质版采购文件。供应商获取采购文件前应先办理“衢州市阳光交易服务平台”供应商信息入库备案同时办理介质CA锁。完成介质CA锁办理预计2-3个工作日，建议各供应商合理安排办理时间。</w:t>
      </w:r>
    </w:p>
    <w:p w14:paraId="49DA92CB">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3、潜在供应商登录衢州市阳光交易服务平台（</w:t>
      </w: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HYPERLINK "https://qzygjy.com/）办理供应商信息入库备案事宜" \t "_blank"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color w:val="auto"/>
          <w:highlight w:val="none"/>
          <w:lang w:val="en-US" w:eastAsia="zh-CN"/>
        </w:rPr>
        <w:t>https://qzygjy.com/）办理供应商信息入库备案事宜</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t>。</w:t>
      </w:r>
    </w:p>
    <w:p w14:paraId="4B31E1BC">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未办理企业信息入库的供应商，根据显示界面提示免费注册，填写、上传相关主体信息，带“*”号的必填，填好后“提交”。供应商须提前申领介质CA锁及电子签章，具体操作可参考衢州市阳光交易服务平台交易乙方操作手册。</w:t>
      </w:r>
    </w:p>
    <w:p w14:paraId="73766F21">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5、CA办理：</w:t>
      </w:r>
      <w:r>
        <w:rPr>
          <w:rFonts w:hint="eastAsia" w:ascii="宋体" w:hAnsi="宋体" w:eastAsia="宋体" w:cs="宋体"/>
          <w:color w:val="auto"/>
          <w:highlight w:val="none"/>
          <w:lang w:val="en-US" w:eastAsia="zh-CN"/>
        </w:rPr>
        <w:br w:type="textWrapping"/>
      </w:r>
      <w:r>
        <w:rPr>
          <w:rFonts w:hint="eastAsia" w:ascii="宋体" w:hAnsi="宋体" w:eastAsia="宋体" w:cs="宋体"/>
          <w:color w:val="auto"/>
          <w:highlight w:val="none"/>
          <w:lang w:val="en-US" w:eastAsia="zh-CN"/>
        </w:rPr>
        <w:t>1、天谷CA：</w:t>
      </w: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HYPERLINK "http://www.tseal.cn/tcloud/common.xhtml?projId=307" \t "/home/inspur/文档\\x/_blank"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color w:val="auto"/>
          <w:highlight w:val="none"/>
          <w:lang w:val="en-US" w:eastAsia="zh-CN"/>
        </w:rPr>
        <w:t>http://www.tseal.cn/tcloud/common.xhtml?projId=307</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t xml:space="preserve"> 联系电话：400-087-8198</w:t>
      </w:r>
      <w:r>
        <w:rPr>
          <w:rFonts w:hint="eastAsia" w:ascii="宋体" w:hAnsi="宋体" w:eastAsia="宋体" w:cs="宋体"/>
          <w:color w:val="auto"/>
          <w:highlight w:val="none"/>
          <w:lang w:val="en-US" w:eastAsia="zh-CN"/>
        </w:rPr>
        <w:br w:type="textWrapping"/>
      </w:r>
      <w:r>
        <w:rPr>
          <w:rFonts w:hint="eastAsia" w:ascii="宋体" w:hAnsi="宋体" w:eastAsia="宋体" w:cs="宋体"/>
          <w:color w:val="auto"/>
          <w:highlight w:val="none"/>
          <w:lang w:val="en-US" w:eastAsia="zh-CN"/>
        </w:rPr>
        <w:t>2、新点标证通：</w:t>
      </w: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HYPERLINK "https://www.ebpu.com/epbzt/index.html" \t "/home/inspur/文档\\x/_blank"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color w:val="auto"/>
          <w:highlight w:val="none"/>
          <w:lang w:val="en-US" w:eastAsia="zh-CN"/>
        </w:rPr>
        <w:t>https://www.ebpu.com/epbzt/index.html</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t xml:space="preserve"> 联系电话：400-998-0000</w:t>
      </w:r>
    </w:p>
    <w:p w14:paraId="6795E1E2">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6、采购文件下载：</w:t>
      </w:r>
    </w:p>
    <w:p w14:paraId="60D421BF">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（1）潜在供应商登录“衢州市阳光交易服务平台”，在线申请获取采购文件(选择采购公告，进入项目,选择“交易前阶段”进入项目在获取采购文件菜单中选择项目,选择“交易文件下载”)。</w:t>
      </w:r>
    </w:p>
    <w:p w14:paraId="5121A25C">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（2）投标文件的解密：供应商按照平台提示和采购文件的规定在30分钟内于衢州市阳光交易服务平台不见面开标大厅完成在线解密。。</w:t>
      </w:r>
    </w:p>
    <w:p w14:paraId="586F4E87">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7、具体操作指南：详见衢州市阳光交易服务平台“办事指南-衢州市阳光交易服务平台供应商操作手册”，如遇平台技术问题详询4009980000、0570-3878007。</w:t>
      </w:r>
    </w:p>
    <w:p w14:paraId="3AF7E74D">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8</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投标工具</w:t>
      </w:r>
    </w:p>
    <w:p w14:paraId="783346F4">
      <w:pPr>
        <w:keepNext w:val="0"/>
        <w:keepLines w:val="0"/>
        <w:pageBreakBefore w:val="0"/>
        <w:widowControl w:val="0"/>
        <w:kinsoku w:val="0"/>
        <w:wordWrap w:val="0"/>
        <w:overflowPunct w:val="0"/>
        <w:topLinePunct w:val="0"/>
        <w:autoSpaceDE w:val="0"/>
        <w:autoSpaceDN w:val="0"/>
        <w:bidi w:val="0"/>
        <w:adjustRightInd w:val="0"/>
        <w:snapToGrid w:val="0"/>
        <w:spacing w:line="49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标通投标制作工具，下载地址：</w:t>
      </w: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HYPERLINK "https://download.bqpoint.com/download/downloaddetail.html?SourceFrom=Ztb&amp;ZtbSoftXiaQuCode=1155&amp;ZtbSoftType=tballinclusive" \t "/home/inspur/文档\\x/_blank"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color w:val="auto"/>
          <w:highlight w:val="none"/>
          <w:lang w:val="en-US" w:eastAsia="zh-CN"/>
        </w:rPr>
        <w:t>https://download.bqpoint.com/download/downloaddetail.html?SourceFrom=Ztb&amp;ZtbSoftXiaQuCode=1155&amp;ZtbSoftType=tballinclusive</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br w:type="textWrapping"/>
      </w:r>
      <w:r>
        <w:rPr>
          <w:rFonts w:hint="eastAsia" w:ascii="宋体" w:hAnsi="宋体" w:eastAsia="宋体" w:cs="宋体"/>
          <w:color w:val="auto"/>
          <w:highlight w:val="none"/>
          <w:lang w:val="en-US" w:eastAsia="zh-CN"/>
        </w:rPr>
        <w:t xml:space="preserve">联系方式，新点软件客服电话：4009980000、0570-3878007、18606516296。 </w:t>
      </w:r>
    </w:p>
    <w:p w14:paraId="035AC84A">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9</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解密</w:t>
      </w:r>
    </w:p>
    <w:p w14:paraId="407FC72E">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9.1</w:t>
      </w:r>
      <w:r>
        <w:rPr>
          <w:rFonts w:hint="eastAsia" w:ascii="宋体" w:hAnsi="宋体" w:eastAsia="宋体" w:cs="宋体"/>
          <w:color w:val="auto"/>
          <w:highlight w:val="none"/>
          <w:lang w:val="en-US" w:eastAsia="zh-CN"/>
        </w:rPr>
        <w:t>投标文件开启时间到后，代理机构（或公证人员）宣布开始解密，30分钟内供应商应完成投标文件的解密。供应商解密方式：供应商自行登录衢州市阳光交易服务平台不见面开标大厅（https://qzygjy.com/BidOpening/bidopeninghallaction/hall/login)——投标人身份——我的项目——选择标段——待代理开启解密后进行解密操作供应商在规定的时间内都已完成解密，则系统自动结束解密；供应商因自身原因未在规定时间内完成解密，则默认自动放弃；</w:t>
      </w:r>
    </w:p>
    <w:p w14:paraId="3342CF1A">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9.2</w:t>
      </w:r>
      <w:r>
        <w:rPr>
          <w:rFonts w:hint="eastAsia" w:ascii="宋体" w:hAnsi="宋体" w:eastAsia="宋体" w:cs="宋体"/>
          <w:color w:val="auto"/>
          <w:highlight w:val="none"/>
          <w:lang w:val="en-US" w:eastAsia="zh-CN"/>
        </w:rPr>
        <w:t>采购代理机构导入投标文件成功后进入评标流程。</w:t>
      </w:r>
    </w:p>
    <w:p w14:paraId="7E3DFA86">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10</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开标特别说明</w:t>
      </w:r>
    </w:p>
    <w:p w14:paraId="4DAF66C4">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10.1</w:t>
      </w:r>
      <w:r>
        <w:rPr>
          <w:rFonts w:hint="eastAsia" w:ascii="宋体" w:hAnsi="宋体" w:eastAsia="宋体" w:cs="宋体"/>
          <w:color w:val="auto"/>
          <w:highlight w:val="none"/>
          <w:lang w:val="en-US" w:eastAsia="zh-CN"/>
        </w:rPr>
        <w:t xml:space="preserve">开标解密使用供应商上传的电子投标文件。 </w:t>
      </w:r>
    </w:p>
    <w:p w14:paraId="4A0A8054">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10.2</w:t>
      </w:r>
      <w:r>
        <w:rPr>
          <w:rFonts w:hint="eastAsia" w:ascii="宋体" w:hAnsi="宋体" w:eastAsia="宋体" w:cs="宋体"/>
          <w:color w:val="auto"/>
          <w:highlight w:val="none"/>
          <w:lang w:val="en-US" w:eastAsia="zh-CN"/>
        </w:rPr>
        <w:t>因供应商原因（包括供应商自主选择的CA证书、电脑环境、网络等），造成其电子投标文件未解密的，或投标文件解密了，但投标文件无法识别、读取的，视为撤销其投标文件。</w:t>
      </w:r>
    </w:p>
    <w:p w14:paraId="0CB2A465">
      <w:pPr>
        <w:keepNext w:val="0"/>
        <w:keepLines w:val="0"/>
        <w:pageBreakBefore w:val="0"/>
        <w:kinsoku/>
        <w:wordWrap/>
        <w:overflowPunct/>
        <w:topLinePunct w:val="0"/>
        <w:bidi w:val="0"/>
        <w:adjustRightInd w:val="0"/>
        <w:snapToGrid w:val="0"/>
        <w:spacing w:line="490" w:lineRule="exact"/>
        <w:ind w:firstLine="480"/>
        <w:textAlignment w:val="auto"/>
        <w:rPr>
          <w:rFonts w:hint="eastAsia" w:ascii="宋体" w:hAnsi="宋体" w:eastAsia="宋体" w:cs="宋体"/>
          <w:color w:val="auto"/>
        </w:rPr>
      </w:pPr>
      <w:r>
        <w:rPr>
          <w:rFonts w:hint="eastAsia" w:ascii="宋体" w:hAnsi="宋体" w:cs="宋体"/>
          <w:color w:val="auto"/>
          <w:highlight w:val="none"/>
          <w:lang w:val="en-US" w:eastAsia="zh-CN"/>
        </w:rPr>
        <w:t>10.3</w:t>
      </w:r>
      <w:r>
        <w:rPr>
          <w:rFonts w:hint="eastAsia" w:ascii="宋体" w:hAnsi="宋体" w:eastAsia="宋体" w:cs="宋体"/>
          <w:color w:val="auto"/>
          <w:highlight w:val="none"/>
          <w:lang w:val="en-US" w:eastAsia="zh-CN"/>
        </w:rPr>
        <w:t>供应商必须使用生成电子投标文件的CA数字证书解密电子投标文件。</w:t>
      </w:r>
    </w:p>
    <w:p w14:paraId="04DC0D91">
      <w:pPr>
        <w:keepNext w:val="0"/>
        <w:keepLines w:val="0"/>
        <w:pageBreakBefore w:val="0"/>
        <w:widowControl/>
        <w:numPr>
          <w:ilvl w:val="255"/>
          <w:numId w:val="0"/>
        </w:numPr>
        <w:kinsoku/>
        <w:wordWrap/>
        <w:overflowPunct/>
        <w:topLinePunct w:val="0"/>
        <w:autoSpaceDE/>
        <w:autoSpaceDN/>
        <w:bidi w:val="0"/>
        <w:snapToGrid w:val="0"/>
        <w:spacing w:line="500" w:lineRule="exact"/>
        <w:ind w:firstLine="482" w:firstLineChars="200"/>
        <w:jc w:val="left"/>
        <w:textAlignment w:val="auto"/>
        <w:outlineLvl w:val="1"/>
        <w:rPr>
          <w:rFonts w:hint="eastAsia" w:ascii="宋体" w:hAnsi="宋体" w:eastAsia="宋体" w:cs="宋体"/>
          <w:b/>
          <w:bCs/>
          <w:color w:val="auto"/>
        </w:rPr>
      </w:pPr>
      <w:bookmarkStart w:id="136" w:name="_Toc27666"/>
      <w:bookmarkStart w:id="137" w:name="_Toc4243"/>
      <w:r>
        <w:rPr>
          <w:rFonts w:hint="eastAsia" w:ascii="宋体" w:hAnsi="宋体" w:eastAsia="宋体" w:cs="宋体"/>
          <w:b/>
          <w:bCs/>
          <w:color w:val="auto"/>
        </w:rPr>
        <w:t>五、投标文件的递交</w:t>
      </w:r>
      <w:bookmarkEnd w:id="136"/>
      <w:bookmarkEnd w:id="137"/>
    </w:p>
    <w:p w14:paraId="65864D20">
      <w:pPr>
        <w:pStyle w:val="91"/>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1.投标文件递交截止时间（投标截止时间，下</w:t>
      </w:r>
      <w:r>
        <w:rPr>
          <w:rFonts w:hint="eastAsia" w:ascii="宋体" w:hAnsi="宋体" w:eastAsia="宋体" w:cs="宋体"/>
          <w:color w:val="auto"/>
          <w:sz w:val="24"/>
          <w:szCs w:val="24"/>
          <w:highlight w:val="none"/>
        </w:rPr>
        <w:t>同）：202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27</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时</w:t>
      </w:r>
      <w:r>
        <w:rPr>
          <w:rFonts w:hint="eastAsia" w:ascii="宋体" w:hAnsi="宋体" w:cs="宋体"/>
          <w:color w:val="auto"/>
          <w:sz w:val="24"/>
          <w:szCs w:val="24"/>
          <w:highlight w:val="none"/>
          <w:lang w:val="en-US" w:eastAsia="zh-CN"/>
        </w:rPr>
        <w:t>00</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00</w:t>
      </w:r>
      <w:r>
        <w:rPr>
          <w:rFonts w:hint="eastAsia" w:ascii="宋体" w:hAnsi="宋体" w:eastAsia="宋体" w:cs="宋体"/>
          <w:color w:val="auto"/>
          <w:sz w:val="24"/>
          <w:szCs w:val="24"/>
          <w:highlight w:val="none"/>
        </w:rPr>
        <w:t>秒。</w:t>
      </w:r>
    </w:p>
    <w:p w14:paraId="661AAA6F">
      <w:pPr>
        <w:pStyle w:val="91"/>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2.投标文件递交方式：电子投标文件采用网上递交的方式，上传至衢州市阳光交易服务平台（https://qzygjy.com/TPBidder/memberLogin?type=13）。</w:t>
      </w:r>
    </w:p>
    <w:p w14:paraId="7BC4D093">
      <w:pPr>
        <w:pStyle w:val="91"/>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3.网上开标地点：衢州市阳光交易服务平台不见面开标大厅（网址：https://qzygjy.com/BidOpening/bidopeninghallaction/hall/login）。</w:t>
      </w:r>
      <w:r>
        <w:rPr>
          <w:rFonts w:hint="eastAsia" w:ascii="宋体" w:hAnsi="宋体" w:eastAsia="宋体" w:cs="宋体"/>
          <w:color w:val="auto"/>
          <w:sz w:val="24"/>
          <w:szCs w:val="24"/>
          <w:highlight w:val="none"/>
          <w:lang w:val="en-US" w:eastAsia="zh-CN"/>
        </w:rPr>
        <w:t>操作手册见官网首页下载中心。</w:t>
      </w:r>
    </w:p>
    <w:p w14:paraId="7F0B9EEA">
      <w:pPr>
        <w:keepNext w:val="0"/>
        <w:keepLines w:val="0"/>
        <w:pageBreakBefore w:val="0"/>
        <w:kinsoku/>
        <w:wordWrap/>
        <w:overflowPunct/>
        <w:topLinePunct w:val="0"/>
        <w:autoSpaceDE/>
        <w:autoSpaceDN/>
        <w:bidi w:val="0"/>
        <w:adjustRightInd w:val="0"/>
        <w:spacing w:line="500" w:lineRule="exact"/>
        <w:ind w:firstLine="482"/>
        <w:textAlignment w:val="auto"/>
        <w:outlineLvl w:val="1"/>
        <w:rPr>
          <w:rFonts w:hint="eastAsia" w:ascii="宋体" w:hAnsi="宋体" w:eastAsia="宋体" w:cs="宋体"/>
          <w:b/>
          <w:color w:val="auto"/>
          <w:szCs w:val="21"/>
          <w:highlight w:val="none"/>
        </w:rPr>
      </w:pPr>
      <w:bookmarkStart w:id="138" w:name="_Toc20733"/>
      <w:bookmarkStart w:id="139" w:name="_Toc10378"/>
      <w:r>
        <w:rPr>
          <w:rFonts w:hint="eastAsia" w:ascii="宋体" w:hAnsi="宋体" w:eastAsia="宋体" w:cs="宋体"/>
          <w:b/>
          <w:color w:val="auto"/>
          <w:szCs w:val="21"/>
          <w:highlight w:val="none"/>
        </w:rPr>
        <w:t>六、发布公告的媒介</w:t>
      </w:r>
      <w:bookmarkEnd w:id="138"/>
      <w:bookmarkEnd w:id="139"/>
    </w:p>
    <w:p w14:paraId="3286682B">
      <w:pPr>
        <w:keepNext w:val="0"/>
        <w:keepLines w:val="0"/>
        <w:pageBreakBefore w:val="0"/>
        <w:kinsoku/>
        <w:wordWrap/>
        <w:overflowPunct/>
        <w:topLinePunct w:val="0"/>
        <w:autoSpaceDE/>
        <w:autoSpaceDN/>
        <w:bidi w:val="0"/>
        <w:adjustRightInd w:val="0"/>
        <w:spacing w:line="500" w:lineRule="exact"/>
        <w:ind w:firstLine="48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本招标公告在“衢州市阳光交易服务平台https://qzygjy.com/”、“浙江政府采购网https://zfcg.czt.zj.gov.cn/”上发布。</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2B971F0C">
      <w:pPr>
        <w:keepNext w:val="0"/>
        <w:keepLines w:val="0"/>
        <w:pageBreakBefore w:val="0"/>
        <w:numPr>
          <w:ilvl w:val="255"/>
          <w:numId w:val="0"/>
        </w:numPr>
        <w:kinsoku/>
        <w:wordWrap/>
        <w:overflowPunct/>
        <w:topLinePunct w:val="0"/>
        <w:bidi w:val="0"/>
        <w:snapToGrid w:val="0"/>
        <w:spacing w:line="500" w:lineRule="exact"/>
        <w:ind w:firstLine="482" w:firstLineChars="200"/>
        <w:textAlignment w:val="auto"/>
        <w:outlineLvl w:val="1"/>
        <w:rPr>
          <w:rFonts w:hint="eastAsia" w:ascii="宋体" w:hAnsi="宋体" w:eastAsia="宋体" w:cs="宋体"/>
          <w:b/>
          <w:bCs/>
          <w:color w:val="auto"/>
          <w:highlight w:val="none"/>
          <w:lang w:val="zh-CN"/>
        </w:rPr>
      </w:pPr>
      <w:bookmarkStart w:id="140" w:name="_Toc7001"/>
      <w:bookmarkStart w:id="141" w:name="_Toc15296"/>
      <w:bookmarkStart w:id="142" w:name="_Toc3321"/>
      <w:bookmarkStart w:id="143" w:name="_Toc29674"/>
      <w:bookmarkStart w:id="144" w:name="_Toc2592"/>
      <w:bookmarkStart w:id="145" w:name="_Toc28973"/>
      <w:bookmarkStart w:id="146" w:name="_Toc15563"/>
      <w:bookmarkStart w:id="147" w:name="_Toc3728"/>
      <w:bookmarkStart w:id="148" w:name="_Toc5934"/>
      <w:bookmarkStart w:id="149" w:name="_Toc29452"/>
      <w:bookmarkStart w:id="150" w:name="_Toc9579"/>
      <w:bookmarkStart w:id="151" w:name="_Toc32256"/>
      <w:bookmarkStart w:id="152" w:name="_Toc31991"/>
      <w:bookmarkStart w:id="153" w:name="_Toc615"/>
      <w:bookmarkStart w:id="154" w:name="_Toc30620"/>
      <w:bookmarkStart w:id="155" w:name="_Toc9962"/>
      <w:bookmarkStart w:id="156" w:name="_Toc13827"/>
      <w:bookmarkStart w:id="157" w:name="_Toc21431"/>
      <w:bookmarkStart w:id="158" w:name="_Toc30034"/>
      <w:bookmarkStart w:id="159" w:name="_Toc19503"/>
      <w:bookmarkStart w:id="160" w:name="_Toc18088"/>
      <w:bookmarkStart w:id="161" w:name="_Toc16995"/>
      <w:bookmarkStart w:id="162" w:name="_Toc6741"/>
      <w:bookmarkStart w:id="163" w:name="_Toc24482"/>
      <w:r>
        <w:rPr>
          <w:rFonts w:hint="eastAsia" w:ascii="宋体" w:hAnsi="宋体" w:eastAsia="宋体" w:cs="宋体"/>
          <w:b/>
          <w:bCs/>
          <w:color w:val="auto"/>
          <w:highlight w:val="none"/>
        </w:rPr>
        <w:t>七</w:t>
      </w:r>
      <w:r>
        <w:rPr>
          <w:rFonts w:hint="eastAsia" w:ascii="宋体" w:hAnsi="宋体" w:eastAsia="宋体" w:cs="宋体"/>
          <w:b/>
          <w:bCs/>
          <w:color w:val="auto"/>
          <w:highlight w:val="none"/>
          <w:lang w:val="zh-CN"/>
        </w:rPr>
        <w:t>、公告期限</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8AA100F">
      <w:pPr>
        <w:keepNext w:val="0"/>
        <w:keepLines w:val="0"/>
        <w:pageBreakBefore w:val="0"/>
        <w:tabs>
          <w:tab w:val="left" w:pos="567"/>
        </w:tabs>
        <w:kinsoku/>
        <w:wordWrap/>
        <w:overflowPunct/>
        <w:topLinePunct w:val="0"/>
        <w:bidi w:val="0"/>
        <w:snapToGrid w:val="0"/>
        <w:spacing w:line="5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自本公告发布之日起5个工作日。</w:t>
      </w:r>
    </w:p>
    <w:p w14:paraId="48297D3F">
      <w:pPr>
        <w:keepNext w:val="0"/>
        <w:keepLines w:val="0"/>
        <w:pageBreakBefore w:val="0"/>
        <w:numPr>
          <w:ilvl w:val="255"/>
          <w:numId w:val="0"/>
        </w:numPr>
        <w:kinsoku/>
        <w:wordWrap/>
        <w:overflowPunct/>
        <w:topLinePunct w:val="0"/>
        <w:bidi w:val="0"/>
        <w:snapToGrid w:val="0"/>
        <w:spacing w:line="500" w:lineRule="exact"/>
        <w:ind w:firstLine="482" w:firstLineChars="200"/>
        <w:textAlignment w:val="auto"/>
        <w:outlineLvl w:val="1"/>
        <w:rPr>
          <w:rFonts w:hint="eastAsia" w:ascii="宋体" w:hAnsi="宋体" w:eastAsia="宋体" w:cs="宋体"/>
          <w:b/>
          <w:bCs/>
          <w:color w:val="auto"/>
          <w:highlight w:val="none"/>
          <w:lang w:val="zh-CN"/>
        </w:rPr>
      </w:pPr>
      <w:bookmarkStart w:id="164" w:name="_Toc21686"/>
      <w:bookmarkStart w:id="165" w:name="_Toc31025"/>
      <w:bookmarkStart w:id="166" w:name="_Toc14198"/>
      <w:bookmarkStart w:id="167" w:name="_Toc15440"/>
      <w:bookmarkStart w:id="168" w:name="_Toc26070"/>
      <w:bookmarkStart w:id="169" w:name="_Toc5821"/>
      <w:bookmarkStart w:id="170" w:name="_Toc16285"/>
      <w:bookmarkStart w:id="171" w:name="_Toc21407"/>
      <w:bookmarkStart w:id="172" w:name="_Toc20211"/>
      <w:bookmarkStart w:id="173" w:name="_Toc8449"/>
      <w:bookmarkStart w:id="174" w:name="_Toc5521"/>
      <w:bookmarkStart w:id="175" w:name="_Toc1123"/>
      <w:bookmarkStart w:id="176" w:name="_Toc3633"/>
      <w:bookmarkStart w:id="177" w:name="_Toc17913"/>
      <w:bookmarkStart w:id="178" w:name="_Toc2589"/>
      <w:bookmarkStart w:id="179" w:name="_Toc16029"/>
      <w:bookmarkStart w:id="180" w:name="_Toc31887"/>
      <w:bookmarkStart w:id="181" w:name="_Toc15789"/>
      <w:bookmarkStart w:id="182" w:name="_Toc5254"/>
      <w:bookmarkStart w:id="183" w:name="_Toc19281"/>
      <w:bookmarkStart w:id="184" w:name="_Toc31633"/>
      <w:bookmarkStart w:id="185" w:name="_Toc12880"/>
      <w:bookmarkStart w:id="186" w:name="_Toc29902"/>
      <w:bookmarkStart w:id="187" w:name="_Toc31065"/>
      <w:r>
        <w:rPr>
          <w:rFonts w:hint="eastAsia" w:ascii="宋体" w:hAnsi="宋体" w:eastAsia="宋体" w:cs="宋体"/>
          <w:b/>
          <w:bCs/>
          <w:color w:val="auto"/>
          <w:highlight w:val="none"/>
        </w:rPr>
        <w:t>八</w:t>
      </w:r>
      <w:r>
        <w:rPr>
          <w:rFonts w:hint="eastAsia" w:ascii="宋体" w:hAnsi="宋体" w:eastAsia="宋体" w:cs="宋体"/>
          <w:b/>
          <w:bCs/>
          <w:color w:val="auto"/>
          <w:highlight w:val="none"/>
          <w:lang w:val="zh-CN"/>
        </w:rPr>
        <w:t>、其他补充事宜</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38EA7043">
      <w:pPr>
        <w:keepNext w:val="0"/>
        <w:keepLines w:val="0"/>
        <w:pageBreakBefore w:val="0"/>
        <w:tabs>
          <w:tab w:val="left" w:pos="567"/>
        </w:tabs>
        <w:kinsoku/>
        <w:wordWrap/>
        <w:overflowPunct/>
        <w:topLinePunct w:val="0"/>
        <w:bidi w:val="0"/>
        <w:snapToGrid w:val="0"/>
        <w:spacing w:line="500" w:lineRule="exact"/>
        <w:ind w:firstLine="48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14:paraId="057B2113">
      <w:pPr>
        <w:keepNext w:val="0"/>
        <w:keepLines w:val="0"/>
        <w:pageBreakBefore w:val="0"/>
        <w:numPr>
          <w:ilvl w:val="255"/>
          <w:numId w:val="0"/>
        </w:numPr>
        <w:kinsoku/>
        <w:wordWrap/>
        <w:overflowPunct/>
        <w:topLinePunct w:val="0"/>
        <w:bidi w:val="0"/>
        <w:snapToGrid w:val="0"/>
        <w:spacing w:line="500" w:lineRule="exact"/>
        <w:ind w:firstLine="482" w:firstLineChars="200"/>
        <w:textAlignment w:val="auto"/>
        <w:outlineLvl w:val="1"/>
        <w:rPr>
          <w:rFonts w:hint="eastAsia" w:ascii="宋体" w:hAnsi="宋体" w:eastAsia="宋体" w:cs="宋体"/>
          <w:b/>
          <w:bCs/>
          <w:color w:val="auto"/>
          <w:highlight w:val="none"/>
          <w:lang w:val="zh-CN"/>
        </w:rPr>
      </w:pPr>
      <w:bookmarkStart w:id="188" w:name="_Toc10681"/>
      <w:bookmarkStart w:id="189" w:name="_Toc4537"/>
      <w:bookmarkStart w:id="190" w:name="_Toc12397"/>
      <w:bookmarkStart w:id="191" w:name="_Toc14675"/>
      <w:bookmarkStart w:id="192" w:name="_Toc900"/>
      <w:bookmarkStart w:id="193" w:name="_Toc14989"/>
      <w:bookmarkStart w:id="194" w:name="_Toc16069"/>
      <w:bookmarkStart w:id="195" w:name="_Toc3570"/>
      <w:bookmarkStart w:id="196" w:name="_Toc7004"/>
      <w:bookmarkStart w:id="197" w:name="_Toc3531"/>
      <w:bookmarkStart w:id="198" w:name="_Toc16125"/>
      <w:bookmarkStart w:id="199" w:name="_Toc7089"/>
      <w:bookmarkStart w:id="200" w:name="_Toc19515"/>
      <w:bookmarkStart w:id="201" w:name="_Toc4375"/>
      <w:bookmarkStart w:id="202" w:name="_Toc26697"/>
      <w:bookmarkStart w:id="203" w:name="_Toc8106"/>
      <w:bookmarkStart w:id="204" w:name="_Toc22562"/>
      <w:bookmarkStart w:id="205" w:name="_Toc23801"/>
      <w:bookmarkStart w:id="206" w:name="_Toc30923"/>
      <w:bookmarkStart w:id="207" w:name="_Toc22164"/>
      <w:bookmarkStart w:id="208" w:name="_Toc16934"/>
      <w:bookmarkStart w:id="209" w:name="_Toc9248"/>
      <w:bookmarkStart w:id="210" w:name="_Toc4869"/>
      <w:bookmarkStart w:id="211" w:name="_Toc16832"/>
      <w:r>
        <w:rPr>
          <w:rFonts w:hint="eastAsia" w:ascii="宋体" w:hAnsi="宋体" w:eastAsia="宋体" w:cs="宋体"/>
          <w:b/>
          <w:bCs/>
          <w:color w:val="auto"/>
          <w:highlight w:val="none"/>
        </w:rPr>
        <w:t>九</w:t>
      </w:r>
      <w:r>
        <w:rPr>
          <w:rFonts w:hint="eastAsia" w:ascii="宋体" w:hAnsi="宋体" w:eastAsia="宋体" w:cs="宋体"/>
          <w:b/>
          <w:bCs/>
          <w:color w:val="auto"/>
          <w:highlight w:val="none"/>
          <w:lang w:val="zh-CN"/>
        </w:rPr>
        <w:t>、业务咨询</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47DF64E4">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bCs/>
          <w:color w:val="auto"/>
          <w:highlight w:val="none"/>
        </w:rPr>
      </w:pPr>
      <w:bookmarkStart w:id="212" w:name="_Toc21280"/>
      <w:bookmarkStart w:id="213" w:name="_Toc12500"/>
      <w:bookmarkStart w:id="214" w:name="_Toc12686"/>
      <w:bookmarkStart w:id="215" w:name="_Toc24117"/>
      <w:bookmarkStart w:id="216" w:name="_Toc2619"/>
      <w:bookmarkStart w:id="217" w:name="_Toc6015"/>
      <w:bookmarkStart w:id="218" w:name="_Toc16957"/>
      <w:bookmarkStart w:id="219" w:name="_Toc20787"/>
      <w:bookmarkStart w:id="220" w:name="_Toc23630"/>
      <w:r>
        <w:rPr>
          <w:rFonts w:hint="eastAsia" w:ascii="宋体" w:hAnsi="宋体" w:eastAsia="宋体" w:cs="宋体"/>
          <w:bCs/>
          <w:color w:val="auto"/>
          <w:highlight w:val="none"/>
        </w:rPr>
        <w:t>1.采购人信息</w:t>
      </w:r>
    </w:p>
    <w:p w14:paraId="62DB6CF4">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名称：</w:t>
      </w:r>
      <w:r>
        <w:rPr>
          <w:rFonts w:hint="eastAsia" w:ascii="宋体" w:hAnsi="宋体" w:eastAsia="宋体" w:cs="宋体"/>
          <w:bCs/>
          <w:color w:val="auto"/>
          <w:highlight w:val="none"/>
          <w:lang w:eastAsia="zh-CN"/>
        </w:rPr>
        <w:t>龙游兴园基础设施建设有限公司</w:t>
      </w:r>
      <w:r>
        <w:rPr>
          <w:rFonts w:hint="eastAsia" w:ascii="宋体" w:hAnsi="宋体" w:eastAsia="宋体" w:cs="宋体"/>
          <w:bCs/>
          <w:color w:val="auto"/>
          <w:highlight w:val="none"/>
        </w:rPr>
        <w:t xml:space="preserve">    </w:t>
      </w:r>
    </w:p>
    <w:p w14:paraId="7724C6F6">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color w:val="auto"/>
          <w:spacing w:val="-7"/>
          <w:sz w:val="24"/>
          <w:szCs w:val="24"/>
          <w:highlight w:val="none"/>
          <w:lang w:eastAsia="zh-CN"/>
        </w:rPr>
      </w:pPr>
      <w:r>
        <w:rPr>
          <w:rFonts w:hint="eastAsia" w:ascii="宋体" w:hAnsi="宋体" w:eastAsia="宋体" w:cs="宋体"/>
          <w:color w:val="auto"/>
          <w:spacing w:val="-7"/>
          <w:sz w:val="24"/>
          <w:szCs w:val="24"/>
          <w:highlight w:val="none"/>
          <w:lang w:eastAsia="zh-CN"/>
        </w:rPr>
        <w:t>地址：</w:t>
      </w:r>
      <w:r>
        <w:rPr>
          <w:rFonts w:hint="eastAsia" w:ascii="宋体" w:hAnsi="宋体" w:cs="宋体"/>
          <w:color w:val="auto"/>
          <w:spacing w:val="-7"/>
          <w:sz w:val="24"/>
          <w:szCs w:val="24"/>
          <w:highlight w:val="none"/>
          <w:lang w:eastAsia="zh-CN"/>
        </w:rPr>
        <w:t>龙游县经济开发区管委会大楼内</w:t>
      </w:r>
    </w:p>
    <w:p w14:paraId="39342E13">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color w:val="auto"/>
          <w:spacing w:val="-7"/>
          <w:sz w:val="24"/>
          <w:szCs w:val="24"/>
          <w:highlight w:val="none"/>
          <w:lang w:eastAsia="zh-CN"/>
        </w:rPr>
      </w:pPr>
      <w:r>
        <w:rPr>
          <w:rFonts w:hint="eastAsia" w:ascii="宋体" w:hAnsi="宋体" w:eastAsia="宋体" w:cs="宋体"/>
          <w:color w:val="auto"/>
          <w:spacing w:val="-7"/>
          <w:sz w:val="24"/>
          <w:szCs w:val="24"/>
          <w:highlight w:val="none"/>
          <w:lang w:eastAsia="zh-CN"/>
        </w:rPr>
        <w:t>联系人：</w:t>
      </w:r>
      <w:r>
        <w:rPr>
          <w:rFonts w:hint="eastAsia" w:ascii="宋体" w:hAnsi="宋体" w:cs="宋体"/>
          <w:color w:val="auto"/>
          <w:spacing w:val="-7"/>
          <w:sz w:val="24"/>
          <w:szCs w:val="24"/>
          <w:highlight w:val="none"/>
          <w:lang w:eastAsia="zh-CN"/>
        </w:rPr>
        <w:t>郑先生</w:t>
      </w:r>
    </w:p>
    <w:p w14:paraId="3EDC5C0B">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color w:val="auto"/>
          <w:spacing w:val="-7"/>
          <w:sz w:val="24"/>
          <w:szCs w:val="24"/>
          <w:highlight w:val="none"/>
          <w:lang w:eastAsia="zh-CN"/>
        </w:rPr>
      </w:pPr>
      <w:r>
        <w:rPr>
          <w:rFonts w:hint="eastAsia" w:ascii="宋体" w:hAnsi="宋体" w:eastAsia="宋体" w:cs="宋体"/>
          <w:color w:val="auto"/>
          <w:spacing w:val="-7"/>
          <w:sz w:val="24"/>
          <w:szCs w:val="24"/>
          <w:highlight w:val="none"/>
          <w:lang w:eastAsia="zh-CN"/>
        </w:rPr>
        <w:t>联系方式：0570-7258006</w:t>
      </w:r>
    </w:p>
    <w:p w14:paraId="4C064A92">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bCs/>
          <w:color w:val="auto"/>
          <w:highlight w:val="none"/>
          <w:lang w:val="zh-CN"/>
        </w:rPr>
      </w:pPr>
      <w:bookmarkStart w:id="221" w:name="_Toc954"/>
      <w:bookmarkStart w:id="222" w:name="_Toc23757"/>
      <w:bookmarkStart w:id="223" w:name="_Toc26526"/>
      <w:bookmarkStart w:id="224" w:name="_Toc8061"/>
      <w:bookmarkStart w:id="225" w:name="_Toc29416"/>
      <w:r>
        <w:rPr>
          <w:rFonts w:hint="eastAsia" w:ascii="宋体" w:hAnsi="宋体" w:eastAsia="宋体" w:cs="宋体"/>
          <w:bCs/>
          <w:color w:val="auto"/>
          <w:highlight w:val="none"/>
        </w:rPr>
        <w:t>2.</w:t>
      </w:r>
      <w:r>
        <w:rPr>
          <w:rFonts w:hint="eastAsia" w:ascii="宋体" w:hAnsi="宋体" w:eastAsia="宋体" w:cs="宋体"/>
          <w:bCs/>
          <w:color w:val="auto"/>
          <w:highlight w:val="none"/>
          <w:lang w:val="zh-CN"/>
        </w:rPr>
        <w:t>采购代理机构</w:t>
      </w:r>
      <w:r>
        <w:rPr>
          <w:rFonts w:hint="eastAsia" w:ascii="宋体" w:hAnsi="宋体" w:eastAsia="宋体" w:cs="宋体"/>
          <w:bCs/>
          <w:color w:val="auto"/>
          <w:highlight w:val="none"/>
        </w:rPr>
        <w:t>信息</w:t>
      </w:r>
      <w:bookmarkEnd w:id="221"/>
      <w:bookmarkEnd w:id="222"/>
      <w:bookmarkEnd w:id="223"/>
      <w:bookmarkEnd w:id="224"/>
      <w:bookmarkEnd w:id="225"/>
    </w:p>
    <w:p w14:paraId="5D620BF7">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bCs/>
          <w:color w:val="auto"/>
          <w:highlight w:val="none"/>
          <w:lang w:val="zh-CN"/>
        </w:rPr>
      </w:pPr>
      <w:bookmarkStart w:id="226" w:name="_Toc8365"/>
      <w:bookmarkStart w:id="227" w:name="_Toc7927"/>
      <w:bookmarkStart w:id="228" w:name="_Toc25465"/>
      <w:bookmarkStart w:id="229" w:name="_Toc12179"/>
      <w:bookmarkStart w:id="230" w:name="_Toc15993"/>
      <w:r>
        <w:rPr>
          <w:rFonts w:hint="eastAsia" w:ascii="宋体" w:hAnsi="宋体" w:eastAsia="宋体" w:cs="宋体"/>
          <w:bCs/>
          <w:color w:val="auto"/>
          <w:highlight w:val="none"/>
          <w:lang w:val="zh-CN"/>
        </w:rPr>
        <w:t>名称：</w:t>
      </w:r>
      <w:bookmarkEnd w:id="226"/>
      <w:bookmarkEnd w:id="227"/>
      <w:bookmarkEnd w:id="228"/>
      <w:bookmarkEnd w:id="229"/>
      <w:bookmarkEnd w:id="230"/>
      <w:r>
        <w:rPr>
          <w:rFonts w:hint="eastAsia" w:ascii="宋体" w:hAnsi="宋体" w:cs="宋体"/>
          <w:bCs/>
          <w:color w:val="auto"/>
          <w:highlight w:val="none"/>
          <w:lang w:val="zh-CN"/>
        </w:rPr>
        <w:t>浙江中合工程管理有限公司</w:t>
      </w:r>
    </w:p>
    <w:p w14:paraId="3BC3A40E">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地址：</w:t>
      </w:r>
      <w:r>
        <w:rPr>
          <w:rFonts w:hint="eastAsia" w:ascii="宋体" w:hAnsi="宋体" w:cs="宋体"/>
          <w:bCs/>
          <w:color w:val="auto"/>
          <w:highlight w:val="none"/>
          <w:lang w:eastAsia="zh-CN"/>
        </w:rPr>
        <w:t>龙游县龙洲街道清影南路2号龙游世贸城一号楼2006室</w:t>
      </w:r>
    </w:p>
    <w:p w14:paraId="16588C6A">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联系人：</w:t>
      </w:r>
      <w:r>
        <w:rPr>
          <w:rFonts w:hint="eastAsia" w:ascii="宋体" w:hAnsi="宋体" w:cs="宋体"/>
          <w:bCs/>
          <w:color w:val="auto"/>
          <w:highlight w:val="none"/>
          <w:lang w:eastAsia="zh-CN"/>
        </w:rPr>
        <w:t>黄小姐</w:t>
      </w:r>
    </w:p>
    <w:p w14:paraId="351B0462">
      <w:pPr>
        <w:keepNext w:val="0"/>
        <w:keepLines w:val="0"/>
        <w:pageBreakBefore w:val="0"/>
        <w:kinsoku/>
        <w:wordWrap/>
        <w:overflowPunct/>
        <w:topLinePunct w:val="0"/>
        <w:bidi w:val="0"/>
        <w:spacing w:line="500" w:lineRule="exact"/>
        <w:ind w:firstLine="480"/>
        <w:textAlignment w:val="auto"/>
        <w:rPr>
          <w:rFonts w:hint="eastAsia" w:ascii="宋体" w:hAnsi="宋体" w:eastAsia="宋体" w:cs="宋体"/>
          <w:bCs w:val="0"/>
          <w:color w:val="auto"/>
          <w:highlight w:val="none"/>
        </w:rPr>
      </w:pPr>
      <w:r>
        <w:rPr>
          <w:rFonts w:hint="eastAsia" w:ascii="宋体" w:hAnsi="宋体" w:eastAsia="宋体" w:cs="宋体"/>
          <w:bCs/>
          <w:color w:val="auto"/>
          <w:highlight w:val="none"/>
        </w:rPr>
        <w:t>联系方式：</w:t>
      </w:r>
      <w:r>
        <w:rPr>
          <w:rFonts w:hint="eastAsia" w:ascii="宋体" w:hAnsi="宋体" w:cs="宋体"/>
          <w:bCs/>
          <w:color w:val="auto"/>
          <w:highlight w:val="none"/>
          <w:lang w:eastAsia="zh-CN"/>
        </w:rPr>
        <w:t>18969455455</w:t>
      </w:r>
    </w:p>
    <w:p w14:paraId="177A2D8D">
      <w:pPr>
        <w:keepNext w:val="0"/>
        <w:keepLines w:val="0"/>
        <w:pageBreakBefore w:val="0"/>
        <w:widowControl/>
        <w:kinsoku/>
        <w:wordWrap/>
        <w:overflowPunct/>
        <w:topLinePunct w:val="0"/>
        <w:bidi w:val="0"/>
        <w:spacing w:line="500" w:lineRule="exact"/>
        <w:ind w:firstLine="480"/>
        <w:jc w:val="left"/>
        <w:textAlignment w:val="auto"/>
        <w:rPr>
          <w:rFonts w:hint="eastAsia" w:ascii="宋体" w:hAnsi="宋体" w:eastAsia="宋体" w:cs="宋体"/>
          <w:bCs/>
          <w:color w:val="auto"/>
          <w:highlight w:val="none"/>
          <w:lang w:val="zh-CN"/>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zh-CN"/>
        </w:rPr>
        <w:t>同级</w:t>
      </w:r>
      <w:r>
        <w:rPr>
          <w:rFonts w:hint="eastAsia" w:ascii="宋体" w:hAnsi="宋体" w:eastAsia="宋体" w:cs="宋体"/>
          <w:bCs/>
          <w:color w:val="auto"/>
          <w:highlight w:val="none"/>
        </w:rPr>
        <w:t>国企</w:t>
      </w:r>
      <w:r>
        <w:rPr>
          <w:rFonts w:hint="eastAsia" w:ascii="宋体" w:hAnsi="宋体" w:eastAsia="宋体" w:cs="宋体"/>
          <w:bCs/>
          <w:color w:val="auto"/>
          <w:highlight w:val="none"/>
          <w:lang w:val="zh-CN"/>
        </w:rPr>
        <w:t>采购监督管理部门</w:t>
      </w:r>
    </w:p>
    <w:p w14:paraId="1852D7E1">
      <w:pPr>
        <w:keepNext w:val="0"/>
        <w:keepLines w:val="0"/>
        <w:pageBreakBefore w:val="0"/>
        <w:widowControl/>
        <w:kinsoku/>
        <w:wordWrap/>
        <w:overflowPunct/>
        <w:topLinePunct w:val="0"/>
        <w:bidi w:val="0"/>
        <w:spacing w:line="500" w:lineRule="exact"/>
        <w:ind w:firstLine="480"/>
        <w:jc w:val="left"/>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val="zh-CN"/>
        </w:rPr>
        <w:t>名称：</w:t>
      </w:r>
      <w:r>
        <w:rPr>
          <w:rFonts w:hint="eastAsia" w:ascii="宋体" w:hAnsi="宋体" w:eastAsia="宋体" w:cs="宋体"/>
          <w:bCs/>
          <w:color w:val="auto"/>
          <w:highlight w:val="none"/>
          <w:lang w:eastAsia="zh-CN"/>
        </w:rPr>
        <w:t>龙游经济开发区纪工委</w:t>
      </w:r>
    </w:p>
    <w:p w14:paraId="62BD62DA">
      <w:pPr>
        <w:keepNext w:val="0"/>
        <w:keepLines w:val="0"/>
        <w:pageBreakBefore w:val="0"/>
        <w:widowControl/>
        <w:kinsoku/>
        <w:wordWrap/>
        <w:overflowPunct/>
        <w:topLinePunct w:val="0"/>
        <w:bidi w:val="0"/>
        <w:spacing w:line="500" w:lineRule="exact"/>
        <w:ind w:firstLine="480"/>
        <w:jc w:val="left"/>
        <w:textAlignment w:val="auto"/>
        <w:rPr>
          <w:rFonts w:hint="eastAsia" w:ascii="宋体" w:hAnsi="宋体" w:eastAsia="宋体" w:cs="宋体"/>
          <w:bCs/>
          <w:color w:val="auto"/>
          <w:highlight w:val="none"/>
          <w:lang w:val="zh-CN" w:eastAsia="zh-CN"/>
        </w:rPr>
      </w:pPr>
      <w:r>
        <w:rPr>
          <w:rFonts w:hint="eastAsia" w:ascii="宋体" w:hAnsi="宋体" w:eastAsia="宋体" w:cs="宋体"/>
          <w:bCs/>
          <w:color w:val="auto"/>
          <w:highlight w:val="none"/>
          <w:lang w:val="zh-CN"/>
        </w:rPr>
        <w:t>地址：</w:t>
      </w:r>
      <w:r>
        <w:rPr>
          <w:rFonts w:hint="eastAsia" w:ascii="宋体" w:hAnsi="宋体" w:eastAsia="宋体" w:cs="宋体"/>
          <w:color w:val="auto"/>
          <w:sz w:val="24"/>
          <w:szCs w:val="24"/>
          <w:highlight w:val="none"/>
          <w:lang w:eastAsia="zh-CN"/>
        </w:rPr>
        <w:t>龙游县经济开发区管委会大楼内</w:t>
      </w:r>
    </w:p>
    <w:p w14:paraId="55B8B779">
      <w:pPr>
        <w:keepNext w:val="0"/>
        <w:keepLines w:val="0"/>
        <w:pageBreakBefore w:val="0"/>
        <w:widowControl w:val="0"/>
        <w:kinsoku/>
        <w:wordWrap/>
        <w:overflowPunct/>
        <w:topLinePunct w:val="0"/>
        <w:autoSpaceDE w:val="0"/>
        <w:autoSpaceDN w:val="0"/>
        <w:bidi w:val="0"/>
        <w:adjustRightInd/>
        <w:snapToGrid/>
        <w:spacing w:before="0" w:line="500" w:lineRule="exact"/>
        <w:ind w:right="480" w:right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联系人：</w:t>
      </w:r>
      <w:r>
        <w:rPr>
          <w:rFonts w:hint="eastAsia" w:ascii="宋体" w:hAnsi="宋体" w:eastAsia="宋体" w:cs="宋体"/>
          <w:color w:val="auto"/>
          <w:sz w:val="24"/>
          <w:szCs w:val="24"/>
          <w:highlight w:val="none"/>
          <w:lang w:val="en-US" w:eastAsia="zh-CN"/>
        </w:rPr>
        <w:t>余先生</w:t>
      </w:r>
    </w:p>
    <w:p w14:paraId="11676075">
      <w:pPr>
        <w:keepNext w:val="0"/>
        <w:keepLines w:val="0"/>
        <w:pageBreakBefore w:val="0"/>
        <w:widowControl w:val="0"/>
        <w:kinsoku/>
        <w:wordWrap/>
        <w:overflowPunct/>
        <w:topLinePunct w:val="0"/>
        <w:autoSpaceDE w:val="0"/>
        <w:autoSpaceDN w:val="0"/>
        <w:bidi w:val="0"/>
        <w:adjustRightInd/>
        <w:snapToGrid/>
        <w:spacing w:before="0" w:line="500" w:lineRule="exact"/>
        <w:ind w:right="480" w:rightChars="200"/>
        <w:jc w:val="left"/>
        <w:textAlignment w:val="auto"/>
        <w:rPr>
          <w:rFonts w:hint="eastAsia" w:ascii="宋体" w:hAnsi="宋体" w:eastAsia="宋体" w:cs="宋体"/>
          <w:color w:val="auto"/>
          <w:highlight w:val="none"/>
          <w:lang w:val="zh-CN"/>
        </w:rPr>
      </w:pPr>
      <w:r>
        <w:rPr>
          <w:rFonts w:hint="eastAsia" w:ascii="宋体" w:hAnsi="宋体" w:eastAsia="宋体" w:cs="宋体"/>
          <w:color w:val="auto"/>
          <w:sz w:val="24"/>
          <w:szCs w:val="24"/>
          <w:highlight w:val="none"/>
          <w:lang w:eastAsia="zh-CN"/>
        </w:rPr>
        <w:t>监督投诉电话：</w:t>
      </w:r>
      <w:r>
        <w:rPr>
          <w:rFonts w:hint="eastAsia" w:ascii="宋体" w:hAnsi="宋体" w:eastAsia="宋体" w:cs="宋体"/>
          <w:color w:val="auto"/>
          <w:sz w:val="24"/>
          <w:szCs w:val="24"/>
          <w:highlight w:val="none"/>
          <w:lang w:val="en-US" w:eastAsia="zh-CN"/>
        </w:rPr>
        <w:t>0570-7018712</w:t>
      </w:r>
    </w:p>
    <w:p w14:paraId="1C5EC8B0">
      <w:pPr>
        <w:pStyle w:val="16"/>
        <w:keepNext w:val="0"/>
        <w:keepLines w:val="0"/>
        <w:pageBreakBefore w:val="0"/>
        <w:kinsoku/>
        <w:wordWrap/>
        <w:overflowPunct/>
        <w:topLinePunct w:val="0"/>
        <w:bidi w:val="0"/>
        <w:spacing w:line="500" w:lineRule="exact"/>
        <w:ind w:firstLine="480"/>
        <w:textAlignment w:val="auto"/>
        <w:rPr>
          <w:rFonts w:ascii="宋体" w:hAnsi="宋体" w:cs="宋体"/>
          <w:color w:val="auto"/>
        </w:rPr>
      </w:pPr>
      <w:r>
        <w:rPr>
          <w:rFonts w:hint="eastAsia" w:ascii="宋体" w:hAnsi="宋体" w:eastAsia="宋体" w:cs="宋体"/>
          <w:color w:val="auto"/>
          <w:highlight w:val="none"/>
          <w:lang w:val="zh-CN"/>
        </w:rPr>
        <w:t>202</w:t>
      </w:r>
      <w:r>
        <w:rPr>
          <w:rFonts w:hint="eastAsia" w:ascii="宋体" w:hAnsi="宋体" w:cs="宋体"/>
          <w:color w:val="auto"/>
          <w:highlight w:val="none"/>
          <w:lang w:val="en-US" w:eastAsia="zh-CN"/>
        </w:rPr>
        <w:t>5</w:t>
      </w:r>
      <w:r>
        <w:rPr>
          <w:rFonts w:hint="eastAsia" w:ascii="宋体" w:hAnsi="宋体" w:eastAsia="宋体" w:cs="宋体"/>
          <w:color w:val="auto"/>
          <w:highlight w:val="none"/>
          <w:lang w:val="zh-CN"/>
        </w:rPr>
        <w:t>年</w:t>
      </w:r>
      <w:r>
        <w:rPr>
          <w:rFonts w:hint="eastAsia" w:ascii="宋体" w:hAnsi="宋体" w:cs="宋体"/>
          <w:color w:val="auto"/>
          <w:highlight w:val="none"/>
          <w:lang w:val="en-US" w:eastAsia="zh-CN"/>
        </w:rPr>
        <w:t>1</w:t>
      </w:r>
      <w:r>
        <w:rPr>
          <w:rFonts w:hint="eastAsia" w:ascii="宋体" w:hAnsi="宋体" w:eastAsia="宋体" w:cs="宋体"/>
          <w:color w:val="auto"/>
          <w:highlight w:val="none"/>
          <w:lang w:val="zh-CN"/>
        </w:rPr>
        <w:t>月</w:t>
      </w:r>
      <w:r>
        <w:rPr>
          <w:rFonts w:hint="eastAsia" w:ascii="宋体" w:hAnsi="宋体" w:cs="宋体"/>
          <w:color w:val="auto"/>
          <w:highlight w:val="none"/>
          <w:lang w:val="en-US" w:eastAsia="zh-CN"/>
        </w:rPr>
        <w:t>7</w:t>
      </w:r>
      <w:r>
        <w:rPr>
          <w:rFonts w:hint="eastAsia" w:ascii="宋体" w:hAnsi="宋体" w:eastAsia="宋体" w:cs="宋体"/>
          <w:color w:val="auto"/>
          <w:highlight w:val="none"/>
          <w:lang w:val="zh-CN"/>
        </w:rPr>
        <w:t>日</w:t>
      </w:r>
      <w:bookmarkEnd w:id="212"/>
      <w:bookmarkEnd w:id="213"/>
      <w:bookmarkEnd w:id="214"/>
      <w:bookmarkEnd w:id="215"/>
      <w:bookmarkEnd w:id="216"/>
      <w:bookmarkEnd w:id="217"/>
      <w:bookmarkEnd w:id="218"/>
      <w:bookmarkEnd w:id="219"/>
      <w:bookmarkEnd w:id="220"/>
      <w:r>
        <w:rPr>
          <w:rFonts w:hint="eastAsia" w:ascii="宋体" w:hAnsi="宋体" w:cs="宋体"/>
          <w:bCs w:val="0"/>
          <w:color w:val="auto"/>
          <w:highlight w:val="none"/>
        </w:rPr>
        <w:br w:type="page"/>
      </w:r>
      <w:bookmarkStart w:id="231" w:name="_Toc16230"/>
      <w:bookmarkStart w:id="232" w:name="_Toc26049"/>
      <w:bookmarkStart w:id="233" w:name="_Toc24829"/>
      <w:bookmarkStart w:id="234" w:name="_Toc5940"/>
      <w:bookmarkStart w:id="235" w:name="_Toc12646"/>
      <w:bookmarkStart w:id="236" w:name="_Toc18814"/>
    </w:p>
    <w:p w14:paraId="09C628A9">
      <w:pPr>
        <w:pStyle w:val="3"/>
        <w:numPr>
          <w:ilvl w:val="0"/>
          <w:numId w:val="0"/>
        </w:numPr>
        <w:spacing w:beforeLines="0" w:afterLines="0"/>
        <w:rPr>
          <w:rFonts w:ascii="宋体" w:hAnsi="宋体" w:cs="宋体"/>
          <w:color w:val="auto"/>
        </w:rPr>
      </w:pPr>
      <w:bookmarkStart w:id="237" w:name="_Toc14630"/>
      <w:bookmarkStart w:id="238" w:name="_Toc22916"/>
      <w:bookmarkStart w:id="239" w:name="_Toc30924"/>
      <w:bookmarkStart w:id="240" w:name="_Toc9281"/>
      <w:bookmarkStart w:id="241" w:name="_Toc2504"/>
      <w:bookmarkStart w:id="242" w:name="_Toc8830"/>
      <w:bookmarkStart w:id="243" w:name="_Toc7054"/>
      <w:bookmarkStart w:id="244" w:name="_Toc9562"/>
      <w:bookmarkStart w:id="245" w:name="_Toc8894"/>
      <w:bookmarkStart w:id="246" w:name="_Toc29935"/>
      <w:bookmarkStart w:id="247" w:name="_Toc26647"/>
      <w:bookmarkStart w:id="248" w:name="_Toc6325"/>
      <w:bookmarkStart w:id="249" w:name="_Toc29673"/>
      <w:bookmarkStart w:id="250" w:name="_Toc27348"/>
      <w:bookmarkStart w:id="251" w:name="_Toc20710"/>
      <w:bookmarkStart w:id="252" w:name="_Toc3742"/>
      <w:bookmarkStart w:id="253" w:name="_Toc3207"/>
      <w:bookmarkStart w:id="254" w:name="_Toc2759"/>
      <w:bookmarkStart w:id="255" w:name="_Toc21210"/>
      <w:bookmarkStart w:id="256" w:name="_Toc3557"/>
      <w:bookmarkStart w:id="257" w:name="_Toc26017"/>
      <w:bookmarkStart w:id="258" w:name="_Toc30570"/>
      <w:bookmarkStart w:id="259" w:name="_Toc14948"/>
      <w:bookmarkStart w:id="260" w:name="_Toc17699"/>
      <w:bookmarkStart w:id="261" w:name="_Toc16652"/>
      <w:bookmarkStart w:id="262" w:name="_Toc27038"/>
      <w:bookmarkStart w:id="263" w:name="_Toc19320"/>
      <w:bookmarkStart w:id="264" w:name="_Toc24594"/>
      <w:bookmarkStart w:id="265" w:name="_Toc12587"/>
      <w:bookmarkStart w:id="266" w:name="_Toc25320"/>
      <w:bookmarkStart w:id="267" w:name="_Toc28801"/>
      <w:bookmarkStart w:id="268" w:name="_Toc30817"/>
      <w:bookmarkStart w:id="269" w:name="_Toc13762"/>
      <w:r>
        <w:rPr>
          <w:rFonts w:hint="eastAsia" w:ascii="宋体" w:hAnsi="宋体" w:cs="宋体"/>
          <w:color w:val="auto"/>
        </w:rPr>
        <w:t>第二章  投标人须知</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11AC98B8">
      <w:pPr>
        <w:pStyle w:val="4"/>
        <w:numPr>
          <w:ilvl w:val="1"/>
          <w:numId w:val="0"/>
        </w:numPr>
        <w:spacing w:beforeLines="0" w:afterLines="0"/>
        <w:rPr>
          <w:rFonts w:ascii="宋体" w:hAnsi="宋体" w:cs="宋体"/>
          <w:b/>
          <w:bCs w:val="0"/>
          <w:color w:val="auto"/>
          <w:lang w:bidi="ar"/>
        </w:rPr>
      </w:pPr>
      <w:bookmarkStart w:id="270" w:name="_Toc2093"/>
      <w:bookmarkStart w:id="271" w:name="_Toc26033"/>
      <w:bookmarkStart w:id="272" w:name="_Toc14813"/>
      <w:bookmarkStart w:id="273" w:name="_Toc5731"/>
      <w:bookmarkStart w:id="274" w:name="_Toc1237"/>
      <w:bookmarkStart w:id="275" w:name="_Toc1898"/>
      <w:bookmarkStart w:id="276" w:name="_Toc6943"/>
      <w:bookmarkStart w:id="277" w:name="_Toc14238"/>
      <w:bookmarkStart w:id="278" w:name="_Toc22528"/>
      <w:bookmarkStart w:id="279" w:name="_Toc16227"/>
      <w:bookmarkStart w:id="280" w:name="_Toc18330"/>
      <w:bookmarkStart w:id="281" w:name="_Toc29631"/>
      <w:bookmarkStart w:id="282" w:name="_Toc1709"/>
      <w:bookmarkStart w:id="283" w:name="_Toc6862"/>
      <w:bookmarkStart w:id="284" w:name="_Toc17538"/>
      <w:bookmarkStart w:id="285" w:name="_Toc23471"/>
      <w:bookmarkStart w:id="286" w:name="_Toc25611"/>
      <w:bookmarkStart w:id="287" w:name="_Toc24970"/>
      <w:bookmarkStart w:id="288" w:name="_Toc2286"/>
      <w:bookmarkStart w:id="289" w:name="_Toc24474"/>
      <w:bookmarkStart w:id="290" w:name="_Toc7175"/>
      <w:bookmarkStart w:id="291" w:name="_Toc32497"/>
      <w:bookmarkStart w:id="292" w:name="_Toc20037"/>
      <w:bookmarkStart w:id="293" w:name="_Toc29109"/>
      <w:bookmarkStart w:id="294" w:name="_Toc5445"/>
      <w:bookmarkStart w:id="295" w:name="_Toc23368"/>
      <w:bookmarkStart w:id="296" w:name="_Toc14335"/>
      <w:bookmarkStart w:id="297" w:name="_Toc5125"/>
      <w:bookmarkStart w:id="298" w:name="_Toc28757"/>
      <w:bookmarkStart w:id="299" w:name="_Toc16050"/>
      <w:bookmarkStart w:id="300" w:name="_Toc31532"/>
      <w:bookmarkStart w:id="301" w:name="_Toc25506"/>
      <w:bookmarkStart w:id="302" w:name="_Toc13830"/>
      <w:bookmarkStart w:id="303" w:name="_Toc1286"/>
      <w:bookmarkStart w:id="304" w:name="_Toc22955"/>
      <w:bookmarkStart w:id="305" w:name="_Toc27365"/>
      <w:bookmarkStart w:id="306" w:name="_Toc18954"/>
      <w:bookmarkStart w:id="307" w:name="_Toc9417"/>
      <w:bookmarkStart w:id="308" w:name="_Toc10078"/>
      <w:r>
        <w:rPr>
          <w:rFonts w:hint="eastAsia" w:ascii="宋体" w:hAnsi="宋体" w:cs="宋体"/>
          <w:b/>
          <w:bCs w:val="0"/>
          <w:color w:val="auto"/>
          <w:lang w:bidi="ar"/>
        </w:rPr>
        <w:t>一、投标人须知前附表</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tbl>
      <w:tblPr>
        <w:tblStyle w:val="36"/>
        <w:tblW w:w="10000"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013"/>
        <w:gridCol w:w="7202"/>
      </w:tblGrid>
      <w:tr w14:paraId="34D8474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85" w:type="dxa"/>
            <w:tcBorders>
              <w:top w:val="thinThickSmallGap" w:color="auto" w:sz="12" w:space="0"/>
            </w:tcBorders>
            <w:vAlign w:val="center"/>
          </w:tcPr>
          <w:p w14:paraId="24D49F82">
            <w:pPr>
              <w:tabs>
                <w:tab w:val="left" w:pos="0"/>
              </w:tabs>
              <w:autoSpaceDE w:val="0"/>
              <w:autoSpaceDN w:val="0"/>
              <w:adjustRightInd w:val="0"/>
              <w:spacing w:line="240" w:lineRule="auto"/>
              <w:ind w:firstLine="0" w:firstLineChars="0"/>
              <w:jc w:val="center"/>
              <w:rPr>
                <w:rFonts w:ascii="宋体" w:hAnsi="宋体" w:cs="宋体"/>
                <w:b/>
                <w:bCs/>
                <w:color w:val="auto"/>
              </w:rPr>
            </w:pPr>
            <w:bookmarkStart w:id="309" w:name="_Toc361434459"/>
            <w:bookmarkStart w:id="310" w:name="_Toc361434798"/>
            <w:bookmarkStart w:id="311" w:name="_Toc361434894"/>
            <w:bookmarkStart w:id="312" w:name="_Toc101321790"/>
            <w:bookmarkStart w:id="313" w:name="_Toc361437144"/>
            <w:bookmarkStart w:id="314" w:name="_Toc361434558"/>
            <w:bookmarkStart w:id="315" w:name="_Toc16613"/>
            <w:bookmarkStart w:id="316" w:name="_Toc24118"/>
            <w:bookmarkStart w:id="317" w:name="_Toc11475"/>
            <w:bookmarkStart w:id="318" w:name="_Toc3888"/>
            <w:bookmarkStart w:id="319" w:name="_Toc23442"/>
            <w:bookmarkStart w:id="320" w:name="_Toc7709"/>
            <w:bookmarkStart w:id="321" w:name="_Toc1125"/>
            <w:bookmarkStart w:id="322" w:name="_Toc7346"/>
            <w:bookmarkStart w:id="323" w:name="_Toc21242"/>
            <w:bookmarkStart w:id="324" w:name="_Toc496962944"/>
            <w:bookmarkStart w:id="325" w:name="_Toc5990"/>
            <w:bookmarkStart w:id="326" w:name="_Toc1265"/>
            <w:bookmarkStart w:id="327" w:name="_Toc17354"/>
            <w:bookmarkStart w:id="328" w:name="_Toc12616"/>
            <w:bookmarkStart w:id="329" w:name="_Toc22941"/>
            <w:bookmarkStart w:id="330" w:name="_Toc4691"/>
            <w:bookmarkStart w:id="331" w:name="_Toc452528599"/>
            <w:bookmarkStart w:id="332" w:name="_Toc3923"/>
            <w:bookmarkStart w:id="333" w:name="_Toc16257"/>
            <w:bookmarkStart w:id="334" w:name="_Toc30126"/>
            <w:bookmarkStart w:id="335" w:name="_Toc27367"/>
            <w:bookmarkStart w:id="336" w:name="_Toc331"/>
            <w:bookmarkStart w:id="337" w:name="_Toc24478"/>
            <w:bookmarkStart w:id="338" w:name="_Toc11023"/>
            <w:bookmarkStart w:id="339" w:name="_Toc20312"/>
            <w:bookmarkStart w:id="340" w:name="_Toc12381"/>
            <w:bookmarkStart w:id="341" w:name="_Toc11179"/>
            <w:bookmarkStart w:id="342" w:name="_Toc5481"/>
            <w:bookmarkStart w:id="343" w:name="_Toc27406"/>
            <w:bookmarkStart w:id="344" w:name="_Toc4630"/>
            <w:bookmarkStart w:id="345" w:name="_Toc27407"/>
            <w:bookmarkStart w:id="346" w:name="_Toc15313"/>
            <w:bookmarkStart w:id="347" w:name="_Toc19731"/>
            <w:bookmarkStart w:id="348" w:name="_Toc12958"/>
            <w:bookmarkStart w:id="349" w:name="_Toc27241"/>
            <w:bookmarkStart w:id="350" w:name="_Toc28742"/>
            <w:bookmarkStart w:id="351" w:name="_Toc26063"/>
            <w:bookmarkStart w:id="352" w:name="_Toc25730"/>
            <w:bookmarkStart w:id="353" w:name="_Toc19715"/>
            <w:bookmarkStart w:id="354" w:name="_Toc12403"/>
            <w:bookmarkStart w:id="355" w:name="_Toc31099"/>
            <w:bookmarkStart w:id="356" w:name="_Toc6094"/>
            <w:bookmarkStart w:id="357" w:name="_Toc17098"/>
            <w:bookmarkStart w:id="358" w:name="_Toc29625"/>
            <w:bookmarkStart w:id="359" w:name="_Toc22305"/>
            <w:bookmarkStart w:id="360" w:name="_Toc391298955"/>
            <w:r>
              <w:rPr>
                <w:rFonts w:hint="eastAsia" w:ascii="宋体" w:hAnsi="宋体" w:cs="宋体"/>
                <w:b/>
                <w:bCs/>
                <w:color w:val="auto"/>
              </w:rPr>
              <w:t>序号</w:t>
            </w:r>
          </w:p>
        </w:tc>
        <w:tc>
          <w:tcPr>
            <w:tcW w:w="2013" w:type="dxa"/>
            <w:tcBorders>
              <w:top w:val="thinThickSmallGap" w:color="auto" w:sz="12" w:space="0"/>
            </w:tcBorders>
            <w:vAlign w:val="center"/>
          </w:tcPr>
          <w:p w14:paraId="4C8E0FA4">
            <w:pPr>
              <w:tabs>
                <w:tab w:val="left" w:pos="0"/>
              </w:tabs>
              <w:autoSpaceDE w:val="0"/>
              <w:autoSpaceDN w:val="0"/>
              <w:adjustRightInd w:val="0"/>
              <w:spacing w:line="240" w:lineRule="auto"/>
              <w:ind w:firstLine="0" w:firstLineChars="0"/>
              <w:jc w:val="center"/>
              <w:rPr>
                <w:rFonts w:ascii="宋体" w:hAnsi="宋体" w:cs="宋体"/>
                <w:b/>
                <w:bCs/>
                <w:color w:val="auto"/>
              </w:rPr>
            </w:pPr>
            <w:r>
              <w:rPr>
                <w:rFonts w:hint="eastAsia" w:ascii="宋体" w:hAnsi="宋体" w:cs="宋体"/>
                <w:b/>
                <w:bCs/>
                <w:color w:val="auto"/>
              </w:rPr>
              <w:t>内  容</w:t>
            </w:r>
          </w:p>
        </w:tc>
        <w:tc>
          <w:tcPr>
            <w:tcW w:w="7202" w:type="dxa"/>
            <w:tcBorders>
              <w:top w:val="thinThickSmallGap" w:color="auto" w:sz="12" w:space="0"/>
            </w:tcBorders>
            <w:vAlign w:val="center"/>
          </w:tcPr>
          <w:p w14:paraId="4A14741A">
            <w:pPr>
              <w:tabs>
                <w:tab w:val="left" w:pos="0"/>
              </w:tabs>
              <w:spacing w:line="240" w:lineRule="auto"/>
              <w:ind w:firstLine="0" w:firstLineChars="0"/>
              <w:jc w:val="center"/>
              <w:rPr>
                <w:rFonts w:ascii="宋体" w:hAnsi="宋体" w:cs="宋体"/>
                <w:b/>
                <w:bCs/>
                <w:color w:val="auto"/>
              </w:rPr>
            </w:pPr>
            <w:r>
              <w:rPr>
                <w:rFonts w:hint="eastAsia" w:ascii="宋体" w:hAnsi="宋体" w:cs="宋体"/>
                <w:b/>
                <w:bCs/>
                <w:color w:val="auto"/>
              </w:rPr>
              <w:t>说明与要求</w:t>
            </w:r>
          </w:p>
        </w:tc>
      </w:tr>
      <w:tr w14:paraId="07530BF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2CFFC93E">
            <w:pPr>
              <w:spacing w:line="240" w:lineRule="auto"/>
              <w:ind w:firstLine="0" w:firstLineChars="0"/>
              <w:jc w:val="center"/>
              <w:rPr>
                <w:rFonts w:ascii="宋体" w:hAnsi="宋体" w:cs="宋体"/>
                <w:color w:val="auto"/>
              </w:rPr>
            </w:pPr>
            <w:r>
              <w:rPr>
                <w:rFonts w:hint="eastAsia" w:ascii="宋体" w:hAnsi="宋体" w:cs="宋体"/>
                <w:color w:val="auto"/>
              </w:rPr>
              <w:t>1</w:t>
            </w:r>
          </w:p>
        </w:tc>
        <w:tc>
          <w:tcPr>
            <w:tcW w:w="2013" w:type="dxa"/>
            <w:vAlign w:val="center"/>
          </w:tcPr>
          <w:p w14:paraId="4E23AFDB">
            <w:pPr>
              <w:tabs>
                <w:tab w:val="left" w:pos="0"/>
              </w:tabs>
              <w:autoSpaceDE w:val="0"/>
              <w:autoSpaceDN w:val="0"/>
              <w:adjustRightInd w:val="0"/>
              <w:spacing w:line="240" w:lineRule="auto"/>
              <w:ind w:firstLine="0" w:firstLineChars="0"/>
              <w:jc w:val="center"/>
              <w:rPr>
                <w:rFonts w:ascii="宋体" w:hAnsi="宋体" w:cs="宋体"/>
                <w:color w:val="auto"/>
                <w:highlight w:val="none"/>
                <w:lang w:val="zh-CN"/>
              </w:rPr>
            </w:pPr>
            <w:r>
              <w:rPr>
                <w:rFonts w:hint="eastAsia" w:ascii="宋体" w:hAnsi="宋体" w:cs="宋体"/>
                <w:color w:val="auto"/>
                <w:highlight w:val="none"/>
                <w:lang w:val="zh-CN"/>
              </w:rPr>
              <w:t>采购人</w:t>
            </w:r>
          </w:p>
        </w:tc>
        <w:tc>
          <w:tcPr>
            <w:tcW w:w="7202" w:type="dxa"/>
            <w:vAlign w:val="center"/>
          </w:tcPr>
          <w:p w14:paraId="051F2D39">
            <w:pPr>
              <w:spacing w:line="240" w:lineRule="auto"/>
              <w:ind w:firstLine="0" w:firstLineChars="0"/>
              <w:jc w:val="left"/>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lang w:eastAsia="zh-CN"/>
              </w:rPr>
              <w:t>龙游兴园基础设施建设有限公司</w:t>
            </w:r>
            <w:r>
              <w:rPr>
                <w:rFonts w:hint="eastAsia" w:ascii="宋体" w:hAnsi="宋体"/>
                <w:color w:val="auto"/>
                <w:highlight w:val="none"/>
              </w:rPr>
              <w:t xml:space="preserve"> </w:t>
            </w:r>
          </w:p>
          <w:p w14:paraId="38EF04CD">
            <w:pPr>
              <w:spacing w:line="240" w:lineRule="auto"/>
              <w:ind w:firstLine="0" w:firstLineChars="0"/>
              <w:jc w:val="left"/>
              <w:rPr>
                <w:rFonts w:hint="eastAsia" w:ascii="宋体" w:hAnsi="宋体" w:eastAsia="宋体"/>
                <w:color w:val="auto"/>
                <w:highlight w:val="none"/>
                <w:lang w:eastAsia="zh-CN"/>
              </w:rPr>
            </w:pPr>
            <w:r>
              <w:rPr>
                <w:rFonts w:hint="eastAsia" w:ascii="宋体" w:hAnsi="宋体"/>
                <w:color w:val="auto"/>
                <w:highlight w:val="none"/>
              </w:rPr>
              <w:t>地  址：</w:t>
            </w:r>
            <w:r>
              <w:rPr>
                <w:rFonts w:hint="eastAsia" w:asciiTheme="minorEastAsia" w:hAnsiTheme="minorEastAsia" w:eastAsiaTheme="minorEastAsia" w:cstheme="minorEastAsia"/>
                <w:color w:val="auto"/>
                <w:spacing w:val="-7"/>
                <w:sz w:val="24"/>
                <w:szCs w:val="24"/>
                <w:highlight w:val="none"/>
                <w:lang w:eastAsia="zh-CN"/>
              </w:rPr>
              <w:t>龙游县经济开发区管委会大楼内</w:t>
            </w:r>
          </w:p>
          <w:p w14:paraId="2C402CF5">
            <w:pPr>
              <w:spacing w:line="240" w:lineRule="auto"/>
              <w:ind w:firstLine="0" w:firstLineChars="0"/>
              <w:jc w:val="left"/>
              <w:rPr>
                <w:rFonts w:hint="eastAsia" w:ascii="宋体" w:hAnsi="宋体" w:eastAsia="宋体"/>
                <w:color w:val="auto"/>
                <w:highlight w:val="none"/>
                <w:lang w:eastAsia="zh-CN"/>
              </w:rPr>
            </w:pPr>
            <w:r>
              <w:rPr>
                <w:rFonts w:hint="eastAsia" w:ascii="宋体" w:hAnsi="宋体"/>
                <w:color w:val="auto"/>
                <w:highlight w:val="none"/>
              </w:rPr>
              <w:t>联系人：</w:t>
            </w:r>
            <w:r>
              <w:rPr>
                <w:rFonts w:hint="eastAsia" w:ascii="宋体" w:hAnsi="宋体" w:cs="宋体"/>
                <w:color w:val="auto"/>
                <w:spacing w:val="-7"/>
                <w:sz w:val="24"/>
                <w:szCs w:val="24"/>
                <w:highlight w:val="none"/>
                <w:lang w:eastAsia="zh-CN"/>
              </w:rPr>
              <w:t>郑先生</w:t>
            </w:r>
          </w:p>
          <w:p w14:paraId="5F81634A">
            <w:pPr>
              <w:widowControl/>
              <w:spacing w:line="240" w:lineRule="auto"/>
              <w:ind w:firstLine="0" w:firstLineChars="0"/>
              <w:jc w:val="left"/>
              <w:rPr>
                <w:rFonts w:hint="eastAsia" w:ascii="宋体" w:hAnsi="宋体" w:eastAsia="宋体" w:cs="宋体"/>
                <w:color w:val="auto"/>
                <w:highlight w:val="none"/>
                <w:lang w:val="zh-CN" w:eastAsia="zh-CN"/>
              </w:rPr>
            </w:pPr>
            <w:r>
              <w:rPr>
                <w:rFonts w:hint="eastAsia" w:ascii="宋体" w:hAnsi="宋体"/>
                <w:color w:val="auto"/>
                <w:highlight w:val="none"/>
              </w:rPr>
              <w:t>联系方式：</w:t>
            </w:r>
            <w:r>
              <w:rPr>
                <w:rFonts w:hint="eastAsia" w:ascii="宋体" w:hAnsi="宋体" w:eastAsia="宋体" w:cs="宋体"/>
                <w:color w:val="auto"/>
                <w:spacing w:val="-7"/>
                <w:sz w:val="24"/>
                <w:szCs w:val="24"/>
                <w:highlight w:val="none"/>
                <w:lang w:eastAsia="zh-CN"/>
              </w:rPr>
              <w:t>0570-7258006</w:t>
            </w:r>
          </w:p>
        </w:tc>
      </w:tr>
      <w:tr w14:paraId="35DC1C4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3CBB006B">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2</w:t>
            </w:r>
          </w:p>
        </w:tc>
        <w:tc>
          <w:tcPr>
            <w:tcW w:w="2013" w:type="dxa"/>
            <w:vAlign w:val="center"/>
          </w:tcPr>
          <w:p w14:paraId="23E67C3E">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采购代理机构</w:t>
            </w:r>
          </w:p>
        </w:tc>
        <w:tc>
          <w:tcPr>
            <w:tcW w:w="7202" w:type="dxa"/>
            <w:vAlign w:val="center"/>
          </w:tcPr>
          <w:p w14:paraId="248D01EF">
            <w:pPr>
              <w:widowControl/>
              <w:spacing w:line="240" w:lineRule="auto"/>
              <w:ind w:firstLine="0" w:firstLineChars="0"/>
              <w:jc w:val="left"/>
              <w:rPr>
                <w:rFonts w:ascii="宋体" w:hAnsi="宋体" w:cs="宋体"/>
                <w:color w:val="auto"/>
                <w:lang w:val="zh-CN"/>
              </w:rPr>
            </w:pPr>
            <w:r>
              <w:rPr>
                <w:rFonts w:hint="eastAsia" w:ascii="宋体" w:hAnsi="宋体" w:cs="宋体"/>
                <w:color w:val="auto"/>
                <w:lang w:val="zh-CN"/>
              </w:rPr>
              <w:t xml:space="preserve">名  称：浙江中合工程管理有限公司  </w:t>
            </w:r>
          </w:p>
          <w:p w14:paraId="6DAC9F45">
            <w:pPr>
              <w:spacing w:line="240" w:lineRule="auto"/>
              <w:ind w:firstLine="0" w:firstLineChars="0"/>
              <w:jc w:val="left"/>
              <w:rPr>
                <w:rFonts w:ascii="宋体" w:hAnsi="宋体" w:cs="宋体"/>
                <w:color w:val="auto"/>
                <w:lang w:val="zh-CN"/>
              </w:rPr>
            </w:pPr>
            <w:r>
              <w:rPr>
                <w:rFonts w:hint="eastAsia" w:ascii="宋体" w:hAnsi="宋体" w:cs="宋体"/>
                <w:color w:val="auto"/>
                <w:lang w:val="zh-CN"/>
              </w:rPr>
              <w:t>地</w:t>
            </w:r>
            <w:r>
              <w:rPr>
                <w:rFonts w:hint="eastAsia" w:ascii="宋体" w:hAnsi="宋体" w:cs="宋体"/>
                <w:color w:val="auto"/>
              </w:rPr>
              <w:t xml:space="preserve">  </w:t>
            </w:r>
            <w:r>
              <w:rPr>
                <w:rFonts w:hint="eastAsia" w:ascii="宋体" w:hAnsi="宋体" w:cs="宋体"/>
                <w:color w:val="auto"/>
                <w:lang w:val="zh-CN"/>
              </w:rPr>
              <w:t>址：龙游县龙洲街道清影南路2号龙游世贸城一号楼2006室</w:t>
            </w:r>
          </w:p>
          <w:p w14:paraId="2718A7F8">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联系人：黄小姐</w:t>
            </w:r>
          </w:p>
          <w:p w14:paraId="68BA2A34">
            <w:pPr>
              <w:widowControl/>
              <w:spacing w:line="240" w:lineRule="auto"/>
              <w:ind w:firstLine="0" w:firstLineChars="0"/>
              <w:jc w:val="left"/>
              <w:rPr>
                <w:rFonts w:ascii="宋体" w:hAnsi="宋体" w:cs="宋体"/>
                <w:color w:val="auto"/>
                <w:lang w:val="zh-CN"/>
              </w:rPr>
            </w:pPr>
            <w:r>
              <w:rPr>
                <w:rFonts w:hint="eastAsia" w:ascii="宋体" w:hAnsi="宋体" w:cs="宋体"/>
                <w:color w:val="auto"/>
                <w:lang w:val="zh-CN"/>
              </w:rPr>
              <w:t>联系方式：18969455455 </w:t>
            </w:r>
          </w:p>
        </w:tc>
      </w:tr>
      <w:tr w14:paraId="36DBAE9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85" w:type="dxa"/>
            <w:vAlign w:val="center"/>
          </w:tcPr>
          <w:p w14:paraId="12187FD3">
            <w:pPr>
              <w:tabs>
                <w:tab w:val="left" w:pos="0"/>
              </w:tabs>
              <w:autoSpaceDE w:val="0"/>
              <w:autoSpaceDN w:val="0"/>
              <w:adjustRightInd w:val="0"/>
              <w:spacing w:line="240" w:lineRule="auto"/>
              <w:ind w:firstLine="0" w:firstLineChars="0"/>
              <w:jc w:val="center"/>
              <w:rPr>
                <w:rFonts w:ascii="宋体" w:hAnsi="宋体" w:cs="宋体"/>
                <w:color w:val="auto"/>
                <w:lang w:val="zh-CN"/>
              </w:rPr>
            </w:pPr>
            <w:r>
              <w:rPr>
                <w:rFonts w:hint="eastAsia" w:ascii="宋体" w:hAnsi="宋体" w:cs="宋体"/>
                <w:color w:val="auto"/>
                <w:lang w:val="zh-CN"/>
              </w:rPr>
              <w:t>3</w:t>
            </w:r>
          </w:p>
        </w:tc>
        <w:tc>
          <w:tcPr>
            <w:tcW w:w="2013" w:type="dxa"/>
            <w:vAlign w:val="center"/>
          </w:tcPr>
          <w:p w14:paraId="5341D28C">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项目名称</w:t>
            </w:r>
          </w:p>
        </w:tc>
        <w:tc>
          <w:tcPr>
            <w:tcW w:w="7202" w:type="dxa"/>
            <w:vAlign w:val="center"/>
          </w:tcPr>
          <w:p w14:paraId="12CEAF56">
            <w:pPr>
              <w:spacing w:line="240" w:lineRule="auto"/>
              <w:ind w:firstLine="0" w:firstLineChars="0"/>
              <w:jc w:val="left"/>
              <w:rPr>
                <w:rFonts w:ascii="宋体" w:hAnsi="宋体" w:cs="宋体"/>
                <w:color w:val="auto"/>
                <w:lang w:val="zh-CN"/>
              </w:rPr>
            </w:pPr>
            <w:r>
              <w:rPr>
                <w:rFonts w:hint="eastAsia" w:ascii="宋体" w:hAnsi="宋体" w:cs="宋体"/>
                <w:color w:val="auto"/>
                <w:lang w:val="zh-CN"/>
              </w:rPr>
              <w:t>龙游经济开发区基础设施配套工程-城南特勤消防站家具采购项目</w:t>
            </w:r>
          </w:p>
        </w:tc>
      </w:tr>
      <w:tr w14:paraId="6A16697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85" w:type="dxa"/>
            <w:vAlign w:val="center"/>
          </w:tcPr>
          <w:p w14:paraId="735D7522">
            <w:pPr>
              <w:tabs>
                <w:tab w:val="left" w:pos="0"/>
              </w:tabs>
              <w:autoSpaceDE w:val="0"/>
              <w:autoSpaceDN w:val="0"/>
              <w:adjustRightInd w:val="0"/>
              <w:spacing w:line="240" w:lineRule="auto"/>
              <w:ind w:firstLine="0" w:firstLineChars="0"/>
              <w:jc w:val="center"/>
              <w:rPr>
                <w:rFonts w:hint="eastAsia" w:ascii="宋体" w:hAnsi="宋体" w:cs="宋体"/>
                <w:color w:val="auto"/>
                <w:lang w:val="zh-CN"/>
              </w:rPr>
            </w:pPr>
            <w:r>
              <w:rPr>
                <w:rFonts w:hint="eastAsia" w:ascii="宋体" w:hAnsi="宋体" w:cs="宋体"/>
                <w:color w:val="auto"/>
                <w:lang w:val="zh-CN"/>
              </w:rPr>
              <w:t>4</w:t>
            </w:r>
          </w:p>
        </w:tc>
        <w:tc>
          <w:tcPr>
            <w:tcW w:w="2013" w:type="dxa"/>
            <w:vAlign w:val="center"/>
          </w:tcPr>
          <w:p w14:paraId="58FA35D2">
            <w:pPr>
              <w:keepNext w:val="0"/>
              <w:keepLines w:val="0"/>
              <w:suppressLineNumbers w:val="0"/>
              <w:topLinePunct w:val="0"/>
              <w:adjustRightInd/>
              <w:snapToGrid/>
              <w:spacing w:before="0" w:beforeAutospacing="0" w:after="0" w:afterAutospacing="0" w:line="240" w:lineRule="auto"/>
              <w:ind w:left="0" w:leftChars="0" w:right="0" w:rightChars="0" w:firstLine="0" w:firstLineChars="0"/>
              <w:jc w:val="center"/>
              <w:rPr>
                <w:rFonts w:hint="eastAsia" w:ascii="宋体" w:hAnsi="宋体" w:cs="宋体"/>
                <w:color w:val="auto"/>
                <w:lang w:val="zh-CN"/>
              </w:rPr>
            </w:pPr>
            <w:r>
              <w:rPr>
                <w:rFonts w:hint="eastAsia" w:ascii="宋体" w:hAnsi="宋体" w:eastAsia="宋体" w:cs="宋体"/>
                <w:color w:val="auto"/>
                <w:sz w:val="24"/>
                <w:szCs w:val="24"/>
                <w:lang w:val="zh-CN"/>
              </w:rPr>
              <w:t>预算金额</w:t>
            </w:r>
          </w:p>
        </w:tc>
        <w:tc>
          <w:tcPr>
            <w:tcW w:w="7202" w:type="dxa"/>
            <w:vAlign w:val="center"/>
          </w:tcPr>
          <w:p w14:paraId="0ED171B1">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cs="宋体"/>
                <w:color w:val="auto"/>
                <w:lang w:val="zh-CN"/>
              </w:rPr>
            </w:pPr>
            <w:r>
              <w:rPr>
                <w:rFonts w:hint="eastAsia" w:ascii="宋体" w:hAnsi="宋体" w:cs="宋体"/>
                <w:color w:val="auto"/>
                <w:lang w:eastAsia="zh-CN"/>
              </w:rPr>
              <w:t>1044250元</w:t>
            </w:r>
            <w:r>
              <w:rPr>
                <w:rFonts w:hint="eastAsia" w:ascii="宋体" w:hAnsi="宋体" w:cs="宋体"/>
                <w:color w:val="auto"/>
                <w:lang w:val="zh-CN"/>
              </w:rPr>
              <w:t>；</w:t>
            </w:r>
          </w:p>
        </w:tc>
      </w:tr>
      <w:tr w14:paraId="76DF78D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497F9873">
            <w:pPr>
              <w:tabs>
                <w:tab w:val="left" w:pos="0"/>
              </w:tabs>
              <w:autoSpaceDE w:val="0"/>
              <w:autoSpaceDN w:val="0"/>
              <w:adjustRightInd w:val="0"/>
              <w:spacing w:line="240" w:lineRule="auto"/>
              <w:ind w:firstLine="0" w:firstLineChars="0"/>
              <w:jc w:val="center"/>
              <w:rPr>
                <w:rFonts w:hint="eastAsia" w:ascii="宋体" w:hAnsi="宋体" w:cs="宋体"/>
                <w:color w:val="auto"/>
                <w:lang w:val="zh-CN"/>
              </w:rPr>
            </w:pPr>
            <w:r>
              <w:rPr>
                <w:rFonts w:hint="eastAsia" w:ascii="宋体" w:hAnsi="宋体" w:cs="宋体"/>
                <w:color w:val="auto"/>
                <w:lang w:val="zh-CN"/>
              </w:rPr>
              <w:t>5</w:t>
            </w:r>
          </w:p>
        </w:tc>
        <w:tc>
          <w:tcPr>
            <w:tcW w:w="2013" w:type="dxa"/>
            <w:vAlign w:val="center"/>
          </w:tcPr>
          <w:p w14:paraId="053A4693">
            <w:pPr>
              <w:keepNext w:val="0"/>
              <w:keepLines w:val="0"/>
              <w:suppressLineNumbers w:val="0"/>
              <w:topLinePunct w:val="0"/>
              <w:adjustRightInd/>
              <w:snapToGrid/>
              <w:spacing w:before="0" w:beforeAutospacing="0" w:after="0" w:afterAutospacing="0" w:line="240" w:lineRule="auto"/>
              <w:ind w:left="0" w:leftChars="0" w:right="0" w:rightChars="0" w:firstLine="0" w:firstLineChars="0"/>
              <w:jc w:val="center"/>
              <w:rPr>
                <w:rFonts w:hint="eastAsia" w:ascii="宋体" w:hAnsi="宋体" w:cs="宋体"/>
                <w:color w:val="auto"/>
                <w:lang w:val="zh-CN"/>
              </w:rPr>
            </w:pPr>
            <w:r>
              <w:rPr>
                <w:rFonts w:hint="eastAsia" w:ascii="宋体" w:hAnsi="宋体" w:eastAsia="宋体" w:cs="宋体"/>
                <w:color w:val="auto"/>
                <w:sz w:val="24"/>
                <w:szCs w:val="24"/>
                <w:lang w:val="zh-CN"/>
              </w:rPr>
              <w:t>最高限价</w:t>
            </w:r>
          </w:p>
        </w:tc>
        <w:tc>
          <w:tcPr>
            <w:tcW w:w="7202" w:type="dxa"/>
            <w:vAlign w:val="top"/>
          </w:tcPr>
          <w:p w14:paraId="0BF566E6">
            <w:pPr>
              <w:tabs>
                <w:tab w:val="left" w:pos="0"/>
              </w:tabs>
              <w:autoSpaceDE w:val="0"/>
              <w:autoSpaceDN w:val="0"/>
              <w:adjustRightInd w:val="0"/>
              <w:spacing w:line="240" w:lineRule="auto"/>
              <w:ind w:firstLine="0" w:firstLineChars="0"/>
              <w:jc w:val="left"/>
              <w:rPr>
                <w:rFonts w:hint="eastAsia" w:ascii="宋体" w:hAnsi="宋体" w:cs="宋体"/>
                <w:color w:val="auto"/>
                <w:lang w:val="zh-CN"/>
              </w:rPr>
            </w:pPr>
            <w:r>
              <w:rPr>
                <w:rFonts w:hint="eastAsia" w:ascii="宋体" w:hAnsi="宋体" w:cs="宋体"/>
                <w:color w:val="auto"/>
                <w:lang w:eastAsia="zh-CN"/>
              </w:rPr>
              <w:t>1044250元</w:t>
            </w:r>
            <w:r>
              <w:rPr>
                <w:rFonts w:hint="eastAsia" w:ascii="宋体" w:hAnsi="宋体" w:cs="宋体"/>
                <w:color w:val="auto"/>
                <w:lang w:val="zh-CN"/>
              </w:rPr>
              <w:t>；投标人应按此最高限价并结合企业自身情况及管理经验自主报价，报价不得超过最高限价，否则作为废标处理。</w:t>
            </w:r>
          </w:p>
        </w:tc>
      </w:tr>
      <w:tr w14:paraId="094ABA2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85" w:type="dxa"/>
            <w:vAlign w:val="center"/>
          </w:tcPr>
          <w:p w14:paraId="6A180B7E">
            <w:pPr>
              <w:tabs>
                <w:tab w:val="left" w:pos="0"/>
              </w:tabs>
              <w:autoSpaceDE w:val="0"/>
              <w:autoSpaceDN w:val="0"/>
              <w:adjustRightInd w:val="0"/>
              <w:spacing w:line="240" w:lineRule="auto"/>
              <w:ind w:firstLine="0" w:firstLineChars="0"/>
              <w:jc w:val="center"/>
              <w:rPr>
                <w:rFonts w:ascii="宋体" w:hAnsi="宋体" w:cs="宋体"/>
                <w:color w:val="auto"/>
                <w:lang w:val="zh-CN"/>
              </w:rPr>
            </w:pPr>
            <w:r>
              <w:rPr>
                <w:rFonts w:hint="eastAsia" w:ascii="宋体" w:hAnsi="宋体" w:cs="宋体"/>
                <w:color w:val="auto"/>
                <w:lang w:val="zh-CN"/>
              </w:rPr>
              <w:t>6</w:t>
            </w:r>
          </w:p>
        </w:tc>
        <w:tc>
          <w:tcPr>
            <w:tcW w:w="2013" w:type="dxa"/>
            <w:vAlign w:val="center"/>
          </w:tcPr>
          <w:p w14:paraId="178007AC">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申请人资格要求</w:t>
            </w:r>
          </w:p>
        </w:tc>
        <w:tc>
          <w:tcPr>
            <w:tcW w:w="7202" w:type="dxa"/>
            <w:vAlign w:val="center"/>
          </w:tcPr>
          <w:p w14:paraId="6C44CF4C">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详见“第一章 招标公告”。</w:t>
            </w:r>
          </w:p>
        </w:tc>
      </w:tr>
      <w:tr w14:paraId="7F693B3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85" w:type="dxa"/>
            <w:vAlign w:val="center"/>
          </w:tcPr>
          <w:p w14:paraId="4E869ADE">
            <w:pPr>
              <w:tabs>
                <w:tab w:val="left" w:pos="0"/>
              </w:tabs>
              <w:autoSpaceDE w:val="0"/>
              <w:autoSpaceDN w:val="0"/>
              <w:adjustRightInd w:val="0"/>
              <w:spacing w:line="240" w:lineRule="auto"/>
              <w:ind w:firstLine="0" w:firstLineChars="0"/>
              <w:jc w:val="center"/>
              <w:rPr>
                <w:rFonts w:ascii="宋体" w:hAnsi="宋体" w:cs="宋体"/>
                <w:color w:val="auto"/>
                <w:lang w:val="zh-CN"/>
              </w:rPr>
            </w:pPr>
            <w:r>
              <w:rPr>
                <w:rFonts w:hint="eastAsia" w:ascii="宋体" w:hAnsi="宋体" w:cs="宋体"/>
                <w:color w:val="auto"/>
                <w:lang w:val="zh-CN"/>
              </w:rPr>
              <w:t>7</w:t>
            </w:r>
          </w:p>
        </w:tc>
        <w:tc>
          <w:tcPr>
            <w:tcW w:w="2013" w:type="dxa"/>
            <w:vAlign w:val="center"/>
          </w:tcPr>
          <w:p w14:paraId="17988FC9">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获取招标文件</w:t>
            </w:r>
          </w:p>
        </w:tc>
        <w:tc>
          <w:tcPr>
            <w:tcW w:w="7202" w:type="dxa"/>
            <w:vAlign w:val="center"/>
          </w:tcPr>
          <w:p w14:paraId="48DE08B4">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详见“第一章 招标公告”。</w:t>
            </w:r>
          </w:p>
        </w:tc>
      </w:tr>
      <w:tr w14:paraId="27DEC67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85" w:type="dxa"/>
            <w:vAlign w:val="center"/>
          </w:tcPr>
          <w:p w14:paraId="5726E41B">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8</w:t>
            </w:r>
          </w:p>
        </w:tc>
        <w:tc>
          <w:tcPr>
            <w:tcW w:w="2013" w:type="dxa"/>
            <w:vAlign w:val="center"/>
          </w:tcPr>
          <w:p w14:paraId="4F009131">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投标有效期</w:t>
            </w:r>
          </w:p>
        </w:tc>
        <w:tc>
          <w:tcPr>
            <w:tcW w:w="7202" w:type="dxa"/>
            <w:vAlign w:val="center"/>
          </w:tcPr>
          <w:p w14:paraId="16449CCA">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自投标截止之日起90日历天。</w:t>
            </w:r>
          </w:p>
        </w:tc>
      </w:tr>
      <w:tr w14:paraId="1A085B2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85" w:type="dxa"/>
            <w:vAlign w:val="center"/>
          </w:tcPr>
          <w:p w14:paraId="0D59E18E">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9</w:t>
            </w:r>
          </w:p>
        </w:tc>
        <w:tc>
          <w:tcPr>
            <w:tcW w:w="2013" w:type="dxa"/>
            <w:vAlign w:val="center"/>
          </w:tcPr>
          <w:p w14:paraId="33761428">
            <w:pPr>
              <w:tabs>
                <w:tab w:val="left" w:pos="0"/>
              </w:tabs>
              <w:autoSpaceDE w:val="0"/>
              <w:autoSpaceDN w:val="0"/>
              <w:adjustRightInd w:val="0"/>
              <w:spacing w:line="240" w:lineRule="auto"/>
              <w:ind w:firstLine="0" w:firstLineChars="0"/>
              <w:jc w:val="center"/>
              <w:rPr>
                <w:rFonts w:ascii="宋体" w:hAnsi="宋体" w:cs="宋体"/>
                <w:color w:val="auto"/>
                <w:lang w:val="zh-CN"/>
              </w:rPr>
            </w:pPr>
            <w:r>
              <w:rPr>
                <w:rFonts w:hint="eastAsia" w:ascii="宋体" w:hAnsi="宋体" w:cs="宋体"/>
                <w:color w:val="auto"/>
                <w:lang w:val="zh-CN"/>
              </w:rPr>
              <w:t>分包</w:t>
            </w:r>
            <w:r>
              <w:rPr>
                <w:rFonts w:hint="eastAsia" w:ascii="宋体" w:hAnsi="宋体" w:cs="宋体"/>
                <w:color w:val="auto"/>
              </w:rPr>
              <w:t>与转包</w:t>
            </w:r>
            <w:r>
              <w:rPr>
                <w:rFonts w:hint="eastAsia" w:ascii="宋体" w:hAnsi="宋体" w:cs="宋体"/>
                <w:color w:val="auto"/>
                <w:lang w:val="zh-CN"/>
              </w:rPr>
              <w:t>情况</w:t>
            </w:r>
          </w:p>
        </w:tc>
        <w:tc>
          <w:tcPr>
            <w:tcW w:w="7202" w:type="dxa"/>
            <w:vAlign w:val="center"/>
          </w:tcPr>
          <w:p w14:paraId="08BC8383">
            <w:pPr>
              <w:pStyle w:val="109"/>
              <w:tabs>
                <w:tab w:val="left" w:pos="768"/>
              </w:tabs>
              <w:spacing w:line="240" w:lineRule="auto"/>
              <w:ind w:firstLine="0" w:firstLineChars="0"/>
              <w:jc w:val="left"/>
              <w:rPr>
                <w:color w:val="auto"/>
                <w:lang w:val="en-US"/>
              </w:rPr>
            </w:pPr>
            <w:r>
              <w:rPr>
                <w:rFonts w:hint="eastAsia"/>
                <w:color w:val="auto"/>
                <w:lang w:val="en-US"/>
              </w:rPr>
              <w:t>不允许。</w:t>
            </w:r>
          </w:p>
        </w:tc>
      </w:tr>
      <w:tr w14:paraId="69402F2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85" w:type="dxa"/>
            <w:vAlign w:val="center"/>
          </w:tcPr>
          <w:p w14:paraId="56F79645">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10</w:t>
            </w:r>
          </w:p>
        </w:tc>
        <w:tc>
          <w:tcPr>
            <w:tcW w:w="2013" w:type="dxa"/>
            <w:vAlign w:val="center"/>
          </w:tcPr>
          <w:p w14:paraId="136A8631">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现场勘察</w:t>
            </w:r>
          </w:p>
        </w:tc>
        <w:tc>
          <w:tcPr>
            <w:tcW w:w="7202" w:type="dxa"/>
            <w:vAlign w:val="center"/>
          </w:tcPr>
          <w:p w14:paraId="2DFDC2A7">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不组织，投标人可自行勘察。</w:t>
            </w:r>
          </w:p>
        </w:tc>
      </w:tr>
      <w:tr w14:paraId="2A4379F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5" w:type="dxa"/>
            <w:vAlign w:val="center"/>
          </w:tcPr>
          <w:p w14:paraId="604859E4">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11</w:t>
            </w:r>
          </w:p>
        </w:tc>
        <w:tc>
          <w:tcPr>
            <w:tcW w:w="2013" w:type="dxa"/>
            <w:vAlign w:val="center"/>
          </w:tcPr>
          <w:p w14:paraId="31BD16BB">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资金来源及比例</w:t>
            </w:r>
          </w:p>
        </w:tc>
        <w:tc>
          <w:tcPr>
            <w:tcW w:w="7202" w:type="dxa"/>
            <w:vAlign w:val="center"/>
          </w:tcPr>
          <w:p w14:paraId="7A496CC3">
            <w:pPr>
              <w:spacing w:line="240" w:lineRule="auto"/>
              <w:ind w:firstLine="0" w:firstLineChars="0"/>
              <w:jc w:val="left"/>
              <w:rPr>
                <w:rFonts w:ascii="宋体" w:hAnsi="宋体" w:cs="宋体"/>
                <w:color w:val="auto"/>
                <w:lang w:val="zh-CN"/>
              </w:rPr>
            </w:pPr>
            <w:r>
              <w:rPr>
                <w:rFonts w:hint="eastAsia" w:ascii="宋体" w:hAnsi="宋体" w:cs="宋体"/>
                <w:color w:val="auto"/>
                <w:lang w:val="zh-CN"/>
              </w:rPr>
              <w:t>国有资金100%。</w:t>
            </w:r>
          </w:p>
        </w:tc>
      </w:tr>
      <w:tr w14:paraId="459805A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85" w:type="dxa"/>
            <w:vAlign w:val="center"/>
          </w:tcPr>
          <w:p w14:paraId="536ED897">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12</w:t>
            </w:r>
          </w:p>
        </w:tc>
        <w:tc>
          <w:tcPr>
            <w:tcW w:w="2013" w:type="dxa"/>
            <w:vAlign w:val="center"/>
          </w:tcPr>
          <w:p w14:paraId="2FBDBDF4">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答疑会</w:t>
            </w:r>
          </w:p>
        </w:tc>
        <w:tc>
          <w:tcPr>
            <w:tcW w:w="7202" w:type="dxa"/>
            <w:vAlign w:val="center"/>
          </w:tcPr>
          <w:p w14:paraId="5298821F">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不召开。</w:t>
            </w:r>
          </w:p>
        </w:tc>
      </w:tr>
      <w:tr w14:paraId="274D7F5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85" w:type="dxa"/>
            <w:vAlign w:val="center"/>
          </w:tcPr>
          <w:p w14:paraId="25A557C3">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13</w:t>
            </w:r>
          </w:p>
        </w:tc>
        <w:tc>
          <w:tcPr>
            <w:tcW w:w="2013" w:type="dxa"/>
            <w:vAlign w:val="center"/>
          </w:tcPr>
          <w:p w14:paraId="59D2490C">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投标保证金</w:t>
            </w:r>
          </w:p>
        </w:tc>
        <w:tc>
          <w:tcPr>
            <w:tcW w:w="7202" w:type="dxa"/>
            <w:vAlign w:val="center"/>
          </w:tcPr>
          <w:p w14:paraId="3A74DAEC">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不收取。</w:t>
            </w:r>
          </w:p>
        </w:tc>
      </w:tr>
      <w:tr w14:paraId="3EFDD62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85" w:type="dxa"/>
            <w:vAlign w:val="center"/>
          </w:tcPr>
          <w:p w14:paraId="7F2D75E7">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14</w:t>
            </w:r>
          </w:p>
        </w:tc>
        <w:tc>
          <w:tcPr>
            <w:tcW w:w="2013" w:type="dxa"/>
            <w:vAlign w:val="center"/>
          </w:tcPr>
          <w:p w14:paraId="35CDF7F8">
            <w:pPr>
              <w:tabs>
                <w:tab w:val="left" w:pos="0"/>
              </w:tabs>
              <w:autoSpaceDE w:val="0"/>
              <w:autoSpaceDN w:val="0"/>
              <w:adjustRightInd w:val="0"/>
              <w:spacing w:line="240" w:lineRule="auto"/>
              <w:ind w:firstLine="0" w:firstLineChars="0"/>
              <w:jc w:val="center"/>
              <w:rPr>
                <w:rFonts w:ascii="宋体" w:hAnsi="宋体" w:cs="宋体"/>
                <w:color w:val="auto"/>
                <w:highlight w:val="none"/>
                <w:lang w:val="zh-CN"/>
              </w:rPr>
            </w:pPr>
            <w:r>
              <w:rPr>
                <w:rFonts w:hint="eastAsia" w:ascii="宋体" w:hAnsi="宋体" w:cs="宋体"/>
                <w:color w:val="auto"/>
                <w:highlight w:val="none"/>
                <w:lang w:val="zh-CN"/>
              </w:rPr>
              <w:t>合同履行期限</w:t>
            </w:r>
          </w:p>
        </w:tc>
        <w:tc>
          <w:tcPr>
            <w:tcW w:w="7202" w:type="dxa"/>
            <w:vAlign w:val="center"/>
          </w:tcPr>
          <w:p w14:paraId="66D02DED">
            <w:pPr>
              <w:tabs>
                <w:tab w:val="left" w:pos="0"/>
              </w:tabs>
              <w:autoSpaceDE w:val="0"/>
              <w:autoSpaceDN w:val="0"/>
              <w:adjustRightInd w:val="0"/>
              <w:spacing w:line="240" w:lineRule="auto"/>
              <w:ind w:firstLine="0" w:firstLineChars="0"/>
              <w:jc w:val="left"/>
              <w:rPr>
                <w:rFonts w:ascii="宋体" w:hAnsi="宋体" w:cs="宋体"/>
                <w:color w:val="auto"/>
                <w:highlight w:val="none"/>
                <w:lang w:val="zh-CN"/>
              </w:rPr>
            </w:pPr>
            <w:r>
              <w:rPr>
                <w:rFonts w:hint="eastAsia" w:ascii="宋体" w:hAnsi="宋体" w:cs="宋体"/>
                <w:color w:val="auto"/>
                <w:highlight w:val="none"/>
                <w:lang w:val="zh-CN"/>
              </w:rPr>
              <w:t>合同签订后60个日历天内完成供货、安装及验收。</w:t>
            </w:r>
          </w:p>
        </w:tc>
      </w:tr>
      <w:tr w14:paraId="5ED53F7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26AC50D0">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15</w:t>
            </w:r>
          </w:p>
        </w:tc>
        <w:tc>
          <w:tcPr>
            <w:tcW w:w="2013" w:type="dxa"/>
            <w:vAlign w:val="center"/>
          </w:tcPr>
          <w:p w14:paraId="2381D987">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投标人对招标文件要求澄清的截止时间</w:t>
            </w:r>
          </w:p>
        </w:tc>
        <w:tc>
          <w:tcPr>
            <w:tcW w:w="7202" w:type="dxa"/>
            <w:vAlign w:val="center"/>
          </w:tcPr>
          <w:p w14:paraId="155A15B6">
            <w:pPr>
              <w:spacing w:line="240" w:lineRule="auto"/>
              <w:ind w:firstLine="0" w:firstLineChars="0"/>
              <w:jc w:val="left"/>
              <w:rPr>
                <w:rFonts w:ascii="宋体" w:hAnsi="宋体" w:cs="宋体"/>
                <w:color w:val="auto"/>
                <w:lang w:val="zh-CN"/>
              </w:rPr>
            </w:pPr>
            <w:r>
              <w:rPr>
                <w:rFonts w:hint="eastAsia" w:ascii="宋体" w:hAnsi="宋体" w:cs="宋体"/>
                <w:color w:val="auto"/>
                <w:lang w:val="zh-CN"/>
              </w:rPr>
              <w:t>投标人对招标文件有异议的，公告期限内获取</w:t>
            </w:r>
            <w:r>
              <w:rPr>
                <w:rFonts w:hint="eastAsia" w:ascii="宋体" w:hAnsi="宋体" w:cs="宋体"/>
                <w:color w:val="auto"/>
              </w:rPr>
              <w:t>招标</w:t>
            </w:r>
            <w:r>
              <w:rPr>
                <w:rFonts w:hint="eastAsia" w:ascii="宋体" w:hAnsi="宋体" w:cs="宋体"/>
                <w:color w:val="auto"/>
                <w:lang w:val="zh-CN"/>
              </w:rPr>
              <w:t>文件的投标人应在自收到</w:t>
            </w:r>
            <w:r>
              <w:rPr>
                <w:rFonts w:hint="eastAsia" w:ascii="宋体" w:hAnsi="宋体" w:cs="宋体"/>
                <w:color w:val="auto"/>
              </w:rPr>
              <w:t>招标</w:t>
            </w:r>
            <w:r>
              <w:rPr>
                <w:rFonts w:hint="eastAsia" w:ascii="宋体" w:hAnsi="宋体" w:cs="宋体"/>
                <w:color w:val="auto"/>
                <w:lang w:val="zh-CN"/>
              </w:rPr>
              <w:t>文件之日（获取</w:t>
            </w:r>
            <w:r>
              <w:rPr>
                <w:rFonts w:hint="eastAsia" w:ascii="宋体" w:hAnsi="宋体" w:cs="宋体"/>
                <w:color w:val="auto"/>
              </w:rPr>
              <w:t>招标</w:t>
            </w:r>
            <w:r>
              <w:rPr>
                <w:rFonts w:hint="eastAsia" w:ascii="宋体" w:hAnsi="宋体" w:cs="宋体"/>
                <w:color w:val="auto"/>
                <w:lang w:val="zh-CN"/>
              </w:rPr>
              <w:t>文件之日）起7个工作日内提出，公告期限外获取</w:t>
            </w:r>
            <w:r>
              <w:rPr>
                <w:rFonts w:hint="eastAsia" w:ascii="宋体" w:hAnsi="宋体" w:cs="宋体"/>
                <w:color w:val="auto"/>
              </w:rPr>
              <w:t>招标</w:t>
            </w:r>
            <w:r>
              <w:rPr>
                <w:rFonts w:hint="eastAsia" w:ascii="宋体" w:hAnsi="宋体" w:cs="宋体"/>
                <w:color w:val="auto"/>
                <w:lang w:val="zh-CN"/>
              </w:rPr>
              <w:t>文件的投标人应在公告期限届满之日起7个工作日内，以书面形式向采购人提出质疑，逾期将不予受理。</w:t>
            </w:r>
          </w:p>
        </w:tc>
      </w:tr>
      <w:tr w14:paraId="1E0794C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85" w:type="dxa"/>
            <w:vAlign w:val="center"/>
          </w:tcPr>
          <w:p w14:paraId="40FB7C6F">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16</w:t>
            </w:r>
          </w:p>
        </w:tc>
        <w:tc>
          <w:tcPr>
            <w:tcW w:w="2013" w:type="dxa"/>
            <w:vAlign w:val="center"/>
          </w:tcPr>
          <w:p w14:paraId="0DE2A559">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采购人澄清的截止时间</w:t>
            </w:r>
          </w:p>
        </w:tc>
        <w:tc>
          <w:tcPr>
            <w:tcW w:w="7202" w:type="dxa"/>
            <w:vAlign w:val="center"/>
          </w:tcPr>
          <w:p w14:paraId="2DD9249A">
            <w:pPr>
              <w:spacing w:line="240" w:lineRule="auto"/>
              <w:ind w:firstLine="0" w:firstLineChars="0"/>
              <w:jc w:val="left"/>
              <w:rPr>
                <w:rFonts w:ascii="宋体" w:hAnsi="宋体" w:cs="宋体"/>
                <w:color w:val="auto"/>
                <w:lang w:val="zh-CN"/>
              </w:rPr>
            </w:pPr>
            <w:r>
              <w:rPr>
                <w:rFonts w:hint="eastAsia" w:ascii="宋体" w:hAnsi="宋体" w:cs="宋体"/>
                <w:color w:val="auto"/>
                <w:lang w:val="zh-CN"/>
              </w:rPr>
              <w:t>采购人可对已发出的招标文件进行必要的澄清或修改，如澄清或修改的内容可能影响投标文件编制的，采购人应当在投标截止时间至少15日前，在</w:t>
            </w:r>
            <w:r>
              <w:rPr>
                <w:rFonts w:hint="eastAsia" w:ascii="宋体" w:hAnsi="宋体" w:cs="宋体"/>
                <w:color w:val="auto"/>
              </w:rPr>
              <w:t>招标</w:t>
            </w:r>
            <w:r>
              <w:rPr>
                <w:rFonts w:hint="eastAsia" w:ascii="宋体" w:hAnsi="宋体" w:cs="宋体"/>
                <w:color w:val="auto"/>
                <w:lang w:val="zh-CN"/>
              </w:rPr>
              <w:t>公告原发布媒体上发布更正公告，更正内容作为招标文件的组成部分；不足15日的，采购人将顺延提交投标文件的截止时间。如澄清或修改的内容不影响投标文件编制的，采购人将不延长提交投标文件的截止时间。</w:t>
            </w:r>
          </w:p>
        </w:tc>
      </w:tr>
      <w:tr w14:paraId="11BC977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41950E17">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17</w:t>
            </w:r>
          </w:p>
        </w:tc>
        <w:tc>
          <w:tcPr>
            <w:tcW w:w="2013" w:type="dxa"/>
            <w:vAlign w:val="center"/>
          </w:tcPr>
          <w:p w14:paraId="453CC33A">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是否采用电子招标投标</w:t>
            </w:r>
          </w:p>
        </w:tc>
        <w:tc>
          <w:tcPr>
            <w:tcW w:w="7202" w:type="dxa"/>
            <w:vAlign w:val="center"/>
          </w:tcPr>
          <w:p w14:paraId="6131C3D7">
            <w:pPr>
              <w:spacing w:line="240" w:lineRule="auto"/>
              <w:ind w:firstLine="0" w:firstLineChars="0"/>
              <w:jc w:val="both"/>
              <w:rPr>
                <w:rFonts w:ascii="宋体" w:hAnsi="宋体" w:cs="宋体"/>
                <w:color w:val="auto"/>
                <w:lang w:val="zh-CN"/>
              </w:rPr>
            </w:pPr>
            <w:r>
              <w:rPr>
                <w:rFonts w:hint="eastAsia" w:ascii="宋体" w:hAnsi="宋体" w:cs="宋体"/>
                <w:color w:val="auto"/>
                <w:lang w:val="zh-CN" w:eastAsia="zh-CN"/>
              </w:rPr>
              <w:t>是；</w:t>
            </w:r>
            <w:r>
              <w:rPr>
                <w:rFonts w:hint="eastAsia" w:ascii="宋体" w:hAnsi="宋体" w:cs="宋体"/>
                <w:color w:val="auto"/>
                <w:lang w:val="zh-CN"/>
              </w:rPr>
              <w:t>本项目实行不见面电子招投标方式。</w:t>
            </w:r>
          </w:p>
        </w:tc>
      </w:tr>
      <w:tr w14:paraId="69C14FF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59CA3D3E">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18</w:t>
            </w:r>
          </w:p>
        </w:tc>
        <w:tc>
          <w:tcPr>
            <w:tcW w:w="2013" w:type="dxa"/>
            <w:vAlign w:val="center"/>
          </w:tcPr>
          <w:p w14:paraId="05E1B26E">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构成招标文件的其他材料</w:t>
            </w:r>
          </w:p>
        </w:tc>
        <w:tc>
          <w:tcPr>
            <w:tcW w:w="7202" w:type="dxa"/>
            <w:vAlign w:val="center"/>
          </w:tcPr>
          <w:p w14:paraId="57A76CCB">
            <w:pPr>
              <w:spacing w:line="240" w:lineRule="auto"/>
              <w:ind w:firstLine="0" w:firstLineChars="0"/>
              <w:jc w:val="left"/>
              <w:rPr>
                <w:rFonts w:ascii="宋体" w:hAnsi="宋体" w:cs="宋体"/>
                <w:color w:val="auto"/>
                <w:lang w:val="zh-CN"/>
              </w:rPr>
            </w:pPr>
            <w:r>
              <w:rPr>
                <w:rFonts w:hint="eastAsia" w:ascii="宋体" w:hAnsi="宋体" w:cs="宋体"/>
                <w:color w:val="auto"/>
              </w:rPr>
              <w:t>补充（答疑、澄清）、修改（</w:t>
            </w:r>
            <w:r>
              <w:rPr>
                <w:rFonts w:hint="eastAsia" w:ascii="宋体" w:hAnsi="宋体" w:cs="宋体"/>
                <w:color w:val="auto"/>
                <w:lang w:val="zh-CN"/>
              </w:rPr>
              <w:t>更正</w:t>
            </w:r>
            <w:r>
              <w:rPr>
                <w:rFonts w:hint="eastAsia" w:ascii="宋体" w:hAnsi="宋体" w:cs="宋体"/>
                <w:color w:val="auto"/>
              </w:rPr>
              <w:t>）文件。</w:t>
            </w:r>
          </w:p>
        </w:tc>
      </w:tr>
      <w:tr w14:paraId="1A092931">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61198DE1">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19</w:t>
            </w:r>
          </w:p>
        </w:tc>
        <w:tc>
          <w:tcPr>
            <w:tcW w:w="2013" w:type="dxa"/>
            <w:vAlign w:val="center"/>
          </w:tcPr>
          <w:p w14:paraId="2AED55D9">
            <w:pPr>
              <w:spacing w:line="240" w:lineRule="auto"/>
              <w:ind w:firstLine="0" w:firstLineChars="0"/>
              <w:jc w:val="center"/>
              <w:rPr>
                <w:rFonts w:hint="eastAsia" w:ascii="宋体" w:hAnsi="宋体" w:cs="宋体"/>
                <w:color w:val="auto"/>
                <w:highlight w:val="none"/>
                <w:lang w:val="zh-CN"/>
              </w:rPr>
            </w:pPr>
            <w:r>
              <w:rPr>
                <w:rFonts w:hint="eastAsia" w:ascii="宋体" w:hAnsi="宋体" w:cs="宋体"/>
                <w:color w:val="auto"/>
                <w:highlight w:val="none"/>
                <w:lang w:val="zh-CN"/>
              </w:rPr>
              <w:t>投标报价</w:t>
            </w:r>
          </w:p>
        </w:tc>
        <w:tc>
          <w:tcPr>
            <w:tcW w:w="7202" w:type="dxa"/>
            <w:vAlign w:val="center"/>
          </w:tcPr>
          <w:p w14:paraId="6CED119F">
            <w:pPr>
              <w:spacing w:line="240" w:lineRule="auto"/>
              <w:ind w:firstLine="0" w:firstLineChars="0"/>
              <w:jc w:val="left"/>
              <w:rPr>
                <w:rFonts w:hint="eastAsia" w:ascii="宋体" w:hAnsi="宋体" w:cs="宋体"/>
                <w:color w:val="auto"/>
                <w:highlight w:val="none"/>
                <w:lang w:val="zh-CN"/>
              </w:rPr>
            </w:pPr>
            <w:r>
              <w:rPr>
                <w:rFonts w:hint="eastAsia" w:ascii="宋体" w:hAnsi="宋体" w:cs="宋体"/>
                <w:color w:val="auto"/>
                <w:highlight w:val="none"/>
                <w:lang w:val="zh-CN"/>
              </w:rPr>
              <w:t>投标报价是指</w:t>
            </w:r>
            <w:r>
              <w:rPr>
                <w:rFonts w:hint="eastAsia" w:ascii="宋体" w:hAnsi="宋体" w:cs="宋体"/>
                <w:color w:val="auto"/>
                <w:highlight w:val="none"/>
                <w:lang w:val="en-US" w:eastAsia="zh-CN"/>
              </w:rPr>
              <w:t>投标人</w:t>
            </w:r>
            <w:r>
              <w:rPr>
                <w:rFonts w:hint="eastAsia" w:ascii="宋体" w:hAnsi="宋体" w:cs="宋体"/>
                <w:color w:val="auto"/>
                <w:highlight w:val="none"/>
                <w:lang w:val="zh-CN"/>
              </w:rPr>
              <w:t>在正确地完全履行合同义务后采购人应支付给</w:t>
            </w:r>
            <w:r>
              <w:rPr>
                <w:rFonts w:hint="eastAsia" w:ascii="宋体" w:hAnsi="宋体" w:cs="宋体"/>
                <w:color w:val="auto"/>
                <w:highlight w:val="none"/>
                <w:lang w:val="en-US" w:eastAsia="zh-CN"/>
              </w:rPr>
              <w:t>中标人</w:t>
            </w:r>
            <w:r>
              <w:rPr>
                <w:rFonts w:hint="eastAsia" w:ascii="宋体" w:hAnsi="宋体" w:cs="宋体"/>
                <w:color w:val="auto"/>
                <w:highlight w:val="none"/>
                <w:lang w:val="zh-CN"/>
              </w:rPr>
              <w:t>所有的价款，</w:t>
            </w:r>
            <w:r>
              <w:rPr>
                <w:rFonts w:hint="eastAsia" w:ascii="宋体" w:hAnsi="宋体" w:cs="宋体"/>
                <w:color w:val="auto"/>
                <w:highlight w:val="none"/>
                <w:lang w:val="en-US" w:eastAsia="zh-CN"/>
              </w:rPr>
              <w:t>包括但不限于</w:t>
            </w:r>
            <w:r>
              <w:rPr>
                <w:rFonts w:hint="eastAsia" w:ascii="宋体" w:hAnsi="宋体" w:cs="宋体"/>
                <w:color w:val="auto"/>
                <w:highlight w:val="none"/>
                <w:lang w:val="zh-CN"/>
              </w:rPr>
              <w:t>本次项目实施所需的货物、人工费(投标人须充分考虑安装及调试中遇到的各种问题)、安装调试费、材料费、运输费、装卸车费、总包配合费（1万元由乙方与土建施工单位自行结算）、检测检验费、成品保护费、技术服务、培训费、维护费、辅助材料费、验收费、售后服务费、人身意外伤害保险费、税金和利润、采购代理费等完成合同所需的一切本身和不可或缺的所有工作开支、政策性文件规定及合同包含的所有风险、责任等各项全部费用。</w:t>
            </w:r>
            <w:r>
              <w:rPr>
                <w:rFonts w:hint="eastAsia" w:ascii="宋体" w:hAnsi="宋体" w:cs="宋体"/>
                <w:color w:val="auto"/>
                <w:highlight w:val="none"/>
                <w:lang w:val="zh-CN" w:eastAsia="zh-CN"/>
              </w:rPr>
              <w:t>投标人</w:t>
            </w:r>
            <w:r>
              <w:rPr>
                <w:rFonts w:hint="eastAsia" w:ascii="宋体" w:hAnsi="宋体" w:cs="宋体"/>
                <w:color w:val="auto"/>
                <w:highlight w:val="none"/>
                <w:lang w:val="zh-CN"/>
              </w:rPr>
              <w:t>在</w:t>
            </w:r>
            <w:r>
              <w:rPr>
                <w:rFonts w:hint="eastAsia" w:ascii="宋体" w:hAnsi="宋体" w:cs="宋体"/>
                <w:color w:val="auto"/>
                <w:highlight w:val="none"/>
                <w:lang w:val="en-US" w:eastAsia="zh-CN"/>
              </w:rPr>
              <w:t>投标</w:t>
            </w:r>
            <w:r>
              <w:rPr>
                <w:rFonts w:hint="eastAsia" w:ascii="宋体" w:hAnsi="宋体" w:cs="宋体"/>
                <w:color w:val="auto"/>
                <w:highlight w:val="none"/>
                <w:lang w:val="zh-CN"/>
              </w:rPr>
              <w:t>报价中应充分考虑所有可能发生的费用，否则采购人将视</w:t>
            </w:r>
            <w:r>
              <w:rPr>
                <w:rFonts w:hint="eastAsia" w:ascii="宋体" w:hAnsi="宋体" w:cs="宋体"/>
                <w:color w:val="auto"/>
                <w:highlight w:val="none"/>
                <w:lang w:val="en-US" w:eastAsia="zh-CN"/>
              </w:rPr>
              <w:t>投标</w:t>
            </w:r>
            <w:r>
              <w:rPr>
                <w:rFonts w:hint="eastAsia" w:ascii="宋体" w:hAnsi="宋体" w:cs="宋体"/>
                <w:color w:val="auto"/>
                <w:highlight w:val="none"/>
                <w:lang w:val="zh-CN"/>
              </w:rPr>
              <w:t>报价中已包括所有费用。</w:t>
            </w:r>
          </w:p>
        </w:tc>
      </w:tr>
      <w:tr w14:paraId="7409BC9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85" w:type="dxa"/>
            <w:vAlign w:val="center"/>
          </w:tcPr>
          <w:p w14:paraId="074B0C43">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20</w:t>
            </w:r>
          </w:p>
        </w:tc>
        <w:tc>
          <w:tcPr>
            <w:tcW w:w="2013" w:type="dxa"/>
            <w:vAlign w:val="center"/>
          </w:tcPr>
          <w:p w14:paraId="08902D14">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投标报价次数</w:t>
            </w:r>
          </w:p>
        </w:tc>
        <w:tc>
          <w:tcPr>
            <w:tcW w:w="7202" w:type="dxa"/>
            <w:vAlign w:val="center"/>
          </w:tcPr>
          <w:p w14:paraId="3293BDBE">
            <w:pPr>
              <w:spacing w:line="240" w:lineRule="auto"/>
              <w:ind w:firstLine="0" w:firstLineChars="0"/>
              <w:jc w:val="left"/>
              <w:rPr>
                <w:rFonts w:ascii="宋体" w:hAnsi="宋体" w:cs="宋体"/>
                <w:color w:val="auto"/>
                <w:lang w:val="zh-CN"/>
              </w:rPr>
            </w:pPr>
            <w:r>
              <w:rPr>
                <w:rFonts w:hint="eastAsia" w:ascii="宋体" w:hAnsi="宋体" w:cs="宋体"/>
                <w:color w:val="auto"/>
                <w:lang w:val="zh-CN"/>
              </w:rPr>
              <w:t>本次投标报价为一次，不得更改报价，投标人只有一次报价的机会。投标报价不得有选择性报价和附有条件，且不得高于最高限价。</w:t>
            </w:r>
          </w:p>
        </w:tc>
      </w:tr>
      <w:tr w14:paraId="36F1467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85" w:type="dxa"/>
            <w:vAlign w:val="center"/>
          </w:tcPr>
          <w:p w14:paraId="5C0206C7">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21</w:t>
            </w:r>
          </w:p>
        </w:tc>
        <w:tc>
          <w:tcPr>
            <w:tcW w:w="2013" w:type="dxa"/>
            <w:vAlign w:val="center"/>
          </w:tcPr>
          <w:p w14:paraId="3A99B5E3">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投标文件</w:t>
            </w:r>
            <w:r>
              <w:rPr>
                <w:rFonts w:hint="eastAsia" w:ascii="宋体" w:hAnsi="宋体" w:cs="宋体"/>
                <w:color w:val="auto"/>
              </w:rPr>
              <w:t>份数</w:t>
            </w:r>
          </w:p>
        </w:tc>
        <w:tc>
          <w:tcPr>
            <w:tcW w:w="7202" w:type="dxa"/>
            <w:vAlign w:val="center"/>
          </w:tcPr>
          <w:p w14:paraId="2A36ACD3">
            <w:pPr>
              <w:spacing w:line="240" w:lineRule="auto"/>
              <w:ind w:firstLine="0" w:firstLineChars="0"/>
              <w:jc w:val="left"/>
              <w:rPr>
                <w:rFonts w:ascii="宋体" w:hAnsi="宋体" w:cs="宋体"/>
                <w:color w:val="auto"/>
                <w:lang w:val="zh-CN"/>
              </w:rPr>
            </w:pPr>
            <w:r>
              <w:rPr>
                <w:rFonts w:hint="eastAsia" w:ascii="宋体" w:hAnsi="宋体" w:cs="宋体"/>
                <w:color w:val="auto"/>
                <w:lang w:val="zh-CN"/>
              </w:rPr>
              <w:t>电子投标文件：加密电子投标文件一份，包括资格审查文件、技术商务文件、报价文件，按规定上传至衢州市阳光交易服务平台。</w:t>
            </w:r>
          </w:p>
          <w:p w14:paraId="2D442F00">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中标人在公示结束后，提供与投标时一致的纸质投标文件</w:t>
            </w:r>
            <w:r>
              <w:rPr>
                <w:rFonts w:hint="eastAsia" w:ascii="宋体" w:hAnsi="宋体" w:cs="宋体"/>
                <w:color w:val="auto"/>
                <w:lang w:val="en-US" w:eastAsia="zh-CN"/>
              </w:rPr>
              <w:t>五</w:t>
            </w:r>
            <w:r>
              <w:rPr>
                <w:rFonts w:hint="eastAsia" w:ascii="宋体" w:hAnsi="宋体" w:cs="宋体"/>
                <w:color w:val="auto"/>
                <w:lang w:val="zh-CN"/>
              </w:rPr>
              <w:t>套。</w:t>
            </w:r>
          </w:p>
        </w:tc>
      </w:tr>
      <w:tr w14:paraId="5713844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85" w:type="dxa"/>
            <w:vAlign w:val="center"/>
          </w:tcPr>
          <w:p w14:paraId="11A4BA93">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22</w:t>
            </w:r>
          </w:p>
        </w:tc>
        <w:tc>
          <w:tcPr>
            <w:tcW w:w="2013" w:type="dxa"/>
            <w:vAlign w:val="center"/>
          </w:tcPr>
          <w:p w14:paraId="2B21D816">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投标截止时间</w:t>
            </w:r>
          </w:p>
        </w:tc>
        <w:tc>
          <w:tcPr>
            <w:tcW w:w="7202" w:type="dxa"/>
            <w:vAlign w:val="center"/>
          </w:tcPr>
          <w:p w14:paraId="5829A1A3">
            <w:pPr>
              <w:spacing w:line="240" w:lineRule="auto"/>
              <w:ind w:firstLine="0" w:firstLineChars="0"/>
              <w:jc w:val="left"/>
              <w:rPr>
                <w:rFonts w:ascii="宋体" w:hAnsi="宋体" w:cs="宋体"/>
                <w:color w:val="auto"/>
                <w:lang w:val="zh-CN"/>
              </w:rPr>
            </w:pPr>
            <w:r>
              <w:rPr>
                <w:rFonts w:hint="eastAsia" w:ascii="宋体" w:hAnsi="宋体" w:cs="宋体"/>
                <w:color w:val="auto"/>
                <w:lang w:val="zh-CN"/>
              </w:rPr>
              <w:t>时  间</w:t>
            </w:r>
            <w:r>
              <w:rPr>
                <w:rFonts w:hint="eastAsia" w:ascii="宋体" w:hAnsi="宋体" w:cs="宋体"/>
                <w:color w:val="auto"/>
                <w:highlight w:val="none"/>
                <w:lang w:val="zh-CN"/>
              </w:rPr>
              <w:t>：202</w:t>
            </w:r>
            <w:r>
              <w:rPr>
                <w:rFonts w:hint="eastAsia" w:ascii="宋体" w:hAnsi="宋体" w:cs="宋体"/>
                <w:color w:val="auto"/>
                <w:highlight w:val="none"/>
                <w:lang w:val="en-US" w:eastAsia="zh-CN"/>
              </w:rPr>
              <w:t>5</w:t>
            </w:r>
            <w:r>
              <w:rPr>
                <w:rFonts w:hint="eastAsia" w:ascii="宋体" w:hAnsi="宋体" w:cs="宋体"/>
                <w:color w:val="auto"/>
                <w:highlight w:val="none"/>
                <w:lang w:val="zh-CN"/>
              </w:rPr>
              <w:t>年</w:t>
            </w:r>
            <w:r>
              <w:rPr>
                <w:rFonts w:hint="eastAsia" w:ascii="宋体" w:hAnsi="宋体" w:cs="宋体"/>
                <w:color w:val="auto"/>
                <w:highlight w:val="none"/>
                <w:lang w:val="en-US" w:eastAsia="zh-CN"/>
              </w:rPr>
              <w:t>1</w:t>
            </w:r>
            <w:r>
              <w:rPr>
                <w:rFonts w:hint="eastAsia" w:ascii="宋体" w:hAnsi="宋体" w:cs="宋体"/>
                <w:color w:val="auto"/>
                <w:highlight w:val="none"/>
                <w:lang w:val="zh-CN"/>
              </w:rPr>
              <w:t>月</w:t>
            </w:r>
            <w:r>
              <w:rPr>
                <w:rFonts w:hint="eastAsia" w:ascii="宋体" w:hAnsi="宋体" w:cs="宋体"/>
                <w:color w:val="auto"/>
                <w:highlight w:val="none"/>
                <w:lang w:val="en-US" w:eastAsia="zh-CN"/>
              </w:rPr>
              <w:t>27</w:t>
            </w:r>
            <w:r>
              <w:rPr>
                <w:rFonts w:hint="eastAsia" w:ascii="宋体" w:hAnsi="宋体" w:cs="宋体"/>
                <w:color w:val="auto"/>
                <w:highlight w:val="none"/>
                <w:lang w:val="zh-CN"/>
              </w:rPr>
              <w:t>日</w:t>
            </w:r>
            <w:r>
              <w:rPr>
                <w:rFonts w:hint="eastAsia" w:ascii="宋体" w:hAnsi="宋体" w:cs="宋体"/>
                <w:color w:val="auto"/>
                <w:highlight w:val="none"/>
                <w:lang w:val="en-US" w:eastAsia="zh-CN"/>
              </w:rPr>
              <w:t>9:00</w:t>
            </w:r>
            <w:r>
              <w:rPr>
                <w:rFonts w:hint="eastAsia" w:ascii="宋体" w:hAnsi="宋体" w:cs="宋体"/>
                <w:color w:val="auto"/>
                <w:highlight w:val="none"/>
                <w:lang w:val="zh-CN"/>
              </w:rPr>
              <w:t>时止。</w:t>
            </w:r>
          </w:p>
        </w:tc>
      </w:tr>
      <w:tr w14:paraId="52F4605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00C2AE09">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23</w:t>
            </w:r>
          </w:p>
        </w:tc>
        <w:tc>
          <w:tcPr>
            <w:tcW w:w="2013" w:type="dxa"/>
            <w:vAlign w:val="center"/>
          </w:tcPr>
          <w:p w14:paraId="050BE796">
            <w:pPr>
              <w:keepNext w:val="0"/>
              <w:keepLines w:val="0"/>
              <w:suppressLineNumbers w:val="0"/>
              <w:spacing w:before="0" w:beforeAutospacing="0" w:after="0" w:afterAutospacing="0" w:line="240" w:lineRule="auto"/>
              <w:ind w:left="0" w:leftChars="0" w:right="0" w:rightChars="0" w:firstLine="0" w:firstLineChars="0"/>
              <w:jc w:val="center"/>
              <w:rPr>
                <w:rFonts w:ascii="宋体" w:hAnsi="宋体" w:cs="宋体"/>
                <w:color w:val="auto"/>
                <w:lang w:val="zh-CN"/>
              </w:rPr>
            </w:pPr>
            <w:r>
              <w:rPr>
                <w:rFonts w:hint="eastAsia" w:ascii="宋体" w:hAnsi="宋体" w:cs="宋体"/>
                <w:color w:val="auto"/>
                <w:lang w:val="zh-CN"/>
              </w:rPr>
              <w:t>开标</w:t>
            </w:r>
          </w:p>
        </w:tc>
        <w:tc>
          <w:tcPr>
            <w:tcW w:w="7202" w:type="dxa"/>
            <w:vAlign w:val="center"/>
          </w:tcPr>
          <w:p w14:paraId="09866328">
            <w:pPr>
              <w:keepNext w:val="0"/>
              <w:keepLines w:val="0"/>
              <w:suppressLineNumbers w:val="0"/>
              <w:spacing w:before="0" w:beforeAutospacing="0" w:after="0" w:afterAutospacing="0" w:line="240" w:lineRule="auto"/>
              <w:ind w:left="0" w:right="0" w:firstLine="0" w:firstLineChars="0"/>
              <w:jc w:val="left"/>
              <w:rPr>
                <w:rFonts w:hint="default" w:ascii="宋体" w:hAnsi="宋体" w:cs="宋体"/>
                <w:color w:val="auto"/>
                <w:lang w:val="zh-CN"/>
              </w:rPr>
            </w:pPr>
            <w:r>
              <w:rPr>
                <w:rFonts w:hint="eastAsia" w:ascii="宋体" w:hAnsi="宋体" w:cs="宋体"/>
                <w:color w:val="auto"/>
                <w:lang w:val="zh-CN"/>
              </w:rPr>
              <w:t>开标时间：同电子投标文件上传截止时间。</w:t>
            </w:r>
          </w:p>
          <w:p w14:paraId="751D6B3B">
            <w:pPr>
              <w:keepNext w:val="0"/>
              <w:keepLines w:val="0"/>
              <w:suppressLineNumbers w:val="0"/>
              <w:spacing w:before="0" w:beforeAutospacing="0" w:after="0" w:afterAutospacing="0" w:line="240" w:lineRule="auto"/>
              <w:ind w:left="0" w:right="0" w:firstLine="0" w:firstLineChars="0"/>
              <w:jc w:val="left"/>
              <w:rPr>
                <w:rFonts w:hint="default" w:ascii="宋体" w:hAnsi="宋体" w:cs="宋体"/>
                <w:color w:val="auto"/>
                <w:lang w:val="zh-CN"/>
              </w:rPr>
            </w:pPr>
            <w:r>
              <w:rPr>
                <w:rFonts w:hint="eastAsia" w:ascii="宋体" w:hAnsi="宋体" w:cs="宋体"/>
                <w:color w:val="auto"/>
                <w:lang w:val="zh-CN"/>
              </w:rPr>
              <w:t>开标地点：衢州市公共资源交易龙游县分中心</w:t>
            </w:r>
            <w:r>
              <w:rPr>
                <w:rFonts w:hint="eastAsia" w:ascii="宋体" w:hAnsi="宋体" w:cs="宋体"/>
                <w:color w:val="auto"/>
              </w:rPr>
              <w:t>2楼</w:t>
            </w:r>
            <w:r>
              <w:rPr>
                <w:rFonts w:hint="eastAsia" w:ascii="宋体" w:hAnsi="宋体" w:cs="宋体"/>
                <w:color w:val="auto"/>
                <w:lang w:val="zh-CN"/>
              </w:rPr>
              <w:t>开标室</w:t>
            </w:r>
            <w:r>
              <w:rPr>
                <w:rFonts w:hint="eastAsia" w:ascii="宋体" w:hAnsi="宋体" w:cs="宋体"/>
                <w:color w:val="auto"/>
                <w:lang w:val="en-US" w:eastAsia="zh-CN"/>
              </w:rPr>
              <w:t>2</w:t>
            </w:r>
            <w:r>
              <w:rPr>
                <w:rFonts w:hint="eastAsia" w:ascii="宋体" w:hAnsi="宋体" w:cs="宋体"/>
                <w:color w:val="auto"/>
                <w:lang w:val="zh-CN"/>
              </w:rPr>
              <w:t>（龙游县龙翔路原香溢市场西侧）</w:t>
            </w:r>
          </w:p>
          <w:p w14:paraId="576579EE">
            <w:pPr>
              <w:keepNext w:val="0"/>
              <w:keepLines w:val="0"/>
              <w:suppressLineNumbers w:val="0"/>
              <w:spacing w:before="0" w:beforeAutospacing="0" w:after="0" w:afterAutospacing="0" w:line="240" w:lineRule="auto"/>
              <w:ind w:left="0" w:leftChars="0" w:right="0" w:rightChars="0" w:firstLine="0" w:firstLineChars="0"/>
              <w:jc w:val="left"/>
              <w:rPr>
                <w:rFonts w:ascii="宋体" w:hAnsi="宋体" w:cs="宋体"/>
                <w:color w:val="auto"/>
                <w:lang w:val="zh-CN"/>
              </w:rPr>
            </w:pPr>
            <w:r>
              <w:rPr>
                <w:rFonts w:hint="eastAsia" w:ascii="宋体" w:hAnsi="宋体" w:cs="宋体"/>
                <w:color w:val="auto"/>
                <w:lang w:val="zh-CN"/>
              </w:rPr>
              <w:t>开标平台：</w:t>
            </w:r>
            <w:r>
              <w:rPr>
                <w:rFonts w:hint="eastAsia" w:ascii="宋体" w:hAnsi="宋体" w:cs="宋体"/>
                <w:color w:val="auto"/>
                <w:sz w:val="24"/>
                <w:szCs w:val="24"/>
              </w:rPr>
              <w:t>衢州市阳光交易服务平台不见面开标大厅</w:t>
            </w:r>
            <w:r>
              <w:rPr>
                <w:rFonts w:hint="eastAsia" w:ascii="宋体" w:hAnsi="宋体" w:cs="宋体"/>
                <w:color w:val="auto"/>
                <w:sz w:val="24"/>
                <w:szCs w:val="24"/>
                <w:lang w:eastAsia="zh-CN"/>
              </w:rPr>
              <w:t>。</w:t>
            </w:r>
          </w:p>
        </w:tc>
      </w:tr>
      <w:tr w14:paraId="6B19FC3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09F2B238">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24</w:t>
            </w:r>
          </w:p>
        </w:tc>
        <w:tc>
          <w:tcPr>
            <w:tcW w:w="2013" w:type="dxa"/>
            <w:vAlign w:val="center"/>
          </w:tcPr>
          <w:p w14:paraId="372210B7">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递交投标文件的地点</w:t>
            </w:r>
          </w:p>
        </w:tc>
        <w:tc>
          <w:tcPr>
            <w:tcW w:w="7202" w:type="dxa"/>
            <w:vAlign w:val="center"/>
          </w:tcPr>
          <w:p w14:paraId="2ABBE3D1">
            <w:pPr>
              <w:spacing w:line="240" w:lineRule="auto"/>
              <w:ind w:firstLine="0" w:firstLineChars="0"/>
              <w:jc w:val="left"/>
              <w:rPr>
                <w:rFonts w:ascii="宋体" w:hAnsi="宋体" w:cs="宋体"/>
                <w:color w:val="auto"/>
                <w:lang w:val="zh-CN"/>
              </w:rPr>
            </w:pPr>
            <w:r>
              <w:rPr>
                <w:rFonts w:hint="eastAsia" w:ascii="宋体" w:hAnsi="宋体" w:cs="宋体"/>
                <w:color w:val="auto"/>
                <w:lang w:val="zh-CN"/>
              </w:rPr>
              <w:t>将由投标文件制作工具制作生成的加密投标文件在投标截止时间前（以上传完成时间为准）上传至衢州市阳光交易服务平台（网址：https://qzygjy.com/)。</w:t>
            </w:r>
          </w:p>
        </w:tc>
      </w:tr>
      <w:tr w14:paraId="09BB938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85" w:type="dxa"/>
            <w:vAlign w:val="center"/>
          </w:tcPr>
          <w:p w14:paraId="32CD4B0F">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2</w:t>
            </w:r>
            <w:r>
              <w:rPr>
                <w:rFonts w:hint="eastAsia" w:ascii="宋体" w:hAnsi="宋体" w:cs="宋体"/>
                <w:color w:val="auto"/>
                <w:lang w:val="en-US" w:eastAsia="zh-CN"/>
              </w:rPr>
              <w:t>5</w:t>
            </w:r>
          </w:p>
        </w:tc>
        <w:tc>
          <w:tcPr>
            <w:tcW w:w="2013" w:type="dxa"/>
            <w:vAlign w:val="center"/>
          </w:tcPr>
          <w:p w14:paraId="18226F1B">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投标文件的外包装和密封要求</w:t>
            </w:r>
          </w:p>
        </w:tc>
        <w:tc>
          <w:tcPr>
            <w:tcW w:w="7202" w:type="dxa"/>
            <w:vAlign w:val="center"/>
          </w:tcPr>
          <w:p w14:paraId="5F89880A">
            <w:pPr>
              <w:spacing w:line="240" w:lineRule="auto"/>
              <w:ind w:firstLine="0" w:firstLineChars="0"/>
              <w:jc w:val="left"/>
              <w:rPr>
                <w:rFonts w:ascii="宋体" w:hAnsi="宋体" w:cs="宋体"/>
                <w:color w:val="auto"/>
                <w:lang w:val="zh-CN"/>
              </w:rPr>
            </w:pPr>
            <w:r>
              <w:rPr>
                <w:rFonts w:hint="eastAsia" w:ascii="宋体" w:hAnsi="宋体" w:cs="宋体"/>
                <w:color w:val="auto"/>
                <w:lang w:val="zh-CN"/>
              </w:rPr>
              <w:t>电子招投标，无密封要求。</w:t>
            </w:r>
          </w:p>
        </w:tc>
      </w:tr>
      <w:tr w14:paraId="69C3C82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42F2DDB6">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2</w:t>
            </w:r>
            <w:r>
              <w:rPr>
                <w:rFonts w:hint="eastAsia" w:ascii="宋体" w:hAnsi="宋体" w:cs="宋体"/>
                <w:color w:val="auto"/>
                <w:lang w:val="en-US" w:eastAsia="zh-CN"/>
              </w:rPr>
              <w:t>6</w:t>
            </w:r>
          </w:p>
        </w:tc>
        <w:tc>
          <w:tcPr>
            <w:tcW w:w="2013" w:type="dxa"/>
            <w:vAlign w:val="center"/>
          </w:tcPr>
          <w:p w14:paraId="52B6471F">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投标文件封面上应载明的信息</w:t>
            </w:r>
          </w:p>
        </w:tc>
        <w:tc>
          <w:tcPr>
            <w:tcW w:w="7202" w:type="dxa"/>
            <w:vAlign w:val="center"/>
          </w:tcPr>
          <w:p w14:paraId="5351A95E">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详见第六章</w:t>
            </w:r>
            <w:r>
              <w:rPr>
                <w:rFonts w:hint="eastAsia" w:ascii="宋体" w:hAnsi="宋体" w:cs="宋体"/>
                <w:color w:val="auto"/>
              </w:rPr>
              <w:t xml:space="preserve"> </w:t>
            </w:r>
            <w:r>
              <w:rPr>
                <w:rFonts w:hint="eastAsia" w:ascii="宋体" w:hAnsi="宋体" w:cs="宋体"/>
                <w:color w:val="auto"/>
                <w:lang w:val="zh-CN"/>
              </w:rPr>
              <w:t>投标文件格式。</w:t>
            </w:r>
          </w:p>
        </w:tc>
      </w:tr>
      <w:tr w14:paraId="47E933F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28716701">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2</w:t>
            </w:r>
            <w:r>
              <w:rPr>
                <w:rFonts w:hint="eastAsia" w:ascii="宋体" w:hAnsi="宋体" w:cs="宋体"/>
                <w:color w:val="auto"/>
                <w:lang w:val="en-US" w:eastAsia="zh-CN"/>
              </w:rPr>
              <w:t>7</w:t>
            </w:r>
          </w:p>
        </w:tc>
        <w:tc>
          <w:tcPr>
            <w:tcW w:w="2013" w:type="dxa"/>
            <w:vAlign w:val="center"/>
          </w:tcPr>
          <w:p w14:paraId="771BC560">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签字或盖章要求</w:t>
            </w:r>
          </w:p>
        </w:tc>
        <w:tc>
          <w:tcPr>
            <w:tcW w:w="7202" w:type="dxa"/>
            <w:vAlign w:val="center"/>
          </w:tcPr>
          <w:p w14:paraId="6C9181E7">
            <w:pPr>
              <w:spacing w:line="240" w:lineRule="auto"/>
              <w:ind w:firstLine="0" w:firstLineChars="0"/>
              <w:jc w:val="left"/>
              <w:rPr>
                <w:rFonts w:ascii="宋体" w:hAnsi="宋体" w:cs="宋体"/>
                <w:color w:val="auto"/>
                <w:lang w:val="zh-CN"/>
              </w:rPr>
            </w:pPr>
            <w:r>
              <w:rPr>
                <w:rFonts w:hint="eastAsia" w:ascii="宋体" w:hAnsi="宋体" w:cs="宋体"/>
                <w:color w:val="auto"/>
                <w:lang w:val="zh-CN"/>
              </w:rPr>
              <w:t>投标文件格式文件要求投标人盖章、法定代表人印章的地方，投标人均应使用CA数字证书加盖投标人的单位电子印章、法定代表人个人电子印章。</w:t>
            </w:r>
          </w:p>
        </w:tc>
      </w:tr>
      <w:tr w14:paraId="60AA99C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689FFD15">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2</w:t>
            </w:r>
            <w:r>
              <w:rPr>
                <w:rFonts w:hint="eastAsia" w:ascii="宋体" w:hAnsi="宋体" w:cs="宋体"/>
                <w:color w:val="auto"/>
                <w:lang w:val="en-US" w:eastAsia="zh-CN"/>
              </w:rPr>
              <w:t>8</w:t>
            </w:r>
          </w:p>
        </w:tc>
        <w:tc>
          <w:tcPr>
            <w:tcW w:w="2013" w:type="dxa"/>
            <w:vAlign w:val="center"/>
          </w:tcPr>
          <w:p w14:paraId="55B35975">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是否允许提交备选投标方案</w:t>
            </w:r>
          </w:p>
        </w:tc>
        <w:tc>
          <w:tcPr>
            <w:tcW w:w="7202" w:type="dxa"/>
            <w:vAlign w:val="center"/>
          </w:tcPr>
          <w:p w14:paraId="6D41B53E">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不允许。</w:t>
            </w:r>
          </w:p>
        </w:tc>
      </w:tr>
      <w:tr w14:paraId="5CEF902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5973F79C">
            <w:pPr>
              <w:spacing w:line="240" w:lineRule="auto"/>
              <w:ind w:firstLine="0" w:firstLineChars="0"/>
              <w:jc w:val="center"/>
              <w:rPr>
                <w:rFonts w:hint="default" w:ascii="宋体" w:hAnsi="宋体" w:eastAsia="宋体" w:cs="宋体"/>
                <w:color w:val="auto"/>
                <w:lang w:val="en-US" w:eastAsia="zh-CN"/>
              </w:rPr>
            </w:pPr>
            <w:r>
              <w:rPr>
                <w:rFonts w:hint="eastAsia" w:ascii="宋体" w:hAnsi="宋体" w:cs="宋体"/>
                <w:color w:val="auto"/>
                <w:lang w:val="en-US" w:eastAsia="zh-CN"/>
              </w:rPr>
              <w:t>29</w:t>
            </w:r>
          </w:p>
        </w:tc>
        <w:tc>
          <w:tcPr>
            <w:tcW w:w="2013" w:type="dxa"/>
            <w:vAlign w:val="center"/>
          </w:tcPr>
          <w:p w14:paraId="0B6186D5">
            <w:pPr>
              <w:pStyle w:val="63"/>
              <w:keepNext w:val="0"/>
              <w:keepLines w:val="0"/>
              <w:pageBreakBefore w:val="0"/>
              <w:kinsoku/>
              <w:wordWrap/>
              <w:overflowPunct/>
              <w:topLinePunct w:val="0"/>
              <w:bidi w:val="0"/>
              <w:snapToGrid w:val="0"/>
              <w:spacing w:beforeAutospacing="0" w:afterAutospacing="0" w:line="300" w:lineRule="exact"/>
              <w:ind w:firstLine="0" w:firstLineChars="0"/>
              <w:jc w:val="center"/>
              <w:textAlignment w:val="auto"/>
              <w:outlineLvl w:val="9"/>
              <w:rPr>
                <w:rFonts w:hint="eastAsia" w:ascii="宋体" w:hAnsi="宋体" w:eastAsia="宋体" w:cs="宋体"/>
                <w:color w:val="auto"/>
                <w:lang w:val="zh-CN" w:eastAsia="zh-CN"/>
              </w:rPr>
            </w:pPr>
            <w:r>
              <w:rPr>
                <w:rFonts w:hint="default" w:ascii="宋体" w:hAnsi="宋体" w:eastAsia="宋体" w:cs="宋体"/>
                <w:color w:val="auto"/>
                <w:sz w:val="24"/>
                <w:szCs w:val="24"/>
              </w:rPr>
              <w:t>采购进口产品</w:t>
            </w:r>
          </w:p>
        </w:tc>
        <w:tc>
          <w:tcPr>
            <w:tcW w:w="7202" w:type="dxa"/>
            <w:vAlign w:val="center"/>
          </w:tcPr>
          <w:p w14:paraId="2877A9E5">
            <w:pPr>
              <w:pStyle w:val="20"/>
              <w:keepNext w:val="0"/>
              <w:keepLines w:val="0"/>
              <w:pageBreakBefore w:val="0"/>
              <w:wordWrap/>
              <w:topLinePunct w:val="0"/>
              <w:bidi w:val="0"/>
              <w:adjustRightInd w:val="0"/>
              <w:snapToGrid w:val="0"/>
              <w:spacing w:beforeLines="0" w:afterLines="0" w:line="300" w:lineRule="exact"/>
              <w:ind w:left="0" w:leftChars="0" w:firstLine="0" w:firstLineChar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sym w:font="Wingdings 2" w:char="0052"/>
            </w:r>
            <w:r>
              <w:rPr>
                <w:rFonts w:hint="eastAsia" w:ascii="宋体" w:hAnsi="宋体" w:eastAsia="宋体" w:cs="宋体"/>
                <w:kern w:val="2"/>
                <w:sz w:val="24"/>
                <w:szCs w:val="24"/>
                <w:lang w:val="en-US" w:eastAsia="zh-CN" w:bidi="ar-SA"/>
              </w:rPr>
              <w:t>本项目不允许采购进口产品</w:t>
            </w:r>
          </w:p>
          <w:p w14:paraId="5B6ADD87">
            <w:pPr>
              <w:pStyle w:val="20"/>
              <w:keepNext w:val="0"/>
              <w:keepLines w:val="0"/>
              <w:pageBreakBefore w:val="0"/>
              <w:wordWrap/>
              <w:topLinePunct w:val="0"/>
              <w:bidi w:val="0"/>
              <w:adjustRightInd w:val="0"/>
              <w:snapToGrid w:val="0"/>
              <w:spacing w:beforeLines="0" w:afterLines="0" w:line="300" w:lineRule="exact"/>
              <w:ind w:left="0" w:leftChars="0" w:firstLine="0" w:firstLineChars="0"/>
              <w:jc w:val="left"/>
              <w:rPr>
                <w:rFonts w:hint="eastAsia" w:ascii="宋体" w:hAnsi="宋体" w:cs="宋体"/>
                <w:color w:val="auto"/>
                <w:lang w:val="zh-CN"/>
              </w:rPr>
            </w:pPr>
            <w:r>
              <w:rPr>
                <w:rFonts w:hint="eastAsia" w:ascii="宋体" w:hAnsi="宋体" w:eastAsia="宋体" w:cs="宋体"/>
                <w:kern w:val="2"/>
                <w:sz w:val="24"/>
                <w:szCs w:val="24"/>
                <w:lang w:val="en-US" w:eastAsia="zh-CN" w:bidi="ar-SA"/>
              </w:rPr>
              <w:sym w:font="Wingdings 2" w:char="00A3"/>
            </w:r>
            <w:r>
              <w:rPr>
                <w:rFonts w:hint="eastAsia" w:ascii="宋体" w:hAnsi="宋体" w:eastAsia="宋体" w:cs="宋体"/>
                <w:kern w:val="2"/>
                <w:sz w:val="24"/>
                <w:szCs w:val="24"/>
                <w:lang w:val="en-US" w:eastAsia="zh-CN" w:bidi="ar-SA"/>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C66F44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62721357">
            <w:pPr>
              <w:spacing w:line="240" w:lineRule="auto"/>
              <w:ind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30</w:t>
            </w:r>
          </w:p>
        </w:tc>
        <w:tc>
          <w:tcPr>
            <w:tcW w:w="2013" w:type="dxa"/>
            <w:vAlign w:val="center"/>
          </w:tcPr>
          <w:p w14:paraId="29037662">
            <w:pPr>
              <w:pStyle w:val="20"/>
              <w:keepNext w:val="0"/>
              <w:keepLines w:val="0"/>
              <w:pageBreakBefore w:val="0"/>
              <w:kinsoku/>
              <w:wordWrap/>
              <w:overflowPunct/>
              <w:topLinePunct w:val="0"/>
              <w:bidi w:val="0"/>
              <w:spacing w:line="300" w:lineRule="exact"/>
              <w:ind w:left="0" w:leftChars="0" w:firstLine="0" w:firstLineChars="0"/>
              <w:jc w:val="center"/>
              <w:rPr>
                <w:rFonts w:hint="eastAsia" w:ascii="宋体" w:hAnsi="宋体" w:cs="宋体"/>
                <w:color w:val="auto"/>
                <w:lang w:val="zh-CN"/>
              </w:rPr>
            </w:pPr>
            <w:r>
              <w:rPr>
                <w:rFonts w:hint="eastAsia" w:ascii="宋体" w:hAnsi="宋体" w:eastAsia="宋体" w:cs="Times New Roman"/>
                <w:color w:val="auto"/>
                <w:kern w:val="2"/>
                <w:sz w:val="24"/>
                <w:szCs w:val="24"/>
                <w:highlight w:val="none"/>
                <w:lang w:val="en-US" w:eastAsia="zh-CN" w:bidi="ar-SA"/>
              </w:rPr>
              <w:t>政府采购节能环保产品</w:t>
            </w:r>
          </w:p>
        </w:tc>
        <w:tc>
          <w:tcPr>
            <w:tcW w:w="7202" w:type="dxa"/>
            <w:vAlign w:val="center"/>
          </w:tcPr>
          <w:p w14:paraId="214E3578">
            <w:pPr>
              <w:pStyle w:val="20"/>
              <w:keepNext w:val="0"/>
              <w:keepLines w:val="0"/>
              <w:pageBreakBefore w:val="0"/>
              <w:kinsoku/>
              <w:wordWrap/>
              <w:overflowPunct/>
              <w:topLinePunct w:val="0"/>
              <w:bidi w:val="0"/>
              <w:spacing w:line="300" w:lineRule="exact"/>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拟采购的产品属于品目清单范围的，采购人将依据国家确定的认证机构出具的、处于有效期之内的节能产品、环境标志产品认证证书，对获得证书的产品实施政府优先采购或强制采购。投标人须按招标文件要求提供相关产品认证证书。</w:t>
            </w:r>
          </w:p>
          <w:p w14:paraId="30A3CA9C">
            <w:pPr>
              <w:pStyle w:val="20"/>
              <w:keepNext w:val="0"/>
              <w:keepLines w:val="0"/>
              <w:pageBreakBefore w:val="0"/>
              <w:kinsoku/>
              <w:wordWrap/>
              <w:overflowPunct/>
              <w:topLinePunct w:val="0"/>
              <w:bidi w:val="0"/>
              <w:spacing w:line="300" w:lineRule="exact"/>
              <w:ind w:left="0" w:leftChars="0" w:firstLine="0" w:firstLineChars="0"/>
              <w:rPr>
                <w:rFonts w:hint="eastAsia" w:ascii="宋体" w:hAnsi="宋体" w:cs="宋体"/>
                <w:color w:val="auto"/>
                <w:lang w:val="zh-CN"/>
              </w:rPr>
            </w:pPr>
            <w:r>
              <w:rPr>
                <w:rFonts w:hint="eastAsia" w:ascii="宋体" w:hAnsi="宋体" w:eastAsia="宋体" w:cs="宋体"/>
                <w:color w:val="auto"/>
                <w:kern w:val="2"/>
                <w:sz w:val="24"/>
                <w:szCs w:val="24"/>
                <w:highlight w:val="none"/>
                <w:lang w:val="en-US" w:eastAsia="zh-CN" w:bidi="ar-SA"/>
              </w:rPr>
              <w:t>采购人拟采购的产品属于政府强制采购的节能产品品目清单范围的，投标人未按招标文件要求提供国家确定的认证机构出具的、处于有效期之内的节能产品认证证书，投标无效。</w:t>
            </w:r>
          </w:p>
        </w:tc>
      </w:tr>
      <w:tr w14:paraId="53F0239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85" w:type="dxa"/>
            <w:vAlign w:val="center"/>
          </w:tcPr>
          <w:p w14:paraId="005B7CBA">
            <w:pPr>
              <w:spacing w:line="240" w:lineRule="auto"/>
              <w:ind w:firstLine="0" w:firstLineChars="0"/>
              <w:jc w:val="center"/>
              <w:rPr>
                <w:rFonts w:hint="default" w:ascii="宋体" w:hAnsi="宋体" w:eastAsia="宋体" w:cs="宋体"/>
                <w:color w:val="auto"/>
                <w:lang w:val="en-US" w:eastAsia="zh-CN"/>
              </w:rPr>
            </w:pPr>
            <w:r>
              <w:rPr>
                <w:rFonts w:hint="eastAsia" w:ascii="宋体" w:hAnsi="宋体" w:cs="宋体"/>
                <w:color w:val="auto"/>
                <w:lang w:val="en-US" w:eastAsia="zh-CN"/>
              </w:rPr>
              <w:t>31</w:t>
            </w:r>
          </w:p>
        </w:tc>
        <w:tc>
          <w:tcPr>
            <w:tcW w:w="2013" w:type="dxa"/>
            <w:vAlign w:val="center"/>
          </w:tcPr>
          <w:p w14:paraId="695E7F61">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采购方式</w:t>
            </w:r>
          </w:p>
        </w:tc>
        <w:tc>
          <w:tcPr>
            <w:tcW w:w="7202" w:type="dxa"/>
            <w:vAlign w:val="center"/>
          </w:tcPr>
          <w:p w14:paraId="227FE708">
            <w:pPr>
              <w:spacing w:line="240" w:lineRule="auto"/>
              <w:ind w:firstLine="0" w:firstLineChars="0"/>
              <w:jc w:val="left"/>
              <w:rPr>
                <w:rFonts w:ascii="宋体" w:hAnsi="宋体" w:cs="宋体"/>
                <w:color w:val="auto"/>
                <w:lang w:val="zh-CN"/>
              </w:rPr>
            </w:pPr>
            <w:r>
              <w:rPr>
                <w:rFonts w:hint="eastAsia" w:ascii="宋体" w:hAnsi="宋体" w:cs="宋体"/>
                <w:color w:val="auto"/>
                <w:lang w:val="zh-CN"/>
              </w:rPr>
              <w:t>公开招标。</w:t>
            </w:r>
          </w:p>
        </w:tc>
      </w:tr>
      <w:tr w14:paraId="0267E4F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15AA1EB8">
            <w:pPr>
              <w:spacing w:line="240" w:lineRule="auto"/>
              <w:ind w:firstLine="0" w:firstLineChars="0"/>
              <w:jc w:val="center"/>
              <w:rPr>
                <w:rFonts w:hint="default" w:ascii="宋体" w:hAnsi="宋体" w:eastAsia="宋体" w:cs="宋体"/>
                <w:color w:val="auto"/>
                <w:lang w:val="en-US" w:eastAsia="zh-CN"/>
              </w:rPr>
            </w:pPr>
            <w:r>
              <w:rPr>
                <w:rFonts w:hint="eastAsia" w:ascii="宋体" w:hAnsi="宋体" w:cs="宋体"/>
                <w:color w:val="auto"/>
                <w:lang w:val="en-US" w:eastAsia="zh-CN"/>
              </w:rPr>
              <w:t>32</w:t>
            </w:r>
          </w:p>
        </w:tc>
        <w:tc>
          <w:tcPr>
            <w:tcW w:w="2013" w:type="dxa"/>
            <w:vAlign w:val="center"/>
          </w:tcPr>
          <w:p w14:paraId="408EF5F8">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评标委员会的组建</w:t>
            </w:r>
          </w:p>
        </w:tc>
        <w:tc>
          <w:tcPr>
            <w:tcW w:w="7202" w:type="dxa"/>
            <w:vAlign w:val="center"/>
          </w:tcPr>
          <w:p w14:paraId="5BE4062D">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评标委员会成员构成：共</w:t>
            </w:r>
            <w:r>
              <w:rPr>
                <w:rFonts w:hint="eastAsia" w:ascii="宋体" w:hAnsi="宋体" w:cs="宋体"/>
                <w:color w:val="auto"/>
                <w:lang w:val="en-US" w:eastAsia="zh-CN"/>
              </w:rPr>
              <w:t>5</w:t>
            </w:r>
            <w:r>
              <w:rPr>
                <w:rFonts w:hint="eastAsia" w:ascii="宋体" w:hAnsi="宋体" w:cs="宋体"/>
                <w:color w:val="auto"/>
                <w:lang w:val="zh-CN"/>
              </w:rPr>
              <w:t>人（5人及以上单数），</w:t>
            </w:r>
            <w:r>
              <w:rPr>
                <w:rFonts w:hint="eastAsia" w:ascii="宋体" w:hAnsi="宋体" w:eastAsia="宋体" w:cs="宋体"/>
                <w:color w:val="auto"/>
                <w:lang w:val="zh-CN" w:eastAsia="zh-CN"/>
              </w:rPr>
              <w:t>其中评审专家不得少于成员总数的三分之二；</w:t>
            </w:r>
          </w:p>
          <w:p w14:paraId="1825BB8B">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评标专家确定方式：按规定随机选聘。</w:t>
            </w:r>
          </w:p>
        </w:tc>
      </w:tr>
      <w:tr w14:paraId="6D4227A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85" w:type="dxa"/>
            <w:vAlign w:val="center"/>
          </w:tcPr>
          <w:p w14:paraId="4328CE2D">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3</w:t>
            </w:r>
            <w:r>
              <w:rPr>
                <w:rFonts w:hint="eastAsia" w:ascii="宋体" w:hAnsi="宋体" w:cs="宋体"/>
                <w:color w:val="auto"/>
                <w:lang w:val="en-US" w:eastAsia="zh-CN"/>
              </w:rPr>
              <w:t>3</w:t>
            </w:r>
          </w:p>
        </w:tc>
        <w:tc>
          <w:tcPr>
            <w:tcW w:w="2013" w:type="dxa"/>
            <w:vAlign w:val="center"/>
          </w:tcPr>
          <w:p w14:paraId="59188936">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评审办法</w:t>
            </w:r>
          </w:p>
        </w:tc>
        <w:tc>
          <w:tcPr>
            <w:tcW w:w="7202" w:type="dxa"/>
            <w:vAlign w:val="center"/>
          </w:tcPr>
          <w:p w14:paraId="50892397">
            <w:pPr>
              <w:spacing w:line="240" w:lineRule="auto"/>
              <w:ind w:firstLine="0" w:firstLineChars="0"/>
              <w:jc w:val="left"/>
              <w:rPr>
                <w:rFonts w:ascii="宋体" w:hAnsi="宋体" w:cs="宋体"/>
                <w:color w:val="auto"/>
                <w:lang w:val="zh-CN"/>
              </w:rPr>
            </w:pPr>
            <w:r>
              <w:rPr>
                <w:rFonts w:hint="eastAsia" w:ascii="宋体" w:hAnsi="宋体" w:cs="宋体"/>
                <w:color w:val="auto"/>
                <w:lang w:val="zh-CN"/>
              </w:rPr>
              <w:t>综合评分法。</w:t>
            </w:r>
          </w:p>
        </w:tc>
      </w:tr>
      <w:tr w14:paraId="4C79D95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7FD71940">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3</w:t>
            </w:r>
            <w:r>
              <w:rPr>
                <w:rFonts w:hint="eastAsia" w:ascii="宋体" w:hAnsi="宋体" w:cs="宋体"/>
                <w:color w:val="auto"/>
                <w:lang w:val="en-US" w:eastAsia="zh-CN"/>
              </w:rPr>
              <w:t>4</w:t>
            </w:r>
          </w:p>
        </w:tc>
        <w:tc>
          <w:tcPr>
            <w:tcW w:w="2013" w:type="dxa"/>
            <w:vAlign w:val="center"/>
          </w:tcPr>
          <w:p w14:paraId="4E002A81">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确定中标人</w:t>
            </w:r>
          </w:p>
        </w:tc>
        <w:tc>
          <w:tcPr>
            <w:tcW w:w="7202" w:type="dxa"/>
            <w:vAlign w:val="center"/>
          </w:tcPr>
          <w:p w14:paraId="0F0F43BF">
            <w:pPr>
              <w:spacing w:line="240" w:lineRule="auto"/>
              <w:ind w:firstLine="0" w:firstLineChars="0"/>
              <w:jc w:val="left"/>
              <w:rPr>
                <w:rFonts w:ascii="宋体" w:hAnsi="宋体" w:cs="宋体"/>
                <w:color w:val="auto"/>
                <w:lang w:val="zh-CN"/>
              </w:rPr>
            </w:pPr>
            <w:r>
              <w:rPr>
                <w:rFonts w:hint="eastAsia" w:ascii="宋体" w:hAnsi="宋体" w:cs="宋体"/>
                <w:color w:val="auto"/>
                <w:lang w:val="zh-CN"/>
              </w:rPr>
              <w:t>确定1个中标人，中标结果在衢州市阳光交易服务平台、浙江政府采购网公告，</w:t>
            </w:r>
            <w:r>
              <w:rPr>
                <w:rFonts w:hint="eastAsia" w:ascii="宋体" w:hAnsi="宋体" w:cs="宋体"/>
                <w:color w:val="auto"/>
                <w:lang w:val="en-US" w:eastAsia="zh-CN"/>
              </w:rPr>
              <w:t>中标结果</w:t>
            </w:r>
            <w:r>
              <w:rPr>
                <w:rFonts w:hint="eastAsia" w:ascii="宋体" w:hAnsi="宋体" w:cs="宋体"/>
                <w:color w:val="auto"/>
                <w:lang w:val="zh-CN"/>
              </w:rPr>
              <w:t>公告期限为1个工作日。</w:t>
            </w:r>
          </w:p>
        </w:tc>
      </w:tr>
      <w:tr w14:paraId="134C2BA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490E5CF5">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3</w:t>
            </w:r>
            <w:r>
              <w:rPr>
                <w:rFonts w:hint="eastAsia" w:ascii="宋体" w:hAnsi="宋体" w:cs="宋体"/>
                <w:color w:val="auto"/>
                <w:lang w:val="en-US" w:eastAsia="zh-CN"/>
              </w:rPr>
              <w:t>5</w:t>
            </w:r>
          </w:p>
        </w:tc>
        <w:tc>
          <w:tcPr>
            <w:tcW w:w="2013" w:type="dxa"/>
            <w:vAlign w:val="center"/>
          </w:tcPr>
          <w:p w14:paraId="78D51530">
            <w:pPr>
              <w:spacing w:line="240" w:lineRule="auto"/>
              <w:ind w:firstLine="0" w:firstLineChars="0"/>
              <w:jc w:val="center"/>
              <w:rPr>
                <w:rFonts w:ascii="宋体" w:hAnsi="宋体" w:cs="宋体"/>
                <w:color w:val="auto"/>
                <w:lang w:val="zh-CN"/>
              </w:rPr>
            </w:pPr>
          </w:p>
          <w:p w14:paraId="75B82C12">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是否退还投标</w:t>
            </w:r>
            <w:r>
              <w:rPr>
                <w:rFonts w:hint="eastAsia" w:ascii="宋体" w:hAnsi="宋体" w:cs="宋体"/>
                <w:color w:val="auto"/>
                <w:lang w:val="en-US" w:eastAsia="zh-CN"/>
              </w:rPr>
              <w:t xml:space="preserve">  </w:t>
            </w:r>
            <w:r>
              <w:rPr>
                <w:rFonts w:hint="eastAsia" w:ascii="宋体" w:hAnsi="宋体" w:cs="宋体"/>
                <w:color w:val="auto"/>
                <w:lang w:val="zh-CN"/>
              </w:rPr>
              <w:t>文件</w:t>
            </w:r>
          </w:p>
        </w:tc>
        <w:tc>
          <w:tcPr>
            <w:tcW w:w="7202" w:type="dxa"/>
            <w:vAlign w:val="center"/>
          </w:tcPr>
          <w:p w14:paraId="037E54A4">
            <w:pPr>
              <w:spacing w:line="240" w:lineRule="auto"/>
              <w:ind w:firstLine="0" w:firstLineChars="0"/>
              <w:jc w:val="left"/>
              <w:rPr>
                <w:rFonts w:ascii="宋体" w:hAnsi="宋体" w:cs="宋体"/>
                <w:color w:val="auto"/>
                <w:lang w:val="zh-CN"/>
              </w:rPr>
            </w:pPr>
            <w:r>
              <w:rPr>
                <w:rFonts w:hint="eastAsia" w:ascii="宋体" w:hAnsi="宋体" w:cs="宋体"/>
                <w:color w:val="auto"/>
                <w:lang w:val="zh-CN"/>
              </w:rPr>
              <w:t>除投标人需收回的资格、资信等证明文件中的证明材料原件</w:t>
            </w:r>
          </w:p>
          <w:p w14:paraId="523ADBA4">
            <w:pPr>
              <w:spacing w:line="240" w:lineRule="auto"/>
              <w:ind w:firstLine="0" w:firstLineChars="0"/>
              <w:jc w:val="left"/>
              <w:rPr>
                <w:rFonts w:ascii="宋体" w:hAnsi="宋体" w:cs="宋体"/>
                <w:color w:val="auto"/>
                <w:lang w:val="zh-CN"/>
              </w:rPr>
            </w:pPr>
            <w:r>
              <w:rPr>
                <w:rFonts w:hint="eastAsia" w:ascii="宋体" w:hAnsi="宋体" w:cs="宋体"/>
                <w:color w:val="auto"/>
                <w:lang w:val="zh-CN"/>
              </w:rPr>
              <w:t>（如营业执照、合同、相关资质证书等）外，已拆封的投标文件概不退还，未拆封的投标文件投标人可收回。</w:t>
            </w:r>
          </w:p>
        </w:tc>
      </w:tr>
      <w:tr w14:paraId="119DFB72">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 w:type="dxa"/>
            <w:vAlign w:val="center"/>
          </w:tcPr>
          <w:p w14:paraId="550EEF4A">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3</w:t>
            </w:r>
            <w:r>
              <w:rPr>
                <w:rFonts w:hint="eastAsia" w:ascii="宋体" w:hAnsi="宋体" w:cs="宋体"/>
                <w:color w:val="auto"/>
                <w:lang w:val="en-US" w:eastAsia="zh-CN"/>
              </w:rPr>
              <w:t>6</w:t>
            </w:r>
          </w:p>
        </w:tc>
        <w:tc>
          <w:tcPr>
            <w:tcW w:w="2013" w:type="dxa"/>
            <w:vAlign w:val="center"/>
          </w:tcPr>
          <w:p w14:paraId="0E043A2F">
            <w:pPr>
              <w:tabs>
                <w:tab w:val="left" w:pos="0"/>
              </w:tabs>
              <w:autoSpaceDE w:val="0"/>
              <w:autoSpaceDN w:val="0"/>
              <w:adjustRightInd w:val="0"/>
              <w:spacing w:line="240" w:lineRule="auto"/>
              <w:ind w:firstLine="0" w:firstLineChars="0"/>
              <w:jc w:val="center"/>
              <w:rPr>
                <w:rFonts w:ascii="宋体" w:hAnsi="宋体" w:cs="宋体"/>
                <w:color w:val="auto"/>
                <w:lang w:val="zh-CN"/>
              </w:rPr>
            </w:pPr>
            <w:r>
              <w:rPr>
                <w:rFonts w:hint="eastAsia" w:ascii="宋体" w:hAnsi="宋体" w:cs="宋体"/>
                <w:color w:val="auto"/>
                <w:lang w:val="zh-CN"/>
              </w:rPr>
              <w:t>履约保证金</w:t>
            </w:r>
          </w:p>
        </w:tc>
        <w:tc>
          <w:tcPr>
            <w:tcW w:w="7202" w:type="dxa"/>
            <w:vAlign w:val="center"/>
          </w:tcPr>
          <w:p w14:paraId="47FF68C6">
            <w:pPr>
              <w:tabs>
                <w:tab w:val="left" w:pos="0"/>
              </w:tabs>
              <w:autoSpaceDE w:val="0"/>
              <w:autoSpaceDN w:val="0"/>
              <w:adjustRightInd w:val="0"/>
              <w:spacing w:line="240" w:lineRule="auto"/>
              <w:ind w:firstLine="0" w:firstLineChars="0"/>
              <w:jc w:val="left"/>
              <w:rPr>
                <w:rFonts w:hint="default" w:ascii="宋体" w:hAnsi="宋体" w:eastAsia="宋体" w:cs="宋体"/>
                <w:color w:val="auto"/>
                <w:lang w:val="en-US" w:eastAsia="zh-CN"/>
              </w:rPr>
            </w:pPr>
            <w:r>
              <w:rPr>
                <w:rFonts w:hint="eastAsia" w:ascii="宋体" w:hAnsi="宋体" w:eastAsia="宋体" w:cs="宋体"/>
                <w:color w:val="auto"/>
                <w:sz w:val="24"/>
                <w:szCs w:val="24"/>
                <w:lang w:eastAsia="zh-CN"/>
              </w:rPr>
              <w:t>签订合同前中标人须向采购人提交中标金额的</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%作为履约保证金</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中标</w:t>
            </w:r>
            <w:r>
              <w:rPr>
                <w:rFonts w:hint="eastAsia" w:ascii="宋体" w:hAnsi="宋体" w:eastAsia="宋体" w:cs="宋体"/>
                <w:color w:val="auto"/>
                <w:sz w:val="24"/>
                <w:szCs w:val="24"/>
              </w:rPr>
              <w:t>人在履约期间未出现违约行为，其履约保证金待履约责任期满（全部完成验收合格）退还（不计息）。</w:t>
            </w:r>
            <w:r>
              <w:rPr>
                <w:rFonts w:hint="eastAsia" w:ascii="宋体" w:hAnsi="宋体" w:eastAsia="宋体" w:cs="宋体"/>
                <w:color w:val="auto"/>
                <w:sz w:val="24"/>
                <w:szCs w:val="24"/>
                <w:lang w:eastAsia="zh-CN"/>
              </w:rPr>
              <w:t>缴纳形式为转账或以银行、保险公司出具的保函。</w:t>
            </w:r>
          </w:p>
        </w:tc>
      </w:tr>
      <w:tr w14:paraId="57D8E6C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85" w:type="dxa"/>
            <w:vAlign w:val="center"/>
          </w:tcPr>
          <w:p w14:paraId="7EBC2BE7">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3</w:t>
            </w:r>
            <w:r>
              <w:rPr>
                <w:rFonts w:hint="eastAsia" w:ascii="宋体" w:hAnsi="宋体" w:cs="宋体"/>
                <w:color w:val="auto"/>
                <w:lang w:val="en-US" w:eastAsia="zh-CN"/>
              </w:rPr>
              <w:t>7</w:t>
            </w:r>
          </w:p>
        </w:tc>
        <w:tc>
          <w:tcPr>
            <w:tcW w:w="2013" w:type="dxa"/>
            <w:vAlign w:val="center"/>
          </w:tcPr>
          <w:p w14:paraId="60671A65">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签订合同时间</w:t>
            </w:r>
          </w:p>
        </w:tc>
        <w:tc>
          <w:tcPr>
            <w:tcW w:w="7202" w:type="dxa"/>
            <w:vAlign w:val="center"/>
          </w:tcPr>
          <w:p w14:paraId="7B187B5F">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中标通知书发出之日起30日内</w:t>
            </w:r>
          </w:p>
        </w:tc>
      </w:tr>
      <w:tr w14:paraId="5402350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7AF45696">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lang w:val="zh-CN"/>
              </w:rPr>
              <w:t>3</w:t>
            </w:r>
            <w:r>
              <w:rPr>
                <w:rFonts w:hint="eastAsia" w:ascii="宋体" w:hAnsi="宋体" w:cs="宋体"/>
                <w:color w:val="auto"/>
                <w:lang w:val="en-US" w:eastAsia="zh-CN"/>
              </w:rPr>
              <w:t>8</w:t>
            </w:r>
          </w:p>
        </w:tc>
        <w:tc>
          <w:tcPr>
            <w:tcW w:w="2013" w:type="dxa"/>
            <w:vAlign w:val="center"/>
          </w:tcPr>
          <w:p w14:paraId="4E717C20">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采购信息发布</w:t>
            </w:r>
            <w:r>
              <w:rPr>
                <w:rFonts w:hint="eastAsia" w:ascii="宋体" w:hAnsi="宋体" w:cs="宋体"/>
                <w:color w:val="auto"/>
                <w:lang w:val="en-US" w:eastAsia="zh-CN"/>
              </w:rPr>
              <w:t xml:space="preserve"> </w:t>
            </w:r>
            <w:r>
              <w:rPr>
                <w:rFonts w:hint="eastAsia" w:ascii="宋体" w:hAnsi="宋体" w:cs="宋体"/>
                <w:color w:val="auto"/>
                <w:lang w:val="zh-CN"/>
              </w:rPr>
              <w:t>媒体</w:t>
            </w:r>
          </w:p>
        </w:tc>
        <w:tc>
          <w:tcPr>
            <w:tcW w:w="7202" w:type="dxa"/>
            <w:vAlign w:val="center"/>
          </w:tcPr>
          <w:p w14:paraId="4CA389A5">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衢州市阳光交易服务平台（https://qzygjy.com/）、浙江省政府采购网（</w:t>
            </w:r>
            <w:r>
              <w:rPr>
                <w:color w:val="auto"/>
              </w:rPr>
              <w:fldChar w:fldCharType="begin"/>
            </w:r>
            <w:r>
              <w:rPr>
                <w:color w:val="auto"/>
              </w:rPr>
              <w:instrText xml:space="preserve"> HYPERLINK "http://zfcg.czt.zj.gov.cn/" </w:instrText>
            </w:r>
            <w:r>
              <w:rPr>
                <w:color w:val="auto"/>
              </w:rPr>
              <w:fldChar w:fldCharType="separate"/>
            </w:r>
            <w:r>
              <w:rPr>
                <w:rFonts w:hint="eastAsia" w:ascii="宋体" w:hAnsi="宋体" w:cs="宋体"/>
                <w:color w:val="auto"/>
                <w:lang w:val="zh-CN"/>
              </w:rPr>
              <w:t>http://zfcg.czt.zj.gov.cn/</w:t>
            </w:r>
            <w:r>
              <w:rPr>
                <w:rFonts w:hint="eastAsia" w:ascii="宋体" w:hAnsi="宋体" w:cs="宋体"/>
                <w:color w:val="auto"/>
                <w:lang w:val="zh-CN"/>
              </w:rPr>
              <w:fldChar w:fldCharType="end"/>
            </w:r>
            <w:r>
              <w:rPr>
                <w:rFonts w:hint="eastAsia" w:ascii="宋体" w:hAnsi="宋体" w:cs="宋体"/>
                <w:color w:val="auto"/>
                <w:lang w:val="zh-CN"/>
              </w:rPr>
              <w:t>）</w:t>
            </w:r>
          </w:p>
        </w:tc>
      </w:tr>
      <w:tr w14:paraId="441C010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0C40EC7B">
            <w:pPr>
              <w:spacing w:line="240" w:lineRule="auto"/>
              <w:ind w:firstLine="0" w:firstLineChars="0"/>
              <w:jc w:val="center"/>
              <w:rPr>
                <w:rFonts w:hint="eastAsia" w:ascii="宋体" w:hAnsi="宋体" w:eastAsia="宋体" w:cs="宋体"/>
                <w:color w:val="auto"/>
                <w:lang w:val="zh-CN" w:eastAsia="zh-CN"/>
              </w:rPr>
            </w:pPr>
            <w:r>
              <w:rPr>
                <w:rFonts w:hint="eastAsia" w:ascii="宋体" w:hAnsi="宋体" w:cs="宋体"/>
                <w:color w:val="auto"/>
              </w:rPr>
              <w:t>3</w:t>
            </w:r>
            <w:r>
              <w:rPr>
                <w:rFonts w:hint="eastAsia" w:ascii="宋体" w:hAnsi="宋体" w:cs="宋体"/>
                <w:color w:val="auto"/>
                <w:lang w:val="en-US" w:eastAsia="zh-CN"/>
              </w:rPr>
              <w:t>9</w:t>
            </w:r>
          </w:p>
        </w:tc>
        <w:tc>
          <w:tcPr>
            <w:tcW w:w="2013" w:type="dxa"/>
            <w:vAlign w:val="center"/>
          </w:tcPr>
          <w:p w14:paraId="342EE736">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落实</w:t>
            </w:r>
            <w:r>
              <w:rPr>
                <w:rFonts w:hint="eastAsia" w:ascii="宋体" w:hAnsi="宋体" w:cs="宋体"/>
                <w:color w:val="auto"/>
                <w:lang w:val="en-US" w:eastAsia="zh-CN"/>
              </w:rPr>
              <w:t>国企</w:t>
            </w:r>
            <w:r>
              <w:rPr>
                <w:rFonts w:hint="eastAsia" w:ascii="宋体" w:hAnsi="宋体" w:cs="宋体"/>
                <w:color w:val="auto"/>
                <w:lang w:val="zh-CN"/>
              </w:rPr>
              <w:t>采购政策需满足的要求</w:t>
            </w:r>
          </w:p>
          <w:p w14:paraId="3F0FE733">
            <w:pPr>
              <w:spacing w:line="240" w:lineRule="auto"/>
              <w:ind w:firstLine="0" w:firstLineChars="0"/>
              <w:jc w:val="center"/>
              <w:rPr>
                <w:rFonts w:ascii="宋体" w:hAnsi="宋体" w:cs="宋体"/>
                <w:color w:val="auto"/>
                <w:lang w:val="zh-CN"/>
              </w:rPr>
            </w:pPr>
          </w:p>
        </w:tc>
        <w:tc>
          <w:tcPr>
            <w:tcW w:w="7202" w:type="dxa"/>
            <w:vAlign w:val="center"/>
          </w:tcPr>
          <w:p w14:paraId="4B639967">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一、中小企业</w:t>
            </w:r>
          </w:p>
          <w:p w14:paraId="1B111BD5">
            <w:pPr>
              <w:spacing w:line="240" w:lineRule="auto"/>
              <w:ind w:firstLine="0" w:firstLineChars="0"/>
              <w:jc w:val="left"/>
              <w:rPr>
                <w:rFonts w:hint="eastAsia" w:ascii="宋体" w:hAnsi="宋体" w:eastAsia="宋体" w:cs="宋体"/>
                <w:color w:val="auto"/>
                <w:lang w:val="zh-CN"/>
              </w:rPr>
            </w:pPr>
            <w:r>
              <w:rPr>
                <w:rFonts w:hint="eastAsia" w:ascii="宋体" w:hAnsi="宋体" w:cs="宋体"/>
                <w:color w:val="auto"/>
                <w:lang w:val="zh-CN"/>
              </w:rPr>
              <w:t>根据财政部工信部《关于印发政府采购促进中小企业发展管理办法的通知》财库〔2020〕46号（以下简称本办法）规定</w:t>
            </w:r>
            <w:r>
              <w:rPr>
                <w:rFonts w:hint="eastAsia" w:ascii="宋体" w:hAnsi="宋体" w:eastAsia="宋体" w:cs="宋体"/>
                <w:color w:val="auto"/>
                <w:lang w:val="zh-CN"/>
              </w:rPr>
              <w:t>，</w:t>
            </w:r>
            <w:r>
              <w:rPr>
                <w:rFonts w:hint="eastAsia" w:ascii="宋体" w:hAnsi="宋体" w:cs="宋体"/>
                <w:b/>
                <w:bCs/>
                <w:color w:val="auto"/>
                <w:lang w:val="zh-CN"/>
              </w:rPr>
              <w:t>本项目为非专门面向中小企业采购，对符合本办法规定的小微企业报价给予20%的扣除，用扣除后价格参与评审。</w:t>
            </w:r>
          </w:p>
          <w:p w14:paraId="1BCABCD0">
            <w:pPr>
              <w:spacing w:line="240" w:lineRule="auto"/>
              <w:ind w:firstLine="0" w:firstLineChars="0"/>
              <w:jc w:val="left"/>
              <w:rPr>
                <w:rFonts w:ascii="宋体" w:hAnsi="宋体" w:cs="宋体"/>
                <w:color w:val="auto"/>
                <w:lang w:val="zh-CN"/>
              </w:rPr>
            </w:pPr>
            <w:r>
              <w:rPr>
                <w:rFonts w:hint="eastAsia" w:ascii="宋体" w:hAnsi="宋体" w:cs="宋体"/>
                <w:color w:val="auto"/>
                <w:lang w:val="zh-CN"/>
              </w:rPr>
              <w:t>（1）中小企业划分</w:t>
            </w:r>
          </w:p>
          <w:p w14:paraId="0B11EBD1">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中小企业，是指在中华人民共和国境内依法设立，依据《关于印发中小企业划型标准规定的通知》（工信部联企业〔2011〕300号)确定的中型企业、小型企业和微型企业，但与大企业的负责人为同一人，或者与大企业存在直接控股、管理关系的除外。</w:t>
            </w:r>
          </w:p>
          <w:p w14:paraId="6FFD93F3">
            <w:pPr>
              <w:spacing w:line="240" w:lineRule="auto"/>
              <w:ind w:firstLine="0" w:firstLineChars="0"/>
              <w:jc w:val="left"/>
              <w:rPr>
                <w:rFonts w:ascii="宋体" w:hAnsi="宋体" w:cs="宋体"/>
                <w:color w:val="auto"/>
                <w:lang w:val="zh-CN"/>
              </w:rPr>
            </w:pPr>
            <w:r>
              <w:rPr>
                <w:rFonts w:hint="eastAsia" w:ascii="宋体" w:hAnsi="宋体" w:cs="宋体"/>
                <w:color w:val="auto"/>
                <w:lang w:val="zh-CN"/>
              </w:rPr>
              <w:t>符合中小企业划分标准的个体工商户，在政府采购活动中视同中小企业。</w:t>
            </w:r>
          </w:p>
          <w:p w14:paraId="5CDE94EF">
            <w:pPr>
              <w:spacing w:line="240" w:lineRule="auto"/>
              <w:ind w:firstLine="0" w:firstLineChars="0"/>
              <w:jc w:val="left"/>
              <w:rPr>
                <w:rFonts w:ascii="宋体" w:hAnsi="宋体" w:cs="宋体"/>
                <w:color w:val="auto"/>
                <w:lang w:val="zh-CN"/>
              </w:rPr>
            </w:pPr>
            <w:r>
              <w:rPr>
                <w:rFonts w:hint="eastAsia" w:ascii="宋体" w:hAnsi="宋体" w:cs="宋体"/>
                <w:color w:val="auto"/>
                <w:lang w:val="zh-CN"/>
              </w:rPr>
              <w:t>（2）行业划型标准</w:t>
            </w:r>
          </w:p>
          <w:p w14:paraId="7AF6BE2E">
            <w:pPr>
              <w:keepNext w:val="0"/>
              <w:keepLines w:val="0"/>
              <w:suppressLineNumbers w:val="0"/>
              <w:spacing w:before="0" w:beforeAutospacing="0" w:after="0" w:afterAutospacing="0" w:line="240" w:lineRule="auto"/>
              <w:ind w:left="0" w:right="0" w:firstLine="0" w:firstLineChars="0"/>
              <w:jc w:val="left"/>
              <w:rPr>
                <w:rFonts w:ascii="宋体" w:hAnsi="宋体" w:cs="宋体"/>
                <w:b/>
                <w:bCs/>
                <w:color w:val="auto"/>
                <w:lang w:val="zh-CN"/>
              </w:rPr>
            </w:pPr>
            <w:r>
              <w:rPr>
                <w:rFonts w:hint="eastAsia" w:ascii="宋体" w:hAnsi="宋体" w:cs="宋体"/>
                <w:b/>
                <w:bCs/>
                <w:color w:val="auto"/>
                <w:lang w:val="zh-CN"/>
              </w:rPr>
              <w:t>1.项目属性：</w:t>
            </w:r>
            <w:r>
              <w:rPr>
                <w:rFonts w:hint="eastAsia" w:ascii="宋体" w:hAnsi="宋体" w:cs="宋体"/>
                <w:b/>
                <w:bCs/>
                <w:color w:val="auto"/>
                <w:lang w:val="en-US" w:eastAsia="zh-CN"/>
              </w:rPr>
              <w:t>货物</w:t>
            </w:r>
            <w:r>
              <w:rPr>
                <w:rFonts w:hint="eastAsia" w:ascii="宋体" w:hAnsi="宋体" w:cs="宋体"/>
                <w:b/>
                <w:bCs/>
                <w:color w:val="auto"/>
                <w:lang w:val="zh-CN"/>
              </w:rPr>
              <w:t>类；采购标的对应所属行业：</w:t>
            </w:r>
            <w:r>
              <w:rPr>
                <w:rFonts w:hint="eastAsia" w:ascii="宋体" w:hAnsi="宋体"/>
                <w:b/>
                <w:bCs/>
                <w:color w:val="auto"/>
                <w:lang w:val="en-US" w:eastAsia="zh-CN"/>
              </w:rPr>
              <w:t>工业</w:t>
            </w:r>
            <w:r>
              <w:rPr>
                <w:rFonts w:hint="eastAsia" w:ascii="宋体" w:hAnsi="宋体"/>
                <w:b/>
                <w:bCs/>
                <w:color w:val="auto"/>
              </w:rPr>
              <w:t>。</w:t>
            </w:r>
          </w:p>
          <w:p w14:paraId="50A9060A">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olor w:val="auto"/>
              </w:rPr>
            </w:pPr>
            <w:r>
              <w:rPr>
                <w:rFonts w:hint="eastAsia" w:ascii="宋体" w:hAnsi="宋体" w:cs="宋体"/>
                <w:color w:val="auto"/>
                <w:lang w:val="zh-CN"/>
              </w:rPr>
              <w:t>2.中小企业行业划分标准：</w:t>
            </w:r>
            <w:r>
              <w:rPr>
                <w:rFonts w:hint="eastAsia" w:ascii="新宋体" w:hAnsi="新宋体" w:eastAsia="新宋体" w:cs="新宋体"/>
                <w:color w:val="auto"/>
                <w:sz w:val="24"/>
                <w:szCs w:val="24"/>
                <w:highlight w:val="none"/>
                <w:lang w:val="en-US" w:eastAsia="zh-CN"/>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7860D02">
            <w:pPr>
              <w:spacing w:line="240" w:lineRule="auto"/>
              <w:ind w:firstLine="0" w:firstLineChars="0"/>
              <w:jc w:val="left"/>
              <w:rPr>
                <w:rFonts w:ascii="宋体" w:hAnsi="宋体" w:cs="宋体"/>
                <w:color w:val="auto"/>
                <w:lang w:val="zh-CN"/>
              </w:rPr>
            </w:pPr>
            <w:r>
              <w:rPr>
                <w:rFonts w:hint="eastAsia" w:ascii="宋体" w:hAnsi="宋体" w:cs="宋体"/>
                <w:color w:val="auto"/>
                <w:lang w:val="zh-CN"/>
              </w:rPr>
              <w:t>（3）在本项目采购活动中，投标人提供的货物或服务符合下列情形的，可享受本办法规定的中小企业扶持政策：</w:t>
            </w:r>
          </w:p>
          <w:p w14:paraId="06CAAEB1">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olor w:val="auto"/>
                <w:lang w:val="en-US" w:eastAsia="zh-CN"/>
              </w:rPr>
            </w:pPr>
            <w:r>
              <w:rPr>
                <w:rFonts w:hint="eastAsia" w:ascii="宋体" w:hAnsi="宋体" w:eastAsia="宋体"/>
                <w:color w:val="auto"/>
                <w:lang w:val="en-US" w:eastAsia="zh-CN"/>
              </w:rPr>
              <w:t>①</w:t>
            </w:r>
            <w:r>
              <w:rPr>
                <w:rFonts w:hint="eastAsia" w:ascii="宋体" w:hAnsi="宋体" w:eastAsia="宋体"/>
                <w:color w:val="auto"/>
              </w:rPr>
              <w:t>在货物采购项目中，</w:t>
            </w:r>
            <w:r>
              <w:rPr>
                <w:rFonts w:hint="eastAsia" w:ascii="宋体" w:hAnsi="宋体" w:eastAsia="宋体"/>
                <w:color w:val="auto"/>
                <w:lang w:val="en-US" w:eastAsia="zh-CN"/>
              </w:rPr>
              <w:t>货物由中小企业制造，即货物由中小企业生产且使用该中小企业商号或者注册商标，在货物采购项目中，投标人提供的货物既有中小企业制造货物，也有大型企业制造货物的，不享受本办法规定的中小企业扶持政策。</w:t>
            </w:r>
          </w:p>
          <w:p w14:paraId="13F1E451">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olor w:val="auto"/>
              </w:rPr>
            </w:pPr>
            <w:r>
              <w:rPr>
                <w:rFonts w:hint="eastAsia" w:ascii="宋体" w:hAnsi="宋体" w:eastAsia="宋体"/>
                <w:color w:val="auto"/>
                <w:lang w:val="en-US" w:eastAsia="zh-CN"/>
              </w:rPr>
              <w:t>②</w:t>
            </w:r>
            <w:r>
              <w:rPr>
                <w:rFonts w:hint="eastAsia" w:ascii="宋体" w:hAnsi="宋体" w:eastAsia="宋体"/>
                <w:color w:val="auto"/>
              </w:rPr>
              <w:t>在工程采购项目中，工程由中小企业承建，即工程施工单位为中小企业；</w:t>
            </w:r>
          </w:p>
          <w:p w14:paraId="75DDCCB5">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olor w:val="auto"/>
                <w:lang w:val="en-US" w:eastAsia="zh-CN"/>
              </w:rPr>
            </w:pPr>
            <w:r>
              <w:rPr>
                <w:rFonts w:hint="eastAsia" w:ascii="宋体" w:hAnsi="宋体" w:eastAsia="宋体"/>
                <w:color w:val="auto"/>
                <w:lang w:val="en-US" w:eastAsia="zh-CN"/>
              </w:rPr>
              <w:t>③</w:t>
            </w:r>
            <w:r>
              <w:rPr>
                <w:rFonts w:hint="eastAsia" w:ascii="宋体" w:hAnsi="宋体" w:eastAsia="宋体"/>
                <w:color w:val="auto"/>
              </w:rPr>
              <w:t>在服务采购项目中，服务由中小企业承接，即提供服务的人员为中小企业依照《民法典》订立劳动合同的从业人员。</w:t>
            </w:r>
          </w:p>
          <w:p w14:paraId="3B264646">
            <w:pPr>
              <w:keepNext w:val="0"/>
              <w:keepLines w:val="0"/>
              <w:widowControl/>
              <w:suppressLineNumbers w:val="0"/>
              <w:spacing w:before="0" w:beforeAutospacing="0" w:after="0" w:afterAutospacing="0" w:line="240" w:lineRule="auto"/>
              <w:ind w:left="0" w:right="0" w:firstLine="0" w:firstLineChars="0"/>
              <w:jc w:val="left"/>
              <w:rPr>
                <w:rFonts w:ascii="宋体" w:hAnsi="宋体" w:cs="宋体"/>
                <w:color w:val="auto"/>
                <w:lang w:val="zh-CN"/>
              </w:rPr>
            </w:pPr>
            <w:r>
              <w:rPr>
                <w:rFonts w:hint="eastAsia" w:ascii="宋体" w:hAnsi="宋体" w:eastAsia="宋体"/>
                <w:color w:val="auto"/>
                <w:lang w:val="en-US" w:eastAsia="zh-CN"/>
              </w:rPr>
              <w:t>④中小企业参加政府采购活动，应当提供《中小企业声明函》。</w:t>
            </w:r>
          </w:p>
          <w:p w14:paraId="35FD12EA">
            <w:pPr>
              <w:spacing w:line="240" w:lineRule="auto"/>
              <w:ind w:firstLine="0" w:firstLineChars="0"/>
              <w:jc w:val="left"/>
              <w:rPr>
                <w:rFonts w:ascii="宋体" w:hAnsi="宋体" w:cs="宋体"/>
                <w:color w:val="auto"/>
                <w:lang w:val="zh-CN"/>
              </w:rPr>
            </w:pPr>
            <w:r>
              <w:rPr>
                <w:rFonts w:hint="eastAsia" w:ascii="宋体" w:hAnsi="宋体" w:cs="宋体"/>
                <w:color w:val="auto"/>
                <w:lang w:val="zh-CN"/>
              </w:rPr>
              <w:t>（4）不可享受本办法规定的中小企业扶持政策的情形</w:t>
            </w:r>
          </w:p>
          <w:p w14:paraId="4B25AE3B">
            <w:pPr>
              <w:spacing w:line="240" w:lineRule="auto"/>
              <w:ind w:firstLine="0" w:firstLineChars="0"/>
              <w:jc w:val="left"/>
              <w:rPr>
                <w:color w:val="auto"/>
              </w:rPr>
            </w:pPr>
            <w:r>
              <w:rPr>
                <w:rFonts w:hint="eastAsia" w:ascii="宋体" w:hAnsi="宋体" w:cs="宋体"/>
                <w:color w:val="auto"/>
                <w:lang w:val="zh-CN"/>
              </w:rPr>
              <w:t>①未提供《中小企业声明函》，或者提供的《中小企业声明函》不符合相关规定。</w:t>
            </w:r>
          </w:p>
          <w:p w14:paraId="3BC96EFF">
            <w:pPr>
              <w:spacing w:line="240" w:lineRule="auto"/>
              <w:ind w:firstLine="0" w:firstLineChars="0"/>
              <w:jc w:val="left"/>
              <w:rPr>
                <w:rFonts w:ascii="宋体" w:hAnsi="宋体" w:cs="宋体"/>
                <w:color w:val="auto"/>
                <w:lang w:val="zh-CN"/>
              </w:rPr>
            </w:pPr>
            <w:r>
              <w:rPr>
                <w:rFonts w:hint="eastAsia" w:ascii="宋体" w:hAnsi="宋体" w:cs="宋体"/>
                <w:color w:val="auto"/>
                <w:lang w:val="zh-CN"/>
              </w:rPr>
              <w:t>②监狱企业、残疾人福利性单位属于小型微型企业的，不重复享受小微企业优惠政策。</w:t>
            </w:r>
          </w:p>
          <w:p w14:paraId="58415252">
            <w:pPr>
              <w:spacing w:line="240" w:lineRule="auto"/>
              <w:ind w:firstLine="0" w:firstLineChars="0"/>
              <w:jc w:val="left"/>
              <w:rPr>
                <w:rFonts w:ascii="宋体" w:hAnsi="宋体" w:cs="宋体"/>
                <w:color w:val="auto"/>
                <w:lang w:val="zh-CN"/>
              </w:rPr>
            </w:pPr>
            <w:r>
              <w:rPr>
                <w:rFonts w:hint="eastAsia" w:ascii="宋体" w:hAnsi="宋体" w:cs="宋体"/>
                <w:color w:val="auto"/>
                <w:lang w:val="zh-CN"/>
              </w:rPr>
              <w:t>③事业单位和社会团体不属于企业，不享受小微企业扶持政策。</w:t>
            </w:r>
          </w:p>
          <w:p w14:paraId="5955EB7A">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二、监狱企业</w:t>
            </w:r>
          </w:p>
          <w:p w14:paraId="00EA7BB8">
            <w:pPr>
              <w:spacing w:line="240" w:lineRule="auto"/>
              <w:ind w:firstLine="0" w:firstLineChars="0"/>
              <w:jc w:val="left"/>
              <w:rPr>
                <w:rFonts w:ascii="宋体" w:hAnsi="宋体" w:cs="宋体"/>
                <w:color w:val="auto"/>
                <w:lang w:val="zh-CN"/>
              </w:rPr>
            </w:pPr>
            <w:r>
              <w:rPr>
                <w:rFonts w:hint="eastAsia" w:ascii="宋体" w:hAnsi="宋体" w:cs="宋体"/>
                <w:color w:val="auto"/>
                <w:lang w:val="zh-CN"/>
              </w:rPr>
              <w:t>（1）根据财政部、司法部《关于政府采购支持监狱企业发展有关问题的通知》(财库〔2014〕68号)文件精神,监狱企业视同小微企业。</w:t>
            </w:r>
          </w:p>
          <w:p w14:paraId="5913B065">
            <w:pPr>
              <w:spacing w:line="240" w:lineRule="auto"/>
              <w:ind w:firstLine="0" w:firstLineChars="0"/>
              <w:jc w:val="left"/>
              <w:rPr>
                <w:rFonts w:ascii="宋体" w:hAnsi="宋体" w:cs="宋体"/>
                <w:color w:val="auto"/>
                <w:lang w:val="zh-CN"/>
              </w:rPr>
            </w:pPr>
            <w:r>
              <w:rPr>
                <w:rFonts w:hint="eastAsia" w:ascii="宋体" w:hAnsi="宋体" w:cs="宋体"/>
                <w:color w:val="auto"/>
                <w:lang w:val="zh-CN"/>
              </w:rPr>
              <w:t>（2）监狱企业应当提供《监狱企业声明函》及由省级以上监狱管理局、戒毒管理局(含新疆生产建设兵团)出具的属于监狱企业的证明文件,否则不予认可。</w:t>
            </w:r>
          </w:p>
          <w:p w14:paraId="162A4182">
            <w:pPr>
              <w:spacing w:line="240" w:lineRule="auto"/>
              <w:ind w:firstLine="0" w:firstLineChars="0"/>
              <w:jc w:val="left"/>
              <w:rPr>
                <w:rFonts w:ascii="宋体" w:hAnsi="宋体" w:cs="宋体"/>
                <w:color w:val="auto"/>
                <w:lang w:val="zh-CN"/>
              </w:rPr>
            </w:pPr>
            <w:r>
              <w:rPr>
                <w:rFonts w:hint="eastAsia" w:ascii="宋体" w:hAnsi="宋体" w:cs="宋体"/>
                <w:color w:val="auto"/>
                <w:lang w:val="zh-CN"/>
              </w:rPr>
              <w:t>三、残疾人福利性单位</w:t>
            </w:r>
          </w:p>
          <w:p w14:paraId="2D818DAB">
            <w:pPr>
              <w:spacing w:line="240" w:lineRule="auto"/>
              <w:ind w:firstLine="0" w:firstLineChars="0"/>
              <w:jc w:val="left"/>
              <w:rPr>
                <w:rFonts w:ascii="宋体" w:hAnsi="宋体" w:cs="宋体"/>
                <w:color w:val="auto"/>
                <w:lang w:val="zh-CN"/>
              </w:rPr>
            </w:pPr>
            <w:r>
              <w:rPr>
                <w:rFonts w:hint="eastAsia" w:ascii="宋体" w:hAnsi="宋体" w:cs="宋体"/>
                <w:color w:val="auto"/>
                <w:lang w:val="zh-CN"/>
              </w:rPr>
              <w:t>（1）根据财政部 民政部 中国残疾人联合会《关于促进残疾人就业政府采购政策的通知》(财库〔2017〕141号)文件精神,残疾人福利性单位视同小微企业。</w:t>
            </w:r>
          </w:p>
          <w:p w14:paraId="07A94E21">
            <w:pPr>
              <w:spacing w:line="240" w:lineRule="auto"/>
              <w:ind w:firstLine="0" w:firstLineChars="0"/>
              <w:jc w:val="left"/>
              <w:rPr>
                <w:rFonts w:ascii="宋体" w:hAnsi="宋体" w:cs="宋体"/>
                <w:color w:val="auto"/>
                <w:lang w:val="zh-CN"/>
              </w:rPr>
            </w:pPr>
            <w:r>
              <w:rPr>
                <w:rFonts w:hint="eastAsia" w:ascii="宋体" w:hAnsi="宋体" w:cs="宋体"/>
                <w:color w:val="auto"/>
                <w:lang w:val="zh-CN"/>
              </w:rPr>
              <w:t>（2）残疾人福利性单位应当提供《残疾人福利性单位声明函》,否则不予认可。</w:t>
            </w:r>
          </w:p>
        </w:tc>
      </w:tr>
      <w:tr w14:paraId="6CA7A9E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31921BDB">
            <w:pPr>
              <w:spacing w:line="240" w:lineRule="auto"/>
              <w:ind w:firstLine="0" w:firstLineChars="0"/>
              <w:jc w:val="center"/>
              <w:rPr>
                <w:rFonts w:hint="default" w:ascii="宋体" w:hAnsi="宋体" w:eastAsia="宋体" w:cs="宋体"/>
                <w:color w:val="auto"/>
                <w:lang w:val="en-US" w:eastAsia="zh-CN"/>
              </w:rPr>
            </w:pPr>
            <w:r>
              <w:rPr>
                <w:rFonts w:hint="eastAsia" w:ascii="宋体" w:hAnsi="宋体" w:cs="宋体"/>
                <w:color w:val="auto"/>
                <w:lang w:val="en-US" w:eastAsia="zh-CN"/>
              </w:rPr>
              <w:t>40</w:t>
            </w:r>
          </w:p>
        </w:tc>
        <w:tc>
          <w:tcPr>
            <w:tcW w:w="2013" w:type="dxa"/>
            <w:vAlign w:val="center"/>
          </w:tcPr>
          <w:p w14:paraId="791E1901">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投标人质疑</w:t>
            </w:r>
          </w:p>
        </w:tc>
        <w:tc>
          <w:tcPr>
            <w:tcW w:w="7202" w:type="dxa"/>
            <w:vAlign w:val="center"/>
          </w:tcPr>
          <w:p w14:paraId="1213D5B4">
            <w:pPr>
              <w:spacing w:line="240" w:lineRule="auto"/>
              <w:ind w:firstLine="0" w:firstLineChars="0"/>
              <w:jc w:val="left"/>
              <w:rPr>
                <w:rFonts w:ascii="宋体" w:hAnsi="宋体" w:cs="宋体"/>
                <w:color w:val="auto"/>
                <w:lang w:val="zh-CN"/>
              </w:rPr>
            </w:pPr>
            <w:r>
              <w:rPr>
                <w:rFonts w:hint="eastAsia" w:ascii="宋体" w:hAnsi="宋体" w:cs="宋体"/>
                <w:color w:val="auto"/>
                <w:lang w:val="zh-CN"/>
              </w:rPr>
              <w:t xml:space="preserve">名称：浙江中合工程管理有限公司  </w:t>
            </w:r>
          </w:p>
          <w:p w14:paraId="552CC5F6">
            <w:pPr>
              <w:spacing w:line="240" w:lineRule="auto"/>
              <w:ind w:firstLine="0" w:firstLineChars="0"/>
              <w:jc w:val="left"/>
              <w:rPr>
                <w:rFonts w:ascii="宋体" w:hAnsi="宋体" w:cs="宋体"/>
                <w:color w:val="auto"/>
                <w:lang w:val="zh-CN"/>
              </w:rPr>
            </w:pPr>
            <w:r>
              <w:rPr>
                <w:rFonts w:hint="eastAsia" w:ascii="宋体" w:hAnsi="宋体" w:cs="宋体"/>
                <w:color w:val="auto"/>
                <w:lang w:val="zh-CN"/>
              </w:rPr>
              <w:t>地址：龙游县龙洲街道清影南路2号龙游世贸城一号楼2006室</w:t>
            </w:r>
          </w:p>
          <w:p w14:paraId="2E93C527">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质疑联系人：向女士</w:t>
            </w:r>
          </w:p>
          <w:p w14:paraId="647D2C8B">
            <w:pPr>
              <w:spacing w:line="240" w:lineRule="auto"/>
              <w:ind w:firstLine="0" w:firstLineChars="0"/>
              <w:jc w:val="left"/>
              <w:rPr>
                <w:rFonts w:ascii="宋体" w:hAnsi="宋体" w:cs="宋体"/>
                <w:color w:val="auto"/>
                <w:lang w:val="zh-CN"/>
              </w:rPr>
            </w:pPr>
            <w:r>
              <w:rPr>
                <w:rFonts w:hint="eastAsia" w:ascii="宋体" w:hAnsi="宋体" w:cs="宋体"/>
                <w:color w:val="auto"/>
                <w:lang w:val="zh-CN"/>
              </w:rPr>
              <w:t>质疑联系方式：18367718170</w:t>
            </w:r>
          </w:p>
        </w:tc>
      </w:tr>
      <w:tr w14:paraId="0F43472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09E2F653">
            <w:pPr>
              <w:spacing w:line="240" w:lineRule="auto"/>
              <w:ind w:firstLine="0" w:firstLineChars="0"/>
              <w:jc w:val="center"/>
              <w:rPr>
                <w:rFonts w:hint="default" w:ascii="宋体" w:hAnsi="宋体" w:eastAsia="宋体" w:cs="宋体"/>
                <w:color w:val="auto"/>
                <w:lang w:val="en-US" w:eastAsia="zh-CN"/>
              </w:rPr>
            </w:pPr>
            <w:r>
              <w:rPr>
                <w:rFonts w:hint="eastAsia" w:ascii="宋体" w:hAnsi="宋体" w:cs="宋体"/>
                <w:color w:val="auto"/>
                <w:lang w:val="en-US" w:eastAsia="zh-CN"/>
              </w:rPr>
              <w:t>41</w:t>
            </w:r>
          </w:p>
        </w:tc>
        <w:tc>
          <w:tcPr>
            <w:tcW w:w="2013" w:type="dxa"/>
            <w:vAlign w:val="center"/>
          </w:tcPr>
          <w:p w14:paraId="45D2E656">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投标人投诉</w:t>
            </w:r>
          </w:p>
        </w:tc>
        <w:tc>
          <w:tcPr>
            <w:tcW w:w="7202" w:type="dxa"/>
            <w:vAlign w:val="center"/>
          </w:tcPr>
          <w:p w14:paraId="2ECCFB92">
            <w:pPr>
              <w:widowControl/>
              <w:spacing w:line="240" w:lineRule="auto"/>
              <w:ind w:firstLine="0" w:firstLineChars="0"/>
              <w:jc w:val="left"/>
              <w:rPr>
                <w:rFonts w:hint="eastAsia" w:ascii="宋体" w:hAnsi="宋体" w:cs="宋体"/>
                <w:bCs w:val="0"/>
                <w:color w:val="auto"/>
                <w:lang w:val="zh-CN"/>
              </w:rPr>
            </w:pPr>
            <w:r>
              <w:rPr>
                <w:rFonts w:hint="eastAsia" w:ascii="宋体" w:hAnsi="宋体" w:cs="宋体"/>
                <w:bCs w:val="0"/>
                <w:color w:val="auto"/>
                <w:lang w:val="zh-CN"/>
              </w:rPr>
              <w:t>名称：龙游经济开发区纪工委</w:t>
            </w:r>
          </w:p>
          <w:p w14:paraId="5946DD7C">
            <w:pPr>
              <w:widowControl/>
              <w:spacing w:line="240" w:lineRule="auto"/>
              <w:ind w:firstLine="0" w:firstLineChars="0"/>
              <w:jc w:val="left"/>
              <w:rPr>
                <w:rFonts w:hint="eastAsia" w:ascii="宋体" w:hAnsi="宋体" w:cs="宋体"/>
                <w:bCs w:val="0"/>
                <w:color w:val="auto"/>
                <w:lang w:val="zh-CN"/>
              </w:rPr>
            </w:pPr>
            <w:r>
              <w:rPr>
                <w:rFonts w:hint="eastAsia" w:ascii="宋体" w:hAnsi="宋体" w:cs="宋体"/>
                <w:bCs w:val="0"/>
                <w:color w:val="auto"/>
                <w:lang w:val="zh-CN"/>
              </w:rPr>
              <w:t>地址：</w:t>
            </w:r>
            <w:r>
              <w:rPr>
                <w:rFonts w:hint="eastAsia" w:asciiTheme="minorEastAsia" w:hAnsiTheme="minorEastAsia" w:eastAsiaTheme="minorEastAsia" w:cstheme="minorEastAsia"/>
                <w:color w:val="auto"/>
                <w:sz w:val="24"/>
                <w:szCs w:val="24"/>
                <w:highlight w:val="none"/>
                <w:lang w:eastAsia="zh-CN"/>
              </w:rPr>
              <w:t>龙游县经济开发区管委会大楼内</w:t>
            </w:r>
          </w:p>
          <w:p w14:paraId="6C7C63BD">
            <w:pPr>
              <w:widowControl/>
              <w:spacing w:line="240" w:lineRule="auto"/>
              <w:ind w:firstLine="0" w:firstLineChars="0"/>
              <w:jc w:val="left"/>
              <w:rPr>
                <w:rFonts w:hint="default" w:ascii="宋体" w:hAnsi="宋体" w:eastAsia="宋体" w:cs="宋体"/>
                <w:bCs w:val="0"/>
                <w:color w:val="auto"/>
                <w:lang w:val="en-US" w:eastAsia="zh-CN"/>
              </w:rPr>
            </w:pPr>
            <w:r>
              <w:rPr>
                <w:rFonts w:hint="eastAsia" w:ascii="宋体" w:hAnsi="宋体" w:cs="宋体"/>
                <w:bCs w:val="0"/>
                <w:color w:val="auto"/>
                <w:lang w:val="zh-CN"/>
              </w:rPr>
              <w:t>投诉联系人：</w:t>
            </w:r>
            <w:r>
              <w:rPr>
                <w:rFonts w:hint="eastAsia" w:ascii="宋体" w:hAnsi="宋体" w:cs="宋体"/>
                <w:bCs w:val="0"/>
                <w:color w:val="auto"/>
                <w:lang w:val="en-US" w:eastAsia="zh-CN"/>
              </w:rPr>
              <w:t>余先生</w:t>
            </w:r>
          </w:p>
          <w:p w14:paraId="6DC6A186">
            <w:pPr>
              <w:widowControl/>
              <w:spacing w:line="240" w:lineRule="auto"/>
              <w:ind w:firstLine="0" w:firstLineChars="0"/>
              <w:jc w:val="left"/>
              <w:rPr>
                <w:rFonts w:ascii="宋体" w:hAnsi="宋体" w:cs="宋体"/>
                <w:color w:val="auto"/>
                <w:lang w:val="zh-CN"/>
              </w:rPr>
            </w:pPr>
            <w:r>
              <w:rPr>
                <w:rFonts w:hint="eastAsia" w:ascii="宋体" w:hAnsi="宋体" w:cs="宋体"/>
                <w:bCs w:val="0"/>
                <w:color w:val="auto"/>
                <w:lang w:val="zh-CN"/>
              </w:rPr>
              <w:t>投诉方式：0570-7018712</w:t>
            </w:r>
          </w:p>
        </w:tc>
      </w:tr>
      <w:tr w14:paraId="28CA88E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10F13EA3">
            <w:pPr>
              <w:spacing w:line="240" w:lineRule="auto"/>
              <w:ind w:firstLine="0" w:firstLineChars="0"/>
              <w:jc w:val="center"/>
              <w:rPr>
                <w:rFonts w:hint="default" w:ascii="宋体" w:hAnsi="宋体" w:eastAsia="宋体" w:cs="宋体"/>
                <w:color w:val="auto"/>
                <w:lang w:val="en-US" w:eastAsia="zh-CN"/>
              </w:rPr>
            </w:pPr>
            <w:r>
              <w:rPr>
                <w:rFonts w:hint="eastAsia" w:ascii="宋体" w:hAnsi="宋体" w:cs="宋体"/>
                <w:color w:val="auto"/>
                <w:lang w:val="en-US" w:eastAsia="zh-CN"/>
              </w:rPr>
              <w:t>42</w:t>
            </w:r>
          </w:p>
        </w:tc>
        <w:tc>
          <w:tcPr>
            <w:tcW w:w="2013" w:type="dxa"/>
            <w:vAlign w:val="center"/>
          </w:tcPr>
          <w:p w14:paraId="15192940">
            <w:pPr>
              <w:spacing w:line="240" w:lineRule="auto"/>
              <w:ind w:firstLine="0" w:firstLineChars="0"/>
              <w:jc w:val="center"/>
              <w:rPr>
                <w:rFonts w:ascii="宋体" w:hAnsi="宋体" w:cs="宋体"/>
                <w:color w:val="auto"/>
                <w:lang w:val="zh-CN"/>
              </w:rPr>
            </w:pPr>
            <w:r>
              <w:rPr>
                <w:rFonts w:hint="eastAsia" w:ascii="宋体" w:hAnsi="宋体" w:cs="宋体"/>
                <w:color w:val="auto"/>
                <w:lang w:val="zh-CN"/>
              </w:rPr>
              <w:t>解释权</w:t>
            </w:r>
          </w:p>
        </w:tc>
        <w:tc>
          <w:tcPr>
            <w:tcW w:w="7202" w:type="dxa"/>
            <w:vAlign w:val="center"/>
          </w:tcPr>
          <w:p w14:paraId="7702AE24">
            <w:pPr>
              <w:ind w:firstLine="0" w:firstLineChars="0"/>
              <w:jc w:val="left"/>
              <w:rPr>
                <w:rFonts w:ascii="宋体" w:hAnsi="宋体" w:cs="宋体"/>
                <w:color w:val="auto"/>
                <w:lang w:val="zh-CN"/>
              </w:rPr>
            </w:pPr>
            <w:r>
              <w:rPr>
                <w:rFonts w:hint="eastAsia" w:ascii="宋体" w:hAnsi="宋体" w:cs="宋体"/>
                <w:color w:val="auto"/>
                <w:lang w:val="zh-CN"/>
              </w:rPr>
              <w:t>本文件的解释权属于采购人</w:t>
            </w:r>
          </w:p>
        </w:tc>
      </w:tr>
    </w:tbl>
    <w:p w14:paraId="1F1B7C74">
      <w:pPr>
        <w:pStyle w:val="4"/>
        <w:numPr>
          <w:ilvl w:val="1"/>
          <w:numId w:val="0"/>
        </w:numPr>
        <w:spacing w:beforeLines="0" w:afterLines="0"/>
        <w:rPr>
          <w:rFonts w:hint="eastAsia" w:ascii="宋体" w:hAnsi="宋体" w:cs="宋体"/>
          <w:b/>
          <w:bCs w:val="0"/>
          <w:color w:val="auto"/>
          <w:lang w:bidi="ar"/>
        </w:rPr>
      </w:pPr>
      <w:bookmarkStart w:id="361" w:name="_Toc12264"/>
      <w:bookmarkStart w:id="362" w:name="_Toc19328"/>
      <w:bookmarkStart w:id="363" w:name="_Toc24498"/>
      <w:bookmarkStart w:id="364" w:name="_Toc8910"/>
      <w:bookmarkStart w:id="365" w:name="_Toc5088"/>
    </w:p>
    <w:p w14:paraId="7BD61AF5">
      <w:pPr>
        <w:pStyle w:val="4"/>
        <w:numPr>
          <w:ilvl w:val="1"/>
          <w:numId w:val="0"/>
        </w:numPr>
        <w:spacing w:beforeLines="0" w:afterLines="0"/>
        <w:rPr>
          <w:rFonts w:hint="eastAsia" w:ascii="宋体" w:hAnsi="宋体" w:cs="宋体"/>
          <w:b/>
          <w:bCs w:val="0"/>
          <w:color w:val="auto"/>
          <w:lang w:bidi="ar"/>
        </w:rPr>
      </w:pPr>
    </w:p>
    <w:p w14:paraId="33AB8510">
      <w:pPr>
        <w:pStyle w:val="4"/>
        <w:numPr>
          <w:ilvl w:val="1"/>
          <w:numId w:val="0"/>
        </w:numPr>
        <w:spacing w:beforeLines="0" w:afterLines="0"/>
        <w:jc w:val="both"/>
        <w:rPr>
          <w:rFonts w:hint="eastAsia" w:ascii="宋体" w:hAnsi="宋体" w:cs="宋体"/>
          <w:b/>
          <w:bCs w:val="0"/>
          <w:color w:val="auto"/>
          <w:lang w:bidi="ar"/>
        </w:rPr>
      </w:pPr>
    </w:p>
    <w:p w14:paraId="3F682A13">
      <w:pPr>
        <w:ind w:left="0" w:leftChars="0" w:firstLine="0" w:firstLineChars="0"/>
        <w:rPr>
          <w:rFonts w:hint="eastAsia"/>
        </w:rPr>
      </w:pPr>
    </w:p>
    <w:p w14:paraId="579933F4">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r>
        <w:rPr>
          <w:rFonts w:hint="eastAsia" w:ascii="宋体" w:hAnsi="宋体" w:cs="宋体"/>
          <w:b/>
          <w:bCs w:val="0"/>
          <w:color w:val="auto"/>
          <w:lang w:bidi="ar"/>
        </w:rPr>
        <w:t>二、</w:t>
      </w:r>
      <w:bookmarkEnd w:id="309"/>
      <w:bookmarkEnd w:id="310"/>
      <w:bookmarkEnd w:id="311"/>
      <w:bookmarkEnd w:id="312"/>
      <w:bookmarkEnd w:id="313"/>
      <w:bookmarkEnd w:id="314"/>
      <w:r>
        <w:rPr>
          <w:rFonts w:hint="eastAsia" w:ascii="宋体" w:hAnsi="宋体" w:cs="宋体"/>
          <w:b/>
          <w:bCs w:val="0"/>
          <w:color w:val="auto"/>
          <w:lang w:bidi="ar"/>
        </w:rPr>
        <w:t>总 则</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61"/>
      <w:bookmarkEnd w:id="362"/>
      <w:bookmarkEnd w:id="363"/>
      <w:bookmarkEnd w:id="364"/>
      <w:bookmarkEnd w:id="365"/>
    </w:p>
    <w:p w14:paraId="474302B1">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编制依据</w:t>
      </w:r>
    </w:p>
    <w:p w14:paraId="225167DC">
      <w:pPr>
        <w:pStyle w:val="33"/>
        <w:pageBreakBefore w:val="0"/>
        <w:widowControl w:val="0"/>
        <w:kinsoku/>
        <w:overflowPunct/>
        <w:topLinePunct w:val="0"/>
        <w:autoSpaceDE/>
        <w:autoSpaceDN/>
        <w:bidi w:val="0"/>
        <w:adjustRightInd w:val="0"/>
        <w:snapToGrid w:val="0"/>
        <w:spacing w:line="480" w:lineRule="exact"/>
        <w:ind w:firstLine="480"/>
        <w:jc w:val="both"/>
        <w:textAlignment w:val="auto"/>
        <w:rPr>
          <w:rFonts w:ascii="宋体" w:hAnsi="宋体" w:cs="宋体"/>
          <w:color w:val="auto"/>
        </w:rPr>
      </w:pPr>
      <w:r>
        <w:rPr>
          <w:rFonts w:hint="eastAsia" w:ascii="宋体" w:hAnsi="宋体" w:cs="宋体"/>
          <w:color w:val="auto"/>
        </w:rPr>
        <w:t>根据《龙游县国有企业采购管理办法》（龙政办发〔2021〕58号），参照《中华人民共和国政府采购法》《中华人民共和国政府采购法实施条例》以及政府采购有关规定，编制本招标文件。</w:t>
      </w:r>
    </w:p>
    <w:p w14:paraId="0B7005C4">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定 义</w:t>
      </w:r>
    </w:p>
    <w:p w14:paraId="69717FB8">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bCs/>
          <w:snapToGrid w:val="0"/>
          <w:color w:val="auto"/>
        </w:rPr>
        <w:t>采购人，是指本次采购货物或服务的购买单位。</w:t>
      </w:r>
    </w:p>
    <w:p w14:paraId="3FA7CFDC">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投标人，是指响应招标、参加投标竞争的法人。</w:t>
      </w:r>
    </w:p>
    <w:p w14:paraId="53518517">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采购代理机构（采购组织机构），是指</w:t>
      </w:r>
      <w:r>
        <w:rPr>
          <w:rFonts w:hint="eastAsia" w:ascii="宋体" w:hAnsi="宋体" w:cs="宋体"/>
          <w:color w:val="auto"/>
          <w:shd w:val="clear" w:color="auto" w:fill="FFFFFF"/>
        </w:rPr>
        <w:t>在采购活</w:t>
      </w:r>
      <w:r>
        <w:rPr>
          <w:rFonts w:hint="eastAsia" w:ascii="宋体" w:hAnsi="宋体" w:cs="宋体"/>
          <w:color w:val="auto"/>
          <w:u w:val="none"/>
          <w:shd w:val="clear" w:color="auto" w:fill="FFFFFF"/>
        </w:rPr>
        <w:t>动中根据</w:t>
      </w:r>
      <w:r>
        <w:rPr>
          <w:color w:val="auto"/>
          <w:u w:val="none"/>
        </w:rPr>
        <w:fldChar w:fldCharType="begin"/>
      </w:r>
      <w:r>
        <w:rPr>
          <w:color w:val="auto"/>
          <w:u w:val="none"/>
        </w:rPr>
        <w:instrText xml:space="preserve"> HYPERLINK "http://www.so.com/s?q=%E9%87%87%E8%B4%AD%E4%BA%BA&amp;ie=utf-8&amp;src=internal_wenda_recommend_textn" \t "https://wenda.so.com/q/_blank" </w:instrText>
      </w:r>
      <w:r>
        <w:rPr>
          <w:color w:val="auto"/>
          <w:u w:val="none"/>
        </w:rPr>
        <w:fldChar w:fldCharType="separate"/>
      </w:r>
      <w:r>
        <w:rPr>
          <w:rStyle w:val="41"/>
          <w:rFonts w:hint="eastAsia" w:ascii="宋体" w:hAnsi="宋体" w:cs="宋体"/>
          <w:color w:val="auto"/>
          <w:u w:val="none"/>
          <w:shd w:val="clear" w:color="auto" w:fill="FFFFFF"/>
        </w:rPr>
        <w:t>采购人</w:t>
      </w:r>
      <w:r>
        <w:rPr>
          <w:rStyle w:val="41"/>
          <w:rFonts w:hint="eastAsia" w:ascii="宋体" w:hAnsi="宋体" w:cs="宋体"/>
          <w:color w:val="auto"/>
          <w:u w:val="none"/>
          <w:shd w:val="clear" w:color="auto" w:fill="FFFFFF"/>
        </w:rPr>
        <w:fldChar w:fldCharType="end"/>
      </w:r>
      <w:r>
        <w:rPr>
          <w:rFonts w:hint="eastAsia" w:ascii="宋体" w:hAnsi="宋体" w:cs="宋体"/>
          <w:color w:val="auto"/>
          <w:u w:val="none"/>
          <w:shd w:val="clear" w:color="auto" w:fill="FFFFFF"/>
        </w:rPr>
        <w:t>的委托代理采购</w:t>
      </w:r>
      <w:r>
        <w:rPr>
          <w:color w:val="auto"/>
          <w:u w:val="none"/>
        </w:rPr>
        <w:fldChar w:fldCharType="begin"/>
      </w:r>
      <w:r>
        <w:rPr>
          <w:color w:val="auto"/>
          <w:u w:val="none"/>
        </w:rPr>
        <w:instrText xml:space="preserve"> HYPERLINK "http://www.so.com/s?q=%E4%BA%8B%E5%AE%9C&amp;ie=utf-8&amp;src=internal_wenda_recommend_textn" \t "https://wenda.so.com/q/_blank" </w:instrText>
      </w:r>
      <w:r>
        <w:rPr>
          <w:color w:val="auto"/>
          <w:u w:val="none"/>
        </w:rPr>
        <w:fldChar w:fldCharType="separate"/>
      </w:r>
      <w:r>
        <w:rPr>
          <w:rStyle w:val="41"/>
          <w:rFonts w:hint="eastAsia" w:ascii="宋体" w:hAnsi="宋体" w:cs="宋体"/>
          <w:color w:val="auto"/>
          <w:u w:val="none"/>
          <w:shd w:val="clear" w:color="auto" w:fill="FFFFFF"/>
        </w:rPr>
        <w:t>事宜</w:t>
      </w:r>
      <w:r>
        <w:rPr>
          <w:rStyle w:val="41"/>
          <w:rFonts w:hint="eastAsia" w:ascii="宋体" w:hAnsi="宋体" w:cs="宋体"/>
          <w:color w:val="auto"/>
          <w:u w:val="none"/>
          <w:shd w:val="clear" w:color="auto" w:fill="FFFFFF"/>
        </w:rPr>
        <w:fldChar w:fldCharType="end"/>
      </w:r>
      <w:r>
        <w:rPr>
          <w:rFonts w:hint="eastAsia" w:ascii="宋体" w:hAnsi="宋体" w:cs="宋体"/>
          <w:color w:val="auto"/>
          <w:shd w:val="clear" w:color="auto" w:fill="FFFFFF"/>
        </w:rPr>
        <w:t>的机构</w:t>
      </w:r>
      <w:r>
        <w:rPr>
          <w:rFonts w:hint="eastAsia" w:ascii="宋体" w:hAnsi="宋体" w:cs="宋体"/>
          <w:color w:val="auto"/>
        </w:rPr>
        <w:t>。</w:t>
      </w:r>
    </w:p>
    <w:p w14:paraId="2E86A677">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原件，是指原始件（即：资料生成时的原始形态，包括所加盖的印章、相关人员的签字笔迹等均是原始印痕、印迹和行迹）。</w:t>
      </w:r>
    </w:p>
    <w:p w14:paraId="174E9287">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书面形式，包括文字的打印或复印件、传真、信函、电传、电报、</w:t>
      </w:r>
      <w:r>
        <w:rPr>
          <w:rFonts w:hint="eastAsia" w:ascii="宋体" w:hAnsi="宋体" w:cs="宋体"/>
          <w:color w:val="auto"/>
          <w:shd w:val="clear" w:color="auto" w:fill="FFFFFF"/>
        </w:rPr>
        <w:t>电子邮件、</w:t>
      </w:r>
      <w:r>
        <w:rPr>
          <w:rFonts w:hint="eastAsia" w:ascii="宋体" w:hAnsi="宋体" w:cs="宋体"/>
          <w:color w:val="auto"/>
          <w:lang w:val="zh-CN"/>
        </w:rPr>
        <w:t>衢州市阳光交易服务平台、</w:t>
      </w:r>
      <w:r>
        <w:rPr>
          <w:rFonts w:hint="eastAsia" w:ascii="宋体" w:hAnsi="宋体" w:cs="宋体"/>
          <w:color w:val="auto"/>
        </w:rPr>
        <w:t>浙江政府采购网网站发布的公告</w:t>
      </w:r>
      <w:r>
        <w:rPr>
          <w:rFonts w:hint="eastAsia" w:ascii="宋体" w:hAnsi="宋体" w:cs="宋体"/>
          <w:color w:val="auto"/>
          <w:shd w:val="clear" w:color="auto" w:fill="FFFFFF"/>
        </w:rPr>
        <w:t>等可以有形地表现所载内容的形式。</w:t>
      </w:r>
    </w:p>
    <w:p w14:paraId="3C129BAF">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bCs/>
          <w:color w:val="auto"/>
        </w:rPr>
        <w:t>投标人公章，</w:t>
      </w:r>
      <w:r>
        <w:rPr>
          <w:rFonts w:hint="eastAsia" w:ascii="宋体" w:hAnsi="宋体" w:cs="宋体"/>
          <w:color w:val="auto"/>
        </w:rPr>
        <w:t>是指投标人</w:t>
      </w:r>
      <w:r>
        <w:rPr>
          <w:rFonts w:hint="eastAsia" w:ascii="宋体" w:hAnsi="宋体" w:cs="宋体"/>
          <w:color w:val="auto"/>
          <w:shd w:val="clear" w:color="auto" w:fill="FFFFFF"/>
        </w:rPr>
        <w:t>用自己法定主体行为名称制作的签名印章</w:t>
      </w:r>
      <w:r>
        <w:rPr>
          <w:rFonts w:hint="eastAsia" w:ascii="宋体" w:hAnsi="宋体" w:cs="宋体"/>
          <w:color w:val="auto"/>
        </w:rPr>
        <w:t>。</w:t>
      </w:r>
      <w:r>
        <w:rPr>
          <w:rFonts w:hint="eastAsia" w:ascii="宋体" w:hAnsi="宋体" w:cs="宋体"/>
          <w:bCs/>
          <w:color w:val="auto"/>
        </w:rPr>
        <w:t>不得使用专用章（如经济合同章、投标专用章、业务专用章等）或下属单位印章代替。</w:t>
      </w:r>
    </w:p>
    <w:p w14:paraId="20FB4A93">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bCs/>
          <w:color w:val="auto"/>
        </w:rPr>
      </w:pPr>
      <w:r>
        <w:rPr>
          <w:rFonts w:hint="eastAsia" w:ascii="宋体" w:hAnsi="宋体" w:cs="宋体"/>
          <w:bCs/>
          <w:color w:val="auto"/>
        </w:rPr>
        <w:t>“▲”是投标人按本招标文件要求必须实质性响应的条款，有任何一项缺失或非实质性响应将取消其投标资格。</w:t>
      </w:r>
    </w:p>
    <w:p w14:paraId="769623A2">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采购方式</w:t>
      </w:r>
    </w:p>
    <w:p w14:paraId="700DD790">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lang w:val="zh-CN"/>
        </w:rPr>
      </w:pPr>
      <w:r>
        <w:rPr>
          <w:rFonts w:hint="eastAsia" w:ascii="宋体" w:hAnsi="宋体" w:cs="宋体"/>
          <w:color w:val="auto"/>
        </w:rPr>
        <w:t>采购组织形式国企采购委托代理。</w:t>
      </w:r>
    </w:p>
    <w:p w14:paraId="62AEF5DC">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lang w:val="zh-CN"/>
        </w:rPr>
        <w:t>采取</w:t>
      </w:r>
      <w:r>
        <w:rPr>
          <w:rFonts w:hint="eastAsia" w:ascii="宋体" w:hAnsi="宋体" w:cs="宋体"/>
          <w:color w:val="auto"/>
        </w:rPr>
        <w:t>公开招标采购方式。</w:t>
      </w:r>
    </w:p>
    <w:p w14:paraId="4F3BA011">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合格的投标人</w:t>
      </w:r>
    </w:p>
    <w:p w14:paraId="486E6B65">
      <w:pPr>
        <w:pStyle w:val="33"/>
        <w:pageBreakBefore w:val="0"/>
        <w:widowControl w:val="0"/>
        <w:kinsoku/>
        <w:overflowPunct/>
        <w:topLinePunct w:val="0"/>
        <w:autoSpaceDE/>
        <w:autoSpaceDN/>
        <w:bidi w:val="0"/>
        <w:adjustRightInd w:val="0"/>
        <w:snapToGrid w:val="0"/>
        <w:spacing w:line="480" w:lineRule="exact"/>
        <w:ind w:firstLine="480"/>
        <w:jc w:val="both"/>
        <w:textAlignment w:val="auto"/>
        <w:rPr>
          <w:rFonts w:ascii="宋体" w:hAnsi="宋体" w:cs="宋体"/>
          <w:color w:val="auto"/>
        </w:rPr>
      </w:pPr>
      <w:r>
        <w:rPr>
          <w:rFonts w:hint="eastAsia" w:ascii="宋体" w:hAnsi="宋体" w:cs="宋体"/>
          <w:color w:val="auto"/>
        </w:rPr>
        <w:t>合格的投标人应具备以下条件：</w:t>
      </w:r>
    </w:p>
    <w:p w14:paraId="68AC41EA">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具备法律法规和本采购文件规定的资格条件；</w:t>
      </w:r>
    </w:p>
    <w:p w14:paraId="2CDB8645">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64"/>
        <w:jc w:val="both"/>
        <w:textAlignment w:val="auto"/>
        <w:rPr>
          <w:rFonts w:ascii="宋体" w:hAnsi="宋体" w:cs="宋体"/>
          <w:color w:val="auto"/>
        </w:rPr>
      </w:pPr>
      <w:r>
        <w:rPr>
          <w:rFonts w:hint="eastAsia" w:ascii="宋体" w:hAnsi="宋体" w:cs="宋体"/>
          <w:color w:val="auto"/>
          <w:spacing w:val="-4"/>
        </w:rPr>
        <w:t>不属于限制参加本项目采购活动的投标人</w:t>
      </w:r>
      <w:r>
        <w:rPr>
          <w:rFonts w:hint="eastAsia" w:ascii="宋体" w:hAnsi="宋体" w:cs="宋体"/>
          <w:color w:val="auto"/>
        </w:rPr>
        <w:t>；</w:t>
      </w:r>
    </w:p>
    <w:p w14:paraId="1E6EE571">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64"/>
        <w:jc w:val="both"/>
        <w:textAlignment w:val="auto"/>
        <w:rPr>
          <w:rFonts w:ascii="宋体" w:hAnsi="宋体" w:cs="宋体"/>
          <w:color w:val="auto"/>
        </w:rPr>
      </w:pPr>
      <w:r>
        <w:rPr>
          <w:rFonts w:hint="eastAsia" w:ascii="宋体" w:hAnsi="宋体" w:cs="宋体"/>
          <w:color w:val="auto"/>
          <w:spacing w:val="-4"/>
        </w:rPr>
        <w:t>按照规定</w:t>
      </w:r>
      <w:r>
        <w:rPr>
          <w:rFonts w:hint="eastAsia" w:ascii="宋体" w:hAnsi="宋体" w:cs="宋体"/>
          <w:color w:val="auto"/>
        </w:rPr>
        <w:t>获取了招标文件，属于实质性参加本次采购活动的投标人。</w:t>
      </w:r>
    </w:p>
    <w:p w14:paraId="3B35B573">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对投标人的限制</w:t>
      </w:r>
    </w:p>
    <w:p w14:paraId="4EAD7363">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拒绝不良信用记录的投标人参加本项目的采购活动。</w:t>
      </w:r>
    </w:p>
    <w:p w14:paraId="1BA9D9D0">
      <w:pPr>
        <w:pStyle w:val="107"/>
        <w:pageBreakBefore w:val="0"/>
        <w:widowControl w:val="0"/>
        <w:numPr>
          <w:ilvl w:val="2"/>
          <w:numId w:val="4"/>
        </w:numPr>
        <w:kinsoku/>
        <w:overflowPunct/>
        <w:topLinePunct w:val="0"/>
        <w:autoSpaceDE/>
        <w:autoSpaceDN/>
        <w:bidi w:val="0"/>
        <w:adjustRightInd w:val="0"/>
        <w:snapToGrid w:val="0"/>
        <w:spacing w:line="480" w:lineRule="exact"/>
        <w:ind w:left="0" w:firstLine="480" w:firstLineChars="200"/>
        <w:jc w:val="both"/>
        <w:textAlignment w:val="auto"/>
        <w:rPr>
          <w:rFonts w:ascii="宋体" w:hAnsi="宋体" w:cs="宋体"/>
          <w:color w:val="auto"/>
          <w:sz w:val="24"/>
          <w:szCs w:val="24"/>
          <w:lang w:eastAsia="zh-CN"/>
        </w:rPr>
      </w:pPr>
      <w:r>
        <w:rPr>
          <w:rFonts w:hint="eastAsia" w:ascii="宋体" w:hAnsi="宋体" w:cs="宋体"/>
          <w:color w:val="auto"/>
          <w:sz w:val="24"/>
          <w:szCs w:val="24"/>
        </w:rPr>
        <w:t>不良信用记录</w:t>
      </w:r>
      <w:r>
        <w:rPr>
          <w:rFonts w:hint="eastAsia" w:ascii="宋体" w:hAnsi="宋体" w:cs="宋体"/>
          <w:color w:val="auto"/>
          <w:sz w:val="24"/>
          <w:szCs w:val="24"/>
          <w:lang w:eastAsia="zh-CN"/>
        </w:rPr>
        <w:t>是</w:t>
      </w:r>
      <w:r>
        <w:rPr>
          <w:rFonts w:hint="eastAsia" w:ascii="宋体" w:hAnsi="宋体" w:cs="宋体"/>
          <w:color w:val="auto"/>
          <w:sz w:val="24"/>
          <w:szCs w:val="24"/>
        </w:rPr>
        <w:t>指：</w:t>
      </w:r>
      <w:r>
        <w:rPr>
          <w:rFonts w:hint="eastAsia" w:ascii="宋体" w:hAnsi="宋体" w:cs="宋体"/>
          <w:color w:val="auto"/>
          <w:sz w:val="24"/>
          <w:szCs w:val="24"/>
          <w:lang w:eastAsia="zh-CN"/>
        </w:rPr>
        <w:t>被</w:t>
      </w:r>
      <w:r>
        <w:rPr>
          <w:rFonts w:hint="eastAsia" w:ascii="宋体" w:hAnsi="宋体" w:cs="宋体"/>
          <w:color w:val="auto"/>
          <w:sz w:val="24"/>
          <w:szCs w:val="24"/>
        </w:rPr>
        <w:t>信用中国网站（www.creditchina.gov.cn）</w:t>
      </w:r>
      <w:r>
        <w:rPr>
          <w:rFonts w:hint="eastAsia" w:ascii="宋体" w:hAnsi="宋体" w:cs="宋体"/>
          <w:color w:val="auto"/>
          <w:sz w:val="24"/>
          <w:szCs w:val="24"/>
          <w:shd w:val="clear" w:color="auto" w:fill="FFFFFF"/>
        </w:rPr>
        <w:t>列入失信被执行人、重大税收违法案件当事人名单、政府采购严重违法失信名单</w:t>
      </w:r>
      <w:r>
        <w:rPr>
          <w:rFonts w:hint="eastAsia" w:ascii="宋体" w:hAnsi="宋体" w:cs="宋体"/>
          <w:color w:val="auto"/>
          <w:sz w:val="24"/>
          <w:szCs w:val="24"/>
          <w:shd w:val="clear" w:color="auto" w:fill="FFFFFF"/>
          <w:lang w:eastAsia="zh-CN"/>
        </w:rPr>
        <w:t>的，</w:t>
      </w:r>
      <w:r>
        <w:rPr>
          <w:rFonts w:hint="eastAsia" w:ascii="宋体" w:hAnsi="宋体" w:cs="宋体"/>
          <w:color w:val="auto"/>
          <w:sz w:val="24"/>
          <w:szCs w:val="24"/>
          <w:lang w:eastAsia="zh-CN"/>
        </w:rPr>
        <w:t>被</w:t>
      </w:r>
      <w:r>
        <w:rPr>
          <w:rFonts w:hint="eastAsia" w:ascii="宋体" w:hAnsi="宋体" w:cs="宋体"/>
          <w:color w:val="auto"/>
          <w:sz w:val="24"/>
          <w:szCs w:val="24"/>
        </w:rPr>
        <w:t>中国政府采购网（www.ccgp.gov.cn）</w:t>
      </w:r>
      <w:r>
        <w:rPr>
          <w:rFonts w:hint="eastAsia" w:ascii="宋体" w:hAnsi="宋体" w:cs="宋体"/>
          <w:color w:val="auto"/>
          <w:sz w:val="24"/>
          <w:szCs w:val="24"/>
          <w:shd w:val="clear" w:color="auto" w:fill="FFFFFF"/>
        </w:rPr>
        <w:t>列入政府采购严重违法失信行为</w:t>
      </w:r>
      <w:r>
        <w:rPr>
          <w:rFonts w:hint="eastAsia" w:ascii="宋体" w:hAnsi="宋体" w:cs="宋体"/>
          <w:color w:val="auto"/>
          <w:sz w:val="24"/>
          <w:szCs w:val="24"/>
          <w:shd w:val="clear" w:color="auto" w:fill="FFFFFF"/>
          <w:lang w:eastAsia="zh-CN"/>
        </w:rPr>
        <w:t>信用</w:t>
      </w:r>
      <w:r>
        <w:rPr>
          <w:rFonts w:hint="eastAsia" w:ascii="宋体" w:hAnsi="宋体" w:cs="宋体"/>
          <w:color w:val="auto"/>
          <w:sz w:val="24"/>
          <w:szCs w:val="24"/>
          <w:shd w:val="clear" w:color="auto" w:fill="FFFFFF"/>
        </w:rPr>
        <w:t>记录名单</w:t>
      </w:r>
      <w:r>
        <w:rPr>
          <w:rFonts w:hint="eastAsia" w:ascii="宋体" w:hAnsi="宋体" w:cs="宋体"/>
          <w:color w:val="auto"/>
          <w:sz w:val="24"/>
          <w:szCs w:val="24"/>
        </w:rPr>
        <w:t>且在处罚有效期内的</w:t>
      </w:r>
      <w:r>
        <w:rPr>
          <w:rFonts w:hint="eastAsia" w:ascii="宋体" w:hAnsi="宋体" w:cs="宋体"/>
          <w:color w:val="auto"/>
          <w:sz w:val="24"/>
          <w:szCs w:val="24"/>
          <w:lang w:eastAsia="zh-CN"/>
        </w:rPr>
        <w:t>（投标截止之日追溯三年）</w:t>
      </w:r>
      <w:r>
        <w:rPr>
          <w:rFonts w:hint="eastAsia" w:ascii="宋体" w:hAnsi="宋体" w:cs="宋体"/>
          <w:color w:val="auto"/>
          <w:sz w:val="24"/>
          <w:szCs w:val="24"/>
          <w:shd w:val="clear" w:color="auto" w:fill="FFFFFF"/>
          <w:lang w:eastAsia="zh-CN"/>
        </w:rPr>
        <w:t>，</w:t>
      </w:r>
      <w:r>
        <w:rPr>
          <w:rFonts w:hint="eastAsia" w:ascii="宋体" w:hAnsi="宋体" w:cs="宋体"/>
          <w:color w:val="auto"/>
          <w:sz w:val="24"/>
          <w:szCs w:val="24"/>
          <w:lang w:eastAsia="zh-CN"/>
        </w:rPr>
        <w:t>被</w:t>
      </w:r>
      <w:r>
        <w:rPr>
          <w:rFonts w:hint="eastAsia" w:ascii="宋体" w:hAnsi="宋体" w:cs="宋体"/>
          <w:color w:val="auto"/>
          <w:sz w:val="24"/>
          <w:szCs w:val="24"/>
        </w:rPr>
        <w:t>浙江政府采购网（zfcg.czt.zj.gov.cn）</w:t>
      </w:r>
      <w:r>
        <w:rPr>
          <w:rFonts w:hint="eastAsia" w:ascii="宋体" w:hAnsi="宋体" w:cs="宋体"/>
          <w:color w:val="auto"/>
          <w:sz w:val="24"/>
          <w:szCs w:val="24"/>
          <w:lang w:eastAsia="zh-CN"/>
        </w:rPr>
        <w:t>—</w:t>
      </w:r>
      <w:r>
        <w:rPr>
          <w:rFonts w:hint="eastAsia" w:ascii="宋体" w:hAnsi="宋体" w:cs="宋体"/>
          <w:color w:val="auto"/>
          <w:sz w:val="24"/>
          <w:szCs w:val="24"/>
        </w:rPr>
        <w:t>曝光台曝光且在处罚有效期内的</w:t>
      </w:r>
      <w:r>
        <w:rPr>
          <w:rFonts w:hint="eastAsia" w:ascii="宋体" w:hAnsi="宋体" w:cs="宋体"/>
          <w:color w:val="auto"/>
          <w:sz w:val="24"/>
          <w:szCs w:val="24"/>
          <w:lang w:eastAsia="zh-CN"/>
        </w:rPr>
        <w:t>（投标截止之日追溯三年）以</w:t>
      </w:r>
      <w:r>
        <w:rPr>
          <w:rFonts w:hint="eastAsia" w:ascii="宋体" w:hAnsi="宋体" w:cs="宋体"/>
          <w:color w:val="auto"/>
          <w:sz w:val="24"/>
          <w:szCs w:val="24"/>
          <w:shd w:val="clear" w:color="auto" w:fill="FFFFFF"/>
        </w:rPr>
        <w:t>及其他不符合</w:t>
      </w:r>
      <w:r>
        <w:rPr>
          <w:rFonts w:hint="eastAsia" w:ascii="宋体" w:hAnsi="宋体" w:cs="宋体"/>
          <w:color w:val="auto"/>
          <w:sz w:val="24"/>
          <w:szCs w:val="24"/>
          <w:shd w:val="clear" w:color="auto" w:fill="FFFFFF"/>
          <w:lang w:eastAsia="zh-CN"/>
        </w:rPr>
        <w:t>《龙游县国有企业采购管理办法》（龙政办发〔2021〕58号）第十二条</w:t>
      </w:r>
      <w:r>
        <w:rPr>
          <w:rFonts w:hint="eastAsia" w:ascii="宋体" w:hAnsi="宋体" w:cs="宋体"/>
          <w:color w:val="auto"/>
          <w:sz w:val="24"/>
          <w:szCs w:val="24"/>
          <w:shd w:val="clear" w:color="auto" w:fill="FFFFFF"/>
        </w:rPr>
        <w:t>条件的</w:t>
      </w:r>
      <w:r>
        <w:rPr>
          <w:rFonts w:hint="eastAsia" w:ascii="宋体" w:hAnsi="宋体" w:cs="宋体"/>
          <w:color w:val="auto"/>
          <w:sz w:val="24"/>
          <w:szCs w:val="24"/>
          <w:shd w:val="clear" w:color="auto" w:fill="FFFFFF"/>
          <w:lang w:eastAsia="zh-CN"/>
        </w:rPr>
        <w:t>投标人。</w:t>
      </w:r>
    </w:p>
    <w:p w14:paraId="5F5E0633">
      <w:pPr>
        <w:pStyle w:val="107"/>
        <w:pageBreakBefore w:val="0"/>
        <w:widowControl w:val="0"/>
        <w:numPr>
          <w:ilvl w:val="2"/>
          <w:numId w:val="4"/>
        </w:numPr>
        <w:kinsoku/>
        <w:overflowPunct/>
        <w:topLinePunct w:val="0"/>
        <w:autoSpaceDE/>
        <w:autoSpaceDN/>
        <w:bidi w:val="0"/>
        <w:adjustRightInd w:val="0"/>
        <w:snapToGrid w:val="0"/>
        <w:spacing w:line="480" w:lineRule="exact"/>
        <w:ind w:left="0" w:firstLine="480" w:firstLineChars="200"/>
        <w:jc w:val="both"/>
        <w:textAlignment w:val="auto"/>
        <w:rPr>
          <w:rFonts w:ascii="宋体" w:hAnsi="宋体" w:cs="宋体"/>
          <w:color w:val="auto"/>
          <w:sz w:val="24"/>
          <w:szCs w:val="24"/>
          <w:lang w:eastAsia="zh-CN"/>
        </w:rPr>
      </w:pPr>
      <w:r>
        <w:rPr>
          <w:rFonts w:hint="eastAsia" w:ascii="宋体" w:hAnsi="宋体" w:cs="宋体"/>
          <w:color w:val="auto"/>
          <w:sz w:val="24"/>
          <w:szCs w:val="24"/>
          <w:lang w:eastAsia="zh-CN"/>
        </w:rPr>
        <w:t>信用记录</w:t>
      </w:r>
    </w:p>
    <w:p w14:paraId="5A57C17C">
      <w:pPr>
        <w:pStyle w:val="33"/>
        <w:pageBreakBefore w:val="0"/>
        <w:widowControl w:val="0"/>
        <w:numPr>
          <w:ilvl w:val="0"/>
          <w:numId w:val="5"/>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信用信息查询。根据《关于在政府采购活动中查询及使用信用记录有关问题的通知》（财库〔2016〕125号）的要求，通过信用中国网站（www.creditchina.gov.cn）、中国政府采购网（www.ccgp.gov.cn）、浙江政府采购网（zfcg.czt.zj.gov.cn）等渠道查询。</w:t>
      </w:r>
    </w:p>
    <w:p w14:paraId="2DEE3316">
      <w:pPr>
        <w:pStyle w:val="33"/>
        <w:pageBreakBefore w:val="0"/>
        <w:widowControl w:val="0"/>
        <w:numPr>
          <w:ilvl w:val="0"/>
          <w:numId w:val="5"/>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截止时点。投标截止时间。</w:t>
      </w:r>
    </w:p>
    <w:p w14:paraId="5FE4FB05">
      <w:pPr>
        <w:pStyle w:val="33"/>
        <w:pageBreakBefore w:val="0"/>
        <w:widowControl w:val="0"/>
        <w:numPr>
          <w:ilvl w:val="0"/>
          <w:numId w:val="5"/>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信用信息查询记录和证据留存的方式。采购代理机构经办人将查询网页打印与其他采购文件一并保存。</w:t>
      </w:r>
    </w:p>
    <w:p w14:paraId="5E81AD6F">
      <w:pPr>
        <w:pStyle w:val="33"/>
        <w:pageBreakBefore w:val="0"/>
        <w:widowControl w:val="0"/>
        <w:numPr>
          <w:ilvl w:val="0"/>
          <w:numId w:val="5"/>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信用信息的使用规则。被列入失信被执行人、重大税收违法案件当事人名单、国企或政府采购严重违法失信行为记录名单及其他不符合《龙游县国有企业采购管理办法》（龙政办发〔2021〕58号）第十二条条件的投标人，拒绝参与本次采购活动。</w:t>
      </w:r>
    </w:p>
    <w:p w14:paraId="7487537D">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shd w:val="clear" w:color="auto" w:fill="FFFFFF"/>
        </w:rPr>
        <w:t>单位负责人为同一人或者存在直接控股、管理关系的不同投标人，不得参加同一合同项下的采购活动。</w:t>
      </w:r>
    </w:p>
    <w:p w14:paraId="45F46C26">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采购活动中，采购人员及相关人员与投标人有下列利害关系之一的，应当回避：</w:t>
      </w:r>
    </w:p>
    <w:p w14:paraId="136598A4">
      <w:pPr>
        <w:pStyle w:val="33"/>
        <w:pageBreakBefore w:val="0"/>
        <w:widowControl w:val="0"/>
        <w:numPr>
          <w:ilvl w:val="2"/>
          <w:numId w:val="3"/>
        </w:numPr>
        <w:tabs>
          <w:tab w:val="clear" w:pos="0"/>
        </w:tabs>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参加采购活动前3年内与投标人存在劳动关系；</w:t>
      </w:r>
    </w:p>
    <w:p w14:paraId="3E929CEA">
      <w:pPr>
        <w:pStyle w:val="33"/>
        <w:pageBreakBefore w:val="0"/>
        <w:widowControl w:val="0"/>
        <w:numPr>
          <w:ilvl w:val="2"/>
          <w:numId w:val="3"/>
        </w:numPr>
        <w:tabs>
          <w:tab w:val="clear" w:pos="0"/>
        </w:tabs>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参加采购活动前3年内担任投标人的董事、监事；</w:t>
      </w:r>
    </w:p>
    <w:p w14:paraId="39457830">
      <w:pPr>
        <w:pStyle w:val="33"/>
        <w:pageBreakBefore w:val="0"/>
        <w:widowControl w:val="0"/>
        <w:numPr>
          <w:ilvl w:val="2"/>
          <w:numId w:val="3"/>
        </w:numPr>
        <w:tabs>
          <w:tab w:val="clear" w:pos="0"/>
        </w:tabs>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参加采购活动前3年内是投标人的控股股东或者实际控制人；</w:t>
      </w:r>
    </w:p>
    <w:p w14:paraId="58E2E2D2">
      <w:pPr>
        <w:pStyle w:val="33"/>
        <w:pageBreakBefore w:val="0"/>
        <w:widowControl w:val="0"/>
        <w:numPr>
          <w:ilvl w:val="2"/>
          <w:numId w:val="3"/>
        </w:numPr>
        <w:tabs>
          <w:tab w:val="clear" w:pos="0"/>
        </w:tabs>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与投标人的法定代表人或者负责人有夫妻、直系血亲、三代以内旁系血亲或者近姻亲关系；</w:t>
      </w:r>
    </w:p>
    <w:p w14:paraId="3E2D752D">
      <w:pPr>
        <w:pStyle w:val="33"/>
        <w:pageBreakBefore w:val="0"/>
        <w:widowControl w:val="0"/>
        <w:numPr>
          <w:ilvl w:val="2"/>
          <w:numId w:val="3"/>
        </w:numPr>
        <w:tabs>
          <w:tab w:val="clear" w:pos="0"/>
        </w:tabs>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存在共同直接或间接投资设立子公司、联营企业和合营企业情况；</w:t>
      </w:r>
    </w:p>
    <w:p w14:paraId="333551CA">
      <w:pPr>
        <w:pStyle w:val="33"/>
        <w:pageBreakBefore w:val="0"/>
        <w:widowControl w:val="0"/>
        <w:numPr>
          <w:ilvl w:val="2"/>
          <w:numId w:val="3"/>
        </w:numPr>
        <w:tabs>
          <w:tab w:val="clear" w:pos="0"/>
        </w:tabs>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与投标人有其他可能影响采购活动公平、公正进行的关系。</w:t>
      </w:r>
    </w:p>
    <w:p w14:paraId="6F0F4482">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本项目采购活动中需要依法回避的采购人员是指采购人内部负责采购项目的具体经办工作人员和直接分管采购项目的负责人，以及采购代理机构负责采购项目的具体经办工作人员和直接分管采购活动的负责人。本项目采购活动中需要依法回避的相关人员是指评审小组成员。</w:t>
      </w:r>
    </w:p>
    <w:p w14:paraId="74AB2E56">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投标人认为采购人员及相关人员与其他投标人有利害关系的，可以向采购代理机构书面提出回避申请，并说明理由。采购代理机构将及时询问被申请回避人员，有利害关系的被申请回避人员应当回避。</w:t>
      </w:r>
    </w:p>
    <w:p w14:paraId="5CE609BC">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资格审查</w:t>
      </w:r>
    </w:p>
    <w:p w14:paraId="6121A498">
      <w:pPr>
        <w:pStyle w:val="33"/>
        <w:pageBreakBefore w:val="0"/>
        <w:widowControl w:val="0"/>
        <w:kinsoku/>
        <w:overflowPunct/>
        <w:topLinePunct w:val="0"/>
        <w:autoSpaceDE/>
        <w:autoSpaceDN/>
        <w:bidi w:val="0"/>
        <w:adjustRightInd w:val="0"/>
        <w:snapToGrid w:val="0"/>
        <w:spacing w:line="480" w:lineRule="exact"/>
        <w:ind w:firstLine="480"/>
        <w:jc w:val="both"/>
        <w:textAlignment w:val="auto"/>
        <w:rPr>
          <w:rFonts w:ascii="宋体" w:hAnsi="宋体" w:cs="宋体"/>
          <w:color w:val="auto"/>
        </w:rPr>
      </w:pPr>
      <w:r>
        <w:rPr>
          <w:rFonts w:hint="eastAsia" w:ascii="宋体" w:hAnsi="宋体" w:cs="宋体"/>
          <w:color w:val="auto"/>
        </w:rPr>
        <w:t>本次</w:t>
      </w:r>
      <w:r>
        <w:rPr>
          <w:rFonts w:hint="eastAsia" w:ascii="宋体" w:hAnsi="宋体" w:cs="宋体"/>
          <w:color w:val="auto"/>
          <w:lang w:val="zh-CN"/>
        </w:rPr>
        <w:t>采取</w:t>
      </w:r>
      <w:r>
        <w:rPr>
          <w:rFonts w:hint="eastAsia" w:ascii="宋体" w:hAnsi="宋体" w:cs="宋体"/>
          <w:color w:val="auto"/>
        </w:rPr>
        <w:t>资格后审，采购组织机构不保证所有报名招标文件的投标人都符合合格投标人资格要求。</w:t>
      </w:r>
    </w:p>
    <w:p w14:paraId="493B5B68">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bCs/>
          <w:color w:val="auto"/>
        </w:rPr>
      </w:pPr>
      <w:r>
        <w:rPr>
          <w:rFonts w:hint="eastAsia" w:ascii="宋体" w:hAnsi="宋体" w:cs="宋体"/>
          <w:bCs/>
          <w:color w:val="auto"/>
        </w:rPr>
        <w:t>语言文字</w:t>
      </w:r>
    </w:p>
    <w:p w14:paraId="0F22BBE9">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响应文件以及投标人与采购人就有关响应事宜的所有来往函电，均应以中文汉语书写。除签名、盖章、专用名称等特殊情形外，以中文汉语以外的文字表述的响应文件视同未提供。</w:t>
      </w:r>
    </w:p>
    <w:p w14:paraId="42EA378E">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外文专用术语应附有中文注释。</w:t>
      </w:r>
      <w:r>
        <w:rPr>
          <w:rFonts w:hint="eastAsia" w:ascii="宋体" w:hAnsi="宋体" w:cs="宋体"/>
          <w:color w:val="auto"/>
          <w:lang w:val="en-US" w:eastAsia="zh-CN"/>
        </w:rPr>
        <w:t>投标</w:t>
      </w:r>
      <w:r>
        <w:rPr>
          <w:rFonts w:hint="eastAsia" w:ascii="宋体" w:hAnsi="宋体" w:cs="宋体"/>
          <w:color w:val="auto"/>
        </w:rPr>
        <w:t>文件及相关往来文件中有外文资料的（如质疑函、进口产品厂商授权书等），资料提供方应当将其翻译为中文，注明翻译人员姓名、工作单位、联系方式等信息，并对译文的完整性、客观性、真实性负责。</w:t>
      </w:r>
    </w:p>
    <w:p w14:paraId="574231D2">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bCs/>
          <w:color w:val="auto"/>
        </w:rPr>
        <w:t>计量单位</w:t>
      </w:r>
    </w:p>
    <w:p w14:paraId="570BC349">
      <w:pPr>
        <w:pStyle w:val="33"/>
        <w:pageBreakBefore w:val="0"/>
        <w:widowControl w:val="0"/>
        <w:kinsoku/>
        <w:overflowPunct/>
        <w:topLinePunct w:val="0"/>
        <w:autoSpaceDE/>
        <w:autoSpaceDN/>
        <w:bidi w:val="0"/>
        <w:adjustRightInd w:val="0"/>
        <w:snapToGrid w:val="0"/>
        <w:spacing w:line="480" w:lineRule="exact"/>
        <w:ind w:firstLine="480" w:firstLineChars="0"/>
        <w:jc w:val="both"/>
        <w:textAlignment w:val="auto"/>
        <w:rPr>
          <w:rFonts w:ascii="宋体" w:hAnsi="宋体" w:cs="宋体"/>
          <w:color w:val="auto"/>
        </w:rPr>
      </w:pPr>
      <w:r>
        <w:rPr>
          <w:rFonts w:hint="eastAsia" w:ascii="宋体" w:hAnsi="宋体" w:cs="宋体"/>
          <w:color w:val="auto"/>
        </w:rPr>
        <w:t>除招标文件另有规定外，计量均应采用中华人民共和国法定计量单位；所有报价一律使用人民币，货币单位为“元”。</w:t>
      </w:r>
    </w:p>
    <w:p w14:paraId="2D107C15">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保密</w:t>
      </w:r>
    </w:p>
    <w:p w14:paraId="13C58764">
      <w:pPr>
        <w:pStyle w:val="33"/>
        <w:pageBreakBefore w:val="0"/>
        <w:widowControl w:val="0"/>
        <w:tabs>
          <w:tab w:val="left" w:pos="0"/>
        </w:tabs>
        <w:kinsoku/>
        <w:overflowPunct/>
        <w:topLinePunct w:val="0"/>
        <w:autoSpaceDE/>
        <w:autoSpaceDN/>
        <w:bidi w:val="0"/>
        <w:adjustRightInd w:val="0"/>
        <w:snapToGrid w:val="0"/>
        <w:spacing w:line="480" w:lineRule="exact"/>
        <w:ind w:firstLine="480"/>
        <w:jc w:val="both"/>
        <w:textAlignment w:val="auto"/>
        <w:rPr>
          <w:rFonts w:ascii="宋体" w:hAnsi="宋体" w:cs="宋体"/>
          <w:color w:val="auto"/>
        </w:rPr>
      </w:pPr>
      <w:r>
        <w:rPr>
          <w:rFonts w:hint="eastAsia" w:ascii="宋体" w:hAnsi="宋体" w:cs="宋体"/>
          <w:color w:val="auto"/>
        </w:rPr>
        <w:t>参与招标的当事人应对招标文件和响应文件中的商业和技术等秘密保密，违者应对由此造成的后果承担法律责任。</w:t>
      </w:r>
    </w:p>
    <w:p w14:paraId="738A54F7">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投标费用</w:t>
      </w:r>
    </w:p>
    <w:p w14:paraId="76D79DF2">
      <w:pPr>
        <w:pStyle w:val="33"/>
        <w:pageBreakBefore w:val="0"/>
        <w:widowControl w:val="0"/>
        <w:kinsoku/>
        <w:overflowPunct/>
        <w:topLinePunct w:val="0"/>
        <w:autoSpaceDE/>
        <w:autoSpaceDN/>
        <w:bidi w:val="0"/>
        <w:adjustRightInd w:val="0"/>
        <w:snapToGrid w:val="0"/>
        <w:spacing w:line="480" w:lineRule="exact"/>
        <w:ind w:firstLine="480"/>
        <w:jc w:val="both"/>
        <w:textAlignment w:val="auto"/>
        <w:rPr>
          <w:rFonts w:ascii="宋体" w:hAnsi="宋体" w:cs="宋体"/>
          <w:color w:val="auto"/>
        </w:rPr>
      </w:pPr>
      <w:r>
        <w:rPr>
          <w:rFonts w:hint="eastAsia" w:ascii="宋体" w:hAnsi="宋体" w:cs="宋体"/>
          <w:color w:val="auto"/>
        </w:rPr>
        <w:t>不论投标的结果如何，投标人均自行承担所有与参加本次投标有关的费用。</w:t>
      </w:r>
    </w:p>
    <w:p w14:paraId="3710D0A6">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投标有效期</w:t>
      </w:r>
    </w:p>
    <w:p w14:paraId="2D15B23C">
      <w:pPr>
        <w:pStyle w:val="107"/>
        <w:pageBreakBefore w:val="0"/>
        <w:widowControl w:val="0"/>
        <w:numPr>
          <w:ilvl w:val="1"/>
          <w:numId w:val="6"/>
        </w:numPr>
        <w:kinsoku/>
        <w:overflowPunct/>
        <w:topLinePunct w:val="0"/>
        <w:autoSpaceDE/>
        <w:autoSpaceDN/>
        <w:bidi w:val="0"/>
        <w:adjustRightInd w:val="0"/>
        <w:snapToGrid w:val="0"/>
        <w:spacing w:line="480" w:lineRule="exact"/>
        <w:ind w:left="0" w:firstLine="480" w:firstLineChars="200"/>
        <w:textAlignment w:val="auto"/>
        <w:rPr>
          <w:rFonts w:ascii="宋体" w:hAnsi="宋体" w:cs="宋体"/>
          <w:color w:val="auto"/>
          <w:sz w:val="24"/>
          <w:szCs w:val="24"/>
          <w:lang w:eastAsia="zh-CN"/>
        </w:rPr>
      </w:pPr>
      <w:r>
        <w:rPr>
          <w:rFonts w:hint="eastAsia" w:ascii="宋体" w:hAnsi="宋体" w:cs="宋体"/>
          <w:color w:val="auto"/>
          <w:sz w:val="24"/>
          <w:szCs w:val="24"/>
          <w:lang w:eastAsia="zh-CN"/>
        </w:rPr>
        <w:t>在投标人须知前附表规定的投标有效期内，响应文件以及其补充、承诺等部分均保持有效。</w:t>
      </w:r>
    </w:p>
    <w:p w14:paraId="4381F478">
      <w:pPr>
        <w:pStyle w:val="107"/>
        <w:pageBreakBefore w:val="0"/>
        <w:widowControl w:val="0"/>
        <w:numPr>
          <w:ilvl w:val="1"/>
          <w:numId w:val="6"/>
        </w:numPr>
        <w:kinsoku/>
        <w:overflowPunct/>
        <w:topLinePunct w:val="0"/>
        <w:autoSpaceDE/>
        <w:autoSpaceDN/>
        <w:bidi w:val="0"/>
        <w:adjustRightInd w:val="0"/>
        <w:snapToGrid w:val="0"/>
        <w:spacing w:line="480" w:lineRule="exact"/>
        <w:ind w:left="0" w:firstLine="480" w:firstLineChars="200"/>
        <w:textAlignment w:val="auto"/>
        <w:rPr>
          <w:rFonts w:ascii="宋体" w:hAnsi="宋体" w:cs="宋体"/>
          <w:color w:val="auto"/>
          <w:sz w:val="24"/>
          <w:szCs w:val="24"/>
          <w:lang w:eastAsia="zh-CN"/>
        </w:rPr>
      </w:pPr>
      <w:r>
        <w:rPr>
          <w:rFonts w:hint="eastAsia" w:ascii="宋体" w:hAnsi="宋体" w:cs="宋体"/>
          <w:color w:val="auto"/>
          <w:sz w:val="24"/>
          <w:szCs w:val="24"/>
          <w:lang w:eastAsia="zh-CN"/>
        </w:rPr>
        <w:t>在招标文件规定的响应文件有效期满之前，如果出现特殊情况，采购人或者采购代理机构可在投标有效期内要求投标人延长有效期，要求与答复均以书面通知为准并作为招标文件和响应文件的组成部分。</w:t>
      </w:r>
    </w:p>
    <w:p w14:paraId="305E9C64">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分包与转包</w:t>
      </w:r>
    </w:p>
    <w:p w14:paraId="392D7A96">
      <w:pPr>
        <w:pStyle w:val="107"/>
        <w:pageBreakBefore w:val="0"/>
        <w:widowControl w:val="0"/>
        <w:tabs>
          <w:tab w:val="left" w:pos="0"/>
        </w:tabs>
        <w:kinsoku/>
        <w:overflowPunct/>
        <w:topLinePunct w:val="0"/>
        <w:autoSpaceDE/>
        <w:autoSpaceDN/>
        <w:bidi w:val="0"/>
        <w:adjustRightInd w:val="0"/>
        <w:snapToGrid w:val="0"/>
        <w:spacing w:line="480" w:lineRule="exact"/>
        <w:ind w:firstLine="480" w:firstLineChars="200"/>
        <w:textAlignment w:val="auto"/>
        <w:rPr>
          <w:rFonts w:ascii="宋体" w:hAnsi="宋体" w:cs="宋体"/>
          <w:color w:val="auto"/>
          <w:sz w:val="24"/>
          <w:szCs w:val="24"/>
          <w:lang w:eastAsia="zh-CN"/>
        </w:rPr>
      </w:pPr>
      <w:r>
        <w:rPr>
          <w:rFonts w:hint="eastAsia" w:ascii="宋体" w:hAnsi="宋体" w:cs="宋体"/>
          <w:color w:val="auto"/>
          <w:sz w:val="24"/>
          <w:szCs w:val="24"/>
          <w:lang w:eastAsia="zh-CN"/>
        </w:rPr>
        <w:t>不允许。</w:t>
      </w:r>
    </w:p>
    <w:p w14:paraId="35156CFE">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现场勘察</w:t>
      </w:r>
    </w:p>
    <w:p w14:paraId="18D2ECBB">
      <w:pPr>
        <w:pStyle w:val="33"/>
        <w:pageBreakBefore w:val="0"/>
        <w:widowControl w:val="0"/>
        <w:kinsoku/>
        <w:overflowPunct/>
        <w:topLinePunct w:val="0"/>
        <w:autoSpaceDE/>
        <w:autoSpaceDN/>
        <w:bidi w:val="0"/>
        <w:adjustRightInd w:val="0"/>
        <w:snapToGrid w:val="0"/>
        <w:spacing w:line="480" w:lineRule="exact"/>
        <w:ind w:firstLine="480"/>
        <w:jc w:val="both"/>
        <w:textAlignment w:val="auto"/>
        <w:rPr>
          <w:rFonts w:ascii="宋体" w:hAnsi="宋体" w:cs="宋体"/>
          <w:color w:val="auto"/>
        </w:rPr>
      </w:pPr>
      <w:r>
        <w:rPr>
          <w:rFonts w:hint="eastAsia" w:ascii="宋体" w:hAnsi="宋体" w:cs="宋体"/>
          <w:color w:val="auto"/>
        </w:rPr>
        <w:t>投标人自行勘察现场以获取有关编制响应文件和签署合同所涉及现场的资料，但需经采购人允许方可为勘察目的进入采购人的项目现场。不得因勘察现场而使采购人承担有关的责任和蒙受损失，投标人应承担勘察现场的责任和风险以及承担勘察现场所发生的费用。</w:t>
      </w:r>
    </w:p>
    <w:p w14:paraId="025B6B7B">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知识产权</w:t>
      </w:r>
    </w:p>
    <w:p w14:paraId="7C46D84C">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投标人应保证在本项目使用的任何产品和服务（包括部分使用）时，不会侵犯第三方的其专利权、商标权或其它知识产权，否则因此引起的法律和经济纠纷，由投标人按其过错承担所有相关责任。</w:t>
      </w:r>
    </w:p>
    <w:p w14:paraId="5A8F9F60">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投标人为采购人在本项目中定制化的工作成果所涉知识产权归属于采购人。投标人为本项目而使用的工具、软件、系统、代码、文档、图表等知识产权及产权均归属于中标人或权利人，采购人可为本项目之目的在本合同有效期内非独占、非排他的使用。</w:t>
      </w:r>
    </w:p>
    <w:p w14:paraId="1AC01736">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如采用投标人所不拥有的知识产权，则在投标报价中必须包括合法获取该知识产权的相关费用。</w:t>
      </w:r>
    </w:p>
    <w:p w14:paraId="5484CFD4">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bCs/>
          <w:color w:val="auto"/>
        </w:rPr>
        <w:t>本项目落实采购优惠政策</w:t>
      </w:r>
    </w:p>
    <w:p w14:paraId="6A398EA5">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2"/>
        <w:jc w:val="both"/>
        <w:textAlignment w:val="auto"/>
        <w:rPr>
          <w:rFonts w:ascii="宋体" w:hAnsi="宋体" w:cs="宋体"/>
          <w:b/>
          <w:snapToGrid w:val="0"/>
          <w:color w:val="auto"/>
        </w:rPr>
      </w:pPr>
      <w:r>
        <w:rPr>
          <w:rFonts w:hint="eastAsia" w:ascii="宋体" w:hAnsi="宋体" w:cs="宋体"/>
          <w:b/>
          <w:color w:val="auto"/>
        </w:rPr>
        <w:t>中小企业优惠政策</w:t>
      </w:r>
    </w:p>
    <w:p w14:paraId="0B6AAD54">
      <w:pPr>
        <w:pStyle w:val="33"/>
        <w:pageBreakBefore w:val="0"/>
        <w:widowControl w:val="0"/>
        <w:numPr>
          <w:ilvl w:val="255"/>
          <w:numId w:val="0"/>
        </w:numPr>
        <w:tabs>
          <w:tab w:val="left" w:pos="0"/>
        </w:tabs>
        <w:kinsoku/>
        <w:overflowPunct/>
        <w:topLinePunct w:val="0"/>
        <w:autoSpaceDE/>
        <w:autoSpaceDN/>
        <w:bidi w:val="0"/>
        <w:adjustRightInd w:val="0"/>
        <w:snapToGrid w:val="0"/>
        <w:spacing w:line="480" w:lineRule="exact"/>
        <w:ind w:firstLine="482" w:firstLineChars="200"/>
        <w:jc w:val="both"/>
        <w:textAlignment w:val="auto"/>
        <w:rPr>
          <w:rFonts w:ascii="宋体" w:hAnsi="宋体" w:cs="宋体"/>
          <w:b/>
          <w:snapToGrid w:val="0"/>
          <w:color w:val="auto"/>
        </w:rPr>
      </w:pPr>
      <w:r>
        <w:rPr>
          <w:rFonts w:hint="eastAsia" w:ascii="宋体" w:hAnsi="宋体" w:cs="宋体"/>
          <w:b/>
          <w:color w:val="auto"/>
        </w:rPr>
        <w:t>详见投标人须知前附表第3</w:t>
      </w:r>
      <w:r>
        <w:rPr>
          <w:rFonts w:hint="eastAsia" w:ascii="宋体" w:hAnsi="宋体" w:cs="宋体"/>
          <w:b/>
          <w:color w:val="auto"/>
          <w:lang w:val="en-US" w:eastAsia="zh-CN"/>
        </w:rPr>
        <w:t>8</w:t>
      </w:r>
      <w:r>
        <w:rPr>
          <w:rFonts w:hint="eastAsia" w:ascii="宋体" w:hAnsi="宋体" w:cs="宋体"/>
          <w:b/>
          <w:color w:val="auto"/>
        </w:rPr>
        <w:t>条。</w:t>
      </w:r>
    </w:p>
    <w:p w14:paraId="0A8791B1">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特别说明</w:t>
      </w:r>
    </w:p>
    <w:p w14:paraId="6775AE9A">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投标人应仔细阅读招标文件的所有内容，按照招标文件的要求提交投标文件，并对所提供的全部资料的真实性承担法律责任。</w:t>
      </w:r>
    </w:p>
    <w:p w14:paraId="4E48A16A">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r>
        <w:rPr>
          <w:rFonts w:hint="eastAsia" w:ascii="宋体" w:hAnsi="宋体" w:cs="宋体"/>
          <w:color w:val="auto"/>
        </w:rPr>
        <w:t>投标人已明知采购期间或之后企业将发生兼并改制，或提供的产品将停产、淘汰，或必须有偿使用指定的第三方中间件和插件的，及其他应当告知采购人可能影响采购项目实施或损害采购人利益的信息，必须在响应文件中予以特别说明，否则，采购人可以拒绝其响应文件。</w:t>
      </w:r>
    </w:p>
    <w:p w14:paraId="772817CB">
      <w:pPr>
        <w:pStyle w:val="33"/>
        <w:pageBreakBefore w:val="0"/>
        <w:widowControl w:val="0"/>
        <w:numPr>
          <w:ilvl w:val="1"/>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rPr>
      </w:pPr>
      <w:bookmarkStart w:id="366" w:name="_Toc361434895"/>
      <w:bookmarkStart w:id="367" w:name="_Toc496962945"/>
      <w:bookmarkStart w:id="368" w:name="_Toc23248"/>
      <w:bookmarkStart w:id="369" w:name="_Toc27436"/>
      <w:bookmarkStart w:id="370" w:name="_Toc14280"/>
      <w:bookmarkStart w:id="371" w:name="_Toc6035"/>
      <w:bookmarkStart w:id="372" w:name="_Toc361437145"/>
      <w:bookmarkStart w:id="373" w:name="_Toc101321791"/>
      <w:bookmarkStart w:id="374" w:name="_Toc361434799"/>
      <w:bookmarkStart w:id="375" w:name="_Toc12781"/>
      <w:bookmarkStart w:id="376" w:name="_Toc4362"/>
      <w:bookmarkStart w:id="377" w:name="_Toc361434559"/>
      <w:bookmarkStart w:id="378" w:name="_Toc452528600"/>
      <w:bookmarkStart w:id="379" w:name="_Toc361434460"/>
      <w:bookmarkStart w:id="380" w:name="_Toc14228"/>
      <w:bookmarkStart w:id="381" w:name="_Toc28916"/>
      <w:bookmarkStart w:id="382" w:name="_Toc4333"/>
      <w:bookmarkStart w:id="383" w:name="_Toc10567"/>
      <w:bookmarkStart w:id="384" w:name="_Toc38"/>
      <w:bookmarkStart w:id="385" w:name="_Toc1747"/>
      <w:bookmarkStart w:id="386" w:name="_Toc9389"/>
      <w:r>
        <w:rPr>
          <w:rFonts w:hint="eastAsia" w:ascii="宋体" w:hAnsi="宋体" w:cs="宋体"/>
          <w:color w:val="auto"/>
        </w:rPr>
        <w:t>▲特别说明：</w:t>
      </w:r>
    </w:p>
    <w:p w14:paraId="58A49C0B">
      <w:pPr>
        <w:pageBreakBefore w:val="0"/>
        <w:kinsoku/>
        <w:overflowPunct/>
        <w:topLinePunct w:val="0"/>
        <w:autoSpaceDE/>
        <w:autoSpaceDN/>
        <w:bidi w:val="0"/>
        <w:snapToGrid w:val="0"/>
        <w:spacing w:line="480" w:lineRule="exact"/>
        <w:ind w:firstLine="240" w:firstLineChars="1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lang w:val="en-US" w:eastAsia="zh-CN"/>
        </w:rPr>
        <w:t>①</w:t>
      </w:r>
      <w:r>
        <w:rPr>
          <w:rFonts w:hint="eastAsia" w:ascii="宋体" w:hAnsi="宋体" w:eastAsia="宋体" w:cs="宋体"/>
          <w:color w:val="auto"/>
          <w:kern w:val="0"/>
          <w:szCs w:val="24"/>
          <w:highlight w:val="none"/>
        </w:rPr>
        <w:t>▲单位负责人为同一人或者存在直接控股、管理关系的不同供应商，不得参加本项目的国企采购活动。</w:t>
      </w:r>
    </w:p>
    <w:p w14:paraId="536966E6">
      <w:pPr>
        <w:pageBreakBefore w:val="0"/>
        <w:kinsoku/>
        <w:overflowPunct/>
        <w:topLinePunct w:val="0"/>
        <w:autoSpaceDE/>
        <w:autoSpaceDN/>
        <w:bidi w:val="0"/>
        <w:snapToGrid w:val="0"/>
        <w:spacing w:line="480" w:lineRule="exact"/>
        <w:ind w:firstLine="240" w:firstLineChars="1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lang w:val="en-US" w:eastAsia="zh-CN"/>
        </w:rPr>
        <w:t>②</w:t>
      </w:r>
      <w:r>
        <w:rPr>
          <w:rFonts w:hint="eastAsia" w:ascii="宋体" w:hAnsi="宋体" w:eastAsia="宋体" w:cs="宋体"/>
          <w:color w:val="auto"/>
          <w:kern w:val="0"/>
          <w:szCs w:val="24"/>
          <w:highlight w:val="none"/>
        </w:rPr>
        <w:t>▲</w:t>
      </w:r>
      <w:r>
        <w:rPr>
          <w:rFonts w:hint="eastAsia" w:ascii="宋体" w:hAnsi="宋体" w:eastAsia="宋体" w:cs="宋体"/>
          <w:color w:val="auto"/>
          <w:szCs w:val="24"/>
          <w:highlight w:val="none"/>
          <w:lang w:val="zh-CN"/>
        </w:rPr>
        <w:t>《龙游县国有企业采购管理办法》</w:t>
      </w:r>
      <w:r>
        <w:rPr>
          <w:rFonts w:hint="eastAsia" w:ascii="宋体" w:hAnsi="宋体" w:eastAsia="宋体" w:cs="宋体"/>
          <w:color w:val="auto"/>
          <w:kern w:val="0"/>
          <w:szCs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B751C7E">
      <w:pPr>
        <w:pageBreakBefore w:val="0"/>
        <w:kinsoku/>
        <w:overflowPunct/>
        <w:topLinePunct w:val="0"/>
        <w:autoSpaceDE/>
        <w:autoSpaceDN/>
        <w:bidi w:val="0"/>
        <w:snapToGrid w:val="0"/>
        <w:spacing w:line="48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非单一产品采购项目，招标文件中确定核心产品。多家投标人提供的核心产品品牌全部相同的，按前款规定处理。</w:t>
      </w:r>
    </w:p>
    <w:p w14:paraId="2DB72D3F">
      <w:pPr>
        <w:pageBreakBefore w:val="0"/>
        <w:kinsoku/>
        <w:overflowPunct/>
        <w:topLinePunct w:val="0"/>
        <w:autoSpaceDE/>
        <w:autoSpaceDN/>
        <w:bidi w:val="0"/>
        <w:snapToGrid w:val="0"/>
        <w:spacing w:line="480" w:lineRule="exact"/>
        <w:ind w:firstLine="240" w:firstLineChars="1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lang w:val="en-US" w:eastAsia="zh-CN"/>
        </w:rPr>
        <w:t>③</w:t>
      </w:r>
      <w:r>
        <w:rPr>
          <w:rFonts w:hint="eastAsia" w:ascii="宋体" w:hAnsi="宋体" w:eastAsia="宋体" w:cs="宋体"/>
          <w:color w:val="auto"/>
          <w:kern w:val="0"/>
          <w:szCs w:val="24"/>
          <w:highlight w:val="none"/>
        </w:rPr>
        <w:t>▲投标人投标所使用的资格、信誉、荣誉、业绩与企业认证必须为本法人所拥有。投标人母公司（总机构）或者同一母公司下属的其他子公司（同一总机构下属的其他分支机构）的资格、信誉、荣誉、业绩与企业认证等，不为该投标人所拥有。</w:t>
      </w:r>
    </w:p>
    <w:p w14:paraId="3E04E68C">
      <w:pPr>
        <w:pageBreakBefore w:val="0"/>
        <w:kinsoku/>
        <w:overflowPunct/>
        <w:topLinePunct w:val="0"/>
        <w:autoSpaceDE/>
        <w:autoSpaceDN/>
        <w:bidi w:val="0"/>
        <w:snapToGrid w:val="0"/>
        <w:spacing w:line="480" w:lineRule="exact"/>
        <w:ind w:firstLine="240" w:firstLineChars="1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lang w:val="en-US" w:eastAsia="zh-CN"/>
        </w:rPr>
        <w:t>④</w:t>
      </w:r>
      <w:r>
        <w:rPr>
          <w:rFonts w:hint="eastAsia" w:ascii="宋体" w:hAnsi="宋体" w:eastAsia="宋体" w:cs="宋体"/>
          <w:color w:val="auto"/>
          <w:kern w:val="0"/>
          <w:szCs w:val="24"/>
          <w:highlight w:val="none"/>
        </w:rPr>
        <w:t>▲投标人应仔细阅读招标文件的所有内容，按照招标文件的要求提交投标文件，并对所提供的全部资料的真实性承担法律责任。</w:t>
      </w:r>
    </w:p>
    <w:p w14:paraId="2819B674">
      <w:pPr>
        <w:pageBreakBefore w:val="0"/>
        <w:kinsoku/>
        <w:overflowPunct/>
        <w:topLinePunct w:val="0"/>
        <w:autoSpaceDE/>
        <w:autoSpaceDN/>
        <w:bidi w:val="0"/>
        <w:snapToGrid w:val="0"/>
        <w:spacing w:line="48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lang w:val="en-US" w:eastAsia="zh-CN"/>
        </w:rPr>
        <w:t>⑤</w:t>
      </w:r>
      <w:r>
        <w:rPr>
          <w:rFonts w:hint="eastAsia" w:ascii="宋体" w:hAnsi="宋体" w:eastAsia="宋体" w:cs="宋体"/>
          <w:color w:val="auto"/>
          <w:kern w:val="0"/>
          <w:szCs w:val="24"/>
          <w:highlight w:val="none"/>
        </w:rPr>
        <w:t>▲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14:paraId="756791DB">
      <w:pPr>
        <w:pageBreakBefore w:val="0"/>
        <w:kinsoku/>
        <w:overflowPunct/>
        <w:topLinePunct w:val="0"/>
        <w:autoSpaceDE/>
        <w:autoSpaceDN/>
        <w:bidi w:val="0"/>
        <w:spacing w:line="480" w:lineRule="exact"/>
        <w:ind w:left="0" w:leftChars="0" w:firstLine="240" w:firstLineChars="100"/>
        <w:textAlignment w:val="auto"/>
        <w:rPr>
          <w:rFonts w:ascii="宋体" w:hAnsi="宋体" w:cs="宋体"/>
          <w:color w:val="auto"/>
        </w:rPr>
      </w:pPr>
      <w:r>
        <w:rPr>
          <w:rFonts w:hint="eastAsia" w:ascii="宋体" w:hAnsi="宋体" w:eastAsia="宋体" w:cs="宋体"/>
          <w:color w:val="auto"/>
          <w:lang w:val="en-US" w:eastAsia="zh-CN"/>
        </w:rPr>
        <w:t>⑥</w:t>
      </w:r>
      <w:r>
        <w:rPr>
          <w:rFonts w:hint="eastAsia" w:ascii="宋体" w:hAnsi="宋体" w:eastAsia="宋体" w:cs="宋体"/>
          <w:color w:val="auto"/>
        </w:rPr>
        <w:t>投标人已明知采购期间或之后企业将发生兼并改制，或提供的产品将停产、淘汰，或必须有偿使用指定的第三方中间件和插件的，及其他应当告知采购人可能影响采购项目实施或</w:t>
      </w:r>
      <w:r>
        <w:rPr>
          <w:rFonts w:hint="eastAsia" w:ascii="宋体" w:hAnsi="宋体" w:cs="宋体"/>
          <w:color w:val="auto"/>
        </w:rPr>
        <w:t>损害采购人利益的信息，必须在投标文件中予以特别说明，否则，采购人可以拒绝其投标文件。</w:t>
      </w:r>
    </w:p>
    <w:p w14:paraId="114BC501">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387" w:name="_Toc26184"/>
      <w:bookmarkStart w:id="388" w:name="_Toc23065"/>
      <w:bookmarkStart w:id="389" w:name="_Toc14205"/>
      <w:bookmarkStart w:id="390" w:name="_Toc12052"/>
      <w:bookmarkStart w:id="391" w:name="_Toc9060"/>
      <w:r>
        <w:rPr>
          <w:rFonts w:hint="eastAsia" w:ascii="宋体" w:hAnsi="宋体" w:cs="宋体"/>
          <w:b/>
          <w:bCs w:val="0"/>
          <w:color w:val="auto"/>
          <w:lang w:bidi="ar"/>
        </w:rPr>
        <w:t>三、</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rFonts w:hint="eastAsia" w:ascii="宋体" w:hAnsi="宋体" w:cs="宋体"/>
          <w:b/>
          <w:bCs w:val="0"/>
          <w:color w:val="auto"/>
          <w:lang w:bidi="ar"/>
        </w:rPr>
        <w:t>招标文件</w:t>
      </w:r>
      <w:bookmarkEnd w:id="381"/>
      <w:bookmarkEnd w:id="382"/>
      <w:bookmarkEnd w:id="383"/>
      <w:bookmarkEnd w:id="384"/>
      <w:bookmarkEnd w:id="385"/>
      <w:bookmarkEnd w:id="386"/>
      <w:bookmarkEnd w:id="387"/>
      <w:bookmarkEnd w:id="388"/>
      <w:bookmarkEnd w:id="389"/>
      <w:bookmarkEnd w:id="390"/>
      <w:bookmarkEnd w:id="391"/>
    </w:p>
    <w:p w14:paraId="610386BC">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招标文件的组成</w:t>
      </w:r>
    </w:p>
    <w:p w14:paraId="582E9199">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rPr>
      </w:pPr>
      <w:r>
        <w:rPr>
          <w:rFonts w:hint="eastAsia" w:ascii="宋体" w:hAnsi="宋体" w:cs="宋体"/>
          <w:color w:val="auto"/>
        </w:rPr>
        <w:t>招标公告</w:t>
      </w:r>
    </w:p>
    <w:p w14:paraId="68278A89">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rPr>
      </w:pPr>
      <w:r>
        <w:rPr>
          <w:rFonts w:hint="eastAsia" w:ascii="宋体" w:hAnsi="宋体" w:cs="宋体"/>
          <w:color w:val="auto"/>
        </w:rPr>
        <w:t>投标须知前附表及投标须知</w:t>
      </w:r>
    </w:p>
    <w:p w14:paraId="1876263B">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rPr>
      </w:pPr>
      <w:r>
        <w:rPr>
          <w:rFonts w:hint="eastAsia" w:ascii="宋体" w:hAnsi="宋体" w:cs="宋体"/>
          <w:color w:val="auto"/>
        </w:rPr>
        <w:t>采购内容及要求</w:t>
      </w:r>
    </w:p>
    <w:p w14:paraId="125EF731">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rPr>
      </w:pPr>
      <w:r>
        <w:rPr>
          <w:rFonts w:hint="eastAsia" w:ascii="宋体" w:hAnsi="宋体" w:cs="宋体"/>
          <w:color w:val="auto"/>
        </w:rPr>
        <w:t>合同的主要条款</w:t>
      </w:r>
    </w:p>
    <w:p w14:paraId="4A957759">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rPr>
      </w:pPr>
      <w:r>
        <w:rPr>
          <w:rFonts w:hint="eastAsia" w:ascii="宋体" w:hAnsi="宋体" w:cs="宋体"/>
          <w:color w:val="auto"/>
        </w:rPr>
        <w:t>应提交的有关格式范例</w:t>
      </w:r>
    </w:p>
    <w:p w14:paraId="151A5F6D">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rPr>
      </w:pPr>
      <w:r>
        <w:rPr>
          <w:rFonts w:hint="eastAsia" w:ascii="宋体" w:hAnsi="宋体" w:cs="宋体"/>
          <w:color w:val="auto"/>
        </w:rPr>
        <w:t>评标办法及开评标程序</w:t>
      </w:r>
      <w:bookmarkStart w:id="392" w:name="_Toc9200"/>
      <w:bookmarkStart w:id="393" w:name="_Toc19778"/>
      <w:bookmarkStart w:id="394" w:name="_Toc22903"/>
      <w:bookmarkStart w:id="395" w:name="_Toc13569"/>
      <w:bookmarkStart w:id="396" w:name="_Toc2522"/>
      <w:bookmarkStart w:id="397" w:name="_Toc31745"/>
      <w:bookmarkStart w:id="398" w:name="_Toc356371435"/>
      <w:bookmarkStart w:id="399" w:name="_Toc366144032"/>
      <w:bookmarkStart w:id="400" w:name="_Toc5619"/>
      <w:bookmarkStart w:id="401" w:name="_Toc11932"/>
      <w:bookmarkStart w:id="402" w:name="_Toc16377"/>
    </w:p>
    <w:p w14:paraId="3E4DB698">
      <w:pPr>
        <w:pStyle w:val="33"/>
        <w:pageBreakBefore w:val="0"/>
        <w:widowControl w:val="0"/>
        <w:numPr>
          <w:ilvl w:val="0"/>
          <w:numId w:val="3"/>
        </w:numPr>
        <w:kinsoku/>
        <w:overflowPunct/>
        <w:topLinePunct w:val="0"/>
        <w:autoSpaceDE/>
        <w:autoSpaceDN/>
        <w:bidi w:val="0"/>
        <w:adjustRightInd w:val="0"/>
        <w:snapToGri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招标文件的澄清及修改</w:t>
      </w:r>
    </w:p>
    <w:p w14:paraId="0A5C3342">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任何要求对招标文件进行澄清的投标人，均应按招标公告中规定的时间和通讯地址，以书面形式（如信件、传真等）送达招标组织人，在规定时间内未收到质疑则视为各投标人均对此无异议。招标组织人对规定时间前收到的任何质疑将在</w:t>
      </w:r>
      <w:r>
        <w:rPr>
          <w:rFonts w:hint="eastAsia" w:ascii="宋体" w:hAnsi="宋体" w:cs="宋体"/>
          <w:color w:val="auto"/>
        </w:rPr>
        <w:t>衢州市阳光交易服务平台（https://qzygjy.com/）</w:t>
      </w:r>
      <w:r>
        <w:rPr>
          <w:rFonts w:hint="eastAsia" w:ascii="宋体" w:hAnsi="宋体" w:cs="宋体"/>
          <w:color w:val="auto"/>
          <w:lang w:val="zh-CN"/>
        </w:rPr>
        <w:t>、</w:t>
      </w:r>
      <w:r>
        <w:rPr>
          <w:rFonts w:hint="eastAsia" w:ascii="宋体" w:hAnsi="宋体" w:cs="宋体"/>
          <w:color w:val="auto"/>
          <w:lang w:bidi="ar"/>
        </w:rPr>
        <w:t>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宋体" w:hAnsi="宋体" w:cs="宋体"/>
          <w:color w:val="auto"/>
          <w:lang w:bidi="ar"/>
        </w:rPr>
        <w:t>http://zfcg.czt.zj.gov.cn/</w:t>
      </w:r>
      <w:r>
        <w:rPr>
          <w:rFonts w:hint="eastAsia" w:ascii="宋体" w:hAnsi="宋体" w:cs="宋体"/>
          <w:color w:val="auto"/>
          <w:lang w:bidi="ar"/>
        </w:rPr>
        <w:fldChar w:fldCharType="end"/>
      </w:r>
      <w:r>
        <w:rPr>
          <w:rFonts w:hint="eastAsia" w:ascii="宋体" w:hAnsi="宋体" w:cs="宋体"/>
          <w:color w:val="auto"/>
          <w:lang w:bidi="ar"/>
        </w:rPr>
        <w:t>）公布澄清，投标人自行到网上查看。无论是采购人根据需要主动对招标文件进行必要的修改或是根据投标人的要求对招标文件做出答复（答复中不包括问题的来源），并视为本招标文件的组成部分。</w:t>
      </w:r>
    </w:p>
    <w:p w14:paraId="743422E7">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因其他紧急情况影响本项目正常招标活动的，招标组织人将于投标截止日期5天前书面通知所有已报名的投标人。</w:t>
      </w:r>
    </w:p>
    <w:p w14:paraId="0C26CF17">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不论采购人向投标人发送的资料文件，还是投标人提出的问题，均通过</w:t>
      </w:r>
      <w:r>
        <w:rPr>
          <w:rFonts w:hint="eastAsia" w:ascii="宋体" w:hAnsi="宋体" w:cs="宋体"/>
          <w:color w:val="auto"/>
        </w:rPr>
        <w:t>衢州市阳光交易服务平台（https://qzygjy.com/）、</w:t>
      </w:r>
      <w:r>
        <w:rPr>
          <w:rFonts w:hint="eastAsia" w:ascii="宋体" w:hAnsi="宋体" w:cs="宋体"/>
          <w:color w:val="auto"/>
          <w:lang w:bidi="ar"/>
        </w:rPr>
        <w:t>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宋体" w:hAnsi="宋体" w:cs="宋体"/>
          <w:color w:val="auto"/>
          <w:lang w:bidi="ar"/>
        </w:rPr>
        <w:t>http://zfcg.czt.zj.gov.cn/</w:t>
      </w:r>
      <w:r>
        <w:rPr>
          <w:rFonts w:hint="eastAsia" w:ascii="宋体" w:hAnsi="宋体" w:cs="宋体"/>
          <w:color w:val="auto"/>
          <w:lang w:bidi="ar"/>
        </w:rPr>
        <w:fldChar w:fldCharType="end"/>
      </w:r>
      <w:r>
        <w:rPr>
          <w:rFonts w:hint="eastAsia" w:ascii="宋体" w:hAnsi="宋体" w:cs="宋体"/>
          <w:color w:val="auto"/>
          <w:lang w:bidi="ar"/>
        </w:rPr>
        <w:t>）发布，任何口头提问及答复一律无效。</w:t>
      </w:r>
    </w:p>
    <w:p w14:paraId="1320AFC8">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当招标文件、澄清（答疑）纪要内容相互矛盾时，以最后发出的通知（或纪要）或修改文件为准。</w:t>
      </w:r>
    </w:p>
    <w:p w14:paraId="49CDE0D4">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若有必要，采购人将酌情延长递交投标文件的截止日期。</w:t>
      </w:r>
    </w:p>
    <w:p w14:paraId="3205E8FF">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403" w:name="_Toc2313"/>
      <w:bookmarkStart w:id="404" w:name="_Toc1014"/>
      <w:bookmarkStart w:id="405" w:name="_Toc8318"/>
      <w:bookmarkStart w:id="406" w:name="_Toc27315"/>
      <w:bookmarkStart w:id="407" w:name="_Toc9649"/>
      <w:bookmarkStart w:id="408" w:name="_Toc4773"/>
      <w:bookmarkStart w:id="409" w:name="_Toc21937"/>
      <w:bookmarkStart w:id="410" w:name="_Toc26168"/>
      <w:bookmarkStart w:id="411" w:name="_Toc20129"/>
      <w:bookmarkStart w:id="412" w:name="_Toc7119"/>
      <w:bookmarkStart w:id="413" w:name="_Toc7917"/>
      <w:bookmarkStart w:id="414" w:name="_Toc20563"/>
      <w:bookmarkStart w:id="415" w:name="_Toc7618"/>
      <w:bookmarkStart w:id="416" w:name="_Toc24001"/>
      <w:bookmarkStart w:id="417" w:name="_Toc26092"/>
      <w:bookmarkStart w:id="418" w:name="_Toc11019"/>
      <w:bookmarkStart w:id="419" w:name="_Toc31816"/>
      <w:bookmarkStart w:id="420" w:name="_Toc15778"/>
      <w:bookmarkStart w:id="421" w:name="_Toc26069"/>
      <w:bookmarkStart w:id="422" w:name="_Toc12858"/>
      <w:bookmarkStart w:id="423" w:name="_Toc14300"/>
      <w:bookmarkStart w:id="424" w:name="_Toc18666"/>
      <w:bookmarkStart w:id="425" w:name="_Toc1555"/>
      <w:bookmarkStart w:id="426" w:name="_Toc31580"/>
      <w:bookmarkStart w:id="427" w:name="_Toc11335"/>
      <w:bookmarkStart w:id="428" w:name="_Toc10055"/>
      <w:bookmarkStart w:id="429" w:name="_Toc9684"/>
      <w:bookmarkStart w:id="430" w:name="_Toc69"/>
      <w:bookmarkStart w:id="431" w:name="_Toc29403"/>
      <w:bookmarkStart w:id="432" w:name="_Toc30018"/>
      <w:bookmarkStart w:id="433" w:name="_Toc15023"/>
      <w:bookmarkStart w:id="434" w:name="_Toc16426"/>
      <w:r>
        <w:rPr>
          <w:rFonts w:hint="eastAsia" w:ascii="宋体" w:hAnsi="宋体" w:cs="宋体"/>
          <w:b/>
          <w:bCs w:val="0"/>
          <w:color w:val="auto"/>
          <w:lang w:bidi="ar"/>
        </w:rPr>
        <w:t>四、投标文件的编制</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15759DB7">
      <w:pPr>
        <w:pStyle w:val="33"/>
        <w:pageBreakBefore w:val="0"/>
        <w:numPr>
          <w:ilvl w:val="0"/>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总体要求</w:t>
      </w:r>
    </w:p>
    <w:p w14:paraId="69397618">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投标人应仔细阅读招标文件的所有内容，按本文件的要求提供投标文件，并保证所提供的全部资料的真实性和有效性，以使其投标文件对招标文件作出实质性响应，否则，其投标文件可能导致废标处理。</w:t>
      </w:r>
    </w:p>
    <w:p w14:paraId="70314636">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投标文件及投标人与采购有关的来往通知，函件和文件均应使用中文。</w:t>
      </w:r>
    </w:p>
    <w:p w14:paraId="495B5830">
      <w:pPr>
        <w:pStyle w:val="33"/>
        <w:pageBreakBefore w:val="0"/>
        <w:numPr>
          <w:ilvl w:val="1"/>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投标人应按本文件中提供的文件格式、内容和要求制作投标文件。投标文件应装订成册。</w:t>
      </w:r>
    </w:p>
    <w:p w14:paraId="64AB5294">
      <w:pPr>
        <w:pStyle w:val="33"/>
        <w:pageBreakBefore w:val="0"/>
        <w:numPr>
          <w:ilvl w:val="0"/>
          <w:numId w:val="3"/>
        </w:numPr>
        <w:kinsoku/>
        <w:overflowPunct/>
        <w:topLinePunct w:val="0"/>
        <w:autoSpaceDE/>
        <w:autoSpaceDN/>
        <w:bidi w:val="0"/>
        <w:adjustRightInd w:val="0"/>
        <w:spacing w:line="480" w:lineRule="exact"/>
        <w:ind w:left="0" w:firstLine="480"/>
        <w:jc w:val="both"/>
        <w:textAlignment w:val="auto"/>
        <w:rPr>
          <w:rFonts w:ascii="宋体" w:hAnsi="宋体" w:cs="宋体"/>
          <w:color w:val="auto"/>
          <w:lang w:bidi="ar"/>
        </w:rPr>
      </w:pPr>
      <w:r>
        <w:rPr>
          <w:rFonts w:hint="eastAsia" w:ascii="宋体" w:hAnsi="宋体" w:cs="宋体"/>
          <w:color w:val="auto"/>
          <w:lang w:bidi="ar"/>
        </w:rPr>
        <w:t>投标文件的组成</w:t>
      </w:r>
    </w:p>
    <w:p w14:paraId="50E6B122">
      <w:pPr>
        <w:pStyle w:val="16"/>
        <w:pageBreakBefore w:val="0"/>
        <w:tabs>
          <w:tab w:val="left" w:pos="0"/>
          <w:tab w:val="left" w:pos="993"/>
          <w:tab w:val="left" w:pos="1134"/>
        </w:tabs>
        <w:kinsoku/>
        <w:overflowPunct/>
        <w:topLinePunct w:val="0"/>
        <w:autoSpaceDE/>
        <w:autoSpaceDN/>
        <w:bidi w:val="0"/>
        <w:snapToGrid w:val="0"/>
        <w:spacing w:line="480" w:lineRule="exact"/>
        <w:ind w:firstLine="590" w:firstLineChars="246"/>
        <w:textAlignment w:val="auto"/>
        <w:rPr>
          <w:rFonts w:ascii="宋体" w:hAnsi="宋体" w:cs="宋体"/>
          <w:bCs w:val="0"/>
          <w:color w:val="auto"/>
          <w:lang w:bidi="ar"/>
        </w:rPr>
      </w:pPr>
      <w:r>
        <w:rPr>
          <w:rFonts w:hint="eastAsia" w:ascii="宋体" w:hAnsi="宋体" w:cs="宋体"/>
          <w:bCs w:val="0"/>
          <w:color w:val="auto"/>
          <w:lang w:bidi="ar"/>
        </w:rPr>
        <w:t>▲投标文件由资格审查文件、</w:t>
      </w:r>
      <w:r>
        <w:rPr>
          <w:rFonts w:hint="eastAsia" w:ascii="宋体" w:hAnsi="宋体" w:cs="宋体"/>
          <w:bCs w:val="0"/>
          <w:color w:val="auto"/>
          <w:lang w:eastAsia="zh-CN" w:bidi="ar"/>
        </w:rPr>
        <w:t>技术商务文件</w:t>
      </w:r>
      <w:r>
        <w:rPr>
          <w:rFonts w:hint="eastAsia" w:ascii="宋体" w:hAnsi="宋体" w:cs="宋体"/>
          <w:bCs w:val="0"/>
          <w:color w:val="auto"/>
          <w:lang w:bidi="ar"/>
        </w:rPr>
        <w:t>和报价文件三部分组成，使用CA锁加盖投标单位电子公章及法定代表人电子签章，用投标工具生成文件格式为“已加密投标文件”的电子投标文件，并将该格式的电子投标文件成功上传至衢州市阳光交易服务平台。</w:t>
      </w:r>
    </w:p>
    <w:p w14:paraId="4EB79454">
      <w:pPr>
        <w:pStyle w:val="33"/>
        <w:pageBreakBefore w:val="0"/>
        <w:numPr>
          <w:ilvl w:val="1"/>
          <w:numId w:val="7"/>
        </w:numPr>
        <w:tabs>
          <w:tab w:val="left" w:pos="171"/>
          <w:tab w:val="clear" w:pos="0"/>
        </w:tabs>
        <w:kinsoku/>
        <w:overflowPunct/>
        <w:topLinePunct w:val="0"/>
        <w:autoSpaceDE/>
        <w:autoSpaceDN/>
        <w:bidi w:val="0"/>
        <w:adjustRightInd w:val="0"/>
        <w:spacing w:line="480" w:lineRule="exact"/>
        <w:ind w:firstLine="482" w:firstLineChars="200"/>
        <w:jc w:val="both"/>
        <w:textAlignment w:val="auto"/>
        <w:rPr>
          <w:rFonts w:hint="eastAsia" w:ascii="宋体" w:hAnsi="宋体" w:eastAsia="宋体" w:cs="宋体"/>
          <w:b/>
          <w:bCs/>
          <w:color w:val="auto"/>
          <w:lang w:eastAsia="en-US" w:bidi="ar"/>
        </w:rPr>
      </w:pPr>
      <w:bookmarkStart w:id="435" w:name="_Toc677"/>
      <w:r>
        <w:rPr>
          <w:rFonts w:hint="eastAsia" w:ascii="宋体" w:hAnsi="宋体" w:eastAsia="宋体" w:cs="宋体"/>
          <w:b/>
          <w:bCs/>
          <w:color w:val="auto"/>
          <w:lang w:eastAsia="en-US" w:bidi="ar"/>
        </w:rPr>
        <w:t>资格审查文件</w:t>
      </w:r>
      <w:bookmarkEnd w:id="435"/>
    </w:p>
    <w:p w14:paraId="784C729C">
      <w:pPr>
        <w:pStyle w:val="33"/>
        <w:pageBreakBefore w:val="0"/>
        <w:numPr>
          <w:ilvl w:val="255"/>
          <w:numId w:val="0"/>
        </w:numPr>
        <w:tabs>
          <w:tab w:val="left" w:pos="171"/>
        </w:tabs>
        <w:kinsoku/>
        <w:overflowPunct/>
        <w:topLinePunct w:val="0"/>
        <w:autoSpaceDE/>
        <w:autoSpaceDN/>
        <w:bidi w:val="0"/>
        <w:spacing w:line="480" w:lineRule="exact"/>
        <w:ind w:firstLine="480" w:firstLineChars="200"/>
        <w:textAlignment w:val="auto"/>
        <w:rPr>
          <w:rFonts w:ascii="宋体" w:hAnsi="宋体" w:cs="宋体"/>
          <w:color w:val="auto"/>
          <w:lang w:eastAsia="en-US" w:bidi="ar"/>
        </w:rPr>
      </w:pPr>
      <w:bookmarkStart w:id="436" w:name="_Toc500208474"/>
      <w:r>
        <w:rPr>
          <w:rFonts w:hint="eastAsia" w:ascii="宋体" w:hAnsi="宋体" w:cs="宋体"/>
          <w:color w:val="auto"/>
          <w:lang w:eastAsia="en-US" w:bidi="ar"/>
        </w:rPr>
        <w:t>（1）</w:t>
      </w:r>
      <w:r>
        <w:rPr>
          <w:rFonts w:hint="eastAsia" w:ascii="宋体" w:hAnsi="宋体" w:cs="宋体"/>
          <w:b/>
          <w:bCs/>
          <w:color w:val="auto"/>
          <w:lang w:eastAsia="en-US" w:bidi="ar"/>
        </w:rPr>
        <w:t>▲</w:t>
      </w:r>
      <w:r>
        <w:rPr>
          <w:rFonts w:hint="eastAsia" w:ascii="宋体" w:hAnsi="宋体" w:cs="宋体"/>
          <w:color w:val="auto"/>
          <w:lang w:eastAsia="en-US" w:bidi="ar"/>
        </w:rPr>
        <w:t>投标人基本情况表；（附件1）</w:t>
      </w:r>
    </w:p>
    <w:p w14:paraId="3F09A142">
      <w:pPr>
        <w:pStyle w:val="33"/>
        <w:pageBreakBefore w:val="0"/>
        <w:numPr>
          <w:ilvl w:val="255"/>
          <w:numId w:val="0"/>
        </w:numPr>
        <w:tabs>
          <w:tab w:val="left" w:pos="171"/>
        </w:tabs>
        <w:kinsoku/>
        <w:overflowPunct/>
        <w:topLinePunct w:val="0"/>
        <w:autoSpaceDE/>
        <w:autoSpaceDN/>
        <w:bidi w:val="0"/>
        <w:spacing w:line="480" w:lineRule="exact"/>
        <w:ind w:firstLine="480" w:firstLineChars="200"/>
        <w:textAlignment w:val="auto"/>
        <w:rPr>
          <w:rFonts w:hint="eastAsia" w:ascii="宋体" w:hAnsi="宋体" w:cs="宋体"/>
          <w:color w:val="auto"/>
          <w:lang w:eastAsia="en-US" w:bidi="ar"/>
        </w:rPr>
      </w:pPr>
      <w:r>
        <w:rPr>
          <w:rFonts w:hint="eastAsia" w:ascii="宋体" w:hAnsi="宋体" w:cs="宋体"/>
          <w:color w:val="auto"/>
          <w:lang w:eastAsia="en-US" w:bidi="ar"/>
        </w:rPr>
        <w:t>（2）</w:t>
      </w:r>
      <w:r>
        <w:rPr>
          <w:rFonts w:hint="eastAsia" w:ascii="宋体" w:hAnsi="宋体" w:cs="宋体"/>
          <w:b/>
          <w:bCs/>
          <w:color w:val="auto"/>
          <w:lang w:eastAsia="en-US" w:bidi="ar"/>
        </w:rPr>
        <w:t>▲</w:t>
      </w:r>
      <w:r>
        <w:rPr>
          <w:rFonts w:hint="eastAsia" w:ascii="宋体" w:hAnsi="宋体" w:cs="宋体"/>
          <w:color w:val="auto"/>
          <w:lang w:eastAsia="en-US" w:bidi="ar"/>
        </w:rPr>
        <w:t>有效</w:t>
      </w:r>
      <w:r>
        <w:rPr>
          <w:rFonts w:hint="eastAsia" w:ascii="宋体" w:hAnsi="宋体" w:cs="宋体"/>
          <w:color w:val="auto"/>
          <w:lang w:val="en-US" w:eastAsia="zh-CN" w:bidi="ar"/>
        </w:rPr>
        <w:t>的</w:t>
      </w:r>
      <w:r>
        <w:rPr>
          <w:rFonts w:hint="eastAsia" w:ascii="宋体" w:hAnsi="宋体" w:cs="宋体"/>
          <w:color w:val="auto"/>
          <w:lang w:eastAsia="en-US" w:bidi="ar"/>
        </w:rPr>
        <w:t>《营业执照》</w:t>
      </w:r>
      <w:r>
        <w:rPr>
          <w:rFonts w:hint="eastAsia" w:ascii="宋体" w:hAnsi="宋体" w:eastAsia="宋体" w:cs="宋体"/>
          <w:color w:val="auto"/>
          <w:lang w:val="en-US" w:eastAsia="zh-CN" w:bidi="ar"/>
        </w:rPr>
        <w:t>或事业单位法人证书原</w:t>
      </w:r>
      <w:r>
        <w:rPr>
          <w:rFonts w:hint="eastAsia" w:ascii="宋体" w:hAnsi="宋体" w:cs="宋体"/>
          <w:color w:val="auto"/>
          <w:lang w:val="en-US" w:eastAsia="zh-CN" w:bidi="ar"/>
        </w:rPr>
        <w:t>件扫描件并加盖公章</w:t>
      </w:r>
      <w:r>
        <w:rPr>
          <w:rFonts w:hint="eastAsia" w:ascii="宋体" w:hAnsi="宋体" w:cs="宋体"/>
          <w:color w:val="auto"/>
          <w:lang w:eastAsia="en-US" w:bidi="ar"/>
        </w:rPr>
        <w:t xml:space="preserve">； </w:t>
      </w:r>
    </w:p>
    <w:p w14:paraId="4ACDE917">
      <w:pPr>
        <w:pStyle w:val="33"/>
        <w:pageBreakBefore w:val="0"/>
        <w:numPr>
          <w:ilvl w:val="255"/>
          <w:numId w:val="0"/>
        </w:numPr>
        <w:tabs>
          <w:tab w:val="left" w:pos="171"/>
        </w:tabs>
        <w:kinsoku/>
        <w:overflowPunct/>
        <w:topLinePunct w:val="0"/>
        <w:autoSpaceDE/>
        <w:autoSpaceDN/>
        <w:bidi w:val="0"/>
        <w:spacing w:line="480" w:lineRule="exact"/>
        <w:ind w:firstLine="480" w:firstLineChars="200"/>
        <w:textAlignment w:val="auto"/>
        <w:rPr>
          <w:rFonts w:hint="default" w:ascii="宋体" w:hAnsi="宋体" w:cs="宋体"/>
          <w:color w:val="auto"/>
          <w:lang w:val="en-US" w:eastAsia="zh-CN" w:bidi="ar"/>
        </w:rPr>
      </w:pPr>
      <w:r>
        <w:rPr>
          <w:rFonts w:hint="eastAsia" w:ascii="宋体" w:hAnsi="宋体" w:cs="宋体"/>
          <w:color w:val="auto"/>
          <w:lang w:eastAsia="zh-CN" w:bidi="ar"/>
        </w:rPr>
        <w:t>（</w:t>
      </w:r>
      <w:r>
        <w:rPr>
          <w:rFonts w:hint="eastAsia" w:ascii="宋体" w:hAnsi="宋体" w:cs="宋体"/>
          <w:color w:val="auto"/>
          <w:lang w:val="en-US" w:eastAsia="zh-CN" w:bidi="ar"/>
        </w:rPr>
        <w:t>3）</w:t>
      </w:r>
      <w:r>
        <w:rPr>
          <w:rFonts w:hint="eastAsia" w:ascii="宋体" w:hAnsi="宋体" w:eastAsia="宋体"/>
          <w:color w:val="auto"/>
          <w:sz w:val="24"/>
          <w:szCs w:val="24"/>
          <w:highlight w:val="none"/>
          <w:lang w:val="en-US" w:eastAsia="zh-CN"/>
        </w:rPr>
        <w:t>▲法定代表人身份证明或</w:t>
      </w:r>
      <w:r>
        <w:rPr>
          <w:rFonts w:hint="eastAsia" w:ascii="宋体" w:hAnsi="宋体" w:eastAsia="宋体"/>
          <w:color w:val="auto"/>
          <w:sz w:val="24"/>
          <w:szCs w:val="24"/>
          <w:highlight w:val="none"/>
        </w:rPr>
        <w:t>法定代表人授权委托书</w:t>
      </w:r>
      <w:r>
        <w:rPr>
          <w:rFonts w:hint="eastAsia" w:ascii="宋体" w:hAnsi="宋体" w:eastAsia="宋体"/>
          <w:color w:val="auto"/>
          <w:sz w:val="24"/>
          <w:szCs w:val="24"/>
          <w:highlight w:val="none"/>
          <w:lang w:val="en-US" w:eastAsia="zh-CN"/>
        </w:rPr>
        <w:t>；（附件</w:t>
      </w:r>
      <w:r>
        <w:rPr>
          <w:rFonts w:hint="eastAsia" w:ascii="宋体" w:hAnsi="宋体"/>
          <w:color w:val="auto"/>
          <w:sz w:val="24"/>
          <w:szCs w:val="24"/>
          <w:highlight w:val="none"/>
          <w:lang w:val="en-US" w:eastAsia="zh-CN"/>
        </w:rPr>
        <w:t>2</w:t>
      </w:r>
      <w:r>
        <w:rPr>
          <w:rFonts w:hint="eastAsia" w:ascii="宋体" w:hAnsi="宋体" w:eastAsia="宋体"/>
          <w:color w:val="auto"/>
          <w:sz w:val="24"/>
          <w:szCs w:val="24"/>
          <w:highlight w:val="none"/>
          <w:lang w:val="en-US" w:eastAsia="zh-CN"/>
        </w:rPr>
        <w:t>）</w:t>
      </w:r>
    </w:p>
    <w:p w14:paraId="0A1D83AE">
      <w:pPr>
        <w:pStyle w:val="33"/>
        <w:pageBreakBefore w:val="0"/>
        <w:numPr>
          <w:ilvl w:val="255"/>
          <w:numId w:val="0"/>
        </w:numPr>
        <w:tabs>
          <w:tab w:val="left" w:pos="171"/>
        </w:tabs>
        <w:kinsoku/>
        <w:overflowPunct/>
        <w:topLinePunct w:val="0"/>
        <w:autoSpaceDE/>
        <w:autoSpaceDN/>
        <w:bidi w:val="0"/>
        <w:spacing w:line="480" w:lineRule="exact"/>
        <w:ind w:firstLine="480" w:firstLineChars="200"/>
        <w:textAlignment w:val="auto"/>
        <w:rPr>
          <w:rFonts w:ascii="宋体" w:hAnsi="宋体" w:cs="宋体"/>
          <w:color w:val="auto"/>
          <w:lang w:eastAsia="en-US" w:bidi="ar"/>
        </w:rPr>
      </w:pPr>
      <w:r>
        <w:rPr>
          <w:rFonts w:hint="eastAsia" w:ascii="宋体" w:hAnsi="宋体" w:cs="宋体"/>
          <w:color w:val="auto"/>
          <w:lang w:eastAsia="zh-CN" w:bidi="ar"/>
        </w:rPr>
        <w:t>（</w:t>
      </w:r>
      <w:r>
        <w:rPr>
          <w:rFonts w:hint="eastAsia" w:ascii="宋体" w:hAnsi="宋体" w:cs="宋体"/>
          <w:color w:val="auto"/>
          <w:lang w:val="en-US" w:eastAsia="zh-CN" w:bidi="ar"/>
        </w:rPr>
        <w:t>4）</w:t>
      </w:r>
      <w:r>
        <w:rPr>
          <w:rFonts w:hint="eastAsia" w:ascii="宋体" w:hAnsi="宋体" w:cs="宋体"/>
          <w:b/>
          <w:bCs/>
          <w:color w:val="auto"/>
          <w:lang w:eastAsia="en-US" w:bidi="ar"/>
        </w:rPr>
        <w:t>▲</w:t>
      </w:r>
      <w:r>
        <w:rPr>
          <w:rFonts w:hint="eastAsia" w:ascii="宋体" w:hAnsi="宋体" w:cs="宋体"/>
          <w:color w:val="auto"/>
          <w:lang w:eastAsia="en-US" w:bidi="ar"/>
        </w:rPr>
        <w:t>符合参加国企采购活动应当具备的一般条件的承诺函；（附件</w:t>
      </w:r>
      <w:r>
        <w:rPr>
          <w:rFonts w:hint="eastAsia" w:ascii="宋体" w:hAnsi="宋体" w:cs="宋体"/>
          <w:color w:val="auto"/>
          <w:lang w:val="en-US" w:eastAsia="zh-CN" w:bidi="ar"/>
        </w:rPr>
        <w:t>3</w:t>
      </w:r>
      <w:r>
        <w:rPr>
          <w:rFonts w:hint="eastAsia" w:ascii="宋体" w:hAnsi="宋体" w:cs="宋体"/>
          <w:color w:val="auto"/>
          <w:lang w:eastAsia="en-US" w:bidi="ar"/>
        </w:rPr>
        <w:t>）</w:t>
      </w:r>
    </w:p>
    <w:p w14:paraId="7E81E152">
      <w:pPr>
        <w:pStyle w:val="33"/>
        <w:pageBreakBefore w:val="0"/>
        <w:numPr>
          <w:ilvl w:val="255"/>
          <w:numId w:val="0"/>
        </w:numPr>
        <w:tabs>
          <w:tab w:val="left" w:pos="171"/>
        </w:tabs>
        <w:kinsoku/>
        <w:overflowPunct/>
        <w:topLinePunct w:val="0"/>
        <w:autoSpaceDE/>
        <w:autoSpaceDN/>
        <w:bidi w:val="0"/>
        <w:spacing w:line="480" w:lineRule="exact"/>
        <w:ind w:firstLine="723" w:firstLineChars="300"/>
        <w:textAlignment w:val="auto"/>
        <w:rPr>
          <w:rFonts w:ascii="宋体" w:hAnsi="宋体" w:cs="宋体"/>
          <w:b/>
          <w:bCs/>
          <w:color w:val="auto"/>
          <w:lang w:eastAsia="en-US" w:bidi="ar"/>
        </w:rPr>
      </w:pPr>
      <w:r>
        <w:rPr>
          <w:rFonts w:hint="eastAsia" w:ascii="宋体" w:hAnsi="宋体" w:cs="宋体"/>
          <w:b/>
          <w:bCs/>
          <w:color w:val="auto"/>
          <w:lang w:eastAsia="en-US" w:bidi="ar"/>
        </w:rPr>
        <w:t>注：以上资格文件为通过式评审,如有缺少或不符合要求的,则视为资格审查不予通过。</w:t>
      </w:r>
    </w:p>
    <w:p w14:paraId="7977176F">
      <w:pPr>
        <w:pStyle w:val="33"/>
        <w:pageBreakBefore w:val="0"/>
        <w:numPr>
          <w:ilvl w:val="1"/>
          <w:numId w:val="7"/>
        </w:numPr>
        <w:tabs>
          <w:tab w:val="left" w:pos="171"/>
          <w:tab w:val="clear" w:pos="0"/>
        </w:tabs>
        <w:kinsoku/>
        <w:overflowPunct/>
        <w:topLinePunct w:val="0"/>
        <w:autoSpaceDE/>
        <w:autoSpaceDN/>
        <w:bidi w:val="0"/>
        <w:adjustRightInd w:val="0"/>
        <w:spacing w:line="480" w:lineRule="exact"/>
        <w:ind w:firstLine="454" w:firstLineChars="200"/>
        <w:jc w:val="both"/>
        <w:textAlignment w:val="auto"/>
        <w:rPr>
          <w:rFonts w:hint="eastAsia" w:ascii="宋体" w:hAnsi="宋体" w:eastAsia="宋体" w:cs="宋体"/>
          <w:b/>
          <w:bCs/>
          <w:color w:val="auto"/>
          <w:lang w:eastAsia="en-US" w:bidi="ar"/>
        </w:rPr>
      </w:pPr>
      <w:r>
        <w:rPr>
          <w:rFonts w:hint="eastAsia" w:asciiTheme="minorEastAsia" w:hAnsiTheme="minorEastAsia" w:eastAsiaTheme="minorEastAsia" w:cstheme="minorEastAsia"/>
          <w:b/>
          <w:bCs/>
          <w:spacing w:val="-7"/>
          <w:lang w:eastAsia="zh-CN"/>
        </w:rPr>
        <w:t>技术</w:t>
      </w:r>
      <w:r>
        <w:rPr>
          <w:rFonts w:hint="eastAsia" w:asciiTheme="minorEastAsia" w:hAnsiTheme="minorEastAsia" w:eastAsiaTheme="minorEastAsia" w:cstheme="minorEastAsia"/>
          <w:b/>
          <w:bCs/>
          <w:spacing w:val="-7"/>
          <w:lang w:val="en-US" w:eastAsia="zh-CN"/>
        </w:rPr>
        <w:t>商务</w:t>
      </w:r>
      <w:r>
        <w:rPr>
          <w:rFonts w:hint="eastAsia" w:ascii="宋体" w:hAnsi="宋体" w:eastAsia="宋体" w:cs="宋体"/>
          <w:b/>
          <w:bCs/>
          <w:color w:val="auto"/>
          <w:lang w:eastAsia="en-US" w:bidi="ar"/>
        </w:rPr>
        <w:t>文件</w:t>
      </w:r>
    </w:p>
    <w:p w14:paraId="56A26E56">
      <w:pPr>
        <w:pStyle w:val="20"/>
        <w:pageBreakBefore w:val="0"/>
        <w:kinsoku/>
        <w:overflowPunct/>
        <w:topLinePunct w:val="0"/>
        <w:autoSpaceDE/>
        <w:autoSpaceDN/>
        <w:bidi w:val="0"/>
        <w:spacing w:line="480" w:lineRule="exact"/>
        <w:ind w:firstLine="0"/>
        <w:jc w:val="left"/>
        <w:textAlignment w:val="auto"/>
        <w:rPr>
          <w:rFonts w:hAnsi="宋体" w:cs="宋体"/>
          <w:color w:val="auto"/>
          <w:szCs w:val="24"/>
        </w:rPr>
      </w:pPr>
      <w:r>
        <w:rPr>
          <w:rFonts w:hint="eastAsia" w:hAnsi="宋体" w:cs="宋体"/>
          <w:color w:val="auto"/>
          <w:szCs w:val="24"/>
        </w:rPr>
        <w:t>包括但不限于以下内容：</w:t>
      </w:r>
    </w:p>
    <w:p w14:paraId="430FD4A0">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（1）▲投标函；（附件4）</w:t>
      </w:r>
    </w:p>
    <w:p w14:paraId="0CA72008">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（2）</w:t>
      </w:r>
      <w:r>
        <w:rPr>
          <w:rFonts w:hint="eastAsia" w:ascii="宋体" w:hAnsi="宋体" w:eastAsia="宋体"/>
          <w:color w:val="auto"/>
          <w:sz w:val="24"/>
          <w:szCs w:val="24"/>
          <w:highlight w:val="none"/>
        </w:rPr>
        <w:t>投标人202</w:t>
      </w:r>
      <w:r>
        <w:rPr>
          <w:rFonts w:hint="eastAsia" w:ascii="宋体" w:hAnsi="宋体" w:eastAsia="宋体"/>
          <w:color w:val="auto"/>
          <w:sz w:val="24"/>
          <w:szCs w:val="24"/>
          <w:highlight w:val="none"/>
          <w:lang w:val="en-US" w:eastAsia="zh-CN"/>
        </w:rPr>
        <w:t>1</w:t>
      </w:r>
      <w:r>
        <w:rPr>
          <w:rFonts w:hint="eastAsia" w:ascii="宋体" w:hAnsi="宋体" w:eastAsia="宋体"/>
          <w:color w:val="auto"/>
          <w:sz w:val="24"/>
          <w:szCs w:val="24"/>
          <w:highlight w:val="none"/>
        </w:rPr>
        <w:t>年1月1日以来类似成功案例的业绩一览表；（附件</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rPr>
        <w:t>）</w:t>
      </w:r>
    </w:p>
    <w:p w14:paraId="29CC1459">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（3）体系认证；</w:t>
      </w:r>
    </w:p>
    <w:p w14:paraId="70019ACB">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s="宋体"/>
          <w:color w:val="auto"/>
          <w:sz w:val="24"/>
          <w:szCs w:val="24"/>
          <w:lang w:val="en-US" w:eastAsia="zh-CN"/>
        </w:rPr>
      </w:pPr>
      <w:r>
        <w:rPr>
          <w:rFonts w:hint="eastAsia" w:hAnsi="宋体"/>
          <w:color w:val="auto"/>
          <w:sz w:val="24"/>
          <w:szCs w:val="24"/>
          <w:highlight w:val="none"/>
          <w:lang w:val="en-US" w:eastAsia="zh-CN"/>
        </w:rPr>
        <w:t>（4）</w:t>
      </w:r>
      <w:r>
        <w:rPr>
          <w:rFonts w:hint="eastAsia" w:ascii="宋体" w:hAnsi="宋体" w:eastAsia="宋体" w:cs="宋体"/>
          <w:color w:val="auto"/>
          <w:sz w:val="24"/>
          <w:szCs w:val="24"/>
          <w:lang w:val="en-US" w:eastAsia="zh-CN"/>
        </w:rPr>
        <w:t>成品检测报告；</w:t>
      </w:r>
    </w:p>
    <w:p w14:paraId="632BB75C">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hAnsi="宋体"/>
          <w:color w:val="auto"/>
          <w:sz w:val="24"/>
          <w:szCs w:val="24"/>
          <w:highlight w:val="none"/>
          <w:lang w:val="en-US" w:eastAsia="zh-CN"/>
        </w:rPr>
        <w:t>5</w:t>
      </w: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tl w:val="0"/>
          <w:lang w:val="zh-Hans" w:eastAsia="zh-CN"/>
        </w:rPr>
        <w:t>技术</w:t>
      </w:r>
      <w:r>
        <w:rPr>
          <w:rFonts w:hint="eastAsia" w:ascii="宋体" w:hAnsi="宋体" w:eastAsia="宋体"/>
          <w:color w:val="auto"/>
          <w:sz w:val="24"/>
          <w:szCs w:val="24"/>
          <w:highlight w:val="none"/>
          <w:rtl w:val="0"/>
          <w:lang w:val="en-US" w:eastAsia="zh-CN"/>
        </w:rPr>
        <w:t>要求</w:t>
      </w:r>
      <w:r>
        <w:rPr>
          <w:rFonts w:hint="eastAsia" w:ascii="宋体" w:hAnsi="宋体" w:eastAsia="宋体"/>
          <w:color w:val="auto"/>
          <w:sz w:val="24"/>
          <w:szCs w:val="24"/>
          <w:highlight w:val="none"/>
          <w:rtl w:val="0"/>
          <w:lang w:val="zh-Hans" w:eastAsia="zh-CN"/>
        </w:rPr>
        <w:t>偏离表；（附件</w:t>
      </w:r>
      <w:r>
        <w:rPr>
          <w:rFonts w:hint="eastAsia" w:ascii="宋体" w:hAnsi="宋体" w:eastAsia="宋体"/>
          <w:color w:val="auto"/>
          <w:sz w:val="24"/>
          <w:szCs w:val="24"/>
          <w:highlight w:val="none"/>
          <w:rtl w:val="0"/>
          <w:lang w:val="en-US" w:eastAsia="zh-CN"/>
        </w:rPr>
        <w:t>6</w:t>
      </w:r>
      <w:r>
        <w:rPr>
          <w:rFonts w:hint="eastAsia" w:ascii="宋体" w:hAnsi="宋体" w:eastAsia="宋体"/>
          <w:color w:val="auto"/>
          <w:sz w:val="24"/>
          <w:szCs w:val="24"/>
          <w:highlight w:val="none"/>
          <w:rtl w:val="0"/>
          <w:lang w:val="zh-Hans" w:eastAsia="zh-CN"/>
        </w:rPr>
        <w:t>）</w:t>
      </w:r>
    </w:p>
    <w:p w14:paraId="6D1E9623">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rtl w:val="0"/>
          <w:lang w:val="zh-Hans" w:eastAsia="zh-CN"/>
        </w:rPr>
      </w:pPr>
      <w:r>
        <w:rPr>
          <w:rFonts w:hint="eastAsia" w:ascii="宋体" w:hAnsi="宋体" w:eastAsia="宋体"/>
          <w:color w:val="auto"/>
          <w:sz w:val="24"/>
          <w:szCs w:val="24"/>
          <w:highlight w:val="none"/>
          <w:lang w:val="en-US" w:eastAsia="zh-CN"/>
        </w:rPr>
        <w:t>（</w:t>
      </w:r>
      <w:r>
        <w:rPr>
          <w:rFonts w:hint="eastAsia" w:hAnsi="宋体"/>
          <w:color w:val="auto"/>
          <w:sz w:val="24"/>
          <w:szCs w:val="24"/>
          <w:highlight w:val="none"/>
          <w:lang w:val="en-US" w:eastAsia="zh-CN"/>
        </w:rPr>
        <w:t>6</w:t>
      </w:r>
      <w:r>
        <w:rPr>
          <w:rFonts w:hint="eastAsia" w:ascii="宋体" w:hAnsi="宋体" w:eastAsia="宋体"/>
          <w:color w:val="auto"/>
          <w:sz w:val="24"/>
          <w:szCs w:val="24"/>
          <w:highlight w:val="none"/>
          <w:lang w:val="en-US" w:eastAsia="zh-CN"/>
        </w:rPr>
        <w:t>）</w:t>
      </w:r>
      <w:bookmarkStart w:id="437" w:name="_Toc24537"/>
      <w:bookmarkStart w:id="438" w:name="_Toc10577"/>
      <w:bookmarkStart w:id="439" w:name="_Toc17884"/>
      <w:bookmarkStart w:id="440" w:name="_Toc29404"/>
      <w:bookmarkStart w:id="441" w:name="_Toc16512"/>
      <w:r>
        <w:rPr>
          <w:rFonts w:hint="eastAsia" w:ascii="宋体" w:hAnsi="宋体" w:eastAsia="宋体"/>
          <w:color w:val="auto"/>
          <w:sz w:val="24"/>
          <w:szCs w:val="24"/>
          <w:highlight w:val="none"/>
          <w:rtl w:val="0"/>
          <w:lang w:val="zh-Hans" w:eastAsia="zh-CN"/>
        </w:rPr>
        <w:t>商务</w:t>
      </w:r>
      <w:r>
        <w:rPr>
          <w:rFonts w:hint="eastAsia" w:ascii="宋体" w:hAnsi="宋体" w:eastAsia="宋体"/>
          <w:color w:val="auto"/>
          <w:sz w:val="24"/>
          <w:szCs w:val="24"/>
          <w:highlight w:val="none"/>
          <w:rtl w:val="0"/>
          <w:lang w:val="en-US" w:eastAsia="zh-CN"/>
        </w:rPr>
        <w:t>要求</w:t>
      </w:r>
      <w:r>
        <w:rPr>
          <w:rFonts w:hint="eastAsia" w:ascii="宋体" w:hAnsi="宋体" w:eastAsia="宋体"/>
          <w:color w:val="auto"/>
          <w:sz w:val="24"/>
          <w:szCs w:val="24"/>
          <w:highlight w:val="none"/>
          <w:rtl w:val="0"/>
          <w:lang w:val="zh-Hans" w:eastAsia="zh-CN"/>
        </w:rPr>
        <w:t>偏离表；（附件</w:t>
      </w:r>
      <w:r>
        <w:rPr>
          <w:rFonts w:hint="eastAsia" w:ascii="宋体" w:hAnsi="宋体" w:eastAsia="宋体"/>
          <w:color w:val="auto"/>
          <w:sz w:val="24"/>
          <w:szCs w:val="24"/>
          <w:highlight w:val="none"/>
          <w:rtl w:val="0"/>
          <w:lang w:val="en-US" w:eastAsia="zh-CN"/>
        </w:rPr>
        <w:t>7</w:t>
      </w:r>
      <w:r>
        <w:rPr>
          <w:rFonts w:hint="eastAsia" w:ascii="宋体" w:hAnsi="宋体" w:eastAsia="宋体"/>
          <w:color w:val="auto"/>
          <w:sz w:val="24"/>
          <w:szCs w:val="24"/>
          <w:highlight w:val="none"/>
          <w:rtl w:val="0"/>
          <w:lang w:val="zh-Hans" w:eastAsia="zh-CN"/>
        </w:rPr>
        <w:t>）</w:t>
      </w:r>
    </w:p>
    <w:p w14:paraId="62A5BA77">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tl w:val="0"/>
          <w:lang w:val="zh-Hans" w:eastAsia="zh-CN"/>
        </w:rPr>
        <w:t>（</w:t>
      </w:r>
      <w:r>
        <w:rPr>
          <w:rFonts w:hint="eastAsia" w:hAnsi="宋体"/>
          <w:color w:val="auto"/>
          <w:sz w:val="24"/>
          <w:szCs w:val="24"/>
          <w:highlight w:val="none"/>
          <w:rtl w:val="0"/>
          <w:lang w:val="en-US" w:eastAsia="zh-CN"/>
        </w:rPr>
        <w:t>7</w:t>
      </w:r>
      <w:r>
        <w:rPr>
          <w:rFonts w:hint="eastAsia" w:ascii="宋体" w:hAnsi="宋体" w:eastAsia="宋体"/>
          <w:color w:val="auto"/>
          <w:sz w:val="24"/>
          <w:szCs w:val="24"/>
          <w:highlight w:val="none"/>
          <w:rtl w:val="0"/>
          <w:lang w:val="en-US" w:eastAsia="zh-CN"/>
        </w:rPr>
        <w:t>）</w:t>
      </w:r>
      <w:r>
        <w:rPr>
          <w:rFonts w:hint="eastAsia" w:ascii="宋体" w:hAnsi="宋体" w:eastAsia="宋体" w:cs="宋体"/>
          <w:color w:val="auto"/>
          <w:kern w:val="2"/>
          <w:sz w:val="24"/>
          <w:szCs w:val="24"/>
          <w:highlight w:val="none"/>
          <w:lang w:val="en-US" w:eastAsia="zh-CN"/>
        </w:rPr>
        <w:t>项目实施方案</w:t>
      </w:r>
      <w:r>
        <w:rPr>
          <w:rFonts w:hint="eastAsia" w:ascii="宋体" w:hAnsi="宋体" w:eastAsia="宋体"/>
          <w:color w:val="auto"/>
          <w:sz w:val="24"/>
          <w:szCs w:val="24"/>
          <w:highlight w:val="none"/>
          <w:lang w:val="en-US" w:eastAsia="zh-CN"/>
        </w:rPr>
        <w:t>；</w:t>
      </w:r>
    </w:p>
    <w:p w14:paraId="2EAD4507">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olor w:val="auto"/>
          <w:sz w:val="24"/>
          <w:szCs w:val="24"/>
          <w:highlight w:val="none"/>
          <w:lang w:val="en-US" w:eastAsia="zh-CN"/>
        </w:rPr>
        <w:t>（</w:t>
      </w:r>
      <w:r>
        <w:rPr>
          <w:rFonts w:hint="eastAsia" w:hAnsi="宋体"/>
          <w:color w:val="auto"/>
          <w:sz w:val="24"/>
          <w:szCs w:val="24"/>
          <w:highlight w:val="none"/>
          <w:lang w:val="en-US" w:eastAsia="zh-CN"/>
        </w:rPr>
        <w:t>8</w:t>
      </w:r>
      <w:r>
        <w:rPr>
          <w:rFonts w:hint="eastAsia" w:ascii="宋体" w:hAnsi="宋体" w:eastAsia="宋体"/>
          <w:color w:val="auto"/>
          <w:sz w:val="24"/>
          <w:szCs w:val="24"/>
          <w:highlight w:val="none"/>
          <w:lang w:val="en-US" w:eastAsia="zh-CN"/>
        </w:rPr>
        <w:t>）</w:t>
      </w:r>
      <w:r>
        <w:rPr>
          <w:rFonts w:hint="eastAsia" w:ascii="宋体" w:hAnsi="宋体" w:eastAsia="宋体" w:cs="宋体"/>
          <w:color w:val="auto"/>
          <w:kern w:val="2"/>
          <w:sz w:val="24"/>
          <w:szCs w:val="24"/>
          <w:highlight w:val="none"/>
          <w:lang w:val="en-US" w:eastAsia="zh-CN"/>
        </w:rPr>
        <w:t>生产实施方案；</w:t>
      </w:r>
    </w:p>
    <w:p w14:paraId="598827C0">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hAnsi="宋体" w:cs="宋体"/>
          <w:color w:val="auto"/>
          <w:kern w:val="2"/>
          <w:sz w:val="24"/>
          <w:szCs w:val="24"/>
          <w:highlight w:val="none"/>
          <w:lang w:val="en-US" w:eastAsia="zh-CN"/>
        </w:rPr>
        <w:t>9</w:t>
      </w:r>
      <w:r>
        <w:rPr>
          <w:rFonts w:hint="eastAsia" w:ascii="宋体" w:hAnsi="宋体" w:eastAsia="宋体" w:cs="宋体"/>
          <w:color w:val="auto"/>
          <w:kern w:val="2"/>
          <w:sz w:val="24"/>
          <w:szCs w:val="24"/>
          <w:highlight w:val="none"/>
          <w:lang w:val="en-US" w:eastAsia="zh-CN"/>
        </w:rPr>
        <w:t>）品质管理管控；</w:t>
      </w:r>
    </w:p>
    <w:p w14:paraId="5665459E">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w:t>
      </w:r>
      <w:r>
        <w:rPr>
          <w:rFonts w:hint="eastAsia" w:hAnsi="宋体" w:cs="宋体"/>
          <w:color w:val="auto"/>
          <w:kern w:val="2"/>
          <w:sz w:val="24"/>
          <w:szCs w:val="24"/>
          <w:highlight w:val="none"/>
          <w:lang w:val="en-US" w:eastAsia="zh-CN"/>
        </w:rPr>
        <w:t>0</w:t>
      </w:r>
      <w:r>
        <w:rPr>
          <w:rFonts w:hint="eastAsia" w:ascii="宋体" w:hAnsi="宋体" w:eastAsia="宋体" w:cs="宋体"/>
          <w:color w:val="auto"/>
          <w:kern w:val="2"/>
          <w:sz w:val="24"/>
          <w:szCs w:val="24"/>
          <w:highlight w:val="none"/>
          <w:lang w:val="en-US" w:eastAsia="zh-CN"/>
        </w:rPr>
        <w:t>）安装服务实施方案；</w:t>
      </w:r>
    </w:p>
    <w:p w14:paraId="23E37E34">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（1</w:t>
      </w:r>
      <w:r>
        <w:rPr>
          <w:rFonts w:hint="eastAsia" w:hAnsi="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lang w:val="en-US" w:eastAsia="zh-CN"/>
        </w:rPr>
        <w:t>）</w:t>
      </w:r>
      <w:r>
        <w:rPr>
          <w:rFonts w:hint="eastAsia" w:ascii="宋体" w:hAnsi="宋体" w:eastAsia="宋体"/>
          <w:color w:val="auto"/>
          <w:sz w:val="24"/>
          <w:szCs w:val="24"/>
          <w:highlight w:val="none"/>
        </w:rPr>
        <w:t>项目实施人员一览表；（附件</w:t>
      </w:r>
      <w:r>
        <w:rPr>
          <w:rFonts w:hint="eastAsia" w:ascii="宋体" w:hAnsi="宋体" w:eastAsia="宋体"/>
          <w:color w:val="auto"/>
          <w:sz w:val="24"/>
          <w:szCs w:val="24"/>
          <w:highlight w:val="none"/>
          <w:lang w:val="en-US" w:eastAsia="zh-CN"/>
        </w:rPr>
        <w:t>8</w:t>
      </w:r>
      <w:r>
        <w:rPr>
          <w:rFonts w:hint="eastAsia" w:ascii="宋体" w:hAnsi="宋体" w:eastAsia="宋体"/>
          <w:color w:val="auto"/>
          <w:sz w:val="24"/>
          <w:szCs w:val="24"/>
          <w:highlight w:val="none"/>
        </w:rPr>
        <w:t>）</w:t>
      </w:r>
    </w:p>
    <w:p w14:paraId="221D8342">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1</w:t>
      </w:r>
      <w:r>
        <w:rPr>
          <w:rFonts w:hint="eastAsia" w:hAnsi="宋体"/>
          <w:color w:val="auto"/>
          <w:sz w:val="24"/>
          <w:szCs w:val="24"/>
          <w:highlight w:val="none"/>
          <w:lang w:val="en-US" w:eastAsia="zh-CN"/>
        </w:rPr>
        <w:t>2</w:t>
      </w: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售后服务</w:t>
      </w:r>
      <w:r>
        <w:rPr>
          <w:rFonts w:hint="eastAsia" w:ascii="宋体" w:hAnsi="宋体" w:eastAsia="宋体"/>
          <w:color w:val="auto"/>
          <w:sz w:val="24"/>
          <w:szCs w:val="24"/>
          <w:highlight w:val="none"/>
          <w:lang w:eastAsia="zh-CN"/>
        </w:rPr>
        <w:t>；</w:t>
      </w:r>
    </w:p>
    <w:p w14:paraId="5D3A157E">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1</w:t>
      </w:r>
      <w:r>
        <w:rPr>
          <w:rFonts w:hint="eastAsia" w:hAnsi="宋体"/>
          <w:color w:val="auto"/>
          <w:sz w:val="24"/>
          <w:szCs w:val="24"/>
          <w:highlight w:val="none"/>
          <w:lang w:val="en-US" w:eastAsia="zh-CN"/>
        </w:rPr>
        <w:t>3</w:t>
      </w: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技术支持及服务承诺书</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zh-CN"/>
        </w:rPr>
        <w:t>（附件</w:t>
      </w:r>
      <w:r>
        <w:rPr>
          <w:rFonts w:hint="eastAsia" w:ascii="宋体" w:hAnsi="宋体" w:eastAsia="宋体"/>
          <w:color w:val="auto"/>
          <w:sz w:val="24"/>
          <w:szCs w:val="24"/>
          <w:highlight w:val="none"/>
          <w:lang w:val="en-US" w:eastAsia="zh-CN"/>
        </w:rPr>
        <w:t>9</w:t>
      </w:r>
      <w:r>
        <w:rPr>
          <w:rFonts w:hint="eastAsia" w:ascii="宋体" w:hAnsi="宋体" w:eastAsia="宋体"/>
          <w:color w:val="auto"/>
          <w:sz w:val="24"/>
          <w:szCs w:val="24"/>
          <w:highlight w:val="none"/>
          <w:lang w:val="zh-CN"/>
        </w:rPr>
        <w:t>）</w:t>
      </w:r>
    </w:p>
    <w:p w14:paraId="217070CA">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w:t>
      </w:r>
      <w:r>
        <w:rPr>
          <w:rFonts w:hint="eastAsia" w:hAnsi="宋体"/>
          <w:color w:val="auto"/>
          <w:sz w:val="24"/>
          <w:szCs w:val="24"/>
          <w:highlight w:val="none"/>
          <w:lang w:val="en-US" w:eastAsia="zh-CN"/>
        </w:rPr>
        <w:t>4</w:t>
      </w:r>
      <w:r>
        <w:rPr>
          <w:rFonts w:hint="eastAsia" w:ascii="宋体" w:hAnsi="宋体" w:eastAsia="宋体"/>
          <w:color w:val="auto"/>
          <w:sz w:val="24"/>
          <w:szCs w:val="24"/>
          <w:highlight w:val="none"/>
          <w:lang w:val="en-US" w:eastAsia="zh-CN"/>
        </w:rPr>
        <w:t>）</w:t>
      </w:r>
      <w:r>
        <w:rPr>
          <w:rFonts w:hint="eastAsia" w:ascii="宋体" w:hAnsi="宋体" w:eastAsia="宋体" w:cs="宋体"/>
          <w:sz w:val="24"/>
          <w:szCs w:val="24"/>
          <w:lang w:val="en-US" w:eastAsia="zh-CN"/>
        </w:rPr>
        <w:t>合理化建议</w:t>
      </w:r>
      <w:r>
        <w:rPr>
          <w:rFonts w:hint="eastAsia" w:ascii="宋体" w:hAnsi="宋体" w:eastAsia="宋体"/>
          <w:color w:val="auto"/>
          <w:sz w:val="24"/>
          <w:szCs w:val="24"/>
          <w:highlight w:val="none"/>
          <w:lang w:eastAsia="zh-CN"/>
        </w:rPr>
        <w:t>；</w:t>
      </w:r>
    </w:p>
    <w:p w14:paraId="55C58998">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1</w:t>
      </w:r>
      <w:r>
        <w:rPr>
          <w:rFonts w:hint="eastAsia" w:hAnsi="宋体"/>
          <w:color w:val="auto"/>
          <w:sz w:val="24"/>
          <w:szCs w:val="24"/>
          <w:highlight w:val="none"/>
          <w:lang w:val="en-US" w:eastAsia="zh-CN"/>
        </w:rPr>
        <w:t>5</w:t>
      </w: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投标方认为需要的其他文件和说明。</w:t>
      </w:r>
    </w:p>
    <w:p w14:paraId="26466385">
      <w:pPr>
        <w:pStyle w:val="20"/>
        <w:pageBreakBefore w:val="0"/>
        <w:kinsoku/>
        <w:overflowPunct/>
        <w:topLinePunct w:val="0"/>
        <w:autoSpaceDE/>
        <w:autoSpaceDN/>
        <w:bidi w:val="0"/>
        <w:spacing w:line="480" w:lineRule="exact"/>
        <w:ind w:firstLine="480" w:firstLineChars="200"/>
        <w:jc w:val="left"/>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w:t>
      </w:r>
      <w:r>
        <w:rPr>
          <w:rFonts w:hint="eastAsia" w:hAnsi="宋体"/>
          <w:color w:val="auto"/>
          <w:sz w:val="24"/>
          <w:szCs w:val="24"/>
          <w:highlight w:val="none"/>
          <w:lang w:val="en-US" w:eastAsia="zh-CN"/>
        </w:rPr>
        <w:t>6</w:t>
      </w: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投标人根据评标细则内容提供其余的相关评分所需资料（如有）</w:t>
      </w:r>
    </w:p>
    <w:bookmarkEnd w:id="437"/>
    <w:bookmarkEnd w:id="438"/>
    <w:bookmarkEnd w:id="439"/>
    <w:bookmarkEnd w:id="440"/>
    <w:bookmarkEnd w:id="441"/>
    <w:p w14:paraId="47757C17">
      <w:pPr>
        <w:pStyle w:val="33"/>
        <w:pageBreakBefore w:val="0"/>
        <w:numPr>
          <w:ilvl w:val="1"/>
          <w:numId w:val="7"/>
        </w:numPr>
        <w:tabs>
          <w:tab w:val="left" w:pos="171"/>
          <w:tab w:val="clear" w:pos="0"/>
        </w:tabs>
        <w:kinsoku/>
        <w:overflowPunct/>
        <w:topLinePunct w:val="0"/>
        <w:autoSpaceDE/>
        <w:autoSpaceDN/>
        <w:bidi w:val="0"/>
        <w:adjustRightInd w:val="0"/>
        <w:spacing w:line="480" w:lineRule="exact"/>
        <w:ind w:firstLine="482" w:firstLineChars="200"/>
        <w:jc w:val="both"/>
        <w:textAlignment w:val="auto"/>
        <w:rPr>
          <w:rFonts w:hint="eastAsia" w:ascii="宋体" w:hAnsi="宋体" w:eastAsia="宋体" w:cs="宋体"/>
          <w:b/>
          <w:bCs/>
          <w:color w:val="auto"/>
          <w:szCs w:val="24"/>
          <w:lang w:eastAsia="en-US" w:bidi="ar"/>
        </w:rPr>
      </w:pPr>
      <w:bookmarkStart w:id="442" w:name="_Toc10278"/>
      <w:bookmarkStart w:id="443" w:name="_Toc25916"/>
      <w:bookmarkStart w:id="444" w:name="_Toc22013"/>
      <w:r>
        <w:rPr>
          <w:rFonts w:hint="eastAsia" w:ascii="宋体" w:hAnsi="宋体" w:eastAsia="宋体" w:cs="宋体"/>
          <w:b/>
          <w:bCs/>
          <w:color w:val="auto"/>
          <w:szCs w:val="24"/>
          <w:lang w:eastAsia="en-US" w:bidi="ar"/>
        </w:rPr>
        <w:t>报价文件</w:t>
      </w:r>
      <w:bookmarkEnd w:id="442"/>
      <w:bookmarkEnd w:id="443"/>
      <w:bookmarkEnd w:id="444"/>
    </w:p>
    <w:p w14:paraId="0ECCB1AD">
      <w:pPr>
        <w:pStyle w:val="20"/>
        <w:pageBreakBefore w:val="0"/>
        <w:kinsoku/>
        <w:overflowPunct/>
        <w:topLinePunct w:val="0"/>
        <w:autoSpaceDE/>
        <w:autoSpaceDN/>
        <w:bidi w:val="0"/>
        <w:spacing w:line="480" w:lineRule="exact"/>
        <w:ind w:firstLine="480"/>
        <w:jc w:val="left"/>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包括但不限于以下内容：</w:t>
      </w:r>
    </w:p>
    <w:p w14:paraId="044323E7">
      <w:pPr>
        <w:pStyle w:val="20"/>
        <w:pageBreakBefore w:val="0"/>
        <w:numPr>
          <w:ilvl w:val="0"/>
          <w:numId w:val="8"/>
        </w:numPr>
        <w:kinsoku/>
        <w:overflowPunct/>
        <w:topLinePunct w:val="0"/>
        <w:autoSpaceDE/>
        <w:autoSpaceDN/>
        <w:bidi w:val="0"/>
        <w:spacing w:line="480" w:lineRule="exact"/>
        <w:ind w:left="0" w:leftChars="0" w:firstLine="480" w:firstLineChars="200"/>
        <w:jc w:val="left"/>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▲开标一览表；（附件</w:t>
      </w:r>
      <w:r>
        <w:rPr>
          <w:rFonts w:hint="eastAsia" w:hAnsi="宋体" w:cs="宋体"/>
          <w:b w:val="0"/>
          <w:bCs w:val="0"/>
          <w:color w:val="auto"/>
          <w:kern w:val="2"/>
          <w:sz w:val="24"/>
          <w:szCs w:val="24"/>
          <w:lang w:val="en-US" w:eastAsia="zh-CN" w:bidi="ar"/>
        </w:rPr>
        <w:t>10</w:t>
      </w:r>
      <w:r>
        <w:rPr>
          <w:rFonts w:hint="eastAsia" w:ascii="宋体" w:hAnsi="宋体" w:eastAsia="宋体" w:cs="宋体"/>
          <w:b w:val="0"/>
          <w:bCs w:val="0"/>
          <w:color w:val="auto"/>
          <w:kern w:val="2"/>
          <w:sz w:val="24"/>
          <w:szCs w:val="24"/>
          <w:lang w:val="en-US" w:eastAsia="zh-CN" w:bidi="ar"/>
        </w:rPr>
        <w:t>）</w:t>
      </w:r>
    </w:p>
    <w:p w14:paraId="5F7CE3BE">
      <w:pPr>
        <w:pStyle w:val="20"/>
        <w:pageBreakBefore w:val="0"/>
        <w:numPr>
          <w:ilvl w:val="0"/>
          <w:numId w:val="8"/>
        </w:numPr>
        <w:kinsoku/>
        <w:overflowPunct/>
        <w:topLinePunct w:val="0"/>
        <w:autoSpaceDE/>
        <w:autoSpaceDN/>
        <w:bidi w:val="0"/>
        <w:spacing w:line="480" w:lineRule="exact"/>
        <w:ind w:left="0" w:leftChars="0" w:firstLine="480" w:firstLineChars="200"/>
        <w:jc w:val="left"/>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▲报价明细表；（附件</w:t>
      </w:r>
      <w:r>
        <w:rPr>
          <w:rFonts w:hint="eastAsia" w:hAnsi="宋体" w:cs="宋体"/>
          <w:b w:val="0"/>
          <w:bCs w:val="0"/>
          <w:color w:val="auto"/>
          <w:kern w:val="2"/>
          <w:sz w:val="24"/>
          <w:szCs w:val="24"/>
          <w:lang w:val="en-US" w:eastAsia="zh-CN" w:bidi="ar"/>
        </w:rPr>
        <w:t>11</w:t>
      </w:r>
      <w:r>
        <w:rPr>
          <w:rFonts w:hint="eastAsia" w:ascii="宋体" w:hAnsi="宋体" w:eastAsia="宋体" w:cs="宋体"/>
          <w:b w:val="0"/>
          <w:bCs w:val="0"/>
          <w:color w:val="auto"/>
          <w:kern w:val="2"/>
          <w:sz w:val="24"/>
          <w:szCs w:val="24"/>
          <w:lang w:val="en-US" w:eastAsia="zh-CN" w:bidi="ar"/>
        </w:rPr>
        <w:t>）</w:t>
      </w:r>
    </w:p>
    <w:p w14:paraId="1E02421F">
      <w:pPr>
        <w:pageBreakBefore w:val="0"/>
        <w:numPr>
          <w:ilvl w:val="0"/>
          <w:numId w:val="0"/>
        </w:numPr>
        <w:kinsoku/>
        <w:overflowPunct/>
        <w:topLinePunct w:val="0"/>
        <w:autoSpaceDE/>
        <w:autoSpaceDN/>
        <w:bidi w:val="0"/>
        <w:spacing w:line="480" w:lineRule="exact"/>
        <w:ind w:firstLine="480" w:firstLineChars="200"/>
        <w:textAlignment w:val="auto"/>
        <w:rPr>
          <w:rFonts w:hint="default"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（3）提供《中小企业声明函》或《监狱企业声明函》或《残疾人福利性单位声明函》（如有）；</w:t>
      </w:r>
      <w:r>
        <w:rPr>
          <w:rFonts w:hint="eastAsia" w:ascii="宋体" w:hAnsi="宋体" w:eastAsia="宋体" w:cs="宋体"/>
          <w:b w:val="0"/>
          <w:bCs w:val="0"/>
          <w:color w:val="auto"/>
          <w:kern w:val="2"/>
          <w:sz w:val="24"/>
          <w:szCs w:val="24"/>
          <w:lang w:val="en-US" w:eastAsia="en-US" w:bidi="ar"/>
        </w:rPr>
        <w:t>（附件</w:t>
      </w:r>
      <w:r>
        <w:rPr>
          <w:rFonts w:hint="eastAsia" w:ascii="宋体" w:hAnsi="宋体" w:cs="宋体"/>
          <w:b w:val="0"/>
          <w:bCs w:val="0"/>
          <w:color w:val="auto"/>
          <w:kern w:val="2"/>
          <w:sz w:val="24"/>
          <w:szCs w:val="24"/>
          <w:lang w:val="en-US" w:eastAsia="zh-CN" w:bidi="ar"/>
        </w:rPr>
        <w:t>12</w:t>
      </w:r>
      <w:r>
        <w:rPr>
          <w:rFonts w:hint="eastAsia" w:ascii="宋体" w:hAnsi="宋体" w:eastAsia="宋体" w:cs="宋体"/>
          <w:b w:val="0"/>
          <w:bCs w:val="0"/>
          <w:color w:val="auto"/>
          <w:kern w:val="2"/>
          <w:sz w:val="24"/>
          <w:szCs w:val="24"/>
          <w:lang w:val="en-US" w:eastAsia="en-US" w:bidi="ar"/>
        </w:rPr>
        <w:t>）</w:t>
      </w:r>
    </w:p>
    <w:p w14:paraId="72F4B6DC">
      <w:pPr>
        <w:pStyle w:val="20"/>
        <w:pageBreakBefore w:val="0"/>
        <w:kinsoku/>
        <w:overflowPunct/>
        <w:topLinePunct w:val="0"/>
        <w:autoSpaceDE/>
        <w:autoSpaceDN/>
        <w:bidi w:val="0"/>
        <w:spacing w:line="480" w:lineRule="exact"/>
        <w:ind w:firstLine="480"/>
        <w:jc w:val="left"/>
        <w:textAlignment w:val="auto"/>
        <w:rPr>
          <w:rFonts w:cs="宋体"/>
          <w:color w:val="auto"/>
          <w:szCs w:val="24"/>
        </w:rPr>
      </w:pPr>
      <w:r>
        <w:rPr>
          <w:rFonts w:hint="eastAsia" w:ascii="宋体" w:hAnsi="宋体" w:eastAsia="宋体" w:cs="宋体"/>
          <w:b w:val="0"/>
          <w:bCs w:val="0"/>
          <w:color w:val="auto"/>
          <w:kern w:val="2"/>
          <w:sz w:val="24"/>
          <w:szCs w:val="24"/>
          <w:lang w:val="en-US" w:eastAsia="zh-CN" w:bidi="ar"/>
        </w:rPr>
        <w:t>（4）投标人需要说明的其他文</w:t>
      </w:r>
      <w:r>
        <w:rPr>
          <w:rFonts w:hint="eastAsia" w:cs="宋体"/>
          <w:color w:val="auto"/>
          <w:szCs w:val="24"/>
        </w:rPr>
        <w:t>件和说明。</w:t>
      </w:r>
    </w:p>
    <w:bookmarkEnd w:id="436"/>
    <w:p w14:paraId="05BE00CC">
      <w:pPr>
        <w:pageBreakBefore w:val="0"/>
        <w:kinsoku/>
        <w:overflowPunct/>
        <w:topLinePunct w:val="0"/>
        <w:autoSpaceDE/>
        <w:autoSpaceDN/>
        <w:bidi w:val="0"/>
        <w:spacing w:line="480" w:lineRule="exact"/>
        <w:ind w:firstLine="482"/>
        <w:textAlignment w:val="auto"/>
        <w:rPr>
          <w:rFonts w:ascii="宋体" w:hAnsi="宋体" w:cs="宋体"/>
          <w:b/>
          <w:bCs/>
          <w:color w:val="auto"/>
          <w:u w:val="single"/>
        </w:rPr>
      </w:pPr>
      <w:r>
        <w:rPr>
          <w:rFonts w:hint="eastAsia" w:ascii="宋体" w:hAnsi="宋体" w:cs="宋体"/>
          <w:b/>
          <w:bCs/>
          <w:color w:val="auto"/>
          <w:u w:val="single"/>
        </w:rPr>
        <w:t>注：1.以上文件组成投标文件。投标人应对招标文件做出实质性响应，该项内容将作为投标的重要指标。一旦开标后，经审核确定投标资格和技术能力不能响应招标文件要求，则投标人即刻被废标或被拒绝进入报价阶段。</w:t>
      </w:r>
    </w:p>
    <w:p w14:paraId="6534C257">
      <w:pPr>
        <w:pageBreakBefore w:val="0"/>
        <w:kinsoku/>
        <w:overflowPunct/>
        <w:topLinePunct w:val="0"/>
        <w:autoSpaceDE/>
        <w:autoSpaceDN/>
        <w:bidi w:val="0"/>
        <w:spacing w:line="480" w:lineRule="exact"/>
        <w:ind w:firstLine="482"/>
        <w:textAlignment w:val="auto"/>
        <w:rPr>
          <w:rFonts w:ascii="宋体" w:hAnsi="宋体" w:cs="宋体"/>
          <w:b/>
          <w:bCs/>
          <w:color w:val="auto"/>
          <w:u w:val="single"/>
        </w:rPr>
      </w:pPr>
      <w:r>
        <w:rPr>
          <w:rFonts w:hint="eastAsia" w:ascii="宋体" w:hAnsi="宋体" w:cs="宋体"/>
          <w:b/>
          <w:bCs/>
          <w:color w:val="auto"/>
          <w:u w:val="single"/>
        </w:rPr>
        <w:t>2.</w:t>
      </w:r>
      <w:r>
        <w:rPr>
          <w:rFonts w:hint="eastAsia" w:ascii="宋体" w:hAnsi="宋体" w:cs="宋体"/>
          <w:b/>
          <w:bCs/>
          <w:color w:val="auto"/>
          <w:u w:val="single"/>
          <w:lang w:val="en-US" w:eastAsia="zh-CN"/>
        </w:rPr>
        <w:t>以</w:t>
      </w:r>
      <w:r>
        <w:rPr>
          <w:rFonts w:hint="eastAsia" w:ascii="宋体" w:hAnsi="宋体" w:cs="宋体"/>
          <w:b/>
          <w:bCs/>
          <w:color w:val="auto"/>
          <w:u w:val="single"/>
        </w:rPr>
        <w:t>上所需的各种证书、证件、证明、执照等证明文件扫描件上应加盖投标人的电子公章，否则相应部分不得分。</w:t>
      </w:r>
    </w:p>
    <w:p w14:paraId="2D3044F8">
      <w:pPr>
        <w:pStyle w:val="33"/>
        <w:pageBreakBefore w:val="0"/>
        <w:numPr>
          <w:ilvl w:val="0"/>
          <w:numId w:val="9"/>
        </w:numPr>
        <w:kinsoku/>
        <w:overflowPunct/>
        <w:topLinePunct w:val="0"/>
        <w:autoSpaceDE/>
        <w:autoSpaceDN/>
        <w:bidi w:val="0"/>
        <w:adjustRightInd w:val="0"/>
        <w:spacing w:line="480" w:lineRule="exact"/>
        <w:ind w:firstLine="480" w:firstLineChars="20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投标文件的编制</w:t>
      </w:r>
    </w:p>
    <w:p w14:paraId="26C20E09">
      <w:pPr>
        <w:pStyle w:val="33"/>
        <w:pageBreakBefore w:val="0"/>
        <w:numPr>
          <w:ilvl w:val="1"/>
          <w:numId w:val="10"/>
        </w:numPr>
        <w:tabs>
          <w:tab w:val="left" w:pos="171"/>
          <w:tab w:val="clear" w:pos="0"/>
        </w:tabs>
        <w:kinsoku/>
        <w:overflowPunct/>
        <w:topLinePunct w:val="0"/>
        <w:autoSpaceDE/>
        <w:autoSpaceDN/>
        <w:bidi w:val="0"/>
        <w:adjustRightInd w:val="0"/>
        <w:spacing w:line="480" w:lineRule="exact"/>
        <w:ind w:left="0" w:firstLine="480"/>
        <w:textAlignment w:val="auto"/>
        <w:rPr>
          <w:rFonts w:hint="default" w:ascii="宋体" w:hAnsi="宋体" w:eastAsia="宋体" w:cs="宋体"/>
          <w:b w:val="0"/>
          <w:bCs w:val="0"/>
          <w:color w:val="auto"/>
          <w:lang w:eastAsia="zh-CN" w:bidi="ar"/>
        </w:rPr>
      </w:pPr>
      <w:r>
        <w:rPr>
          <w:rFonts w:hint="default" w:ascii="宋体" w:hAnsi="宋体" w:eastAsia="宋体" w:cs="宋体"/>
          <w:b w:val="0"/>
          <w:bCs w:val="0"/>
          <w:color w:val="auto"/>
          <w:lang w:eastAsia="zh-CN" w:bidi="ar"/>
        </w:rPr>
        <w:t>投标文件应按第六章“投标文件格式”进行编写，如有必要，可以增加附页，作为投标文件的组成部分。其中，</w:t>
      </w:r>
      <w:r>
        <w:rPr>
          <w:rFonts w:hint="default" w:ascii="宋体" w:hAnsi="宋体" w:eastAsia="宋体" w:cs="宋体"/>
          <w:b w:val="0"/>
          <w:bCs w:val="0"/>
          <w:color w:val="auto"/>
          <w:szCs w:val="24"/>
          <w:lang w:eastAsia="zh-CN" w:bidi="ar"/>
        </w:rPr>
        <w:t>投标函在满足招标文件实质性要求的基础上，可以提出比招标文件要求更有利于采购人的承诺。</w:t>
      </w:r>
    </w:p>
    <w:p w14:paraId="70DDDED4">
      <w:pPr>
        <w:pStyle w:val="33"/>
        <w:pageBreakBefore w:val="0"/>
        <w:numPr>
          <w:ilvl w:val="1"/>
          <w:numId w:val="10"/>
        </w:numPr>
        <w:tabs>
          <w:tab w:val="left" w:pos="171"/>
          <w:tab w:val="clear" w:pos="0"/>
        </w:tabs>
        <w:kinsoku/>
        <w:wordWrap/>
        <w:overflowPunct/>
        <w:topLinePunct w:val="0"/>
        <w:autoSpaceDE/>
        <w:autoSpaceDN/>
        <w:bidi w:val="0"/>
        <w:adjustRightInd w:val="0"/>
        <w:snapToGrid/>
        <w:spacing w:line="480" w:lineRule="exact"/>
        <w:ind w:left="0" w:firstLine="480" w:firstLineChars="200"/>
        <w:textAlignment w:val="auto"/>
        <w:rPr>
          <w:rFonts w:hint="eastAsia" w:ascii="宋体" w:hAnsi="宋体" w:eastAsia="宋体" w:cs="宋体"/>
          <w:color w:val="auto"/>
          <w:szCs w:val="24"/>
          <w:lang w:bidi="ar"/>
        </w:rPr>
      </w:pPr>
      <w:r>
        <w:rPr>
          <w:rFonts w:hint="eastAsia" w:ascii="宋体" w:hAnsi="宋体" w:eastAsia="宋体" w:cs="宋体"/>
          <w:color w:val="auto"/>
          <w:lang w:bidi="ar"/>
        </w:rPr>
        <w:t>投标文件的制作要求详见本章“电子投标说明”</w:t>
      </w:r>
      <w:r>
        <w:rPr>
          <w:rFonts w:hint="eastAsia" w:ascii="宋体" w:hAnsi="宋体" w:eastAsia="宋体" w:cs="宋体"/>
          <w:color w:val="auto"/>
          <w:szCs w:val="24"/>
          <w:lang w:bidi="ar"/>
        </w:rPr>
        <w:t>。</w:t>
      </w:r>
    </w:p>
    <w:p w14:paraId="69644991">
      <w:pPr>
        <w:pStyle w:val="33"/>
        <w:pageBreakBefore w:val="0"/>
        <w:numPr>
          <w:ilvl w:val="1"/>
          <w:numId w:val="10"/>
        </w:numPr>
        <w:tabs>
          <w:tab w:val="left" w:pos="171"/>
          <w:tab w:val="clear" w:pos="0"/>
        </w:tabs>
        <w:kinsoku/>
        <w:overflowPunct/>
        <w:topLinePunct w:val="0"/>
        <w:autoSpaceDE/>
        <w:autoSpaceDN/>
        <w:bidi w:val="0"/>
        <w:adjustRightInd w:val="0"/>
        <w:snapToGrid/>
        <w:spacing w:line="480" w:lineRule="exact"/>
        <w:ind w:left="0" w:firstLine="480" w:firstLineChars="200"/>
        <w:textAlignment w:val="auto"/>
        <w:rPr>
          <w:rFonts w:hint="eastAsia" w:ascii="宋体" w:hAnsi="宋体" w:eastAsia="宋体" w:cs="宋体"/>
          <w:color w:val="auto"/>
          <w:lang w:bidi="ar"/>
        </w:rPr>
      </w:pPr>
      <w:r>
        <w:rPr>
          <w:rFonts w:hint="eastAsia" w:ascii="宋体" w:hAnsi="宋体" w:eastAsia="宋体" w:cs="宋体"/>
          <w:color w:val="auto"/>
          <w:kern w:val="2"/>
          <w:szCs w:val="24"/>
          <w:lang w:bidi="ar"/>
        </w:rPr>
        <w:t>投标文件</w:t>
      </w:r>
      <w:r>
        <w:rPr>
          <w:rFonts w:hint="eastAsia" w:ascii="宋体" w:hAnsi="宋体" w:eastAsia="宋体" w:cs="宋体"/>
          <w:color w:val="auto"/>
          <w:lang w:bidi="ar"/>
        </w:rPr>
        <w:t>资格审查文件、</w:t>
      </w:r>
      <w:r>
        <w:rPr>
          <w:rFonts w:hint="eastAsia" w:ascii="宋体" w:hAnsi="宋体" w:cs="宋体"/>
          <w:color w:val="auto"/>
          <w:lang w:eastAsia="zh-CN" w:bidi="ar"/>
        </w:rPr>
        <w:t>技术商务文件</w:t>
      </w:r>
      <w:r>
        <w:rPr>
          <w:rFonts w:hint="eastAsia" w:ascii="宋体" w:hAnsi="宋体" w:eastAsia="宋体" w:cs="宋体"/>
          <w:color w:val="auto"/>
          <w:lang w:bidi="ar"/>
        </w:rPr>
        <w:t>和报价文件</w:t>
      </w:r>
      <w:r>
        <w:rPr>
          <w:rFonts w:hint="eastAsia" w:ascii="宋体" w:hAnsi="宋体" w:eastAsia="宋体" w:cs="宋体"/>
          <w:color w:val="auto"/>
          <w:kern w:val="2"/>
          <w:szCs w:val="24"/>
          <w:lang w:bidi="ar"/>
        </w:rPr>
        <w:t>按投标文件格式文件要求投标人盖章、法定代表人印章的地方，投标人均应使用CA数字证书加盖投标人的单位电子印章、法定代表人个人电子印章，上传至衢州市阳光交易服务平台，作为投标文件正本，其余详见投标人须知前附表。</w:t>
      </w:r>
    </w:p>
    <w:p w14:paraId="0CCFECB2">
      <w:pPr>
        <w:pStyle w:val="33"/>
        <w:pageBreakBefore w:val="0"/>
        <w:numPr>
          <w:ilvl w:val="0"/>
          <w:numId w:val="9"/>
        </w:numPr>
        <w:kinsoku/>
        <w:overflowPunct/>
        <w:topLinePunct w:val="0"/>
        <w:autoSpaceDE/>
        <w:autoSpaceDN/>
        <w:bidi w:val="0"/>
        <w:adjustRightInd w:val="0"/>
        <w:spacing w:line="480" w:lineRule="exact"/>
        <w:ind w:left="0" w:firstLine="48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投标内容填写说明</w:t>
      </w:r>
    </w:p>
    <w:p w14:paraId="5B57459F">
      <w:pPr>
        <w:pStyle w:val="33"/>
        <w:pageBreakBefore w:val="0"/>
        <w:numPr>
          <w:ilvl w:val="1"/>
          <w:numId w:val="11"/>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default" w:ascii="宋体" w:hAnsi="宋体" w:eastAsia="宋体" w:cs="宋体"/>
          <w:color w:val="auto"/>
          <w:lang w:bidi="ar"/>
        </w:rPr>
        <w:t>无相应内容可填的项应填写“无”、“未测试”、“没有相应指标”等明确的回答文字。</w:t>
      </w:r>
    </w:p>
    <w:p w14:paraId="2C6C5352">
      <w:pPr>
        <w:pStyle w:val="33"/>
        <w:pageBreakBefore w:val="0"/>
        <w:numPr>
          <w:ilvl w:val="1"/>
          <w:numId w:val="11"/>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default" w:ascii="宋体" w:hAnsi="宋体" w:eastAsia="宋体" w:cs="宋体"/>
          <w:color w:val="auto"/>
          <w:lang w:bidi="ar"/>
        </w:rPr>
        <w:t>投标人必须保证投标文件所提供的全部资料真实可靠，并接受采购人对任何资料进一步审查的要求。</w:t>
      </w:r>
    </w:p>
    <w:p w14:paraId="52DF565F">
      <w:pPr>
        <w:pStyle w:val="33"/>
        <w:pageBreakBefore w:val="0"/>
        <w:numPr>
          <w:ilvl w:val="1"/>
          <w:numId w:val="11"/>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default" w:ascii="宋体" w:hAnsi="宋体" w:eastAsia="宋体" w:cs="宋体"/>
          <w:color w:val="auto"/>
          <w:lang w:bidi="ar"/>
        </w:rPr>
        <w:t>《开标一览表》为在开标仪式上唱标的内容，要求按格式填写、统一规范，不得自行增减内容。</w:t>
      </w:r>
    </w:p>
    <w:p w14:paraId="1A2BDCB3">
      <w:pPr>
        <w:pStyle w:val="33"/>
        <w:pageBreakBefore w:val="0"/>
        <w:numPr>
          <w:ilvl w:val="1"/>
          <w:numId w:val="11"/>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default" w:ascii="宋体" w:hAnsi="宋体" w:eastAsia="宋体" w:cs="宋体"/>
          <w:color w:val="auto"/>
          <w:lang w:bidi="ar"/>
        </w:rPr>
        <w:t>投标文件须对招标文件中的内容做出实质性、完整的响应，否则其投标将被拒绝。如果投标文件填报的内容资料不详，或没有提供招标文件中所要求的全部资料及数据，将会导致投标被拒绝。</w:t>
      </w:r>
    </w:p>
    <w:p w14:paraId="77AB091D">
      <w:pPr>
        <w:pStyle w:val="33"/>
        <w:pageBreakBefore w:val="0"/>
        <w:numPr>
          <w:ilvl w:val="1"/>
          <w:numId w:val="11"/>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default" w:ascii="宋体" w:hAnsi="宋体" w:eastAsia="宋体" w:cs="宋体"/>
          <w:color w:val="auto"/>
          <w:lang w:bidi="ar"/>
        </w:rPr>
        <w:t>投标人已明知采购期间或之后企业将发生兼并改制，应当告知采购人可能影响采购服务项目实施或损害采购人利益的信息，必须在投标文件中予以特别说明，否则，采购人可以拒绝其投标文件。</w:t>
      </w:r>
    </w:p>
    <w:p w14:paraId="7F93A168">
      <w:pPr>
        <w:pStyle w:val="33"/>
        <w:pageBreakBefore w:val="0"/>
        <w:numPr>
          <w:ilvl w:val="1"/>
          <w:numId w:val="11"/>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default" w:ascii="宋体" w:hAnsi="宋体" w:eastAsia="宋体" w:cs="宋体"/>
          <w:color w:val="auto"/>
          <w:lang w:bidi="ar"/>
        </w:rPr>
        <w:t>投标文件不得涂改和增删，如有错漏必须修改，修改处须由法人或授权代表在旁边签字或盖章或加盖投标人公章才有效。</w:t>
      </w:r>
    </w:p>
    <w:p w14:paraId="783A4023">
      <w:pPr>
        <w:pStyle w:val="33"/>
        <w:pageBreakBefore w:val="0"/>
        <w:numPr>
          <w:ilvl w:val="1"/>
          <w:numId w:val="11"/>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default" w:ascii="宋体" w:hAnsi="宋体" w:eastAsia="宋体" w:cs="宋体"/>
          <w:color w:val="auto"/>
          <w:lang w:bidi="ar"/>
        </w:rPr>
        <w:t>由于字迹模糊或表达不清引起的后果由投标人负责。</w:t>
      </w:r>
    </w:p>
    <w:p w14:paraId="7CFA69FA">
      <w:pPr>
        <w:pStyle w:val="33"/>
        <w:pageBreakBefore w:val="0"/>
        <w:numPr>
          <w:ilvl w:val="0"/>
          <w:numId w:val="9"/>
        </w:numPr>
        <w:kinsoku/>
        <w:overflowPunct/>
        <w:topLinePunct w:val="0"/>
        <w:autoSpaceDE/>
        <w:autoSpaceDN/>
        <w:bidi w:val="0"/>
        <w:adjustRightInd w:val="0"/>
        <w:spacing w:line="480" w:lineRule="exact"/>
        <w:ind w:left="0" w:firstLine="48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投标报价</w:t>
      </w:r>
    </w:p>
    <w:p w14:paraId="27084B4C">
      <w:pPr>
        <w:pStyle w:val="33"/>
        <w:pageBreakBefore w:val="0"/>
        <w:numPr>
          <w:ilvl w:val="1"/>
          <w:numId w:val="12"/>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eastAsia" w:ascii="宋体" w:hAnsi="宋体" w:cs="宋体"/>
          <w:color w:val="auto"/>
          <w:lang w:val="zh-CN"/>
        </w:rPr>
        <w:t>投标报价是指</w:t>
      </w:r>
      <w:r>
        <w:rPr>
          <w:rFonts w:hint="eastAsia" w:ascii="宋体" w:hAnsi="宋体" w:cs="宋体"/>
          <w:color w:val="auto"/>
          <w:lang w:val="en-US" w:eastAsia="zh-CN"/>
        </w:rPr>
        <w:t>投标人</w:t>
      </w:r>
      <w:r>
        <w:rPr>
          <w:rFonts w:hint="eastAsia" w:ascii="宋体" w:hAnsi="宋体" w:cs="宋体"/>
          <w:color w:val="auto"/>
          <w:lang w:val="zh-CN"/>
        </w:rPr>
        <w:t>在正确地完全履行合同义务后采购人应支付给</w:t>
      </w:r>
      <w:r>
        <w:rPr>
          <w:rFonts w:hint="eastAsia" w:ascii="宋体" w:hAnsi="宋体" w:cs="宋体"/>
          <w:color w:val="auto"/>
          <w:lang w:val="en-US" w:eastAsia="zh-CN"/>
        </w:rPr>
        <w:t>中标人</w:t>
      </w:r>
      <w:r>
        <w:rPr>
          <w:rFonts w:hint="eastAsia" w:ascii="宋体" w:hAnsi="宋体" w:cs="宋体"/>
          <w:color w:val="auto"/>
          <w:lang w:val="zh-CN"/>
        </w:rPr>
        <w:t>所有的价款，即本次项目实施所需的货物、人工费(投标人须充分考虑安装及调试中遇到的各种问题)、安装调试费、材料费、运输费、装卸车</w:t>
      </w:r>
      <w:r>
        <w:rPr>
          <w:rFonts w:hint="eastAsia" w:ascii="宋体" w:hAnsi="宋体" w:cs="宋体"/>
          <w:color w:val="auto"/>
          <w:highlight w:val="none"/>
          <w:lang w:val="zh-CN"/>
        </w:rPr>
        <w:t>费、总包配合费（1万元由乙方与土建施工单位自行结算）、检测检验费、成品保护费、技术服务</w:t>
      </w:r>
      <w:r>
        <w:rPr>
          <w:rFonts w:hint="eastAsia" w:ascii="宋体" w:hAnsi="宋体" w:cs="宋体"/>
          <w:color w:val="auto"/>
          <w:lang w:val="zh-CN"/>
        </w:rPr>
        <w:t>、培训费、维护费、辅助材料费、验收费、售后服务费、人身意外伤害保险费、税金和利润、采购代理费等完成合同所需的一切本身和不可或缺的所有工作开支、政策性文件规定及合同包含的所有风险、责任等各项全部费用。</w:t>
      </w:r>
      <w:r>
        <w:rPr>
          <w:rFonts w:hint="eastAsia" w:ascii="宋体" w:hAnsi="宋体" w:cs="宋体"/>
          <w:color w:val="auto"/>
          <w:lang w:val="zh-CN" w:eastAsia="zh-CN"/>
        </w:rPr>
        <w:t>投标人</w:t>
      </w:r>
      <w:r>
        <w:rPr>
          <w:rFonts w:hint="eastAsia" w:ascii="宋体" w:hAnsi="宋体" w:cs="宋体"/>
          <w:color w:val="auto"/>
          <w:lang w:val="zh-CN"/>
        </w:rPr>
        <w:t>在</w:t>
      </w:r>
      <w:r>
        <w:rPr>
          <w:rFonts w:hint="eastAsia" w:ascii="宋体" w:hAnsi="宋体" w:cs="宋体"/>
          <w:color w:val="auto"/>
          <w:lang w:val="en-US" w:eastAsia="zh-CN"/>
        </w:rPr>
        <w:t>投标</w:t>
      </w:r>
      <w:r>
        <w:rPr>
          <w:rFonts w:hint="eastAsia" w:ascii="宋体" w:hAnsi="宋体" w:cs="宋体"/>
          <w:color w:val="auto"/>
          <w:lang w:val="zh-CN"/>
        </w:rPr>
        <w:t>报价中应充分考虑所有可能发生的费用，否则采购人将视</w:t>
      </w:r>
      <w:r>
        <w:rPr>
          <w:rFonts w:hint="eastAsia" w:ascii="宋体" w:hAnsi="宋体" w:cs="宋体"/>
          <w:color w:val="auto"/>
          <w:lang w:val="en-US" w:eastAsia="zh-CN"/>
        </w:rPr>
        <w:t>投标</w:t>
      </w:r>
      <w:r>
        <w:rPr>
          <w:rFonts w:hint="eastAsia" w:ascii="宋体" w:hAnsi="宋体" w:cs="宋体"/>
          <w:color w:val="auto"/>
          <w:lang w:val="zh-CN"/>
        </w:rPr>
        <w:t>报价中已包括所有费用。</w:t>
      </w:r>
    </w:p>
    <w:p w14:paraId="5C5F6340">
      <w:pPr>
        <w:pStyle w:val="33"/>
        <w:pageBreakBefore w:val="0"/>
        <w:numPr>
          <w:ilvl w:val="1"/>
          <w:numId w:val="12"/>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投标人的投标报价不得高于采购人给定的最高限价，否则投标文件无效标。</w:t>
      </w:r>
    </w:p>
    <w:p w14:paraId="13432811">
      <w:pPr>
        <w:pStyle w:val="33"/>
        <w:pageBreakBefore w:val="0"/>
        <w:numPr>
          <w:ilvl w:val="1"/>
          <w:numId w:val="12"/>
        </w:numPr>
        <w:tabs>
          <w:tab w:val="left" w:pos="171"/>
          <w:tab w:val="clear" w:pos="0"/>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任何算术性错误，采购人将按下述原则予以调整：</w:t>
      </w:r>
    </w:p>
    <w:p w14:paraId="06A291D4">
      <w:pPr>
        <w:pageBreakBefore w:val="0"/>
        <w:kinsoku/>
        <w:overflowPunct/>
        <w:topLinePunct w:val="0"/>
        <w:autoSpaceDE/>
        <w:autoSpaceDN/>
        <w:bidi w:val="0"/>
        <w:spacing w:line="480" w:lineRule="exact"/>
        <w:ind w:firstLine="480"/>
        <w:textAlignment w:val="auto"/>
        <w:rPr>
          <w:rFonts w:ascii="宋体" w:hAnsi="宋体" w:cs="宋体"/>
          <w:color w:val="auto"/>
        </w:rPr>
      </w:pPr>
      <w:r>
        <w:rPr>
          <w:rFonts w:hint="eastAsia" w:ascii="宋体" w:hAnsi="宋体" w:cs="宋体"/>
          <w:color w:val="auto"/>
        </w:rPr>
        <w:t>（1）开标时，投标文件中开标一览表（报价表）内容与投标文件中明细表内容不一致的，以开标一览表（报价表）为准；</w:t>
      </w:r>
    </w:p>
    <w:p w14:paraId="72F13661">
      <w:pPr>
        <w:pageBreakBefore w:val="0"/>
        <w:kinsoku/>
        <w:overflowPunct/>
        <w:topLinePunct w:val="0"/>
        <w:autoSpaceDE/>
        <w:autoSpaceDN/>
        <w:bidi w:val="0"/>
        <w:spacing w:line="480" w:lineRule="exact"/>
        <w:ind w:firstLine="480"/>
        <w:textAlignment w:val="auto"/>
        <w:rPr>
          <w:rFonts w:ascii="宋体" w:hAnsi="宋体" w:cs="宋体"/>
          <w:color w:val="auto"/>
        </w:rPr>
      </w:pPr>
      <w:r>
        <w:rPr>
          <w:rFonts w:hint="eastAsia" w:ascii="宋体" w:hAnsi="宋体" w:cs="宋体"/>
          <w:color w:val="auto"/>
        </w:rPr>
        <w:t>（2）投标文件的大写金额和小写金额不一致的，以大写金额为准；</w:t>
      </w:r>
    </w:p>
    <w:p w14:paraId="16F08140">
      <w:pPr>
        <w:pageBreakBefore w:val="0"/>
        <w:kinsoku/>
        <w:overflowPunct/>
        <w:topLinePunct w:val="0"/>
        <w:autoSpaceDE/>
        <w:autoSpaceDN/>
        <w:bidi w:val="0"/>
        <w:spacing w:line="480" w:lineRule="exact"/>
        <w:ind w:firstLine="480"/>
        <w:textAlignment w:val="auto"/>
        <w:rPr>
          <w:rFonts w:ascii="宋体" w:hAnsi="宋体" w:cs="宋体"/>
          <w:color w:val="auto"/>
        </w:rPr>
      </w:pPr>
      <w:r>
        <w:rPr>
          <w:rFonts w:hint="eastAsia" w:ascii="宋体" w:hAnsi="宋体" w:cs="宋体"/>
          <w:color w:val="auto"/>
        </w:rPr>
        <w:t>（3）单价金额小数点或百分比有明显错位的，以开标一览表的总价为准，并修改单价；</w:t>
      </w:r>
    </w:p>
    <w:p w14:paraId="79251EDD">
      <w:pPr>
        <w:pageBreakBefore w:val="0"/>
        <w:kinsoku/>
        <w:overflowPunct/>
        <w:topLinePunct w:val="0"/>
        <w:autoSpaceDE/>
        <w:autoSpaceDN/>
        <w:bidi w:val="0"/>
        <w:spacing w:line="480" w:lineRule="exact"/>
        <w:ind w:firstLine="480"/>
        <w:textAlignment w:val="auto"/>
        <w:rPr>
          <w:rFonts w:ascii="宋体" w:hAnsi="宋体" w:cs="宋体"/>
          <w:color w:val="auto"/>
        </w:rPr>
      </w:pPr>
      <w:r>
        <w:rPr>
          <w:rFonts w:hint="eastAsia" w:ascii="宋体" w:hAnsi="宋体" w:cs="宋体"/>
          <w:color w:val="auto"/>
        </w:rPr>
        <w:t>（4）总价金额与按单价汇总金额不一致的，以单价金额计算结果为准；同时出现两种以上不一致的，按照前款规定的顺序修正，修正后的报价应经投标人书面确认，投标人不予确认的，其投标无效。</w:t>
      </w:r>
    </w:p>
    <w:p w14:paraId="3A92E05A">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445" w:name="_Toc16683"/>
      <w:r>
        <w:rPr>
          <w:rFonts w:hint="eastAsia" w:ascii="宋体" w:hAnsi="宋体" w:cs="宋体"/>
          <w:b/>
          <w:bCs w:val="0"/>
          <w:color w:val="auto"/>
          <w:lang w:bidi="ar"/>
        </w:rPr>
        <w:t>五、投标文件的递交</w:t>
      </w:r>
      <w:bookmarkEnd w:id="445"/>
    </w:p>
    <w:p w14:paraId="206D713C">
      <w:pPr>
        <w:pStyle w:val="33"/>
        <w:pageBreakBefore w:val="0"/>
        <w:numPr>
          <w:ilvl w:val="0"/>
          <w:numId w:val="9"/>
        </w:numPr>
        <w:kinsoku/>
        <w:overflowPunct/>
        <w:topLinePunct w:val="0"/>
        <w:autoSpaceDE/>
        <w:autoSpaceDN/>
        <w:bidi w:val="0"/>
        <w:adjustRightInd w:val="0"/>
        <w:spacing w:line="480" w:lineRule="exact"/>
        <w:ind w:firstLine="480"/>
        <w:jc w:val="both"/>
        <w:textAlignment w:val="auto"/>
        <w:rPr>
          <w:rFonts w:hint="eastAsia" w:ascii="宋体" w:hAnsi="宋体" w:eastAsia="宋体" w:cs="宋体"/>
          <w:color w:val="auto"/>
          <w:lang w:bidi="ar"/>
        </w:rPr>
      </w:pPr>
      <w:r>
        <w:rPr>
          <w:rFonts w:hint="eastAsia" w:ascii="宋体" w:hAnsi="宋体" w:eastAsia="宋体" w:cs="宋体"/>
          <w:color w:val="auto"/>
          <w:lang w:bidi="ar"/>
        </w:rPr>
        <w:t>递交投标文件方式和地点</w:t>
      </w:r>
    </w:p>
    <w:p w14:paraId="3E98A90B">
      <w:pPr>
        <w:pStyle w:val="27"/>
        <w:pageBreakBefore w:val="0"/>
        <w:tabs>
          <w:tab w:val="right" w:leader="dot" w:pos="9060"/>
          <w:tab w:val="right" w:leader="dot" w:pos="9170"/>
          <w:tab w:val="clear" w:pos="9628"/>
        </w:tabs>
        <w:kinsoku/>
        <w:overflowPunct/>
        <w:topLinePunct w:val="0"/>
        <w:autoSpaceDE/>
        <w:autoSpaceDN/>
        <w:bidi w:val="0"/>
        <w:adjustRightInd w:val="0"/>
        <w:snapToGrid w:val="0"/>
        <w:spacing w:line="480" w:lineRule="exact"/>
        <w:ind w:firstLine="480"/>
        <w:jc w:val="both"/>
        <w:textAlignment w:val="auto"/>
        <w:rPr>
          <w:rFonts w:ascii="宋体" w:hAnsi="宋体" w:eastAsia="宋体" w:cs="宋体"/>
          <w:b w:val="0"/>
          <w:bCs w:val="0"/>
          <w:caps w:val="0"/>
          <w:color w:val="auto"/>
          <w:sz w:val="24"/>
          <w:szCs w:val="24"/>
        </w:rPr>
      </w:pPr>
      <w:r>
        <w:rPr>
          <w:rFonts w:hint="eastAsia" w:ascii="宋体" w:hAnsi="宋体" w:eastAsia="宋体" w:cs="宋体"/>
          <w:b w:val="0"/>
          <w:bCs w:val="0"/>
          <w:caps w:val="0"/>
          <w:color w:val="auto"/>
          <w:sz w:val="24"/>
          <w:szCs w:val="24"/>
        </w:rPr>
        <w:t>将由投标文件制作工具制作生成的加密投标文件（.QZCGTF）在投标截止时间前（以上传完成时间为准）上传至衢州市阳光交易服务平台（https://qzygjy.com/）。</w:t>
      </w:r>
    </w:p>
    <w:p w14:paraId="1201FBB7">
      <w:pPr>
        <w:pStyle w:val="33"/>
        <w:pageBreakBefore w:val="0"/>
        <w:numPr>
          <w:ilvl w:val="0"/>
          <w:numId w:val="9"/>
        </w:numPr>
        <w:kinsoku/>
        <w:overflowPunct/>
        <w:topLinePunct w:val="0"/>
        <w:autoSpaceDE/>
        <w:autoSpaceDN/>
        <w:bidi w:val="0"/>
        <w:adjustRightInd w:val="0"/>
        <w:spacing w:line="480" w:lineRule="exact"/>
        <w:ind w:left="0" w:firstLine="480"/>
        <w:jc w:val="both"/>
        <w:textAlignment w:val="auto"/>
        <w:rPr>
          <w:rFonts w:hint="eastAsia" w:ascii="宋体" w:hAnsi="宋体" w:eastAsia="宋体" w:cs="宋体"/>
          <w:color w:val="auto"/>
          <w:lang w:bidi="ar"/>
        </w:rPr>
      </w:pPr>
      <w:r>
        <w:rPr>
          <w:rFonts w:hint="eastAsia" w:ascii="宋体" w:hAnsi="宋体" w:eastAsia="宋体" w:cs="宋体"/>
          <w:color w:val="auto"/>
          <w:lang w:bidi="ar"/>
        </w:rPr>
        <w:t>递交投标文件截止期</w:t>
      </w:r>
    </w:p>
    <w:p w14:paraId="282BF225">
      <w:pPr>
        <w:pStyle w:val="33"/>
        <w:pageBreakBefore w:val="0"/>
        <w:numPr>
          <w:ilvl w:val="1"/>
          <w:numId w:val="13"/>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szCs w:val="24"/>
          <w:lang w:val="zh-CN" w:bidi="ar"/>
        </w:rPr>
      </w:pPr>
      <w:r>
        <w:rPr>
          <w:rFonts w:hint="eastAsia" w:ascii="宋体" w:hAnsi="宋体" w:eastAsia="宋体" w:cs="宋体"/>
          <w:color w:val="auto"/>
          <w:szCs w:val="24"/>
          <w:lang w:val="zh-CN" w:bidi="ar"/>
        </w:rPr>
        <w:t>投标人应在投标人须知前附表规定的投标截止时间前递交投标文件。</w:t>
      </w:r>
    </w:p>
    <w:p w14:paraId="5D8AE447">
      <w:pPr>
        <w:pStyle w:val="33"/>
        <w:pageBreakBefore w:val="0"/>
        <w:numPr>
          <w:ilvl w:val="1"/>
          <w:numId w:val="13"/>
        </w:numPr>
        <w:tabs>
          <w:tab w:val="left" w:pos="171"/>
        </w:tabs>
        <w:kinsoku/>
        <w:overflowPunct/>
        <w:topLinePunct w:val="0"/>
        <w:autoSpaceDE/>
        <w:autoSpaceDN/>
        <w:bidi w:val="0"/>
        <w:adjustRightInd w:val="0"/>
        <w:snapToGrid/>
        <w:spacing w:line="480" w:lineRule="exact"/>
        <w:ind w:left="0" w:firstLine="480" w:firstLineChars="200"/>
        <w:textAlignment w:val="auto"/>
        <w:rPr>
          <w:rFonts w:hint="eastAsia" w:ascii="宋体" w:hAnsi="宋体" w:eastAsia="宋体" w:cs="宋体"/>
          <w:color w:val="auto"/>
          <w:szCs w:val="24"/>
          <w:lang w:val="zh-CN" w:bidi="ar"/>
        </w:rPr>
      </w:pPr>
      <w:r>
        <w:rPr>
          <w:rFonts w:hint="eastAsia" w:ascii="宋体" w:hAnsi="宋体" w:eastAsia="宋体" w:cs="宋体"/>
          <w:color w:val="auto"/>
          <w:szCs w:val="24"/>
          <w:lang w:val="zh-CN" w:bidi="ar"/>
        </w:rPr>
        <w:t>投标人递交投标文件的地点：见投标人须知前附表。</w:t>
      </w:r>
    </w:p>
    <w:p w14:paraId="60431683">
      <w:pPr>
        <w:pStyle w:val="33"/>
        <w:pageBreakBefore w:val="0"/>
        <w:numPr>
          <w:ilvl w:val="1"/>
          <w:numId w:val="13"/>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szCs w:val="24"/>
          <w:lang w:val="zh-CN" w:bidi="ar"/>
        </w:rPr>
      </w:pPr>
      <w:r>
        <w:rPr>
          <w:rFonts w:hint="eastAsia" w:ascii="宋体" w:hAnsi="宋体" w:eastAsia="宋体" w:cs="宋体"/>
          <w:color w:val="auto"/>
          <w:szCs w:val="24"/>
          <w:lang w:val="zh-CN" w:bidi="ar"/>
        </w:rPr>
        <w:t>除投标人须知前附表另有规定外，投标人所递交的投标文件不予退还。</w:t>
      </w:r>
    </w:p>
    <w:p w14:paraId="5905CE2C">
      <w:pPr>
        <w:pStyle w:val="33"/>
        <w:pageBreakBefore w:val="0"/>
        <w:numPr>
          <w:ilvl w:val="0"/>
          <w:numId w:val="9"/>
        </w:numPr>
        <w:kinsoku/>
        <w:overflowPunct/>
        <w:topLinePunct w:val="0"/>
        <w:autoSpaceDE/>
        <w:autoSpaceDN/>
        <w:bidi w:val="0"/>
        <w:adjustRightInd w:val="0"/>
        <w:spacing w:line="480" w:lineRule="exact"/>
        <w:ind w:left="0" w:firstLine="48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投标文件的修改和撤销</w:t>
      </w:r>
    </w:p>
    <w:p w14:paraId="0DD24F57">
      <w:pPr>
        <w:pStyle w:val="33"/>
        <w:pageBreakBefore w:val="0"/>
        <w:numPr>
          <w:ilvl w:val="255"/>
          <w:numId w:val="0"/>
        </w:numPr>
        <w:tabs>
          <w:tab w:val="left" w:pos="171"/>
        </w:tabs>
        <w:kinsoku/>
        <w:overflowPunct/>
        <w:topLinePunct w:val="0"/>
        <w:autoSpaceDE/>
        <w:autoSpaceDN/>
        <w:bidi w:val="0"/>
        <w:spacing w:line="480" w:lineRule="exact"/>
        <w:ind w:firstLine="480" w:firstLineChars="200"/>
        <w:textAlignment w:val="auto"/>
        <w:rPr>
          <w:rFonts w:ascii="宋体" w:hAnsi="宋体" w:cs="宋体"/>
          <w:color w:val="auto"/>
          <w:lang w:bidi="ar"/>
        </w:rPr>
      </w:pPr>
      <w:r>
        <w:rPr>
          <w:rFonts w:hint="eastAsia" w:ascii="宋体" w:hAnsi="宋体"/>
          <w:color w:val="auto"/>
        </w:rPr>
        <w:t>在本章第2</w:t>
      </w:r>
      <w:r>
        <w:rPr>
          <w:rFonts w:hint="eastAsia" w:ascii="宋体" w:hAnsi="宋体"/>
          <w:color w:val="auto"/>
          <w:lang w:val="en-US" w:eastAsia="zh-CN"/>
        </w:rPr>
        <w:t>5</w:t>
      </w:r>
      <w:r>
        <w:rPr>
          <w:rFonts w:hint="eastAsia" w:ascii="宋体" w:hAnsi="宋体"/>
          <w:color w:val="auto"/>
        </w:rPr>
        <w:t>.1项规定的投标截止时间前，投标人可以修改或撤回已递交的投标文件，但应以书面形式通知采购人。</w:t>
      </w:r>
    </w:p>
    <w:p w14:paraId="1726ED57">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446" w:name="_Toc8698"/>
      <w:r>
        <w:rPr>
          <w:rFonts w:hint="eastAsia" w:ascii="宋体" w:hAnsi="宋体" w:cs="宋体"/>
          <w:b/>
          <w:bCs w:val="0"/>
          <w:color w:val="auto"/>
          <w:lang w:bidi="ar"/>
        </w:rPr>
        <w:t>六、投标无效的情形</w:t>
      </w:r>
      <w:bookmarkEnd w:id="446"/>
    </w:p>
    <w:p w14:paraId="37E7BEB3">
      <w:pPr>
        <w:pStyle w:val="33"/>
        <w:pageBreakBefore w:val="0"/>
        <w:numPr>
          <w:ilvl w:val="0"/>
          <w:numId w:val="9"/>
        </w:numPr>
        <w:kinsoku/>
        <w:overflowPunct/>
        <w:topLinePunct w:val="0"/>
        <w:autoSpaceDE/>
        <w:autoSpaceDN/>
        <w:bidi w:val="0"/>
        <w:adjustRightInd w:val="0"/>
        <w:spacing w:line="480" w:lineRule="exact"/>
        <w:ind w:left="0" w:firstLine="480"/>
        <w:jc w:val="both"/>
        <w:textAlignment w:val="auto"/>
        <w:rPr>
          <w:rFonts w:hint="eastAsia" w:ascii="宋体" w:hAnsi="宋体" w:eastAsia="宋体" w:cs="宋体"/>
          <w:color w:val="auto"/>
          <w:lang w:bidi="ar"/>
        </w:rPr>
      </w:pPr>
      <w:r>
        <w:rPr>
          <w:rFonts w:hint="eastAsia" w:ascii="宋体" w:hAnsi="宋体" w:eastAsia="宋体" w:cs="宋体"/>
          <w:color w:val="auto"/>
          <w:lang w:bidi="ar"/>
        </w:rPr>
        <w:t>实质上没有响应招标文件要求的投标将被视为无效投标。投标人不得通过修正或撤销不合要求的偏离或保留从而使其投标成为实质上响应的投标。如发生下列情况之一的，其投标视为无效：</w:t>
      </w:r>
    </w:p>
    <w:p w14:paraId="1CDE19F3">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投标文件逾期上传标书的；</w:t>
      </w:r>
    </w:p>
    <w:p w14:paraId="29C3679A">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不具备招标文件规定资格要求；</w:t>
      </w:r>
    </w:p>
    <w:p w14:paraId="10EB2959">
      <w:pPr>
        <w:pStyle w:val="33"/>
        <w:pageBreakBefore w:val="0"/>
        <w:numPr>
          <w:ilvl w:val="1"/>
          <w:numId w:val="14"/>
        </w:numPr>
        <w:tabs>
          <w:tab w:val="left" w:pos="171"/>
        </w:tabs>
        <w:kinsoku/>
        <w:overflowPunct/>
        <w:topLinePunct w:val="0"/>
        <w:autoSpaceDE/>
        <w:autoSpaceDN/>
        <w:bidi w:val="0"/>
        <w:adjustRightInd w:val="0"/>
        <w:spacing w:line="480" w:lineRule="exact"/>
        <w:ind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投标文件未按招标文件的要求加盖单位公章，或投标人的法定代表人未按招标文件要求签字或盖章的；</w:t>
      </w:r>
    </w:p>
    <w:p w14:paraId="638330B1">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招标文件中有▲处条款或▲处参数投标人未作实质性响应的；</w:t>
      </w:r>
    </w:p>
    <w:p w14:paraId="48357112">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投标文件的实质性内容未使用中文表述、意思表述不明确、前后矛盾或者使用计量单位不符合招标文件要求的（经评标委员会认定允许其当场更正的笔误除外）；</w:t>
      </w:r>
    </w:p>
    <w:p w14:paraId="735B0356">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投标文件关键内容字迹模糊、无法辨认的；</w:t>
      </w:r>
    </w:p>
    <w:p w14:paraId="07A734EE">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投标方案不明确，存在一个或一个以上备选（替代）投标方案的；</w:t>
      </w:r>
    </w:p>
    <w:p w14:paraId="7BD99CFF">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cs="宋体"/>
          <w:color w:val="auto"/>
          <w:lang w:val="zh-CN" w:bidi="ar"/>
        </w:rPr>
        <w:t>技术商务文件</w:t>
      </w:r>
      <w:r>
        <w:rPr>
          <w:rFonts w:hint="eastAsia" w:ascii="宋体" w:hAnsi="宋体" w:eastAsia="宋体" w:cs="宋体"/>
          <w:color w:val="auto"/>
          <w:lang w:val="zh-CN" w:bidi="ar"/>
        </w:rPr>
        <w:t>中包含本次报价的；</w:t>
      </w:r>
    </w:p>
    <w:p w14:paraId="491FD3C4">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未按照招标文件标明的币种报价的；</w:t>
      </w:r>
    </w:p>
    <w:p w14:paraId="092DEDB1">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投标报价具有选择性，或者开标价格与投标文件承诺的优惠（折扣）价格不一致的；</w:t>
      </w:r>
    </w:p>
    <w:p w14:paraId="71B7DD5C">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投标报价明细表总额与开标一览表总价不一致，且高于总价5％的；</w:t>
      </w:r>
    </w:p>
    <w:p w14:paraId="5A93B010">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投标人的报价明显高于其市场价或低于成本价的，该投标人不能合理说明原因并提供证明材料的；</w:t>
      </w:r>
    </w:p>
    <w:p w14:paraId="2B9E0EBA">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投标报价漏项超过投标报价5%以上的或漏项超过2项及以上的，均属无效投标；</w:t>
      </w:r>
    </w:p>
    <w:p w14:paraId="39FBFDD6">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报价超出采购预算价（最高限价）的；</w:t>
      </w:r>
    </w:p>
    <w:p w14:paraId="2557F4EE">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提供虚假材料谋取中标的；</w:t>
      </w:r>
    </w:p>
    <w:p w14:paraId="321CA069">
      <w:pPr>
        <w:pStyle w:val="33"/>
        <w:pageBreakBefore w:val="0"/>
        <w:numPr>
          <w:ilvl w:val="1"/>
          <w:numId w:val="14"/>
        </w:numPr>
        <w:tabs>
          <w:tab w:val="left" w:pos="171"/>
        </w:tabs>
        <w:kinsoku/>
        <w:overflowPunct/>
        <w:topLinePunct w:val="0"/>
        <w:autoSpaceDE/>
        <w:autoSpaceDN/>
        <w:bidi w:val="0"/>
        <w:adjustRightInd w:val="0"/>
        <w:spacing w:line="480" w:lineRule="exact"/>
        <w:ind w:left="0" w:firstLine="480" w:firstLineChars="200"/>
        <w:textAlignment w:val="auto"/>
        <w:rPr>
          <w:rFonts w:hint="eastAsia" w:ascii="宋体" w:hAnsi="宋体" w:eastAsia="宋体" w:cs="宋体"/>
          <w:color w:val="auto"/>
          <w:lang w:val="zh-CN" w:bidi="ar"/>
        </w:rPr>
      </w:pPr>
      <w:r>
        <w:rPr>
          <w:rFonts w:hint="eastAsia" w:ascii="宋体" w:hAnsi="宋体" w:eastAsia="宋体" w:cs="宋体"/>
          <w:color w:val="auto"/>
          <w:lang w:val="zh-CN" w:bidi="ar"/>
        </w:rPr>
        <w:t>不符合法律、法规和招标文件规定的其他实质性要求的。</w:t>
      </w:r>
    </w:p>
    <w:p w14:paraId="49C745AB">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447" w:name="_Toc4681"/>
      <w:r>
        <w:rPr>
          <w:rFonts w:hint="eastAsia" w:ascii="宋体" w:hAnsi="宋体" w:cs="宋体"/>
          <w:b/>
          <w:bCs w:val="0"/>
          <w:color w:val="auto"/>
          <w:lang w:bidi="ar"/>
        </w:rPr>
        <w:t>七、废标的情形</w:t>
      </w:r>
      <w:bookmarkEnd w:id="447"/>
    </w:p>
    <w:p w14:paraId="0CB2949F">
      <w:pPr>
        <w:pStyle w:val="33"/>
        <w:pageBreakBefore w:val="0"/>
        <w:numPr>
          <w:ilvl w:val="0"/>
          <w:numId w:val="9"/>
        </w:numPr>
        <w:kinsoku/>
        <w:overflowPunct/>
        <w:topLinePunct w:val="0"/>
        <w:autoSpaceDE/>
        <w:autoSpaceDN/>
        <w:bidi w:val="0"/>
        <w:adjustRightInd w:val="0"/>
        <w:spacing w:line="480" w:lineRule="exact"/>
        <w:ind w:left="0" w:firstLine="480"/>
        <w:jc w:val="both"/>
        <w:textAlignment w:val="auto"/>
        <w:rPr>
          <w:rFonts w:hint="eastAsia" w:ascii="宋体" w:hAnsi="宋体" w:eastAsia="宋体" w:cs="宋体"/>
          <w:color w:val="auto"/>
          <w:lang w:bidi="ar"/>
        </w:rPr>
      </w:pPr>
      <w:r>
        <w:rPr>
          <w:rFonts w:hint="eastAsia" w:ascii="宋体" w:hAnsi="宋体" w:eastAsia="宋体" w:cs="宋体"/>
          <w:color w:val="auto"/>
          <w:lang w:bidi="ar"/>
        </w:rPr>
        <w:t>采购中，出现下列情形之一的，应予废标，废标后，采购人将废标理由通知所有投标人：</w:t>
      </w:r>
    </w:p>
    <w:p w14:paraId="1F358D0F">
      <w:pPr>
        <w:pStyle w:val="33"/>
        <w:pageBreakBefore w:val="0"/>
        <w:numPr>
          <w:ilvl w:val="1"/>
          <w:numId w:val="15"/>
        </w:numPr>
        <w:tabs>
          <w:tab w:val="left" w:pos="171"/>
        </w:tabs>
        <w:kinsoku/>
        <w:overflowPunct/>
        <w:topLinePunct w:val="0"/>
        <w:autoSpaceDE/>
        <w:autoSpaceDN/>
        <w:bidi w:val="0"/>
        <w:adjustRightInd/>
        <w:spacing w:line="480" w:lineRule="exact"/>
        <w:ind w:left="0"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投标截止时间止提交投标文件的投标人不足3家或者对招标文件作实质性响应的投标人不足3家的；</w:t>
      </w:r>
    </w:p>
    <w:p w14:paraId="1736F4B5">
      <w:pPr>
        <w:pStyle w:val="33"/>
        <w:pageBreakBefore w:val="0"/>
        <w:numPr>
          <w:ilvl w:val="1"/>
          <w:numId w:val="15"/>
        </w:numPr>
        <w:tabs>
          <w:tab w:val="left" w:pos="171"/>
        </w:tabs>
        <w:kinsoku/>
        <w:overflowPunct/>
        <w:topLinePunct w:val="0"/>
        <w:autoSpaceDE/>
        <w:autoSpaceDN/>
        <w:bidi w:val="0"/>
        <w:adjustRightInd/>
        <w:spacing w:line="480" w:lineRule="exact"/>
        <w:ind w:left="0"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出现影响采购公正的违法、违规行为的；</w:t>
      </w:r>
    </w:p>
    <w:p w14:paraId="0F474211">
      <w:pPr>
        <w:pStyle w:val="33"/>
        <w:pageBreakBefore w:val="0"/>
        <w:numPr>
          <w:ilvl w:val="1"/>
          <w:numId w:val="15"/>
        </w:numPr>
        <w:tabs>
          <w:tab w:val="left" w:pos="171"/>
        </w:tabs>
        <w:kinsoku/>
        <w:overflowPunct/>
        <w:topLinePunct w:val="0"/>
        <w:autoSpaceDE/>
        <w:autoSpaceDN/>
        <w:bidi w:val="0"/>
        <w:adjustRightInd/>
        <w:spacing w:line="480" w:lineRule="exact"/>
        <w:ind w:left="0"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投标人的报价均超过了采购预算，采购人不能支付的；</w:t>
      </w:r>
    </w:p>
    <w:p w14:paraId="7D29C64B">
      <w:pPr>
        <w:pStyle w:val="33"/>
        <w:pageBreakBefore w:val="0"/>
        <w:numPr>
          <w:ilvl w:val="1"/>
          <w:numId w:val="15"/>
        </w:numPr>
        <w:tabs>
          <w:tab w:val="left" w:pos="171"/>
        </w:tabs>
        <w:kinsoku/>
        <w:overflowPunct/>
        <w:topLinePunct w:val="0"/>
        <w:autoSpaceDE/>
        <w:autoSpaceDN/>
        <w:bidi w:val="0"/>
        <w:adjustRightInd/>
        <w:spacing w:line="480" w:lineRule="exact"/>
        <w:ind w:left="0"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因重大变故，采购任务取消的。</w:t>
      </w:r>
    </w:p>
    <w:p w14:paraId="656D3CAF">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448" w:name="_Toc19668"/>
      <w:r>
        <w:rPr>
          <w:rFonts w:hint="eastAsia" w:ascii="宋体" w:hAnsi="宋体" w:cs="宋体"/>
          <w:b/>
          <w:bCs w:val="0"/>
          <w:color w:val="auto"/>
          <w:lang w:bidi="ar"/>
        </w:rPr>
        <w:t>八、开标、评标和定标</w:t>
      </w:r>
      <w:bookmarkEnd w:id="448"/>
    </w:p>
    <w:p w14:paraId="1064DF49">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开标时间、地点、参加开标会议的要求</w:t>
      </w:r>
    </w:p>
    <w:p w14:paraId="0DB383F5">
      <w:pPr>
        <w:pStyle w:val="33"/>
        <w:pageBreakBefore w:val="0"/>
        <w:numPr>
          <w:ilvl w:val="1"/>
          <w:numId w:val="16"/>
        </w:numPr>
        <w:tabs>
          <w:tab w:val="left" w:pos="171"/>
        </w:tabs>
        <w:kinsoku/>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开标时间：同投标截止时间。</w:t>
      </w:r>
    </w:p>
    <w:p w14:paraId="1C40B042">
      <w:pPr>
        <w:pStyle w:val="33"/>
        <w:pageBreakBefore w:val="0"/>
        <w:numPr>
          <w:ilvl w:val="1"/>
          <w:numId w:val="16"/>
        </w:numPr>
        <w:tabs>
          <w:tab w:val="left" w:pos="171"/>
        </w:tabs>
        <w:kinsoku/>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开标大厅：（https://qzygjy.com/BidOpening/bidopeninghallaction/hall/login）</w:t>
      </w:r>
    </w:p>
    <w:p w14:paraId="049E02D2">
      <w:pPr>
        <w:pStyle w:val="33"/>
        <w:pageBreakBefore w:val="0"/>
        <w:numPr>
          <w:ilvl w:val="1"/>
          <w:numId w:val="16"/>
        </w:numPr>
        <w:tabs>
          <w:tab w:val="left" w:pos="171"/>
        </w:tabs>
        <w:kinsoku/>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参加开标会议的要求</w:t>
      </w:r>
    </w:p>
    <w:p w14:paraId="6C602D76">
      <w:pPr>
        <w:pStyle w:val="33"/>
        <w:pageBreakBefore w:val="0"/>
        <w:numPr>
          <w:ilvl w:val="1"/>
          <w:numId w:val="16"/>
        </w:numPr>
        <w:tabs>
          <w:tab w:val="left" w:pos="171"/>
        </w:tabs>
        <w:kinsoku/>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开标过程中，投标人参与远程音视频交互的法人代表或授权委托人应始终为同一人，中途不得更换，并能及时响应开标要求。投标人终端操作人员均被视为投标人法人代表或授权委托人，投标人自行承担随意更换人员所导致的一切后果。</w:t>
      </w:r>
    </w:p>
    <w:p w14:paraId="01CDE032">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开标程序</w:t>
      </w:r>
    </w:p>
    <w:p w14:paraId="3B1934A7">
      <w:pPr>
        <w:pStyle w:val="33"/>
        <w:pageBreakBefore w:val="0"/>
        <w:numPr>
          <w:ilvl w:val="255"/>
          <w:numId w:val="0"/>
        </w:numPr>
        <w:tabs>
          <w:tab w:val="left" w:pos="171"/>
        </w:tabs>
        <w:kinsoku/>
        <w:overflowPunct/>
        <w:topLinePunct w:val="0"/>
        <w:autoSpaceDE/>
        <w:autoSpaceDN/>
        <w:bidi w:val="0"/>
        <w:spacing w:line="480" w:lineRule="exact"/>
        <w:ind w:firstLine="480" w:firstLineChars="200"/>
        <w:textAlignment w:val="auto"/>
        <w:rPr>
          <w:rFonts w:ascii="宋体" w:hAnsi="宋体" w:cs="宋体"/>
          <w:color w:val="auto"/>
          <w:lang w:bidi="ar"/>
        </w:rPr>
      </w:pPr>
      <w:r>
        <w:rPr>
          <w:rFonts w:hint="eastAsia" w:ascii="宋体" w:hAnsi="宋体" w:cs="宋体"/>
          <w:color w:val="auto"/>
          <w:lang w:bidi="ar"/>
        </w:rPr>
        <w:t>投标人须准备好加密投标文件的CA数字证书以供开标时远程解密投标文件。</w:t>
      </w:r>
    </w:p>
    <w:p w14:paraId="69502BAF">
      <w:pPr>
        <w:pStyle w:val="143"/>
        <w:pageBreakBefore w:val="0"/>
        <w:tabs>
          <w:tab w:val="right" w:leader="dot" w:pos="8295"/>
        </w:tabs>
        <w:kinsoku/>
        <w:overflowPunct/>
        <w:topLinePunct w:val="0"/>
        <w:autoSpaceDE/>
        <w:autoSpaceDN/>
        <w:bidi w:val="0"/>
        <w:snapToGrid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（一）至投标截止时间</w:t>
      </w:r>
    </w:p>
    <w:p w14:paraId="0BFC57C9">
      <w:pPr>
        <w:pStyle w:val="146"/>
        <w:pageBreakBefore w:val="0"/>
        <w:tabs>
          <w:tab w:val="right" w:leader="dot" w:pos="8295"/>
        </w:tabs>
        <w:kinsoku/>
        <w:overflowPunct/>
        <w:topLinePunct w:val="0"/>
        <w:autoSpaceDE/>
        <w:autoSpaceDN/>
        <w:bidi w:val="0"/>
        <w:snapToGrid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采购人（或公证处工作人员）宣布开始开标，宣布开标项目名称、采购人代表等有关人员姓名，公布在投标截止时间前受理的投标文件的投标人名称。</w:t>
      </w:r>
    </w:p>
    <w:p w14:paraId="14B39200">
      <w:pPr>
        <w:pStyle w:val="146"/>
        <w:pageBreakBefore w:val="0"/>
        <w:tabs>
          <w:tab w:val="right" w:leader="dot" w:pos="8295"/>
        </w:tabs>
        <w:kinsoku/>
        <w:overflowPunct/>
        <w:topLinePunct w:val="0"/>
        <w:autoSpaceDE/>
        <w:autoSpaceDN/>
        <w:bidi w:val="0"/>
        <w:snapToGrid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（二）投标人解密</w:t>
      </w:r>
    </w:p>
    <w:p w14:paraId="5F447B15">
      <w:pPr>
        <w:pStyle w:val="146"/>
        <w:pageBreakBefore w:val="0"/>
        <w:widowControl w:val="0"/>
        <w:tabs>
          <w:tab w:val="right" w:leader="dot" w:pos="8295"/>
        </w:tabs>
        <w:kinsoku/>
        <w:overflowPunct/>
        <w:topLinePunct w:val="0"/>
        <w:autoSpaceDE/>
        <w:autoSpaceDN/>
        <w:bidi w:val="0"/>
        <w:snapToGrid w:val="0"/>
        <w:spacing w:line="48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投标人解密时间：采购人（公证人员）宣布开始解密后30分钟以内。投标人解密方式：投标人自行登录衢州市阳光交易服务平台不见面开标大厅（</w:t>
      </w:r>
      <w:r>
        <w:rPr>
          <w:rFonts w:hint="eastAsia" w:ascii="宋体" w:hAnsi="宋体" w:cs="宋体"/>
          <w:snapToGrid w:val="0"/>
          <w:color w:val="auto"/>
          <w:spacing w:val="-6"/>
          <w:sz w:val="24"/>
          <w:szCs w:val="24"/>
        </w:rPr>
        <w:t>https://qzygjy.com/BidOpening/bidopeninghallaction/hall/login</w:t>
      </w:r>
      <w:r>
        <w:rPr>
          <w:rFonts w:hint="eastAsia" w:ascii="宋体" w:hAnsi="宋体" w:cs="宋体"/>
          <w:color w:val="auto"/>
          <w:sz w:val="24"/>
          <w:szCs w:val="24"/>
        </w:rPr>
        <w:t>)——我的项目——选择标段——待招标代理开启解密后进行解密操作。</w:t>
      </w:r>
    </w:p>
    <w:p w14:paraId="6E091B0E">
      <w:pPr>
        <w:pStyle w:val="146"/>
        <w:pageBreakBefore w:val="0"/>
        <w:tabs>
          <w:tab w:val="right" w:leader="dot" w:pos="8295"/>
        </w:tabs>
        <w:kinsoku/>
        <w:overflowPunct/>
        <w:topLinePunct w:val="0"/>
        <w:autoSpaceDE/>
        <w:autoSpaceDN/>
        <w:bidi w:val="0"/>
        <w:snapToGrid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（三）投标人使用生成投标文件的CA数字证书解密投标文件。</w:t>
      </w:r>
    </w:p>
    <w:p w14:paraId="4F0AC6D4">
      <w:pPr>
        <w:pStyle w:val="146"/>
        <w:pageBreakBefore w:val="0"/>
        <w:tabs>
          <w:tab w:val="right" w:leader="dot" w:pos="8295"/>
        </w:tabs>
        <w:kinsoku/>
        <w:overflowPunct/>
        <w:topLinePunct w:val="0"/>
        <w:autoSpaceDE/>
        <w:autoSpaceDN/>
        <w:bidi w:val="0"/>
        <w:snapToGrid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（四）投标文件解密完成后，开标系统公布投标人名称、投标报价、</w:t>
      </w:r>
      <w:r>
        <w:rPr>
          <w:rFonts w:hint="eastAsia" w:ascii="宋体" w:hAnsi="宋体" w:cs="宋体"/>
          <w:color w:val="auto"/>
          <w:sz w:val="24"/>
          <w:szCs w:val="24"/>
          <w:lang w:eastAsia="zh-CN"/>
        </w:rPr>
        <w:t>合同履行期限</w:t>
      </w:r>
      <w:r>
        <w:rPr>
          <w:rFonts w:hint="eastAsia" w:ascii="宋体" w:hAnsi="宋体" w:cs="宋体"/>
          <w:color w:val="auto"/>
          <w:sz w:val="24"/>
          <w:szCs w:val="24"/>
        </w:rPr>
        <w:t>及其他内容。</w:t>
      </w:r>
    </w:p>
    <w:p w14:paraId="3DC4938E">
      <w:pPr>
        <w:pStyle w:val="146"/>
        <w:pageBreakBefore w:val="0"/>
        <w:tabs>
          <w:tab w:val="right" w:leader="dot" w:pos="8295"/>
        </w:tabs>
        <w:kinsoku/>
        <w:overflowPunct/>
        <w:topLinePunct w:val="0"/>
        <w:autoSpaceDE/>
        <w:autoSpaceDN/>
        <w:bidi w:val="0"/>
        <w:snapToGrid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（五）投标人确认</w:t>
      </w:r>
    </w:p>
    <w:p w14:paraId="40EFF61B">
      <w:pPr>
        <w:pStyle w:val="146"/>
        <w:pageBreakBefore w:val="0"/>
        <w:tabs>
          <w:tab w:val="right" w:leader="dot" w:pos="8295"/>
        </w:tabs>
        <w:kinsoku/>
        <w:overflowPunct/>
        <w:topLinePunct w:val="0"/>
        <w:autoSpaceDE/>
        <w:autoSpaceDN/>
        <w:bidi w:val="0"/>
        <w:snapToGrid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唱标完成后，投标人可通过衢州市阳光交易服务平台不见面开标大厅系统对唱标结果进行确认，未在开标结束前完成在线确认的投标人，衢州市阳光交易服务平台不见面开标大厅系统将视作自动确认。</w:t>
      </w:r>
    </w:p>
    <w:p w14:paraId="2C3FA9F5">
      <w:pPr>
        <w:pStyle w:val="146"/>
        <w:pageBreakBefore w:val="0"/>
        <w:widowControl w:val="0"/>
        <w:kinsoku/>
        <w:overflowPunct/>
        <w:topLinePunct w:val="0"/>
        <w:autoSpaceDE/>
        <w:autoSpaceDN/>
        <w:bidi w:val="0"/>
        <w:snapToGrid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投标人对开标过程有异议的，应通过衢州市阳光交易服务平台不见面开标大厅系统的“开标异议文字提问”按钮进行异议，采购人通过衢州市阳光交易服务平台不见面开标大厅系统文字答复，投标人提出异议的时间截止至开标结果公布后5分钟；</w:t>
      </w:r>
    </w:p>
    <w:p w14:paraId="3C049A77">
      <w:pPr>
        <w:pStyle w:val="146"/>
        <w:pageBreakBefore w:val="0"/>
        <w:tabs>
          <w:tab w:val="right" w:leader="dot" w:pos="8295"/>
        </w:tabs>
        <w:kinsoku/>
        <w:overflowPunct/>
        <w:topLinePunct w:val="0"/>
        <w:autoSpaceDE/>
        <w:autoSpaceDN/>
        <w:bidi w:val="0"/>
        <w:snapToGrid w:val="0"/>
        <w:spacing w:line="48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（六）进入评标环节，首先对解密成功的投标人进行资格审查，然后对通过资格审查的投标人进行</w:t>
      </w:r>
      <w:r>
        <w:rPr>
          <w:rFonts w:hint="eastAsia" w:ascii="宋体" w:hAnsi="宋体" w:cs="宋体"/>
          <w:color w:val="auto"/>
          <w:sz w:val="24"/>
          <w:szCs w:val="24"/>
          <w:lang w:eastAsia="zh-CN"/>
        </w:rPr>
        <w:t>技术商务文件</w:t>
      </w:r>
      <w:r>
        <w:rPr>
          <w:rFonts w:hint="eastAsia" w:ascii="宋体" w:hAnsi="宋体" w:cs="宋体"/>
          <w:color w:val="auto"/>
          <w:sz w:val="24"/>
          <w:szCs w:val="24"/>
        </w:rPr>
        <w:t>评审，最后进行报价评分；</w:t>
      </w:r>
    </w:p>
    <w:p w14:paraId="77785759">
      <w:pPr>
        <w:pStyle w:val="146"/>
        <w:pageBreakBefore w:val="0"/>
        <w:tabs>
          <w:tab w:val="right" w:leader="dot" w:pos="8295"/>
        </w:tabs>
        <w:kinsoku/>
        <w:overflowPunct/>
        <w:topLinePunct w:val="0"/>
        <w:autoSpaceDE/>
        <w:autoSpaceDN/>
        <w:bidi w:val="0"/>
        <w:snapToGrid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（七）评标结束后，采购人宣布中标候选人。采购人宣布开标会议结束。</w:t>
      </w:r>
    </w:p>
    <w:p w14:paraId="28376973">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开标特别说明</w:t>
      </w:r>
    </w:p>
    <w:p w14:paraId="66F9CEC6">
      <w:pPr>
        <w:pStyle w:val="143"/>
        <w:pageBreakBefore w:val="0"/>
        <w:kinsoku/>
        <w:overflowPunct/>
        <w:topLinePunct w:val="0"/>
        <w:autoSpaceDE/>
        <w:autoSpaceDN/>
        <w:bidi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 xml:space="preserve">（一）开标解密使用投标人上传的电子投标文件。 </w:t>
      </w:r>
    </w:p>
    <w:p w14:paraId="59593B37">
      <w:pPr>
        <w:pStyle w:val="143"/>
        <w:pageBreakBefore w:val="0"/>
        <w:kinsoku/>
        <w:overflowPunct/>
        <w:topLinePunct w:val="0"/>
        <w:autoSpaceDE/>
        <w:autoSpaceDN/>
        <w:bidi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（二）因投标人原因（包括投标人自主选择的CA证书、投标工具等），造成其电子投标文件未解密的，或投标文件解密了，但投标文件无法识别、读取的，视为撤销其投标文件。</w:t>
      </w:r>
    </w:p>
    <w:p w14:paraId="17C8300A">
      <w:pPr>
        <w:pStyle w:val="143"/>
        <w:pageBreakBefore w:val="0"/>
        <w:kinsoku/>
        <w:overflowPunct/>
        <w:topLinePunct w:val="0"/>
        <w:autoSpaceDE/>
        <w:autoSpaceDN/>
        <w:bidi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（三）部分投标人的电子投标文件无法解密（识别、读取）的，其他投标文件的开标可以继续进行，但最终解密（识别、读取）成功的应不少于3家。</w:t>
      </w:r>
    </w:p>
    <w:p w14:paraId="0B8EC261">
      <w:pPr>
        <w:pStyle w:val="143"/>
        <w:pageBreakBefore w:val="0"/>
        <w:kinsoku/>
        <w:overflowPunct/>
        <w:topLinePunct w:val="0"/>
        <w:autoSpaceDE/>
        <w:autoSpaceDN/>
        <w:bidi w:val="0"/>
        <w:spacing w:line="480" w:lineRule="exact"/>
        <w:ind w:firstLine="480" w:firstLineChars="200"/>
        <w:textAlignment w:val="auto"/>
        <w:rPr>
          <w:rFonts w:ascii="宋体" w:hAnsi="宋体" w:cs="宋体"/>
          <w:color w:val="auto"/>
          <w:sz w:val="24"/>
          <w:szCs w:val="24"/>
        </w:rPr>
      </w:pPr>
      <w:r>
        <w:rPr>
          <w:rFonts w:hint="eastAsia" w:ascii="宋体" w:hAnsi="宋体" w:cs="宋体"/>
          <w:color w:val="auto"/>
          <w:sz w:val="24"/>
          <w:szCs w:val="24"/>
        </w:rPr>
        <w:t>（四）投标人必须使用生成电子投标文件的CA数字证书解密电子投标文件。</w:t>
      </w:r>
    </w:p>
    <w:p w14:paraId="5FE03232">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评标委员会</w:t>
      </w:r>
    </w:p>
    <w:p w14:paraId="7E446666">
      <w:pPr>
        <w:pStyle w:val="33"/>
        <w:pageBreakBefore w:val="0"/>
        <w:numPr>
          <w:ilvl w:val="1"/>
          <w:numId w:val="17"/>
        </w:numPr>
        <w:tabs>
          <w:tab w:val="left" w:pos="171"/>
        </w:tabs>
        <w:kinsoku/>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评标由采购人依法组建的评标委员会负责。评标委员会成员人数以及技术、经济等方面专家的确定方式见投标人须知前附表。</w:t>
      </w:r>
    </w:p>
    <w:p w14:paraId="16A6A10A">
      <w:pPr>
        <w:pStyle w:val="33"/>
        <w:pageBreakBefore w:val="0"/>
        <w:numPr>
          <w:ilvl w:val="1"/>
          <w:numId w:val="17"/>
        </w:numPr>
        <w:tabs>
          <w:tab w:val="left" w:pos="171"/>
        </w:tabs>
        <w:kinsoku/>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评标委员会依据投标人提交的投标文件进行评审。</w:t>
      </w:r>
    </w:p>
    <w:p w14:paraId="70BE1B54">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评标的保密</w:t>
      </w:r>
    </w:p>
    <w:p w14:paraId="71F8DFA0">
      <w:pPr>
        <w:pStyle w:val="33"/>
        <w:pageBreakBefore w:val="0"/>
        <w:numPr>
          <w:ilvl w:val="1"/>
          <w:numId w:val="18"/>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评标采用保密的方式进行。</w:t>
      </w:r>
    </w:p>
    <w:p w14:paraId="4478E042">
      <w:pPr>
        <w:pStyle w:val="33"/>
        <w:pageBreakBefore w:val="0"/>
        <w:numPr>
          <w:ilvl w:val="1"/>
          <w:numId w:val="18"/>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评标委员会成员和参与评标的有关工作人员不得透露对投标文件的评审和比较、中标候选</w:t>
      </w:r>
      <w:r>
        <w:rPr>
          <w:rFonts w:hint="eastAsia" w:ascii="宋体" w:hAnsi="宋体" w:eastAsia="宋体" w:cs="宋体"/>
          <w:color w:val="auto"/>
          <w:lang w:eastAsia="zh-CN" w:bidi="ar"/>
        </w:rPr>
        <w:t>人</w:t>
      </w:r>
      <w:r>
        <w:rPr>
          <w:rFonts w:hint="eastAsia" w:ascii="宋体" w:hAnsi="宋体" w:eastAsia="宋体" w:cs="宋体"/>
          <w:color w:val="auto"/>
          <w:lang w:bidi="ar"/>
        </w:rPr>
        <w:t>的推荐情况以及与评标有关的其他情况。</w:t>
      </w:r>
    </w:p>
    <w:p w14:paraId="3BE5C3EF">
      <w:pPr>
        <w:pStyle w:val="33"/>
        <w:pageBreakBefore w:val="0"/>
        <w:numPr>
          <w:ilvl w:val="1"/>
          <w:numId w:val="18"/>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在投标文件的评审和比较、中标候选</w:t>
      </w:r>
      <w:r>
        <w:rPr>
          <w:rFonts w:hint="eastAsia" w:ascii="宋体" w:hAnsi="宋体" w:eastAsia="宋体" w:cs="宋体"/>
          <w:color w:val="auto"/>
          <w:lang w:eastAsia="zh-CN" w:bidi="ar"/>
        </w:rPr>
        <w:t>人</w:t>
      </w:r>
      <w:r>
        <w:rPr>
          <w:rFonts w:hint="eastAsia" w:ascii="宋体" w:hAnsi="宋体" w:eastAsia="宋体" w:cs="宋体"/>
          <w:color w:val="auto"/>
          <w:lang w:bidi="ar"/>
        </w:rPr>
        <w:t>推荐以及授予合同的过程中，投标人向采购人和评标委员会施加影响的任何行为，都将导致其投标被拒绝。</w:t>
      </w:r>
    </w:p>
    <w:p w14:paraId="2156BB4A">
      <w:pPr>
        <w:pStyle w:val="33"/>
        <w:pageBreakBefore w:val="0"/>
        <w:numPr>
          <w:ilvl w:val="1"/>
          <w:numId w:val="18"/>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评标委员会对未中标人就评标过程以及未能中标原因不作解释。</w:t>
      </w:r>
    </w:p>
    <w:p w14:paraId="05B97171">
      <w:pPr>
        <w:pStyle w:val="33"/>
        <w:keepNext w:val="0"/>
        <w:keepLines w:val="0"/>
        <w:pageBreakBefore w:val="0"/>
        <w:numPr>
          <w:ilvl w:val="1"/>
          <w:numId w:val="18"/>
        </w:numPr>
        <w:tabs>
          <w:tab w:val="left" w:pos="171"/>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采购人不得在中标人确定前，与投标人就投标价格、投标方案等实质性内容进行谈判。</w:t>
      </w:r>
    </w:p>
    <w:p w14:paraId="0E05ED15">
      <w:pPr>
        <w:pStyle w:val="33"/>
        <w:keepNext w:val="0"/>
        <w:keepLines w:val="0"/>
        <w:pageBreakBefore w:val="0"/>
        <w:numPr>
          <w:ilvl w:val="0"/>
          <w:numId w:val="9"/>
        </w:numPr>
        <w:kinsoku/>
        <w:wordWrap/>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评标程序</w:t>
      </w:r>
    </w:p>
    <w:p w14:paraId="1E0837C6">
      <w:pPr>
        <w:pStyle w:val="33"/>
        <w:keepNext w:val="0"/>
        <w:keepLines w:val="0"/>
        <w:pageBreakBefore w:val="0"/>
        <w:numPr>
          <w:ilvl w:val="1"/>
          <w:numId w:val="19"/>
        </w:numPr>
        <w:tabs>
          <w:tab w:val="left" w:pos="171"/>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资格审查文件的评审。</w:t>
      </w:r>
    </w:p>
    <w:p w14:paraId="07A80664">
      <w:pPr>
        <w:pStyle w:val="33"/>
        <w:keepNext w:val="0"/>
        <w:keepLines w:val="0"/>
        <w:pageBreakBefore w:val="0"/>
        <w:numPr>
          <w:ilvl w:val="1"/>
          <w:numId w:val="19"/>
        </w:numPr>
        <w:tabs>
          <w:tab w:val="left" w:pos="171"/>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技术商务文件的评审。</w:t>
      </w:r>
    </w:p>
    <w:p w14:paraId="537DE12B">
      <w:pPr>
        <w:pStyle w:val="33"/>
        <w:keepNext w:val="0"/>
        <w:keepLines w:val="0"/>
        <w:pageBreakBefore w:val="0"/>
        <w:numPr>
          <w:ilvl w:val="0"/>
          <w:numId w:val="9"/>
        </w:numPr>
        <w:kinsoku/>
        <w:wordWrap/>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评标办法及评分标准（详见第四章）。</w:t>
      </w:r>
    </w:p>
    <w:p w14:paraId="20658BF5">
      <w:pPr>
        <w:pStyle w:val="33"/>
        <w:keepNext w:val="0"/>
        <w:keepLines w:val="0"/>
        <w:pageBreakBefore w:val="0"/>
        <w:numPr>
          <w:ilvl w:val="0"/>
          <w:numId w:val="9"/>
        </w:numPr>
        <w:kinsoku/>
        <w:wordWrap/>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澄清问题的形式</w:t>
      </w:r>
    </w:p>
    <w:p w14:paraId="733649D0">
      <w:pPr>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宋体" w:hAnsi="宋体" w:cs="宋体"/>
          <w:color w:val="auto"/>
        </w:rPr>
      </w:pPr>
      <w:r>
        <w:rPr>
          <w:rFonts w:hint="eastAsia" w:ascii="宋体" w:hAnsi="宋体" w:cs="宋体"/>
          <w:color w:val="auto"/>
        </w:rPr>
        <w:t>对投标文件中含义不明确、同类问题表述不一致或者有明显文字和计算错误的内容，评标委员会可要求投标人在评标委员会要求的时间内作出必要的澄清、说明或者补正。投标人的澄清、说明或者补正应当采用书面形式，由法定代表人或委托代理人签字确认，并不得超出投标文件的范围或者改变投标文件的实质性内容。如投标人未在规定时间内澄清、说明、补正或拒绝澄清、说明、补正的，其投标文件按无效标处理。</w:t>
      </w:r>
    </w:p>
    <w:p w14:paraId="63598465">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投标文件的澄清</w:t>
      </w:r>
    </w:p>
    <w:p w14:paraId="61647FC1">
      <w:pPr>
        <w:pStyle w:val="33"/>
        <w:pageBreakBefore w:val="0"/>
        <w:numPr>
          <w:ilvl w:val="1"/>
          <w:numId w:val="20"/>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为有助于投标文件的审查、评价和比较，评标委员会可以通过</w:t>
      </w:r>
      <w:r>
        <w:rPr>
          <w:rFonts w:hint="eastAsia" w:ascii="宋体" w:hAnsi="宋体" w:cs="宋体"/>
          <w:color w:val="auto"/>
          <w:sz w:val="24"/>
          <w:szCs w:val="24"/>
        </w:rPr>
        <w:t>衢州市阳光交易服务平台</w:t>
      </w:r>
      <w:r>
        <w:rPr>
          <w:rFonts w:hint="eastAsia" w:ascii="宋体" w:hAnsi="宋体" w:eastAsia="宋体" w:cs="宋体"/>
          <w:color w:val="auto"/>
          <w:lang w:bidi="ar"/>
        </w:rPr>
        <w:t>要求投标人对投标文件含义不明确的内容作必要的澄清或者说明。投标人通过该平台作出澄清回复，澄清回复时间不得超过在发出通知后15分钟，投标人逾期或未按要求澄清回复的，将视为不予回复或确认，评标委员会有权否决其投标。投标人通讯不畅通，导致不能及时联系的，视作为投标人不予回复或确认。评标委员会对投标人提交的澄清、说明或补正有疑问的，可以要求投标人进一步澄清、说明或补正，直至满足评标委员会的要求。</w:t>
      </w:r>
    </w:p>
    <w:p w14:paraId="64BEC994">
      <w:pPr>
        <w:pStyle w:val="33"/>
        <w:pageBreakBefore w:val="0"/>
        <w:numPr>
          <w:ilvl w:val="1"/>
          <w:numId w:val="20"/>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澄清将作为投标内容的一部分，投标人对投标文件的澄清或说明不得超出投标文件的范围或改变投标文件的实质性的内容。凡属于评标委员会在评标中发现的计算错误并进行核实的修改不在此列。</w:t>
      </w:r>
    </w:p>
    <w:p w14:paraId="6B50DF0F">
      <w:pPr>
        <w:pStyle w:val="33"/>
        <w:pageBreakBefore w:val="0"/>
        <w:numPr>
          <w:ilvl w:val="1"/>
          <w:numId w:val="20"/>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评标委员会对投标文件修正原则：用数字表示的数额与用文字表示的数额不一致时，以文字数额为准；单价与数量的乘积与总价之间不一致时，以单价为准，但单价有明显的小数点错位的，以总价为准，并修改单价。</w:t>
      </w:r>
    </w:p>
    <w:p w14:paraId="46910E65">
      <w:pPr>
        <w:pStyle w:val="33"/>
        <w:pageBreakBefore w:val="0"/>
        <w:numPr>
          <w:ilvl w:val="1"/>
          <w:numId w:val="20"/>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投标人拒不按照要求对投标文件进行澄清、说明或者补正的，评标委员会可以否决其投标。</w:t>
      </w:r>
    </w:p>
    <w:p w14:paraId="38F0FDE1">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确定中标候选人</w:t>
      </w:r>
    </w:p>
    <w:p w14:paraId="68C7E03E">
      <w:pPr>
        <w:pStyle w:val="33"/>
        <w:pageBreakBefore w:val="0"/>
        <w:numPr>
          <w:ilvl w:val="1"/>
          <w:numId w:val="21"/>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本次招标由评标委员会推荐中标候选人，采购人根据评标委员会的推荐结果进行最终确认。</w:t>
      </w:r>
    </w:p>
    <w:p w14:paraId="3C012C95">
      <w:pPr>
        <w:pStyle w:val="33"/>
        <w:pageBreakBefore w:val="0"/>
        <w:numPr>
          <w:ilvl w:val="1"/>
          <w:numId w:val="21"/>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评标委员会依据法律、法规及招标文件有关规定在有效标中按投标人的综合得分（即</w:t>
      </w:r>
      <w:r>
        <w:rPr>
          <w:rFonts w:hint="eastAsia" w:ascii="宋体" w:hAnsi="宋体" w:cs="宋体"/>
          <w:color w:val="auto"/>
          <w:lang w:val="en-US" w:eastAsia="zh-CN" w:bidi="ar"/>
        </w:rPr>
        <w:t>商务</w:t>
      </w:r>
      <w:r>
        <w:rPr>
          <w:rFonts w:hint="eastAsia" w:ascii="宋体" w:hAnsi="宋体" w:eastAsia="宋体" w:cs="宋体"/>
          <w:color w:val="auto"/>
          <w:lang w:bidi="ar"/>
        </w:rPr>
        <w:t>技术分与</w:t>
      </w:r>
      <w:r>
        <w:rPr>
          <w:rFonts w:hint="eastAsia" w:ascii="宋体" w:hAnsi="宋体" w:cs="宋体"/>
          <w:color w:val="auto"/>
          <w:lang w:val="en-US" w:eastAsia="zh-CN" w:bidi="ar"/>
        </w:rPr>
        <w:t>报价</w:t>
      </w:r>
      <w:r>
        <w:rPr>
          <w:rFonts w:hint="eastAsia" w:ascii="宋体" w:hAnsi="宋体" w:eastAsia="宋体" w:cs="宋体"/>
          <w:color w:val="auto"/>
          <w:lang w:bidi="ar"/>
        </w:rPr>
        <w:t>（价格）分之和）高低进行排序，得分前一名的投标人推荐为第一中标候选人（综合得分相同投标总报价低的排序第一；综合得分且投标总报价相同的，以技术指标优劣决定中标候选人）。</w:t>
      </w:r>
    </w:p>
    <w:p w14:paraId="35AF0953">
      <w:pPr>
        <w:pStyle w:val="33"/>
        <w:pageBreakBefore w:val="0"/>
        <w:numPr>
          <w:ilvl w:val="1"/>
          <w:numId w:val="21"/>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排名第一的中标候选人放弃中标；因不可抗力提出不能履行合同或未能在规定时间内与采购人签订合同的，或者经质疑，采购人审查后，确因排名第一的候选人在本次采购活动中存在违法违规行为或其他原因使质疑成立的，采购人重新招标。</w:t>
      </w:r>
    </w:p>
    <w:p w14:paraId="7529C331">
      <w:pPr>
        <w:pStyle w:val="33"/>
        <w:pageBreakBefore w:val="0"/>
        <w:numPr>
          <w:ilvl w:val="1"/>
          <w:numId w:val="21"/>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采购人对评标结果不做任何解释，也不保证最低价中标。</w:t>
      </w:r>
    </w:p>
    <w:p w14:paraId="4E916312">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449" w:name="_Toc28602"/>
      <w:r>
        <w:rPr>
          <w:rFonts w:hint="eastAsia" w:ascii="宋体" w:hAnsi="宋体" w:cs="宋体"/>
          <w:b/>
          <w:bCs w:val="0"/>
          <w:color w:val="auto"/>
          <w:lang w:bidi="ar"/>
        </w:rPr>
        <w:t>九、电子投标说明</w:t>
      </w:r>
      <w:bookmarkEnd w:id="449"/>
    </w:p>
    <w:p w14:paraId="64053DAD">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投标人应检查标书完整性和有效性，确保电子投标文件能否正常打开解密。开标时，以电子交易平台上传规定格式的电子投标文件为正本。</w:t>
      </w:r>
    </w:p>
    <w:p w14:paraId="448914FA">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投标文件相应要求盖章处应按要求使用CA加盖单位电子公章和法定代表人电子章。</w:t>
      </w:r>
    </w:p>
    <w:p w14:paraId="717734F5">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450" w:name="_Toc28837"/>
      <w:r>
        <w:rPr>
          <w:rFonts w:hint="eastAsia" w:ascii="宋体" w:hAnsi="宋体" w:cs="宋体"/>
          <w:b/>
          <w:bCs w:val="0"/>
          <w:color w:val="auto"/>
          <w:lang w:bidi="ar"/>
        </w:rPr>
        <w:t>十、纪律和监督</w:t>
      </w:r>
      <w:bookmarkEnd w:id="450"/>
    </w:p>
    <w:p w14:paraId="6EAA9AD3">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cs="宋体"/>
          <w:color w:val="auto"/>
          <w:lang w:bidi="ar"/>
        </w:rPr>
        <w:t>对采购人的纪律要求</w:t>
      </w:r>
    </w:p>
    <w:p w14:paraId="00B98C54">
      <w:pPr>
        <w:pageBreakBefore w:val="0"/>
        <w:kinsoku/>
        <w:wordWrap w:val="0"/>
        <w:overflowPunct/>
        <w:topLinePunct w:val="0"/>
        <w:autoSpaceDE/>
        <w:autoSpaceDN/>
        <w:bidi w:val="0"/>
        <w:snapToGrid w:val="0"/>
        <w:spacing w:line="480" w:lineRule="exact"/>
        <w:ind w:firstLine="480"/>
        <w:textAlignment w:val="auto"/>
        <w:rPr>
          <w:rFonts w:ascii="宋体" w:hAnsi="宋体"/>
          <w:color w:val="auto"/>
        </w:rPr>
      </w:pPr>
      <w:r>
        <w:rPr>
          <w:rFonts w:hint="eastAsia" w:ascii="宋体" w:hAnsi="宋体"/>
          <w:color w:val="auto"/>
        </w:rPr>
        <w:t>采购人不得泄漏招标投标活动中应当保密的情况和资料，不得与投标人串通损害国家利益、社会公共利益或者他人合法权益。</w:t>
      </w:r>
    </w:p>
    <w:p w14:paraId="63D1FC1A">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cs="宋体"/>
          <w:color w:val="auto"/>
          <w:lang w:bidi="ar"/>
        </w:rPr>
      </w:pPr>
      <w:r>
        <w:rPr>
          <w:rFonts w:hint="eastAsia" w:ascii="宋体" w:hAnsi="宋体" w:cs="宋体"/>
          <w:color w:val="auto"/>
          <w:lang w:bidi="ar"/>
        </w:rPr>
        <w:t>对投标人的纪律要求</w:t>
      </w:r>
    </w:p>
    <w:p w14:paraId="5422CFCB">
      <w:pPr>
        <w:pageBreakBefore w:val="0"/>
        <w:kinsoku/>
        <w:wordWrap w:val="0"/>
        <w:overflowPunct/>
        <w:topLinePunct w:val="0"/>
        <w:autoSpaceDE/>
        <w:autoSpaceDN/>
        <w:bidi w:val="0"/>
        <w:snapToGrid w:val="0"/>
        <w:spacing w:line="480" w:lineRule="exact"/>
        <w:ind w:firstLine="480"/>
        <w:textAlignment w:val="auto"/>
        <w:rPr>
          <w:rFonts w:ascii="宋体" w:hAnsi="宋体"/>
          <w:color w:val="auto"/>
        </w:rPr>
      </w:pPr>
      <w:r>
        <w:rPr>
          <w:rFonts w:hint="eastAsia" w:ascii="宋体" w:hAnsi="宋体"/>
          <w:color w:val="auto"/>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2F1A9234">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cs="宋体"/>
          <w:color w:val="auto"/>
          <w:lang w:bidi="ar"/>
        </w:rPr>
      </w:pPr>
      <w:r>
        <w:rPr>
          <w:rFonts w:hint="eastAsia" w:ascii="宋体" w:hAnsi="宋体" w:cs="宋体"/>
          <w:color w:val="auto"/>
          <w:lang w:bidi="ar"/>
        </w:rPr>
        <w:t>对评标委员会成员的纪律要求</w:t>
      </w:r>
    </w:p>
    <w:p w14:paraId="4BDC33A6">
      <w:pPr>
        <w:pStyle w:val="3"/>
        <w:pageBreakBefore w:val="0"/>
        <w:numPr>
          <w:ilvl w:val="0"/>
          <w:numId w:val="0"/>
        </w:numPr>
        <w:kinsoku/>
        <w:overflowPunct/>
        <w:topLinePunct w:val="0"/>
        <w:autoSpaceDE/>
        <w:autoSpaceDN/>
        <w:bidi w:val="0"/>
        <w:spacing w:beforeLines="0" w:afterLines="0" w:line="480" w:lineRule="exact"/>
        <w:ind w:firstLine="480" w:firstLineChars="200"/>
        <w:jc w:val="left"/>
        <w:textAlignment w:val="auto"/>
        <w:rPr>
          <w:rFonts w:ascii="宋体" w:hAnsi="宋体"/>
          <w:b w:val="0"/>
          <w:color w:val="auto"/>
          <w:sz w:val="24"/>
          <w:szCs w:val="24"/>
        </w:rPr>
      </w:pPr>
      <w:bookmarkStart w:id="451" w:name="_Toc19838"/>
      <w:bookmarkStart w:id="452" w:name="_Toc23966"/>
      <w:r>
        <w:rPr>
          <w:rFonts w:hint="eastAsia" w:ascii="宋体" w:hAnsi="宋体"/>
          <w:b w:val="0"/>
          <w:color w:val="auto"/>
          <w:sz w:val="24"/>
          <w:szCs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四章 评标办法及评分标准没有规定的评审因素和标准进行评标。</w:t>
      </w:r>
      <w:bookmarkEnd w:id="451"/>
      <w:bookmarkEnd w:id="452"/>
    </w:p>
    <w:p w14:paraId="1BEADBF0">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对与评标活动有关的工作人员的纪律要求</w:t>
      </w:r>
    </w:p>
    <w:p w14:paraId="302DFBDD">
      <w:pPr>
        <w:pageBreakBefore w:val="0"/>
        <w:kinsoku/>
        <w:wordWrap w:val="0"/>
        <w:overflowPunct/>
        <w:topLinePunct w:val="0"/>
        <w:autoSpaceDE/>
        <w:autoSpaceDN/>
        <w:bidi w:val="0"/>
        <w:snapToGrid w:val="0"/>
        <w:spacing w:line="480" w:lineRule="exact"/>
        <w:ind w:firstLine="480"/>
        <w:textAlignment w:val="auto"/>
        <w:rPr>
          <w:rFonts w:ascii="宋体" w:hAnsi="宋体"/>
          <w:color w:val="auto"/>
        </w:rPr>
      </w:pPr>
      <w:r>
        <w:rPr>
          <w:rFonts w:hint="eastAsia" w:ascii="宋体" w:hAnsi="宋体"/>
          <w:color w:val="auto"/>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119BF30C">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453" w:name="_Toc32549"/>
      <w:r>
        <w:rPr>
          <w:rFonts w:hint="eastAsia" w:ascii="宋体" w:hAnsi="宋体" w:cs="宋体"/>
          <w:b/>
          <w:bCs w:val="0"/>
          <w:color w:val="auto"/>
          <w:lang w:bidi="ar"/>
        </w:rPr>
        <w:t>十一、质疑和投诉</w:t>
      </w:r>
      <w:bookmarkEnd w:id="453"/>
    </w:p>
    <w:p w14:paraId="06396349">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质疑提出</w:t>
      </w:r>
    </w:p>
    <w:p w14:paraId="001FDBD2">
      <w:pPr>
        <w:pStyle w:val="33"/>
        <w:pageBreakBefore w:val="0"/>
        <w:numPr>
          <w:ilvl w:val="1"/>
          <w:numId w:val="22"/>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参照《中华人民共和国政府采购法》《中华人民共和国政府采购法实施条例》《政府采购质疑和投诉办法》（财政部令第94号）等有关法律法规规定。</w:t>
      </w:r>
    </w:p>
    <w:p w14:paraId="43EA372C">
      <w:pPr>
        <w:pStyle w:val="33"/>
        <w:pageBreakBefore w:val="0"/>
        <w:numPr>
          <w:ilvl w:val="1"/>
          <w:numId w:val="22"/>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投标人认为采购文件、采购过程和成交结果使自己的权益受到损害的，可以在知道或者应知其权益受到损害之日起7个工作日内，以书面形式向采购人、采购代理机构提出质疑。</w:t>
      </w:r>
    </w:p>
    <w:p w14:paraId="4F507AD8">
      <w:pPr>
        <w:pStyle w:val="33"/>
        <w:pageBreakBefore w:val="0"/>
        <w:numPr>
          <w:ilvl w:val="1"/>
          <w:numId w:val="22"/>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潜在投标人已依法获取采购文件，可以对该文件提出质疑。采购人拒绝受理未提交响应文件的投标人对采购过程和中标结果提出质疑。</w:t>
      </w:r>
    </w:p>
    <w:p w14:paraId="1BCFBF29">
      <w:pPr>
        <w:pStyle w:val="33"/>
        <w:pageBreakBefore w:val="0"/>
        <w:numPr>
          <w:ilvl w:val="1"/>
          <w:numId w:val="22"/>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质疑提出起算日期：</w:t>
      </w:r>
    </w:p>
    <w:p w14:paraId="75E2D583">
      <w:pPr>
        <w:pStyle w:val="33"/>
        <w:pageBreakBefore w:val="0"/>
        <w:numPr>
          <w:ilvl w:val="255"/>
          <w:numId w:val="0"/>
        </w:numPr>
        <w:tabs>
          <w:tab w:val="left" w:pos="171"/>
        </w:tabs>
        <w:kinsoku/>
        <w:overflowPunct/>
        <w:topLinePunct w:val="0"/>
        <w:autoSpaceDE/>
        <w:autoSpaceDN/>
        <w:bidi w:val="0"/>
        <w:adjustRightInd w:val="0"/>
        <w:spacing w:line="480" w:lineRule="exact"/>
        <w:ind w:firstLine="480" w:firstLineChars="200"/>
        <w:textAlignment w:val="auto"/>
        <w:rPr>
          <w:rFonts w:ascii="宋体" w:hAnsi="宋体" w:cs="宋体"/>
          <w:color w:val="auto"/>
          <w:lang w:bidi="ar"/>
        </w:rPr>
      </w:pPr>
      <w:r>
        <w:rPr>
          <w:rFonts w:hint="eastAsia" w:ascii="宋体" w:hAnsi="宋体" w:cs="宋体"/>
          <w:color w:val="auto"/>
          <w:lang w:bidi="ar"/>
        </w:rPr>
        <w:t>对采购文件提出质疑的，自投标人获取招标文件之日起或者公告届满之日起开始计算，且应当在响应文件提交截止前24小时前提出，否则，被质疑人可不予受理。</w:t>
      </w:r>
    </w:p>
    <w:p w14:paraId="20D3B92D">
      <w:pPr>
        <w:pStyle w:val="33"/>
        <w:pageBreakBefore w:val="0"/>
        <w:numPr>
          <w:ilvl w:val="255"/>
          <w:numId w:val="0"/>
        </w:numPr>
        <w:tabs>
          <w:tab w:val="left" w:pos="171"/>
        </w:tabs>
        <w:kinsoku/>
        <w:overflowPunct/>
        <w:topLinePunct w:val="0"/>
        <w:autoSpaceDE/>
        <w:autoSpaceDN/>
        <w:bidi w:val="0"/>
        <w:adjustRightInd w:val="0"/>
        <w:spacing w:line="480" w:lineRule="exact"/>
        <w:ind w:firstLine="480" w:firstLineChars="200"/>
        <w:textAlignment w:val="auto"/>
        <w:rPr>
          <w:rFonts w:ascii="宋体" w:hAnsi="宋体" w:cs="宋体"/>
          <w:color w:val="auto"/>
          <w:lang w:bidi="ar"/>
        </w:rPr>
      </w:pPr>
      <w:r>
        <w:rPr>
          <w:rFonts w:hint="eastAsia" w:ascii="宋体" w:hAnsi="宋体" w:cs="宋体"/>
          <w:color w:val="auto"/>
          <w:lang w:bidi="ar"/>
        </w:rPr>
        <w:t>对投标过程提出质疑的，质疑期限自各采购程序环节结束之日起计算。</w:t>
      </w:r>
    </w:p>
    <w:p w14:paraId="283F5088">
      <w:pPr>
        <w:pStyle w:val="33"/>
        <w:pageBreakBefore w:val="0"/>
        <w:numPr>
          <w:ilvl w:val="255"/>
          <w:numId w:val="0"/>
        </w:numPr>
        <w:tabs>
          <w:tab w:val="left" w:pos="171"/>
        </w:tabs>
        <w:kinsoku/>
        <w:overflowPunct/>
        <w:topLinePunct w:val="0"/>
        <w:autoSpaceDE/>
        <w:autoSpaceDN/>
        <w:bidi w:val="0"/>
        <w:adjustRightInd w:val="0"/>
        <w:spacing w:line="480" w:lineRule="exact"/>
        <w:ind w:firstLine="480" w:firstLineChars="200"/>
        <w:textAlignment w:val="auto"/>
        <w:rPr>
          <w:rFonts w:ascii="宋体" w:hAnsi="宋体" w:cs="宋体"/>
          <w:color w:val="auto"/>
          <w:lang w:bidi="ar"/>
        </w:rPr>
      </w:pPr>
      <w:r>
        <w:rPr>
          <w:rFonts w:hint="eastAsia" w:ascii="宋体" w:hAnsi="宋体" w:cs="宋体"/>
          <w:color w:val="auto"/>
          <w:lang w:bidi="ar"/>
        </w:rPr>
        <w:t>对采购结果提出质疑的，质疑期限自采购结果公告之日起计算。</w:t>
      </w:r>
    </w:p>
    <w:p w14:paraId="569D5D2D">
      <w:pPr>
        <w:pStyle w:val="33"/>
        <w:pageBreakBefore w:val="0"/>
        <w:numPr>
          <w:ilvl w:val="255"/>
          <w:numId w:val="0"/>
        </w:numPr>
        <w:tabs>
          <w:tab w:val="left" w:pos="171"/>
        </w:tabs>
        <w:kinsoku/>
        <w:overflowPunct/>
        <w:topLinePunct w:val="0"/>
        <w:autoSpaceDE/>
        <w:autoSpaceDN/>
        <w:bidi w:val="0"/>
        <w:adjustRightInd w:val="0"/>
        <w:spacing w:line="480" w:lineRule="exact"/>
        <w:ind w:firstLine="480" w:firstLineChars="200"/>
        <w:textAlignment w:val="auto"/>
        <w:rPr>
          <w:rFonts w:ascii="宋体" w:hAnsi="宋体" w:cs="宋体"/>
          <w:color w:val="auto"/>
          <w:lang w:bidi="ar"/>
        </w:rPr>
      </w:pPr>
      <w:r>
        <w:rPr>
          <w:rFonts w:hint="eastAsia" w:ascii="宋体" w:hAnsi="宋体" w:cs="宋体"/>
          <w:color w:val="auto"/>
          <w:lang w:bidi="ar"/>
        </w:rPr>
        <w:t>投标人提交的质疑函应符合财政部《</w:t>
      </w:r>
      <w:r>
        <w:rPr>
          <w:color w:val="auto"/>
        </w:rPr>
        <w:fldChar w:fldCharType="begin"/>
      </w:r>
      <w:r>
        <w:rPr>
          <w:color w:val="auto"/>
        </w:rPr>
        <w:instrText xml:space="preserve"> HYPERLINK "http://www.caigou2003.com/" \t "http://www.zjzfcg.gov.cn/news/2018-02-09/_blank" </w:instrText>
      </w:r>
      <w:r>
        <w:rPr>
          <w:color w:val="auto"/>
        </w:rPr>
        <w:fldChar w:fldCharType="separate"/>
      </w:r>
      <w:r>
        <w:rPr>
          <w:rFonts w:hint="eastAsia" w:ascii="宋体" w:hAnsi="宋体" w:cs="宋体"/>
          <w:color w:val="auto"/>
          <w:lang w:bidi="ar"/>
        </w:rPr>
        <w:t>政府采购</w:t>
      </w:r>
      <w:r>
        <w:rPr>
          <w:rFonts w:hint="eastAsia" w:ascii="宋体" w:hAnsi="宋体" w:cs="宋体"/>
          <w:color w:val="auto"/>
          <w:lang w:bidi="ar"/>
        </w:rPr>
        <w:fldChar w:fldCharType="end"/>
      </w:r>
      <w:r>
        <w:rPr>
          <w:rFonts w:hint="eastAsia" w:ascii="宋体" w:hAnsi="宋体" w:cs="宋体"/>
          <w:bCs/>
          <w:color w:val="auto"/>
          <w:lang w:eastAsia="zh-CN"/>
        </w:rPr>
        <w:t>供应商</w:t>
      </w:r>
      <w:r>
        <w:rPr>
          <w:rFonts w:hint="eastAsia" w:ascii="宋体" w:hAnsi="宋体" w:cs="宋体"/>
          <w:color w:val="auto"/>
          <w:lang w:bidi="ar"/>
        </w:rPr>
        <w:t>质疑函范本》要求。</w:t>
      </w:r>
    </w:p>
    <w:p w14:paraId="3B7ADB71">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质疑处理</w:t>
      </w:r>
    </w:p>
    <w:p w14:paraId="0F1D0BAE">
      <w:pPr>
        <w:pageBreakBefore w:val="0"/>
        <w:kinsoku/>
        <w:overflowPunct/>
        <w:topLinePunct w:val="0"/>
        <w:autoSpaceDE/>
        <w:autoSpaceDN/>
        <w:bidi w:val="0"/>
        <w:spacing w:line="480" w:lineRule="exact"/>
        <w:ind w:firstLine="480"/>
        <w:textAlignment w:val="auto"/>
        <w:rPr>
          <w:rFonts w:ascii="宋体" w:hAnsi="宋体" w:cs="宋体"/>
          <w:bCs/>
          <w:color w:val="auto"/>
        </w:rPr>
      </w:pPr>
      <w:r>
        <w:rPr>
          <w:rFonts w:ascii="宋体" w:hAnsi="宋体" w:cs="宋体"/>
          <w:bCs/>
          <w:color w:val="auto"/>
        </w:rPr>
        <w:t>采购人应当在收到投标人的书面质疑后7个工作日内作出答复，并以书面形式通知质疑投标人和其他与质疑处理结果有利害关系的政府采购当事人，但答复的内容不得涉及商业秘密。</w:t>
      </w:r>
    </w:p>
    <w:p w14:paraId="19B58652">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投诉</w:t>
      </w:r>
    </w:p>
    <w:p w14:paraId="743F8308">
      <w:pPr>
        <w:pageBreakBefore w:val="0"/>
        <w:kinsoku/>
        <w:overflowPunct/>
        <w:topLinePunct w:val="0"/>
        <w:autoSpaceDE/>
        <w:autoSpaceDN/>
        <w:bidi w:val="0"/>
        <w:spacing w:line="480" w:lineRule="exact"/>
        <w:ind w:firstLine="480"/>
        <w:textAlignment w:val="auto"/>
        <w:rPr>
          <w:rFonts w:ascii="宋体" w:hAnsi="宋体" w:eastAsia="宋体" w:cs="宋体"/>
          <w:bCs/>
          <w:color w:val="auto"/>
          <w:lang w:bidi="ar"/>
        </w:rPr>
      </w:pPr>
      <w:r>
        <w:rPr>
          <w:rFonts w:hint="default" w:ascii="宋体" w:hAnsi="宋体" w:eastAsia="宋体" w:cs="宋体"/>
          <w:bCs/>
          <w:color w:val="auto"/>
          <w:lang w:bidi="ar"/>
        </w:rPr>
        <w:t>质疑投标人对采购人未在规定时间内作出答复的，可以在答复期满后15个工作日内</w:t>
      </w:r>
      <w:r>
        <w:rPr>
          <w:rFonts w:hint="eastAsia" w:ascii="宋体" w:hAnsi="宋体" w:cs="宋体"/>
          <w:bCs/>
          <w:color w:val="auto"/>
          <w:lang w:eastAsia="zh-CN" w:bidi="ar"/>
        </w:rPr>
        <w:t>龙游经济开发区纪工委办公室</w:t>
      </w:r>
      <w:r>
        <w:rPr>
          <w:rFonts w:hint="default" w:ascii="宋体" w:hAnsi="宋体" w:eastAsia="宋体" w:cs="宋体"/>
          <w:bCs/>
          <w:color w:val="auto"/>
          <w:lang w:bidi="ar"/>
        </w:rPr>
        <w:t>投诉。若对质疑答复不满意的，应当自答复的次日起15个工作日内</w:t>
      </w:r>
      <w:r>
        <w:rPr>
          <w:rFonts w:hint="eastAsia" w:ascii="宋体" w:hAnsi="宋体" w:cs="宋体"/>
          <w:bCs/>
          <w:color w:val="auto"/>
          <w:lang w:eastAsia="zh-CN" w:bidi="ar"/>
        </w:rPr>
        <w:t>龙游经济开发区纪工委办公室</w:t>
      </w:r>
      <w:r>
        <w:rPr>
          <w:rFonts w:hint="default" w:ascii="宋体" w:hAnsi="宋体" w:eastAsia="宋体" w:cs="宋体"/>
          <w:bCs/>
          <w:color w:val="auto"/>
          <w:lang w:bidi="ar"/>
        </w:rPr>
        <w:t>投诉。</w:t>
      </w:r>
    </w:p>
    <w:p w14:paraId="014DAE4F">
      <w:pPr>
        <w:pageBreakBefore w:val="0"/>
        <w:kinsoku/>
        <w:overflowPunct/>
        <w:topLinePunct w:val="0"/>
        <w:autoSpaceDE/>
        <w:autoSpaceDN/>
        <w:bidi w:val="0"/>
        <w:spacing w:line="480" w:lineRule="exact"/>
        <w:ind w:firstLine="480"/>
        <w:textAlignment w:val="auto"/>
        <w:rPr>
          <w:rFonts w:ascii="宋体" w:hAnsi="宋体" w:eastAsia="宋体" w:cs="宋体"/>
          <w:bCs/>
          <w:color w:val="auto"/>
          <w:lang w:bidi="ar"/>
        </w:rPr>
      </w:pPr>
      <w:r>
        <w:rPr>
          <w:rFonts w:hint="default" w:ascii="宋体" w:hAnsi="宋体" w:eastAsia="宋体" w:cs="宋体"/>
          <w:bCs/>
          <w:color w:val="auto"/>
          <w:lang w:bidi="ar"/>
        </w:rPr>
        <w:t>投标人提交的投诉书应参照财政部《</w:t>
      </w:r>
      <w:r>
        <w:rPr>
          <w:rFonts w:ascii="宋体" w:hAnsi="宋体" w:eastAsia="宋体" w:cs="宋体"/>
          <w:bCs/>
          <w:color w:val="auto"/>
        </w:rPr>
        <w:fldChar w:fldCharType="begin"/>
      </w:r>
      <w:r>
        <w:rPr>
          <w:rFonts w:ascii="宋体" w:hAnsi="宋体" w:eastAsia="宋体" w:cs="宋体"/>
          <w:bCs/>
          <w:color w:val="auto"/>
        </w:rPr>
        <w:instrText xml:space="preserve"> HYPERLINK "http://www.caigou2003.com/" \t "http://www.zjzfcg.gov.cn/news/2018-02-09/_blank" </w:instrText>
      </w:r>
      <w:r>
        <w:rPr>
          <w:rFonts w:ascii="宋体" w:hAnsi="宋体" w:eastAsia="宋体" w:cs="宋体"/>
          <w:bCs/>
          <w:color w:val="auto"/>
        </w:rPr>
        <w:fldChar w:fldCharType="separate"/>
      </w:r>
      <w:r>
        <w:rPr>
          <w:rFonts w:hint="default" w:ascii="宋体" w:hAnsi="宋体" w:eastAsia="宋体" w:cs="宋体"/>
          <w:bCs/>
          <w:color w:val="auto"/>
          <w:lang w:bidi="ar"/>
        </w:rPr>
        <w:t>政府采购</w:t>
      </w:r>
      <w:r>
        <w:rPr>
          <w:rFonts w:hint="default" w:ascii="宋体" w:hAnsi="宋体" w:eastAsia="宋体" w:cs="宋体"/>
          <w:bCs/>
          <w:color w:val="auto"/>
          <w:lang w:bidi="ar"/>
        </w:rPr>
        <w:fldChar w:fldCharType="end"/>
      </w:r>
      <w:r>
        <w:rPr>
          <w:rFonts w:hint="default" w:ascii="宋体" w:hAnsi="宋体" w:eastAsia="宋体" w:cs="宋体"/>
          <w:bCs/>
          <w:color w:val="auto"/>
          <w:lang w:eastAsia="zh-CN"/>
        </w:rPr>
        <w:t>供应商</w:t>
      </w:r>
      <w:r>
        <w:rPr>
          <w:rFonts w:hint="default" w:ascii="宋体" w:hAnsi="宋体" w:eastAsia="宋体" w:cs="宋体"/>
          <w:bCs/>
          <w:color w:val="auto"/>
          <w:lang w:bidi="ar"/>
        </w:rPr>
        <w:t>投诉书范本》要求。</w:t>
      </w:r>
    </w:p>
    <w:p w14:paraId="7D1E2C0A">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454" w:name="_Toc30057"/>
      <w:r>
        <w:rPr>
          <w:rFonts w:hint="eastAsia" w:ascii="宋体" w:hAnsi="宋体" w:cs="宋体"/>
          <w:b/>
          <w:bCs w:val="0"/>
          <w:color w:val="auto"/>
          <w:lang w:bidi="ar"/>
        </w:rPr>
        <w:t>十二、授予合同</w:t>
      </w:r>
      <w:bookmarkEnd w:id="454"/>
    </w:p>
    <w:p w14:paraId="4A83FE40">
      <w:pPr>
        <w:pStyle w:val="33"/>
        <w:pageBreakBefore w:val="0"/>
        <w:numPr>
          <w:ilvl w:val="0"/>
          <w:numId w:val="9"/>
        </w:numPr>
        <w:kinsoku/>
        <w:overflowPunct/>
        <w:topLinePunct w:val="0"/>
        <w:autoSpaceDE/>
        <w:autoSpaceDN/>
        <w:bidi w:val="0"/>
        <w:adjustRightInd w:val="0"/>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合同授予标准</w:t>
      </w:r>
    </w:p>
    <w:p w14:paraId="55F6129E">
      <w:pPr>
        <w:pStyle w:val="33"/>
        <w:pageBreakBefore w:val="0"/>
        <w:numPr>
          <w:ilvl w:val="1"/>
          <w:numId w:val="23"/>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中标候选人经查有违法违规现象的，取消其中标候选资格，采购人重新招标。</w:t>
      </w:r>
    </w:p>
    <w:p w14:paraId="3F7C3ABF">
      <w:pPr>
        <w:pStyle w:val="33"/>
        <w:pageBreakBefore w:val="0"/>
        <w:numPr>
          <w:ilvl w:val="1"/>
          <w:numId w:val="23"/>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采购人确认且备案后，确定中标人。中标结果在衢州市阳光交易服务平台、浙江政府采购网予以公布，</w:t>
      </w:r>
      <w:r>
        <w:rPr>
          <w:rFonts w:hint="eastAsia" w:ascii="宋体" w:hAnsi="宋体" w:cs="宋体"/>
          <w:color w:val="auto"/>
          <w:lang w:eastAsia="zh-CN" w:bidi="ar"/>
        </w:rPr>
        <w:t>浙江中合工程管理有限公司</w:t>
      </w:r>
      <w:r>
        <w:rPr>
          <w:rFonts w:hint="eastAsia" w:ascii="宋体" w:hAnsi="宋体" w:eastAsia="宋体" w:cs="宋体"/>
          <w:color w:val="auto"/>
          <w:lang w:bidi="ar"/>
        </w:rPr>
        <w:t>发出中标通知书。</w:t>
      </w:r>
    </w:p>
    <w:p w14:paraId="5549E8D5">
      <w:pPr>
        <w:pStyle w:val="33"/>
        <w:pageBreakBefore w:val="0"/>
        <w:numPr>
          <w:ilvl w:val="1"/>
          <w:numId w:val="23"/>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经采购人备案后，由采购人签发国企采购中标通知书。中标通知书对采购人和确认中标人均具有法律效力。中标通知书发出后，采购人改变中标结果的，或者中标人放弃中标项目的，应当依法承担法律责任。</w:t>
      </w:r>
    </w:p>
    <w:p w14:paraId="587873C3">
      <w:pPr>
        <w:pStyle w:val="33"/>
        <w:pageBreakBefore w:val="0"/>
        <w:numPr>
          <w:ilvl w:val="1"/>
          <w:numId w:val="23"/>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在中标通知书发出后三十日内，中标人应按中标通知书指定的时间、地点与采购人签订合同。招标文件、中标人的投标文件及澄清文件等，均为签订合同的依据。</w:t>
      </w:r>
    </w:p>
    <w:p w14:paraId="53C29FF6">
      <w:pPr>
        <w:pStyle w:val="33"/>
        <w:pageBreakBefore w:val="0"/>
        <w:numPr>
          <w:ilvl w:val="1"/>
          <w:numId w:val="23"/>
        </w:numPr>
        <w:tabs>
          <w:tab w:val="left" w:pos="171"/>
        </w:tabs>
        <w:kinsoku/>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采购人与中标人签署合同协议（合同上请标明采购编号）</w:t>
      </w:r>
      <w:r>
        <w:rPr>
          <w:rFonts w:hint="eastAsia" w:ascii="宋体" w:hAnsi="宋体" w:cs="宋体"/>
          <w:color w:val="auto"/>
          <w:lang w:eastAsia="zh-CN" w:bidi="ar"/>
        </w:rPr>
        <w:t>，</w:t>
      </w:r>
      <w:r>
        <w:rPr>
          <w:rFonts w:hint="eastAsia" w:ascii="宋体" w:hAnsi="宋体" w:eastAsia="宋体" w:cs="宋体"/>
          <w:color w:val="auto"/>
          <w:lang w:eastAsia="zh-CN" w:bidi="ar"/>
        </w:rPr>
        <w:t>合同一式</w:t>
      </w:r>
      <w:r>
        <w:rPr>
          <w:rFonts w:hint="eastAsia" w:ascii="宋体" w:hAnsi="宋体" w:cs="宋体"/>
          <w:color w:val="auto"/>
          <w:lang w:val="en-US" w:eastAsia="zh-CN" w:bidi="ar"/>
        </w:rPr>
        <w:t>捌</w:t>
      </w:r>
      <w:r>
        <w:rPr>
          <w:rFonts w:hint="eastAsia" w:ascii="宋体" w:hAnsi="宋体" w:eastAsia="宋体" w:cs="宋体"/>
          <w:color w:val="auto"/>
          <w:lang w:eastAsia="zh-CN" w:bidi="ar"/>
        </w:rPr>
        <w:t>份，采购人执</w:t>
      </w:r>
      <w:r>
        <w:rPr>
          <w:rFonts w:hint="eastAsia" w:ascii="宋体" w:hAnsi="宋体" w:cs="宋体"/>
          <w:color w:val="auto"/>
          <w:lang w:val="en-US" w:eastAsia="zh-CN" w:bidi="ar"/>
        </w:rPr>
        <w:t>肆</w:t>
      </w:r>
      <w:r>
        <w:rPr>
          <w:rFonts w:hint="eastAsia" w:ascii="宋体" w:hAnsi="宋体" w:eastAsia="宋体" w:cs="宋体"/>
          <w:color w:val="auto"/>
          <w:lang w:eastAsia="zh-CN" w:bidi="ar"/>
        </w:rPr>
        <w:t>份，中标人执</w:t>
      </w:r>
      <w:r>
        <w:rPr>
          <w:rFonts w:hint="eastAsia" w:ascii="宋体" w:hAnsi="宋体" w:cs="宋体"/>
          <w:color w:val="auto"/>
          <w:lang w:val="en-US" w:eastAsia="zh-CN" w:bidi="ar"/>
        </w:rPr>
        <w:t>肆</w:t>
      </w:r>
      <w:r>
        <w:rPr>
          <w:rFonts w:hint="eastAsia" w:ascii="宋体" w:hAnsi="宋体" w:eastAsia="宋体" w:cs="宋体"/>
          <w:color w:val="auto"/>
          <w:lang w:eastAsia="zh-CN" w:bidi="ar"/>
        </w:rPr>
        <w:t>份。</w:t>
      </w:r>
    </w:p>
    <w:p w14:paraId="016B8C92">
      <w:pPr>
        <w:pStyle w:val="33"/>
        <w:keepNext w:val="0"/>
        <w:keepLines w:val="0"/>
        <w:pageBreakBefore w:val="0"/>
        <w:numPr>
          <w:ilvl w:val="0"/>
          <w:numId w:val="9"/>
        </w:numPr>
        <w:kinsoku/>
        <w:wordWrap/>
        <w:overflowPunct/>
        <w:topLinePunct w:val="0"/>
        <w:autoSpaceDE/>
        <w:autoSpaceDN/>
        <w:bidi w:val="0"/>
        <w:adjustRightInd w:val="0"/>
        <w:snapToGrid/>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授予合同时变更数量的权利</w:t>
      </w:r>
    </w:p>
    <w:p w14:paraId="455BF784">
      <w:pPr>
        <w:keepNext w:val="0"/>
        <w:keepLines w:val="0"/>
        <w:pageBreakBefore w:val="0"/>
        <w:kinsoku/>
        <w:wordWrap/>
        <w:overflowPunct/>
        <w:topLinePunct w:val="0"/>
        <w:autoSpaceDE/>
        <w:autoSpaceDN/>
        <w:bidi w:val="0"/>
        <w:snapToGrid/>
        <w:spacing w:line="480" w:lineRule="exact"/>
        <w:ind w:firstLine="480"/>
        <w:textAlignment w:val="auto"/>
        <w:rPr>
          <w:rFonts w:ascii="宋体" w:cs="宋体"/>
          <w:color w:val="auto"/>
        </w:rPr>
      </w:pPr>
      <w:r>
        <w:rPr>
          <w:rFonts w:hint="eastAsia" w:ascii="宋体" w:hAnsi="宋体" w:cs="宋体"/>
          <w:color w:val="auto"/>
        </w:rPr>
        <w:t>国企采购合同履行中，采购人需追加与合同标的相同的货物、工程或者服务的，在不改变合同其他条款的前提下，可以与投标人签订补充合同，但所补充合同的采购金额不得超过原采购金额的</w:t>
      </w:r>
      <w:r>
        <w:rPr>
          <w:rFonts w:ascii="宋体" w:hAnsi="宋体" w:cs="宋体"/>
          <w:color w:val="auto"/>
        </w:rPr>
        <w:t>10%</w:t>
      </w:r>
      <w:r>
        <w:rPr>
          <w:rFonts w:hint="eastAsia" w:ascii="宋体" w:hAnsi="宋体" w:cs="宋体"/>
          <w:color w:val="auto"/>
        </w:rPr>
        <w:t>。</w:t>
      </w:r>
    </w:p>
    <w:p w14:paraId="425F90CF">
      <w:pPr>
        <w:pStyle w:val="33"/>
        <w:keepNext w:val="0"/>
        <w:keepLines w:val="0"/>
        <w:pageBreakBefore w:val="0"/>
        <w:numPr>
          <w:ilvl w:val="0"/>
          <w:numId w:val="9"/>
        </w:numPr>
        <w:kinsoku/>
        <w:wordWrap/>
        <w:overflowPunct/>
        <w:topLinePunct w:val="0"/>
        <w:autoSpaceDE/>
        <w:autoSpaceDN/>
        <w:bidi w:val="0"/>
        <w:adjustRightInd w:val="0"/>
        <w:snapToGrid/>
        <w:spacing w:line="480" w:lineRule="exact"/>
        <w:ind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本次招标合同期限及付款方式</w:t>
      </w:r>
    </w:p>
    <w:p w14:paraId="5CE21931">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ind w:leftChars="200"/>
        <w:textAlignment w:val="auto"/>
        <w:rPr>
          <w:rFonts w:hint="eastAsia" w:ascii="宋体" w:hAnsi="宋体" w:eastAsia="宋体" w:cs="宋体"/>
          <w:color w:val="auto"/>
          <w:lang w:bidi="ar"/>
        </w:rPr>
      </w:pPr>
      <w:r>
        <w:rPr>
          <w:rFonts w:hint="eastAsia" w:ascii="宋体" w:hAnsi="宋体" w:cs="宋体"/>
          <w:color w:val="auto"/>
          <w:lang w:val="en-US" w:eastAsia="zh-CN" w:bidi="ar"/>
        </w:rPr>
        <w:t>50.1</w:t>
      </w:r>
      <w:r>
        <w:rPr>
          <w:rFonts w:hint="eastAsia" w:ascii="宋体" w:hAnsi="宋体" w:eastAsia="宋体" w:cs="宋体"/>
          <w:color w:val="auto"/>
          <w:lang w:bidi="ar"/>
        </w:rPr>
        <w:t>合作期限：详见合同条款；</w:t>
      </w:r>
    </w:p>
    <w:p w14:paraId="156B8C91">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ind w:leftChars="200"/>
        <w:textAlignment w:val="auto"/>
        <w:rPr>
          <w:rFonts w:hint="eastAsia" w:ascii="宋体" w:hAnsi="宋体" w:eastAsia="宋体" w:cs="宋体"/>
          <w:color w:val="auto"/>
          <w:lang w:bidi="ar"/>
        </w:rPr>
      </w:pPr>
      <w:r>
        <w:rPr>
          <w:rFonts w:hint="eastAsia" w:ascii="宋体" w:hAnsi="宋体" w:cs="宋体"/>
          <w:color w:val="auto"/>
          <w:lang w:val="en-US" w:eastAsia="zh-CN" w:bidi="ar"/>
        </w:rPr>
        <w:t>50.2</w:t>
      </w:r>
      <w:r>
        <w:rPr>
          <w:rFonts w:hint="eastAsia" w:ascii="宋体" w:hAnsi="宋体" w:eastAsia="宋体" w:cs="宋体"/>
          <w:color w:val="auto"/>
          <w:lang w:bidi="ar"/>
        </w:rPr>
        <w:t>付款方式：详见合同条款。</w:t>
      </w:r>
    </w:p>
    <w:p w14:paraId="43503A5C">
      <w:pPr>
        <w:pStyle w:val="33"/>
        <w:keepNext w:val="0"/>
        <w:keepLines w:val="0"/>
        <w:pageBreakBefore w:val="0"/>
        <w:numPr>
          <w:ilvl w:val="0"/>
          <w:numId w:val="9"/>
        </w:numPr>
        <w:kinsoku/>
        <w:wordWrap/>
        <w:overflowPunct/>
        <w:topLinePunct w:val="0"/>
        <w:autoSpaceDE/>
        <w:autoSpaceDN/>
        <w:bidi w:val="0"/>
        <w:adjustRightInd w:val="0"/>
        <w:snapToGrid/>
        <w:spacing w:line="480" w:lineRule="exact"/>
        <w:ind w:firstLine="480" w:firstLineChars="0"/>
        <w:jc w:val="both"/>
        <w:textAlignment w:val="auto"/>
        <w:rPr>
          <w:rFonts w:hint="eastAsia" w:ascii="宋体" w:hAnsi="宋体" w:eastAsia="宋体" w:cs="宋体"/>
          <w:color w:val="auto"/>
          <w:highlight w:val="none"/>
          <w:lang w:bidi="ar"/>
        </w:rPr>
      </w:pPr>
      <w:bookmarkStart w:id="455" w:name="_Toc361435893"/>
      <w:bookmarkStart w:id="456" w:name="_Toc27730"/>
      <w:bookmarkStart w:id="457" w:name="_Toc84325930"/>
      <w:bookmarkStart w:id="458" w:name="_Toc361433420"/>
      <w:bookmarkStart w:id="459" w:name="_Toc361432660"/>
      <w:bookmarkStart w:id="460" w:name="_Toc101321796"/>
      <w:bookmarkStart w:id="461" w:name="_Toc31349"/>
      <w:bookmarkStart w:id="462" w:name="_Toc361433090"/>
      <w:bookmarkStart w:id="463" w:name="_Toc361434052"/>
      <w:bookmarkStart w:id="464" w:name="_Toc361436980"/>
      <w:bookmarkStart w:id="465" w:name="_Toc19"/>
      <w:bookmarkStart w:id="466" w:name="_Toc327"/>
      <w:bookmarkStart w:id="467" w:name="_Toc361433601"/>
      <w:bookmarkStart w:id="468" w:name="_Toc361433695"/>
      <w:bookmarkStart w:id="469" w:name="_Toc361437247"/>
      <w:bookmarkStart w:id="470" w:name="_Toc81372777"/>
      <w:bookmarkStart w:id="471" w:name="_Toc81372954"/>
      <w:bookmarkStart w:id="472" w:name="_Toc361433873"/>
      <w:bookmarkStart w:id="473" w:name="_Toc361432200"/>
      <w:bookmarkStart w:id="474" w:name="_Toc361433283"/>
      <w:bookmarkStart w:id="475" w:name="_Toc361434250"/>
      <w:bookmarkStart w:id="476" w:name="_Toc361433768"/>
      <w:bookmarkStart w:id="477" w:name="_Toc361437572"/>
      <w:bookmarkStart w:id="478" w:name="_Toc363052661"/>
      <w:bookmarkStart w:id="479" w:name="_Toc361437173"/>
      <w:r>
        <w:rPr>
          <w:rFonts w:hint="eastAsia" w:ascii="宋体" w:hAnsi="宋体" w:eastAsia="宋体" w:cs="宋体"/>
          <w:color w:val="auto"/>
          <w:spacing w:val="-7"/>
          <w:highlight w:val="none"/>
          <w:lang w:val="en-US" w:eastAsia="zh-CN"/>
        </w:rPr>
        <w:t>采购</w:t>
      </w:r>
      <w:r>
        <w:rPr>
          <w:rFonts w:hint="eastAsia" w:ascii="宋体" w:hAnsi="宋体" w:eastAsia="宋体" w:cs="宋体"/>
          <w:color w:val="auto"/>
          <w:highlight w:val="none"/>
          <w:lang w:bidi="ar"/>
        </w:rPr>
        <w:t>代理费用</w:t>
      </w:r>
    </w:p>
    <w:p w14:paraId="4353BFB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Times New Roman"/>
          <w:color w:val="auto"/>
          <w:sz w:val="24"/>
          <w:szCs w:val="24"/>
          <w:highlight w:val="none"/>
          <w:lang w:val="zh-CN"/>
        </w:rPr>
      </w:pPr>
      <w:r>
        <w:rPr>
          <w:rFonts w:hint="eastAsia" w:ascii="宋体" w:hAnsi="宋体" w:eastAsia="宋体" w:cs="宋体"/>
          <w:color w:val="auto"/>
          <w:kern w:val="2"/>
          <w:sz w:val="24"/>
          <w:szCs w:val="24"/>
          <w:highlight w:val="none"/>
          <w:lang w:val="en-US" w:eastAsia="zh-CN" w:bidi="ar"/>
        </w:rPr>
        <w:t>51.1本</w:t>
      </w:r>
      <w:r>
        <w:rPr>
          <w:rFonts w:hint="eastAsia" w:cs="宋体"/>
          <w:color w:val="auto"/>
          <w:spacing w:val="-7"/>
          <w:highlight w:val="none"/>
          <w:lang w:val="en-US" w:eastAsia="zh-CN"/>
        </w:rPr>
        <w:t>项目</w:t>
      </w:r>
      <w:r>
        <w:rPr>
          <w:rFonts w:hint="eastAsia" w:ascii="宋体" w:hAnsi="宋体" w:eastAsia="宋体" w:cs="宋体"/>
          <w:color w:val="auto"/>
          <w:spacing w:val="-7"/>
          <w:highlight w:val="none"/>
          <w:lang w:val="en-US" w:eastAsia="zh-CN"/>
        </w:rPr>
        <w:t>采购代理费</w:t>
      </w:r>
      <w:r>
        <w:rPr>
          <w:rFonts w:hint="default" w:ascii="新宋体" w:hAnsi="新宋体" w:eastAsia="新宋体" w:cs="新宋体"/>
          <w:color w:val="auto"/>
          <w:sz w:val="24"/>
          <w:szCs w:val="24"/>
          <w:highlight w:val="none"/>
          <w:rtl w:val="0"/>
          <w:lang w:val="en-US" w:eastAsia="zh-CN"/>
        </w:rPr>
        <w:t>参照原国家计委计价格［2002]1980号文件和国家发展改革委发改价格［2011]534号文件规定</w:t>
      </w:r>
      <w:r>
        <w:rPr>
          <w:rFonts w:hint="eastAsia" w:ascii="新宋体" w:hAnsi="新宋体" w:eastAsia="新宋体" w:cs="新宋体"/>
          <w:color w:val="auto"/>
          <w:sz w:val="24"/>
          <w:szCs w:val="24"/>
          <w:highlight w:val="none"/>
          <w:rtl w:val="0"/>
          <w:lang w:val="en-US" w:eastAsia="zh-CN"/>
        </w:rPr>
        <w:t>的收费标准</w:t>
      </w:r>
      <w:r>
        <w:rPr>
          <w:rFonts w:hint="default" w:ascii="新宋体" w:hAnsi="新宋体" w:eastAsia="新宋体" w:cs="新宋体"/>
          <w:color w:val="auto"/>
          <w:sz w:val="24"/>
          <w:szCs w:val="24"/>
          <w:highlight w:val="none"/>
          <w:rtl w:val="0"/>
          <w:lang w:val="en-US" w:eastAsia="zh-CN"/>
        </w:rPr>
        <w:t>计取，由中标供应商承担，在领取中标通知书前一次性支付给采购代理机构。</w:t>
      </w:r>
      <w:r>
        <w:rPr>
          <w:rFonts w:hint="eastAsia" w:ascii="宋体" w:hAnsi="宋体" w:eastAsia="宋体" w:cs="Times New Roman"/>
          <w:color w:val="auto"/>
          <w:sz w:val="24"/>
          <w:szCs w:val="24"/>
          <w:highlight w:val="none"/>
          <w:lang w:val="zh-CN"/>
        </w:rPr>
        <w:t>收费标准如下：</w:t>
      </w:r>
    </w:p>
    <w:tbl>
      <w:tblPr>
        <w:tblStyle w:val="36"/>
        <w:tblpPr w:leftFromText="180" w:rightFromText="180" w:vertAnchor="text" w:horzAnchor="page" w:tblpX="1510" w:tblpY="154"/>
        <w:tblOverlap w:val="never"/>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5"/>
        <w:gridCol w:w="2055"/>
        <w:gridCol w:w="1805"/>
        <w:gridCol w:w="1795"/>
      </w:tblGrid>
      <w:tr w14:paraId="7682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3105" w:type="dxa"/>
            <w:noWrap w:val="0"/>
            <w:vAlign w:val="top"/>
          </w:tcPr>
          <w:p w14:paraId="4D1C86F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mc:AlternateContent>
                <mc:Choice Requires="wps">
                  <w:drawing>
                    <wp:anchor distT="0" distB="0" distL="114300" distR="114300" simplePos="0" relativeHeight="251660288" behindDoc="0" locked="0" layoutInCell="1" allowOverlap="1">
                      <wp:simplePos x="0" y="0"/>
                      <wp:positionH relativeFrom="column">
                        <wp:posOffset>703580</wp:posOffset>
                      </wp:positionH>
                      <wp:positionV relativeFrom="paragraph">
                        <wp:posOffset>2540</wp:posOffset>
                      </wp:positionV>
                      <wp:extent cx="1219200" cy="1312545"/>
                      <wp:effectExtent l="3175" t="3175" r="15875" b="17780"/>
                      <wp:wrapNone/>
                      <wp:docPr id="2" name="直接箭头连接符 2"/>
                      <wp:cNvGraphicFramePr/>
                      <a:graphic xmlns:a="http://schemas.openxmlformats.org/drawingml/2006/main">
                        <a:graphicData uri="http://schemas.microsoft.com/office/word/2010/wordprocessingShape">
                          <wps:wsp>
                            <wps:cNvCnPr/>
                            <wps:spPr>
                              <a:xfrm>
                                <a:off x="0" y="0"/>
                                <a:ext cx="1219200" cy="13125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55.4pt;margin-top:0.2pt;height:103.35pt;width:96pt;z-index:251660288;mso-width-relative:page;mso-height-relative:page;" filled="f" stroked="t" coordsize="21600,21600" o:gfxdata="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66Ws1gAAAAgBAAAPAAAAAAAAAAEAIAAAACIAAABkcnMv&#10;ZG93bnJldi54bWxQSwECFAAUAAAACACHTuJAqoliXQUCAAD8AwAADgAAAAAAAAABACAAAAAlAQAA&#10;ZHJzL2Uyb0RvYy54bWxQSwUGAAAAAAYABgBZAQAAnAUAAAAA&#10;">
                      <v:fill on="f" focussize="0,0"/>
                      <v:stroke color="#000000" joinstyle="round"/>
                      <v:imagedata o:title=""/>
                      <o:lock v:ext="edit" aspectratio="f"/>
                    </v:shape>
                  </w:pict>
                </mc:Fallback>
              </mc:AlternateContent>
            </w:r>
            <w:r>
              <w:rPr>
                <w:rFonts w:hint="eastAsia" w:ascii="宋体" w:hAnsi="宋体" w:eastAsia="宋体" w:cs="宋体"/>
                <w:color w:val="auto"/>
                <w:sz w:val="24"/>
                <w:szCs w:val="24"/>
                <w:highlight w:val="none"/>
                <w:lang w:val="zh-CN"/>
              </w:rPr>
              <mc:AlternateContent>
                <mc:Choice Requires="wps">
                  <w:drawing>
                    <wp:anchor distT="0" distB="0" distL="114300" distR="114300" simplePos="0" relativeHeight="251659264" behindDoc="0" locked="0" layoutInCell="1" allowOverlap="1">
                      <wp:simplePos x="0" y="0"/>
                      <wp:positionH relativeFrom="column">
                        <wp:posOffset>-62230</wp:posOffset>
                      </wp:positionH>
                      <wp:positionV relativeFrom="paragraph">
                        <wp:posOffset>4445</wp:posOffset>
                      </wp:positionV>
                      <wp:extent cx="1971675" cy="1312545"/>
                      <wp:effectExtent l="2540" t="3810" r="6985" b="17145"/>
                      <wp:wrapNone/>
                      <wp:docPr id="3" name="直接箭头连接符 3"/>
                      <wp:cNvGraphicFramePr/>
                      <a:graphic xmlns:a="http://schemas.openxmlformats.org/drawingml/2006/main">
                        <a:graphicData uri="http://schemas.microsoft.com/office/word/2010/wordprocessingShape">
                          <wps:wsp>
                            <wps:cNvCnPr/>
                            <wps:spPr>
                              <a:xfrm>
                                <a:off x="0" y="0"/>
                                <a:ext cx="1971675" cy="13125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4.9pt;margin-top:0.35pt;height:103.35pt;width:155.25pt;z-index:251659264;mso-width-relative:page;mso-height-relative:page;" filled="f" stroked="t" coordsize="21600,21600" o:gfxdata="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AkTzWAAAABwEAAA8AAAAAAAAAAQAgAAAAIgAAAGRy&#10;cy9kb3ducmV2LnhtbFBLAQIUABQAAAAIAIdO4kBDYknIBwIAAPwDAAAOAAAAAAAAAAEAIAAAACUB&#10;AABkcnMvZTJvRG9jLnhtbFBLBQYAAAAABgAGAFkBAACeBQAAAAA=&#10;">
                      <v:fill on="f" focussize="0,0"/>
                      <v:stroke color="#000000" joinstyle="round"/>
                      <v:imagedata o:title=""/>
                      <o:lock v:ext="edit" aspectratio="f"/>
                    </v:shape>
                  </w:pict>
                </mc:Fallback>
              </mc:AlternateContent>
            </w:r>
            <w:r>
              <w:rPr>
                <w:rFonts w:hint="eastAsia" w:ascii="宋体" w:hAnsi="宋体" w:eastAsia="宋体" w:cs="宋体"/>
                <w:color w:val="auto"/>
                <w:sz w:val="24"/>
                <w:szCs w:val="24"/>
                <w:highlight w:val="none"/>
                <w:lang w:val="zh-CN"/>
              </w:rPr>
              <w:t>费 率</w:t>
            </w:r>
            <w:r>
              <w:rPr>
                <w:rFonts w:hint="eastAsia" w:ascii="宋体" w:hAnsi="宋体" w:eastAsia="宋体" w:cs="宋体"/>
                <w:color w:val="auto"/>
                <w:sz w:val="24"/>
                <w:szCs w:val="24"/>
                <w:highlight w:val="none"/>
                <w:lang w:val="zh-CN"/>
              </w:rPr>
              <w:tab/>
            </w:r>
            <w:r>
              <w:rPr>
                <w:rFonts w:hint="eastAsia" w:ascii="宋体" w:hAnsi="宋体" w:eastAsia="宋体" w:cs="宋体"/>
                <w:color w:val="auto"/>
                <w:sz w:val="24"/>
                <w:szCs w:val="24"/>
                <w:highlight w:val="none"/>
                <w:lang w:val="en-US" w:eastAsia="zh-CN"/>
              </w:rPr>
              <w:t xml:space="preserve">     </w:t>
            </w:r>
          </w:p>
          <w:p w14:paraId="75A719C8">
            <w:pPr>
              <w:keepNext w:val="0"/>
              <w:keepLines w:val="0"/>
              <w:pageBreakBefore w:val="0"/>
              <w:widowControl w:val="0"/>
              <w:kinsoku/>
              <w:wordWrap/>
              <w:overflowPunct/>
              <w:topLinePunct w:val="0"/>
              <w:autoSpaceDE/>
              <w:autoSpaceDN/>
              <w:bidi w:val="0"/>
              <w:adjustRightInd w:val="0"/>
              <w:snapToGrid w:val="0"/>
              <w:spacing w:line="480" w:lineRule="exact"/>
              <w:jc w:val="righ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服务类型</w:t>
            </w:r>
          </w:p>
          <w:p w14:paraId="5875EC1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p>
          <w:p w14:paraId="79CA058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中标金额（万元）</w:t>
            </w:r>
          </w:p>
        </w:tc>
        <w:tc>
          <w:tcPr>
            <w:tcW w:w="2055" w:type="dxa"/>
            <w:noWrap w:val="0"/>
            <w:vAlign w:val="center"/>
          </w:tcPr>
          <w:p w14:paraId="7FF3229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货物招标</w:t>
            </w:r>
          </w:p>
        </w:tc>
        <w:tc>
          <w:tcPr>
            <w:tcW w:w="1805" w:type="dxa"/>
            <w:noWrap w:val="0"/>
            <w:vAlign w:val="center"/>
          </w:tcPr>
          <w:p w14:paraId="00AF4E2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服务招标</w:t>
            </w:r>
          </w:p>
        </w:tc>
        <w:tc>
          <w:tcPr>
            <w:tcW w:w="1795" w:type="dxa"/>
            <w:noWrap w:val="0"/>
            <w:vAlign w:val="center"/>
          </w:tcPr>
          <w:p w14:paraId="660B3C8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工程招标</w:t>
            </w:r>
          </w:p>
        </w:tc>
      </w:tr>
      <w:tr w14:paraId="308B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noWrap w:val="0"/>
            <w:vAlign w:val="center"/>
          </w:tcPr>
          <w:p w14:paraId="51BC6B3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100以下</w:t>
            </w:r>
          </w:p>
        </w:tc>
        <w:tc>
          <w:tcPr>
            <w:tcW w:w="2055" w:type="dxa"/>
            <w:noWrap w:val="0"/>
            <w:vAlign w:val="center"/>
          </w:tcPr>
          <w:p w14:paraId="4421445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1.5%</w:t>
            </w:r>
          </w:p>
        </w:tc>
        <w:tc>
          <w:tcPr>
            <w:tcW w:w="1805" w:type="dxa"/>
            <w:noWrap w:val="0"/>
            <w:vAlign w:val="center"/>
          </w:tcPr>
          <w:p w14:paraId="28F42B7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1.5%</w:t>
            </w:r>
          </w:p>
        </w:tc>
        <w:tc>
          <w:tcPr>
            <w:tcW w:w="1795" w:type="dxa"/>
            <w:noWrap w:val="0"/>
            <w:vAlign w:val="center"/>
          </w:tcPr>
          <w:p w14:paraId="532EB49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1.0%</w:t>
            </w:r>
          </w:p>
        </w:tc>
      </w:tr>
      <w:tr w14:paraId="2FD5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noWrap w:val="0"/>
            <w:vAlign w:val="center"/>
          </w:tcPr>
          <w:p w14:paraId="6A10091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100-500</w:t>
            </w:r>
          </w:p>
        </w:tc>
        <w:tc>
          <w:tcPr>
            <w:tcW w:w="2055" w:type="dxa"/>
            <w:noWrap w:val="0"/>
            <w:vAlign w:val="center"/>
          </w:tcPr>
          <w:p w14:paraId="24AEEC5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w:t>
            </w:r>
          </w:p>
        </w:tc>
        <w:tc>
          <w:tcPr>
            <w:tcW w:w="1805" w:type="dxa"/>
            <w:noWrap w:val="0"/>
            <w:vAlign w:val="center"/>
          </w:tcPr>
          <w:p w14:paraId="7BC99E4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0.8%</w:t>
            </w:r>
          </w:p>
        </w:tc>
        <w:tc>
          <w:tcPr>
            <w:tcW w:w="1795" w:type="dxa"/>
            <w:noWrap w:val="0"/>
            <w:vAlign w:val="center"/>
          </w:tcPr>
          <w:p w14:paraId="0E80B00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0.7%</w:t>
            </w:r>
          </w:p>
        </w:tc>
      </w:tr>
      <w:tr w14:paraId="476A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noWrap w:val="0"/>
            <w:vAlign w:val="center"/>
          </w:tcPr>
          <w:p w14:paraId="1FAD6FC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500-1000</w:t>
            </w:r>
          </w:p>
        </w:tc>
        <w:tc>
          <w:tcPr>
            <w:tcW w:w="2055" w:type="dxa"/>
            <w:noWrap w:val="0"/>
            <w:vAlign w:val="center"/>
          </w:tcPr>
          <w:p w14:paraId="254D9AB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0.8%</w:t>
            </w:r>
          </w:p>
        </w:tc>
        <w:tc>
          <w:tcPr>
            <w:tcW w:w="1805" w:type="dxa"/>
            <w:noWrap w:val="0"/>
            <w:vAlign w:val="center"/>
          </w:tcPr>
          <w:p w14:paraId="6572BAA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0.45%</w:t>
            </w:r>
          </w:p>
        </w:tc>
        <w:tc>
          <w:tcPr>
            <w:tcW w:w="1795" w:type="dxa"/>
            <w:noWrap w:val="0"/>
            <w:vAlign w:val="center"/>
          </w:tcPr>
          <w:p w14:paraId="61D6575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0.55%</w:t>
            </w:r>
          </w:p>
        </w:tc>
      </w:tr>
      <w:tr w14:paraId="7C25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noWrap w:val="0"/>
            <w:vAlign w:val="center"/>
          </w:tcPr>
          <w:p w14:paraId="440998F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1000-5000</w:t>
            </w:r>
          </w:p>
        </w:tc>
        <w:tc>
          <w:tcPr>
            <w:tcW w:w="2055" w:type="dxa"/>
            <w:noWrap w:val="0"/>
            <w:vAlign w:val="center"/>
          </w:tcPr>
          <w:p w14:paraId="0ADB47D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0.5%</w:t>
            </w:r>
          </w:p>
        </w:tc>
        <w:tc>
          <w:tcPr>
            <w:tcW w:w="1805" w:type="dxa"/>
            <w:noWrap w:val="0"/>
            <w:vAlign w:val="center"/>
          </w:tcPr>
          <w:p w14:paraId="3040A76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0.25%</w:t>
            </w:r>
          </w:p>
        </w:tc>
        <w:tc>
          <w:tcPr>
            <w:tcW w:w="1795" w:type="dxa"/>
            <w:noWrap w:val="0"/>
            <w:vAlign w:val="center"/>
          </w:tcPr>
          <w:p w14:paraId="198F783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0.35%</w:t>
            </w:r>
          </w:p>
        </w:tc>
      </w:tr>
      <w:tr w14:paraId="65EC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noWrap w:val="0"/>
            <w:vAlign w:val="center"/>
          </w:tcPr>
          <w:p w14:paraId="525630E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5000-10000</w:t>
            </w:r>
          </w:p>
        </w:tc>
        <w:tc>
          <w:tcPr>
            <w:tcW w:w="2055" w:type="dxa"/>
            <w:noWrap w:val="0"/>
            <w:vAlign w:val="center"/>
          </w:tcPr>
          <w:p w14:paraId="6C9CC7B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0.25%</w:t>
            </w:r>
          </w:p>
        </w:tc>
        <w:tc>
          <w:tcPr>
            <w:tcW w:w="1805" w:type="dxa"/>
            <w:noWrap w:val="0"/>
            <w:vAlign w:val="center"/>
          </w:tcPr>
          <w:p w14:paraId="2C412F9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0.1%</w:t>
            </w:r>
          </w:p>
        </w:tc>
        <w:tc>
          <w:tcPr>
            <w:tcW w:w="1795" w:type="dxa"/>
            <w:noWrap w:val="0"/>
            <w:vAlign w:val="center"/>
          </w:tcPr>
          <w:p w14:paraId="0E77263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0.2%</w:t>
            </w:r>
          </w:p>
        </w:tc>
      </w:tr>
      <w:tr w14:paraId="58B0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noWrap w:val="0"/>
            <w:vAlign w:val="center"/>
          </w:tcPr>
          <w:p w14:paraId="5C041A2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10000-100000</w:t>
            </w:r>
          </w:p>
        </w:tc>
        <w:tc>
          <w:tcPr>
            <w:tcW w:w="2055" w:type="dxa"/>
            <w:noWrap w:val="0"/>
            <w:vAlign w:val="center"/>
          </w:tcPr>
          <w:p w14:paraId="32E9DF0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0.05%</w:t>
            </w:r>
          </w:p>
        </w:tc>
        <w:tc>
          <w:tcPr>
            <w:tcW w:w="1805" w:type="dxa"/>
            <w:noWrap w:val="0"/>
            <w:vAlign w:val="center"/>
          </w:tcPr>
          <w:p w14:paraId="38C0470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0.05%</w:t>
            </w:r>
          </w:p>
        </w:tc>
        <w:tc>
          <w:tcPr>
            <w:tcW w:w="1795" w:type="dxa"/>
            <w:noWrap w:val="0"/>
            <w:vAlign w:val="center"/>
          </w:tcPr>
          <w:p w14:paraId="743A343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0.05%</w:t>
            </w:r>
          </w:p>
        </w:tc>
      </w:tr>
      <w:tr w14:paraId="7EB8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5" w:type="dxa"/>
            <w:noWrap w:val="0"/>
            <w:vAlign w:val="center"/>
          </w:tcPr>
          <w:p w14:paraId="2482202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1000000以上</w:t>
            </w:r>
          </w:p>
        </w:tc>
        <w:tc>
          <w:tcPr>
            <w:tcW w:w="2055" w:type="dxa"/>
            <w:noWrap w:val="0"/>
            <w:vAlign w:val="center"/>
          </w:tcPr>
          <w:p w14:paraId="2F73A2D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0.01%</w:t>
            </w:r>
          </w:p>
        </w:tc>
        <w:tc>
          <w:tcPr>
            <w:tcW w:w="1805" w:type="dxa"/>
            <w:noWrap w:val="0"/>
            <w:vAlign w:val="center"/>
          </w:tcPr>
          <w:p w14:paraId="50EECA9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0.01%</w:t>
            </w:r>
          </w:p>
        </w:tc>
        <w:tc>
          <w:tcPr>
            <w:tcW w:w="1795" w:type="dxa"/>
            <w:noWrap w:val="0"/>
            <w:vAlign w:val="center"/>
          </w:tcPr>
          <w:p w14:paraId="320E85A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0.01%</w:t>
            </w:r>
          </w:p>
        </w:tc>
      </w:tr>
    </w:tbl>
    <w:p w14:paraId="5C20C321">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textAlignment w:val="auto"/>
        <w:rPr>
          <w:rFonts w:hint="eastAsia" w:ascii="宋体" w:hAnsi="宋体" w:eastAsia="宋体" w:cs="宋体"/>
          <w:color w:val="auto"/>
          <w:highlight w:val="none"/>
          <w:lang w:bidi="ar"/>
        </w:rPr>
      </w:pPr>
    </w:p>
    <w:p w14:paraId="2552B0D3">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ind w:leftChars="200"/>
        <w:textAlignment w:val="auto"/>
        <w:rPr>
          <w:rFonts w:hint="eastAsia" w:ascii="宋体" w:hAnsi="宋体" w:cs="宋体"/>
          <w:color w:val="auto"/>
          <w:highlight w:val="none"/>
          <w:lang w:val="en-US" w:eastAsia="zh-CN" w:bidi="ar"/>
        </w:rPr>
      </w:pPr>
      <w:bookmarkStart w:id="480" w:name="_Toc6421"/>
      <w:bookmarkStart w:id="481" w:name="_Toc759"/>
      <w:bookmarkStart w:id="482" w:name="_Toc787"/>
      <w:bookmarkStart w:id="483" w:name="_Toc16186"/>
      <w:bookmarkStart w:id="484" w:name="_Toc25070"/>
      <w:bookmarkStart w:id="485" w:name="_Toc18934"/>
      <w:bookmarkStart w:id="486" w:name="_Toc23772"/>
      <w:bookmarkStart w:id="487" w:name="_Toc30799"/>
      <w:bookmarkStart w:id="488" w:name="_Toc31514"/>
      <w:bookmarkStart w:id="489" w:name="_Toc3872"/>
      <w:bookmarkStart w:id="490" w:name="_Toc30244"/>
      <w:bookmarkStart w:id="491" w:name="_Toc16372"/>
      <w:bookmarkStart w:id="492" w:name="_Toc26725"/>
      <w:bookmarkStart w:id="493" w:name="_Toc31746"/>
      <w:bookmarkStart w:id="494" w:name="_Toc17209"/>
      <w:bookmarkStart w:id="495" w:name="_Toc28587"/>
      <w:bookmarkStart w:id="496" w:name="_Toc14430"/>
      <w:bookmarkStart w:id="497" w:name="_Toc4316"/>
      <w:bookmarkStart w:id="498" w:name="_Toc5064"/>
      <w:bookmarkStart w:id="499" w:name="_Toc3233"/>
      <w:bookmarkStart w:id="500" w:name="_Toc1992"/>
      <w:bookmarkStart w:id="501" w:name="_Toc356371441"/>
      <w:bookmarkStart w:id="502" w:name="_Toc366144040"/>
      <w:bookmarkStart w:id="503" w:name="_Toc6658"/>
      <w:bookmarkStart w:id="504" w:name="_Toc11991"/>
      <w:bookmarkStart w:id="505" w:name="_Toc13809"/>
      <w:bookmarkStart w:id="506" w:name="_Toc28218"/>
      <w:bookmarkStart w:id="507" w:name="_Toc10535"/>
      <w:bookmarkStart w:id="508" w:name="_Toc7384"/>
      <w:bookmarkStart w:id="509" w:name="_Toc25338"/>
      <w:bookmarkStart w:id="510" w:name="_Toc30941"/>
      <w:bookmarkStart w:id="511" w:name="_Toc30867"/>
      <w:bookmarkStart w:id="512" w:name="_Toc18862"/>
      <w:bookmarkStart w:id="513" w:name="_Toc24668"/>
      <w:bookmarkStart w:id="514" w:name="_Toc3972"/>
      <w:bookmarkStart w:id="515" w:name="_Toc6640"/>
    </w:p>
    <w:p w14:paraId="22B98463">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ind w:leftChars="200"/>
        <w:textAlignment w:val="auto"/>
        <w:rPr>
          <w:rFonts w:hint="eastAsia" w:ascii="宋体" w:hAnsi="宋体" w:cs="宋体"/>
          <w:color w:val="auto"/>
          <w:highlight w:val="none"/>
          <w:lang w:val="en-US" w:eastAsia="zh-CN" w:bidi="ar"/>
        </w:rPr>
      </w:pPr>
    </w:p>
    <w:p w14:paraId="72EEEC0D">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ind w:leftChars="200"/>
        <w:textAlignment w:val="auto"/>
        <w:rPr>
          <w:rFonts w:hint="eastAsia" w:ascii="宋体" w:hAnsi="宋体" w:cs="宋体"/>
          <w:color w:val="auto"/>
          <w:highlight w:val="none"/>
          <w:lang w:val="en-US" w:eastAsia="zh-CN" w:bidi="ar"/>
        </w:rPr>
      </w:pPr>
    </w:p>
    <w:p w14:paraId="6236FCA8">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ind w:leftChars="200"/>
        <w:textAlignment w:val="auto"/>
        <w:rPr>
          <w:rFonts w:hint="eastAsia" w:ascii="宋体" w:hAnsi="宋体" w:cs="宋体"/>
          <w:color w:val="auto"/>
          <w:highlight w:val="none"/>
          <w:lang w:val="en-US" w:eastAsia="zh-CN" w:bidi="ar"/>
        </w:rPr>
      </w:pPr>
    </w:p>
    <w:p w14:paraId="379CAB47">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ind w:leftChars="200"/>
        <w:textAlignment w:val="auto"/>
        <w:rPr>
          <w:rFonts w:hint="eastAsia" w:ascii="宋体" w:hAnsi="宋体" w:cs="宋体"/>
          <w:color w:val="auto"/>
          <w:highlight w:val="none"/>
          <w:lang w:val="en-US" w:eastAsia="zh-CN" w:bidi="ar"/>
        </w:rPr>
      </w:pPr>
    </w:p>
    <w:p w14:paraId="7B67A0B8">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highlight w:val="none"/>
          <w:lang w:bidi="ar"/>
        </w:rPr>
      </w:pPr>
      <w:r>
        <w:rPr>
          <w:rFonts w:hint="eastAsia" w:ascii="宋体" w:hAnsi="宋体" w:cs="宋体"/>
          <w:color w:val="auto"/>
          <w:highlight w:val="none"/>
          <w:lang w:val="en-US" w:eastAsia="zh-CN" w:bidi="ar"/>
        </w:rPr>
        <w:t>51.2</w:t>
      </w:r>
      <w:r>
        <w:rPr>
          <w:rFonts w:hint="eastAsia" w:ascii="宋体" w:hAnsi="宋体" w:eastAsia="宋体" w:cs="宋体"/>
          <w:color w:val="auto"/>
          <w:highlight w:val="none"/>
          <w:lang w:bidi="ar"/>
        </w:rPr>
        <w:t>评委费支付：评委费</w:t>
      </w:r>
      <w:r>
        <w:rPr>
          <w:rFonts w:hint="eastAsia" w:ascii="宋体" w:hAnsi="宋体" w:cs="宋体"/>
          <w:color w:val="auto"/>
          <w:highlight w:val="none"/>
          <w:lang w:eastAsia="zh-CN" w:bidi="ar"/>
        </w:rPr>
        <w:t>（</w:t>
      </w:r>
      <w:r>
        <w:rPr>
          <w:rFonts w:hint="eastAsia" w:ascii="宋体" w:hAnsi="宋体" w:eastAsia="宋体" w:cs="宋体"/>
          <w:color w:val="auto"/>
          <w:highlight w:val="none"/>
          <w:lang w:bidi="ar"/>
        </w:rPr>
        <w:t>按实</w:t>
      </w:r>
      <w:r>
        <w:rPr>
          <w:rFonts w:hint="eastAsia" w:ascii="宋体" w:hAnsi="宋体" w:cs="宋体"/>
          <w:color w:val="auto"/>
          <w:highlight w:val="none"/>
          <w:lang w:eastAsia="zh-CN" w:bidi="ar"/>
        </w:rPr>
        <w:t>）</w:t>
      </w:r>
      <w:r>
        <w:rPr>
          <w:rFonts w:hint="eastAsia" w:ascii="宋体" w:hAnsi="宋体" w:eastAsia="宋体" w:cs="宋体"/>
          <w:color w:val="auto"/>
          <w:highlight w:val="none"/>
          <w:lang w:bidi="ar"/>
        </w:rPr>
        <w:t>由中标人支付。</w:t>
      </w:r>
    </w:p>
    <w:p w14:paraId="7A72E3A6">
      <w:pPr>
        <w:pStyle w:val="33"/>
        <w:keepNext w:val="0"/>
        <w:keepLines w:val="0"/>
        <w:pageBreakBefore w:val="0"/>
        <w:numPr>
          <w:ilvl w:val="0"/>
          <w:numId w:val="0"/>
        </w:numPr>
        <w:tabs>
          <w:tab w:val="left" w:pos="0"/>
          <w:tab w:val="left" w:pos="171"/>
        </w:tabs>
        <w:kinsoku/>
        <w:wordWrap/>
        <w:overflowPunct/>
        <w:topLinePunct w:val="0"/>
        <w:autoSpaceDE/>
        <w:autoSpaceDN/>
        <w:bidi w:val="0"/>
        <w:snapToGrid/>
        <w:spacing w:line="480" w:lineRule="exact"/>
        <w:ind w:leftChars="200"/>
        <w:textAlignment w:val="auto"/>
        <w:rPr>
          <w:rFonts w:hint="eastAsia" w:ascii="宋体" w:hAnsi="宋体" w:eastAsia="宋体" w:cs="宋体"/>
          <w:color w:val="auto"/>
          <w:lang w:bidi="ar"/>
        </w:rPr>
      </w:pPr>
      <w:r>
        <w:rPr>
          <w:rFonts w:hint="eastAsia" w:ascii="宋体" w:hAnsi="宋体" w:cs="宋体"/>
          <w:color w:val="auto"/>
          <w:highlight w:val="none"/>
          <w:lang w:val="en-US" w:eastAsia="zh-CN" w:bidi="ar"/>
        </w:rPr>
        <w:t>51.3</w:t>
      </w:r>
      <w:r>
        <w:rPr>
          <w:rFonts w:hint="eastAsia" w:ascii="宋体" w:hAnsi="宋体" w:eastAsia="宋体" w:cs="宋体"/>
          <w:color w:val="auto"/>
          <w:kern w:val="2"/>
          <w:sz w:val="24"/>
          <w:szCs w:val="24"/>
          <w:highlight w:val="none"/>
          <w:lang w:val="en-US" w:eastAsia="zh-CN" w:bidi="ar"/>
        </w:rPr>
        <w:t>项目若出现流标或终止采购情形的，采购</w:t>
      </w:r>
      <w:r>
        <w:rPr>
          <w:rFonts w:hint="eastAsia" w:ascii="宋体" w:hAnsi="宋体" w:eastAsia="宋体" w:cs="宋体"/>
          <w:color w:val="auto"/>
          <w:kern w:val="2"/>
          <w:sz w:val="24"/>
          <w:szCs w:val="24"/>
          <w:lang w:val="en-US" w:eastAsia="zh-CN" w:bidi="ar"/>
        </w:rPr>
        <w:t>代理服务费、评审费由采购人支付。</w:t>
      </w:r>
    </w:p>
    <w:p w14:paraId="0FAB6FEC">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516" w:name="_Toc20579"/>
      <w:bookmarkStart w:id="517" w:name="_Toc5554"/>
      <w:bookmarkStart w:id="518" w:name="_Toc32449"/>
      <w:bookmarkStart w:id="519" w:name="_Toc829"/>
      <w:bookmarkStart w:id="520" w:name="_Toc194"/>
      <w:bookmarkStart w:id="521" w:name="_Toc28293"/>
      <w:bookmarkStart w:id="522" w:name="_Toc1830"/>
      <w:bookmarkStart w:id="523" w:name="_Toc26256"/>
      <w:bookmarkStart w:id="524" w:name="_Toc27560"/>
      <w:bookmarkStart w:id="525" w:name="_Toc21042"/>
      <w:r>
        <w:rPr>
          <w:rFonts w:hint="eastAsia" w:ascii="宋体" w:hAnsi="宋体" w:cs="宋体"/>
          <w:b/>
          <w:bCs w:val="0"/>
          <w:color w:val="auto"/>
          <w:lang w:bidi="ar"/>
        </w:rPr>
        <w:t>十三、法律责任</w:t>
      </w:r>
      <w:bookmarkEnd w:id="516"/>
    </w:p>
    <w:p w14:paraId="1677A542">
      <w:pPr>
        <w:pStyle w:val="33"/>
        <w:pageBreakBefore w:val="0"/>
        <w:numPr>
          <w:ilvl w:val="0"/>
          <w:numId w:val="9"/>
        </w:numPr>
        <w:kinsoku/>
        <w:overflowPunct/>
        <w:topLinePunct w:val="0"/>
        <w:autoSpaceDE/>
        <w:autoSpaceDN/>
        <w:bidi w:val="0"/>
        <w:adjustRightInd w:val="0"/>
        <w:spacing w:line="480" w:lineRule="exact"/>
        <w:ind w:left="0" w:firstLine="480" w:firstLineChars="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投标人有下列情形之一的,处以政府采购项目中标金额千分之五以上千分之十以下的罚款,列入不良行为记录名单,在一至三年内禁止参加国企采购活动,并予以公告,有违法所得的,并处没收违法所得,情节严重的,由</w:t>
      </w:r>
      <w:r>
        <w:rPr>
          <w:rFonts w:hint="eastAsia" w:ascii="宋体" w:hAnsi="宋体" w:eastAsia="宋体" w:cs="宋体"/>
          <w:color w:val="auto"/>
          <w:lang w:eastAsia="zh-CN" w:bidi="ar"/>
        </w:rPr>
        <w:t>市场监督</w:t>
      </w:r>
      <w:r>
        <w:rPr>
          <w:rFonts w:hint="eastAsia" w:ascii="宋体" w:hAnsi="宋体" w:eastAsia="宋体" w:cs="宋体"/>
          <w:color w:val="auto"/>
          <w:lang w:bidi="ar"/>
        </w:rPr>
        <w:t>管理机关吊销营业执照;构成犯罪的,依法追究刑事责任:</w:t>
      </w:r>
    </w:p>
    <w:p w14:paraId="4092BB48">
      <w:pPr>
        <w:pStyle w:val="33"/>
        <w:pageBreakBefore w:val="0"/>
        <w:numPr>
          <w:ilvl w:val="1"/>
          <w:numId w:val="24"/>
        </w:numPr>
        <w:tabs>
          <w:tab w:val="left" w:pos="171"/>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提供虚假材料谋取中标的；</w:t>
      </w:r>
    </w:p>
    <w:p w14:paraId="61990289">
      <w:pPr>
        <w:pStyle w:val="33"/>
        <w:pageBreakBefore w:val="0"/>
        <w:numPr>
          <w:ilvl w:val="1"/>
          <w:numId w:val="24"/>
        </w:numPr>
        <w:tabs>
          <w:tab w:val="left" w:pos="171"/>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采取不正当手段诋毁、排挤其他投标人的；</w:t>
      </w:r>
    </w:p>
    <w:p w14:paraId="17AC878D">
      <w:pPr>
        <w:pStyle w:val="33"/>
        <w:pageBreakBefore w:val="0"/>
        <w:numPr>
          <w:ilvl w:val="1"/>
          <w:numId w:val="24"/>
        </w:numPr>
        <w:tabs>
          <w:tab w:val="left" w:pos="171"/>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与采购人、采购代理机构、其他投标人恶意串通的；</w:t>
      </w:r>
    </w:p>
    <w:p w14:paraId="6360741E">
      <w:pPr>
        <w:pStyle w:val="33"/>
        <w:pageBreakBefore w:val="0"/>
        <w:numPr>
          <w:ilvl w:val="1"/>
          <w:numId w:val="24"/>
        </w:numPr>
        <w:tabs>
          <w:tab w:val="left" w:pos="171"/>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向采购人、采购代理机构行贿或者提供其他不正当利益的；</w:t>
      </w:r>
    </w:p>
    <w:p w14:paraId="407AA79E">
      <w:pPr>
        <w:pStyle w:val="33"/>
        <w:keepNext w:val="0"/>
        <w:keepLines w:val="0"/>
        <w:pageBreakBefore w:val="0"/>
        <w:widowControl/>
        <w:numPr>
          <w:ilvl w:val="1"/>
          <w:numId w:val="24"/>
        </w:numPr>
        <w:tabs>
          <w:tab w:val="left" w:pos="171"/>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在招标过程中与采购人进行协商谈判、不按照招标文件和中标人的投标文件订立合同,或者与采购人另行订立背离合同实质性内容的协议的；</w:t>
      </w:r>
    </w:p>
    <w:p w14:paraId="020E6C5E">
      <w:pPr>
        <w:pStyle w:val="33"/>
        <w:keepNext w:val="0"/>
        <w:keepLines w:val="0"/>
        <w:pageBreakBefore w:val="0"/>
        <w:widowControl/>
        <w:numPr>
          <w:ilvl w:val="1"/>
          <w:numId w:val="24"/>
        </w:numPr>
        <w:tabs>
          <w:tab w:val="left" w:pos="171"/>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拒绝有关部门监督检查或者提供虚假情况的。</w:t>
      </w:r>
    </w:p>
    <w:p w14:paraId="04A2A26F">
      <w:pPr>
        <w:pStyle w:val="4"/>
        <w:pageBreakBefore w:val="0"/>
        <w:numPr>
          <w:ilvl w:val="1"/>
          <w:numId w:val="0"/>
        </w:numPr>
        <w:kinsoku/>
        <w:wordWrap/>
        <w:overflowPunct/>
        <w:topLinePunct w:val="0"/>
        <w:autoSpaceDE/>
        <w:autoSpaceDN/>
        <w:bidi w:val="0"/>
        <w:spacing w:beforeLines="0" w:afterLines="0" w:line="480" w:lineRule="exact"/>
        <w:ind w:firstLine="602" w:firstLineChars="200"/>
        <w:textAlignment w:val="auto"/>
        <w:rPr>
          <w:rFonts w:ascii="宋体" w:hAnsi="宋体" w:cs="宋体"/>
          <w:b/>
          <w:bCs w:val="0"/>
          <w:color w:val="auto"/>
        </w:rPr>
      </w:pPr>
      <w:bookmarkStart w:id="526" w:name="_Toc18390"/>
      <w:r>
        <w:rPr>
          <w:rFonts w:hint="eastAsia" w:ascii="宋体" w:hAnsi="宋体" w:cs="宋体"/>
          <w:b/>
          <w:bCs w:val="0"/>
          <w:color w:val="auto"/>
        </w:rPr>
        <w:t>十四、诚信管理</w:t>
      </w:r>
      <w:bookmarkEnd w:id="526"/>
    </w:p>
    <w:p w14:paraId="06B021FD">
      <w:pPr>
        <w:pStyle w:val="33"/>
        <w:pageBreakBefore w:val="0"/>
        <w:numPr>
          <w:ilvl w:val="0"/>
          <w:numId w:val="24"/>
        </w:numPr>
        <w:kinsoku/>
        <w:wordWrap/>
        <w:overflowPunct/>
        <w:topLinePunct w:val="0"/>
        <w:autoSpaceDE/>
        <w:autoSpaceDN/>
        <w:bidi w:val="0"/>
        <w:adjustRightInd w:val="0"/>
        <w:spacing w:line="480" w:lineRule="exact"/>
        <w:ind w:firstLine="480" w:firstLineChars="200"/>
        <w:jc w:val="both"/>
        <w:textAlignment w:val="auto"/>
        <w:rPr>
          <w:rFonts w:hint="eastAsia" w:ascii="宋体" w:hAnsi="宋体" w:eastAsia="宋体" w:cs="宋体"/>
          <w:color w:val="auto"/>
          <w:lang w:bidi="ar"/>
        </w:rPr>
      </w:pPr>
      <w:r>
        <w:rPr>
          <w:rFonts w:hint="eastAsia" w:ascii="宋体" w:hAnsi="宋体" w:eastAsia="宋体" w:cs="宋体"/>
          <w:color w:val="auto"/>
          <w:lang w:bidi="ar"/>
        </w:rPr>
        <w:t>投标人有下列情形之一的，依据《关于印发浙江省政府投标人注册及诚信管理暂行办法通知》[浙财采监字〔2009〕28号]文件第三十八条和第三十九条的规定记录不良行为、黑名单及处罚。</w:t>
      </w:r>
    </w:p>
    <w:p w14:paraId="66358DB8">
      <w:pPr>
        <w:pStyle w:val="33"/>
        <w:pageBreakBefore w:val="0"/>
        <w:numPr>
          <w:ilvl w:val="1"/>
          <w:numId w:val="24"/>
        </w:numPr>
        <w:tabs>
          <w:tab w:val="left" w:pos="171"/>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注册投标人有下列情形之一的，采购人或采购代理机构应按不良行为记入该注册投标人诚信档案中：</w:t>
      </w:r>
    </w:p>
    <w:p w14:paraId="6E718E16">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（一）开标后擅自撤回采购投标文件，影响采购活动继续进行的；</w:t>
      </w:r>
    </w:p>
    <w:p w14:paraId="77CC36F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（二）中标、成交后无正当理由拒绝签订国企采购合同，或者与采购人另行订立背离合同实质内容的协议的；</w:t>
      </w:r>
    </w:p>
    <w:p w14:paraId="733C3B1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（三）无正当理由拒绝履行合同和有关承诺，或擅自变更、中止（终止）国企采购合同的；</w:t>
      </w:r>
    </w:p>
    <w:p w14:paraId="732621E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（四）超过合同约定的供货（或服务）时间达10日以上的；</w:t>
      </w:r>
    </w:p>
    <w:p w14:paraId="6DB0176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（五）中标、成交后，将国企采购合同转包或擅自分包给其他投标人的；</w:t>
      </w:r>
    </w:p>
    <w:p w14:paraId="224CF3A4">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（六）提供假冒伪劣产品或走私物品的；</w:t>
      </w:r>
    </w:p>
    <w:p w14:paraId="2D319B8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（七）擅自降低产品质量等次和售后服务，或以次充好、偷工减料的；</w:t>
      </w:r>
    </w:p>
    <w:p w14:paraId="7277F3F9">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（八）实际提供的有关产品性能指标和技术服务能力明显低于采购响应文件或询标、谈判时的承诺；</w:t>
      </w:r>
    </w:p>
    <w:p w14:paraId="5B9CE6D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（九）在投标人库中发布的产品服务信息或在政府采购网上宣传的信息与实际明显不符，或故意误导采购人的；</w:t>
      </w:r>
    </w:p>
    <w:p w14:paraId="6F86A883">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（十）不按规定或不及时变更投标人库中的有关信息的；</w:t>
      </w:r>
    </w:p>
    <w:p w14:paraId="44BF7C56">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（十一）1年内在全省被质疑或投诉累计分别在20和10次以上且60%以上被驳回的，或恶意举报给采购人或采购代理机构造成损害的；</w:t>
      </w:r>
    </w:p>
    <w:p w14:paraId="45FC9FEA">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（十二）各级财政部门认定的其它有违诚实信用的行为。</w:t>
      </w:r>
    </w:p>
    <w:p w14:paraId="6C6AF7B4">
      <w:pPr>
        <w:pStyle w:val="33"/>
        <w:keepNext w:val="0"/>
        <w:keepLines w:val="0"/>
        <w:pageBreakBefore w:val="0"/>
        <w:numPr>
          <w:ilvl w:val="1"/>
          <w:numId w:val="24"/>
        </w:numPr>
        <w:tabs>
          <w:tab w:val="left" w:pos="171"/>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lang w:bidi="ar"/>
        </w:rPr>
      </w:pPr>
      <w:r>
        <w:rPr>
          <w:rFonts w:hint="eastAsia" w:ascii="宋体" w:hAnsi="宋体" w:eastAsia="宋体" w:cs="宋体"/>
          <w:color w:val="auto"/>
          <w:lang w:bidi="ar"/>
        </w:rPr>
        <w:t xml:space="preserve"> 注册投标人有下列情形之一的，采购人或采购代理机构应向同级主管部门书面报告，并提请主管部门将其列入“黑名单”或者依法作出处罚；各级主管部门在依法处罚的同时，应将该情况按不良行为记入该投标人诚信档案中，同时将该投标人列入“黑名单”公开曝光：</w:t>
      </w:r>
    </w:p>
    <w:p w14:paraId="645B4D78">
      <w:pPr>
        <w:pStyle w:val="33"/>
        <w:keepNext w:val="0"/>
        <w:keepLines w:val="0"/>
        <w:pageBreakBefore w:val="0"/>
        <w:numPr>
          <w:ilvl w:val="255"/>
          <w:numId w:val="0"/>
        </w:numPr>
        <w:tabs>
          <w:tab w:val="left" w:pos="0"/>
          <w:tab w:val="left" w:pos="171"/>
        </w:tabs>
        <w:kinsoku/>
        <w:wordWrap/>
        <w:overflowPunct/>
        <w:topLinePunct w:val="0"/>
        <w:autoSpaceDE/>
        <w:autoSpaceDN/>
        <w:bidi w:val="0"/>
        <w:spacing w:line="480" w:lineRule="exact"/>
        <w:ind w:firstLine="480" w:firstLineChars="200"/>
        <w:textAlignment w:val="auto"/>
        <w:rPr>
          <w:rFonts w:ascii="宋体" w:hAnsi="宋体" w:cs="宋体"/>
          <w:color w:val="auto"/>
          <w:lang w:bidi="ar"/>
        </w:rPr>
      </w:pPr>
      <w:r>
        <w:rPr>
          <w:rFonts w:hint="eastAsia" w:ascii="宋体" w:hAnsi="宋体" w:cs="宋体"/>
          <w:color w:val="auto"/>
          <w:lang w:bidi="ar"/>
        </w:rPr>
        <w:t>（一）提供虚假材料谋取中标、成交的；</w:t>
      </w:r>
    </w:p>
    <w:p w14:paraId="3CB11B92">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（二）采取不正当手段诋毁、排挤其他投标人的；</w:t>
      </w:r>
    </w:p>
    <w:p w14:paraId="01136B9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（三）与采购人、其他投标人或者采购代理机构恶意串通的；</w:t>
      </w:r>
    </w:p>
    <w:p w14:paraId="13521436">
      <w:pPr>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（四）向采购人、采购代理机构行贿或提供其他不正当利益，或因此被其他国家机关立案查实的；</w:t>
      </w:r>
    </w:p>
    <w:p w14:paraId="6FEEAFEC">
      <w:pPr>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（五）在招标采购过程中与采购人进行协商谈判的；</w:t>
      </w:r>
    </w:p>
    <w:p w14:paraId="579ED950">
      <w:pPr>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（六）哄抬、操纵国企采购报价，或国企采购价格（包括产品及其配件、试剂、耗材等价格）明显高于市场平均价的；</w:t>
      </w:r>
    </w:p>
    <w:p w14:paraId="6DF04B4C">
      <w:pPr>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（七）提供虚假材料骗取注册投标人资格的；</w:t>
      </w:r>
    </w:p>
    <w:p w14:paraId="139BF426">
      <w:pPr>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（八）伪造《浙江省政府采购注册投标人信息登记表》的；</w:t>
      </w:r>
    </w:p>
    <w:p w14:paraId="057582E6">
      <w:pPr>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（九）销售或发布法律、法规禁止销售的商品、服务和其他违法信息的；</w:t>
      </w:r>
    </w:p>
    <w:p w14:paraId="6A553605">
      <w:pPr>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rPr>
      </w:pPr>
      <w:r>
        <w:rPr>
          <w:rFonts w:hint="eastAsia" w:ascii="宋体" w:hAnsi="宋体"/>
          <w:color w:val="auto"/>
        </w:rPr>
        <w:t>（十）其它违反法律、法规和政府采购管理有关规定的行为的。</w:t>
      </w:r>
    </w:p>
    <w:p w14:paraId="0D94F076">
      <w:pPr>
        <w:pStyle w:val="4"/>
        <w:pageBreakBefore w:val="0"/>
        <w:numPr>
          <w:ilvl w:val="1"/>
          <w:numId w:val="0"/>
        </w:numPr>
        <w:kinsoku/>
        <w:overflowPunct/>
        <w:topLinePunct w:val="0"/>
        <w:autoSpaceDE/>
        <w:autoSpaceDN/>
        <w:bidi w:val="0"/>
        <w:spacing w:beforeLines="0" w:afterLines="0" w:line="480" w:lineRule="exact"/>
        <w:textAlignment w:val="auto"/>
        <w:rPr>
          <w:rFonts w:ascii="宋体" w:hAnsi="宋体" w:cs="宋体"/>
          <w:b/>
          <w:bCs w:val="0"/>
          <w:color w:val="auto"/>
          <w:lang w:bidi="ar"/>
        </w:rPr>
      </w:pPr>
      <w:bookmarkStart w:id="527" w:name="_Toc17223"/>
      <w:r>
        <w:rPr>
          <w:rFonts w:hint="eastAsia" w:ascii="宋体" w:hAnsi="宋体" w:cs="宋体"/>
          <w:b/>
          <w:bCs w:val="0"/>
          <w:color w:val="auto"/>
          <w:lang w:bidi="ar"/>
        </w:rPr>
        <w:t>十五、其他</w:t>
      </w:r>
      <w:bookmarkEnd w:id="527"/>
    </w:p>
    <w:p w14:paraId="114BB84A">
      <w:pPr>
        <w:pStyle w:val="33"/>
        <w:keepNext w:val="0"/>
        <w:keepLines w:val="0"/>
        <w:pageBreakBefore w:val="0"/>
        <w:widowControl/>
        <w:numPr>
          <w:ilvl w:val="0"/>
          <w:numId w:val="24"/>
        </w:numPr>
        <w:kinsoku/>
        <w:wordWrap/>
        <w:overflowPunct/>
        <w:topLinePunct w:val="0"/>
        <w:autoSpaceDE/>
        <w:autoSpaceDN/>
        <w:bidi w:val="0"/>
        <w:adjustRightInd w:val="0"/>
        <w:snapToGrid/>
        <w:spacing w:line="480" w:lineRule="exact"/>
        <w:ind w:firstLine="480" w:firstLineChars="200"/>
        <w:jc w:val="both"/>
        <w:textAlignment w:val="auto"/>
        <w:rPr>
          <w:rFonts w:hint="eastAsia" w:ascii="宋体" w:hAnsi="宋体" w:eastAsia="宋体" w:cs="宋体"/>
          <w:color w:val="auto"/>
          <w:lang w:bidi="ar"/>
        </w:rPr>
      </w:pPr>
      <w:r>
        <w:rPr>
          <w:rFonts w:hint="eastAsia" w:ascii="宋体" w:hAnsi="宋体" w:eastAsia="宋体" w:cs="宋体"/>
          <w:color w:val="auto"/>
          <w:lang w:bidi="ar"/>
        </w:rPr>
        <w:t>解释权：本招标文件是依据《政府采购法》及有关规定编制的，解释权属采购人。</w:t>
      </w:r>
    </w:p>
    <w:p w14:paraId="417C8448">
      <w:pPr>
        <w:pStyle w:val="33"/>
        <w:keepNext w:val="0"/>
        <w:keepLines w:val="0"/>
        <w:pageBreakBefore w:val="0"/>
        <w:widowControl/>
        <w:numPr>
          <w:ilvl w:val="0"/>
          <w:numId w:val="24"/>
        </w:numPr>
        <w:kinsoku/>
        <w:wordWrap/>
        <w:overflowPunct/>
        <w:topLinePunct w:val="0"/>
        <w:autoSpaceDE/>
        <w:autoSpaceDN/>
        <w:bidi w:val="0"/>
        <w:adjustRightInd w:val="0"/>
        <w:snapToGrid/>
        <w:spacing w:line="480" w:lineRule="exact"/>
        <w:ind w:firstLine="480" w:firstLineChars="200"/>
        <w:jc w:val="both"/>
        <w:textAlignment w:val="auto"/>
        <w:rPr>
          <w:rFonts w:hint="eastAsia" w:ascii="宋体" w:hAnsi="宋体" w:eastAsia="宋体" w:cs="宋体"/>
          <w:color w:val="auto"/>
          <w:lang w:bidi="ar"/>
        </w:rPr>
      </w:pPr>
      <w:r>
        <w:rPr>
          <w:rFonts w:hint="eastAsia" w:ascii="宋体" w:hAnsi="宋体" w:eastAsia="宋体" w:cs="宋体"/>
          <w:color w:val="auto"/>
          <w:lang w:bidi="ar"/>
        </w:rPr>
        <w:t>联系方式：所有与招标有关的函电请按下面联系，其他任何方式或信息来源均无效。</w:t>
      </w:r>
    </w:p>
    <w:p w14:paraId="04008BF6">
      <w:pPr>
        <w:pStyle w:val="33"/>
        <w:keepNext w:val="0"/>
        <w:keepLines w:val="0"/>
        <w:pageBreakBefore w:val="0"/>
        <w:widowControl/>
        <w:tabs>
          <w:tab w:val="left" w:pos="0"/>
        </w:tabs>
        <w:kinsoku/>
        <w:wordWrap/>
        <w:overflowPunct/>
        <w:topLinePunct w:val="0"/>
        <w:autoSpaceDE/>
        <w:autoSpaceDN/>
        <w:bidi w:val="0"/>
        <w:adjustRightInd w:val="0"/>
        <w:snapToGrid/>
        <w:spacing w:line="480" w:lineRule="exact"/>
        <w:ind w:firstLine="480" w:firstLineChars="200"/>
        <w:textAlignment w:val="auto"/>
        <w:rPr>
          <w:rFonts w:ascii="宋体" w:hAnsi="宋体" w:cs="宋体"/>
          <w:color w:val="auto"/>
          <w:lang w:bidi="ar"/>
        </w:rPr>
      </w:pPr>
      <w:r>
        <w:rPr>
          <w:rFonts w:hint="eastAsia" w:ascii="宋体" w:hAnsi="宋体" w:cs="宋体"/>
          <w:color w:val="auto"/>
          <w:lang w:bidi="ar"/>
        </w:rPr>
        <w:t>通讯地址：</w:t>
      </w:r>
      <w:r>
        <w:rPr>
          <w:rFonts w:hint="eastAsia" w:ascii="宋体" w:hAnsi="宋体" w:cs="宋体"/>
          <w:color w:val="auto"/>
          <w:lang w:eastAsia="zh-CN" w:bidi="ar"/>
        </w:rPr>
        <w:t>浙江中合工程管理有限公司</w:t>
      </w:r>
      <w:r>
        <w:rPr>
          <w:rFonts w:hint="eastAsia" w:ascii="宋体" w:hAnsi="宋体" w:cs="宋体"/>
          <w:color w:val="auto"/>
          <w:lang w:bidi="ar"/>
        </w:rPr>
        <w:t>（</w:t>
      </w:r>
      <w:r>
        <w:rPr>
          <w:rFonts w:hint="eastAsia" w:ascii="宋体" w:hAnsi="宋体" w:cs="宋体"/>
          <w:color w:val="auto"/>
          <w:lang w:eastAsia="zh-CN" w:bidi="ar"/>
        </w:rPr>
        <w:t>龙游县龙洲街道清影南路2号龙游世贸城一号楼2006室</w:t>
      </w:r>
      <w:r>
        <w:rPr>
          <w:rFonts w:hint="eastAsia" w:ascii="宋体" w:hAnsi="宋体" w:cs="宋体"/>
          <w:color w:val="auto"/>
          <w:lang w:bidi="ar"/>
        </w:rPr>
        <w:t>）</w:t>
      </w:r>
    </w:p>
    <w:p w14:paraId="7921D0E5">
      <w:pPr>
        <w:pStyle w:val="33"/>
        <w:keepNext w:val="0"/>
        <w:keepLines w:val="0"/>
        <w:pageBreakBefore w:val="0"/>
        <w:widowControl/>
        <w:tabs>
          <w:tab w:val="left" w:pos="0"/>
        </w:tabs>
        <w:kinsoku/>
        <w:wordWrap/>
        <w:overflowPunct/>
        <w:topLinePunct w:val="0"/>
        <w:autoSpaceDE/>
        <w:autoSpaceDN/>
        <w:bidi w:val="0"/>
        <w:adjustRightInd w:val="0"/>
        <w:snapToGrid/>
        <w:spacing w:line="480" w:lineRule="exact"/>
        <w:ind w:firstLine="480" w:firstLineChars="200"/>
        <w:textAlignment w:val="auto"/>
        <w:rPr>
          <w:rFonts w:hint="default" w:ascii="宋体" w:hAnsi="宋体" w:eastAsia="宋体" w:cs="宋体"/>
          <w:color w:val="auto"/>
          <w:lang w:val="en-US" w:eastAsia="zh-CN" w:bidi="ar"/>
        </w:rPr>
      </w:pPr>
      <w:r>
        <w:rPr>
          <w:rFonts w:hint="eastAsia" w:ascii="宋体" w:hAnsi="宋体" w:cs="宋体"/>
          <w:color w:val="auto"/>
          <w:lang w:bidi="ar"/>
        </w:rPr>
        <w:t>项目联系人：</w:t>
      </w:r>
      <w:r>
        <w:rPr>
          <w:rFonts w:hint="eastAsia" w:ascii="宋体" w:hAnsi="宋体" w:cs="宋体"/>
          <w:color w:val="auto"/>
          <w:lang w:eastAsia="zh-CN" w:bidi="ar"/>
        </w:rPr>
        <w:t>黄小姐</w:t>
      </w:r>
      <w:r>
        <w:rPr>
          <w:rFonts w:hint="eastAsia" w:ascii="宋体" w:hAnsi="宋体" w:cs="宋体"/>
          <w:color w:val="auto"/>
          <w:lang w:bidi="ar"/>
        </w:rPr>
        <w:t xml:space="preserve">  </w:t>
      </w:r>
      <w:r>
        <w:rPr>
          <w:rFonts w:hint="eastAsia" w:ascii="宋体" w:hAnsi="宋体" w:cs="宋体"/>
          <w:color w:val="auto"/>
          <w:lang w:val="en-US" w:eastAsia="zh-CN" w:bidi="ar"/>
        </w:rPr>
        <w:t xml:space="preserve">    </w:t>
      </w:r>
      <w:r>
        <w:rPr>
          <w:rFonts w:hint="eastAsia" w:ascii="宋体" w:hAnsi="宋体" w:cs="宋体"/>
          <w:color w:val="auto"/>
          <w:lang w:bidi="ar"/>
        </w:rPr>
        <w:t xml:space="preserve"> </w:t>
      </w:r>
      <w:r>
        <w:rPr>
          <w:rFonts w:hint="eastAsia" w:ascii="宋体" w:hAnsi="宋体" w:cs="宋体"/>
          <w:color w:val="auto"/>
          <w:lang w:eastAsia="zh-CN" w:bidi="ar"/>
        </w:rPr>
        <w:t>联系</w:t>
      </w:r>
      <w:r>
        <w:rPr>
          <w:rFonts w:hint="eastAsia" w:ascii="宋体" w:hAnsi="宋体" w:cs="宋体"/>
          <w:color w:val="auto"/>
          <w:lang w:bidi="ar"/>
        </w:rPr>
        <w:t>方式：</w:t>
      </w:r>
      <w:r>
        <w:rPr>
          <w:rFonts w:hint="eastAsia" w:ascii="宋体" w:hAnsi="宋体" w:cs="宋体"/>
          <w:color w:val="auto"/>
          <w:lang w:val="en-US" w:eastAsia="zh-CN" w:bidi="ar"/>
        </w:rPr>
        <w:t>18969455455</w:t>
      </w:r>
    </w:p>
    <w:p w14:paraId="08111010">
      <w:pPr>
        <w:pStyle w:val="33"/>
        <w:keepNext w:val="0"/>
        <w:keepLines w:val="0"/>
        <w:pageBreakBefore w:val="0"/>
        <w:widowControl/>
        <w:tabs>
          <w:tab w:val="left" w:pos="0"/>
        </w:tabs>
        <w:kinsoku/>
        <w:wordWrap/>
        <w:overflowPunct/>
        <w:topLinePunct w:val="0"/>
        <w:autoSpaceDE/>
        <w:autoSpaceDN/>
        <w:bidi w:val="0"/>
        <w:adjustRightInd w:val="0"/>
        <w:snapToGrid/>
        <w:spacing w:line="480" w:lineRule="exact"/>
        <w:ind w:firstLine="480" w:firstLineChars="200"/>
        <w:textAlignment w:val="auto"/>
        <w:rPr>
          <w:rFonts w:hint="eastAsia" w:ascii="宋体" w:hAnsi="宋体" w:cs="宋体"/>
          <w:color w:val="auto"/>
          <w:szCs w:val="21"/>
          <w:lang w:eastAsia="zh-CN"/>
        </w:rPr>
        <w:sectPr>
          <w:headerReference r:id="rId10" w:type="first"/>
          <w:headerReference r:id="rId8" w:type="default"/>
          <w:footerReference r:id="rId11" w:type="default"/>
          <w:headerReference r:id="rId9" w:type="even"/>
          <w:pgSz w:w="11906" w:h="16838"/>
          <w:pgMar w:top="1440" w:right="1080" w:bottom="1440" w:left="1080" w:header="737" w:footer="964" w:gutter="0"/>
          <w:pgBorders>
            <w:top w:val="none" w:sz="0" w:space="0"/>
            <w:left w:val="none" w:sz="0" w:space="0"/>
            <w:bottom w:val="none" w:sz="0" w:space="0"/>
            <w:right w:val="none" w:sz="0" w:space="0"/>
          </w:pgBorders>
          <w:pgNumType w:fmt="decimal" w:start="1"/>
          <w:cols w:space="0" w:num="1"/>
          <w:docGrid w:type="lines" w:linePitch="312" w:charSpace="0"/>
        </w:sectPr>
      </w:pPr>
      <w:r>
        <w:rPr>
          <w:rFonts w:hint="eastAsia" w:ascii="宋体" w:hAnsi="宋体" w:cs="宋体"/>
          <w:color w:val="auto"/>
          <w:lang w:bidi="ar"/>
        </w:rPr>
        <w:t>公告网址：</w:t>
      </w:r>
      <w:r>
        <w:rPr>
          <w:rFonts w:hint="eastAsia" w:ascii="宋体" w:hAnsi="宋体" w:cs="宋体"/>
          <w:color w:val="auto"/>
          <w:szCs w:val="21"/>
        </w:rPr>
        <w:t>衢州市阳光交易服务平台https://qzygjy.com/”、“浙江政府采购网https://zfcg.czt.zj.gov.cn/”</w:t>
      </w:r>
      <w:r>
        <w:rPr>
          <w:rFonts w:hint="eastAsia" w:ascii="宋体" w:hAnsi="宋体" w:cs="宋体"/>
          <w:color w:val="auto"/>
          <w:szCs w:val="21"/>
          <w:lang w:eastAsia="zh-CN"/>
        </w:rPr>
        <w: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7"/>
      <w:bookmarkEnd w:id="518"/>
      <w:bookmarkEnd w:id="519"/>
      <w:bookmarkEnd w:id="520"/>
      <w:bookmarkEnd w:id="521"/>
      <w:bookmarkEnd w:id="522"/>
      <w:bookmarkEnd w:id="523"/>
      <w:bookmarkEnd w:id="524"/>
      <w:bookmarkEnd w:id="525"/>
    </w:p>
    <w:p w14:paraId="1747574A">
      <w:pPr>
        <w:pStyle w:val="33"/>
        <w:tabs>
          <w:tab w:val="left" w:pos="0"/>
        </w:tabs>
        <w:adjustRightInd w:val="0"/>
        <w:spacing w:line="312" w:lineRule="auto"/>
        <w:ind w:left="0" w:leftChars="0" w:firstLine="0" w:firstLineChars="0"/>
        <w:rPr>
          <w:rFonts w:hint="eastAsia" w:ascii="宋体" w:hAnsi="宋体" w:cs="宋体"/>
          <w:color w:val="auto"/>
          <w:szCs w:val="21"/>
          <w:lang w:eastAsia="zh-CN"/>
        </w:rPr>
      </w:pPr>
    </w:p>
    <w:p w14:paraId="6C649C21">
      <w:pPr>
        <w:pStyle w:val="3"/>
        <w:numPr>
          <w:ilvl w:val="0"/>
          <w:numId w:val="25"/>
        </w:numPr>
        <w:spacing w:beforeLines="0" w:afterLines="0"/>
        <w:rPr>
          <w:color w:val="auto"/>
          <w:highlight w:val="none"/>
        </w:rPr>
      </w:pPr>
      <w:bookmarkStart w:id="528" w:name="_Toc31430"/>
      <w:r>
        <w:rPr>
          <w:rFonts w:hint="eastAsia" w:ascii="宋体" w:hAnsi="宋体" w:cs="宋体"/>
          <w:color w:val="auto"/>
          <w:highlight w:val="none"/>
        </w:rPr>
        <w:t>采购内容及要求</w:t>
      </w:r>
      <w:bookmarkEnd w:id="528"/>
    </w:p>
    <w:p w14:paraId="4F02707B">
      <w:pPr>
        <w:ind w:left="0" w:leftChars="0" w:firstLine="0" w:firstLineChars="0"/>
        <w:rPr>
          <w:rFonts w:hint="default" w:eastAsia="宋体"/>
          <w:b/>
          <w:bCs/>
          <w:lang w:val="en-US" w:eastAsia="zh-CN"/>
        </w:rPr>
      </w:pPr>
      <w:r>
        <w:rPr>
          <w:rFonts w:hint="eastAsia" w:ascii="宋体" w:hAnsi="宋体" w:cs="宋体"/>
          <w:b/>
          <w:bCs/>
          <w:color w:val="auto"/>
          <w:highlight w:val="none"/>
          <w:lang w:val="en-US" w:eastAsia="zh-CN"/>
        </w:rPr>
        <w:t>一、采购清单</w:t>
      </w:r>
    </w:p>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tbl>
      <w:tblPr>
        <w:tblStyle w:val="36"/>
        <w:tblW w:w="159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3"/>
        <w:gridCol w:w="1230"/>
        <w:gridCol w:w="1470"/>
        <w:gridCol w:w="6165"/>
        <w:gridCol w:w="1695"/>
        <w:gridCol w:w="712"/>
        <w:gridCol w:w="795"/>
        <w:gridCol w:w="2205"/>
        <w:gridCol w:w="818"/>
      </w:tblGrid>
      <w:tr w14:paraId="4CB7E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03" w:type="dxa"/>
            <w:tcBorders>
              <w:top w:val="single" w:color="000000" w:sz="4" w:space="0"/>
              <w:left w:val="single" w:color="000000" w:sz="4" w:space="0"/>
              <w:bottom w:val="single" w:color="000000" w:sz="4" w:space="0"/>
              <w:right w:val="single" w:color="000000" w:sz="4" w:space="0"/>
            </w:tcBorders>
            <w:noWrap/>
            <w:vAlign w:val="center"/>
          </w:tcPr>
          <w:p w14:paraId="3A4A5A3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sz w:val="24"/>
                <w:szCs w:val="24"/>
                <w:u w:val="none"/>
              </w:rPr>
            </w:pPr>
            <w:bookmarkStart w:id="529" w:name="_Toc10546"/>
            <w:bookmarkStart w:id="530" w:name="_Toc7305"/>
            <w:bookmarkStart w:id="531" w:name="_Toc25941"/>
            <w:bookmarkStart w:id="532" w:name="_Toc21569"/>
            <w:bookmarkStart w:id="533" w:name="_Toc10333"/>
            <w:bookmarkStart w:id="534" w:name="_Toc2726"/>
            <w:bookmarkStart w:id="535" w:name="_Toc16142"/>
            <w:bookmarkStart w:id="536" w:name="_Toc17090"/>
            <w:bookmarkStart w:id="537" w:name="_Toc7285"/>
            <w:bookmarkStart w:id="538" w:name="_Toc31750"/>
            <w:bookmarkStart w:id="539" w:name="_Toc3334"/>
            <w:bookmarkStart w:id="540" w:name="_Toc27793"/>
            <w:bookmarkStart w:id="541" w:name="_Toc6334"/>
            <w:bookmarkStart w:id="542" w:name="_Toc9028"/>
            <w:bookmarkStart w:id="543" w:name="_Toc13539"/>
            <w:bookmarkStart w:id="544" w:name="_Toc30205"/>
            <w:bookmarkStart w:id="545" w:name="_Toc32545"/>
            <w:bookmarkStart w:id="546" w:name="_Toc295"/>
            <w:bookmarkStart w:id="547" w:name="_Toc848"/>
            <w:bookmarkStart w:id="548" w:name="_Toc25661"/>
            <w:bookmarkStart w:id="549" w:name="_Toc13464"/>
            <w:bookmarkStart w:id="550" w:name="_Toc2165"/>
            <w:bookmarkStart w:id="551" w:name="_Toc12676"/>
            <w:bookmarkStart w:id="552" w:name="_Toc19025"/>
            <w:bookmarkStart w:id="553" w:name="_Toc10430"/>
            <w:bookmarkStart w:id="554" w:name="_Toc13753"/>
            <w:bookmarkStart w:id="555" w:name="_Toc11926"/>
            <w:bookmarkStart w:id="556" w:name="_Toc391298963"/>
            <w:bookmarkStart w:id="557" w:name="_Toc2124"/>
            <w:bookmarkStart w:id="558" w:name="_Toc27295"/>
            <w:bookmarkStart w:id="559" w:name="_Toc25560"/>
            <w:bookmarkStart w:id="560" w:name="_Toc19613"/>
            <w:bookmarkStart w:id="561" w:name="_Toc5985"/>
            <w:bookmarkStart w:id="562" w:name="_Toc19099"/>
            <w:bookmarkStart w:id="563" w:name="_Toc18254"/>
            <w:bookmarkStart w:id="564" w:name="_Toc24682"/>
            <w:bookmarkStart w:id="565" w:name="_Toc24232"/>
            <w:bookmarkStart w:id="566" w:name="_Toc10368"/>
            <w:bookmarkStart w:id="567" w:name="_Toc10724"/>
            <w:bookmarkStart w:id="568" w:name="_Toc3828"/>
            <w:r>
              <w:rPr>
                <w:rFonts w:hint="eastAsia" w:ascii="宋体" w:hAnsi="宋体" w:eastAsia="宋体" w:cs="宋体"/>
                <w:b/>
                <w:bCs/>
                <w:i w:val="0"/>
                <w:iCs w:val="0"/>
                <w:color w:val="000000"/>
                <w:kern w:val="0"/>
                <w:sz w:val="24"/>
                <w:szCs w:val="24"/>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DEDE85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库室名称</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F94C9F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637F54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D35B67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w:t>
            </w:r>
          </w:p>
        </w:tc>
        <w:tc>
          <w:tcPr>
            <w:tcW w:w="712" w:type="dxa"/>
            <w:tcBorders>
              <w:top w:val="single" w:color="000000" w:sz="4" w:space="0"/>
              <w:left w:val="single" w:color="000000" w:sz="4" w:space="0"/>
              <w:bottom w:val="single" w:color="000000" w:sz="4" w:space="0"/>
              <w:right w:val="nil"/>
            </w:tcBorders>
            <w:noWrap/>
            <w:vAlign w:val="center"/>
          </w:tcPr>
          <w:p w14:paraId="568F249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F0A091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default" w:ascii="宋体" w:hAnsi="宋体" w:eastAsia="宋体" w:cs="宋体"/>
                <w:b/>
                <w:bCs/>
                <w:i w:val="0"/>
                <w:iCs w:val="0"/>
                <w:color w:val="000000"/>
                <w:kern w:val="0"/>
                <w:sz w:val="24"/>
                <w:szCs w:val="24"/>
                <w:u w:val="none"/>
                <w:shd w:val="clear" w:color="auto" w:fill="auto"/>
                <w:lang w:val="en-US" w:eastAsia="zh-CN" w:bidi="ar"/>
              </w:rPr>
            </w:pPr>
            <w:r>
              <w:rPr>
                <w:rFonts w:hint="eastAsia" w:ascii="宋体" w:hAnsi="宋体" w:cs="宋体"/>
                <w:b/>
                <w:bCs/>
                <w:i w:val="0"/>
                <w:iCs w:val="0"/>
                <w:color w:val="000000"/>
                <w:kern w:val="0"/>
                <w:sz w:val="24"/>
                <w:szCs w:val="24"/>
                <w:u w:val="none"/>
                <w:shd w:val="clear" w:color="auto" w:fill="auto"/>
                <w:lang w:val="en-US" w:eastAsia="zh-CN" w:bidi="ar"/>
              </w:rPr>
              <w:t>单位</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543156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参考图片</w:t>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0928AC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备注</w:t>
            </w:r>
          </w:p>
        </w:tc>
      </w:tr>
      <w:tr w14:paraId="7AF8D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1F03FF3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15090" w:type="dxa"/>
            <w:gridSpan w:val="8"/>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04D349F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kern w:val="0"/>
                <w:sz w:val="24"/>
                <w:szCs w:val="24"/>
                <w:u w:val="none"/>
                <w:shd w:val="clear" w:color="auto" w:fill="auto"/>
                <w:lang w:val="en-US" w:eastAsia="zh-CN" w:bidi="ar"/>
              </w:rPr>
            </w:pPr>
            <w:r>
              <w:rPr>
                <w:rFonts w:hint="eastAsia" w:ascii="宋体" w:hAnsi="宋体" w:eastAsia="宋体" w:cs="宋体"/>
                <w:b/>
                <w:bCs/>
                <w:i w:val="0"/>
                <w:iCs w:val="0"/>
                <w:color w:val="000000"/>
                <w:kern w:val="0"/>
                <w:sz w:val="24"/>
                <w:szCs w:val="24"/>
                <w:u w:val="none"/>
                <w:shd w:val="clear" w:color="auto" w:fill="auto"/>
                <w:lang w:val="en-US" w:eastAsia="zh-CN" w:bidi="ar"/>
              </w:rPr>
              <w:t>一层</w:t>
            </w:r>
          </w:p>
        </w:tc>
      </w:tr>
      <w:tr w14:paraId="36FED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438E760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3BA60A8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指挥中心</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36AC13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12人研判桌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CAA879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auto"/>
                <w:kern w:val="0"/>
                <w:sz w:val="18"/>
                <w:szCs w:val="18"/>
                <w:u w:val="none"/>
                <w:lang w:val="en-US" w:eastAsia="zh-CN" w:bidi="ar"/>
              </w:rPr>
              <w:t>基本尺寸：符合GB/T3047.2-92标准，附着力：符合GB/T9286-98规定的标准，硬度：符合GB/T6739-96规定标准，耐冲击性：符合GB/T1732-93规定标准，涂层厚度：符合GB/T1768规定标准。会</w:t>
            </w:r>
            <w:r>
              <w:rPr>
                <w:rFonts w:hint="eastAsia" w:ascii="宋体" w:hAnsi="宋体" w:eastAsia="宋体" w:cs="宋体"/>
                <w:i w:val="0"/>
                <w:iCs w:val="0"/>
                <w:color w:val="000000"/>
                <w:kern w:val="0"/>
                <w:sz w:val="18"/>
                <w:szCs w:val="18"/>
                <w:u w:val="none"/>
                <w:lang w:val="en-US" w:eastAsia="zh-CN" w:bidi="ar"/>
              </w:rPr>
              <w:t>议桌外形尺寸为：直线4800（宽）*1200（台面深）*750（高）整体为柜体冷轧板和豪华木板制作。下部为机柜式，底部带可调节脚撑，机柜前带转轴式卡口散热网孔门。台面和侧板豪华木板制作框架采用宝钢产优质冷轧板，主体厚度1.5mm-2.0mm，其他材料厚度≥1.2mm。结构紧密牢固，装配具有一致性和互换性，各零部件光滑无锐棱毛刺。每席位控制台预留拼架螺丝孔，可多台并架，表面静电喷塑，控制台总承重≥800kg采用豪华烤漆板, 柜体表面的防护达到要求，表面处理的过程按照以下工艺：酸洗-磷化-烘干-粉末喷塑，颜色按要求可定制。表面喷粉末涂料。涂层表面光洁、色泽均匀，保证长期使用不锈蚀。</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9EC5C3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4800×1200×750</w:t>
            </w:r>
          </w:p>
        </w:tc>
        <w:tc>
          <w:tcPr>
            <w:tcW w:w="712" w:type="dxa"/>
            <w:tcBorders>
              <w:top w:val="single" w:color="000000" w:sz="4" w:space="0"/>
              <w:left w:val="single" w:color="000000" w:sz="4" w:space="0"/>
              <w:bottom w:val="single" w:color="000000" w:sz="4" w:space="0"/>
              <w:right w:val="nil"/>
            </w:tcBorders>
            <w:noWrap/>
            <w:vAlign w:val="center"/>
          </w:tcPr>
          <w:p w14:paraId="5821AE1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BA811CD">
            <w:pPr>
              <w:bidi w:val="0"/>
              <w:ind w:left="0" w:leftChars="0" w:firstLine="0" w:firstLineChars="0"/>
              <w:jc w:val="center"/>
              <w:rPr>
                <w:rFonts w:hint="default"/>
                <w:shd w:val="clear" w:color="auto" w:fill="auto"/>
                <w:lang w:val="en-US" w:eastAsia="zh-CN"/>
              </w:rPr>
            </w:pPr>
            <w:r>
              <w:rPr>
                <w:rFonts w:hint="eastAsia"/>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3B110D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2540</wp:posOffset>
                  </wp:positionH>
                  <wp:positionV relativeFrom="paragraph">
                    <wp:posOffset>473710</wp:posOffset>
                  </wp:positionV>
                  <wp:extent cx="1277620" cy="1259205"/>
                  <wp:effectExtent l="0" t="0" r="17780" b="17145"/>
                  <wp:wrapNone/>
                  <wp:docPr id="124" name="图片_20"/>
                  <wp:cNvGraphicFramePr/>
                  <a:graphic xmlns:a="http://schemas.openxmlformats.org/drawingml/2006/main">
                    <a:graphicData uri="http://schemas.openxmlformats.org/drawingml/2006/picture">
                      <pic:pic xmlns:pic="http://schemas.openxmlformats.org/drawingml/2006/picture">
                        <pic:nvPicPr>
                          <pic:cNvPr id="124" name="图片_20"/>
                          <pic:cNvPicPr/>
                        </pic:nvPicPr>
                        <pic:blipFill>
                          <a:blip r:embed="rId15"/>
                          <a:stretch>
                            <a:fillRect/>
                          </a:stretch>
                        </pic:blipFill>
                        <pic:spPr>
                          <a:xfrm>
                            <a:off x="0" y="0"/>
                            <a:ext cx="1277620" cy="12592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12A176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p>
        </w:tc>
      </w:tr>
      <w:tr w14:paraId="6A031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E8DFA2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278485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54CD78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350DB0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1.覆面材料：PU革；填充物：高回弹软质聚氨酯泡沫塑料；底盘材质：冷轧钢板；座板材质：中纤板；椅脚材质：注塑尼龙椅脚；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2.优质五金配件。椅脚采用2.0mm钢管折弯而成，承重102KG下往复拉力测试。</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7D6AD6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590×630×900</w:t>
            </w:r>
          </w:p>
        </w:tc>
        <w:tc>
          <w:tcPr>
            <w:tcW w:w="712" w:type="dxa"/>
            <w:tcBorders>
              <w:top w:val="single" w:color="000000" w:sz="4" w:space="0"/>
              <w:left w:val="single" w:color="000000" w:sz="4" w:space="0"/>
              <w:bottom w:val="single" w:color="000000" w:sz="4" w:space="0"/>
              <w:right w:val="nil"/>
            </w:tcBorders>
            <w:noWrap/>
            <w:vAlign w:val="center"/>
          </w:tcPr>
          <w:p w14:paraId="313426E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FCFFE0D">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04AA48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34925</wp:posOffset>
                  </wp:positionH>
                  <wp:positionV relativeFrom="paragraph">
                    <wp:posOffset>182245</wp:posOffset>
                  </wp:positionV>
                  <wp:extent cx="1120775" cy="1119505"/>
                  <wp:effectExtent l="0" t="0" r="3175" b="4445"/>
                  <wp:wrapNone/>
                  <wp:docPr id="135" name="ID_ACE89E4FE7864A5CA650F49357FDE1F0"/>
                  <wp:cNvGraphicFramePr/>
                  <a:graphic xmlns:a="http://schemas.openxmlformats.org/drawingml/2006/main">
                    <a:graphicData uri="http://schemas.openxmlformats.org/drawingml/2006/picture">
                      <pic:pic xmlns:pic="http://schemas.openxmlformats.org/drawingml/2006/picture">
                        <pic:nvPicPr>
                          <pic:cNvPr id="135" name="ID_ACE89E4FE7864A5CA650F49357FDE1F0"/>
                          <pic:cNvPicPr/>
                        </pic:nvPicPr>
                        <pic:blipFill>
                          <a:blip r:embed="rId16"/>
                          <a:stretch>
                            <a:fillRect/>
                          </a:stretch>
                        </pic:blipFill>
                        <pic:spPr>
                          <a:xfrm>
                            <a:off x="0" y="0"/>
                            <a:ext cx="1120775" cy="11195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BBF219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B8FD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31EA7CB">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D55D34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B5EED3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指挥操作台</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10F878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本尺寸：符合GB/T3047.2-92标准，附着力：符合GB/T9286-98规定的标准，硬度：符合GB/T6739-96规定标准，耐冲击性：符合GB/T1732-93规定标准，涂层厚度：符合GB/T1768规定标准。控制台7工位外形尺寸为：直线7100（宽）*900（台面深）*750（高）整体操作台为柜体冷轧板和豪华木板制作。控制台下部为机柜式，底部带可调节脚撑，机柜前带转轴式卡口散热网孔门。台面和侧板豪华木板制作。台面后侧带有铝合金型材屏风支架，屏风顶部带高透光导光装饰板。框架采用宝钢产优质冷轧板，主体厚度1.5mm-2.0mm，其他材料厚度≥1.2mm。结构紧密牢固，装配具有一致性和互换性，各零部件光滑无锐棱毛刺。每席位控制台预留拼架螺丝孔，可多台并架，表面静电喷塑，控制台总承重≥800kg采用豪华烤漆板, 柜体表面的防护达到要求，表面处理的过程按照以下工艺：酸洗-磷化-烘干-粉末喷塑，颜色按要求可定制。表面喷“诺贝阿阿克苏”粉末涂料。涂层表面光洁、色泽均匀，保证长期使用不锈蚀。</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2356B0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7100×900×750</w:t>
            </w:r>
          </w:p>
        </w:tc>
        <w:tc>
          <w:tcPr>
            <w:tcW w:w="712" w:type="dxa"/>
            <w:tcBorders>
              <w:top w:val="single" w:color="000000" w:sz="4" w:space="0"/>
              <w:left w:val="single" w:color="000000" w:sz="4" w:space="0"/>
              <w:bottom w:val="single" w:color="000000" w:sz="4" w:space="0"/>
              <w:right w:val="nil"/>
            </w:tcBorders>
            <w:noWrap/>
            <w:vAlign w:val="center"/>
          </w:tcPr>
          <w:p w14:paraId="0A18481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EF3463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E9E911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17145</wp:posOffset>
                  </wp:positionH>
                  <wp:positionV relativeFrom="paragraph">
                    <wp:posOffset>334645</wp:posOffset>
                  </wp:positionV>
                  <wp:extent cx="1215390" cy="1849755"/>
                  <wp:effectExtent l="0" t="0" r="3810" b="17145"/>
                  <wp:wrapNone/>
                  <wp:docPr id="122" name="ID_352230E93C3C4CFAAD0CA5A3C7F820F5"/>
                  <wp:cNvGraphicFramePr/>
                  <a:graphic xmlns:a="http://schemas.openxmlformats.org/drawingml/2006/main">
                    <a:graphicData uri="http://schemas.openxmlformats.org/drawingml/2006/picture">
                      <pic:pic xmlns:pic="http://schemas.openxmlformats.org/drawingml/2006/picture">
                        <pic:nvPicPr>
                          <pic:cNvPr id="122" name="ID_352230E93C3C4CFAAD0CA5A3C7F820F5"/>
                          <pic:cNvPicPr/>
                        </pic:nvPicPr>
                        <pic:blipFill>
                          <a:blip r:embed="rId17"/>
                          <a:stretch>
                            <a:fillRect/>
                          </a:stretch>
                        </pic:blipFill>
                        <pic:spPr>
                          <a:xfrm>
                            <a:off x="0" y="0"/>
                            <a:ext cx="1215390" cy="18497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318389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023E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5BEEB3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31C4D4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1170F1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操作台椅子</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6321CB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1、材料和工艺要求：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（1）靠背面料：优质高弹网布；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双层网布：符合GB 18401-2010《国家纺织产品基本安全技术规范》标准，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甲醛含量B类：≤20mg/kg；PH值B类：4.0-8.5；染色牢度(级)B类：耐水(变色、沾色) ≥3，耐酸汗渍(变色、沾色) ≥3，耐碱汗渍(变色、沾色) ≥3，耐干摩擦≥3；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（2）座面：内衬高弹力高密度PU发泡棉，长时间使用不变形；面覆优质透气布艺；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（3）背框、座框：尼龙注塑成型，抗冲击、防老化；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（4）扶手：PP+GF材质；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（5）椅背带腰靠，PP+GF材质，设计符合人体工程学；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（6）椅脚：2.0mm钢管折弯而成，承重102KG下往复拉力测试</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F4E136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550×520×950</w:t>
            </w:r>
          </w:p>
        </w:tc>
        <w:tc>
          <w:tcPr>
            <w:tcW w:w="712" w:type="dxa"/>
            <w:tcBorders>
              <w:top w:val="single" w:color="000000" w:sz="4" w:space="0"/>
              <w:left w:val="single" w:color="000000" w:sz="4" w:space="0"/>
              <w:bottom w:val="single" w:color="000000" w:sz="4" w:space="0"/>
              <w:right w:val="nil"/>
            </w:tcBorders>
            <w:noWrap/>
            <w:vAlign w:val="center"/>
          </w:tcPr>
          <w:p w14:paraId="346D9C4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77BD02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BDB7C5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29210</wp:posOffset>
                  </wp:positionH>
                  <wp:positionV relativeFrom="paragraph">
                    <wp:posOffset>434975</wp:posOffset>
                  </wp:positionV>
                  <wp:extent cx="1169670" cy="1524635"/>
                  <wp:effectExtent l="0" t="0" r="11430" b="18415"/>
                  <wp:wrapNone/>
                  <wp:docPr id="137" name="ID_AA5C1DB7C25A4F3BB79431B83536033D"/>
                  <wp:cNvGraphicFramePr/>
                  <a:graphic xmlns:a="http://schemas.openxmlformats.org/drawingml/2006/main">
                    <a:graphicData uri="http://schemas.openxmlformats.org/drawingml/2006/picture">
                      <pic:pic xmlns:pic="http://schemas.openxmlformats.org/drawingml/2006/picture">
                        <pic:nvPicPr>
                          <pic:cNvPr id="137" name="ID_AA5C1DB7C25A4F3BB79431B83536033D"/>
                          <pic:cNvPicPr/>
                        </pic:nvPicPr>
                        <pic:blipFill>
                          <a:blip r:embed="rId18"/>
                          <a:stretch>
                            <a:fillRect/>
                          </a:stretch>
                        </pic:blipFill>
                        <pic:spPr>
                          <a:xfrm>
                            <a:off x="0" y="0"/>
                            <a:ext cx="1169670" cy="15246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6F6804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9408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C25EFB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1CEECC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279D69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1173C1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1、饰面：采用优质</w:t>
            </w:r>
            <w:r>
              <w:rPr>
                <w:rFonts w:hint="eastAsia" w:ascii="宋体" w:hAnsi="宋体" w:eastAsia="宋体" w:cs="宋体"/>
                <w:i w:val="0"/>
                <w:iCs w:val="0"/>
                <w:color w:val="auto"/>
                <w:kern w:val="0"/>
                <w:sz w:val="18"/>
                <w:szCs w:val="18"/>
                <w:u w:val="none"/>
                <w:lang w:val="en-US" w:eastAsia="zh-CN" w:bidi="ar"/>
              </w:rPr>
              <w:t>环保三聚氰胺饰面板，甲醛释放量≤0.0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2、基材：采用优质环保多层板，甲醛释放量≤0.05mg/m³；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5、五金件：采用优质五金配件（铰链、拉手、三合一连接件），经防锈处理，达国家标准。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3B1F88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800×400×800</w:t>
            </w:r>
          </w:p>
        </w:tc>
        <w:tc>
          <w:tcPr>
            <w:tcW w:w="712" w:type="dxa"/>
            <w:tcBorders>
              <w:top w:val="single" w:color="000000" w:sz="4" w:space="0"/>
              <w:left w:val="single" w:color="000000" w:sz="4" w:space="0"/>
              <w:bottom w:val="single" w:color="000000" w:sz="4" w:space="0"/>
              <w:right w:val="nil"/>
            </w:tcBorders>
            <w:noWrap/>
            <w:vAlign w:val="center"/>
          </w:tcPr>
          <w:p w14:paraId="217F769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5F87B1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2149D3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65405</wp:posOffset>
                  </wp:positionH>
                  <wp:positionV relativeFrom="paragraph">
                    <wp:posOffset>154940</wp:posOffset>
                  </wp:positionV>
                  <wp:extent cx="1232535" cy="1458595"/>
                  <wp:effectExtent l="0" t="0" r="5715" b="8255"/>
                  <wp:wrapNone/>
                  <wp:docPr id="138" name="ID_C5C21281425B4D90B344753DD2663499"/>
                  <wp:cNvGraphicFramePr/>
                  <a:graphic xmlns:a="http://schemas.openxmlformats.org/drawingml/2006/main">
                    <a:graphicData uri="http://schemas.openxmlformats.org/drawingml/2006/picture">
                      <pic:pic xmlns:pic="http://schemas.openxmlformats.org/drawingml/2006/picture">
                        <pic:nvPicPr>
                          <pic:cNvPr id="138" name="ID_C5C21281425B4D90B344753DD2663499"/>
                          <pic:cNvPicPr/>
                        </pic:nvPicPr>
                        <pic:blipFill>
                          <a:blip r:embed="rId19"/>
                          <a:stretch>
                            <a:fillRect/>
                          </a:stretch>
                        </pic:blipFill>
                        <pic:spPr>
                          <a:xfrm>
                            <a:off x="0" y="0"/>
                            <a:ext cx="1232535" cy="14585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7272EC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D9DB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620F30C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678A5B3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门卫值班室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94B82E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150办公桌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1B44A5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EF5C74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1500×800×760</w:t>
            </w:r>
          </w:p>
        </w:tc>
        <w:tc>
          <w:tcPr>
            <w:tcW w:w="712" w:type="dxa"/>
            <w:tcBorders>
              <w:top w:val="single" w:color="000000" w:sz="4" w:space="0"/>
              <w:left w:val="single" w:color="000000" w:sz="4" w:space="0"/>
              <w:bottom w:val="single" w:color="000000" w:sz="4" w:space="0"/>
              <w:right w:val="nil"/>
            </w:tcBorders>
            <w:noWrap/>
            <w:vAlign w:val="center"/>
          </w:tcPr>
          <w:p w14:paraId="14BA4FC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4BC444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B0ADC7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19050</wp:posOffset>
                  </wp:positionH>
                  <wp:positionV relativeFrom="paragraph">
                    <wp:posOffset>147320</wp:posOffset>
                  </wp:positionV>
                  <wp:extent cx="1268730" cy="1003300"/>
                  <wp:effectExtent l="0" t="0" r="7620" b="6350"/>
                  <wp:wrapNone/>
                  <wp:docPr id="136" name="ID_F490CB956CC04A87BD1F6AAEF8FAE54F"/>
                  <wp:cNvGraphicFramePr/>
                  <a:graphic xmlns:a="http://schemas.openxmlformats.org/drawingml/2006/main">
                    <a:graphicData uri="http://schemas.openxmlformats.org/drawingml/2006/picture">
                      <pic:pic xmlns:pic="http://schemas.openxmlformats.org/drawingml/2006/picture">
                        <pic:nvPicPr>
                          <pic:cNvPr id="136" name="ID_F490CB956CC04A87BD1F6AAEF8FAE54F"/>
                          <pic:cNvPicPr/>
                        </pic:nvPicPr>
                        <pic:blipFill>
                          <a:blip r:embed="rId20"/>
                          <a:stretch>
                            <a:fillRect/>
                          </a:stretch>
                        </pic:blipFill>
                        <pic:spPr>
                          <a:xfrm>
                            <a:off x="0" y="0"/>
                            <a:ext cx="1268730" cy="10033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3D6F21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B7EE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DA1570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BCC755F">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E25765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8472D2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1、材料和工艺要求：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（1）靠背面料：优质高弹网布；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双层网布：符合GB 18401-2010《国家纺织产品基本安全技术规范》标准，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甲醛含量B类：≤20mg/kg；PH</w:t>
            </w:r>
            <w:r>
              <w:rPr>
                <w:rFonts w:hint="eastAsia" w:ascii="宋体" w:hAnsi="宋体" w:eastAsia="宋体" w:cs="宋体"/>
                <w:i w:val="0"/>
                <w:iCs w:val="0"/>
                <w:color w:val="000000"/>
                <w:kern w:val="0"/>
                <w:sz w:val="18"/>
                <w:szCs w:val="18"/>
                <w:u w:val="none"/>
                <w:lang w:val="en-US" w:eastAsia="zh-CN" w:bidi="ar"/>
              </w:rPr>
              <w:t>值B类：4.0-8.5；染色牢度(级)B类：耐水(变色、沾色) ≥3，耐酸汗渍(变色、沾色) ≥3，耐碱汗渍(变色、沾色) ≥3，耐干摩擦≥3；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（2）座面：内衬高弹力高密度PU发泡棉，长时间使用不变形；面覆优质透气布艺；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（3）背框、座框：尼龙注塑成型，抗冲击、防老化；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（4）扶手：PP+GF材质；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（5）椅背带腰靠，PP+GF材质，设计符合人体工程学；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（6）椅脚：2.0mm钢管折弯而成，承重102KG下往复拉力测试。</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ECB857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550×520×950</w:t>
            </w:r>
          </w:p>
        </w:tc>
        <w:tc>
          <w:tcPr>
            <w:tcW w:w="712" w:type="dxa"/>
            <w:tcBorders>
              <w:top w:val="single" w:color="000000" w:sz="4" w:space="0"/>
              <w:left w:val="single" w:color="000000" w:sz="4" w:space="0"/>
              <w:bottom w:val="single" w:color="000000" w:sz="4" w:space="0"/>
              <w:right w:val="nil"/>
            </w:tcBorders>
            <w:noWrap/>
            <w:vAlign w:val="center"/>
          </w:tcPr>
          <w:p w14:paraId="1839589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668A42C">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F5E0A9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-15240</wp:posOffset>
                  </wp:positionH>
                  <wp:positionV relativeFrom="paragraph">
                    <wp:posOffset>654050</wp:posOffset>
                  </wp:positionV>
                  <wp:extent cx="1222375" cy="1537970"/>
                  <wp:effectExtent l="0" t="0" r="15875" b="5080"/>
                  <wp:wrapNone/>
                  <wp:docPr id="126" name="ID_760F108389874254A347FFC67568BCE9"/>
                  <wp:cNvGraphicFramePr/>
                  <a:graphic xmlns:a="http://schemas.openxmlformats.org/drawingml/2006/main">
                    <a:graphicData uri="http://schemas.openxmlformats.org/drawingml/2006/picture">
                      <pic:pic xmlns:pic="http://schemas.openxmlformats.org/drawingml/2006/picture">
                        <pic:nvPicPr>
                          <pic:cNvPr id="126" name="ID_760F108389874254A347FFC67568BCE9"/>
                          <pic:cNvPicPr/>
                        </pic:nvPicPr>
                        <pic:blipFill>
                          <a:blip r:embed="rId21"/>
                          <a:stretch>
                            <a:fillRect/>
                          </a:stretch>
                        </pic:blipFill>
                        <pic:spPr>
                          <a:xfrm>
                            <a:off x="0" y="0"/>
                            <a:ext cx="1222375" cy="15379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6FF214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351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3AC0A7D">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3952C2D">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DE1B4F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A1DF30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金属材质（钢），采用立柱和横梁连接的结构，结构简单，拆装方便。外形美观大方，适用于人工存取货物情况，承载能力为290KG/层，可以满足大部分使用要求。</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BA4BEB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2000×</w:t>
            </w:r>
            <w:r>
              <w:rPr>
                <w:rStyle w:val="127"/>
                <w:rFonts w:hint="eastAsia" w:ascii="宋体" w:hAnsi="宋体" w:cs="宋体"/>
                <w:sz w:val="18"/>
                <w:szCs w:val="18"/>
                <w:lang w:val="en-US" w:eastAsia="zh-CN" w:bidi="ar"/>
              </w:rPr>
              <w:t>6</w:t>
            </w:r>
            <w:r>
              <w:rPr>
                <w:rStyle w:val="127"/>
                <w:rFonts w:hint="eastAsia" w:ascii="宋体" w:hAnsi="宋体" w:eastAsia="宋体" w:cs="宋体"/>
                <w:sz w:val="18"/>
                <w:szCs w:val="18"/>
                <w:lang w:val="en-US" w:eastAsia="zh-CN" w:bidi="ar"/>
              </w:rPr>
              <w:t>00×2000</w:t>
            </w:r>
          </w:p>
        </w:tc>
        <w:tc>
          <w:tcPr>
            <w:tcW w:w="712" w:type="dxa"/>
            <w:tcBorders>
              <w:top w:val="single" w:color="000000" w:sz="4" w:space="0"/>
              <w:left w:val="single" w:color="000000" w:sz="4" w:space="0"/>
              <w:bottom w:val="single" w:color="000000" w:sz="4" w:space="0"/>
              <w:right w:val="nil"/>
            </w:tcBorders>
            <w:noWrap/>
            <w:vAlign w:val="center"/>
          </w:tcPr>
          <w:p w14:paraId="116D315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362ACBD">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99A6C66">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58420</wp:posOffset>
                  </wp:positionH>
                  <wp:positionV relativeFrom="paragraph">
                    <wp:posOffset>66040</wp:posOffset>
                  </wp:positionV>
                  <wp:extent cx="1237615" cy="1114425"/>
                  <wp:effectExtent l="0" t="0" r="635" b="9525"/>
                  <wp:wrapNone/>
                  <wp:docPr id="139" name="ID_779D4DF6050F4E88B0D117AD3243D5B2"/>
                  <wp:cNvGraphicFramePr/>
                  <a:graphic xmlns:a="http://schemas.openxmlformats.org/drawingml/2006/main">
                    <a:graphicData uri="http://schemas.openxmlformats.org/drawingml/2006/picture">
                      <pic:pic xmlns:pic="http://schemas.openxmlformats.org/drawingml/2006/picture">
                        <pic:nvPicPr>
                          <pic:cNvPr id="139" name="ID_779D4DF6050F4E88B0D117AD3243D5B2"/>
                          <pic:cNvPicPr/>
                        </pic:nvPicPr>
                        <pic:blipFill>
                          <a:blip r:embed="rId22"/>
                          <a:stretch>
                            <a:fillRect/>
                          </a:stretch>
                        </pic:blipFill>
                        <pic:spPr>
                          <a:xfrm>
                            <a:off x="0" y="0"/>
                            <a:ext cx="1237615" cy="11144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CB52A6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C40B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903" w:type="dxa"/>
            <w:tcBorders>
              <w:top w:val="single" w:color="000000" w:sz="4" w:space="0"/>
              <w:left w:val="single" w:color="000000" w:sz="4" w:space="0"/>
              <w:bottom w:val="single" w:color="000000" w:sz="4" w:space="0"/>
              <w:right w:val="single" w:color="000000" w:sz="4" w:space="0"/>
            </w:tcBorders>
            <w:noWrap/>
            <w:vAlign w:val="center"/>
          </w:tcPr>
          <w:p w14:paraId="5A38A15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9556C5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器材库</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6083C5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69EE25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金属材质（钢），采用立柱和横梁连接的结构，结构简单，拆装方便。外形美观大方，适用于人工存取货物情况，承载能力为290KG/层，可以满足大部分使用要求。</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5CA08D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2000×600×2000</w:t>
            </w:r>
          </w:p>
        </w:tc>
        <w:tc>
          <w:tcPr>
            <w:tcW w:w="712" w:type="dxa"/>
            <w:tcBorders>
              <w:top w:val="single" w:color="000000" w:sz="4" w:space="0"/>
              <w:left w:val="single" w:color="000000" w:sz="4" w:space="0"/>
              <w:bottom w:val="single" w:color="000000" w:sz="4" w:space="0"/>
              <w:right w:val="nil"/>
            </w:tcBorders>
            <w:noWrap/>
            <w:vAlign w:val="center"/>
          </w:tcPr>
          <w:p w14:paraId="7E3B7F7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FB58412">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D49F48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40005</wp:posOffset>
                  </wp:positionH>
                  <wp:positionV relativeFrom="paragraph">
                    <wp:posOffset>120650</wp:posOffset>
                  </wp:positionV>
                  <wp:extent cx="1264920" cy="1068705"/>
                  <wp:effectExtent l="0" t="0" r="11430" b="17145"/>
                  <wp:wrapNone/>
                  <wp:docPr id="132" name="ID_AADB127A23F84A59AFF01DBAE2D90937"/>
                  <wp:cNvGraphicFramePr/>
                  <a:graphic xmlns:a="http://schemas.openxmlformats.org/drawingml/2006/main">
                    <a:graphicData uri="http://schemas.openxmlformats.org/drawingml/2006/picture">
                      <pic:pic xmlns:pic="http://schemas.openxmlformats.org/drawingml/2006/picture">
                        <pic:nvPicPr>
                          <pic:cNvPr id="132" name="ID_AADB127A23F84A59AFF01DBAE2D90937"/>
                          <pic:cNvPicPr/>
                        </pic:nvPicPr>
                        <pic:blipFill>
                          <a:blip r:embed="rId23"/>
                          <a:stretch>
                            <a:fillRect/>
                          </a:stretch>
                        </pic:blipFill>
                        <pic:spPr>
                          <a:xfrm>
                            <a:off x="0" y="0"/>
                            <a:ext cx="1264920" cy="10687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2E816C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36B1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2BE8067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6B3C1A8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消防车库</w:t>
            </w: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265B9E1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战斗服架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（4人位）</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61F996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304不锈钢，框架采用30*30*1.2MM厚度不锈钢方钢，衣架宽度不低于500mm，焊接处做抛光打磨处理，光滑无毛刺。背板、托盘0.8MM厚不锈钢板加工，主体双面悬挂衣服，可360°旋转，共三层。底部设有滑轮可移动，并带有锁死功能。1个组合4个位置，每位800mm。</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70EFA17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3900×800×2000</w:t>
            </w:r>
            <w:r>
              <w:rPr>
                <w:rStyle w:val="127"/>
                <w:rFonts w:hint="eastAsia" w:ascii="宋体" w:hAnsi="宋体" w:eastAsia="宋体" w:cs="宋体"/>
                <w:sz w:val="18"/>
                <w:szCs w:val="18"/>
                <w:lang w:val="en-US" w:eastAsia="zh-CN" w:bidi="ar"/>
              </w:rPr>
              <w:br w:type="textWrapping"/>
            </w:r>
            <w:r>
              <w:rPr>
                <w:rStyle w:val="127"/>
                <w:rFonts w:hint="eastAsia" w:ascii="宋体" w:hAnsi="宋体" w:eastAsia="宋体" w:cs="宋体"/>
                <w:sz w:val="18"/>
                <w:szCs w:val="18"/>
                <w:lang w:val="en-US" w:eastAsia="zh-CN" w:bidi="ar"/>
              </w:rPr>
              <w:t>（4人位总长度）</w:t>
            </w:r>
          </w:p>
        </w:tc>
        <w:tc>
          <w:tcPr>
            <w:tcW w:w="712" w:type="dxa"/>
            <w:tcBorders>
              <w:top w:val="single" w:color="000000" w:sz="4" w:space="0"/>
              <w:left w:val="single" w:color="000000" w:sz="4" w:space="0"/>
              <w:bottom w:val="single" w:color="000000" w:sz="4" w:space="0"/>
              <w:right w:val="nil"/>
            </w:tcBorders>
            <w:noWrap/>
            <w:vAlign w:val="center"/>
          </w:tcPr>
          <w:p w14:paraId="3DF9F87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auto"/>
                <w:kern w:val="0"/>
                <w:sz w:val="18"/>
                <w:szCs w:val="18"/>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AB2EA6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组</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B00991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27305</wp:posOffset>
                  </wp:positionH>
                  <wp:positionV relativeFrom="paragraph">
                    <wp:posOffset>119380</wp:posOffset>
                  </wp:positionV>
                  <wp:extent cx="1244600" cy="1304290"/>
                  <wp:effectExtent l="0" t="0" r="12700" b="10160"/>
                  <wp:wrapNone/>
                  <wp:docPr id="125" name="ID_F74F6F62D5E24198A2531D7DFE73B81E"/>
                  <wp:cNvGraphicFramePr/>
                  <a:graphic xmlns:a="http://schemas.openxmlformats.org/drawingml/2006/main">
                    <a:graphicData uri="http://schemas.openxmlformats.org/drawingml/2006/picture">
                      <pic:pic xmlns:pic="http://schemas.openxmlformats.org/drawingml/2006/picture">
                        <pic:nvPicPr>
                          <pic:cNvPr id="125" name="ID_F74F6F62D5E24198A2531D7DFE73B81E"/>
                          <pic:cNvPicPr/>
                        </pic:nvPicPr>
                        <pic:blipFill>
                          <a:blip r:embed="rId24"/>
                          <a:stretch>
                            <a:fillRect/>
                          </a:stretch>
                        </pic:blipFill>
                        <pic:spPr>
                          <a:xfrm>
                            <a:off x="0" y="0"/>
                            <a:ext cx="1244600" cy="130429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724BB4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87EE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254FDF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55E4D6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162F5E5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集中充电柜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（大器充电柜）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0CA9BB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钢板材质：柜体采用裸板厚度≥0.8mm一级冷轧钢板，主支撑结构件采用1.5mm以上一级冷轧钢板，表面静电喷粉涂装，漆膜硬度≥2H；冲击强度无裂纹，附着力不低于2级，耐腐蚀：无气泡产生、无锈迹、剥落、起皱、变色和失光现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侧板11MM窄边双色搭配，简洁大方。                                                                                 五金配件：开合不低于20万次无损坏，关闭力和打开力不大于20N。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铰链开合灵活无燥音，接触人体或收藏物品的部件无毛刺、刃口和棱角。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3、带有漏电保护器，纯铜线缆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0A3B33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850×400×1700</w:t>
            </w:r>
          </w:p>
        </w:tc>
        <w:tc>
          <w:tcPr>
            <w:tcW w:w="712" w:type="dxa"/>
            <w:tcBorders>
              <w:top w:val="single" w:color="000000" w:sz="4" w:space="0"/>
              <w:left w:val="single" w:color="000000" w:sz="4" w:space="0"/>
              <w:bottom w:val="single" w:color="000000" w:sz="4" w:space="0"/>
              <w:right w:val="nil"/>
            </w:tcBorders>
            <w:noWrap/>
            <w:vAlign w:val="center"/>
          </w:tcPr>
          <w:p w14:paraId="31416E5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F982182">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DA0E916">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35560</wp:posOffset>
                  </wp:positionH>
                  <wp:positionV relativeFrom="paragraph">
                    <wp:posOffset>101600</wp:posOffset>
                  </wp:positionV>
                  <wp:extent cx="1214120" cy="1423035"/>
                  <wp:effectExtent l="0" t="0" r="5080" b="5715"/>
                  <wp:wrapNone/>
                  <wp:docPr id="140" name="ID_79E8B952980D4429A520DB3923D4E560"/>
                  <wp:cNvGraphicFramePr/>
                  <a:graphic xmlns:a="http://schemas.openxmlformats.org/drawingml/2006/main">
                    <a:graphicData uri="http://schemas.openxmlformats.org/drawingml/2006/picture">
                      <pic:pic xmlns:pic="http://schemas.openxmlformats.org/drawingml/2006/picture">
                        <pic:nvPicPr>
                          <pic:cNvPr id="140" name="ID_79E8B952980D4429A520DB3923D4E560"/>
                          <pic:cNvPicPr/>
                        </pic:nvPicPr>
                        <pic:blipFill>
                          <a:blip r:embed="rId25"/>
                          <a:stretch>
                            <a:fillRect/>
                          </a:stretch>
                        </pic:blipFill>
                        <pic:spPr>
                          <a:xfrm>
                            <a:off x="0" y="0"/>
                            <a:ext cx="1214120" cy="14230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D4619C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C149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9557BE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70848B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32BB7DE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集中充电柜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（42位充电柜）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E1D987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钢板材质：柜体采用裸板厚度≥0.8mm一级冷轧钢板，主支撑结构件采用1.5mm以上一级冷轧钢板，表面静电喷粉涂装，漆膜硬度≥2H；冲击强度无裂纹，附着力不低于2级，耐腐蚀：无气泡产生、无锈迹、剥落、起皱、变色和失光现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侧板11MM窄边双色搭配，简洁大方。                                                                                 五金配件：开合不低于20万次无损坏，关闭力和打开力不大于20N。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铰链开合灵活无燥音，接触人体或收藏物品的部件无毛刺、刃口和棱角。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3、带有漏电保护器，纯铜线缆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271D87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850×400×1700</w:t>
            </w:r>
          </w:p>
        </w:tc>
        <w:tc>
          <w:tcPr>
            <w:tcW w:w="712" w:type="dxa"/>
            <w:tcBorders>
              <w:top w:val="single" w:color="000000" w:sz="4" w:space="0"/>
              <w:left w:val="single" w:color="000000" w:sz="4" w:space="0"/>
              <w:bottom w:val="single" w:color="000000" w:sz="4" w:space="0"/>
              <w:right w:val="nil"/>
            </w:tcBorders>
            <w:noWrap/>
            <w:vAlign w:val="center"/>
          </w:tcPr>
          <w:p w14:paraId="73136BA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A826D0A">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9C34B2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71120</wp:posOffset>
                  </wp:positionH>
                  <wp:positionV relativeFrom="paragraph">
                    <wp:posOffset>84455</wp:posOffset>
                  </wp:positionV>
                  <wp:extent cx="1158240" cy="1418590"/>
                  <wp:effectExtent l="0" t="0" r="3810" b="10160"/>
                  <wp:wrapNone/>
                  <wp:docPr id="141" name="ID_2A2B48D5D0244C95B4DDC4DF261104B2"/>
                  <wp:cNvGraphicFramePr/>
                  <a:graphic xmlns:a="http://schemas.openxmlformats.org/drawingml/2006/main">
                    <a:graphicData uri="http://schemas.openxmlformats.org/drawingml/2006/picture">
                      <pic:pic xmlns:pic="http://schemas.openxmlformats.org/drawingml/2006/picture">
                        <pic:nvPicPr>
                          <pic:cNvPr id="141" name="ID_2A2B48D5D0244C95B4DDC4DF261104B2"/>
                          <pic:cNvPicPr/>
                        </pic:nvPicPr>
                        <pic:blipFill>
                          <a:blip r:embed="rId26"/>
                          <a:stretch>
                            <a:fillRect/>
                          </a:stretch>
                        </pic:blipFill>
                        <pic:spPr>
                          <a:xfrm>
                            <a:off x="0" y="0"/>
                            <a:ext cx="1158240" cy="141859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84A596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B11E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5" w:hRule="atLeast"/>
          <w:jc w:val="center"/>
        </w:trPr>
        <w:tc>
          <w:tcPr>
            <w:tcW w:w="903" w:type="dxa"/>
            <w:tcBorders>
              <w:top w:val="single" w:color="000000" w:sz="4" w:space="0"/>
              <w:left w:val="single" w:color="000000" w:sz="4" w:space="0"/>
              <w:bottom w:val="single" w:color="000000" w:sz="4" w:space="0"/>
              <w:right w:val="single" w:color="000000" w:sz="4" w:space="0"/>
            </w:tcBorders>
            <w:noWrap/>
            <w:vAlign w:val="center"/>
          </w:tcPr>
          <w:p w14:paraId="257C16B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4314B5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应急仓库</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17A69B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8105A2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金属材质（钢），采用立柱和横梁连接的结构，结构简单，拆装方便。外形美观大方，适用于人工存取货物情况，承载能力为290KG/层，可以满足大部分使用要求。</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535A81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2000×600×2000</w:t>
            </w:r>
          </w:p>
        </w:tc>
        <w:tc>
          <w:tcPr>
            <w:tcW w:w="712" w:type="dxa"/>
            <w:tcBorders>
              <w:top w:val="single" w:color="000000" w:sz="4" w:space="0"/>
              <w:left w:val="single" w:color="000000" w:sz="4" w:space="0"/>
              <w:bottom w:val="single" w:color="000000" w:sz="4" w:space="0"/>
              <w:right w:val="nil"/>
            </w:tcBorders>
            <w:noWrap/>
            <w:vAlign w:val="center"/>
          </w:tcPr>
          <w:p w14:paraId="6969312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426B8A1">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1D6317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29845</wp:posOffset>
                  </wp:positionH>
                  <wp:positionV relativeFrom="paragraph">
                    <wp:posOffset>107315</wp:posOffset>
                  </wp:positionV>
                  <wp:extent cx="1247140" cy="1203325"/>
                  <wp:effectExtent l="0" t="0" r="10160" b="15875"/>
                  <wp:wrapNone/>
                  <wp:docPr id="144" name="ID_BA906A31EB8B4CAA9FCFF06D31532CAA"/>
                  <wp:cNvGraphicFramePr/>
                  <a:graphic xmlns:a="http://schemas.openxmlformats.org/drawingml/2006/main">
                    <a:graphicData uri="http://schemas.openxmlformats.org/drawingml/2006/picture">
                      <pic:pic xmlns:pic="http://schemas.openxmlformats.org/drawingml/2006/picture">
                        <pic:nvPicPr>
                          <pic:cNvPr id="144" name="ID_BA906A31EB8B4CAA9FCFF06D31532CAA"/>
                          <pic:cNvPicPr/>
                        </pic:nvPicPr>
                        <pic:blipFill>
                          <a:blip r:embed="rId27"/>
                          <a:stretch>
                            <a:fillRect/>
                          </a:stretch>
                        </pic:blipFill>
                        <pic:spPr>
                          <a:xfrm>
                            <a:off x="0" y="0"/>
                            <a:ext cx="1247140" cy="12033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A58F19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21FB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6D611A9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59EF48F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呼吸器充</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气房</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FC5C98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C6FD49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金属材质（钢），采用立柱和横梁连接的结构，结构简单，拆装方便。外形美观大方，适用于人工存取货物情况。承载能力为290KG/层，可以满足大部分使用要求。</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A76762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2000×600×2000</w:t>
            </w:r>
          </w:p>
        </w:tc>
        <w:tc>
          <w:tcPr>
            <w:tcW w:w="712" w:type="dxa"/>
            <w:tcBorders>
              <w:top w:val="single" w:color="000000" w:sz="4" w:space="0"/>
              <w:left w:val="single" w:color="000000" w:sz="4" w:space="0"/>
              <w:bottom w:val="single" w:color="000000" w:sz="4" w:space="0"/>
              <w:right w:val="nil"/>
            </w:tcBorders>
            <w:noWrap/>
            <w:vAlign w:val="center"/>
          </w:tcPr>
          <w:p w14:paraId="46F7052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407D3CA">
            <w:pPr>
              <w:bidi w:val="0"/>
              <w:ind w:left="0" w:leftChars="0" w:firstLine="0" w:firstLineChars="0"/>
              <w:jc w:val="center"/>
              <w:rPr>
                <w:rFonts w:hint="eastAsia"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E25860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31115</wp:posOffset>
                  </wp:positionH>
                  <wp:positionV relativeFrom="paragraph">
                    <wp:posOffset>97155</wp:posOffset>
                  </wp:positionV>
                  <wp:extent cx="1254760" cy="1193165"/>
                  <wp:effectExtent l="0" t="0" r="2540" b="6985"/>
                  <wp:wrapNone/>
                  <wp:docPr id="142" name="ID_C41268ED454243B7A8792DCC8882DC09"/>
                  <wp:cNvGraphicFramePr/>
                  <a:graphic xmlns:a="http://schemas.openxmlformats.org/drawingml/2006/main">
                    <a:graphicData uri="http://schemas.openxmlformats.org/drawingml/2006/picture">
                      <pic:pic xmlns:pic="http://schemas.openxmlformats.org/drawingml/2006/picture">
                        <pic:nvPicPr>
                          <pic:cNvPr id="142" name="ID_C41268ED454243B7A8792DCC8882DC09"/>
                          <pic:cNvPicPr/>
                        </pic:nvPicPr>
                        <pic:blipFill>
                          <a:blip r:embed="rId28"/>
                          <a:stretch>
                            <a:fillRect/>
                          </a:stretch>
                        </pic:blipFill>
                        <pic:spPr>
                          <a:xfrm>
                            <a:off x="0" y="0"/>
                            <a:ext cx="1254760" cy="11931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09585C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C7D8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C3DCE2D">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568CF6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500303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维修操作台</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582057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优质304不锈钢，面板厚度50mm，耐刮耐划，防水耐酸碱，高强度。加固承重横梁，底部可调节脚垫，静音防滑。</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5A6B25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1500×750×800</w:t>
            </w:r>
          </w:p>
        </w:tc>
        <w:tc>
          <w:tcPr>
            <w:tcW w:w="712" w:type="dxa"/>
            <w:tcBorders>
              <w:top w:val="single" w:color="000000" w:sz="4" w:space="0"/>
              <w:left w:val="single" w:color="000000" w:sz="4" w:space="0"/>
              <w:bottom w:val="single" w:color="000000" w:sz="4" w:space="0"/>
              <w:right w:val="nil"/>
            </w:tcBorders>
            <w:noWrap/>
            <w:vAlign w:val="center"/>
          </w:tcPr>
          <w:p w14:paraId="4F63674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F164D1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A1BE93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81915</wp:posOffset>
                  </wp:positionH>
                  <wp:positionV relativeFrom="paragraph">
                    <wp:posOffset>96520</wp:posOffset>
                  </wp:positionV>
                  <wp:extent cx="1114425" cy="1135380"/>
                  <wp:effectExtent l="0" t="0" r="9525" b="7620"/>
                  <wp:wrapNone/>
                  <wp:docPr id="133" name="ID_F2F416E2E032405395BC1B99F8E3AE3B"/>
                  <wp:cNvGraphicFramePr/>
                  <a:graphic xmlns:a="http://schemas.openxmlformats.org/drawingml/2006/main">
                    <a:graphicData uri="http://schemas.openxmlformats.org/drawingml/2006/picture">
                      <pic:pic xmlns:pic="http://schemas.openxmlformats.org/drawingml/2006/picture">
                        <pic:nvPicPr>
                          <pic:cNvPr id="133" name="ID_F2F416E2E032405395BC1B99F8E3AE3B"/>
                          <pic:cNvPicPr/>
                        </pic:nvPicPr>
                        <pic:blipFill>
                          <a:blip r:embed="rId29"/>
                          <a:stretch>
                            <a:fillRect/>
                          </a:stretch>
                        </pic:blipFill>
                        <pic:spPr>
                          <a:xfrm>
                            <a:off x="0" y="0"/>
                            <a:ext cx="1114425" cy="11353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24834F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33C0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jc w:val="center"/>
        </w:trPr>
        <w:tc>
          <w:tcPr>
            <w:tcW w:w="903" w:type="dxa"/>
            <w:tcBorders>
              <w:top w:val="single" w:color="000000" w:sz="4" w:space="0"/>
              <w:left w:val="single" w:color="000000" w:sz="4" w:space="0"/>
              <w:bottom w:val="single" w:color="000000" w:sz="4" w:space="0"/>
              <w:right w:val="single" w:color="000000" w:sz="4" w:space="0"/>
            </w:tcBorders>
            <w:noWrap/>
            <w:vAlign w:val="center"/>
          </w:tcPr>
          <w:p w14:paraId="49D3074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1742A96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执勤器材库</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CB74DC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650DC6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金属材质（钢），采用立柱和横梁连接的结构，结构简单，拆装方便。外形美观大方，适用于人工存取货物情况，承载能力为290KG/层，可以满足大部分使用要求。</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CF51F3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2000×600×2000</w:t>
            </w:r>
          </w:p>
        </w:tc>
        <w:tc>
          <w:tcPr>
            <w:tcW w:w="712" w:type="dxa"/>
            <w:tcBorders>
              <w:top w:val="single" w:color="000000" w:sz="4" w:space="0"/>
              <w:left w:val="single" w:color="000000" w:sz="4" w:space="0"/>
              <w:bottom w:val="single" w:color="000000" w:sz="4" w:space="0"/>
              <w:right w:val="nil"/>
            </w:tcBorders>
            <w:noWrap/>
            <w:vAlign w:val="center"/>
          </w:tcPr>
          <w:p w14:paraId="4EB83CD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C51779E">
            <w:pPr>
              <w:bidi w:val="0"/>
              <w:ind w:left="0" w:leftChars="0" w:firstLine="0" w:firstLineChars="0"/>
              <w:jc w:val="center"/>
              <w:rPr>
                <w:rFonts w:hint="eastAsia"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E54AFB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49530</wp:posOffset>
                  </wp:positionH>
                  <wp:positionV relativeFrom="paragraph">
                    <wp:posOffset>90170</wp:posOffset>
                  </wp:positionV>
                  <wp:extent cx="1283335" cy="1394460"/>
                  <wp:effectExtent l="0" t="0" r="12065" b="15240"/>
                  <wp:wrapNone/>
                  <wp:docPr id="134" name="ID_A2FE8E8D9875483AB62B068516FCBF99"/>
                  <wp:cNvGraphicFramePr/>
                  <a:graphic xmlns:a="http://schemas.openxmlformats.org/drawingml/2006/main">
                    <a:graphicData uri="http://schemas.openxmlformats.org/drawingml/2006/picture">
                      <pic:pic xmlns:pic="http://schemas.openxmlformats.org/drawingml/2006/picture">
                        <pic:nvPicPr>
                          <pic:cNvPr id="134" name="ID_A2FE8E8D9875483AB62B068516FCBF99"/>
                          <pic:cNvPicPr/>
                        </pic:nvPicPr>
                        <pic:blipFill>
                          <a:blip r:embed="rId30"/>
                          <a:stretch>
                            <a:fillRect/>
                          </a:stretch>
                        </pic:blipFill>
                        <pic:spPr>
                          <a:xfrm>
                            <a:off x="0" y="0"/>
                            <a:ext cx="1283335" cy="139446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C912D6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37F63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2429A89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0BA4B6F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通信员</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备勤室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0D9F35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1米床</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A0CAC3C">
            <w:pPr>
              <w:keepNext w:val="0"/>
              <w:keepLines w:val="0"/>
              <w:pageBreakBefore w:val="0"/>
              <w:widowControl/>
              <w:numPr>
                <w:ilvl w:val="0"/>
                <w:numId w:val="26"/>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饰面</w:t>
            </w:r>
            <w:r>
              <w:rPr>
                <w:rFonts w:hint="eastAsia" w:ascii="宋体" w:hAnsi="宋体" w:eastAsia="宋体" w:cs="宋体"/>
                <w:i w:val="0"/>
                <w:iCs w:val="0"/>
                <w:color w:val="auto"/>
                <w:kern w:val="0"/>
                <w:sz w:val="18"/>
                <w:szCs w:val="18"/>
                <w:u w:val="none"/>
                <w:lang w:val="en-US" w:eastAsia="zh-CN" w:bidi="ar"/>
              </w:rPr>
              <w:t>：采用优质环保三聚氰胺饰面板；</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2、基材：采用杉木免漆板，甲醛释放量≤0.0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cs="宋体"/>
                <w:i w:val="0"/>
                <w:iCs w:val="0"/>
                <w:color w:val="auto"/>
                <w:kern w:val="0"/>
                <w:sz w:val="18"/>
                <w:szCs w:val="18"/>
                <w:u w:val="none"/>
                <w:lang w:val="en-US" w:eastAsia="zh-CN" w:bidi="ar"/>
              </w:rPr>
              <w:t>，符合E0级标准</w:t>
            </w:r>
            <w:r>
              <w:rPr>
                <w:rFonts w:hint="eastAsia" w:ascii="宋体" w:hAnsi="宋体" w:eastAsia="宋体" w:cs="宋体"/>
                <w:i w:val="0"/>
                <w:iCs w:val="0"/>
                <w:color w:val="auto"/>
                <w:kern w:val="0"/>
                <w:sz w:val="18"/>
                <w:szCs w:val="18"/>
                <w:u w:val="none"/>
                <w:lang w:val="en-US" w:eastAsia="zh-CN" w:bidi="ar"/>
              </w:rPr>
              <w:t>；</w:t>
            </w:r>
          </w:p>
          <w:p w14:paraId="6C2E8035">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4、全床定制，实木框架结构、床架上再铺杉木板。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5、靠背内嵌软包海绵填充物。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00FB53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2000×1000×450</w:t>
            </w:r>
          </w:p>
        </w:tc>
        <w:tc>
          <w:tcPr>
            <w:tcW w:w="712" w:type="dxa"/>
            <w:tcBorders>
              <w:top w:val="single" w:color="000000" w:sz="4" w:space="0"/>
              <w:left w:val="single" w:color="000000" w:sz="4" w:space="0"/>
              <w:bottom w:val="single" w:color="000000" w:sz="4" w:space="0"/>
              <w:right w:val="nil"/>
            </w:tcBorders>
            <w:noWrap/>
            <w:vAlign w:val="center"/>
          </w:tcPr>
          <w:p w14:paraId="789C764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EC7D12C">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FD8504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41910</wp:posOffset>
                  </wp:positionH>
                  <wp:positionV relativeFrom="paragraph">
                    <wp:posOffset>127635</wp:posOffset>
                  </wp:positionV>
                  <wp:extent cx="1222375" cy="1414780"/>
                  <wp:effectExtent l="0" t="0" r="15875" b="13970"/>
                  <wp:wrapNone/>
                  <wp:docPr id="143" name="ID_1F253590FBA040A493BA7C4DA8A9E8C8"/>
                  <wp:cNvGraphicFramePr/>
                  <a:graphic xmlns:a="http://schemas.openxmlformats.org/drawingml/2006/main">
                    <a:graphicData uri="http://schemas.openxmlformats.org/drawingml/2006/picture">
                      <pic:pic xmlns:pic="http://schemas.openxmlformats.org/drawingml/2006/picture">
                        <pic:nvPicPr>
                          <pic:cNvPr id="143" name="ID_1F253590FBA040A493BA7C4DA8A9E8C8"/>
                          <pic:cNvPicPr/>
                        </pic:nvPicPr>
                        <pic:blipFill>
                          <a:blip r:embed="rId31"/>
                          <a:stretch>
                            <a:fillRect/>
                          </a:stretch>
                        </pic:blipFill>
                        <pic:spPr>
                          <a:xfrm>
                            <a:off x="0" y="0"/>
                            <a:ext cx="1222375" cy="14147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6070373">
            <w:pPr>
              <w:ind w:left="0" w:leftChars="0" w:firstLine="0" w:firstLineChars="0"/>
              <w:jc w:val="center"/>
              <w:rPr>
                <w:rFonts w:hint="default"/>
                <w:lang w:val="en-US" w:eastAsia="zh-CN"/>
              </w:rPr>
            </w:pPr>
            <w:r>
              <w:rPr>
                <w:rFonts w:hint="eastAsia"/>
                <w:lang w:val="en-US" w:eastAsia="zh-CN"/>
              </w:rPr>
              <w:t>定制</w:t>
            </w:r>
          </w:p>
        </w:tc>
      </w:tr>
      <w:tr w14:paraId="4DA1D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18DA79C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15B103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5B88CC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1米床垫（含外套）</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B41D1B3">
            <w:pPr>
              <w:keepNext w:val="0"/>
              <w:keepLines w:val="0"/>
              <w:pageBreakBefore w:val="0"/>
              <w:widowControl/>
              <w:numPr>
                <w:ilvl w:val="0"/>
                <w:numId w:val="27"/>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面料：竹纤维带阻燃针织，具备阻燃，防螨，防菌</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2、海绵层：高回弹海绵层，密度≥20kg/m3，厚度≥15mm</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3、正反面填充层：第一层厚6mm白色棉毡（≥500g/㎡）；第二层白色人造纤维无纺布（≥500g/㎡）</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4、整体高度≥60mm，偏差±5mm</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 xml:space="preserve">                        </w:t>
            </w:r>
          </w:p>
          <w:p w14:paraId="0FF76AAC">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床垫外套按要求队内要求定制，可拆洗。</w:t>
            </w:r>
          </w:p>
          <w:p w14:paraId="5C35D3A9">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6E7191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2000×1000×60</w:t>
            </w:r>
          </w:p>
        </w:tc>
        <w:tc>
          <w:tcPr>
            <w:tcW w:w="712" w:type="dxa"/>
            <w:tcBorders>
              <w:top w:val="single" w:color="000000" w:sz="4" w:space="0"/>
              <w:left w:val="single" w:color="000000" w:sz="4" w:space="0"/>
              <w:bottom w:val="single" w:color="000000" w:sz="4" w:space="0"/>
              <w:right w:val="nil"/>
            </w:tcBorders>
            <w:noWrap/>
            <w:vAlign w:val="center"/>
          </w:tcPr>
          <w:p w14:paraId="4934260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10E3615">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C7E15B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3810</wp:posOffset>
                  </wp:positionH>
                  <wp:positionV relativeFrom="paragraph">
                    <wp:posOffset>274955</wp:posOffset>
                  </wp:positionV>
                  <wp:extent cx="1289050" cy="1377950"/>
                  <wp:effectExtent l="0" t="0" r="6350" b="12700"/>
                  <wp:wrapNone/>
                  <wp:docPr id="131" name="ID_B5473F72863340C3A6928CE76B01BFCB"/>
                  <wp:cNvGraphicFramePr/>
                  <a:graphic xmlns:a="http://schemas.openxmlformats.org/drawingml/2006/main">
                    <a:graphicData uri="http://schemas.openxmlformats.org/drawingml/2006/picture">
                      <pic:pic xmlns:pic="http://schemas.openxmlformats.org/drawingml/2006/picture">
                        <pic:nvPicPr>
                          <pic:cNvPr id="131" name="ID_B5473F72863340C3A6928CE76B01BFCB"/>
                          <pic:cNvPicPr/>
                        </pic:nvPicPr>
                        <pic:blipFill>
                          <a:blip r:embed="rId32"/>
                          <a:stretch>
                            <a:fillRect/>
                          </a:stretch>
                        </pic:blipFill>
                        <pic:spPr>
                          <a:xfrm>
                            <a:off x="0" y="0"/>
                            <a:ext cx="1289050" cy="13779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69A014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both"/>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r>
              <w:rPr>
                <w:rFonts w:hint="eastAsia"/>
                <w:lang w:val="en-US" w:eastAsia="zh-CN"/>
              </w:rPr>
              <w:t>定制</w:t>
            </w:r>
          </w:p>
        </w:tc>
      </w:tr>
      <w:tr w14:paraId="79B8E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A8581B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4C2FFE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9F3DD4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39F1A86">
            <w:pPr>
              <w:keepNext w:val="0"/>
              <w:keepLines w:val="0"/>
              <w:pageBreakBefore w:val="0"/>
              <w:widowControl/>
              <w:numPr>
                <w:ilvl w:val="0"/>
                <w:numId w:val="28"/>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饰面：采用优质环保三聚氰胺饰面板，甲醛释放量≤0.0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cs="宋体"/>
                <w:i w:val="0"/>
                <w:iCs w:val="0"/>
                <w:color w:val="auto"/>
                <w:kern w:val="0"/>
                <w:sz w:val="18"/>
                <w:szCs w:val="18"/>
                <w:u w:val="none"/>
                <w:lang w:val="en-US" w:eastAsia="zh-CN" w:bidi="ar"/>
              </w:rPr>
              <w:t>，</w:t>
            </w:r>
          </w:p>
          <w:p w14:paraId="2DCC5FBF">
            <w:pPr>
              <w:keepNext w:val="0"/>
              <w:keepLines w:val="0"/>
              <w:pageBreakBefore w:val="0"/>
              <w:widowControl/>
              <w:numPr>
                <w:ilvl w:val="0"/>
                <w:numId w:val="28"/>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基材：采用杉木免漆板，甲醛释放量≤0.0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p>
          <w:p w14:paraId="22884CEE">
            <w:pPr>
              <w:keepNext w:val="0"/>
              <w:keepLines w:val="0"/>
              <w:pageBreakBefore w:val="0"/>
              <w:widowControl/>
              <w:numPr>
                <w:ilvl w:val="0"/>
                <w:numId w:val="28"/>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5、五金件：采用优质五金配件（铰链、拉手、三合一连接件），经防锈处理，达国家标准。</w:t>
            </w:r>
          </w:p>
          <w:p w14:paraId="1B7925CB">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749925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450</w:t>
            </w:r>
            <w:r>
              <w:rPr>
                <w:rStyle w:val="84"/>
                <w:rFonts w:hint="eastAsia" w:ascii="宋体" w:hAnsi="宋体" w:eastAsia="宋体" w:cs="宋体"/>
                <w:sz w:val="18"/>
                <w:szCs w:val="18"/>
                <w:lang w:val="en-US" w:eastAsia="zh-CN" w:bidi="ar"/>
              </w:rPr>
              <w:t>×</w:t>
            </w:r>
            <w:r>
              <w:rPr>
                <w:rStyle w:val="127"/>
                <w:rFonts w:hint="eastAsia" w:ascii="宋体" w:hAnsi="宋体" w:eastAsia="宋体" w:cs="宋体"/>
                <w:sz w:val="18"/>
                <w:szCs w:val="18"/>
                <w:lang w:val="en-US" w:eastAsia="zh-CN" w:bidi="ar"/>
              </w:rPr>
              <w:t>500</w:t>
            </w:r>
            <w:r>
              <w:rPr>
                <w:rStyle w:val="84"/>
                <w:rFonts w:hint="eastAsia" w:ascii="宋体" w:hAnsi="宋体" w:eastAsia="宋体" w:cs="宋体"/>
                <w:sz w:val="18"/>
                <w:szCs w:val="18"/>
                <w:lang w:val="en-US" w:eastAsia="zh-CN" w:bidi="ar"/>
              </w:rPr>
              <w:t>×</w:t>
            </w:r>
            <w:r>
              <w:rPr>
                <w:rStyle w:val="127"/>
                <w:rFonts w:hint="eastAsia" w:ascii="宋体" w:hAnsi="宋体" w:eastAsia="宋体" w:cs="宋体"/>
                <w:sz w:val="18"/>
                <w:szCs w:val="18"/>
                <w:lang w:val="en-US" w:eastAsia="zh-CN" w:bidi="ar"/>
              </w:rPr>
              <w:t>500</w:t>
            </w:r>
          </w:p>
        </w:tc>
        <w:tc>
          <w:tcPr>
            <w:tcW w:w="712" w:type="dxa"/>
            <w:tcBorders>
              <w:top w:val="single" w:color="000000" w:sz="4" w:space="0"/>
              <w:left w:val="single" w:color="000000" w:sz="4" w:space="0"/>
              <w:bottom w:val="single" w:color="000000" w:sz="4" w:space="0"/>
              <w:right w:val="nil"/>
            </w:tcBorders>
            <w:noWrap/>
            <w:vAlign w:val="center"/>
          </w:tcPr>
          <w:p w14:paraId="57047EB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53273B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E11E14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48895</wp:posOffset>
                  </wp:positionH>
                  <wp:positionV relativeFrom="paragraph">
                    <wp:posOffset>120650</wp:posOffset>
                  </wp:positionV>
                  <wp:extent cx="1216660" cy="1454150"/>
                  <wp:effectExtent l="0" t="0" r="2540" b="12700"/>
                  <wp:wrapNone/>
                  <wp:docPr id="123" name="图片_23"/>
                  <wp:cNvGraphicFramePr/>
                  <a:graphic xmlns:a="http://schemas.openxmlformats.org/drawingml/2006/main">
                    <a:graphicData uri="http://schemas.openxmlformats.org/drawingml/2006/picture">
                      <pic:pic xmlns:pic="http://schemas.openxmlformats.org/drawingml/2006/picture">
                        <pic:nvPicPr>
                          <pic:cNvPr id="123" name="图片_23"/>
                          <pic:cNvPicPr/>
                        </pic:nvPicPr>
                        <pic:blipFill>
                          <a:blip r:embed="rId33"/>
                          <a:stretch>
                            <a:fillRect/>
                          </a:stretch>
                        </pic:blipFill>
                        <pic:spPr>
                          <a:xfrm>
                            <a:off x="0" y="0"/>
                            <a:ext cx="1216660" cy="14541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43C170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r>
              <w:rPr>
                <w:rFonts w:hint="eastAsia"/>
                <w:lang w:val="en-US" w:eastAsia="zh-CN"/>
              </w:rPr>
              <w:t>定制</w:t>
            </w:r>
          </w:p>
        </w:tc>
      </w:tr>
      <w:tr w14:paraId="114A7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2"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FCF41E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554D53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5B47AB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E8A38A2">
            <w:pPr>
              <w:keepNext w:val="0"/>
              <w:keepLines w:val="0"/>
              <w:pageBreakBefore w:val="0"/>
              <w:widowControl/>
              <w:numPr>
                <w:ilvl w:val="0"/>
                <w:numId w:val="29"/>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饰面：采用优质环保三聚氰胺饰面板，甲醛释放量≤0.05mg/</w:t>
            </w:r>
            <w:r>
              <w:rPr>
                <w:rFonts w:hint="eastAsia" w:ascii="宋体" w:hAnsi="宋体" w:cs="宋体"/>
                <w:i w:val="0"/>
                <w:iCs w:val="0"/>
                <w:color w:val="auto"/>
                <w:kern w:val="0"/>
                <w:sz w:val="18"/>
                <w:szCs w:val="18"/>
                <w:u w:val="none"/>
                <w:lang w:val="en-US" w:eastAsia="zh-CN" w:bidi="ar"/>
              </w:rPr>
              <w:t>m³</w:t>
            </w:r>
            <w:r>
              <w:rPr>
                <w:rFonts w:hint="eastAsia" w:ascii="宋体" w:hAnsi="宋体" w:eastAsia="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w:t>
            </w:r>
            <w:r>
              <w:rPr>
                <w:rFonts w:hint="eastAsia" w:ascii="宋体" w:hAnsi="宋体" w:cs="宋体"/>
                <w:i w:val="0"/>
                <w:iCs w:val="0"/>
                <w:color w:val="auto"/>
                <w:kern w:val="0"/>
                <w:sz w:val="18"/>
                <w:szCs w:val="18"/>
                <w:u w:val="none"/>
                <w:lang w:val="en-US" w:eastAsia="zh-CN" w:bidi="ar"/>
              </w:rPr>
              <w:t>内置E0级绿色环保</w:t>
            </w:r>
            <w:r>
              <w:rPr>
                <w:rFonts w:hint="eastAsia" w:ascii="宋体" w:hAnsi="宋体" w:eastAsia="宋体" w:cs="宋体"/>
                <w:i w:val="0"/>
                <w:iCs w:val="0"/>
                <w:color w:val="auto"/>
                <w:kern w:val="0"/>
                <w:sz w:val="18"/>
                <w:szCs w:val="18"/>
                <w:u w:val="none"/>
                <w:lang w:val="en-US" w:eastAsia="zh-CN" w:bidi="ar"/>
              </w:rPr>
              <w:t>杉木免漆板；</w:t>
            </w:r>
          </w:p>
          <w:p w14:paraId="63F9327E">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3、封边：采用优质环保</w:t>
            </w:r>
            <w:r>
              <w:rPr>
                <w:rFonts w:hint="eastAsia" w:ascii="宋体" w:hAnsi="宋体" w:cs="宋体"/>
                <w:i w:val="0"/>
                <w:iCs w:val="0"/>
                <w:color w:val="auto"/>
                <w:kern w:val="0"/>
                <w:sz w:val="18"/>
                <w:szCs w:val="18"/>
                <w:u w:val="none"/>
                <w:lang w:val="en-US" w:eastAsia="zh-CN" w:bidi="ar"/>
              </w:rPr>
              <w:t>PUR液体胶水</w:t>
            </w:r>
            <w:r>
              <w:rPr>
                <w:rFonts w:hint="eastAsia" w:ascii="宋体" w:hAnsi="宋体" w:eastAsia="宋体" w:cs="宋体"/>
                <w:i w:val="0"/>
                <w:iCs w:val="0"/>
                <w:color w:val="auto"/>
                <w:kern w:val="0"/>
                <w:sz w:val="18"/>
                <w:szCs w:val="18"/>
                <w:u w:val="none"/>
                <w:lang w:val="en-US" w:eastAsia="zh-CN" w:bidi="ar"/>
              </w:rPr>
              <w:t>封边，甲醛释放量≤</w:t>
            </w:r>
            <w:r>
              <w:rPr>
                <w:rFonts w:hint="eastAsia" w:ascii="宋体" w:hAnsi="宋体" w:cs="宋体"/>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g/</w:t>
            </w:r>
            <w:r>
              <w:rPr>
                <w:rFonts w:hint="eastAsia" w:ascii="宋体" w:hAnsi="宋体" w:cs="宋体"/>
                <w:i w:val="0"/>
                <w:iCs w:val="0"/>
                <w:color w:val="auto"/>
                <w:kern w:val="0"/>
                <w:sz w:val="18"/>
                <w:szCs w:val="18"/>
                <w:u w:val="none"/>
                <w:lang w:val="en-US" w:eastAsia="zh-CN" w:bidi="ar"/>
              </w:rPr>
              <w:t>kg</w:t>
            </w:r>
            <w:r>
              <w:rPr>
                <w:rFonts w:hint="eastAsia" w:ascii="宋体" w:hAnsi="宋体" w:eastAsia="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w:t>
            </w:r>
            <w:r>
              <w:rPr>
                <w:rFonts w:hint="eastAsia" w:ascii="宋体" w:hAnsi="宋体" w:cs="宋体"/>
                <w:i w:val="0"/>
                <w:iCs w:val="0"/>
                <w:color w:val="auto"/>
                <w:kern w:val="0"/>
                <w:sz w:val="18"/>
                <w:szCs w:val="18"/>
                <w:u w:val="none"/>
                <w:lang w:val="en-US" w:eastAsia="zh-CN" w:bidi="ar"/>
              </w:rPr>
              <w:t>水性</w:t>
            </w:r>
            <w:r>
              <w:rPr>
                <w:rFonts w:hint="eastAsia" w:ascii="宋体" w:hAnsi="宋体" w:eastAsia="宋体" w:cs="宋体"/>
                <w:i w:val="0"/>
                <w:iCs w:val="0"/>
                <w:color w:val="auto"/>
                <w:kern w:val="0"/>
                <w:sz w:val="18"/>
                <w:szCs w:val="18"/>
                <w:u w:val="none"/>
                <w:lang w:val="en-US" w:eastAsia="zh-CN" w:bidi="ar"/>
              </w:rPr>
              <w:t>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p w14:paraId="61E7C933">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auto"/>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2B6636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2150×800×600</w:t>
            </w:r>
          </w:p>
        </w:tc>
        <w:tc>
          <w:tcPr>
            <w:tcW w:w="712" w:type="dxa"/>
            <w:tcBorders>
              <w:top w:val="single" w:color="000000" w:sz="4" w:space="0"/>
              <w:left w:val="single" w:color="000000" w:sz="4" w:space="0"/>
              <w:bottom w:val="single" w:color="000000" w:sz="4" w:space="0"/>
              <w:right w:val="nil"/>
            </w:tcBorders>
            <w:noWrap/>
            <w:vAlign w:val="center"/>
          </w:tcPr>
          <w:p w14:paraId="628F272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42F378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232C50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8423275</wp:posOffset>
                  </wp:positionH>
                  <wp:positionV relativeFrom="paragraph">
                    <wp:posOffset>1225550</wp:posOffset>
                  </wp:positionV>
                  <wp:extent cx="899795" cy="1621790"/>
                  <wp:effectExtent l="0" t="0" r="14605" b="16510"/>
                  <wp:wrapNone/>
                  <wp:docPr id="130" name="图片_71"/>
                  <wp:cNvGraphicFramePr/>
                  <a:graphic xmlns:a="http://schemas.openxmlformats.org/drawingml/2006/main">
                    <a:graphicData uri="http://schemas.openxmlformats.org/drawingml/2006/picture">
                      <pic:pic xmlns:pic="http://schemas.openxmlformats.org/drawingml/2006/picture">
                        <pic:nvPicPr>
                          <pic:cNvPr id="130" name="图片_71"/>
                          <pic:cNvPicPr/>
                        </pic:nvPicPr>
                        <pic:blipFill>
                          <a:blip r:embed="rId34"/>
                          <a:stretch>
                            <a:fillRect/>
                          </a:stretch>
                        </pic:blipFill>
                        <pic:spPr>
                          <a:xfrm>
                            <a:off x="0" y="0"/>
                            <a:ext cx="899795" cy="162179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8575675</wp:posOffset>
                  </wp:positionH>
                  <wp:positionV relativeFrom="paragraph">
                    <wp:posOffset>1377950</wp:posOffset>
                  </wp:positionV>
                  <wp:extent cx="899795" cy="1621790"/>
                  <wp:effectExtent l="0" t="0" r="14605" b="16510"/>
                  <wp:wrapNone/>
                  <wp:docPr id="127" name="图片 22"/>
                  <wp:cNvGraphicFramePr/>
                  <a:graphic xmlns:a="http://schemas.openxmlformats.org/drawingml/2006/main">
                    <a:graphicData uri="http://schemas.openxmlformats.org/drawingml/2006/picture">
                      <pic:pic xmlns:pic="http://schemas.openxmlformats.org/drawingml/2006/picture">
                        <pic:nvPicPr>
                          <pic:cNvPr id="127" name="图片 22"/>
                          <pic:cNvPicPr/>
                        </pic:nvPicPr>
                        <pic:blipFill>
                          <a:blip r:embed="rId34"/>
                          <a:stretch>
                            <a:fillRect/>
                          </a:stretch>
                        </pic:blipFill>
                        <pic:spPr>
                          <a:xfrm>
                            <a:off x="0" y="0"/>
                            <a:ext cx="899795" cy="1621790"/>
                          </a:xfrm>
                          <a:prstGeom prst="rect">
                            <a:avLst/>
                          </a:prstGeom>
                          <a:noFill/>
                          <a:ln>
                            <a:noFill/>
                          </a:ln>
                        </pic:spPr>
                      </pic:pic>
                    </a:graphicData>
                  </a:graphic>
                </wp:anchor>
              </w:drawing>
            </w:r>
            <w:r>
              <w:rPr>
                <w:rFonts w:hint="eastAsia" w:ascii="宋体" w:hAnsi="宋体" w:eastAsia="宋体" w:cs="宋体"/>
                <w:sz w:val="18"/>
                <w:szCs w:val="18"/>
                <w:lang w:val="en-US" w:eastAsia="zh-CN"/>
              </w:rPr>
              <w:drawing>
                <wp:inline distT="0" distB="0" distL="114300" distR="114300">
                  <wp:extent cx="1086485" cy="1466850"/>
                  <wp:effectExtent l="0" t="0" r="18415" b="0"/>
                  <wp:docPr id="128" name="图片 1" descr="~]KQ(OCKKQZ8E2(6)L`K5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descr="~]KQ(OCKKQZ8E2(6)L`K5QI"/>
                          <pic:cNvPicPr>
                            <a:picLocks noChangeAspect="1"/>
                          </pic:cNvPicPr>
                        </pic:nvPicPr>
                        <pic:blipFill>
                          <a:blip r:embed="rId35"/>
                          <a:stretch>
                            <a:fillRect/>
                          </a:stretch>
                        </pic:blipFill>
                        <pic:spPr>
                          <a:xfrm>
                            <a:off x="0" y="0"/>
                            <a:ext cx="1086485" cy="1466850"/>
                          </a:xfrm>
                          <a:prstGeom prst="rect">
                            <a:avLst/>
                          </a:prstGeom>
                          <a:noFill/>
                          <a:ln>
                            <a:noFill/>
                          </a:ln>
                        </pic:spPr>
                      </pic:pic>
                    </a:graphicData>
                  </a:graphic>
                </wp:inline>
              </w:drawing>
            </w:r>
            <w:r>
              <w:rPr>
                <w:rFonts w:hint="eastAsia" w:ascii="宋体" w:hAnsi="宋体" w:eastAsia="宋体" w:cs="宋体"/>
                <w:sz w:val="18"/>
                <w:szCs w:val="18"/>
                <w:lang w:val="en-US" w:eastAsia="zh-CN"/>
              </w:rPr>
              <w:t xml:space="preserve"> </w:t>
            </w:r>
            <w:r>
              <w:rPr>
                <w:rFonts w:hint="eastAsia" w:ascii="宋体" w:hAnsi="宋体" w:eastAsia="宋体" w:cs="宋体"/>
                <w:sz w:val="18"/>
                <w:szCs w:val="18"/>
                <w:lang w:val="en-US" w:eastAsia="zh-CN"/>
              </w:rPr>
              <w:drawing>
                <wp:inline distT="0" distB="0" distL="114300" distR="114300">
                  <wp:extent cx="1123315" cy="1408430"/>
                  <wp:effectExtent l="0" t="0" r="635" b="1270"/>
                  <wp:docPr id="129" name="图片 2" descr="MYTW{$%PY[Q4IC0PQID`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descr="MYTW{$%PY[Q4IC0PQID`AE6"/>
                          <pic:cNvPicPr>
                            <a:picLocks noChangeAspect="1"/>
                          </pic:cNvPicPr>
                        </pic:nvPicPr>
                        <pic:blipFill>
                          <a:blip r:embed="rId36"/>
                          <a:stretch>
                            <a:fillRect/>
                          </a:stretch>
                        </pic:blipFill>
                        <pic:spPr>
                          <a:xfrm>
                            <a:off x="0" y="0"/>
                            <a:ext cx="1123315" cy="140843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1353185</wp:posOffset>
                  </wp:positionH>
                  <wp:positionV relativeFrom="paragraph">
                    <wp:posOffset>36830</wp:posOffset>
                  </wp:positionV>
                  <wp:extent cx="0" cy="1474470"/>
                  <wp:effectExtent l="0" t="0" r="0" b="0"/>
                  <wp:wrapNone/>
                  <wp:docPr id="91" name="图片_72"/>
                  <wp:cNvGraphicFramePr/>
                  <a:graphic xmlns:a="http://schemas.openxmlformats.org/drawingml/2006/main">
                    <a:graphicData uri="http://schemas.openxmlformats.org/drawingml/2006/picture">
                      <pic:pic xmlns:pic="http://schemas.openxmlformats.org/drawingml/2006/picture">
                        <pic:nvPicPr>
                          <pic:cNvPr id="91" name="图片_72"/>
                          <pic:cNvPicPr/>
                        </pic:nvPicPr>
                        <pic:blipFill>
                          <a:blip r:embed="rId37"/>
                          <a:stretch>
                            <a:fillRect/>
                          </a:stretch>
                        </pic:blipFill>
                        <pic:spPr>
                          <a:xfrm>
                            <a:off x="0" y="0"/>
                            <a:ext cx="0" cy="14744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339F39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r>
              <w:rPr>
                <w:rFonts w:hint="eastAsia"/>
                <w:lang w:val="en-US" w:eastAsia="zh-CN"/>
              </w:rPr>
              <w:t>定制</w:t>
            </w:r>
          </w:p>
        </w:tc>
      </w:tr>
      <w:tr w14:paraId="5A0BE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165ACF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493A6CE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3D1FE6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鞋柜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61BEC69">
            <w:pPr>
              <w:keepNext w:val="0"/>
              <w:keepLines w:val="0"/>
              <w:pageBreakBefore w:val="0"/>
              <w:widowControl/>
              <w:numPr>
                <w:ilvl w:val="0"/>
                <w:numId w:val="30"/>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饰面：甲醛释放量≤0.0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2、基材：采用杉木免漆板，甲醛释放量≤0.0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p>
          <w:p w14:paraId="23B9CF08">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p w14:paraId="03196592">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6BAF71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800×350×900</w:t>
            </w:r>
          </w:p>
        </w:tc>
        <w:tc>
          <w:tcPr>
            <w:tcW w:w="712" w:type="dxa"/>
            <w:tcBorders>
              <w:top w:val="single" w:color="000000" w:sz="4" w:space="0"/>
              <w:left w:val="single" w:color="000000" w:sz="4" w:space="0"/>
              <w:bottom w:val="single" w:color="000000" w:sz="4" w:space="0"/>
              <w:right w:val="nil"/>
            </w:tcBorders>
            <w:noWrap/>
            <w:vAlign w:val="center"/>
          </w:tcPr>
          <w:p w14:paraId="57192DA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103FD53">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F4B5B3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-5715</wp:posOffset>
                  </wp:positionH>
                  <wp:positionV relativeFrom="paragraph">
                    <wp:posOffset>182245</wp:posOffset>
                  </wp:positionV>
                  <wp:extent cx="1299210" cy="1410970"/>
                  <wp:effectExtent l="0" t="0" r="15240" b="17780"/>
                  <wp:wrapNone/>
                  <wp:docPr id="117" name="ID_FDED370E031B469E9536C025E59E8475"/>
                  <wp:cNvGraphicFramePr/>
                  <a:graphic xmlns:a="http://schemas.openxmlformats.org/drawingml/2006/main">
                    <a:graphicData uri="http://schemas.openxmlformats.org/drawingml/2006/picture">
                      <pic:pic xmlns:pic="http://schemas.openxmlformats.org/drawingml/2006/picture">
                        <pic:nvPicPr>
                          <pic:cNvPr id="117" name="ID_FDED370E031B469E9536C025E59E8475"/>
                          <pic:cNvPicPr/>
                        </pic:nvPicPr>
                        <pic:blipFill>
                          <a:blip r:embed="rId38"/>
                          <a:stretch>
                            <a:fillRect/>
                          </a:stretch>
                        </pic:blipFill>
                        <pic:spPr>
                          <a:xfrm>
                            <a:off x="0" y="0"/>
                            <a:ext cx="1299210" cy="14109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7CE6CA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r>
              <w:rPr>
                <w:rFonts w:hint="eastAsia"/>
                <w:lang w:val="en-US" w:eastAsia="zh-CN"/>
              </w:rPr>
              <w:t>定制</w:t>
            </w:r>
          </w:p>
        </w:tc>
      </w:tr>
      <w:tr w14:paraId="6CEAB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54EE52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0E93AA0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603851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学习桌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E4711C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1、基材：采用优质环保实木。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CE5050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3000×1500×760</w:t>
            </w:r>
          </w:p>
        </w:tc>
        <w:tc>
          <w:tcPr>
            <w:tcW w:w="712" w:type="dxa"/>
            <w:tcBorders>
              <w:top w:val="single" w:color="000000" w:sz="4" w:space="0"/>
              <w:left w:val="single" w:color="000000" w:sz="4" w:space="0"/>
              <w:bottom w:val="single" w:color="000000" w:sz="4" w:space="0"/>
              <w:right w:val="nil"/>
            </w:tcBorders>
            <w:noWrap/>
            <w:vAlign w:val="center"/>
          </w:tcPr>
          <w:p w14:paraId="7F0A15E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E37DB52">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5D424D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3175</wp:posOffset>
                  </wp:positionH>
                  <wp:positionV relativeFrom="paragraph">
                    <wp:posOffset>124460</wp:posOffset>
                  </wp:positionV>
                  <wp:extent cx="1266825" cy="1198245"/>
                  <wp:effectExtent l="0" t="0" r="9525" b="1905"/>
                  <wp:wrapNone/>
                  <wp:docPr id="99" name="图片_22"/>
                  <wp:cNvGraphicFramePr/>
                  <a:graphic xmlns:a="http://schemas.openxmlformats.org/drawingml/2006/main">
                    <a:graphicData uri="http://schemas.openxmlformats.org/drawingml/2006/picture">
                      <pic:pic xmlns:pic="http://schemas.openxmlformats.org/drawingml/2006/picture">
                        <pic:nvPicPr>
                          <pic:cNvPr id="99" name="图片_22"/>
                          <pic:cNvPicPr/>
                        </pic:nvPicPr>
                        <pic:blipFill>
                          <a:blip r:embed="rId39"/>
                          <a:stretch>
                            <a:fillRect/>
                          </a:stretch>
                        </pic:blipFill>
                        <pic:spPr>
                          <a:xfrm>
                            <a:off x="0" y="0"/>
                            <a:ext cx="1266825" cy="11982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527B84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both"/>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9492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328E38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0E99BF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C5AD6A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学习椅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0355BE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1、基材：采用优质实木，面板采用15mm厚的杉木直条板。</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2、油漆：采用水性底漆和面漆，光泽丰满，附着力强，耐腐蚀性，耐水耐磨，引用先进油漆工艺“五底三面”，光泽均匀，不褪色，绿色环保；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DD8935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长</w:t>
            </w:r>
            <w:r>
              <w:rPr>
                <w:rFonts w:hint="eastAsia" w:ascii="宋体" w:hAnsi="宋体" w:eastAsia="宋体" w:cs="宋体"/>
                <w:i w:val="0"/>
                <w:iCs w:val="0"/>
                <w:color w:val="auto"/>
                <w:kern w:val="0"/>
                <w:sz w:val="18"/>
                <w:szCs w:val="18"/>
                <w:u w:val="none"/>
                <w:lang w:val="en-US" w:eastAsia="zh-CN" w:bidi="ar"/>
              </w:rPr>
              <w:t>450</w:t>
            </w:r>
          </w:p>
          <w:p w14:paraId="7B0BEB6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Style w:val="127"/>
                <w:rFonts w:hint="eastAsia" w:ascii="宋体" w:hAnsi="宋体" w:cs="宋体"/>
                <w:color w:val="auto"/>
                <w:sz w:val="18"/>
                <w:szCs w:val="18"/>
                <w:lang w:val="en-US" w:eastAsia="zh-CN" w:bidi="ar"/>
              </w:rPr>
              <w:t>宽</w:t>
            </w:r>
            <w:r>
              <w:rPr>
                <w:rFonts w:hint="eastAsia" w:ascii="宋体" w:hAnsi="宋体" w:eastAsia="宋体" w:cs="宋体"/>
                <w:i w:val="0"/>
                <w:iCs w:val="0"/>
                <w:color w:val="auto"/>
                <w:kern w:val="0"/>
                <w:sz w:val="18"/>
                <w:szCs w:val="18"/>
                <w:u w:val="none"/>
                <w:lang w:val="en-US" w:eastAsia="zh-CN" w:bidi="ar"/>
              </w:rPr>
              <w:t>450</w:t>
            </w:r>
          </w:p>
          <w:p w14:paraId="0692F85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Style w:val="127"/>
                <w:rFonts w:hint="eastAsia" w:ascii="宋体" w:hAnsi="宋体" w:cs="宋体"/>
                <w:color w:val="auto"/>
                <w:sz w:val="18"/>
                <w:szCs w:val="18"/>
                <w:lang w:val="en-US" w:eastAsia="zh-CN" w:bidi="ar"/>
              </w:rPr>
            </w:pPr>
            <w:r>
              <w:rPr>
                <w:rStyle w:val="127"/>
                <w:rFonts w:hint="eastAsia" w:ascii="宋体" w:hAnsi="宋体" w:cs="宋体"/>
                <w:color w:val="auto"/>
                <w:sz w:val="18"/>
                <w:szCs w:val="18"/>
                <w:lang w:val="en-US" w:eastAsia="zh-CN" w:bidi="ar"/>
              </w:rPr>
              <w:t>座高430</w:t>
            </w:r>
          </w:p>
          <w:p w14:paraId="4C2246A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u w:val="none"/>
              </w:rPr>
            </w:pPr>
            <w:r>
              <w:rPr>
                <w:rStyle w:val="127"/>
                <w:rFonts w:hint="eastAsia" w:ascii="宋体" w:hAnsi="宋体" w:cs="宋体"/>
                <w:color w:val="auto"/>
                <w:sz w:val="18"/>
                <w:szCs w:val="18"/>
                <w:lang w:val="en-US" w:eastAsia="zh-CN" w:bidi="ar"/>
              </w:rPr>
              <w:t>椅背高</w:t>
            </w:r>
            <w:r>
              <w:rPr>
                <w:rFonts w:hint="eastAsia" w:ascii="宋体" w:hAnsi="宋体" w:eastAsia="宋体" w:cs="宋体"/>
                <w:i w:val="0"/>
                <w:iCs w:val="0"/>
                <w:color w:val="auto"/>
                <w:kern w:val="0"/>
                <w:sz w:val="18"/>
                <w:szCs w:val="18"/>
                <w:u w:val="none"/>
                <w:lang w:val="en-US" w:eastAsia="zh-CN" w:bidi="ar"/>
              </w:rPr>
              <w:t>880</w:t>
            </w:r>
          </w:p>
        </w:tc>
        <w:tc>
          <w:tcPr>
            <w:tcW w:w="712" w:type="dxa"/>
            <w:tcBorders>
              <w:top w:val="single" w:color="000000" w:sz="4" w:space="0"/>
              <w:left w:val="single" w:color="000000" w:sz="4" w:space="0"/>
              <w:bottom w:val="single" w:color="000000" w:sz="4" w:space="0"/>
              <w:right w:val="nil"/>
            </w:tcBorders>
            <w:noWrap/>
            <w:vAlign w:val="center"/>
          </w:tcPr>
          <w:p w14:paraId="5B94E08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443D916">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C6F85B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37465</wp:posOffset>
                  </wp:positionH>
                  <wp:positionV relativeFrom="paragraph">
                    <wp:posOffset>69215</wp:posOffset>
                  </wp:positionV>
                  <wp:extent cx="1223010" cy="1052195"/>
                  <wp:effectExtent l="0" t="0" r="15240" b="14605"/>
                  <wp:wrapNone/>
                  <wp:docPr id="118" name="ID_DF96EA118B764969B499651D91FD908A"/>
                  <wp:cNvGraphicFramePr/>
                  <a:graphic xmlns:a="http://schemas.openxmlformats.org/drawingml/2006/main">
                    <a:graphicData uri="http://schemas.openxmlformats.org/drawingml/2006/picture">
                      <pic:pic xmlns:pic="http://schemas.openxmlformats.org/drawingml/2006/picture">
                        <pic:nvPicPr>
                          <pic:cNvPr id="118" name="ID_DF96EA118B764969B499651D91FD908A"/>
                          <pic:cNvPicPr/>
                        </pic:nvPicPr>
                        <pic:blipFill>
                          <a:blip r:embed="rId40"/>
                          <a:stretch>
                            <a:fillRect/>
                          </a:stretch>
                        </pic:blipFill>
                        <pic:spPr>
                          <a:xfrm>
                            <a:off x="0" y="0"/>
                            <a:ext cx="1223010" cy="10521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8BA50B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both"/>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4800C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73B34D6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1C1346A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食堂包厢</w:t>
            </w: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1E5677C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实木圆餐桌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0373F20">
            <w:pPr>
              <w:keepNext w:val="0"/>
              <w:keepLines w:val="0"/>
              <w:pageBreakBefore w:val="0"/>
              <w:widowControl/>
              <w:numPr>
                <w:ilvl w:val="0"/>
                <w:numId w:val="31"/>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基材：优质多层板，符合国际E1级标准，含水率低于9%。经过防虫、防腐等化学处理，密700kg/m3以上,甲醛释放量＜0.1mg/m3,持久不变形，通过绿色环保认证</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2、油漆:采用面漆，聚酯底漆，VOC＜750，苯含量＜0.2%,甲苯、乙苯、二甲苯含量总和＜20%,可溶性铅＜9ｍｇ/ｋｇ,耐热性符合国家标准100%、符合E1级环保标准 .开放式或封闭式哑光漆，PU底漆，PU面漆，七层底漆、五层面漆；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3、胶水：用T50黄胶，符合E1级环保标准。</w:t>
            </w:r>
          </w:p>
          <w:p w14:paraId="3F717EF3">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4、含配套转盘。</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EB5FE3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φ</w:t>
            </w:r>
            <w:r>
              <w:rPr>
                <w:rStyle w:val="127"/>
                <w:rFonts w:hint="eastAsia" w:ascii="宋体" w:hAnsi="宋体" w:eastAsia="宋体" w:cs="宋体"/>
                <w:color w:val="auto"/>
                <w:sz w:val="18"/>
                <w:szCs w:val="18"/>
                <w:highlight w:val="none"/>
                <w:lang w:val="en-US" w:eastAsia="zh-CN" w:bidi="ar"/>
              </w:rPr>
              <w:t>1800×750</w:t>
            </w:r>
          </w:p>
        </w:tc>
        <w:tc>
          <w:tcPr>
            <w:tcW w:w="712" w:type="dxa"/>
            <w:tcBorders>
              <w:top w:val="single" w:color="000000" w:sz="4" w:space="0"/>
              <w:left w:val="single" w:color="000000" w:sz="4" w:space="0"/>
              <w:bottom w:val="single" w:color="000000" w:sz="4" w:space="0"/>
              <w:right w:val="nil"/>
            </w:tcBorders>
            <w:noWrap/>
            <w:vAlign w:val="center"/>
          </w:tcPr>
          <w:p w14:paraId="1730A30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C024F0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038279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9525</wp:posOffset>
                  </wp:positionH>
                  <wp:positionV relativeFrom="paragraph">
                    <wp:posOffset>113030</wp:posOffset>
                  </wp:positionV>
                  <wp:extent cx="1266825" cy="1422400"/>
                  <wp:effectExtent l="0" t="0" r="9525" b="6350"/>
                  <wp:wrapNone/>
                  <wp:docPr id="103" name="ID_AB16DF231FBF4556ADF709302D34D065"/>
                  <wp:cNvGraphicFramePr/>
                  <a:graphic xmlns:a="http://schemas.openxmlformats.org/drawingml/2006/main">
                    <a:graphicData uri="http://schemas.openxmlformats.org/drawingml/2006/picture">
                      <pic:pic xmlns:pic="http://schemas.openxmlformats.org/drawingml/2006/picture">
                        <pic:nvPicPr>
                          <pic:cNvPr id="103" name="ID_AB16DF231FBF4556ADF709302D34D065"/>
                          <pic:cNvPicPr/>
                        </pic:nvPicPr>
                        <pic:blipFill>
                          <a:blip r:embed="rId41"/>
                          <a:stretch>
                            <a:fillRect/>
                          </a:stretch>
                        </pic:blipFill>
                        <pic:spPr>
                          <a:xfrm>
                            <a:off x="0" y="0"/>
                            <a:ext cx="1266825" cy="14224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0B614B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67DE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7E9E47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269175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0607F45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实木圆餐桌椅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0B0E2C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1、基材：采用优质采用白蜡木（符合E1级要求），面板采用15mm厚的杉木直条板。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3、五金件：采用优质五金配件，镀铜工艺，防锈抗氧化（铰链、三合一连接件），经防锈处理，达国家标准。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AA2A87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450×450×980</w:t>
            </w:r>
          </w:p>
        </w:tc>
        <w:tc>
          <w:tcPr>
            <w:tcW w:w="712" w:type="dxa"/>
            <w:tcBorders>
              <w:top w:val="single" w:color="000000" w:sz="4" w:space="0"/>
              <w:left w:val="single" w:color="000000" w:sz="4" w:space="0"/>
              <w:bottom w:val="single" w:color="000000" w:sz="4" w:space="0"/>
              <w:right w:val="nil"/>
            </w:tcBorders>
            <w:noWrap/>
            <w:vAlign w:val="center"/>
          </w:tcPr>
          <w:p w14:paraId="4255860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5A5BE21">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9FA452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223520</wp:posOffset>
                  </wp:positionV>
                  <wp:extent cx="1297940" cy="1349375"/>
                  <wp:effectExtent l="0" t="0" r="16510" b="3175"/>
                  <wp:wrapNone/>
                  <wp:docPr id="119" name="图片_3"/>
                  <wp:cNvGraphicFramePr/>
                  <a:graphic xmlns:a="http://schemas.openxmlformats.org/drawingml/2006/main">
                    <a:graphicData uri="http://schemas.openxmlformats.org/drawingml/2006/picture">
                      <pic:pic xmlns:pic="http://schemas.openxmlformats.org/drawingml/2006/picture">
                        <pic:nvPicPr>
                          <pic:cNvPr id="119" name="图片_3"/>
                          <pic:cNvPicPr/>
                        </pic:nvPicPr>
                        <pic:blipFill>
                          <a:blip r:embed="rId42"/>
                          <a:stretch>
                            <a:fillRect/>
                          </a:stretch>
                        </pic:blipFill>
                        <pic:spPr>
                          <a:xfrm>
                            <a:off x="0" y="0"/>
                            <a:ext cx="1297940" cy="134937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19BF48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B1E6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66B62E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19B742F">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2A5719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36E102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1、基材：采用优质橡胶木（符合E1级要求），面板采用15mm厚的杉木直条板。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3、软包内采用环保高密度高回弹海绵，外包采用可拆洗亲肤棉麻面料，座包高度150mm。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4、五金件：采用优质五金配件，镀铜工艺，防锈抗氧化（铰链、三合一连接件），经防锈处理，达国家标准。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4D5CC0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2240×810×850</w:t>
            </w:r>
          </w:p>
        </w:tc>
        <w:tc>
          <w:tcPr>
            <w:tcW w:w="712" w:type="dxa"/>
            <w:tcBorders>
              <w:top w:val="single" w:color="000000" w:sz="4" w:space="0"/>
              <w:left w:val="single" w:color="000000" w:sz="4" w:space="0"/>
              <w:bottom w:val="single" w:color="000000" w:sz="4" w:space="0"/>
              <w:right w:val="nil"/>
            </w:tcBorders>
            <w:noWrap/>
            <w:vAlign w:val="center"/>
          </w:tcPr>
          <w:p w14:paraId="28967EE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4747B5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712463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46355</wp:posOffset>
                  </wp:positionH>
                  <wp:positionV relativeFrom="paragraph">
                    <wp:posOffset>182880</wp:posOffset>
                  </wp:positionV>
                  <wp:extent cx="1241425" cy="1411605"/>
                  <wp:effectExtent l="0" t="0" r="15875" b="17145"/>
                  <wp:wrapNone/>
                  <wp:docPr id="100" name="ID_06F039AC65E744A3A758E40BBCBD0EE8"/>
                  <wp:cNvGraphicFramePr/>
                  <a:graphic xmlns:a="http://schemas.openxmlformats.org/drawingml/2006/main">
                    <a:graphicData uri="http://schemas.openxmlformats.org/drawingml/2006/picture">
                      <pic:pic xmlns:pic="http://schemas.openxmlformats.org/drawingml/2006/picture">
                        <pic:nvPicPr>
                          <pic:cNvPr id="100" name="ID_06F039AC65E744A3A758E40BBCBD0EE8"/>
                          <pic:cNvPicPr/>
                        </pic:nvPicPr>
                        <pic:blipFill>
                          <a:blip r:embed="rId43"/>
                          <a:stretch>
                            <a:fillRect/>
                          </a:stretch>
                        </pic:blipFill>
                        <pic:spPr>
                          <a:xfrm>
                            <a:off x="0" y="0"/>
                            <a:ext cx="1241425" cy="14116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499A74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F4CD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DB8D61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46B16EE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340908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734AEE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1、基材：采用优质橡胶木（符合E1级要求），面板采用15mm厚的杉木直条板。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6001385</wp:posOffset>
                  </wp:positionH>
                  <wp:positionV relativeFrom="paragraph">
                    <wp:posOffset>46990</wp:posOffset>
                  </wp:positionV>
                  <wp:extent cx="1188085" cy="1031240"/>
                  <wp:effectExtent l="0" t="0" r="12065" b="16510"/>
                  <wp:wrapNone/>
                  <wp:docPr id="106" name="ID_93476EE892EE4C9786564B99EE1EBC3C"/>
                  <wp:cNvGraphicFramePr/>
                  <a:graphic xmlns:a="http://schemas.openxmlformats.org/drawingml/2006/main">
                    <a:graphicData uri="http://schemas.openxmlformats.org/drawingml/2006/picture">
                      <pic:pic xmlns:pic="http://schemas.openxmlformats.org/drawingml/2006/picture">
                        <pic:nvPicPr>
                          <pic:cNvPr id="106" name="ID_93476EE892EE4C9786564B99EE1EBC3C"/>
                          <pic:cNvPicPr/>
                        </pic:nvPicPr>
                        <pic:blipFill>
                          <a:blip r:embed="rId44"/>
                          <a:stretch>
                            <a:fillRect/>
                          </a:stretch>
                        </pic:blipFill>
                        <pic:spPr>
                          <a:xfrm>
                            <a:off x="0" y="0"/>
                            <a:ext cx="1188085" cy="10312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3、软包内采用环保高密度高回弹海绵，外包采用可拆洗亲肤棉麻面料，座包高度150mm。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4、五金件：采用优质五金配件，镀铜工艺，防锈抗氧化（铰链、三合一连接件），经防锈处理，达国家标准。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E78BAD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860×810×850</w:t>
            </w:r>
          </w:p>
        </w:tc>
        <w:tc>
          <w:tcPr>
            <w:tcW w:w="712" w:type="dxa"/>
            <w:tcBorders>
              <w:top w:val="single" w:color="000000" w:sz="4" w:space="0"/>
              <w:left w:val="single" w:color="000000" w:sz="4" w:space="0"/>
              <w:bottom w:val="single" w:color="000000" w:sz="4" w:space="0"/>
              <w:right w:val="nil"/>
            </w:tcBorders>
            <w:noWrap/>
            <w:vAlign w:val="center"/>
          </w:tcPr>
          <w:p w14:paraId="29280A3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C8009F2">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68DEC8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724F2D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5CAB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6"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6652A1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A22D1D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2175A6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58BF34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1、基材：采用优质橡胶木（符合E1级要求），面板厚度≥30mm，内嵌12mm岩板。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482C6B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1200×600×450</w:t>
            </w:r>
          </w:p>
        </w:tc>
        <w:tc>
          <w:tcPr>
            <w:tcW w:w="712" w:type="dxa"/>
            <w:tcBorders>
              <w:top w:val="single" w:color="000000" w:sz="4" w:space="0"/>
              <w:left w:val="single" w:color="000000" w:sz="4" w:space="0"/>
              <w:bottom w:val="single" w:color="000000" w:sz="4" w:space="0"/>
              <w:right w:val="nil"/>
            </w:tcBorders>
            <w:noWrap/>
            <w:vAlign w:val="center"/>
          </w:tcPr>
          <w:p w14:paraId="032B65B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C299BAD">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8723CB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50165</wp:posOffset>
                  </wp:positionH>
                  <wp:positionV relativeFrom="paragraph">
                    <wp:posOffset>105410</wp:posOffset>
                  </wp:positionV>
                  <wp:extent cx="1214755" cy="1016635"/>
                  <wp:effectExtent l="0" t="0" r="4445" b="12065"/>
                  <wp:wrapNone/>
                  <wp:docPr id="111" name="ID_6BF46B1160A04856BA27C06F576DE4B2"/>
                  <wp:cNvGraphicFramePr/>
                  <a:graphic xmlns:a="http://schemas.openxmlformats.org/drawingml/2006/main">
                    <a:graphicData uri="http://schemas.openxmlformats.org/drawingml/2006/picture">
                      <pic:pic xmlns:pic="http://schemas.openxmlformats.org/drawingml/2006/picture">
                        <pic:nvPicPr>
                          <pic:cNvPr id="111" name="ID_6BF46B1160A04856BA27C06F576DE4B2"/>
                          <pic:cNvPicPr/>
                        </pic:nvPicPr>
                        <pic:blipFill>
                          <a:blip r:embed="rId45"/>
                          <a:stretch>
                            <a:fillRect/>
                          </a:stretch>
                        </pic:blipFill>
                        <pic:spPr>
                          <a:xfrm>
                            <a:off x="0" y="0"/>
                            <a:ext cx="1214755" cy="10166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4E03726">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0B99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0B90E7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22D2D4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5AA8699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（含5椅子）</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0E2454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Style w:val="103"/>
                <w:rFonts w:hint="eastAsia" w:ascii="宋体" w:hAnsi="宋体" w:eastAsia="宋体" w:cs="宋体"/>
                <w:sz w:val="18"/>
                <w:szCs w:val="18"/>
                <w:lang w:val="en-US" w:eastAsia="zh-CN" w:bidi="ar"/>
              </w:rPr>
              <w:t>1</w:t>
            </w:r>
            <w:r>
              <w:rPr>
                <w:rStyle w:val="103"/>
                <w:rFonts w:hint="eastAsia" w:ascii="宋体" w:hAnsi="宋体" w:cs="宋体"/>
                <w:sz w:val="18"/>
                <w:szCs w:val="18"/>
                <w:lang w:val="en-US" w:eastAsia="zh-CN" w:bidi="ar"/>
              </w:rPr>
              <w:t>、</w:t>
            </w:r>
            <w:r>
              <w:rPr>
                <w:rStyle w:val="103"/>
                <w:rFonts w:hint="eastAsia" w:ascii="宋体" w:hAnsi="宋体" w:eastAsia="宋体" w:cs="宋体"/>
                <w:sz w:val="18"/>
                <w:szCs w:val="18"/>
                <w:lang w:val="en-US" w:eastAsia="zh-CN" w:bidi="ar"/>
              </w:rPr>
              <w:t>基材：采用优质橡胶木（符合E1级要求）</w:t>
            </w:r>
            <w:r>
              <w:rPr>
                <w:rStyle w:val="103"/>
                <w:rFonts w:hint="eastAsia" w:ascii="宋体" w:hAnsi="宋体" w:eastAsia="宋体" w:cs="宋体"/>
                <w:sz w:val="18"/>
                <w:szCs w:val="18"/>
                <w:lang w:val="en-US" w:eastAsia="zh-CN" w:bidi="ar"/>
              </w:rPr>
              <w:br w:type="textWrapping"/>
            </w:r>
            <w:r>
              <w:rPr>
                <w:rStyle w:val="103"/>
                <w:rFonts w:hint="eastAsia" w:ascii="宋体" w:hAnsi="宋体" w:eastAsia="宋体" w:cs="宋体"/>
                <w:sz w:val="18"/>
                <w:szCs w:val="18"/>
                <w:lang w:val="en-US" w:eastAsia="zh-CN" w:bidi="ar"/>
              </w:rPr>
              <w:t>2、油漆：采用水性底漆和面漆，光泽丰满，附着力强，耐腐蚀性，耐水耐磨，引用先进油漆工艺“五底三面”，光泽均匀，不褪色，绿色环保；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300283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1580×780×730</w:t>
            </w:r>
          </w:p>
        </w:tc>
        <w:tc>
          <w:tcPr>
            <w:tcW w:w="712" w:type="dxa"/>
            <w:tcBorders>
              <w:top w:val="single" w:color="000000" w:sz="4" w:space="0"/>
              <w:left w:val="single" w:color="000000" w:sz="4" w:space="0"/>
              <w:bottom w:val="single" w:color="000000" w:sz="4" w:space="0"/>
              <w:right w:val="nil"/>
            </w:tcBorders>
            <w:noWrap/>
            <w:vAlign w:val="center"/>
          </w:tcPr>
          <w:p w14:paraId="26260E2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DE3239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D6E4C8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15240</wp:posOffset>
                  </wp:positionH>
                  <wp:positionV relativeFrom="paragraph">
                    <wp:posOffset>108585</wp:posOffset>
                  </wp:positionV>
                  <wp:extent cx="1263015" cy="1066800"/>
                  <wp:effectExtent l="0" t="0" r="13335" b="0"/>
                  <wp:wrapNone/>
                  <wp:docPr id="112" name="ID_1E1CF65BC6A24795AC60FF1BD62F488C"/>
                  <wp:cNvGraphicFramePr/>
                  <a:graphic xmlns:a="http://schemas.openxmlformats.org/drawingml/2006/main">
                    <a:graphicData uri="http://schemas.openxmlformats.org/drawingml/2006/picture">
                      <pic:pic xmlns:pic="http://schemas.openxmlformats.org/drawingml/2006/picture">
                        <pic:nvPicPr>
                          <pic:cNvPr id="112" name="ID_1E1CF65BC6A24795AC60FF1BD62F488C"/>
                          <pic:cNvPicPr/>
                        </pic:nvPicPr>
                        <pic:blipFill>
                          <a:blip r:embed="rId46"/>
                          <a:stretch>
                            <a:fillRect/>
                          </a:stretch>
                        </pic:blipFill>
                        <pic:spPr>
                          <a:xfrm>
                            <a:off x="0" y="0"/>
                            <a:ext cx="1263015" cy="10668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9CCDEB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F4F3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7AF5B2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4B8722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72B505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857E28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1、基材：采用优质橡胶木（符合E1级要求），面板厚度≥25mm。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BA92AA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800×400×800</w:t>
            </w:r>
          </w:p>
        </w:tc>
        <w:tc>
          <w:tcPr>
            <w:tcW w:w="712" w:type="dxa"/>
            <w:tcBorders>
              <w:top w:val="single" w:color="000000" w:sz="4" w:space="0"/>
              <w:left w:val="single" w:color="000000" w:sz="4" w:space="0"/>
              <w:bottom w:val="single" w:color="000000" w:sz="4" w:space="0"/>
              <w:right w:val="nil"/>
            </w:tcBorders>
            <w:noWrap/>
            <w:vAlign w:val="center"/>
          </w:tcPr>
          <w:p w14:paraId="2FD8358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248952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EA5FC76">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11430</wp:posOffset>
                  </wp:positionH>
                  <wp:positionV relativeFrom="paragraph">
                    <wp:posOffset>86360</wp:posOffset>
                  </wp:positionV>
                  <wp:extent cx="1264920" cy="1266190"/>
                  <wp:effectExtent l="0" t="0" r="11430" b="10160"/>
                  <wp:wrapNone/>
                  <wp:docPr id="108" name="ID_9151E21AF7924F1396F62D53AE83EF1E"/>
                  <wp:cNvGraphicFramePr/>
                  <a:graphic xmlns:a="http://schemas.openxmlformats.org/drawingml/2006/main">
                    <a:graphicData uri="http://schemas.openxmlformats.org/drawingml/2006/picture">
                      <pic:pic xmlns:pic="http://schemas.openxmlformats.org/drawingml/2006/picture">
                        <pic:nvPicPr>
                          <pic:cNvPr id="108" name="ID_9151E21AF7924F1396F62D53AE83EF1E"/>
                          <pic:cNvPicPr/>
                        </pic:nvPicPr>
                        <pic:blipFill>
                          <a:blip r:embed="rId47"/>
                          <a:stretch>
                            <a:fillRect/>
                          </a:stretch>
                        </pic:blipFill>
                        <pic:spPr>
                          <a:xfrm>
                            <a:off x="0" y="0"/>
                            <a:ext cx="1264920" cy="126619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D7E1B7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1FA7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1439081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7ECB00A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食堂</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31B241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花架隔断</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4115BE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铁艺烤漆，镀锌钢管</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286318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1200×300×900</w:t>
            </w:r>
          </w:p>
        </w:tc>
        <w:tc>
          <w:tcPr>
            <w:tcW w:w="712" w:type="dxa"/>
            <w:tcBorders>
              <w:top w:val="single" w:color="000000" w:sz="4" w:space="0"/>
              <w:left w:val="single" w:color="000000" w:sz="4" w:space="0"/>
              <w:bottom w:val="single" w:color="000000" w:sz="4" w:space="0"/>
              <w:right w:val="nil"/>
            </w:tcBorders>
            <w:noWrap/>
            <w:vAlign w:val="center"/>
          </w:tcPr>
          <w:p w14:paraId="6A70176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C7D646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36A63A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9525</wp:posOffset>
                  </wp:positionH>
                  <wp:positionV relativeFrom="paragraph">
                    <wp:posOffset>90170</wp:posOffset>
                  </wp:positionV>
                  <wp:extent cx="1252220" cy="1266825"/>
                  <wp:effectExtent l="0" t="0" r="5080" b="9525"/>
                  <wp:wrapNone/>
                  <wp:docPr id="93" name="ID_540B899A6D544470BAA1B79F1359EBA3"/>
                  <wp:cNvGraphicFramePr/>
                  <a:graphic xmlns:a="http://schemas.openxmlformats.org/drawingml/2006/main">
                    <a:graphicData uri="http://schemas.openxmlformats.org/drawingml/2006/picture">
                      <pic:pic xmlns:pic="http://schemas.openxmlformats.org/drawingml/2006/picture">
                        <pic:nvPicPr>
                          <pic:cNvPr id="93" name="ID_540B899A6D544470BAA1B79F1359EBA3"/>
                          <pic:cNvPicPr/>
                        </pic:nvPicPr>
                        <pic:blipFill>
                          <a:blip r:embed="rId48"/>
                          <a:stretch>
                            <a:fillRect/>
                          </a:stretch>
                        </pic:blipFill>
                        <pic:spPr>
                          <a:xfrm>
                            <a:off x="0" y="0"/>
                            <a:ext cx="1252220" cy="12668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5A1C73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3C22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BBAD64F">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CF6C8A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AA941D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长形餐桌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889760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1、基材：采用优质橡胶木（符合E1级要求），桌面采用12mm厚整块的岩板。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7A188D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1400×800×750</w:t>
            </w:r>
          </w:p>
        </w:tc>
        <w:tc>
          <w:tcPr>
            <w:tcW w:w="712" w:type="dxa"/>
            <w:tcBorders>
              <w:top w:val="single" w:color="000000" w:sz="4" w:space="0"/>
              <w:left w:val="single" w:color="000000" w:sz="4" w:space="0"/>
              <w:bottom w:val="single" w:color="000000" w:sz="4" w:space="0"/>
              <w:right w:val="nil"/>
            </w:tcBorders>
            <w:noWrap/>
            <w:vAlign w:val="center"/>
          </w:tcPr>
          <w:p w14:paraId="1769F85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040660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881CC8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41275</wp:posOffset>
                  </wp:positionH>
                  <wp:positionV relativeFrom="paragraph">
                    <wp:posOffset>76200</wp:posOffset>
                  </wp:positionV>
                  <wp:extent cx="1214755" cy="1209675"/>
                  <wp:effectExtent l="0" t="0" r="4445" b="9525"/>
                  <wp:wrapNone/>
                  <wp:docPr id="120" name="ID_9F54066B8AA94A4C80A43A9227491A7F"/>
                  <wp:cNvGraphicFramePr/>
                  <a:graphic xmlns:a="http://schemas.openxmlformats.org/drawingml/2006/main">
                    <a:graphicData uri="http://schemas.openxmlformats.org/drawingml/2006/picture">
                      <pic:pic xmlns:pic="http://schemas.openxmlformats.org/drawingml/2006/picture">
                        <pic:nvPicPr>
                          <pic:cNvPr id="120" name="ID_9F54066B8AA94A4C80A43A9227491A7F"/>
                          <pic:cNvPicPr/>
                        </pic:nvPicPr>
                        <pic:blipFill>
                          <a:blip r:embed="rId49"/>
                          <a:stretch>
                            <a:fillRect/>
                          </a:stretch>
                        </pic:blipFill>
                        <pic:spPr>
                          <a:xfrm>
                            <a:off x="0" y="0"/>
                            <a:ext cx="1214755" cy="120967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8DBF59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B6D5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2FEE12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4953C8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9E1D3F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46D14B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1、基材：采用优质橡胶木（符合E1级要求），面板采用15mm厚的杉木直条板。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153739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450×450×780</w:t>
            </w:r>
          </w:p>
        </w:tc>
        <w:tc>
          <w:tcPr>
            <w:tcW w:w="712" w:type="dxa"/>
            <w:tcBorders>
              <w:top w:val="single" w:color="000000" w:sz="4" w:space="0"/>
              <w:left w:val="single" w:color="000000" w:sz="4" w:space="0"/>
              <w:bottom w:val="single" w:color="000000" w:sz="4" w:space="0"/>
              <w:right w:val="nil"/>
            </w:tcBorders>
            <w:noWrap/>
            <w:vAlign w:val="center"/>
          </w:tcPr>
          <w:p w14:paraId="2E28F8F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FFF4D8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DABD72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19050</wp:posOffset>
                  </wp:positionH>
                  <wp:positionV relativeFrom="paragraph">
                    <wp:posOffset>80010</wp:posOffset>
                  </wp:positionV>
                  <wp:extent cx="1262380" cy="1076325"/>
                  <wp:effectExtent l="0" t="0" r="13970" b="9525"/>
                  <wp:wrapNone/>
                  <wp:docPr id="121" name="图片_2"/>
                  <wp:cNvGraphicFramePr/>
                  <a:graphic xmlns:a="http://schemas.openxmlformats.org/drawingml/2006/main">
                    <a:graphicData uri="http://schemas.openxmlformats.org/drawingml/2006/picture">
                      <pic:pic xmlns:pic="http://schemas.openxmlformats.org/drawingml/2006/picture">
                        <pic:nvPicPr>
                          <pic:cNvPr id="121" name="图片_2"/>
                          <pic:cNvPicPr/>
                        </pic:nvPicPr>
                        <pic:blipFill>
                          <a:blip r:embed="rId50"/>
                          <a:stretch>
                            <a:fillRect/>
                          </a:stretch>
                        </pic:blipFill>
                        <pic:spPr>
                          <a:xfrm>
                            <a:off x="0" y="0"/>
                            <a:ext cx="1262380" cy="10763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954063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8ABF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3616D6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3D24E2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BFDFAA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圆形餐桌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ED76E1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1、基材：采用优质橡胶木（符合E1级要求），桌面采用≥12mm厚整块的岩板。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57009B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auto"/>
                <w:kern w:val="0"/>
                <w:sz w:val="18"/>
                <w:szCs w:val="18"/>
                <w:u w:val="none"/>
                <w:lang w:val="en-US" w:eastAsia="zh-CN" w:bidi="ar"/>
              </w:rPr>
              <w:t>φ1</w:t>
            </w:r>
            <w:r>
              <w:rPr>
                <w:rFonts w:hint="eastAsia" w:ascii="宋体" w:hAnsi="宋体" w:eastAsia="宋体" w:cs="宋体"/>
                <w:i w:val="0"/>
                <w:iCs w:val="0"/>
                <w:color w:val="000000"/>
                <w:kern w:val="0"/>
                <w:sz w:val="18"/>
                <w:szCs w:val="18"/>
                <w:u w:val="none"/>
                <w:lang w:val="en-US" w:eastAsia="zh-CN" w:bidi="ar"/>
              </w:rPr>
              <w:t>200×750</w:t>
            </w:r>
          </w:p>
        </w:tc>
        <w:tc>
          <w:tcPr>
            <w:tcW w:w="712" w:type="dxa"/>
            <w:tcBorders>
              <w:top w:val="single" w:color="000000" w:sz="4" w:space="0"/>
              <w:left w:val="single" w:color="000000" w:sz="4" w:space="0"/>
              <w:bottom w:val="single" w:color="000000" w:sz="4" w:space="0"/>
              <w:right w:val="nil"/>
            </w:tcBorders>
            <w:noWrap/>
            <w:vAlign w:val="center"/>
          </w:tcPr>
          <w:p w14:paraId="00736EF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C73737F">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37AA57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114300</wp:posOffset>
                  </wp:positionH>
                  <wp:positionV relativeFrom="paragraph">
                    <wp:posOffset>41910</wp:posOffset>
                  </wp:positionV>
                  <wp:extent cx="1126490" cy="1097915"/>
                  <wp:effectExtent l="0" t="0" r="16510" b="6985"/>
                  <wp:wrapNone/>
                  <wp:docPr id="109" name="ID_6E6FCBB3BCEB423EA1ACA0654963E277"/>
                  <wp:cNvGraphicFramePr/>
                  <a:graphic xmlns:a="http://schemas.openxmlformats.org/drawingml/2006/main">
                    <a:graphicData uri="http://schemas.openxmlformats.org/drawingml/2006/picture">
                      <pic:pic xmlns:pic="http://schemas.openxmlformats.org/drawingml/2006/picture">
                        <pic:nvPicPr>
                          <pic:cNvPr id="109" name="ID_6E6FCBB3BCEB423EA1ACA0654963E277"/>
                          <pic:cNvPicPr/>
                        </pic:nvPicPr>
                        <pic:blipFill>
                          <a:blip r:embed="rId51"/>
                          <a:stretch>
                            <a:fillRect/>
                          </a:stretch>
                        </pic:blipFill>
                        <pic:spPr>
                          <a:xfrm>
                            <a:off x="0" y="0"/>
                            <a:ext cx="1126490" cy="10979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394F5E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593D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F3FA79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745A82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44C65E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CD5586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1、基材：采用优质橡胶木（符合E1级要求），面板采用15mm厚的杉木直条板。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3EC97A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450×450×780</w:t>
            </w:r>
          </w:p>
        </w:tc>
        <w:tc>
          <w:tcPr>
            <w:tcW w:w="712" w:type="dxa"/>
            <w:tcBorders>
              <w:top w:val="single" w:color="000000" w:sz="4" w:space="0"/>
              <w:left w:val="single" w:color="000000" w:sz="4" w:space="0"/>
              <w:bottom w:val="single" w:color="000000" w:sz="4" w:space="0"/>
              <w:right w:val="nil"/>
            </w:tcBorders>
            <w:noWrap/>
            <w:vAlign w:val="center"/>
          </w:tcPr>
          <w:p w14:paraId="6D03BA6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74F67A6">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29AF45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10160</wp:posOffset>
                  </wp:positionH>
                  <wp:positionV relativeFrom="paragraph">
                    <wp:posOffset>100330</wp:posOffset>
                  </wp:positionV>
                  <wp:extent cx="1269365" cy="1054100"/>
                  <wp:effectExtent l="0" t="0" r="6985" b="12700"/>
                  <wp:wrapNone/>
                  <wp:docPr id="92" name="图片_1"/>
                  <wp:cNvGraphicFramePr/>
                  <a:graphic xmlns:a="http://schemas.openxmlformats.org/drawingml/2006/main">
                    <a:graphicData uri="http://schemas.openxmlformats.org/drawingml/2006/picture">
                      <pic:pic xmlns:pic="http://schemas.openxmlformats.org/drawingml/2006/picture">
                        <pic:nvPicPr>
                          <pic:cNvPr id="92" name="图片_1"/>
                          <pic:cNvPicPr/>
                        </pic:nvPicPr>
                        <pic:blipFill>
                          <a:blip r:embed="rId52"/>
                          <a:stretch>
                            <a:fillRect/>
                          </a:stretch>
                        </pic:blipFill>
                        <pic:spPr>
                          <a:xfrm>
                            <a:off x="0" y="0"/>
                            <a:ext cx="1269365" cy="10541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94A145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C0E9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16E8646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14272" w:type="dxa"/>
            <w:gridSpan w:val="7"/>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4D972B2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24"/>
                <w:szCs w:val="24"/>
                <w:u w:val="none"/>
                <w:shd w:val="clear" w:color="auto" w:fill="auto"/>
              </w:rPr>
            </w:pPr>
            <w:r>
              <w:rPr>
                <w:rFonts w:hint="eastAsia" w:ascii="宋体" w:hAnsi="宋体" w:eastAsia="宋体" w:cs="宋体"/>
                <w:b/>
                <w:bCs/>
                <w:i w:val="0"/>
                <w:iCs w:val="0"/>
                <w:color w:val="000000"/>
                <w:kern w:val="0"/>
                <w:sz w:val="24"/>
                <w:szCs w:val="24"/>
                <w:u w:val="none"/>
                <w:shd w:val="clear" w:color="auto" w:fill="auto"/>
                <w:lang w:val="en-US" w:eastAsia="zh-CN" w:bidi="ar"/>
              </w:rPr>
              <w:t>二层</w:t>
            </w:r>
          </w:p>
        </w:tc>
        <w:tc>
          <w:tcPr>
            <w:tcW w:w="818" w:type="dxa"/>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141397F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kern w:val="0"/>
                <w:sz w:val="24"/>
                <w:szCs w:val="24"/>
                <w:u w:val="none"/>
                <w:shd w:val="clear" w:color="auto" w:fill="auto"/>
                <w:lang w:val="en-US" w:eastAsia="zh-CN" w:bidi="ar"/>
              </w:rPr>
            </w:pPr>
          </w:p>
        </w:tc>
      </w:tr>
      <w:tr w14:paraId="462AC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273FB70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1BF3449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公寓房6单间</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8B9410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1.8米床</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8DE02F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1、基材：采用优质橡胶木（符合E1级要求），床板采用15mm厚的杉木直条板。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2、油漆：外露木质部分采用水性底漆和面漆，光泽丰满，附着力强，耐腐蚀性，耐水耐磨，引用先进油漆工艺“五底三面”，光泽均匀，不褪色，绿色环保；                                        3、靠背软包部分采用高弹性、高密度海绵，外扪加厚水洗皮。</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D44FE7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2200×1800×1190</w:t>
            </w:r>
          </w:p>
        </w:tc>
        <w:tc>
          <w:tcPr>
            <w:tcW w:w="712" w:type="dxa"/>
            <w:tcBorders>
              <w:top w:val="single" w:color="000000" w:sz="4" w:space="0"/>
              <w:left w:val="single" w:color="000000" w:sz="4" w:space="0"/>
              <w:bottom w:val="single" w:color="000000" w:sz="4" w:space="0"/>
              <w:right w:val="nil"/>
            </w:tcBorders>
            <w:noWrap/>
            <w:vAlign w:val="center"/>
          </w:tcPr>
          <w:p w14:paraId="0B32A6F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8260FEF">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A95DFB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39370</wp:posOffset>
                  </wp:positionH>
                  <wp:positionV relativeFrom="paragraph">
                    <wp:posOffset>122555</wp:posOffset>
                  </wp:positionV>
                  <wp:extent cx="1228090" cy="1269365"/>
                  <wp:effectExtent l="0" t="0" r="10160" b="6985"/>
                  <wp:wrapNone/>
                  <wp:docPr id="94" name="ID_3692BB04797146A19DB7D92819949C57"/>
                  <wp:cNvGraphicFramePr/>
                  <a:graphic xmlns:a="http://schemas.openxmlformats.org/drawingml/2006/main">
                    <a:graphicData uri="http://schemas.openxmlformats.org/drawingml/2006/picture">
                      <pic:pic xmlns:pic="http://schemas.openxmlformats.org/drawingml/2006/picture">
                        <pic:nvPicPr>
                          <pic:cNvPr id="94" name="ID_3692BB04797146A19DB7D92819949C57"/>
                          <pic:cNvPicPr/>
                        </pic:nvPicPr>
                        <pic:blipFill>
                          <a:blip r:embed="rId53"/>
                          <a:stretch>
                            <a:fillRect/>
                          </a:stretch>
                        </pic:blipFill>
                        <pic:spPr>
                          <a:xfrm>
                            <a:off x="0" y="0"/>
                            <a:ext cx="1228090" cy="12693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80E661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7F26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C96340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B5148E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B87F9A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1.8米床垫</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E7CD2B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天丝面料+乳胶+独立袋装弹簧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厚度：22cm</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9F51A0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2000×1800×220</w:t>
            </w:r>
          </w:p>
        </w:tc>
        <w:tc>
          <w:tcPr>
            <w:tcW w:w="712" w:type="dxa"/>
            <w:tcBorders>
              <w:top w:val="single" w:color="000000" w:sz="4" w:space="0"/>
              <w:left w:val="single" w:color="000000" w:sz="4" w:space="0"/>
              <w:bottom w:val="single" w:color="000000" w:sz="4" w:space="0"/>
              <w:right w:val="nil"/>
            </w:tcBorders>
            <w:noWrap/>
            <w:vAlign w:val="center"/>
          </w:tcPr>
          <w:p w14:paraId="7ED431B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41EF100">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BD0D18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21590</wp:posOffset>
                  </wp:positionH>
                  <wp:positionV relativeFrom="paragraph">
                    <wp:posOffset>168910</wp:posOffset>
                  </wp:positionV>
                  <wp:extent cx="1252855" cy="1463675"/>
                  <wp:effectExtent l="0" t="0" r="4445" b="3175"/>
                  <wp:wrapNone/>
                  <wp:docPr id="101" name="ID_2D0B939F642B43A9ADCB83459A48FD98"/>
                  <wp:cNvGraphicFramePr/>
                  <a:graphic xmlns:a="http://schemas.openxmlformats.org/drawingml/2006/main">
                    <a:graphicData uri="http://schemas.openxmlformats.org/drawingml/2006/picture">
                      <pic:pic xmlns:pic="http://schemas.openxmlformats.org/drawingml/2006/picture">
                        <pic:nvPicPr>
                          <pic:cNvPr id="101" name="ID_2D0B939F642B43A9ADCB83459A48FD98"/>
                          <pic:cNvPicPr/>
                        </pic:nvPicPr>
                        <pic:blipFill>
                          <a:blip r:embed="rId54"/>
                          <a:stretch>
                            <a:fillRect/>
                          </a:stretch>
                        </pic:blipFill>
                        <pic:spPr>
                          <a:xfrm>
                            <a:off x="0" y="0"/>
                            <a:ext cx="1252855" cy="146367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DF4DEA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3A9DC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D0D5D2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A1B1538">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A9E070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727679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1、基材：采用优质橡胶木（符合E1级要求），面板采用25mm厚的杉木直条板。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床头柜抽屉围板用12mm厚的杉木板钉制，底部厚度达到9mm。</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C15D7C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470×370×470</w:t>
            </w:r>
          </w:p>
        </w:tc>
        <w:tc>
          <w:tcPr>
            <w:tcW w:w="712" w:type="dxa"/>
            <w:tcBorders>
              <w:top w:val="single" w:color="000000" w:sz="4" w:space="0"/>
              <w:left w:val="single" w:color="000000" w:sz="4" w:space="0"/>
              <w:bottom w:val="single" w:color="000000" w:sz="4" w:space="0"/>
              <w:right w:val="nil"/>
            </w:tcBorders>
            <w:noWrap/>
            <w:vAlign w:val="center"/>
          </w:tcPr>
          <w:p w14:paraId="167541F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BCC7155">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B202A9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22860</wp:posOffset>
                  </wp:positionH>
                  <wp:positionV relativeFrom="paragraph">
                    <wp:posOffset>72390</wp:posOffset>
                  </wp:positionV>
                  <wp:extent cx="1233170" cy="1401445"/>
                  <wp:effectExtent l="0" t="0" r="5080" b="8255"/>
                  <wp:wrapNone/>
                  <wp:docPr id="95" name="ID_D61F82FC56EB449793B0EC7160A7A371"/>
                  <wp:cNvGraphicFramePr/>
                  <a:graphic xmlns:a="http://schemas.openxmlformats.org/drawingml/2006/main">
                    <a:graphicData uri="http://schemas.openxmlformats.org/drawingml/2006/picture">
                      <pic:pic xmlns:pic="http://schemas.openxmlformats.org/drawingml/2006/picture">
                        <pic:nvPicPr>
                          <pic:cNvPr id="95" name="ID_D61F82FC56EB449793B0EC7160A7A371"/>
                          <pic:cNvPicPr/>
                        </pic:nvPicPr>
                        <pic:blipFill>
                          <a:blip r:embed="rId55"/>
                          <a:stretch>
                            <a:fillRect/>
                          </a:stretch>
                        </pic:blipFill>
                        <pic:spPr>
                          <a:xfrm>
                            <a:off x="0" y="0"/>
                            <a:ext cx="1233170" cy="14014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529EBC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F45C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14F29F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E5B042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E93379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三门衣柜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7BAA6E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1、饰面：采用优质环保三聚氰胺饰面板，</w:t>
            </w:r>
            <w:r>
              <w:rPr>
                <w:rFonts w:hint="eastAsia" w:ascii="宋体" w:hAnsi="宋体" w:eastAsia="宋体" w:cs="宋体"/>
                <w:i w:val="0"/>
                <w:iCs w:val="0"/>
                <w:color w:val="auto"/>
                <w:kern w:val="0"/>
                <w:sz w:val="18"/>
                <w:szCs w:val="18"/>
                <w:u w:val="none"/>
                <w:lang w:val="en-US" w:eastAsia="zh-CN" w:bidi="ar"/>
              </w:rPr>
              <w:t>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2、基材：采用优质环保多层板，甲醛释放量≤0.0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w:t>
            </w:r>
            <w:r>
              <w:rPr>
                <w:rFonts w:hint="eastAsia" w:ascii="宋体" w:hAnsi="宋体" w:eastAsia="宋体" w:cs="宋体"/>
                <w:i w:val="0"/>
                <w:iCs w:val="0"/>
                <w:color w:val="000000"/>
                <w:kern w:val="0"/>
                <w:sz w:val="18"/>
                <w:szCs w:val="18"/>
                <w:u w:val="none"/>
                <w:lang w:val="en-US" w:eastAsia="zh-CN" w:bidi="ar"/>
              </w:rPr>
              <w:t>检出苯含量，游离甲醛≤1g/kg；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5、五金件：采用优质五金配件（铰链、拉手、三合一连接件），经防锈处理，达国家标准。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6、采用≥1.4mm加厚铝镁合金边框，结实防变形</w:t>
            </w:r>
            <w:r>
              <w:rPr>
                <w:rFonts w:hint="eastAsia" w:ascii="宋体" w:hAnsi="宋体" w:cs="宋体"/>
                <w:i w:val="0"/>
                <w:iCs w:val="0"/>
                <w:color w:val="000000"/>
                <w:kern w:val="0"/>
                <w:sz w:val="18"/>
                <w:szCs w:val="18"/>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343A15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2000×600×2000</w:t>
            </w:r>
          </w:p>
        </w:tc>
        <w:tc>
          <w:tcPr>
            <w:tcW w:w="712" w:type="dxa"/>
            <w:tcBorders>
              <w:top w:val="single" w:color="000000" w:sz="4" w:space="0"/>
              <w:left w:val="single" w:color="000000" w:sz="4" w:space="0"/>
              <w:bottom w:val="single" w:color="000000" w:sz="4" w:space="0"/>
              <w:right w:val="nil"/>
            </w:tcBorders>
            <w:noWrap/>
            <w:vAlign w:val="center"/>
          </w:tcPr>
          <w:p w14:paraId="58B4B9D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190C543">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组</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4AFB56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5080</wp:posOffset>
                  </wp:positionH>
                  <wp:positionV relativeFrom="paragraph">
                    <wp:posOffset>161925</wp:posOffset>
                  </wp:positionV>
                  <wp:extent cx="1266190" cy="1663065"/>
                  <wp:effectExtent l="0" t="0" r="10160" b="13335"/>
                  <wp:wrapNone/>
                  <wp:docPr id="107" name="ID_0DDBD88DC9D44881B1FA8242D38D1E00"/>
                  <wp:cNvGraphicFramePr/>
                  <a:graphic xmlns:a="http://schemas.openxmlformats.org/drawingml/2006/main">
                    <a:graphicData uri="http://schemas.openxmlformats.org/drawingml/2006/picture">
                      <pic:pic xmlns:pic="http://schemas.openxmlformats.org/drawingml/2006/picture">
                        <pic:nvPicPr>
                          <pic:cNvPr id="107" name="ID_0DDBD88DC9D44881B1FA8242D38D1E00"/>
                          <pic:cNvPicPr/>
                        </pic:nvPicPr>
                        <pic:blipFill>
                          <a:blip r:embed="rId56"/>
                          <a:stretch>
                            <a:fillRect/>
                          </a:stretch>
                        </pic:blipFill>
                        <pic:spPr>
                          <a:xfrm>
                            <a:off x="0" y="0"/>
                            <a:ext cx="1266190" cy="16630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F45060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3852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94E0DA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CD5C27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BE7C61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3EEB20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1、基材：采用优质橡胶木（符合E1级要求），优质钢材，底板采用15mm厚的杉木直条板。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3、软包内采用环保高弹海绵，外包采用优质皮革。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4、五金件：采用优质五金配件（铰链、拉手、三合一连接件），经防锈处理，达国家标准。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5、茶几：采用优质不锈钢框架，台面采用岩板厚度≥12mm。</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973E85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1950×800×880</w:t>
            </w:r>
          </w:p>
        </w:tc>
        <w:tc>
          <w:tcPr>
            <w:tcW w:w="712" w:type="dxa"/>
            <w:tcBorders>
              <w:top w:val="single" w:color="000000" w:sz="4" w:space="0"/>
              <w:left w:val="single" w:color="000000" w:sz="4" w:space="0"/>
              <w:bottom w:val="single" w:color="000000" w:sz="4" w:space="0"/>
              <w:right w:val="nil"/>
            </w:tcBorders>
            <w:noWrap/>
            <w:vAlign w:val="center"/>
          </w:tcPr>
          <w:p w14:paraId="38E7D29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0C4B10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3CA7BD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22225</wp:posOffset>
                  </wp:positionH>
                  <wp:positionV relativeFrom="paragraph">
                    <wp:posOffset>138430</wp:posOffset>
                  </wp:positionV>
                  <wp:extent cx="1271270" cy="1557655"/>
                  <wp:effectExtent l="0" t="0" r="5080" b="4445"/>
                  <wp:wrapNone/>
                  <wp:docPr id="104" name="ID_54BB6A76ACF7416BB9486775018B3AC1"/>
                  <wp:cNvGraphicFramePr/>
                  <a:graphic xmlns:a="http://schemas.openxmlformats.org/drawingml/2006/main">
                    <a:graphicData uri="http://schemas.openxmlformats.org/drawingml/2006/picture">
                      <pic:pic xmlns:pic="http://schemas.openxmlformats.org/drawingml/2006/picture">
                        <pic:nvPicPr>
                          <pic:cNvPr id="104" name="ID_54BB6A76ACF7416BB9486775018B3AC1"/>
                          <pic:cNvPicPr/>
                        </pic:nvPicPr>
                        <pic:blipFill>
                          <a:blip r:embed="rId57"/>
                          <a:stretch>
                            <a:fillRect/>
                          </a:stretch>
                        </pic:blipFill>
                        <pic:spPr>
                          <a:xfrm>
                            <a:off x="0" y="0"/>
                            <a:ext cx="1271270" cy="15576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030DE3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8534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A507A0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6F055A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9F0CC3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鞋柜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5B92B3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1、饰面：采用优质环保三聚氰胺饰面板，甲醛释放量≤0.0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2、基材：采用优质环保多层板，甲醛释放量≤0.0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660D46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1000×350×1000</w:t>
            </w:r>
          </w:p>
        </w:tc>
        <w:tc>
          <w:tcPr>
            <w:tcW w:w="712" w:type="dxa"/>
            <w:tcBorders>
              <w:top w:val="single" w:color="000000" w:sz="4" w:space="0"/>
              <w:left w:val="single" w:color="000000" w:sz="4" w:space="0"/>
              <w:bottom w:val="single" w:color="000000" w:sz="4" w:space="0"/>
              <w:right w:val="nil"/>
            </w:tcBorders>
            <w:noWrap/>
            <w:vAlign w:val="center"/>
          </w:tcPr>
          <w:p w14:paraId="5137E3A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5FE536A">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2D5D91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57785</wp:posOffset>
                  </wp:positionH>
                  <wp:positionV relativeFrom="paragraph">
                    <wp:posOffset>109220</wp:posOffset>
                  </wp:positionV>
                  <wp:extent cx="1229360" cy="1510030"/>
                  <wp:effectExtent l="0" t="0" r="8890" b="13970"/>
                  <wp:wrapNone/>
                  <wp:docPr id="96" name="ID_2FEFFF05F223436A8BC4697768EEC732"/>
                  <wp:cNvGraphicFramePr/>
                  <a:graphic xmlns:a="http://schemas.openxmlformats.org/drawingml/2006/main">
                    <a:graphicData uri="http://schemas.openxmlformats.org/drawingml/2006/picture">
                      <pic:pic xmlns:pic="http://schemas.openxmlformats.org/drawingml/2006/picture">
                        <pic:nvPicPr>
                          <pic:cNvPr id="96" name="ID_2FEFFF05F223436A8BC4697768EEC732"/>
                          <pic:cNvPicPr/>
                        </pic:nvPicPr>
                        <pic:blipFill>
                          <a:blip r:embed="rId58"/>
                          <a:stretch>
                            <a:fillRect/>
                          </a:stretch>
                        </pic:blipFill>
                        <pic:spPr>
                          <a:xfrm>
                            <a:off x="0" y="0"/>
                            <a:ext cx="1229360" cy="15100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849A36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CB95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A19D13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4DD502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FEDA87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9DDFEF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1、饰面：采用优质环保三聚氰胺饰面板，甲醛释放量≤0.0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2、基材：采用优质环保多层板，甲醛释放量≤0.0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6A65D5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1200×400×800</w:t>
            </w:r>
          </w:p>
        </w:tc>
        <w:tc>
          <w:tcPr>
            <w:tcW w:w="712" w:type="dxa"/>
            <w:tcBorders>
              <w:top w:val="single" w:color="000000" w:sz="4" w:space="0"/>
              <w:left w:val="single" w:color="000000" w:sz="4" w:space="0"/>
              <w:bottom w:val="single" w:color="000000" w:sz="4" w:space="0"/>
              <w:right w:val="nil"/>
            </w:tcBorders>
            <w:noWrap/>
            <w:vAlign w:val="center"/>
          </w:tcPr>
          <w:p w14:paraId="2F1F719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7747797">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C67A8D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30480</wp:posOffset>
                  </wp:positionH>
                  <wp:positionV relativeFrom="paragraph">
                    <wp:posOffset>94615</wp:posOffset>
                  </wp:positionV>
                  <wp:extent cx="1206500" cy="1505585"/>
                  <wp:effectExtent l="0" t="0" r="12700" b="18415"/>
                  <wp:wrapNone/>
                  <wp:docPr id="110" name="ID_0E4844EE67394EE6BCB6B70FB0CC8FE5"/>
                  <wp:cNvGraphicFramePr/>
                  <a:graphic xmlns:a="http://schemas.openxmlformats.org/drawingml/2006/main">
                    <a:graphicData uri="http://schemas.openxmlformats.org/drawingml/2006/picture">
                      <pic:pic xmlns:pic="http://schemas.openxmlformats.org/drawingml/2006/picture">
                        <pic:nvPicPr>
                          <pic:cNvPr id="110" name="ID_0E4844EE67394EE6BCB6B70FB0CC8FE5"/>
                          <pic:cNvPicPr/>
                        </pic:nvPicPr>
                        <pic:blipFill>
                          <a:blip r:embed="rId59"/>
                          <a:stretch>
                            <a:fillRect/>
                          </a:stretch>
                        </pic:blipFill>
                        <pic:spPr>
                          <a:xfrm>
                            <a:off x="0" y="0"/>
                            <a:ext cx="1206500" cy="150558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812522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91A3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4A2517D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61FC112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队部办公室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F753B0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150办公桌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8DACA8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3AEB3A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1500×800×760</w:t>
            </w:r>
          </w:p>
        </w:tc>
        <w:tc>
          <w:tcPr>
            <w:tcW w:w="712" w:type="dxa"/>
            <w:tcBorders>
              <w:top w:val="single" w:color="000000" w:sz="4" w:space="0"/>
              <w:left w:val="single" w:color="000000" w:sz="4" w:space="0"/>
              <w:bottom w:val="single" w:color="000000" w:sz="4" w:space="0"/>
              <w:right w:val="nil"/>
            </w:tcBorders>
            <w:noWrap/>
            <w:vAlign w:val="center"/>
          </w:tcPr>
          <w:p w14:paraId="2CD947E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266B67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264714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42545</wp:posOffset>
                  </wp:positionH>
                  <wp:positionV relativeFrom="paragraph">
                    <wp:posOffset>114935</wp:posOffset>
                  </wp:positionV>
                  <wp:extent cx="1238885" cy="1445895"/>
                  <wp:effectExtent l="0" t="0" r="18415" b="1905"/>
                  <wp:wrapNone/>
                  <wp:docPr id="102" name="ID_6C38F1DC9819475A89DD2F3DD49ACCC8"/>
                  <wp:cNvGraphicFramePr/>
                  <a:graphic xmlns:a="http://schemas.openxmlformats.org/drawingml/2006/main">
                    <a:graphicData uri="http://schemas.openxmlformats.org/drawingml/2006/picture">
                      <pic:pic xmlns:pic="http://schemas.openxmlformats.org/drawingml/2006/picture">
                        <pic:nvPicPr>
                          <pic:cNvPr id="102" name="ID_6C38F1DC9819475A89DD2F3DD49ACCC8"/>
                          <pic:cNvPicPr/>
                        </pic:nvPicPr>
                        <pic:blipFill>
                          <a:blip r:embed="rId60"/>
                          <a:stretch>
                            <a:fillRect/>
                          </a:stretch>
                        </pic:blipFill>
                        <pic:spPr>
                          <a:xfrm>
                            <a:off x="0" y="0"/>
                            <a:ext cx="1238885" cy="14458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0F5105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F95D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B70D95B">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9BCDD3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2B670C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E0F961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1、材料和工艺要求：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（1）靠背面料：优质高弹网布；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双层网布：符合GB 18401-2010《国家纺织产品基本安全技术规范》标准，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5950585</wp:posOffset>
                  </wp:positionH>
                  <wp:positionV relativeFrom="paragraph">
                    <wp:posOffset>143510</wp:posOffset>
                  </wp:positionV>
                  <wp:extent cx="1252855" cy="1682750"/>
                  <wp:effectExtent l="0" t="0" r="4445" b="12700"/>
                  <wp:wrapNone/>
                  <wp:docPr id="105" name="ID_578E425AB35B46BF972336393183B475"/>
                  <wp:cNvGraphicFramePr/>
                  <a:graphic xmlns:a="http://schemas.openxmlformats.org/drawingml/2006/main">
                    <a:graphicData uri="http://schemas.openxmlformats.org/drawingml/2006/picture">
                      <pic:pic xmlns:pic="http://schemas.openxmlformats.org/drawingml/2006/picture">
                        <pic:nvPicPr>
                          <pic:cNvPr id="105" name="ID_578E425AB35B46BF972336393183B475"/>
                          <pic:cNvPicPr/>
                        </pic:nvPicPr>
                        <pic:blipFill>
                          <a:blip r:embed="rId61"/>
                          <a:stretch>
                            <a:fillRect/>
                          </a:stretch>
                        </pic:blipFill>
                        <pic:spPr>
                          <a:xfrm>
                            <a:off x="0" y="0"/>
                            <a:ext cx="1252855" cy="168275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lang w:val="en-US" w:eastAsia="zh-CN" w:bidi="ar"/>
              </w:rPr>
              <w:t>甲醛含量B类：≤20mg/kg；P</w:t>
            </w:r>
            <w:r>
              <w:rPr>
                <w:rFonts w:hint="eastAsia" w:ascii="宋体" w:hAnsi="宋体" w:eastAsia="宋体" w:cs="宋体"/>
                <w:i w:val="0"/>
                <w:iCs w:val="0"/>
                <w:color w:val="000000"/>
                <w:kern w:val="0"/>
                <w:sz w:val="18"/>
                <w:szCs w:val="18"/>
                <w:u w:val="none"/>
                <w:lang w:val="en-US" w:eastAsia="zh-CN" w:bidi="ar"/>
              </w:rPr>
              <w:t>H值B类：4.0-8.5；染色牢度(级)B类：耐水(变色、沾色) ≥3，耐酸汗渍(变色、沾色) ≥3，耐碱汗渍(变色、沾色) ≥3，耐干摩擦≥3；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（2）座面：内衬高弹力高密度PU发泡棉，长时间使用不变形；面覆优质透气布艺；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（3）背框、座框：尼龙注塑成型，抗冲击、防老化；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（4）扶手：PP+GF材质；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（5）椅背带腰靠，PP+GF材质，设计符合人体工程学；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（6）椅脚：2.0mm钢管折弯而成，承重102KG下往复拉力测试。</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4F2B58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550×520×950</w:t>
            </w:r>
          </w:p>
        </w:tc>
        <w:tc>
          <w:tcPr>
            <w:tcW w:w="712" w:type="dxa"/>
            <w:tcBorders>
              <w:top w:val="single" w:color="000000" w:sz="4" w:space="0"/>
              <w:left w:val="single" w:color="000000" w:sz="4" w:space="0"/>
              <w:bottom w:val="single" w:color="000000" w:sz="4" w:space="0"/>
              <w:right w:val="nil"/>
            </w:tcBorders>
            <w:noWrap/>
            <w:vAlign w:val="center"/>
          </w:tcPr>
          <w:p w14:paraId="6DF91D2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8BD189A">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1424F9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8153B1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42F2C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1BEA62E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BAC255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ABF02F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接待沙发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F3951B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主架实木，优质西皮，木材经过特殊的干燥处理， 以便维持水分平衡，防止变形；背、扶手外钉夹板成型；打底采用橡皮带四公分宽，编织袋补强；泡棉：首先是高密度泡棉，再附中密度泡棉，表面加180克密度丝棉，质感细腻，泡棉不含氟氨碳化物等有害物质；环保皮皮；游离醛的释放量≤1.5mg/100g ；沙发造型采用与班台相同设计元素，具有系统性和搭配统一性</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297193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900×750×830</w:t>
            </w:r>
          </w:p>
        </w:tc>
        <w:tc>
          <w:tcPr>
            <w:tcW w:w="712" w:type="dxa"/>
            <w:tcBorders>
              <w:top w:val="single" w:color="000000" w:sz="4" w:space="0"/>
              <w:left w:val="single" w:color="000000" w:sz="4" w:space="0"/>
              <w:bottom w:val="single" w:color="000000" w:sz="4" w:space="0"/>
              <w:right w:val="nil"/>
            </w:tcBorders>
            <w:noWrap/>
            <w:vAlign w:val="center"/>
          </w:tcPr>
          <w:p w14:paraId="695F2B6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C5F3597">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2EA054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66675</wp:posOffset>
                  </wp:positionH>
                  <wp:positionV relativeFrom="paragraph">
                    <wp:posOffset>104775</wp:posOffset>
                  </wp:positionV>
                  <wp:extent cx="1183005" cy="1232535"/>
                  <wp:effectExtent l="0" t="0" r="17145" b="5715"/>
                  <wp:wrapNone/>
                  <wp:docPr id="113" name="图片_17"/>
                  <wp:cNvGraphicFramePr/>
                  <a:graphic xmlns:a="http://schemas.openxmlformats.org/drawingml/2006/main">
                    <a:graphicData uri="http://schemas.openxmlformats.org/drawingml/2006/picture">
                      <pic:pic xmlns:pic="http://schemas.openxmlformats.org/drawingml/2006/picture">
                        <pic:nvPicPr>
                          <pic:cNvPr id="113" name="图片_17"/>
                          <pic:cNvPicPr/>
                        </pic:nvPicPr>
                        <pic:blipFill>
                          <a:blip r:embed="rId62"/>
                          <a:stretch>
                            <a:fillRect/>
                          </a:stretch>
                        </pic:blipFill>
                        <pic:spPr>
                          <a:xfrm>
                            <a:off x="0" y="0"/>
                            <a:ext cx="1183005" cy="12325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BB52F4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14FF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276F87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963B75F">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3D9ADF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165" w:type="dxa"/>
            <w:vMerge w:val="restart"/>
            <w:tcBorders>
              <w:top w:val="single" w:color="000000" w:sz="4" w:space="0"/>
              <w:left w:val="single" w:color="000000" w:sz="4" w:space="0"/>
              <w:bottom w:val="single" w:color="000000" w:sz="4" w:space="0"/>
              <w:right w:val="single" w:color="000000" w:sz="4" w:space="0"/>
            </w:tcBorders>
            <w:noWrap w:val="0"/>
            <w:vAlign w:val="center"/>
          </w:tcPr>
          <w:p w14:paraId="2F4869B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1、基材：采用优质实木板（符合E1级要求）。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C702C0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400×600×500</w:t>
            </w:r>
          </w:p>
        </w:tc>
        <w:tc>
          <w:tcPr>
            <w:tcW w:w="712" w:type="dxa"/>
            <w:tcBorders>
              <w:top w:val="single" w:color="000000" w:sz="4" w:space="0"/>
              <w:left w:val="single" w:color="000000" w:sz="4" w:space="0"/>
              <w:bottom w:val="single" w:color="000000" w:sz="4" w:space="0"/>
              <w:right w:val="nil"/>
            </w:tcBorders>
            <w:noWrap/>
            <w:vAlign w:val="center"/>
          </w:tcPr>
          <w:p w14:paraId="3B613F1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E8049B0">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9B4B88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52705</wp:posOffset>
                  </wp:positionH>
                  <wp:positionV relativeFrom="paragraph">
                    <wp:posOffset>113665</wp:posOffset>
                  </wp:positionV>
                  <wp:extent cx="1189990" cy="991870"/>
                  <wp:effectExtent l="0" t="0" r="10160" b="17780"/>
                  <wp:wrapNone/>
                  <wp:docPr id="114" name="ID_0384AB5D8BB54A9A8556F9645E477D97"/>
                  <wp:cNvGraphicFramePr/>
                  <a:graphic xmlns:a="http://schemas.openxmlformats.org/drawingml/2006/main">
                    <a:graphicData uri="http://schemas.openxmlformats.org/drawingml/2006/picture">
                      <pic:pic xmlns:pic="http://schemas.openxmlformats.org/drawingml/2006/picture">
                        <pic:nvPicPr>
                          <pic:cNvPr id="114" name="ID_0384AB5D8BB54A9A8556F9645E477D97"/>
                          <pic:cNvPicPr/>
                        </pic:nvPicPr>
                        <pic:blipFill>
                          <a:blip r:embed="rId63"/>
                          <a:stretch>
                            <a:fillRect/>
                          </a:stretch>
                        </pic:blipFill>
                        <pic:spPr>
                          <a:xfrm>
                            <a:off x="0" y="0"/>
                            <a:ext cx="1189990" cy="9918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7A3328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42040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DC8309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0B96B7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4E4F6D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三门书柜</w:t>
            </w:r>
          </w:p>
        </w:tc>
        <w:tc>
          <w:tcPr>
            <w:tcW w:w="61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66F199">
            <w:pPr>
              <w:keepNext w:val="0"/>
              <w:keepLines w:val="0"/>
              <w:pageBreakBefore w:val="0"/>
              <w:widowControl/>
              <w:kinsoku/>
              <w:wordWrap/>
              <w:overflowPunct/>
              <w:topLinePunct w:val="0"/>
              <w:autoSpaceDE/>
              <w:autoSpaceDN/>
              <w:bidi w:val="0"/>
              <w:adjustRightInd/>
              <w:snapToGrid/>
              <w:spacing w:line="320" w:lineRule="atLeast"/>
              <w:jc w:val="left"/>
              <w:rPr>
                <w:rFonts w:hint="eastAsia" w:ascii="宋体" w:hAnsi="宋体" w:eastAsia="宋体" w:cs="宋体"/>
                <w:i w:val="0"/>
                <w:iCs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637B90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1200×400×2000</w:t>
            </w:r>
          </w:p>
        </w:tc>
        <w:tc>
          <w:tcPr>
            <w:tcW w:w="712" w:type="dxa"/>
            <w:tcBorders>
              <w:top w:val="single" w:color="000000" w:sz="4" w:space="0"/>
              <w:left w:val="single" w:color="000000" w:sz="4" w:space="0"/>
              <w:bottom w:val="single" w:color="000000" w:sz="4" w:space="0"/>
              <w:right w:val="nil"/>
            </w:tcBorders>
            <w:noWrap/>
            <w:vAlign w:val="center"/>
          </w:tcPr>
          <w:p w14:paraId="787658F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B6F9DC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BE716D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28575</wp:posOffset>
                  </wp:positionH>
                  <wp:positionV relativeFrom="paragraph">
                    <wp:posOffset>131445</wp:posOffset>
                  </wp:positionV>
                  <wp:extent cx="1294765" cy="1165225"/>
                  <wp:effectExtent l="0" t="0" r="635" b="15875"/>
                  <wp:wrapNone/>
                  <wp:docPr id="115" name="ID_213422B09B2E447E87321883029C6F3B"/>
                  <wp:cNvGraphicFramePr/>
                  <a:graphic xmlns:a="http://schemas.openxmlformats.org/drawingml/2006/main">
                    <a:graphicData uri="http://schemas.openxmlformats.org/drawingml/2006/picture">
                      <pic:pic xmlns:pic="http://schemas.openxmlformats.org/drawingml/2006/picture">
                        <pic:nvPicPr>
                          <pic:cNvPr id="115" name="ID_213422B09B2E447E87321883029C6F3B"/>
                          <pic:cNvPicPr/>
                        </pic:nvPicPr>
                        <pic:blipFill>
                          <a:blip r:embed="rId64"/>
                          <a:stretch>
                            <a:fillRect/>
                          </a:stretch>
                        </pic:blipFill>
                        <pic:spPr>
                          <a:xfrm>
                            <a:off x="0" y="0"/>
                            <a:ext cx="1294765" cy="11652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FA54266">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60E9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81C527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3E3657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AA7D23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E9402D">
            <w:pPr>
              <w:keepNext w:val="0"/>
              <w:keepLines w:val="0"/>
              <w:pageBreakBefore w:val="0"/>
              <w:widowControl/>
              <w:kinsoku/>
              <w:wordWrap/>
              <w:overflowPunct/>
              <w:topLinePunct w:val="0"/>
              <w:autoSpaceDE/>
              <w:autoSpaceDN/>
              <w:bidi w:val="0"/>
              <w:adjustRightInd/>
              <w:snapToGrid/>
              <w:spacing w:line="320" w:lineRule="atLeast"/>
              <w:jc w:val="left"/>
              <w:rPr>
                <w:rFonts w:hint="eastAsia" w:ascii="宋体" w:hAnsi="宋体" w:eastAsia="宋体" w:cs="宋体"/>
                <w:i w:val="0"/>
                <w:iCs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431D8F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712" w:type="dxa"/>
            <w:tcBorders>
              <w:top w:val="single" w:color="000000" w:sz="4" w:space="0"/>
              <w:left w:val="single" w:color="000000" w:sz="4" w:space="0"/>
              <w:bottom w:val="single" w:color="000000" w:sz="4" w:space="0"/>
              <w:right w:val="nil"/>
            </w:tcBorders>
            <w:noWrap/>
            <w:vAlign w:val="center"/>
          </w:tcPr>
          <w:p w14:paraId="0D16401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DDE664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1F0E49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-1270</wp:posOffset>
                  </wp:positionH>
                  <wp:positionV relativeFrom="paragraph">
                    <wp:posOffset>70485</wp:posOffset>
                  </wp:positionV>
                  <wp:extent cx="1327785" cy="1268095"/>
                  <wp:effectExtent l="0" t="0" r="5715" b="8255"/>
                  <wp:wrapNone/>
                  <wp:docPr id="116" name="ID_C5C21281425B4D90B344753DD2663499_SpCnt_1"/>
                  <wp:cNvGraphicFramePr/>
                  <a:graphic xmlns:a="http://schemas.openxmlformats.org/drawingml/2006/main">
                    <a:graphicData uri="http://schemas.openxmlformats.org/drawingml/2006/picture">
                      <pic:pic xmlns:pic="http://schemas.openxmlformats.org/drawingml/2006/picture">
                        <pic:nvPicPr>
                          <pic:cNvPr id="116" name="ID_C5C21281425B4D90B344753DD2663499_SpCnt_1"/>
                          <pic:cNvPicPr/>
                        </pic:nvPicPr>
                        <pic:blipFill>
                          <a:blip r:embed="rId65"/>
                          <a:stretch>
                            <a:fillRect/>
                          </a:stretch>
                        </pic:blipFill>
                        <pic:spPr>
                          <a:xfrm>
                            <a:off x="0" y="0"/>
                            <a:ext cx="1327785" cy="12680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0EE6A5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708C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2708EE9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14:paraId="5584B40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备用办公室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3间</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3BB908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150办公桌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D28B94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1、基材：采用优质实木板（符合E1级要求）。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9DF9CB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1500×800×760</w:t>
            </w:r>
          </w:p>
        </w:tc>
        <w:tc>
          <w:tcPr>
            <w:tcW w:w="712" w:type="dxa"/>
            <w:tcBorders>
              <w:top w:val="single" w:color="000000" w:sz="4" w:space="0"/>
              <w:left w:val="single" w:color="000000" w:sz="4" w:space="0"/>
              <w:bottom w:val="single" w:color="000000" w:sz="4" w:space="0"/>
              <w:right w:val="nil"/>
            </w:tcBorders>
            <w:noWrap/>
            <w:vAlign w:val="center"/>
          </w:tcPr>
          <w:p w14:paraId="7D5F822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B48884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B7C000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4445</wp:posOffset>
                  </wp:positionH>
                  <wp:positionV relativeFrom="paragraph">
                    <wp:posOffset>138430</wp:posOffset>
                  </wp:positionV>
                  <wp:extent cx="1304925" cy="1369695"/>
                  <wp:effectExtent l="0" t="0" r="9525" b="1905"/>
                  <wp:wrapNone/>
                  <wp:docPr id="97" name="ID_604DF5E2BF4543D3ACA827CBE760206E"/>
                  <wp:cNvGraphicFramePr/>
                  <a:graphic xmlns:a="http://schemas.openxmlformats.org/drawingml/2006/main">
                    <a:graphicData uri="http://schemas.openxmlformats.org/drawingml/2006/picture">
                      <pic:pic xmlns:pic="http://schemas.openxmlformats.org/drawingml/2006/picture">
                        <pic:nvPicPr>
                          <pic:cNvPr id="97" name="ID_604DF5E2BF4543D3ACA827CBE760206E"/>
                          <pic:cNvPicPr/>
                        </pic:nvPicPr>
                        <pic:blipFill>
                          <a:blip r:embed="rId60"/>
                          <a:stretch>
                            <a:fillRect/>
                          </a:stretch>
                        </pic:blipFill>
                        <pic:spPr>
                          <a:xfrm>
                            <a:off x="0" y="0"/>
                            <a:ext cx="1304925" cy="13696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32AC85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EB2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1A68E7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55B9DB">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9A44A5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F613A9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1、材料和工艺要求：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（1）靠背面料：优质高弹网布；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双层网布：符合GB 18401-2010《国家纺织产品基本安全技术规范》标准，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甲醛含量B类：≤20mg/kg；PH值B类：4.0-8.5；染色牢度(级)B类：耐水(变色、沾色) ≥3，耐酸汗渍(变色</w:t>
            </w:r>
            <w:r>
              <w:rPr>
                <w:rFonts w:hint="eastAsia" w:ascii="宋体" w:hAnsi="宋体" w:eastAsia="宋体" w:cs="宋体"/>
                <w:i w:val="0"/>
                <w:iCs w:val="0"/>
                <w:color w:val="000000"/>
                <w:kern w:val="0"/>
                <w:sz w:val="18"/>
                <w:szCs w:val="18"/>
                <w:u w:val="none"/>
                <w:lang w:val="en-US" w:eastAsia="zh-CN" w:bidi="ar"/>
              </w:rPr>
              <w:t>、沾色) ≥3，耐碱汗渍(变色、沾色) ≥3，耐干摩擦≥3；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（2）座面：内衬高弹力高密度PU发泡棉，长时间使用不变形；面覆优质透气布艺；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（3）背框、座框：尼龙注塑成型，抗冲击、防老化；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（4）扶手：PP+GF材质；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（5）椅背带腰靠，PP+GF材质，设计符合人体工程学；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（6）椅脚：2.0mm钢管折弯而成，承重102KG下往复拉力测试。</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2F95E0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550×520×950</w:t>
            </w:r>
          </w:p>
        </w:tc>
        <w:tc>
          <w:tcPr>
            <w:tcW w:w="712" w:type="dxa"/>
            <w:tcBorders>
              <w:top w:val="single" w:color="000000" w:sz="4" w:space="0"/>
              <w:left w:val="single" w:color="000000" w:sz="4" w:space="0"/>
              <w:bottom w:val="single" w:color="000000" w:sz="4" w:space="0"/>
              <w:right w:val="nil"/>
            </w:tcBorders>
            <w:noWrap/>
            <w:vAlign w:val="center"/>
          </w:tcPr>
          <w:p w14:paraId="0A8DA6E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5802621">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4376B0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41275</wp:posOffset>
                  </wp:positionH>
                  <wp:positionV relativeFrom="paragraph">
                    <wp:posOffset>516890</wp:posOffset>
                  </wp:positionV>
                  <wp:extent cx="1232535" cy="1565910"/>
                  <wp:effectExtent l="0" t="0" r="5715" b="15240"/>
                  <wp:wrapNone/>
                  <wp:docPr id="98" name="ID_28274F1717304FB3819B4E1088F48D6B"/>
                  <wp:cNvGraphicFramePr/>
                  <a:graphic xmlns:a="http://schemas.openxmlformats.org/drawingml/2006/main">
                    <a:graphicData uri="http://schemas.openxmlformats.org/drawingml/2006/picture">
                      <pic:pic xmlns:pic="http://schemas.openxmlformats.org/drawingml/2006/picture">
                        <pic:nvPicPr>
                          <pic:cNvPr id="98" name="ID_28274F1717304FB3819B4E1088F48D6B"/>
                          <pic:cNvPicPr/>
                        </pic:nvPicPr>
                        <pic:blipFill>
                          <a:blip r:embed="rId66"/>
                          <a:stretch>
                            <a:fillRect/>
                          </a:stretch>
                        </pic:blipFill>
                        <pic:spPr>
                          <a:xfrm>
                            <a:off x="0" y="0"/>
                            <a:ext cx="1232535" cy="156591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4BEC9B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A615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9A2DAF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7A97D8">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B5DC4B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接待沙发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97C4D4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主架实木，优质西皮，木材经过特殊的干燥处理， 以便维持水分平衡，防止变形；背、扶手外钉夹板成型；打底采用橡皮带四公分宽，编织袋补强；泡棉：首先是高密度泡棉，再附中密度泡棉，表面加180克密度丝棉，质感细腻，泡棉不含氟氨碳化物等有害物质；环保皮皮；游离醛的释放量≤1.5mg/100g ；沙发造型采用与班台相同设计元素，具有系统性和搭配统一性</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FBD3C5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900×750×830</w:t>
            </w:r>
          </w:p>
        </w:tc>
        <w:tc>
          <w:tcPr>
            <w:tcW w:w="712" w:type="dxa"/>
            <w:tcBorders>
              <w:top w:val="single" w:color="000000" w:sz="4" w:space="0"/>
              <w:left w:val="single" w:color="000000" w:sz="4" w:space="0"/>
              <w:bottom w:val="single" w:color="000000" w:sz="4" w:space="0"/>
              <w:right w:val="nil"/>
            </w:tcBorders>
            <w:noWrap/>
            <w:vAlign w:val="center"/>
          </w:tcPr>
          <w:p w14:paraId="592C882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BE98AD0">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8D7A35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2540</wp:posOffset>
                  </wp:positionH>
                  <wp:positionV relativeFrom="paragraph">
                    <wp:posOffset>121285</wp:posOffset>
                  </wp:positionV>
                  <wp:extent cx="1282065" cy="1078865"/>
                  <wp:effectExtent l="0" t="0" r="13335" b="6985"/>
                  <wp:wrapNone/>
                  <wp:docPr id="9" name="图片_19"/>
                  <wp:cNvGraphicFramePr/>
                  <a:graphic xmlns:a="http://schemas.openxmlformats.org/drawingml/2006/main">
                    <a:graphicData uri="http://schemas.openxmlformats.org/drawingml/2006/picture">
                      <pic:pic xmlns:pic="http://schemas.openxmlformats.org/drawingml/2006/picture">
                        <pic:nvPicPr>
                          <pic:cNvPr id="9" name="图片_19"/>
                          <pic:cNvPicPr/>
                        </pic:nvPicPr>
                        <pic:blipFill>
                          <a:blip r:embed="rId67"/>
                          <a:stretch>
                            <a:fillRect/>
                          </a:stretch>
                        </pic:blipFill>
                        <pic:spPr>
                          <a:xfrm>
                            <a:off x="0" y="0"/>
                            <a:ext cx="1282065" cy="10788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AB17BA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F72A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B4B55E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EA562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046229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165" w:type="dxa"/>
            <w:vMerge w:val="restart"/>
            <w:tcBorders>
              <w:top w:val="single" w:color="000000" w:sz="4" w:space="0"/>
              <w:left w:val="single" w:color="000000" w:sz="4" w:space="0"/>
              <w:bottom w:val="single" w:color="000000" w:sz="4" w:space="0"/>
              <w:right w:val="single" w:color="000000" w:sz="4" w:space="0"/>
            </w:tcBorders>
            <w:noWrap w:val="0"/>
            <w:vAlign w:val="center"/>
          </w:tcPr>
          <w:p w14:paraId="7A6DE76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1、基材：采用优质实木板（符合E1级要求）。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C4E8E6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400×600×500</w:t>
            </w:r>
          </w:p>
        </w:tc>
        <w:tc>
          <w:tcPr>
            <w:tcW w:w="712" w:type="dxa"/>
            <w:tcBorders>
              <w:top w:val="single" w:color="000000" w:sz="4" w:space="0"/>
              <w:left w:val="single" w:color="000000" w:sz="4" w:space="0"/>
              <w:bottom w:val="single" w:color="000000" w:sz="4" w:space="0"/>
              <w:right w:val="nil"/>
            </w:tcBorders>
            <w:noWrap/>
            <w:vAlign w:val="center"/>
          </w:tcPr>
          <w:p w14:paraId="1069763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7B0C162">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A51052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33655</wp:posOffset>
                  </wp:positionH>
                  <wp:positionV relativeFrom="paragraph">
                    <wp:posOffset>80010</wp:posOffset>
                  </wp:positionV>
                  <wp:extent cx="1268095" cy="1229995"/>
                  <wp:effectExtent l="0" t="0" r="8255" b="8255"/>
                  <wp:wrapNone/>
                  <wp:docPr id="10" name="ID_040DAE39CDD34E02AFF6CAB65E5AED80"/>
                  <wp:cNvGraphicFramePr/>
                  <a:graphic xmlns:a="http://schemas.openxmlformats.org/drawingml/2006/main">
                    <a:graphicData uri="http://schemas.openxmlformats.org/drawingml/2006/picture">
                      <pic:pic xmlns:pic="http://schemas.openxmlformats.org/drawingml/2006/picture">
                        <pic:nvPicPr>
                          <pic:cNvPr id="10" name="ID_040DAE39CDD34E02AFF6CAB65E5AED80"/>
                          <pic:cNvPicPr/>
                        </pic:nvPicPr>
                        <pic:blipFill>
                          <a:blip r:embed="rId68"/>
                          <a:stretch>
                            <a:fillRect/>
                          </a:stretch>
                        </pic:blipFill>
                        <pic:spPr>
                          <a:xfrm>
                            <a:off x="0" y="0"/>
                            <a:ext cx="1268095" cy="12299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28965F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DFE3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EB5371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95009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F23F4F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三门书柜</w:t>
            </w:r>
          </w:p>
        </w:tc>
        <w:tc>
          <w:tcPr>
            <w:tcW w:w="61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FC109">
            <w:pPr>
              <w:keepNext w:val="0"/>
              <w:keepLines w:val="0"/>
              <w:pageBreakBefore w:val="0"/>
              <w:widowControl/>
              <w:kinsoku/>
              <w:wordWrap/>
              <w:overflowPunct/>
              <w:topLinePunct w:val="0"/>
              <w:autoSpaceDE/>
              <w:autoSpaceDN/>
              <w:bidi w:val="0"/>
              <w:adjustRightInd/>
              <w:snapToGrid/>
              <w:spacing w:line="320" w:lineRule="atLeast"/>
              <w:jc w:val="left"/>
              <w:rPr>
                <w:rFonts w:hint="eastAsia" w:ascii="宋体" w:hAnsi="宋体" w:eastAsia="宋体" w:cs="宋体"/>
                <w:i w:val="0"/>
                <w:iCs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FA69DF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1200×400×2000</w:t>
            </w:r>
          </w:p>
        </w:tc>
        <w:tc>
          <w:tcPr>
            <w:tcW w:w="712" w:type="dxa"/>
            <w:tcBorders>
              <w:top w:val="single" w:color="000000" w:sz="4" w:space="0"/>
              <w:left w:val="single" w:color="000000" w:sz="4" w:space="0"/>
              <w:bottom w:val="single" w:color="000000" w:sz="4" w:space="0"/>
              <w:right w:val="nil"/>
            </w:tcBorders>
            <w:noWrap/>
            <w:vAlign w:val="center"/>
          </w:tcPr>
          <w:p w14:paraId="00EC251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7AA6C11">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002C7F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47625</wp:posOffset>
                  </wp:positionH>
                  <wp:positionV relativeFrom="paragraph">
                    <wp:posOffset>121920</wp:posOffset>
                  </wp:positionV>
                  <wp:extent cx="1209675" cy="1231900"/>
                  <wp:effectExtent l="0" t="0" r="9525" b="6350"/>
                  <wp:wrapNone/>
                  <wp:docPr id="19" name="ID_FEA1DF9556874227A1CC6EF5CF3754B8"/>
                  <wp:cNvGraphicFramePr/>
                  <a:graphic xmlns:a="http://schemas.openxmlformats.org/drawingml/2006/main">
                    <a:graphicData uri="http://schemas.openxmlformats.org/drawingml/2006/picture">
                      <pic:pic xmlns:pic="http://schemas.openxmlformats.org/drawingml/2006/picture">
                        <pic:nvPicPr>
                          <pic:cNvPr id="19" name="ID_FEA1DF9556874227A1CC6EF5CF3754B8"/>
                          <pic:cNvPicPr/>
                        </pic:nvPicPr>
                        <pic:blipFill>
                          <a:blip r:embed="rId69"/>
                          <a:stretch>
                            <a:fillRect/>
                          </a:stretch>
                        </pic:blipFill>
                        <pic:spPr>
                          <a:xfrm>
                            <a:off x="0" y="0"/>
                            <a:ext cx="1209675" cy="12319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54E0F1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894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0B3B09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78163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F17810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0D219">
            <w:pPr>
              <w:keepNext w:val="0"/>
              <w:keepLines w:val="0"/>
              <w:pageBreakBefore w:val="0"/>
              <w:widowControl/>
              <w:kinsoku/>
              <w:wordWrap/>
              <w:overflowPunct/>
              <w:topLinePunct w:val="0"/>
              <w:autoSpaceDE/>
              <w:autoSpaceDN/>
              <w:bidi w:val="0"/>
              <w:adjustRightInd/>
              <w:snapToGrid/>
              <w:spacing w:line="320" w:lineRule="atLeast"/>
              <w:jc w:val="left"/>
              <w:rPr>
                <w:rFonts w:hint="eastAsia" w:ascii="宋体" w:hAnsi="宋体" w:eastAsia="宋体" w:cs="宋体"/>
                <w:i w:val="0"/>
                <w:iCs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0C9018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712" w:type="dxa"/>
            <w:tcBorders>
              <w:top w:val="single" w:color="000000" w:sz="4" w:space="0"/>
              <w:left w:val="single" w:color="000000" w:sz="4" w:space="0"/>
              <w:bottom w:val="single" w:color="000000" w:sz="4" w:space="0"/>
              <w:right w:val="nil"/>
            </w:tcBorders>
            <w:noWrap/>
            <w:vAlign w:val="center"/>
          </w:tcPr>
          <w:p w14:paraId="6AB25A3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E3EFB2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CB8FF7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55880</wp:posOffset>
                  </wp:positionH>
                  <wp:positionV relativeFrom="paragraph">
                    <wp:posOffset>94615</wp:posOffset>
                  </wp:positionV>
                  <wp:extent cx="1240155" cy="1134110"/>
                  <wp:effectExtent l="0" t="0" r="17145" b="8890"/>
                  <wp:wrapNone/>
                  <wp:docPr id="14" name="ID_3755B4A774954081B421965143B8ACBA"/>
                  <wp:cNvGraphicFramePr/>
                  <a:graphic xmlns:a="http://schemas.openxmlformats.org/drawingml/2006/main">
                    <a:graphicData uri="http://schemas.openxmlformats.org/drawingml/2006/picture">
                      <pic:pic xmlns:pic="http://schemas.openxmlformats.org/drawingml/2006/picture">
                        <pic:nvPicPr>
                          <pic:cNvPr id="14" name="ID_3755B4A774954081B421965143B8ACBA"/>
                          <pic:cNvPicPr/>
                        </pic:nvPicPr>
                        <pic:blipFill>
                          <a:blip r:embed="rId70"/>
                          <a:stretch>
                            <a:fillRect/>
                          </a:stretch>
                        </pic:blipFill>
                        <pic:spPr>
                          <a:xfrm>
                            <a:off x="0" y="0"/>
                            <a:ext cx="1240155" cy="113411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0370BF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41CB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687424E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52C277F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学习室4间</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C65CB3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学习桌</w:t>
            </w:r>
          </w:p>
        </w:tc>
        <w:tc>
          <w:tcPr>
            <w:tcW w:w="6165" w:type="dxa"/>
            <w:vMerge w:val="restart"/>
            <w:tcBorders>
              <w:top w:val="single" w:color="000000" w:sz="4" w:space="0"/>
              <w:left w:val="single" w:color="000000" w:sz="4" w:space="0"/>
              <w:bottom w:val="single" w:color="000000" w:sz="4" w:space="0"/>
              <w:right w:val="single" w:color="000000" w:sz="4" w:space="0"/>
            </w:tcBorders>
            <w:noWrap w:val="0"/>
            <w:vAlign w:val="center"/>
          </w:tcPr>
          <w:p w14:paraId="2CF1D26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1、基材：采用优质实木板（符合E1级要求）。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3、油漆：统一胡桃木色，采用水性底漆和面漆，光泽丰满，附着力强，耐腐蚀性，耐水耐磨，引用先进油漆工艺“五底三面”，光泽均匀，不褪色，绿色环保；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287176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2400×1200×760</w:t>
            </w:r>
          </w:p>
        </w:tc>
        <w:tc>
          <w:tcPr>
            <w:tcW w:w="712" w:type="dxa"/>
            <w:tcBorders>
              <w:top w:val="single" w:color="000000" w:sz="4" w:space="0"/>
              <w:left w:val="single" w:color="000000" w:sz="4" w:space="0"/>
              <w:bottom w:val="single" w:color="000000" w:sz="4" w:space="0"/>
              <w:right w:val="nil"/>
            </w:tcBorders>
            <w:noWrap/>
            <w:vAlign w:val="center"/>
          </w:tcPr>
          <w:p w14:paraId="5FFFDCA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11811F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10C5DC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48895</wp:posOffset>
                  </wp:positionH>
                  <wp:positionV relativeFrom="paragraph">
                    <wp:posOffset>157480</wp:posOffset>
                  </wp:positionV>
                  <wp:extent cx="1216660" cy="1255395"/>
                  <wp:effectExtent l="0" t="0" r="2540" b="1905"/>
                  <wp:wrapNone/>
                  <wp:docPr id="1" name="ID_3CBC453BC45747F5B7DDB912023E418E"/>
                  <wp:cNvGraphicFramePr/>
                  <a:graphic xmlns:a="http://schemas.openxmlformats.org/drawingml/2006/main">
                    <a:graphicData uri="http://schemas.openxmlformats.org/drawingml/2006/picture">
                      <pic:pic xmlns:pic="http://schemas.openxmlformats.org/drawingml/2006/picture">
                        <pic:nvPicPr>
                          <pic:cNvPr id="1" name="ID_3CBC453BC45747F5B7DDB912023E418E"/>
                          <pic:cNvPicPr/>
                        </pic:nvPicPr>
                        <pic:blipFill>
                          <a:blip r:embed="rId71"/>
                          <a:stretch>
                            <a:fillRect/>
                          </a:stretch>
                        </pic:blipFill>
                        <pic:spPr>
                          <a:xfrm>
                            <a:off x="0" y="0"/>
                            <a:ext cx="1216660" cy="12553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907D62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C8C0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11CF6378">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300EFF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FC0841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学习椅</w:t>
            </w:r>
          </w:p>
        </w:tc>
        <w:tc>
          <w:tcPr>
            <w:tcW w:w="61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8BE200">
            <w:pPr>
              <w:keepNext w:val="0"/>
              <w:keepLines w:val="0"/>
              <w:pageBreakBefore w:val="0"/>
              <w:widowControl/>
              <w:kinsoku/>
              <w:wordWrap/>
              <w:overflowPunct/>
              <w:topLinePunct w:val="0"/>
              <w:autoSpaceDE/>
              <w:autoSpaceDN/>
              <w:bidi w:val="0"/>
              <w:adjustRightInd/>
              <w:snapToGrid/>
              <w:spacing w:line="320" w:lineRule="atLeast"/>
              <w:jc w:val="left"/>
              <w:rPr>
                <w:rFonts w:hint="eastAsia" w:ascii="宋体" w:hAnsi="宋体" w:eastAsia="宋体" w:cs="宋体"/>
                <w:i w:val="0"/>
                <w:iCs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E7EB13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450×450×880</w:t>
            </w:r>
          </w:p>
        </w:tc>
        <w:tc>
          <w:tcPr>
            <w:tcW w:w="712" w:type="dxa"/>
            <w:tcBorders>
              <w:top w:val="single" w:color="000000" w:sz="4" w:space="0"/>
              <w:left w:val="single" w:color="000000" w:sz="4" w:space="0"/>
              <w:bottom w:val="single" w:color="000000" w:sz="4" w:space="0"/>
              <w:right w:val="nil"/>
            </w:tcBorders>
            <w:noWrap/>
            <w:vAlign w:val="center"/>
          </w:tcPr>
          <w:p w14:paraId="2119D62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A438B9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DD30A1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-1905</wp:posOffset>
                  </wp:positionH>
                  <wp:positionV relativeFrom="paragraph">
                    <wp:posOffset>111760</wp:posOffset>
                  </wp:positionV>
                  <wp:extent cx="1299210" cy="1252220"/>
                  <wp:effectExtent l="0" t="0" r="15240" b="5080"/>
                  <wp:wrapNone/>
                  <wp:docPr id="15" name="ID_56A0FDF4794B414B9552E33F245B7A4B"/>
                  <wp:cNvGraphicFramePr/>
                  <a:graphic xmlns:a="http://schemas.openxmlformats.org/drawingml/2006/main">
                    <a:graphicData uri="http://schemas.openxmlformats.org/drawingml/2006/picture">
                      <pic:pic xmlns:pic="http://schemas.openxmlformats.org/drawingml/2006/picture">
                        <pic:nvPicPr>
                          <pic:cNvPr id="15" name="ID_56A0FDF4794B414B9552E33F245B7A4B"/>
                          <pic:cNvPicPr/>
                        </pic:nvPicPr>
                        <pic:blipFill>
                          <a:blip r:embed="rId72"/>
                          <a:stretch>
                            <a:fillRect/>
                          </a:stretch>
                        </pic:blipFill>
                        <pic:spPr>
                          <a:xfrm>
                            <a:off x="0" y="0"/>
                            <a:ext cx="1299210" cy="125222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5259A7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369CC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1A046B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537225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F86973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三门书柜</w:t>
            </w:r>
          </w:p>
        </w:tc>
        <w:tc>
          <w:tcPr>
            <w:tcW w:w="61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0185A4">
            <w:pPr>
              <w:keepNext w:val="0"/>
              <w:keepLines w:val="0"/>
              <w:pageBreakBefore w:val="0"/>
              <w:widowControl/>
              <w:kinsoku/>
              <w:wordWrap/>
              <w:overflowPunct/>
              <w:topLinePunct w:val="0"/>
              <w:autoSpaceDE/>
              <w:autoSpaceDN/>
              <w:bidi w:val="0"/>
              <w:adjustRightInd/>
              <w:snapToGrid/>
              <w:spacing w:line="320" w:lineRule="atLeast"/>
              <w:jc w:val="left"/>
              <w:rPr>
                <w:rFonts w:hint="eastAsia" w:ascii="宋体" w:hAnsi="宋体" w:eastAsia="宋体" w:cs="宋体"/>
                <w:i w:val="0"/>
                <w:iCs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3CE3E4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1200×400×2000</w:t>
            </w:r>
          </w:p>
        </w:tc>
        <w:tc>
          <w:tcPr>
            <w:tcW w:w="712" w:type="dxa"/>
            <w:tcBorders>
              <w:top w:val="single" w:color="000000" w:sz="4" w:space="0"/>
              <w:left w:val="single" w:color="000000" w:sz="4" w:space="0"/>
              <w:bottom w:val="single" w:color="000000" w:sz="4" w:space="0"/>
              <w:right w:val="nil"/>
            </w:tcBorders>
            <w:noWrap/>
            <w:vAlign w:val="center"/>
          </w:tcPr>
          <w:p w14:paraId="3795AAB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1FBBC4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C05BBE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27940</wp:posOffset>
                  </wp:positionH>
                  <wp:positionV relativeFrom="paragraph">
                    <wp:posOffset>118110</wp:posOffset>
                  </wp:positionV>
                  <wp:extent cx="1238250" cy="1544320"/>
                  <wp:effectExtent l="0" t="0" r="0" b="17780"/>
                  <wp:wrapNone/>
                  <wp:docPr id="34" name="ID_354175245BEF4B35AF1A4A6B7385A846"/>
                  <wp:cNvGraphicFramePr/>
                  <a:graphic xmlns:a="http://schemas.openxmlformats.org/drawingml/2006/main">
                    <a:graphicData uri="http://schemas.openxmlformats.org/drawingml/2006/picture">
                      <pic:pic xmlns:pic="http://schemas.openxmlformats.org/drawingml/2006/picture">
                        <pic:nvPicPr>
                          <pic:cNvPr id="34" name="ID_354175245BEF4B35AF1A4A6B7385A846"/>
                          <pic:cNvPicPr/>
                        </pic:nvPicPr>
                        <pic:blipFill>
                          <a:blip r:embed="rId73"/>
                          <a:stretch>
                            <a:fillRect/>
                          </a:stretch>
                        </pic:blipFill>
                        <pic:spPr>
                          <a:xfrm>
                            <a:off x="0" y="0"/>
                            <a:ext cx="1238250" cy="154432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372D5D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7EDE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62BFE6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F20B83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7AFD2A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66AA25">
            <w:pPr>
              <w:keepNext w:val="0"/>
              <w:keepLines w:val="0"/>
              <w:pageBreakBefore w:val="0"/>
              <w:widowControl/>
              <w:kinsoku/>
              <w:wordWrap/>
              <w:overflowPunct/>
              <w:topLinePunct w:val="0"/>
              <w:autoSpaceDE/>
              <w:autoSpaceDN/>
              <w:bidi w:val="0"/>
              <w:adjustRightInd/>
              <w:snapToGrid/>
              <w:spacing w:line="320" w:lineRule="atLeast"/>
              <w:jc w:val="left"/>
              <w:rPr>
                <w:rFonts w:hint="eastAsia" w:ascii="宋体" w:hAnsi="宋体" w:eastAsia="宋体" w:cs="宋体"/>
                <w:i w:val="0"/>
                <w:iCs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A5861C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400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800</w:t>
            </w:r>
          </w:p>
        </w:tc>
        <w:tc>
          <w:tcPr>
            <w:tcW w:w="712" w:type="dxa"/>
            <w:tcBorders>
              <w:top w:val="single" w:color="000000" w:sz="4" w:space="0"/>
              <w:left w:val="single" w:color="000000" w:sz="4" w:space="0"/>
              <w:bottom w:val="single" w:color="000000" w:sz="4" w:space="0"/>
              <w:right w:val="nil"/>
            </w:tcBorders>
            <w:noWrap/>
            <w:vAlign w:val="center"/>
          </w:tcPr>
          <w:p w14:paraId="3627C98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E69E85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0BE9EA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55245</wp:posOffset>
                  </wp:positionH>
                  <wp:positionV relativeFrom="paragraph">
                    <wp:posOffset>74295</wp:posOffset>
                  </wp:positionV>
                  <wp:extent cx="1250315" cy="1479550"/>
                  <wp:effectExtent l="0" t="0" r="6985" b="6350"/>
                  <wp:wrapNone/>
                  <wp:docPr id="13" name="ID_A37919CA1B7946E3BF4811EEEC6F002B"/>
                  <wp:cNvGraphicFramePr/>
                  <a:graphic xmlns:a="http://schemas.openxmlformats.org/drawingml/2006/main">
                    <a:graphicData uri="http://schemas.openxmlformats.org/drawingml/2006/picture">
                      <pic:pic xmlns:pic="http://schemas.openxmlformats.org/drawingml/2006/picture">
                        <pic:nvPicPr>
                          <pic:cNvPr id="13" name="ID_A37919CA1B7946E3BF4811EEEC6F002B"/>
                          <pic:cNvPicPr/>
                        </pic:nvPicPr>
                        <pic:blipFill>
                          <a:blip r:embed="rId74"/>
                          <a:stretch>
                            <a:fillRect/>
                          </a:stretch>
                        </pic:blipFill>
                        <pic:spPr>
                          <a:xfrm>
                            <a:off x="0" y="0"/>
                            <a:ext cx="1250315" cy="14795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99437F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FA28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1"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6507EE6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3987829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寝室8间</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31340D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1米床</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8DE1EB6">
            <w:pPr>
              <w:keepNext w:val="0"/>
              <w:keepLines w:val="0"/>
              <w:pageBreakBefore w:val="0"/>
              <w:widowControl/>
              <w:numPr>
                <w:ilvl w:val="0"/>
                <w:numId w:val="32"/>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饰面：采用优质环保三聚氰胺</w:t>
            </w:r>
            <w:r>
              <w:rPr>
                <w:rFonts w:hint="eastAsia" w:ascii="宋体" w:hAnsi="宋体" w:eastAsia="宋体" w:cs="宋体"/>
                <w:i w:val="0"/>
                <w:iCs w:val="0"/>
                <w:color w:val="auto"/>
                <w:kern w:val="0"/>
                <w:sz w:val="18"/>
                <w:szCs w:val="18"/>
                <w:u w:val="none"/>
                <w:lang w:val="en-US" w:eastAsia="zh-CN" w:bidi="ar"/>
              </w:rPr>
              <w:t>饰面板，甲醛释放量≤0.0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2、基材：采用杉木免漆板，甲醛释放量≤0.0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cs="宋体"/>
                <w:i w:val="0"/>
                <w:iCs w:val="0"/>
                <w:color w:val="auto"/>
                <w:kern w:val="0"/>
                <w:sz w:val="18"/>
                <w:szCs w:val="18"/>
                <w:u w:val="none"/>
                <w:lang w:val="en-US" w:eastAsia="zh-CN" w:bidi="ar"/>
              </w:rPr>
              <w:t>,符合E0级标准</w:t>
            </w:r>
            <w:r>
              <w:rPr>
                <w:rFonts w:hint="eastAsia" w:ascii="宋体" w:hAnsi="宋体" w:eastAsia="宋体" w:cs="宋体"/>
                <w:i w:val="0"/>
                <w:iCs w:val="0"/>
                <w:color w:val="auto"/>
                <w:kern w:val="0"/>
                <w:sz w:val="18"/>
                <w:szCs w:val="18"/>
                <w:u w:val="none"/>
                <w:lang w:val="en-US" w:eastAsia="zh-CN" w:bidi="ar"/>
              </w:rPr>
              <w:t>；</w:t>
            </w:r>
          </w:p>
          <w:p w14:paraId="4BC2BD04">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 xml:space="preserve">4、全床定制，实木框架结构、床架上再铺杉木板。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5、靠背内嵌软包海绵填充物。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5A92B6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2000×1000×450</w:t>
            </w:r>
          </w:p>
        </w:tc>
        <w:tc>
          <w:tcPr>
            <w:tcW w:w="712" w:type="dxa"/>
            <w:tcBorders>
              <w:top w:val="single" w:color="000000" w:sz="4" w:space="0"/>
              <w:left w:val="single" w:color="000000" w:sz="4" w:space="0"/>
              <w:bottom w:val="single" w:color="000000" w:sz="4" w:space="0"/>
              <w:right w:val="nil"/>
            </w:tcBorders>
            <w:noWrap/>
            <w:vAlign w:val="center"/>
          </w:tcPr>
          <w:p w14:paraId="7CB4C2E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default" w:ascii="宋体" w:hAnsi="宋体" w:eastAsia="宋体" w:cs="宋体"/>
                <w:i w:val="0"/>
                <w:iCs w:val="0"/>
                <w:color w:val="FF0000"/>
                <w:sz w:val="18"/>
                <w:szCs w:val="18"/>
                <w:u w:val="none"/>
                <w:lang w:val="en-US"/>
              </w:rPr>
            </w:pPr>
            <w:r>
              <w:rPr>
                <w:rFonts w:hint="eastAsia" w:ascii="宋体" w:hAnsi="宋体" w:cs="宋体"/>
                <w:i w:val="0"/>
                <w:iCs w:val="0"/>
                <w:color w:val="auto"/>
                <w:kern w:val="0"/>
                <w:sz w:val="18"/>
                <w:szCs w:val="18"/>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399BAD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F9D8F6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53975</wp:posOffset>
                  </wp:positionH>
                  <wp:positionV relativeFrom="paragraph">
                    <wp:posOffset>171450</wp:posOffset>
                  </wp:positionV>
                  <wp:extent cx="1198245" cy="1304925"/>
                  <wp:effectExtent l="0" t="0" r="1905" b="9525"/>
                  <wp:wrapNone/>
                  <wp:docPr id="20" name="ID_03174354EA2B489AA4C25BD42C6724B4"/>
                  <wp:cNvGraphicFramePr/>
                  <a:graphic xmlns:a="http://schemas.openxmlformats.org/drawingml/2006/main">
                    <a:graphicData uri="http://schemas.openxmlformats.org/drawingml/2006/picture">
                      <pic:pic xmlns:pic="http://schemas.openxmlformats.org/drawingml/2006/picture">
                        <pic:nvPicPr>
                          <pic:cNvPr id="20" name="ID_03174354EA2B489AA4C25BD42C6724B4"/>
                          <pic:cNvPicPr/>
                        </pic:nvPicPr>
                        <pic:blipFill>
                          <a:blip r:embed="rId75"/>
                          <a:stretch>
                            <a:fillRect/>
                          </a:stretch>
                        </pic:blipFill>
                        <pic:spPr>
                          <a:xfrm>
                            <a:off x="0" y="0"/>
                            <a:ext cx="1198245" cy="13049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C2C410A">
            <w:pPr>
              <w:ind w:left="0" w:leftChars="0" w:firstLine="0" w:firstLineChars="0"/>
              <w:jc w:val="center"/>
              <w:rPr>
                <w:rFonts w:hint="default"/>
                <w:lang w:val="en-US" w:eastAsia="zh-CN"/>
              </w:rPr>
            </w:pPr>
            <w:r>
              <w:rPr>
                <w:rFonts w:hint="eastAsia"/>
                <w:lang w:val="en-US" w:eastAsia="zh-CN"/>
              </w:rPr>
              <w:t>定制</w:t>
            </w:r>
          </w:p>
        </w:tc>
      </w:tr>
      <w:tr w14:paraId="6EE36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732DE7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4E4B27C8">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AF08C5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1米床垫（含外套）</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31FA09C">
            <w:pPr>
              <w:keepNext w:val="0"/>
              <w:keepLines w:val="0"/>
              <w:pageBreakBefore w:val="0"/>
              <w:widowControl/>
              <w:numPr>
                <w:ilvl w:val="0"/>
                <w:numId w:val="33"/>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面料：竹纤维带阻燃针织，具备阻燃，防螨，防菌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2、海绵层：高回弹海绵层，密度≥20kg/m3，厚度≥15mm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3、正反面填充层：第一层厚6mm白色棉毡（≥500g/㎡）；第二层白色人造纤维无纺布（≥500g/㎡）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4、整体高度≥60mm，偏差±5mm</w:t>
            </w:r>
          </w:p>
          <w:p w14:paraId="1567D479">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5、床垫外套按要求队内要求定制，可拆洗。</w:t>
            </w:r>
          </w:p>
          <w:p w14:paraId="30DA1F2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5A04D8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2000×1000×60</w:t>
            </w:r>
          </w:p>
        </w:tc>
        <w:tc>
          <w:tcPr>
            <w:tcW w:w="712" w:type="dxa"/>
            <w:tcBorders>
              <w:top w:val="single" w:color="000000" w:sz="4" w:space="0"/>
              <w:left w:val="single" w:color="000000" w:sz="4" w:space="0"/>
              <w:bottom w:val="single" w:color="000000" w:sz="4" w:space="0"/>
              <w:right w:val="nil"/>
            </w:tcBorders>
            <w:noWrap/>
            <w:vAlign w:val="center"/>
          </w:tcPr>
          <w:p w14:paraId="4B160B8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1A0BD2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C62728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24130</wp:posOffset>
                  </wp:positionH>
                  <wp:positionV relativeFrom="paragraph">
                    <wp:posOffset>128270</wp:posOffset>
                  </wp:positionV>
                  <wp:extent cx="1255395" cy="1381125"/>
                  <wp:effectExtent l="0" t="0" r="1905" b="9525"/>
                  <wp:wrapNone/>
                  <wp:docPr id="16" name="ID_FAC64B9B9BCE4183B5D65F96AB668BC0"/>
                  <wp:cNvGraphicFramePr/>
                  <a:graphic xmlns:a="http://schemas.openxmlformats.org/drawingml/2006/main">
                    <a:graphicData uri="http://schemas.openxmlformats.org/drawingml/2006/picture">
                      <pic:pic xmlns:pic="http://schemas.openxmlformats.org/drawingml/2006/picture">
                        <pic:nvPicPr>
                          <pic:cNvPr id="16" name="ID_FAC64B9B9BCE4183B5D65F96AB668BC0"/>
                          <pic:cNvPicPr/>
                        </pic:nvPicPr>
                        <pic:blipFill>
                          <a:blip r:embed="rId76"/>
                          <a:stretch>
                            <a:fillRect/>
                          </a:stretch>
                        </pic:blipFill>
                        <pic:spPr>
                          <a:xfrm>
                            <a:off x="0" y="0"/>
                            <a:ext cx="1255395" cy="13811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ADB8D1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r>
              <w:rPr>
                <w:rFonts w:hint="eastAsia"/>
                <w:lang w:val="en-US" w:eastAsia="zh-CN"/>
              </w:rPr>
              <w:t>定制</w:t>
            </w:r>
          </w:p>
        </w:tc>
      </w:tr>
      <w:tr w14:paraId="2EB90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64525F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C165BE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08369B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DF5005C">
            <w:pPr>
              <w:keepNext w:val="0"/>
              <w:keepLines w:val="0"/>
              <w:pageBreakBefore w:val="0"/>
              <w:widowControl/>
              <w:numPr>
                <w:ilvl w:val="0"/>
                <w:numId w:val="34"/>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饰面：采用优质环保三聚氰胺饰面板，甲醛释放量≤0.05mg/m³；</w:t>
            </w:r>
          </w:p>
          <w:p w14:paraId="4682B92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2、基材：采用杉木免漆板，甲醛释放量≤0.0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cs="宋体"/>
                <w:i w:val="0"/>
                <w:iCs w:val="0"/>
                <w:color w:val="auto"/>
                <w:kern w:val="0"/>
                <w:sz w:val="18"/>
                <w:szCs w:val="18"/>
                <w:u w:val="none"/>
                <w:lang w:val="en-US" w:eastAsia="zh-CN" w:bidi="ar"/>
              </w:rPr>
              <w:t>，符合E0级标准</w:t>
            </w:r>
            <w:r>
              <w:rPr>
                <w:rFonts w:hint="eastAsia" w:ascii="宋体" w:hAnsi="宋体" w:eastAsia="宋体" w:cs="宋体"/>
                <w:i w:val="0"/>
                <w:iCs w:val="0"/>
                <w:color w:val="auto"/>
                <w:kern w:val="0"/>
                <w:sz w:val="18"/>
                <w:szCs w:val="18"/>
                <w:u w:val="none"/>
                <w:lang w:val="en-US" w:eastAsia="zh-CN" w:bidi="ar"/>
              </w:rPr>
              <w:t>；</w:t>
            </w:r>
          </w:p>
          <w:p w14:paraId="3D5A23CB">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p w14:paraId="1B15FD54">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25D8D1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450</w:t>
            </w:r>
            <w:r>
              <w:rPr>
                <w:rStyle w:val="84"/>
                <w:rFonts w:hint="eastAsia" w:ascii="宋体" w:hAnsi="宋体" w:eastAsia="宋体" w:cs="宋体"/>
                <w:sz w:val="18"/>
                <w:szCs w:val="18"/>
                <w:lang w:val="en-US" w:eastAsia="zh-CN" w:bidi="ar"/>
              </w:rPr>
              <w:t>×</w:t>
            </w:r>
            <w:r>
              <w:rPr>
                <w:rStyle w:val="127"/>
                <w:rFonts w:hint="eastAsia" w:ascii="宋体" w:hAnsi="宋体" w:eastAsia="宋体" w:cs="宋体"/>
                <w:sz w:val="18"/>
                <w:szCs w:val="18"/>
                <w:lang w:val="en-US" w:eastAsia="zh-CN" w:bidi="ar"/>
              </w:rPr>
              <w:t>500</w:t>
            </w:r>
            <w:r>
              <w:rPr>
                <w:rStyle w:val="84"/>
                <w:rFonts w:hint="eastAsia" w:ascii="宋体" w:hAnsi="宋体" w:eastAsia="宋体" w:cs="宋体"/>
                <w:sz w:val="18"/>
                <w:szCs w:val="18"/>
                <w:lang w:val="en-US" w:eastAsia="zh-CN" w:bidi="ar"/>
              </w:rPr>
              <w:t>×</w:t>
            </w:r>
            <w:r>
              <w:rPr>
                <w:rStyle w:val="127"/>
                <w:rFonts w:hint="eastAsia" w:ascii="宋体" w:hAnsi="宋体" w:eastAsia="宋体" w:cs="宋体"/>
                <w:sz w:val="18"/>
                <w:szCs w:val="18"/>
                <w:lang w:val="en-US" w:eastAsia="zh-CN" w:bidi="ar"/>
              </w:rPr>
              <w:t>500</w:t>
            </w:r>
          </w:p>
        </w:tc>
        <w:tc>
          <w:tcPr>
            <w:tcW w:w="712" w:type="dxa"/>
            <w:tcBorders>
              <w:top w:val="single" w:color="000000" w:sz="4" w:space="0"/>
              <w:left w:val="single" w:color="000000" w:sz="4" w:space="0"/>
              <w:bottom w:val="single" w:color="000000" w:sz="4" w:space="0"/>
              <w:right w:val="nil"/>
            </w:tcBorders>
            <w:noWrap/>
            <w:vAlign w:val="center"/>
          </w:tcPr>
          <w:p w14:paraId="16D1B27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423E03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CABDFD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-2540</wp:posOffset>
                  </wp:positionH>
                  <wp:positionV relativeFrom="paragraph">
                    <wp:posOffset>125730</wp:posOffset>
                  </wp:positionV>
                  <wp:extent cx="1285240" cy="1462405"/>
                  <wp:effectExtent l="0" t="0" r="10160" b="4445"/>
                  <wp:wrapNone/>
                  <wp:docPr id="17" name="图片_32"/>
                  <wp:cNvGraphicFramePr/>
                  <a:graphic xmlns:a="http://schemas.openxmlformats.org/drawingml/2006/main">
                    <a:graphicData uri="http://schemas.openxmlformats.org/drawingml/2006/picture">
                      <pic:pic xmlns:pic="http://schemas.openxmlformats.org/drawingml/2006/picture">
                        <pic:nvPicPr>
                          <pic:cNvPr id="17" name="图片_32"/>
                          <pic:cNvPicPr/>
                        </pic:nvPicPr>
                        <pic:blipFill>
                          <a:blip r:embed="rId77"/>
                          <a:stretch>
                            <a:fillRect/>
                          </a:stretch>
                        </pic:blipFill>
                        <pic:spPr>
                          <a:xfrm>
                            <a:off x="0" y="0"/>
                            <a:ext cx="1285240" cy="14624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A661F3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r>
              <w:rPr>
                <w:rFonts w:hint="eastAsia"/>
                <w:lang w:val="en-US" w:eastAsia="zh-CN"/>
              </w:rPr>
              <w:t>定制</w:t>
            </w:r>
          </w:p>
        </w:tc>
      </w:tr>
      <w:tr w14:paraId="49F7B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339475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10F06A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1AA947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auto"/>
                <w:kern w:val="0"/>
                <w:sz w:val="18"/>
                <w:szCs w:val="18"/>
                <w:u w:val="none"/>
                <w:lang w:val="en-US" w:eastAsia="zh-CN" w:bidi="ar"/>
              </w:rPr>
              <w:t>衣柜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14A2D1B">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饰面：采用优质环保三聚氰胺饰面板，甲醛释放量≤0.0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w:t>
            </w:r>
            <w:r>
              <w:rPr>
                <w:rFonts w:hint="eastAsia" w:ascii="宋体" w:hAnsi="宋体" w:cs="宋体"/>
                <w:i w:val="0"/>
                <w:iCs w:val="0"/>
                <w:color w:val="auto"/>
                <w:kern w:val="0"/>
                <w:sz w:val="18"/>
                <w:szCs w:val="18"/>
                <w:u w:val="none"/>
                <w:lang w:val="en-US" w:eastAsia="zh-CN" w:bidi="ar"/>
              </w:rPr>
              <w:t>m³</w:t>
            </w:r>
            <w:r>
              <w:rPr>
                <w:rFonts w:hint="eastAsia" w:ascii="宋体" w:hAnsi="宋体" w:eastAsia="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w:t>
            </w:r>
            <w:r>
              <w:rPr>
                <w:rFonts w:hint="eastAsia" w:ascii="宋体" w:hAnsi="宋体" w:cs="宋体"/>
                <w:i w:val="0"/>
                <w:iCs w:val="0"/>
                <w:color w:val="auto"/>
                <w:kern w:val="0"/>
                <w:sz w:val="18"/>
                <w:szCs w:val="18"/>
                <w:u w:val="none"/>
                <w:lang w:val="en-US" w:eastAsia="zh-CN" w:bidi="ar"/>
              </w:rPr>
              <w:t>内置E0级绿色环保</w:t>
            </w:r>
            <w:r>
              <w:rPr>
                <w:rFonts w:hint="eastAsia" w:ascii="宋体" w:hAnsi="宋体" w:eastAsia="宋体" w:cs="宋体"/>
                <w:i w:val="0"/>
                <w:iCs w:val="0"/>
                <w:color w:val="auto"/>
                <w:kern w:val="0"/>
                <w:sz w:val="18"/>
                <w:szCs w:val="18"/>
                <w:u w:val="none"/>
                <w:lang w:val="en-US" w:eastAsia="zh-CN" w:bidi="ar"/>
              </w:rPr>
              <w:t>杉木免漆板；</w:t>
            </w:r>
          </w:p>
          <w:p w14:paraId="7EA25E3E">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3、封边：采用优质环保</w:t>
            </w:r>
            <w:r>
              <w:rPr>
                <w:rFonts w:hint="eastAsia" w:ascii="宋体" w:hAnsi="宋体" w:cs="宋体"/>
                <w:i w:val="0"/>
                <w:iCs w:val="0"/>
                <w:color w:val="auto"/>
                <w:kern w:val="0"/>
                <w:sz w:val="18"/>
                <w:szCs w:val="18"/>
                <w:u w:val="none"/>
                <w:lang w:val="en-US" w:eastAsia="zh-CN" w:bidi="ar"/>
              </w:rPr>
              <w:t>PUR液体胶水</w:t>
            </w:r>
            <w:r>
              <w:rPr>
                <w:rFonts w:hint="eastAsia" w:ascii="宋体" w:hAnsi="宋体" w:eastAsia="宋体" w:cs="宋体"/>
                <w:i w:val="0"/>
                <w:iCs w:val="0"/>
                <w:color w:val="auto"/>
                <w:kern w:val="0"/>
                <w:sz w:val="18"/>
                <w:szCs w:val="18"/>
                <w:u w:val="none"/>
                <w:lang w:val="en-US" w:eastAsia="zh-CN" w:bidi="ar"/>
              </w:rPr>
              <w:t>封边，甲醛释放量≤</w:t>
            </w:r>
            <w:r>
              <w:rPr>
                <w:rFonts w:hint="eastAsia" w:ascii="宋体" w:hAnsi="宋体" w:cs="宋体"/>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g/</w:t>
            </w:r>
            <w:r>
              <w:rPr>
                <w:rFonts w:hint="eastAsia" w:ascii="宋体" w:hAnsi="宋体" w:cs="宋体"/>
                <w:i w:val="0"/>
                <w:iCs w:val="0"/>
                <w:color w:val="auto"/>
                <w:kern w:val="0"/>
                <w:sz w:val="18"/>
                <w:szCs w:val="18"/>
                <w:u w:val="none"/>
                <w:lang w:val="en-US" w:eastAsia="zh-CN" w:bidi="ar"/>
              </w:rPr>
              <w:t>kg</w:t>
            </w:r>
            <w:r>
              <w:rPr>
                <w:rFonts w:hint="eastAsia" w:ascii="宋体" w:hAnsi="宋体" w:eastAsia="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w:t>
            </w:r>
            <w:r>
              <w:rPr>
                <w:rFonts w:hint="eastAsia" w:ascii="宋体" w:hAnsi="宋体" w:cs="宋体"/>
                <w:i w:val="0"/>
                <w:iCs w:val="0"/>
                <w:color w:val="auto"/>
                <w:kern w:val="0"/>
                <w:sz w:val="18"/>
                <w:szCs w:val="18"/>
                <w:u w:val="none"/>
                <w:lang w:val="en-US" w:eastAsia="zh-CN" w:bidi="ar"/>
              </w:rPr>
              <w:t>水性</w:t>
            </w:r>
            <w:r>
              <w:rPr>
                <w:rFonts w:hint="eastAsia" w:ascii="宋体" w:hAnsi="宋体" w:eastAsia="宋体" w:cs="宋体"/>
                <w:i w:val="0"/>
                <w:iCs w:val="0"/>
                <w:color w:val="auto"/>
                <w:kern w:val="0"/>
                <w:sz w:val="18"/>
                <w:szCs w:val="18"/>
                <w:u w:val="none"/>
                <w:lang w:val="en-US" w:eastAsia="zh-CN" w:bidi="ar"/>
              </w:rPr>
              <w:t>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p w14:paraId="50B20EAD">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8E1BA6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FF0000"/>
                <w:sz w:val="18"/>
                <w:szCs w:val="18"/>
                <w:u w:val="none"/>
              </w:rPr>
            </w:pPr>
            <w:r>
              <w:rPr>
                <w:rFonts w:hint="eastAsia" w:ascii="宋体" w:hAnsi="宋体" w:cs="宋体"/>
                <w:i w:val="0"/>
                <w:iCs w:val="0"/>
                <w:color w:val="auto"/>
                <w:kern w:val="0"/>
                <w:sz w:val="18"/>
                <w:szCs w:val="18"/>
                <w:u w:val="none"/>
                <w:lang w:val="en-US" w:eastAsia="zh-CN" w:bidi="ar"/>
              </w:rPr>
              <w:t>高</w:t>
            </w:r>
            <w:r>
              <w:rPr>
                <w:rFonts w:hint="eastAsia" w:ascii="宋体" w:hAnsi="宋体" w:eastAsia="宋体" w:cs="宋体"/>
                <w:i w:val="0"/>
                <w:iCs w:val="0"/>
                <w:color w:val="auto"/>
                <w:kern w:val="0"/>
                <w:sz w:val="18"/>
                <w:szCs w:val="18"/>
                <w:u w:val="none"/>
                <w:lang w:val="en-US" w:eastAsia="zh-CN" w:bidi="ar"/>
              </w:rPr>
              <w:t>2150×</w:t>
            </w:r>
            <w:r>
              <w:rPr>
                <w:rFonts w:hint="eastAsia" w:ascii="宋体" w:hAnsi="宋体" w:cs="宋体"/>
                <w:i w:val="0"/>
                <w:iCs w:val="0"/>
                <w:color w:val="auto"/>
                <w:kern w:val="0"/>
                <w:sz w:val="18"/>
                <w:szCs w:val="18"/>
                <w:u w:val="none"/>
                <w:lang w:val="en-US" w:eastAsia="zh-CN" w:bidi="ar"/>
              </w:rPr>
              <w:t>宽</w:t>
            </w:r>
            <w:r>
              <w:rPr>
                <w:rFonts w:hint="eastAsia" w:ascii="宋体" w:hAnsi="宋体" w:eastAsia="宋体" w:cs="宋体"/>
                <w:i w:val="0"/>
                <w:iCs w:val="0"/>
                <w:color w:val="auto"/>
                <w:kern w:val="0"/>
                <w:sz w:val="18"/>
                <w:szCs w:val="18"/>
                <w:u w:val="none"/>
                <w:lang w:val="en-US" w:eastAsia="zh-CN" w:bidi="ar"/>
              </w:rPr>
              <w:t>800×</w:t>
            </w:r>
            <w:r>
              <w:rPr>
                <w:rFonts w:hint="eastAsia" w:ascii="宋体" w:hAnsi="宋体" w:cs="宋体"/>
                <w:i w:val="0"/>
                <w:iCs w:val="0"/>
                <w:color w:val="auto"/>
                <w:kern w:val="0"/>
                <w:sz w:val="18"/>
                <w:szCs w:val="18"/>
                <w:u w:val="none"/>
                <w:lang w:val="en-US" w:eastAsia="zh-CN" w:bidi="ar"/>
              </w:rPr>
              <w:t>深</w:t>
            </w:r>
            <w:r>
              <w:rPr>
                <w:rFonts w:hint="eastAsia" w:ascii="宋体" w:hAnsi="宋体" w:eastAsia="宋体" w:cs="宋体"/>
                <w:i w:val="0"/>
                <w:iCs w:val="0"/>
                <w:color w:val="auto"/>
                <w:kern w:val="0"/>
                <w:sz w:val="18"/>
                <w:szCs w:val="18"/>
                <w:u w:val="none"/>
                <w:lang w:val="en-US" w:eastAsia="zh-CN" w:bidi="ar"/>
              </w:rPr>
              <w:t>600</w:t>
            </w:r>
          </w:p>
        </w:tc>
        <w:tc>
          <w:tcPr>
            <w:tcW w:w="712" w:type="dxa"/>
            <w:tcBorders>
              <w:top w:val="single" w:color="000000" w:sz="4" w:space="0"/>
              <w:left w:val="single" w:color="000000" w:sz="4" w:space="0"/>
              <w:bottom w:val="single" w:color="000000" w:sz="4" w:space="0"/>
              <w:right w:val="nil"/>
            </w:tcBorders>
            <w:noWrap/>
            <w:vAlign w:val="center"/>
          </w:tcPr>
          <w:p w14:paraId="538EC02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w:t>
            </w:r>
            <w:r>
              <w:rPr>
                <w:rFonts w:hint="eastAsia" w:ascii="宋体" w:hAnsi="宋体" w:cs="宋体"/>
                <w:i w:val="0"/>
                <w:iCs w:val="0"/>
                <w:color w:val="auto"/>
                <w:kern w:val="0"/>
                <w:sz w:val="18"/>
                <w:szCs w:val="18"/>
                <w:u w:val="none"/>
                <w:lang w:val="en-US" w:eastAsia="zh-CN" w:bidi="ar"/>
              </w:rPr>
              <w:t>0</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D467430">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B3C433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-40640</wp:posOffset>
                  </wp:positionH>
                  <wp:positionV relativeFrom="paragraph">
                    <wp:posOffset>53340</wp:posOffset>
                  </wp:positionV>
                  <wp:extent cx="1273175" cy="1203960"/>
                  <wp:effectExtent l="0" t="0" r="3175" b="15240"/>
                  <wp:wrapNone/>
                  <wp:docPr id="23" name="图片_116"/>
                  <wp:cNvGraphicFramePr/>
                  <a:graphic xmlns:a="http://schemas.openxmlformats.org/drawingml/2006/main">
                    <a:graphicData uri="http://schemas.openxmlformats.org/drawingml/2006/picture">
                      <pic:pic xmlns:pic="http://schemas.openxmlformats.org/drawingml/2006/picture">
                        <pic:nvPicPr>
                          <pic:cNvPr id="23" name="图片_116"/>
                          <pic:cNvPicPr/>
                        </pic:nvPicPr>
                        <pic:blipFill>
                          <a:blip r:embed="rId78"/>
                          <a:stretch>
                            <a:fillRect/>
                          </a:stretch>
                        </pic:blipFill>
                        <pic:spPr>
                          <a:xfrm>
                            <a:off x="0" y="0"/>
                            <a:ext cx="1273175" cy="12039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1386840</wp:posOffset>
                  </wp:positionH>
                  <wp:positionV relativeFrom="paragraph">
                    <wp:posOffset>123825</wp:posOffset>
                  </wp:positionV>
                  <wp:extent cx="0" cy="1447800"/>
                  <wp:effectExtent l="0" t="0" r="0" b="0"/>
                  <wp:wrapNone/>
                  <wp:docPr id="21" name="ID_CFDCBDACA3CF4D60900D7B48E7A0DFAE"/>
                  <wp:cNvGraphicFramePr/>
                  <a:graphic xmlns:a="http://schemas.openxmlformats.org/drawingml/2006/main">
                    <a:graphicData uri="http://schemas.openxmlformats.org/drawingml/2006/picture">
                      <pic:pic xmlns:pic="http://schemas.openxmlformats.org/drawingml/2006/picture">
                        <pic:nvPicPr>
                          <pic:cNvPr id="21" name="ID_CFDCBDACA3CF4D60900D7B48E7A0DFAE"/>
                          <pic:cNvPicPr/>
                        </pic:nvPicPr>
                        <pic:blipFill>
                          <a:blip r:embed="rId79"/>
                          <a:stretch>
                            <a:fillRect/>
                          </a:stretch>
                        </pic:blipFill>
                        <pic:spPr>
                          <a:xfrm>
                            <a:off x="0" y="0"/>
                            <a:ext cx="0" cy="1447800"/>
                          </a:xfrm>
                          <a:prstGeom prst="rect">
                            <a:avLst/>
                          </a:prstGeom>
                          <a:noFill/>
                          <a:ln>
                            <a:noFill/>
                          </a:ln>
                        </pic:spPr>
                      </pic:pic>
                    </a:graphicData>
                  </a:graphic>
                </wp:anchor>
              </w:drawing>
            </w:r>
            <w:r>
              <w:rPr>
                <w:rFonts w:hint="eastAsia" w:ascii="宋体" w:hAnsi="宋体" w:eastAsia="宋体" w:cs="宋体"/>
                <w:i w:val="0"/>
                <w:iCs w:val="0"/>
                <w:color w:val="000000"/>
                <w:sz w:val="18"/>
                <w:szCs w:val="18"/>
                <w:u w:val="none"/>
                <w:lang w:val="en-US" w:eastAsia="zh-CN"/>
              </w:rPr>
              <w:t xml:space="preserve">        </w:t>
            </w:r>
          </w:p>
          <w:p w14:paraId="4F16FA7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lang w:val="en-US" w:eastAsia="zh-CN"/>
              </w:rPr>
            </w:pPr>
          </w:p>
          <w:p w14:paraId="3BFE765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lang w:val="en-US" w:eastAsia="zh-CN"/>
              </w:rPr>
            </w:pPr>
          </w:p>
          <w:p w14:paraId="70A9802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lang w:val="en-US" w:eastAsia="zh-CN"/>
              </w:rPr>
            </w:pPr>
          </w:p>
          <w:p w14:paraId="7B146F8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lang w:val="en-US" w:eastAsia="zh-CN"/>
              </w:rPr>
            </w:pPr>
          </w:p>
          <w:p w14:paraId="5DA07DB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lang w:val="en-US" w:eastAsia="zh-CN"/>
              </w:rPr>
              <w:t xml:space="preserve"> </w:t>
            </w:r>
            <w:r>
              <w:rPr>
                <w:rFonts w:hint="eastAsia" w:ascii="宋体" w:hAnsi="宋体" w:eastAsia="宋体" w:cs="宋体"/>
                <w:i w:val="0"/>
                <w:iCs w:val="0"/>
                <w:color w:val="000000"/>
                <w:sz w:val="18"/>
                <w:szCs w:val="18"/>
                <w:u w:val="none"/>
                <w:lang w:val="en-US" w:eastAsia="zh-CN"/>
              </w:rPr>
              <w:drawing>
                <wp:inline distT="0" distB="0" distL="114300" distR="114300">
                  <wp:extent cx="1198880" cy="1390650"/>
                  <wp:effectExtent l="0" t="0" r="1270" b="0"/>
                  <wp:docPr id="18"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3"/>
                          <pic:cNvPicPr>
                            <a:picLocks noChangeAspect="1"/>
                          </pic:cNvPicPr>
                        </pic:nvPicPr>
                        <pic:blipFill>
                          <a:blip r:embed="rId80"/>
                          <a:stretch>
                            <a:fillRect/>
                          </a:stretch>
                        </pic:blipFill>
                        <pic:spPr>
                          <a:xfrm>
                            <a:off x="0" y="0"/>
                            <a:ext cx="1198880" cy="1390650"/>
                          </a:xfrm>
                          <a:prstGeom prst="rect">
                            <a:avLst/>
                          </a:prstGeom>
                          <a:noFill/>
                          <a:ln>
                            <a:noFill/>
                          </a:ln>
                        </pic:spPr>
                      </pic:pic>
                    </a:graphicData>
                  </a:graphic>
                </wp:inline>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18704A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r>
              <w:rPr>
                <w:rFonts w:hint="eastAsia"/>
                <w:lang w:val="en-US" w:eastAsia="zh-CN"/>
              </w:rPr>
              <w:t>定制</w:t>
            </w:r>
          </w:p>
        </w:tc>
      </w:tr>
      <w:tr w14:paraId="5921A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334EEE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16A6C3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376F6E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户外鞋柜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8AEBED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1、基材：采用上海宝钢优质冷轧板，静电粉末喷塑工艺，添加稳定性防晒微粒，不生锈，不怕晒。可拆卸层板调节高度。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2、柜门：90°翻盖式柜门。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3、层数9层。</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779C93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800×350×143.3</w:t>
            </w:r>
          </w:p>
        </w:tc>
        <w:tc>
          <w:tcPr>
            <w:tcW w:w="712" w:type="dxa"/>
            <w:tcBorders>
              <w:top w:val="single" w:color="000000" w:sz="4" w:space="0"/>
              <w:left w:val="single" w:color="000000" w:sz="4" w:space="0"/>
              <w:bottom w:val="single" w:color="000000" w:sz="4" w:space="0"/>
              <w:right w:val="nil"/>
            </w:tcBorders>
            <w:noWrap/>
            <w:vAlign w:val="center"/>
          </w:tcPr>
          <w:p w14:paraId="6F6A225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289369F">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310BF8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15240</wp:posOffset>
                  </wp:positionH>
                  <wp:positionV relativeFrom="paragraph">
                    <wp:posOffset>75565</wp:posOffset>
                  </wp:positionV>
                  <wp:extent cx="1283335" cy="1174750"/>
                  <wp:effectExtent l="0" t="0" r="12065" b="6350"/>
                  <wp:wrapNone/>
                  <wp:docPr id="22" name="ID_4DB950671AAC42F7A2D8B2CFC772F388"/>
                  <wp:cNvGraphicFramePr/>
                  <a:graphic xmlns:a="http://schemas.openxmlformats.org/drawingml/2006/main">
                    <a:graphicData uri="http://schemas.openxmlformats.org/drawingml/2006/picture">
                      <pic:pic xmlns:pic="http://schemas.openxmlformats.org/drawingml/2006/picture">
                        <pic:nvPicPr>
                          <pic:cNvPr id="22" name="ID_4DB950671AAC42F7A2D8B2CFC772F388"/>
                          <pic:cNvPicPr/>
                        </pic:nvPicPr>
                        <pic:blipFill>
                          <a:blip r:embed="rId81"/>
                          <a:stretch>
                            <a:fillRect/>
                          </a:stretch>
                        </pic:blipFill>
                        <pic:spPr>
                          <a:xfrm>
                            <a:off x="0" y="0"/>
                            <a:ext cx="1283335" cy="11747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6DC98F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B65E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C71FF1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EC3550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A95C5A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不锈钢脸盆架</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9C21CC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采用304不锈钢材质，框架结构，采用40mm方形管材，共两层。具体结构根据实际场景定制。（附场景图）</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BCA905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500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600</w:t>
            </w:r>
          </w:p>
        </w:tc>
        <w:tc>
          <w:tcPr>
            <w:tcW w:w="712" w:type="dxa"/>
            <w:tcBorders>
              <w:top w:val="single" w:color="000000" w:sz="4" w:space="0"/>
              <w:left w:val="single" w:color="000000" w:sz="4" w:space="0"/>
              <w:bottom w:val="single" w:color="000000" w:sz="4" w:space="0"/>
              <w:right w:val="nil"/>
            </w:tcBorders>
            <w:noWrap/>
            <w:vAlign w:val="center"/>
          </w:tcPr>
          <w:p w14:paraId="1B6EE3C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4C5D1A7">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71B269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781050</wp:posOffset>
                  </wp:positionH>
                  <wp:positionV relativeFrom="paragraph">
                    <wp:posOffset>62865</wp:posOffset>
                  </wp:positionV>
                  <wp:extent cx="501650" cy="1213485"/>
                  <wp:effectExtent l="0" t="0" r="12700" b="5715"/>
                  <wp:wrapNone/>
                  <wp:docPr id="31" name="ID_3366C0D89B01414FB361547BD95473E4"/>
                  <wp:cNvGraphicFramePr/>
                  <a:graphic xmlns:a="http://schemas.openxmlformats.org/drawingml/2006/main">
                    <a:graphicData uri="http://schemas.openxmlformats.org/drawingml/2006/picture">
                      <pic:pic xmlns:pic="http://schemas.openxmlformats.org/drawingml/2006/picture">
                        <pic:nvPicPr>
                          <pic:cNvPr id="31" name="ID_3366C0D89B01414FB361547BD95473E4"/>
                          <pic:cNvPicPr/>
                        </pic:nvPicPr>
                        <pic:blipFill>
                          <a:blip r:embed="rId82"/>
                          <a:stretch>
                            <a:fillRect/>
                          </a:stretch>
                        </pic:blipFill>
                        <pic:spPr>
                          <a:xfrm>
                            <a:off x="0" y="0"/>
                            <a:ext cx="501650" cy="121348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-20320</wp:posOffset>
                  </wp:positionH>
                  <wp:positionV relativeFrom="paragraph">
                    <wp:posOffset>53340</wp:posOffset>
                  </wp:positionV>
                  <wp:extent cx="772795" cy="1198880"/>
                  <wp:effectExtent l="0" t="0" r="8255" b="1270"/>
                  <wp:wrapNone/>
                  <wp:docPr id="11" name="图片_121"/>
                  <wp:cNvGraphicFramePr/>
                  <a:graphic xmlns:a="http://schemas.openxmlformats.org/drawingml/2006/main">
                    <a:graphicData uri="http://schemas.openxmlformats.org/drawingml/2006/picture">
                      <pic:pic xmlns:pic="http://schemas.openxmlformats.org/drawingml/2006/picture">
                        <pic:nvPicPr>
                          <pic:cNvPr id="11" name="图片_121"/>
                          <pic:cNvPicPr/>
                        </pic:nvPicPr>
                        <pic:blipFill>
                          <a:blip r:embed="rId83"/>
                          <a:stretch>
                            <a:fillRect/>
                          </a:stretch>
                        </pic:blipFill>
                        <pic:spPr>
                          <a:xfrm>
                            <a:off x="0" y="0"/>
                            <a:ext cx="772795" cy="11988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D453A0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4CAA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7BC9F7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D5A005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ED4E33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洗漱用品柜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DFA422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层实木免漆板，防水防潮，在1L空气中检测甲醛释放量低于1.5mg/L,符合国家标准。阻尼缓冲铰链，五金件：采用优质五金配件（铰链、拉手、三合一连接件），经防锈处理，达国家标准。镜面式门板，底部采用优质铝合金材料做贯穿式毛巾挂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（附场景图）</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F2D4A1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700×200×750</w:t>
            </w:r>
          </w:p>
        </w:tc>
        <w:tc>
          <w:tcPr>
            <w:tcW w:w="712" w:type="dxa"/>
            <w:tcBorders>
              <w:top w:val="single" w:color="000000" w:sz="4" w:space="0"/>
              <w:left w:val="single" w:color="000000" w:sz="4" w:space="0"/>
              <w:bottom w:val="single" w:color="000000" w:sz="4" w:space="0"/>
              <w:right w:val="nil"/>
            </w:tcBorders>
            <w:noWrap/>
            <w:vAlign w:val="center"/>
          </w:tcPr>
          <w:p w14:paraId="7A9F315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F26004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F534B4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669290</wp:posOffset>
                  </wp:positionH>
                  <wp:positionV relativeFrom="paragraph">
                    <wp:posOffset>41910</wp:posOffset>
                  </wp:positionV>
                  <wp:extent cx="644525" cy="1343025"/>
                  <wp:effectExtent l="0" t="0" r="3175" b="9525"/>
                  <wp:wrapNone/>
                  <wp:docPr id="6" name="ID_3D2C5B517FBD43E2949EF75816251C9F"/>
                  <wp:cNvGraphicFramePr/>
                  <a:graphic xmlns:a="http://schemas.openxmlformats.org/drawingml/2006/main">
                    <a:graphicData uri="http://schemas.openxmlformats.org/drawingml/2006/picture">
                      <pic:pic xmlns:pic="http://schemas.openxmlformats.org/drawingml/2006/picture">
                        <pic:nvPicPr>
                          <pic:cNvPr id="6" name="ID_3D2C5B517FBD43E2949EF75816251C9F"/>
                          <pic:cNvPicPr/>
                        </pic:nvPicPr>
                        <pic:blipFill>
                          <a:blip r:embed="rId84"/>
                          <a:stretch>
                            <a:fillRect/>
                          </a:stretch>
                        </pic:blipFill>
                        <pic:spPr>
                          <a:xfrm>
                            <a:off x="0" y="0"/>
                            <a:ext cx="644525" cy="134302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-17780</wp:posOffset>
                  </wp:positionH>
                  <wp:positionV relativeFrom="paragraph">
                    <wp:posOffset>41275</wp:posOffset>
                  </wp:positionV>
                  <wp:extent cx="646430" cy="1361440"/>
                  <wp:effectExtent l="0" t="0" r="1270" b="10160"/>
                  <wp:wrapNone/>
                  <wp:docPr id="24" name="ID_53F358CE8D1C4524A133CCC971024816"/>
                  <wp:cNvGraphicFramePr/>
                  <a:graphic xmlns:a="http://schemas.openxmlformats.org/drawingml/2006/main">
                    <a:graphicData uri="http://schemas.openxmlformats.org/drawingml/2006/picture">
                      <pic:pic xmlns:pic="http://schemas.openxmlformats.org/drawingml/2006/picture">
                        <pic:nvPicPr>
                          <pic:cNvPr id="24" name="ID_53F358CE8D1C4524A133CCC971024816"/>
                          <pic:cNvPicPr/>
                        </pic:nvPicPr>
                        <pic:blipFill>
                          <a:blip r:embed="rId85"/>
                          <a:stretch>
                            <a:fillRect/>
                          </a:stretch>
                        </pic:blipFill>
                        <pic:spPr>
                          <a:xfrm>
                            <a:off x="0" y="0"/>
                            <a:ext cx="646430" cy="13614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A19594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C0A1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78563D0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68097FD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党团活动室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B4186C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12人会议桌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A2067C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4、采用优质五金配件，防锈处理。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EA97DA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3200×1500×760</w:t>
            </w:r>
          </w:p>
        </w:tc>
        <w:tc>
          <w:tcPr>
            <w:tcW w:w="712" w:type="dxa"/>
            <w:tcBorders>
              <w:top w:val="single" w:color="000000" w:sz="4" w:space="0"/>
              <w:left w:val="single" w:color="000000" w:sz="4" w:space="0"/>
              <w:bottom w:val="single" w:color="000000" w:sz="4" w:space="0"/>
              <w:right w:val="nil"/>
            </w:tcBorders>
            <w:noWrap/>
            <w:vAlign w:val="center"/>
          </w:tcPr>
          <w:p w14:paraId="77372BB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99E6EF1">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F9E76B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-14605</wp:posOffset>
                  </wp:positionH>
                  <wp:positionV relativeFrom="paragraph">
                    <wp:posOffset>133985</wp:posOffset>
                  </wp:positionV>
                  <wp:extent cx="1287145" cy="1301750"/>
                  <wp:effectExtent l="0" t="0" r="8255" b="12700"/>
                  <wp:wrapNone/>
                  <wp:docPr id="25" name="ID_DCE6B464B7EB4BD38C642655B74AFAC0"/>
                  <wp:cNvGraphicFramePr/>
                  <a:graphic xmlns:a="http://schemas.openxmlformats.org/drawingml/2006/main">
                    <a:graphicData uri="http://schemas.openxmlformats.org/drawingml/2006/picture">
                      <pic:pic xmlns:pic="http://schemas.openxmlformats.org/drawingml/2006/picture">
                        <pic:nvPicPr>
                          <pic:cNvPr id="25" name="ID_DCE6B464B7EB4BD38C642655B74AFAC0"/>
                          <pic:cNvPicPr/>
                        </pic:nvPicPr>
                        <pic:blipFill>
                          <a:blip r:embed="rId86"/>
                          <a:stretch>
                            <a:fillRect/>
                          </a:stretch>
                        </pic:blipFill>
                        <pic:spPr>
                          <a:xfrm>
                            <a:off x="0" y="0"/>
                            <a:ext cx="1287145" cy="13017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5F1D8D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3138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923278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3F24AD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8CFD2A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9E522B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3、采用高泡海绵，外包采用优质西皮扪面。</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9D7A1C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620×750×1070</w:t>
            </w:r>
          </w:p>
        </w:tc>
        <w:tc>
          <w:tcPr>
            <w:tcW w:w="712" w:type="dxa"/>
            <w:tcBorders>
              <w:top w:val="single" w:color="000000" w:sz="4" w:space="0"/>
              <w:left w:val="single" w:color="000000" w:sz="4" w:space="0"/>
              <w:bottom w:val="single" w:color="000000" w:sz="4" w:space="0"/>
              <w:right w:val="nil"/>
            </w:tcBorders>
            <w:noWrap/>
            <w:vAlign w:val="center"/>
          </w:tcPr>
          <w:p w14:paraId="648A102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8BE2915">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B0977D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-2540</wp:posOffset>
                  </wp:positionH>
                  <wp:positionV relativeFrom="paragraph">
                    <wp:posOffset>88900</wp:posOffset>
                  </wp:positionV>
                  <wp:extent cx="1254125" cy="1051560"/>
                  <wp:effectExtent l="0" t="0" r="3175" b="15240"/>
                  <wp:wrapNone/>
                  <wp:docPr id="26" name="ID_7C3A81C6AB9B469CBF9CAD9BE215CFE5"/>
                  <wp:cNvGraphicFramePr/>
                  <a:graphic xmlns:a="http://schemas.openxmlformats.org/drawingml/2006/main">
                    <a:graphicData uri="http://schemas.openxmlformats.org/drawingml/2006/picture">
                      <pic:pic xmlns:pic="http://schemas.openxmlformats.org/drawingml/2006/picture">
                        <pic:nvPicPr>
                          <pic:cNvPr id="26" name="ID_7C3A81C6AB9B469CBF9CAD9BE215CFE5"/>
                          <pic:cNvPicPr/>
                        </pic:nvPicPr>
                        <pic:blipFill>
                          <a:blip r:embed="rId87"/>
                          <a:stretch>
                            <a:fillRect/>
                          </a:stretch>
                        </pic:blipFill>
                        <pic:spPr>
                          <a:xfrm>
                            <a:off x="0" y="0"/>
                            <a:ext cx="1254125" cy="105156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FCD20C6">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BB30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A0899F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4520EE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4E72A9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二门书柜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48F249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4、采用优质五金配件，防锈。</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AEB693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800×420×2000</w:t>
            </w:r>
          </w:p>
        </w:tc>
        <w:tc>
          <w:tcPr>
            <w:tcW w:w="712" w:type="dxa"/>
            <w:tcBorders>
              <w:top w:val="single" w:color="000000" w:sz="4" w:space="0"/>
              <w:left w:val="single" w:color="000000" w:sz="4" w:space="0"/>
              <w:bottom w:val="single" w:color="000000" w:sz="4" w:space="0"/>
              <w:right w:val="nil"/>
            </w:tcBorders>
            <w:noWrap/>
            <w:vAlign w:val="center"/>
          </w:tcPr>
          <w:p w14:paraId="08ADDEA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9D7D447">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22B847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-4445</wp:posOffset>
                  </wp:positionH>
                  <wp:positionV relativeFrom="paragraph">
                    <wp:posOffset>84455</wp:posOffset>
                  </wp:positionV>
                  <wp:extent cx="1296670" cy="1210945"/>
                  <wp:effectExtent l="0" t="0" r="17780" b="8255"/>
                  <wp:wrapNone/>
                  <wp:docPr id="27" name="ID_80C4C1AF4A6045EE92795FDD46F63580"/>
                  <wp:cNvGraphicFramePr/>
                  <a:graphic xmlns:a="http://schemas.openxmlformats.org/drawingml/2006/main">
                    <a:graphicData uri="http://schemas.openxmlformats.org/drawingml/2006/picture">
                      <pic:pic xmlns:pic="http://schemas.openxmlformats.org/drawingml/2006/picture">
                        <pic:nvPicPr>
                          <pic:cNvPr id="27" name="ID_80C4C1AF4A6045EE92795FDD46F63580"/>
                          <pic:cNvPicPr/>
                        </pic:nvPicPr>
                        <pic:blipFill>
                          <a:blip r:embed="rId88"/>
                          <a:stretch>
                            <a:fillRect/>
                          </a:stretch>
                        </pic:blipFill>
                        <pic:spPr>
                          <a:xfrm>
                            <a:off x="0" y="0"/>
                            <a:ext cx="1296670" cy="12109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0A8CCA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3063C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B649A0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2A5008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14181A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95DC94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4、采用优质五金配件，防锈处理。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701051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1200×400×800</w:t>
            </w:r>
          </w:p>
        </w:tc>
        <w:tc>
          <w:tcPr>
            <w:tcW w:w="712" w:type="dxa"/>
            <w:tcBorders>
              <w:top w:val="single" w:color="000000" w:sz="4" w:space="0"/>
              <w:left w:val="single" w:color="000000" w:sz="4" w:space="0"/>
              <w:bottom w:val="single" w:color="000000" w:sz="4" w:space="0"/>
              <w:right w:val="nil"/>
            </w:tcBorders>
            <w:noWrap/>
            <w:vAlign w:val="center"/>
          </w:tcPr>
          <w:p w14:paraId="73DE56E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8A1DFF3">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E00020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-15240</wp:posOffset>
                  </wp:positionH>
                  <wp:positionV relativeFrom="paragraph">
                    <wp:posOffset>69850</wp:posOffset>
                  </wp:positionV>
                  <wp:extent cx="1336675" cy="1308100"/>
                  <wp:effectExtent l="0" t="0" r="15875" b="6350"/>
                  <wp:wrapNone/>
                  <wp:docPr id="5" name="ID_796BBA01A1744EEFB4036EC34641366A"/>
                  <wp:cNvGraphicFramePr/>
                  <a:graphic xmlns:a="http://schemas.openxmlformats.org/drawingml/2006/main">
                    <a:graphicData uri="http://schemas.openxmlformats.org/drawingml/2006/picture">
                      <pic:pic xmlns:pic="http://schemas.openxmlformats.org/drawingml/2006/picture">
                        <pic:nvPicPr>
                          <pic:cNvPr id="5" name="ID_796BBA01A1744EEFB4036EC34641366A"/>
                          <pic:cNvPicPr/>
                        </pic:nvPicPr>
                        <pic:blipFill>
                          <a:blip r:embed="rId89"/>
                          <a:stretch>
                            <a:fillRect/>
                          </a:stretch>
                        </pic:blipFill>
                        <pic:spPr>
                          <a:xfrm>
                            <a:off x="0" y="0"/>
                            <a:ext cx="1336675" cy="13081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FDE011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511B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33708EE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7BC5906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理发室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EA6BB7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理发椅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6933CB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头层皮革，内部高密度回弹海绵填充，分段式饱满靠背，加大圆盘底座，360°旋转，碳钢框架、脚踏，防锈处理，可调节升降，</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4B1BE2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宽640</w:t>
            </w:r>
          </w:p>
          <w:p w14:paraId="74E6FEC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深540</w:t>
            </w:r>
          </w:p>
          <w:p w14:paraId="649B12C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座高450-550</w:t>
            </w:r>
          </w:p>
          <w:p w14:paraId="0C20508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扶手高650-750</w:t>
            </w:r>
          </w:p>
          <w:p w14:paraId="568D2B9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auto"/>
                <w:kern w:val="0"/>
                <w:sz w:val="18"/>
                <w:szCs w:val="18"/>
                <w:u w:val="none"/>
                <w:lang w:val="en-US" w:eastAsia="zh-CN" w:bidi="ar"/>
              </w:rPr>
              <w:t>靠背高840-940</w:t>
            </w:r>
          </w:p>
        </w:tc>
        <w:tc>
          <w:tcPr>
            <w:tcW w:w="712" w:type="dxa"/>
            <w:tcBorders>
              <w:top w:val="single" w:color="000000" w:sz="4" w:space="0"/>
              <w:left w:val="single" w:color="000000" w:sz="4" w:space="0"/>
              <w:bottom w:val="single" w:color="000000" w:sz="4" w:space="0"/>
              <w:right w:val="nil"/>
            </w:tcBorders>
            <w:noWrap/>
            <w:vAlign w:val="center"/>
          </w:tcPr>
          <w:p w14:paraId="2DB8D1F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5187AF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96EACC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45085</wp:posOffset>
                  </wp:positionH>
                  <wp:positionV relativeFrom="paragraph">
                    <wp:posOffset>95250</wp:posOffset>
                  </wp:positionV>
                  <wp:extent cx="1224280" cy="1323340"/>
                  <wp:effectExtent l="0" t="0" r="13970" b="10160"/>
                  <wp:wrapNone/>
                  <wp:docPr id="12" name="ID_0E40FEA2AEBB4EF59D55C8DD72CE4EAD"/>
                  <wp:cNvGraphicFramePr/>
                  <a:graphic xmlns:a="http://schemas.openxmlformats.org/drawingml/2006/main">
                    <a:graphicData uri="http://schemas.openxmlformats.org/drawingml/2006/picture">
                      <pic:pic xmlns:pic="http://schemas.openxmlformats.org/drawingml/2006/picture">
                        <pic:nvPicPr>
                          <pic:cNvPr id="12" name="ID_0E40FEA2AEBB4EF59D55C8DD72CE4EAD"/>
                          <pic:cNvPicPr/>
                        </pic:nvPicPr>
                        <pic:blipFill>
                          <a:blip r:embed="rId90"/>
                          <a:stretch>
                            <a:fillRect/>
                          </a:stretch>
                        </pic:blipFill>
                        <pic:spPr>
                          <a:xfrm>
                            <a:off x="0" y="0"/>
                            <a:ext cx="1224280" cy="13233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E4FAE1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9F03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D36967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AD96B6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8CAE52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理发镜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BA61ED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采用加厚钢材，耐锈蚀烤漆工艺，无味无甲醛，耐潮耐腐不易生锈，优质镜体，LED一体灯镜。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0A0E31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65×170</w:t>
            </w:r>
          </w:p>
        </w:tc>
        <w:tc>
          <w:tcPr>
            <w:tcW w:w="712" w:type="dxa"/>
            <w:tcBorders>
              <w:top w:val="single" w:color="000000" w:sz="4" w:space="0"/>
              <w:left w:val="single" w:color="000000" w:sz="4" w:space="0"/>
              <w:bottom w:val="single" w:color="000000" w:sz="4" w:space="0"/>
              <w:right w:val="nil"/>
            </w:tcBorders>
            <w:noWrap/>
            <w:vAlign w:val="center"/>
          </w:tcPr>
          <w:p w14:paraId="30F2653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FA3920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面</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ECDDD96">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-8890</wp:posOffset>
                  </wp:positionH>
                  <wp:positionV relativeFrom="paragraph">
                    <wp:posOffset>83185</wp:posOffset>
                  </wp:positionV>
                  <wp:extent cx="1295400" cy="1181735"/>
                  <wp:effectExtent l="0" t="0" r="0" b="18415"/>
                  <wp:wrapNone/>
                  <wp:docPr id="28" name="ID_63192286C3594C469A78A2AD04B3B3F7"/>
                  <wp:cNvGraphicFramePr/>
                  <a:graphic xmlns:a="http://schemas.openxmlformats.org/drawingml/2006/main">
                    <a:graphicData uri="http://schemas.openxmlformats.org/drawingml/2006/picture">
                      <pic:pic xmlns:pic="http://schemas.openxmlformats.org/drawingml/2006/picture">
                        <pic:nvPicPr>
                          <pic:cNvPr id="28" name="ID_63192286C3594C469A78A2AD04B3B3F7"/>
                          <pic:cNvPicPr/>
                        </pic:nvPicPr>
                        <pic:blipFill>
                          <a:blip r:embed="rId91"/>
                          <a:stretch>
                            <a:fillRect/>
                          </a:stretch>
                        </pic:blipFill>
                        <pic:spPr>
                          <a:xfrm>
                            <a:off x="0" y="0"/>
                            <a:ext cx="1295400" cy="11817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4420A66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4EF25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190EB56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73FFEA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8AFF39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工具柜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1D9AA6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1、基材：采用优质中密度板（符合E1级要求）。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4、采用优质五金配件，防锈处理。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5、金属吹风机置物架、加高护栏、抽屉。</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C21488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350×300×800</w:t>
            </w:r>
          </w:p>
        </w:tc>
        <w:tc>
          <w:tcPr>
            <w:tcW w:w="712" w:type="dxa"/>
            <w:tcBorders>
              <w:top w:val="single" w:color="000000" w:sz="4" w:space="0"/>
              <w:left w:val="single" w:color="000000" w:sz="4" w:space="0"/>
              <w:bottom w:val="single" w:color="000000" w:sz="4" w:space="0"/>
              <w:right w:val="nil"/>
            </w:tcBorders>
            <w:noWrap/>
            <w:vAlign w:val="center"/>
          </w:tcPr>
          <w:p w14:paraId="4A6186E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096C091">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5B1416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22225</wp:posOffset>
                  </wp:positionH>
                  <wp:positionV relativeFrom="paragraph">
                    <wp:posOffset>132080</wp:posOffset>
                  </wp:positionV>
                  <wp:extent cx="1243330" cy="1513205"/>
                  <wp:effectExtent l="0" t="0" r="13970" b="10795"/>
                  <wp:wrapNone/>
                  <wp:docPr id="29" name="ID_211FA705569D4B589046ED7355EF6E10"/>
                  <wp:cNvGraphicFramePr/>
                  <a:graphic xmlns:a="http://schemas.openxmlformats.org/drawingml/2006/main">
                    <a:graphicData uri="http://schemas.openxmlformats.org/drawingml/2006/picture">
                      <pic:pic xmlns:pic="http://schemas.openxmlformats.org/drawingml/2006/picture">
                        <pic:nvPicPr>
                          <pic:cNvPr id="29" name="ID_211FA705569D4B589046ED7355EF6E10"/>
                          <pic:cNvPicPr/>
                        </pic:nvPicPr>
                        <pic:blipFill>
                          <a:blip r:embed="rId92"/>
                          <a:stretch>
                            <a:fillRect/>
                          </a:stretch>
                        </pic:blipFill>
                        <pic:spPr>
                          <a:xfrm>
                            <a:off x="0" y="0"/>
                            <a:ext cx="1243330" cy="15132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47559C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C224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76E8CB7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14272" w:type="dxa"/>
            <w:gridSpan w:val="7"/>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51F56F9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shd w:val="clear" w:color="auto" w:fill="auto"/>
              </w:rPr>
            </w:pPr>
            <w:r>
              <w:rPr>
                <w:rFonts w:hint="eastAsia" w:ascii="宋体" w:hAnsi="宋体" w:eastAsia="宋体" w:cs="宋体"/>
                <w:b/>
                <w:bCs/>
                <w:i w:val="0"/>
                <w:iCs w:val="0"/>
                <w:color w:val="000000"/>
                <w:kern w:val="0"/>
                <w:sz w:val="24"/>
                <w:szCs w:val="24"/>
                <w:u w:val="none"/>
                <w:shd w:val="clear" w:color="auto" w:fill="auto"/>
                <w:lang w:val="en-US" w:eastAsia="zh-CN" w:bidi="ar"/>
              </w:rPr>
              <w:t>三层</w:t>
            </w:r>
          </w:p>
        </w:tc>
        <w:tc>
          <w:tcPr>
            <w:tcW w:w="818" w:type="dxa"/>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6481F01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kern w:val="0"/>
                <w:sz w:val="24"/>
                <w:szCs w:val="24"/>
                <w:u w:val="none"/>
                <w:shd w:val="clear" w:color="auto" w:fill="auto"/>
                <w:lang w:val="en-US" w:eastAsia="zh-CN" w:bidi="ar"/>
              </w:rPr>
            </w:pPr>
          </w:p>
        </w:tc>
      </w:tr>
      <w:tr w14:paraId="4DFB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5DB9B07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267817E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视频会议室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0BCDB4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140长条会议桌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9BD284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F6E609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1400×400×760</w:t>
            </w:r>
          </w:p>
        </w:tc>
        <w:tc>
          <w:tcPr>
            <w:tcW w:w="712" w:type="dxa"/>
            <w:tcBorders>
              <w:top w:val="single" w:color="000000" w:sz="4" w:space="0"/>
              <w:left w:val="single" w:color="000000" w:sz="4" w:space="0"/>
              <w:bottom w:val="single" w:color="000000" w:sz="4" w:space="0"/>
              <w:right w:val="nil"/>
            </w:tcBorders>
            <w:noWrap/>
            <w:vAlign w:val="center"/>
          </w:tcPr>
          <w:p w14:paraId="71629BF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B7F3880">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597561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-1270</wp:posOffset>
                  </wp:positionH>
                  <wp:positionV relativeFrom="paragraph">
                    <wp:posOffset>115570</wp:posOffset>
                  </wp:positionV>
                  <wp:extent cx="1271905" cy="1558925"/>
                  <wp:effectExtent l="0" t="0" r="4445" b="3175"/>
                  <wp:wrapNone/>
                  <wp:docPr id="30" name="ID_A708AC9C0BD14858A979C28C07EAFF86"/>
                  <wp:cNvGraphicFramePr/>
                  <a:graphic xmlns:a="http://schemas.openxmlformats.org/drawingml/2006/main">
                    <a:graphicData uri="http://schemas.openxmlformats.org/drawingml/2006/picture">
                      <pic:pic xmlns:pic="http://schemas.openxmlformats.org/drawingml/2006/picture">
                        <pic:nvPicPr>
                          <pic:cNvPr id="30" name="ID_A708AC9C0BD14858A979C28C07EAFF86"/>
                          <pic:cNvPicPr/>
                        </pic:nvPicPr>
                        <pic:blipFill>
                          <a:blip r:embed="rId93"/>
                          <a:stretch>
                            <a:fillRect/>
                          </a:stretch>
                        </pic:blipFill>
                        <pic:spPr>
                          <a:xfrm>
                            <a:off x="0" y="0"/>
                            <a:ext cx="1271905" cy="15589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8837C0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38A9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0C7CC3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78C560F">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CD9D8F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4A1CCD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1.基材：椅架采用优质橡胶木制作，木榫工艺。甲醛释放量符合国家标准。坐垫：优质西皮PV高能发泡海绵，达到国家标准，软硬度适中达到。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3.技术说明：所有木材都进行烘干及防蛀处理；抗压力强、木性坚韧、质地坚硬，不易吸水，强度大，不翘曲、变形，特点重硬、纹理直，结构牢固， 色泽淡雅纹理美观，力学强度高，耐磨损。油漆采用优质环保油漆，具有透明度高、耐划伤、防黄变，具有无毒害，硬度大，耐磨性强，能长期保持漆面效果。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3FC870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430×450×900</w:t>
            </w:r>
          </w:p>
        </w:tc>
        <w:tc>
          <w:tcPr>
            <w:tcW w:w="712" w:type="dxa"/>
            <w:tcBorders>
              <w:top w:val="single" w:color="000000" w:sz="4" w:space="0"/>
              <w:left w:val="single" w:color="000000" w:sz="4" w:space="0"/>
              <w:bottom w:val="single" w:color="000000" w:sz="4" w:space="0"/>
              <w:right w:val="nil"/>
            </w:tcBorders>
            <w:noWrap/>
            <w:vAlign w:val="center"/>
          </w:tcPr>
          <w:p w14:paraId="07A8B19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EE2B67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66630D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20320</wp:posOffset>
                  </wp:positionH>
                  <wp:positionV relativeFrom="paragraph">
                    <wp:posOffset>151765</wp:posOffset>
                  </wp:positionV>
                  <wp:extent cx="1179830" cy="1040130"/>
                  <wp:effectExtent l="0" t="0" r="1270" b="7620"/>
                  <wp:wrapNone/>
                  <wp:docPr id="4" name="ID_B27E01177C5849A4A0430B6C3B39C4EC"/>
                  <wp:cNvGraphicFramePr/>
                  <a:graphic xmlns:a="http://schemas.openxmlformats.org/drawingml/2006/main">
                    <a:graphicData uri="http://schemas.openxmlformats.org/drawingml/2006/picture">
                      <pic:pic xmlns:pic="http://schemas.openxmlformats.org/drawingml/2006/picture">
                        <pic:nvPicPr>
                          <pic:cNvPr id="4" name="ID_B27E01177C5849A4A0430B6C3B39C4EC"/>
                          <pic:cNvPicPr/>
                        </pic:nvPicPr>
                        <pic:blipFill>
                          <a:blip r:embed="rId94"/>
                          <a:stretch>
                            <a:fillRect/>
                          </a:stretch>
                        </pic:blipFill>
                        <pic:spPr>
                          <a:xfrm>
                            <a:off x="0" y="0"/>
                            <a:ext cx="1179830" cy="10401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D15598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59E6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A1D6F2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DC976A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698827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主席台桌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7B1810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E9CADD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6000×600×760</w:t>
            </w:r>
          </w:p>
        </w:tc>
        <w:tc>
          <w:tcPr>
            <w:tcW w:w="712" w:type="dxa"/>
            <w:tcBorders>
              <w:top w:val="single" w:color="000000" w:sz="4" w:space="0"/>
              <w:left w:val="single" w:color="000000" w:sz="4" w:space="0"/>
              <w:bottom w:val="single" w:color="000000" w:sz="4" w:space="0"/>
              <w:right w:val="nil"/>
            </w:tcBorders>
            <w:noWrap/>
            <w:vAlign w:val="center"/>
          </w:tcPr>
          <w:p w14:paraId="7753086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4DF36A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组</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30DF1B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8890</wp:posOffset>
                  </wp:positionH>
                  <wp:positionV relativeFrom="paragraph">
                    <wp:posOffset>114300</wp:posOffset>
                  </wp:positionV>
                  <wp:extent cx="1278255" cy="1176655"/>
                  <wp:effectExtent l="0" t="0" r="17145" b="4445"/>
                  <wp:wrapNone/>
                  <wp:docPr id="32" name="图片_14"/>
                  <wp:cNvGraphicFramePr/>
                  <a:graphic xmlns:a="http://schemas.openxmlformats.org/drawingml/2006/main">
                    <a:graphicData uri="http://schemas.openxmlformats.org/drawingml/2006/picture">
                      <pic:pic xmlns:pic="http://schemas.openxmlformats.org/drawingml/2006/picture">
                        <pic:nvPicPr>
                          <pic:cNvPr id="32" name="图片_14"/>
                          <pic:cNvPicPr/>
                        </pic:nvPicPr>
                        <pic:blipFill>
                          <a:blip r:embed="rId95"/>
                          <a:stretch>
                            <a:fillRect/>
                          </a:stretch>
                        </pic:blipFill>
                        <pic:spPr>
                          <a:xfrm>
                            <a:off x="0" y="0"/>
                            <a:ext cx="1278255" cy="11766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A0EDFD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493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12B576E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B58ACE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2FEFE7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主席台椅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E782CA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1.基材：椅架采用优质橡胶木制作，木榫工艺。甲醛释放量符合国家标准。坐垫：优质西皮PV高能发泡海绵，达到国家标准，软硬度适中达到。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3.技术说明：所有木材都进行烘干及防蛀处理；抗压力强、木性坚韧、质地坚硬，不易吸水，强度大，不翘曲、变形，特点重硬、纹理直，结构牢固， 色泽淡雅纹理美观，力学强度高，耐磨损。油漆采用优质环保油漆，具有透明度高、耐划伤、防黄变，具有无毒害，硬度大，耐磨性强，能长期保持漆面效果。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E62539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620×650×1100</w:t>
            </w:r>
          </w:p>
        </w:tc>
        <w:tc>
          <w:tcPr>
            <w:tcW w:w="712" w:type="dxa"/>
            <w:tcBorders>
              <w:top w:val="single" w:color="000000" w:sz="4" w:space="0"/>
              <w:left w:val="single" w:color="000000" w:sz="4" w:space="0"/>
              <w:bottom w:val="single" w:color="000000" w:sz="4" w:space="0"/>
              <w:right w:val="nil"/>
            </w:tcBorders>
            <w:noWrap/>
            <w:vAlign w:val="center"/>
          </w:tcPr>
          <w:p w14:paraId="520DC1F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F959ECF">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6C4695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49530</wp:posOffset>
                  </wp:positionH>
                  <wp:positionV relativeFrom="paragraph">
                    <wp:posOffset>170180</wp:posOffset>
                  </wp:positionV>
                  <wp:extent cx="1236345" cy="1736090"/>
                  <wp:effectExtent l="0" t="0" r="1905" b="16510"/>
                  <wp:wrapNone/>
                  <wp:docPr id="7" name="ID_C75C7515CC5045EFB050191A38C28FE3"/>
                  <wp:cNvGraphicFramePr/>
                  <a:graphic xmlns:a="http://schemas.openxmlformats.org/drawingml/2006/main">
                    <a:graphicData uri="http://schemas.openxmlformats.org/drawingml/2006/picture">
                      <pic:pic xmlns:pic="http://schemas.openxmlformats.org/drawingml/2006/picture">
                        <pic:nvPicPr>
                          <pic:cNvPr id="7" name="ID_C75C7515CC5045EFB050191A38C28FE3"/>
                          <pic:cNvPicPr/>
                        </pic:nvPicPr>
                        <pic:blipFill>
                          <a:blip r:embed="rId96"/>
                          <a:stretch>
                            <a:fillRect/>
                          </a:stretch>
                        </pic:blipFill>
                        <pic:spPr>
                          <a:xfrm>
                            <a:off x="0" y="0"/>
                            <a:ext cx="1236345" cy="173609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2088EC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90F3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766B5FB">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2EBD70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C15A28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发言席</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5C9A96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C59F55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800×600×1100</w:t>
            </w:r>
          </w:p>
        </w:tc>
        <w:tc>
          <w:tcPr>
            <w:tcW w:w="712" w:type="dxa"/>
            <w:tcBorders>
              <w:top w:val="single" w:color="000000" w:sz="4" w:space="0"/>
              <w:left w:val="single" w:color="000000" w:sz="4" w:space="0"/>
              <w:bottom w:val="single" w:color="000000" w:sz="4" w:space="0"/>
              <w:right w:val="nil"/>
            </w:tcBorders>
            <w:noWrap/>
            <w:vAlign w:val="center"/>
          </w:tcPr>
          <w:p w14:paraId="33E2111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91B27FC">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5206C6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52705</wp:posOffset>
                  </wp:positionH>
                  <wp:positionV relativeFrom="paragraph">
                    <wp:posOffset>142240</wp:posOffset>
                  </wp:positionV>
                  <wp:extent cx="1181735" cy="1086485"/>
                  <wp:effectExtent l="0" t="0" r="18415" b="18415"/>
                  <wp:wrapNone/>
                  <wp:docPr id="33" name="ID_FAE5DB44415C4EF7A51E9A388087EFD2"/>
                  <wp:cNvGraphicFramePr/>
                  <a:graphic xmlns:a="http://schemas.openxmlformats.org/drawingml/2006/main">
                    <a:graphicData uri="http://schemas.openxmlformats.org/drawingml/2006/picture">
                      <pic:pic xmlns:pic="http://schemas.openxmlformats.org/drawingml/2006/picture">
                        <pic:nvPicPr>
                          <pic:cNvPr id="33" name="ID_FAE5DB44415C4EF7A51E9A388087EFD2"/>
                          <pic:cNvPicPr/>
                        </pic:nvPicPr>
                        <pic:blipFill>
                          <a:blip r:embed="rId97"/>
                          <a:stretch>
                            <a:fillRect/>
                          </a:stretch>
                        </pic:blipFill>
                        <pic:spPr>
                          <a:xfrm>
                            <a:off x="0" y="0"/>
                            <a:ext cx="1181735" cy="108648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EF0D7F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CB67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1D1C7D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BBCCA1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02CFC2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520319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59D4DB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400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800</w:t>
            </w:r>
          </w:p>
        </w:tc>
        <w:tc>
          <w:tcPr>
            <w:tcW w:w="712" w:type="dxa"/>
            <w:tcBorders>
              <w:top w:val="single" w:color="000000" w:sz="4" w:space="0"/>
              <w:left w:val="single" w:color="000000" w:sz="4" w:space="0"/>
              <w:bottom w:val="single" w:color="000000" w:sz="4" w:space="0"/>
              <w:right w:val="nil"/>
            </w:tcBorders>
            <w:noWrap/>
            <w:vAlign w:val="center"/>
          </w:tcPr>
          <w:p w14:paraId="0542B2C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7701FFA">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3BF243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50165</wp:posOffset>
                  </wp:positionH>
                  <wp:positionV relativeFrom="paragraph">
                    <wp:posOffset>104140</wp:posOffset>
                  </wp:positionV>
                  <wp:extent cx="1202055" cy="1189355"/>
                  <wp:effectExtent l="0" t="0" r="17145" b="10795"/>
                  <wp:wrapNone/>
                  <wp:docPr id="8" name="图片_15"/>
                  <wp:cNvGraphicFramePr/>
                  <a:graphic xmlns:a="http://schemas.openxmlformats.org/drawingml/2006/main">
                    <a:graphicData uri="http://schemas.openxmlformats.org/drawingml/2006/picture">
                      <pic:pic xmlns:pic="http://schemas.openxmlformats.org/drawingml/2006/picture">
                        <pic:nvPicPr>
                          <pic:cNvPr id="8" name="图片_15"/>
                          <pic:cNvPicPr/>
                        </pic:nvPicPr>
                        <pic:blipFill>
                          <a:blip r:embed="rId98"/>
                          <a:stretch>
                            <a:fillRect/>
                          </a:stretch>
                        </pic:blipFill>
                        <pic:spPr>
                          <a:xfrm>
                            <a:off x="0" y="0"/>
                            <a:ext cx="1202055" cy="11893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007481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B53C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52A7ACE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45C4B92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俱乐部</w:t>
            </w: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5BF84D2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二加一加一组合沙发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F3BDD6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2、面料：软包内采用环保45D高密度高回弹海绵，外包采用可拆洗亲肤棉麻布料。单人沙发扶手位采用皮质包裹。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3、结构：采用实木+实木弯板內架；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4、五金件：采用优质五金配件，经防锈处理，达国家标准。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783D5E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2000×800×750，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单人800×800×750</w:t>
            </w:r>
          </w:p>
        </w:tc>
        <w:tc>
          <w:tcPr>
            <w:tcW w:w="712" w:type="dxa"/>
            <w:tcBorders>
              <w:top w:val="single" w:color="000000" w:sz="4" w:space="0"/>
              <w:left w:val="single" w:color="000000" w:sz="4" w:space="0"/>
              <w:bottom w:val="single" w:color="000000" w:sz="4" w:space="0"/>
              <w:right w:val="nil"/>
            </w:tcBorders>
            <w:noWrap/>
            <w:vAlign w:val="center"/>
          </w:tcPr>
          <w:p w14:paraId="3822C4E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2套</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37C97A0">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套</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122E2A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46990</wp:posOffset>
                  </wp:positionH>
                  <wp:positionV relativeFrom="paragraph">
                    <wp:posOffset>205105</wp:posOffset>
                  </wp:positionV>
                  <wp:extent cx="1127125" cy="975995"/>
                  <wp:effectExtent l="0" t="0" r="15875" b="14605"/>
                  <wp:wrapNone/>
                  <wp:docPr id="44" name="ID_D3DED85B04EB4784B631FFEE5E27FF5C"/>
                  <wp:cNvGraphicFramePr/>
                  <a:graphic xmlns:a="http://schemas.openxmlformats.org/drawingml/2006/main">
                    <a:graphicData uri="http://schemas.openxmlformats.org/drawingml/2006/picture">
                      <pic:pic xmlns:pic="http://schemas.openxmlformats.org/drawingml/2006/picture">
                        <pic:nvPicPr>
                          <pic:cNvPr id="44" name="ID_D3DED85B04EB4784B631FFEE5E27FF5C"/>
                          <pic:cNvPicPr/>
                        </pic:nvPicPr>
                        <pic:blipFill>
                          <a:blip r:embed="rId99"/>
                          <a:stretch>
                            <a:fillRect/>
                          </a:stretch>
                        </pic:blipFill>
                        <pic:spPr>
                          <a:xfrm>
                            <a:off x="0" y="0"/>
                            <a:ext cx="1127125" cy="9759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30DD42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FF8E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1B9EF6ED">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0772FB3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A570DE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D2D188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1、采用优质金属钢铁艺底架，高温纳米烤漆，耐磨性及硬度高，防腐防锈，无异味。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2、面板取用天然高压高温1200°岩烧而成，耐高温、耐刮磨、易清洁岩板。</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8FAC56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大900×550×400</w:t>
            </w:r>
            <w:r>
              <w:rPr>
                <w:rStyle w:val="127"/>
                <w:rFonts w:hint="eastAsia" w:ascii="宋体" w:hAnsi="宋体" w:eastAsia="宋体" w:cs="宋体"/>
                <w:sz w:val="18"/>
                <w:szCs w:val="18"/>
                <w:lang w:val="en-US" w:eastAsia="zh-CN" w:bidi="ar"/>
              </w:rPr>
              <w:br w:type="textWrapping"/>
            </w:r>
            <w:r>
              <w:rPr>
                <w:rStyle w:val="127"/>
                <w:rFonts w:hint="eastAsia" w:ascii="宋体" w:hAnsi="宋体" w:eastAsia="宋体" w:cs="宋体"/>
                <w:sz w:val="18"/>
                <w:szCs w:val="18"/>
                <w:lang w:val="en-US" w:eastAsia="zh-CN" w:bidi="ar"/>
              </w:rPr>
              <w:t>小φ500×500</w:t>
            </w:r>
          </w:p>
        </w:tc>
        <w:tc>
          <w:tcPr>
            <w:tcW w:w="712" w:type="dxa"/>
            <w:tcBorders>
              <w:top w:val="single" w:color="000000" w:sz="4" w:space="0"/>
              <w:left w:val="single" w:color="000000" w:sz="4" w:space="0"/>
              <w:bottom w:val="single" w:color="000000" w:sz="4" w:space="0"/>
              <w:right w:val="nil"/>
            </w:tcBorders>
            <w:noWrap/>
            <w:vAlign w:val="center"/>
          </w:tcPr>
          <w:p w14:paraId="05B6FAA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5CACA72">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组</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ED21BC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38735</wp:posOffset>
                  </wp:positionH>
                  <wp:positionV relativeFrom="paragraph">
                    <wp:posOffset>117475</wp:posOffset>
                  </wp:positionV>
                  <wp:extent cx="1238885" cy="1192530"/>
                  <wp:effectExtent l="0" t="0" r="18415" b="7620"/>
                  <wp:wrapNone/>
                  <wp:docPr id="43" name="ID_2571B5CA47764E5386673FE6F73BB47E"/>
                  <wp:cNvGraphicFramePr/>
                  <a:graphic xmlns:a="http://schemas.openxmlformats.org/drawingml/2006/main">
                    <a:graphicData uri="http://schemas.openxmlformats.org/drawingml/2006/picture">
                      <pic:pic xmlns:pic="http://schemas.openxmlformats.org/drawingml/2006/picture">
                        <pic:nvPicPr>
                          <pic:cNvPr id="43" name="ID_2571B5CA47764E5386673FE6F73BB47E"/>
                          <pic:cNvPicPr/>
                        </pic:nvPicPr>
                        <pic:blipFill>
                          <a:blip r:embed="rId100"/>
                          <a:stretch>
                            <a:fillRect/>
                          </a:stretch>
                        </pic:blipFill>
                        <pic:spPr>
                          <a:xfrm>
                            <a:off x="0" y="0"/>
                            <a:ext cx="1238885" cy="11925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656615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9C4A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C53176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109DA5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88737D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单人座椅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798F65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1、采用优质白蜡木＋棉麻布艺结合；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2、油漆采用“五底三面”油漆工艺，色泽美观、不变色、无明显颗粒、无划痕，油漆使用等同优质环保材料。面漆底漆挥发性有机物含量达到国家标准。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3、座椅靠背采用优质松木弯板，座垫软包内采用环保高密度高回弹海绵，外包采用可拆洗亲肤棉麻布料。</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509271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650×600×700</w:t>
            </w:r>
          </w:p>
        </w:tc>
        <w:tc>
          <w:tcPr>
            <w:tcW w:w="712" w:type="dxa"/>
            <w:tcBorders>
              <w:top w:val="single" w:color="000000" w:sz="4" w:space="0"/>
              <w:left w:val="single" w:color="000000" w:sz="4" w:space="0"/>
              <w:bottom w:val="single" w:color="000000" w:sz="4" w:space="0"/>
              <w:right w:val="nil"/>
            </w:tcBorders>
            <w:noWrap/>
            <w:vAlign w:val="center"/>
          </w:tcPr>
          <w:p w14:paraId="7E4BAFD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5CC7F1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267E95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43815</wp:posOffset>
                  </wp:positionH>
                  <wp:positionV relativeFrom="paragraph">
                    <wp:posOffset>139700</wp:posOffset>
                  </wp:positionV>
                  <wp:extent cx="1197610" cy="1281430"/>
                  <wp:effectExtent l="0" t="0" r="2540" b="13970"/>
                  <wp:wrapNone/>
                  <wp:docPr id="48" name="图片_27"/>
                  <wp:cNvGraphicFramePr/>
                  <a:graphic xmlns:a="http://schemas.openxmlformats.org/drawingml/2006/main">
                    <a:graphicData uri="http://schemas.openxmlformats.org/drawingml/2006/picture">
                      <pic:pic xmlns:pic="http://schemas.openxmlformats.org/drawingml/2006/picture">
                        <pic:nvPicPr>
                          <pic:cNvPr id="48" name="图片_27"/>
                          <pic:cNvPicPr/>
                        </pic:nvPicPr>
                        <pic:blipFill>
                          <a:blip r:embed="rId101"/>
                          <a:stretch>
                            <a:fillRect/>
                          </a:stretch>
                        </pic:blipFill>
                        <pic:spPr>
                          <a:xfrm>
                            <a:off x="0" y="0"/>
                            <a:ext cx="1197610" cy="12814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74C630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6308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3C97B9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4B6AF04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8A3F2D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161CEE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1、采用优质金属钢材底座，深度防腐防锈处理，烤漆+手工拉丝工艺，耐磨硬度高；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2、桌面采用优质橡木，采用水性底漆和面漆，引用先进油漆工艺。</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C05123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直径：φ450×570</w:t>
            </w:r>
          </w:p>
        </w:tc>
        <w:tc>
          <w:tcPr>
            <w:tcW w:w="712" w:type="dxa"/>
            <w:tcBorders>
              <w:top w:val="single" w:color="000000" w:sz="4" w:space="0"/>
              <w:left w:val="single" w:color="000000" w:sz="4" w:space="0"/>
              <w:bottom w:val="single" w:color="000000" w:sz="4" w:space="0"/>
              <w:right w:val="nil"/>
            </w:tcBorders>
            <w:noWrap/>
            <w:vAlign w:val="center"/>
          </w:tcPr>
          <w:p w14:paraId="7E2D270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4407B86">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BCFF0D6">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20955</wp:posOffset>
                  </wp:positionH>
                  <wp:positionV relativeFrom="paragraph">
                    <wp:posOffset>135255</wp:posOffset>
                  </wp:positionV>
                  <wp:extent cx="1267460" cy="1033145"/>
                  <wp:effectExtent l="0" t="0" r="8890" b="14605"/>
                  <wp:wrapNone/>
                  <wp:docPr id="47" name="图片_26"/>
                  <wp:cNvGraphicFramePr/>
                  <a:graphic xmlns:a="http://schemas.openxmlformats.org/drawingml/2006/main">
                    <a:graphicData uri="http://schemas.openxmlformats.org/drawingml/2006/picture">
                      <pic:pic xmlns:pic="http://schemas.openxmlformats.org/drawingml/2006/picture">
                        <pic:nvPicPr>
                          <pic:cNvPr id="47" name="图片_26"/>
                          <pic:cNvPicPr/>
                        </pic:nvPicPr>
                        <pic:blipFill>
                          <a:blip r:embed="rId102"/>
                          <a:stretch>
                            <a:fillRect/>
                          </a:stretch>
                        </pic:blipFill>
                        <pic:spPr>
                          <a:xfrm>
                            <a:off x="0" y="0"/>
                            <a:ext cx="1267460" cy="10331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318658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88A2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0A16F5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5CF23F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8BE6DC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吧台座椅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FD8244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1、采用优质白蜡木，耐腐蚀，硬度高韧性好，承重力强，使用榫卯工艺，环保木蜡；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2、座垫采用布艺包裹高回弹海绵，外包采用优质软包PU皮。用材用料均需符合国家健康环保标准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99D5AF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530×550×800</w:t>
            </w:r>
          </w:p>
        </w:tc>
        <w:tc>
          <w:tcPr>
            <w:tcW w:w="712" w:type="dxa"/>
            <w:tcBorders>
              <w:top w:val="single" w:color="000000" w:sz="4" w:space="0"/>
              <w:left w:val="single" w:color="000000" w:sz="4" w:space="0"/>
              <w:bottom w:val="single" w:color="000000" w:sz="4" w:space="0"/>
              <w:right w:val="nil"/>
            </w:tcBorders>
            <w:noWrap/>
            <w:vAlign w:val="center"/>
          </w:tcPr>
          <w:p w14:paraId="2D48A5A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CA4220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DDF4F6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48260</wp:posOffset>
                  </wp:positionH>
                  <wp:positionV relativeFrom="paragraph">
                    <wp:posOffset>124460</wp:posOffset>
                  </wp:positionV>
                  <wp:extent cx="1206500" cy="1155700"/>
                  <wp:effectExtent l="0" t="0" r="12700" b="6350"/>
                  <wp:wrapNone/>
                  <wp:docPr id="45" name="图片_28"/>
                  <wp:cNvGraphicFramePr/>
                  <a:graphic xmlns:a="http://schemas.openxmlformats.org/drawingml/2006/main">
                    <a:graphicData uri="http://schemas.openxmlformats.org/drawingml/2006/picture">
                      <pic:pic xmlns:pic="http://schemas.openxmlformats.org/drawingml/2006/picture">
                        <pic:nvPicPr>
                          <pic:cNvPr id="45" name="图片_28"/>
                          <pic:cNvPicPr/>
                        </pic:nvPicPr>
                        <pic:blipFill>
                          <a:blip r:embed="rId103"/>
                          <a:stretch>
                            <a:fillRect/>
                          </a:stretch>
                        </pic:blipFill>
                        <pic:spPr>
                          <a:xfrm>
                            <a:off x="0" y="0"/>
                            <a:ext cx="1206500" cy="11557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5AA05E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0CE2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1DC0C2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47188D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4E753D2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休闲座椅组合(两把椅子加一个茶几）</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A2C84C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1、基材：采用高品质加粗加厚铝合金框架，高承重。茶几采用环保原木，精选高密度白蜡木板材。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2、座垫、靠背：软包内采用环保45D高密度高回弹海绵，外包采用可拆洗亲肤棉麻布料。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3、扶手：采用精选高品质柚木，质地坚硬沉稳、抗压，耐磨不开裂。</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90DC2B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椅子：610×640×680 </w:t>
            </w:r>
          </w:p>
          <w:p w14:paraId="0341E62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桌子：φ600×500</w:t>
            </w:r>
          </w:p>
        </w:tc>
        <w:tc>
          <w:tcPr>
            <w:tcW w:w="712" w:type="dxa"/>
            <w:tcBorders>
              <w:top w:val="single" w:color="000000" w:sz="4" w:space="0"/>
              <w:left w:val="single" w:color="000000" w:sz="4" w:space="0"/>
              <w:bottom w:val="single" w:color="000000" w:sz="4" w:space="0"/>
              <w:right w:val="nil"/>
            </w:tcBorders>
            <w:noWrap/>
            <w:vAlign w:val="center"/>
          </w:tcPr>
          <w:p w14:paraId="513DAE3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FF63E26">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套</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92833C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27940</wp:posOffset>
                  </wp:positionH>
                  <wp:positionV relativeFrom="paragraph">
                    <wp:posOffset>113030</wp:posOffset>
                  </wp:positionV>
                  <wp:extent cx="1240155" cy="1139825"/>
                  <wp:effectExtent l="0" t="0" r="17145" b="3175"/>
                  <wp:wrapNone/>
                  <wp:docPr id="37" name="图片_29"/>
                  <wp:cNvGraphicFramePr/>
                  <a:graphic xmlns:a="http://schemas.openxmlformats.org/drawingml/2006/main">
                    <a:graphicData uri="http://schemas.openxmlformats.org/drawingml/2006/picture">
                      <pic:pic xmlns:pic="http://schemas.openxmlformats.org/drawingml/2006/picture">
                        <pic:nvPicPr>
                          <pic:cNvPr id="37" name="图片_29"/>
                          <pic:cNvPicPr/>
                        </pic:nvPicPr>
                        <pic:blipFill>
                          <a:blip r:embed="rId104"/>
                          <a:stretch>
                            <a:fillRect/>
                          </a:stretch>
                        </pic:blipFill>
                        <pic:spPr>
                          <a:xfrm>
                            <a:off x="0" y="0"/>
                            <a:ext cx="1240155" cy="11398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E15609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48206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AA2523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1112ED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590409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按摩椅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F28F15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碳素钢机械手以及钢体架构，内置独立芯片、大屏触控、画面清晰、六大模式、多维机芯系统，超长双导轨，智能形体检测、腰部石墨烯热敷，足底滚轮刮痧、拔筋按摩手、环抱泰式拉筋、深V零重力、HIFI发烧级音响、全身气囊包裹、一键前滑、 定时睡眠、摇篮坐舱，全铜芯静音电机。</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628C60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1550×770×1150</w:t>
            </w:r>
          </w:p>
        </w:tc>
        <w:tc>
          <w:tcPr>
            <w:tcW w:w="712" w:type="dxa"/>
            <w:tcBorders>
              <w:top w:val="single" w:color="000000" w:sz="4" w:space="0"/>
              <w:left w:val="single" w:color="000000" w:sz="4" w:space="0"/>
              <w:bottom w:val="single" w:color="000000" w:sz="4" w:space="0"/>
              <w:right w:val="nil"/>
            </w:tcBorders>
            <w:noWrap/>
            <w:vAlign w:val="center"/>
          </w:tcPr>
          <w:p w14:paraId="6066DAE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E9A1A3C">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55EA91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26670</wp:posOffset>
                  </wp:positionH>
                  <wp:positionV relativeFrom="paragraph">
                    <wp:posOffset>162560</wp:posOffset>
                  </wp:positionV>
                  <wp:extent cx="1238885" cy="1370330"/>
                  <wp:effectExtent l="0" t="0" r="18415" b="1270"/>
                  <wp:wrapNone/>
                  <wp:docPr id="63" name="图片_31"/>
                  <wp:cNvGraphicFramePr/>
                  <a:graphic xmlns:a="http://schemas.openxmlformats.org/drawingml/2006/main">
                    <a:graphicData uri="http://schemas.openxmlformats.org/drawingml/2006/picture">
                      <pic:pic xmlns:pic="http://schemas.openxmlformats.org/drawingml/2006/picture">
                        <pic:nvPicPr>
                          <pic:cNvPr id="63" name="图片_31"/>
                          <pic:cNvPicPr/>
                        </pic:nvPicPr>
                        <pic:blipFill>
                          <a:blip r:embed="rId105"/>
                          <a:stretch>
                            <a:fillRect/>
                          </a:stretch>
                        </pic:blipFill>
                        <pic:spPr>
                          <a:xfrm>
                            <a:off x="0" y="0"/>
                            <a:ext cx="1238885" cy="13703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D0CE9C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9380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80D3D1F">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5BB288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230AA76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（含4椅子）</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CD975D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新中式风格，采用优质纯实木白蜡木，木质框架结构，辅材为多层实木材，桌腿加粗设计更稳固，环保嘉宝莉油漆。座椅垫采用高回弹海绵，外包可拆洗亲肤棉麻面料。</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79A2271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桌2200×800×750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主椅630×600×860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客椅620×560×780</w:t>
            </w:r>
          </w:p>
        </w:tc>
        <w:tc>
          <w:tcPr>
            <w:tcW w:w="712" w:type="dxa"/>
            <w:tcBorders>
              <w:top w:val="single" w:color="000000" w:sz="4" w:space="0"/>
              <w:left w:val="single" w:color="000000" w:sz="4" w:space="0"/>
              <w:bottom w:val="single" w:color="000000" w:sz="4" w:space="0"/>
              <w:right w:val="nil"/>
            </w:tcBorders>
            <w:noWrap/>
            <w:vAlign w:val="center"/>
          </w:tcPr>
          <w:p w14:paraId="718C9FB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AF30ABA">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套</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D3A047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58420</wp:posOffset>
                  </wp:positionH>
                  <wp:positionV relativeFrom="paragraph">
                    <wp:posOffset>61595</wp:posOffset>
                  </wp:positionV>
                  <wp:extent cx="1214120" cy="1289050"/>
                  <wp:effectExtent l="0" t="0" r="5080" b="6350"/>
                  <wp:wrapNone/>
                  <wp:docPr id="46" name="ID_1E1CF65BC6A24795AC60FF1BD62F488C_SpCnt_1"/>
                  <wp:cNvGraphicFramePr/>
                  <a:graphic xmlns:a="http://schemas.openxmlformats.org/drawingml/2006/main">
                    <a:graphicData uri="http://schemas.openxmlformats.org/drawingml/2006/picture">
                      <pic:pic xmlns:pic="http://schemas.openxmlformats.org/drawingml/2006/picture">
                        <pic:nvPicPr>
                          <pic:cNvPr id="46" name="ID_1E1CF65BC6A24795AC60FF1BD62F488C_SpCnt_1"/>
                          <pic:cNvPicPr/>
                        </pic:nvPicPr>
                        <pic:blipFill>
                          <a:blip r:embed="rId106"/>
                          <a:stretch>
                            <a:fillRect/>
                          </a:stretch>
                        </pic:blipFill>
                        <pic:spPr>
                          <a:xfrm>
                            <a:off x="0" y="0"/>
                            <a:ext cx="1214120" cy="12890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324110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19C2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2892068">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D6C35F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3D5F52C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台球桌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FE39C04">
            <w:pPr>
              <w:keepNext w:val="0"/>
              <w:keepLines w:val="0"/>
              <w:pageBreakBefore w:val="0"/>
              <w:widowControl/>
              <w:numPr>
                <w:ilvl w:val="0"/>
                <w:numId w:val="35"/>
              </w:numPr>
              <w:suppressLineNumbers w:val="0"/>
              <w:kinsoku/>
              <w:wordWrap/>
              <w:overflowPunct/>
              <w:topLinePunct w:val="0"/>
              <w:autoSpaceDE/>
              <w:autoSpaceDN/>
              <w:bidi w:val="0"/>
              <w:adjustRightInd/>
              <w:snapToGrid/>
              <w:spacing w:line="320" w:lineRule="atLeast"/>
              <w:ind w:left="0" w:leftChars="0" w:firstLine="0" w:firstLineChars="0"/>
              <w:jc w:val="left"/>
              <w:textAlignment w:val="top"/>
              <w:rPr>
                <w:rFonts w:hint="default" w:ascii="宋体" w:hAnsi="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石板：中式</w:t>
            </w:r>
            <w:r>
              <w:rPr>
                <w:rFonts w:hint="eastAsia" w:ascii="宋体" w:hAnsi="宋体" w:cs="宋体"/>
                <w:i w:val="0"/>
                <w:iCs w:val="0"/>
                <w:color w:val="auto"/>
                <w:kern w:val="0"/>
                <w:sz w:val="18"/>
                <w:szCs w:val="18"/>
                <w:highlight w:val="none"/>
                <w:u w:val="none"/>
                <w:lang w:val="en-US" w:eastAsia="zh-CN" w:bidi="ar"/>
              </w:rPr>
              <w:t>黑八</w:t>
            </w:r>
            <w:r>
              <w:rPr>
                <w:rFonts w:hint="eastAsia" w:ascii="宋体" w:hAnsi="宋体" w:eastAsia="宋体" w:cs="宋体"/>
                <w:i w:val="0"/>
                <w:iCs w:val="0"/>
                <w:color w:val="auto"/>
                <w:kern w:val="0"/>
                <w:sz w:val="18"/>
                <w:szCs w:val="18"/>
                <w:highlight w:val="none"/>
                <w:u w:val="none"/>
                <w:lang w:val="en-US" w:eastAsia="zh-CN" w:bidi="ar"/>
              </w:rPr>
              <w:t>台球比赛专用A级青石板1套(11道核心研磨工艺)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、调平：钢架27点调平系统1套。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cs="宋体"/>
                <w:i w:val="0"/>
                <w:iCs w:val="0"/>
                <w:color w:val="auto"/>
                <w:kern w:val="0"/>
                <w:sz w:val="18"/>
                <w:szCs w:val="18"/>
                <w:highlight w:val="none"/>
                <w:u w:val="none"/>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、台尼：</w:t>
            </w:r>
            <w:r>
              <w:rPr>
                <w:rFonts w:hint="eastAsia" w:ascii="宋体" w:hAnsi="宋体" w:cs="宋体"/>
                <w:i w:val="0"/>
                <w:iCs w:val="0"/>
                <w:color w:val="auto"/>
                <w:kern w:val="0"/>
                <w:sz w:val="18"/>
                <w:szCs w:val="18"/>
                <w:highlight w:val="none"/>
                <w:u w:val="none"/>
                <w:lang w:val="en-US" w:eastAsia="zh-CN" w:bidi="ar"/>
              </w:rPr>
              <w:t>绿色</w:t>
            </w:r>
            <w:r>
              <w:rPr>
                <w:rFonts w:hint="eastAsia" w:ascii="宋体" w:hAnsi="宋体" w:eastAsia="宋体" w:cs="宋体"/>
                <w:i w:val="0"/>
                <w:iCs w:val="0"/>
                <w:color w:val="auto"/>
                <w:kern w:val="0"/>
                <w:sz w:val="18"/>
                <w:szCs w:val="18"/>
                <w:highlight w:val="none"/>
                <w:u w:val="none"/>
                <w:lang w:val="en-US" w:eastAsia="zh-CN" w:bidi="ar"/>
              </w:rPr>
              <w:t>劲速台尼1张。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cs="宋体"/>
                <w:i w:val="0"/>
                <w:iCs w:val="0"/>
                <w:color w:val="auto"/>
                <w:kern w:val="0"/>
                <w:sz w:val="18"/>
                <w:szCs w:val="18"/>
                <w:highlight w:val="none"/>
                <w:u w:val="none"/>
                <w:lang w:val="en-US" w:eastAsia="zh-CN" w:bidi="ar"/>
              </w:rPr>
              <w:t>4</w:t>
            </w:r>
            <w:r>
              <w:rPr>
                <w:rFonts w:hint="eastAsia" w:ascii="宋体" w:hAnsi="宋体" w:eastAsia="宋体" w:cs="宋体"/>
                <w:i w:val="0"/>
                <w:iCs w:val="0"/>
                <w:color w:val="auto"/>
                <w:kern w:val="0"/>
                <w:sz w:val="18"/>
                <w:szCs w:val="18"/>
                <w:highlight w:val="none"/>
                <w:u w:val="none"/>
                <w:lang w:val="en-US" w:eastAsia="zh-CN" w:bidi="ar"/>
              </w:rPr>
              <w:t>、胶边：北方胶边1付。</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cs="宋体"/>
                <w:i w:val="0"/>
                <w:iCs w:val="0"/>
                <w:color w:val="auto"/>
                <w:kern w:val="0"/>
                <w:sz w:val="18"/>
                <w:szCs w:val="18"/>
                <w:highlight w:val="none"/>
                <w:u w:val="none"/>
                <w:lang w:val="en-US" w:eastAsia="zh-CN" w:bidi="ar"/>
              </w:rPr>
              <w:t>5</w:t>
            </w:r>
            <w:r>
              <w:rPr>
                <w:rFonts w:hint="eastAsia" w:ascii="宋体" w:hAnsi="宋体" w:eastAsia="宋体" w:cs="宋体"/>
                <w:i w:val="0"/>
                <w:iCs w:val="0"/>
                <w:color w:val="auto"/>
                <w:kern w:val="0"/>
                <w:sz w:val="18"/>
                <w:szCs w:val="18"/>
                <w:highlight w:val="none"/>
                <w:u w:val="none"/>
                <w:lang w:val="en-US" w:eastAsia="zh-CN" w:bidi="ar"/>
              </w:rPr>
              <w:t>、滑道：中式四轨滑道1套。</w:t>
            </w:r>
            <w:r>
              <w:rPr>
                <w:rFonts w:hint="eastAsia" w:ascii="宋体" w:hAnsi="宋体" w:cs="宋体"/>
                <w:i w:val="0"/>
                <w:iCs w:val="0"/>
                <w:color w:val="auto"/>
                <w:kern w:val="0"/>
                <w:sz w:val="18"/>
                <w:szCs w:val="18"/>
                <w:highlight w:val="none"/>
                <w:u w:val="none"/>
                <w:lang w:val="en-US" w:eastAsia="zh-CN" w:bidi="ar"/>
              </w:rPr>
              <w:t>（加粗钢线、有机硅胶）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cs="宋体"/>
                <w:i w:val="0"/>
                <w:iCs w:val="0"/>
                <w:color w:val="auto"/>
                <w:kern w:val="0"/>
                <w:sz w:val="18"/>
                <w:szCs w:val="18"/>
                <w:highlight w:val="none"/>
                <w:u w:val="none"/>
                <w:lang w:val="en-US" w:eastAsia="zh-CN" w:bidi="ar"/>
              </w:rPr>
              <w:t>6</w:t>
            </w:r>
            <w:r>
              <w:rPr>
                <w:rFonts w:hint="eastAsia" w:ascii="宋体" w:hAnsi="宋体" w:eastAsia="宋体" w:cs="宋体"/>
                <w:i w:val="0"/>
                <w:iCs w:val="0"/>
                <w:color w:val="auto"/>
                <w:kern w:val="0"/>
                <w:sz w:val="18"/>
                <w:szCs w:val="18"/>
                <w:highlight w:val="none"/>
                <w:u w:val="none"/>
                <w:lang w:val="en-US" w:eastAsia="zh-CN" w:bidi="ar"/>
              </w:rPr>
              <w:t>、球：</w:t>
            </w:r>
            <w:r>
              <w:rPr>
                <w:rFonts w:hint="eastAsia" w:ascii="宋体" w:hAnsi="宋体" w:cs="宋体"/>
                <w:i w:val="0"/>
                <w:iCs w:val="0"/>
                <w:color w:val="auto"/>
                <w:kern w:val="0"/>
                <w:sz w:val="18"/>
                <w:szCs w:val="18"/>
                <w:highlight w:val="none"/>
                <w:u w:val="none"/>
                <w:lang w:val="en-US" w:eastAsia="zh-CN" w:bidi="ar"/>
              </w:rPr>
              <w:t>标准</w:t>
            </w:r>
            <w:r>
              <w:rPr>
                <w:rFonts w:hint="eastAsia" w:ascii="宋体" w:hAnsi="宋体" w:eastAsia="宋体" w:cs="宋体"/>
                <w:i w:val="0"/>
                <w:iCs w:val="0"/>
                <w:color w:val="auto"/>
                <w:kern w:val="0"/>
                <w:sz w:val="18"/>
                <w:szCs w:val="18"/>
                <w:highlight w:val="none"/>
                <w:u w:val="none"/>
                <w:lang w:val="en-US" w:eastAsia="zh-CN" w:bidi="ar"/>
              </w:rPr>
              <w:t>美式</w:t>
            </w:r>
            <w:r>
              <w:rPr>
                <w:rFonts w:hint="eastAsia" w:ascii="宋体" w:hAnsi="宋体" w:cs="宋体"/>
                <w:i w:val="0"/>
                <w:iCs w:val="0"/>
                <w:color w:val="auto"/>
                <w:kern w:val="0"/>
                <w:sz w:val="18"/>
                <w:szCs w:val="18"/>
                <w:highlight w:val="none"/>
                <w:u w:val="none"/>
                <w:lang w:val="en-US" w:eastAsia="zh-CN" w:bidi="ar"/>
              </w:rPr>
              <w:t xml:space="preserve">16子/黑8 </w:t>
            </w:r>
            <w:r>
              <w:rPr>
                <w:rFonts w:hint="eastAsia" w:ascii="宋体" w:hAnsi="宋体" w:eastAsia="宋体" w:cs="宋体"/>
                <w:i w:val="0"/>
                <w:iCs w:val="0"/>
                <w:color w:val="auto"/>
                <w:kern w:val="0"/>
                <w:sz w:val="18"/>
                <w:szCs w:val="18"/>
                <w:highlight w:val="none"/>
                <w:u w:val="none"/>
                <w:lang w:val="en-US" w:eastAsia="zh-CN" w:bidi="ar"/>
              </w:rPr>
              <w:t>TV球1付</w:t>
            </w:r>
            <w:r>
              <w:rPr>
                <w:rFonts w:hint="eastAsia" w:ascii="宋体" w:hAnsi="宋体" w:cs="宋体"/>
                <w:i w:val="0"/>
                <w:iCs w:val="0"/>
                <w:color w:val="auto"/>
                <w:kern w:val="0"/>
                <w:sz w:val="18"/>
                <w:szCs w:val="18"/>
                <w:highlight w:val="none"/>
                <w:u w:val="none"/>
                <w:lang w:val="en-US" w:eastAsia="zh-CN" w:bidi="ar"/>
              </w:rPr>
              <w:t>（A++等级、合成树脂、重3.5KG、规格5.72cm）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cs="宋体"/>
                <w:i w:val="0"/>
                <w:iCs w:val="0"/>
                <w:color w:val="auto"/>
                <w:kern w:val="0"/>
                <w:sz w:val="18"/>
                <w:szCs w:val="18"/>
                <w:highlight w:val="none"/>
                <w:u w:val="none"/>
                <w:lang w:val="en-US" w:eastAsia="zh-CN" w:bidi="ar"/>
              </w:rPr>
              <w:t>7</w:t>
            </w:r>
            <w:r>
              <w:rPr>
                <w:rFonts w:hint="eastAsia" w:ascii="宋体" w:hAnsi="宋体" w:eastAsia="宋体" w:cs="宋体"/>
                <w:i w:val="0"/>
                <w:iCs w:val="0"/>
                <w:color w:val="auto"/>
                <w:kern w:val="0"/>
                <w:sz w:val="18"/>
                <w:szCs w:val="18"/>
                <w:highlight w:val="none"/>
                <w:u w:val="none"/>
                <w:lang w:val="en-US" w:eastAsia="zh-CN" w:bidi="ar"/>
              </w:rPr>
              <w:t>、球杆：英式球杆3支、美式球杆1支、短架杆2支</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cs="宋体"/>
                <w:i w:val="0"/>
                <w:iCs w:val="0"/>
                <w:color w:val="auto"/>
                <w:kern w:val="0"/>
                <w:sz w:val="18"/>
                <w:szCs w:val="18"/>
                <w:highlight w:val="none"/>
                <w:u w:val="none"/>
                <w:lang w:val="en-US" w:eastAsia="zh-CN" w:bidi="ar"/>
              </w:rPr>
              <w:t>8</w:t>
            </w:r>
            <w:r>
              <w:rPr>
                <w:rFonts w:hint="eastAsia" w:ascii="宋体" w:hAnsi="宋体" w:eastAsia="宋体" w:cs="宋体"/>
                <w:i w:val="0"/>
                <w:iCs w:val="0"/>
                <w:color w:val="auto"/>
                <w:kern w:val="0"/>
                <w:sz w:val="18"/>
                <w:szCs w:val="18"/>
                <w:highlight w:val="none"/>
                <w:u w:val="none"/>
                <w:lang w:val="en-US" w:eastAsia="zh-CN" w:bidi="ar"/>
              </w:rPr>
              <w:t>、球杆架：落地式球杆架1个</w:t>
            </w:r>
            <w:r>
              <w:rPr>
                <w:rFonts w:hint="eastAsia" w:ascii="宋体" w:hAnsi="宋体" w:cs="宋体"/>
                <w:i w:val="0"/>
                <w:iCs w:val="0"/>
                <w:color w:val="auto"/>
                <w:kern w:val="0"/>
                <w:sz w:val="18"/>
                <w:szCs w:val="18"/>
                <w:highlight w:val="none"/>
                <w:u w:val="none"/>
                <w:lang w:val="en-US" w:eastAsia="zh-CN" w:bidi="ar"/>
              </w:rPr>
              <w:t>（多孔、加厚实木板材、大孔径防刮）。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cs="宋体"/>
                <w:i w:val="0"/>
                <w:iCs w:val="0"/>
                <w:color w:val="auto"/>
                <w:kern w:val="0"/>
                <w:sz w:val="18"/>
                <w:szCs w:val="18"/>
                <w:highlight w:val="none"/>
                <w:u w:val="none"/>
                <w:lang w:val="en-US" w:eastAsia="zh-CN" w:bidi="ar"/>
              </w:rPr>
              <w:t>9</w:t>
            </w:r>
            <w:r>
              <w:rPr>
                <w:rFonts w:hint="eastAsia" w:ascii="宋体" w:hAnsi="宋体" w:eastAsia="宋体" w:cs="宋体"/>
                <w:i w:val="0"/>
                <w:iCs w:val="0"/>
                <w:color w:val="auto"/>
                <w:kern w:val="0"/>
                <w:sz w:val="18"/>
                <w:szCs w:val="18"/>
                <w:highlight w:val="none"/>
                <w:u w:val="none"/>
                <w:lang w:val="en-US" w:eastAsia="zh-CN" w:bidi="ar"/>
              </w:rPr>
              <w:t>、灯箱：中式台球比赛专用</w:t>
            </w:r>
            <w:r>
              <w:rPr>
                <w:rFonts w:hint="eastAsia" w:ascii="宋体" w:hAnsi="宋体" w:cs="宋体"/>
                <w:i w:val="0"/>
                <w:iCs w:val="0"/>
                <w:color w:val="auto"/>
                <w:kern w:val="0"/>
                <w:sz w:val="18"/>
                <w:szCs w:val="18"/>
                <w:highlight w:val="none"/>
                <w:u w:val="none"/>
                <w:lang w:val="en-US" w:eastAsia="zh-CN" w:bidi="ar"/>
              </w:rPr>
              <w:t>美式</w:t>
            </w:r>
            <w:r>
              <w:rPr>
                <w:rFonts w:hint="eastAsia" w:ascii="宋体" w:hAnsi="宋体" w:eastAsia="宋体" w:cs="宋体"/>
                <w:i w:val="0"/>
                <w:iCs w:val="0"/>
                <w:color w:val="auto"/>
                <w:kern w:val="0"/>
                <w:sz w:val="18"/>
                <w:szCs w:val="18"/>
                <w:highlight w:val="none"/>
                <w:u w:val="none"/>
                <w:lang w:val="en-US" w:eastAsia="zh-CN" w:bidi="ar"/>
              </w:rPr>
              <w:t>燕型LED</w:t>
            </w:r>
            <w:r>
              <w:rPr>
                <w:rFonts w:hint="eastAsia" w:ascii="宋体" w:hAnsi="宋体" w:cs="宋体"/>
                <w:i w:val="0"/>
                <w:iCs w:val="0"/>
                <w:color w:val="auto"/>
                <w:kern w:val="0"/>
                <w:sz w:val="18"/>
                <w:szCs w:val="18"/>
                <w:highlight w:val="none"/>
                <w:u w:val="none"/>
                <w:lang w:val="en-US" w:eastAsia="zh-CN" w:bidi="ar"/>
              </w:rPr>
              <w:t>无影</w:t>
            </w:r>
            <w:r>
              <w:rPr>
                <w:rFonts w:hint="eastAsia" w:ascii="宋体" w:hAnsi="宋体" w:eastAsia="宋体" w:cs="宋体"/>
                <w:i w:val="0"/>
                <w:iCs w:val="0"/>
                <w:color w:val="auto"/>
                <w:kern w:val="0"/>
                <w:sz w:val="18"/>
                <w:szCs w:val="18"/>
                <w:highlight w:val="none"/>
                <w:u w:val="none"/>
                <w:lang w:val="en-US" w:eastAsia="zh-CN" w:bidi="ar"/>
              </w:rPr>
              <w:t>灯1套</w:t>
            </w:r>
            <w:r>
              <w:rPr>
                <w:rFonts w:hint="eastAsia" w:ascii="宋体" w:hAnsi="宋体" w:cs="宋体"/>
                <w:i w:val="0"/>
                <w:iCs w:val="0"/>
                <w:color w:val="auto"/>
                <w:kern w:val="0"/>
                <w:sz w:val="18"/>
                <w:szCs w:val="18"/>
                <w:highlight w:val="none"/>
                <w:u w:val="none"/>
                <w:lang w:val="en-US" w:eastAsia="zh-CN" w:bidi="ar"/>
              </w:rPr>
              <w:t>（超强超亮LED灯片8cm铝材大四片装）</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cs="宋体"/>
                <w:i w:val="0"/>
                <w:iCs w:val="0"/>
                <w:color w:val="auto"/>
                <w:kern w:val="0"/>
                <w:sz w:val="18"/>
                <w:szCs w:val="18"/>
                <w:highlight w:val="none"/>
                <w:u w:val="none"/>
                <w:lang w:val="en-US" w:eastAsia="zh-CN" w:bidi="ar"/>
              </w:rPr>
              <w:t>0</w:t>
            </w:r>
            <w:r>
              <w:rPr>
                <w:rFonts w:hint="eastAsia" w:ascii="宋体" w:hAnsi="宋体" w:eastAsia="宋体" w:cs="宋体"/>
                <w:i w:val="0"/>
                <w:iCs w:val="0"/>
                <w:color w:val="auto"/>
                <w:kern w:val="0"/>
                <w:sz w:val="18"/>
                <w:szCs w:val="18"/>
                <w:highlight w:val="none"/>
                <w:u w:val="none"/>
                <w:lang w:val="en-US" w:eastAsia="zh-CN" w:bidi="ar"/>
              </w:rPr>
              <w:t>、台罩：中式仿皮台罩1张</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cs="宋体"/>
                <w:i w:val="0"/>
                <w:iCs w:val="0"/>
                <w:color w:val="auto"/>
                <w:kern w:val="0"/>
                <w:sz w:val="18"/>
                <w:szCs w:val="18"/>
                <w:highlight w:val="none"/>
                <w:u w:val="none"/>
                <w:lang w:val="en-US" w:eastAsia="zh-CN" w:bidi="ar"/>
              </w:rPr>
              <w:t>1</w:t>
            </w:r>
            <w:r>
              <w:rPr>
                <w:rFonts w:hint="eastAsia" w:ascii="宋体" w:hAnsi="宋体" w:eastAsia="宋体" w:cs="宋体"/>
                <w:i w:val="0"/>
                <w:iCs w:val="0"/>
                <w:color w:val="auto"/>
                <w:kern w:val="0"/>
                <w:sz w:val="18"/>
                <w:szCs w:val="18"/>
                <w:highlight w:val="none"/>
                <w:u w:val="none"/>
                <w:lang w:val="en-US" w:eastAsia="zh-CN" w:bidi="ar"/>
              </w:rPr>
              <w:t>、五金件：中式铜活1套、高山字1个、铜十字1个、铜钩3个。</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、其它附件：中式三角框1个、台尼刷子1把、巧克粉10粒</w:t>
            </w:r>
            <w:r>
              <w:rPr>
                <w:rFonts w:hint="eastAsia" w:ascii="宋体" w:hAnsi="宋体" w:cs="宋体"/>
                <w:i w:val="0"/>
                <w:iCs w:val="0"/>
                <w:color w:val="auto"/>
                <w:kern w:val="0"/>
                <w:sz w:val="18"/>
                <w:szCs w:val="18"/>
                <w:highlight w:val="none"/>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CDA2CC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2850×1580×840</w:t>
            </w:r>
          </w:p>
        </w:tc>
        <w:tc>
          <w:tcPr>
            <w:tcW w:w="712" w:type="dxa"/>
            <w:tcBorders>
              <w:top w:val="single" w:color="000000" w:sz="4" w:space="0"/>
              <w:left w:val="single" w:color="000000" w:sz="4" w:space="0"/>
              <w:bottom w:val="single" w:color="000000" w:sz="4" w:space="0"/>
              <w:right w:val="nil"/>
            </w:tcBorders>
            <w:noWrap/>
            <w:vAlign w:val="center"/>
          </w:tcPr>
          <w:p w14:paraId="7AB3AC1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DC38E55">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套</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DFC93B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-23495</wp:posOffset>
                  </wp:positionH>
                  <wp:positionV relativeFrom="paragraph">
                    <wp:posOffset>254000</wp:posOffset>
                  </wp:positionV>
                  <wp:extent cx="1313180" cy="2070735"/>
                  <wp:effectExtent l="0" t="0" r="1270" b="5715"/>
                  <wp:wrapNone/>
                  <wp:docPr id="66" name="ID_1ECD7E707F0D4FA4817459C6ABCD1690"/>
                  <wp:cNvGraphicFramePr/>
                  <a:graphic xmlns:a="http://schemas.openxmlformats.org/drawingml/2006/main">
                    <a:graphicData uri="http://schemas.openxmlformats.org/drawingml/2006/picture">
                      <pic:pic xmlns:pic="http://schemas.openxmlformats.org/drawingml/2006/picture">
                        <pic:nvPicPr>
                          <pic:cNvPr id="66" name="ID_1ECD7E707F0D4FA4817459C6ABCD1690"/>
                          <pic:cNvPicPr/>
                        </pic:nvPicPr>
                        <pic:blipFill>
                          <a:blip r:embed="rId107"/>
                          <a:stretch>
                            <a:fillRect/>
                          </a:stretch>
                        </pic:blipFill>
                        <pic:spPr>
                          <a:xfrm>
                            <a:off x="0" y="0"/>
                            <a:ext cx="1313180" cy="20707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37775A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CE05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5" w:hRule="atLeast"/>
          <w:jc w:val="center"/>
        </w:trPr>
        <w:tc>
          <w:tcPr>
            <w:tcW w:w="903" w:type="dxa"/>
            <w:tcBorders>
              <w:top w:val="single" w:color="000000" w:sz="4" w:space="0"/>
              <w:left w:val="single" w:color="000000" w:sz="4" w:space="0"/>
              <w:bottom w:val="single" w:color="000000" w:sz="4" w:space="0"/>
              <w:right w:val="single" w:color="000000" w:sz="4" w:space="0"/>
            </w:tcBorders>
            <w:noWrap/>
            <w:vAlign w:val="center"/>
          </w:tcPr>
          <w:p w14:paraId="75D8DD2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6A1C4BA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影视厅</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80067F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观影沙发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CF75A7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1、接触面：优质皮，弹性高和透气性好等特点</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2、采用优质支架和电机（支架质保10年，电机质保5年）</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3、填充物采用优质高密度高回弹海绵，密度高达45kg/m3，回弹力100%，承压力强，不易变形，坐感舒适</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4、框架：优质松木实木内架主材，质地坚硬，受力强，不易变形。经烘干防腐处理，无虫蛀，使用寿命长的特点。</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4F530D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3150×1650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（4人位）</w:t>
            </w:r>
          </w:p>
        </w:tc>
        <w:tc>
          <w:tcPr>
            <w:tcW w:w="712" w:type="dxa"/>
            <w:tcBorders>
              <w:top w:val="single" w:color="000000" w:sz="4" w:space="0"/>
              <w:left w:val="single" w:color="000000" w:sz="4" w:space="0"/>
              <w:bottom w:val="single" w:color="000000" w:sz="4" w:space="0"/>
              <w:right w:val="nil"/>
            </w:tcBorders>
            <w:noWrap/>
            <w:vAlign w:val="center"/>
          </w:tcPr>
          <w:p w14:paraId="2B4D9A3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3C4E323">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组</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24CB72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2540</wp:posOffset>
                  </wp:positionH>
                  <wp:positionV relativeFrom="paragraph">
                    <wp:posOffset>94615</wp:posOffset>
                  </wp:positionV>
                  <wp:extent cx="1285240" cy="1531620"/>
                  <wp:effectExtent l="0" t="0" r="10160" b="11430"/>
                  <wp:wrapNone/>
                  <wp:docPr id="49" name="ID_7C05CD312E4441B6BA81D4C9D1624C80"/>
                  <wp:cNvGraphicFramePr/>
                  <a:graphic xmlns:a="http://schemas.openxmlformats.org/drawingml/2006/main">
                    <a:graphicData uri="http://schemas.openxmlformats.org/drawingml/2006/picture">
                      <pic:pic xmlns:pic="http://schemas.openxmlformats.org/drawingml/2006/picture">
                        <pic:nvPicPr>
                          <pic:cNvPr id="49" name="ID_7C05CD312E4441B6BA81D4C9D1624C80"/>
                          <pic:cNvPicPr/>
                        </pic:nvPicPr>
                        <pic:blipFill>
                          <a:blip r:embed="rId108"/>
                          <a:stretch>
                            <a:fillRect/>
                          </a:stretch>
                        </pic:blipFill>
                        <pic:spPr>
                          <a:xfrm>
                            <a:off x="0" y="0"/>
                            <a:ext cx="1285240" cy="153162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7F8640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A33B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1"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6E73169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140C69D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电教室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FC0FD1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120电脑桌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FF9E10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采用E1级环保实木板材，不起边，耐脏，耐高温，耐污染，耐划痕，耐磨性等指标上，具有很大的优势，正常使用寿命可达十几年E1级免漆板材是国家标准，甲醛释放量&lt;1.5MG/M，拒绝异味，拒绝甲醛，放心使用。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框架是加厚烤漆碳钢，加厚约1.2mm厚度，承重性强，稳固耐用</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FBA8A2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1200×600×750</w:t>
            </w:r>
          </w:p>
        </w:tc>
        <w:tc>
          <w:tcPr>
            <w:tcW w:w="712" w:type="dxa"/>
            <w:tcBorders>
              <w:top w:val="single" w:color="000000" w:sz="4" w:space="0"/>
              <w:left w:val="single" w:color="000000" w:sz="4" w:space="0"/>
              <w:bottom w:val="single" w:color="000000" w:sz="4" w:space="0"/>
              <w:right w:val="nil"/>
            </w:tcBorders>
            <w:noWrap/>
            <w:vAlign w:val="center"/>
          </w:tcPr>
          <w:p w14:paraId="0264DAC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7BBD94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DAFF20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89535</wp:posOffset>
                  </wp:positionH>
                  <wp:positionV relativeFrom="paragraph">
                    <wp:posOffset>111125</wp:posOffset>
                  </wp:positionV>
                  <wp:extent cx="1221105" cy="978535"/>
                  <wp:effectExtent l="0" t="0" r="17145" b="12065"/>
                  <wp:wrapNone/>
                  <wp:docPr id="50" name="ID_A43196F6E16B4215A097F6444C99590F"/>
                  <wp:cNvGraphicFramePr/>
                  <a:graphic xmlns:a="http://schemas.openxmlformats.org/drawingml/2006/main">
                    <a:graphicData uri="http://schemas.openxmlformats.org/drawingml/2006/picture">
                      <pic:pic xmlns:pic="http://schemas.openxmlformats.org/drawingml/2006/picture">
                        <pic:nvPicPr>
                          <pic:cNvPr id="50" name="ID_A43196F6E16B4215A097F6444C99590F"/>
                          <pic:cNvPicPr/>
                        </pic:nvPicPr>
                        <pic:blipFill>
                          <a:blip r:embed="rId109"/>
                          <a:stretch>
                            <a:fillRect/>
                          </a:stretch>
                        </pic:blipFill>
                        <pic:spPr>
                          <a:xfrm>
                            <a:off x="0" y="0"/>
                            <a:ext cx="1221105" cy="9785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8116A9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4072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52614F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43323E5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30AD10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电脑椅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B46E0C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1、材料和工艺要求：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（1）靠背面料：优质高弹网布；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双层网布：符合GB 18401-2010《国家纺织产品基本安全技术规范》标准，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甲醛含量B类：≤20mg/kg；PH值B类：4.0-8.5；染色牢度(级)B类：耐水(变色、沾色) ≥3，耐酸汗渍(变色、沾色) ≥3，耐碱汗渍(变色、沾色) ≥3，耐干摩擦≥3；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（2）座面：内衬高弹力高密度PU发泡棉，长时间使用不变形；面覆优质透气布艺；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（3）背框、座框：尼龙注塑成型，抗冲击、防老化；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（4）扶手：PP+GF材质；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（5）椅背带腰靠，PP+GF材质，设计符合人体工程学；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（6）椅脚：2.0mm钢管折弯而成，承重102KG下往复拉力测试。</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A5C5A2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550×520×950</w:t>
            </w:r>
          </w:p>
        </w:tc>
        <w:tc>
          <w:tcPr>
            <w:tcW w:w="712" w:type="dxa"/>
            <w:tcBorders>
              <w:top w:val="single" w:color="000000" w:sz="4" w:space="0"/>
              <w:left w:val="single" w:color="000000" w:sz="4" w:space="0"/>
              <w:bottom w:val="single" w:color="000000" w:sz="4" w:space="0"/>
              <w:right w:val="nil"/>
            </w:tcBorders>
            <w:noWrap/>
            <w:vAlign w:val="center"/>
          </w:tcPr>
          <w:p w14:paraId="575DACC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5E5B666">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5265DC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57150</wp:posOffset>
                  </wp:positionH>
                  <wp:positionV relativeFrom="paragraph">
                    <wp:posOffset>236220</wp:posOffset>
                  </wp:positionV>
                  <wp:extent cx="1227455" cy="1783715"/>
                  <wp:effectExtent l="0" t="0" r="10795" b="6985"/>
                  <wp:wrapNone/>
                  <wp:docPr id="52" name="ID_EB251EFFC95C44E0B049AA3F8B8F4393"/>
                  <wp:cNvGraphicFramePr/>
                  <a:graphic xmlns:a="http://schemas.openxmlformats.org/drawingml/2006/main">
                    <a:graphicData uri="http://schemas.openxmlformats.org/drawingml/2006/picture">
                      <pic:pic xmlns:pic="http://schemas.openxmlformats.org/drawingml/2006/picture">
                        <pic:nvPicPr>
                          <pic:cNvPr id="52" name="ID_EB251EFFC95C44E0B049AA3F8B8F4393"/>
                          <pic:cNvPicPr/>
                        </pic:nvPicPr>
                        <pic:blipFill>
                          <a:blip r:embed="rId110"/>
                          <a:stretch>
                            <a:fillRect/>
                          </a:stretch>
                        </pic:blipFill>
                        <pic:spPr>
                          <a:xfrm>
                            <a:off x="0" y="0"/>
                            <a:ext cx="1227455" cy="17837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0756696">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8BD5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1845331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0BA6A86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公寓房3套间</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D36F08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1.8米床</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5AB9A8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1、基材：采用优质橡胶木（符合E1级要求），床板采用15mm厚的杉木直条板。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                                        3、靠背软包部分采用高弹性、高密度海绵，加厚水洗皮。</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456A3D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2200×1800×1190</w:t>
            </w:r>
          </w:p>
        </w:tc>
        <w:tc>
          <w:tcPr>
            <w:tcW w:w="712" w:type="dxa"/>
            <w:tcBorders>
              <w:top w:val="single" w:color="000000" w:sz="4" w:space="0"/>
              <w:left w:val="single" w:color="000000" w:sz="4" w:space="0"/>
              <w:bottom w:val="single" w:color="000000" w:sz="4" w:space="0"/>
              <w:right w:val="nil"/>
            </w:tcBorders>
            <w:noWrap/>
            <w:vAlign w:val="center"/>
          </w:tcPr>
          <w:p w14:paraId="147FB18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32D92F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6C4005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33655</wp:posOffset>
                  </wp:positionH>
                  <wp:positionV relativeFrom="paragraph">
                    <wp:posOffset>132080</wp:posOffset>
                  </wp:positionV>
                  <wp:extent cx="1200150" cy="1011555"/>
                  <wp:effectExtent l="0" t="0" r="0" b="17145"/>
                  <wp:wrapNone/>
                  <wp:docPr id="51" name="ID_B75C73350A524364A806D88C0BF7E14C"/>
                  <wp:cNvGraphicFramePr/>
                  <a:graphic xmlns:a="http://schemas.openxmlformats.org/drawingml/2006/main">
                    <a:graphicData uri="http://schemas.openxmlformats.org/drawingml/2006/picture">
                      <pic:pic xmlns:pic="http://schemas.openxmlformats.org/drawingml/2006/picture">
                        <pic:nvPicPr>
                          <pic:cNvPr id="51" name="ID_B75C73350A524364A806D88C0BF7E14C"/>
                          <pic:cNvPicPr/>
                        </pic:nvPicPr>
                        <pic:blipFill>
                          <a:blip r:embed="rId111"/>
                          <a:stretch>
                            <a:fillRect/>
                          </a:stretch>
                        </pic:blipFill>
                        <pic:spPr>
                          <a:xfrm>
                            <a:off x="0" y="0"/>
                            <a:ext cx="1200150" cy="10115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5BEECB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FF19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A83FA3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C4C504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EC49CD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1.8米床垫</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5285E8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天丝面料+乳胶+独立袋装弹簧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厚度：22cm</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F05A16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2000×1800×220</w:t>
            </w:r>
          </w:p>
        </w:tc>
        <w:tc>
          <w:tcPr>
            <w:tcW w:w="712" w:type="dxa"/>
            <w:tcBorders>
              <w:top w:val="single" w:color="000000" w:sz="4" w:space="0"/>
              <w:left w:val="single" w:color="000000" w:sz="4" w:space="0"/>
              <w:bottom w:val="single" w:color="000000" w:sz="4" w:space="0"/>
              <w:right w:val="nil"/>
            </w:tcBorders>
            <w:noWrap/>
            <w:vAlign w:val="center"/>
          </w:tcPr>
          <w:p w14:paraId="2836868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E99B756">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6141F8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97790</wp:posOffset>
                  </wp:positionH>
                  <wp:positionV relativeFrom="paragraph">
                    <wp:posOffset>207010</wp:posOffset>
                  </wp:positionV>
                  <wp:extent cx="1118870" cy="900430"/>
                  <wp:effectExtent l="0" t="0" r="5080" b="13970"/>
                  <wp:wrapNone/>
                  <wp:docPr id="53" name="ID_26A6356D581D49A0AAF31CCAB44DF6FA"/>
                  <wp:cNvGraphicFramePr/>
                  <a:graphic xmlns:a="http://schemas.openxmlformats.org/drawingml/2006/main">
                    <a:graphicData uri="http://schemas.openxmlformats.org/drawingml/2006/picture">
                      <pic:pic xmlns:pic="http://schemas.openxmlformats.org/drawingml/2006/picture">
                        <pic:nvPicPr>
                          <pic:cNvPr id="53" name="ID_26A6356D581D49A0AAF31CCAB44DF6FA"/>
                          <pic:cNvPicPr/>
                        </pic:nvPicPr>
                        <pic:blipFill>
                          <a:blip r:embed="rId112"/>
                          <a:stretch>
                            <a:fillRect/>
                          </a:stretch>
                        </pic:blipFill>
                        <pic:spPr>
                          <a:xfrm>
                            <a:off x="0" y="0"/>
                            <a:ext cx="1118870" cy="9004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FCDA99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C3A8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1262E768">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D36B308">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DFCAE6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1.2米床</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E69645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                                        3、靠背软包部分采用高弹性、高密度海绵，加厚水洗皮。</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A1CA27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2200×1200×880</w:t>
            </w:r>
          </w:p>
        </w:tc>
        <w:tc>
          <w:tcPr>
            <w:tcW w:w="712" w:type="dxa"/>
            <w:tcBorders>
              <w:top w:val="single" w:color="000000" w:sz="4" w:space="0"/>
              <w:left w:val="single" w:color="000000" w:sz="4" w:space="0"/>
              <w:bottom w:val="single" w:color="000000" w:sz="4" w:space="0"/>
              <w:right w:val="nil"/>
            </w:tcBorders>
            <w:noWrap/>
            <w:vAlign w:val="center"/>
          </w:tcPr>
          <w:p w14:paraId="573CAED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81B6C60">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9952CA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37465</wp:posOffset>
                  </wp:positionH>
                  <wp:positionV relativeFrom="paragraph">
                    <wp:posOffset>156210</wp:posOffset>
                  </wp:positionV>
                  <wp:extent cx="1160780" cy="1190625"/>
                  <wp:effectExtent l="0" t="0" r="1270" b="9525"/>
                  <wp:wrapNone/>
                  <wp:docPr id="38" name="ID_D515EB6FA7AA4119A930ACC247E68370"/>
                  <wp:cNvGraphicFramePr/>
                  <a:graphic xmlns:a="http://schemas.openxmlformats.org/drawingml/2006/main">
                    <a:graphicData uri="http://schemas.openxmlformats.org/drawingml/2006/picture">
                      <pic:pic xmlns:pic="http://schemas.openxmlformats.org/drawingml/2006/picture">
                        <pic:nvPicPr>
                          <pic:cNvPr id="38" name="ID_D515EB6FA7AA4119A930ACC247E68370"/>
                          <pic:cNvPicPr/>
                        </pic:nvPicPr>
                        <pic:blipFill>
                          <a:blip r:embed="rId113"/>
                          <a:stretch>
                            <a:fillRect/>
                          </a:stretch>
                        </pic:blipFill>
                        <pic:spPr>
                          <a:xfrm>
                            <a:off x="0" y="0"/>
                            <a:ext cx="1160780" cy="11906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3A348B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0BDD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E02BC4B">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E9CCE8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A847A0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1.2米床垫</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6BB119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天丝面料+乳胶+独立袋装弹簧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厚度：22cm</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670A9F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2000×1200×220</w:t>
            </w:r>
          </w:p>
        </w:tc>
        <w:tc>
          <w:tcPr>
            <w:tcW w:w="712" w:type="dxa"/>
            <w:tcBorders>
              <w:top w:val="single" w:color="000000" w:sz="4" w:space="0"/>
              <w:left w:val="single" w:color="000000" w:sz="4" w:space="0"/>
              <w:bottom w:val="single" w:color="000000" w:sz="4" w:space="0"/>
              <w:right w:val="nil"/>
            </w:tcBorders>
            <w:noWrap/>
            <w:vAlign w:val="center"/>
          </w:tcPr>
          <w:p w14:paraId="3FF4401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2E956D3">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45CE15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78740</wp:posOffset>
                  </wp:positionH>
                  <wp:positionV relativeFrom="paragraph">
                    <wp:posOffset>87630</wp:posOffset>
                  </wp:positionV>
                  <wp:extent cx="1205230" cy="929005"/>
                  <wp:effectExtent l="0" t="0" r="13970" b="4445"/>
                  <wp:wrapNone/>
                  <wp:docPr id="54" name="ID_86E21AFDCD0341D786F88430D5B9F20A"/>
                  <wp:cNvGraphicFramePr/>
                  <a:graphic xmlns:a="http://schemas.openxmlformats.org/drawingml/2006/main">
                    <a:graphicData uri="http://schemas.openxmlformats.org/drawingml/2006/picture">
                      <pic:pic xmlns:pic="http://schemas.openxmlformats.org/drawingml/2006/picture">
                        <pic:nvPicPr>
                          <pic:cNvPr id="54" name="ID_86E21AFDCD0341D786F88430D5B9F20A"/>
                          <pic:cNvPicPr/>
                        </pic:nvPicPr>
                        <pic:blipFill>
                          <a:blip r:embed="rId114"/>
                          <a:stretch>
                            <a:fillRect/>
                          </a:stretch>
                        </pic:blipFill>
                        <pic:spPr>
                          <a:xfrm>
                            <a:off x="0" y="0"/>
                            <a:ext cx="1205230" cy="9290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4931ED4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4EB4F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24BDDF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5EC3C9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E21B6E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183035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1、饰面：采用优质环保三聚氰胺饰面板，甲醛释放量≤0.0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2、基材：采用优质实木多层板，甲醛释放量≤0.0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51F76B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470×370×470</w:t>
            </w:r>
          </w:p>
        </w:tc>
        <w:tc>
          <w:tcPr>
            <w:tcW w:w="712" w:type="dxa"/>
            <w:tcBorders>
              <w:top w:val="single" w:color="000000" w:sz="4" w:space="0"/>
              <w:left w:val="single" w:color="000000" w:sz="4" w:space="0"/>
              <w:bottom w:val="single" w:color="000000" w:sz="4" w:space="0"/>
              <w:right w:val="nil"/>
            </w:tcBorders>
            <w:noWrap/>
            <w:vAlign w:val="center"/>
          </w:tcPr>
          <w:p w14:paraId="7FD1B65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6FC387F">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F45148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-5715</wp:posOffset>
                  </wp:positionH>
                  <wp:positionV relativeFrom="paragraph">
                    <wp:posOffset>120015</wp:posOffset>
                  </wp:positionV>
                  <wp:extent cx="1270000" cy="1244600"/>
                  <wp:effectExtent l="0" t="0" r="6350" b="12700"/>
                  <wp:wrapNone/>
                  <wp:docPr id="55" name="ID_159BEE5F9B3D4215A7D86A0D1C7761F4"/>
                  <wp:cNvGraphicFramePr/>
                  <a:graphic xmlns:a="http://schemas.openxmlformats.org/drawingml/2006/main">
                    <a:graphicData uri="http://schemas.openxmlformats.org/drawingml/2006/picture">
                      <pic:pic xmlns:pic="http://schemas.openxmlformats.org/drawingml/2006/picture">
                        <pic:nvPicPr>
                          <pic:cNvPr id="55" name="ID_159BEE5F9B3D4215A7D86A0D1C7761F4"/>
                          <pic:cNvPicPr/>
                        </pic:nvPicPr>
                        <pic:blipFill>
                          <a:blip r:embed="rId115"/>
                          <a:stretch>
                            <a:fillRect/>
                          </a:stretch>
                        </pic:blipFill>
                        <pic:spPr>
                          <a:xfrm>
                            <a:off x="0" y="0"/>
                            <a:ext cx="1270000" cy="12446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831D05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51E1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6"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0D7567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8B9D15F">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1F6A7A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三门衣柜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67DEE9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1、饰面：采用优质环保三聚氰胺饰面板，甲醛释放量≤0.0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2、基材：采用优质实木多层板，甲醛释放量≤0.0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92E3DD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2000×600×2000</w:t>
            </w:r>
          </w:p>
        </w:tc>
        <w:tc>
          <w:tcPr>
            <w:tcW w:w="712" w:type="dxa"/>
            <w:tcBorders>
              <w:top w:val="single" w:color="000000" w:sz="4" w:space="0"/>
              <w:left w:val="single" w:color="000000" w:sz="4" w:space="0"/>
              <w:bottom w:val="single" w:color="000000" w:sz="4" w:space="0"/>
              <w:right w:val="nil"/>
            </w:tcBorders>
            <w:noWrap/>
            <w:vAlign w:val="center"/>
          </w:tcPr>
          <w:p w14:paraId="63C9E6A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ED1502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组</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94DF47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40640</wp:posOffset>
                  </wp:positionH>
                  <wp:positionV relativeFrom="paragraph">
                    <wp:posOffset>123825</wp:posOffset>
                  </wp:positionV>
                  <wp:extent cx="1216025" cy="1477645"/>
                  <wp:effectExtent l="0" t="0" r="3175" b="8255"/>
                  <wp:wrapNone/>
                  <wp:docPr id="61" name="ID_227EEAFA524A4E2294AC1FCAACDD029A"/>
                  <wp:cNvGraphicFramePr/>
                  <a:graphic xmlns:a="http://schemas.openxmlformats.org/drawingml/2006/main">
                    <a:graphicData uri="http://schemas.openxmlformats.org/drawingml/2006/picture">
                      <pic:pic xmlns:pic="http://schemas.openxmlformats.org/drawingml/2006/picture">
                        <pic:nvPicPr>
                          <pic:cNvPr id="61" name="ID_227EEAFA524A4E2294AC1FCAACDD029A"/>
                          <pic:cNvPicPr/>
                        </pic:nvPicPr>
                        <pic:blipFill>
                          <a:blip r:embed="rId116"/>
                          <a:stretch>
                            <a:fillRect/>
                          </a:stretch>
                        </pic:blipFill>
                        <pic:spPr>
                          <a:xfrm>
                            <a:off x="0" y="0"/>
                            <a:ext cx="1216025" cy="14776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74E917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F532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6"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659E9A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65E286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3DC0F92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0C9FC4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1、基材：桌子采用优质橡胶木（符合E1级要求）做框架，桌面采用15mm厚的瓷白岩板。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72ADC7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1200×750×750</w:t>
            </w:r>
          </w:p>
        </w:tc>
        <w:tc>
          <w:tcPr>
            <w:tcW w:w="712" w:type="dxa"/>
            <w:tcBorders>
              <w:top w:val="single" w:color="000000" w:sz="4" w:space="0"/>
              <w:left w:val="single" w:color="000000" w:sz="4" w:space="0"/>
              <w:bottom w:val="single" w:color="000000" w:sz="4" w:space="0"/>
              <w:right w:val="nil"/>
            </w:tcBorders>
            <w:noWrap/>
            <w:vAlign w:val="center"/>
          </w:tcPr>
          <w:p w14:paraId="778AF2F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E20FA6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1C28F8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52705</wp:posOffset>
                  </wp:positionH>
                  <wp:positionV relativeFrom="paragraph">
                    <wp:posOffset>93345</wp:posOffset>
                  </wp:positionV>
                  <wp:extent cx="1162685" cy="1165225"/>
                  <wp:effectExtent l="0" t="0" r="18415" b="15875"/>
                  <wp:wrapNone/>
                  <wp:docPr id="56" name="ID_3CA02D6088BA4C9CBE50FA66659387A3"/>
                  <wp:cNvGraphicFramePr/>
                  <a:graphic xmlns:a="http://schemas.openxmlformats.org/drawingml/2006/main">
                    <a:graphicData uri="http://schemas.openxmlformats.org/drawingml/2006/picture">
                      <pic:pic xmlns:pic="http://schemas.openxmlformats.org/drawingml/2006/picture">
                        <pic:nvPicPr>
                          <pic:cNvPr id="56" name="ID_3CA02D6088BA4C9CBE50FA66659387A3"/>
                          <pic:cNvPicPr/>
                        </pic:nvPicPr>
                        <pic:blipFill>
                          <a:blip r:embed="rId117"/>
                          <a:stretch>
                            <a:fillRect/>
                          </a:stretch>
                        </pic:blipFill>
                        <pic:spPr>
                          <a:xfrm>
                            <a:off x="0" y="0"/>
                            <a:ext cx="1162685" cy="11652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0077A6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2784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6"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1706A39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A27BC1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8194C8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2D5006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椅子采用优质实木橡胶木（符合E1级要求），椅子软包部分采用水洗皮面。</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5305D4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450×450×840</w:t>
            </w:r>
          </w:p>
        </w:tc>
        <w:tc>
          <w:tcPr>
            <w:tcW w:w="712" w:type="dxa"/>
            <w:tcBorders>
              <w:top w:val="single" w:color="000000" w:sz="4" w:space="0"/>
              <w:left w:val="single" w:color="000000" w:sz="4" w:space="0"/>
              <w:bottom w:val="single" w:color="000000" w:sz="4" w:space="0"/>
              <w:right w:val="nil"/>
            </w:tcBorders>
            <w:noWrap/>
            <w:vAlign w:val="center"/>
          </w:tcPr>
          <w:p w14:paraId="30128BA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C27750C">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4EC06B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28575</wp:posOffset>
                  </wp:positionH>
                  <wp:positionV relativeFrom="paragraph">
                    <wp:posOffset>117475</wp:posOffset>
                  </wp:positionV>
                  <wp:extent cx="1249680" cy="1100455"/>
                  <wp:effectExtent l="0" t="0" r="7620" b="4445"/>
                  <wp:wrapNone/>
                  <wp:docPr id="60" name="ID_3CA02D6088BA4C9CBE50FA66659387A3_SpCnt_1"/>
                  <wp:cNvGraphicFramePr/>
                  <a:graphic xmlns:a="http://schemas.openxmlformats.org/drawingml/2006/main">
                    <a:graphicData uri="http://schemas.openxmlformats.org/drawingml/2006/picture">
                      <pic:pic xmlns:pic="http://schemas.openxmlformats.org/drawingml/2006/picture">
                        <pic:nvPicPr>
                          <pic:cNvPr id="60" name="ID_3CA02D6088BA4C9CBE50FA66659387A3_SpCnt_1"/>
                          <pic:cNvPicPr/>
                        </pic:nvPicPr>
                        <pic:blipFill>
                          <a:blip r:embed="rId117"/>
                          <a:stretch>
                            <a:fillRect/>
                          </a:stretch>
                        </pic:blipFill>
                        <pic:spPr>
                          <a:xfrm>
                            <a:off x="0" y="0"/>
                            <a:ext cx="1249680" cy="11004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EF330C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4ADBE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86B73C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76D056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5B1741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D8C435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1、基材：采用优质橡胶木（符合E1级要求），底板采用15mm厚的杉木直条板。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3、软包内采用环保高弹海绵，外包采用优质水洗布料。</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62B25F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1960×800×880</w:t>
            </w:r>
          </w:p>
        </w:tc>
        <w:tc>
          <w:tcPr>
            <w:tcW w:w="712" w:type="dxa"/>
            <w:tcBorders>
              <w:top w:val="single" w:color="000000" w:sz="4" w:space="0"/>
              <w:left w:val="single" w:color="000000" w:sz="4" w:space="0"/>
              <w:bottom w:val="single" w:color="000000" w:sz="4" w:space="0"/>
              <w:right w:val="nil"/>
            </w:tcBorders>
            <w:noWrap/>
            <w:vAlign w:val="center"/>
          </w:tcPr>
          <w:p w14:paraId="5F7CC89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F74C92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F55B38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30480</wp:posOffset>
                  </wp:positionH>
                  <wp:positionV relativeFrom="paragraph">
                    <wp:posOffset>125730</wp:posOffset>
                  </wp:positionV>
                  <wp:extent cx="1236980" cy="1193800"/>
                  <wp:effectExtent l="0" t="0" r="1270" b="6350"/>
                  <wp:wrapNone/>
                  <wp:docPr id="62" name="ID_5F041F5A60404202A2A4FDF5614E1DD0"/>
                  <wp:cNvGraphicFramePr/>
                  <a:graphic xmlns:a="http://schemas.openxmlformats.org/drawingml/2006/main">
                    <a:graphicData uri="http://schemas.openxmlformats.org/drawingml/2006/picture">
                      <pic:pic xmlns:pic="http://schemas.openxmlformats.org/drawingml/2006/picture">
                        <pic:nvPicPr>
                          <pic:cNvPr id="62" name="ID_5F041F5A60404202A2A4FDF5614E1DD0"/>
                          <pic:cNvPicPr/>
                        </pic:nvPicPr>
                        <pic:blipFill>
                          <a:blip r:embed="rId118"/>
                          <a:stretch>
                            <a:fillRect/>
                          </a:stretch>
                        </pic:blipFill>
                        <pic:spPr>
                          <a:xfrm>
                            <a:off x="0" y="0"/>
                            <a:ext cx="1236980" cy="11938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EC4D54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ECDE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850E1FF">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028727C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CAC614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6C688E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茶几：采用优质不锈钢框架，台面采用岩板厚度≥12mm。</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755C67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1200×600×450</w:t>
            </w:r>
          </w:p>
        </w:tc>
        <w:tc>
          <w:tcPr>
            <w:tcW w:w="712" w:type="dxa"/>
            <w:tcBorders>
              <w:top w:val="single" w:color="000000" w:sz="4" w:space="0"/>
              <w:left w:val="single" w:color="000000" w:sz="4" w:space="0"/>
              <w:bottom w:val="single" w:color="000000" w:sz="4" w:space="0"/>
              <w:right w:val="nil"/>
            </w:tcBorders>
            <w:noWrap/>
            <w:vAlign w:val="center"/>
          </w:tcPr>
          <w:p w14:paraId="68D98B3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ABDA99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FB2346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19050</wp:posOffset>
                  </wp:positionH>
                  <wp:positionV relativeFrom="paragraph">
                    <wp:posOffset>175895</wp:posOffset>
                  </wp:positionV>
                  <wp:extent cx="1235075" cy="947420"/>
                  <wp:effectExtent l="0" t="0" r="3175" b="5080"/>
                  <wp:wrapNone/>
                  <wp:docPr id="36" name="图片_7"/>
                  <wp:cNvGraphicFramePr/>
                  <a:graphic xmlns:a="http://schemas.openxmlformats.org/drawingml/2006/main">
                    <a:graphicData uri="http://schemas.openxmlformats.org/drawingml/2006/picture">
                      <pic:pic xmlns:pic="http://schemas.openxmlformats.org/drawingml/2006/picture">
                        <pic:nvPicPr>
                          <pic:cNvPr id="36" name="图片_7"/>
                          <pic:cNvPicPr/>
                        </pic:nvPicPr>
                        <pic:blipFill>
                          <a:blip r:embed="rId119"/>
                          <a:stretch>
                            <a:fillRect/>
                          </a:stretch>
                        </pic:blipFill>
                        <pic:spPr>
                          <a:xfrm>
                            <a:off x="0" y="0"/>
                            <a:ext cx="1235075" cy="94742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98B909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5C6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9D77E2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545BA63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68021E0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鞋柜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3D6A8D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1、饰面：采用优质环保三聚氰胺饰面</w:t>
            </w:r>
            <w:r>
              <w:rPr>
                <w:rFonts w:hint="eastAsia" w:ascii="宋体" w:hAnsi="宋体" w:eastAsia="宋体" w:cs="宋体"/>
                <w:i w:val="0"/>
                <w:iCs w:val="0"/>
                <w:color w:val="auto"/>
                <w:kern w:val="0"/>
                <w:sz w:val="18"/>
                <w:szCs w:val="18"/>
                <w:u w:val="none"/>
                <w:lang w:val="en-US" w:eastAsia="zh-CN" w:bidi="ar"/>
              </w:rPr>
              <w:t>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2、基材：采用优质实木多层板，甲醛释放量≤0.0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000000"/>
                <w:kern w:val="0"/>
                <w:sz w:val="18"/>
                <w:szCs w:val="18"/>
                <w:u w:val="none"/>
                <w:lang w:val="en-US" w:eastAsia="zh-CN" w:bidi="ar"/>
              </w:rPr>
              <w:t>mg/L；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5、五金件：采用优质五金配件（铰链、拉手、三合一连接件），经防锈处理，达国家标准。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E275D6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350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1000</w:t>
            </w:r>
          </w:p>
        </w:tc>
        <w:tc>
          <w:tcPr>
            <w:tcW w:w="712" w:type="dxa"/>
            <w:tcBorders>
              <w:top w:val="single" w:color="000000" w:sz="4" w:space="0"/>
              <w:left w:val="single" w:color="000000" w:sz="4" w:space="0"/>
              <w:bottom w:val="single" w:color="000000" w:sz="4" w:space="0"/>
              <w:right w:val="nil"/>
            </w:tcBorders>
            <w:noWrap/>
            <w:vAlign w:val="center"/>
          </w:tcPr>
          <w:p w14:paraId="0D77F76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A6961D3">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334BBD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35560</wp:posOffset>
                  </wp:positionH>
                  <wp:positionV relativeFrom="paragraph">
                    <wp:posOffset>151765</wp:posOffset>
                  </wp:positionV>
                  <wp:extent cx="1205865" cy="1381125"/>
                  <wp:effectExtent l="0" t="0" r="13335" b="9525"/>
                  <wp:wrapNone/>
                  <wp:docPr id="57" name="ID_F97762D12C7844C989D2236A127B8CB1"/>
                  <wp:cNvGraphicFramePr/>
                  <a:graphic xmlns:a="http://schemas.openxmlformats.org/drawingml/2006/main">
                    <a:graphicData uri="http://schemas.openxmlformats.org/drawingml/2006/picture">
                      <pic:pic xmlns:pic="http://schemas.openxmlformats.org/drawingml/2006/picture">
                        <pic:nvPicPr>
                          <pic:cNvPr id="57" name="ID_F97762D12C7844C989D2236A127B8CB1"/>
                          <pic:cNvPicPr/>
                        </pic:nvPicPr>
                        <pic:blipFill>
                          <a:blip r:embed="rId120"/>
                          <a:stretch>
                            <a:fillRect/>
                          </a:stretch>
                        </pic:blipFill>
                        <pic:spPr>
                          <a:xfrm>
                            <a:off x="0" y="0"/>
                            <a:ext cx="1205865" cy="13811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46FF4D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37096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6"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236036E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0F6D005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594B66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150办公桌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919EF4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98C298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1500×800×760</w:t>
            </w:r>
          </w:p>
        </w:tc>
        <w:tc>
          <w:tcPr>
            <w:tcW w:w="712" w:type="dxa"/>
            <w:tcBorders>
              <w:top w:val="single" w:color="000000" w:sz="4" w:space="0"/>
              <w:left w:val="single" w:color="000000" w:sz="4" w:space="0"/>
              <w:bottom w:val="single" w:color="000000" w:sz="4" w:space="0"/>
              <w:right w:val="nil"/>
            </w:tcBorders>
            <w:noWrap/>
            <w:vAlign w:val="center"/>
          </w:tcPr>
          <w:p w14:paraId="55F919A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88FF5C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993C04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60960</wp:posOffset>
                  </wp:positionH>
                  <wp:positionV relativeFrom="paragraph">
                    <wp:posOffset>151765</wp:posOffset>
                  </wp:positionV>
                  <wp:extent cx="1241425" cy="1191895"/>
                  <wp:effectExtent l="0" t="0" r="15875" b="8255"/>
                  <wp:wrapNone/>
                  <wp:docPr id="58" name="ID_A8C91BB245D64496A7EDCC671E5E4804"/>
                  <wp:cNvGraphicFramePr/>
                  <a:graphic xmlns:a="http://schemas.openxmlformats.org/drawingml/2006/main">
                    <a:graphicData uri="http://schemas.openxmlformats.org/drawingml/2006/picture">
                      <pic:pic xmlns:pic="http://schemas.openxmlformats.org/drawingml/2006/picture">
                        <pic:nvPicPr>
                          <pic:cNvPr id="58" name="ID_A8C91BB245D64496A7EDCC671E5E4804"/>
                          <pic:cNvPicPr/>
                        </pic:nvPicPr>
                        <pic:blipFill>
                          <a:blip r:embed="rId121"/>
                          <a:stretch>
                            <a:fillRect/>
                          </a:stretch>
                        </pic:blipFill>
                        <pic:spPr>
                          <a:xfrm>
                            <a:off x="0" y="0"/>
                            <a:ext cx="1241425" cy="11918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4EA85F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036C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D23F4CD">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4DF3B64D">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2CBC25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58D8535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1、材料和工艺要求：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（1）靠背面料：优质高弹网布；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双层网布</w:t>
            </w:r>
            <w:r>
              <w:rPr>
                <w:rFonts w:hint="eastAsia" w:ascii="宋体" w:hAnsi="宋体" w:eastAsia="宋体" w:cs="宋体"/>
                <w:i w:val="0"/>
                <w:iCs w:val="0"/>
                <w:color w:val="auto"/>
                <w:kern w:val="0"/>
                <w:sz w:val="18"/>
                <w:szCs w:val="18"/>
                <w:highlight w:val="none"/>
                <w:u w:val="none"/>
                <w:lang w:val="en-US" w:eastAsia="zh-CN" w:bidi="ar"/>
              </w:rPr>
              <w:t>：符合GB 18401-2010《国家纺织产品基本安全技术规范》标准，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甲醛含量B类：≤20mg/kg；PH值B类：4.0-8.5；染色牢度(级)B类：耐水(变色、沾色) ≥3，耐酸汗渍(变色、沾色) ≥3，耐碱汗渍(变色、沾色) ≥3，耐干摩擦≥3；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（2）座面：内衬高弹力高密度PU发泡棉，长时间使用不变形；面覆优质透气布艺；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（3）背框、座框：尼龙注塑成型，抗冲击、防老化；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（4）扶手：PP+GF材质；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（5）椅背带腰靠，PP+GF材质，设计符合人体工程学；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（6）椅脚：2.0mm钢管折弯而成，承重102KG下往复拉力测试。</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6443FA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550×520×950</w:t>
            </w:r>
          </w:p>
        </w:tc>
        <w:tc>
          <w:tcPr>
            <w:tcW w:w="712" w:type="dxa"/>
            <w:tcBorders>
              <w:top w:val="single" w:color="000000" w:sz="4" w:space="0"/>
              <w:left w:val="single" w:color="000000" w:sz="4" w:space="0"/>
              <w:bottom w:val="single" w:color="000000" w:sz="4" w:space="0"/>
              <w:right w:val="nil"/>
            </w:tcBorders>
            <w:noWrap/>
            <w:vAlign w:val="center"/>
          </w:tcPr>
          <w:p w14:paraId="04B75BD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9C8D115">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650FA3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78740</wp:posOffset>
                  </wp:positionH>
                  <wp:positionV relativeFrom="paragraph">
                    <wp:posOffset>421640</wp:posOffset>
                  </wp:positionV>
                  <wp:extent cx="1196340" cy="1604645"/>
                  <wp:effectExtent l="0" t="0" r="3810" b="14605"/>
                  <wp:wrapNone/>
                  <wp:docPr id="64" name="ID_A795B6FBE1604F36BB83ABC3E5CF1400"/>
                  <wp:cNvGraphicFramePr/>
                  <a:graphic xmlns:a="http://schemas.openxmlformats.org/drawingml/2006/main">
                    <a:graphicData uri="http://schemas.openxmlformats.org/drawingml/2006/picture">
                      <pic:pic xmlns:pic="http://schemas.openxmlformats.org/drawingml/2006/picture">
                        <pic:nvPicPr>
                          <pic:cNvPr id="64" name="ID_A795B6FBE1604F36BB83ABC3E5CF1400"/>
                          <pic:cNvPicPr/>
                        </pic:nvPicPr>
                        <pic:blipFill>
                          <a:blip r:embed="rId122"/>
                          <a:stretch>
                            <a:fillRect/>
                          </a:stretch>
                        </pic:blipFill>
                        <pic:spPr>
                          <a:xfrm>
                            <a:off x="0" y="0"/>
                            <a:ext cx="1196340" cy="16046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49DAE6E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ADBE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106383E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6B263A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381DF9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三门书柜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027482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EFF7D3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1200×400×2000</w:t>
            </w:r>
          </w:p>
        </w:tc>
        <w:tc>
          <w:tcPr>
            <w:tcW w:w="712" w:type="dxa"/>
            <w:tcBorders>
              <w:top w:val="single" w:color="000000" w:sz="4" w:space="0"/>
              <w:left w:val="single" w:color="000000" w:sz="4" w:space="0"/>
              <w:bottom w:val="single" w:color="000000" w:sz="4" w:space="0"/>
              <w:right w:val="nil"/>
            </w:tcBorders>
            <w:noWrap/>
            <w:vAlign w:val="center"/>
          </w:tcPr>
          <w:p w14:paraId="3545069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9CA2BCF">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A9CD4D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38735</wp:posOffset>
                  </wp:positionH>
                  <wp:positionV relativeFrom="paragraph">
                    <wp:posOffset>89535</wp:posOffset>
                  </wp:positionV>
                  <wp:extent cx="1219200" cy="1382395"/>
                  <wp:effectExtent l="0" t="0" r="0" b="8255"/>
                  <wp:wrapNone/>
                  <wp:docPr id="59" name="ID_BD9001C3423A462B8AFE207FB3E0BAB2"/>
                  <wp:cNvGraphicFramePr/>
                  <a:graphic xmlns:a="http://schemas.openxmlformats.org/drawingml/2006/main">
                    <a:graphicData uri="http://schemas.openxmlformats.org/drawingml/2006/picture">
                      <pic:pic xmlns:pic="http://schemas.openxmlformats.org/drawingml/2006/picture">
                        <pic:nvPicPr>
                          <pic:cNvPr id="59" name="ID_BD9001C3423A462B8AFE207FB3E0BAB2"/>
                          <pic:cNvPicPr/>
                        </pic:nvPicPr>
                        <pic:blipFill>
                          <a:blip r:embed="rId123"/>
                          <a:stretch>
                            <a:fillRect/>
                          </a:stretch>
                        </pic:blipFill>
                        <pic:spPr>
                          <a:xfrm>
                            <a:off x="0" y="0"/>
                            <a:ext cx="1219200" cy="13823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9AE54D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4D7BB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F6FA7F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9C0CA7D">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E98887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保险柜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E590AA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cs="宋体"/>
                <w:i w:val="0"/>
                <w:iCs w:val="0"/>
                <w:strike w:val="0"/>
                <w:dstrike w:val="0"/>
                <w:color w:val="auto"/>
                <w:kern w:val="0"/>
                <w:sz w:val="18"/>
                <w:szCs w:val="18"/>
                <w:highlight w:val="none"/>
                <w:u w:val="none"/>
                <w:lang w:val="en-US" w:eastAsia="zh-CN" w:bidi="ar"/>
              </w:rPr>
            </w:pPr>
            <w:r>
              <w:rPr>
                <w:rFonts w:hint="eastAsia" w:ascii="宋体" w:hAnsi="宋体" w:cs="宋体"/>
                <w:i w:val="0"/>
                <w:iCs w:val="0"/>
                <w:strike w:val="0"/>
                <w:dstrike w:val="0"/>
                <w:color w:val="auto"/>
                <w:kern w:val="0"/>
                <w:sz w:val="18"/>
                <w:szCs w:val="18"/>
                <w:highlight w:val="none"/>
                <w:u w:val="none"/>
                <w:lang w:val="en-US" w:eastAsia="zh-CN" w:bidi="ar"/>
              </w:rPr>
              <w:t>3C认证</w:t>
            </w:r>
          </w:p>
          <w:p w14:paraId="1A69684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cs="宋体"/>
                <w:i w:val="0"/>
                <w:iCs w:val="0"/>
                <w:strike w:val="0"/>
                <w:dstrike w:val="0"/>
                <w:color w:val="auto"/>
                <w:kern w:val="0"/>
                <w:sz w:val="18"/>
                <w:szCs w:val="18"/>
                <w:highlight w:val="none"/>
                <w:u w:val="none"/>
                <w:lang w:val="en-US" w:eastAsia="zh-CN" w:bidi="ar"/>
              </w:rPr>
            </w:pPr>
            <w:r>
              <w:rPr>
                <w:rFonts w:hint="eastAsia" w:ascii="宋体" w:hAnsi="宋体" w:cs="宋体"/>
                <w:i w:val="0"/>
                <w:iCs w:val="0"/>
                <w:strike w:val="0"/>
                <w:dstrike w:val="0"/>
                <w:color w:val="auto"/>
                <w:kern w:val="0"/>
                <w:sz w:val="18"/>
                <w:szCs w:val="18"/>
                <w:highlight w:val="none"/>
                <w:u w:val="none"/>
                <w:lang w:val="en-US" w:eastAsia="zh-CN" w:bidi="ar"/>
              </w:rPr>
              <w:t>材质：多层精钢低碳高密度合金钢；</w:t>
            </w:r>
          </w:p>
          <w:p w14:paraId="7E68E16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cs="宋体"/>
                <w:i w:val="0"/>
                <w:iCs w:val="0"/>
                <w:strike w:val="0"/>
                <w:dstrike w:val="0"/>
                <w:color w:val="auto"/>
                <w:kern w:val="0"/>
                <w:sz w:val="18"/>
                <w:szCs w:val="18"/>
                <w:highlight w:val="none"/>
                <w:u w:val="none"/>
                <w:lang w:val="en-US" w:eastAsia="zh-CN" w:bidi="ar"/>
              </w:rPr>
            </w:pPr>
            <w:r>
              <w:rPr>
                <w:rFonts w:hint="eastAsia" w:ascii="宋体" w:hAnsi="宋体" w:cs="宋体"/>
                <w:i w:val="0"/>
                <w:iCs w:val="0"/>
                <w:strike w:val="0"/>
                <w:dstrike w:val="0"/>
                <w:color w:val="auto"/>
                <w:kern w:val="0"/>
                <w:sz w:val="18"/>
                <w:szCs w:val="18"/>
                <w:highlight w:val="none"/>
                <w:u w:val="none"/>
                <w:lang w:val="en-US" w:eastAsia="zh-CN" w:bidi="ar"/>
              </w:rPr>
              <w:t>安全等级：B1级；</w:t>
            </w:r>
          </w:p>
          <w:p w14:paraId="27107A8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cs="宋体"/>
                <w:i w:val="0"/>
                <w:iCs w:val="0"/>
                <w:strike w:val="0"/>
                <w:dstrike w:val="0"/>
                <w:color w:val="auto"/>
                <w:kern w:val="0"/>
                <w:sz w:val="18"/>
                <w:szCs w:val="18"/>
                <w:highlight w:val="none"/>
                <w:u w:val="none"/>
                <w:lang w:val="en-US" w:eastAsia="zh-CN" w:bidi="ar"/>
              </w:rPr>
            </w:pPr>
            <w:r>
              <w:rPr>
                <w:rFonts w:hint="eastAsia" w:ascii="宋体" w:hAnsi="宋体" w:cs="宋体"/>
                <w:i w:val="0"/>
                <w:iCs w:val="0"/>
                <w:strike w:val="0"/>
                <w:dstrike w:val="0"/>
                <w:color w:val="auto"/>
                <w:kern w:val="0"/>
                <w:sz w:val="18"/>
                <w:szCs w:val="18"/>
                <w:highlight w:val="none"/>
                <w:u w:val="none"/>
                <w:lang w:val="en-US" w:eastAsia="zh-CN" w:bidi="ar"/>
              </w:rPr>
              <w:t>防火等级：B级；</w:t>
            </w:r>
          </w:p>
          <w:p w14:paraId="494E6EE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cs="宋体"/>
                <w:i w:val="0"/>
                <w:iCs w:val="0"/>
                <w:strike w:val="0"/>
                <w:dstrike w:val="0"/>
                <w:color w:val="auto"/>
                <w:kern w:val="0"/>
                <w:sz w:val="18"/>
                <w:szCs w:val="18"/>
                <w:highlight w:val="none"/>
                <w:u w:val="none"/>
                <w:lang w:val="en-US" w:eastAsia="zh-CN" w:bidi="ar"/>
              </w:rPr>
            </w:pPr>
            <w:r>
              <w:rPr>
                <w:rFonts w:hint="eastAsia" w:ascii="宋体" w:hAnsi="宋体" w:cs="宋体"/>
                <w:i w:val="0"/>
                <w:iCs w:val="0"/>
                <w:strike w:val="0"/>
                <w:dstrike w:val="0"/>
                <w:color w:val="auto"/>
                <w:kern w:val="0"/>
                <w:sz w:val="18"/>
                <w:szCs w:val="18"/>
                <w:highlight w:val="none"/>
                <w:u w:val="none"/>
                <w:lang w:val="en-US" w:eastAsia="zh-CN" w:bidi="ar"/>
              </w:rPr>
              <w:t>开启方式：指纹+密码/密码+机械钥匙；</w:t>
            </w:r>
          </w:p>
          <w:p w14:paraId="2FC02EC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default" w:ascii="宋体" w:hAnsi="宋体" w:cs="宋体"/>
                <w:i w:val="0"/>
                <w:iCs w:val="0"/>
                <w:strike w:val="0"/>
                <w:dstrike w:val="0"/>
                <w:color w:val="auto"/>
                <w:kern w:val="0"/>
                <w:sz w:val="18"/>
                <w:szCs w:val="18"/>
                <w:highlight w:val="none"/>
                <w:u w:val="none"/>
                <w:lang w:val="en-US" w:eastAsia="zh-CN" w:bidi="ar"/>
              </w:rPr>
            </w:pPr>
            <w:r>
              <w:rPr>
                <w:rFonts w:hint="eastAsia" w:ascii="宋体" w:hAnsi="宋体" w:cs="宋体"/>
                <w:i w:val="0"/>
                <w:iCs w:val="0"/>
                <w:strike w:val="0"/>
                <w:dstrike w:val="0"/>
                <w:color w:val="auto"/>
                <w:kern w:val="0"/>
                <w:sz w:val="18"/>
                <w:szCs w:val="18"/>
                <w:highlight w:val="none"/>
                <w:u w:val="none"/>
                <w:lang w:val="en-US" w:eastAsia="zh-CN" w:bidi="ar"/>
              </w:rPr>
              <w:t>内部结构：内置两层，柜体一体式锻造，内藏式防撬门，强化合金铰链，实心加粗锁栓（三方向多点设计）。</w:t>
            </w:r>
          </w:p>
          <w:p w14:paraId="0FF2B90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default" w:ascii="宋体" w:hAnsi="宋体" w:cs="宋体"/>
                <w:i w:val="0"/>
                <w:iCs w:val="0"/>
                <w:strike w:val="0"/>
                <w:dstrike w:val="0"/>
                <w:color w:val="auto"/>
                <w:kern w:val="0"/>
                <w:sz w:val="18"/>
                <w:szCs w:val="18"/>
                <w:highlight w:val="none"/>
                <w:u w:val="none"/>
                <w:lang w:val="en-US" w:eastAsia="zh-CN" w:bidi="ar"/>
              </w:rPr>
            </w:pPr>
            <w:r>
              <w:rPr>
                <w:rFonts w:hint="eastAsia" w:ascii="宋体" w:hAnsi="宋体" w:cs="宋体"/>
                <w:i w:val="0"/>
                <w:iCs w:val="0"/>
                <w:strike w:val="0"/>
                <w:dstrike w:val="0"/>
                <w:color w:val="auto"/>
                <w:kern w:val="0"/>
                <w:sz w:val="18"/>
                <w:szCs w:val="18"/>
                <w:highlight w:val="none"/>
                <w:u w:val="none"/>
                <w:lang w:val="en-US" w:eastAsia="zh-CN" w:bidi="ar"/>
              </w:rPr>
              <w:t>电源要求：内置5号电池供电仓、外置充电宝等设备应急供电接口。</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AA67D1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auto"/>
                <w:sz w:val="18"/>
                <w:szCs w:val="18"/>
                <w:u w:val="none"/>
              </w:rPr>
            </w:pPr>
            <w:r>
              <w:rPr>
                <w:rStyle w:val="127"/>
                <w:rFonts w:hint="eastAsia" w:ascii="宋体" w:hAnsi="宋体" w:eastAsia="宋体" w:cs="宋体"/>
                <w:color w:val="auto"/>
                <w:sz w:val="18"/>
                <w:szCs w:val="18"/>
                <w:lang w:val="en-US" w:eastAsia="zh-CN" w:bidi="ar"/>
              </w:rPr>
              <w:t>390×340×600</w:t>
            </w:r>
          </w:p>
        </w:tc>
        <w:tc>
          <w:tcPr>
            <w:tcW w:w="712" w:type="dxa"/>
            <w:tcBorders>
              <w:top w:val="single" w:color="000000" w:sz="4" w:space="0"/>
              <w:left w:val="single" w:color="000000" w:sz="4" w:space="0"/>
              <w:bottom w:val="single" w:color="000000" w:sz="4" w:space="0"/>
              <w:right w:val="nil"/>
            </w:tcBorders>
            <w:noWrap/>
            <w:vAlign w:val="center"/>
          </w:tcPr>
          <w:p w14:paraId="7286C0E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569D515">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185807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31115</wp:posOffset>
                  </wp:positionH>
                  <wp:positionV relativeFrom="paragraph">
                    <wp:posOffset>80010</wp:posOffset>
                  </wp:positionV>
                  <wp:extent cx="1243330" cy="1240790"/>
                  <wp:effectExtent l="0" t="0" r="13970" b="16510"/>
                  <wp:wrapNone/>
                  <wp:docPr id="65" name="ID_2ADB9200F76D4CABBF24FDEFC2029D03"/>
                  <wp:cNvGraphicFramePr/>
                  <a:graphic xmlns:a="http://schemas.openxmlformats.org/drawingml/2006/main">
                    <a:graphicData uri="http://schemas.openxmlformats.org/drawingml/2006/picture">
                      <pic:pic xmlns:pic="http://schemas.openxmlformats.org/drawingml/2006/picture">
                        <pic:nvPicPr>
                          <pic:cNvPr id="65" name="ID_2ADB9200F76D4CABBF24FDEFC2029D03"/>
                          <pic:cNvPicPr/>
                        </pic:nvPicPr>
                        <pic:blipFill>
                          <a:blip r:embed="rId124"/>
                          <a:stretch>
                            <a:fillRect/>
                          </a:stretch>
                        </pic:blipFill>
                        <pic:spPr>
                          <a:xfrm>
                            <a:off x="0" y="0"/>
                            <a:ext cx="1243330" cy="124079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B15F8E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0286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2CAB1D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15E1E4D">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60F804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215AD2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8D1101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400</w:t>
            </w:r>
            <w:r>
              <w:rPr>
                <w:rStyle w:val="12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800</w:t>
            </w:r>
          </w:p>
        </w:tc>
        <w:tc>
          <w:tcPr>
            <w:tcW w:w="712" w:type="dxa"/>
            <w:tcBorders>
              <w:top w:val="single" w:color="000000" w:sz="4" w:space="0"/>
              <w:left w:val="single" w:color="000000" w:sz="4" w:space="0"/>
              <w:bottom w:val="single" w:color="000000" w:sz="4" w:space="0"/>
              <w:right w:val="nil"/>
            </w:tcBorders>
            <w:noWrap/>
            <w:vAlign w:val="center"/>
          </w:tcPr>
          <w:p w14:paraId="15812CB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455D8C7">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09E902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198120</wp:posOffset>
                  </wp:positionV>
                  <wp:extent cx="1282700" cy="1051560"/>
                  <wp:effectExtent l="0" t="0" r="12700" b="15240"/>
                  <wp:wrapNone/>
                  <wp:docPr id="35" name="图片_16"/>
                  <wp:cNvGraphicFramePr/>
                  <a:graphic xmlns:a="http://schemas.openxmlformats.org/drawingml/2006/main">
                    <a:graphicData uri="http://schemas.openxmlformats.org/drawingml/2006/picture">
                      <pic:pic xmlns:pic="http://schemas.openxmlformats.org/drawingml/2006/picture">
                        <pic:nvPicPr>
                          <pic:cNvPr id="35" name="图片_16"/>
                          <pic:cNvPicPr/>
                        </pic:nvPicPr>
                        <pic:blipFill>
                          <a:blip r:embed="rId125"/>
                          <a:stretch>
                            <a:fillRect/>
                          </a:stretch>
                        </pic:blipFill>
                        <pic:spPr>
                          <a:xfrm>
                            <a:off x="0" y="0"/>
                            <a:ext cx="1282700" cy="105156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AA8C30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F8C1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903" w:type="dxa"/>
            <w:tcBorders>
              <w:top w:val="single" w:color="000000" w:sz="4" w:space="0"/>
              <w:left w:val="single" w:color="000000" w:sz="4" w:space="0"/>
              <w:bottom w:val="single" w:color="000000" w:sz="4" w:space="0"/>
              <w:right w:val="single" w:color="000000" w:sz="4" w:space="0"/>
            </w:tcBorders>
            <w:noWrap/>
            <w:vAlign w:val="center"/>
          </w:tcPr>
          <w:p w14:paraId="1B6B1F4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029322B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公用物资库</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0231FA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D77BA3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金属材质（钢），采用立柱和横梁连接的结构，结构简单，拆装方便。外形美观大方，适用于人工存取货物情况，承载能力为290KG/层，可以满足大部分使用要求。</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7CB990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2000×600×2000</w:t>
            </w:r>
          </w:p>
        </w:tc>
        <w:tc>
          <w:tcPr>
            <w:tcW w:w="712" w:type="dxa"/>
            <w:tcBorders>
              <w:top w:val="single" w:color="000000" w:sz="4" w:space="0"/>
              <w:left w:val="single" w:color="000000" w:sz="4" w:space="0"/>
              <w:bottom w:val="single" w:color="000000" w:sz="4" w:space="0"/>
              <w:right w:val="nil"/>
            </w:tcBorders>
            <w:noWrap/>
            <w:vAlign w:val="center"/>
          </w:tcPr>
          <w:p w14:paraId="1BD8D06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6024F3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8D9D12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39370</wp:posOffset>
                  </wp:positionH>
                  <wp:positionV relativeFrom="paragraph">
                    <wp:posOffset>119380</wp:posOffset>
                  </wp:positionV>
                  <wp:extent cx="1265555" cy="1024890"/>
                  <wp:effectExtent l="0" t="0" r="10795" b="3810"/>
                  <wp:wrapNone/>
                  <wp:docPr id="39" name="ID_3B3E202BA298456B9ED900E9A501E24D"/>
                  <wp:cNvGraphicFramePr/>
                  <a:graphic xmlns:a="http://schemas.openxmlformats.org/drawingml/2006/main">
                    <a:graphicData uri="http://schemas.openxmlformats.org/drawingml/2006/picture">
                      <pic:pic xmlns:pic="http://schemas.openxmlformats.org/drawingml/2006/picture">
                        <pic:nvPicPr>
                          <pic:cNvPr id="39" name="ID_3B3E202BA298456B9ED900E9A501E24D"/>
                          <pic:cNvPicPr/>
                        </pic:nvPicPr>
                        <pic:blipFill>
                          <a:blip r:embed="rId126"/>
                          <a:stretch>
                            <a:fillRect/>
                          </a:stretch>
                        </pic:blipFill>
                        <pic:spPr>
                          <a:xfrm>
                            <a:off x="0" y="0"/>
                            <a:ext cx="1265555" cy="102489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4C955D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43887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352EB84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11867DA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医务室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739CD0C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药品阴凉柜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759338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1、双门，阴凉/冷藏双模式，360°真风冷循环制冷，立体循环制冷，柜内不结冰，实时监测温度异常报警，数据储存U盘实时查看温度数据。整机45mm加厚发泡，三层锁温，双层隔热保温玻璃。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2、符合新《药品经营质量管理规定》保障药品安全，智能控制面板，纯铜电机，采用品牌高效无氟压缩机，低噪音、低功耗、寿命长。额定电压220，阴凉模式温度范围8℃～20℃，冷藏模式温度范围2℃～8℃</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F58002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1200×600×2000</w:t>
            </w:r>
          </w:p>
        </w:tc>
        <w:tc>
          <w:tcPr>
            <w:tcW w:w="712" w:type="dxa"/>
            <w:tcBorders>
              <w:top w:val="single" w:color="000000" w:sz="4" w:space="0"/>
              <w:left w:val="single" w:color="000000" w:sz="4" w:space="0"/>
              <w:bottom w:val="single" w:color="000000" w:sz="4" w:space="0"/>
              <w:right w:val="nil"/>
            </w:tcBorders>
            <w:noWrap/>
            <w:vAlign w:val="center"/>
          </w:tcPr>
          <w:p w14:paraId="27B2AD9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863DB07">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台</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4737B3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86360</wp:posOffset>
                  </wp:positionH>
                  <wp:positionV relativeFrom="paragraph">
                    <wp:posOffset>132715</wp:posOffset>
                  </wp:positionV>
                  <wp:extent cx="1172845" cy="1145540"/>
                  <wp:effectExtent l="0" t="0" r="8255" b="16510"/>
                  <wp:wrapNone/>
                  <wp:docPr id="40" name="ID_6D3AB1F8C7984D2B9A524BD416A03442"/>
                  <wp:cNvGraphicFramePr/>
                  <a:graphic xmlns:a="http://schemas.openxmlformats.org/drawingml/2006/main">
                    <a:graphicData uri="http://schemas.openxmlformats.org/drawingml/2006/picture">
                      <pic:pic xmlns:pic="http://schemas.openxmlformats.org/drawingml/2006/picture">
                        <pic:nvPicPr>
                          <pic:cNvPr id="40" name="ID_6D3AB1F8C7984D2B9A524BD416A03442"/>
                          <pic:cNvPicPr/>
                        </pic:nvPicPr>
                        <pic:blipFill>
                          <a:blip r:embed="rId127"/>
                          <a:stretch>
                            <a:fillRect/>
                          </a:stretch>
                        </pic:blipFill>
                        <pic:spPr>
                          <a:xfrm>
                            <a:off x="0" y="0"/>
                            <a:ext cx="1172845" cy="11455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D33670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1D2A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5FF8ABE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3B0C56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ADAE2B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理疗床</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B3D66B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采用加厚方形钢管镜面处理，表面喷塑，床架和床腿采用的钢材尺寸是40X40、厚度2.2mm，床板是多层纯天然木板合成制作，床面采用优质PU皮、 重体海绵，含头枕。</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E8BB97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2000×800×600</w:t>
            </w:r>
          </w:p>
        </w:tc>
        <w:tc>
          <w:tcPr>
            <w:tcW w:w="712" w:type="dxa"/>
            <w:tcBorders>
              <w:top w:val="single" w:color="000000" w:sz="4" w:space="0"/>
              <w:left w:val="single" w:color="000000" w:sz="4" w:space="0"/>
              <w:bottom w:val="single" w:color="000000" w:sz="4" w:space="0"/>
              <w:right w:val="nil"/>
            </w:tcBorders>
            <w:noWrap/>
            <w:vAlign w:val="center"/>
          </w:tcPr>
          <w:p w14:paraId="3ED0EA6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7BDBD9F">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C49DD8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12065</wp:posOffset>
                  </wp:positionH>
                  <wp:positionV relativeFrom="paragraph">
                    <wp:posOffset>148590</wp:posOffset>
                  </wp:positionV>
                  <wp:extent cx="1280160" cy="1282700"/>
                  <wp:effectExtent l="0" t="0" r="15240" b="12700"/>
                  <wp:wrapNone/>
                  <wp:docPr id="41" name="ID_1B26F6C5F06C4C5DAC63567D7EE2E209"/>
                  <wp:cNvGraphicFramePr/>
                  <a:graphic xmlns:a="http://schemas.openxmlformats.org/drawingml/2006/main">
                    <a:graphicData uri="http://schemas.openxmlformats.org/drawingml/2006/picture">
                      <pic:pic xmlns:pic="http://schemas.openxmlformats.org/drawingml/2006/picture">
                        <pic:nvPicPr>
                          <pic:cNvPr id="41" name="ID_1B26F6C5F06C4C5DAC63567D7EE2E209"/>
                          <pic:cNvPicPr/>
                        </pic:nvPicPr>
                        <pic:blipFill>
                          <a:blip r:embed="rId128"/>
                          <a:stretch>
                            <a:fillRect/>
                          </a:stretch>
                        </pic:blipFill>
                        <pic:spPr>
                          <a:xfrm>
                            <a:off x="0" y="0"/>
                            <a:ext cx="1280160" cy="12827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42DC4F9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C63C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558F16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EDE4F2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2D87C9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160办公桌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2ADDC5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1、饰面：采用优质环保三聚氰胺饰面板，甲醛释放量≤0.0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2、基材：采用优质实木多层板，甲醛释放量≤0.0</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230FB4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1600×1200×750</w:t>
            </w:r>
          </w:p>
        </w:tc>
        <w:tc>
          <w:tcPr>
            <w:tcW w:w="712" w:type="dxa"/>
            <w:tcBorders>
              <w:top w:val="single" w:color="000000" w:sz="4" w:space="0"/>
              <w:left w:val="single" w:color="000000" w:sz="4" w:space="0"/>
              <w:bottom w:val="single" w:color="000000" w:sz="4" w:space="0"/>
              <w:right w:val="nil"/>
            </w:tcBorders>
            <w:noWrap/>
            <w:vAlign w:val="center"/>
          </w:tcPr>
          <w:p w14:paraId="1FF0C75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407D69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287208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30480</wp:posOffset>
                  </wp:positionH>
                  <wp:positionV relativeFrom="paragraph">
                    <wp:posOffset>104775</wp:posOffset>
                  </wp:positionV>
                  <wp:extent cx="1255395" cy="1371600"/>
                  <wp:effectExtent l="0" t="0" r="1905" b="0"/>
                  <wp:wrapNone/>
                  <wp:docPr id="42" name="ID_5A6821206199430D989C3E083E2B2582"/>
                  <wp:cNvGraphicFramePr/>
                  <a:graphic xmlns:a="http://schemas.openxmlformats.org/drawingml/2006/main">
                    <a:graphicData uri="http://schemas.openxmlformats.org/drawingml/2006/picture">
                      <pic:pic xmlns:pic="http://schemas.openxmlformats.org/drawingml/2006/picture">
                        <pic:nvPicPr>
                          <pic:cNvPr id="42" name="ID_5A6821206199430D989C3E083E2B2582"/>
                          <pic:cNvPicPr/>
                        </pic:nvPicPr>
                        <pic:blipFill>
                          <a:blip r:embed="rId129"/>
                          <a:stretch>
                            <a:fillRect/>
                          </a:stretch>
                        </pic:blipFill>
                        <pic:spPr>
                          <a:xfrm>
                            <a:off x="0" y="0"/>
                            <a:ext cx="1255395" cy="13716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0062E58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B3F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448F5E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33BD48E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63F742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DAE6C9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1、材料和工艺要求：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（1）靠背面料：优质高弹网布；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双层网布：符合GB 18401-2010《国家纺织产品基本安全技术规范》标准，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甲醛含量B类：≤20mg/kg；PH值B类：4.0-8.5；染色牢度(级)B类：耐水(变色、沾色) ≥3，耐酸汗渍(变色、沾色) ≥3，耐碱汗渍(变色、沾色) ≥3，耐干摩擦≥3；</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（2）座面：内衬高弹力高密度PU发泡棉，长时间使用不变形；面覆优质透气布艺；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（3）背框、座框：尼龙注塑成型，抗冲击、防老化；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（4）扶手：PP+GF材质；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（5）椅背带腰靠，PP+GF材质，设计符合人体工程学；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（6）椅脚：2.0mm钢管折弯而成，承重102KG下往复拉力测试。</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2E421E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550×520×950</w:t>
            </w:r>
          </w:p>
        </w:tc>
        <w:tc>
          <w:tcPr>
            <w:tcW w:w="712" w:type="dxa"/>
            <w:tcBorders>
              <w:top w:val="single" w:color="000000" w:sz="4" w:space="0"/>
              <w:left w:val="single" w:color="000000" w:sz="4" w:space="0"/>
              <w:bottom w:val="single" w:color="000000" w:sz="4" w:space="0"/>
              <w:right w:val="nil"/>
            </w:tcBorders>
            <w:noWrap/>
            <w:vAlign w:val="center"/>
          </w:tcPr>
          <w:p w14:paraId="6C87DBE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F3FE2B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734E33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sz w:val="18"/>
                <w:szCs w:val="18"/>
              </w:rPr>
            </w:pPr>
          </w:p>
          <w:p w14:paraId="310D9F5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sz w:val="18"/>
                <w:szCs w:val="18"/>
              </w:rPr>
            </w:pPr>
          </w:p>
          <w:p w14:paraId="4E4897F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sz w:val="18"/>
                <w:szCs w:val="18"/>
              </w:rPr>
            </w:pPr>
          </w:p>
          <w:p w14:paraId="1521E1A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sz w:val="18"/>
                <w:szCs w:val="18"/>
              </w:rPr>
              <w:drawing>
                <wp:inline distT="0" distB="0" distL="114300" distR="114300">
                  <wp:extent cx="1295400" cy="1653540"/>
                  <wp:effectExtent l="0" t="0" r="0" b="3810"/>
                  <wp:docPr id="67"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图示&#10;&#10;描述已自动生成"/>
                          <pic:cNvPicPr>
                            <a:picLocks noChangeAspect="1"/>
                          </pic:cNvPicPr>
                        </pic:nvPicPr>
                        <pic:blipFill>
                          <a:blip r:embed="rId130"/>
                          <a:stretch>
                            <a:fillRect/>
                          </a:stretch>
                        </pic:blipFill>
                        <pic:spPr>
                          <a:xfrm>
                            <a:off x="0" y="0"/>
                            <a:ext cx="1295400" cy="165354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19050</wp:posOffset>
                  </wp:positionH>
                  <wp:positionV relativeFrom="paragraph">
                    <wp:posOffset>269240</wp:posOffset>
                  </wp:positionV>
                  <wp:extent cx="0" cy="1737360"/>
                  <wp:effectExtent l="0" t="0" r="0" b="0"/>
                  <wp:wrapNone/>
                  <wp:docPr id="70" name="ID_8D9AD81CCB904D9A8129F49D23901AB0"/>
                  <wp:cNvGraphicFramePr/>
                  <a:graphic xmlns:a="http://schemas.openxmlformats.org/drawingml/2006/main">
                    <a:graphicData uri="http://schemas.openxmlformats.org/drawingml/2006/picture">
                      <pic:pic xmlns:pic="http://schemas.openxmlformats.org/drawingml/2006/picture">
                        <pic:nvPicPr>
                          <pic:cNvPr id="70" name="ID_8D9AD81CCB904D9A8129F49D23901AB0"/>
                          <pic:cNvPicPr/>
                        </pic:nvPicPr>
                        <pic:blipFill>
                          <a:blip r:embed="rId131"/>
                          <a:stretch>
                            <a:fillRect/>
                          </a:stretch>
                        </pic:blipFill>
                        <pic:spPr>
                          <a:xfrm>
                            <a:off x="0" y="0"/>
                            <a:ext cx="0" cy="173736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0E0626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sz w:val="18"/>
                <w:szCs w:val="18"/>
              </w:rPr>
            </w:pPr>
          </w:p>
        </w:tc>
      </w:tr>
      <w:tr w14:paraId="446D6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38EE85B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770DA5E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EB20B7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2CC3ABC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1、基材：采用优质橡胶木档做内框（符合E1级要求），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3、软包内采用环保高弹海绵，外包采用优质水洗布料。</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E50010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1850×800×880</w:t>
            </w:r>
          </w:p>
        </w:tc>
        <w:tc>
          <w:tcPr>
            <w:tcW w:w="712" w:type="dxa"/>
            <w:tcBorders>
              <w:top w:val="single" w:color="000000" w:sz="4" w:space="0"/>
              <w:left w:val="single" w:color="000000" w:sz="4" w:space="0"/>
              <w:bottom w:val="single" w:color="000000" w:sz="4" w:space="0"/>
              <w:right w:val="nil"/>
            </w:tcBorders>
            <w:noWrap/>
            <w:vAlign w:val="center"/>
          </w:tcPr>
          <w:p w14:paraId="7B71EA6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69D3A51">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6A690E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57785</wp:posOffset>
                  </wp:positionH>
                  <wp:positionV relativeFrom="paragraph">
                    <wp:posOffset>152400</wp:posOffset>
                  </wp:positionV>
                  <wp:extent cx="1229360" cy="1141730"/>
                  <wp:effectExtent l="0" t="0" r="8890" b="1270"/>
                  <wp:wrapNone/>
                  <wp:docPr id="82" name="ID_31B087BE00114AF5B45E24DC4B14A632"/>
                  <wp:cNvGraphicFramePr/>
                  <a:graphic xmlns:a="http://schemas.openxmlformats.org/drawingml/2006/main">
                    <a:graphicData uri="http://schemas.openxmlformats.org/drawingml/2006/picture">
                      <pic:pic xmlns:pic="http://schemas.openxmlformats.org/drawingml/2006/picture">
                        <pic:nvPicPr>
                          <pic:cNvPr id="82" name="ID_31B087BE00114AF5B45E24DC4B14A632"/>
                          <pic:cNvPicPr/>
                        </pic:nvPicPr>
                        <pic:blipFill>
                          <a:blip r:embed="rId132"/>
                          <a:stretch>
                            <a:fillRect/>
                          </a:stretch>
                        </pic:blipFill>
                        <pic:spPr>
                          <a:xfrm>
                            <a:off x="0" y="0"/>
                            <a:ext cx="1229360" cy="11417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71B90B6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8E4C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5216BBB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14:paraId="47FFAC6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图书室外靠北过道</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3FE3FD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627B5D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1、基材：采用优质橡胶木档做内框（符合E1级要求），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2、油漆：外露木质部分采用水性底漆和面漆，光泽丰满，附着力强，耐腐蚀性，耐水耐磨，引用先进油漆工艺“五底三面”，光泽均匀，不褪色，绿色环保；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3、软包内采用环保高弹海绵，外包采用优质水洗布料。</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262093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1850×800×880</w:t>
            </w:r>
          </w:p>
        </w:tc>
        <w:tc>
          <w:tcPr>
            <w:tcW w:w="712" w:type="dxa"/>
            <w:tcBorders>
              <w:top w:val="single" w:color="000000" w:sz="4" w:space="0"/>
              <w:left w:val="single" w:color="000000" w:sz="4" w:space="0"/>
              <w:bottom w:val="single" w:color="000000" w:sz="4" w:space="0"/>
              <w:right w:val="nil"/>
            </w:tcBorders>
            <w:noWrap/>
            <w:vAlign w:val="center"/>
          </w:tcPr>
          <w:p w14:paraId="0531587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09BF723E">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310F7A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55880</wp:posOffset>
                  </wp:positionH>
                  <wp:positionV relativeFrom="paragraph">
                    <wp:posOffset>170815</wp:posOffset>
                  </wp:positionV>
                  <wp:extent cx="1193800" cy="1087120"/>
                  <wp:effectExtent l="0" t="0" r="6350" b="17780"/>
                  <wp:wrapNone/>
                  <wp:docPr id="83" name="ID_1B50802982A045708ACCBF3974308E26"/>
                  <wp:cNvGraphicFramePr/>
                  <a:graphic xmlns:a="http://schemas.openxmlformats.org/drawingml/2006/main">
                    <a:graphicData uri="http://schemas.openxmlformats.org/drawingml/2006/picture">
                      <pic:pic xmlns:pic="http://schemas.openxmlformats.org/drawingml/2006/picture">
                        <pic:nvPicPr>
                          <pic:cNvPr id="83" name="ID_1B50802982A045708ACCBF3974308E26"/>
                          <pic:cNvPicPr/>
                        </pic:nvPicPr>
                        <pic:blipFill>
                          <a:blip r:embed="rId133"/>
                          <a:stretch>
                            <a:fillRect/>
                          </a:stretch>
                        </pic:blipFill>
                        <pic:spPr>
                          <a:xfrm>
                            <a:off x="0" y="0"/>
                            <a:ext cx="1193800" cy="108712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1CA821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72B5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62C7EC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9F644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091B06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536DA6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1、饰面：采用优质环保三聚氰胺饰面板，甲醛释放量≤</w:t>
            </w:r>
            <w:r>
              <w:rPr>
                <w:rFonts w:hint="eastAsia" w:ascii="宋体" w:hAnsi="宋体" w:cs="宋体"/>
                <w:i w:val="0"/>
                <w:iCs w:val="0"/>
                <w:color w:val="auto"/>
                <w:kern w:val="0"/>
                <w:sz w:val="18"/>
                <w:szCs w:val="18"/>
                <w:u w:val="none"/>
                <w:lang w:val="en-US" w:eastAsia="zh-CN" w:bidi="ar"/>
              </w:rPr>
              <w:t>0.05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2、基材：采用优质多层板，甲醛释放量≤</w:t>
            </w:r>
            <w:r>
              <w:rPr>
                <w:rFonts w:hint="eastAsia" w:ascii="宋体" w:hAnsi="宋体" w:cs="宋体"/>
                <w:i w:val="0"/>
                <w:iCs w:val="0"/>
                <w:color w:val="auto"/>
                <w:kern w:val="0"/>
                <w:sz w:val="18"/>
                <w:szCs w:val="18"/>
                <w:u w:val="none"/>
                <w:lang w:val="en-US" w:eastAsia="zh-CN" w:bidi="ar"/>
              </w:rPr>
              <w:t>0.05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4、五金件：采用优质五金配件（铰链、三合一连接件），经防锈处理，达国家标准。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C4B527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1200×600×450</w:t>
            </w:r>
          </w:p>
        </w:tc>
        <w:tc>
          <w:tcPr>
            <w:tcW w:w="712" w:type="dxa"/>
            <w:tcBorders>
              <w:top w:val="single" w:color="000000" w:sz="4" w:space="0"/>
              <w:left w:val="single" w:color="000000" w:sz="4" w:space="0"/>
              <w:bottom w:val="single" w:color="000000" w:sz="4" w:space="0"/>
              <w:right w:val="nil"/>
            </w:tcBorders>
            <w:noWrap/>
            <w:vAlign w:val="center"/>
          </w:tcPr>
          <w:p w14:paraId="611A55F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D1EF04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9ECAFA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104140</wp:posOffset>
                  </wp:positionH>
                  <wp:positionV relativeFrom="paragraph">
                    <wp:posOffset>295910</wp:posOffset>
                  </wp:positionV>
                  <wp:extent cx="1134745" cy="760095"/>
                  <wp:effectExtent l="0" t="0" r="8255" b="1905"/>
                  <wp:wrapNone/>
                  <wp:docPr id="84" name="ID_86198BFA20AC41F68CF335EF92D1CEB9"/>
                  <wp:cNvGraphicFramePr/>
                  <a:graphic xmlns:a="http://schemas.openxmlformats.org/drawingml/2006/main">
                    <a:graphicData uri="http://schemas.openxmlformats.org/drawingml/2006/picture">
                      <pic:pic xmlns:pic="http://schemas.openxmlformats.org/drawingml/2006/picture">
                        <pic:nvPicPr>
                          <pic:cNvPr id="84" name="ID_86198BFA20AC41F68CF335EF92D1CEB9"/>
                          <pic:cNvPicPr/>
                        </pic:nvPicPr>
                        <pic:blipFill>
                          <a:blip r:embed="rId134"/>
                          <a:stretch>
                            <a:fillRect/>
                          </a:stretch>
                        </pic:blipFill>
                        <pic:spPr>
                          <a:xfrm>
                            <a:off x="0" y="0"/>
                            <a:ext cx="1134745" cy="7600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4B6440C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63CA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0F0B608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418B2BE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图书室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F2FC1E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组合书柜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E7A1CF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1、饰面：采用优质环保三聚氰胺饰面板，甲醛释放量≤</w:t>
            </w:r>
            <w:r>
              <w:rPr>
                <w:rFonts w:hint="eastAsia" w:ascii="宋体" w:hAnsi="宋体" w:cs="宋体"/>
                <w:i w:val="0"/>
                <w:iCs w:val="0"/>
                <w:color w:val="auto"/>
                <w:kern w:val="0"/>
                <w:sz w:val="18"/>
                <w:szCs w:val="18"/>
                <w:u w:val="none"/>
                <w:lang w:val="en-US" w:eastAsia="zh-CN" w:bidi="ar"/>
              </w:rPr>
              <w:t>0.05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2、基材：采用优质多层板，甲醛释放量≤</w:t>
            </w:r>
            <w:r>
              <w:rPr>
                <w:rFonts w:hint="eastAsia" w:ascii="宋体" w:hAnsi="宋体" w:cs="宋体"/>
                <w:i w:val="0"/>
                <w:iCs w:val="0"/>
                <w:color w:val="auto"/>
                <w:kern w:val="0"/>
                <w:sz w:val="18"/>
                <w:szCs w:val="18"/>
                <w:u w:val="none"/>
                <w:lang w:val="en-US" w:eastAsia="zh-CN" w:bidi="ar"/>
              </w:rPr>
              <w:t>0.05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5、五金件：采用优质五金配件（铰链、拉手、三合一连接件），经防锈处理，达国家标准。</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921214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840×290×2100     （4个1组）</w:t>
            </w:r>
          </w:p>
        </w:tc>
        <w:tc>
          <w:tcPr>
            <w:tcW w:w="712" w:type="dxa"/>
            <w:tcBorders>
              <w:top w:val="single" w:color="000000" w:sz="4" w:space="0"/>
              <w:left w:val="single" w:color="000000" w:sz="4" w:space="0"/>
              <w:bottom w:val="single" w:color="000000" w:sz="4" w:space="0"/>
              <w:right w:val="nil"/>
            </w:tcBorders>
            <w:noWrap/>
            <w:vAlign w:val="center"/>
          </w:tcPr>
          <w:p w14:paraId="5F9C3A8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3E1B91A">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1738A5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33655</wp:posOffset>
                  </wp:positionH>
                  <wp:positionV relativeFrom="paragraph">
                    <wp:posOffset>126365</wp:posOffset>
                  </wp:positionV>
                  <wp:extent cx="1190625" cy="1328420"/>
                  <wp:effectExtent l="0" t="0" r="9525" b="5080"/>
                  <wp:wrapNone/>
                  <wp:docPr id="77" name="ID_C3D1B2F8BA8D443B90464031CB91B724"/>
                  <wp:cNvGraphicFramePr/>
                  <a:graphic xmlns:a="http://schemas.openxmlformats.org/drawingml/2006/main">
                    <a:graphicData uri="http://schemas.openxmlformats.org/drawingml/2006/picture">
                      <pic:pic xmlns:pic="http://schemas.openxmlformats.org/drawingml/2006/picture">
                        <pic:nvPicPr>
                          <pic:cNvPr id="77" name="ID_C3D1B2F8BA8D443B90464031CB91B724"/>
                          <pic:cNvPicPr/>
                        </pic:nvPicPr>
                        <pic:blipFill>
                          <a:blip r:embed="rId135"/>
                          <a:stretch>
                            <a:fillRect/>
                          </a:stretch>
                        </pic:blipFill>
                        <pic:spPr>
                          <a:xfrm>
                            <a:off x="0" y="0"/>
                            <a:ext cx="1190625" cy="132842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7784CF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E576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7C7A902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E111677">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FD94F4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240阅览桌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93CD09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1、桌面板：采用30mm厚优质橡胶木拼接（符合E1级要求），底架：采用橡胶木原木方料，用榫卯结构精制而成。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2、油漆：外露木质部分采用水性底漆和面漆，光泽丰满，附着力强，耐腐蚀性，耐水耐磨，引用先进油漆工艺“五底三面”，光泽均匀，不褪色，绿色环保。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3、采用优质金属框架，装有LED阅读灯,亮度均匀</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596D65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2400×1000×750</w:t>
            </w:r>
          </w:p>
        </w:tc>
        <w:tc>
          <w:tcPr>
            <w:tcW w:w="712" w:type="dxa"/>
            <w:tcBorders>
              <w:top w:val="single" w:color="000000" w:sz="4" w:space="0"/>
              <w:left w:val="single" w:color="000000" w:sz="4" w:space="0"/>
              <w:bottom w:val="single" w:color="000000" w:sz="4" w:space="0"/>
              <w:right w:val="nil"/>
            </w:tcBorders>
            <w:noWrap/>
            <w:vAlign w:val="center"/>
          </w:tcPr>
          <w:p w14:paraId="3C9EAFC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F976C68">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F2D5A9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58420</wp:posOffset>
                  </wp:positionH>
                  <wp:positionV relativeFrom="paragraph">
                    <wp:posOffset>189865</wp:posOffset>
                  </wp:positionV>
                  <wp:extent cx="1170940" cy="1163955"/>
                  <wp:effectExtent l="0" t="0" r="10160" b="17145"/>
                  <wp:wrapNone/>
                  <wp:docPr id="71" name="ID_3032B75AB4A3416A8C93A6506ED80B80"/>
                  <wp:cNvGraphicFramePr/>
                  <a:graphic xmlns:a="http://schemas.openxmlformats.org/drawingml/2006/main">
                    <a:graphicData uri="http://schemas.openxmlformats.org/drawingml/2006/picture">
                      <pic:pic xmlns:pic="http://schemas.openxmlformats.org/drawingml/2006/picture">
                        <pic:nvPicPr>
                          <pic:cNvPr id="71" name="ID_3032B75AB4A3416A8C93A6506ED80B80"/>
                          <pic:cNvPicPr/>
                        </pic:nvPicPr>
                        <pic:blipFill>
                          <a:blip r:embed="rId136"/>
                          <a:stretch>
                            <a:fillRect/>
                          </a:stretch>
                        </pic:blipFill>
                        <pic:spPr>
                          <a:xfrm>
                            <a:off x="0" y="0"/>
                            <a:ext cx="1170940" cy="11639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BB476E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6001E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1"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A98E63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4165CDA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C1608D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F61B3A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1、基材：采用优质橡胶木（符合E1级要求），面板采用15mm厚的杉木直条板。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2、油漆：采用水性底漆和面漆，光泽丰满，附着力强，耐腐蚀性，耐水耐磨，引用先进油漆工艺“五底三面”，光泽均匀，不褪色，绿色环保；                                        3、软包内采用环保高弹海绵，外包采用优质水洗布料。</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014C3E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450×450×780</w:t>
            </w:r>
          </w:p>
        </w:tc>
        <w:tc>
          <w:tcPr>
            <w:tcW w:w="712" w:type="dxa"/>
            <w:tcBorders>
              <w:top w:val="single" w:color="000000" w:sz="4" w:space="0"/>
              <w:left w:val="single" w:color="000000" w:sz="4" w:space="0"/>
              <w:bottom w:val="single" w:color="000000" w:sz="4" w:space="0"/>
              <w:right w:val="nil"/>
            </w:tcBorders>
            <w:noWrap/>
            <w:vAlign w:val="center"/>
          </w:tcPr>
          <w:p w14:paraId="1AB4B53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C1C57D2">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D26E5A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-24765</wp:posOffset>
                  </wp:positionH>
                  <wp:positionV relativeFrom="paragraph">
                    <wp:posOffset>168910</wp:posOffset>
                  </wp:positionV>
                  <wp:extent cx="1269365" cy="1189355"/>
                  <wp:effectExtent l="0" t="0" r="6985" b="10795"/>
                  <wp:wrapNone/>
                  <wp:docPr id="78" name="ID_F5E2652DEF5448DC80E555CDAAD7E5DF"/>
                  <wp:cNvGraphicFramePr/>
                  <a:graphic xmlns:a="http://schemas.openxmlformats.org/drawingml/2006/main">
                    <a:graphicData uri="http://schemas.openxmlformats.org/drawingml/2006/picture">
                      <pic:pic xmlns:pic="http://schemas.openxmlformats.org/drawingml/2006/picture">
                        <pic:nvPicPr>
                          <pic:cNvPr id="78" name="ID_F5E2652DEF5448DC80E555CDAAD7E5DF"/>
                          <pic:cNvPicPr/>
                        </pic:nvPicPr>
                        <pic:blipFill>
                          <a:blip r:embed="rId137"/>
                          <a:stretch>
                            <a:fillRect/>
                          </a:stretch>
                        </pic:blipFill>
                        <pic:spPr>
                          <a:xfrm>
                            <a:off x="0" y="0"/>
                            <a:ext cx="1269365" cy="11893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4289939B">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098F4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296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70B0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心理辅导室</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1486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61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61E5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1、基材：优质皮艺，整块海绵切割成型，整体填充高回弹一体成型海绵内垫，框架整体采用优质橡胶木（符合E1级要求）。软包内采用环保高弹海绵，外包采用优质水洗布料。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2、金属烤漆脚、高弹性海棉，防滑脚垫，抗高温、耐磨损。</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495E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1800×700×810</w:t>
            </w:r>
          </w:p>
        </w:tc>
        <w:tc>
          <w:tcPr>
            <w:tcW w:w="712" w:type="dxa"/>
            <w:tcBorders>
              <w:top w:val="single" w:color="000000" w:sz="4" w:space="0"/>
              <w:left w:val="single" w:color="000000" w:sz="4" w:space="0"/>
              <w:bottom w:val="single" w:color="000000" w:sz="4" w:space="0"/>
              <w:right w:val="nil"/>
            </w:tcBorders>
            <w:shd w:val="clear" w:color="auto" w:fill="auto"/>
            <w:noWrap/>
            <w:vAlign w:val="center"/>
          </w:tcPr>
          <w:p w14:paraId="7FE1231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102FA">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FE18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4192" behindDoc="0" locked="0" layoutInCell="1" allowOverlap="1">
                  <wp:simplePos x="0" y="0"/>
                  <wp:positionH relativeFrom="column">
                    <wp:posOffset>31115</wp:posOffset>
                  </wp:positionH>
                  <wp:positionV relativeFrom="paragraph">
                    <wp:posOffset>102235</wp:posOffset>
                  </wp:positionV>
                  <wp:extent cx="1243965" cy="1132205"/>
                  <wp:effectExtent l="0" t="0" r="13335" b="10795"/>
                  <wp:wrapNone/>
                  <wp:docPr id="68" name="ID_8E137C87BB274689A947388FFFC8E5F6"/>
                  <wp:cNvGraphicFramePr/>
                  <a:graphic xmlns:a="http://schemas.openxmlformats.org/drawingml/2006/main">
                    <a:graphicData uri="http://schemas.openxmlformats.org/drawingml/2006/picture">
                      <pic:pic xmlns:pic="http://schemas.openxmlformats.org/drawingml/2006/picture">
                        <pic:nvPicPr>
                          <pic:cNvPr id="68" name="ID_8E137C87BB274689A947388FFFC8E5F6"/>
                          <pic:cNvPicPr/>
                        </pic:nvPicPr>
                        <pic:blipFill>
                          <a:blip r:embed="rId138"/>
                          <a:stretch>
                            <a:fillRect/>
                          </a:stretch>
                        </pic:blipFill>
                        <pic:spPr>
                          <a:xfrm>
                            <a:off x="0" y="0"/>
                            <a:ext cx="1243965" cy="11322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32A5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pPr>
          </w:p>
        </w:tc>
      </w:tr>
      <w:tr w14:paraId="47F69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2591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B46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C828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双人沙发</w:t>
            </w:r>
          </w:p>
        </w:tc>
        <w:tc>
          <w:tcPr>
            <w:tcW w:w="61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9E3F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1、基材：优质皮艺，整块海绵切割成型，整体填充高回弹一体成型海绵内垫，框架整体采用优质橡胶木（符合E1级要求）。软包内采用环保高弹海绵，外包采用优质水洗布料。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2、金属烤漆脚、高弹性海棉，防滑脚垫，抗高温、耐磨损。</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A651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1400×700×810</w:t>
            </w:r>
          </w:p>
        </w:tc>
        <w:tc>
          <w:tcPr>
            <w:tcW w:w="712" w:type="dxa"/>
            <w:tcBorders>
              <w:top w:val="single" w:color="000000" w:sz="4" w:space="0"/>
              <w:left w:val="single" w:color="000000" w:sz="4" w:space="0"/>
              <w:bottom w:val="single" w:color="000000" w:sz="4" w:space="0"/>
              <w:right w:val="nil"/>
            </w:tcBorders>
            <w:shd w:val="clear" w:color="auto" w:fill="auto"/>
            <w:noWrap/>
            <w:vAlign w:val="center"/>
          </w:tcPr>
          <w:p w14:paraId="399374E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4A7BE">
            <w:pPr>
              <w:bidi w:val="0"/>
              <w:ind w:left="0" w:leftChars="0" w:firstLine="0" w:firstLineChars="0"/>
              <w:jc w:val="center"/>
              <w:rPr>
                <w:rFonts w:hint="eastAsia"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22DB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5216" behindDoc="0" locked="0" layoutInCell="1" allowOverlap="1">
                  <wp:simplePos x="0" y="0"/>
                  <wp:positionH relativeFrom="column">
                    <wp:posOffset>29845</wp:posOffset>
                  </wp:positionH>
                  <wp:positionV relativeFrom="paragraph">
                    <wp:posOffset>73025</wp:posOffset>
                  </wp:positionV>
                  <wp:extent cx="1261110" cy="1127125"/>
                  <wp:effectExtent l="0" t="0" r="15240" b="15875"/>
                  <wp:wrapNone/>
                  <wp:docPr id="69" name="ID_8E137C87BB274689A947388FFFC8E5F6_SpCnt_1"/>
                  <wp:cNvGraphicFramePr/>
                  <a:graphic xmlns:a="http://schemas.openxmlformats.org/drawingml/2006/main">
                    <a:graphicData uri="http://schemas.openxmlformats.org/drawingml/2006/picture">
                      <pic:pic xmlns:pic="http://schemas.openxmlformats.org/drawingml/2006/picture">
                        <pic:nvPicPr>
                          <pic:cNvPr id="69" name="ID_8E137C87BB274689A947388FFFC8E5F6_SpCnt_1"/>
                          <pic:cNvPicPr/>
                        </pic:nvPicPr>
                        <pic:blipFill>
                          <a:blip r:embed="rId139"/>
                          <a:stretch>
                            <a:fillRect/>
                          </a:stretch>
                        </pic:blipFill>
                        <pic:spPr>
                          <a:xfrm>
                            <a:off x="0" y="0"/>
                            <a:ext cx="1261110" cy="11271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F80C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pPr>
          </w:p>
        </w:tc>
      </w:tr>
      <w:tr w14:paraId="3F6DA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F5528">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9A19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20C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单人沙发</w:t>
            </w:r>
          </w:p>
        </w:tc>
        <w:tc>
          <w:tcPr>
            <w:tcW w:w="61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182C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1、基材：优质皮艺，整块海绵切割成型，整体填充高回弹一体成型海绵内垫，框架整体采用优质橡胶木（符合E1级要求）。软包内采用环保高弹海绵，外包采用优质水洗布料。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2、金属烤漆脚、高弹性海棉，防滑脚垫，抗高温、耐磨损。</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1CC7A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630×700×810</w:t>
            </w:r>
          </w:p>
        </w:tc>
        <w:tc>
          <w:tcPr>
            <w:tcW w:w="712" w:type="dxa"/>
            <w:tcBorders>
              <w:top w:val="single" w:color="000000" w:sz="4" w:space="0"/>
              <w:left w:val="single" w:color="000000" w:sz="4" w:space="0"/>
              <w:bottom w:val="single" w:color="000000" w:sz="4" w:space="0"/>
              <w:right w:val="nil"/>
            </w:tcBorders>
            <w:shd w:val="clear" w:color="auto" w:fill="auto"/>
            <w:noWrap/>
            <w:vAlign w:val="center"/>
          </w:tcPr>
          <w:p w14:paraId="305952C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36F89">
            <w:pPr>
              <w:bidi w:val="0"/>
              <w:ind w:left="0" w:leftChars="0" w:firstLine="0" w:firstLineChars="0"/>
              <w:jc w:val="center"/>
              <w:rPr>
                <w:rFonts w:hint="eastAsia"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387F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6240" behindDoc="0" locked="0" layoutInCell="1" allowOverlap="1">
                  <wp:simplePos x="0" y="0"/>
                  <wp:positionH relativeFrom="column">
                    <wp:posOffset>38735</wp:posOffset>
                  </wp:positionH>
                  <wp:positionV relativeFrom="paragraph">
                    <wp:posOffset>66675</wp:posOffset>
                  </wp:positionV>
                  <wp:extent cx="1253490" cy="1170940"/>
                  <wp:effectExtent l="0" t="0" r="3810" b="10160"/>
                  <wp:wrapNone/>
                  <wp:docPr id="86" name="ID_8E137C87BB274689A947388FFFC8E5F6_SpCnt_2"/>
                  <wp:cNvGraphicFramePr/>
                  <a:graphic xmlns:a="http://schemas.openxmlformats.org/drawingml/2006/main">
                    <a:graphicData uri="http://schemas.openxmlformats.org/drawingml/2006/picture">
                      <pic:pic xmlns:pic="http://schemas.openxmlformats.org/drawingml/2006/picture">
                        <pic:nvPicPr>
                          <pic:cNvPr id="86" name="ID_8E137C87BB274689A947388FFFC8E5F6_SpCnt_2"/>
                          <pic:cNvPicPr/>
                        </pic:nvPicPr>
                        <pic:blipFill>
                          <a:blip r:embed="rId140"/>
                          <a:stretch>
                            <a:fillRect/>
                          </a:stretch>
                        </pic:blipFill>
                        <pic:spPr>
                          <a:xfrm>
                            <a:off x="0" y="0"/>
                            <a:ext cx="1253490" cy="11709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E4980">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pPr>
          </w:p>
        </w:tc>
      </w:tr>
      <w:tr w14:paraId="0B5DA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92B3">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944B">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86E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圆凳</w:t>
            </w:r>
          </w:p>
        </w:tc>
        <w:tc>
          <w:tcPr>
            <w:tcW w:w="61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101E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1、基材：优质皮艺，整块海绵切割成型，整体填充高回弹一体成型海绵内垫，框架整体采用优质橡胶木（符合E1级要求）。软包内采用环保高弹海绵，外包采用优质水洗布料。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2、金属烤漆脚、高弹性海棉，防滑脚垫，抗高温、耐磨损。</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A091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490×400×420</w:t>
            </w:r>
          </w:p>
        </w:tc>
        <w:tc>
          <w:tcPr>
            <w:tcW w:w="712" w:type="dxa"/>
            <w:tcBorders>
              <w:top w:val="single" w:color="000000" w:sz="4" w:space="0"/>
              <w:left w:val="single" w:color="000000" w:sz="4" w:space="0"/>
              <w:bottom w:val="single" w:color="000000" w:sz="4" w:space="0"/>
              <w:right w:val="nil"/>
            </w:tcBorders>
            <w:shd w:val="clear" w:color="auto" w:fill="auto"/>
            <w:noWrap/>
            <w:vAlign w:val="center"/>
          </w:tcPr>
          <w:p w14:paraId="47ECC8A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564F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5F06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7264" behindDoc="0" locked="0" layoutInCell="1" allowOverlap="1">
                  <wp:simplePos x="0" y="0"/>
                  <wp:positionH relativeFrom="column">
                    <wp:posOffset>-9525</wp:posOffset>
                  </wp:positionH>
                  <wp:positionV relativeFrom="paragraph">
                    <wp:posOffset>130810</wp:posOffset>
                  </wp:positionV>
                  <wp:extent cx="1271270" cy="1208405"/>
                  <wp:effectExtent l="0" t="0" r="5080" b="10795"/>
                  <wp:wrapNone/>
                  <wp:docPr id="89" name="ID_8E137C87BB274689A947388FFFC8E5F6_SpCnt_3"/>
                  <wp:cNvGraphicFramePr/>
                  <a:graphic xmlns:a="http://schemas.openxmlformats.org/drawingml/2006/main">
                    <a:graphicData uri="http://schemas.openxmlformats.org/drawingml/2006/picture">
                      <pic:pic xmlns:pic="http://schemas.openxmlformats.org/drawingml/2006/picture">
                        <pic:nvPicPr>
                          <pic:cNvPr id="89" name="ID_8E137C87BB274689A947388FFFC8E5F6_SpCnt_3"/>
                          <pic:cNvPicPr/>
                        </pic:nvPicPr>
                        <pic:blipFill>
                          <a:blip r:embed="rId141"/>
                          <a:stretch>
                            <a:fillRect/>
                          </a:stretch>
                        </pic:blipFill>
                        <pic:spPr>
                          <a:xfrm>
                            <a:off x="0" y="0"/>
                            <a:ext cx="1271270" cy="12084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A08B9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pPr>
          </w:p>
        </w:tc>
      </w:tr>
      <w:tr w14:paraId="72A83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710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81B15">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B68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大茶几</w:t>
            </w:r>
          </w:p>
        </w:tc>
        <w:tc>
          <w:tcPr>
            <w:tcW w:w="61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8B99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1、基材：优质铝合金框架。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2、整体使用材质：岩板、实木、铁艺</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B0FF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φ800×450</w:t>
            </w:r>
          </w:p>
        </w:tc>
        <w:tc>
          <w:tcPr>
            <w:tcW w:w="712" w:type="dxa"/>
            <w:tcBorders>
              <w:top w:val="single" w:color="000000" w:sz="4" w:space="0"/>
              <w:left w:val="single" w:color="000000" w:sz="4" w:space="0"/>
              <w:bottom w:val="single" w:color="000000" w:sz="4" w:space="0"/>
              <w:right w:val="nil"/>
            </w:tcBorders>
            <w:shd w:val="clear" w:color="auto" w:fill="auto"/>
            <w:noWrap/>
            <w:vAlign w:val="center"/>
          </w:tcPr>
          <w:p w14:paraId="3513045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0072A">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8419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8288" behindDoc="0" locked="0" layoutInCell="1" allowOverlap="1">
                  <wp:simplePos x="0" y="0"/>
                  <wp:positionH relativeFrom="column">
                    <wp:posOffset>38100</wp:posOffset>
                  </wp:positionH>
                  <wp:positionV relativeFrom="paragraph">
                    <wp:posOffset>47625</wp:posOffset>
                  </wp:positionV>
                  <wp:extent cx="1234440" cy="1104265"/>
                  <wp:effectExtent l="0" t="0" r="3810" b="635"/>
                  <wp:wrapNone/>
                  <wp:docPr id="72" name="ID_8E137C87BB274689A947388FFFC8E5F6_SpCnt_4"/>
                  <wp:cNvGraphicFramePr/>
                  <a:graphic xmlns:a="http://schemas.openxmlformats.org/drawingml/2006/main">
                    <a:graphicData uri="http://schemas.openxmlformats.org/drawingml/2006/picture">
                      <pic:pic xmlns:pic="http://schemas.openxmlformats.org/drawingml/2006/picture">
                        <pic:nvPicPr>
                          <pic:cNvPr id="72" name="ID_8E137C87BB274689A947388FFFC8E5F6_SpCnt_4"/>
                          <pic:cNvPicPr/>
                        </pic:nvPicPr>
                        <pic:blipFill>
                          <a:blip r:embed="rId142"/>
                          <a:stretch>
                            <a:fillRect/>
                          </a:stretch>
                        </pic:blipFill>
                        <pic:spPr>
                          <a:xfrm>
                            <a:off x="0" y="0"/>
                            <a:ext cx="1234440" cy="11042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F918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pPr>
          </w:p>
        </w:tc>
      </w:tr>
      <w:tr w14:paraId="55A83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B404">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7650">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8E4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小茶几</w:t>
            </w:r>
          </w:p>
        </w:tc>
        <w:tc>
          <w:tcPr>
            <w:tcW w:w="61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F28D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1、基材：优质铝合金框架。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2、整体使用材质：岩板、实木、铁艺</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1D9D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φ600×450</w:t>
            </w:r>
          </w:p>
        </w:tc>
        <w:tc>
          <w:tcPr>
            <w:tcW w:w="712" w:type="dxa"/>
            <w:tcBorders>
              <w:top w:val="single" w:color="000000" w:sz="4" w:space="0"/>
              <w:left w:val="single" w:color="000000" w:sz="4" w:space="0"/>
              <w:bottom w:val="single" w:color="000000" w:sz="4" w:space="0"/>
              <w:right w:val="nil"/>
            </w:tcBorders>
            <w:shd w:val="clear" w:color="auto" w:fill="auto"/>
            <w:noWrap/>
            <w:vAlign w:val="center"/>
          </w:tcPr>
          <w:p w14:paraId="4E535D2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50387">
            <w:pPr>
              <w:bidi w:val="0"/>
              <w:ind w:left="0" w:leftChars="0" w:firstLine="0" w:firstLineChars="0"/>
              <w:jc w:val="center"/>
              <w:rPr>
                <w:rFonts w:hint="eastAsia"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6B83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9312" behindDoc="0" locked="0" layoutInCell="1" allowOverlap="1">
                  <wp:simplePos x="0" y="0"/>
                  <wp:positionH relativeFrom="column">
                    <wp:posOffset>29210</wp:posOffset>
                  </wp:positionH>
                  <wp:positionV relativeFrom="paragraph">
                    <wp:posOffset>66675</wp:posOffset>
                  </wp:positionV>
                  <wp:extent cx="1196340" cy="1112520"/>
                  <wp:effectExtent l="0" t="0" r="3810" b="11430"/>
                  <wp:wrapNone/>
                  <wp:docPr id="76" name="ID_8E137C87BB274689A947388FFFC8E5F6_SpCnt_5"/>
                  <wp:cNvGraphicFramePr/>
                  <a:graphic xmlns:a="http://schemas.openxmlformats.org/drawingml/2006/main">
                    <a:graphicData uri="http://schemas.openxmlformats.org/drawingml/2006/picture">
                      <pic:pic xmlns:pic="http://schemas.openxmlformats.org/drawingml/2006/picture">
                        <pic:nvPicPr>
                          <pic:cNvPr id="76" name="ID_8E137C87BB274689A947388FFFC8E5F6_SpCnt_5"/>
                          <pic:cNvPicPr/>
                        </pic:nvPicPr>
                        <pic:blipFill>
                          <a:blip r:embed="rId143"/>
                          <a:stretch>
                            <a:fillRect/>
                          </a:stretch>
                        </pic:blipFill>
                        <pic:spPr>
                          <a:xfrm>
                            <a:off x="0" y="0"/>
                            <a:ext cx="1196340" cy="111252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9D1F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pPr>
          </w:p>
        </w:tc>
      </w:tr>
      <w:tr w14:paraId="0D32D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64A8815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14272" w:type="dxa"/>
            <w:gridSpan w:val="7"/>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2170C32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shd w:val="clear" w:color="auto" w:fill="auto"/>
              </w:rPr>
            </w:pPr>
            <w:r>
              <w:rPr>
                <w:rFonts w:hint="eastAsia" w:ascii="宋体" w:hAnsi="宋体" w:eastAsia="宋体" w:cs="宋体"/>
                <w:b/>
                <w:bCs/>
                <w:i w:val="0"/>
                <w:iCs w:val="0"/>
                <w:color w:val="000000"/>
                <w:kern w:val="0"/>
                <w:sz w:val="24"/>
                <w:szCs w:val="24"/>
                <w:u w:val="none"/>
                <w:shd w:val="clear" w:color="auto" w:fill="auto"/>
                <w:lang w:val="en-US" w:eastAsia="zh-CN" w:bidi="ar"/>
              </w:rPr>
              <w:t>四层</w:t>
            </w:r>
          </w:p>
        </w:tc>
        <w:tc>
          <w:tcPr>
            <w:tcW w:w="818" w:type="dxa"/>
            <w:tcBorders>
              <w:top w:val="single" w:color="000000" w:sz="4" w:space="0"/>
              <w:left w:val="single" w:color="000000" w:sz="4" w:space="0"/>
              <w:bottom w:val="single" w:color="000000" w:sz="4" w:space="0"/>
              <w:right w:val="single" w:color="000000" w:sz="4" w:space="0"/>
            </w:tcBorders>
            <w:shd w:val="clear" w:color="auto" w:fill="CFCECE"/>
            <w:noWrap/>
            <w:vAlign w:val="center"/>
          </w:tcPr>
          <w:p w14:paraId="0C05251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b/>
                <w:bCs/>
                <w:i w:val="0"/>
                <w:iCs w:val="0"/>
                <w:color w:val="000000"/>
                <w:kern w:val="0"/>
                <w:sz w:val="24"/>
                <w:szCs w:val="24"/>
                <w:u w:val="none"/>
                <w:shd w:val="clear" w:color="auto" w:fill="auto"/>
                <w:lang w:val="en-US" w:eastAsia="zh-CN" w:bidi="ar"/>
              </w:rPr>
            </w:pPr>
          </w:p>
        </w:tc>
      </w:tr>
      <w:tr w14:paraId="23496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1" w:hRule="atLeast"/>
          <w:jc w:val="center"/>
        </w:trPr>
        <w:tc>
          <w:tcPr>
            <w:tcW w:w="903" w:type="dxa"/>
            <w:tcBorders>
              <w:top w:val="single" w:color="000000" w:sz="4" w:space="0"/>
              <w:left w:val="single" w:color="000000" w:sz="4" w:space="0"/>
              <w:bottom w:val="single" w:color="000000" w:sz="4" w:space="0"/>
              <w:right w:val="single" w:color="000000" w:sz="4" w:space="0"/>
            </w:tcBorders>
            <w:noWrap/>
            <w:vAlign w:val="center"/>
          </w:tcPr>
          <w:p w14:paraId="4375F6D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700E497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公用物资库</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12B835F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1CD9BC4">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金属材质（钢），采用立柱和横梁连接的结构，结构简单，拆装方便。外形美观大方，适用于人工存取货物情况，承载能力为290KG/层，可以满足大部分使用要求。</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549BE9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2000×600×2000</w:t>
            </w:r>
          </w:p>
        </w:tc>
        <w:tc>
          <w:tcPr>
            <w:tcW w:w="712" w:type="dxa"/>
            <w:tcBorders>
              <w:top w:val="single" w:color="000000" w:sz="4" w:space="0"/>
              <w:left w:val="single" w:color="000000" w:sz="4" w:space="0"/>
              <w:bottom w:val="single" w:color="000000" w:sz="4" w:space="0"/>
              <w:right w:val="nil"/>
            </w:tcBorders>
            <w:noWrap/>
            <w:vAlign w:val="center"/>
          </w:tcPr>
          <w:p w14:paraId="5B5E2F3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65841D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B9A9BA3">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31115</wp:posOffset>
                  </wp:positionH>
                  <wp:positionV relativeFrom="paragraph">
                    <wp:posOffset>79375</wp:posOffset>
                  </wp:positionV>
                  <wp:extent cx="1230630" cy="1106805"/>
                  <wp:effectExtent l="0" t="0" r="7620" b="17145"/>
                  <wp:wrapNone/>
                  <wp:docPr id="85" name="ID_80B323F0FFE644438713677AA3CE55B2"/>
                  <wp:cNvGraphicFramePr/>
                  <a:graphic xmlns:a="http://schemas.openxmlformats.org/drawingml/2006/main">
                    <a:graphicData uri="http://schemas.openxmlformats.org/drawingml/2006/picture">
                      <pic:pic xmlns:pic="http://schemas.openxmlformats.org/drawingml/2006/picture">
                        <pic:nvPicPr>
                          <pic:cNvPr id="85" name="ID_80B323F0FFE644438713677AA3CE55B2"/>
                          <pic:cNvPicPr/>
                        </pic:nvPicPr>
                        <pic:blipFill>
                          <a:blip r:embed="rId144"/>
                          <a:stretch>
                            <a:fillRect/>
                          </a:stretch>
                        </pic:blipFill>
                        <pic:spPr>
                          <a:xfrm>
                            <a:off x="0" y="0"/>
                            <a:ext cx="1230630" cy="11068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57C5A64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130B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0" w:hRule="atLeast"/>
          <w:jc w:val="center"/>
        </w:trPr>
        <w:tc>
          <w:tcPr>
            <w:tcW w:w="903" w:type="dxa"/>
            <w:tcBorders>
              <w:top w:val="single" w:color="000000" w:sz="4" w:space="0"/>
              <w:left w:val="single" w:color="000000" w:sz="4" w:space="0"/>
              <w:bottom w:val="single" w:color="000000" w:sz="4" w:space="0"/>
              <w:right w:val="single" w:color="000000" w:sz="4" w:space="0"/>
            </w:tcBorders>
            <w:noWrap/>
            <w:vAlign w:val="center"/>
          </w:tcPr>
          <w:p w14:paraId="42A1505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0A0319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备装营具库</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5369302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4A69FFA7">
            <w:pPr>
              <w:keepNext w:val="0"/>
              <w:keepLines w:val="0"/>
              <w:pageBreakBefore w:val="0"/>
              <w:widowControl/>
              <w:numPr>
                <w:ilvl w:val="0"/>
                <w:numId w:val="36"/>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饰面：甲醛</w:t>
            </w:r>
            <w:r>
              <w:rPr>
                <w:rFonts w:hint="eastAsia" w:ascii="宋体" w:hAnsi="宋体" w:eastAsia="宋体" w:cs="宋体"/>
                <w:i w:val="0"/>
                <w:iCs w:val="0"/>
                <w:color w:val="auto"/>
                <w:kern w:val="0"/>
                <w:sz w:val="18"/>
                <w:szCs w:val="18"/>
                <w:u w:val="none"/>
                <w:lang w:val="en-US" w:eastAsia="zh-CN" w:bidi="ar"/>
              </w:rPr>
              <w:t>释放量≤</w:t>
            </w:r>
            <w:r>
              <w:rPr>
                <w:rFonts w:hint="eastAsia" w:ascii="宋体" w:hAnsi="宋体" w:cs="宋体"/>
                <w:i w:val="0"/>
                <w:iCs w:val="0"/>
                <w:color w:val="auto"/>
                <w:kern w:val="0"/>
                <w:sz w:val="18"/>
                <w:szCs w:val="18"/>
                <w:u w:val="none"/>
                <w:lang w:val="en-US" w:eastAsia="zh-CN" w:bidi="ar"/>
              </w:rPr>
              <w:t>0.05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2、基材：采用杉木免漆板</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甲醛释放量≤</w:t>
            </w:r>
            <w:r>
              <w:rPr>
                <w:rFonts w:hint="eastAsia" w:ascii="宋体" w:hAnsi="宋体" w:cs="宋体"/>
                <w:i w:val="0"/>
                <w:iCs w:val="0"/>
                <w:color w:val="auto"/>
                <w:kern w:val="0"/>
                <w:sz w:val="18"/>
                <w:szCs w:val="18"/>
                <w:u w:val="none"/>
                <w:lang w:val="en-US" w:eastAsia="zh-CN" w:bidi="ar"/>
              </w:rPr>
              <w:t>0.05</w:t>
            </w:r>
            <w:r>
              <w:rPr>
                <w:rFonts w:hint="eastAsia" w:ascii="宋体" w:hAnsi="宋体" w:eastAsia="宋体" w:cs="宋体"/>
                <w:i w:val="0"/>
                <w:iCs w:val="0"/>
                <w:color w:val="auto"/>
                <w:kern w:val="0"/>
                <w:sz w:val="18"/>
                <w:szCs w:val="18"/>
                <w:u w:val="none"/>
                <w:lang w:val="en-US" w:eastAsia="zh-CN" w:bidi="ar"/>
              </w:rPr>
              <w:t>mg/m³</w:t>
            </w:r>
            <w:r>
              <w:rPr>
                <w:rFonts w:hint="eastAsia" w:ascii="宋体" w:hAnsi="宋体" w:cs="宋体"/>
                <w:i w:val="0"/>
                <w:iCs w:val="0"/>
                <w:color w:val="auto"/>
                <w:kern w:val="0"/>
                <w:sz w:val="18"/>
                <w:szCs w:val="18"/>
                <w:u w:val="none"/>
                <w:lang w:val="en-US" w:eastAsia="zh-CN" w:bidi="ar"/>
              </w:rPr>
              <w:t>，符合E0级标准</w:t>
            </w:r>
            <w:r>
              <w:rPr>
                <w:rFonts w:hint="eastAsia" w:ascii="宋体" w:hAnsi="宋体" w:eastAsia="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3、封边：采用优质环保封边条，甲醛释放量≤</w:t>
            </w:r>
            <w:r>
              <w:rPr>
                <w:rFonts w:hint="eastAsia" w:ascii="宋体" w:hAnsi="宋体" w:cs="宋体"/>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mg/L；</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4、白乳胶：采用优质环保白乳胶，总挥发性有机物≤60g/L，未检出苯含量，游离甲醛≤1g/kg；</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5、五金件：采用优质五金配件（铰链、拉手、三</w:t>
            </w:r>
            <w:r>
              <w:rPr>
                <w:rFonts w:hint="eastAsia" w:ascii="宋体" w:hAnsi="宋体" w:eastAsia="宋体" w:cs="宋体"/>
                <w:i w:val="0"/>
                <w:iCs w:val="0"/>
                <w:color w:val="000000"/>
                <w:kern w:val="0"/>
                <w:sz w:val="18"/>
                <w:szCs w:val="18"/>
                <w:u w:val="none"/>
                <w:lang w:val="en-US" w:eastAsia="zh-CN" w:bidi="ar"/>
              </w:rPr>
              <w:t>合一连接件），经防锈处理，达国家标准。</w:t>
            </w:r>
          </w:p>
          <w:p w14:paraId="28616C49">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6、为满足消防规范化需求，该家具需要严格参照消防站现有款式、尺寸制作。</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01ADAA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800×420×2000</w:t>
            </w:r>
          </w:p>
        </w:tc>
        <w:tc>
          <w:tcPr>
            <w:tcW w:w="712" w:type="dxa"/>
            <w:tcBorders>
              <w:top w:val="single" w:color="000000" w:sz="4" w:space="0"/>
              <w:left w:val="single" w:color="000000" w:sz="4" w:space="0"/>
              <w:bottom w:val="single" w:color="000000" w:sz="4" w:space="0"/>
              <w:right w:val="nil"/>
            </w:tcBorders>
            <w:noWrap/>
            <w:vAlign w:val="center"/>
          </w:tcPr>
          <w:p w14:paraId="6FCF6EDA">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AF3C5D9">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93197D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-6350</wp:posOffset>
                  </wp:positionH>
                  <wp:positionV relativeFrom="paragraph">
                    <wp:posOffset>208915</wp:posOffset>
                  </wp:positionV>
                  <wp:extent cx="1238885" cy="1588135"/>
                  <wp:effectExtent l="0" t="0" r="18415" b="12065"/>
                  <wp:wrapNone/>
                  <wp:docPr id="90" name="图片_33"/>
                  <wp:cNvGraphicFramePr/>
                  <a:graphic xmlns:a="http://schemas.openxmlformats.org/drawingml/2006/main">
                    <a:graphicData uri="http://schemas.openxmlformats.org/drawingml/2006/picture">
                      <pic:pic xmlns:pic="http://schemas.openxmlformats.org/drawingml/2006/picture">
                        <pic:nvPicPr>
                          <pic:cNvPr id="90" name="图片_33"/>
                          <pic:cNvPicPr/>
                        </pic:nvPicPr>
                        <pic:blipFill>
                          <a:blip r:embed="rId145"/>
                          <a:stretch>
                            <a:fillRect/>
                          </a:stretch>
                        </pic:blipFill>
                        <pic:spPr>
                          <a:xfrm>
                            <a:off x="0" y="0"/>
                            <a:ext cx="1238885" cy="15881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07D28D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r>
              <w:rPr>
                <w:rFonts w:hint="eastAsia"/>
                <w:lang w:val="en-US" w:eastAsia="zh-CN"/>
              </w:rPr>
              <w:t>定制</w:t>
            </w:r>
          </w:p>
        </w:tc>
      </w:tr>
      <w:tr w14:paraId="05BE1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5"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67E84FB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339F48C4">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接待室</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3A7D76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接待沙发</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1633E165">
            <w:pPr>
              <w:keepNext w:val="0"/>
              <w:keepLines w:val="0"/>
              <w:pageBreakBefore w:val="0"/>
              <w:widowControl/>
              <w:numPr>
                <w:ilvl w:val="0"/>
                <w:numId w:val="37"/>
              </w:numPr>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面料:选用优质西皮面料,皮面光泽度好,透气性强,柔软而富有韧性；</w:t>
            </w:r>
          </w:p>
          <w:p w14:paraId="4CF66137">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atLeast"/>
              <w:ind w:left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2、海绵：采用优质优质高密度海绵≥45密度，压缩永久变性率小于1.3%(国际标准小于10%)。表面带有保护面，防氧化软硬适中，强力盘型弹簧，回弹好不变形；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3、框架：实木框架，性能符合国际标准；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4、油漆：采用PU底漆，光泽丰满，附着力强，PE面漆，耐腐蚀性，耐水耐磨，引用先进油漆工艺“五底三面”，光泽均匀，硬度高达3H，抗刮性强，不褪色，绿色环保。</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D6876D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Style w:val="127"/>
                <w:rFonts w:hint="eastAsia" w:ascii="宋体" w:hAnsi="宋体" w:eastAsia="宋体" w:cs="宋体"/>
                <w:sz w:val="18"/>
                <w:szCs w:val="18"/>
                <w:lang w:val="en-US" w:eastAsia="zh-CN" w:bidi="ar"/>
              </w:rPr>
              <w:t>1050×850×880</w:t>
            </w:r>
          </w:p>
        </w:tc>
        <w:tc>
          <w:tcPr>
            <w:tcW w:w="712" w:type="dxa"/>
            <w:tcBorders>
              <w:top w:val="single" w:color="000000" w:sz="4" w:space="0"/>
              <w:left w:val="single" w:color="000000" w:sz="4" w:space="0"/>
              <w:bottom w:val="single" w:color="000000" w:sz="4" w:space="0"/>
              <w:right w:val="nil"/>
            </w:tcBorders>
            <w:noWrap/>
            <w:vAlign w:val="center"/>
          </w:tcPr>
          <w:p w14:paraId="42F9AFA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1F39420F">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CF20532">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59690</wp:posOffset>
                  </wp:positionH>
                  <wp:positionV relativeFrom="paragraph">
                    <wp:posOffset>161290</wp:posOffset>
                  </wp:positionV>
                  <wp:extent cx="1205230" cy="1466850"/>
                  <wp:effectExtent l="0" t="0" r="13970" b="0"/>
                  <wp:wrapNone/>
                  <wp:docPr id="88" name="ID_321648B6F46F489B8FF6331E55979553"/>
                  <wp:cNvGraphicFramePr/>
                  <a:graphic xmlns:a="http://schemas.openxmlformats.org/drawingml/2006/main">
                    <a:graphicData uri="http://schemas.openxmlformats.org/drawingml/2006/picture">
                      <pic:pic xmlns:pic="http://schemas.openxmlformats.org/drawingml/2006/picture">
                        <pic:nvPicPr>
                          <pic:cNvPr id="88" name="ID_321648B6F46F489B8FF6331E55979553"/>
                          <pic:cNvPicPr/>
                        </pic:nvPicPr>
                        <pic:blipFill>
                          <a:blip r:embed="rId146"/>
                          <a:stretch>
                            <a:fillRect/>
                          </a:stretch>
                        </pic:blipFill>
                        <pic:spPr>
                          <a:xfrm>
                            <a:off x="0" y="0"/>
                            <a:ext cx="1205230" cy="14668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4AA9280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17B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3E8ACD9">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9C6CE6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EB4BAC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6DEC61E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AF15263">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400×600×500</w:t>
            </w:r>
          </w:p>
        </w:tc>
        <w:tc>
          <w:tcPr>
            <w:tcW w:w="712" w:type="dxa"/>
            <w:tcBorders>
              <w:top w:val="single" w:color="000000" w:sz="4" w:space="0"/>
              <w:left w:val="single" w:color="000000" w:sz="4" w:space="0"/>
              <w:bottom w:val="single" w:color="000000" w:sz="4" w:space="0"/>
              <w:right w:val="nil"/>
            </w:tcBorders>
            <w:noWrap/>
            <w:vAlign w:val="center"/>
          </w:tcPr>
          <w:p w14:paraId="221E83A0">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F362B8F">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5149A5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12700</wp:posOffset>
                  </wp:positionH>
                  <wp:positionV relativeFrom="paragraph">
                    <wp:posOffset>146685</wp:posOffset>
                  </wp:positionV>
                  <wp:extent cx="1280795" cy="1183640"/>
                  <wp:effectExtent l="0" t="0" r="14605" b="16510"/>
                  <wp:wrapNone/>
                  <wp:docPr id="74" name="ID_F3A3442A63ED4D57A2473EBFC2D51390"/>
                  <wp:cNvGraphicFramePr/>
                  <a:graphic xmlns:a="http://schemas.openxmlformats.org/drawingml/2006/main">
                    <a:graphicData uri="http://schemas.openxmlformats.org/drawingml/2006/picture">
                      <pic:pic xmlns:pic="http://schemas.openxmlformats.org/drawingml/2006/picture">
                        <pic:nvPicPr>
                          <pic:cNvPr id="74" name="ID_F3A3442A63ED4D57A2473EBFC2D51390"/>
                          <pic:cNvPicPr/>
                        </pic:nvPicPr>
                        <pic:blipFill>
                          <a:blip r:embed="rId147"/>
                          <a:stretch>
                            <a:fillRect/>
                          </a:stretch>
                        </pic:blipFill>
                        <pic:spPr>
                          <a:xfrm>
                            <a:off x="0" y="0"/>
                            <a:ext cx="1280795" cy="11836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63654BF">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1DFDD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6"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64944DA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2D36E57A">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EEBFD6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9CF934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1、基材：采用优质高密度板（符合E1级要求）。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2、饰面与封边：天然胡桃木木皮，木皮厚度≥0.6mm以上，面板木纹纹理自然颜色线条拼合细密；实木皮封边，颜色均匀平整；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3、油漆：采用水性底漆和面漆，光泽丰满，附着力强，耐腐蚀性，耐水耐磨，引用先进油漆工艺“五底三面”，光泽均匀，不褪色，绿色环保；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4、采用优质五金配件。</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F2AED7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712" w:type="dxa"/>
            <w:tcBorders>
              <w:top w:val="single" w:color="000000" w:sz="4" w:space="0"/>
              <w:left w:val="single" w:color="000000" w:sz="4" w:space="0"/>
              <w:bottom w:val="single" w:color="000000" w:sz="4" w:space="0"/>
              <w:right w:val="nil"/>
            </w:tcBorders>
            <w:noWrap/>
            <w:vAlign w:val="center"/>
          </w:tcPr>
          <w:p w14:paraId="46CEF3BD">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6553FAC">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8E1FE7D">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30480</wp:posOffset>
                  </wp:positionH>
                  <wp:positionV relativeFrom="paragraph">
                    <wp:posOffset>196850</wp:posOffset>
                  </wp:positionV>
                  <wp:extent cx="1206500" cy="1100455"/>
                  <wp:effectExtent l="0" t="0" r="12700" b="4445"/>
                  <wp:wrapNone/>
                  <wp:docPr id="80" name="图片_24"/>
                  <wp:cNvGraphicFramePr/>
                  <a:graphic xmlns:a="http://schemas.openxmlformats.org/drawingml/2006/main">
                    <a:graphicData uri="http://schemas.openxmlformats.org/drawingml/2006/picture">
                      <pic:pic xmlns:pic="http://schemas.openxmlformats.org/drawingml/2006/picture">
                        <pic:nvPicPr>
                          <pic:cNvPr id="80" name="图片_24"/>
                          <pic:cNvPicPr/>
                        </pic:nvPicPr>
                        <pic:blipFill>
                          <a:blip r:embed="rId125"/>
                          <a:stretch>
                            <a:fillRect/>
                          </a:stretch>
                        </pic:blipFill>
                        <pic:spPr>
                          <a:xfrm>
                            <a:off x="0" y="0"/>
                            <a:ext cx="1206500" cy="11004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24497B5">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296ED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5" w:hRule="atLeast"/>
          <w:jc w:val="center"/>
        </w:trPr>
        <w:tc>
          <w:tcPr>
            <w:tcW w:w="903" w:type="dxa"/>
            <w:tcBorders>
              <w:top w:val="single" w:color="000000" w:sz="4" w:space="0"/>
              <w:left w:val="single" w:color="000000" w:sz="4" w:space="0"/>
              <w:bottom w:val="single" w:color="000000" w:sz="4" w:space="0"/>
              <w:right w:val="single" w:color="000000" w:sz="4" w:space="0"/>
            </w:tcBorders>
            <w:noWrap/>
            <w:vAlign w:val="center"/>
          </w:tcPr>
          <w:p w14:paraId="441E4A3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230" w:type="dxa"/>
            <w:tcBorders>
              <w:top w:val="single" w:color="000000" w:sz="4" w:space="0"/>
              <w:left w:val="single" w:color="000000" w:sz="4" w:space="0"/>
              <w:bottom w:val="single" w:color="000000" w:sz="4" w:space="0"/>
              <w:right w:val="single" w:color="000000" w:sz="4" w:space="0"/>
            </w:tcBorders>
            <w:noWrap/>
            <w:vAlign w:val="center"/>
          </w:tcPr>
          <w:p w14:paraId="22BBD51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洗衣房</w:t>
            </w: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047E9B75">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3944BAF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加厚加粗航空铝合金，承重150KG，表面多层氧化处理，光滑细腻，防水防锈。采用4根晾衣伸缩杆，0-50cm可伸缩范围，上有48个晾衣防风孔，4根中层横杆，八脚防风支撑设计。折叠设计，加固转轴，加固支撑件，折叠高度1550mm。</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228421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1500×740×1550</w:t>
            </w:r>
          </w:p>
        </w:tc>
        <w:tc>
          <w:tcPr>
            <w:tcW w:w="712" w:type="dxa"/>
            <w:tcBorders>
              <w:top w:val="single" w:color="000000" w:sz="4" w:space="0"/>
              <w:left w:val="single" w:color="000000" w:sz="4" w:space="0"/>
              <w:bottom w:val="single" w:color="000000" w:sz="4" w:space="0"/>
              <w:right w:val="nil"/>
            </w:tcBorders>
            <w:noWrap/>
            <w:vAlign w:val="center"/>
          </w:tcPr>
          <w:p w14:paraId="42A2814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49337374">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个</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48343E1">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19685</wp:posOffset>
                  </wp:positionH>
                  <wp:positionV relativeFrom="paragraph">
                    <wp:posOffset>62230</wp:posOffset>
                  </wp:positionV>
                  <wp:extent cx="1256030" cy="1294130"/>
                  <wp:effectExtent l="0" t="0" r="1270" b="1270"/>
                  <wp:wrapNone/>
                  <wp:docPr id="73" name="ID_2685A50313CF4CEA8F25E0F4DCDF4DC0"/>
                  <wp:cNvGraphicFramePr/>
                  <a:graphic xmlns:a="http://schemas.openxmlformats.org/drawingml/2006/main">
                    <a:graphicData uri="http://schemas.openxmlformats.org/drawingml/2006/picture">
                      <pic:pic xmlns:pic="http://schemas.openxmlformats.org/drawingml/2006/picture">
                        <pic:nvPicPr>
                          <pic:cNvPr id="73" name="ID_2685A50313CF4CEA8F25E0F4DCDF4DC0"/>
                          <pic:cNvPicPr/>
                        </pic:nvPicPr>
                        <pic:blipFill>
                          <a:blip r:embed="rId148"/>
                          <a:stretch>
                            <a:fillRect/>
                          </a:stretch>
                        </pic:blipFill>
                        <pic:spPr>
                          <a:xfrm>
                            <a:off x="0" y="0"/>
                            <a:ext cx="1256030" cy="12941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26356AB7">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3657C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903" w:type="dxa"/>
            <w:vMerge w:val="restart"/>
            <w:tcBorders>
              <w:top w:val="single" w:color="000000" w:sz="4" w:space="0"/>
              <w:left w:val="single" w:color="000000" w:sz="4" w:space="0"/>
              <w:bottom w:val="single" w:color="000000" w:sz="4" w:space="0"/>
              <w:right w:val="single" w:color="000000" w:sz="4" w:space="0"/>
            </w:tcBorders>
            <w:noWrap/>
            <w:vAlign w:val="center"/>
          </w:tcPr>
          <w:p w14:paraId="6AF80EC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14:paraId="276B096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户外休闲</w:t>
            </w: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299B5E1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室内休闲圆桌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A1375F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桌子：全碳钢材质，碳钢含碳量在0.0218%</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2.11%的铁碳合金。</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C28520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φ700×720</w:t>
            </w:r>
          </w:p>
        </w:tc>
        <w:tc>
          <w:tcPr>
            <w:tcW w:w="712" w:type="dxa"/>
            <w:tcBorders>
              <w:top w:val="single" w:color="000000" w:sz="4" w:space="0"/>
              <w:left w:val="single" w:color="000000" w:sz="4" w:space="0"/>
              <w:bottom w:val="single" w:color="000000" w:sz="4" w:space="0"/>
              <w:right w:val="nil"/>
            </w:tcBorders>
            <w:noWrap/>
            <w:vAlign w:val="center"/>
          </w:tcPr>
          <w:p w14:paraId="45895C8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9A083A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BD887E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17780</wp:posOffset>
                  </wp:positionH>
                  <wp:positionV relativeFrom="paragraph">
                    <wp:posOffset>104775</wp:posOffset>
                  </wp:positionV>
                  <wp:extent cx="1270635" cy="1247140"/>
                  <wp:effectExtent l="0" t="0" r="5715" b="10160"/>
                  <wp:wrapNone/>
                  <wp:docPr id="79" name="ID_C30C035144FC4BBC84A48A5B18075E35"/>
                  <wp:cNvGraphicFramePr/>
                  <a:graphic xmlns:a="http://schemas.openxmlformats.org/drawingml/2006/main">
                    <a:graphicData uri="http://schemas.openxmlformats.org/drawingml/2006/picture">
                      <pic:pic xmlns:pic="http://schemas.openxmlformats.org/drawingml/2006/picture">
                        <pic:nvPicPr>
                          <pic:cNvPr id="79" name="ID_C30C035144FC4BBC84A48A5B18075E35"/>
                          <pic:cNvPicPr/>
                        </pic:nvPicPr>
                        <pic:blipFill>
                          <a:blip r:embed="rId149"/>
                          <a:stretch>
                            <a:fillRect/>
                          </a:stretch>
                        </pic:blipFill>
                        <pic:spPr>
                          <a:xfrm>
                            <a:off x="0" y="0"/>
                            <a:ext cx="1270635" cy="12471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E7A3C2C">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3574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24B549BE">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1BB105C6">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96E2F0B">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室内休闲椅</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095ECB16">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椅子：LGF加强塑料材质，承重超过100KG。</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C4ECD18">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450×480×780</w:t>
            </w:r>
          </w:p>
        </w:tc>
        <w:tc>
          <w:tcPr>
            <w:tcW w:w="712" w:type="dxa"/>
            <w:tcBorders>
              <w:top w:val="single" w:color="000000" w:sz="4" w:space="0"/>
              <w:left w:val="single" w:color="000000" w:sz="4" w:space="0"/>
              <w:bottom w:val="single" w:color="000000" w:sz="4" w:space="0"/>
              <w:right w:val="nil"/>
            </w:tcBorders>
            <w:noWrap/>
            <w:vAlign w:val="center"/>
          </w:tcPr>
          <w:p w14:paraId="631B0DE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6234AF81">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6CC02B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29210</wp:posOffset>
                  </wp:positionH>
                  <wp:positionV relativeFrom="paragraph">
                    <wp:posOffset>52070</wp:posOffset>
                  </wp:positionV>
                  <wp:extent cx="1247775" cy="942340"/>
                  <wp:effectExtent l="0" t="0" r="9525" b="10160"/>
                  <wp:wrapNone/>
                  <wp:docPr id="75" name="图片_5"/>
                  <wp:cNvGraphicFramePr/>
                  <a:graphic xmlns:a="http://schemas.openxmlformats.org/drawingml/2006/main">
                    <a:graphicData uri="http://schemas.openxmlformats.org/drawingml/2006/picture">
                      <pic:pic xmlns:pic="http://schemas.openxmlformats.org/drawingml/2006/picture">
                        <pic:nvPicPr>
                          <pic:cNvPr id="75" name="图片_5"/>
                          <pic:cNvPicPr/>
                        </pic:nvPicPr>
                        <pic:blipFill>
                          <a:blip r:embed="rId150"/>
                          <a:stretch>
                            <a:fillRect/>
                          </a:stretch>
                        </pic:blipFill>
                        <pic:spPr>
                          <a:xfrm>
                            <a:off x="0" y="0"/>
                            <a:ext cx="1247775" cy="9423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0D3C438">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7E7D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06B4BDB2">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61EA19E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2CEF4991">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户外休闲方桌</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9D78B17">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支架结构。材料：新型塑木材质，户外雨淋不发霉不怕蛀，高承重。</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EAE320F">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800×800×760</w:t>
            </w:r>
          </w:p>
        </w:tc>
        <w:tc>
          <w:tcPr>
            <w:tcW w:w="712" w:type="dxa"/>
            <w:tcBorders>
              <w:top w:val="single" w:color="000000" w:sz="4" w:space="0"/>
              <w:left w:val="single" w:color="000000" w:sz="4" w:space="0"/>
              <w:bottom w:val="single" w:color="000000" w:sz="4" w:space="0"/>
              <w:right w:val="nil"/>
            </w:tcBorders>
            <w:noWrap/>
            <w:vAlign w:val="center"/>
          </w:tcPr>
          <w:p w14:paraId="42641E2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8429AD5">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张</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9C20F1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48260</wp:posOffset>
                  </wp:positionH>
                  <wp:positionV relativeFrom="paragraph">
                    <wp:posOffset>116840</wp:posOffset>
                  </wp:positionV>
                  <wp:extent cx="1198245" cy="1004570"/>
                  <wp:effectExtent l="0" t="0" r="1905" b="5080"/>
                  <wp:wrapNone/>
                  <wp:docPr id="81" name="ID_C8836241F77347F19BE6D9F0998C5C2C"/>
                  <wp:cNvGraphicFramePr/>
                  <a:graphic xmlns:a="http://schemas.openxmlformats.org/drawingml/2006/main">
                    <a:graphicData uri="http://schemas.openxmlformats.org/drawingml/2006/picture">
                      <pic:pic xmlns:pic="http://schemas.openxmlformats.org/drawingml/2006/picture">
                        <pic:nvPicPr>
                          <pic:cNvPr id="81" name="ID_C8836241F77347F19BE6D9F0998C5C2C"/>
                          <pic:cNvPicPr/>
                        </pic:nvPicPr>
                        <pic:blipFill>
                          <a:blip r:embed="rId151"/>
                          <a:stretch>
                            <a:fillRect/>
                          </a:stretch>
                        </pic:blipFill>
                        <pic:spPr>
                          <a:xfrm>
                            <a:off x="0" y="0"/>
                            <a:ext cx="1198245" cy="10045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10FE3E6E">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14:paraId="56CC0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5" w:hRule="atLeast"/>
          <w:jc w:val="center"/>
        </w:trPr>
        <w:tc>
          <w:tcPr>
            <w:tcW w:w="903" w:type="dxa"/>
            <w:vMerge w:val="continue"/>
            <w:tcBorders>
              <w:top w:val="single" w:color="000000" w:sz="4" w:space="0"/>
              <w:left w:val="single" w:color="000000" w:sz="4" w:space="0"/>
              <w:bottom w:val="single" w:color="000000" w:sz="4" w:space="0"/>
              <w:right w:val="single" w:color="000000" w:sz="4" w:space="0"/>
            </w:tcBorders>
            <w:noWrap/>
            <w:vAlign w:val="center"/>
          </w:tcPr>
          <w:p w14:paraId="43C3838C">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14:paraId="0A588701">
            <w:pPr>
              <w:keepNext w:val="0"/>
              <w:keepLines w:val="0"/>
              <w:pageBreakBefore w:val="0"/>
              <w:widowControl/>
              <w:kinsoku/>
              <w:wordWrap/>
              <w:overflowPunct/>
              <w:topLinePunct w:val="0"/>
              <w:autoSpaceDE/>
              <w:autoSpaceDN/>
              <w:bidi w:val="0"/>
              <w:adjustRightInd/>
              <w:snapToGrid/>
              <w:spacing w:line="320" w:lineRule="atLeast"/>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287F256E">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户外椅子</w:t>
            </w:r>
          </w:p>
        </w:tc>
        <w:tc>
          <w:tcPr>
            <w:tcW w:w="6165" w:type="dxa"/>
            <w:tcBorders>
              <w:top w:val="single" w:color="000000" w:sz="4" w:space="0"/>
              <w:left w:val="single" w:color="000000" w:sz="4" w:space="0"/>
              <w:bottom w:val="single" w:color="000000" w:sz="4" w:space="0"/>
              <w:right w:val="single" w:color="000000" w:sz="4" w:space="0"/>
            </w:tcBorders>
            <w:noWrap w:val="0"/>
            <w:vAlign w:val="center"/>
          </w:tcPr>
          <w:p w14:paraId="7A8241BC">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支架结构。材料：新型塑木材质，户外雨淋不发霉不怕蛀，高承重。</w:t>
            </w: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6F2D529">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570×570×860</w:t>
            </w:r>
          </w:p>
        </w:tc>
        <w:tc>
          <w:tcPr>
            <w:tcW w:w="712" w:type="dxa"/>
            <w:tcBorders>
              <w:top w:val="single" w:color="000000" w:sz="4" w:space="0"/>
              <w:left w:val="single" w:color="000000" w:sz="4" w:space="0"/>
              <w:bottom w:val="single" w:color="000000" w:sz="4" w:space="0"/>
              <w:right w:val="nil"/>
            </w:tcBorders>
            <w:noWrap/>
            <w:vAlign w:val="center"/>
          </w:tcPr>
          <w:p w14:paraId="1858B1C2">
            <w:pPr>
              <w:keepNext w:val="0"/>
              <w:keepLines w:val="0"/>
              <w:pageBreakBefore w:val="0"/>
              <w:widowControl/>
              <w:suppressLineNumbers w:val="0"/>
              <w:kinsoku/>
              <w:wordWrap/>
              <w:overflowPunct/>
              <w:topLinePunct w:val="0"/>
              <w:autoSpaceDE/>
              <w:autoSpaceDN/>
              <w:bidi w:val="0"/>
              <w:adjustRightInd/>
              <w:snapToGrid/>
              <w:spacing w:line="320" w:lineRule="atLeast"/>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7CE407B">
            <w:pPr>
              <w:bidi w:val="0"/>
              <w:ind w:left="0" w:leftChars="0" w:firstLine="0" w:firstLineChars="0"/>
              <w:jc w:val="center"/>
              <w:rPr>
                <w:rFonts w:hint="default" w:cs="Times New Roman"/>
                <w:shd w:val="clear" w:color="auto" w:fill="auto"/>
                <w:lang w:val="en-US" w:eastAsia="zh-CN"/>
              </w:rPr>
            </w:pPr>
            <w:r>
              <w:rPr>
                <w:rFonts w:hint="eastAsia" w:cs="Times New Roman"/>
                <w:shd w:val="clear" w:color="auto" w:fill="auto"/>
                <w:lang w:val="en-US" w:eastAsia="zh-CN"/>
              </w:rPr>
              <w:t>把</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1B44ED9">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48260</wp:posOffset>
                  </wp:positionH>
                  <wp:positionV relativeFrom="paragraph">
                    <wp:posOffset>73025</wp:posOffset>
                  </wp:positionV>
                  <wp:extent cx="1209675" cy="1162050"/>
                  <wp:effectExtent l="0" t="0" r="9525" b="0"/>
                  <wp:wrapNone/>
                  <wp:docPr id="87" name="图片_10"/>
                  <wp:cNvGraphicFramePr/>
                  <a:graphic xmlns:a="http://schemas.openxmlformats.org/drawingml/2006/main">
                    <a:graphicData uri="http://schemas.openxmlformats.org/drawingml/2006/picture">
                      <pic:pic xmlns:pic="http://schemas.openxmlformats.org/drawingml/2006/picture">
                        <pic:nvPicPr>
                          <pic:cNvPr id="87" name="图片_10"/>
                          <pic:cNvPicPr/>
                        </pic:nvPicPr>
                        <pic:blipFill>
                          <a:blip r:embed="rId152"/>
                          <a:stretch>
                            <a:fillRect/>
                          </a:stretch>
                        </pic:blipFill>
                        <pic:spPr>
                          <a:xfrm>
                            <a:off x="0" y="0"/>
                            <a:ext cx="1209675" cy="11620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638EA96A">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bl>
    <w:p w14:paraId="495B0B4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rPr>
          <w:rFonts w:hint="eastAsia" w:ascii="宋体" w:hAnsi="宋体" w:eastAsia="宋体" w:cs="宋体"/>
          <w:b/>
          <w:bCs/>
          <w:sz w:val="24"/>
          <w:u w:val="none"/>
          <w:lang w:val="en-US" w:eastAsia="zh-CN"/>
        </w:rPr>
      </w:pPr>
      <w:r>
        <w:rPr>
          <w:rFonts w:hint="eastAsia" w:ascii="宋体" w:hAnsi="宋体" w:eastAsia="宋体" w:cs="宋体"/>
          <w:b/>
          <w:bCs/>
          <w:sz w:val="24"/>
          <w:lang w:val="en-US" w:eastAsia="zh-CN"/>
        </w:rPr>
        <w:t>注：</w:t>
      </w:r>
      <w:r>
        <w:rPr>
          <w:rFonts w:hint="eastAsia" w:ascii="宋体" w:hAnsi="宋体" w:eastAsia="宋体" w:cs="宋体"/>
          <w:b/>
          <w:bCs/>
          <w:sz w:val="24"/>
          <w:szCs w:val="24"/>
        </w:rPr>
        <w:t>在本章中，为了方便起见，可能会采取按某种品牌货物的规格和型号予以表述，但并不因此限制或者拒绝投标人以其他能满足本项目技术需求且性能与所明确品牌相当的货物参加投标</w:t>
      </w:r>
      <w:r>
        <w:rPr>
          <w:rFonts w:hint="eastAsia" w:ascii="宋体" w:hAnsi="宋体" w:cs="宋体"/>
          <w:b/>
          <w:bCs/>
          <w:sz w:val="24"/>
          <w:szCs w:val="24"/>
          <w:lang w:eastAsia="zh-CN"/>
        </w:rPr>
        <w:t>，</w:t>
      </w:r>
      <w:r>
        <w:rPr>
          <w:rFonts w:hint="eastAsia" w:ascii="宋体" w:hAnsi="宋体" w:eastAsia="宋体" w:cs="宋体"/>
          <w:b/>
          <w:bCs/>
          <w:sz w:val="24"/>
          <w:szCs w:val="24"/>
        </w:rPr>
        <w:t>同等或优于本品牌的产品均不扣分</w:t>
      </w:r>
      <w:r>
        <w:rPr>
          <w:rFonts w:hint="eastAsia" w:ascii="宋体" w:hAnsi="宋体" w:cs="宋体"/>
          <w:b/>
          <w:bCs/>
          <w:sz w:val="24"/>
          <w:szCs w:val="24"/>
          <w:lang w:eastAsia="zh-CN"/>
        </w:rPr>
        <w:t>，</w:t>
      </w:r>
      <w:r>
        <w:rPr>
          <w:rFonts w:hint="eastAsia" w:ascii="宋体" w:hAnsi="宋体" w:eastAsia="宋体" w:cs="宋体"/>
          <w:b/>
          <w:bCs/>
          <w:sz w:val="24"/>
          <w:szCs w:val="24"/>
        </w:rPr>
        <w:t>本项目不另外增加辅料和人工费用。</w:t>
      </w:r>
    </w:p>
    <w:p w14:paraId="0CE23D9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color w:val="auto"/>
          <w:kern w:val="2"/>
          <w:sz w:val="24"/>
          <w:szCs w:val="24"/>
          <w:highlight w:val="none"/>
          <w:lang w:val="en-US" w:eastAsia="zh-CN" w:bidi="ar-SA"/>
        </w:rPr>
      </w:pPr>
    </w:p>
    <w:p w14:paraId="16CDFA7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color w:val="auto"/>
          <w:kern w:val="2"/>
          <w:sz w:val="24"/>
          <w:szCs w:val="24"/>
          <w:highlight w:val="none"/>
          <w:lang w:val="en-US" w:eastAsia="zh-CN" w:bidi="ar-SA"/>
        </w:rPr>
      </w:pPr>
    </w:p>
    <w:p w14:paraId="0A84AD0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color w:val="auto"/>
          <w:kern w:val="2"/>
          <w:sz w:val="24"/>
          <w:szCs w:val="24"/>
          <w:highlight w:val="none"/>
          <w:lang w:val="en-US" w:eastAsia="zh-CN" w:bidi="ar-SA"/>
        </w:rPr>
        <w:sectPr>
          <w:headerReference r:id="rId12" w:type="default"/>
          <w:footerReference r:id="rId13" w:type="default"/>
          <w:pgSz w:w="16838" w:h="11906" w:orient="landscape"/>
          <w:pgMar w:top="1080" w:right="1440" w:bottom="1080" w:left="1440" w:header="737" w:footer="964" w:gutter="0"/>
          <w:pgBorders>
            <w:top w:val="none" w:sz="0" w:space="0"/>
            <w:left w:val="none" w:sz="0" w:space="0"/>
            <w:bottom w:val="none" w:sz="0" w:space="0"/>
            <w:right w:val="none" w:sz="0" w:space="0"/>
          </w:pgBorders>
          <w:pgNumType w:fmt="decimal"/>
          <w:cols w:space="0" w:num="1"/>
          <w:docGrid w:type="lines" w:linePitch="312" w:charSpace="0"/>
        </w:sectPr>
      </w:pPr>
    </w:p>
    <w:p w14:paraId="69A70236">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二、商务要求</w:t>
      </w:r>
    </w:p>
    <w:p w14:paraId="7E8C5C4B">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交货</w:t>
      </w:r>
      <w:r>
        <w:rPr>
          <w:rFonts w:hint="eastAsia" w:ascii="宋体" w:hAnsi="宋体" w:eastAsia="宋体" w:cs="宋体"/>
          <w:color w:val="auto"/>
          <w:kern w:val="2"/>
          <w:sz w:val="24"/>
          <w:szCs w:val="24"/>
          <w:highlight w:val="none"/>
          <w:lang w:val="zh-CN" w:eastAsia="zh-CN" w:bidi="ar-SA"/>
        </w:rPr>
        <w:t>地点：龙游县东华街道开发大道（龙游城南特勤消防站）</w:t>
      </w:r>
    </w:p>
    <w:p w14:paraId="6E2F0BEF">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2"/>
          <w:sz w:val="24"/>
          <w:szCs w:val="24"/>
          <w:highlight w:val="none"/>
          <w:lang w:val="en-US" w:eastAsia="zh-CN" w:bidi="ar-SA"/>
        </w:rPr>
        <w:t>2.供货期：</w:t>
      </w:r>
      <w:r>
        <w:rPr>
          <w:rFonts w:hint="eastAsia" w:ascii="宋体" w:hAnsi="宋体" w:eastAsia="宋体" w:cs="宋体"/>
          <w:color w:val="auto"/>
          <w:sz w:val="24"/>
          <w:szCs w:val="24"/>
          <w:highlight w:val="none"/>
          <w:lang w:eastAsia="zh-CN"/>
        </w:rPr>
        <w:t>合同签订后60个日历天内完成供货、安装及验收。</w:t>
      </w:r>
    </w:p>
    <w:p w14:paraId="17940546">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3.付款方式：</w:t>
      </w:r>
    </w:p>
    <w:p w14:paraId="151ABB5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（1）自合同签订之日起10日内支付合同价的40%作为预付款，中标方须提供预付款保函，保函有效期6个月；所有采购设备完成安装并通过验收合格后20日内支付至合同价的95%；待运维期</w:t>
      </w:r>
      <w:r>
        <w:rPr>
          <w:rFonts w:hint="eastAsia" w:ascii="宋体" w:hAnsi="宋体" w:cs="宋体"/>
          <w:b w:val="0"/>
          <w:bCs w:val="0"/>
          <w:color w:val="auto"/>
          <w:sz w:val="24"/>
          <w:szCs w:val="24"/>
          <w:highlight w:val="none"/>
          <w:u w:val="none"/>
          <w:lang w:val="en-US" w:eastAsia="zh-CN"/>
        </w:rPr>
        <w:t>结束</w:t>
      </w:r>
      <w:r>
        <w:rPr>
          <w:rFonts w:hint="eastAsia" w:ascii="宋体" w:hAnsi="宋体" w:eastAsia="宋体" w:cs="宋体"/>
          <w:b w:val="0"/>
          <w:bCs w:val="0"/>
          <w:color w:val="auto"/>
          <w:sz w:val="24"/>
          <w:szCs w:val="24"/>
          <w:highlight w:val="none"/>
          <w:u w:val="none"/>
          <w:lang w:val="en-US" w:eastAsia="zh-CN"/>
        </w:rPr>
        <w:t>后经过上级部门验收合格之后支付剩余5%的合同款。每次付款前应收到中标方提供的增值税专用发票。</w:t>
      </w:r>
    </w:p>
    <w:p w14:paraId="4093760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（2）当采购数量与实际使用数量不一致时，投标人应根据实际使用量供货，合同的最终结算金额按实际使用量乘以成交单价进行计算，且不得超过合同价的10%。</w:t>
      </w:r>
    </w:p>
    <w:p w14:paraId="34B9F78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4.采购货物的总体要求：</w:t>
      </w:r>
    </w:p>
    <w:p w14:paraId="7D586E9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4.1符合招标文件(包括补充更正，如有)的技术要求和配置。</w:t>
      </w:r>
    </w:p>
    <w:p w14:paraId="095FEEF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4.2售后服务按国家有关规定执行，国家没有规定的按厂商规定执行。国家规定标准低于厂商标准的按厂商标准执行，但最低免费运维服务期不得少于贰年。</w:t>
      </w:r>
    </w:p>
    <w:p w14:paraId="66EDBB6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5.运维期、售后服务</w:t>
      </w:r>
    </w:p>
    <w:p w14:paraId="741BCD6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.1所有产品必须全部原包装到货，待用户确认后方可以拆箱组装；</w:t>
      </w:r>
    </w:p>
    <w:p w14:paraId="595BAB8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5.2运维期：</w:t>
      </w:r>
      <w:r>
        <w:rPr>
          <w:rFonts w:hint="eastAsia" w:ascii="宋体" w:hAnsi="宋体" w:eastAsia="宋体" w:cs="宋体"/>
          <w:kern w:val="0"/>
          <w:sz w:val="24"/>
          <w:szCs w:val="24"/>
        </w:rPr>
        <w:t>所有产品</w:t>
      </w:r>
      <w:r>
        <w:rPr>
          <w:rFonts w:hint="eastAsia" w:ascii="宋体" w:hAnsi="宋体" w:eastAsia="宋体" w:cs="宋体"/>
          <w:kern w:val="0"/>
          <w:sz w:val="24"/>
          <w:szCs w:val="24"/>
          <w:lang w:val="en-US" w:eastAsia="zh-CN"/>
        </w:rPr>
        <w:t>运维</w:t>
      </w:r>
      <w:r>
        <w:rPr>
          <w:rFonts w:hint="eastAsia" w:ascii="宋体" w:hAnsi="宋体" w:eastAsia="宋体" w:cs="宋体"/>
          <w:kern w:val="0"/>
          <w:sz w:val="24"/>
          <w:szCs w:val="24"/>
        </w:rPr>
        <w:t>时间不得少于</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年</w:t>
      </w:r>
      <w:r>
        <w:rPr>
          <w:rFonts w:hint="eastAsia" w:ascii="宋体" w:hAnsi="宋体" w:eastAsia="宋体" w:cs="宋体"/>
          <w:b w:val="0"/>
          <w:bCs w:val="0"/>
          <w:color w:val="auto"/>
          <w:sz w:val="24"/>
          <w:szCs w:val="24"/>
          <w:highlight w:val="none"/>
          <w:u w:val="none"/>
          <w:lang w:val="en-US" w:eastAsia="zh-CN"/>
        </w:rPr>
        <w:t>（</w:t>
      </w:r>
      <w:r>
        <w:rPr>
          <w:rFonts w:hint="eastAsia" w:ascii="宋体" w:hAnsi="宋体" w:eastAsia="宋体" w:cs="宋体"/>
          <w:sz w:val="24"/>
          <w:szCs w:val="24"/>
        </w:rPr>
        <w:t>自安装验收合格之日起计</w:t>
      </w:r>
      <w:r>
        <w:rPr>
          <w:rFonts w:hint="eastAsia" w:ascii="宋体" w:hAnsi="宋体" w:eastAsia="宋体" w:cs="宋体"/>
          <w:b w:val="0"/>
          <w:bCs w:val="0"/>
          <w:color w:val="auto"/>
          <w:sz w:val="24"/>
          <w:szCs w:val="24"/>
          <w:highlight w:val="none"/>
          <w:u w:val="none"/>
          <w:lang w:val="en-US" w:eastAsia="zh-CN"/>
        </w:rPr>
        <w:t>）</w:t>
      </w:r>
      <w:r>
        <w:rPr>
          <w:rFonts w:hint="eastAsia" w:ascii="宋体" w:hAnsi="宋体" w:eastAsia="宋体" w:cs="宋体"/>
          <w:kern w:val="0"/>
          <w:sz w:val="24"/>
          <w:szCs w:val="24"/>
        </w:rPr>
        <w:t>。</w:t>
      </w:r>
      <w:r>
        <w:rPr>
          <w:rFonts w:hint="eastAsia" w:ascii="宋体" w:hAnsi="宋体" w:eastAsia="宋体" w:cs="宋体"/>
          <w:b w:val="0"/>
          <w:bCs w:val="0"/>
          <w:color w:val="auto"/>
          <w:sz w:val="24"/>
          <w:szCs w:val="24"/>
          <w:highlight w:val="none"/>
          <w:u w:val="none"/>
          <w:lang w:val="en-US" w:eastAsia="zh-CN"/>
        </w:rPr>
        <w:t>保质期内因货物本身缺陷造成各种故障应由投标人应负责免费更换。</w:t>
      </w:r>
    </w:p>
    <w:p w14:paraId="7285BAF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b w:val="0"/>
          <w:bCs w:val="0"/>
          <w:color w:val="auto"/>
          <w:sz w:val="24"/>
          <w:szCs w:val="24"/>
          <w:highlight w:val="none"/>
          <w:u w:val="none"/>
          <w:lang w:val="en-US" w:eastAsia="zh-CN"/>
        </w:rPr>
        <w:t>5.3</w:t>
      </w:r>
      <w:r>
        <w:rPr>
          <w:rFonts w:hint="eastAsia" w:ascii="宋体" w:hAnsi="宋体" w:eastAsia="宋体" w:cs="宋体"/>
          <w:color w:val="auto"/>
          <w:kern w:val="2"/>
          <w:sz w:val="24"/>
          <w:szCs w:val="24"/>
          <w:highlight w:val="none"/>
          <w:lang w:val="en-US" w:eastAsia="zh-CN" w:bidi="ar-SA"/>
        </w:rPr>
        <w:t>成交供应商应具备完善的售后服务保证体系。</w:t>
      </w:r>
      <w:r>
        <w:rPr>
          <w:rFonts w:hint="eastAsia" w:ascii="宋体" w:hAnsi="宋体" w:eastAsia="宋体" w:cs="宋体"/>
          <w:kern w:val="0"/>
          <w:sz w:val="24"/>
          <w:szCs w:val="24"/>
        </w:rPr>
        <w:t>如出现故障</w:t>
      </w:r>
      <w:r>
        <w:rPr>
          <w:rFonts w:hint="eastAsia" w:ascii="宋体" w:hAnsi="宋体" w:eastAsia="宋体" w:cs="宋体"/>
          <w:color w:val="auto"/>
          <w:kern w:val="2"/>
          <w:sz w:val="24"/>
          <w:szCs w:val="24"/>
          <w:highlight w:val="none"/>
          <w:lang w:val="en-US" w:eastAsia="zh-CN" w:bidi="ar-SA"/>
        </w:rPr>
        <w:t>应由成交供应商负责到现场维修调试，须在2小时内给予响应，在12小时内上门服务，并在24小时内修复。若无法按规定时间修复的须根据采购人要求更换，发生的费用均由成交供应商承担，造成其他损失的，将由成交供应商独立承担。</w:t>
      </w:r>
      <w:r>
        <w:rPr>
          <w:rFonts w:hint="eastAsia" w:ascii="宋体" w:hAnsi="宋体" w:eastAsia="宋体" w:cs="宋体"/>
          <w:kern w:val="0"/>
          <w:sz w:val="24"/>
          <w:szCs w:val="24"/>
          <w:lang w:val="en-US" w:eastAsia="zh-CN"/>
        </w:rPr>
        <w:t>运维</w:t>
      </w:r>
      <w:r>
        <w:rPr>
          <w:rFonts w:hint="eastAsia" w:ascii="宋体" w:hAnsi="宋体" w:eastAsia="宋体" w:cs="宋体"/>
          <w:kern w:val="0"/>
          <w:sz w:val="24"/>
          <w:szCs w:val="24"/>
        </w:rPr>
        <w:t>期内</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产品维修所有费用（包括运输费、维修费、配件费用等）均由成交供应商承担</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中标供应商须提供原厂免费上门维修服务。</w:t>
      </w:r>
    </w:p>
    <w:p w14:paraId="5331AEB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b w:val="0"/>
          <w:bCs w:val="0"/>
          <w:color w:val="auto"/>
          <w:sz w:val="24"/>
          <w:szCs w:val="24"/>
          <w:highlight w:val="none"/>
          <w:u w:val="none"/>
          <w:lang w:val="en-US" w:eastAsia="zh-CN"/>
        </w:rPr>
        <w:t>6.安装调试：</w:t>
      </w:r>
      <w:r>
        <w:rPr>
          <w:rFonts w:hint="eastAsia" w:ascii="宋体" w:hAnsi="宋体" w:eastAsia="宋体" w:cs="宋体"/>
          <w:color w:val="auto"/>
          <w:sz w:val="24"/>
          <w:szCs w:val="24"/>
          <w:highlight w:val="none"/>
          <w:u w:val="none"/>
        </w:rPr>
        <w:t>合同签订后，</w:t>
      </w:r>
      <w:r>
        <w:rPr>
          <w:rFonts w:hint="eastAsia" w:ascii="宋体" w:hAnsi="宋体" w:eastAsia="宋体" w:cs="宋体"/>
          <w:color w:val="auto"/>
          <w:sz w:val="24"/>
          <w:szCs w:val="24"/>
          <w:highlight w:val="none"/>
          <w:u w:val="none"/>
          <w:lang w:val="en-US" w:eastAsia="zh-CN"/>
        </w:rPr>
        <w:t>产品</w:t>
      </w:r>
      <w:r>
        <w:rPr>
          <w:rFonts w:hint="eastAsia" w:ascii="宋体" w:hAnsi="宋体" w:eastAsia="宋体" w:cs="宋体"/>
          <w:color w:val="auto"/>
          <w:sz w:val="24"/>
          <w:szCs w:val="24"/>
          <w:highlight w:val="none"/>
          <w:u w:val="none"/>
        </w:rPr>
        <w:t>到指定地点，经双方共同检查符合交货要求后方可安装。</w:t>
      </w:r>
    </w:p>
    <w:p w14:paraId="6ECC347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kern w:val="0"/>
          <w:sz w:val="24"/>
          <w:szCs w:val="24"/>
          <w:lang w:val="en-US" w:eastAsia="zh-CN"/>
        </w:rPr>
        <w:t>7.</w:t>
      </w:r>
      <w:r>
        <w:rPr>
          <w:rFonts w:hint="eastAsia" w:ascii="宋体" w:hAnsi="宋体" w:eastAsia="宋体" w:cs="宋体"/>
          <w:kern w:val="0"/>
          <w:sz w:val="24"/>
          <w:szCs w:val="24"/>
        </w:rPr>
        <w:t>施工安全：中标方在施工时必须服从业主方的管理，严格施工技术要求与规范。中标方对施工安全负全责。</w:t>
      </w:r>
    </w:p>
    <w:p w14:paraId="2704F02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8.质量要求：</w:t>
      </w:r>
      <w:r>
        <w:rPr>
          <w:rFonts w:hint="eastAsia" w:ascii="宋体" w:hAnsi="宋体" w:eastAsia="宋体" w:cs="宋体"/>
          <w:color w:val="auto"/>
          <w:sz w:val="24"/>
          <w:szCs w:val="24"/>
          <w:highlight w:val="none"/>
          <w:u w:val="none"/>
        </w:rPr>
        <w:t>必须是符合国家技术规格和质量标准的全新的原厂原包装合格产品。</w:t>
      </w:r>
    </w:p>
    <w:p w14:paraId="64E141EE">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9.验收</w:t>
      </w:r>
    </w:p>
    <w:p w14:paraId="07D1A4D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b w:val="0"/>
          <w:bCs w:val="0"/>
          <w:color w:val="auto"/>
          <w:sz w:val="24"/>
          <w:szCs w:val="24"/>
          <w:highlight w:val="none"/>
          <w:u w:val="none"/>
          <w:lang w:val="en-US" w:eastAsia="zh-CN"/>
        </w:rPr>
        <w:t>9.1</w:t>
      </w:r>
      <w:r>
        <w:rPr>
          <w:rFonts w:hint="eastAsia" w:ascii="宋体" w:hAnsi="宋体" w:eastAsia="宋体" w:cs="宋体"/>
          <w:kern w:val="0"/>
          <w:sz w:val="24"/>
          <w:szCs w:val="24"/>
        </w:rPr>
        <w:t>验收标准按有关国家、地方、行业标准执行，采购需求及成交供应商的投标文件作为验收依据之一。验收中发现货物不满足上述验收标准或投标文件承诺的性能指标的，成交供应商必须负责更换货物，并承担由此给用户造成的损失，直至项目验收合格为止。</w:t>
      </w:r>
    </w:p>
    <w:p w14:paraId="1171F25D">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9.2投标人交货前应对产品作出全面检查和对验收文件进行整理，并列出清单，作为采购人收货验收和使用的技术条件依据，检验的结果应随货物交采购人。</w:t>
      </w:r>
    </w:p>
    <w:p w14:paraId="7C3861E3">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9.3根据中华人民共和国现行技术标准，按招标文件以及合同规定的验收评定标准等规范，由采购人根据招标文件规定按照国家制定的相关技术标准组织验收。验收时投标人必须在现场，验收完毕后作出验收结果报告</w:t>
      </w:r>
      <w:r>
        <w:rPr>
          <w:rFonts w:hint="eastAsia" w:ascii="宋体" w:hAnsi="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验收中发现货物达不到验收标准或合同规定的技术指标，投标人必须更换，并负担由此给用户造成的损失，直到验收合格为止。</w:t>
      </w:r>
    </w:p>
    <w:p w14:paraId="2F5B75D0">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u w:val="none"/>
          <w:lang w:val="en-US" w:eastAsia="zh-CN"/>
        </w:rPr>
        <w:t>10.</w:t>
      </w:r>
      <w:r>
        <w:rPr>
          <w:rFonts w:hint="eastAsia" w:ascii="宋体" w:hAnsi="宋体" w:eastAsia="宋体" w:cs="宋体"/>
          <w:b w:val="0"/>
          <w:bCs w:val="0"/>
          <w:color w:val="auto"/>
          <w:sz w:val="24"/>
          <w:szCs w:val="24"/>
          <w:highlight w:val="none"/>
          <w:u w:val="none"/>
        </w:rPr>
        <w:t>其他要</w:t>
      </w:r>
      <w:r>
        <w:rPr>
          <w:rFonts w:hint="eastAsia" w:ascii="宋体" w:hAnsi="宋体" w:eastAsia="宋体" w:cs="宋体"/>
          <w:color w:val="auto"/>
          <w:kern w:val="2"/>
          <w:sz w:val="24"/>
          <w:szCs w:val="24"/>
          <w:highlight w:val="none"/>
          <w:lang w:val="en-US" w:eastAsia="zh-CN" w:bidi="ar-SA"/>
        </w:rPr>
        <w:t>求：</w:t>
      </w:r>
    </w:p>
    <w:p w14:paraId="343C68D0">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10.1成交供应商提供给采购人的产品必须与投标文件中提供的产品品牌和类型一致，否则采购人有权利追究供货商因此而给采购人造成的损失和相应的责任。</w:t>
      </w:r>
    </w:p>
    <w:p w14:paraId="487986B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val="0"/>
          <w:color w:val="auto"/>
          <w:sz w:val="24"/>
          <w:szCs w:val="24"/>
          <w:highlight w:val="none"/>
          <w:u w:val="none"/>
        </w:rPr>
      </w:pPr>
      <w:r>
        <w:rPr>
          <w:rFonts w:hint="eastAsia" w:ascii="宋体" w:hAnsi="宋体" w:eastAsia="宋体" w:cs="宋体"/>
          <w:bCs w:val="0"/>
          <w:color w:val="auto"/>
          <w:sz w:val="24"/>
          <w:szCs w:val="24"/>
          <w:highlight w:val="none"/>
          <w:u w:val="none"/>
          <w:lang w:val="en-US" w:eastAsia="zh-CN"/>
        </w:rPr>
        <w:t>10</w:t>
      </w:r>
      <w:r>
        <w:rPr>
          <w:rFonts w:hint="eastAsia" w:ascii="宋体" w:hAnsi="宋体" w:eastAsia="宋体" w:cs="宋体"/>
          <w:bCs w:val="0"/>
          <w:color w:val="auto"/>
          <w:sz w:val="24"/>
          <w:szCs w:val="24"/>
          <w:highlight w:val="none"/>
          <w:u w:val="none"/>
        </w:rPr>
        <w:t>.</w:t>
      </w:r>
      <w:r>
        <w:rPr>
          <w:rFonts w:hint="eastAsia" w:ascii="宋体" w:hAnsi="宋体" w:eastAsia="宋体" w:cs="宋体"/>
          <w:bCs w:val="0"/>
          <w:color w:val="auto"/>
          <w:sz w:val="24"/>
          <w:szCs w:val="24"/>
          <w:highlight w:val="none"/>
          <w:u w:val="none"/>
          <w:lang w:val="en-US" w:eastAsia="zh-CN"/>
        </w:rPr>
        <w:t>2成交</w:t>
      </w:r>
      <w:r>
        <w:rPr>
          <w:rFonts w:hint="eastAsia" w:ascii="宋体" w:hAnsi="宋体" w:eastAsia="宋体" w:cs="宋体"/>
          <w:bCs w:val="0"/>
          <w:color w:val="auto"/>
          <w:sz w:val="24"/>
          <w:szCs w:val="24"/>
          <w:highlight w:val="none"/>
          <w:u w:val="none"/>
          <w:lang w:eastAsia="zh-CN"/>
        </w:rPr>
        <w:t>供应商</w:t>
      </w:r>
      <w:r>
        <w:rPr>
          <w:rFonts w:hint="eastAsia" w:ascii="宋体" w:hAnsi="宋体" w:eastAsia="宋体" w:cs="宋体"/>
          <w:bCs w:val="0"/>
          <w:color w:val="auto"/>
          <w:sz w:val="24"/>
          <w:szCs w:val="24"/>
          <w:highlight w:val="none"/>
          <w:u w:val="none"/>
        </w:rPr>
        <w:t>应负责供货产品的</w:t>
      </w:r>
      <w:r>
        <w:rPr>
          <w:rFonts w:hint="eastAsia" w:ascii="宋体" w:hAnsi="宋体" w:eastAsia="宋体" w:cs="宋体"/>
          <w:bCs w:val="0"/>
          <w:color w:val="auto"/>
          <w:sz w:val="24"/>
          <w:szCs w:val="24"/>
          <w:highlight w:val="none"/>
          <w:u w:val="none"/>
          <w:lang w:val="en-US" w:eastAsia="zh-CN"/>
        </w:rPr>
        <w:t>安装</w:t>
      </w:r>
      <w:r>
        <w:rPr>
          <w:rFonts w:hint="eastAsia" w:ascii="宋体" w:hAnsi="宋体" w:eastAsia="宋体" w:cs="宋体"/>
          <w:bCs w:val="0"/>
          <w:color w:val="auto"/>
          <w:sz w:val="24"/>
          <w:szCs w:val="24"/>
          <w:highlight w:val="none"/>
          <w:u w:val="none"/>
        </w:rPr>
        <w:t>调试</w:t>
      </w:r>
      <w:r>
        <w:rPr>
          <w:rFonts w:hint="eastAsia" w:ascii="宋体" w:hAnsi="宋体" w:eastAsia="宋体" w:cs="宋体"/>
          <w:bCs w:val="0"/>
          <w:color w:val="auto"/>
          <w:sz w:val="24"/>
          <w:szCs w:val="24"/>
          <w:highlight w:val="none"/>
          <w:u w:val="none"/>
          <w:lang w:eastAsia="zh-CN"/>
        </w:rPr>
        <w:t>，</w:t>
      </w:r>
      <w:r>
        <w:rPr>
          <w:rFonts w:hint="eastAsia" w:ascii="宋体" w:hAnsi="宋体" w:eastAsia="宋体" w:cs="宋体"/>
          <w:bCs w:val="0"/>
          <w:color w:val="auto"/>
          <w:sz w:val="24"/>
          <w:szCs w:val="24"/>
          <w:highlight w:val="none"/>
          <w:u w:val="none"/>
        </w:rPr>
        <w:t>并依据合同提供售后服务。</w:t>
      </w:r>
    </w:p>
    <w:p w14:paraId="695A55CD">
      <w:pPr>
        <w:pStyle w:val="3"/>
        <w:numPr>
          <w:ilvl w:val="0"/>
          <w:numId w:val="0"/>
        </w:numPr>
        <w:ind w:leftChars="0"/>
        <w:jc w:val="both"/>
        <w:rPr>
          <w:rFonts w:hint="eastAsia" w:ascii="宋体" w:hAnsi="宋体" w:eastAsia="宋体" w:cs="宋体"/>
          <w:bCs w:val="0"/>
          <w:color w:val="auto"/>
          <w:sz w:val="24"/>
          <w:szCs w:val="24"/>
          <w:highlight w:val="none"/>
          <w:u w:val="none"/>
        </w:rPr>
      </w:pPr>
    </w:p>
    <w:p w14:paraId="06858522">
      <w:pPr>
        <w:rPr>
          <w:rFonts w:hint="eastAsia" w:ascii="华文中宋" w:hAnsi="华文中宋" w:eastAsia="华文中宋" w:cs="华文中宋"/>
          <w:bCs w:val="0"/>
          <w:color w:val="auto"/>
          <w:sz w:val="24"/>
          <w:szCs w:val="24"/>
          <w:highlight w:val="none"/>
          <w:u w:val="none"/>
        </w:rPr>
      </w:pPr>
    </w:p>
    <w:p w14:paraId="0D9F7DAD">
      <w:pPr>
        <w:pStyle w:val="3"/>
        <w:numPr>
          <w:ilvl w:val="0"/>
          <w:numId w:val="0"/>
        </w:numPr>
        <w:ind w:leftChars="0"/>
        <w:jc w:val="both"/>
        <w:rPr>
          <w:rFonts w:hint="eastAsia" w:ascii="华文中宋" w:hAnsi="华文中宋" w:eastAsia="华文中宋" w:cs="华文中宋"/>
          <w:bCs w:val="0"/>
          <w:color w:val="auto"/>
          <w:sz w:val="24"/>
          <w:szCs w:val="24"/>
          <w:highlight w:val="none"/>
          <w:u w:val="none"/>
        </w:rPr>
      </w:pPr>
    </w:p>
    <w:p w14:paraId="6B4A8684">
      <w:pPr>
        <w:rPr>
          <w:rFonts w:hint="eastAsia"/>
          <w:lang w:val="en-US" w:eastAsia="zh-CN"/>
        </w:rPr>
      </w:pPr>
    </w:p>
    <w:p w14:paraId="2B387AE4">
      <w:pPr>
        <w:pStyle w:val="3"/>
        <w:numPr>
          <w:ilvl w:val="0"/>
          <w:numId w:val="0"/>
        </w:numPr>
        <w:spacing w:before="312" w:after="312"/>
        <w:jc w:val="both"/>
        <w:rPr>
          <w:rFonts w:hint="eastAsia" w:ascii="宋体" w:hAnsi="宋体" w:cs="宋体"/>
          <w:color w:val="auto"/>
        </w:rPr>
        <w:sectPr>
          <w:pgSz w:w="11906" w:h="16838"/>
          <w:pgMar w:top="1440" w:right="1080" w:bottom="1440" w:left="1080" w:header="737" w:footer="964" w:gutter="0"/>
          <w:pgBorders>
            <w:top w:val="none" w:sz="0" w:space="0"/>
            <w:left w:val="none" w:sz="0" w:space="0"/>
            <w:bottom w:val="none" w:sz="0" w:space="0"/>
            <w:right w:val="none" w:sz="0" w:space="0"/>
          </w:pgBorders>
          <w:pgNumType w:fmt="decimal"/>
          <w:cols w:space="0" w:num="1"/>
          <w:docGrid w:type="lines" w:linePitch="312" w:charSpace="0"/>
        </w:sectPr>
      </w:pPr>
    </w:p>
    <w:p w14:paraId="052D1311">
      <w:pPr>
        <w:pStyle w:val="3"/>
        <w:keepLines w:val="0"/>
        <w:pageBreakBefore w:val="0"/>
        <w:numPr>
          <w:ilvl w:val="0"/>
          <w:numId w:val="0"/>
        </w:numPr>
        <w:kinsoku/>
        <w:wordWrap/>
        <w:overflowPunct/>
        <w:topLinePunct w:val="0"/>
        <w:autoSpaceDE/>
        <w:autoSpaceDN/>
        <w:bidi w:val="0"/>
        <w:adjustRightInd/>
        <w:snapToGrid/>
        <w:spacing w:before="312" w:after="312" w:line="440" w:lineRule="exact"/>
        <w:jc w:val="center"/>
        <w:textAlignment w:val="auto"/>
        <w:rPr>
          <w:rFonts w:ascii="宋体" w:hAnsi="宋体" w:cs="宋体"/>
          <w:color w:val="auto"/>
          <w:lang w:val="zh-CN"/>
        </w:rPr>
      </w:pPr>
      <w:r>
        <w:rPr>
          <w:rFonts w:hint="eastAsia" w:ascii="宋体" w:hAnsi="宋体" w:cs="宋体"/>
          <w:color w:val="auto"/>
        </w:rPr>
        <w:t xml:space="preserve">第四章 </w:t>
      </w:r>
      <w:r>
        <w:rPr>
          <w:rFonts w:hint="eastAsia" w:ascii="宋体" w:hAnsi="宋体" w:cs="宋体"/>
          <w:color w:val="auto"/>
          <w:lang w:val="zh-CN"/>
        </w:rPr>
        <w:t>评标办法及评分标准</w:t>
      </w:r>
      <w:bookmarkEnd w:id="529"/>
      <w:bookmarkEnd w:id="530"/>
      <w:bookmarkEnd w:id="531"/>
      <w:bookmarkEnd w:id="532"/>
      <w:bookmarkEnd w:id="533"/>
      <w:bookmarkEnd w:id="534"/>
      <w:bookmarkEnd w:id="535"/>
      <w:bookmarkEnd w:id="536"/>
      <w:bookmarkEnd w:id="537"/>
      <w:bookmarkEnd w:id="538"/>
      <w:bookmarkEnd w:id="539"/>
      <w:bookmarkStart w:id="569" w:name="_Toc12892"/>
      <w:bookmarkStart w:id="570" w:name="_Toc356371472"/>
    </w:p>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69"/>
    <w:bookmarkEnd w:id="570"/>
    <w:p w14:paraId="7DBC1380">
      <w:pPr>
        <w:keepNext w:val="0"/>
        <w:keepLines w:val="0"/>
        <w:pageBreakBefore w:val="0"/>
        <w:widowControl/>
        <w:kinsoku/>
        <w:wordWrap/>
        <w:overflowPunct/>
        <w:topLinePunct w:val="0"/>
        <w:autoSpaceDE/>
        <w:autoSpaceDN/>
        <w:bidi w:val="0"/>
        <w:adjustRightInd/>
        <w:snapToGrid/>
        <w:spacing w:line="440" w:lineRule="exact"/>
        <w:ind w:firstLine="482"/>
        <w:textAlignment w:val="auto"/>
        <w:outlineLvl w:val="1"/>
        <w:rPr>
          <w:rFonts w:ascii="宋体" w:hAnsi="宋体" w:cs="宋体"/>
          <w:b/>
          <w:bCs/>
          <w:color w:val="auto"/>
        </w:rPr>
      </w:pPr>
      <w:bookmarkStart w:id="571" w:name="_Toc16005"/>
      <w:bookmarkStart w:id="572" w:name="_Toc10787"/>
      <w:bookmarkStart w:id="573" w:name="_Toc13896"/>
      <w:bookmarkStart w:id="574" w:name="_Toc23405"/>
      <w:bookmarkStart w:id="575" w:name="_Toc18561"/>
      <w:bookmarkStart w:id="576" w:name="_Toc19049"/>
      <w:bookmarkStart w:id="577" w:name="_Toc4678"/>
      <w:bookmarkStart w:id="578" w:name="_Toc22689"/>
      <w:bookmarkStart w:id="579" w:name="_Toc23629"/>
      <w:bookmarkStart w:id="580" w:name="_Toc9754"/>
      <w:bookmarkStart w:id="581" w:name="_Toc26937"/>
      <w:bookmarkStart w:id="582" w:name="_Toc13528"/>
      <w:bookmarkStart w:id="583" w:name="_Toc22934"/>
      <w:bookmarkStart w:id="584" w:name="_Toc18392"/>
      <w:bookmarkStart w:id="585" w:name="_Toc16765"/>
      <w:bookmarkStart w:id="586" w:name="_Toc25369"/>
      <w:bookmarkStart w:id="587" w:name="_Toc24868"/>
      <w:bookmarkStart w:id="588" w:name="_Toc21988"/>
      <w:bookmarkStart w:id="589" w:name="_Toc7869"/>
      <w:bookmarkStart w:id="590" w:name="_Toc25353"/>
      <w:bookmarkStart w:id="591" w:name="_Toc7153"/>
      <w:bookmarkStart w:id="592" w:name="_Toc18789"/>
      <w:bookmarkStart w:id="593" w:name="_Toc17852"/>
      <w:bookmarkStart w:id="594" w:name="_Toc642"/>
      <w:bookmarkStart w:id="595" w:name="_Toc344208599"/>
      <w:bookmarkStart w:id="596" w:name="_Toc8768"/>
      <w:bookmarkStart w:id="597" w:name="_Toc26376"/>
      <w:bookmarkStart w:id="598" w:name="_Toc16260"/>
      <w:bookmarkStart w:id="599" w:name="_Toc22407"/>
      <w:bookmarkStart w:id="600" w:name="_Toc32666"/>
      <w:bookmarkStart w:id="601" w:name="_Toc27779"/>
      <w:bookmarkStart w:id="602" w:name="_Toc32429"/>
      <w:bookmarkStart w:id="603" w:name="_Toc24093"/>
      <w:bookmarkStart w:id="604" w:name="_Toc22791"/>
      <w:bookmarkStart w:id="605" w:name="_Toc7475"/>
      <w:bookmarkStart w:id="606" w:name="_Toc27554"/>
      <w:bookmarkStart w:id="607" w:name="_Toc2393"/>
      <w:bookmarkStart w:id="608" w:name="_Toc17848"/>
      <w:bookmarkStart w:id="609" w:name="_Toc25138"/>
      <w:bookmarkStart w:id="610" w:name="_Toc7653"/>
      <w:bookmarkStart w:id="611" w:name="_Toc25648"/>
      <w:bookmarkStart w:id="612" w:name="_Toc25720"/>
      <w:bookmarkStart w:id="613" w:name="_Toc9653"/>
      <w:bookmarkStart w:id="614" w:name="_Toc15196"/>
      <w:bookmarkStart w:id="615" w:name="_Toc2268"/>
      <w:bookmarkStart w:id="616" w:name="_Toc5861"/>
      <w:bookmarkStart w:id="617" w:name="_Toc13104"/>
      <w:bookmarkStart w:id="618" w:name="_Toc14588"/>
      <w:bookmarkStart w:id="619" w:name="_Toc4125"/>
      <w:bookmarkStart w:id="620" w:name="_Toc4470"/>
      <w:bookmarkStart w:id="621" w:name="_Toc11499"/>
      <w:bookmarkStart w:id="622" w:name="_Toc10661"/>
      <w:bookmarkStart w:id="623" w:name="_Toc12706"/>
      <w:bookmarkStart w:id="624" w:name="_Toc17310"/>
      <w:bookmarkStart w:id="625" w:name="_Toc23253"/>
      <w:bookmarkStart w:id="626" w:name="_Toc23856"/>
      <w:bookmarkStart w:id="627" w:name="_Toc19997"/>
      <w:bookmarkStart w:id="628" w:name="_Toc25940"/>
      <w:bookmarkStart w:id="629" w:name="_Toc317671872"/>
      <w:bookmarkStart w:id="630" w:name="_Toc21158"/>
      <w:bookmarkStart w:id="631" w:name="_Toc6732"/>
      <w:bookmarkStart w:id="632" w:name="_Toc6078"/>
      <w:bookmarkStart w:id="633" w:name="_Toc15322"/>
      <w:bookmarkStart w:id="634" w:name="_Toc2839"/>
      <w:bookmarkStart w:id="635" w:name="_Toc32485"/>
      <w:bookmarkStart w:id="636" w:name="_Toc150404637"/>
      <w:bookmarkStart w:id="637" w:name="_Toc22538"/>
      <w:bookmarkStart w:id="638" w:name="_Toc31419"/>
      <w:bookmarkStart w:id="639" w:name="_Toc27764"/>
      <w:bookmarkStart w:id="640" w:name="_Toc6901"/>
      <w:bookmarkStart w:id="641" w:name="_Toc11090"/>
      <w:bookmarkStart w:id="642" w:name="_Toc16212"/>
      <w:bookmarkStart w:id="643" w:name="_Toc17851"/>
      <w:bookmarkStart w:id="644" w:name="_Toc11538"/>
      <w:bookmarkStart w:id="645" w:name="_Toc12737"/>
      <w:bookmarkStart w:id="646" w:name="_Toc10747"/>
      <w:bookmarkStart w:id="647" w:name="_Toc599"/>
      <w:bookmarkStart w:id="648" w:name="_Toc8527"/>
      <w:bookmarkStart w:id="649" w:name="_Toc32546"/>
      <w:bookmarkStart w:id="650" w:name="_Toc4752"/>
      <w:bookmarkStart w:id="651" w:name="_Toc434"/>
      <w:bookmarkStart w:id="652" w:name="_Toc11262"/>
      <w:bookmarkStart w:id="653" w:name="_Toc18027"/>
      <w:bookmarkStart w:id="654" w:name="_Toc27760"/>
      <w:r>
        <w:rPr>
          <w:rFonts w:hint="eastAsia" w:ascii="宋体" w:hAnsi="宋体" w:cs="宋体"/>
          <w:b/>
          <w:bCs/>
          <w:color w:val="auto"/>
        </w:rPr>
        <w:t>一、总则</w:t>
      </w:r>
      <w:bookmarkEnd w:id="571"/>
      <w:bookmarkEnd w:id="572"/>
      <w:bookmarkEnd w:id="573"/>
      <w:bookmarkEnd w:id="574"/>
      <w:bookmarkEnd w:id="575"/>
      <w:bookmarkEnd w:id="576"/>
      <w:bookmarkEnd w:id="577"/>
    </w:p>
    <w:p w14:paraId="1758487F">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1.为公正、公平、科学地选择中标人，参照《中华人民共和国政府采购法》《中华人民共和国政府采购法实施条例》以及政府采购有关规定，并结合本项目的实际情况，制定本办法。</w:t>
      </w:r>
    </w:p>
    <w:p w14:paraId="2F188B03">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2.评标工作由采购组织机构负责组织，具体评标事务由评标委员会负责。</w:t>
      </w:r>
    </w:p>
    <w:p w14:paraId="27C2FDF6">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3.评标委员会评价投标文件的响应性，对于投标人而言，除评标委员会要求其澄清、说明或者更正而提供的资料外，仅依据投标文件本身的内容，不寻求其他外部证据。如投标人提交的资质证明或其他内容不齐全，由此造成的后果由投标人自己负责。</w:t>
      </w:r>
    </w:p>
    <w:p w14:paraId="06C60E1D">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4.本项目评标采用不公开方式进行，评标过程独立、保密。投标人非法干预评标过程的行为将导致其投标文件作为无效处理。</w:t>
      </w:r>
    </w:p>
    <w:p w14:paraId="4B3CECE6">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5.本项目评标采用不公开方式进行。</w:t>
      </w:r>
    </w:p>
    <w:p w14:paraId="7DD9829D">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6.本项目评审采用综合评分法。</w:t>
      </w:r>
    </w:p>
    <w:p w14:paraId="2058375B">
      <w:pPr>
        <w:keepNext w:val="0"/>
        <w:keepLines w:val="0"/>
        <w:pageBreakBefore w:val="0"/>
        <w:widowControl/>
        <w:kinsoku/>
        <w:wordWrap/>
        <w:overflowPunct/>
        <w:topLinePunct w:val="0"/>
        <w:autoSpaceDE/>
        <w:autoSpaceDN/>
        <w:bidi w:val="0"/>
        <w:adjustRightInd/>
        <w:snapToGrid/>
        <w:spacing w:line="440" w:lineRule="exact"/>
        <w:ind w:firstLine="482"/>
        <w:textAlignment w:val="auto"/>
        <w:outlineLvl w:val="1"/>
        <w:rPr>
          <w:rFonts w:ascii="宋体" w:hAnsi="宋体" w:cs="宋体"/>
          <w:b/>
          <w:bCs/>
          <w:color w:val="auto"/>
        </w:rPr>
      </w:pPr>
      <w:bookmarkStart w:id="655" w:name="_Toc18973"/>
      <w:bookmarkStart w:id="656" w:name="_Toc2845"/>
      <w:bookmarkStart w:id="657" w:name="_Toc32218"/>
      <w:bookmarkStart w:id="658" w:name="_Toc7240"/>
      <w:bookmarkStart w:id="659" w:name="_Toc14481"/>
      <w:bookmarkStart w:id="660" w:name="_Toc30301"/>
      <w:bookmarkStart w:id="661" w:name="_Toc21394"/>
      <w:bookmarkStart w:id="662" w:name="_Toc11305"/>
      <w:r>
        <w:rPr>
          <w:rFonts w:hint="eastAsia" w:ascii="宋体" w:hAnsi="宋体" w:cs="宋体"/>
          <w:b/>
          <w:bCs/>
          <w:color w:val="auto"/>
        </w:rPr>
        <w:t>二、组建评标委员会</w:t>
      </w:r>
      <w:bookmarkEnd w:id="655"/>
      <w:bookmarkEnd w:id="656"/>
      <w:bookmarkEnd w:id="657"/>
      <w:bookmarkEnd w:id="658"/>
      <w:bookmarkEnd w:id="659"/>
      <w:bookmarkEnd w:id="660"/>
      <w:bookmarkEnd w:id="661"/>
      <w:bookmarkEnd w:id="662"/>
    </w:p>
    <w:p w14:paraId="44D8FFCD">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1.采购人将根据相关规定和采购项目的特点由采购人和技术、经济等方面专家组成评标委员会，评标委员会成员人数见投标人须知前附表。</w:t>
      </w:r>
    </w:p>
    <w:p w14:paraId="2650E556">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2.除依法组建的评标委员会成员以外，其他任何人不得参加或者替代评审。</w:t>
      </w:r>
    </w:p>
    <w:p w14:paraId="4807383C">
      <w:pPr>
        <w:keepNext w:val="0"/>
        <w:keepLines w:val="0"/>
        <w:pageBreakBefore w:val="0"/>
        <w:widowControl/>
        <w:kinsoku/>
        <w:wordWrap/>
        <w:overflowPunct/>
        <w:topLinePunct w:val="0"/>
        <w:autoSpaceDE/>
        <w:autoSpaceDN/>
        <w:bidi w:val="0"/>
        <w:adjustRightInd/>
        <w:snapToGrid/>
        <w:spacing w:line="440" w:lineRule="exact"/>
        <w:ind w:firstLine="482"/>
        <w:textAlignment w:val="auto"/>
        <w:outlineLvl w:val="1"/>
        <w:rPr>
          <w:rFonts w:ascii="宋体" w:hAnsi="宋体" w:cs="宋体"/>
          <w:b/>
          <w:bCs/>
          <w:color w:val="auto"/>
        </w:rPr>
      </w:pPr>
      <w:bookmarkStart w:id="663" w:name="_Toc32382"/>
      <w:bookmarkStart w:id="664" w:name="_Toc11485"/>
      <w:bookmarkStart w:id="665" w:name="_Toc9591"/>
      <w:bookmarkStart w:id="666" w:name="_Toc435"/>
      <w:bookmarkStart w:id="667" w:name="_Toc32495"/>
      <w:bookmarkStart w:id="668" w:name="_Toc28668"/>
      <w:bookmarkStart w:id="669" w:name="_Toc22938"/>
      <w:bookmarkStart w:id="670" w:name="_Toc11552"/>
      <w:r>
        <w:rPr>
          <w:rFonts w:hint="eastAsia" w:ascii="宋体" w:hAnsi="宋体" w:cs="宋体"/>
          <w:b/>
          <w:bCs/>
          <w:color w:val="auto"/>
        </w:rPr>
        <w:t>三、评标原则</w:t>
      </w:r>
      <w:bookmarkEnd w:id="663"/>
      <w:bookmarkEnd w:id="664"/>
      <w:bookmarkEnd w:id="665"/>
      <w:bookmarkEnd w:id="666"/>
      <w:bookmarkEnd w:id="667"/>
      <w:bookmarkEnd w:id="668"/>
      <w:bookmarkEnd w:id="669"/>
      <w:bookmarkEnd w:id="670"/>
    </w:p>
    <w:p w14:paraId="3AE8CB7E">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1.公正、客观、审慎的原则。</w:t>
      </w:r>
    </w:p>
    <w:p w14:paraId="79B5E1C2">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2.严格保密原则。评标委员会及有关工作人员不得私下与投标人接触。采购人或采购组织机构对评审结果不作任何说明和解释，也不回答任何提问。</w:t>
      </w:r>
    </w:p>
    <w:p w14:paraId="2608796A">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3.独立评审原则。任何单位和个人不得干扰、影响评审的正常进行。</w:t>
      </w:r>
    </w:p>
    <w:p w14:paraId="695F7B0D">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4.严格遵守评标方法。根据采购文件规定的评审程序、评审方法进行评审，不带任何倾向性和启发性。</w:t>
      </w:r>
    </w:p>
    <w:p w14:paraId="50E3020F">
      <w:pPr>
        <w:keepNext w:val="0"/>
        <w:keepLines w:val="0"/>
        <w:pageBreakBefore w:val="0"/>
        <w:widowControl/>
        <w:kinsoku/>
        <w:wordWrap/>
        <w:overflowPunct/>
        <w:topLinePunct w:val="0"/>
        <w:autoSpaceDE/>
        <w:autoSpaceDN/>
        <w:bidi w:val="0"/>
        <w:adjustRightInd/>
        <w:snapToGrid/>
        <w:spacing w:line="440" w:lineRule="exact"/>
        <w:ind w:firstLine="482"/>
        <w:textAlignment w:val="auto"/>
        <w:outlineLvl w:val="1"/>
        <w:rPr>
          <w:rFonts w:ascii="宋体" w:hAnsi="宋体" w:cs="宋体"/>
          <w:b/>
          <w:bCs/>
          <w:color w:val="auto"/>
        </w:rPr>
      </w:pPr>
      <w:bookmarkStart w:id="671" w:name="_Toc3166"/>
      <w:bookmarkStart w:id="672" w:name="_Toc27639"/>
      <w:bookmarkStart w:id="673" w:name="_Toc12137"/>
      <w:bookmarkStart w:id="674" w:name="_Toc4890"/>
      <w:bookmarkStart w:id="675" w:name="_Toc29039"/>
      <w:bookmarkStart w:id="676" w:name="_Toc10524"/>
      <w:bookmarkStart w:id="677" w:name="_Toc11868"/>
      <w:bookmarkStart w:id="678" w:name="_Toc19314"/>
      <w:r>
        <w:rPr>
          <w:rFonts w:hint="eastAsia" w:ascii="宋体" w:hAnsi="宋体" w:cs="宋体"/>
          <w:b/>
          <w:bCs/>
          <w:color w:val="auto"/>
        </w:rPr>
        <w:t>四、评标委员会履行下列职责</w:t>
      </w:r>
      <w:bookmarkEnd w:id="671"/>
      <w:bookmarkEnd w:id="672"/>
      <w:bookmarkEnd w:id="673"/>
      <w:bookmarkEnd w:id="674"/>
      <w:bookmarkEnd w:id="675"/>
      <w:bookmarkEnd w:id="676"/>
      <w:bookmarkEnd w:id="677"/>
      <w:bookmarkEnd w:id="678"/>
    </w:p>
    <w:p w14:paraId="3E4BCC4D">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1.熟悉和理解招标文件；</w:t>
      </w:r>
    </w:p>
    <w:p w14:paraId="73E2515C">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2.审查投标人投标文件等是否满足招标文件要求，并作出评价；</w:t>
      </w:r>
    </w:p>
    <w:p w14:paraId="68C47126">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3.根据需要要求采购人对招标文件作出解释；根据需要要求投标人对投标文件有关事项作出澄清、说明或者更正；</w:t>
      </w:r>
    </w:p>
    <w:p w14:paraId="4D270CC0">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4.推荐中标候选人，或者受采购人委托确定中标人；</w:t>
      </w:r>
    </w:p>
    <w:p w14:paraId="1FAE44C7">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5.起草评标报告并进行签署；</w:t>
      </w:r>
    </w:p>
    <w:p w14:paraId="36CA102A">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6.向采购人、监督部门报告非法干预评标工作的行为；</w:t>
      </w:r>
    </w:p>
    <w:p w14:paraId="0AC0D86D">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7.法律、法规和规章规定的其他职责。</w:t>
      </w:r>
    </w:p>
    <w:p w14:paraId="0A6F5297">
      <w:pPr>
        <w:keepNext w:val="0"/>
        <w:keepLines w:val="0"/>
        <w:pageBreakBefore w:val="0"/>
        <w:widowControl/>
        <w:kinsoku/>
        <w:wordWrap/>
        <w:overflowPunct/>
        <w:topLinePunct w:val="0"/>
        <w:autoSpaceDE/>
        <w:autoSpaceDN/>
        <w:bidi w:val="0"/>
        <w:adjustRightInd/>
        <w:snapToGrid/>
        <w:spacing w:line="440" w:lineRule="exact"/>
        <w:ind w:firstLine="482"/>
        <w:textAlignment w:val="auto"/>
        <w:outlineLvl w:val="1"/>
        <w:rPr>
          <w:rFonts w:ascii="宋体" w:hAnsi="宋体" w:cs="宋体"/>
          <w:b/>
          <w:bCs/>
          <w:color w:val="auto"/>
        </w:rPr>
      </w:pPr>
      <w:bookmarkStart w:id="679" w:name="_Toc11071"/>
      <w:bookmarkStart w:id="680" w:name="_Toc24565"/>
      <w:bookmarkStart w:id="681" w:name="_Toc26645"/>
      <w:bookmarkStart w:id="682" w:name="_Toc23156"/>
      <w:bookmarkStart w:id="683" w:name="_Toc6044"/>
      <w:bookmarkStart w:id="684" w:name="_Toc7255"/>
      <w:bookmarkStart w:id="685" w:name="_Toc2770"/>
      <w:bookmarkStart w:id="686" w:name="_Toc22119"/>
      <w:r>
        <w:rPr>
          <w:rFonts w:hint="eastAsia" w:ascii="宋体" w:hAnsi="宋体" w:cs="宋体"/>
          <w:b/>
          <w:bCs/>
          <w:color w:val="auto"/>
        </w:rPr>
        <w:t>五、评标工作纪律</w:t>
      </w:r>
      <w:bookmarkEnd w:id="679"/>
      <w:bookmarkEnd w:id="680"/>
      <w:bookmarkEnd w:id="681"/>
      <w:bookmarkEnd w:id="682"/>
      <w:bookmarkEnd w:id="683"/>
      <w:bookmarkEnd w:id="684"/>
      <w:bookmarkEnd w:id="685"/>
      <w:bookmarkEnd w:id="686"/>
    </w:p>
    <w:p w14:paraId="09A0826B">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评标委员会成员要严格遵守评标纪律、保密、回避等相关规定，依法独立履行评标职责，客观、公正、审慎参与评标工作；</w:t>
      </w:r>
    </w:p>
    <w:p w14:paraId="504E2B88">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1.严格遵守评标时间，因突发情况确实不能按时参加评标的，应事先告知招标组织机构；</w:t>
      </w:r>
    </w:p>
    <w:p w14:paraId="1C775816">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2.服从招标组织机构的现场管理，主动出示身份证明，进入评标区域后应主动寄存移动通讯工具；</w:t>
      </w:r>
    </w:p>
    <w:p w14:paraId="0C1CAC37">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3.与投标人或评标委员会其他成员存在利害关系的，要主动回避，自觉签订《国企采购评审人员廉洁自律承诺书》；</w:t>
      </w:r>
    </w:p>
    <w:p w14:paraId="5B066BDB">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4.保持评标现场安静，不在评标现场随意走动，因发生不可预见情况确需与外界联系或暂时离开评标现场的，应向现场监督员说明情况，征得同意后在监控区域内进行相关活动，并应接受相关工作人员的监督；</w:t>
      </w:r>
    </w:p>
    <w:p w14:paraId="7738D847">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5.自觉遵守职业道德，尊重采购人代表和投标人代表，配合招标组织机构回答投标人代表提出的有关异议；</w:t>
      </w:r>
    </w:p>
    <w:p w14:paraId="1A762698">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6.不得将评标过程、结果和投标人的商业秘密透露给任何单位和个人。未公告评标结果前不准泄露评标结果，不准将评标资料带出会场；</w:t>
      </w:r>
    </w:p>
    <w:p w14:paraId="6A6CDB7B">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7.评标过程中，涉及到相关法律法规不清楚之处的，由采购监管部门或请示权威部门作出法定解释，涉及到招标文件的由采购人和采购代理机构负责解释。</w:t>
      </w:r>
    </w:p>
    <w:p w14:paraId="4349541E">
      <w:pPr>
        <w:keepNext w:val="0"/>
        <w:keepLines w:val="0"/>
        <w:pageBreakBefore w:val="0"/>
        <w:widowControl/>
        <w:kinsoku/>
        <w:wordWrap/>
        <w:overflowPunct/>
        <w:topLinePunct w:val="0"/>
        <w:autoSpaceDE/>
        <w:autoSpaceDN/>
        <w:bidi w:val="0"/>
        <w:adjustRightInd/>
        <w:snapToGrid/>
        <w:spacing w:line="440" w:lineRule="exact"/>
        <w:ind w:firstLine="482"/>
        <w:textAlignment w:val="auto"/>
        <w:outlineLvl w:val="1"/>
        <w:rPr>
          <w:rFonts w:ascii="宋体" w:hAnsi="宋体" w:cs="宋体"/>
          <w:b/>
          <w:bCs/>
          <w:color w:val="auto"/>
        </w:rPr>
      </w:pPr>
      <w:bookmarkStart w:id="687" w:name="_Toc19330"/>
      <w:bookmarkStart w:id="688" w:name="_Toc1409"/>
      <w:bookmarkStart w:id="689" w:name="_Toc24507"/>
      <w:bookmarkStart w:id="690" w:name="_Toc32561"/>
      <w:bookmarkStart w:id="691" w:name="_Toc21047"/>
      <w:bookmarkStart w:id="692" w:name="_Toc13291"/>
      <w:bookmarkStart w:id="693" w:name="_Toc274"/>
      <w:bookmarkStart w:id="694" w:name="_Toc19074"/>
      <w:r>
        <w:rPr>
          <w:rFonts w:hint="eastAsia" w:ascii="宋体" w:hAnsi="宋体" w:cs="宋体"/>
          <w:b/>
          <w:bCs/>
          <w:color w:val="auto"/>
        </w:rPr>
        <w:t>六、评标程序</w:t>
      </w:r>
      <w:bookmarkEnd w:id="687"/>
      <w:bookmarkEnd w:id="688"/>
      <w:bookmarkEnd w:id="689"/>
      <w:bookmarkEnd w:id="690"/>
      <w:bookmarkEnd w:id="691"/>
      <w:bookmarkEnd w:id="692"/>
      <w:bookmarkEnd w:id="693"/>
      <w:bookmarkEnd w:id="694"/>
    </w:p>
    <w:p w14:paraId="1172DCE9">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1.推选评标委员会组长，优先资深专家担任组长，采购人代表不得担任组长。</w:t>
      </w:r>
    </w:p>
    <w:p w14:paraId="18CF8349">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2.评标委员会正式评审前，应当对采购文件进行熟悉和理解，内容主要包括采购文件中投标人资格资质性要求、采购项目技术、服务和商务要求、评审方法以及可能涉及签订采购合同的内容等。</w:t>
      </w:r>
    </w:p>
    <w:p w14:paraId="0ED208F5">
      <w:pPr>
        <w:keepNext w:val="0"/>
        <w:keepLines w:val="0"/>
        <w:pageBreakBefore w:val="0"/>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3.评标程序：资格性审查→符合性审查→</w:t>
      </w:r>
      <w:r>
        <w:rPr>
          <w:rFonts w:hint="eastAsia" w:ascii="宋体" w:hAnsi="宋体" w:cs="宋体"/>
          <w:color w:val="auto"/>
          <w:lang w:val="en-US" w:eastAsia="zh-CN"/>
        </w:rPr>
        <w:t>商务</w:t>
      </w:r>
      <w:r>
        <w:rPr>
          <w:rFonts w:hint="eastAsia" w:ascii="宋体" w:hAnsi="宋体" w:cs="宋体"/>
          <w:color w:val="auto"/>
        </w:rPr>
        <w:t>技术评审→报价评审→得分汇总→编写评审报告。</w:t>
      </w:r>
    </w:p>
    <w:p w14:paraId="49DE5446">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4.资格性审查</w:t>
      </w:r>
    </w:p>
    <w:p w14:paraId="302E7C0B">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4.1.评标委员会应依据法律法规和本招标文件的规定对投标人资格进行审查。审查内容包</w:t>
      </w:r>
    </w:p>
    <w:p w14:paraId="01C8391C">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括：</w:t>
      </w:r>
    </w:p>
    <w:p w14:paraId="30967DEB">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(1)是否属于禁止参加投标的投标人；</w:t>
      </w:r>
    </w:p>
    <w:p w14:paraId="04A86FD4">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(2)是否按照规定要求提供资格性证明材料；</w:t>
      </w:r>
    </w:p>
    <w:p w14:paraId="45EFD9A1">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(3)法律法规规定的其他资格条件。</w:t>
      </w:r>
    </w:p>
    <w:p w14:paraId="57A46ED1">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4.2.经资格审查不符合招标文件要求的投标文件，即终止其参与投标资格。不符合的理由由投标人在</w:t>
      </w:r>
      <w:r>
        <w:rPr>
          <w:rFonts w:hint="eastAsia" w:ascii="宋体" w:hAnsi="宋体" w:cs="宋体"/>
          <w:color w:val="auto"/>
          <w:lang w:val="en-US" w:eastAsia="zh-CN"/>
        </w:rPr>
        <w:t>系统里</w:t>
      </w:r>
      <w:r>
        <w:rPr>
          <w:rFonts w:hint="eastAsia" w:ascii="宋体" w:hAnsi="宋体" w:cs="宋体"/>
          <w:color w:val="auto"/>
        </w:rPr>
        <w:t>确认，投标人拒绝确认的不影响评标委员会作出的不合格裁定。</w:t>
      </w:r>
    </w:p>
    <w:p w14:paraId="4E3861F1">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5.符合性审查</w:t>
      </w:r>
    </w:p>
    <w:p w14:paraId="660B3A27">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5.1.评标委员会根据本招标文件的规定，对资格符合投标人的投标文件进行审查，以认定其是否满足本招标文件的实质性要求。符合性审查事项仅限于本招标文件的明确规定，评标委员会不得臆测符合性审查事项。经符合性审查未实质性响应招标文件要求，以投标无效处理。</w:t>
      </w:r>
    </w:p>
    <w:p w14:paraId="3D825270">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未实质性响应的理由由投标人在电话里确认。投标人拒绝确认的不影响评标委员会作出的不合格裁定。评标委员会不再进行后续评审。</w:t>
      </w:r>
    </w:p>
    <w:p w14:paraId="31297135">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5.2.如果确定投标人无资格履行合同，其投标将被拒绝。</w:t>
      </w:r>
    </w:p>
    <w:p w14:paraId="29CD24F1">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6.投标文件评审</w:t>
      </w:r>
    </w:p>
    <w:p w14:paraId="190E81C0">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评标委员会应当按照本招标文件中规定的评标方法和评分标准，对有效的投标文件进行技术、服务、商务等方面评估，综合比较与评价。详见本章第十条。</w:t>
      </w:r>
    </w:p>
    <w:p w14:paraId="2F5A0866">
      <w:pPr>
        <w:keepNext w:val="0"/>
        <w:keepLines w:val="0"/>
        <w:pageBreakBefore w:val="0"/>
        <w:widowControl/>
        <w:kinsoku/>
        <w:wordWrap/>
        <w:overflowPunct/>
        <w:topLinePunct w:val="0"/>
        <w:autoSpaceDE/>
        <w:autoSpaceDN/>
        <w:bidi w:val="0"/>
        <w:adjustRightInd/>
        <w:snapToGrid/>
        <w:spacing w:line="440" w:lineRule="exact"/>
        <w:ind w:firstLine="482"/>
        <w:jc w:val="left"/>
        <w:textAlignment w:val="auto"/>
        <w:outlineLvl w:val="1"/>
        <w:rPr>
          <w:rFonts w:ascii="宋体" w:hAnsi="宋体" w:cs="宋体"/>
          <w:b/>
          <w:bCs/>
          <w:color w:val="auto"/>
        </w:rPr>
      </w:pPr>
      <w:bookmarkStart w:id="695" w:name="_Toc8858"/>
      <w:bookmarkStart w:id="696" w:name="_Toc26135"/>
      <w:bookmarkStart w:id="697" w:name="_Toc16982"/>
      <w:bookmarkStart w:id="698" w:name="_Toc21780"/>
      <w:bookmarkStart w:id="699" w:name="_Toc5244"/>
      <w:bookmarkStart w:id="700" w:name="_Toc723"/>
      <w:bookmarkStart w:id="701" w:name="_Toc19913"/>
      <w:bookmarkStart w:id="702" w:name="_Toc5576"/>
      <w:r>
        <w:rPr>
          <w:rFonts w:hint="eastAsia" w:ascii="宋体" w:hAnsi="宋体" w:cs="宋体"/>
          <w:b/>
          <w:bCs/>
          <w:color w:val="auto"/>
        </w:rPr>
        <w:t>七、澄清、说明或修正</w:t>
      </w:r>
      <w:bookmarkEnd w:id="695"/>
      <w:bookmarkEnd w:id="696"/>
      <w:bookmarkEnd w:id="697"/>
      <w:bookmarkEnd w:id="698"/>
      <w:bookmarkEnd w:id="699"/>
      <w:bookmarkEnd w:id="700"/>
      <w:bookmarkEnd w:id="701"/>
      <w:bookmarkEnd w:id="702"/>
    </w:p>
    <w:p w14:paraId="2EA1B7C5">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1.在评审过程中，投标文件实质性符合招标文件要求的前提下，评标委员会对投标文件中含义不明确、同类问题表述不一致或者有明显文字和计算错误的内容，评标委员会可以要求相关投标人作出必要的澄清、说明或修正。但不得超出招标文件的范围，不得以此让投标人实质改变投标文件的内容，不得影响公平竞争和投标文件的效力。澄清、说明或修正内容是投标文件的组成部分。</w:t>
      </w:r>
    </w:p>
    <w:p w14:paraId="7414943F">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2.投标文件报价出现前后不一致的，按照下列规定修正：</w:t>
      </w:r>
    </w:p>
    <w:p w14:paraId="31EDD169">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2.1.开标时，投标文件中投标报价函内容与投标文件中明细表内容不一致的，以投标报价函为准；</w:t>
      </w:r>
    </w:p>
    <w:p w14:paraId="27476373">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2.2投标文件的大写金额和小写金额不一致的，以大写金额为准；</w:t>
      </w:r>
    </w:p>
    <w:p w14:paraId="438A39FE">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2.3单价金额小数点或百分比有明显错位的，以投标报价函的总价为准，并修改单价；</w:t>
      </w:r>
    </w:p>
    <w:p w14:paraId="57BC529D">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2.4总价金额与按单价汇总金额不一致的，以单价金额计算结果为准；同时出现两种以上不一致的，按照前款规定的顺序修正，修正后的报价应经投标人书面确认，投标人不予确认的，其投标无效。</w:t>
      </w:r>
    </w:p>
    <w:p w14:paraId="145CB648">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2.5.对不同语言文本投标文件的解释发生异议的，以中文文本为准。</w:t>
      </w:r>
    </w:p>
    <w:p w14:paraId="75FB066A">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出现本条第2.3项规定情形，单价汇总金额比总价金额高，且超过最高限价的，其投标文件应作为无效投标处理；单价汇总金额比总价金额高，但未超过采购预算或者本项目最高限价的，应以单价汇总金额作为价格评分依据。</w:t>
      </w:r>
    </w:p>
    <w:p w14:paraId="57DBC7F5">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3.澄清说明答复函须由投标人法定代表人或授权代理人签字和盖章。如果投标人不接受对其错误的更正，其投标将被拒绝。</w:t>
      </w:r>
    </w:p>
    <w:p w14:paraId="5241F7AB">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4.请投标人在评审期间保持电话畅通，如未及时接听电话，视为放弃澄清、说明或补正的权利，视同默认采购结果，事后不得对采购相关人员、采购过程及结果提出异议。放弃澄清、说明或补正的责任由投标人自行负担。</w:t>
      </w:r>
    </w:p>
    <w:p w14:paraId="6781ACD0">
      <w:pPr>
        <w:keepNext w:val="0"/>
        <w:keepLines w:val="0"/>
        <w:pageBreakBefore w:val="0"/>
        <w:widowControl/>
        <w:kinsoku/>
        <w:wordWrap/>
        <w:overflowPunct/>
        <w:topLinePunct w:val="0"/>
        <w:autoSpaceDE/>
        <w:autoSpaceDN/>
        <w:bidi w:val="0"/>
        <w:adjustRightInd/>
        <w:snapToGrid/>
        <w:spacing w:line="440" w:lineRule="exact"/>
        <w:ind w:firstLine="482" w:firstLineChars="0"/>
        <w:jc w:val="left"/>
        <w:textAlignment w:val="auto"/>
        <w:outlineLvl w:val="1"/>
        <w:rPr>
          <w:rFonts w:ascii="宋体" w:hAnsi="宋体" w:cs="宋体"/>
          <w:b/>
          <w:bCs/>
          <w:color w:val="auto"/>
        </w:rPr>
      </w:pPr>
      <w:bookmarkStart w:id="703" w:name="_Toc28123"/>
      <w:bookmarkStart w:id="704" w:name="_Toc27480"/>
      <w:bookmarkStart w:id="705" w:name="_Toc15675"/>
      <w:bookmarkStart w:id="706" w:name="_Toc31038"/>
      <w:bookmarkStart w:id="707" w:name="_Toc16185"/>
      <w:bookmarkStart w:id="708" w:name="_Toc14326"/>
      <w:bookmarkStart w:id="709" w:name="_Toc1500"/>
      <w:r>
        <w:rPr>
          <w:rFonts w:hint="eastAsia" w:ascii="宋体" w:hAnsi="宋体" w:cs="宋体"/>
          <w:b/>
          <w:bCs/>
          <w:color w:val="auto"/>
        </w:rPr>
        <w:t>八、推荐中标候选人</w:t>
      </w:r>
      <w:bookmarkEnd w:id="703"/>
      <w:bookmarkEnd w:id="704"/>
      <w:bookmarkEnd w:id="705"/>
      <w:bookmarkEnd w:id="706"/>
      <w:bookmarkEnd w:id="707"/>
      <w:bookmarkEnd w:id="708"/>
      <w:bookmarkEnd w:id="709"/>
    </w:p>
    <w:p w14:paraId="00E4CDC3">
      <w:pPr>
        <w:keepNext w:val="0"/>
        <w:keepLines w:val="0"/>
        <w:pageBreakBefore w:val="0"/>
        <w:widowControl/>
        <w:kinsoku/>
        <w:wordWrap/>
        <w:overflowPunct/>
        <w:topLinePunct w:val="0"/>
        <w:autoSpaceDE/>
        <w:autoSpaceDN/>
        <w:bidi w:val="0"/>
        <w:adjustRightInd/>
        <w:snapToGrid/>
        <w:spacing w:line="440" w:lineRule="exact"/>
        <w:ind w:firstLine="480"/>
        <w:textAlignment w:val="auto"/>
        <w:outlineLvl w:val="1"/>
        <w:rPr>
          <w:rFonts w:ascii="宋体" w:hAnsi="宋体" w:cs="宋体"/>
          <w:color w:val="auto"/>
        </w:rPr>
      </w:pPr>
      <w:bookmarkStart w:id="710" w:name="_Toc30774"/>
      <w:bookmarkStart w:id="711" w:name="_Toc6555"/>
      <w:bookmarkStart w:id="712" w:name="_Toc23166"/>
      <w:bookmarkStart w:id="713" w:name="_Toc29148"/>
      <w:bookmarkStart w:id="714" w:name="_Toc1659"/>
      <w:bookmarkStart w:id="715" w:name="_Toc6621"/>
      <w:bookmarkStart w:id="716" w:name="_Toc27231"/>
      <w:bookmarkStart w:id="717" w:name="_Toc26474"/>
      <w:r>
        <w:rPr>
          <w:rFonts w:hint="eastAsia" w:ascii="宋体" w:hAnsi="宋体" w:cs="宋体"/>
          <w:color w:val="auto"/>
        </w:rPr>
        <w:t>按照投标人得分由高到低顺序排列推荐中标候选人。综合得分相同者，以报价低者作为中标候选人；综合得分相同且报价相同，以技术指标优劣决定中标候选人；以上均相同则摇号确定。</w:t>
      </w:r>
      <w:bookmarkEnd w:id="710"/>
      <w:bookmarkEnd w:id="711"/>
      <w:bookmarkEnd w:id="712"/>
      <w:bookmarkEnd w:id="713"/>
      <w:bookmarkEnd w:id="714"/>
      <w:bookmarkEnd w:id="715"/>
      <w:bookmarkEnd w:id="716"/>
      <w:bookmarkEnd w:id="717"/>
    </w:p>
    <w:p w14:paraId="586F9AF1">
      <w:pPr>
        <w:keepNext w:val="0"/>
        <w:keepLines w:val="0"/>
        <w:pageBreakBefore w:val="0"/>
        <w:widowControl/>
        <w:kinsoku/>
        <w:wordWrap/>
        <w:overflowPunct/>
        <w:topLinePunct w:val="0"/>
        <w:autoSpaceDE/>
        <w:autoSpaceDN/>
        <w:bidi w:val="0"/>
        <w:adjustRightInd/>
        <w:snapToGrid/>
        <w:spacing w:line="440" w:lineRule="exact"/>
        <w:ind w:firstLine="482"/>
        <w:jc w:val="left"/>
        <w:textAlignment w:val="auto"/>
        <w:outlineLvl w:val="1"/>
        <w:rPr>
          <w:rFonts w:ascii="宋体" w:hAnsi="宋体" w:cs="宋体"/>
          <w:b/>
          <w:bCs/>
          <w:color w:val="auto"/>
        </w:rPr>
      </w:pPr>
      <w:bookmarkStart w:id="718" w:name="_Toc10194"/>
      <w:bookmarkStart w:id="719" w:name="_Toc6952"/>
      <w:bookmarkStart w:id="720" w:name="_Toc11673"/>
      <w:bookmarkStart w:id="721" w:name="_Toc28343"/>
      <w:bookmarkStart w:id="722" w:name="_Toc28577"/>
      <w:bookmarkStart w:id="723" w:name="_Toc23850"/>
      <w:bookmarkStart w:id="724" w:name="_Toc5568"/>
      <w:bookmarkStart w:id="725" w:name="_Toc31388"/>
      <w:r>
        <w:rPr>
          <w:rFonts w:hint="eastAsia" w:ascii="宋体" w:hAnsi="宋体" w:cs="宋体"/>
          <w:b/>
          <w:bCs/>
          <w:color w:val="auto"/>
        </w:rPr>
        <w:t>九、评审报告</w:t>
      </w:r>
      <w:bookmarkEnd w:id="718"/>
      <w:bookmarkEnd w:id="719"/>
      <w:bookmarkEnd w:id="720"/>
      <w:bookmarkEnd w:id="721"/>
      <w:bookmarkEnd w:id="722"/>
      <w:bookmarkEnd w:id="723"/>
      <w:bookmarkEnd w:id="724"/>
      <w:bookmarkEnd w:id="725"/>
    </w:p>
    <w:p w14:paraId="524E28A3">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ascii="宋体" w:hAnsi="宋体" w:cs="宋体"/>
          <w:color w:val="auto"/>
        </w:rPr>
      </w:pPr>
      <w:r>
        <w:rPr>
          <w:rFonts w:hint="eastAsia" w:ascii="宋体" w:hAnsi="宋体" w:cs="宋体"/>
          <w:color w:val="auto"/>
        </w:rPr>
        <w:t>评标委员会编写评标报告，并提出得分由高到低排序名单及理由，评标报告由评标委员会</w:t>
      </w:r>
    </w:p>
    <w:p w14:paraId="27DEB149">
      <w:pPr>
        <w:keepNext w:val="0"/>
        <w:keepLines w:val="0"/>
        <w:pageBreakBefore w:val="0"/>
        <w:widowControl/>
        <w:kinsoku/>
        <w:wordWrap/>
        <w:overflowPunct/>
        <w:topLinePunct w:val="0"/>
        <w:autoSpaceDE/>
        <w:autoSpaceDN/>
        <w:bidi w:val="0"/>
        <w:adjustRightInd/>
        <w:snapToGrid/>
        <w:spacing w:line="440" w:lineRule="exact"/>
        <w:ind w:firstLine="0" w:firstLineChars="0"/>
        <w:textAlignment w:val="auto"/>
        <w:rPr>
          <w:rFonts w:ascii="宋体" w:hAnsi="宋体" w:cs="宋体"/>
          <w:color w:val="auto"/>
        </w:rPr>
      </w:pPr>
      <w:r>
        <w:rPr>
          <w:rFonts w:hint="eastAsia" w:ascii="宋体" w:hAnsi="宋体" w:cs="宋体"/>
          <w:color w:val="auto"/>
        </w:rPr>
        <w:t>成员签字。</w:t>
      </w:r>
    </w:p>
    <w:p w14:paraId="14875545">
      <w:pPr>
        <w:keepNext w:val="0"/>
        <w:keepLines w:val="0"/>
        <w:pageBreakBefore w:val="0"/>
        <w:widowControl/>
        <w:kinsoku/>
        <w:wordWrap/>
        <w:overflowPunct/>
        <w:topLinePunct w:val="0"/>
        <w:autoSpaceDE/>
        <w:autoSpaceDN/>
        <w:bidi w:val="0"/>
        <w:adjustRightInd/>
        <w:snapToGrid/>
        <w:spacing w:line="440" w:lineRule="exact"/>
        <w:ind w:firstLine="482"/>
        <w:textAlignment w:val="auto"/>
        <w:outlineLvl w:val="1"/>
        <w:rPr>
          <w:rFonts w:ascii="宋体" w:hAnsi="宋体" w:cs="宋体"/>
          <w:color w:val="auto"/>
        </w:rPr>
      </w:pPr>
      <w:bookmarkStart w:id="726" w:name="_Toc10667"/>
      <w:bookmarkStart w:id="727" w:name="_Toc19481"/>
      <w:bookmarkStart w:id="728" w:name="_Toc27030"/>
      <w:bookmarkStart w:id="729" w:name="_Toc17445"/>
      <w:bookmarkStart w:id="730" w:name="_Toc10943"/>
      <w:bookmarkStart w:id="731" w:name="_Toc2725"/>
      <w:bookmarkStart w:id="732" w:name="_Toc23070"/>
      <w:bookmarkStart w:id="733" w:name="_Toc29832"/>
      <w:r>
        <w:rPr>
          <w:rFonts w:hint="eastAsia" w:ascii="宋体" w:hAnsi="宋体" w:cs="宋体"/>
          <w:b/>
          <w:bCs/>
          <w:color w:val="auto"/>
        </w:rPr>
        <w:t>十、评标细则及标准</w:t>
      </w:r>
      <w:bookmarkEnd w:id="726"/>
      <w:bookmarkEnd w:id="727"/>
      <w:bookmarkEnd w:id="728"/>
      <w:bookmarkEnd w:id="729"/>
      <w:bookmarkEnd w:id="730"/>
      <w:bookmarkEnd w:id="731"/>
      <w:bookmarkEnd w:id="732"/>
      <w:bookmarkEnd w:id="733"/>
    </w:p>
    <w:p w14:paraId="0AA77B88">
      <w:pPr>
        <w:keepNext w:val="0"/>
        <w:keepLines w:val="0"/>
        <w:pageBreakBefore w:val="0"/>
        <w:widowControl/>
        <w:kinsoku/>
        <w:wordWrap/>
        <w:overflowPunct/>
        <w:topLinePunct w:val="0"/>
        <w:autoSpaceDE/>
        <w:autoSpaceDN/>
        <w:bidi w:val="0"/>
        <w:adjustRightInd/>
        <w:snapToGrid/>
        <w:spacing w:line="440" w:lineRule="exact"/>
        <w:ind w:firstLine="480"/>
        <w:textAlignment w:val="auto"/>
        <w:outlineLvl w:val="1"/>
        <w:rPr>
          <w:rFonts w:ascii="宋体" w:hAnsi="宋体" w:cs="宋体"/>
          <w:color w:val="auto"/>
        </w:rPr>
      </w:pPr>
      <w:bookmarkStart w:id="734" w:name="_Toc27516"/>
      <w:bookmarkStart w:id="735" w:name="_Toc22648"/>
      <w:bookmarkStart w:id="736" w:name="_Toc8159"/>
      <w:bookmarkStart w:id="737" w:name="_Toc7210"/>
      <w:bookmarkStart w:id="738" w:name="_Toc18818"/>
      <w:bookmarkStart w:id="739" w:name="_Toc17002"/>
      <w:bookmarkStart w:id="740" w:name="_Toc23204"/>
      <w:bookmarkStart w:id="741" w:name="_Toc20443"/>
      <w:r>
        <w:rPr>
          <w:rFonts w:hint="eastAsia" w:ascii="宋体" w:hAnsi="宋体" w:cs="宋体"/>
          <w:color w:val="auto"/>
        </w:rPr>
        <w:t>1.评标委员会成员根据本办法，对有效的投标文件进行商务、技术等方面评估，综合比较与评价，由各成员独立评分，打分时保留小数1位，每人一份评分表，并签名。在汇总得分时，如果发现某一单项评分超过评分细则规定的分值范围，则该份评分表无效。</w:t>
      </w:r>
      <w:bookmarkEnd w:id="734"/>
      <w:bookmarkEnd w:id="735"/>
      <w:bookmarkEnd w:id="736"/>
      <w:bookmarkEnd w:id="737"/>
      <w:bookmarkEnd w:id="738"/>
      <w:bookmarkEnd w:id="739"/>
      <w:bookmarkEnd w:id="740"/>
      <w:bookmarkEnd w:id="741"/>
    </w:p>
    <w:p w14:paraId="42D518C9">
      <w:pPr>
        <w:keepNext w:val="0"/>
        <w:keepLines w:val="0"/>
        <w:pageBreakBefore w:val="0"/>
        <w:widowControl/>
        <w:kinsoku/>
        <w:wordWrap/>
        <w:overflowPunct/>
        <w:topLinePunct w:val="0"/>
        <w:autoSpaceDE/>
        <w:autoSpaceDN/>
        <w:bidi w:val="0"/>
        <w:adjustRightInd/>
        <w:snapToGrid/>
        <w:spacing w:line="440" w:lineRule="exact"/>
        <w:ind w:right="120"/>
        <w:textAlignment w:val="auto"/>
        <w:rPr>
          <w:rFonts w:hint="eastAsia" w:ascii="宋体" w:hAnsi="宋体" w:cs="宋体"/>
          <w:color w:val="auto"/>
        </w:rPr>
      </w:pPr>
      <w:r>
        <w:rPr>
          <w:rFonts w:hint="eastAsia" w:ascii="宋体" w:hAnsi="宋体" w:cs="宋体"/>
          <w:color w:val="auto"/>
        </w:rPr>
        <w:t>2.加权汇总每项评分因素的得分，得出每个有效投标人的总分。投标人商务技术部分最终得分为各成员的有效评分的算术平均值。计算时保留小数二位（第三位四舍五入）。</w:t>
      </w:r>
    </w:p>
    <w:p w14:paraId="713CB9BF">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eastAsia" w:ascii="宋体" w:hAnsi="宋体" w:cs="宋体"/>
          <w:color w:val="auto"/>
          <w:lang w:val="en-US" w:eastAsia="zh-CN"/>
        </w:rPr>
      </w:pPr>
      <w:r>
        <w:rPr>
          <w:rFonts w:hint="eastAsia" w:ascii="宋体" w:hAnsi="宋体" w:cs="宋体"/>
          <w:color w:val="auto"/>
          <w:highlight w:val="none"/>
        </w:rPr>
        <w:t>3.综合评分明细表</w:t>
      </w:r>
      <w:r>
        <w:rPr>
          <w:rFonts w:hint="eastAsia" w:ascii="宋体" w:hAnsi="宋体" w:cs="宋体"/>
          <w:color w:val="auto"/>
          <w:highlight w:val="none"/>
          <w:lang w:val="en-US" w:eastAsia="zh-CN"/>
        </w:rPr>
        <w:t xml:space="preserve">    </w:t>
      </w:r>
      <w:r>
        <w:rPr>
          <w:rFonts w:hint="eastAsia" w:ascii="宋体" w:hAnsi="宋体" w:cs="宋体"/>
          <w:color w:val="auto"/>
          <w:lang w:val="en-US" w:eastAsia="zh-CN"/>
        </w:rPr>
        <w:t xml:space="preserve"> </w:t>
      </w:r>
    </w:p>
    <w:tbl>
      <w:tblPr>
        <w:tblStyle w:val="36"/>
        <w:tblW w:w="10650" w:type="dxa"/>
        <w:tblInd w:w="-221" w:type="dxa"/>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8046"/>
        <w:gridCol w:w="1155"/>
      </w:tblGrid>
      <w:tr w14:paraId="4DB666B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449" w:type="dxa"/>
            <w:tcBorders>
              <w:tl2br w:val="nil"/>
              <w:tr2bl w:val="nil"/>
            </w:tcBorders>
            <w:noWrap w:val="0"/>
            <w:vAlign w:val="center"/>
          </w:tcPr>
          <w:p w14:paraId="2A1685EF">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评分内容</w:t>
            </w:r>
          </w:p>
        </w:tc>
        <w:tc>
          <w:tcPr>
            <w:tcW w:w="8046" w:type="dxa"/>
            <w:tcBorders>
              <w:tl2br w:val="nil"/>
              <w:tr2bl w:val="nil"/>
            </w:tcBorders>
            <w:noWrap w:val="0"/>
            <w:vAlign w:val="center"/>
          </w:tcPr>
          <w:p w14:paraId="5DA7EAC1">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评分细则</w:t>
            </w:r>
          </w:p>
        </w:tc>
        <w:tc>
          <w:tcPr>
            <w:tcW w:w="1155" w:type="dxa"/>
            <w:tcBorders>
              <w:tl2br w:val="nil"/>
              <w:tr2bl w:val="nil"/>
            </w:tcBorders>
            <w:noWrap w:val="0"/>
            <w:vAlign w:val="center"/>
          </w:tcPr>
          <w:p w14:paraId="0761286B">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分值</w:t>
            </w:r>
          </w:p>
        </w:tc>
      </w:tr>
      <w:tr w14:paraId="45FB411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49" w:type="dxa"/>
            <w:tcBorders>
              <w:tl2br w:val="nil"/>
              <w:tr2bl w:val="nil"/>
            </w:tcBorders>
            <w:noWrap w:val="0"/>
            <w:vAlign w:val="center"/>
          </w:tcPr>
          <w:p w14:paraId="7E3471F1">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报价</w:t>
            </w:r>
          </w:p>
        </w:tc>
        <w:tc>
          <w:tcPr>
            <w:tcW w:w="8046" w:type="dxa"/>
            <w:tcBorders>
              <w:tl2br w:val="nil"/>
              <w:tr2bl w:val="nil"/>
            </w:tcBorders>
            <w:noWrap w:val="0"/>
            <w:vAlign w:val="center"/>
          </w:tcPr>
          <w:p w14:paraId="46BEAC7F">
            <w:pPr>
              <w:keepNext w:val="0"/>
              <w:keepLines w:val="0"/>
              <w:pageBreakBefore w:val="0"/>
              <w:widowControl/>
              <w:kinsoku/>
              <w:wordWrap/>
              <w:overflowPunct/>
              <w:topLinePunct w:val="0"/>
              <w:autoSpaceDE/>
              <w:autoSpaceDN/>
              <w:bidi w:val="0"/>
              <w:adjustRightInd/>
              <w:snapToGrid/>
              <w:spacing w:line="340" w:lineRule="exact"/>
              <w:ind w:firstLine="0" w:firstLineChars="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本项目最高限价：人民币</w:t>
            </w:r>
            <w:r>
              <w:rPr>
                <w:rFonts w:hint="eastAsia" w:ascii="宋体" w:hAnsi="宋体" w:cs="宋体"/>
                <w:color w:val="auto"/>
                <w:kern w:val="2"/>
                <w:sz w:val="24"/>
                <w:szCs w:val="24"/>
                <w:highlight w:val="none"/>
                <w:lang w:val="en-US" w:eastAsia="zh-CN"/>
              </w:rPr>
              <w:t>1044250</w:t>
            </w:r>
            <w:r>
              <w:rPr>
                <w:rFonts w:hint="eastAsia" w:ascii="宋体" w:hAnsi="宋体" w:eastAsia="宋体" w:cs="宋体"/>
                <w:color w:val="auto"/>
                <w:kern w:val="2"/>
                <w:sz w:val="24"/>
                <w:szCs w:val="24"/>
                <w:highlight w:val="none"/>
                <w:lang w:val="en-US" w:eastAsia="zh-CN"/>
              </w:rPr>
              <w:t>元</w:t>
            </w:r>
            <w:r>
              <w:rPr>
                <w:rFonts w:hint="eastAsia" w:ascii="宋体" w:hAnsi="宋体" w:eastAsia="宋体" w:cs="宋体"/>
                <w:color w:val="auto"/>
                <w:kern w:val="2"/>
                <w:sz w:val="24"/>
                <w:szCs w:val="24"/>
                <w:highlight w:val="none"/>
              </w:rPr>
              <w:t>；评标基准价为满足评标要求且投标价格最低的投标报价，报价得分=(评标基准价／投标报价)×</w:t>
            </w:r>
            <w:r>
              <w:rPr>
                <w:rFonts w:hint="eastAsia" w:ascii="宋体" w:hAnsi="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lang w:val="en-US" w:eastAsia="zh-CN"/>
              </w:rPr>
              <w:t>0</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100</w:t>
            </w:r>
            <w:r>
              <w:rPr>
                <w:rFonts w:hint="eastAsia" w:ascii="宋体" w:hAnsi="宋体" w:eastAsia="宋体" w:cs="宋体"/>
                <w:color w:val="auto"/>
                <w:kern w:val="2"/>
                <w:sz w:val="24"/>
                <w:szCs w:val="24"/>
                <w:highlight w:val="none"/>
              </w:rPr>
              <w:t>，四舍五入，保留两位小数。报价高于最高限价的，为无效投标文件。</w:t>
            </w:r>
          </w:p>
          <w:p w14:paraId="4C318C32">
            <w:pPr>
              <w:keepNext w:val="0"/>
              <w:keepLines w:val="0"/>
              <w:pageBreakBefore w:val="0"/>
              <w:widowControl/>
              <w:kinsoku/>
              <w:wordWrap/>
              <w:overflowPunct/>
              <w:topLinePunct w:val="0"/>
              <w:autoSpaceDE/>
              <w:autoSpaceDN/>
              <w:bidi w:val="0"/>
              <w:adjustRightInd/>
              <w:snapToGrid/>
              <w:spacing w:line="340" w:lineRule="exact"/>
              <w:ind w:firstLine="0" w:firstLineChars="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注：①参与评审的价格=投标报价×[1-小微企业价格扣除优惠值</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0％（如有）]</w:t>
            </w:r>
          </w:p>
          <w:p w14:paraId="39853557">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②若本项目所有</w:t>
            </w:r>
            <w:r>
              <w:rPr>
                <w:rFonts w:hint="eastAsia" w:ascii="宋体" w:hAnsi="宋体" w:cs="宋体"/>
                <w:color w:val="auto"/>
                <w:kern w:val="2"/>
                <w:sz w:val="24"/>
                <w:szCs w:val="24"/>
                <w:highlight w:val="none"/>
                <w:lang w:val="en-US" w:eastAsia="zh-CN"/>
              </w:rPr>
              <w:t>制造</w:t>
            </w:r>
            <w:r>
              <w:rPr>
                <w:rFonts w:hint="eastAsia" w:ascii="宋体" w:hAnsi="宋体" w:eastAsia="宋体" w:cs="宋体"/>
                <w:color w:val="auto"/>
                <w:kern w:val="2"/>
                <w:sz w:val="24"/>
                <w:szCs w:val="24"/>
                <w:highlight w:val="none"/>
              </w:rPr>
              <w:t>商均属小型、微型企业或监狱企业或残疾人福利性单位的，按原报价进行评审。</w:t>
            </w:r>
          </w:p>
        </w:tc>
        <w:tc>
          <w:tcPr>
            <w:tcW w:w="1155" w:type="dxa"/>
            <w:tcBorders>
              <w:tl2br w:val="nil"/>
              <w:tr2bl w:val="nil"/>
            </w:tcBorders>
            <w:noWrap w:val="0"/>
            <w:vAlign w:val="center"/>
          </w:tcPr>
          <w:p w14:paraId="1A8CDC5B">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r>
      <w:tr w14:paraId="59F62041">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49" w:type="dxa"/>
            <w:tcBorders>
              <w:tl2br w:val="nil"/>
              <w:tr2bl w:val="nil"/>
            </w:tcBorders>
            <w:noWrap w:val="0"/>
            <w:vAlign w:val="center"/>
          </w:tcPr>
          <w:p w14:paraId="505F045E">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rPr>
              <w:t>业绩</w:t>
            </w:r>
          </w:p>
        </w:tc>
        <w:tc>
          <w:tcPr>
            <w:tcW w:w="8046" w:type="dxa"/>
            <w:tcBorders>
              <w:tl2br w:val="nil"/>
              <w:tr2bl w:val="nil"/>
            </w:tcBorders>
            <w:noWrap w:val="0"/>
            <w:vAlign w:val="center"/>
          </w:tcPr>
          <w:p w14:paraId="1B96F37E">
            <w:pPr>
              <w:keepNext w:val="0"/>
              <w:keepLines w:val="0"/>
              <w:pageBreakBefore w:val="0"/>
              <w:widowControl/>
              <w:kinsoku/>
              <w:wordWrap/>
              <w:overflowPunct/>
              <w:topLinePunct w:val="0"/>
              <w:autoSpaceDE/>
              <w:autoSpaceDN/>
              <w:bidi w:val="0"/>
              <w:adjustRightInd/>
              <w:snapToGrid/>
              <w:spacing w:line="340" w:lineRule="exact"/>
              <w:ind w:firstLine="0" w:firstLineChars="0"/>
              <w:jc w:val="both"/>
              <w:textAlignment w:val="auto"/>
              <w:rPr>
                <w:rFonts w:hint="eastAsia" w:ascii="宋体" w:hAnsi="宋体" w:eastAsia="宋体" w:cs="宋体"/>
                <w:strike w:val="0"/>
                <w:dstrike w:val="0"/>
                <w:color w:val="auto"/>
                <w:kern w:val="2"/>
                <w:sz w:val="24"/>
                <w:szCs w:val="24"/>
                <w:highlight w:val="none"/>
              </w:rPr>
            </w:pPr>
            <w:r>
              <w:rPr>
                <w:rFonts w:hint="eastAsia" w:ascii="宋体" w:hAnsi="宋体" w:eastAsia="宋体" w:cs="宋体"/>
                <w:strike w:val="0"/>
                <w:dstrike w:val="0"/>
                <w:color w:val="auto"/>
                <w:kern w:val="2"/>
                <w:sz w:val="24"/>
                <w:szCs w:val="24"/>
                <w:highlight w:val="none"/>
              </w:rPr>
              <w:t>投标人自202</w:t>
            </w:r>
            <w:r>
              <w:rPr>
                <w:rFonts w:hint="eastAsia" w:ascii="宋体" w:hAnsi="宋体" w:eastAsia="宋体" w:cs="宋体"/>
                <w:strike w:val="0"/>
                <w:dstrike w:val="0"/>
                <w:color w:val="auto"/>
                <w:kern w:val="2"/>
                <w:sz w:val="24"/>
                <w:szCs w:val="24"/>
                <w:highlight w:val="none"/>
                <w:lang w:val="en-US" w:eastAsia="zh-CN"/>
              </w:rPr>
              <w:t>1</w:t>
            </w:r>
            <w:r>
              <w:rPr>
                <w:rFonts w:hint="eastAsia" w:ascii="宋体" w:hAnsi="宋体" w:eastAsia="宋体" w:cs="宋体"/>
                <w:strike w:val="0"/>
                <w:dstrike w:val="0"/>
                <w:color w:val="auto"/>
                <w:kern w:val="2"/>
                <w:sz w:val="24"/>
                <w:szCs w:val="24"/>
                <w:highlight w:val="none"/>
              </w:rPr>
              <w:t>年1月1日（具体以合同签订时间为准）以来，承接过类似家具</w:t>
            </w:r>
            <w:r>
              <w:rPr>
                <w:rFonts w:hint="eastAsia" w:ascii="宋体" w:hAnsi="宋体" w:eastAsia="宋体" w:cs="宋体"/>
                <w:strike w:val="0"/>
                <w:dstrike w:val="0"/>
                <w:color w:val="auto"/>
                <w:kern w:val="2"/>
                <w:sz w:val="24"/>
                <w:szCs w:val="24"/>
                <w:highlight w:val="none"/>
                <w:lang w:val="en-US" w:eastAsia="zh-CN"/>
              </w:rPr>
              <w:t>采购</w:t>
            </w:r>
            <w:r>
              <w:rPr>
                <w:rFonts w:hint="eastAsia" w:ascii="宋体" w:hAnsi="宋体" w:eastAsia="宋体" w:cs="宋体"/>
                <w:strike w:val="0"/>
                <w:dstrike w:val="0"/>
                <w:color w:val="auto"/>
                <w:kern w:val="2"/>
                <w:sz w:val="24"/>
                <w:szCs w:val="24"/>
                <w:highlight w:val="none"/>
              </w:rPr>
              <w:t>项目</w:t>
            </w:r>
            <w:r>
              <w:rPr>
                <w:rFonts w:hint="eastAsia" w:ascii="宋体" w:hAnsi="宋体" w:eastAsia="宋体" w:cs="宋体"/>
                <w:strike w:val="0"/>
                <w:dstrike w:val="0"/>
                <w:color w:val="auto"/>
                <w:kern w:val="2"/>
                <w:sz w:val="24"/>
                <w:szCs w:val="24"/>
                <w:highlight w:val="none"/>
                <w:lang w:val="en-US" w:eastAsia="zh-CN"/>
              </w:rPr>
              <w:t>的</w:t>
            </w:r>
            <w:r>
              <w:rPr>
                <w:rFonts w:hint="eastAsia" w:ascii="宋体" w:hAnsi="宋体" w:eastAsia="宋体" w:cs="宋体"/>
                <w:strike w:val="0"/>
                <w:dstrike w:val="0"/>
                <w:color w:val="auto"/>
                <w:kern w:val="2"/>
                <w:sz w:val="24"/>
                <w:szCs w:val="24"/>
                <w:highlight w:val="none"/>
              </w:rPr>
              <w:t>，每</w:t>
            </w:r>
            <w:r>
              <w:rPr>
                <w:rFonts w:hint="eastAsia" w:ascii="宋体" w:hAnsi="宋体" w:eastAsia="宋体" w:cs="宋体"/>
                <w:strike w:val="0"/>
                <w:dstrike w:val="0"/>
                <w:color w:val="auto"/>
                <w:kern w:val="2"/>
                <w:sz w:val="24"/>
                <w:szCs w:val="24"/>
                <w:highlight w:val="none"/>
                <w:lang w:val="en-US" w:eastAsia="zh-CN"/>
              </w:rPr>
              <w:t>个</w:t>
            </w:r>
            <w:r>
              <w:rPr>
                <w:rFonts w:hint="eastAsia" w:ascii="宋体" w:hAnsi="宋体" w:eastAsia="宋体" w:cs="宋体"/>
                <w:strike w:val="0"/>
                <w:dstrike w:val="0"/>
                <w:color w:val="auto"/>
                <w:kern w:val="2"/>
                <w:sz w:val="24"/>
                <w:szCs w:val="24"/>
                <w:highlight w:val="none"/>
              </w:rPr>
              <w:t>得</w:t>
            </w:r>
            <w:r>
              <w:rPr>
                <w:rFonts w:hint="eastAsia" w:ascii="宋体" w:hAnsi="宋体" w:eastAsia="宋体" w:cs="宋体"/>
                <w:strike w:val="0"/>
                <w:dstrike w:val="0"/>
                <w:color w:val="auto"/>
                <w:kern w:val="2"/>
                <w:sz w:val="24"/>
                <w:szCs w:val="24"/>
                <w:highlight w:val="none"/>
                <w:lang w:val="en-US" w:eastAsia="zh-CN"/>
              </w:rPr>
              <w:t>1</w:t>
            </w:r>
            <w:r>
              <w:rPr>
                <w:rFonts w:hint="eastAsia" w:ascii="宋体" w:hAnsi="宋体" w:eastAsia="宋体" w:cs="宋体"/>
                <w:strike w:val="0"/>
                <w:dstrike w:val="0"/>
                <w:color w:val="auto"/>
                <w:kern w:val="2"/>
                <w:sz w:val="24"/>
                <w:szCs w:val="24"/>
                <w:highlight w:val="none"/>
              </w:rPr>
              <w:t>分，最高得3分。</w:t>
            </w:r>
          </w:p>
          <w:p w14:paraId="050DD6A2">
            <w:pPr>
              <w:keepNext w:val="0"/>
              <w:keepLines w:val="0"/>
              <w:pageBreakBefore w:val="0"/>
              <w:widowControl/>
              <w:kinsoku/>
              <w:wordWrap/>
              <w:overflowPunct/>
              <w:topLinePunct w:val="0"/>
              <w:autoSpaceDE/>
              <w:autoSpaceDN/>
              <w:bidi w:val="0"/>
              <w:adjustRightInd/>
              <w:snapToGrid/>
              <w:spacing w:line="340" w:lineRule="exact"/>
              <w:ind w:firstLine="0" w:firstLineChars="0"/>
              <w:jc w:val="both"/>
              <w:textAlignment w:val="auto"/>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rPr>
              <w:t>注：须提供</w:t>
            </w:r>
            <w:r>
              <w:rPr>
                <w:rFonts w:hint="eastAsia" w:ascii="宋体" w:hAnsi="宋体" w:eastAsia="宋体" w:cs="宋体"/>
                <w:b/>
                <w:bCs/>
                <w:color w:val="auto"/>
                <w:kern w:val="2"/>
                <w:sz w:val="24"/>
                <w:szCs w:val="24"/>
                <w:lang w:val="en-US" w:eastAsia="zh-CN"/>
              </w:rPr>
              <w:t>合同</w:t>
            </w:r>
            <w:r>
              <w:rPr>
                <w:rFonts w:hint="eastAsia" w:ascii="宋体" w:hAnsi="宋体" w:eastAsia="宋体" w:cs="宋体"/>
                <w:b/>
                <w:bCs/>
                <w:color w:val="auto"/>
                <w:kern w:val="2"/>
                <w:sz w:val="24"/>
                <w:szCs w:val="24"/>
              </w:rPr>
              <w:t>原件扫描件</w:t>
            </w:r>
            <w:r>
              <w:rPr>
                <w:rFonts w:hint="eastAsia" w:ascii="宋体" w:hAnsi="宋体" w:eastAsia="宋体" w:cs="宋体"/>
                <w:b/>
                <w:bCs/>
                <w:color w:val="auto"/>
                <w:kern w:val="2"/>
                <w:sz w:val="24"/>
                <w:szCs w:val="24"/>
                <w:highlight w:val="none"/>
              </w:rPr>
              <w:t>并加盖公章</w:t>
            </w:r>
            <w:r>
              <w:rPr>
                <w:rFonts w:hint="eastAsia" w:ascii="宋体" w:hAnsi="宋体" w:eastAsia="宋体" w:cs="宋体"/>
                <w:b/>
                <w:bCs/>
                <w:color w:val="auto"/>
                <w:kern w:val="2"/>
                <w:sz w:val="24"/>
                <w:szCs w:val="24"/>
              </w:rPr>
              <w:t>，否则不得分。</w:t>
            </w:r>
          </w:p>
        </w:tc>
        <w:tc>
          <w:tcPr>
            <w:tcW w:w="1155" w:type="dxa"/>
            <w:tcBorders>
              <w:tl2br w:val="nil"/>
              <w:tr2bl w:val="nil"/>
            </w:tcBorders>
            <w:noWrap w:val="0"/>
            <w:vAlign w:val="center"/>
          </w:tcPr>
          <w:p w14:paraId="477B45D8">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0-3</w:t>
            </w:r>
            <w:r>
              <w:rPr>
                <w:rFonts w:hint="eastAsia" w:ascii="宋体" w:hAnsi="宋体" w:eastAsia="宋体" w:cs="宋体"/>
                <w:color w:val="auto"/>
                <w:sz w:val="24"/>
                <w:szCs w:val="24"/>
              </w:rPr>
              <w:t>分</w:t>
            </w:r>
          </w:p>
        </w:tc>
      </w:tr>
      <w:tr w14:paraId="3B40C2A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1823" w:hRule="atLeast"/>
        </w:trPr>
        <w:tc>
          <w:tcPr>
            <w:tcW w:w="1449" w:type="dxa"/>
            <w:tcBorders>
              <w:tl2br w:val="nil"/>
              <w:tr2bl w:val="nil"/>
            </w:tcBorders>
            <w:noWrap w:val="0"/>
            <w:vAlign w:val="center"/>
          </w:tcPr>
          <w:p w14:paraId="4E397D03">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体系认证</w:t>
            </w:r>
          </w:p>
        </w:tc>
        <w:tc>
          <w:tcPr>
            <w:tcW w:w="8046" w:type="dxa"/>
            <w:tcBorders>
              <w:tl2br w:val="nil"/>
              <w:tr2bl w:val="nil"/>
            </w:tcBorders>
            <w:noWrap w:val="0"/>
            <w:vAlign w:val="center"/>
          </w:tcPr>
          <w:p w14:paraId="27F1A830">
            <w:pPr>
              <w:numPr>
                <w:ilvl w:val="0"/>
                <w:numId w:val="0"/>
              </w:numPr>
              <w:spacing w:line="288"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CN" w:eastAsia="zh-CN"/>
              </w:rPr>
              <w:t>投标人具有</w:t>
            </w:r>
            <w:r>
              <w:rPr>
                <w:rFonts w:hint="eastAsia" w:ascii="宋体" w:hAnsi="宋体" w:eastAsia="宋体" w:cs="宋体"/>
                <w:sz w:val="24"/>
                <w:szCs w:val="24"/>
                <w:highlight w:val="none"/>
                <w:lang w:val="en-US" w:eastAsia="zh-CN"/>
              </w:rPr>
              <w:t>有效期内</w:t>
            </w:r>
            <w:r>
              <w:rPr>
                <w:rFonts w:hint="eastAsia" w:ascii="宋体" w:hAnsi="宋体" w:eastAsia="宋体" w:cs="宋体"/>
                <w:sz w:val="24"/>
                <w:szCs w:val="24"/>
                <w:highlight w:val="none"/>
                <w:lang w:val="zh-CN" w:eastAsia="zh-CN"/>
              </w:rPr>
              <w:t>的质量管理体系认证证书</w:t>
            </w:r>
            <w:r>
              <w:rPr>
                <w:rFonts w:hint="eastAsia" w:ascii="宋体" w:hAnsi="宋体" w:eastAsia="宋体" w:cs="宋体"/>
                <w:sz w:val="24"/>
                <w:szCs w:val="24"/>
                <w:highlight w:val="none"/>
                <w:lang w:val="en-US" w:eastAsia="zh-CN"/>
              </w:rPr>
              <w:t>的得1分；</w:t>
            </w:r>
          </w:p>
          <w:p w14:paraId="42D46E09">
            <w:pPr>
              <w:numPr>
                <w:ilvl w:val="0"/>
                <w:numId w:val="0"/>
              </w:numPr>
              <w:spacing w:line="288" w:lineRule="auto"/>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val="zh-CN" w:eastAsia="zh-CN"/>
              </w:rPr>
              <w:t>投标人具有</w:t>
            </w:r>
            <w:r>
              <w:rPr>
                <w:rFonts w:hint="eastAsia" w:ascii="宋体" w:hAnsi="宋体" w:eastAsia="宋体" w:cs="宋体"/>
                <w:sz w:val="24"/>
                <w:szCs w:val="24"/>
                <w:highlight w:val="none"/>
                <w:lang w:val="en-US" w:eastAsia="zh-CN"/>
              </w:rPr>
              <w:t>有效期内</w:t>
            </w:r>
            <w:r>
              <w:rPr>
                <w:rFonts w:hint="eastAsia" w:ascii="宋体" w:hAnsi="宋体" w:eastAsia="宋体" w:cs="宋体"/>
                <w:sz w:val="24"/>
                <w:szCs w:val="24"/>
                <w:highlight w:val="none"/>
                <w:lang w:val="zh-CN" w:eastAsia="zh-CN"/>
              </w:rPr>
              <w:t>的环境管理体系认证证书</w:t>
            </w:r>
            <w:r>
              <w:rPr>
                <w:rFonts w:hint="eastAsia" w:ascii="宋体" w:hAnsi="宋体" w:eastAsia="宋体" w:cs="宋体"/>
                <w:sz w:val="24"/>
                <w:szCs w:val="24"/>
                <w:highlight w:val="none"/>
                <w:lang w:val="en-US" w:eastAsia="zh-CN"/>
              </w:rPr>
              <w:t>的得1分；</w:t>
            </w:r>
          </w:p>
          <w:p w14:paraId="4DF65929">
            <w:pPr>
              <w:numPr>
                <w:ilvl w:val="0"/>
                <w:numId w:val="0"/>
              </w:numPr>
              <w:spacing w:line="288"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zh-CN" w:eastAsia="zh-CN"/>
              </w:rPr>
              <w:t>投标人具有</w:t>
            </w:r>
            <w:r>
              <w:rPr>
                <w:rFonts w:hint="eastAsia" w:ascii="宋体" w:hAnsi="宋体" w:eastAsia="宋体" w:cs="宋体"/>
                <w:sz w:val="24"/>
                <w:szCs w:val="24"/>
                <w:highlight w:val="none"/>
                <w:lang w:val="en-US" w:eastAsia="zh-CN"/>
              </w:rPr>
              <w:t>有效期内</w:t>
            </w:r>
            <w:r>
              <w:rPr>
                <w:rFonts w:hint="eastAsia" w:ascii="宋体" w:hAnsi="宋体" w:eastAsia="宋体" w:cs="宋体"/>
                <w:sz w:val="24"/>
                <w:szCs w:val="24"/>
                <w:highlight w:val="none"/>
                <w:lang w:val="zh-CN" w:eastAsia="zh-CN"/>
              </w:rPr>
              <w:t>的职业健康安全管理体系认证证书的</w:t>
            </w:r>
            <w:r>
              <w:rPr>
                <w:rFonts w:hint="eastAsia" w:ascii="宋体" w:hAnsi="宋体" w:eastAsia="宋体" w:cs="宋体"/>
                <w:sz w:val="24"/>
                <w:szCs w:val="24"/>
                <w:highlight w:val="none"/>
                <w:lang w:val="en-US" w:eastAsia="zh-CN"/>
              </w:rPr>
              <w:t>得1分。</w:t>
            </w:r>
          </w:p>
          <w:p w14:paraId="5A31C127">
            <w:pPr>
              <w:keepNext w:val="0"/>
              <w:keepLines w:val="0"/>
              <w:pageBreakBefore w:val="0"/>
              <w:widowControl/>
              <w:kinsoku/>
              <w:wordWrap/>
              <w:overflowPunct/>
              <w:topLinePunct w:val="0"/>
              <w:autoSpaceDE/>
              <w:autoSpaceDN/>
              <w:bidi w:val="0"/>
              <w:adjustRightInd/>
              <w:snapToGrid/>
              <w:spacing w:line="340" w:lineRule="exact"/>
              <w:ind w:firstLine="0" w:firstLineChars="0"/>
              <w:jc w:val="both"/>
              <w:textAlignment w:val="auto"/>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rPr>
              <w:t>注</w:t>
            </w:r>
            <w:r>
              <w:rPr>
                <w:rFonts w:hint="eastAsia" w:ascii="宋体" w:hAnsi="宋体" w:eastAsia="宋体" w:cs="宋体"/>
                <w:b/>
                <w:bCs/>
                <w:color w:val="auto"/>
                <w:kern w:val="2"/>
                <w:sz w:val="24"/>
                <w:szCs w:val="24"/>
                <w:lang w:val="en-US" w:eastAsia="zh-CN"/>
              </w:rPr>
              <w:t>：须提供认证证书原件扫描件及国家认证认可监督管理委员会官方网站上的网页截图</w:t>
            </w:r>
            <w:r>
              <w:rPr>
                <w:rFonts w:hint="eastAsia" w:ascii="宋体" w:hAnsi="宋体" w:eastAsia="宋体" w:cs="宋体"/>
                <w:b/>
                <w:bCs/>
                <w:color w:val="auto"/>
                <w:kern w:val="2"/>
                <w:sz w:val="24"/>
                <w:szCs w:val="24"/>
                <w:highlight w:val="none"/>
              </w:rPr>
              <w:t>并加盖公章</w:t>
            </w:r>
            <w:r>
              <w:rPr>
                <w:rFonts w:hint="eastAsia" w:ascii="宋体" w:hAnsi="宋体" w:eastAsia="宋体" w:cs="宋体"/>
                <w:b/>
                <w:bCs/>
                <w:color w:val="auto"/>
                <w:kern w:val="2"/>
                <w:sz w:val="24"/>
                <w:szCs w:val="24"/>
                <w:lang w:val="en-US" w:eastAsia="zh-CN"/>
              </w:rPr>
              <w:t>，否则不得分。</w:t>
            </w:r>
          </w:p>
        </w:tc>
        <w:tc>
          <w:tcPr>
            <w:tcW w:w="1155" w:type="dxa"/>
            <w:tcBorders>
              <w:tl2br w:val="nil"/>
              <w:tr2bl w:val="nil"/>
            </w:tcBorders>
            <w:noWrap w:val="0"/>
            <w:vAlign w:val="center"/>
          </w:tcPr>
          <w:p w14:paraId="22A3942F">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tc>
      </w:tr>
      <w:tr w14:paraId="55C135B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449" w:type="dxa"/>
            <w:tcBorders>
              <w:tl2br w:val="nil"/>
              <w:tr2bl w:val="nil"/>
            </w:tcBorders>
            <w:noWrap w:val="0"/>
            <w:vAlign w:val="center"/>
          </w:tcPr>
          <w:p w14:paraId="6941ABF7">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成品检测  报告</w:t>
            </w:r>
          </w:p>
          <w:p w14:paraId="62666D90">
            <w:pPr>
              <w:keepNext w:val="0"/>
              <w:keepLines w:val="0"/>
              <w:pageBreakBefore w:val="0"/>
              <w:widowControl/>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kern w:val="2"/>
                <w:sz w:val="24"/>
                <w:szCs w:val="24"/>
                <w:lang w:val="en-US" w:eastAsia="zh-CN"/>
              </w:rPr>
            </w:pPr>
          </w:p>
        </w:tc>
        <w:tc>
          <w:tcPr>
            <w:tcW w:w="8046" w:type="dxa"/>
            <w:tcBorders>
              <w:tl2br w:val="nil"/>
              <w:tr2bl w:val="nil"/>
            </w:tcBorders>
            <w:noWrap w:val="0"/>
            <w:vAlign w:val="center"/>
          </w:tcPr>
          <w:p w14:paraId="7A867C4E">
            <w:pPr>
              <w:keepNext w:val="0"/>
              <w:keepLines w:val="0"/>
              <w:pageBreakBefore w:val="0"/>
              <w:widowControl/>
              <w:suppressLineNumbers w:val="0"/>
              <w:kinsoku/>
              <w:wordWrap/>
              <w:overflowPunct/>
              <w:topLinePunct w:val="0"/>
              <w:autoSpaceDE/>
              <w:autoSpaceDN/>
              <w:bidi w:val="0"/>
              <w:snapToGrid/>
              <w:spacing w:line="340" w:lineRule="exact"/>
              <w:ind w:left="0" w:leftChars="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床：依据GB/T 3324-2017《木家具通用技术条件》,</w:t>
            </w:r>
            <w:r>
              <w:rPr>
                <w:rFonts w:hint="eastAsia" w:ascii="宋体" w:hAnsi="宋体" w:eastAsia="宋体" w:cs="宋体"/>
                <w:color w:val="auto"/>
                <w:kern w:val="2"/>
                <w:sz w:val="24"/>
                <w:szCs w:val="24"/>
                <w:highlight w:val="none"/>
              </w:rPr>
              <w:t>GB 1858</w:t>
            </w:r>
            <w:r>
              <w:rPr>
                <w:rFonts w:hint="eastAsia" w:ascii="宋体" w:hAnsi="宋体" w:cs="宋体"/>
                <w:color w:val="auto"/>
                <w:kern w:val="2"/>
                <w:sz w:val="24"/>
                <w:szCs w:val="24"/>
                <w:highlight w:val="none"/>
                <w:lang w:val="en-US" w:eastAsia="zh-CN"/>
              </w:rPr>
              <w:t>0</w:t>
            </w:r>
            <w:r>
              <w:rPr>
                <w:rFonts w:hint="eastAsia" w:ascii="宋体" w:hAnsi="宋体" w:eastAsia="宋体" w:cs="宋体"/>
                <w:color w:val="auto"/>
                <w:kern w:val="2"/>
                <w:sz w:val="24"/>
                <w:szCs w:val="24"/>
                <w:highlight w:val="none"/>
              </w:rPr>
              <w:t>-2001</w:t>
            </w:r>
            <w:r>
              <w:rPr>
                <w:rFonts w:hint="eastAsia" w:ascii="宋体" w:hAnsi="宋体" w:eastAsia="宋体" w:cs="宋体"/>
                <w:color w:val="auto"/>
                <w:kern w:val="0"/>
                <w:sz w:val="24"/>
                <w:szCs w:val="24"/>
                <w:highlight w:val="none"/>
              </w:rPr>
              <w:t>《室内装饰装修材料人造板及其制品中甲醛释放限量》标</w:t>
            </w:r>
            <w:r>
              <w:rPr>
                <w:rFonts w:hint="eastAsia" w:ascii="宋体" w:hAnsi="宋体" w:eastAsia="宋体" w:cs="宋体"/>
                <w:color w:val="auto"/>
                <w:kern w:val="2"/>
                <w:sz w:val="24"/>
                <w:szCs w:val="24"/>
                <w:highlight w:val="none"/>
              </w:rPr>
              <w:t>准中有害物质限量（含甲醛）的检测</w:t>
            </w:r>
            <w:r>
              <w:rPr>
                <w:rFonts w:hint="eastAsia" w:ascii="宋体" w:hAnsi="宋体" w:eastAsia="宋体" w:cs="宋体"/>
                <w:color w:val="auto"/>
                <w:kern w:val="0"/>
                <w:sz w:val="24"/>
                <w:szCs w:val="24"/>
                <w:highlight w:val="none"/>
              </w:rPr>
              <w:t>标准的合格抽样</w:t>
            </w:r>
            <w:r>
              <w:rPr>
                <w:rFonts w:hint="eastAsia" w:ascii="宋体" w:hAnsi="宋体" w:eastAsia="宋体" w:cs="宋体"/>
                <w:color w:val="auto"/>
                <w:kern w:val="0"/>
                <w:sz w:val="24"/>
                <w:szCs w:val="24"/>
                <w:highlight w:val="none"/>
                <w:lang w:val="zh-TW" w:eastAsia="zh-TW"/>
              </w:rPr>
              <w:t>检</w:t>
            </w:r>
            <w:r>
              <w:rPr>
                <w:rFonts w:hint="eastAsia" w:ascii="宋体" w:hAnsi="宋体" w:eastAsia="宋体" w:cs="宋体"/>
                <w:color w:val="auto"/>
                <w:kern w:val="0"/>
                <w:sz w:val="24"/>
                <w:szCs w:val="24"/>
                <w:highlight w:val="none"/>
              </w:rPr>
              <w:t>测</w:t>
            </w:r>
            <w:r>
              <w:rPr>
                <w:rFonts w:hint="eastAsia" w:ascii="宋体" w:hAnsi="宋体" w:eastAsia="宋体" w:cs="宋体"/>
                <w:color w:val="auto"/>
                <w:kern w:val="0"/>
                <w:sz w:val="24"/>
                <w:szCs w:val="24"/>
                <w:highlight w:val="none"/>
                <w:lang w:val="zh-TW" w:eastAsia="zh-TW"/>
              </w:rPr>
              <w:t>报告</w:t>
            </w:r>
            <w:r>
              <w:rPr>
                <w:rFonts w:hint="eastAsia" w:ascii="宋体" w:hAnsi="宋体" w:eastAsia="宋体" w:cs="宋体"/>
                <w:color w:val="auto"/>
                <w:kern w:val="0"/>
                <w:sz w:val="24"/>
                <w:szCs w:val="24"/>
                <w:highlight w:val="none"/>
              </w:rPr>
              <w:t>，检测项目至少包含：</w:t>
            </w:r>
            <w:r>
              <w:rPr>
                <w:rFonts w:hint="eastAsia" w:ascii="宋体" w:hAnsi="宋体" w:eastAsia="宋体" w:cs="宋体"/>
                <w:bCs/>
                <w:color w:val="auto"/>
                <w:kern w:val="2"/>
                <w:sz w:val="24"/>
                <w:szCs w:val="24"/>
                <w:highlight w:val="none"/>
                <w:lang w:val="en-US" w:eastAsia="zh-CN" w:bidi="ar-SA"/>
              </w:rPr>
              <w:t>外观要求，安全性要求，甲醛释放量≤0.124mg/m³。</w:t>
            </w:r>
            <w:r>
              <w:rPr>
                <w:rFonts w:hint="eastAsia" w:ascii="宋体" w:hAnsi="宋体" w:eastAsia="宋体" w:cs="宋体"/>
                <w:color w:val="auto"/>
                <w:kern w:val="0"/>
                <w:sz w:val="24"/>
                <w:szCs w:val="24"/>
                <w:highlight w:val="none"/>
              </w:rPr>
              <w:t>全部满足的得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分，缺项不得分。</w:t>
            </w:r>
          </w:p>
          <w:p w14:paraId="1EA35CE6">
            <w:pPr>
              <w:pStyle w:val="17"/>
              <w:keepNext w:val="0"/>
              <w:keepLines w:val="0"/>
              <w:pageBreakBefore w:val="0"/>
              <w:kinsoku/>
              <w:wordWrap/>
              <w:overflowPunct/>
              <w:topLinePunct w:val="0"/>
              <w:autoSpaceDE/>
              <w:autoSpaceDN/>
              <w:bidi w:val="0"/>
              <w:snapToGrid/>
              <w:spacing w:line="340" w:lineRule="exact"/>
              <w:ind w:left="0" w:leftChars="0" w:firstLine="0" w:firstLineChars="0"/>
              <w:textAlignment w:val="auto"/>
              <w:rPr>
                <w:rFonts w:hint="eastAsia"/>
                <w:color w:val="auto"/>
                <w:highlight w:val="none"/>
              </w:rPr>
            </w:pP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en-US" w:eastAsia="zh-CN"/>
              </w:rPr>
              <w:t>）床头</w:t>
            </w:r>
            <w:r>
              <w:rPr>
                <w:rFonts w:hint="eastAsia" w:ascii="宋体" w:hAnsi="宋体" w:eastAsia="宋体" w:cs="宋体"/>
                <w:color w:val="auto"/>
                <w:kern w:val="0"/>
                <w:sz w:val="24"/>
                <w:szCs w:val="24"/>
                <w:highlight w:val="none"/>
              </w:rPr>
              <w:t>柜：依据GB/T 3324-2017《木家具通用技术条件》,</w:t>
            </w:r>
            <w:r>
              <w:rPr>
                <w:rFonts w:hint="eastAsia" w:ascii="宋体" w:hAnsi="宋体" w:eastAsia="宋体" w:cs="宋体"/>
                <w:color w:val="auto"/>
                <w:kern w:val="2"/>
                <w:sz w:val="24"/>
                <w:szCs w:val="24"/>
                <w:highlight w:val="none"/>
              </w:rPr>
              <w:t>GB 18584-2001《室内装饰装修材料木家具中有害物质限量》标准中有害物质限量（含甲醛和重金属）的检测</w:t>
            </w:r>
            <w:r>
              <w:rPr>
                <w:rFonts w:hint="eastAsia" w:ascii="宋体" w:hAnsi="宋体" w:eastAsia="宋体" w:cs="宋体"/>
                <w:color w:val="auto"/>
                <w:kern w:val="0"/>
                <w:sz w:val="24"/>
                <w:szCs w:val="24"/>
                <w:highlight w:val="none"/>
              </w:rPr>
              <w:t>标准的合格抽样</w:t>
            </w:r>
            <w:r>
              <w:rPr>
                <w:rFonts w:hint="eastAsia" w:ascii="宋体" w:hAnsi="宋体" w:eastAsia="宋体" w:cs="宋体"/>
                <w:color w:val="auto"/>
                <w:kern w:val="0"/>
                <w:sz w:val="24"/>
                <w:szCs w:val="24"/>
                <w:highlight w:val="none"/>
                <w:lang w:val="zh-TW" w:eastAsia="zh-TW"/>
              </w:rPr>
              <w:t>检</w:t>
            </w:r>
            <w:r>
              <w:rPr>
                <w:rFonts w:hint="eastAsia" w:ascii="宋体" w:hAnsi="宋体" w:eastAsia="宋体" w:cs="宋体"/>
                <w:color w:val="auto"/>
                <w:kern w:val="0"/>
                <w:sz w:val="24"/>
                <w:szCs w:val="24"/>
                <w:highlight w:val="none"/>
              </w:rPr>
              <w:t>测</w:t>
            </w:r>
            <w:r>
              <w:rPr>
                <w:rFonts w:hint="eastAsia" w:ascii="宋体" w:hAnsi="宋体" w:eastAsia="宋体" w:cs="宋体"/>
                <w:color w:val="auto"/>
                <w:kern w:val="0"/>
                <w:sz w:val="24"/>
                <w:szCs w:val="24"/>
                <w:highlight w:val="none"/>
                <w:lang w:val="zh-TW" w:eastAsia="zh-TW"/>
              </w:rPr>
              <w:t>报告</w:t>
            </w:r>
            <w:r>
              <w:rPr>
                <w:rFonts w:hint="eastAsia" w:ascii="宋体" w:hAnsi="宋体" w:eastAsia="宋体" w:cs="宋体"/>
                <w:color w:val="auto"/>
                <w:kern w:val="0"/>
                <w:sz w:val="24"/>
                <w:szCs w:val="24"/>
                <w:highlight w:val="none"/>
              </w:rPr>
              <w:t>，检测项目至少包含：</w:t>
            </w:r>
            <w:r>
              <w:rPr>
                <w:rFonts w:hint="eastAsia" w:ascii="宋体" w:hAnsi="宋体" w:eastAsia="宋体" w:cs="宋体"/>
                <w:color w:val="auto"/>
                <w:kern w:val="2"/>
                <w:sz w:val="24"/>
                <w:szCs w:val="24"/>
                <w:highlight w:val="none"/>
                <w:lang w:val="en-US" w:eastAsia="zh-CN"/>
              </w:rPr>
              <w:t>外观要求，</w:t>
            </w:r>
            <w:r>
              <w:rPr>
                <w:rFonts w:hint="eastAsia" w:ascii="宋体" w:hAnsi="宋体" w:cs="宋体"/>
                <w:color w:val="auto"/>
                <w:kern w:val="2"/>
                <w:sz w:val="24"/>
                <w:szCs w:val="24"/>
                <w:highlight w:val="none"/>
                <w:lang w:val="en-US" w:eastAsia="zh-CN"/>
              </w:rPr>
              <w:t>漆膜</w:t>
            </w:r>
            <w:r>
              <w:rPr>
                <w:rFonts w:hint="eastAsia" w:ascii="宋体" w:hAnsi="宋体" w:eastAsia="宋体" w:cs="宋体"/>
                <w:color w:val="auto"/>
                <w:kern w:val="2"/>
                <w:sz w:val="24"/>
                <w:szCs w:val="24"/>
                <w:highlight w:val="none"/>
                <w:lang w:val="en-US" w:eastAsia="zh-CN"/>
              </w:rPr>
              <w:t>理化性能，力学性能符合要求，甲醛释放量≤1.5mg/L，重金属均未检出。</w:t>
            </w:r>
            <w:r>
              <w:rPr>
                <w:rFonts w:hint="eastAsia" w:ascii="宋体" w:hAnsi="宋体" w:eastAsia="宋体" w:cs="宋体"/>
                <w:color w:val="auto"/>
                <w:kern w:val="0"/>
                <w:sz w:val="24"/>
                <w:szCs w:val="24"/>
                <w:highlight w:val="none"/>
              </w:rPr>
              <w:t>全部满足的得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分，缺项不得分。</w:t>
            </w:r>
          </w:p>
          <w:p w14:paraId="34751D6D">
            <w:pPr>
              <w:keepNext w:val="0"/>
              <w:keepLines w:val="0"/>
              <w:pageBreakBefore w:val="0"/>
              <w:kinsoku/>
              <w:wordWrap/>
              <w:overflowPunct/>
              <w:topLinePunct w:val="0"/>
              <w:autoSpaceDE/>
              <w:autoSpaceDN/>
              <w:bidi w:val="0"/>
              <w:adjustRightInd w:val="0"/>
              <w:snapToGrid/>
              <w:spacing w:line="340" w:lineRule="exact"/>
              <w:ind w:left="0" w:leftChars="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 xml:space="preserve">办公桌：符合GB/T 3324-2017、GB/T 35607-2017、GB/T </w:t>
            </w:r>
            <w:r>
              <w:rPr>
                <w:rFonts w:hint="eastAsia" w:ascii="宋体" w:hAnsi="宋体" w:cs="宋体"/>
                <w:color w:val="auto"/>
                <w:kern w:val="0"/>
                <w:sz w:val="24"/>
                <w:szCs w:val="24"/>
                <w:highlight w:val="none"/>
                <w:lang w:val="en-US" w:eastAsia="zh-CN"/>
              </w:rPr>
              <w:t>38794-2020、</w:t>
            </w:r>
            <w:r>
              <w:rPr>
                <w:rFonts w:hint="eastAsia" w:ascii="宋体" w:hAnsi="宋体" w:eastAsia="宋体" w:cs="宋体"/>
                <w:color w:val="auto"/>
                <w:kern w:val="0"/>
                <w:sz w:val="24"/>
                <w:szCs w:val="24"/>
                <w:highlight w:val="none"/>
              </w:rPr>
              <w:t>GB/T 31762-2015标准的抽样检测报告，检测项目至少包含：</w:t>
            </w:r>
            <w:r>
              <w:rPr>
                <w:rFonts w:hint="eastAsia" w:ascii="宋体" w:hAnsi="宋体" w:eastAsia="宋体" w:cs="宋体"/>
                <w:bCs/>
                <w:color w:val="auto"/>
                <w:kern w:val="2"/>
                <w:sz w:val="24"/>
                <w:szCs w:val="24"/>
                <w:highlight w:val="none"/>
                <w:lang w:val="en-US" w:eastAsia="zh-CN" w:bidi="ar-SA"/>
              </w:rPr>
              <w:t>外观要求、表面理化性能</w:t>
            </w:r>
            <w:r>
              <w:rPr>
                <w:rFonts w:hint="eastAsia" w:ascii="宋体" w:hAnsi="宋体" w:cs="宋体"/>
                <w:bCs/>
                <w:color w:val="auto"/>
                <w:kern w:val="2"/>
                <w:sz w:val="24"/>
                <w:szCs w:val="24"/>
                <w:highlight w:val="none"/>
                <w:lang w:val="en-US" w:eastAsia="zh-CN" w:bidi="ar-SA"/>
              </w:rPr>
              <w:t>要求</w:t>
            </w:r>
            <w:r>
              <w:rPr>
                <w:rFonts w:hint="eastAsia" w:ascii="宋体" w:hAnsi="宋体" w:eastAsia="宋体" w:cs="宋体"/>
                <w:bCs/>
                <w:color w:val="auto"/>
                <w:kern w:val="2"/>
                <w:sz w:val="24"/>
                <w:szCs w:val="24"/>
                <w:highlight w:val="none"/>
                <w:lang w:val="en-US" w:eastAsia="zh-CN" w:bidi="ar-SA"/>
              </w:rPr>
              <w:t>、产品寿命、产品有害物质，其中甲醛释放量、苯、甲苯、二甲苯、TVOC、苯酚均未检出。</w:t>
            </w:r>
            <w:r>
              <w:rPr>
                <w:rFonts w:hint="eastAsia" w:ascii="宋体" w:hAnsi="宋体" w:eastAsia="宋体" w:cs="宋体"/>
                <w:color w:val="auto"/>
                <w:kern w:val="0"/>
                <w:sz w:val="24"/>
                <w:szCs w:val="24"/>
                <w:highlight w:val="none"/>
              </w:rPr>
              <w:t>全部满足得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分，缺项不得分。</w:t>
            </w:r>
          </w:p>
          <w:p w14:paraId="2E977A94">
            <w:pPr>
              <w:keepNext w:val="0"/>
              <w:keepLines w:val="0"/>
              <w:pageBreakBefore w:val="0"/>
              <w:kinsoku/>
              <w:wordWrap/>
              <w:overflowPunct/>
              <w:topLinePunct w:val="0"/>
              <w:autoSpaceDE/>
              <w:autoSpaceDN/>
              <w:bidi w:val="0"/>
              <w:adjustRightInd w:val="0"/>
              <w:snapToGrid/>
              <w:spacing w:line="340" w:lineRule="exact"/>
              <w:ind w:left="0" w:leftChars="0" w:firstLine="0" w:firstLineChars="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办公椅：依据QB/T 2280-2016标准的合格</w:t>
            </w:r>
            <w:r>
              <w:rPr>
                <w:rFonts w:hint="eastAsia" w:ascii="宋体" w:hAnsi="宋体" w:eastAsia="宋体" w:cs="宋体"/>
                <w:color w:val="auto"/>
                <w:kern w:val="0"/>
                <w:sz w:val="24"/>
                <w:szCs w:val="24"/>
                <w:highlight w:val="none"/>
                <w:lang w:val="zh-TW" w:eastAsia="zh-TW"/>
              </w:rPr>
              <w:t>抽检报告</w:t>
            </w:r>
            <w:r>
              <w:rPr>
                <w:rFonts w:hint="eastAsia" w:ascii="宋体" w:hAnsi="宋体" w:eastAsia="宋体" w:cs="宋体"/>
                <w:color w:val="auto"/>
                <w:kern w:val="0"/>
                <w:sz w:val="24"/>
                <w:szCs w:val="24"/>
                <w:highlight w:val="none"/>
              </w:rPr>
              <w:t>，检测项目至少包含：</w:t>
            </w:r>
            <w:r>
              <w:rPr>
                <w:rFonts w:hint="eastAsia" w:ascii="宋体" w:hAnsi="宋体" w:eastAsia="宋体" w:cs="宋体"/>
                <w:bCs/>
                <w:color w:val="auto"/>
                <w:kern w:val="2"/>
                <w:sz w:val="24"/>
                <w:szCs w:val="24"/>
                <w:highlight w:val="none"/>
                <w:lang w:val="en-US" w:eastAsia="zh-CN" w:bidi="ar-SA"/>
              </w:rPr>
              <w:t>塑料件外观，软硬包件外观，金属件外观，理化性能，稳定性，座面冲击试验，跌落试验，甲醛释放量≤0.120mg/㎡h、TVOC≤0.5mg/㎡h，阻燃I级。</w:t>
            </w:r>
            <w:r>
              <w:rPr>
                <w:rFonts w:hint="eastAsia" w:ascii="宋体" w:hAnsi="宋体" w:eastAsia="宋体" w:cs="宋体"/>
                <w:color w:val="auto"/>
                <w:kern w:val="0"/>
                <w:sz w:val="24"/>
                <w:szCs w:val="24"/>
                <w:highlight w:val="none"/>
              </w:rPr>
              <w:t>全部满足得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分，缺项不得分。</w:t>
            </w:r>
          </w:p>
          <w:p w14:paraId="0443ADD1">
            <w:pPr>
              <w:keepNext w:val="0"/>
              <w:keepLines w:val="0"/>
              <w:pageBreakBefore w:val="0"/>
              <w:widowControl/>
              <w:suppressLineNumbers w:val="0"/>
              <w:kinsoku/>
              <w:wordWrap/>
              <w:overflowPunct/>
              <w:topLinePunct w:val="0"/>
              <w:autoSpaceDE/>
              <w:autoSpaceDN/>
              <w:bidi w:val="0"/>
              <w:snapToGrid/>
              <w:spacing w:line="340" w:lineRule="exact"/>
              <w:ind w:left="0" w:leftChars="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2"/>
                <w:sz w:val="24"/>
                <w:szCs w:val="24"/>
                <w:highlight w:val="none"/>
              </w:rPr>
              <w:t>餐桌：①依据GB/T 3324-2017《木家具通用技术条件》全项标准（包括稳定性、强度及耐久性）的检测；②依据GB 18584-2001《室内装饰装修材料木家具中有害物质限量》标准中有害物质限量（含甲醛和重金属）的检测</w:t>
            </w:r>
            <w:r>
              <w:rPr>
                <w:rFonts w:hint="eastAsia" w:ascii="宋体" w:hAnsi="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甲醛释放量≤1.5mg/L，重金属均未检出</w:t>
            </w:r>
            <w:r>
              <w:rPr>
                <w:rFonts w:hint="eastAsia" w:ascii="宋体" w:hAnsi="宋体" w:eastAsia="宋体" w:cs="宋体"/>
                <w:color w:val="auto"/>
                <w:kern w:val="2"/>
                <w:sz w:val="24"/>
                <w:szCs w:val="24"/>
                <w:highlight w:val="none"/>
              </w:rPr>
              <w:t>；③依据GB/T35607-2017《绿色产品评价家具》标准中总挥发性有机化合物</w:t>
            </w:r>
            <w:r>
              <w:rPr>
                <w:rFonts w:hint="eastAsia" w:ascii="宋体" w:hAnsi="宋体" w:cs="宋体"/>
                <w:color w:val="auto"/>
                <w:kern w:val="2"/>
                <w:sz w:val="24"/>
                <w:szCs w:val="24"/>
                <w:highlight w:val="none"/>
                <w:lang w:eastAsia="zh-CN"/>
              </w:rPr>
              <w:t>（</w:t>
            </w:r>
            <w:r>
              <w:rPr>
                <w:rFonts w:hint="eastAsia" w:ascii="宋体" w:hAnsi="宋体" w:cs="宋体"/>
                <w:color w:val="auto"/>
                <w:kern w:val="2"/>
                <w:sz w:val="24"/>
                <w:szCs w:val="24"/>
                <w:highlight w:val="none"/>
                <w:lang w:val="en-US" w:eastAsia="zh-CN"/>
              </w:rPr>
              <w:t>TVOC）</w:t>
            </w:r>
            <w:r>
              <w:rPr>
                <w:rFonts w:hint="eastAsia" w:ascii="宋体" w:hAnsi="宋体" w:eastAsia="宋体" w:cs="宋体"/>
                <w:color w:val="auto"/>
                <w:kern w:val="2"/>
                <w:sz w:val="24"/>
                <w:szCs w:val="24"/>
                <w:highlight w:val="none"/>
              </w:rPr>
              <w:t>的检测</w:t>
            </w:r>
            <w:r>
              <w:rPr>
                <w:rFonts w:hint="eastAsia" w:ascii="宋体" w:hAnsi="宋体" w:cs="宋体"/>
                <w:color w:val="auto"/>
                <w:kern w:val="2"/>
                <w:sz w:val="24"/>
                <w:szCs w:val="24"/>
                <w:highlight w:val="none"/>
                <w:lang w:val="en-US" w:eastAsia="zh-CN"/>
              </w:rPr>
              <w:t>未检出</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0"/>
                <w:sz w:val="24"/>
                <w:szCs w:val="24"/>
                <w:highlight w:val="none"/>
              </w:rPr>
              <w:t>全部满足得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分，缺项不得分。</w:t>
            </w:r>
          </w:p>
          <w:p w14:paraId="1E570DE0">
            <w:pPr>
              <w:keepNext w:val="0"/>
              <w:keepLines w:val="0"/>
              <w:pageBreakBefore w:val="0"/>
              <w:widowControl w:val="0"/>
              <w:kinsoku/>
              <w:wordWrap/>
              <w:overflowPunct/>
              <w:topLinePunct w:val="0"/>
              <w:autoSpaceDE/>
              <w:autoSpaceDN/>
              <w:bidi w:val="0"/>
              <w:adjustRightInd w:val="0"/>
              <w:snapToGrid/>
              <w:spacing w:line="340" w:lineRule="exact"/>
              <w:ind w:left="0" w:leftChars="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会议桌：依据GB/T 3324-2017、GB/T 35607-2017</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GB/T</w:t>
            </w:r>
            <w:r>
              <w:rPr>
                <w:rFonts w:hint="eastAsia" w:ascii="宋体" w:hAnsi="宋体" w:eastAsia="宋体" w:cs="宋体"/>
                <w:color w:val="auto"/>
                <w:kern w:val="0"/>
                <w:sz w:val="24"/>
                <w:szCs w:val="24"/>
                <w:highlight w:val="none"/>
                <w:lang w:val="en-US" w:eastAsia="zh-CN"/>
              </w:rPr>
              <w:t>38794-2020</w:t>
            </w:r>
            <w:r>
              <w:rPr>
                <w:rFonts w:hint="eastAsia" w:ascii="宋体" w:hAnsi="宋体" w:eastAsia="宋体" w:cs="宋体"/>
                <w:color w:val="auto"/>
                <w:kern w:val="0"/>
                <w:sz w:val="24"/>
                <w:szCs w:val="24"/>
                <w:highlight w:val="none"/>
              </w:rPr>
              <w:t>标准的合格</w:t>
            </w:r>
            <w:r>
              <w:rPr>
                <w:rFonts w:hint="eastAsia" w:ascii="宋体" w:hAnsi="宋体" w:eastAsia="宋体" w:cs="宋体"/>
                <w:color w:val="auto"/>
                <w:kern w:val="0"/>
                <w:sz w:val="24"/>
                <w:szCs w:val="24"/>
                <w:highlight w:val="none"/>
                <w:lang w:val="zh-TW" w:eastAsia="zh-TW"/>
              </w:rPr>
              <w:t>抽检报告</w:t>
            </w:r>
            <w:r>
              <w:rPr>
                <w:rFonts w:hint="eastAsia" w:ascii="宋体" w:hAnsi="宋体" w:eastAsia="宋体" w:cs="宋体"/>
                <w:color w:val="auto"/>
                <w:kern w:val="0"/>
                <w:sz w:val="24"/>
                <w:szCs w:val="24"/>
                <w:highlight w:val="none"/>
              </w:rPr>
              <w:t>，检测项目至少包含：</w:t>
            </w:r>
            <w:r>
              <w:rPr>
                <w:rFonts w:hint="eastAsia" w:ascii="宋体" w:hAnsi="宋体" w:eastAsia="宋体" w:cs="宋体"/>
                <w:color w:val="auto"/>
                <w:kern w:val="2"/>
                <w:sz w:val="24"/>
                <w:szCs w:val="24"/>
                <w:highlight w:val="none"/>
                <w:lang w:val="en-US" w:eastAsia="zh-CN"/>
              </w:rPr>
              <w:t>外观要求、表面理化性能要求、产品寿命、产品有害物质，其中甲醛释放量、苯、甲苯、二甲苯、TVOC均未检出。</w:t>
            </w:r>
            <w:r>
              <w:rPr>
                <w:rFonts w:hint="eastAsia" w:ascii="宋体" w:hAnsi="宋体" w:eastAsia="宋体" w:cs="宋体"/>
                <w:color w:val="auto"/>
                <w:kern w:val="0"/>
                <w:sz w:val="24"/>
                <w:szCs w:val="24"/>
                <w:highlight w:val="none"/>
              </w:rPr>
              <w:t>全部满足得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分，缺项不得分。</w:t>
            </w:r>
          </w:p>
          <w:p w14:paraId="65B1E220">
            <w:pPr>
              <w:keepNext w:val="0"/>
              <w:keepLines w:val="0"/>
              <w:pageBreakBefore w:val="0"/>
              <w:widowControl/>
              <w:kinsoku/>
              <w:wordWrap/>
              <w:overflowPunct/>
              <w:topLinePunct w:val="0"/>
              <w:autoSpaceDE/>
              <w:autoSpaceDN/>
              <w:bidi w:val="0"/>
              <w:adjustRightInd/>
              <w:snapToGrid/>
              <w:spacing w:line="340" w:lineRule="exact"/>
              <w:ind w:firstLine="0" w:firstLineChars="0"/>
              <w:jc w:val="both"/>
              <w:textAlignment w:val="auto"/>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highlight w:val="none"/>
                <w:lang w:val="en-US" w:eastAsia="zh-CN"/>
              </w:rPr>
              <w:t>注：须</w:t>
            </w:r>
            <w:r>
              <w:rPr>
                <w:rFonts w:hint="eastAsia" w:ascii="宋体" w:hAnsi="宋体" w:eastAsia="宋体" w:cs="宋体"/>
                <w:b/>
                <w:bCs/>
                <w:color w:val="auto"/>
                <w:kern w:val="2"/>
                <w:sz w:val="24"/>
                <w:szCs w:val="24"/>
                <w:highlight w:val="none"/>
                <w:lang w:val="zh-TW" w:eastAsia="zh-TW"/>
              </w:rPr>
              <w:t>提供</w:t>
            </w:r>
            <w:r>
              <w:rPr>
                <w:rFonts w:hint="eastAsia" w:ascii="宋体" w:hAnsi="宋体" w:eastAsia="宋体" w:cs="宋体"/>
                <w:b/>
                <w:bCs/>
                <w:color w:val="auto"/>
                <w:kern w:val="2"/>
                <w:sz w:val="24"/>
                <w:szCs w:val="24"/>
                <w:highlight w:val="none"/>
              </w:rPr>
              <w:t>有效期内</w:t>
            </w:r>
            <w:r>
              <w:rPr>
                <w:rFonts w:hint="eastAsia" w:ascii="宋体" w:hAnsi="宋体" w:eastAsia="宋体" w:cs="宋体"/>
                <w:b/>
                <w:bCs/>
                <w:color w:val="auto"/>
                <w:kern w:val="2"/>
                <w:sz w:val="24"/>
                <w:szCs w:val="24"/>
                <w:highlight w:val="none"/>
                <w:lang w:val="zh-TW" w:eastAsia="zh-TW"/>
              </w:rPr>
              <w:t>国家认可的第三方检测机构出具的</w:t>
            </w:r>
            <w:r>
              <w:rPr>
                <w:rFonts w:hint="eastAsia" w:ascii="宋体" w:hAnsi="宋体" w:eastAsia="宋体" w:cs="宋体"/>
                <w:b/>
                <w:bCs/>
                <w:color w:val="auto"/>
                <w:kern w:val="2"/>
                <w:sz w:val="24"/>
                <w:szCs w:val="24"/>
                <w:highlight w:val="none"/>
              </w:rPr>
              <w:t>合格</w:t>
            </w:r>
            <w:r>
              <w:rPr>
                <w:rFonts w:hint="eastAsia" w:ascii="宋体" w:hAnsi="宋体" w:eastAsia="宋体" w:cs="宋体"/>
                <w:b/>
                <w:bCs/>
                <w:color w:val="auto"/>
                <w:kern w:val="2"/>
                <w:sz w:val="24"/>
                <w:szCs w:val="24"/>
                <w:highlight w:val="none"/>
                <w:lang w:val="zh-TW" w:eastAsia="zh-TW"/>
              </w:rPr>
              <w:t>抽检报告（CMA 标识、CNAS 标识）扫描件以及认监委</w:t>
            </w:r>
            <w:r>
              <w:rPr>
                <w:rFonts w:hint="eastAsia" w:ascii="宋体" w:hAnsi="宋体" w:cs="宋体"/>
                <w:b/>
                <w:bCs/>
                <w:color w:val="auto"/>
                <w:kern w:val="2"/>
                <w:sz w:val="24"/>
                <w:szCs w:val="24"/>
                <w:highlight w:val="none"/>
                <w:lang w:val="en-US" w:eastAsia="zh-CN"/>
              </w:rPr>
              <w:t>编号</w:t>
            </w:r>
            <w:r>
              <w:rPr>
                <w:rFonts w:hint="eastAsia" w:ascii="宋体" w:hAnsi="宋体" w:eastAsia="宋体" w:cs="宋体"/>
                <w:b/>
                <w:bCs/>
                <w:color w:val="auto"/>
                <w:kern w:val="2"/>
                <w:sz w:val="24"/>
                <w:szCs w:val="24"/>
                <w:highlight w:val="none"/>
                <w:lang w:val="zh-TW" w:eastAsia="zh-TW"/>
              </w:rPr>
              <w:t>查询截图</w:t>
            </w:r>
            <w:r>
              <w:rPr>
                <w:rFonts w:hint="eastAsia" w:ascii="宋体" w:hAnsi="宋体" w:cs="宋体"/>
                <w:b/>
                <w:bCs/>
                <w:color w:val="auto"/>
                <w:kern w:val="2"/>
                <w:sz w:val="24"/>
                <w:szCs w:val="24"/>
                <w:highlight w:val="none"/>
                <w:lang w:val="zh-TW" w:eastAsia="zh-CN"/>
              </w:rPr>
              <w:t>，</w:t>
            </w:r>
            <w:r>
              <w:rPr>
                <w:rFonts w:hint="eastAsia" w:ascii="宋体" w:hAnsi="宋体" w:eastAsia="宋体" w:cs="宋体"/>
                <w:b/>
                <w:bCs/>
                <w:color w:val="auto"/>
                <w:kern w:val="2"/>
                <w:sz w:val="24"/>
                <w:szCs w:val="24"/>
                <w:highlight w:val="none"/>
                <w:lang w:val="zh-TW" w:eastAsia="zh-TW"/>
              </w:rPr>
              <w:t>报告需体现所投产品制造商名称，</w:t>
            </w:r>
            <w:r>
              <w:rPr>
                <w:rFonts w:hint="eastAsia" w:ascii="宋体" w:hAnsi="宋体" w:eastAsia="宋体" w:cs="宋体"/>
                <w:b/>
                <w:bCs/>
                <w:color w:val="auto"/>
                <w:kern w:val="2"/>
                <w:sz w:val="24"/>
                <w:szCs w:val="24"/>
                <w:highlight w:val="none"/>
              </w:rPr>
              <w:t>不提供不得分。提供的检验报告材料必须清晰且完整含封底及封面，仅有局部内容的检测报告扫描件视为无效。</w:t>
            </w:r>
          </w:p>
        </w:tc>
        <w:tc>
          <w:tcPr>
            <w:tcW w:w="1155" w:type="dxa"/>
            <w:tcBorders>
              <w:tl2br w:val="nil"/>
              <w:tr2bl w:val="nil"/>
            </w:tcBorders>
            <w:noWrap w:val="0"/>
            <w:vAlign w:val="center"/>
          </w:tcPr>
          <w:p w14:paraId="4C5D94A8">
            <w:pPr>
              <w:keepNext w:val="0"/>
              <w:keepLines w:val="0"/>
              <w:pageBreakBefore w:val="0"/>
              <w:widowControl/>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0-</w:t>
            </w:r>
            <w:r>
              <w:rPr>
                <w:rFonts w:hint="eastAsia" w:ascii="宋体" w:hAnsi="宋体" w:cs="宋体"/>
                <w:color w:val="auto"/>
                <w:kern w:val="2"/>
                <w:sz w:val="24"/>
                <w:szCs w:val="24"/>
                <w:lang w:val="en-US" w:eastAsia="zh-CN"/>
              </w:rPr>
              <w:t>6</w:t>
            </w:r>
            <w:r>
              <w:rPr>
                <w:rFonts w:hint="eastAsia" w:ascii="宋体" w:hAnsi="宋体" w:eastAsia="宋体" w:cs="宋体"/>
                <w:color w:val="auto"/>
                <w:kern w:val="2"/>
                <w:sz w:val="24"/>
                <w:szCs w:val="24"/>
              </w:rPr>
              <w:t>分</w:t>
            </w:r>
          </w:p>
        </w:tc>
      </w:tr>
      <w:tr w14:paraId="0506B39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449" w:type="dxa"/>
            <w:tcBorders>
              <w:tl2br w:val="nil"/>
              <w:tr2bl w:val="nil"/>
            </w:tcBorders>
            <w:noWrap w:val="0"/>
            <w:vAlign w:val="center"/>
          </w:tcPr>
          <w:p w14:paraId="16E1966B">
            <w:pPr>
              <w:keepNext w:val="0"/>
              <w:keepLines w:val="0"/>
              <w:pageBreakBefore w:val="0"/>
              <w:widowControl/>
              <w:kinsoku/>
              <w:wordWrap/>
              <w:overflowPunct/>
              <w:topLinePunct w:val="0"/>
              <w:autoSpaceDE/>
              <w:autoSpaceDN/>
              <w:bidi w:val="0"/>
              <w:adjustRightInd w:val="0"/>
              <w:snapToGrid w:val="0"/>
              <w:spacing w:line="340" w:lineRule="exact"/>
              <w:ind w:left="0" w:leftChars="0" w:right="-60" w:rightChars="-25" w:firstLine="0" w:firstLineChars="0"/>
              <w:jc w:val="center"/>
              <w:textAlignment w:val="auto"/>
              <w:rPr>
                <w:rFonts w:hint="default" w:ascii="宋体" w:hAnsi="宋体" w:eastAsia="宋体" w:cs="宋体"/>
                <w:b w:val="0"/>
                <w:bCs w:val="0"/>
                <w:color w:val="FF0000"/>
                <w:sz w:val="24"/>
                <w:szCs w:val="24"/>
                <w:highlight w:val="none"/>
                <w:lang w:val="en-US"/>
              </w:rPr>
            </w:pPr>
            <w:r>
              <w:rPr>
                <w:rFonts w:hint="eastAsia" w:ascii="宋体" w:hAnsi="宋体" w:eastAsia="宋体" w:cs="宋体"/>
                <w:sz w:val="24"/>
                <w:szCs w:val="24"/>
              </w:rPr>
              <w:t>技术参数响应情况</w:t>
            </w:r>
          </w:p>
        </w:tc>
        <w:tc>
          <w:tcPr>
            <w:tcW w:w="8046" w:type="dxa"/>
            <w:tcBorders>
              <w:tl2br w:val="nil"/>
              <w:tr2bl w:val="nil"/>
            </w:tcBorders>
            <w:noWrap w:val="0"/>
            <w:vAlign w:val="center"/>
          </w:tcPr>
          <w:p w14:paraId="16E5A1B0">
            <w:pPr>
              <w:keepNext w:val="0"/>
              <w:keepLines w:val="0"/>
              <w:pageBreakBefore w:val="0"/>
              <w:kinsoku/>
              <w:wordWrap/>
              <w:overflowPunct/>
              <w:topLinePunct w:val="0"/>
              <w:autoSpaceDE/>
              <w:autoSpaceDN/>
              <w:bidi w:val="0"/>
              <w:adjustRightInd w:val="0"/>
              <w:spacing w:line="340" w:lineRule="exact"/>
              <w:ind w:left="0" w:leftChars="0" w:firstLine="0" w:firstLineChars="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strike w:val="0"/>
                <w:dstrike w:val="0"/>
                <w:color w:val="auto"/>
                <w:kern w:val="2"/>
                <w:sz w:val="24"/>
                <w:szCs w:val="24"/>
                <w:highlight w:val="none"/>
                <w:lang w:val="zh-TW" w:eastAsia="zh-TW"/>
              </w:rPr>
              <w:t>满足采购文件明确的全部技术条款要求的该项得</w:t>
            </w:r>
            <w:r>
              <w:rPr>
                <w:rFonts w:hint="eastAsia" w:ascii="宋体" w:hAnsi="宋体" w:cs="宋体"/>
                <w:strike w:val="0"/>
                <w:dstrike w:val="0"/>
                <w:color w:val="auto"/>
                <w:kern w:val="2"/>
                <w:sz w:val="24"/>
                <w:szCs w:val="24"/>
                <w:highlight w:val="none"/>
                <w:lang w:val="en-US" w:eastAsia="zh-CN"/>
              </w:rPr>
              <w:t>14</w:t>
            </w:r>
            <w:r>
              <w:rPr>
                <w:rFonts w:hint="eastAsia" w:ascii="宋体" w:hAnsi="宋体" w:eastAsia="宋体" w:cs="宋体"/>
                <w:strike w:val="0"/>
                <w:dstrike w:val="0"/>
                <w:color w:val="auto"/>
                <w:kern w:val="2"/>
                <w:sz w:val="24"/>
                <w:szCs w:val="24"/>
                <w:highlight w:val="none"/>
                <w:lang w:val="zh-TW" w:eastAsia="zh-TW"/>
              </w:rPr>
              <w:t>分；</w:t>
            </w:r>
            <w:r>
              <w:rPr>
                <w:rFonts w:hint="eastAsia" w:ascii="宋体" w:hAnsi="宋体" w:eastAsia="宋体" w:cs="宋体"/>
                <w:strike w:val="0"/>
                <w:dstrike w:val="0"/>
                <w:color w:val="auto"/>
                <w:kern w:val="2"/>
                <w:sz w:val="24"/>
                <w:szCs w:val="24"/>
                <w:highlight w:val="none"/>
              </w:rPr>
              <w:t>对技术参数负偏离或缺漏项的每项扣</w:t>
            </w:r>
            <w:r>
              <w:rPr>
                <w:rFonts w:hint="eastAsia" w:ascii="宋体" w:hAnsi="宋体" w:eastAsia="宋体" w:cs="宋体"/>
                <w:strike w:val="0"/>
                <w:dstrike w:val="0"/>
                <w:color w:val="auto"/>
                <w:kern w:val="2"/>
                <w:sz w:val="24"/>
                <w:szCs w:val="24"/>
                <w:highlight w:val="none"/>
                <w:lang w:val="en-US" w:eastAsia="zh-CN"/>
              </w:rPr>
              <w:t>0.5</w:t>
            </w:r>
            <w:r>
              <w:rPr>
                <w:rFonts w:hint="eastAsia" w:ascii="宋体" w:hAnsi="宋体" w:eastAsia="宋体" w:cs="宋体"/>
                <w:strike w:val="0"/>
                <w:dstrike w:val="0"/>
                <w:color w:val="auto"/>
                <w:kern w:val="2"/>
                <w:sz w:val="24"/>
                <w:szCs w:val="24"/>
                <w:highlight w:val="none"/>
              </w:rPr>
              <w:t>分，</w:t>
            </w:r>
            <w:r>
              <w:rPr>
                <w:rFonts w:hint="eastAsia" w:ascii="宋体" w:hAnsi="宋体" w:eastAsia="宋体" w:cs="宋体"/>
                <w:sz w:val="24"/>
                <w:szCs w:val="24"/>
                <w:highlight w:val="none"/>
              </w:rPr>
              <w:t>扣完为止</w:t>
            </w:r>
            <w:r>
              <w:rPr>
                <w:rFonts w:hint="eastAsia" w:ascii="宋体" w:hAnsi="宋体" w:eastAsia="宋体" w:cs="宋体"/>
                <w:sz w:val="24"/>
                <w:szCs w:val="24"/>
                <w:highlight w:val="none"/>
                <w:lang w:eastAsia="zh-CN"/>
              </w:rPr>
              <w:t>。</w:t>
            </w:r>
          </w:p>
        </w:tc>
        <w:tc>
          <w:tcPr>
            <w:tcW w:w="1155" w:type="dxa"/>
            <w:tcBorders>
              <w:tl2br w:val="nil"/>
              <w:tr2bl w:val="nil"/>
            </w:tcBorders>
            <w:noWrap w:val="0"/>
            <w:vAlign w:val="center"/>
          </w:tcPr>
          <w:p w14:paraId="1CCCA1EB">
            <w:pPr>
              <w:keepNext w:val="0"/>
              <w:keepLines w:val="0"/>
              <w:pageBreakBefore w:val="0"/>
              <w:widowControl/>
              <w:kinsoku/>
              <w:wordWrap/>
              <w:overflowPunct/>
              <w:topLinePunct w:val="0"/>
              <w:autoSpaceDE/>
              <w:autoSpaceDN/>
              <w:bidi w:val="0"/>
              <w:adjustRightInd w:val="0"/>
              <w:snapToGrid w:val="0"/>
              <w:spacing w:line="340" w:lineRule="exact"/>
              <w:ind w:left="0" w:leftChars="0" w:firstLine="0" w:firstLineChars="0"/>
              <w:jc w:val="center"/>
              <w:textAlignment w:val="auto"/>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color w:val="auto"/>
                <w:kern w:val="2"/>
                <w:sz w:val="24"/>
                <w:szCs w:val="24"/>
                <w:lang w:val="en-US" w:eastAsia="zh-CN"/>
              </w:rPr>
              <w:t>0-</w:t>
            </w:r>
            <w:r>
              <w:rPr>
                <w:rFonts w:hint="eastAsia" w:ascii="宋体" w:hAnsi="宋体" w:cs="宋体"/>
                <w:color w:val="auto"/>
                <w:kern w:val="2"/>
                <w:sz w:val="24"/>
                <w:szCs w:val="24"/>
                <w:lang w:val="en-US" w:eastAsia="zh-CN"/>
              </w:rPr>
              <w:t>14</w:t>
            </w:r>
            <w:r>
              <w:rPr>
                <w:rFonts w:hint="eastAsia" w:ascii="宋体" w:hAnsi="宋体" w:eastAsia="宋体" w:cs="宋体"/>
                <w:color w:val="auto"/>
                <w:kern w:val="2"/>
                <w:sz w:val="24"/>
                <w:szCs w:val="24"/>
                <w:lang w:val="en-US" w:eastAsia="zh-CN"/>
              </w:rPr>
              <w:t>分</w:t>
            </w:r>
          </w:p>
        </w:tc>
      </w:tr>
      <w:tr w14:paraId="24B6FE4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449" w:type="dxa"/>
            <w:tcBorders>
              <w:tl2br w:val="nil"/>
              <w:tr2bl w:val="nil"/>
            </w:tcBorders>
            <w:noWrap w:val="0"/>
            <w:vAlign w:val="center"/>
          </w:tcPr>
          <w:p w14:paraId="7A94060B">
            <w:pPr>
              <w:keepNext w:val="0"/>
              <w:keepLines w:val="0"/>
              <w:pageBreakBefore w:val="0"/>
              <w:widowControl/>
              <w:suppressLineNumbers w:val="0"/>
              <w:kinsoku/>
              <w:wordWrap/>
              <w:overflowPunct/>
              <w:topLinePunct w:val="0"/>
              <w:autoSpaceDE/>
              <w:autoSpaceDN/>
              <w:bidi w:val="0"/>
              <w:spacing w:line="340" w:lineRule="exact"/>
              <w:ind w:left="0" w:leftChars="0" w:firstLine="0" w:firstLineChars="0"/>
              <w:jc w:val="center"/>
              <w:textAlignment w:val="auto"/>
              <w:rPr>
                <w:rFonts w:hint="eastAsia" w:ascii="宋体" w:hAnsi="宋体" w:eastAsia="宋体" w:cs="宋体"/>
                <w:color w:val="FF0000"/>
                <w:kern w:val="2"/>
                <w:sz w:val="24"/>
                <w:szCs w:val="24"/>
                <w:lang w:val="en-US" w:eastAsia="zh-CN" w:bidi="ar-SA"/>
              </w:rPr>
            </w:pPr>
            <w:r>
              <w:rPr>
                <w:rFonts w:hint="eastAsia" w:ascii="宋体" w:hAnsi="宋体" w:eastAsia="宋体" w:cs="宋体"/>
                <w:color w:val="auto"/>
                <w:kern w:val="2"/>
                <w:sz w:val="24"/>
                <w:szCs w:val="24"/>
                <w:highlight w:val="none"/>
                <w:lang w:val="en-US" w:eastAsia="zh-CN"/>
              </w:rPr>
              <w:t>项目实施 方案</w:t>
            </w:r>
          </w:p>
        </w:tc>
        <w:tc>
          <w:tcPr>
            <w:tcW w:w="8046" w:type="dxa"/>
            <w:tcBorders>
              <w:tl2br w:val="nil"/>
              <w:tr2bl w:val="nil"/>
            </w:tcBorders>
            <w:noWrap w:val="0"/>
            <w:vAlign w:val="center"/>
          </w:tcPr>
          <w:p w14:paraId="29C31E6D">
            <w:pPr>
              <w:keepNext w:val="0"/>
              <w:keepLines w:val="0"/>
              <w:pageBreakBefore w:val="0"/>
              <w:widowControl/>
              <w:suppressLineNumbers w:val="0"/>
              <w:kinsoku/>
              <w:wordWrap/>
              <w:overflowPunct/>
              <w:topLinePunct w:val="0"/>
              <w:autoSpaceDE/>
              <w:autoSpaceDN/>
              <w:bidi w:val="0"/>
              <w:spacing w:line="340" w:lineRule="exact"/>
              <w:ind w:left="0" w:leftChars="0" w:firstLine="0" w:firstLineChars="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highlight w:val="none"/>
                <w:lang w:val="zh-TW" w:eastAsia="zh-TW"/>
              </w:rPr>
              <w:t>项目实施方案，提出合理的项目整体实施方案，能按照项目分解节点，</w:t>
            </w:r>
            <w:r>
              <w:rPr>
                <w:rFonts w:hint="eastAsia" w:ascii="宋体" w:hAnsi="宋体" w:eastAsia="宋体" w:cs="宋体"/>
                <w:color w:val="auto"/>
                <w:sz w:val="24"/>
                <w:szCs w:val="24"/>
                <w:highlight w:val="none"/>
                <w:lang w:eastAsia="zh-CN"/>
              </w:rPr>
              <w:t>在规定的时间内有计划的完成项目需求</w:t>
            </w:r>
            <w:r>
              <w:rPr>
                <w:rFonts w:hint="eastAsia" w:ascii="宋体" w:hAnsi="宋体" w:cs="宋体"/>
                <w:color w:val="auto"/>
                <w:sz w:val="24"/>
                <w:szCs w:val="24"/>
                <w:highlight w:val="none"/>
                <w:lang w:eastAsia="zh-CN"/>
              </w:rPr>
              <w:t>，</w:t>
            </w:r>
            <w:r>
              <w:rPr>
                <w:rFonts w:hint="eastAsia" w:ascii="宋体" w:hAnsi="宋体" w:eastAsia="宋体" w:cs="宋体"/>
                <w:color w:val="auto"/>
                <w:kern w:val="2"/>
                <w:sz w:val="24"/>
                <w:szCs w:val="24"/>
                <w:highlight w:val="none"/>
                <w:lang w:val="zh-TW" w:eastAsia="zh-TW"/>
              </w:rPr>
              <w:t>并可跟踪实施。根据投标人提供的方案能否满足采购需求</w:t>
            </w:r>
            <w:r>
              <w:rPr>
                <w:rFonts w:hint="eastAsia" w:ascii="宋体" w:hAnsi="宋体" w:eastAsia="宋体" w:cs="宋体"/>
                <w:color w:val="auto"/>
                <w:kern w:val="2"/>
                <w:sz w:val="24"/>
                <w:szCs w:val="24"/>
                <w:highlight w:val="none"/>
                <w:lang w:val="en-US" w:eastAsia="zh-CN"/>
              </w:rPr>
              <w:t>等情况由评委横向比较酌情打分</w:t>
            </w:r>
            <w:r>
              <w:rPr>
                <w:rFonts w:hint="eastAsia" w:ascii="宋体" w:hAnsi="宋体" w:eastAsia="宋体" w:cs="宋体"/>
                <w:color w:val="auto"/>
                <w:kern w:val="2"/>
                <w:sz w:val="24"/>
                <w:szCs w:val="24"/>
                <w:highlight w:val="none"/>
                <w:lang w:val="zh-TW" w:eastAsia="zh-CN"/>
              </w:rPr>
              <w:t>：</w:t>
            </w:r>
            <w:r>
              <w:rPr>
                <w:rFonts w:hint="eastAsia" w:ascii="宋体" w:hAnsi="宋体" w:eastAsia="宋体" w:cs="宋体"/>
                <w:color w:val="000000"/>
                <w:sz w:val="24"/>
                <w:szCs w:val="24"/>
                <w:highlight w:val="none"/>
                <w:lang w:val="zh-CN" w:eastAsia="zh-CN"/>
              </w:rPr>
              <w:t>方案</w:t>
            </w:r>
            <w:r>
              <w:rPr>
                <w:rFonts w:hint="eastAsia" w:ascii="宋体" w:hAnsi="宋体" w:eastAsia="宋体" w:cs="宋体"/>
                <w:color w:val="000000"/>
                <w:sz w:val="24"/>
                <w:szCs w:val="24"/>
                <w:highlight w:val="none"/>
                <w:lang w:val="en-US" w:eastAsia="zh-CN"/>
              </w:rPr>
              <w:t>合理、切实可行的得</w:t>
            </w:r>
            <w:r>
              <w:rPr>
                <w:rFonts w:hint="eastAsia" w:ascii="宋体" w:hAnsi="宋体" w:cs="宋体"/>
                <w:color w:val="000000"/>
                <w:sz w:val="24"/>
                <w:szCs w:val="24"/>
                <w:highlight w:val="none"/>
                <w:lang w:val="en-US" w:eastAsia="zh-CN"/>
              </w:rPr>
              <w:t>4.1</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分；</w:t>
            </w:r>
            <w:r>
              <w:rPr>
                <w:rFonts w:hint="eastAsia" w:ascii="宋体" w:hAnsi="宋体" w:eastAsia="宋体" w:cs="宋体"/>
                <w:color w:val="000000"/>
                <w:sz w:val="24"/>
                <w:szCs w:val="24"/>
                <w:highlight w:val="none"/>
                <w:lang w:val="zh-CN" w:eastAsia="zh-CN"/>
              </w:rPr>
              <w:t>方案</w:t>
            </w:r>
            <w:r>
              <w:rPr>
                <w:rFonts w:hint="eastAsia" w:ascii="宋体" w:hAnsi="宋体" w:eastAsia="宋体" w:cs="宋体"/>
                <w:color w:val="000000"/>
                <w:sz w:val="24"/>
                <w:szCs w:val="24"/>
                <w:highlight w:val="none"/>
                <w:lang w:val="en-US" w:eastAsia="zh-CN"/>
              </w:rPr>
              <w:t>较为合理、较为切实可行的得</w:t>
            </w:r>
            <w:r>
              <w:rPr>
                <w:rFonts w:hint="eastAsia" w:ascii="宋体" w:hAnsi="宋体" w:cs="宋体"/>
                <w:color w:val="000000"/>
                <w:sz w:val="24"/>
                <w:szCs w:val="24"/>
                <w:highlight w:val="none"/>
                <w:lang w:val="en-US" w:eastAsia="zh-CN"/>
              </w:rPr>
              <w:t>2.1</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分；</w:t>
            </w:r>
            <w:r>
              <w:rPr>
                <w:rFonts w:hint="eastAsia" w:ascii="宋体" w:hAnsi="宋体" w:eastAsia="宋体" w:cs="宋体"/>
                <w:color w:val="000000"/>
                <w:sz w:val="24"/>
                <w:szCs w:val="24"/>
                <w:highlight w:val="none"/>
                <w:lang w:val="zh-CN" w:eastAsia="zh-CN"/>
              </w:rPr>
              <w:t>方案</w:t>
            </w:r>
            <w:r>
              <w:rPr>
                <w:rFonts w:hint="eastAsia" w:ascii="宋体" w:hAnsi="宋体" w:eastAsia="宋体" w:cs="宋体"/>
                <w:color w:val="000000"/>
                <w:sz w:val="24"/>
                <w:szCs w:val="24"/>
                <w:highlight w:val="none"/>
                <w:lang w:val="en-US" w:eastAsia="zh-CN"/>
              </w:rPr>
              <w:t>基本合理但不完善，基本符合实际，有一定可行性的得</w:t>
            </w:r>
            <w:r>
              <w:rPr>
                <w:rFonts w:hint="eastAsia" w:ascii="宋体" w:hAnsi="宋体" w:cs="宋体"/>
                <w:color w:val="000000"/>
                <w:sz w:val="24"/>
                <w:szCs w:val="24"/>
                <w:highlight w:val="none"/>
                <w:lang w:val="en-US" w:eastAsia="zh-CN"/>
              </w:rPr>
              <w:t>0.1</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分；不提供不得分。</w:t>
            </w:r>
          </w:p>
        </w:tc>
        <w:tc>
          <w:tcPr>
            <w:tcW w:w="1155" w:type="dxa"/>
            <w:tcBorders>
              <w:tl2br w:val="nil"/>
              <w:tr2bl w:val="nil"/>
            </w:tcBorders>
            <w:noWrap w:val="0"/>
            <w:vAlign w:val="center"/>
          </w:tcPr>
          <w:p w14:paraId="5516C428">
            <w:pPr>
              <w:keepNext w:val="0"/>
              <w:keepLines w:val="0"/>
              <w:pageBreakBefore w:val="0"/>
              <w:widowControl/>
              <w:kinsoku/>
              <w:wordWrap/>
              <w:overflowPunct/>
              <w:topLinePunct w:val="0"/>
              <w:autoSpaceDE/>
              <w:autoSpaceDN/>
              <w:bidi w:val="0"/>
              <w:adjustRightInd w:val="0"/>
              <w:snapToGrid w:val="0"/>
              <w:spacing w:line="340" w:lineRule="exact"/>
              <w:ind w:left="0" w:lef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0-</w:t>
            </w:r>
            <w:r>
              <w:rPr>
                <w:rFonts w:hint="eastAsia" w:ascii="宋体" w:hAnsi="宋体" w:cs="宋体"/>
                <w:color w:val="auto"/>
                <w:kern w:val="2"/>
                <w:sz w:val="24"/>
                <w:szCs w:val="24"/>
                <w:lang w:val="en-US" w:eastAsia="zh-CN" w:bidi="ar-SA"/>
              </w:rPr>
              <w:t>5</w:t>
            </w:r>
            <w:r>
              <w:rPr>
                <w:rFonts w:hint="eastAsia" w:ascii="宋体" w:hAnsi="宋体" w:eastAsia="宋体" w:cs="宋体"/>
                <w:color w:val="auto"/>
                <w:kern w:val="2"/>
                <w:sz w:val="24"/>
                <w:szCs w:val="24"/>
                <w:lang w:val="en-US" w:eastAsia="zh-CN" w:bidi="ar-SA"/>
              </w:rPr>
              <w:t>分</w:t>
            </w:r>
          </w:p>
        </w:tc>
      </w:tr>
      <w:tr w14:paraId="160EF25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449" w:type="dxa"/>
            <w:tcBorders>
              <w:tl2br w:val="nil"/>
              <w:tr2bl w:val="nil"/>
            </w:tcBorders>
            <w:noWrap w:val="0"/>
            <w:vAlign w:val="center"/>
          </w:tcPr>
          <w:p w14:paraId="3C5FA28E">
            <w:pPr>
              <w:keepNext w:val="0"/>
              <w:keepLines w:val="0"/>
              <w:pageBreakBefore w:val="0"/>
              <w:widowControl/>
              <w:suppressLineNumbers w:val="0"/>
              <w:kinsoku/>
              <w:wordWrap/>
              <w:overflowPunct/>
              <w:topLinePunct w:val="0"/>
              <w:autoSpaceDE/>
              <w:autoSpaceDN/>
              <w:bidi w:val="0"/>
              <w:spacing w:line="340" w:lineRule="exact"/>
              <w:ind w:left="0" w:leftChars="0" w:firstLine="0" w:firstLineChars="0"/>
              <w:jc w:val="center"/>
              <w:textAlignment w:val="auto"/>
              <w:rPr>
                <w:rFonts w:hint="eastAsia" w:ascii="宋体" w:hAnsi="宋体" w:eastAsia="宋体" w:cs="宋体"/>
                <w:color w:val="FF0000"/>
                <w:kern w:val="2"/>
                <w:sz w:val="24"/>
                <w:szCs w:val="24"/>
                <w:lang w:val="en-US" w:eastAsia="zh-CN" w:bidi="ar-SA"/>
              </w:rPr>
            </w:pPr>
            <w:r>
              <w:rPr>
                <w:rFonts w:hint="eastAsia" w:ascii="宋体" w:hAnsi="宋体" w:eastAsia="宋体" w:cs="宋体"/>
                <w:color w:val="auto"/>
                <w:kern w:val="2"/>
                <w:sz w:val="24"/>
                <w:szCs w:val="24"/>
                <w:highlight w:val="none"/>
                <w:lang w:val="en-US" w:eastAsia="zh-CN"/>
              </w:rPr>
              <w:t>品质管理 管控</w:t>
            </w:r>
          </w:p>
        </w:tc>
        <w:tc>
          <w:tcPr>
            <w:tcW w:w="8046" w:type="dxa"/>
            <w:tcBorders>
              <w:tl2br w:val="nil"/>
              <w:tr2bl w:val="nil"/>
            </w:tcBorders>
            <w:noWrap w:val="0"/>
            <w:vAlign w:val="center"/>
          </w:tcPr>
          <w:p w14:paraId="11D3F3EF">
            <w:pPr>
              <w:keepNext w:val="0"/>
              <w:keepLines w:val="0"/>
              <w:pageBreakBefore w:val="0"/>
              <w:kinsoku/>
              <w:wordWrap/>
              <w:overflowPunct/>
              <w:topLinePunct w:val="0"/>
              <w:autoSpaceDE/>
              <w:autoSpaceDN/>
              <w:bidi w:val="0"/>
              <w:spacing w:line="340" w:lineRule="exact"/>
              <w:ind w:left="0" w:leftChars="0" w:firstLine="0"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kern w:val="0"/>
                <w:sz w:val="24"/>
                <w:szCs w:val="24"/>
              </w:rPr>
              <w:t>根据投标人提供的品质管理管控方案，有独立品管部门和专门品管人员（0-</w:t>
            </w:r>
            <w:r>
              <w:rPr>
                <w:rFonts w:hint="eastAsia" w:ascii="宋体" w:hAnsi="宋体" w:cs="宋体"/>
                <w:kern w:val="0"/>
                <w:sz w:val="24"/>
                <w:szCs w:val="24"/>
                <w:lang w:val="en-US" w:eastAsia="zh-CN"/>
              </w:rPr>
              <w:t>1</w:t>
            </w:r>
            <w:r>
              <w:rPr>
                <w:rFonts w:hint="eastAsia" w:ascii="宋体" w:hAnsi="宋体" w:eastAsia="宋体" w:cs="宋体"/>
                <w:kern w:val="0"/>
                <w:sz w:val="24"/>
                <w:szCs w:val="24"/>
              </w:rPr>
              <w:t>分），确保产品生产过程中的质量控制完善（0-</w:t>
            </w:r>
            <w:r>
              <w:rPr>
                <w:rFonts w:hint="eastAsia" w:ascii="宋体" w:hAnsi="宋体" w:cs="宋体"/>
                <w:kern w:val="0"/>
                <w:sz w:val="24"/>
                <w:szCs w:val="24"/>
                <w:lang w:val="en-US" w:eastAsia="zh-CN"/>
              </w:rPr>
              <w:t>1</w:t>
            </w:r>
            <w:r>
              <w:rPr>
                <w:rFonts w:hint="eastAsia" w:ascii="宋体" w:hAnsi="宋体" w:eastAsia="宋体" w:cs="宋体"/>
                <w:kern w:val="0"/>
                <w:sz w:val="24"/>
                <w:szCs w:val="24"/>
              </w:rPr>
              <w:t>分）等方面进行综合评分。</w:t>
            </w:r>
          </w:p>
        </w:tc>
        <w:tc>
          <w:tcPr>
            <w:tcW w:w="1155" w:type="dxa"/>
            <w:tcBorders>
              <w:tl2br w:val="nil"/>
              <w:tr2bl w:val="nil"/>
            </w:tcBorders>
            <w:noWrap w:val="0"/>
            <w:vAlign w:val="center"/>
          </w:tcPr>
          <w:p w14:paraId="52056D9A">
            <w:pPr>
              <w:keepNext w:val="0"/>
              <w:keepLines w:val="0"/>
              <w:pageBreakBefore w:val="0"/>
              <w:widowControl/>
              <w:kinsoku/>
              <w:wordWrap/>
              <w:overflowPunct/>
              <w:topLinePunct w:val="0"/>
              <w:autoSpaceDE/>
              <w:autoSpaceDN/>
              <w:bidi w:val="0"/>
              <w:adjustRightInd w:val="0"/>
              <w:snapToGrid w:val="0"/>
              <w:spacing w:line="340" w:lineRule="exact"/>
              <w:ind w:left="0" w:lef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0-</w:t>
            </w: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分</w:t>
            </w:r>
          </w:p>
        </w:tc>
      </w:tr>
      <w:tr w14:paraId="34FECB4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449" w:type="dxa"/>
            <w:tcBorders>
              <w:tl2br w:val="nil"/>
              <w:tr2bl w:val="nil"/>
            </w:tcBorders>
            <w:noWrap w:val="0"/>
            <w:vAlign w:val="center"/>
          </w:tcPr>
          <w:p w14:paraId="69212663">
            <w:pPr>
              <w:keepNext w:val="0"/>
              <w:keepLines w:val="0"/>
              <w:pageBreakBefore w:val="0"/>
              <w:widowControl/>
              <w:suppressLineNumbers w:val="0"/>
              <w:kinsoku/>
              <w:wordWrap/>
              <w:overflowPunct/>
              <w:topLinePunct w:val="0"/>
              <w:autoSpaceDE/>
              <w:autoSpaceDN/>
              <w:bidi w:val="0"/>
              <w:spacing w:line="340" w:lineRule="exact"/>
              <w:ind w:left="0" w:leftChars="0" w:firstLine="0" w:firstLineChars="0"/>
              <w:jc w:val="center"/>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安装服务实施方案</w:t>
            </w:r>
          </w:p>
          <w:p w14:paraId="510C2317">
            <w:pPr>
              <w:keepNext w:val="0"/>
              <w:keepLines w:val="0"/>
              <w:pageBreakBefore w:val="0"/>
              <w:widowControl/>
              <w:kinsoku/>
              <w:wordWrap/>
              <w:overflowPunct/>
              <w:topLinePunct w:val="0"/>
              <w:autoSpaceDE/>
              <w:autoSpaceDN/>
              <w:bidi w:val="0"/>
              <w:adjustRightInd w:val="0"/>
              <w:snapToGrid w:val="0"/>
              <w:spacing w:line="340" w:lineRule="exact"/>
              <w:ind w:left="0" w:leftChars="0" w:right="-60" w:rightChars="-25" w:firstLine="0" w:firstLineChars="0"/>
              <w:jc w:val="center"/>
              <w:textAlignment w:val="auto"/>
              <w:rPr>
                <w:rFonts w:hint="eastAsia" w:ascii="宋体" w:hAnsi="宋体" w:eastAsia="宋体" w:cs="宋体"/>
                <w:color w:val="FF0000"/>
                <w:kern w:val="2"/>
                <w:sz w:val="24"/>
                <w:szCs w:val="24"/>
                <w:lang w:val="en-US" w:eastAsia="zh-CN" w:bidi="ar-SA"/>
              </w:rPr>
            </w:pPr>
          </w:p>
        </w:tc>
        <w:tc>
          <w:tcPr>
            <w:tcW w:w="8046" w:type="dxa"/>
            <w:tcBorders>
              <w:tl2br w:val="nil"/>
              <w:tr2bl w:val="nil"/>
            </w:tcBorders>
            <w:noWrap w:val="0"/>
            <w:vAlign w:val="center"/>
          </w:tcPr>
          <w:p w14:paraId="3870EE4E">
            <w:pPr>
              <w:keepNext w:val="0"/>
              <w:keepLines w:val="0"/>
              <w:pageBreakBefore w:val="0"/>
              <w:widowControl/>
              <w:suppressLineNumbers w:val="0"/>
              <w:kinsoku/>
              <w:wordWrap/>
              <w:overflowPunct/>
              <w:topLinePunct w:val="0"/>
              <w:autoSpaceDE/>
              <w:autoSpaceDN/>
              <w:bidi w:val="0"/>
              <w:spacing w:line="340" w:lineRule="exact"/>
              <w:ind w:left="0" w:leftChars="0" w:firstLine="0" w:firstLineChars="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根据货物交付时间节点，落实送货安装时间和人员安排，确保按期交付使用。根据供应商提供的方案能否满足采购需求，与采购需求的满足程度，</w:t>
            </w:r>
            <w:r>
              <w:rPr>
                <w:rFonts w:hint="eastAsia" w:ascii="宋体" w:hAnsi="宋体" w:eastAsia="宋体" w:cs="宋体"/>
                <w:color w:val="auto"/>
                <w:kern w:val="2"/>
                <w:sz w:val="24"/>
                <w:szCs w:val="24"/>
                <w:highlight w:val="none"/>
                <w:lang w:val="en-US" w:eastAsia="zh-CN"/>
              </w:rPr>
              <w:t>由评委横向比较酌情打分</w:t>
            </w:r>
            <w:r>
              <w:rPr>
                <w:rFonts w:hint="eastAsia" w:ascii="宋体" w:hAnsi="宋体" w:eastAsia="宋体" w:cs="宋体"/>
                <w:color w:val="auto"/>
                <w:kern w:val="2"/>
                <w:sz w:val="24"/>
                <w:szCs w:val="24"/>
                <w:highlight w:val="none"/>
                <w:lang w:val="zh-TW" w:eastAsia="zh-CN"/>
              </w:rPr>
              <w:t>：</w:t>
            </w:r>
            <w:r>
              <w:rPr>
                <w:rFonts w:hint="eastAsia" w:ascii="宋体" w:hAnsi="宋体" w:eastAsia="宋体" w:cs="宋体"/>
                <w:color w:val="000000"/>
                <w:sz w:val="24"/>
                <w:szCs w:val="24"/>
                <w:highlight w:val="none"/>
                <w:lang w:val="zh-CN" w:eastAsia="zh-CN"/>
              </w:rPr>
              <w:t>方案</w:t>
            </w:r>
            <w:r>
              <w:rPr>
                <w:rFonts w:hint="eastAsia" w:ascii="宋体" w:hAnsi="宋体" w:eastAsia="宋体" w:cs="宋体"/>
                <w:color w:val="000000"/>
                <w:sz w:val="24"/>
                <w:szCs w:val="24"/>
                <w:highlight w:val="none"/>
                <w:lang w:val="en-US" w:eastAsia="zh-CN"/>
              </w:rPr>
              <w:t>合理、切实可行的得</w:t>
            </w:r>
            <w:r>
              <w:rPr>
                <w:rFonts w:hint="eastAsia" w:ascii="宋体" w:hAnsi="宋体" w:cs="宋体"/>
                <w:color w:val="000000"/>
                <w:sz w:val="24"/>
                <w:szCs w:val="24"/>
                <w:highlight w:val="none"/>
                <w:lang w:val="en-US" w:eastAsia="zh-CN"/>
              </w:rPr>
              <w:t>2.1</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分；</w:t>
            </w:r>
            <w:r>
              <w:rPr>
                <w:rFonts w:hint="eastAsia" w:ascii="宋体" w:hAnsi="宋体" w:eastAsia="宋体" w:cs="宋体"/>
                <w:color w:val="000000"/>
                <w:sz w:val="24"/>
                <w:szCs w:val="24"/>
                <w:highlight w:val="none"/>
                <w:lang w:val="zh-CN" w:eastAsia="zh-CN"/>
              </w:rPr>
              <w:t>方案</w:t>
            </w:r>
            <w:r>
              <w:rPr>
                <w:rFonts w:hint="eastAsia" w:ascii="宋体" w:hAnsi="宋体" w:eastAsia="宋体" w:cs="宋体"/>
                <w:color w:val="000000"/>
                <w:sz w:val="24"/>
                <w:szCs w:val="24"/>
                <w:highlight w:val="none"/>
                <w:lang w:val="en-US" w:eastAsia="zh-CN"/>
              </w:rPr>
              <w:t>较为合理、较为切实可行的得</w:t>
            </w:r>
            <w:r>
              <w:rPr>
                <w:rFonts w:hint="eastAsia" w:ascii="宋体" w:hAnsi="宋体" w:cs="宋体"/>
                <w:color w:val="000000"/>
                <w:sz w:val="24"/>
                <w:szCs w:val="24"/>
                <w:highlight w:val="none"/>
                <w:lang w:val="en-US" w:eastAsia="zh-CN"/>
              </w:rPr>
              <w:t>1.1</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分；</w:t>
            </w:r>
            <w:r>
              <w:rPr>
                <w:rFonts w:hint="eastAsia" w:ascii="宋体" w:hAnsi="宋体" w:eastAsia="宋体" w:cs="宋体"/>
                <w:color w:val="000000"/>
                <w:sz w:val="24"/>
                <w:szCs w:val="24"/>
                <w:highlight w:val="none"/>
                <w:lang w:val="zh-CN" w:eastAsia="zh-CN"/>
              </w:rPr>
              <w:t>方案</w:t>
            </w:r>
            <w:r>
              <w:rPr>
                <w:rFonts w:hint="eastAsia" w:ascii="宋体" w:hAnsi="宋体" w:eastAsia="宋体" w:cs="宋体"/>
                <w:color w:val="000000"/>
                <w:sz w:val="24"/>
                <w:szCs w:val="24"/>
                <w:highlight w:val="none"/>
                <w:lang w:val="en-US" w:eastAsia="zh-CN"/>
              </w:rPr>
              <w:t>基本合理但不完善，基本符合实际，有一定可行性的得</w:t>
            </w:r>
            <w:r>
              <w:rPr>
                <w:rFonts w:hint="eastAsia" w:ascii="宋体" w:hAnsi="宋体" w:cs="宋体"/>
                <w:color w:val="000000"/>
                <w:sz w:val="24"/>
                <w:szCs w:val="24"/>
                <w:highlight w:val="none"/>
                <w:lang w:val="en-US" w:eastAsia="zh-CN"/>
              </w:rPr>
              <w:t>0.1</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分；不提供不得分。</w:t>
            </w:r>
          </w:p>
        </w:tc>
        <w:tc>
          <w:tcPr>
            <w:tcW w:w="1155" w:type="dxa"/>
            <w:tcBorders>
              <w:tl2br w:val="nil"/>
              <w:tr2bl w:val="nil"/>
            </w:tcBorders>
            <w:noWrap w:val="0"/>
            <w:vAlign w:val="center"/>
          </w:tcPr>
          <w:p w14:paraId="673CEC4D">
            <w:pPr>
              <w:keepNext w:val="0"/>
              <w:keepLines w:val="0"/>
              <w:pageBreakBefore w:val="0"/>
              <w:widowControl/>
              <w:kinsoku/>
              <w:wordWrap/>
              <w:overflowPunct/>
              <w:topLinePunct w:val="0"/>
              <w:autoSpaceDE/>
              <w:autoSpaceDN/>
              <w:bidi w:val="0"/>
              <w:adjustRightInd w:val="0"/>
              <w:snapToGrid w:val="0"/>
              <w:spacing w:line="340" w:lineRule="exact"/>
              <w:ind w:left="0" w:lef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0-</w:t>
            </w:r>
            <w:r>
              <w:rPr>
                <w:rFonts w:hint="eastAsia" w:ascii="宋体" w:hAnsi="宋体" w:cs="宋体"/>
                <w:color w:val="auto"/>
                <w:kern w:val="2"/>
                <w:sz w:val="24"/>
                <w:szCs w:val="24"/>
                <w:lang w:val="en-US" w:eastAsia="zh-CN" w:bidi="ar-SA"/>
              </w:rPr>
              <w:t>3</w:t>
            </w:r>
            <w:r>
              <w:rPr>
                <w:rFonts w:hint="eastAsia" w:ascii="宋体" w:hAnsi="宋体" w:eastAsia="宋体" w:cs="宋体"/>
                <w:color w:val="auto"/>
                <w:kern w:val="2"/>
                <w:sz w:val="24"/>
                <w:szCs w:val="24"/>
                <w:lang w:val="en-US" w:eastAsia="zh-CN" w:bidi="ar-SA"/>
              </w:rPr>
              <w:t>分</w:t>
            </w:r>
          </w:p>
        </w:tc>
      </w:tr>
      <w:tr w14:paraId="4B16A81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1732" w:hRule="atLeast"/>
        </w:trPr>
        <w:tc>
          <w:tcPr>
            <w:tcW w:w="1449" w:type="dxa"/>
            <w:tcBorders>
              <w:tl2br w:val="nil"/>
              <w:tr2bl w:val="nil"/>
            </w:tcBorders>
            <w:noWrap w:val="0"/>
            <w:vAlign w:val="center"/>
          </w:tcPr>
          <w:p w14:paraId="43401D49">
            <w:pPr>
              <w:keepNext w:val="0"/>
              <w:keepLines w:val="0"/>
              <w:pageBreakBefore w:val="0"/>
              <w:widowControl/>
              <w:kinsoku/>
              <w:wordWrap/>
              <w:overflowPunct/>
              <w:topLinePunct w:val="0"/>
              <w:autoSpaceDE/>
              <w:autoSpaceDN/>
              <w:bidi w:val="0"/>
              <w:adjustRightInd w:val="0"/>
              <w:snapToGrid w:val="0"/>
              <w:spacing w:line="340" w:lineRule="exact"/>
              <w:ind w:left="0" w:leftChars="0" w:right="-60" w:rightChars="-25" w:firstLine="0" w:firstLineChars="0"/>
              <w:jc w:val="center"/>
              <w:textAlignment w:val="auto"/>
              <w:rPr>
                <w:rFonts w:hint="eastAsia" w:ascii="宋体" w:hAnsi="宋体" w:eastAsia="宋体" w:cs="宋体"/>
                <w:color w:val="FF0000"/>
                <w:kern w:val="2"/>
                <w:sz w:val="24"/>
                <w:szCs w:val="24"/>
                <w:lang w:val="en-US" w:eastAsia="zh-CN" w:bidi="ar-SA"/>
              </w:rPr>
            </w:pPr>
            <w:r>
              <w:rPr>
                <w:rFonts w:hint="eastAsia" w:ascii="宋体" w:hAnsi="宋体" w:eastAsia="宋体" w:cs="宋体"/>
                <w:sz w:val="24"/>
                <w:szCs w:val="24"/>
              </w:rPr>
              <w:t>售后服务</w:t>
            </w:r>
          </w:p>
        </w:tc>
        <w:tc>
          <w:tcPr>
            <w:tcW w:w="8046" w:type="dxa"/>
            <w:tcBorders>
              <w:tl2br w:val="nil"/>
              <w:tr2bl w:val="nil"/>
            </w:tcBorders>
            <w:noWrap w:val="0"/>
            <w:vAlign w:val="center"/>
          </w:tcPr>
          <w:p w14:paraId="2A0C1897">
            <w:pPr>
              <w:keepNext w:val="0"/>
              <w:keepLines w:val="0"/>
              <w:pageBreakBefore w:val="0"/>
              <w:kinsoku/>
              <w:wordWrap/>
              <w:overflowPunct/>
              <w:topLinePunct w:val="0"/>
              <w:autoSpaceDE/>
              <w:autoSpaceDN/>
              <w:bidi w:val="0"/>
              <w:spacing w:line="340" w:lineRule="exact"/>
              <w:ind w:left="0" w:leftChars="0" w:firstLine="0" w:firstLineChars="0"/>
              <w:textAlignment w:val="auto"/>
              <w:rPr>
                <w:rFonts w:hint="eastAsia" w:ascii="宋体" w:hAnsi="宋体" w:eastAsia="宋体" w:cs="宋体"/>
                <w:kern w:val="0"/>
                <w:sz w:val="24"/>
                <w:szCs w:val="24"/>
              </w:rPr>
            </w:pPr>
            <w:r>
              <w:rPr>
                <w:rFonts w:hint="eastAsia" w:ascii="宋体" w:hAnsi="宋体" w:eastAsia="宋体" w:cs="宋体"/>
                <w:kern w:val="0"/>
                <w:sz w:val="24"/>
                <w:szCs w:val="24"/>
              </w:rPr>
              <w:t>售后服务应对方案及承诺：</w:t>
            </w:r>
          </w:p>
          <w:p w14:paraId="396AAE3F">
            <w:pPr>
              <w:keepNext w:val="0"/>
              <w:keepLines w:val="0"/>
              <w:pageBreakBefore w:val="0"/>
              <w:numPr>
                <w:ilvl w:val="0"/>
                <w:numId w:val="0"/>
              </w:numPr>
              <w:kinsoku/>
              <w:wordWrap/>
              <w:overflowPunct/>
              <w:topLinePunct w:val="0"/>
              <w:autoSpaceDE/>
              <w:autoSpaceDN/>
              <w:bidi w:val="0"/>
              <w:spacing w:line="340" w:lineRule="exact"/>
              <w:ind w:left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提供产品2年</w:t>
            </w:r>
            <w:r>
              <w:rPr>
                <w:rFonts w:hint="eastAsia" w:ascii="宋体" w:hAnsi="宋体" w:cs="宋体"/>
                <w:kern w:val="0"/>
                <w:sz w:val="24"/>
                <w:szCs w:val="24"/>
                <w:lang w:val="en-US" w:eastAsia="zh-CN"/>
              </w:rPr>
              <w:t>运维</w:t>
            </w:r>
            <w:r>
              <w:rPr>
                <w:rFonts w:hint="eastAsia" w:ascii="宋体" w:hAnsi="宋体" w:eastAsia="宋体" w:cs="宋体"/>
                <w:kern w:val="0"/>
                <w:sz w:val="24"/>
                <w:szCs w:val="24"/>
              </w:rPr>
              <w:t>期（</w:t>
            </w:r>
            <w:r>
              <w:rPr>
                <w:rFonts w:hint="eastAsia" w:ascii="宋体" w:hAnsi="宋体" w:cs="宋体"/>
                <w:kern w:val="0"/>
                <w:sz w:val="24"/>
                <w:szCs w:val="24"/>
                <w:lang w:val="en-US" w:eastAsia="zh-CN"/>
              </w:rPr>
              <w:t>运维</w:t>
            </w:r>
            <w:r>
              <w:rPr>
                <w:rFonts w:hint="eastAsia" w:ascii="宋体" w:hAnsi="宋体" w:eastAsia="宋体" w:cs="宋体"/>
                <w:kern w:val="0"/>
                <w:sz w:val="24"/>
                <w:szCs w:val="24"/>
              </w:rPr>
              <w:t>期内免费维修，不能维修产品负责免费更换）。每延长1年</w:t>
            </w:r>
            <w:r>
              <w:rPr>
                <w:rFonts w:hint="eastAsia" w:ascii="宋体" w:hAnsi="宋体" w:cs="宋体"/>
                <w:kern w:val="0"/>
                <w:sz w:val="24"/>
                <w:szCs w:val="24"/>
                <w:lang w:val="en-US" w:eastAsia="zh-CN"/>
              </w:rPr>
              <w:t>运维</w:t>
            </w:r>
            <w:r>
              <w:rPr>
                <w:rFonts w:hint="eastAsia" w:ascii="宋体" w:hAnsi="宋体" w:eastAsia="宋体" w:cs="宋体"/>
                <w:kern w:val="0"/>
                <w:sz w:val="24"/>
                <w:szCs w:val="24"/>
              </w:rPr>
              <w:t>期得1分，最高得2分。</w:t>
            </w:r>
          </w:p>
          <w:p w14:paraId="09643AB4">
            <w:pPr>
              <w:keepNext w:val="0"/>
              <w:keepLines w:val="0"/>
              <w:pageBreakBefore w:val="0"/>
              <w:numPr>
                <w:ilvl w:val="0"/>
                <w:numId w:val="0"/>
              </w:numPr>
              <w:kinsoku/>
              <w:wordWrap/>
              <w:overflowPunct/>
              <w:topLinePunct w:val="0"/>
              <w:autoSpaceDE/>
              <w:autoSpaceDN/>
              <w:bidi w:val="0"/>
              <w:spacing w:line="340" w:lineRule="exact"/>
              <w:ind w:leftChars="0"/>
              <w:textAlignment w:val="auto"/>
              <w:rPr>
                <w:rFonts w:hint="eastAsia" w:ascii="宋体" w:hAnsi="宋体" w:eastAsia="宋体" w:cs="宋体"/>
                <w:sz w:val="24"/>
                <w:szCs w:val="24"/>
                <w:lang w:val="en-US" w:eastAsia="zh-CN"/>
              </w:rPr>
            </w:pPr>
            <w:r>
              <w:rPr>
                <w:rFonts w:hint="eastAsia" w:ascii="宋体" w:hAnsi="宋体" w:cs="宋体"/>
                <w:kern w:val="0"/>
                <w:sz w:val="24"/>
                <w:szCs w:val="24"/>
                <w:lang w:val="en-US" w:eastAsia="zh-CN"/>
              </w:rPr>
              <w:t>2</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提供详细完整的“三包”措施及售后服务措施和方案（包括服务措施、产品质量保证、回访、技术培训等）。根据投标人提供的方案能否满足采购需求，由</w:t>
            </w:r>
            <w:r>
              <w:rPr>
                <w:rFonts w:hint="eastAsia" w:ascii="宋体" w:hAnsi="宋体" w:eastAsia="宋体" w:cs="宋体"/>
                <w:kern w:val="0"/>
                <w:sz w:val="24"/>
                <w:szCs w:val="24"/>
                <w:lang w:val="en-US" w:eastAsia="zh-CN"/>
              </w:rPr>
              <w:t>评委横向比较酌情打分</w:t>
            </w:r>
            <w:r>
              <w:rPr>
                <w:rFonts w:hint="eastAsia" w:ascii="宋体" w:hAnsi="宋体" w:eastAsia="宋体" w:cs="宋体"/>
                <w:kern w:val="0"/>
                <w:sz w:val="24"/>
                <w:szCs w:val="24"/>
                <w:lang w:eastAsia="zh-CN"/>
              </w:rPr>
              <w:t>。</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0-</w:t>
            </w:r>
            <w:r>
              <w:rPr>
                <w:rFonts w:hint="eastAsia" w:ascii="宋体" w:hAnsi="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lang w:val="en-US" w:eastAsia="zh-CN"/>
              </w:rPr>
              <w:t>分）</w:t>
            </w:r>
          </w:p>
        </w:tc>
        <w:tc>
          <w:tcPr>
            <w:tcW w:w="1155" w:type="dxa"/>
            <w:tcBorders>
              <w:tl2br w:val="nil"/>
              <w:tr2bl w:val="nil"/>
            </w:tcBorders>
            <w:noWrap w:val="0"/>
            <w:vAlign w:val="center"/>
          </w:tcPr>
          <w:p w14:paraId="6A120FDB">
            <w:pPr>
              <w:keepNext w:val="0"/>
              <w:keepLines w:val="0"/>
              <w:pageBreakBefore w:val="0"/>
              <w:widowControl/>
              <w:kinsoku/>
              <w:wordWrap/>
              <w:overflowPunct/>
              <w:topLinePunct w:val="0"/>
              <w:autoSpaceDE/>
              <w:autoSpaceDN/>
              <w:bidi w:val="0"/>
              <w:adjustRightInd w:val="0"/>
              <w:snapToGrid w:val="0"/>
              <w:spacing w:line="340" w:lineRule="exact"/>
              <w:ind w:left="0" w:leftChars="0" w:firstLine="0" w:firstLineChars="0"/>
              <w:jc w:val="center"/>
              <w:textAlignment w:val="auto"/>
              <w:rPr>
                <w:rFonts w:hint="eastAsia" w:ascii="宋体" w:hAnsi="宋体" w:eastAsia="宋体" w:cs="宋体"/>
                <w:color w:val="FF0000"/>
                <w:kern w:val="2"/>
                <w:sz w:val="24"/>
                <w:szCs w:val="24"/>
                <w:lang w:val="en-US" w:eastAsia="zh-CN" w:bidi="ar-SA"/>
              </w:rPr>
            </w:pPr>
            <w:r>
              <w:rPr>
                <w:rFonts w:hint="eastAsia" w:ascii="宋体" w:hAnsi="宋体" w:eastAsia="宋体" w:cs="宋体"/>
                <w:sz w:val="24"/>
                <w:szCs w:val="24"/>
                <w:lang w:val="en-US" w:eastAsia="zh-CN"/>
              </w:rPr>
              <w:t>0-</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w:t>
            </w:r>
          </w:p>
        </w:tc>
      </w:tr>
      <w:bookmarkEnd w:id="556"/>
      <w:bookmarkEnd w:id="557"/>
      <w:bookmarkEnd w:id="558"/>
      <w:bookmarkEnd w:id="559"/>
      <w:bookmarkEnd w:id="560"/>
      <w:bookmarkEnd w:id="561"/>
      <w:bookmarkEnd w:id="562"/>
      <w:bookmarkEnd w:id="563"/>
      <w:bookmarkEnd w:id="564"/>
      <w:bookmarkEnd w:id="565"/>
      <w:bookmarkEnd w:id="566"/>
      <w:bookmarkEnd w:id="567"/>
      <w:bookmarkEnd w:id="568"/>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tbl>
    <w:p w14:paraId="60EAA029">
      <w:pPr>
        <w:keepNext w:val="0"/>
        <w:keepLines w:val="0"/>
        <w:pageBreakBefore w:val="0"/>
        <w:widowControl/>
        <w:kinsoku/>
        <w:wordWrap/>
        <w:overflowPunct/>
        <w:topLinePunct w:val="0"/>
        <w:autoSpaceDE/>
        <w:autoSpaceDN/>
        <w:bidi w:val="0"/>
        <w:adjustRightInd/>
        <w:snapToGrid/>
        <w:spacing w:line="360" w:lineRule="exact"/>
        <w:textAlignment w:val="auto"/>
        <w:rPr>
          <w:rFonts w:ascii="宋体" w:hAnsi="宋体" w:cs="宋体"/>
          <w:b/>
          <w:bCs/>
          <w:color w:val="auto"/>
        </w:rPr>
      </w:pPr>
      <w:bookmarkStart w:id="742" w:name="_Toc12295"/>
      <w:bookmarkStart w:id="743" w:name="_Toc21281"/>
      <w:bookmarkStart w:id="744" w:name="_Toc30669"/>
      <w:bookmarkStart w:id="745" w:name="_Toc28717"/>
      <w:bookmarkStart w:id="746" w:name="_Toc29206"/>
      <w:bookmarkStart w:id="747" w:name="_Toc6020"/>
      <w:bookmarkStart w:id="748" w:name="_Toc29819"/>
      <w:bookmarkStart w:id="749" w:name="_Toc5433"/>
      <w:bookmarkStart w:id="750" w:name="_Toc5485"/>
      <w:bookmarkStart w:id="751" w:name="_Toc23144"/>
      <w:bookmarkStart w:id="752" w:name="_Toc7272"/>
      <w:bookmarkStart w:id="753" w:name="_Toc1518"/>
      <w:bookmarkStart w:id="754" w:name="_Toc12891"/>
      <w:bookmarkStart w:id="755" w:name="_Toc29100"/>
      <w:bookmarkStart w:id="756" w:name="_Toc22478"/>
      <w:bookmarkStart w:id="757" w:name="_Toc4505"/>
      <w:bookmarkStart w:id="758" w:name="_Toc18889"/>
      <w:bookmarkStart w:id="759" w:name="_Toc31129"/>
      <w:bookmarkStart w:id="760" w:name="_Toc29904"/>
      <w:bookmarkStart w:id="761" w:name="_Toc18665"/>
      <w:bookmarkStart w:id="762" w:name="_Toc16940"/>
      <w:bookmarkStart w:id="763" w:name="_Toc13063"/>
      <w:bookmarkStart w:id="764" w:name="_Toc2034"/>
      <w:bookmarkStart w:id="765" w:name="_Toc23988"/>
      <w:bookmarkStart w:id="766" w:name="_Toc32294"/>
      <w:bookmarkStart w:id="767" w:name="_Toc19057"/>
      <w:bookmarkStart w:id="768" w:name="_Toc15014"/>
      <w:bookmarkStart w:id="769" w:name="_Toc19280"/>
      <w:bookmarkStart w:id="770" w:name="_Toc11297"/>
      <w:bookmarkStart w:id="771" w:name="_Toc9400"/>
      <w:bookmarkStart w:id="772" w:name="_Toc24157"/>
      <w:bookmarkStart w:id="773" w:name="_Toc16468"/>
      <w:bookmarkStart w:id="774" w:name="_Toc23997"/>
      <w:bookmarkStart w:id="775" w:name="_Toc2114"/>
      <w:bookmarkStart w:id="776" w:name="_Toc19763"/>
      <w:bookmarkStart w:id="777" w:name="_Toc23598"/>
      <w:bookmarkStart w:id="778" w:name="_Toc7613"/>
      <w:bookmarkStart w:id="779" w:name="_Toc21063"/>
      <w:bookmarkStart w:id="780" w:name="_Toc3721"/>
      <w:bookmarkStart w:id="781" w:name="_Toc7339"/>
      <w:bookmarkStart w:id="782" w:name="_Toc20999"/>
      <w:bookmarkStart w:id="783" w:name="_Toc9996"/>
      <w:bookmarkStart w:id="784" w:name="_Toc21134"/>
      <w:bookmarkStart w:id="785" w:name="_Toc1170"/>
      <w:bookmarkStart w:id="786" w:name="_Toc347443768"/>
      <w:bookmarkStart w:id="787" w:name="_Toc391298964"/>
      <w:r>
        <w:rPr>
          <w:rFonts w:hint="eastAsia" w:ascii="宋体" w:hAnsi="宋体" w:cs="宋体"/>
          <w:b/>
          <w:bCs/>
          <w:color w:val="auto"/>
        </w:rPr>
        <w:t>十一、投标人不得有下列情形</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7D6AFC61">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投标人有下列情形之一的，处以采购项目中标金额千分之五以上千分之十以下的罚款，列入不良行为记录名单，在一至三年内禁止参加采购活动，并予以公告，有违法所得的，并处没收违法所得,情节严重的，由</w:t>
      </w:r>
      <w:r>
        <w:rPr>
          <w:rFonts w:hint="eastAsia" w:ascii="宋体" w:hAnsi="宋体" w:cs="宋体"/>
          <w:color w:val="auto"/>
          <w:lang w:eastAsia="zh-CN"/>
        </w:rPr>
        <w:t>市场监督</w:t>
      </w:r>
      <w:r>
        <w:rPr>
          <w:rFonts w:hint="eastAsia" w:ascii="宋体" w:hAnsi="宋体" w:cs="宋体"/>
          <w:color w:val="auto"/>
        </w:rPr>
        <w:t>管理机关吊销营业执照，构成犯罪的，依法追究刑事责任。同时将取消中标资格或者认定中标无效。</w:t>
      </w:r>
    </w:p>
    <w:p w14:paraId="30731F99">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1.提供虚假材料谋取中标；</w:t>
      </w:r>
    </w:p>
    <w:p w14:paraId="57A621BB">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2.采取不正当手段诋毁、排挤其他投标人；</w:t>
      </w:r>
    </w:p>
    <w:p w14:paraId="5296D498">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3.与采购人、其他投标人恶意串通；</w:t>
      </w:r>
    </w:p>
    <w:p w14:paraId="176EBD07">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4.向采购人、评标小组成员行贿或者提供其他不正当利益；</w:t>
      </w:r>
    </w:p>
    <w:p w14:paraId="5EAEE36D">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5.在招标过程中与采购人进行协商谈判；</w:t>
      </w:r>
    </w:p>
    <w:p w14:paraId="40E1BFA6">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6.中标人无正当理由拖延或者不与采购人签订采购合同；</w:t>
      </w:r>
    </w:p>
    <w:p w14:paraId="078E2C2F">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7.未按照采购文件确定的事项签订采购合同；</w:t>
      </w:r>
    </w:p>
    <w:p w14:paraId="2F25D88D">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8.将采购合同转包或者违规分包；</w:t>
      </w:r>
    </w:p>
    <w:p w14:paraId="33478F4B">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9.提供假冒伪劣产品；</w:t>
      </w:r>
    </w:p>
    <w:p w14:paraId="06027A1D">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10.擅自变更、中止或者终止采购合同；</w:t>
      </w:r>
    </w:p>
    <w:p w14:paraId="321BFC77">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11.拒绝有关部门的监督检查或者向监督检查部门提供虚假情况；</w:t>
      </w:r>
    </w:p>
    <w:p w14:paraId="00F9E736">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12.法律法规规定的其他情形。</w:t>
      </w:r>
    </w:p>
    <w:p w14:paraId="1B29C19D">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1"/>
        <w:rPr>
          <w:rFonts w:ascii="宋体" w:hAnsi="宋体" w:cs="宋体"/>
          <w:b/>
          <w:bCs/>
          <w:color w:val="auto"/>
        </w:rPr>
      </w:pPr>
      <w:bookmarkStart w:id="788" w:name="_Toc32341"/>
      <w:bookmarkStart w:id="789" w:name="_Toc22989"/>
      <w:bookmarkStart w:id="790" w:name="_Toc8750"/>
      <w:bookmarkStart w:id="791" w:name="_Toc9039"/>
      <w:bookmarkStart w:id="792" w:name="_Toc20601"/>
      <w:bookmarkStart w:id="793" w:name="_Toc30885"/>
      <w:bookmarkStart w:id="794" w:name="_Toc11211"/>
      <w:bookmarkStart w:id="795" w:name="_Toc19855"/>
      <w:bookmarkStart w:id="796" w:name="_Toc16516"/>
      <w:bookmarkStart w:id="797" w:name="_Toc15843"/>
      <w:bookmarkStart w:id="798" w:name="_Toc16522"/>
      <w:bookmarkStart w:id="799" w:name="_Toc7292"/>
      <w:bookmarkStart w:id="800" w:name="_Toc19558"/>
      <w:bookmarkStart w:id="801" w:name="_Toc552"/>
      <w:bookmarkStart w:id="802" w:name="_Toc23017"/>
      <w:bookmarkStart w:id="803" w:name="_Toc20449"/>
      <w:bookmarkStart w:id="804" w:name="_Toc29636"/>
      <w:bookmarkStart w:id="805" w:name="_Toc25321"/>
      <w:bookmarkStart w:id="806" w:name="_Toc13406"/>
      <w:bookmarkStart w:id="807" w:name="_Toc31870"/>
      <w:bookmarkStart w:id="808" w:name="_Toc14056"/>
      <w:bookmarkStart w:id="809" w:name="_Toc21968"/>
      <w:bookmarkStart w:id="810" w:name="_Toc4226"/>
      <w:bookmarkStart w:id="811" w:name="_Toc21651"/>
      <w:bookmarkStart w:id="812" w:name="_Toc4873"/>
      <w:bookmarkStart w:id="813" w:name="_Toc11628"/>
      <w:bookmarkStart w:id="814" w:name="_Toc29580"/>
      <w:bookmarkStart w:id="815" w:name="_Toc12829"/>
      <w:bookmarkStart w:id="816" w:name="_Toc24586"/>
      <w:bookmarkStart w:id="817" w:name="_Toc8601"/>
      <w:bookmarkStart w:id="818" w:name="_Toc20638"/>
      <w:bookmarkStart w:id="819" w:name="_Toc2473"/>
      <w:bookmarkStart w:id="820" w:name="_Toc4304"/>
      <w:bookmarkStart w:id="821" w:name="_Toc10181"/>
      <w:bookmarkStart w:id="822" w:name="_Toc6024"/>
      <w:bookmarkStart w:id="823" w:name="_Toc20072"/>
      <w:bookmarkStart w:id="824" w:name="_Toc9063"/>
      <w:bookmarkStart w:id="825" w:name="_Toc2041"/>
      <w:bookmarkStart w:id="826" w:name="_Toc18036"/>
      <w:bookmarkStart w:id="827" w:name="_Toc6048"/>
      <w:bookmarkStart w:id="828" w:name="_Toc21777"/>
      <w:bookmarkStart w:id="829" w:name="_Toc32296"/>
      <w:bookmarkStart w:id="830" w:name="_Toc22553"/>
      <w:bookmarkStart w:id="831" w:name="_Toc6548"/>
      <w:bookmarkStart w:id="832" w:name="_Toc17389"/>
      <w:bookmarkStart w:id="833" w:name="_Toc4296"/>
      <w:r>
        <w:rPr>
          <w:rFonts w:hint="eastAsia" w:ascii="宋体" w:hAnsi="宋体" w:cs="宋体"/>
          <w:b/>
          <w:bCs/>
          <w:color w:val="auto"/>
        </w:rPr>
        <w:t>十二、串通投标情形</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491722C7">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招标采购中，有下列情形之一的，视为投标人串通投标，其投标无效：</w:t>
      </w:r>
    </w:p>
    <w:p w14:paraId="452B0228">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1.不同投标人的投标文件由同一单位或者个人编制；</w:t>
      </w:r>
    </w:p>
    <w:p w14:paraId="294B3ACF">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2.不同投标人委托同一单位或者个人办理投标事宜；</w:t>
      </w:r>
    </w:p>
    <w:p w14:paraId="5BDD5A5E">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3.不同投标人的投标文件载明的项目管理成员或者联系人员为同一人；</w:t>
      </w:r>
    </w:p>
    <w:p w14:paraId="0BCE1A56">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ascii="宋体" w:hAnsi="宋体" w:cs="宋体"/>
          <w:color w:val="auto"/>
        </w:rPr>
      </w:pPr>
      <w:r>
        <w:rPr>
          <w:rFonts w:hint="eastAsia" w:ascii="宋体" w:hAnsi="宋体" w:cs="宋体"/>
          <w:color w:val="auto"/>
        </w:rPr>
        <w:t>4.不同投标人的投标文件异常一致或者投标报价呈规律性差异；</w:t>
      </w:r>
    </w:p>
    <w:p w14:paraId="4BC12B93">
      <w:pPr>
        <w:keepNext w:val="0"/>
        <w:keepLines w:val="0"/>
        <w:pageBreakBefore w:val="0"/>
        <w:widowControl/>
        <w:kinsoku/>
        <w:wordWrap/>
        <w:overflowPunct/>
        <w:topLinePunct w:val="0"/>
        <w:autoSpaceDE/>
        <w:autoSpaceDN/>
        <w:bidi w:val="0"/>
        <w:adjustRightInd/>
        <w:snapToGrid/>
        <w:spacing w:line="360" w:lineRule="exact"/>
        <w:ind w:firstLine="480"/>
        <w:textAlignment w:val="auto"/>
        <w:rPr>
          <w:rFonts w:hint="eastAsia"/>
          <w:lang w:val="zh-CN"/>
        </w:rPr>
      </w:pPr>
      <w:r>
        <w:rPr>
          <w:rFonts w:hint="eastAsia" w:ascii="宋体" w:hAnsi="宋体" w:cs="宋体"/>
          <w:color w:val="auto"/>
        </w:rPr>
        <w:t>5.不同投标人的投标文件相互混装。</w:t>
      </w:r>
      <w:bookmarkEnd w:id="786"/>
      <w:bookmarkEnd w:id="787"/>
      <w:bookmarkStart w:id="834" w:name="_Toc15825"/>
      <w:bookmarkStart w:id="835" w:name="_Toc12019"/>
      <w:bookmarkStart w:id="836" w:name="_Toc18436"/>
      <w:bookmarkStart w:id="837" w:name="_Toc19304"/>
      <w:bookmarkStart w:id="838" w:name="_Toc10388"/>
      <w:bookmarkStart w:id="839" w:name="_Toc11472"/>
      <w:bookmarkStart w:id="840" w:name="_Toc22487"/>
      <w:bookmarkStart w:id="841" w:name="_Toc9181"/>
      <w:bookmarkStart w:id="842" w:name="_Toc20951"/>
      <w:bookmarkStart w:id="843" w:name="_Toc22259"/>
      <w:bookmarkStart w:id="844" w:name="_Toc19257"/>
      <w:bookmarkStart w:id="845" w:name="_Toc21758"/>
      <w:bookmarkStart w:id="846" w:name="_Toc8221"/>
      <w:bookmarkStart w:id="847" w:name="_Toc6295"/>
      <w:bookmarkStart w:id="848" w:name="_Toc12079"/>
      <w:bookmarkStart w:id="849" w:name="_Toc15963"/>
      <w:bookmarkStart w:id="850" w:name="_Toc19268"/>
      <w:bookmarkStart w:id="851" w:name="_Toc13948"/>
      <w:bookmarkStart w:id="852" w:name="_Toc6786"/>
      <w:bookmarkStart w:id="853" w:name="_Toc11540"/>
      <w:bookmarkStart w:id="854" w:name="_Toc32471"/>
      <w:bookmarkStart w:id="855" w:name="_Toc14386"/>
      <w:bookmarkStart w:id="856" w:name="_Toc2346"/>
      <w:bookmarkStart w:id="857" w:name="_Toc5424"/>
      <w:bookmarkStart w:id="858" w:name="_Toc10485"/>
      <w:bookmarkStart w:id="859" w:name="_Toc12338"/>
      <w:bookmarkStart w:id="860" w:name="_Toc25156"/>
      <w:bookmarkStart w:id="861" w:name="_Toc29727"/>
      <w:bookmarkStart w:id="862" w:name="_Toc6811"/>
      <w:bookmarkStart w:id="863" w:name="_Toc3409"/>
      <w:bookmarkStart w:id="864" w:name="_Toc2753"/>
      <w:bookmarkStart w:id="865" w:name="_Toc6998"/>
      <w:bookmarkStart w:id="866" w:name="_Toc18455"/>
      <w:bookmarkStart w:id="867" w:name="_Toc2605"/>
      <w:bookmarkStart w:id="868" w:name="_Toc29233"/>
      <w:bookmarkStart w:id="869" w:name="_Toc22692"/>
      <w:bookmarkStart w:id="870" w:name="_Toc30553"/>
      <w:bookmarkStart w:id="871" w:name="_Toc24952"/>
      <w:bookmarkStart w:id="872" w:name="_Toc21055"/>
      <w:bookmarkStart w:id="873" w:name="_Toc3385"/>
      <w:bookmarkStart w:id="874" w:name="_Toc10123"/>
      <w:bookmarkStart w:id="875" w:name="_Toc31476"/>
      <w:bookmarkStart w:id="876" w:name="_Toc3583"/>
      <w:bookmarkStart w:id="877" w:name="_Toc10"/>
      <w:bookmarkStart w:id="878" w:name="_Toc21613"/>
      <w:bookmarkStart w:id="879" w:name="_Toc9891"/>
      <w:bookmarkStart w:id="880" w:name="_Toc27434"/>
      <w:bookmarkStart w:id="881" w:name="_Toc23764"/>
      <w:bookmarkStart w:id="882" w:name="_Toc11924"/>
      <w:bookmarkStart w:id="883" w:name="_Toc7563"/>
      <w:bookmarkStart w:id="884" w:name="_Toc18870"/>
      <w:bookmarkStart w:id="885" w:name="_Toc21350"/>
      <w:bookmarkStart w:id="886" w:name="_Toc27395"/>
      <w:bookmarkStart w:id="887" w:name="_Toc19009"/>
      <w:bookmarkStart w:id="888" w:name="_Toc4116"/>
      <w:bookmarkStart w:id="889" w:name="_Toc10740"/>
      <w:bookmarkStart w:id="890" w:name="_Toc11107"/>
      <w:bookmarkStart w:id="891" w:name="_Toc662"/>
      <w:bookmarkStart w:id="892" w:name="_Toc32257"/>
      <w:bookmarkStart w:id="893" w:name="_Toc1556"/>
      <w:bookmarkStart w:id="894" w:name="_Toc391298965"/>
      <w:bookmarkStart w:id="895" w:name="_Toc7009"/>
      <w:bookmarkStart w:id="896" w:name="_Toc9609"/>
      <w:bookmarkStart w:id="897" w:name="_Toc10670"/>
      <w:bookmarkStart w:id="898" w:name="_Toc26456"/>
      <w:bookmarkStart w:id="899" w:name="_Toc16056"/>
      <w:bookmarkStart w:id="900" w:name="_Toc23998"/>
      <w:bookmarkStart w:id="901" w:name="_Toc245"/>
      <w:bookmarkStart w:id="902" w:name="_Toc3375"/>
      <w:bookmarkStart w:id="903" w:name="_Toc25656"/>
      <w:bookmarkStart w:id="904" w:name="_Toc15295"/>
    </w:p>
    <w:p w14:paraId="55129891">
      <w:pPr>
        <w:pStyle w:val="3"/>
        <w:keepNext/>
        <w:keepLines w:val="0"/>
        <w:pageBreakBefore w:val="0"/>
        <w:widowControl w:val="0"/>
        <w:numPr>
          <w:ilvl w:val="0"/>
          <w:numId w:val="0"/>
        </w:numPr>
        <w:kinsoku/>
        <w:wordWrap/>
        <w:overflowPunct/>
        <w:topLinePunct w:val="0"/>
        <w:autoSpaceDE/>
        <w:autoSpaceDN/>
        <w:bidi w:val="0"/>
        <w:adjustRightInd/>
        <w:snapToGrid/>
        <w:spacing w:before="0" w:beforeLines="0" w:after="0" w:afterLines="0" w:line="312" w:lineRule="auto"/>
        <w:ind w:leftChars="0"/>
        <w:jc w:val="center"/>
        <w:textAlignment w:val="auto"/>
        <w:rPr>
          <w:rFonts w:hint="eastAsia" w:ascii="宋体" w:hAnsi="宋体" w:cs="宋体"/>
          <w:color w:val="auto"/>
          <w:highlight w:val="none"/>
          <w:lang w:val="zh-CN"/>
        </w:rPr>
      </w:pPr>
      <w:bookmarkStart w:id="905" w:name="_Toc19275"/>
    </w:p>
    <w:p w14:paraId="1368D35E">
      <w:pPr>
        <w:pStyle w:val="3"/>
        <w:keepNext/>
        <w:keepLines w:val="0"/>
        <w:pageBreakBefore w:val="0"/>
        <w:widowControl w:val="0"/>
        <w:numPr>
          <w:ilvl w:val="0"/>
          <w:numId w:val="0"/>
        </w:numPr>
        <w:kinsoku/>
        <w:wordWrap/>
        <w:overflowPunct/>
        <w:topLinePunct w:val="0"/>
        <w:autoSpaceDE/>
        <w:autoSpaceDN/>
        <w:bidi w:val="0"/>
        <w:adjustRightInd/>
        <w:snapToGrid/>
        <w:spacing w:before="0" w:beforeLines="0" w:after="0" w:afterLines="0" w:line="312" w:lineRule="auto"/>
        <w:ind w:leftChars="0"/>
        <w:jc w:val="center"/>
        <w:textAlignment w:val="auto"/>
        <w:rPr>
          <w:rFonts w:hint="eastAsia" w:ascii="宋体" w:hAnsi="宋体" w:cs="宋体"/>
          <w:color w:val="auto"/>
          <w:highlight w:val="none"/>
          <w:lang w:val="zh-CN"/>
        </w:rPr>
      </w:pPr>
    </w:p>
    <w:p w14:paraId="4BFDE438">
      <w:pPr>
        <w:pStyle w:val="3"/>
        <w:keepNext/>
        <w:keepLines w:val="0"/>
        <w:pageBreakBefore w:val="0"/>
        <w:widowControl w:val="0"/>
        <w:numPr>
          <w:ilvl w:val="0"/>
          <w:numId w:val="0"/>
        </w:numPr>
        <w:kinsoku/>
        <w:wordWrap/>
        <w:overflowPunct/>
        <w:topLinePunct w:val="0"/>
        <w:autoSpaceDE/>
        <w:autoSpaceDN/>
        <w:bidi w:val="0"/>
        <w:adjustRightInd/>
        <w:snapToGrid/>
        <w:spacing w:before="0" w:beforeLines="0" w:after="0" w:afterLines="0" w:line="312" w:lineRule="auto"/>
        <w:ind w:leftChars="0"/>
        <w:jc w:val="center"/>
        <w:textAlignment w:val="auto"/>
        <w:rPr>
          <w:rFonts w:hint="eastAsia" w:ascii="宋体" w:hAnsi="宋体" w:cs="宋体"/>
          <w:color w:val="auto"/>
          <w:highlight w:val="none"/>
          <w:lang w:val="zh-CN"/>
        </w:rPr>
      </w:pPr>
    </w:p>
    <w:p w14:paraId="49278BC7">
      <w:pPr>
        <w:pStyle w:val="3"/>
        <w:keepNext/>
        <w:keepLines w:val="0"/>
        <w:pageBreakBefore w:val="0"/>
        <w:widowControl w:val="0"/>
        <w:numPr>
          <w:ilvl w:val="0"/>
          <w:numId w:val="0"/>
        </w:numPr>
        <w:kinsoku/>
        <w:wordWrap/>
        <w:overflowPunct/>
        <w:topLinePunct w:val="0"/>
        <w:autoSpaceDE/>
        <w:autoSpaceDN/>
        <w:bidi w:val="0"/>
        <w:adjustRightInd/>
        <w:snapToGrid/>
        <w:spacing w:before="0" w:beforeLines="0" w:after="0" w:afterLines="0" w:line="312" w:lineRule="auto"/>
        <w:ind w:leftChars="0"/>
        <w:jc w:val="center"/>
        <w:textAlignment w:val="auto"/>
        <w:rPr>
          <w:rFonts w:hint="eastAsia" w:ascii="宋体" w:hAnsi="宋体" w:cs="宋体"/>
          <w:color w:val="auto"/>
          <w:highlight w:val="none"/>
          <w:lang w:val="zh-CN"/>
        </w:rPr>
      </w:pPr>
    </w:p>
    <w:p w14:paraId="3A78DE3F">
      <w:pPr>
        <w:rPr>
          <w:rFonts w:hint="eastAsia" w:ascii="宋体" w:hAnsi="宋体" w:cs="宋体"/>
          <w:color w:val="auto"/>
          <w:highlight w:val="none"/>
          <w:lang w:val="zh-CN"/>
        </w:rPr>
      </w:pPr>
    </w:p>
    <w:p w14:paraId="62FE7F87">
      <w:pPr>
        <w:pStyle w:val="17"/>
        <w:rPr>
          <w:rFonts w:hint="eastAsia" w:ascii="宋体" w:hAnsi="宋体" w:cs="宋体"/>
          <w:color w:val="auto"/>
          <w:highlight w:val="none"/>
          <w:lang w:val="zh-CN"/>
        </w:rPr>
      </w:pPr>
    </w:p>
    <w:p w14:paraId="53DD4B10">
      <w:pPr>
        <w:rPr>
          <w:rFonts w:hint="eastAsia" w:ascii="宋体" w:hAnsi="宋体" w:cs="宋体"/>
          <w:color w:val="auto"/>
          <w:highlight w:val="none"/>
          <w:lang w:val="zh-CN"/>
        </w:rPr>
      </w:pPr>
    </w:p>
    <w:p w14:paraId="3EDF3268">
      <w:pPr>
        <w:pStyle w:val="17"/>
        <w:rPr>
          <w:rFonts w:hint="eastAsia"/>
          <w:lang w:val="zh-CN"/>
        </w:rPr>
      </w:pPr>
    </w:p>
    <w:p w14:paraId="23AF1E5A">
      <w:pPr>
        <w:pStyle w:val="17"/>
        <w:rPr>
          <w:rFonts w:hint="eastAsia" w:ascii="宋体" w:hAnsi="宋体" w:cs="宋体"/>
          <w:color w:val="auto"/>
          <w:highlight w:val="none"/>
          <w:lang w:val="zh-CN"/>
        </w:rPr>
      </w:pPr>
    </w:p>
    <w:p w14:paraId="704615D7">
      <w:pPr>
        <w:rPr>
          <w:rFonts w:hint="eastAsia" w:ascii="宋体" w:hAnsi="宋体" w:cs="宋体"/>
          <w:color w:val="auto"/>
          <w:highlight w:val="none"/>
          <w:lang w:val="zh-CN"/>
        </w:rPr>
      </w:pPr>
    </w:p>
    <w:p w14:paraId="3DE7C2F2">
      <w:pPr>
        <w:pStyle w:val="2"/>
        <w:rPr>
          <w:rFonts w:hint="eastAsia" w:ascii="宋体" w:hAnsi="宋体" w:cs="宋体"/>
          <w:color w:val="auto"/>
          <w:highlight w:val="none"/>
          <w:lang w:val="zh-CN"/>
        </w:rPr>
      </w:pPr>
    </w:p>
    <w:p w14:paraId="306EE42F">
      <w:pPr>
        <w:pStyle w:val="2"/>
        <w:rPr>
          <w:rFonts w:hint="eastAsia" w:ascii="宋体" w:hAnsi="宋体" w:cs="宋体"/>
          <w:color w:val="auto"/>
          <w:highlight w:val="none"/>
          <w:lang w:val="zh-CN"/>
        </w:rPr>
      </w:pPr>
    </w:p>
    <w:p w14:paraId="2ECB30E3">
      <w:pPr>
        <w:pStyle w:val="2"/>
        <w:rPr>
          <w:rFonts w:hint="eastAsia" w:ascii="宋体" w:hAnsi="宋体" w:cs="宋体"/>
          <w:color w:val="auto"/>
          <w:highlight w:val="none"/>
          <w:lang w:val="zh-CN"/>
        </w:rPr>
      </w:pPr>
    </w:p>
    <w:p w14:paraId="31136807">
      <w:pPr>
        <w:pStyle w:val="2"/>
        <w:rPr>
          <w:rFonts w:hint="eastAsia" w:ascii="宋体" w:hAnsi="宋体" w:cs="宋体"/>
          <w:color w:val="auto"/>
          <w:highlight w:val="none"/>
          <w:lang w:val="zh-CN"/>
        </w:rPr>
      </w:pPr>
    </w:p>
    <w:p w14:paraId="51FC739E">
      <w:pPr>
        <w:pStyle w:val="17"/>
        <w:rPr>
          <w:rFonts w:hint="eastAsia" w:ascii="宋体" w:hAnsi="宋体" w:cs="宋体"/>
          <w:color w:val="auto"/>
          <w:highlight w:val="none"/>
          <w:lang w:val="zh-CN"/>
        </w:rPr>
      </w:pPr>
    </w:p>
    <w:p w14:paraId="3625D8FF">
      <w:pPr>
        <w:rPr>
          <w:rFonts w:hint="eastAsia" w:ascii="宋体" w:hAnsi="宋体" w:cs="宋体"/>
          <w:color w:val="auto"/>
          <w:highlight w:val="none"/>
          <w:lang w:val="zh-CN"/>
        </w:rPr>
      </w:pPr>
    </w:p>
    <w:p w14:paraId="35E0EF12">
      <w:pPr>
        <w:pStyle w:val="17"/>
        <w:rPr>
          <w:rFonts w:hint="eastAsia" w:ascii="宋体" w:hAnsi="宋体" w:cs="宋体"/>
          <w:color w:val="auto"/>
          <w:highlight w:val="none"/>
          <w:lang w:val="zh-CN"/>
        </w:rPr>
      </w:pPr>
    </w:p>
    <w:p w14:paraId="0C393EA6">
      <w:pPr>
        <w:rPr>
          <w:rFonts w:hint="eastAsia"/>
          <w:lang w:val="zh-CN"/>
        </w:rPr>
      </w:pPr>
    </w:p>
    <w:p w14:paraId="2E11BFBC">
      <w:pPr>
        <w:rPr>
          <w:rFonts w:hint="eastAsia" w:ascii="宋体" w:hAnsi="宋体" w:cs="宋体"/>
          <w:color w:val="auto"/>
          <w:highlight w:val="none"/>
          <w:lang w:val="zh-CN"/>
        </w:rPr>
      </w:pPr>
    </w:p>
    <w:p w14:paraId="58517AA3">
      <w:pPr>
        <w:pStyle w:val="17"/>
        <w:rPr>
          <w:rFonts w:hint="eastAsia"/>
          <w:lang w:val="zh-CN"/>
        </w:rPr>
      </w:pPr>
    </w:p>
    <w:p w14:paraId="16828231">
      <w:pPr>
        <w:rPr>
          <w:rFonts w:hint="eastAsia"/>
          <w:lang w:val="zh-CN"/>
        </w:rPr>
      </w:pPr>
    </w:p>
    <w:p w14:paraId="6F59C280">
      <w:pPr>
        <w:pStyle w:val="3"/>
        <w:keepNext/>
        <w:keepLines w:val="0"/>
        <w:pageBreakBefore w:val="0"/>
        <w:widowControl w:val="0"/>
        <w:numPr>
          <w:ilvl w:val="0"/>
          <w:numId w:val="0"/>
        </w:numPr>
        <w:kinsoku/>
        <w:wordWrap/>
        <w:overflowPunct/>
        <w:topLinePunct w:val="0"/>
        <w:autoSpaceDE/>
        <w:autoSpaceDN/>
        <w:bidi w:val="0"/>
        <w:adjustRightInd/>
        <w:snapToGrid/>
        <w:spacing w:before="0" w:beforeLines="0" w:after="0" w:afterLines="0" w:line="312" w:lineRule="auto"/>
        <w:ind w:leftChars="0"/>
        <w:jc w:val="center"/>
        <w:textAlignment w:val="auto"/>
        <w:rPr>
          <w:rFonts w:ascii="宋体" w:hAnsi="宋体" w:cs="宋体"/>
          <w:color w:val="auto"/>
          <w:szCs w:val="32"/>
          <w:highlight w:val="none"/>
        </w:rPr>
      </w:pPr>
      <w:r>
        <w:rPr>
          <w:rFonts w:hint="eastAsia" w:ascii="宋体" w:hAnsi="宋体" w:cs="宋体"/>
          <w:color w:val="auto"/>
          <w:highlight w:val="none"/>
          <w:lang w:val="zh-CN"/>
        </w:rPr>
        <w:t xml:space="preserve">第五章  </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905"/>
      <w:bookmarkStart w:id="906" w:name="_Toc24484"/>
      <w:bookmarkStart w:id="907" w:name="_Toc11744"/>
      <w:bookmarkStart w:id="908" w:name="_Toc29250"/>
      <w:bookmarkStart w:id="909" w:name="_Toc10276"/>
      <w:bookmarkStart w:id="910" w:name="_Toc6903"/>
      <w:bookmarkStart w:id="911" w:name="_Toc13586"/>
      <w:bookmarkStart w:id="912" w:name="_Toc21987"/>
      <w:bookmarkStart w:id="913" w:name="_Toc25963"/>
      <w:bookmarkStart w:id="914" w:name="_Toc29433"/>
      <w:bookmarkStart w:id="915" w:name="_Toc24583"/>
      <w:bookmarkStart w:id="916" w:name="_Toc32577"/>
      <w:bookmarkStart w:id="917" w:name="_Toc12950"/>
      <w:bookmarkStart w:id="918" w:name="_Toc11201"/>
      <w:bookmarkStart w:id="919" w:name="_Toc17425"/>
      <w:bookmarkStart w:id="920" w:name="_Toc9250"/>
      <w:bookmarkStart w:id="921" w:name="_Toc8633"/>
      <w:bookmarkStart w:id="922" w:name="_Toc7361"/>
      <w:bookmarkStart w:id="923" w:name="_Toc12620"/>
      <w:bookmarkStart w:id="924" w:name="_Toc10444"/>
      <w:bookmarkStart w:id="925" w:name="_Toc19483"/>
      <w:bookmarkStart w:id="926" w:name="_Toc17266"/>
      <w:bookmarkStart w:id="927" w:name="_Toc20673"/>
      <w:bookmarkStart w:id="928" w:name="_Toc7962"/>
      <w:bookmarkStart w:id="929" w:name="_Toc32036"/>
      <w:bookmarkStart w:id="930" w:name="_Toc20389"/>
      <w:bookmarkStart w:id="931" w:name="_Toc3065"/>
      <w:r>
        <w:rPr>
          <w:rFonts w:hint="eastAsia" w:ascii="宋体" w:hAnsi="宋体" w:cs="宋体"/>
          <w:color w:val="auto"/>
          <w:highlight w:val="none"/>
        </w:rPr>
        <w:t>合同主要条款</w:t>
      </w:r>
    </w:p>
    <w:p w14:paraId="16F33E0A">
      <w:pPr>
        <w:keepNext w:val="0"/>
        <w:keepLines w:val="0"/>
        <w:pageBreakBefore w:val="0"/>
        <w:kinsoku/>
        <w:wordWrap/>
        <w:overflowPunct/>
        <w:topLinePunct w:val="0"/>
        <w:autoSpaceDE/>
        <w:autoSpaceDN/>
        <w:bidi w:val="0"/>
        <w:adjustRightInd/>
        <w:spacing w:line="430" w:lineRule="exact"/>
        <w:ind w:firstLine="482"/>
        <w:textAlignment w:val="auto"/>
        <w:rPr>
          <w:rFonts w:hint="eastAsia" w:ascii="宋体" w:hAnsi="宋体" w:eastAsia="宋体" w:cs="宋体"/>
          <w:b/>
          <w:bCs/>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p>
    <w:p w14:paraId="2E277E8E">
      <w:pPr>
        <w:keepNext w:val="0"/>
        <w:keepLines w:val="0"/>
        <w:pageBreakBefore w:val="0"/>
        <w:kinsoku/>
        <w:wordWrap/>
        <w:overflowPunct/>
        <w:topLinePunct w:val="0"/>
        <w:autoSpaceDE/>
        <w:autoSpaceDN/>
        <w:bidi w:val="0"/>
        <w:adjustRightInd/>
        <w:spacing w:line="430" w:lineRule="exact"/>
        <w:ind w:firstLine="482"/>
        <w:textAlignment w:val="auto"/>
        <w:rPr>
          <w:rFonts w:hint="eastAsia" w:ascii="宋体" w:hAnsi="宋体" w:eastAsia="宋体" w:cs="宋体"/>
          <w:b/>
          <w:bCs/>
          <w:sz w:val="24"/>
          <w:szCs w:val="24"/>
        </w:rPr>
      </w:pPr>
      <w:r>
        <w:rPr>
          <w:rFonts w:hint="eastAsia" w:ascii="宋体" w:hAnsi="宋体" w:eastAsia="宋体" w:cs="宋体"/>
          <w:b/>
          <w:bCs/>
          <w:sz w:val="24"/>
          <w:szCs w:val="24"/>
        </w:rPr>
        <w:t>项目编号：</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p>
    <w:p w14:paraId="520B6B8B">
      <w:pPr>
        <w:keepNext w:val="0"/>
        <w:keepLines w:val="0"/>
        <w:pageBreakBefore w:val="0"/>
        <w:kinsoku/>
        <w:wordWrap/>
        <w:overflowPunct/>
        <w:topLinePunct w:val="0"/>
        <w:autoSpaceDE/>
        <w:autoSpaceDN/>
        <w:bidi w:val="0"/>
        <w:adjustRightInd/>
        <w:spacing w:line="430" w:lineRule="exact"/>
        <w:ind w:firstLine="482"/>
        <w:textAlignment w:val="auto"/>
        <w:rPr>
          <w:rFonts w:hint="eastAsia" w:ascii="宋体" w:hAnsi="宋体" w:eastAsia="宋体" w:cs="宋体"/>
          <w:b/>
          <w:bCs/>
          <w:sz w:val="24"/>
          <w:szCs w:val="24"/>
        </w:rPr>
      </w:pPr>
      <w:r>
        <w:rPr>
          <w:rFonts w:hint="eastAsia" w:ascii="宋体" w:hAnsi="宋体" w:eastAsia="宋体" w:cs="宋体"/>
          <w:b/>
          <w:bCs/>
          <w:sz w:val="24"/>
          <w:szCs w:val="24"/>
        </w:rPr>
        <w:t>甲方：</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（以下简称甲方）</w:t>
      </w:r>
    </w:p>
    <w:p w14:paraId="2318E8BC">
      <w:pPr>
        <w:keepNext w:val="0"/>
        <w:keepLines w:val="0"/>
        <w:pageBreakBefore w:val="0"/>
        <w:kinsoku/>
        <w:wordWrap/>
        <w:overflowPunct/>
        <w:topLinePunct w:val="0"/>
        <w:autoSpaceDE/>
        <w:autoSpaceDN/>
        <w:bidi w:val="0"/>
        <w:adjustRightInd/>
        <w:spacing w:line="430" w:lineRule="exact"/>
        <w:ind w:firstLine="482"/>
        <w:textAlignment w:val="auto"/>
        <w:rPr>
          <w:rFonts w:hint="eastAsia" w:ascii="宋体" w:hAnsi="宋体" w:eastAsia="宋体" w:cs="宋体"/>
          <w:b/>
          <w:bCs/>
          <w:sz w:val="24"/>
          <w:szCs w:val="24"/>
        </w:rPr>
      </w:pPr>
      <w:r>
        <w:rPr>
          <w:rFonts w:hint="eastAsia" w:ascii="宋体" w:hAnsi="宋体" w:eastAsia="宋体" w:cs="宋体"/>
          <w:b/>
          <w:bCs/>
          <w:sz w:val="24"/>
          <w:szCs w:val="24"/>
        </w:rPr>
        <w:t>乙方：</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 xml:space="preserve">  （以下简称乙方）</w:t>
      </w:r>
    </w:p>
    <w:p w14:paraId="24D8BD7C">
      <w:pPr>
        <w:keepNext w:val="0"/>
        <w:keepLines w:val="0"/>
        <w:pageBreakBefore w:val="0"/>
        <w:widowControl w:val="0"/>
        <w:kinsoku/>
        <w:wordWrap/>
        <w:overflowPunct/>
        <w:topLinePunct w:val="0"/>
        <w:autoSpaceDE/>
        <w:autoSpaceDN/>
        <w:bidi w:val="0"/>
        <w:adjustRightInd/>
        <w:snapToGrid/>
        <w:spacing w:line="43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一、说明</w:t>
      </w:r>
    </w:p>
    <w:p w14:paraId="29646F65">
      <w:pPr>
        <w:keepNext w:val="0"/>
        <w:keepLines w:val="0"/>
        <w:pageBreakBefore w:val="0"/>
        <w:widowControl w:val="0"/>
        <w:kinsoku/>
        <w:wordWrap/>
        <w:overflowPunct/>
        <w:topLinePunct w:val="0"/>
        <w:autoSpaceDE/>
        <w:autoSpaceDN/>
        <w:bidi w:val="0"/>
        <w:adjustRightInd/>
        <w:snapToGrid/>
        <w:spacing w:line="43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1．合同基本条款是指采购人（以下简称甲方）和中标供应商（以下简称乙方）应共同遵守的基本原则，并作为双方签约的依据。对于合同的其他条款，双方应本着互谅互让的精神协商解决。</w:t>
      </w:r>
    </w:p>
    <w:p w14:paraId="74E7E273">
      <w:pPr>
        <w:keepNext w:val="0"/>
        <w:keepLines w:val="0"/>
        <w:pageBreakBefore w:val="0"/>
        <w:widowControl w:val="0"/>
        <w:kinsoku/>
        <w:wordWrap/>
        <w:overflowPunct/>
        <w:topLinePunct w:val="0"/>
        <w:autoSpaceDE/>
        <w:autoSpaceDN/>
        <w:bidi w:val="0"/>
        <w:adjustRightInd/>
        <w:snapToGrid/>
        <w:spacing w:line="43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2．制定“合同主要条款”的依据是《中华人民共和国</w:t>
      </w:r>
      <w:r>
        <w:rPr>
          <w:rFonts w:hint="eastAsia" w:ascii="宋体" w:hAnsi="宋体" w:eastAsia="宋体" w:cs="宋体"/>
          <w:sz w:val="24"/>
          <w:szCs w:val="24"/>
          <w:lang w:eastAsia="zh-CN"/>
        </w:rPr>
        <w:t>民法典</w:t>
      </w:r>
      <w:r>
        <w:rPr>
          <w:rFonts w:hint="eastAsia" w:ascii="宋体" w:hAnsi="宋体" w:eastAsia="宋体" w:cs="宋体"/>
          <w:sz w:val="24"/>
          <w:szCs w:val="24"/>
        </w:rPr>
        <w:t>》。</w:t>
      </w:r>
    </w:p>
    <w:p w14:paraId="423B1E60">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二、合同金额</w:t>
      </w:r>
    </w:p>
    <w:tbl>
      <w:tblPr>
        <w:tblStyle w:val="36"/>
        <w:tblW w:w="989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276"/>
        <w:gridCol w:w="3402"/>
        <w:gridCol w:w="708"/>
        <w:gridCol w:w="851"/>
        <w:gridCol w:w="1417"/>
        <w:gridCol w:w="1418"/>
      </w:tblGrid>
      <w:tr w14:paraId="1F186AE1">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21" w:type="dxa"/>
            <w:tcBorders>
              <w:top w:val="thinThickSmallGap" w:color="auto" w:sz="12" w:space="0"/>
            </w:tcBorders>
            <w:noWrap w:val="0"/>
            <w:vAlign w:val="center"/>
          </w:tcPr>
          <w:p w14:paraId="0C4ADEBE">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276" w:type="dxa"/>
            <w:tcBorders>
              <w:top w:val="thinThickSmallGap" w:color="auto" w:sz="12" w:space="0"/>
            </w:tcBorders>
            <w:noWrap w:val="0"/>
            <w:vAlign w:val="center"/>
          </w:tcPr>
          <w:p w14:paraId="20E8DEAE">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货物名称</w:t>
            </w:r>
          </w:p>
        </w:tc>
        <w:tc>
          <w:tcPr>
            <w:tcW w:w="3402" w:type="dxa"/>
            <w:tcBorders>
              <w:top w:val="thinThickSmallGap" w:color="auto" w:sz="12" w:space="0"/>
            </w:tcBorders>
            <w:noWrap w:val="0"/>
            <w:vAlign w:val="center"/>
          </w:tcPr>
          <w:p w14:paraId="6837BC5F">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品牌、规格型号（技术参数）</w:t>
            </w:r>
          </w:p>
        </w:tc>
        <w:tc>
          <w:tcPr>
            <w:tcW w:w="708" w:type="dxa"/>
            <w:tcBorders>
              <w:top w:val="thinThickSmallGap" w:color="auto" w:sz="12" w:space="0"/>
            </w:tcBorders>
            <w:noWrap w:val="0"/>
            <w:vAlign w:val="center"/>
          </w:tcPr>
          <w:p w14:paraId="2434FCA9">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851" w:type="dxa"/>
            <w:tcBorders>
              <w:top w:val="thinThickSmallGap" w:color="auto" w:sz="12" w:space="0"/>
            </w:tcBorders>
            <w:noWrap w:val="0"/>
            <w:vAlign w:val="center"/>
          </w:tcPr>
          <w:p w14:paraId="7F2F6E5E">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1417" w:type="dxa"/>
            <w:tcBorders>
              <w:top w:val="thinThickSmallGap" w:color="auto" w:sz="12" w:space="0"/>
            </w:tcBorders>
            <w:noWrap w:val="0"/>
            <w:vAlign w:val="center"/>
          </w:tcPr>
          <w:p w14:paraId="3744B4C2">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单价</w:t>
            </w:r>
          </w:p>
          <w:p w14:paraId="12BD7227">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（元）</w:t>
            </w:r>
          </w:p>
        </w:tc>
        <w:tc>
          <w:tcPr>
            <w:tcW w:w="1418" w:type="dxa"/>
            <w:tcBorders>
              <w:top w:val="thinThickSmallGap" w:color="auto" w:sz="12" w:space="0"/>
            </w:tcBorders>
            <w:noWrap w:val="0"/>
            <w:vAlign w:val="center"/>
          </w:tcPr>
          <w:p w14:paraId="36F4D5EB">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总价</w:t>
            </w:r>
          </w:p>
          <w:p w14:paraId="16F4F5C9">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（元）</w:t>
            </w:r>
          </w:p>
        </w:tc>
      </w:tr>
      <w:tr w14:paraId="5E53C5EC">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45E14065">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276" w:type="dxa"/>
            <w:noWrap w:val="0"/>
            <w:vAlign w:val="center"/>
          </w:tcPr>
          <w:p w14:paraId="209385F7">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3402" w:type="dxa"/>
            <w:noWrap w:val="0"/>
            <w:vAlign w:val="center"/>
          </w:tcPr>
          <w:p w14:paraId="1DDA7D7A">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708" w:type="dxa"/>
            <w:noWrap w:val="0"/>
            <w:vAlign w:val="center"/>
          </w:tcPr>
          <w:p w14:paraId="0FF7D572">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851" w:type="dxa"/>
            <w:noWrap w:val="0"/>
            <w:vAlign w:val="center"/>
          </w:tcPr>
          <w:p w14:paraId="5FF1129E">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1417" w:type="dxa"/>
            <w:noWrap w:val="0"/>
            <w:vAlign w:val="center"/>
          </w:tcPr>
          <w:p w14:paraId="1CDFC502">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1418" w:type="dxa"/>
            <w:noWrap w:val="0"/>
            <w:vAlign w:val="center"/>
          </w:tcPr>
          <w:p w14:paraId="285B73E5">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r>
      <w:tr w14:paraId="56CDB4F9">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24B35E59">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276" w:type="dxa"/>
            <w:noWrap w:val="0"/>
            <w:vAlign w:val="center"/>
          </w:tcPr>
          <w:p w14:paraId="7A483EB2">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3402" w:type="dxa"/>
            <w:noWrap w:val="0"/>
            <w:vAlign w:val="center"/>
          </w:tcPr>
          <w:p w14:paraId="2BB71D7C">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708" w:type="dxa"/>
            <w:noWrap w:val="0"/>
            <w:vAlign w:val="center"/>
          </w:tcPr>
          <w:p w14:paraId="1A61B449">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851" w:type="dxa"/>
            <w:noWrap w:val="0"/>
            <w:vAlign w:val="center"/>
          </w:tcPr>
          <w:p w14:paraId="373713AA">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1417" w:type="dxa"/>
            <w:noWrap w:val="0"/>
            <w:vAlign w:val="center"/>
          </w:tcPr>
          <w:p w14:paraId="21991729">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1418" w:type="dxa"/>
            <w:noWrap w:val="0"/>
            <w:vAlign w:val="center"/>
          </w:tcPr>
          <w:p w14:paraId="1D291C50">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r>
      <w:tr w14:paraId="1755D59E">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0185F92B">
            <w:pPr>
              <w:keepNext w:val="0"/>
              <w:keepLines w:val="0"/>
              <w:pageBreakBefore w:val="0"/>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1276" w:type="dxa"/>
            <w:noWrap w:val="0"/>
            <w:vAlign w:val="center"/>
          </w:tcPr>
          <w:p w14:paraId="30244A83">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3402" w:type="dxa"/>
            <w:noWrap w:val="0"/>
            <w:vAlign w:val="center"/>
          </w:tcPr>
          <w:p w14:paraId="2E1EB2D7">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708" w:type="dxa"/>
            <w:noWrap w:val="0"/>
            <w:vAlign w:val="center"/>
          </w:tcPr>
          <w:p w14:paraId="0CECF61A">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851" w:type="dxa"/>
            <w:noWrap w:val="0"/>
            <w:vAlign w:val="center"/>
          </w:tcPr>
          <w:p w14:paraId="7A3861DC">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1417" w:type="dxa"/>
            <w:noWrap w:val="0"/>
            <w:vAlign w:val="center"/>
          </w:tcPr>
          <w:p w14:paraId="2E43B16A">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1418" w:type="dxa"/>
            <w:noWrap w:val="0"/>
            <w:vAlign w:val="center"/>
          </w:tcPr>
          <w:p w14:paraId="1A8FD1A7">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r>
      <w:tr w14:paraId="193547FF">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39C59904">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1276" w:type="dxa"/>
            <w:noWrap w:val="0"/>
            <w:vAlign w:val="center"/>
          </w:tcPr>
          <w:p w14:paraId="6DCC00E3">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3402" w:type="dxa"/>
            <w:noWrap w:val="0"/>
            <w:vAlign w:val="center"/>
          </w:tcPr>
          <w:p w14:paraId="329442B5">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708" w:type="dxa"/>
            <w:noWrap w:val="0"/>
            <w:vAlign w:val="center"/>
          </w:tcPr>
          <w:p w14:paraId="3938A80F">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851" w:type="dxa"/>
            <w:noWrap w:val="0"/>
            <w:vAlign w:val="center"/>
          </w:tcPr>
          <w:p w14:paraId="402E3B31">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1417" w:type="dxa"/>
            <w:noWrap w:val="0"/>
            <w:vAlign w:val="center"/>
          </w:tcPr>
          <w:p w14:paraId="32C3EA8B">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c>
          <w:tcPr>
            <w:tcW w:w="1418" w:type="dxa"/>
            <w:noWrap w:val="0"/>
            <w:vAlign w:val="center"/>
          </w:tcPr>
          <w:p w14:paraId="261C65CA">
            <w:pPr>
              <w:keepNext w:val="0"/>
              <w:keepLines w:val="0"/>
              <w:pageBreakBefore w:val="0"/>
              <w:kinsoku/>
              <w:wordWrap/>
              <w:overflowPunct/>
              <w:topLinePunct w:val="0"/>
              <w:autoSpaceDE/>
              <w:autoSpaceDN/>
              <w:bidi w:val="0"/>
              <w:spacing w:line="430" w:lineRule="exact"/>
              <w:jc w:val="center"/>
              <w:textAlignment w:val="auto"/>
              <w:rPr>
                <w:rFonts w:hint="eastAsia" w:ascii="宋体" w:hAnsi="宋体" w:eastAsia="宋体" w:cs="宋体"/>
                <w:sz w:val="24"/>
                <w:szCs w:val="24"/>
              </w:rPr>
            </w:pPr>
          </w:p>
        </w:tc>
      </w:tr>
      <w:tr w14:paraId="0172BAC0">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097" w:type="dxa"/>
            <w:gridSpan w:val="2"/>
            <w:tcBorders>
              <w:bottom w:val="thickThinSmallGap" w:color="auto" w:sz="12" w:space="0"/>
            </w:tcBorders>
            <w:noWrap w:val="0"/>
            <w:vAlign w:val="center"/>
          </w:tcPr>
          <w:p w14:paraId="54461E3A">
            <w:pPr>
              <w:keepNext w:val="0"/>
              <w:keepLines w:val="0"/>
              <w:pageBreakBefore w:val="0"/>
              <w:widowControl/>
              <w:kinsoku/>
              <w:wordWrap/>
              <w:overflowPunct/>
              <w:topLinePunct w:val="0"/>
              <w:autoSpaceDE/>
              <w:autoSpaceDN/>
              <w:bidi w:val="0"/>
              <w:spacing w:line="430" w:lineRule="exact"/>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合同</w:t>
            </w:r>
            <w:r>
              <w:rPr>
                <w:rFonts w:hint="eastAsia" w:ascii="宋体" w:hAnsi="宋体" w:eastAsia="宋体" w:cs="宋体"/>
                <w:sz w:val="24"/>
                <w:szCs w:val="24"/>
              </w:rPr>
              <w:t>总价</w:t>
            </w:r>
          </w:p>
        </w:tc>
        <w:tc>
          <w:tcPr>
            <w:tcW w:w="7796" w:type="dxa"/>
            <w:gridSpan w:val="5"/>
            <w:tcBorders>
              <w:bottom w:val="thickThinSmallGap" w:color="auto" w:sz="12" w:space="0"/>
            </w:tcBorders>
            <w:noWrap w:val="0"/>
            <w:vAlign w:val="center"/>
          </w:tcPr>
          <w:p w14:paraId="16085B21">
            <w:pPr>
              <w:keepNext w:val="0"/>
              <w:keepLines w:val="0"/>
              <w:pageBreakBefore w:val="0"/>
              <w:widowControl/>
              <w:kinsoku/>
              <w:wordWrap/>
              <w:overflowPunct/>
              <w:topLinePunct w:val="0"/>
              <w:autoSpaceDE/>
              <w:autoSpaceDN/>
              <w:bidi w:val="0"/>
              <w:spacing w:line="430" w:lineRule="exact"/>
              <w:ind w:left="0" w:leftChars="0" w:firstLine="0" w:firstLineChars="0"/>
              <w:jc w:val="both"/>
              <w:textAlignment w:val="auto"/>
              <w:rPr>
                <w:rFonts w:hint="eastAsia" w:ascii="宋体" w:hAnsi="宋体" w:eastAsia="宋体" w:cs="宋体"/>
                <w:sz w:val="24"/>
                <w:szCs w:val="24"/>
              </w:rPr>
            </w:pPr>
            <w:r>
              <w:rPr>
                <w:rFonts w:hint="eastAsia" w:ascii="宋体" w:hAnsi="宋体" w:eastAsia="宋体" w:cs="宋体"/>
                <w:color w:val="242424"/>
                <w:sz w:val="24"/>
                <w:szCs w:val="24"/>
              </w:rPr>
              <w:t xml:space="preserve">人民币大写： </w:t>
            </w:r>
            <w:r>
              <w:rPr>
                <w:rFonts w:hint="eastAsia" w:ascii="宋体" w:hAnsi="宋体" w:eastAsia="宋体" w:cs="宋体"/>
                <w:color w:val="242424"/>
                <w:sz w:val="24"/>
                <w:szCs w:val="24"/>
                <w:u w:val="single"/>
              </w:rPr>
              <w:t xml:space="preserve">               元 </w:t>
            </w:r>
            <w:r>
              <w:rPr>
                <w:rFonts w:hint="eastAsia" w:ascii="宋体" w:hAnsi="宋体" w:eastAsia="宋体" w:cs="宋体"/>
                <w:color w:val="242424"/>
                <w:sz w:val="24"/>
                <w:szCs w:val="24"/>
              </w:rPr>
              <w:t xml:space="preserve"> （小写：¥</w:t>
            </w:r>
            <w:r>
              <w:rPr>
                <w:rFonts w:hint="eastAsia" w:ascii="宋体" w:hAnsi="宋体" w:eastAsia="宋体" w:cs="宋体"/>
                <w:color w:val="242424"/>
                <w:sz w:val="24"/>
                <w:szCs w:val="24"/>
                <w:u w:val="single"/>
              </w:rPr>
              <w:t xml:space="preserve">           </w:t>
            </w:r>
            <w:r>
              <w:rPr>
                <w:rFonts w:hint="eastAsia" w:ascii="宋体" w:hAnsi="宋体" w:eastAsia="宋体" w:cs="宋体"/>
                <w:color w:val="242424"/>
                <w:sz w:val="24"/>
                <w:szCs w:val="24"/>
              </w:rPr>
              <w:t>元 ）</w:t>
            </w:r>
          </w:p>
        </w:tc>
      </w:tr>
    </w:tbl>
    <w:p w14:paraId="0350C71D">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w:t>
      </w:r>
      <w:r>
        <w:rPr>
          <w:rFonts w:hint="eastAsia" w:ascii="宋体" w:hAnsi="宋体" w:eastAsia="宋体" w:cs="宋体"/>
          <w:color w:val="auto"/>
          <w:sz w:val="24"/>
          <w:szCs w:val="24"/>
          <w:lang w:eastAsia="zh-CN"/>
        </w:rPr>
        <w:t>本合同总价款是为提供本次采购全包干价，</w:t>
      </w:r>
      <w:r>
        <w:rPr>
          <w:rFonts w:hint="eastAsia" w:ascii="宋体" w:hAnsi="宋体" w:cs="宋体"/>
          <w:color w:val="auto"/>
          <w:sz w:val="24"/>
          <w:szCs w:val="24"/>
          <w:lang w:val="en-US" w:eastAsia="zh-CN"/>
        </w:rPr>
        <w:t>包括但不限于本次项目实施所需的</w:t>
      </w:r>
      <w:r>
        <w:rPr>
          <w:rFonts w:hint="eastAsia" w:ascii="宋体" w:hAnsi="宋体" w:cs="宋体"/>
          <w:color w:val="auto"/>
          <w:lang w:val="zh-CN"/>
        </w:rPr>
        <w:t>货物、人工费(投标人须充分考虑安装及调试中遇到的各种问题)、安装调试费、材料费、运输费、装卸车</w:t>
      </w:r>
      <w:r>
        <w:rPr>
          <w:rFonts w:hint="eastAsia" w:ascii="宋体" w:hAnsi="宋体" w:cs="宋体"/>
          <w:color w:val="auto"/>
          <w:highlight w:val="none"/>
          <w:lang w:val="zh-CN"/>
        </w:rPr>
        <w:t>费、总包配合费（1万元由乙方与土建施工单位自行结算）、检</w:t>
      </w:r>
      <w:r>
        <w:rPr>
          <w:rFonts w:hint="eastAsia" w:ascii="宋体" w:hAnsi="宋体" w:cs="宋体"/>
          <w:color w:val="auto"/>
          <w:lang w:val="zh-CN"/>
        </w:rPr>
        <w:t>测检验费、成品保护费、技术服务、培训费、维护费、辅助材料费、验收费、售后服务费、人身意外伤害保险费、税金和利润、采购代理费等完成合同所需的一切本身和不可或缺的所有工作开支、政策性文件规定及合同包含的所有风险、责任等各项全部费用。</w:t>
      </w:r>
      <w:r>
        <w:rPr>
          <w:rFonts w:hint="eastAsia" w:ascii="宋体" w:hAnsi="宋体" w:eastAsia="宋体" w:cs="宋体"/>
          <w:color w:val="auto"/>
          <w:sz w:val="24"/>
          <w:szCs w:val="24"/>
          <w:lang w:val="en-US" w:eastAsia="zh-CN"/>
        </w:rPr>
        <w:t>如有漏项，视同已包含在其他项目中，</w:t>
      </w:r>
      <w:r>
        <w:rPr>
          <w:rFonts w:hint="eastAsia" w:ascii="宋体" w:hAnsi="宋体" w:cs="宋体"/>
          <w:color w:val="auto"/>
          <w:sz w:val="24"/>
          <w:szCs w:val="24"/>
          <w:lang w:val="en-US" w:eastAsia="zh-CN"/>
        </w:rPr>
        <w:t>单价</w:t>
      </w:r>
      <w:r>
        <w:rPr>
          <w:rFonts w:hint="eastAsia" w:ascii="宋体" w:hAnsi="宋体" w:eastAsia="宋体" w:cs="宋体"/>
          <w:color w:val="auto"/>
          <w:sz w:val="24"/>
          <w:szCs w:val="24"/>
          <w:lang w:val="en-US" w:eastAsia="zh-CN"/>
        </w:rPr>
        <w:t>不作调整，采购人不允许供应商擅自更换改变服务内容、质量标准、期限和追加项目费用。</w:t>
      </w:r>
    </w:p>
    <w:p w14:paraId="779FAF61">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三、技术资料</w:t>
      </w:r>
    </w:p>
    <w:p w14:paraId="6D636C56">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1.乙方应按</w:t>
      </w:r>
      <w:r>
        <w:rPr>
          <w:rFonts w:hint="eastAsia" w:ascii="宋体" w:hAnsi="宋体" w:eastAsia="宋体" w:cs="宋体"/>
          <w:sz w:val="24"/>
          <w:szCs w:val="24"/>
          <w:lang w:eastAsia="zh-CN"/>
        </w:rPr>
        <w:t>采购</w:t>
      </w:r>
      <w:r>
        <w:rPr>
          <w:rFonts w:hint="eastAsia" w:ascii="宋体" w:hAnsi="宋体" w:eastAsia="宋体" w:cs="宋体"/>
          <w:sz w:val="24"/>
          <w:szCs w:val="24"/>
        </w:rPr>
        <w:t>文件规定的时间向甲方提供使用货物的有关技术资料。</w:t>
      </w:r>
    </w:p>
    <w:p w14:paraId="2535FA4A">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9A7FD23">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四、知识产权</w:t>
      </w:r>
    </w:p>
    <w:p w14:paraId="495C41C6">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乙方应保证所提供的货物或其任何一部分均不会侵犯任何第三方的知识产权。</w:t>
      </w:r>
    </w:p>
    <w:p w14:paraId="4C9C0E90">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五、产权担保</w:t>
      </w:r>
    </w:p>
    <w:p w14:paraId="0A7CDB42">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乙方保证所交付的货物的所有权完全属于乙方且无任何抵押、查封等产权瑕疵。</w:t>
      </w:r>
    </w:p>
    <w:p w14:paraId="3A3D32A8">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六、履约保证金</w:t>
      </w:r>
    </w:p>
    <w:p w14:paraId="23CC0085">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FF0000"/>
          <w:sz w:val="24"/>
          <w:szCs w:val="24"/>
        </w:rPr>
      </w:pPr>
      <w:r>
        <w:rPr>
          <w:rFonts w:hint="eastAsia" w:ascii="宋体" w:hAnsi="宋体" w:eastAsia="宋体" w:cs="宋体"/>
          <w:color w:val="auto"/>
          <w:sz w:val="24"/>
          <w:szCs w:val="24"/>
        </w:rPr>
        <w:t>签订合同前乙方须向甲方交纳人民币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元作为本合同的履约保证金（成交金额的1%），</w:t>
      </w:r>
      <w:r>
        <w:rPr>
          <w:rFonts w:hint="eastAsia" w:ascii="宋体" w:hAnsi="宋体" w:eastAsia="宋体" w:cs="宋体"/>
          <w:color w:val="auto"/>
          <w:sz w:val="24"/>
          <w:szCs w:val="24"/>
          <w:lang w:eastAsia="zh-CN"/>
        </w:rPr>
        <w:t>中标</w:t>
      </w:r>
      <w:r>
        <w:rPr>
          <w:rFonts w:hint="eastAsia" w:ascii="宋体" w:hAnsi="宋体" w:eastAsia="宋体" w:cs="宋体"/>
          <w:color w:val="auto"/>
          <w:sz w:val="24"/>
          <w:szCs w:val="24"/>
        </w:rPr>
        <w:t>人在履约期间未出现违约行为，其履约保证金待履约责任期满（全部完成验收合格）退还（不计息）。</w:t>
      </w:r>
      <w:r>
        <w:rPr>
          <w:rFonts w:hint="eastAsia" w:ascii="宋体" w:hAnsi="宋体" w:eastAsia="宋体" w:cs="宋体"/>
          <w:color w:val="auto"/>
          <w:sz w:val="24"/>
          <w:szCs w:val="24"/>
          <w:lang w:eastAsia="zh-CN"/>
        </w:rPr>
        <w:t>缴纳形式为转账或以银行、保险公司出具的保函。</w:t>
      </w:r>
    </w:p>
    <w:p w14:paraId="2984331A">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七、转包或分包</w:t>
      </w:r>
    </w:p>
    <w:p w14:paraId="151A534A">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1.本合同范围的货物，应由乙方直接供应，不得转让他人供应。</w:t>
      </w:r>
    </w:p>
    <w:p w14:paraId="463155E5">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2.除非得到甲方的书面同意，乙方不得将本合同范围的货物全部或部分分包给他人供应。</w:t>
      </w:r>
    </w:p>
    <w:p w14:paraId="427F3D6E">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3.如有转让和未经甲方同意的分包行为，甲方有权解除合同，</w:t>
      </w:r>
      <w:r>
        <w:rPr>
          <w:rFonts w:hint="eastAsia" w:ascii="宋体" w:hAnsi="宋体" w:eastAsia="宋体" w:cs="宋体"/>
          <w:sz w:val="24"/>
          <w:szCs w:val="24"/>
          <w:lang w:val="en-US" w:eastAsia="zh-CN"/>
        </w:rPr>
        <w:t>并</w:t>
      </w:r>
      <w:r>
        <w:rPr>
          <w:rFonts w:hint="eastAsia" w:ascii="宋体" w:hAnsi="宋体" w:eastAsia="宋体" w:cs="宋体"/>
          <w:sz w:val="24"/>
          <w:szCs w:val="24"/>
        </w:rPr>
        <w:t>追究乙方的违约责任。</w:t>
      </w:r>
    </w:p>
    <w:p w14:paraId="7F41A573">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八、</w:t>
      </w:r>
      <w:r>
        <w:rPr>
          <w:rFonts w:hint="eastAsia" w:ascii="宋体" w:hAnsi="宋体" w:cs="宋体"/>
          <w:sz w:val="24"/>
          <w:szCs w:val="24"/>
          <w:lang w:val="en-US" w:eastAsia="zh-CN"/>
        </w:rPr>
        <w:t>运维</w:t>
      </w:r>
      <w:r>
        <w:rPr>
          <w:rFonts w:hint="eastAsia" w:ascii="宋体" w:hAnsi="宋体" w:eastAsia="宋体" w:cs="宋体"/>
          <w:sz w:val="24"/>
          <w:szCs w:val="24"/>
        </w:rPr>
        <w:t>期</w:t>
      </w:r>
    </w:p>
    <w:p w14:paraId="7A1520CA">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color w:val="auto"/>
          <w:sz w:val="24"/>
          <w:szCs w:val="24"/>
        </w:rPr>
      </w:pPr>
      <w:r>
        <w:rPr>
          <w:rFonts w:hint="eastAsia" w:ascii="宋体" w:hAnsi="宋体" w:cs="宋体"/>
          <w:sz w:val="24"/>
          <w:szCs w:val="24"/>
          <w:lang w:val="en-US" w:eastAsia="zh-CN"/>
        </w:rPr>
        <w:t>运维</w:t>
      </w:r>
      <w:r>
        <w:rPr>
          <w:rFonts w:hint="eastAsia" w:ascii="宋体" w:hAnsi="宋体" w:eastAsia="宋体" w:cs="宋体"/>
          <w:sz w:val="24"/>
          <w:szCs w:val="24"/>
        </w:rPr>
        <w:t>期</w:t>
      </w:r>
      <w:r>
        <w:rPr>
          <w:rFonts w:hint="eastAsia" w:ascii="宋体" w:hAnsi="宋体" w:eastAsia="宋体" w:cs="宋体"/>
          <w:sz w:val="24"/>
          <w:szCs w:val="24"/>
          <w:u w:val="single"/>
        </w:rPr>
        <w:t xml:space="preserve">   </w:t>
      </w:r>
      <w:r>
        <w:rPr>
          <w:rFonts w:hint="eastAsia" w:ascii="宋体" w:hAnsi="宋体" w:eastAsia="宋体" w:cs="宋体"/>
          <w:color w:val="auto"/>
          <w:sz w:val="24"/>
          <w:szCs w:val="24"/>
        </w:rPr>
        <w:t>年。（自安装验收合格之日起计）</w:t>
      </w:r>
    </w:p>
    <w:p w14:paraId="766BDF88">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九、</w:t>
      </w:r>
      <w:r>
        <w:rPr>
          <w:rFonts w:hint="eastAsia" w:ascii="宋体" w:hAnsi="宋体" w:eastAsia="宋体" w:cs="宋体"/>
          <w:color w:val="auto"/>
          <w:sz w:val="24"/>
          <w:szCs w:val="24"/>
          <w:lang w:val="en-US" w:eastAsia="zh-CN"/>
        </w:rPr>
        <w:t>供货</w:t>
      </w:r>
      <w:r>
        <w:rPr>
          <w:rFonts w:hint="eastAsia" w:ascii="宋体" w:hAnsi="宋体" w:eastAsia="宋体" w:cs="宋体"/>
          <w:color w:val="auto"/>
          <w:sz w:val="24"/>
          <w:szCs w:val="24"/>
        </w:rPr>
        <w:t>期</w:t>
      </w:r>
    </w:p>
    <w:p w14:paraId="2AFED7D6">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合同签订后60个日历天内完成供货、安装及验收。</w:t>
      </w:r>
    </w:p>
    <w:p w14:paraId="64B568BD">
      <w:pPr>
        <w:keepNext w:val="0"/>
        <w:keepLines w:val="0"/>
        <w:pageBreakBefore w:val="0"/>
        <w:numPr>
          <w:ilvl w:val="0"/>
          <w:numId w:val="38"/>
        </w:numPr>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Cs w:val="24"/>
          <w:highlight w:val="none"/>
          <w:lang w:val="en-US" w:eastAsia="zh-CN"/>
        </w:rPr>
        <w:t>实施地点：</w:t>
      </w:r>
    </w:p>
    <w:p w14:paraId="584D3378">
      <w:pPr>
        <w:keepNext w:val="0"/>
        <w:keepLines w:val="0"/>
        <w:pageBreakBefore w:val="0"/>
        <w:numPr>
          <w:ilvl w:val="0"/>
          <w:numId w:val="0"/>
        </w:numPr>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Cs w:val="24"/>
          <w:highlight w:val="none"/>
          <w:lang w:val="en-US" w:eastAsia="zh-CN"/>
        </w:rPr>
        <w:t>龙游县东华街道开发大道（龙游城南特勤消防站）</w:t>
      </w:r>
    </w:p>
    <w:p w14:paraId="67D325F3">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十一</w:t>
      </w:r>
      <w:r>
        <w:rPr>
          <w:rFonts w:hint="eastAsia" w:ascii="宋体" w:hAnsi="宋体" w:eastAsia="宋体" w:cs="宋体"/>
          <w:color w:val="auto"/>
          <w:sz w:val="24"/>
          <w:szCs w:val="24"/>
          <w:highlight w:val="none"/>
        </w:rPr>
        <w:t>、货款支付</w:t>
      </w:r>
    </w:p>
    <w:p w14:paraId="6BEE6931">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（1）自合同签订之日起10日内支付合同价的40%作为预付款，乙方须提供预付款保函，保函有效期6个月；所有采购设备完成安装并通过验收合格后20日内支付至合同价的95%；待运维期</w:t>
      </w:r>
      <w:r>
        <w:rPr>
          <w:rFonts w:hint="eastAsia" w:ascii="宋体" w:hAnsi="宋体" w:cs="宋体"/>
          <w:b w:val="0"/>
          <w:bCs w:val="0"/>
          <w:color w:val="auto"/>
          <w:sz w:val="24"/>
          <w:szCs w:val="24"/>
          <w:highlight w:val="none"/>
          <w:u w:val="none"/>
          <w:lang w:val="en-US" w:eastAsia="zh-CN"/>
        </w:rPr>
        <w:t>结束</w:t>
      </w:r>
      <w:r>
        <w:rPr>
          <w:rFonts w:hint="eastAsia" w:ascii="宋体" w:hAnsi="宋体" w:eastAsia="宋体" w:cs="宋体"/>
          <w:b w:val="0"/>
          <w:bCs w:val="0"/>
          <w:color w:val="auto"/>
          <w:sz w:val="24"/>
          <w:szCs w:val="24"/>
          <w:highlight w:val="none"/>
          <w:u w:val="none"/>
          <w:lang w:val="en-US" w:eastAsia="zh-CN"/>
        </w:rPr>
        <w:t>后经过上级部门验收合格之后支付剩余5%的合同款。每次付款前应收到乙方提供的增值税专用发票。</w:t>
      </w:r>
    </w:p>
    <w:p w14:paraId="292DB8B8">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b w:val="0"/>
          <w:bCs w:val="0"/>
          <w:color w:val="auto"/>
          <w:sz w:val="24"/>
          <w:szCs w:val="24"/>
          <w:highlight w:val="none"/>
          <w:u w:val="none"/>
          <w:lang w:val="en-US" w:eastAsia="zh-CN"/>
        </w:rPr>
        <w:t>当采购数量与实际使用数量不一致时，投标人应根据实际使用量供货，合同的最终结算金额按实际使用量乘以成交单价进行计算，且不得超过合同价的10%。</w:t>
      </w:r>
      <w:r>
        <w:rPr>
          <w:rFonts w:hint="eastAsia" w:ascii="宋体" w:hAnsi="宋体" w:eastAsia="宋体" w:cs="宋体"/>
          <w:color w:val="auto"/>
          <w:kern w:val="2"/>
          <w:sz w:val="24"/>
          <w:szCs w:val="24"/>
          <w:highlight w:val="none"/>
          <w:lang w:val="en-US" w:eastAsia="zh-CN" w:bidi="ar-SA"/>
        </w:rPr>
        <w:t xml:space="preserve"> </w:t>
      </w:r>
    </w:p>
    <w:p w14:paraId="6327233A">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、税费</w:t>
      </w:r>
    </w:p>
    <w:p w14:paraId="0E189FF5">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本合同执行中相关的一切税费均由乙方负担。</w:t>
      </w:r>
    </w:p>
    <w:p w14:paraId="18ABB471">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、质量保证及售后服务</w:t>
      </w:r>
    </w:p>
    <w:p w14:paraId="1D4D147F">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1.乙方应按采购文件规定的货物性能、技术要求、质量标准向甲方提供未经使用的全新产品。</w:t>
      </w:r>
    </w:p>
    <w:p w14:paraId="3FA5FE34">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rPr>
      </w:pPr>
      <w:r>
        <w:rPr>
          <w:rFonts w:hint="eastAsia" w:ascii="宋体" w:hAnsi="宋体" w:eastAsia="宋体" w:cs="宋体"/>
          <w:sz w:val="24"/>
          <w:szCs w:val="24"/>
        </w:rPr>
        <w:t>2.乙方提供的货物在</w:t>
      </w:r>
      <w:r>
        <w:rPr>
          <w:rFonts w:hint="eastAsia" w:ascii="宋体" w:hAnsi="宋体" w:cs="宋体"/>
          <w:sz w:val="24"/>
          <w:szCs w:val="24"/>
          <w:lang w:val="en-US" w:eastAsia="zh-CN"/>
        </w:rPr>
        <w:t>运维</w:t>
      </w:r>
      <w:r>
        <w:rPr>
          <w:rFonts w:hint="eastAsia" w:ascii="宋体" w:hAnsi="宋体" w:eastAsia="宋体" w:cs="宋体"/>
          <w:sz w:val="24"/>
          <w:szCs w:val="24"/>
        </w:rPr>
        <w:t>期内因货物本身的质量问题发生故障，乙方应负责免费更换。对达不到技术要求者，根据实际情况，经双方协商，可按以下办法处理：</w:t>
      </w:r>
    </w:p>
    <w:p w14:paraId="1F8B2BA5">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⑴更换：由乙方承担所发生的全部费用。</w:t>
      </w:r>
    </w:p>
    <w:p w14:paraId="7C656265">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⑵退货处理：乙方应退还甲方支付的合同款，同时应承担该货物的直接费用（运输、保险、检验、货款利息及银行手续费等）。</w:t>
      </w:r>
    </w:p>
    <w:p w14:paraId="4D7DED62">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3.在</w:t>
      </w:r>
      <w:r>
        <w:rPr>
          <w:rFonts w:hint="eastAsia" w:ascii="宋体" w:hAnsi="宋体" w:cs="宋体"/>
          <w:sz w:val="24"/>
          <w:szCs w:val="24"/>
          <w:lang w:val="en-US" w:eastAsia="zh-CN"/>
        </w:rPr>
        <w:t>运维</w:t>
      </w:r>
      <w:r>
        <w:rPr>
          <w:rFonts w:hint="eastAsia" w:ascii="宋体" w:hAnsi="宋体" w:eastAsia="宋体" w:cs="宋体"/>
          <w:sz w:val="24"/>
          <w:szCs w:val="24"/>
        </w:rPr>
        <w:t>期内，乙方应对货物出现的质量及安全问题负责处理解决并承担一切费用。</w:t>
      </w:r>
    </w:p>
    <w:p w14:paraId="44438C2A">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4.上述的货物免费保修期为</w:t>
      </w:r>
      <w:r>
        <w:rPr>
          <w:rFonts w:hint="eastAsia" w:ascii="宋体" w:hAnsi="宋体" w:eastAsia="宋体" w:cs="宋体"/>
          <w:sz w:val="24"/>
          <w:szCs w:val="24"/>
          <w:u w:val="single"/>
        </w:rPr>
        <w:t xml:space="preserve">   </w:t>
      </w:r>
      <w:r>
        <w:rPr>
          <w:rFonts w:hint="eastAsia" w:ascii="宋体" w:hAnsi="宋体" w:eastAsia="宋体" w:cs="宋体"/>
          <w:sz w:val="24"/>
          <w:szCs w:val="24"/>
        </w:rPr>
        <w:t>年，因人为因素出现的故障不在免费保修范围内。超过保修期的</w:t>
      </w:r>
      <w:r>
        <w:rPr>
          <w:rFonts w:hint="eastAsia" w:ascii="宋体" w:hAnsi="宋体" w:eastAsia="宋体" w:cs="宋体"/>
          <w:sz w:val="24"/>
          <w:szCs w:val="24"/>
          <w:lang w:val="en-US" w:eastAsia="zh-CN"/>
        </w:rPr>
        <w:t>货物</w:t>
      </w:r>
      <w:r>
        <w:rPr>
          <w:rFonts w:hint="eastAsia" w:ascii="宋体" w:hAnsi="宋体" w:eastAsia="宋体" w:cs="宋体"/>
          <w:sz w:val="24"/>
          <w:szCs w:val="24"/>
        </w:rPr>
        <w:t>，终生维修，维修时只收部件成本费。</w:t>
      </w:r>
    </w:p>
    <w:p w14:paraId="2E294B25">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四</w:t>
      </w:r>
      <w:r>
        <w:rPr>
          <w:rFonts w:hint="eastAsia" w:ascii="宋体" w:hAnsi="宋体" w:eastAsia="宋体" w:cs="宋体"/>
          <w:sz w:val="24"/>
          <w:szCs w:val="24"/>
        </w:rPr>
        <w:t>、调试和验收</w:t>
      </w:r>
    </w:p>
    <w:p w14:paraId="30988336">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1.甲方对乙方提交的货物依据采购文件上的技术规格要求和国家有关质量标准进行现场初步验收，外观、说明书符合</w:t>
      </w:r>
      <w:r>
        <w:rPr>
          <w:rFonts w:hint="eastAsia" w:ascii="宋体" w:hAnsi="宋体" w:eastAsia="宋体" w:cs="宋体"/>
          <w:sz w:val="24"/>
          <w:szCs w:val="24"/>
          <w:lang w:eastAsia="zh-CN"/>
        </w:rPr>
        <w:t>采购</w:t>
      </w:r>
      <w:r>
        <w:rPr>
          <w:rFonts w:hint="eastAsia" w:ascii="宋体" w:hAnsi="宋体" w:eastAsia="宋体" w:cs="宋体"/>
          <w:sz w:val="24"/>
          <w:szCs w:val="24"/>
        </w:rPr>
        <w:t>文件技术要求的，给予签收，初步验收不合格的不予签收。</w:t>
      </w:r>
    </w:p>
    <w:p w14:paraId="1A10414C">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2.乙方交货前应对产品作出全面检查和对验收文件进行整理，并列出清单，作为甲方收货验收和使用的技术条件依据，检验的结果应随货物交甲方。</w:t>
      </w:r>
    </w:p>
    <w:p w14:paraId="491359D1">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3.根据中华人民共和国现行技术标准，按</w:t>
      </w:r>
      <w:r>
        <w:rPr>
          <w:rFonts w:hint="eastAsia" w:ascii="宋体" w:hAnsi="宋体" w:eastAsia="宋体" w:cs="宋体"/>
          <w:sz w:val="24"/>
          <w:szCs w:val="24"/>
          <w:lang w:eastAsia="zh-CN"/>
        </w:rPr>
        <w:t>采购</w:t>
      </w:r>
      <w:r>
        <w:rPr>
          <w:rFonts w:hint="eastAsia" w:ascii="宋体" w:hAnsi="宋体" w:eastAsia="宋体" w:cs="宋体"/>
          <w:sz w:val="24"/>
          <w:szCs w:val="24"/>
        </w:rPr>
        <w:t>文件以及合同规定的验收评定标准等规范，由采购人根据</w:t>
      </w:r>
      <w:r>
        <w:rPr>
          <w:rFonts w:hint="eastAsia" w:ascii="宋体" w:hAnsi="宋体" w:eastAsia="宋体" w:cs="宋体"/>
          <w:sz w:val="24"/>
          <w:szCs w:val="24"/>
          <w:lang w:eastAsia="zh-CN"/>
        </w:rPr>
        <w:t>采购</w:t>
      </w:r>
      <w:r>
        <w:rPr>
          <w:rFonts w:hint="eastAsia" w:ascii="宋体" w:hAnsi="宋体" w:eastAsia="宋体" w:cs="宋体"/>
          <w:sz w:val="24"/>
          <w:szCs w:val="24"/>
        </w:rPr>
        <w:t>文件规定按照国家制定的相关技术标准组织验收。验收时乙方必须在现场，验收完毕后作出验收结果报告。</w:t>
      </w:r>
    </w:p>
    <w:p w14:paraId="4264BC32">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4.相关环境指标检测分货物进场前、项目完工后二次进行，检测时甲、乙双方必须在现场，专业检测费用由乙方负责。</w:t>
      </w:r>
    </w:p>
    <w:p w14:paraId="32E839D0">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5.对室内安装的货物，甲方对检测结果有疑义的有权邀请第三方专业检测机构进行相关环境指标复检检测，并由其出具检测报告。如果对其出具的检测报告不合格的，检测费用由乙方承担；甲方将暂拒退还履约保证金及支付货款，待乙方全部整改并检测合格后，方可支付。</w:t>
      </w:r>
    </w:p>
    <w:p w14:paraId="1BADCBE8">
      <w:pPr>
        <w:keepNext w:val="0"/>
        <w:keepLines w:val="0"/>
        <w:pageBreakBefore w:val="0"/>
        <w:widowControl/>
        <w:kinsoku/>
        <w:wordWrap/>
        <w:overflowPunct/>
        <w:topLinePunct w:val="0"/>
        <w:autoSpaceDE/>
        <w:autoSpaceDN/>
        <w:bidi w:val="0"/>
        <w:spacing w:line="43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复检检测合格的，其第三方专业检测机构费用由甲方负责。</w:t>
      </w:r>
    </w:p>
    <w:p w14:paraId="09CD21FB">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五</w:t>
      </w:r>
      <w:r>
        <w:rPr>
          <w:rFonts w:hint="eastAsia" w:ascii="宋体" w:hAnsi="宋体" w:eastAsia="宋体" w:cs="宋体"/>
          <w:sz w:val="24"/>
          <w:szCs w:val="24"/>
        </w:rPr>
        <w:t>、货物包装、发运及运输</w:t>
      </w:r>
    </w:p>
    <w:p w14:paraId="7F072E59">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1.乙方应在货物发运前对其进行满足运输距离、防潮、防震、防锈和防破损装卸等要求包装，以保证货物安全运达甲方指定地点。</w:t>
      </w:r>
    </w:p>
    <w:p w14:paraId="30045E59">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2.使用说明书、质量检验证明书、随配附件和工具以及清单一并附于货物内。</w:t>
      </w:r>
    </w:p>
    <w:p w14:paraId="3C2A431A">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3.货物在交付甲方前发生的风险均由乙方负责。</w:t>
      </w:r>
    </w:p>
    <w:p w14:paraId="0AF52FD2">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六</w:t>
      </w:r>
      <w:r>
        <w:rPr>
          <w:rFonts w:hint="eastAsia" w:ascii="宋体" w:hAnsi="宋体" w:eastAsia="宋体" w:cs="宋体"/>
          <w:sz w:val="24"/>
          <w:szCs w:val="24"/>
        </w:rPr>
        <w:t>、违约责任</w:t>
      </w:r>
    </w:p>
    <w:p w14:paraId="780A404B">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1.甲方无正当理由拒收货物的，甲方向乙方偿付拒收货款总值的百分之五违约金。</w:t>
      </w:r>
    </w:p>
    <w:p w14:paraId="67CDA75E">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2.甲方无故逾期验收和办理货款支付手续的,甲方应按逾期付款总额每日万分之五向乙方支付违约金。</w:t>
      </w:r>
    </w:p>
    <w:p w14:paraId="1EBCE101">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14:paraId="61946021">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2F0BF715">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七</w:t>
      </w:r>
      <w:r>
        <w:rPr>
          <w:rFonts w:hint="eastAsia" w:ascii="宋体" w:hAnsi="宋体" w:eastAsia="宋体" w:cs="宋体"/>
          <w:sz w:val="24"/>
          <w:szCs w:val="24"/>
        </w:rPr>
        <w:t>、不可抗力事件处理</w:t>
      </w:r>
    </w:p>
    <w:p w14:paraId="2BF2F91B">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1.在合同有效期内，任何一方因不可抗力事件导致不能履行合同，则合同履行期可延长，其延长期与不可抗力影响期相同。</w:t>
      </w:r>
    </w:p>
    <w:p w14:paraId="39E42AD1">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2.不可抗力事件发生后，应立即通知对方，并寄送有关权威机构出具的证明。</w:t>
      </w:r>
    </w:p>
    <w:p w14:paraId="4D506F57">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3.不可抗力事件延续120天以上，双方应通过友好协商，确定是否继续履行合同。</w:t>
      </w:r>
    </w:p>
    <w:p w14:paraId="761F92BD">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八</w:t>
      </w:r>
      <w:r>
        <w:rPr>
          <w:rFonts w:hint="eastAsia" w:ascii="宋体" w:hAnsi="宋体" w:eastAsia="宋体" w:cs="宋体"/>
          <w:sz w:val="24"/>
          <w:szCs w:val="24"/>
        </w:rPr>
        <w:t>、诉讼</w:t>
      </w:r>
    </w:p>
    <w:p w14:paraId="60F4580A">
      <w:pPr>
        <w:keepNext w:val="0"/>
        <w:keepLines w:val="0"/>
        <w:pageBreakBefore w:val="0"/>
        <w:kinsoku/>
        <w:wordWrap/>
        <w:overflowPunct/>
        <w:topLinePunct w:val="0"/>
        <w:autoSpaceDE/>
        <w:autoSpaceDN/>
        <w:bidi w:val="0"/>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双方在执行合同中所发生的一切争议，应通过协商解决。如协商不成，可向甲方所在地法院起诉。</w:t>
      </w:r>
    </w:p>
    <w:p w14:paraId="5513A7DB">
      <w:pPr>
        <w:keepNext w:val="0"/>
        <w:keepLines w:val="0"/>
        <w:pageBreakBefore w:val="0"/>
        <w:kinsoku/>
        <w:wordWrap/>
        <w:overflowPunct/>
        <w:topLinePunct w:val="0"/>
        <w:autoSpaceDE/>
        <w:autoSpaceDN/>
        <w:bidi w:val="0"/>
        <w:adjustRightInd/>
        <w:spacing w:line="43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九</w:t>
      </w:r>
      <w:r>
        <w:rPr>
          <w:rFonts w:hint="eastAsia" w:ascii="宋体" w:hAnsi="宋体" w:eastAsia="宋体" w:cs="宋体"/>
          <w:sz w:val="24"/>
          <w:szCs w:val="24"/>
        </w:rPr>
        <w:t>、合同生效及其它</w:t>
      </w:r>
    </w:p>
    <w:p w14:paraId="0735DC26">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1.合同经双方法定代表人或授权代表签字并加盖单位公章，并经</w:t>
      </w:r>
      <w:r>
        <w:rPr>
          <w:rFonts w:hint="eastAsia" w:ascii="宋体" w:hAnsi="宋体" w:cs="宋体"/>
          <w:color w:val="000000"/>
          <w:sz w:val="24"/>
          <w:szCs w:val="24"/>
          <w:lang w:val="zh-CN"/>
        </w:rPr>
        <w:t>浙江中合工程管理有限公司</w:t>
      </w:r>
      <w:r>
        <w:rPr>
          <w:rFonts w:hint="eastAsia" w:ascii="宋体" w:hAnsi="宋体" w:eastAsia="宋体" w:cs="宋体"/>
          <w:color w:val="000000"/>
          <w:sz w:val="24"/>
          <w:szCs w:val="24"/>
          <w:lang w:val="zh-CN"/>
        </w:rPr>
        <w:t>加盖鉴证章后生效。</w:t>
      </w:r>
    </w:p>
    <w:p w14:paraId="720BCCC3">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2.本合同未尽事宜，遵照《民法典》有关条文执行。</w:t>
      </w:r>
    </w:p>
    <w:p w14:paraId="0908FD3B">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rPr>
      </w:pPr>
      <w:r>
        <w:rPr>
          <w:rFonts w:hint="eastAsia" w:ascii="宋体" w:hAnsi="宋体" w:eastAsia="宋体" w:cs="宋体"/>
          <w:color w:val="auto"/>
          <w:sz w:val="24"/>
          <w:szCs w:val="24"/>
          <w:lang w:val="zh-CN"/>
        </w:rPr>
        <w:t>3.本合同正本一式</w:t>
      </w:r>
      <w:r>
        <w:rPr>
          <w:rFonts w:hint="eastAsia" w:ascii="宋体" w:hAnsi="宋体" w:eastAsia="宋体" w:cs="宋体"/>
          <w:color w:val="auto"/>
          <w:sz w:val="24"/>
          <w:szCs w:val="24"/>
          <w:lang w:val="en-US" w:eastAsia="zh-CN"/>
        </w:rPr>
        <w:t>捌</w:t>
      </w:r>
      <w:r>
        <w:rPr>
          <w:rFonts w:hint="eastAsia" w:ascii="宋体" w:hAnsi="宋体" w:eastAsia="宋体" w:cs="宋体"/>
          <w:color w:val="auto"/>
          <w:sz w:val="24"/>
          <w:szCs w:val="24"/>
          <w:lang w:val="zh-CN"/>
        </w:rPr>
        <w:t>份，具有同等法律效力，甲乙双方各执叁份，</w:t>
      </w:r>
      <w:r>
        <w:rPr>
          <w:rFonts w:hint="eastAsia" w:ascii="宋体" w:hAnsi="宋体" w:cs="宋体"/>
          <w:color w:val="auto"/>
          <w:sz w:val="24"/>
          <w:szCs w:val="24"/>
          <w:lang w:val="zh-CN"/>
        </w:rPr>
        <w:t>浙江中合工程管理有限公司</w:t>
      </w:r>
      <w:r>
        <w:rPr>
          <w:rFonts w:hint="eastAsia" w:ascii="宋体" w:hAnsi="宋体" w:eastAsia="宋体" w:cs="宋体"/>
          <w:color w:val="auto"/>
          <w:sz w:val="24"/>
          <w:szCs w:val="24"/>
          <w:lang w:val="zh-CN"/>
        </w:rPr>
        <w:t>执</w:t>
      </w:r>
      <w:r>
        <w:rPr>
          <w:rFonts w:hint="eastAsia" w:ascii="宋体" w:hAnsi="宋体" w:eastAsia="宋体" w:cs="宋体"/>
          <w:color w:val="auto"/>
          <w:sz w:val="24"/>
          <w:szCs w:val="24"/>
          <w:lang w:val="en-US" w:eastAsia="zh-CN"/>
        </w:rPr>
        <w:t>贰</w:t>
      </w:r>
      <w:r>
        <w:rPr>
          <w:rFonts w:hint="eastAsia" w:ascii="宋体" w:hAnsi="宋体" w:eastAsia="宋体" w:cs="宋体"/>
          <w:color w:val="auto"/>
          <w:sz w:val="24"/>
          <w:szCs w:val="24"/>
          <w:lang w:val="zh-CN"/>
        </w:rPr>
        <w:t>份。</w:t>
      </w:r>
    </w:p>
    <w:tbl>
      <w:tblPr>
        <w:tblStyle w:val="36"/>
        <w:tblW w:w="9120" w:type="dxa"/>
        <w:tblInd w:w="686" w:type="dxa"/>
        <w:tblLayout w:type="fixed"/>
        <w:tblCellMar>
          <w:top w:w="0" w:type="dxa"/>
          <w:left w:w="108" w:type="dxa"/>
          <w:bottom w:w="0" w:type="dxa"/>
          <w:right w:w="108" w:type="dxa"/>
        </w:tblCellMar>
      </w:tblPr>
      <w:tblGrid>
        <w:gridCol w:w="4400"/>
        <w:gridCol w:w="4720"/>
      </w:tblGrid>
      <w:tr w14:paraId="4333BC0C">
        <w:tblPrEx>
          <w:tblCellMar>
            <w:top w:w="0" w:type="dxa"/>
            <w:left w:w="108" w:type="dxa"/>
            <w:bottom w:w="0" w:type="dxa"/>
            <w:right w:w="108" w:type="dxa"/>
          </w:tblCellMar>
        </w:tblPrEx>
        <w:trPr>
          <w:trHeight w:val="680" w:hRule="atLeast"/>
        </w:trPr>
        <w:tc>
          <w:tcPr>
            <w:tcW w:w="4400" w:type="dxa"/>
            <w:noWrap w:val="0"/>
            <w:vAlign w:val="center"/>
          </w:tcPr>
          <w:p w14:paraId="2FF01908">
            <w:pPr>
              <w:tabs>
                <w:tab w:val="left" w:pos="1080"/>
              </w:tabs>
              <w:snapToGrid w:val="0"/>
              <w:spacing w:line="440" w:lineRule="exact"/>
              <w:ind w:left="0" w:leftChars="0" w:firstLine="0" w:firstLineChars="0"/>
              <w:rPr>
                <w:rFonts w:hint="eastAsia" w:ascii="宋体" w:hAnsi="宋体" w:eastAsia="宋体" w:cs="宋体"/>
                <w:sz w:val="24"/>
                <w:szCs w:val="24"/>
              </w:rPr>
            </w:pPr>
          </w:p>
          <w:p w14:paraId="72BA972A">
            <w:pPr>
              <w:tabs>
                <w:tab w:val="left" w:pos="1080"/>
              </w:tabs>
              <w:snapToGrid w:val="0"/>
              <w:spacing w:line="440" w:lineRule="exact"/>
              <w:ind w:firstLine="480"/>
              <w:rPr>
                <w:rFonts w:hint="eastAsia" w:ascii="宋体" w:hAnsi="宋体" w:eastAsia="宋体" w:cs="宋体"/>
                <w:sz w:val="24"/>
                <w:szCs w:val="24"/>
              </w:rPr>
            </w:pPr>
          </w:p>
          <w:p w14:paraId="2DC2A86C">
            <w:pPr>
              <w:tabs>
                <w:tab w:val="left" w:pos="1080"/>
              </w:tabs>
              <w:snapToGrid w:val="0"/>
              <w:spacing w:line="440" w:lineRule="exact"/>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甲方：</w:t>
            </w:r>
          </w:p>
        </w:tc>
        <w:tc>
          <w:tcPr>
            <w:tcW w:w="4720" w:type="dxa"/>
            <w:noWrap w:val="0"/>
            <w:vAlign w:val="center"/>
          </w:tcPr>
          <w:p w14:paraId="01DD5620">
            <w:pPr>
              <w:tabs>
                <w:tab w:val="left" w:pos="1080"/>
              </w:tabs>
              <w:snapToGrid w:val="0"/>
              <w:spacing w:line="440" w:lineRule="exact"/>
              <w:ind w:firstLine="480"/>
              <w:rPr>
                <w:rFonts w:hint="eastAsia" w:ascii="宋体" w:hAnsi="宋体" w:eastAsia="宋体" w:cs="宋体"/>
                <w:sz w:val="24"/>
                <w:szCs w:val="24"/>
              </w:rPr>
            </w:pPr>
          </w:p>
          <w:p w14:paraId="193B1E7F">
            <w:pPr>
              <w:tabs>
                <w:tab w:val="left" w:pos="1080"/>
              </w:tabs>
              <w:snapToGrid w:val="0"/>
              <w:spacing w:line="440" w:lineRule="exact"/>
              <w:ind w:firstLine="480"/>
              <w:rPr>
                <w:rFonts w:hint="eastAsia" w:ascii="宋体" w:hAnsi="宋体" w:eastAsia="宋体" w:cs="宋体"/>
                <w:sz w:val="24"/>
                <w:szCs w:val="24"/>
              </w:rPr>
            </w:pPr>
          </w:p>
          <w:p w14:paraId="64E78FB8">
            <w:pPr>
              <w:tabs>
                <w:tab w:val="left" w:pos="1080"/>
              </w:tabs>
              <w:snapToGrid w:val="0"/>
              <w:spacing w:line="440" w:lineRule="exact"/>
              <w:ind w:firstLine="480"/>
              <w:rPr>
                <w:rFonts w:hint="eastAsia" w:ascii="宋体" w:hAnsi="宋体" w:eastAsia="宋体" w:cs="宋体"/>
                <w:sz w:val="24"/>
                <w:szCs w:val="24"/>
              </w:rPr>
            </w:pPr>
            <w:r>
              <w:rPr>
                <w:rFonts w:hint="eastAsia" w:ascii="宋体" w:hAnsi="宋体" w:eastAsia="宋体" w:cs="宋体"/>
                <w:sz w:val="24"/>
                <w:szCs w:val="24"/>
              </w:rPr>
              <w:t>乙方：</w:t>
            </w:r>
          </w:p>
        </w:tc>
      </w:tr>
      <w:tr w14:paraId="38EA0FD7">
        <w:tblPrEx>
          <w:tblCellMar>
            <w:top w:w="0" w:type="dxa"/>
            <w:left w:w="108" w:type="dxa"/>
            <w:bottom w:w="0" w:type="dxa"/>
            <w:right w:w="108" w:type="dxa"/>
          </w:tblCellMar>
        </w:tblPrEx>
        <w:trPr>
          <w:trHeight w:val="680" w:hRule="atLeast"/>
        </w:trPr>
        <w:tc>
          <w:tcPr>
            <w:tcW w:w="4400" w:type="dxa"/>
            <w:noWrap w:val="0"/>
            <w:vAlign w:val="center"/>
          </w:tcPr>
          <w:p w14:paraId="6FC15310">
            <w:pPr>
              <w:tabs>
                <w:tab w:val="left" w:pos="1080"/>
              </w:tabs>
              <w:snapToGrid w:val="0"/>
              <w:spacing w:line="440" w:lineRule="exact"/>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法定（授权）代表人：</w:t>
            </w:r>
          </w:p>
        </w:tc>
        <w:tc>
          <w:tcPr>
            <w:tcW w:w="4720" w:type="dxa"/>
            <w:noWrap w:val="0"/>
            <w:vAlign w:val="center"/>
          </w:tcPr>
          <w:p w14:paraId="67BCA72D">
            <w:pPr>
              <w:tabs>
                <w:tab w:val="left" w:pos="1080"/>
              </w:tabs>
              <w:snapToGrid w:val="0"/>
              <w:spacing w:line="440" w:lineRule="exact"/>
              <w:ind w:firstLine="480"/>
              <w:rPr>
                <w:rFonts w:hint="eastAsia" w:ascii="宋体" w:hAnsi="宋体" w:eastAsia="宋体" w:cs="宋体"/>
                <w:sz w:val="24"/>
                <w:szCs w:val="24"/>
              </w:rPr>
            </w:pPr>
            <w:r>
              <w:rPr>
                <w:rFonts w:hint="eastAsia" w:ascii="宋体" w:hAnsi="宋体" w:eastAsia="宋体" w:cs="宋体"/>
                <w:sz w:val="24"/>
                <w:szCs w:val="24"/>
              </w:rPr>
              <w:t>法定（授权）代表人：</w:t>
            </w:r>
          </w:p>
        </w:tc>
      </w:tr>
      <w:tr w14:paraId="296D8EE4">
        <w:tblPrEx>
          <w:tblCellMar>
            <w:top w:w="0" w:type="dxa"/>
            <w:left w:w="108" w:type="dxa"/>
            <w:bottom w:w="0" w:type="dxa"/>
            <w:right w:w="108" w:type="dxa"/>
          </w:tblCellMar>
        </w:tblPrEx>
        <w:trPr>
          <w:trHeight w:val="680" w:hRule="atLeast"/>
        </w:trPr>
        <w:tc>
          <w:tcPr>
            <w:tcW w:w="4400" w:type="dxa"/>
            <w:noWrap w:val="0"/>
            <w:vAlign w:val="center"/>
          </w:tcPr>
          <w:p w14:paraId="3D164AF0">
            <w:pPr>
              <w:tabs>
                <w:tab w:val="left" w:pos="1080"/>
              </w:tabs>
              <w:snapToGrid w:val="0"/>
              <w:spacing w:line="440" w:lineRule="exact"/>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地址：</w:t>
            </w:r>
          </w:p>
        </w:tc>
        <w:tc>
          <w:tcPr>
            <w:tcW w:w="4720" w:type="dxa"/>
            <w:noWrap w:val="0"/>
            <w:vAlign w:val="center"/>
          </w:tcPr>
          <w:p w14:paraId="2F46332E">
            <w:pPr>
              <w:tabs>
                <w:tab w:val="left" w:pos="1080"/>
              </w:tabs>
              <w:snapToGrid w:val="0"/>
              <w:spacing w:line="440" w:lineRule="exact"/>
              <w:ind w:firstLine="480"/>
              <w:rPr>
                <w:rFonts w:hint="eastAsia" w:ascii="宋体" w:hAnsi="宋体" w:eastAsia="宋体" w:cs="宋体"/>
                <w:sz w:val="24"/>
                <w:szCs w:val="24"/>
              </w:rPr>
            </w:pPr>
            <w:r>
              <w:rPr>
                <w:rFonts w:hint="eastAsia" w:ascii="宋体" w:hAnsi="宋体" w:eastAsia="宋体" w:cs="宋体"/>
                <w:sz w:val="24"/>
                <w:szCs w:val="24"/>
              </w:rPr>
              <w:t>地址：</w:t>
            </w:r>
          </w:p>
        </w:tc>
      </w:tr>
      <w:tr w14:paraId="13007F0A">
        <w:tblPrEx>
          <w:tblCellMar>
            <w:top w:w="0" w:type="dxa"/>
            <w:left w:w="108" w:type="dxa"/>
            <w:bottom w:w="0" w:type="dxa"/>
            <w:right w:w="108" w:type="dxa"/>
          </w:tblCellMar>
        </w:tblPrEx>
        <w:trPr>
          <w:trHeight w:val="680" w:hRule="atLeast"/>
        </w:trPr>
        <w:tc>
          <w:tcPr>
            <w:tcW w:w="4400" w:type="dxa"/>
            <w:noWrap w:val="0"/>
            <w:vAlign w:val="center"/>
          </w:tcPr>
          <w:p w14:paraId="659DA86F">
            <w:pPr>
              <w:tabs>
                <w:tab w:val="left" w:pos="1080"/>
              </w:tabs>
              <w:snapToGrid w:val="0"/>
              <w:spacing w:line="440" w:lineRule="exact"/>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签订日期：202</w:t>
            </w:r>
            <w:r>
              <w:rPr>
                <w:rFonts w:hint="eastAsia" w:ascii="宋体" w:hAnsi="宋体" w:cs="宋体"/>
                <w:sz w:val="24"/>
                <w:szCs w:val="24"/>
                <w:lang w:val="en-US" w:eastAsia="zh-CN"/>
              </w:rPr>
              <w:t>5</w:t>
            </w:r>
            <w:r>
              <w:rPr>
                <w:rFonts w:hint="eastAsia" w:ascii="宋体" w:hAnsi="宋体" w:eastAsia="宋体" w:cs="宋体"/>
                <w:sz w:val="24"/>
                <w:szCs w:val="24"/>
              </w:rPr>
              <w:t xml:space="preserve">年 </w:t>
            </w:r>
            <w:r>
              <w:rPr>
                <w:rFonts w:hint="eastAsia" w:ascii="宋体" w:hAnsi="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日</w:t>
            </w:r>
          </w:p>
        </w:tc>
        <w:tc>
          <w:tcPr>
            <w:tcW w:w="4720" w:type="dxa"/>
            <w:noWrap w:val="0"/>
            <w:vAlign w:val="center"/>
          </w:tcPr>
          <w:p w14:paraId="6F2F4DDC">
            <w:pPr>
              <w:tabs>
                <w:tab w:val="left" w:pos="1080"/>
              </w:tabs>
              <w:snapToGrid w:val="0"/>
              <w:spacing w:line="440" w:lineRule="exact"/>
              <w:ind w:firstLine="480"/>
              <w:rPr>
                <w:rFonts w:hint="eastAsia" w:ascii="宋体" w:hAnsi="宋体" w:eastAsia="宋体" w:cs="宋体"/>
                <w:sz w:val="24"/>
                <w:szCs w:val="24"/>
              </w:rPr>
            </w:pPr>
            <w:r>
              <w:rPr>
                <w:rFonts w:hint="eastAsia" w:ascii="宋体" w:hAnsi="宋体" w:eastAsia="宋体" w:cs="宋体"/>
                <w:sz w:val="24"/>
                <w:szCs w:val="24"/>
              </w:rPr>
              <w:t>签订日期：202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月 </w:t>
            </w:r>
            <w:r>
              <w:rPr>
                <w:rFonts w:hint="eastAsia" w:ascii="宋体" w:hAnsi="宋体" w:cs="宋体"/>
                <w:sz w:val="24"/>
                <w:szCs w:val="24"/>
                <w:lang w:val="en-US" w:eastAsia="zh-CN"/>
              </w:rPr>
              <w:t xml:space="preserve"> </w:t>
            </w:r>
            <w:r>
              <w:rPr>
                <w:rFonts w:hint="eastAsia" w:ascii="宋体" w:hAnsi="宋体" w:eastAsia="宋体" w:cs="宋体"/>
                <w:sz w:val="24"/>
                <w:szCs w:val="24"/>
              </w:rPr>
              <w:t>日</w:t>
            </w:r>
          </w:p>
        </w:tc>
      </w:tr>
      <w:tr w14:paraId="36C3271A">
        <w:tblPrEx>
          <w:tblCellMar>
            <w:top w:w="0" w:type="dxa"/>
            <w:left w:w="108" w:type="dxa"/>
            <w:bottom w:w="0" w:type="dxa"/>
            <w:right w:w="108" w:type="dxa"/>
          </w:tblCellMar>
        </w:tblPrEx>
        <w:trPr>
          <w:trHeight w:val="680" w:hRule="atLeast"/>
        </w:trPr>
        <w:tc>
          <w:tcPr>
            <w:tcW w:w="9120" w:type="dxa"/>
            <w:gridSpan w:val="2"/>
            <w:noWrap w:val="0"/>
            <w:vAlign w:val="center"/>
          </w:tcPr>
          <w:p w14:paraId="1BFCBC92">
            <w:pPr>
              <w:pStyle w:val="20"/>
              <w:adjustRightInd w:val="0"/>
              <w:snapToGrid w:val="0"/>
              <w:spacing w:line="440" w:lineRule="exact"/>
              <w:ind w:firstLine="480"/>
              <w:jc w:val="left"/>
              <w:rPr>
                <w:rFonts w:hint="eastAsia" w:ascii="宋体" w:hAnsi="宋体" w:eastAsia="宋体" w:cs="宋体"/>
                <w:sz w:val="24"/>
                <w:szCs w:val="24"/>
              </w:rPr>
            </w:pPr>
          </w:p>
          <w:p w14:paraId="77ECAE69">
            <w:pPr>
              <w:pStyle w:val="20"/>
              <w:adjustRightInd w:val="0"/>
              <w:snapToGrid w:val="0"/>
              <w:spacing w:line="440" w:lineRule="exact"/>
              <w:ind w:firstLine="480"/>
              <w:jc w:val="left"/>
              <w:rPr>
                <w:rFonts w:hint="eastAsia" w:ascii="宋体" w:hAnsi="宋体" w:eastAsia="宋体" w:cs="宋体"/>
                <w:sz w:val="24"/>
                <w:szCs w:val="24"/>
              </w:rPr>
            </w:pPr>
          </w:p>
          <w:p w14:paraId="1FEED9B5">
            <w:pPr>
              <w:pStyle w:val="20"/>
              <w:adjustRightInd w:val="0"/>
              <w:snapToGrid w:val="0"/>
              <w:spacing w:line="44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rPr>
              <w:t>合同鉴证方（盖章）：</w:t>
            </w:r>
            <w:r>
              <w:rPr>
                <w:rFonts w:hint="eastAsia" w:hAnsi="宋体" w:cs="宋体"/>
                <w:sz w:val="24"/>
                <w:szCs w:val="24"/>
                <w:lang w:eastAsia="zh-CN"/>
              </w:rPr>
              <w:t>浙江中合工程管理有限公司</w:t>
            </w:r>
          </w:p>
        </w:tc>
      </w:tr>
      <w:tr w14:paraId="01DE2810">
        <w:tblPrEx>
          <w:tblCellMar>
            <w:top w:w="0" w:type="dxa"/>
            <w:left w:w="108" w:type="dxa"/>
            <w:bottom w:w="0" w:type="dxa"/>
            <w:right w:w="108" w:type="dxa"/>
          </w:tblCellMar>
        </w:tblPrEx>
        <w:trPr>
          <w:trHeight w:val="680" w:hRule="atLeast"/>
        </w:trPr>
        <w:tc>
          <w:tcPr>
            <w:tcW w:w="9120" w:type="dxa"/>
            <w:gridSpan w:val="2"/>
            <w:noWrap w:val="0"/>
            <w:vAlign w:val="center"/>
          </w:tcPr>
          <w:p w14:paraId="73B128CB">
            <w:pPr>
              <w:widowControl/>
              <w:adjustRightInd w:val="0"/>
              <w:snapToGrid w:val="0"/>
              <w:spacing w:line="440" w:lineRule="exact"/>
              <w:ind w:left="0" w:leftChars="0" w:firstLine="0" w:firstLineChars="0"/>
              <w:jc w:val="left"/>
              <w:rPr>
                <w:rFonts w:hint="eastAsia" w:ascii="宋体" w:hAnsi="宋体" w:eastAsia="宋体" w:cs="宋体"/>
                <w:sz w:val="24"/>
                <w:szCs w:val="24"/>
                <w:lang w:val="zh-CN"/>
              </w:rPr>
            </w:pPr>
            <w:r>
              <w:rPr>
                <w:rFonts w:hint="eastAsia" w:ascii="宋体" w:hAnsi="宋体" w:eastAsia="宋体" w:cs="宋体"/>
                <w:sz w:val="24"/>
                <w:szCs w:val="24"/>
              </w:rPr>
              <w:t>鉴证日期：202</w:t>
            </w:r>
            <w:r>
              <w:rPr>
                <w:rFonts w:hint="eastAsia" w:ascii="宋体" w:hAnsi="宋体" w:cs="宋体"/>
                <w:sz w:val="24"/>
                <w:szCs w:val="24"/>
                <w:lang w:val="en-US" w:eastAsia="zh-CN"/>
              </w:rPr>
              <w:t>5</w:t>
            </w:r>
            <w:r>
              <w:rPr>
                <w:rFonts w:hint="eastAsia" w:ascii="宋体" w:hAnsi="宋体" w:eastAsia="宋体" w:cs="宋体"/>
                <w:sz w:val="24"/>
                <w:szCs w:val="24"/>
              </w:rPr>
              <w:t xml:space="preserve">年 </w:t>
            </w:r>
            <w:r>
              <w:rPr>
                <w:rFonts w:hint="eastAsia" w:ascii="宋体" w:hAnsi="宋体" w:cs="宋体"/>
                <w:sz w:val="24"/>
                <w:szCs w:val="24"/>
                <w:lang w:val="en-US" w:eastAsia="zh-CN"/>
              </w:rPr>
              <w:t xml:space="preserve"> </w:t>
            </w:r>
            <w:r>
              <w:rPr>
                <w:rFonts w:hint="eastAsia" w:ascii="宋体" w:hAnsi="宋体" w:eastAsia="宋体" w:cs="宋体"/>
                <w:sz w:val="24"/>
                <w:szCs w:val="24"/>
                <w:lang w:val="zh-CN"/>
              </w:rPr>
              <w:t xml:space="preserve">月 </w:t>
            </w:r>
            <w:r>
              <w:rPr>
                <w:rFonts w:hint="eastAsia" w:ascii="宋体" w:hAnsi="宋体" w:cs="宋体"/>
                <w:sz w:val="24"/>
                <w:szCs w:val="24"/>
                <w:lang w:val="en-US" w:eastAsia="zh-CN"/>
              </w:rPr>
              <w:t xml:space="preserve"> </w:t>
            </w:r>
            <w:r>
              <w:rPr>
                <w:rFonts w:hint="eastAsia" w:ascii="宋体" w:hAnsi="宋体" w:eastAsia="宋体" w:cs="宋体"/>
                <w:sz w:val="24"/>
                <w:szCs w:val="24"/>
                <w:lang w:val="zh-CN"/>
              </w:rPr>
              <w:t>日</w:t>
            </w:r>
          </w:p>
        </w:tc>
        <w:bookmarkStart w:id="932" w:name="_第五章_评标办法及评分标准"/>
        <w:bookmarkStart w:id="933" w:name="_第五章_评标评分细则"/>
      </w:tr>
      <w:bookmarkEnd w:id="932"/>
      <w:bookmarkEnd w:id="933"/>
    </w:tbl>
    <w:p w14:paraId="625FFB98">
      <w:pPr>
        <w:pStyle w:val="3"/>
        <w:numPr>
          <w:ilvl w:val="0"/>
          <w:numId w:val="0"/>
        </w:numPr>
        <w:spacing w:before="312" w:after="312"/>
        <w:jc w:val="center"/>
        <w:rPr>
          <w:rFonts w:ascii="宋体" w:cs="宋体"/>
          <w:color w:val="auto"/>
        </w:rPr>
      </w:pPr>
      <w:r>
        <w:rPr>
          <w:rFonts w:hint="eastAsia" w:ascii="宋体" w:hAnsi="宋体" w:cs="宋体"/>
          <w:color w:val="auto"/>
        </w:rPr>
        <w:t>第六章</w:t>
      </w:r>
      <w:r>
        <w:rPr>
          <w:rFonts w:ascii="宋体" w:hAnsi="宋体" w:cs="宋体"/>
          <w:color w:val="auto"/>
        </w:rPr>
        <w:t xml:space="preserve">  </w:t>
      </w:r>
      <w:r>
        <w:rPr>
          <w:rFonts w:hint="eastAsia" w:ascii="宋体" w:hAnsi="宋体" w:cs="宋体"/>
          <w:color w:val="auto"/>
        </w:rPr>
        <w:t>投标文件格式</w:t>
      </w:r>
      <w:bookmarkEnd w:id="906"/>
      <w:bookmarkEnd w:id="907"/>
      <w:bookmarkEnd w:id="908"/>
      <w:bookmarkEnd w:id="909"/>
      <w:bookmarkEnd w:id="910"/>
      <w:bookmarkEnd w:id="911"/>
      <w:bookmarkEnd w:id="912"/>
      <w:bookmarkEnd w:id="913"/>
      <w:bookmarkEnd w:id="914"/>
      <w:bookmarkEnd w:id="915"/>
      <w:bookmarkEnd w:id="916"/>
      <w:bookmarkEnd w:id="917"/>
    </w:p>
    <w:p w14:paraId="053280ED">
      <w:pPr>
        <w:spacing w:line="420" w:lineRule="exact"/>
        <w:ind w:firstLine="480"/>
        <w:rPr>
          <w:rFonts w:ascii="宋体" w:cs="宋体"/>
          <w:color w:val="auto"/>
        </w:rPr>
      </w:pPr>
    </w:p>
    <w:tbl>
      <w:tblPr>
        <w:tblStyle w:val="36"/>
        <w:tblW w:w="9632" w:type="dxa"/>
        <w:jc w:val="center"/>
        <w:tblBorders>
          <w:top w:val="dashDotStroked" w:color="000080" w:sz="24" w:space="0"/>
          <w:left w:val="dashDotStroked" w:color="000080" w:sz="24" w:space="0"/>
          <w:bottom w:val="dashDotStroked" w:color="000080" w:sz="24" w:space="0"/>
          <w:right w:val="dashDotStroked" w:color="000080" w:sz="24" w:space="0"/>
          <w:insideH w:val="dashDotStroked" w:color="000080" w:sz="24" w:space="0"/>
          <w:insideV w:val="dashDotStroked" w:color="000080" w:sz="24" w:space="0"/>
        </w:tblBorders>
        <w:tblLayout w:type="fixed"/>
        <w:tblCellMar>
          <w:top w:w="0" w:type="dxa"/>
          <w:left w:w="108" w:type="dxa"/>
          <w:bottom w:w="0" w:type="dxa"/>
          <w:right w:w="108" w:type="dxa"/>
        </w:tblCellMar>
      </w:tblPr>
      <w:tblGrid>
        <w:gridCol w:w="9632"/>
      </w:tblGrid>
      <w:tr w14:paraId="54339233">
        <w:tblPrEx>
          <w:tblBorders>
            <w:top w:val="dashDotStroked" w:color="000080" w:sz="24" w:space="0"/>
            <w:left w:val="dashDotStroked" w:color="000080" w:sz="24" w:space="0"/>
            <w:bottom w:val="dashDotStroked" w:color="000080" w:sz="24" w:space="0"/>
            <w:right w:val="dashDotStroked" w:color="000080" w:sz="24" w:space="0"/>
            <w:insideH w:val="dashDotStroked" w:color="000080" w:sz="24" w:space="0"/>
            <w:insideV w:val="dashDotStroked" w:color="000080" w:sz="24" w:space="0"/>
          </w:tblBorders>
          <w:tblCellMar>
            <w:top w:w="0" w:type="dxa"/>
            <w:left w:w="108" w:type="dxa"/>
            <w:bottom w:w="0" w:type="dxa"/>
            <w:right w:w="108" w:type="dxa"/>
          </w:tblCellMar>
        </w:tblPrEx>
        <w:trPr>
          <w:trHeight w:val="261" w:hRule="atLeast"/>
          <w:jc w:val="center"/>
        </w:trPr>
        <w:tc>
          <w:tcPr>
            <w:tcW w:w="9632" w:type="dxa"/>
            <w:tcBorders>
              <w:top w:val="double" w:color="666699" w:sz="4" w:space="0"/>
              <w:left w:val="double" w:color="666699" w:sz="4" w:space="0"/>
              <w:bottom w:val="double" w:color="666699" w:sz="4" w:space="0"/>
              <w:right w:val="double" w:color="666699" w:sz="4" w:space="0"/>
            </w:tcBorders>
            <w:shd w:val="clear" w:color="auto" w:fill="FCFEEA"/>
          </w:tcPr>
          <w:p w14:paraId="03640E2C">
            <w:pPr>
              <w:snapToGrid w:val="0"/>
              <w:spacing w:line="420" w:lineRule="exact"/>
              <w:ind w:firstLine="602"/>
              <w:jc w:val="center"/>
              <w:rPr>
                <w:rFonts w:ascii="宋体" w:cs="宋体"/>
                <w:b/>
                <w:color w:val="auto"/>
                <w:sz w:val="30"/>
              </w:rPr>
            </w:pPr>
          </w:p>
          <w:p w14:paraId="52603C26">
            <w:pPr>
              <w:pStyle w:val="16"/>
              <w:ind w:firstLine="480"/>
              <w:rPr>
                <w:color w:val="auto"/>
              </w:rPr>
            </w:pPr>
          </w:p>
          <w:p w14:paraId="246E7AED">
            <w:pPr>
              <w:pStyle w:val="16"/>
              <w:spacing w:line="720" w:lineRule="auto"/>
              <w:ind w:firstLine="0" w:firstLineChars="0"/>
              <w:jc w:val="center"/>
              <w:rPr>
                <w:rFonts w:ascii="宋体" w:hAnsi="宋体" w:cs="宋体"/>
                <w:b/>
                <w:color w:val="auto"/>
                <w:sz w:val="44"/>
                <w:szCs w:val="44"/>
                <w:lang w:val="zh-CN"/>
              </w:rPr>
            </w:pPr>
          </w:p>
          <w:p w14:paraId="519541C6">
            <w:pPr>
              <w:pStyle w:val="16"/>
              <w:spacing w:line="720" w:lineRule="auto"/>
              <w:ind w:firstLine="0" w:firstLineChars="0"/>
              <w:jc w:val="center"/>
              <w:rPr>
                <w:rFonts w:hint="eastAsia" w:ascii="宋体" w:hAnsi="宋体" w:cs="宋体"/>
                <w:b/>
                <w:color w:val="auto"/>
                <w:sz w:val="44"/>
                <w:szCs w:val="44"/>
                <w:lang w:val="en-US" w:eastAsia="zh-CN"/>
              </w:rPr>
            </w:pPr>
            <w:r>
              <w:rPr>
                <w:rFonts w:hint="eastAsia" w:ascii="宋体" w:hAnsi="宋体" w:cs="宋体"/>
                <w:b/>
                <w:color w:val="auto"/>
                <w:sz w:val="32"/>
                <w:szCs w:val="32"/>
                <w:lang w:val="zh-CN"/>
              </w:rPr>
              <w:t>龙游经济开发区基础设施配套工程-城南特勤消防站家具采购项目</w:t>
            </w:r>
            <w:r>
              <w:rPr>
                <w:rFonts w:hint="eastAsia" w:ascii="宋体" w:hAnsi="宋体" w:cs="宋体"/>
                <w:b/>
                <w:color w:val="auto"/>
                <w:sz w:val="32"/>
                <w:szCs w:val="32"/>
                <w:lang w:val="en-US" w:eastAsia="zh-CN"/>
              </w:rPr>
              <w:t xml:space="preserve"> </w:t>
            </w:r>
            <w:r>
              <w:rPr>
                <w:rFonts w:hint="eastAsia" w:ascii="宋体" w:hAnsi="宋体" w:cs="宋体"/>
                <w:b/>
                <w:color w:val="auto"/>
                <w:sz w:val="44"/>
                <w:szCs w:val="44"/>
                <w:lang w:val="en-US" w:eastAsia="zh-CN"/>
              </w:rPr>
              <w:t xml:space="preserve">       </w:t>
            </w:r>
          </w:p>
          <w:p w14:paraId="6E22FB2F">
            <w:pPr>
              <w:pStyle w:val="16"/>
              <w:spacing w:line="720" w:lineRule="auto"/>
              <w:ind w:firstLine="0" w:firstLineChars="0"/>
              <w:jc w:val="center"/>
              <w:rPr>
                <w:rFonts w:hint="eastAsia" w:ascii="宋体" w:hAnsi="宋体" w:cs="宋体"/>
                <w:b/>
                <w:color w:val="auto"/>
                <w:sz w:val="44"/>
                <w:szCs w:val="44"/>
                <w:lang w:val="en-US" w:eastAsia="zh-CN"/>
              </w:rPr>
            </w:pPr>
          </w:p>
          <w:p w14:paraId="2349FE89">
            <w:pPr>
              <w:rPr>
                <w:rFonts w:hint="eastAsia"/>
                <w:lang w:val="en-US" w:eastAsia="zh-CN"/>
              </w:rPr>
            </w:pPr>
          </w:p>
          <w:p w14:paraId="510CDFA3">
            <w:pPr>
              <w:pStyle w:val="16"/>
              <w:spacing w:line="720" w:lineRule="auto"/>
              <w:ind w:firstLine="0" w:firstLineChars="0"/>
              <w:jc w:val="center"/>
              <w:rPr>
                <w:rFonts w:ascii="宋体" w:cs="宋体"/>
                <w:b/>
                <w:color w:val="auto"/>
                <w:sz w:val="44"/>
                <w:szCs w:val="44"/>
              </w:rPr>
            </w:pPr>
            <w:r>
              <w:rPr>
                <w:rFonts w:hint="eastAsia" w:ascii="宋体" w:hAnsi="宋体" w:cs="宋体"/>
                <w:b/>
                <w:color w:val="auto"/>
                <w:sz w:val="44"/>
                <w:szCs w:val="44"/>
              </w:rPr>
              <w:t>资格审查文件/</w:t>
            </w:r>
            <w:r>
              <w:rPr>
                <w:rFonts w:hint="eastAsia" w:ascii="宋体" w:hAnsi="宋体" w:cs="宋体"/>
                <w:b/>
                <w:color w:val="auto"/>
                <w:sz w:val="44"/>
                <w:szCs w:val="44"/>
                <w:lang w:eastAsia="zh-CN"/>
              </w:rPr>
              <w:t>技术商务文件</w:t>
            </w:r>
            <w:r>
              <w:rPr>
                <w:rFonts w:ascii="宋体" w:hAnsi="宋体" w:cs="宋体"/>
                <w:b/>
                <w:color w:val="auto"/>
                <w:sz w:val="44"/>
                <w:szCs w:val="44"/>
              </w:rPr>
              <w:t>/</w:t>
            </w:r>
            <w:r>
              <w:rPr>
                <w:rFonts w:hint="eastAsia" w:ascii="宋体" w:hAnsi="宋体" w:cs="宋体"/>
                <w:b/>
                <w:color w:val="auto"/>
                <w:sz w:val="44"/>
                <w:szCs w:val="44"/>
              </w:rPr>
              <w:t>报价文件</w:t>
            </w:r>
          </w:p>
          <w:p w14:paraId="5100B5C1">
            <w:pPr>
              <w:spacing w:line="420" w:lineRule="exact"/>
              <w:ind w:firstLine="643"/>
              <w:jc w:val="center"/>
              <w:rPr>
                <w:rFonts w:ascii="宋体" w:cs="宋体"/>
                <w:b/>
                <w:color w:val="auto"/>
                <w:sz w:val="32"/>
              </w:rPr>
            </w:pPr>
          </w:p>
          <w:p w14:paraId="1D3FACE8">
            <w:pPr>
              <w:ind w:firstLine="0" w:firstLineChars="0"/>
              <w:rPr>
                <w:color w:val="auto"/>
              </w:rPr>
            </w:pPr>
          </w:p>
          <w:p w14:paraId="07E63E32">
            <w:pPr>
              <w:pStyle w:val="2"/>
              <w:ind w:left="0" w:leftChars="0" w:firstLine="0" w:firstLineChars="0"/>
              <w:rPr>
                <w:color w:val="auto"/>
              </w:rPr>
            </w:pPr>
          </w:p>
          <w:p w14:paraId="42740AFF">
            <w:pPr>
              <w:pStyle w:val="2"/>
              <w:ind w:left="960" w:hanging="480"/>
              <w:rPr>
                <w:color w:val="auto"/>
              </w:rPr>
            </w:pPr>
          </w:p>
          <w:p w14:paraId="2F1020DC">
            <w:pPr>
              <w:pStyle w:val="2"/>
              <w:ind w:left="960" w:hanging="480"/>
              <w:rPr>
                <w:color w:val="auto"/>
              </w:rPr>
            </w:pPr>
          </w:p>
          <w:p w14:paraId="4C7105CA">
            <w:pPr>
              <w:pStyle w:val="2"/>
              <w:ind w:left="960" w:hanging="480"/>
              <w:rPr>
                <w:color w:val="auto"/>
              </w:rPr>
            </w:pPr>
          </w:p>
          <w:p w14:paraId="517A3355">
            <w:pPr>
              <w:spacing w:line="420" w:lineRule="exact"/>
              <w:ind w:firstLine="0" w:firstLineChars="0"/>
              <w:rPr>
                <w:rFonts w:ascii="宋体" w:cs="宋体"/>
                <w:b/>
                <w:color w:val="auto"/>
                <w:sz w:val="32"/>
              </w:rPr>
            </w:pPr>
          </w:p>
          <w:p w14:paraId="6CD28605">
            <w:pPr>
              <w:spacing w:line="360" w:lineRule="auto"/>
              <w:ind w:firstLine="640"/>
              <w:rPr>
                <w:rFonts w:ascii="宋体" w:cs="宋体"/>
                <w:color w:val="auto"/>
                <w:sz w:val="32"/>
              </w:rPr>
            </w:pPr>
            <w:r>
              <w:rPr>
                <w:rFonts w:hint="eastAsia" w:ascii="宋体" w:hAnsi="宋体" w:cs="宋体"/>
                <w:color w:val="auto"/>
                <w:sz w:val="32"/>
              </w:rPr>
              <w:t>项目编号：</w:t>
            </w:r>
            <w:r>
              <w:rPr>
                <w:rFonts w:hint="eastAsia" w:ascii="宋体" w:hAnsi="宋体" w:cs="宋体"/>
                <w:color w:val="auto"/>
                <w:sz w:val="32"/>
                <w:u w:val="single"/>
                <w:lang w:eastAsia="zh-CN"/>
              </w:rPr>
              <w:t>ZJZHGL2025-005</w:t>
            </w:r>
            <w:r>
              <w:rPr>
                <w:rFonts w:ascii="宋体" w:hAnsi="宋体" w:cs="宋体"/>
                <w:color w:val="auto"/>
                <w:sz w:val="32"/>
                <w:u w:val="single"/>
              </w:rPr>
              <w:t xml:space="preserve">           </w:t>
            </w:r>
            <w:r>
              <w:rPr>
                <w:rFonts w:hint="eastAsia" w:ascii="宋体" w:hAnsi="宋体" w:cs="宋体"/>
                <w:color w:val="auto"/>
                <w:sz w:val="32"/>
                <w:u w:val="single"/>
                <w:lang w:val="en-US" w:eastAsia="zh-CN"/>
              </w:rPr>
              <w:t xml:space="preserve">  </w:t>
            </w:r>
            <w:r>
              <w:rPr>
                <w:rFonts w:ascii="宋体" w:hAnsi="宋体" w:cs="宋体"/>
                <w:color w:val="auto"/>
                <w:sz w:val="32"/>
                <w:u w:val="single"/>
              </w:rPr>
              <w:t xml:space="preserve">        </w:t>
            </w:r>
            <w:r>
              <w:rPr>
                <w:rFonts w:ascii="宋体" w:hAnsi="宋体" w:cs="宋体"/>
                <w:color w:val="auto"/>
                <w:sz w:val="32"/>
                <w:u w:val="none"/>
              </w:rPr>
              <w:t xml:space="preserve">  </w:t>
            </w:r>
          </w:p>
          <w:p w14:paraId="5CFADE5C">
            <w:pPr>
              <w:spacing w:line="360" w:lineRule="auto"/>
              <w:ind w:firstLine="640"/>
              <w:rPr>
                <w:rFonts w:ascii="宋体" w:hAnsi="宋体" w:cs="宋体"/>
                <w:color w:val="auto"/>
                <w:sz w:val="32"/>
                <w:u w:val="none"/>
              </w:rPr>
            </w:pPr>
            <w:r>
              <w:rPr>
                <w:rFonts w:hint="eastAsia" w:ascii="宋体" w:hAnsi="宋体" w:cs="宋体"/>
                <w:color w:val="auto"/>
                <w:sz w:val="32"/>
              </w:rPr>
              <w:t>投</w:t>
            </w:r>
            <w:r>
              <w:rPr>
                <w:rFonts w:ascii="宋体" w:hAnsi="宋体" w:cs="宋体"/>
                <w:color w:val="auto"/>
                <w:sz w:val="32"/>
              </w:rPr>
              <w:t xml:space="preserve"> </w:t>
            </w:r>
            <w:r>
              <w:rPr>
                <w:rFonts w:hint="eastAsia" w:ascii="宋体" w:hAnsi="宋体" w:cs="宋体"/>
                <w:color w:val="auto"/>
                <w:sz w:val="32"/>
              </w:rPr>
              <w:t>标</w:t>
            </w:r>
            <w:r>
              <w:rPr>
                <w:rFonts w:ascii="宋体" w:hAnsi="宋体" w:cs="宋体"/>
                <w:color w:val="auto"/>
                <w:sz w:val="32"/>
              </w:rPr>
              <w:t xml:space="preserve"> </w:t>
            </w:r>
            <w:r>
              <w:rPr>
                <w:rFonts w:hint="eastAsia" w:ascii="宋体" w:hAnsi="宋体" w:cs="宋体"/>
                <w:color w:val="auto"/>
                <w:sz w:val="32"/>
              </w:rPr>
              <w:t>人：</w:t>
            </w:r>
            <w:r>
              <w:rPr>
                <w:rFonts w:ascii="宋体" w:hAnsi="宋体" w:cs="宋体"/>
                <w:color w:val="auto"/>
                <w:sz w:val="32"/>
                <w:u w:val="single"/>
              </w:rPr>
              <w:t xml:space="preserve">        </w:t>
            </w:r>
            <w:r>
              <w:rPr>
                <w:rFonts w:hint="eastAsia" w:ascii="宋体" w:hAnsi="宋体" w:cs="宋体"/>
                <w:color w:val="auto"/>
                <w:sz w:val="32"/>
                <w:u w:val="single"/>
              </w:rPr>
              <w:t>（全称）</w:t>
            </w:r>
            <w:r>
              <w:rPr>
                <w:rFonts w:hint="eastAsia" w:ascii="宋体" w:hAnsi="宋体" w:cs="宋体"/>
                <w:color w:val="auto"/>
                <w:sz w:val="32"/>
                <w:u w:val="single"/>
                <w:lang w:val="en-US" w:eastAsia="zh-CN"/>
              </w:rPr>
              <w:t xml:space="preserve">       </w:t>
            </w:r>
            <w:r>
              <w:rPr>
                <w:rFonts w:hint="eastAsia" w:ascii="宋体" w:hAnsi="宋体" w:cs="宋体"/>
                <w:color w:val="auto"/>
                <w:sz w:val="32"/>
                <w:u w:val="single"/>
              </w:rPr>
              <w:t>（加盖公章）</w:t>
            </w:r>
            <w:r>
              <w:rPr>
                <w:rFonts w:ascii="宋体" w:hAnsi="宋体" w:cs="宋体"/>
                <w:color w:val="auto"/>
                <w:sz w:val="32"/>
                <w:u w:val="none"/>
              </w:rPr>
              <w:t xml:space="preserve">    </w:t>
            </w:r>
          </w:p>
          <w:p w14:paraId="5BD2539A">
            <w:pPr>
              <w:spacing w:line="360" w:lineRule="auto"/>
              <w:ind w:firstLine="640"/>
              <w:rPr>
                <w:rFonts w:ascii="宋体" w:cs="宋体"/>
                <w:color w:val="auto"/>
                <w:sz w:val="32"/>
                <w:u w:val="single"/>
              </w:rPr>
            </w:pPr>
            <w:r>
              <w:rPr>
                <w:rFonts w:hint="eastAsia" w:ascii="宋体" w:hAnsi="宋体" w:cs="宋体"/>
                <w:color w:val="auto"/>
                <w:sz w:val="32"/>
              </w:rPr>
              <w:t>法定代表人或授权代表人</w:t>
            </w:r>
            <w:r>
              <w:rPr>
                <w:rFonts w:hint="eastAsia" w:ascii="宋体" w:hAnsi="宋体" w:cs="宋体"/>
                <w:color w:val="auto"/>
                <w:sz w:val="32"/>
                <w:lang w:eastAsia="zh-CN"/>
              </w:rPr>
              <w:t>（</w:t>
            </w:r>
            <w:r>
              <w:rPr>
                <w:rFonts w:hint="eastAsia" w:ascii="宋体" w:hAnsi="宋体" w:cs="宋体"/>
                <w:color w:val="auto"/>
                <w:sz w:val="32"/>
              </w:rPr>
              <w:t>签字或盖章</w:t>
            </w:r>
            <w:r>
              <w:rPr>
                <w:rFonts w:hint="eastAsia" w:ascii="宋体" w:hAnsi="宋体" w:cs="宋体"/>
                <w:color w:val="auto"/>
                <w:sz w:val="32"/>
                <w:lang w:eastAsia="zh-CN"/>
              </w:rPr>
              <w:t>）</w:t>
            </w:r>
            <w:r>
              <w:rPr>
                <w:rFonts w:hint="eastAsia" w:ascii="宋体" w:hAnsi="宋体" w:cs="宋体"/>
                <w:color w:val="auto"/>
                <w:sz w:val="32"/>
              </w:rPr>
              <w:t>：</w:t>
            </w:r>
          </w:p>
          <w:p w14:paraId="6CD089C5">
            <w:pPr>
              <w:spacing w:line="360" w:lineRule="auto"/>
              <w:ind w:firstLine="640"/>
              <w:rPr>
                <w:rFonts w:hint="eastAsia" w:ascii="宋体" w:hAnsi="宋体" w:cs="宋体"/>
                <w:color w:val="auto"/>
                <w:sz w:val="32"/>
              </w:rPr>
            </w:pPr>
            <w:r>
              <w:rPr>
                <w:rFonts w:hint="eastAsia" w:ascii="宋体" w:hAnsi="宋体" w:cs="宋体"/>
                <w:color w:val="auto"/>
                <w:sz w:val="32"/>
              </w:rPr>
              <w:t>投标人地址：</w:t>
            </w:r>
          </w:p>
          <w:p w14:paraId="3C3ACDC3">
            <w:pPr>
              <w:spacing w:line="360" w:lineRule="auto"/>
              <w:ind w:firstLine="0" w:firstLineChars="0"/>
              <w:jc w:val="center"/>
              <w:rPr>
                <w:rFonts w:hint="eastAsia" w:ascii="宋体" w:hAnsi="宋体" w:cs="宋体"/>
                <w:color w:val="auto"/>
                <w:sz w:val="32"/>
              </w:rPr>
            </w:pPr>
          </w:p>
          <w:p w14:paraId="1EBE33B7">
            <w:pPr>
              <w:spacing w:line="360" w:lineRule="auto"/>
              <w:ind w:firstLine="0" w:firstLineChars="0"/>
              <w:jc w:val="center"/>
              <w:rPr>
                <w:rFonts w:ascii="宋体" w:cs="宋体"/>
                <w:color w:val="auto"/>
              </w:rPr>
            </w:pPr>
            <w:r>
              <w:rPr>
                <w:rFonts w:hint="eastAsia" w:ascii="宋体" w:hAnsi="宋体" w:cs="宋体"/>
                <w:color w:val="auto"/>
                <w:sz w:val="32"/>
              </w:rPr>
              <w:t>二〇二</w:t>
            </w:r>
            <w:r>
              <w:rPr>
                <w:rFonts w:hint="eastAsia" w:ascii="宋体" w:hAnsi="宋体" w:cs="宋体"/>
                <w:color w:val="auto"/>
                <w:sz w:val="32"/>
                <w:lang w:val="en-US" w:eastAsia="zh-CN"/>
              </w:rPr>
              <w:t>五</w:t>
            </w:r>
            <w:r>
              <w:rPr>
                <w:rFonts w:hint="eastAsia" w:ascii="宋体" w:hAnsi="宋体" w:cs="宋体"/>
                <w:color w:val="auto"/>
                <w:sz w:val="32"/>
              </w:rPr>
              <w:t>年</w:t>
            </w:r>
            <w:r>
              <w:rPr>
                <w:rFonts w:ascii="宋体" w:hAnsi="宋体" w:cs="宋体"/>
                <w:color w:val="auto"/>
                <w:sz w:val="32"/>
              </w:rPr>
              <w:t xml:space="preserve">   </w:t>
            </w:r>
            <w:r>
              <w:rPr>
                <w:rFonts w:hint="eastAsia" w:ascii="宋体" w:hAnsi="宋体" w:cs="宋体"/>
                <w:color w:val="auto"/>
                <w:sz w:val="32"/>
              </w:rPr>
              <w:t>月</w:t>
            </w:r>
            <w:r>
              <w:rPr>
                <w:rFonts w:ascii="宋体" w:hAnsi="宋体" w:cs="宋体"/>
                <w:color w:val="auto"/>
                <w:sz w:val="32"/>
              </w:rPr>
              <w:t xml:space="preserve">   </w:t>
            </w:r>
            <w:r>
              <w:rPr>
                <w:rFonts w:hint="eastAsia" w:ascii="宋体" w:hAnsi="宋体" w:cs="宋体"/>
                <w:color w:val="auto"/>
                <w:sz w:val="32"/>
              </w:rPr>
              <w:t>日</w:t>
            </w:r>
            <w:r>
              <w:rPr>
                <w:rFonts w:ascii="宋体" w:hAnsi="宋体" w:cs="宋体"/>
                <w:b/>
                <w:color w:val="auto"/>
                <w:sz w:val="32"/>
                <w:szCs w:val="32"/>
              </w:rPr>
              <w:t xml:space="preserve"> </w:t>
            </w:r>
          </w:p>
        </w:tc>
      </w:t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tbl>
    <w:p w14:paraId="02134258">
      <w:pPr>
        <w:spacing w:line="420" w:lineRule="exact"/>
        <w:ind w:firstLine="0" w:firstLineChars="0"/>
        <w:jc w:val="both"/>
        <w:outlineLvl w:val="9"/>
        <w:rPr>
          <w:rFonts w:hint="eastAsia" w:ascii="宋体" w:hAnsi="宋体" w:cs="宋体"/>
          <w:b/>
          <w:color w:val="auto"/>
          <w:sz w:val="32"/>
          <w:szCs w:val="32"/>
        </w:rPr>
      </w:pPr>
      <w:bookmarkStart w:id="934" w:name="_Toc604"/>
      <w:bookmarkStart w:id="935" w:name="_Toc16833"/>
      <w:bookmarkStart w:id="936" w:name="_Toc10033"/>
      <w:bookmarkStart w:id="937" w:name="_Toc5538"/>
      <w:bookmarkStart w:id="938" w:name="_Toc28611"/>
      <w:bookmarkStart w:id="939" w:name="_Toc7350"/>
      <w:bookmarkStart w:id="940" w:name="_Toc4689"/>
      <w:bookmarkStart w:id="941" w:name="_Toc30554"/>
      <w:bookmarkStart w:id="942" w:name="_Toc28518"/>
      <w:bookmarkStart w:id="943" w:name="_Toc12354"/>
      <w:bookmarkStart w:id="944" w:name="_Toc29180"/>
      <w:bookmarkStart w:id="945" w:name="_Toc23053"/>
      <w:bookmarkStart w:id="946" w:name="_Toc32303"/>
      <w:bookmarkStart w:id="947" w:name="_Toc11308"/>
      <w:bookmarkStart w:id="948" w:name="_Toc2846"/>
      <w:bookmarkStart w:id="949" w:name="_Toc14603"/>
      <w:bookmarkStart w:id="950" w:name="_Toc9524"/>
      <w:bookmarkStart w:id="951" w:name="_Toc24445"/>
      <w:bookmarkStart w:id="952" w:name="_Toc21306"/>
      <w:bookmarkStart w:id="953" w:name="_Toc12360"/>
      <w:bookmarkStart w:id="954" w:name="_Toc4817"/>
      <w:bookmarkStart w:id="955" w:name="_Toc10307"/>
      <w:bookmarkStart w:id="956" w:name="_Toc17238"/>
      <w:bookmarkStart w:id="957" w:name="_Toc11529"/>
      <w:bookmarkStart w:id="958" w:name="_Toc22794"/>
      <w:bookmarkStart w:id="959" w:name="_Toc200"/>
      <w:bookmarkStart w:id="960" w:name="_Toc1326"/>
      <w:bookmarkStart w:id="961" w:name="_Toc29704"/>
      <w:bookmarkStart w:id="962" w:name="_Toc25875"/>
      <w:bookmarkStart w:id="963" w:name="_Toc376"/>
      <w:bookmarkStart w:id="964" w:name="_Toc6528"/>
      <w:bookmarkStart w:id="965" w:name="_Toc11828"/>
      <w:bookmarkStart w:id="966" w:name="_Toc19399"/>
      <w:bookmarkStart w:id="967" w:name="_Toc11509"/>
      <w:bookmarkStart w:id="968" w:name="_Toc12435"/>
      <w:bookmarkStart w:id="969" w:name="_Toc12744"/>
      <w:bookmarkStart w:id="970" w:name="_Toc16560"/>
      <w:bookmarkStart w:id="971" w:name="_Toc7080"/>
      <w:bookmarkStart w:id="972" w:name="_Toc12327"/>
      <w:bookmarkStart w:id="973" w:name="_Toc9088"/>
      <w:bookmarkStart w:id="974" w:name="_Toc17212"/>
      <w:bookmarkStart w:id="975" w:name="_Toc28264"/>
      <w:bookmarkStart w:id="976" w:name="_Toc18270"/>
      <w:bookmarkStart w:id="977" w:name="_Toc17640"/>
      <w:bookmarkStart w:id="978" w:name="_Toc3853"/>
      <w:bookmarkStart w:id="979" w:name="_Toc10659"/>
      <w:bookmarkStart w:id="980" w:name="_Toc8146"/>
      <w:bookmarkStart w:id="981" w:name="_Toc9488"/>
      <w:bookmarkStart w:id="982" w:name="_Toc17646"/>
      <w:bookmarkStart w:id="983" w:name="_Toc8049"/>
      <w:bookmarkStart w:id="984" w:name="_Toc7501"/>
      <w:bookmarkStart w:id="985" w:name="_Toc25770"/>
      <w:bookmarkStart w:id="986" w:name="_Toc25350"/>
      <w:bookmarkStart w:id="987" w:name="_Toc281"/>
      <w:bookmarkStart w:id="988" w:name="_Toc3014"/>
    </w:p>
    <w:p w14:paraId="63CD83C3">
      <w:pPr>
        <w:spacing w:line="420" w:lineRule="exact"/>
        <w:ind w:firstLine="0" w:firstLineChars="0"/>
        <w:jc w:val="center"/>
        <w:outlineLvl w:val="1"/>
        <w:rPr>
          <w:rFonts w:ascii="宋体" w:cs="宋体"/>
          <w:b/>
          <w:color w:val="auto"/>
          <w:sz w:val="32"/>
          <w:szCs w:val="32"/>
        </w:rPr>
      </w:pPr>
      <w:bookmarkStart w:id="989" w:name="_Toc7789"/>
      <w:bookmarkStart w:id="990" w:name="_Toc28085"/>
      <w:bookmarkStart w:id="991" w:name="_Toc5336"/>
      <w:bookmarkStart w:id="992" w:name="_Toc13206"/>
      <w:r>
        <w:rPr>
          <w:rFonts w:hint="eastAsia" w:ascii="宋体" w:hAnsi="宋体" w:cs="宋体"/>
          <w:b/>
          <w:color w:val="auto"/>
          <w:sz w:val="32"/>
          <w:szCs w:val="32"/>
        </w:rPr>
        <w:t>资格审查文件封面格式</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89"/>
      <w:bookmarkEnd w:id="990"/>
      <w:bookmarkEnd w:id="991"/>
      <w:bookmarkEnd w:id="992"/>
    </w:p>
    <w:p w14:paraId="3A9235A8">
      <w:pPr>
        <w:pStyle w:val="21"/>
        <w:spacing w:line="420" w:lineRule="exact"/>
        <w:ind w:left="120" w:leftChars="50" w:firstLine="3855" w:firstLineChars="1200"/>
        <w:jc w:val="left"/>
        <w:rPr>
          <w:rFonts w:ascii="宋体" w:hAnsi="宋体" w:eastAsia="宋体" w:cs="宋体"/>
          <w:color w:val="auto"/>
          <w:sz w:val="32"/>
        </w:rPr>
      </w:pPr>
    </w:p>
    <w:p w14:paraId="3BB30544">
      <w:pPr>
        <w:spacing w:line="420" w:lineRule="exact"/>
        <w:ind w:firstLine="640"/>
        <w:jc w:val="center"/>
        <w:rPr>
          <w:rFonts w:ascii="宋体" w:hAnsi="宋体" w:cs="宋体"/>
          <w:color w:val="auto"/>
          <w:sz w:val="32"/>
          <w:szCs w:val="32"/>
        </w:rPr>
      </w:pPr>
      <w:bookmarkStart w:id="993" w:name="_Toc23596"/>
      <w:bookmarkStart w:id="994" w:name="_Toc11140"/>
      <w:bookmarkStart w:id="995" w:name="_Toc10048"/>
      <w:bookmarkStart w:id="996" w:name="_Toc24406"/>
      <w:bookmarkStart w:id="997" w:name="_Toc15243"/>
      <w:bookmarkStart w:id="998" w:name="_Toc9383"/>
      <w:bookmarkStart w:id="999" w:name="_Toc12833"/>
      <w:bookmarkStart w:id="1000" w:name="_Toc11547"/>
      <w:bookmarkStart w:id="1001" w:name="_Toc3021"/>
      <w:bookmarkStart w:id="1002" w:name="_Toc2832"/>
      <w:bookmarkStart w:id="1003" w:name="_Toc23167"/>
      <w:bookmarkStart w:id="1004" w:name="_Toc23179"/>
      <w:bookmarkStart w:id="1005" w:name="_Toc17517"/>
    </w:p>
    <w:bookmarkEnd w:id="993"/>
    <w:bookmarkEnd w:id="994"/>
    <w:bookmarkEnd w:id="995"/>
    <w:bookmarkEnd w:id="996"/>
    <w:bookmarkEnd w:id="997"/>
    <w:bookmarkEnd w:id="998"/>
    <w:bookmarkEnd w:id="999"/>
    <w:bookmarkEnd w:id="1000"/>
    <w:bookmarkEnd w:id="1001"/>
    <w:bookmarkEnd w:id="1002"/>
    <w:bookmarkEnd w:id="1003"/>
    <w:bookmarkEnd w:id="1004"/>
    <w:bookmarkEnd w:id="1005"/>
    <w:p w14:paraId="51420C75">
      <w:pPr>
        <w:spacing w:line="420" w:lineRule="exact"/>
        <w:ind w:firstLine="883"/>
        <w:rPr>
          <w:rFonts w:ascii="宋体" w:cs="宋体"/>
          <w:b/>
          <w:color w:val="auto"/>
          <w:sz w:val="44"/>
          <w:szCs w:val="44"/>
        </w:rPr>
      </w:pPr>
    </w:p>
    <w:p w14:paraId="2BB692E7">
      <w:pPr>
        <w:ind w:firstLine="480"/>
        <w:rPr>
          <w:rFonts w:ascii="宋体" w:cs="宋体"/>
          <w:color w:val="auto"/>
        </w:rPr>
      </w:pPr>
    </w:p>
    <w:p w14:paraId="641CA32E">
      <w:pPr>
        <w:ind w:firstLine="480"/>
        <w:rPr>
          <w:color w:val="auto"/>
        </w:rPr>
      </w:pPr>
    </w:p>
    <w:p w14:paraId="1B5D8C28">
      <w:pPr>
        <w:spacing w:line="240" w:lineRule="auto"/>
        <w:ind w:firstLine="0" w:firstLineChars="0"/>
        <w:jc w:val="center"/>
        <w:rPr>
          <w:rFonts w:ascii="宋体" w:cs="宋体"/>
          <w:b/>
          <w:bCs/>
          <w:color w:val="auto"/>
          <w:sz w:val="72"/>
          <w:szCs w:val="72"/>
        </w:rPr>
      </w:pPr>
    </w:p>
    <w:p w14:paraId="4EC0E6ED">
      <w:pPr>
        <w:spacing w:line="240" w:lineRule="auto"/>
        <w:ind w:firstLine="0" w:firstLineChars="0"/>
        <w:jc w:val="center"/>
        <w:outlineLvl w:val="1"/>
        <w:rPr>
          <w:rFonts w:ascii="宋体" w:hAnsi="宋体" w:cs="宋体"/>
          <w:b/>
          <w:bCs/>
          <w:color w:val="auto"/>
          <w:sz w:val="72"/>
          <w:szCs w:val="72"/>
        </w:rPr>
      </w:pPr>
      <w:bookmarkStart w:id="1006" w:name="_Toc9615"/>
      <w:bookmarkStart w:id="1007" w:name="_Toc23683"/>
      <w:bookmarkStart w:id="1008" w:name="_Toc9452"/>
      <w:bookmarkStart w:id="1009" w:name="_Toc12971"/>
      <w:bookmarkStart w:id="1010" w:name="_Toc19225"/>
      <w:bookmarkStart w:id="1011" w:name="_Toc14388"/>
      <w:bookmarkStart w:id="1012" w:name="_Toc28487"/>
      <w:bookmarkStart w:id="1013" w:name="_Toc25155"/>
      <w:bookmarkStart w:id="1014" w:name="_Toc17103"/>
      <w:bookmarkStart w:id="1015" w:name="_Toc14717"/>
      <w:bookmarkStart w:id="1016" w:name="_Toc24965"/>
      <w:bookmarkStart w:id="1017" w:name="_Toc1203"/>
      <w:bookmarkStart w:id="1018" w:name="_Toc27148"/>
      <w:bookmarkStart w:id="1019" w:name="_Toc32422"/>
      <w:bookmarkStart w:id="1020" w:name="_Toc9382"/>
      <w:bookmarkStart w:id="1021" w:name="_Toc3356"/>
      <w:bookmarkStart w:id="1022" w:name="_Toc1266"/>
      <w:bookmarkStart w:id="1023" w:name="_Toc13778"/>
      <w:bookmarkStart w:id="1024" w:name="_Toc21130"/>
      <w:bookmarkStart w:id="1025" w:name="_Toc8823"/>
      <w:bookmarkStart w:id="1026" w:name="_Toc6549"/>
      <w:bookmarkStart w:id="1027" w:name="_Toc29862"/>
      <w:bookmarkStart w:id="1028" w:name="_Toc13471"/>
      <w:bookmarkStart w:id="1029" w:name="_Toc25413"/>
      <w:bookmarkStart w:id="1030" w:name="_Toc3004"/>
      <w:bookmarkStart w:id="1031" w:name="_Toc28094"/>
      <w:bookmarkStart w:id="1032" w:name="_Toc32671"/>
      <w:bookmarkStart w:id="1033" w:name="_Toc18988"/>
      <w:bookmarkStart w:id="1034" w:name="_Toc3909"/>
      <w:bookmarkStart w:id="1035" w:name="_Toc7385"/>
      <w:bookmarkStart w:id="1036" w:name="_Toc10973"/>
      <w:bookmarkStart w:id="1037" w:name="_Toc20980"/>
      <w:bookmarkStart w:id="1038" w:name="_Toc30482"/>
      <w:bookmarkStart w:id="1039" w:name="_Toc763"/>
      <w:bookmarkStart w:id="1040" w:name="_Toc3072"/>
      <w:bookmarkStart w:id="1041" w:name="_Toc6503"/>
      <w:bookmarkStart w:id="1042" w:name="_Toc20930"/>
      <w:bookmarkStart w:id="1043" w:name="_Toc22676"/>
      <w:bookmarkStart w:id="1044" w:name="_Toc1119"/>
      <w:bookmarkStart w:id="1045" w:name="_Toc7133"/>
      <w:bookmarkStart w:id="1046" w:name="_Toc1679"/>
      <w:r>
        <w:rPr>
          <w:rFonts w:hint="eastAsia" w:ascii="宋体" w:hAnsi="宋体" w:cs="宋体"/>
          <w:b/>
          <w:bCs/>
          <w:color w:val="auto"/>
          <w:sz w:val="72"/>
          <w:szCs w:val="72"/>
        </w:rPr>
        <w:t>资格审查文件</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0B7EED4">
      <w:pPr>
        <w:spacing w:line="240" w:lineRule="auto"/>
        <w:ind w:firstLine="883"/>
        <w:jc w:val="center"/>
        <w:rPr>
          <w:rFonts w:ascii="宋体" w:cs="宋体"/>
          <w:b/>
          <w:bCs/>
          <w:color w:val="auto"/>
          <w:sz w:val="44"/>
          <w:szCs w:val="44"/>
        </w:rPr>
      </w:pPr>
    </w:p>
    <w:p w14:paraId="2EEC8E05">
      <w:pPr>
        <w:ind w:firstLine="0" w:firstLineChars="0"/>
        <w:rPr>
          <w:rFonts w:ascii="宋体" w:cs="宋体"/>
          <w:color w:val="auto"/>
        </w:rPr>
      </w:pPr>
    </w:p>
    <w:p w14:paraId="02F56E42">
      <w:pPr>
        <w:pStyle w:val="16"/>
        <w:ind w:left="0" w:leftChars="0" w:firstLine="0" w:firstLineChars="0"/>
        <w:rPr>
          <w:color w:val="auto"/>
        </w:rPr>
      </w:pPr>
    </w:p>
    <w:p w14:paraId="6959B97E">
      <w:pPr>
        <w:pStyle w:val="17"/>
        <w:ind w:firstLine="210"/>
        <w:rPr>
          <w:color w:val="auto"/>
        </w:rPr>
      </w:pPr>
    </w:p>
    <w:p w14:paraId="5738E17E">
      <w:pPr>
        <w:pStyle w:val="17"/>
        <w:ind w:firstLine="0" w:firstLineChars="0"/>
        <w:rPr>
          <w:color w:val="auto"/>
        </w:rPr>
      </w:pPr>
    </w:p>
    <w:p w14:paraId="387CE51C">
      <w:pPr>
        <w:ind w:firstLine="480"/>
        <w:rPr>
          <w:color w:val="auto"/>
        </w:rPr>
      </w:pPr>
    </w:p>
    <w:p w14:paraId="127D6290">
      <w:pPr>
        <w:pStyle w:val="16"/>
        <w:ind w:firstLine="480"/>
        <w:rPr>
          <w:color w:val="auto"/>
        </w:rPr>
      </w:pPr>
    </w:p>
    <w:p w14:paraId="536A1A91">
      <w:pPr>
        <w:ind w:firstLine="0" w:firstLineChars="0"/>
        <w:rPr>
          <w:rFonts w:ascii="宋体" w:cs="宋体"/>
          <w:color w:val="auto"/>
        </w:rPr>
      </w:pPr>
    </w:p>
    <w:p w14:paraId="5F6EB9F4">
      <w:pPr>
        <w:pStyle w:val="2"/>
        <w:ind w:left="960" w:hanging="480"/>
        <w:rPr>
          <w:color w:val="auto"/>
        </w:rPr>
      </w:pPr>
    </w:p>
    <w:p w14:paraId="72FBAABA">
      <w:pPr>
        <w:spacing w:line="360" w:lineRule="auto"/>
        <w:ind w:firstLine="640"/>
        <w:rPr>
          <w:rFonts w:ascii="宋体" w:cs="宋体"/>
          <w:color w:val="auto"/>
          <w:sz w:val="32"/>
        </w:rPr>
      </w:pPr>
      <w:r>
        <w:rPr>
          <w:rFonts w:hint="eastAsia" w:ascii="宋体" w:hAnsi="宋体" w:cs="宋体"/>
          <w:color w:val="auto"/>
          <w:sz w:val="32"/>
        </w:rPr>
        <w:t>项目编号：</w:t>
      </w:r>
      <w:r>
        <w:rPr>
          <w:rFonts w:hint="eastAsia" w:ascii="宋体" w:hAnsi="宋体" w:cs="宋体"/>
          <w:color w:val="auto"/>
          <w:sz w:val="32"/>
          <w:u w:val="single"/>
          <w:lang w:eastAsia="zh-CN"/>
        </w:rPr>
        <w:t>ZJZHGL2025-005</w:t>
      </w:r>
      <w:r>
        <w:rPr>
          <w:rFonts w:ascii="宋体" w:hAnsi="宋体" w:cs="宋体"/>
          <w:color w:val="auto"/>
          <w:sz w:val="32"/>
          <w:u w:val="single"/>
        </w:rPr>
        <w:t xml:space="preserve">             </w:t>
      </w:r>
      <w:r>
        <w:rPr>
          <w:rFonts w:hint="eastAsia" w:ascii="宋体" w:hAnsi="宋体" w:cs="宋体"/>
          <w:color w:val="auto"/>
          <w:sz w:val="32"/>
          <w:u w:val="single"/>
          <w:lang w:val="en-US" w:eastAsia="zh-CN"/>
        </w:rPr>
        <w:t xml:space="preserve"> </w:t>
      </w:r>
      <w:r>
        <w:rPr>
          <w:rFonts w:ascii="宋体" w:hAnsi="宋体" w:cs="宋体"/>
          <w:color w:val="auto"/>
          <w:sz w:val="32"/>
          <w:u w:val="single"/>
        </w:rPr>
        <w:t xml:space="preserve">         </w:t>
      </w:r>
    </w:p>
    <w:p w14:paraId="246EF8CA">
      <w:pPr>
        <w:spacing w:line="360" w:lineRule="auto"/>
        <w:ind w:firstLine="640"/>
        <w:rPr>
          <w:rFonts w:ascii="宋体" w:cs="宋体"/>
          <w:color w:val="auto"/>
          <w:sz w:val="32"/>
          <w:u w:val="single"/>
        </w:rPr>
      </w:pPr>
      <w:r>
        <w:rPr>
          <w:rFonts w:hint="eastAsia" w:ascii="宋体" w:hAnsi="宋体" w:cs="宋体"/>
          <w:color w:val="auto"/>
          <w:sz w:val="32"/>
        </w:rPr>
        <w:t>投</w:t>
      </w:r>
      <w:r>
        <w:rPr>
          <w:rFonts w:ascii="宋体" w:hAnsi="宋体" w:cs="宋体"/>
          <w:color w:val="auto"/>
          <w:sz w:val="32"/>
        </w:rPr>
        <w:t xml:space="preserve"> </w:t>
      </w:r>
      <w:r>
        <w:rPr>
          <w:rFonts w:hint="eastAsia" w:ascii="宋体" w:hAnsi="宋体" w:cs="宋体"/>
          <w:color w:val="auto"/>
          <w:sz w:val="32"/>
        </w:rPr>
        <w:t>标</w:t>
      </w:r>
      <w:r>
        <w:rPr>
          <w:rFonts w:ascii="宋体" w:hAnsi="宋体" w:cs="宋体"/>
          <w:color w:val="auto"/>
          <w:sz w:val="32"/>
        </w:rPr>
        <w:t xml:space="preserve"> </w:t>
      </w:r>
      <w:r>
        <w:rPr>
          <w:rFonts w:hint="eastAsia" w:ascii="宋体" w:hAnsi="宋体" w:cs="宋体"/>
          <w:color w:val="auto"/>
          <w:sz w:val="32"/>
        </w:rPr>
        <w:t>人：</w:t>
      </w:r>
      <w:r>
        <w:rPr>
          <w:rFonts w:ascii="宋体" w:hAnsi="宋体" w:cs="宋体"/>
          <w:color w:val="auto"/>
          <w:sz w:val="32"/>
          <w:u w:val="single"/>
        </w:rPr>
        <w:t xml:space="preserve">        </w:t>
      </w:r>
      <w:r>
        <w:rPr>
          <w:rFonts w:hint="eastAsia" w:ascii="宋体" w:hAnsi="宋体" w:cs="宋体"/>
          <w:color w:val="auto"/>
          <w:sz w:val="32"/>
          <w:u w:val="single"/>
          <w:lang w:val="en-US" w:eastAsia="zh-CN"/>
        </w:rPr>
        <w:t xml:space="preserve">    </w:t>
      </w:r>
      <w:r>
        <w:rPr>
          <w:rFonts w:hint="eastAsia" w:ascii="宋体" w:hAnsi="宋体" w:cs="宋体"/>
          <w:color w:val="auto"/>
          <w:sz w:val="32"/>
          <w:u w:val="single"/>
        </w:rPr>
        <w:t>（全称）</w:t>
      </w:r>
      <w:r>
        <w:rPr>
          <w:rFonts w:hint="eastAsia" w:ascii="宋体" w:hAnsi="宋体" w:cs="宋体"/>
          <w:color w:val="auto"/>
          <w:sz w:val="32"/>
          <w:u w:val="single"/>
          <w:lang w:val="en-US" w:eastAsia="zh-CN"/>
        </w:rPr>
        <w:t xml:space="preserve">     </w:t>
      </w:r>
      <w:r>
        <w:rPr>
          <w:rFonts w:hint="eastAsia" w:ascii="宋体" w:hAnsi="宋体" w:cs="宋体"/>
          <w:color w:val="auto"/>
          <w:sz w:val="32"/>
          <w:u w:val="single"/>
        </w:rPr>
        <w:t>（加盖公章）</w:t>
      </w:r>
      <w:r>
        <w:rPr>
          <w:rFonts w:ascii="宋体" w:hAnsi="宋体" w:cs="宋体"/>
          <w:color w:val="auto"/>
          <w:sz w:val="32"/>
          <w:u w:val="none"/>
        </w:rPr>
        <w:t xml:space="preserve">          </w:t>
      </w:r>
    </w:p>
    <w:p w14:paraId="0363C7A9">
      <w:pPr>
        <w:spacing w:line="360" w:lineRule="auto"/>
        <w:ind w:firstLine="640"/>
        <w:rPr>
          <w:rFonts w:ascii="宋体" w:cs="宋体"/>
          <w:color w:val="auto"/>
          <w:sz w:val="32"/>
          <w:u w:val="single"/>
        </w:rPr>
      </w:pPr>
      <w:r>
        <w:rPr>
          <w:rFonts w:hint="eastAsia" w:ascii="宋体" w:hAnsi="宋体" w:cs="宋体"/>
          <w:color w:val="auto"/>
          <w:sz w:val="32"/>
        </w:rPr>
        <w:t>法定代表人或授权代表人</w:t>
      </w:r>
      <w:r>
        <w:rPr>
          <w:rFonts w:hint="eastAsia" w:ascii="宋体" w:hAnsi="宋体" w:cs="宋体"/>
          <w:color w:val="auto"/>
          <w:sz w:val="32"/>
          <w:lang w:eastAsia="zh-CN"/>
        </w:rPr>
        <w:t>（</w:t>
      </w:r>
      <w:r>
        <w:rPr>
          <w:rFonts w:hint="eastAsia" w:ascii="宋体" w:hAnsi="宋体" w:cs="宋体"/>
          <w:color w:val="auto"/>
          <w:sz w:val="32"/>
        </w:rPr>
        <w:t>签字或盖章</w:t>
      </w:r>
      <w:r>
        <w:rPr>
          <w:rFonts w:hint="eastAsia" w:ascii="宋体" w:hAnsi="宋体" w:cs="宋体"/>
          <w:color w:val="auto"/>
          <w:sz w:val="32"/>
          <w:lang w:eastAsia="zh-CN"/>
        </w:rPr>
        <w:t>）</w:t>
      </w:r>
      <w:r>
        <w:rPr>
          <w:rFonts w:hint="eastAsia" w:ascii="宋体" w:hAnsi="宋体" w:cs="宋体"/>
          <w:color w:val="auto"/>
          <w:sz w:val="32"/>
        </w:rPr>
        <w:t>：</w:t>
      </w:r>
    </w:p>
    <w:p w14:paraId="41EA5DF4">
      <w:pPr>
        <w:spacing w:line="360" w:lineRule="auto"/>
        <w:ind w:firstLine="640"/>
        <w:rPr>
          <w:rFonts w:ascii="宋体" w:cs="宋体"/>
          <w:color w:val="auto"/>
          <w:sz w:val="32"/>
          <w:u w:val="single"/>
        </w:rPr>
      </w:pPr>
      <w:r>
        <w:rPr>
          <w:rFonts w:hint="eastAsia" w:ascii="宋体" w:hAnsi="宋体" w:cs="宋体"/>
          <w:color w:val="auto"/>
          <w:sz w:val="32"/>
        </w:rPr>
        <w:t>投标人地址：</w:t>
      </w:r>
    </w:p>
    <w:p w14:paraId="796F8927">
      <w:pPr>
        <w:spacing w:line="360" w:lineRule="auto"/>
        <w:ind w:firstLine="0" w:firstLineChars="0"/>
        <w:jc w:val="center"/>
        <w:rPr>
          <w:rFonts w:hint="eastAsia" w:ascii="宋体" w:hAnsi="宋体" w:cs="宋体"/>
          <w:color w:val="auto"/>
          <w:sz w:val="32"/>
        </w:rPr>
      </w:pPr>
    </w:p>
    <w:p w14:paraId="582AB27F">
      <w:pPr>
        <w:spacing w:line="360" w:lineRule="auto"/>
        <w:ind w:firstLine="0" w:firstLineChars="0"/>
        <w:jc w:val="center"/>
        <w:rPr>
          <w:rFonts w:ascii="宋体" w:hAnsi="宋体" w:cs="宋体"/>
          <w:color w:val="auto"/>
          <w:sz w:val="32"/>
        </w:rPr>
      </w:pPr>
      <w:r>
        <w:rPr>
          <w:rFonts w:hint="eastAsia" w:ascii="宋体" w:hAnsi="宋体" w:cs="宋体"/>
          <w:color w:val="auto"/>
          <w:sz w:val="32"/>
        </w:rPr>
        <w:t>二〇二</w:t>
      </w:r>
      <w:r>
        <w:rPr>
          <w:rFonts w:hint="eastAsia" w:ascii="宋体" w:hAnsi="宋体" w:cs="宋体"/>
          <w:color w:val="auto"/>
          <w:sz w:val="32"/>
          <w:lang w:val="en-US" w:eastAsia="zh-CN"/>
        </w:rPr>
        <w:t>五</w:t>
      </w:r>
      <w:r>
        <w:rPr>
          <w:rFonts w:hint="eastAsia" w:ascii="宋体" w:hAnsi="宋体" w:cs="宋体"/>
          <w:color w:val="auto"/>
          <w:sz w:val="32"/>
        </w:rPr>
        <w:t>年</w:t>
      </w:r>
      <w:r>
        <w:rPr>
          <w:rFonts w:ascii="宋体" w:hAnsi="宋体" w:cs="宋体"/>
          <w:color w:val="auto"/>
          <w:sz w:val="32"/>
        </w:rPr>
        <w:t xml:space="preserve">   </w:t>
      </w:r>
      <w:r>
        <w:rPr>
          <w:rFonts w:hint="eastAsia" w:ascii="宋体" w:hAnsi="宋体" w:cs="宋体"/>
          <w:color w:val="auto"/>
          <w:sz w:val="32"/>
        </w:rPr>
        <w:t>月</w:t>
      </w:r>
      <w:r>
        <w:rPr>
          <w:rFonts w:ascii="宋体" w:hAnsi="宋体" w:cs="宋体"/>
          <w:color w:val="auto"/>
          <w:sz w:val="32"/>
        </w:rPr>
        <w:t xml:space="preserve">   </w:t>
      </w:r>
      <w:r>
        <w:rPr>
          <w:rFonts w:hint="eastAsia" w:ascii="宋体" w:hAnsi="宋体" w:cs="宋体"/>
          <w:color w:val="auto"/>
          <w:sz w:val="32"/>
        </w:rPr>
        <w:t>日</w:t>
      </w:r>
      <w:bookmarkStart w:id="1047" w:name="_Toc30078"/>
      <w:bookmarkStart w:id="1048" w:name="_Toc11131"/>
      <w:bookmarkStart w:id="1049" w:name="_Toc32566"/>
      <w:bookmarkStart w:id="1050" w:name="_Toc5390"/>
      <w:bookmarkStart w:id="1051" w:name="_Toc5606"/>
      <w:bookmarkStart w:id="1052" w:name="_Toc32139"/>
      <w:bookmarkStart w:id="1053" w:name="_Toc11776"/>
      <w:bookmarkStart w:id="1054" w:name="_Toc8060"/>
      <w:bookmarkStart w:id="1055" w:name="_Toc19203"/>
      <w:bookmarkStart w:id="1056" w:name="_Toc8186"/>
      <w:bookmarkStart w:id="1057" w:name="_Toc4899"/>
      <w:bookmarkStart w:id="1058" w:name="_Toc6738"/>
      <w:bookmarkStart w:id="1059" w:name="_Toc15895"/>
      <w:bookmarkStart w:id="1060" w:name="_Toc17197"/>
      <w:bookmarkStart w:id="1061" w:name="_Toc17940_WPSOffice_Level1"/>
      <w:bookmarkStart w:id="1062" w:name="_Toc29011"/>
      <w:bookmarkStart w:id="1063" w:name="_Toc7492_WPSOffice_Level1"/>
      <w:bookmarkStart w:id="1064" w:name="_Toc4948_WPSOffice_Level1"/>
    </w:p>
    <w:p w14:paraId="3F90DEE4">
      <w:pPr>
        <w:ind w:firstLine="0" w:firstLineChars="0"/>
        <w:jc w:val="left"/>
        <w:outlineLvl w:val="1"/>
        <w:rPr>
          <w:rFonts w:ascii="宋体" w:cs="宋体"/>
          <w:b/>
          <w:bCs/>
          <w:color w:val="auto"/>
        </w:rPr>
      </w:pPr>
      <w:bookmarkStart w:id="1065" w:name="_Toc10122"/>
      <w:bookmarkStart w:id="1066" w:name="_Toc9011"/>
      <w:bookmarkStart w:id="1067" w:name="_Toc12249"/>
      <w:bookmarkStart w:id="1068" w:name="_Toc20081"/>
      <w:bookmarkStart w:id="1069" w:name="_Toc20500"/>
      <w:bookmarkStart w:id="1070" w:name="_Toc24235"/>
      <w:bookmarkStart w:id="1071" w:name="_Toc12291"/>
      <w:bookmarkStart w:id="1072" w:name="_Toc20801"/>
      <w:bookmarkStart w:id="1073" w:name="_Toc21837"/>
      <w:bookmarkStart w:id="1074" w:name="_Toc7719"/>
      <w:bookmarkStart w:id="1075" w:name="_Toc17387"/>
      <w:bookmarkStart w:id="1076" w:name="_Toc8034"/>
      <w:bookmarkStart w:id="1077" w:name="_Toc20539"/>
      <w:bookmarkStart w:id="1078" w:name="_Toc29376"/>
      <w:bookmarkStart w:id="1079" w:name="_Toc8370"/>
      <w:bookmarkStart w:id="1080" w:name="_Toc444"/>
      <w:bookmarkStart w:id="1081" w:name="_Toc17255"/>
      <w:bookmarkStart w:id="1082" w:name="_Toc1232"/>
      <w:bookmarkStart w:id="1083" w:name="_Toc7464"/>
      <w:bookmarkStart w:id="1084" w:name="_Toc5796"/>
      <w:bookmarkStart w:id="1085" w:name="_Toc11906"/>
      <w:bookmarkStart w:id="1086" w:name="_Toc213"/>
      <w:bookmarkStart w:id="1087" w:name="_Toc12011"/>
      <w:bookmarkStart w:id="1088" w:name="_Toc10995"/>
      <w:bookmarkStart w:id="1089" w:name="_Toc28787"/>
      <w:bookmarkStart w:id="1090" w:name="_Toc8510"/>
      <w:bookmarkStart w:id="1091" w:name="_Toc4036"/>
      <w:bookmarkStart w:id="1092" w:name="_Toc4371"/>
      <w:bookmarkStart w:id="1093" w:name="_Toc32042"/>
      <w:bookmarkStart w:id="1094" w:name="_Toc30313"/>
      <w:r>
        <w:rPr>
          <w:rFonts w:hint="eastAsia" w:ascii="宋体" w:hAnsi="宋体" w:cs="宋体"/>
          <w:b/>
          <w:bCs/>
          <w:color w:val="auto"/>
        </w:rPr>
        <w:t>附件</w:t>
      </w:r>
      <w:r>
        <w:rPr>
          <w:rFonts w:ascii="宋体" w:hAnsi="宋体" w:cs="宋体"/>
          <w:b/>
          <w:bCs/>
          <w:color w:val="auto"/>
        </w:rPr>
        <w:t>1</w:t>
      </w:r>
      <w:bookmarkEnd w:id="1047"/>
      <w:bookmarkEnd w:id="1048"/>
      <w:bookmarkEnd w:id="1049"/>
      <w:bookmarkEnd w:id="1050"/>
      <w:bookmarkEnd w:id="1051"/>
      <w:bookmarkEnd w:id="1052"/>
      <w:bookmarkEnd w:id="1053"/>
      <w:bookmarkEnd w:id="1054"/>
      <w:bookmarkEnd w:id="1055"/>
      <w:bookmarkEnd w:id="1056"/>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5FEC50B3">
      <w:pPr>
        <w:ind w:firstLine="0" w:firstLineChars="0"/>
        <w:jc w:val="center"/>
        <w:rPr>
          <w:b/>
          <w:bCs/>
          <w:color w:val="auto"/>
          <w:sz w:val="30"/>
          <w:szCs w:val="30"/>
          <w:lang w:val="en-GB"/>
        </w:rPr>
      </w:pPr>
      <w:r>
        <w:rPr>
          <w:rFonts w:hint="eastAsia"/>
          <w:b/>
          <w:bCs/>
          <w:color w:val="auto"/>
          <w:sz w:val="30"/>
          <w:szCs w:val="30"/>
          <w:lang w:val="en-GB"/>
        </w:rPr>
        <w:t>投标人基本情况表</w:t>
      </w:r>
    </w:p>
    <w:tbl>
      <w:tblPr>
        <w:tblStyle w:val="36"/>
        <w:tblW w:w="97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36"/>
        <w:gridCol w:w="1189"/>
        <w:gridCol w:w="1353"/>
        <w:gridCol w:w="742"/>
        <w:gridCol w:w="543"/>
        <w:gridCol w:w="1281"/>
        <w:gridCol w:w="1101"/>
        <w:gridCol w:w="1814"/>
      </w:tblGrid>
      <w:tr w14:paraId="2CEC11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EF51109">
            <w:pPr>
              <w:snapToGrid w:val="0"/>
              <w:spacing w:line="240" w:lineRule="auto"/>
              <w:ind w:firstLine="0" w:firstLineChars="0"/>
              <w:jc w:val="left"/>
              <w:rPr>
                <w:color w:val="auto"/>
              </w:rPr>
            </w:pPr>
            <w:r>
              <w:rPr>
                <w:rFonts w:hint="eastAsia"/>
                <w:color w:val="auto"/>
              </w:rPr>
              <w:t>投标人名称</w:t>
            </w:r>
          </w:p>
        </w:tc>
        <w:tc>
          <w:tcPr>
            <w:tcW w:w="8023" w:type="dxa"/>
            <w:gridSpan w:val="7"/>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3A619D6">
            <w:pPr>
              <w:snapToGrid w:val="0"/>
              <w:spacing w:line="240" w:lineRule="auto"/>
              <w:ind w:firstLine="480"/>
              <w:rPr>
                <w:color w:val="auto"/>
              </w:rPr>
            </w:pPr>
          </w:p>
        </w:tc>
      </w:tr>
      <w:tr w14:paraId="79F75B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1919CC8E">
            <w:pPr>
              <w:snapToGrid w:val="0"/>
              <w:spacing w:line="240" w:lineRule="auto"/>
              <w:ind w:firstLine="0" w:firstLineChars="0"/>
              <w:jc w:val="left"/>
              <w:rPr>
                <w:color w:val="auto"/>
              </w:rPr>
            </w:pPr>
            <w:r>
              <w:rPr>
                <w:rFonts w:hint="eastAsia"/>
                <w:color w:val="auto"/>
              </w:rPr>
              <w:t>注册地址</w:t>
            </w:r>
          </w:p>
        </w:tc>
        <w:tc>
          <w:tcPr>
            <w:tcW w:w="3827" w:type="dxa"/>
            <w:gridSpan w:val="4"/>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0B4ACAC4">
            <w:pPr>
              <w:snapToGrid w:val="0"/>
              <w:spacing w:line="240" w:lineRule="auto"/>
              <w:ind w:firstLine="480"/>
              <w:rPr>
                <w:color w:val="auto"/>
              </w:rPr>
            </w:pPr>
          </w:p>
        </w:tc>
        <w:tc>
          <w:tcPr>
            <w:tcW w:w="1281"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2E18EB21">
            <w:pPr>
              <w:snapToGrid w:val="0"/>
              <w:spacing w:line="240" w:lineRule="auto"/>
              <w:ind w:firstLine="0" w:firstLineChars="0"/>
              <w:rPr>
                <w:color w:val="auto"/>
              </w:rPr>
            </w:pPr>
            <w:r>
              <w:rPr>
                <w:rFonts w:hint="eastAsia"/>
                <w:color w:val="auto"/>
              </w:rPr>
              <w:t>邮政编码</w:t>
            </w:r>
          </w:p>
        </w:tc>
        <w:tc>
          <w:tcPr>
            <w:tcW w:w="291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63CA151A">
            <w:pPr>
              <w:snapToGrid w:val="0"/>
              <w:spacing w:line="240" w:lineRule="auto"/>
              <w:ind w:firstLine="480"/>
              <w:rPr>
                <w:color w:val="auto"/>
              </w:rPr>
            </w:pPr>
          </w:p>
        </w:tc>
      </w:tr>
      <w:tr w14:paraId="18F569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736" w:type="dxa"/>
            <w:vMerge w:val="restart"/>
            <w:tcBorders>
              <w:top w:val="single" w:color="auto" w:sz="4" w:space="0"/>
              <w:left w:val="single" w:color="auto" w:sz="4" w:space="0"/>
              <w:right w:val="single" w:color="auto" w:sz="4" w:space="0"/>
            </w:tcBorders>
            <w:tcMar>
              <w:top w:w="113" w:type="dxa"/>
              <w:left w:w="108" w:type="dxa"/>
              <w:bottom w:w="113" w:type="dxa"/>
              <w:right w:w="108" w:type="dxa"/>
            </w:tcMar>
            <w:vAlign w:val="center"/>
          </w:tcPr>
          <w:p w14:paraId="0E7383D2">
            <w:pPr>
              <w:snapToGrid w:val="0"/>
              <w:spacing w:line="240" w:lineRule="auto"/>
              <w:ind w:firstLine="0" w:firstLineChars="0"/>
              <w:jc w:val="left"/>
              <w:rPr>
                <w:color w:val="auto"/>
              </w:rPr>
            </w:pPr>
            <w:r>
              <w:rPr>
                <w:rFonts w:hint="eastAsia"/>
                <w:color w:val="auto"/>
              </w:rPr>
              <w:t>联系方式</w:t>
            </w:r>
          </w:p>
        </w:tc>
        <w:tc>
          <w:tcPr>
            <w:tcW w:w="1189"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1CE7FBD8">
            <w:pPr>
              <w:snapToGrid w:val="0"/>
              <w:spacing w:line="240" w:lineRule="auto"/>
              <w:ind w:firstLine="0" w:firstLineChars="0"/>
              <w:jc w:val="left"/>
              <w:rPr>
                <w:color w:val="auto"/>
              </w:rPr>
            </w:pPr>
            <w:r>
              <w:rPr>
                <w:rFonts w:hint="eastAsia"/>
                <w:color w:val="auto"/>
              </w:rPr>
              <w:t>联 系 人</w:t>
            </w:r>
          </w:p>
        </w:tc>
        <w:tc>
          <w:tcPr>
            <w:tcW w:w="2638" w:type="dxa"/>
            <w:gridSpan w:val="3"/>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5E90319B">
            <w:pPr>
              <w:snapToGrid w:val="0"/>
              <w:spacing w:line="240" w:lineRule="auto"/>
              <w:ind w:firstLine="0" w:firstLineChars="0"/>
              <w:jc w:val="left"/>
              <w:rPr>
                <w:color w:val="auto"/>
              </w:rPr>
            </w:pPr>
          </w:p>
        </w:tc>
        <w:tc>
          <w:tcPr>
            <w:tcW w:w="1281"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4A5ABDAB">
            <w:pPr>
              <w:snapToGrid w:val="0"/>
              <w:spacing w:line="240" w:lineRule="auto"/>
              <w:ind w:firstLine="0" w:firstLineChars="0"/>
              <w:jc w:val="left"/>
              <w:rPr>
                <w:color w:val="auto"/>
              </w:rPr>
            </w:pPr>
            <w:r>
              <w:rPr>
                <w:rFonts w:hint="eastAsia"/>
                <w:color w:val="auto"/>
              </w:rPr>
              <w:t>电    话</w:t>
            </w:r>
          </w:p>
        </w:tc>
        <w:tc>
          <w:tcPr>
            <w:tcW w:w="291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47F56DE6">
            <w:pPr>
              <w:snapToGrid w:val="0"/>
              <w:spacing w:line="240" w:lineRule="auto"/>
              <w:ind w:firstLine="0" w:firstLineChars="0"/>
              <w:jc w:val="left"/>
              <w:rPr>
                <w:color w:val="auto"/>
              </w:rPr>
            </w:pPr>
          </w:p>
        </w:tc>
      </w:tr>
      <w:tr w14:paraId="50826B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736" w:type="dxa"/>
            <w:vMerge w:val="continue"/>
            <w:tcBorders>
              <w:left w:val="single" w:color="auto" w:sz="4" w:space="0"/>
              <w:right w:val="single" w:color="auto" w:sz="4" w:space="0"/>
            </w:tcBorders>
            <w:tcMar>
              <w:top w:w="113" w:type="dxa"/>
              <w:left w:w="108" w:type="dxa"/>
              <w:bottom w:w="113" w:type="dxa"/>
              <w:right w:w="108" w:type="dxa"/>
            </w:tcMar>
            <w:vAlign w:val="center"/>
          </w:tcPr>
          <w:p w14:paraId="4EE9A91B">
            <w:pPr>
              <w:snapToGrid w:val="0"/>
              <w:spacing w:line="240" w:lineRule="auto"/>
              <w:ind w:firstLine="480"/>
              <w:jc w:val="left"/>
              <w:rPr>
                <w:color w:val="auto"/>
              </w:rPr>
            </w:pPr>
          </w:p>
        </w:tc>
        <w:tc>
          <w:tcPr>
            <w:tcW w:w="1189"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303D65F8">
            <w:pPr>
              <w:snapToGrid w:val="0"/>
              <w:spacing w:line="240" w:lineRule="auto"/>
              <w:ind w:firstLine="0" w:firstLineChars="0"/>
              <w:jc w:val="left"/>
              <w:rPr>
                <w:color w:val="auto"/>
              </w:rPr>
            </w:pPr>
            <w:r>
              <w:rPr>
                <w:rFonts w:hint="eastAsia"/>
                <w:color w:val="auto"/>
              </w:rPr>
              <w:t>传    真</w:t>
            </w:r>
          </w:p>
        </w:tc>
        <w:tc>
          <w:tcPr>
            <w:tcW w:w="2638" w:type="dxa"/>
            <w:gridSpan w:val="3"/>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63AA2CE2">
            <w:pPr>
              <w:snapToGrid w:val="0"/>
              <w:spacing w:line="240" w:lineRule="auto"/>
              <w:ind w:firstLine="0" w:firstLineChars="0"/>
              <w:jc w:val="left"/>
              <w:rPr>
                <w:color w:val="auto"/>
              </w:rPr>
            </w:pPr>
          </w:p>
        </w:tc>
        <w:tc>
          <w:tcPr>
            <w:tcW w:w="1281"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2A7C3E45">
            <w:pPr>
              <w:snapToGrid w:val="0"/>
              <w:spacing w:line="240" w:lineRule="auto"/>
              <w:ind w:firstLine="0" w:firstLineChars="0"/>
              <w:jc w:val="left"/>
              <w:rPr>
                <w:color w:val="auto"/>
              </w:rPr>
            </w:pPr>
            <w:r>
              <w:rPr>
                <w:rFonts w:hint="eastAsia"/>
                <w:color w:val="auto"/>
              </w:rPr>
              <w:t>移动电话</w:t>
            </w:r>
          </w:p>
        </w:tc>
        <w:tc>
          <w:tcPr>
            <w:tcW w:w="291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35991588">
            <w:pPr>
              <w:snapToGrid w:val="0"/>
              <w:spacing w:line="240" w:lineRule="auto"/>
              <w:ind w:firstLine="0" w:firstLineChars="0"/>
              <w:jc w:val="left"/>
              <w:rPr>
                <w:color w:val="auto"/>
              </w:rPr>
            </w:pPr>
          </w:p>
        </w:tc>
      </w:tr>
      <w:tr w14:paraId="5402AB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736" w:type="dxa"/>
            <w:vMerge w:val="continue"/>
            <w:tcBorders>
              <w:left w:val="single" w:color="auto" w:sz="4" w:space="0"/>
              <w:bottom w:val="single" w:color="auto" w:sz="4" w:space="0"/>
              <w:right w:val="single" w:color="auto" w:sz="4" w:space="0"/>
            </w:tcBorders>
            <w:tcMar>
              <w:top w:w="113" w:type="dxa"/>
              <w:left w:w="108" w:type="dxa"/>
              <w:bottom w:w="113" w:type="dxa"/>
              <w:right w:w="108" w:type="dxa"/>
            </w:tcMar>
            <w:vAlign w:val="center"/>
          </w:tcPr>
          <w:p w14:paraId="5B660225">
            <w:pPr>
              <w:snapToGrid w:val="0"/>
              <w:spacing w:line="240" w:lineRule="auto"/>
              <w:ind w:firstLine="480"/>
              <w:jc w:val="left"/>
              <w:rPr>
                <w:color w:val="auto"/>
              </w:rPr>
            </w:pPr>
          </w:p>
        </w:tc>
        <w:tc>
          <w:tcPr>
            <w:tcW w:w="1189"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0C6A346F">
            <w:pPr>
              <w:snapToGrid w:val="0"/>
              <w:spacing w:line="240" w:lineRule="auto"/>
              <w:ind w:firstLine="0" w:firstLineChars="0"/>
              <w:jc w:val="left"/>
              <w:rPr>
                <w:color w:val="auto"/>
              </w:rPr>
            </w:pPr>
            <w:r>
              <w:rPr>
                <w:rFonts w:hint="eastAsia"/>
                <w:color w:val="auto"/>
              </w:rPr>
              <w:t>电子邮箱</w:t>
            </w:r>
          </w:p>
        </w:tc>
        <w:tc>
          <w:tcPr>
            <w:tcW w:w="2638" w:type="dxa"/>
            <w:gridSpan w:val="3"/>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3E924E00">
            <w:pPr>
              <w:snapToGrid w:val="0"/>
              <w:spacing w:line="240" w:lineRule="auto"/>
              <w:ind w:firstLine="0" w:firstLineChars="0"/>
              <w:jc w:val="left"/>
              <w:rPr>
                <w:color w:val="auto"/>
              </w:rPr>
            </w:pPr>
          </w:p>
        </w:tc>
        <w:tc>
          <w:tcPr>
            <w:tcW w:w="1281"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083B169B">
            <w:pPr>
              <w:snapToGrid w:val="0"/>
              <w:spacing w:line="240" w:lineRule="auto"/>
              <w:ind w:firstLine="0" w:firstLineChars="0"/>
              <w:jc w:val="left"/>
              <w:rPr>
                <w:color w:val="auto"/>
              </w:rPr>
            </w:pPr>
            <w:r>
              <w:rPr>
                <w:rFonts w:hint="eastAsia"/>
                <w:color w:val="auto"/>
              </w:rPr>
              <w:t>网    址</w:t>
            </w:r>
          </w:p>
        </w:tc>
        <w:tc>
          <w:tcPr>
            <w:tcW w:w="291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5FFBDF13">
            <w:pPr>
              <w:snapToGrid w:val="0"/>
              <w:spacing w:line="240" w:lineRule="auto"/>
              <w:ind w:firstLine="0" w:firstLineChars="0"/>
              <w:jc w:val="left"/>
              <w:rPr>
                <w:color w:val="auto"/>
              </w:rPr>
            </w:pPr>
          </w:p>
        </w:tc>
      </w:tr>
      <w:tr w14:paraId="7CF02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5AAEC5A1">
            <w:pPr>
              <w:snapToGrid w:val="0"/>
              <w:spacing w:line="240" w:lineRule="auto"/>
              <w:ind w:firstLine="0" w:firstLineChars="0"/>
              <w:jc w:val="left"/>
              <w:rPr>
                <w:color w:val="auto"/>
              </w:rPr>
            </w:pPr>
            <w:r>
              <w:rPr>
                <w:rFonts w:hint="eastAsia"/>
                <w:color w:val="auto"/>
              </w:rPr>
              <w:t>组织结构</w:t>
            </w:r>
          </w:p>
        </w:tc>
        <w:tc>
          <w:tcPr>
            <w:tcW w:w="8023" w:type="dxa"/>
            <w:gridSpan w:val="7"/>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40CB30A6">
            <w:pPr>
              <w:snapToGrid w:val="0"/>
              <w:spacing w:line="240" w:lineRule="auto"/>
              <w:ind w:firstLine="0" w:firstLineChars="0"/>
              <w:jc w:val="left"/>
              <w:rPr>
                <w:color w:val="auto"/>
              </w:rPr>
            </w:pPr>
          </w:p>
        </w:tc>
      </w:tr>
      <w:tr w14:paraId="7B2665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458E188F">
            <w:pPr>
              <w:snapToGrid w:val="0"/>
              <w:spacing w:line="240" w:lineRule="auto"/>
              <w:ind w:firstLine="0" w:firstLineChars="0"/>
              <w:jc w:val="left"/>
              <w:rPr>
                <w:color w:val="auto"/>
              </w:rPr>
            </w:pPr>
            <w:r>
              <w:rPr>
                <w:rFonts w:hint="eastAsia"/>
                <w:color w:val="auto"/>
              </w:rPr>
              <w:t>法定代表人</w:t>
            </w:r>
          </w:p>
        </w:tc>
        <w:tc>
          <w:tcPr>
            <w:tcW w:w="1189"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014FAAEE">
            <w:pPr>
              <w:snapToGrid w:val="0"/>
              <w:spacing w:line="240" w:lineRule="auto"/>
              <w:ind w:firstLine="0" w:firstLineChars="0"/>
              <w:jc w:val="left"/>
              <w:rPr>
                <w:color w:val="auto"/>
              </w:rPr>
            </w:pPr>
            <w:r>
              <w:rPr>
                <w:rFonts w:hint="eastAsia"/>
                <w:color w:val="auto"/>
              </w:rPr>
              <w:t>姓    名</w:t>
            </w:r>
          </w:p>
        </w:tc>
        <w:tc>
          <w:tcPr>
            <w:tcW w:w="1353"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0B8525FA">
            <w:pPr>
              <w:snapToGrid w:val="0"/>
              <w:spacing w:line="240" w:lineRule="auto"/>
              <w:ind w:firstLine="0" w:firstLineChars="0"/>
              <w:jc w:val="left"/>
              <w:rPr>
                <w:color w:val="auto"/>
              </w:rPr>
            </w:pPr>
          </w:p>
        </w:tc>
        <w:tc>
          <w:tcPr>
            <w:tcW w:w="128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AE26CB9">
            <w:pPr>
              <w:snapToGrid w:val="0"/>
              <w:spacing w:line="240" w:lineRule="auto"/>
              <w:ind w:firstLine="0" w:firstLineChars="0"/>
              <w:jc w:val="left"/>
              <w:rPr>
                <w:color w:val="auto"/>
              </w:rPr>
            </w:pPr>
            <w:r>
              <w:rPr>
                <w:rFonts w:hint="eastAsia"/>
                <w:color w:val="auto"/>
              </w:rPr>
              <w:t>技术职称</w:t>
            </w:r>
          </w:p>
        </w:tc>
        <w:tc>
          <w:tcPr>
            <w:tcW w:w="1281"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65F7F23F">
            <w:pPr>
              <w:snapToGrid w:val="0"/>
              <w:spacing w:line="240" w:lineRule="auto"/>
              <w:ind w:firstLine="0" w:firstLineChars="0"/>
              <w:jc w:val="left"/>
              <w:rPr>
                <w:color w:val="auto"/>
              </w:rPr>
            </w:pPr>
          </w:p>
        </w:tc>
        <w:tc>
          <w:tcPr>
            <w:tcW w:w="1101"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2998F57F">
            <w:pPr>
              <w:snapToGrid w:val="0"/>
              <w:spacing w:line="240" w:lineRule="auto"/>
              <w:ind w:firstLine="0" w:firstLineChars="0"/>
              <w:jc w:val="left"/>
              <w:rPr>
                <w:color w:val="auto"/>
              </w:rPr>
            </w:pPr>
            <w:r>
              <w:rPr>
                <w:rFonts w:hint="eastAsia"/>
                <w:color w:val="auto"/>
              </w:rPr>
              <w:t>电   话</w:t>
            </w:r>
          </w:p>
        </w:tc>
        <w:tc>
          <w:tcPr>
            <w:tcW w:w="1814"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22CAE414">
            <w:pPr>
              <w:snapToGrid w:val="0"/>
              <w:spacing w:line="240" w:lineRule="auto"/>
              <w:ind w:firstLine="0" w:firstLineChars="0"/>
              <w:jc w:val="left"/>
              <w:rPr>
                <w:color w:val="auto"/>
              </w:rPr>
            </w:pPr>
          </w:p>
        </w:tc>
      </w:tr>
      <w:tr w14:paraId="521E9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2730584">
            <w:pPr>
              <w:snapToGrid w:val="0"/>
              <w:spacing w:line="240" w:lineRule="auto"/>
              <w:ind w:firstLine="0" w:firstLineChars="0"/>
              <w:jc w:val="left"/>
              <w:rPr>
                <w:color w:val="auto"/>
              </w:rPr>
            </w:pPr>
            <w:r>
              <w:rPr>
                <w:rFonts w:hint="eastAsia"/>
                <w:color w:val="auto"/>
              </w:rPr>
              <w:t>技术负责人</w:t>
            </w:r>
          </w:p>
        </w:tc>
        <w:tc>
          <w:tcPr>
            <w:tcW w:w="1189"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A4351C0">
            <w:pPr>
              <w:snapToGrid w:val="0"/>
              <w:spacing w:line="240" w:lineRule="auto"/>
              <w:ind w:firstLine="0" w:firstLineChars="0"/>
              <w:jc w:val="left"/>
              <w:rPr>
                <w:color w:val="auto"/>
              </w:rPr>
            </w:pPr>
            <w:r>
              <w:rPr>
                <w:rFonts w:hint="eastAsia"/>
                <w:color w:val="auto"/>
              </w:rPr>
              <w:t>姓    名</w:t>
            </w:r>
          </w:p>
        </w:tc>
        <w:tc>
          <w:tcPr>
            <w:tcW w:w="1353"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809E77C">
            <w:pPr>
              <w:snapToGrid w:val="0"/>
              <w:spacing w:line="240" w:lineRule="auto"/>
              <w:ind w:firstLine="0" w:firstLineChars="0"/>
              <w:jc w:val="left"/>
              <w:rPr>
                <w:color w:val="auto"/>
              </w:rPr>
            </w:pPr>
          </w:p>
        </w:tc>
        <w:tc>
          <w:tcPr>
            <w:tcW w:w="128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35BD3EE3">
            <w:pPr>
              <w:snapToGrid w:val="0"/>
              <w:spacing w:line="240" w:lineRule="auto"/>
              <w:ind w:firstLine="0" w:firstLineChars="0"/>
              <w:jc w:val="left"/>
              <w:rPr>
                <w:color w:val="auto"/>
              </w:rPr>
            </w:pPr>
            <w:r>
              <w:rPr>
                <w:rFonts w:hint="eastAsia"/>
                <w:color w:val="auto"/>
              </w:rPr>
              <w:t>技术职称</w:t>
            </w:r>
          </w:p>
        </w:tc>
        <w:tc>
          <w:tcPr>
            <w:tcW w:w="1281"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1AD67514">
            <w:pPr>
              <w:snapToGrid w:val="0"/>
              <w:spacing w:line="240" w:lineRule="auto"/>
              <w:ind w:firstLine="0" w:firstLineChars="0"/>
              <w:jc w:val="left"/>
              <w:rPr>
                <w:color w:val="auto"/>
              </w:rPr>
            </w:pPr>
          </w:p>
        </w:tc>
        <w:tc>
          <w:tcPr>
            <w:tcW w:w="1101"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31AF796">
            <w:pPr>
              <w:snapToGrid w:val="0"/>
              <w:spacing w:line="240" w:lineRule="auto"/>
              <w:ind w:firstLine="0" w:firstLineChars="0"/>
              <w:jc w:val="left"/>
              <w:rPr>
                <w:color w:val="auto"/>
              </w:rPr>
            </w:pPr>
            <w:r>
              <w:rPr>
                <w:rFonts w:hint="eastAsia"/>
                <w:color w:val="auto"/>
              </w:rPr>
              <w:t>电   话</w:t>
            </w:r>
          </w:p>
        </w:tc>
        <w:tc>
          <w:tcPr>
            <w:tcW w:w="1814"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0BEADE41">
            <w:pPr>
              <w:snapToGrid w:val="0"/>
              <w:spacing w:line="240" w:lineRule="auto"/>
              <w:ind w:firstLine="0" w:firstLineChars="0"/>
              <w:jc w:val="left"/>
              <w:rPr>
                <w:color w:val="auto"/>
              </w:rPr>
            </w:pPr>
          </w:p>
        </w:tc>
      </w:tr>
      <w:tr w14:paraId="191040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19C55296">
            <w:pPr>
              <w:snapToGrid w:val="0"/>
              <w:spacing w:line="240" w:lineRule="auto"/>
              <w:ind w:firstLine="0" w:firstLineChars="0"/>
              <w:jc w:val="left"/>
              <w:rPr>
                <w:color w:val="auto"/>
              </w:rPr>
            </w:pPr>
            <w:r>
              <w:rPr>
                <w:rFonts w:hint="eastAsia"/>
                <w:color w:val="auto"/>
              </w:rPr>
              <w:t>成立时间</w:t>
            </w:r>
          </w:p>
        </w:tc>
        <w:tc>
          <w:tcPr>
            <w:tcW w:w="2542"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487E2053">
            <w:pPr>
              <w:snapToGrid w:val="0"/>
              <w:spacing w:line="240" w:lineRule="auto"/>
              <w:ind w:firstLine="0" w:firstLineChars="0"/>
              <w:jc w:val="left"/>
              <w:rPr>
                <w:color w:val="auto"/>
              </w:rPr>
            </w:pPr>
          </w:p>
        </w:tc>
        <w:tc>
          <w:tcPr>
            <w:tcW w:w="5481" w:type="dxa"/>
            <w:gridSpan w:val="5"/>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34B76D4C">
            <w:pPr>
              <w:snapToGrid w:val="0"/>
              <w:spacing w:line="240" w:lineRule="auto"/>
              <w:ind w:firstLine="480"/>
              <w:jc w:val="left"/>
              <w:rPr>
                <w:color w:val="auto"/>
              </w:rPr>
            </w:pPr>
            <w:r>
              <w:rPr>
                <w:rFonts w:hint="eastAsia"/>
                <w:color w:val="auto"/>
              </w:rPr>
              <w:t>员工总人数：</w:t>
            </w:r>
          </w:p>
        </w:tc>
      </w:tr>
      <w:tr w14:paraId="1B53E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736" w:type="dxa"/>
            <w:vMerge w:val="restart"/>
            <w:tcBorders>
              <w:top w:val="single" w:color="auto" w:sz="4" w:space="0"/>
              <w:left w:val="single" w:color="auto" w:sz="4" w:space="0"/>
              <w:right w:val="single" w:color="auto" w:sz="4" w:space="0"/>
            </w:tcBorders>
            <w:tcMar>
              <w:top w:w="113" w:type="dxa"/>
              <w:left w:w="108" w:type="dxa"/>
              <w:bottom w:w="113" w:type="dxa"/>
              <w:right w:w="108" w:type="dxa"/>
            </w:tcMar>
            <w:vAlign w:val="center"/>
          </w:tcPr>
          <w:p w14:paraId="38CD0DE6">
            <w:pPr>
              <w:snapToGrid w:val="0"/>
              <w:spacing w:line="240" w:lineRule="auto"/>
              <w:ind w:firstLine="0" w:firstLineChars="0"/>
              <w:jc w:val="left"/>
              <w:rPr>
                <w:color w:val="auto"/>
              </w:rPr>
            </w:pPr>
            <w:r>
              <w:rPr>
                <w:rFonts w:hint="eastAsia"/>
                <w:color w:val="auto"/>
              </w:rPr>
              <w:t>统一社会信用代码</w:t>
            </w:r>
          </w:p>
        </w:tc>
        <w:tc>
          <w:tcPr>
            <w:tcW w:w="2542" w:type="dxa"/>
            <w:gridSpan w:val="2"/>
            <w:vMerge w:val="restart"/>
            <w:tcBorders>
              <w:top w:val="single" w:color="auto" w:sz="4" w:space="0"/>
              <w:left w:val="single" w:color="auto" w:sz="4" w:space="0"/>
              <w:right w:val="single" w:color="auto" w:sz="4" w:space="0"/>
            </w:tcBorders>
            <w:tcMar>
              <w:top w:w="113" w:type="dxa"/>
              <w:left w:w="108" w:type="dxa"/>
              <w:bottom w:w="113" w:type="dxa"/>
              <w:right w:w="108" w:type="dxa"/>
            </w:tcMar>
            <w:vAlign w:val="center"/>
          </w:tcPr>
          <w:p w14:paraId="6F360C3D">
            <w:pPr>
              <w:snapToGrid w:val="0"/>
              <w:spacing w:line="240" w:lineRule="auto"/>
              <w:ind w:firstLine="0" w:firstLineChars="0"/>
              <w:jc w:val="left"/>
              <w:rPr>
                <w:color w:val="auto"/>
              </w:rPr>
            </w:pPr>
          </w:p>
        </w:tc>
        <w:tc>
          <w:tcPr>
            <w:tcW w:w="742" w:type="dxa"/>
            <w:vMerge w:val="restart"/>
            <w:tcBorders>
              <w:top w:val="single" w:color="auto" w:sz="4" w:space="0"/>
              <w:left w:val="single" w:color="auto" w:sz="4" w:space="0"/>
              <w:right w:val="single" w:color="auto" w:sz="4" w:space="0"/>
            </w:tcBorders>
            <w:tcMar>
              <w:top w:w="113" w:type="dxa"/>
              <w:left w:w="108" w:type="dxa"/>
              <w:bottom w:w="113" w:type="dxa"/>
              <w:right w:w="108" w:type="dxa"/>
            </w:tcMar>
            <w:textDirection w:val="tbRlV"/>
            <w:vAlign w:val="center"/>
          </w:tcPr>
          <w:p w14:paraId="38257CBA">
            <w:pPr>
              <w:snapToGrid w:val="0"/>
              <w:spacing w:line="240" w:lineRule="auto"/>
              <w:ind w:firstLine="0" w:firstLineChars="0"/>
              <w:jc w:val="left"/>
              <w:rPr>
                <w:color w:val="auto"/>
              </w:rPr>
            </w:pPr>
            <w:r>
              <w:rPr>
                <w:rFonts w:hint="eastAsia"/>
                <w:color w:val="auto"/>
              </w:rPr>
              <w:t>其中</w:t>
            </w:r>
          </w:p>
        </w:tc>
        <w:tc>
          <w:tcPr>
            <w:tcW w:w="1824"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640F57A7">
            <w:pPr>
              <w:snapToGrid w:val="0"/>
              <w:spacing w:line="240" w:lineRule="auto"/>
              <w:ind w:firstLine="0" w:firstLineChars="0"/>
              <w:jc w:val="left"/>
              <w:rPr>
                <w:color w:val="auto"/>
              </w:rPr>
            </w:pPr>
            <w:r>
              <w:rPr>
                <w:rFonts w:hint="eastAsia"/>
                <w:color w:val="auto"/>
              </w:rPr>
              <w:t>注册职业资格</w:t>
            </w:r>
          </w:p>
        </w:tc>
        <w:tc>
          <w:tcPr>
            <w:tcW w:w="291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1C132FE6">
            <w:pPr>
              <w:snapToGrid w:val="0"/>
              <w:spacing w:line="240" w:lineRule="auto"/>
              <w:ind w:firstLine="0" w:firstLineChars="0"/>
              <w:jc w:val="left"/>
              <w:rPr>
                <w:color w:val="auto"/>
              </w:rPr>
            </w:pPr>
          </w:p>
        </w:tc>
      </w:tr>
      <w:tr w14:paraId="1F053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736" w:type="dxa"/>
            <w:vMerge w:val="continue"/>
            <w:tcBorders>
              <w:left w:val="single" w:color="auto" w:sz="4" w:space="0"/>
              <w:bottom w:val="single" w:color="auto" w:sz="4" w:space="0"/>
              <w:right w:val="single" w:color="auto" w:sz="4" w:space="0"/>
            </w:tcBorders>
            <w:tcMar>
              <w:top w:w="113" w:type="dxa"/>
              <w:left w:w="108" w:type="dxa"/>
              <w:bottom w:w="113" w:type="dxa"/>
              <w:right w:w="108" w:type="dxa"/>
            </w:tcMar>
            <w:vAlign w:val="center"/>
          </w:tcPr>
          <w:p w14:paraId="145CD1CB">
            <w:pPr>
              <w:snapToGrid w:val="0"/>
              <w:spacing w:line="240" w:lineRule="auto"/>
              <w:ind w:firstLine="480"/>
              <w:jc w:val="left"/>
              <w:rPr>
                <w:color w:val="auto"/>
              </w:rPr>
            </w:pPr>
          </w:p>
        </w:tc>
        <w:tc>
          <w:tcPr>
            <w:tcW w:w="2542" w:type="dxa"/>
            <w:gridSpan w:val="2"/>
            <w:vMerge w:val="continue"/>
            <w:tcBorders>
              <w:left w:val="single" w:color="auto" w:sz="4" w:space="0"/>
              <w:bottom w:val="single" w:color="auto" w:sz="4" w:space="0"/>
              <w:right w:val="single" w:color="auto" w:sz="4" w:space="0"/>
            </w:tcBorders>
            <w:tcMar>
              <w:top w:w="113" w:type="dxa"/>
              <w:left w:w="108" w:type="dxa"/>
              <w:bottom w:w="113" w:type="dxa"/>
              <w:right w:w="108" w:type="dxa"/>
            </w:tcMar>
            <w:vAlign w:val="center"/>
          </w:tcPr>
          <w:p w14:paraId="14370E2C">
            <w:pPr>
              <w:snapToGrid w:val="0"/>
              <w:spacing w:line="240" w:lineRule="auto"/>
              <w:ind w:firstLine="0" w:firstLineChars="0"/>
              <w:jc w:val="left"/>
              <w:rPr>
                <w:color w:val="auto"/>
              </w:rPr>
            </w:pPr>
          </w:p>
        </w:tc>
        <w:tc>
          <w:tcPr>
            <w:tcW w:w="742" w:type="dxa"/>
            <w:vMerge w:val="continue"/>
            <w:tcBorders>
              <w:left w:val="single" w:color="auto" w:sz="4" w:space="0"/>
              <w:right w:val="single" w:color="auto" w:sz="4" w:space="0"/>
            </w:tcBorders>
            <w:tcMar>
              <w:top w:w="113" w:type="dxa"/>
              <w:left w:w="108" w:type="dxa"/>
              <w:bottom w:w="113" w:type="dxa"/>
              <w:right w:w="108" w:type="dxa"/>
            </w:tcMar>
            <w:vAlign w:val="center"/>
          </w:tcPr>
          <w:p w14:paraId="10587B31">
            <w:pPr>
              <w:snapToGrid w:val="0"/>
              <w:spacing w:line="240" w:lineRule="auto"/>
              <w:ind w:firstLine="0" w:firstLineChars="0"/>
              <w:jc w:val="left"/>
              <w:rPr>
                <w:color w:val="auto"/>
              </w:rPr>
            </w:pPr>
          </w:p>
        </w:tc>
        <w:tc>
          <w:tcPr>
            <w:tcW w:w="1824"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36A9898A">
            <w:pPr>
              <w:snapToGrid w:val="0"/>
              <w:spacing w:line="240" w:lineRule="auto"/>
              <w:ind w:firstLine="0" w:firstLineChars="0"/>
              <w:jc w:val="left"/>
              <w:rPr>
                <w:color w:val="auto"/>
              </w:rPr>
            </w:pPr>
            <w:r>
              <w:rPr>
                <w:rFonts w:hint="eastAsia"/>
                <w:color w:val="auto"/>
              </w:rPr>
              <w:t>高级职称</w:t>
            </w:r>
          </w:p>
        </w:tc>
        <w:tc>
          <w:tcPr>
            <w:tcW w:w="291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E334AB5">
            <w:pPr>
              <w:snapToGrid w:val="0"/>
              <w:spacing w:line="240" w:lineRule="auto"/>
              <w:ind w:firstLine="0" w:firstLineChars="0"/>
              <w:jc w:val="left"/>
              <w:rPr>
                <w:color w:val="auto"/>
              </w:rPr>
            </w:pPr>
          </w:p>
        </w:tc>
      </w:tr>
      <w:tr w14:paraId="7D3DD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68071CF9">
            <w:pPr>
              <w:snapToGrid w:val="0"/>
              <w:spacing w:line="240" w:lineRule="auto"/>
              <w:ind w:firstLine="0" w:firstLineChars="0"/>
              <w:jc w:val="left"/>
              <w:rPr>
                <w:color w:val="auto"/>
              </w:rPr>
            </w:pPr>
            <w:r>
              <w:rPr>
                <w:rFonts w:hint="eastAsia"/>
                <w:color w:val="auto"/>
              </w:rPr>
              <w:t>注册资本</w:t>
            </w:r>
          </w:p>
        </w:tc>
        <w:tc>
          <w:tcPr>
            <w:tcW w:w="2542"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E7774D2">
            <w:pPr>
              <w:snapToGrid w:val="0"/>
              <w:spacing w:line="240" w:lineRule="auto"/>
              <w:ind w:firstLine="0" w:firstLineChars="0"/>
              <w:jc w:val="left"/>
              <w:rPr>
                <w:color w:val="auto"/>
              </w:rPr>
            </w:pPr>
          </w:p>
        </w:tc>
        <w:tc>
          <w:tcPr>
            <w:tcW w:w="742" w:type="dxa"/>
            <w:vMerge w:val="continue"/>
            <w:tcBorders>
              <w:left w:val="single" w:color="auto" w:sz="4" w:space="0"/>
              <w:right w:val="single" w:color="auto" w:sz="4" w:space="0"/>
            </w:tcBorders>
            <w:tcMar>
              <w:top w:w="113" w:type="dxa"/>
              <w:left w:w="108" w:type="dxa"/>
              <w:bottom w:w="113" w:type="dxa"/>
              <w:right w:w="108" w:type="dxa"/>
            </w:tcMar>
            <w:vAlign w:val="center"/>
          </w:tcPr>
          <w:p w14:paraId="2E0B7636">
            <w:pPr>
              <w:snapToGrid w:val="0"/>
              <w:spacing w:line="240" w:lineRule="auto"/>
              <w:ind w:firstLine="0" w:firstLineChars="0"/>
              <w:jc w:val="left"/>
              <w:rPr>
                <w:color w:val="auto"/>
              </w:rPr>
            </w:pPr>
          </w:p>
        </w:tc>
        <w:tc>
          <w:tcPr>
            <w:tcW w:w="1824"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57CDA3D5">
            <w:pPr>
              <w:snapToGrid w:val="0"/>
              <w:spacing w:line="240" w:lineRule="auto"/>
              <w:ind w:firstLine="0" w:firstLineChars="0"/>
              <w:jc w:val="left"/>
              <w:rPr>
                <w:color w:val="auto"/>
              </w:rPr>
            </w:pPr>
            <w:r>
              <w:rPr>
                <w:rFonts w:hint="eastAsia"/>
                <w:color w:val="auto"/>
              </w:rPr>
              <w:t>中级职称</w:t>
            </w:r>
          </w:p>
        </w:tc>
        <w:tc>
          <w:tcPr>
            <w:tcW w:w="291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1122F1DC">
            <w:pPr>
              <w:snapToGrid w:val="0"/>
              <w:spacing w:line="240" w:lineRule="auto"/>
              <w:ind w:firstLine="0" w:firstLineChars="0"/>
              <w:jc w:val="left"/>
              <w:rPr>
                <w:color w:val="auto"/>
              </w:rPr>
            </w:pPr>
          </w:p>
        </w:tc>
      </w:tr>
      <w:tr w14:paraId="5394A6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3FF8C00F">
            <w:pPr>
              <w:snapToGrid w:val="0"/>
              <w:spacing w:line="240" w:lineRule="auto"/>
              <w:ind w:firstLine="0" w:firstLineChars="0"/>
              <w:jc w:val="left"/>
              <w:rPr>
                <w:color w:val="auto"/>
              </w:rPr>
            </w:pPr>
            <w:r>
              <w:rPr>
                <w:rFonts w:hint="eastAsia"/>
                <w:color w:val="auto"/>
              </w:rPr>
              <w:t>开户银行</w:t>
            </w:r>
          </w:p>
        </w:tc>
        <w:tc>
          <w:tcPr>
            <w:tcW w:w="2542"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32136FDE">
            <w:pPr>
              <w:snapToGrid w:val="0"/>
              <w:spacing w:line="240" w:lineRule="auto"/>
              <w:ind w:firstLine="0" w:firstLineChars="0"/>
              <w:jc w:val="left"/>
              <w:rPr>
                <w:color w:val="auto"/>
              </w:rPr>
            </w:pPr>
          </w:p>
        </w:tc>
        <w:tc>
          <w:tcPr>
            <w:tcW w:w="742" w:type="dxa"/>
            <w:vMerge w:val="continue"/>
            <w:tcBorders>
              <w:left w:val="single" w:color="auto" w:sz="4" w:space="0"/>
              <w:right w:val="single" w:color="auto" w:sz="4" w:space="0"/>
            </w:tcBorders>
            <w:tcMar>
              <w:top w:w="113" w:type="dxa"/>
              <w:left w:w="108" w:type="dxa"/>
              <w:bottom w:w="113" w:type="dxa"/>
              <w:right w:w="108" w:type="dxa"/>
            </w:tcMar>
            <w:vAlign w:val="center"/>
          </w:tcPr>
          <w:p w14:paraId="357BD45A">
            <w:pPr>
              <w:snapToGrid w:val="0"/>
              <w:spacing w:line="240" w:lineRule="auto"/>
              <w:ind w:firstLine="0" w:firstLineChars="0"/>
              <w:jc w:val="left"/>
              <w:rPr>
                <w:color w:val="auto"/>
              </w:rPr>
            </w:pPr>
          </w:p>
        </w:tc>
        <w:tc>
          <w:tcPr>
            <w:tcW w:w="1824"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0A211583">
            <w:pPr>
              <w:snapToGrid w:val="0"/>
              <w:spacing w:line="240" w:lineRule="auto"/>
              <w:ind w:firstLine="0" w:firstLineChars="0"/>
              <w:jc w:val="left"/>
              <w:rPr>
                <w:color w:val="auto"/>
              </w:rPr>
            </w:pPr>
            <w:r>
              <w:rPr>
                <w:rFonts w:hint="eastAsia"/>
                <w:color w:val="auto"/>
              </w:rPr>
              <w:t>初级职称</w:t>
            </w:r>
          </w:p>
        </w:tc>
        <w:tc>
          <w:tcPr>
            <w:tcW w:w="291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2ACC2317">
            <w:pPr>
              <w:snapToGrid w:val="0"/>
              <w:spacing w:line="240" w:lineRule="auto"/>
              <w:ind w:firstLine="0" w:firstLineChars="0"/>
              <w:jc w:val="left"/>
              <w:rPr>
                <w:color w:val="auto"/>
              </w:rPr>
            </w:pPr>
          </w:p>
        </w:tc>
      </w:tr>
      <w:tr w14:paraId="447F8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518C9CC2">
            <w:pPr>
              <w:snapToGrid w:val="0"/>
              <w:spacing w:line="240" w:lineRule="auto"/>
              <w:ind w:firstLine="0" w:firstLineChars="0"/>
              <w:jc w:val="left"/>
              <w:rPr>
                <w:color w:val="auto"/>
              </w:rPr>
            </w:pPr>
            <w:r>
              <w:rPr>
                <w:rFonts w:hint="eastAsia"/>
                <w:color w:val="auto"/>
              </w:rPr>
              <w:t>账    号</w:t>
            </w:r>
          </w:p>
        </w:tc>
        <w:tc>
          <w:tcPr>
            <w:tcW w:w="2542"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5589E464">
            <w:pPr>
              <w:snapToGrid w:val="0"/>
              <w:spacing w:line="240" w:lineRule="auto"/>
              <w:ind w:firstLine="0" w:firstLineChars="0"/>
              <w:jc w:val="left"/>
              <w:rPr>
                <w:color w:val="auto"/>
              </w:rPr>
            </w:pPr>
          </w:p>
        </w:tc>
        <w:tc>
          <w:tcPr>
            <w:tcW w:w="742" w:type="dxa"/>
            <w:vMerge w:val="continue"/>
            <w:tcBorders>
              <w:left w:val="single" w:color="auto" w:sz="4" w:space="0"/>
              <w:bottom w:val="single" w:color="auto" w:sz="4" w:space="0"/>
              <w:right w:val="single" w:color="auto" w:sz="4" w:space="0"/>
            </w:tcBorders>
            <w:tcMar>
              <w:top w:w="113" w:type="dxa"/>
              <w:left w:w="108" w:type="dxa"/>
              <w:bottom w:w="113" w:type="dxa"/>
              <w:right w:w="108" w:type="dxa"/>
            </w:tcMar>
            <w:vAlign w:val="center"/>
          </w:tcPr>
          <w:p w14:paraId="731138AD">
            <w:pPr>
              <w:snapToGrid w:val="0"/>
              <w:spacing w:line="240" w:lineRule="auto"/>
              <w:ind w:firstLine="0" w:firstLineChars="0"/>
              <w:jc w:val="left"/>
              <w:rPr>
                <w:color w:val="auto"/>
              </w:rPr>
            </w:pPr>
          </w:p>
        </w:tc>
        <w:tc>
          <w:tcPr>
            <w:tcW w:w="1824"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F244B04">
            <w:pPr>
              <w:snapToGrid w:val="0"/>
              <w:spacing w:line="240" w:lineRule="auto"/>
              <w:ind w:firstLine="0" w:firstLineChars="0"/>
              <w:jc w:val="left"/>
              <w:rPr>
                <w:color w:val="auto"/>
              </w:rPr>
            </w:pPr>
            <w:r>
              <w:rPr>
                <w:rFonts w:hint="eastAsia"/>
                <w:color w:val="auto"/>
              </w:rPr>
              <w:t>其    他</w:t>
            </w:r>
          </w:p>
        </w:tc>
        <w:tc>
          <w:tcPr>
            <w:tcW w:w="2915" w:type="dxa"/>
            <w:gridSpan w:val="2"/>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75D27546">
            <w:pPr>
              <w:snapToGrid w:val="0"/>
              <w:spacing w:line="240" w:lineRule="auto"/>
              <w:ind w:firstLine="0" w:firstLineChars="0"/>
              <w:jc w:val="left"/>
              <w:rPr>
                <w:color w:val="auto"/>
              </w:rPr>
            </w:pPr>
          </w:p>
        </w:tc>
      </w:tr>
      <w:tr w14:paraId="011CC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6" w:hRule="atLeast"/>
          <w:jc w:val="center"/>
        </w:trPr>
        <w:tc>
          <w:tcPr>
            <w:tcW w:w="1736" w:type="dxa"/>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1D990A7E">
            <w:pPr>
              <w:snapToGrid w:val="0"/>
              <w:spacing w:line="240" w:lineRule="auto"/>
              <w:ind w:firstLine="0" w:firstLineChars="0"/>
              <w:jc w:val="left"/>
              <w:rPr>
                <w:color w:val="auto"/>
              </w:rPr>
            </w:pPr>
            <w:r>
              <w:rPr>
                <w:rFonts w:hint="eastAsia"/>
                <w:color w:val="auto"/>
              </w:rPr>
              <w:t>经营范围</w:t>
            </w:r>
          </w:p>
        </w:tc>
        <w:tc>
          <w:tcPr>
            <w:tcW w:w="8023" w:type="dxa"/>
            <w:gridSpan w:val="7"/>
            <w:tcBorders>
              <w:top w:val="single" w:color="auto" w:sz="4" w:space="0"/>
              <w:left w:val="single" w:color="auto" w:sz="4" w:space="0"/>
              <w:bottom w:val="single" w:color="auto" w:sz="4" w:space="0"/>
              <w:right w:val="single" w:color="auto" w:sz="4" w:space="0"/>
            </w:tcBorders>
            <w:tcMar>
              <w:top w:w="113" w:type="dxa"/>
              <w:left w:w="108" w:type="dxa"/>
              <w:bottom w:w="113" w:type="dxa"/>
              <w:right w:w="108" w:type="dxa"/>
            </w:tcMar>
            <w:vAlign w:val="center"/>
          </w:tcPr>
          <w:p w14:paraId="68700055">
            <w:pPr>
              <w:snapToGrid w:val="0"/>
              <w:spacing w:line="240" w:lineRule="auto"/>
              <w:ind w:firstLine="0" w:firstLineChars="0"/>
              <w:jc w:val="left"/>
              <w:rPr>
                <w:color w:val="auto"/>
              </w:rPr>
            </w:pPr>
          </w:p>
          <w:p w14:paraId="095CFC7D">
            <w:pPr>
              <w:snapToGrid w:val="0"/>
              <w:spacing w:line="240" w:lineRule="auto"/>
              <w:ind w:firstLine="480"/>
              <w:jc w:val="left"/>
              <w:rPr>
                <w:color w:val="auto"/>
              </w:rPr>
            </w:pPr>
          </w:p>
          <w:p w14:paraId="22827123">
            <w:pPr>
              <w:snapToGrid w:val="0"/>
              <w:spacing w:line="240" w:lineRule="auto"/>
              <w:ind w:firstLine="0" w:firstLineChars="0"/>
              <w:jc w:val="left"/>
              <w:rPr>
                <w:color w:val="auto"/>
              </w:rPr>
            </w:pPr>
          </w:p>
        </w:tc>
      </w:tr>
    </w:tbl>
    <w:p w14:paraId="791822DD">
      <w:pPr>
        <w:ind w:firstLine="0" w:firstLineChars="0"/>
        <w:jc w:val="center"/>
        <w:rPr>
          <w:b/>
          <w:bCs/>
          <w:color w:val="auto"/>
          <w:sz w:val="30"/>
          <w:szCs w:val="30"/>
        </w:rPr>
      </w:pPr>
    </w:p>
    <w:p w14:paraId="66C29C9D">
      <w:pPr>
        <w:ind w:firstLine="4320" w:firstLineChars="1800"/>
        <w:rPr>
          <w:rFonts w:hint="eastAsia"/>
          <w:color w:val="auto"/>
        </w:rPr>
      </w:pPr>
    </w:p>
    <w:p w14:paraId="7773AFC7">
      <w:pPr>
        <w:ind w:firstLine="4320" w:firstLineChars="1800"/>
        <w:rPr>
          <w:color w:val="auto"/>
        </w:rPr>
      </w:pPr>
      <w:r>
        <w:rPr>
          <w:rFonts w:hint="eastAsia"/>
          <w:color w:val="auto"/>
        </w:rPr>
        <w:t>投标人全称（盖章）：</w:t>
      </w:r>
      <w:r>
        <w:rPr>
          <w:color w:val="auto"/>
        </w:rPr>
        <w:t xml:space="preserve">                         </w:t>
      </w:r>
    </w:p>
    <w:p w14:paraId="66C414DF">
      <w:pPr>
        <w:ind w:firstLine="4320" w:firstLineChars="1800"/>
        <w:rPr>
          <w:color w:val="auto"/>
        </w:rPr>
      </w:pPr>
      <w:r>
        <w:rPr>
          <w:rFonts w:hint="eastAsia"/>
          <w:color w:val="auto"/>
        </w:rPr>
        <w:t>法定代表人或授权代理人（签字或盖章）：</w:t>
      </w:r>
    </w:p>
    <w:p w14:paraId="1E2F0899">
      <w:pPr>
        <w:ind w:firstLine="4320" w:firstLineChars="1800"/>
        <w:rPr>
          <w:color w:val="auto"/>
        </w:rPr>
      </w:pPr>
      <w:r>
        <w:rPr>
          <w:rFonts w:hint="eastAsia"/>
          <w:color w:val="auto"/>
        </w:rPr>
        <w:t>日期：</w:t>
      </w:r>
      <w:r>
        <w:rPr>
          <w:rFonts w:hint="eastAsia"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7B9B6460">
      <w:pPr>
        <w:ind w:firstLine="0" w:firstLineChars="0"/>
        <w:jc w:val="left"/>
        <w:rPr>
          <w:rFonts w:ascii="宋体" w:hAnsi="宋体" w:cs="宋体"/>
          <w:b/>
          <w:bCs/>
          <w:color w:val="auto"/>
        </w:rPr>
      </w:pPr>
      <w:bookmarkStart w:id="1095" w:name="_Toc2572"/>
      <w:bookmarkStart w:id="1096" w:name="_Toc14816"/>
      <w:bookmarkStart w:id="1097" w:name="_Toc32311"/>
      <w:bookmarkStart w:id="1098" w:name="_Toc6689"/>
      <w:bookmarkStart w:id="1099" w:name="_Toc24787"/>
      <w:bookmarkStart w:id="1100" w:name="_Toc28874"/>
      <w:bookmarkStart w:id="1101" w:name="_Toc27191"/>
      <w:bookmarkStart w:id="1102" w:name="_Toc2533"/>
      <w:bookmarkStart w:id="1103" w:name="_Toc11280"/>
      <w:bookmarkStart w:id="1104" w:name="_Toc28692"/>
      <w:bookmarkStart w:id="1105" w:name="_Toc11875"/>
      <w:bookmarkStart w:id="1106" w:name="_Toc11824"/>
      <w:bookmarkStart w:id="1107" w:name="_Toc7082"/>
      <w:bookmarkStart w:id="1108" w:name="_Toc13190"/>
      <w:bookmarkStart w:id="1109" w:name="_Toc24391"/>
      <w:bookmarkStart w:id="1110" w:name="_Toc18350"/>
      <w:bookmarkStart w:id="1111" w:name="_Toc11920"/>
      <w:bookmarkStart w:id="1112" w:name="_Toc675"/>
      <w:bookmarkStart w:id="1113" w:name="_Toc54"/>
    </w:p>
    <w:p w14:paraId="121817EB">
      <w:pPr>
        <w:ind w:firstLine="0" w:firstLineChars="0"/>
        <w:jc w:val="left"/>
        <w:rPr>
          <w:rFonts w:ascii="宋体" w:hAnsi="宋体" w:cs="宋体"/>
          <w:b/>
          <w:bCs/>
          <w:color w:val="auto"/>
        </w:rPr>
      </w:pPr>
    </w:p>
    <w:p w14:paraId="0CCA2F32">
      <w:pPr>
        <w:ind w:firstLine="0" w:firstLineChars="0"/>
        <w:jc w:val="left"/>
        <w:rPr>
          <w:rFonts w:ascii="宋体" w:hAnsi="宋体" w:cs="宋体"/>
          <w:b/>
          <w:bCs/>
          <w:color w:val="auto"/>
        </w:rPr>
      </w:pPr>
    </w:p>
    <w:p w14:paraId="5D13EE61">
      <w:pPr>
        <w:ind w:firstLine="0" w:firstLineChars="0"/>
        <w:jc w:val="left"/>
        <w:outlineLvl w:val="1"/>
        <w:rPr>
          <w:rFonts w:hint="eastAsia" w:eastAsia="宋体"/>
          <w:color w:val="auto"/>
          <w:lang w:eastAsia="zh-CN"/>
        </w:rPr>
      </w:pPr>
      <w:bookmarkStart w:id="1114" w:name="_Toc17303"/>
      <w:bookmarkStart w:id="1115" w:name="_Toc7182"/>
      <w:bookmarkStart w:id="1116" w:name="_Toc5819"/>
      <w:bookmarkStart w:id="1117" w:name="_Toc16927"/>
      <w:bookmarkStart w:id="1118" w:name="_Toc27813"/>
      <w:bookmarkStart w:id="1119" w:name="_Toc12285"/>
      <w:bookmarkStart w:id="1120" w:name="_Toc17497"/>
      <w:bookmarkStart w:id="1121" w:name="_Toc2705"/>
      <w:bookmarkStart w:id="1122" w:name="_Toc28030"/>
      <w:bookmarkStart w:id="1123" w:name="_Toc31515"/>
      <w:bookmarkStart w:id="1124" w:name="_Toc22489"/>
      <w:bookmarkStart w:id="1125" w:name="_Toc27978"/>
      <w:bookmarkStart w:id="1126" w:name="_Toc32109"/>
      <w:bookmarkStart w:id="1127" w:name="_Toc13698"/>
      <w:bookmarkStart w:id="1128" w:name="_Toc4735"/>
      <w:bookmarkStart w:id="1129" w:name="_Toc2576"/>
      <w:bookmarkStart w:id="1130" w:name="_Toc25185"/>
      <w:bookmarkStart w:id="1131" w:name="_Toc15407"/>
      <w:bookmarkStart w:id="1132" w:name="_Toc32620"/>
      <w:bookmarkStart w:id="1133" w:name="_Toc14869"/>
      <w:bookmarkStart w:id="1134" w:name="_Toc1264"/>
      <w:bookmarkStart w:id="1135" w:name="_Toc16938"/>
      <w:bookmarkStart w:id="1136" w:name="_Toc23694"/>
      <w:bookmarkStart w:id="1137" w:name="_Toc11943"/>
      <w:bookmarkStart w:id="1138" w:name="_Toc20743"/>
      <w:bookmarkStart w:id="1139" w:name="_Toc13378"/>
      <w:bookmarkStart w:id="1140" w:name="_Toc2851"/>
      <w:bookmarkStart w:id="1141" w:name="_Toc3733"/>
      <w:bookmarkStart w:id="1142" w:name="_Toc32586"/>
      <w:bookmarkStart w:id="1143" w:name="_Toc984"/>
      <w:bookmarkStart w:id="1144" w:name="_Toc8652"/>
      <w:bookmarkStart w:id="1145" w:name="_Toc16143"/>
      <w:bookmarkStart w:id="1146" w:name="_Toc29986"/>
      <w:bookmarkStart w:id="1147" w:name="_Toc13270"/>
      <w:bookmarkStart w:id="1148" w:name="_Toc30863"/>
      <w:bookmarkStart w:id="1149" w:name="_Toc26663"/>
      <w:bookmarkStart w:id="1150" w:name="_Toc1629"/>
      <w:r>
        <w:rPr>
          <w:rFonts w:hint="eastAsia" w:ascii="宋体" w:hAnsi="宋体" w:cs="宋体"/>
          <w:b/>
          <w:bCs/>
          <w:color w:val="auto"/>
        </w:rPr>
        <w:t>附件</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Pr>
          <w:rFonts w:hint="eastAsia" w:ascii="宋体" w:hAnsi="宋体" w:cs="宋体"/>
          <w:b/>
          <w:bCs/>
          <w:color w:val="auto"/>
          <w:lang w:val="en-US" w:eastAsia="zh-CN"/>
        </w:rPr>
        <w:t>2</w:t>
      </w:r>
    </w:p>
    <w:p w14:paraId="629400C0">
      <w:pPr>
        <w:pStyle w:val="4"/>
        <w:numPr>
          <w:ilvl w:val="1"/>
          <w:numId w:val="0"/>
        </w:numPr>
        <w:spacing w:before="156" w:after="156"/>
        <w:rPr>
          <w:rFonts w:ascii="宋体" w:cs="宋体"/>
          <w:color w:val="auto"/>
          <w:sz w:val="20"/>
          <w:szCs w:val="20"/>
        </w:rPr>
      </w:pPr>
      <w:bookmarkStart w:id="1151" w:name="_Toc21652"/>
      <w:bookmarkStart w:id="1152" w:name="_Toc18298"/>
      <w:bookmarkStart w:id="1153" w:name="_Toc32680"/>
      <w:bookmarkStart w:id="1154" w:name="_Toc20688"/>
      <w:bookmarkStart w:id="1155" w:name="_Toc11654"/>
      <w:bookmarkStart w:id="1156" w:name="_Toc17525"/>
      <w:bookmarkStart w:id="1157" w:name="_Toc5122"/>
      <w:bookmarkStart w:id="1158" w:name="_Toc17742"/>
      <w:bookmarkStart w:id="1159" w:name="_Toc27216"/>
      <w:bookmarkStart w:id="1160" w:name="_Toc22352"/>
      <w:bookmarkStart w:id="1161" w:name="_Toc30349"/>
      <w:bookmarkStart w:id="1162" w:name="_Toc27525"/>
      <w:bookmarkStart w:id="1163" w:name="_Toc8666"/>
      <w:bookmarkStart w:id="1164" w:name="_Toc27449"/>
      <w:bookmarkStart w:id="1165" w:name="_Toc4350"/>
      <w:bookmarkStart w:id="1166" w:name="_Toc1477"/>
      <w:bookmarkStart w:id="1167" w:name="_Toc11205"/>
      <w:bookmarkStart w:id="1168" w:name="_Toc4815"/>
      <w:bookmarkStart w:id="1169" w:name="_Toc13710"/>
      <w:bookmarkStart w:id="1170" w:name="_Toc20078"/>
      <w:bookmarkStart w:id="1171" w:name="_Toc27096"/>
      <w:bookmarkStart w:id="1172" w:name="_Toc24741"/>
      <w:bookmarkStart w:id="1173" w:name="_Toc22518"/>
      <w:bookmarkStart w:id="1174" w:name="_Toc14716"/>
      <w:bookmarkStart w:id="1175" w:name="_Toc12727"/>
      <w:bookmarkStart w:id="1176" w:name="_Toc28549"/>
      <w:bookmarkStart w:id="1177" w:name="_Toc27721"/>
      <w:bookmarkStart w:id="1178" w:name="_Toc17718"/>
      <w:r>
        <w:rPr>
          <w:rFonts w:hint="eastAsia" w:ascii="宋体" w:hAnsi="宋体" w:cs="宋体"/>
          <w:b/>
          <w:bCs w:val="0"/>
          <w:color w:val="auto"/>
          <w:szCs w:val="30"/>
        </w:rPr>
        <w:t>（一）法定代表人身份证明</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08AB6EA2">
      <w:pPr>
        <w:spacing w:line="440" w:lineRule="exact"/>
        <w:ind w:firstLine="480"/>
        <w:rPr>
          <w:rFonts w:ascii="宋体" w:cs="宋体"/>
          <w:color w:val="auto"/>
          <w:szCs w:val="21"/>
        </w:rPr>
      </w:pPr>
    </w:p>
    <w:p w14:paraId="0946B097">
      <w:pPr>
        <w:pageBreakBefore w:val="0"/>
        <w:widowControl w:val="0"/>
        <w:kinsoku/>
        <w:wordWrap/>
        <w:overflowPunct/>
        <w:topLinePunct w:val="0"/>
        <w:autoSpaceDE/>
        <w:autoSpaceDN/>
        <w:bidi w:val="0"/>
        <w:adjustRightInd/>
        <w:spacing w:line="480" w:lineRule="exact"/>
        <w:ind w:firstLine="480"/>
        <w:textAlignment w:val="auto"/>
        <w:rPr>
          <w:rFonts w:ascii="宋体" w:hAnsi="宋体" w:cs="宋体"/>
          <w:sz w:val="24"/>
          <w:szCs w:val="24"/>
          <w:u w:val="single"/>
        </w:rPr>
      </w:pPr>
      <w:r>
        <w:rPr>
          <w:rFonts w:hint="eastAsia" w:ascii="宋体" w:hAnsi="宋体" w:cs="宋体"/>
          <w:sz w:val="24"/>
          <w:szCs w:val="24"/>
        </w:rPr>
        <w:t>投 标 人：_____________________________________</w:t>
      </w:r>
    </w:p>
    <w:p w14:paraId="3E894D96">
      <w:pPr>
        <w:pageBreakBefore w:val="0"/>
        <w:widowControl w:val="0"/>
        <w:kinsoku/>
        <w:wordWrap/>
        <w:overflowPunct/>
        <w:topLinePunct w:val="0"/>
        <w:autoSpaceDE/>
        <w:autoSpaceDN/>
        <w:bidi w:val="0"/>
        <w:adjustRightInd/>
        <w:spacing w:line="480" w:lineRule="exact"/>
        <w:ind w:firstLine="480"/>
        <w:textAlignment w:val="auto"/>
        <w:rPr>
          <w:rFonts w:ascii="宋体" w:hAnsi="宋体" w:cs="宋体"/>
          <w:sz w:val="24"/>
          <w:szCs w:val="24"/>
        </w:rPr>
      </w:pPr>
      <w:r>
        <w:rPr>
          <w:rFonts w:hint="eastAsia" w:ascii="宋体" w:hAnsi="宋体" w:cs="宋体"/>
          <w:sz w:val="24"/>
          <w:szCs w:val="24"/>
        </w:rPr>
        <w:t>单位性质：_____________________________________</w:t>
      </w:r>
    </w:p>
    <w:p w14:paraId="1C3BAD17">
      <w:pPr>
        <w:pageBreakBefore w:val="0"/>
        <w:widowControl w:val="0"/>
        <w:kinsoku/>
        <w:wordWrap/>
        <w:overflowPunct/>
        <w:topLinePunct w:val="0"/>
        <w:autoSpaceDE/>
        <w:autoSpaceDN/>
        <w:bidi w:val="0"/>
        <w:adjustRightInd/>
        <w:spacing w:line="480" w:lineRule="exact"/>
        <w:ind w:firstLine="480"/>
        <w:textAlignment w:val="auto"/>
        <w:rPr>
          <w:rFonts w:ascii="宋体" w:hAnsi="宋体" w:cs="宋体"/>
          <w:sz w:val="24"/>
          <w:szCs w:val="24"/>
        </w:rPr>
      </w:pPr>
      <w:r>
        <w:rPr>
          <w:rFonts w:hint="eastAsia" w:ascii="宋体" w:hAnsi="宋体" w:cs="宋体"/>
          <w:sz w:val="24"/>
          <w:szCs w:val="24"/>
        </w:rPr>
        <w:t>地    址：_____________________________________</w:t>
      </w:r>
    </w:p>
    <w:p w14:paraId="4863054E">
      <w:pPr>
        <w:pageBreakBefore w:val="0"/>
        <w:widowControl w:val="0"/>
        <w:kinsoku/>
        <w:wordWrap/>
        <w:overflowPunct/>
        <w:topLinePunct w:val="0"/>
        <w:autoSpaceDE/>
        <w:autoSpaceDN/>
        <w:bidi w:val="0"/>
        <w:adjustRightInd/>
        <w:spacing w:line="480" w:lineRule="exact"/>
        <w:ind w:firstLine="480"/>
        <w:textAlignment w:val="auto"/>
        <w:rPr>
          <w:rFonts w:ascii="宋体" w:hAnsi="宋体" w:cs="宋体"/>
          <w:sz w:val="24"/>
          <w:szCs w:val="24"/>
        </w:rPr>
      </w:pPr>
      <w:r>
        <w:rPr>
          <w:rFonts w:hint="eastAsia" w:ascii="宋体" w:hAnsi="宋体" w:cs="宋体"/>
          <w:sz w:val="24"/>
          <w:szCs w:val="24"/>
        </w:rPr>
        <w:t>成立时间：</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67CD960">
      <w:pPr>
        <w:pageBreakBefore w:val="0"/>
        <w:widowControl w:val="0"/>
        <w:kinsoku/>
        <w:wordWrap/>
        <w:overflowPunct/>
        <w:topLinePunct w:val="0"/>
        <w:autoSpaceDE/>
        <w:autoSpaceDN/>
        <w:bidi w:val="0"/>
        <w:adjustRightInd/>
        <w:spacing w:line="480" w:lineRule="exact"/>
        <w:ind w:firstLine="480"/>
        <w:textAlignment w:val="auto"/>
        <w:rPr>
          <w:rFonts w:ascii="宋体" w:hAnsi="宋体" w:cs="宋体"/>
          <w:sz w:val="24"/>
          <w:szCs w:val="24"/>
          <w:u w:val="single"/>
        </w:rPr>
      </w:pPr>
      <w:r>
        <w:rPr>
          <w:rFonts w:hint="eastAsia" w:ascii="宋体" w:hAnsi="宋体" w:cs="宋体"/>
          <w:sz w:val="24"/>
          <w:szCs w:val="24"/>
        </w:rPr>
        <w:t>经营期限：_______________________________</w:t>
      </w:r>
    </w:p>
    <w:p w14:paraId="33E01436">
      <w:pPr>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cs="宋体"/>
          <w:sz w:val="24"/>
          <w:szCs w:val="24"/>
        </w:rPr>
      </w:pPr>
      <w:r>
        <w:rPr>
          <w:rFonts w:hint="eastAsia" w:ascii="宋体" w:hAnsi="宋体" w:cs="宋体"/>
          <w:sz w:val="24"/>
          <w:szCs w:val="24"/>
        </w:rPr>
        <w:t>姓    名：</w:t>
      </w:r>
      <w:r>
        <w:rPr>
          <w:rFonts w:hint="eastAsia" w:ascii="宋体" w:hAnsi="宋体" w:cs="宋体"/>
          <w:sz w:val="24"/>
          <w:szCs w:val="24"/>
          <w:u w:val="single"/>
        </w:rPr>
        <w:t xml:space="preserve">              </w:t>
      </w:r>
      <w:r>
        <w:rPr>
          <w:rFonts w:hint="eastAsia" w:ascii="宋体" w:hAnsi="宋体" w:cs="宋体"/>
          <w:sz w:val="24"/>
          <w:szCs w:val="24"/>
        </w:rPr>
        <w:t xml:space="preserve">   性   别：_____________</w:t>
      </w:r>
    </w:p>
    <w:p w14:paraId="6368D09B">
      <w:pPr>
        <w:pStyle w:val="4"/>
        <w:pageBreakBefore w:val="0"/>
        <w:widowControl w:val="0"/>
        <w:numPr>
          <w:ilvl w:val="1"/>
          <w:numId w:val="0"/>
        </w:numPr>
        <w:kinsoku/>
        <w:wordWrap/>
        <w:overflowPunct/>
        <w:topLinePunct w:val="0"/>
        <w:autoSpaceDE/>
        <w:autoSpaceDN/>
        <w:bidi w:val="0"/>
        <w:adjustRightInd/>
        <w:spacing w:before="156" w:after="156" w:line="480" w:lineRule="exact"/>
        <w:ind w:leftChars="200"/>
        <w:jc w:val="both"/>
        <w:textAlignment w:val="auto"/>
        <w:rPr>
          <w:sz w:val="24"/>
          <w:szCs w:val="24"/>
        </w:rPr>
      </w:pPr>
      <w:bookmarkStart w:id="1179" w:name="_Toc7607"/>
      <w:bookmarkStart w:id="1180" w:name="_Toc25489"/>
      <w:r>
        <w:rPr>
          <w:rFonts w:hint="eastAsia" w:ascii="宋体" w:hAnsi="宋体" w:cs="宋体"/>
          <w:b w:val="0"/>
          <w:bCs w:val="0"/>
          <w:sz w:val="24"/>
          <w:szCs w:val="24"/>
        </w:rPr>
        <w:t>联系电话：</w:t>
      </w:r>
      <w:r>
        <w:rPr>
          <w:rFonts w:hint="eastAsia" w:ascii="宋体" w:hAnsi="宋体" w:cs="宋体"/>
          <w:sz w:val="24"/>
          <w:szCs w:val="24"/>
          <w:u w:val="single"/>
        </w:rPr>
        <w:t xml:space="preserve">             </w:t>
      </w:r>
      <w:r>
        <w:rPr>
          <w:rFonts w:hint="eastAsia" w:ascii="宋体" w:hAnsi="宋体" w:cs="宋体"/>
          <w:b w:val="0"/>
          <w:bCs w:val="0"/>
          <w:sz w:val="24"/>
          <w:szCs w:val="24"/>
        </w:rPr>
        <w:t xml:space="preserve">    电子邮箱：</w:t>
      </w:r>
      <w:bookmarkEnd w:id="1179"/>
      <w:bookmarkEnd w:id="1180"/>
      <w:r>
        <w:rPr>
          <w:rFonts w:hint="eastAsia" w:ascii="宋体" w:hAnsi="宋体" w:cs="宋体"/>
          <w:sz w:val="24"/>
          <w:szCs w:val="24"/>
          <w:u w:val="single"/>
        </w:rPr>
        <w:t xml:space="preserve">          </w:t>
      </w:r>
    </w:p>
    <w:p w14:paraId="59C9E7D1">
      <w:pPr>
        <w:pageBreakBefore w:val="0"/>
        <w:widowControl w:val="0"/>
        <w:kinsoku/>
        <w:wordWrap/>
        <w:overflowPunct/>
        <w:topLinePunct w:val="0"/>
        <w:autoSpaceDE/>
        <w:autoSpaceDN/>
        <w:bidi w:val="0"/>
        <w:adjustRightInd/>
        <w:spacing w:line="480" w:lineRule="exact"/>
        <w:ind w:firstLine="480"/>
        <w:textAlignment w:val="auto"/>
        <w:rPr>
          <w:rFonts w:ascii="宋体" w:hAnsi="宋体" w:cs="宋体"/>
          <w:sz w:val="24"/>
          <w:szCs w:val="24"/>
        </w:rPr>
      </w:pPr>
      <w:r>
        <w:rPr>
          <w:rFonts w:hint="eastAsia" w:ascii="宋体" w:hAnsi="宋体" w:cs="宋体"/>
          <w:sz w:val="24"/>
          <w:szCs w:val="24"/>
        </w:rPr>
        <w:t>年    龄：</w:t>
      </w:r>
      <w:r>
        <w:rPr>
          <w:rFonts w:hint="eastAsia" w:ascii="宋体" w:hAnsi="宋体" w:cs="宋体"/>
          <w:sz w:val="24"/>
          <w:szCs w:val="24"/>
          <w:u w:val="single"/>
        </w:rPr>
        <w:t xml:space="preserve">               </w:t>
      </w:r>
      <w:r>
        <w:rPr>
          <w:rFonts w:hint="eastAsia" w:ascii="宋体" w:hAnsi="宋体" w:cs="宋体"/>
          <w:sz w:val="24"/>
          <w:szCs w:val="24"/>
        </w:rPr>
        <w:t xml:space="preserve">     职  务：__________系</w:t>
      </w:r>
      <w:r>
        <w:rPr>
          <w:rFonts w:hint="eastAsia" w:ascii="宋体" w:hAnsi="宋体" w:cs="宋体"/>
          <w:sz w:val="24"/>
          <w:szCs w:val="24"/>
          <w:u w:val="single"/>
        </w:rPr>
        <w:t xml:space="preserve">         (投标人全称)       </w:t>
      </w:r>
      <w:r>
        <w:rPr>
          <w:rFonts w:hint="eastAsia" w:ascii="宋体" w:hAnsi="宋体" w:cs="宋体"/>
          <w:sz w:val="24"/>
          <w:szCs w:val="24"/>
        </w:rPr>
        <w:t>的法定代表人。</w:t>
      </w:r>
    </w:p>
    <w:p w14:paraId="5D0DA769">
      <w:pPr>
        <w:pageBreakBefore w:val="0"/>
        <w:widowControl w:val="0"/>
        <w:kinsoku/>
        <w:wordWrap/>
        <w:overflowPunct/>
        <w:topLinePunct w:val="0"/>
        <w:autoSpaceDE/>
        <w:autoSpaceDN/>
        <w:bidi w:val="0"/>
        <w:adjustRightInd/>
        <w:spacing w:line="480" w:lineRule="exact"/>
        <w:ind w:firstLine="480"/>
        <w:textAlignment w:val="auto"/>
        <w:rPr>
          <w:rFonts w:ascii="宋体" w:hAnsi="宋体" w:cs="宋体"/>
          <w:sz w:val="24"/>
          <w:szCs w:val="24"/>
        </w:rPr>
      </w:pPr>
      <w:r>
        <w:rPr>
          <w:rFonts w:hint="eastAsia" w:ascii="宋体" w:hAnsi="宋体" w:cs="宋体"/>
          <w:sz w:val="24"/>
          <w:szCs w:val="24"/>
        </w:rPr>
        <w:t>特此证明。</w:t>
      </w:r>
    </w:p>
    <w:p w14:paraId="265B0918">
      <w:pPr>
        <w:ind w:firstLine="0" w:firstLineChars="0"/>
        <w:jc w:val="center"/>
        <w:outlineLvl w:val="0"/>
        <w:rPr>
          <w:rFonts w:ascii="宋体" w:cs="宋体"/>
          <w:color w:val="auto"/>
          <w:szCs w:val="21"/>
        </w:rPr>
      </w:pPr>
      <w:r>
        <w:rPr>
          <w:rFonts w:ascii="宋体" w:hAnsi="宋体" w:cs="宋体"/>
          <w:color w:val="auto"/>
          <w:szCs w:val="21"/>
        </w:rPr>
        <w:t xml:space="preserve">    </w:t>
      </w:r>
    </w:p>
    <w:p w14:paraId="54F42738">
      <w:pPr>
        <w:ind w:firstLine="5280" w:firstLineChars="2200"/>
        <w:rPr>
          <w:color w:val="auto"/>
        </w:rPr>
      </w:pPr>
      <w:r>
        <w:rPr>
          <w:rFonts w:hint="eastAsia"/>
          <w:color w:val="auto"/>
        </w:rPr>
        <w:t>投标人全称（盖章）：</w:t>
      </w:r>
      <w:r>
        <w:rPr>
          <w:color w:val="auto"/>
        </w:rPr>
        <w:t xml:space="preserve">                         </w:t>
      </w:r>
    </w:p>
    <w:p w14:paraId="61B9817A">
      <w:pPr>
        <w:ind w:firstLine="5280" w:firstLineChars="2200"/>
        <w:rPr>
          <w:color w:val="auto"/>
        </w:rPr>
      </w:pPr>
      <w:r>
        <w:rPr>
          <w:rFonts w:hint="eastAsia"/>
          <w:color w:val="auto"/>
        </w:rPr>
        <w:t>法定代表人（签字或盖章）：</w:t>
      </w:r>
    </w:p>
    <w:p w14:paraId="2934DE00">
      <w:pPr>
        <w:ind w:firstLine="5280" w:firstLineChars="2200"/>
        <w:rPr>
          <w:color w:val="auto"/>
        </w:rPr>
      </w:pPr>
      <w:r>
        <w:rPr>
          <w:rFonts w:hint="eastAsia"/>
          <w:color w:val="auto"/>
        </w:rPr>
        <w:t>日期：</w:t>
      </w:r>
      <w:r>
        <w:rPr>
          <w:rFonts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3332E12C">
      <w:pPr>
        <w:ind w:firstLine="0" w:firstLineChars="0"/>
        <w:jc w:val="center"/>
        <w:rPr>
          <w:rFonts w:ascii="宋体" w:cs="宋体"/>
          <w:color w:val="auto"/>
          <w:szCs w:val="21"/>
        </w:rPr>
      </w:pPr>
    </w:p>
    <w:p w14:paraId="36285CE4">
      <w:pPr>
        <w:pStyle w:val="43"/>
        <w:ind w:left="960" w:firstLine="560"/>
        <w:rPr>
          <w:rFonts w:hAnsi="宋体" w:cs="宋体"/>
          <w:color w:val="auto"/>
          <w:szCs w:val="21"/>
        </w:rPr>
      </w:pPr>
    </w:p>
    <w:p w14:paraId="03026873">
      <w:pPr>
        <w:spacing w:line="440" w:lineRule="exact"/>
        <w:rPr>
          <w:rFonts w:ascii="宋体" w:hAnsi="宋体"/>
          <w:sz w:val="24"/>
          <w:szCs w:val="24"/>
        </w:rPr>
      </w:pPr>
      <w:r>
        <w:rPr>
          <w:rFonts w:hint="eastAsia" w:ascii="宋体" w:hAnsi="宋体"/>
          <w:color w:val="000000"/>
          <w:sz w:val="24"/>
          <w:szCs w:val="24"/>
        </w:rPr>
        <w:t>法定代表人身份证</w:t>
      </w:r>
      <w:r>
        <w:rPr>
          <w:rFonts w:hint="eastAsia" w:ascii="宋体" w:hAnsi="宋体"/>
          <w:color w:val="000000"/>
          <w:sz w:val="24"/>
          <w:szCs w:val="24"/>
          <w:lang w:eastAsia="zh-CN"/>
        </w:rPr>
        <w:t>（正反面）</w:t>
      </w:r>
      <w:r>
        <w:rPr>
          <w:rFonts w:hint="eastAsia" w:ascii="宋体" w:hAnsi="宋体"/>
          <w:color w:val="000000"/>
          <w:sz w:val="24"/>
          <w:szCs w:val="24"/>
        </w:rPr>
        <w:t>扫描件</w:t>
      </w:r>
      <w:r>
        <w:rPr>
          <w:rFonts w:hint="eastAsia" w:ascii="宋体" w:hAnsi="宋体"/>
          <w:sz w:val="24"/>
          <w:szCs w:val="24"/>
        </w:rPr>
        <w:t>：</w:t>
      </w:r>
    </w:p>
    <w:tbl>
      <w:tblPr>
        <w:tblStyle w:val="36"/>
        <w:tblW w:w="7786" w:type="dxa"/>
        <w:jc w:val="center"/>
        <w:tblLayout w:type="fixed"/>
        <w:tblCellMar>
          <w:top w:w="0" w:type="dxa"/>
          <w:left w:w="108" w:type="dxa"/>
          <w:bottom w:w="0" w:type="dxa"/>
          <w:right w:w="108" w:type="dxa"/>
        </w:tblCellMar>
      </w:tblPr>
      <w:tblGrid>
        <w:gridCol w:w="7786"/>
      </w:tblGrid>
      <w:tr w14:paraId="22C7D2BF">
        <w:tblPrEx>
          <w:tblCellMar>
            <w:top w:w="0" w:type="dxa"/>
            <w:left w:w="108" w:type="dxa"/>
            <w:bottom w:w="0" w:type="dxa"/>
            <w:right w:w="108" w:type="dxa"/>
          </w:tblCellMar>
        </w:tblPrEx>
        <w:trPr>
          <w:trHeight w:val="2152" w:hRule="atLeast"/>
          <w:jc w:val="center"/>
        </w:trPr>
        <w:tc>
          <w:tcPr>
            <w:tcW w:w="7786" w:type="dxa"/>
            <w:tcBorders>
              <w:top w:val="single" w:color="auto" w:sz="4" w:space="0"/>
              <w:left w:val="single" w:color="auto" w:sz="4" w:space="0"/>
              <w:bottom w:val="single" w:color="auto" w:sz="4" w:space="0"/>
              <w:right w:val="single" w:color="auto" w:sz="4" w:space="0"/>
            </w:tcBorders>
            <w:noWrap w:val="0"/>
            <w:vAlign w:val="top"/>
          </w:tcPr>
          <w:p w14:paraId="07DA5320">
            <w:pPr>
              <w:spacing w:line="440" w:lineRule="exact"/>
              <w:rPr>
                <w:rFonts w:ascii="宋体" w:hAnsi="宋体"/>
                <w:sz w:val="24"/>
                <w:szCs w:val="24"/>
              </w:rPr>
            </w:pPr>
          </w:p>
        </w:tc>
      </w:tr>
    </w:tbl>
    <w:p w14:paraId="7DCBEF76">
      <w:pPr>
        <w:ind w:firstLine="0" w:firstLineChars="0"/>
        <w:jc w:val="both"/>
        <w:rPr>
          <w:rFonts w:ascii="宋体" w:cs="宋体"/>
          <w:color w:val="auto"/>
          <w:szCs w:val="21"/>
        </w:rPr>
      </w:pPr>
    </w:p>
    <w:p w14:paraId="3F135792">
      <w:pPr>
        <w:ind w:firstLine="0" w:firstLineChars="0"/>
        <w:jc w:val="center"/>
        <w:rPr>
          <w:rFonts w:ascii="宋体" w:cs="宋体"/>
          <w:color w:val="auto"/>
          <w:szCs w:val="21"/>
        </w:rPr>
      </w:pPr>
    </w:p>
    <w:p w14:paraId="7E594092">
      <w:pPr>
        <w:pStyle w:val="48"/>
        <w:rPr>
          <w:rFonts w:ascii="宋体" w:cs="宋体"/>
          <w:color w:val="auto"/>
          <w:szCs w:val="21"/>
        </w:rPr>
      </w:pPr>
    </w:p>
    <w:p w14:paraId="2190CEFC">
      <w:pPr>
        <w:ind w:firstLine="0" w:firstLineChars="0"/>
        <w:jc w:val="center"/>
        <w:outlineLvl w:val="0"/>
        <w:rPr>
          <w:rFonts w:hint="eastAsia" w:ascii="宋体" w:hAnsi="宋体" w:eastAsia="宋体" w:cs="宋体"/>
          <w:b/>
          <w:bCs w:val="0"/>
          <w:color w:val="auto"/>
          <w:kern w:val="2"/>
          <w:sz w:val="30"/>
          <w:szCs w:val="30"/>
          <w:lang w:val="en-US" w:eastAsia="zh-CN" w:bidi="ar-SA"/>
        </w:rPr>
      </w:pPr>
      <w:bookmarkStart w:id="1181" w:name="_Toc28463"/>
      <w:bookmarkStart w:id="1182" w:name="_Toc32293"/>
      <w:bookmarkStart w:id="1183" w:name="_Toc27519"/>
      <w:bookmarkStart w:id="1184" w:name="_Toc23747"/>
      <w:bookmarkStart w:id="1185" w:name="_Toc7187"/>
      <w:bookmarkStart w:id="1186" w:name="_Toc19975"/>
      <w:bookmarkStart w:id="1187" w:name="_Toc16952"/>
      <w:bookmarkStart w:id="1188" w:name="_Toc31005"/>
      <w:bookmarkStart w:id="1189" w:name="_Toc32210"/>
      <w:bookmarkStart w:id="1190" w:name="_Toc14722"/>
      <w:bookmarkStart w:id="1191" w:name="_Toc28833"/>
      <w:bookmarkStart w:id="1192" w:name="_Toc3393"/>
      <w:bookmarkStart w:id="1193" w:name="_Toc31057"/>
      <w:bookmarkStart w:id="1194" w:name="_Toc3231"/>
      <w:bookmarkStart w:id="1195" w:name="_Toc28688"/>
      <w:bookmarkStart w:id="1196" w:name="_Toc8998"/>
      <w:bookmarkStart w:id="1197" w:name="_Toc2013"/>
      <w:bookmarkStart w:id="1198" w:name="_Toc23043"/>
      <w:bookmarkStart w:id="1199" w:name="_Toc27105"/>
      <w:bookmarkStart w:id="1200" w:name="_Toc7792"/>
      <w:bookmarkStart w:id="1201" w:name="_Toc9938"/>
      <w:bookmarkStart w:id="1202" w:name="_Toc27753"/>
      <w:bookmarkStart w:id="1203" w:name="_Toc8970"/>
      <w:bookmarkStart w:id="1204" w:name="_Toc16344"/>
      <w:r>
        <w:rPr>
          <w:rFonts w:hint="eastAsia"/>
          <w:b/>
          <w:bCs/>
          <w:color w:val="auto"/>
          <w:sz w:val="30"/>
          <w:szCs w:val="30"/>
          <w:lang w:val="en-GB"/>
        </w:rPr>
        <w:t>（二）</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r>
        <w:rPr>
          <w:rFonts w:hint="eastAsia" w:ascii="宋体" w:hAnsi="宋体" w:eastAsia="宋体" w:cs="宋体"/>
          <w:b/>
          <w:bCs w:val="0"/>
          <w:color w:val="auto"/>
          <w:kern w:val="2"/>
          <w:sz w:val="30"/>
          <w:szCs w:val="30"/>
          <w:lang w:val="en-US" w:eastAsia="zh-CN" w:bidi="ar-SA"/>
        </w:rPr>
        <w:t>法定代表人授权委托书</w:t>
      </w:r>
    </w:p>
    <w:p w14:paraId="4DFC3823">
      <w:pPr>
        <w:snapToGrid w:val="0"/>
        <w:ind w:firstLine="482"/>
        <w:jc w:val="center"/>
        <w:rPr>
          <w:rFonts w:ascii="宋体" w:cs="宋体"/>
          <w:b/>
          <w:color w:val="auto"/>
        </w:rPr>
      </w:pPr>
    </w:p>
    <w:p w14:paraId="275DBDA9">
      <w:pPr>
        <w:ind w:firstLine="480"/>
        <w:rPr>
          <w:rFonts w:ascii="宋体" w:cs="宋体"/>
          <w:color w:val="auto"/>
          <w:lang w:val="zh-CN"/>
        </w:rPr>
      </w:pPr>
      <w:r>
        <w:rPr>
          <w:rFonts w:hint="eastAsia" w:ascii="宋体" w:hAnsi="宋体" w:cs="宋体"/>
          <w:color w:val="auto"/>
          <w:lang w:val="zh-CN"/>
        </w:rPr>
        <w:t>本人</w:t>
      </w:r>
      <w:r>
        <w:rPr>
          <w:rFonts w:ascii="宋体" w:hAnsi="宋体" w:cs="宋体"/>
          <w:color w:val="auto"/>
          <w:lang w:val="zh-CN"/>
        </w:rPr>
        <w:t xml:space="preserve"> </w:t>
      </w:r>
      <w:r>
        <w:rPr>
          <w:rFonts w:ascii="宋体" w:hAnsi="宋体" w:cs="宋体"/>
          <w:color w:val="auto"/>
          <w:u w:val="single"/>
          <w:lang w:val="zh-CN"/>
        </w:rPr>
        <w:t xml:space="preserve">      </w:t>
      </w:r>
      <w:r>
        <w:rPr>
          <w:rFonts w:hint="eastAsia" w:ascii="宋体" w:hAnsi="宋体" w:cs="宋体"/>
          <w:color w:val="auto"/>
          <w:u w:val="single"/>
          <w:lang w:val="zh-CN"/>
        </w:rPr>
        <w:t>（姓名）</w:t>
      </w:r>
      <w:r>
        <w:rPr>
          <w:rFonts w:ascii="宋体" w:hAnsi="宋体" w:cs="宋体"/>
          <w:color w:val="auto"/>
          <w:u w:val="single"/>
          <w:lang w:val="zh-CN"/>
        </w:rPr>
        <w:t xml:space="preserve">  </w:t>
      </w:r>
      <w:r>
        <w:rPr>
          <w:rFonts w:hint="eastAsia" w:ascii="宋体" w:hAnsi="宋体" w:cs="宋体"/>
          <w:color w:val="auto"/>
          <w:lang w:val="zh-CN"/>
        </w:rPr>
        <w:t>系</w:t>
      </w:r>
      <w:r>
        <w:rPr>
          <w:rFonts w:ascii="宋体" w:hAnsi="宋体" w:cs="宋体"/>
          <w:color w:val="auto"/>
          <w:u w:val="single"/>
          <w:lang w:val="zh-CN"/>
        </w:rPr>
        <w:t xml:space="preserve">        </w:t>
      </w:r>
      <w:r>
        <w:rPr>
          <w:rFonts w:hint="eastAsia" w:ascii="宋体" w:hAnsi="宋体" w:cs="宋体"/>
          <w:color w:val="auto"/>
          <w:u w:val="single"/>
          <w:lang w:val="zh-CN"/>
        </w:rPr>
        <w:t>（投标人名称）</w:t>
      </w:r>
      <w:r>
        <w:rPr>
          <w:rFonts w:ascii="宋体" w:hAnsi="宋体" w:cs="宋体"/>
          <w:color w:val="auto"/>
          <w:u w:val="single"/>
          <w:lang w:val="zh-CN"/>
        </w:rPr>
        <w:t xml:space="preserve">      </w:t>
      </w:r>
      <w:r>
        <w:rPr>
          <w:rFonts w:hint="eastAsia" w:ascii="宋体" w:hAnsi="宋体" w:cs="宋体"/>
          <w:color w:val="auto"/>
          <w:lang w:val="zh-CN"/>
        </w:rPr>
        <w:t>的法定代表人，现授权</w:t>
      </w:r>
    </w:p>
    <w:p w14:paraId="3F381FC8">
      <w:pPr>
        <w:ind w:firstLine="0" w:firstLineChars="0"/>
        <w:rPr>
          <w:rFonts w:ascii="宋体" w:cs="宋体"/>
          <w:color w:val="auto"/>
          <w:lang w:val="zh-CN"/>
        </w:rPr>
      </w:pPr>
      <w:r>
        <w:rPr>
          <w:rFonts w:ascii="宋体" w:hAnsi="宋体" w:cs="宋体"/>
          <w:color w:val="auto"/>
          <w:u w:val="single"/>
          <w:lang w:val="zh-CN"/>
        </w:rPr>
        <w:t xml:space="preserve">      </w:t>
      </w:r>
      <w:r>
        <w:rPr>
          <w:rFonts w:hint="eastAsia" w:ascii="宋体" w:hAnsi="宋体" w:cs="宋体"/>
          <w:color w:val="auto"/>
          <w:u w:val="single"/>
          <w:lang w:val="zh-CN"/>
        </w:rPr>
        <w:t>（姓名）</w:t>
      </w:r>
      <w:r>
        <w:rPr>
          <w:rFonts w:ascii="宋体" w:hAnsi="宋体" w:cs="宋体"/>
          <w:color w:val="auto"/>
          <w:u w:val="single"/>
          <w:lang w:val="zh-CN"/>
        </w:rPr>
        <w:t xml:space="preserve">  </w:t>
      </w:r>
      <w:r>
        <w:rPr>
          <w:rFonts w:hint="eastAsia" w:ascii="宋体" w:hAnsi="宋体" w:cs="宋体"/>
          <w:color w:val="auto"/>
          <w:u w:val="single"/>
          <w:lang w:val="zh-CN"/>
        </w:rPr>
        <w:t>（</w:t>
      </w:r>
      <w:r>
        <w:rPr>
          <w:rFonts w:ascii="宋体" w:hAnsi="宋体" w:cs="宋体"/>
          <w:color w:val="auto"/>
          <w:u w:val="single"/>
          <w:lang w:val="zh-CN"/>
        </w:rPr>
        <w:t xml:space="preserve">   </w:t>
      </w:r>
      <w:r>
        <w:rPr>
          <w:rFonts w:hint="eastAsia" w:ascii="宋体" w:hAnsi="宋体" w:cs="宋体"/>
          <w:color w:val="auto"/>
          <w:u w:val="single"/>
          <w:lang w:val="zh-CN"/>
        </w:rPr>
        <w:t>身份证号码</w:t>
      </w:r>
      <w:r>
        <w:rPr>
          <w:rFonts w:ascii="宋体" w:hAnsi="宋体" w:cs="宋体"/>
          <w:color w:val="auto"/>
          <w:u w:val="single"/>
          <w:lang w:val="zh-CN"/>
        </w:rPr>
        <w:t xml:space="preserve">   </w:t>
      </w:r>
      <w:r>
        <w:rPr>
          <w:rFonts w:hint="eastAsia" w:ascii="宋体" w:hAnsi="宋体" w:cs="宋体"/>
          <w:color w:val="auto"/>
          <w:u w:val="single"/>
          <w:lang w:val="zh-CN"/>
        </w:rPr>
        <w:t>）</w:t>
      </w:r>
      <w:r>
        <w:rPr>
          <w:rFonts w:hint="eastAsia" w:ascii="宋体" w:hAnsi="宋体" w:cs="宋体"/>
          <w:color w:val="auto"/>
          <w:lang w:val="zh-CN"/>
        </w:rPr>
        <w:t>为我方代理人。授权代理人根据授权对</w:t>
      </w:r>
    </w:p>
    <w:p w14:paraId="111816D4">
      <w:pPr>
        <w:ind w:firstLine="0" w:firstLineChars="0"/>
        <w:rPr>
          <w:rFonts w:ascii="宋体" w:cs="宋体"/>
          <w:color w:val="auto"/>
          <w:lang w:val="zh-CN"/>
        </w:rPr>
      </w:pPr>
      <w:r>
        <w:rPr>
          <w:rFonts w:ascii="宋体" w:hAnsi="宋体" w:cs="宋体"/>
          <w:color w:val="auto"/>
          <w:u w:val="single"/>
          <w:lang w:val="zh-CN"/>
        </w:rPr>
        <w:t xml:space="preserve">      </w:t>
      </w:r>
      <w:r>
        <w:rPr>
          <w:rFonts w:hint="eastAsia" w:ascii="宋体" w:hAnsi="宋体" w:cs="宋体"/>
          <w:color w:val="auto"/>
          <w:u w:val="single"/>
          <w:lang w:val="zh-CN"/>
        </w:rPr>
        <w:t>（项目名称）</w:t>
      </w:r>
      <w:r>
        <w:rPr>
          <w:rFonts w:ascii="宋体" w:hAnsi="宋体" w:cs="宋体"/>
          <w:color w:val="auto"/>
          <w:u w:val="single"/>
          <w:lang w:val="zh-CN"/>
        </w:rPr>
        <w:t xml:space="preserve">  </w:t>
      </w:r>
      <w:r>
        <w:rPr>
          <w:rFonts w:hint="eastAsia" w:ascii="宋体" w:hAnsi="宋体" w:cs="宋体"/>
          <w:color w:val="auto"/>
          <w:u w:val="single"/>
          <w:lang w:val="zh-CN"/>
        </w:rPr>
        <w:t>投</w:t>
      </w:r>
      <w:r>
        <w:rPr>
          <w:rFonts w:hint="eastAsia" w:ascii="宋体" w:hAnsi="宋体" w:cs="宋体"/>
          <w:color w:val="auto"/>
          <w:lang w:val="zh-CN"/>
        </w:rPr>
        <w:t>标，以我方名义签署、澄清、说明、补正、提交、撤回、修改投标文件，签订合同和处理有关事宜，其法律后果由我方承担。</w:t>
      </w:r>
    </w:p>
    <w:p w14:paraId="638D5DEF">
      <w:pPr>
        <w:ind w:firstLine="480"/>
        <w:rPr>
          <w:rFonts w:ascii="宋体" w:cs="宋体"/>
          <w:color w:val="auto"/>
          <w:lang w:val="zh-CN"/>
        </w:rPr>
      </w:pPr>
    </w:p>
    <w:p w14:paraId="26AD985B">
      <w:pPr>
        <w:ind w:firstLine="480"/>
        <w:rPr>
          <w:rFonts w:ascii="宋体" w:cs="宋体"/>
          <w:color w:val="auto"/>
          <w:lang w:val="zh-CN"/>
        </w:rPr>
      </w:pPr>
      <w:r>
        <w:rPr>
          <w:rFonts w:hint="eastAsia" w:ascii="宋体" w:hAnsi="宋体" w:cs="宋体"/>
          <w:color w:val="auto"/>
          <w:lang w:val="zh-CN"/>
        </w:rPr>
        <w:t>委托期限：202</w:t>
      </w:r>
      <w:r>
        <w:rPr>
          <w:rFonts w:hint="eastAsia" w:ascii="宋体" w:hAnsi="宋体" w:cs="宋体"/>
          <w:color w:val="auto"/>
          <w:lang w:val="en-US" w:eastAsia="zh-CN"/>
        </w:rPr>
        <w:t>5</w:t>
      </w:r>
      <w:r>
        <w:rPr>
          <w:rFonts w:hint="eastAsia" w:ascii="宋体" w:hAnsi="宋体" w:cs="宋体"/>
          <w:color w:val="auto"/>
          <w:lang w:val="zh-CN"/>
        </w:rPr>
        <w:t>年</w:t>
      </w:r>
      <w:r>
        <w:rPr>
          <w:rFonts w:ascii="宋体" w:hAnsi="宋体" w:cs="宋体"/>
          <w:color w:val="auto"/>
          <w:lang w:val="zh-CN"/>
        </w:rPr>
        <w:t xml:space="preserve">  </w:t>
      </w:r>
      <w:r>
        <w:rPr>
          <w:rFonts w:hint="eastAsia" w:ascii="宋体" w:hAnsi="宋体" w:cs="宋体"/>
          <w:color w:val="auto"/>
          <w:lang w:val="zh-CN"/>
        </w:rPr>
        <w:t>月</w:t>
      </w:r>
      <w:r>
        <w:rPr>
          <w:rFonts w:ascii="宋体" w:hAnsi="宋体" w:cs="宋体"/>
          <w:color w:val="auto"/>
          <w:lang w:val="zh-CN"/>
        </w:rPr>
        <w:t xml:space="preserve">  </w:t>
      </w:r>
      <w:r>
        <w:rPr>
          <w:rFonts w:hint="eastAsia" w:ascii="宋体" w:hAnsi="宋体" w:cs="宋体"/>
          <w:color w:val="auto"/>
          <w:lang w:val="zh-CN"/>
        </w:rPr>
        <w:t>日</w:t>
      </w:r>
      <w:r>
        <w:rPr>
          <w:rFonts w:ascii="宋体" w:hAnsi="宋体" w:cs="宋体"/>
          <w:color w:val="auto"/>
          <w:lang w:val="zh-CN"/>
        </w:rPr>
        <w:t>—</w:t>
      </w:r>
      <w:r>
        <w:rPr>
          <w:rFonts w:hint="eastAsia" w:ascii="宋体" w:hAnsi="宋体" w:cs="宋体"/>
          <w:color w:val="auto"/>
          <w:lang w:val="zh-CN"/>
        </w:rPr>
        <w:t>202</w:t>
      </w:r>
      <w:r>
        <w:rPr>
          <w:rFonts w:hint="eastAsia" w:ascii="宋体" w:hAnsi="宋体" w:cs="宋体"/>
          <w:color w:val="auto"/>
          <w:lang w:val="en-US" w:eastAsia="zh-CN"/>
        </w:rPr>
        <w:t>5</w:t>
      </w:r>
      <w:r>
        <w:rPr>
          <w:rFonts w:hint="eastAsia" w:ascii="宋体" w:hAnsi="宋体" w:cs="宋体"/>
          <w:color w:val="auto"/>
          <w:lang w:val="zh-CN"/>
        </w:rPr>
        <w:t>年</w:t>
      </w:r>
      <w:r>
        <w:rPr>
          <w:rFonts w:ascii="宋体" w:hAnsi="宋体" w:cs="宋体"/>
          <w:color w:val="auto"/>
          <w:lang w:val="zh-CN"/>
        </w:rPr>
        <w:t xml:space="preserve"> </w:t>
      </w:r>
      <w:r>
        <w:rPr>
          <w:rFonts w:hint="eastAsia" w:ascii="宋体" w:hAnsi="宋体" w:cs="宋体"/>
          <w:color w:val="auto"/>
        </w:rPr>
        <w:t xml:space="preserve"> </w:t>
      </w:r>
      <w:r>
        <w:rPr>
          <w:rFonts w:ascii="宋体" w:hAnsi="宋体" w:cs="宋体"/>
          <w:color w:val="auto"/>
          <w:lang w:val="zh-CN"/>
        </w:rPr>
        <w:t xml:space="preserve"> </w:t>
      </w:r>
      <w:r>
        <w:rPr>
          <w:rFonts w:hint="eastAsia" w:ascii="宋体" w:hAnsi="宋体" w:cs="宋体"/>
          <w:color w:val="auto"/>
          <w:lang w:val="zh-CN"/>
        </w:rPr>
        <w:t>月</w:t>
      </w:r>
      <w:r>
        <w:rPr>
          <w:rFonts w:ascii="宋体" w:hAnsi="宋体" w:cs="宋体"/>
          <w:color w:val="auto"/>
          <w:lang w:val="zh-CN"/>
        </w:rPr>
        <w:t xml:space="preserve">  </w:t>
      </w:r>
      <w:r>
        <w:rPr>
          <w:rFonts w:hint="eastAsia" w:ascii="宋体" w:hAnsi="宋体" w:cs="宋体"/>
          <w:color w:val="auto"/>
        </w:rPr>
        <w:t xml:space="preserve"> </w:t>
      </w:r>
      <w:r>
        <w:rPr>
          <w:rFonts w:hint="eastAsia" w:ascii="宋体" w:hAnsi="宋体" w:cs="宋体"/>
          <w:color w:val="auto"/>
          <w:lang w:val="zh-CN"/>
        </w:rPr>
        <w:t>日止。</w:t>
      </w:r>
    </w:p>
    <w:p w14:paraId="11B43DA9">
      <w:pPr>
        <w:ind w:firstLine="480"/>
        <w:rPr>
          <w:rFonts w:ascii="宋体" w:cs="宋体"/>
          <w:color w:val="auto"/>
          <w:lang w:val="zh-CN"/>
        </w:rPr>
      </w:pPr>
      <w:r>
        <w:rPr>
          <w:rFonts w:hint="eastAsia" w:ascii="宋体" w:hAnsi="宋体" w:cs="宋体"/>
          <w:color w:val="auto"/>
          <w:lang w:val="zh-CN"/>
        </w:rPr>
        <w:t>授权代理人无转委托权。</w:t>
      </w:r>
    </w:p>
    <w:p w14:paraId="5B8190BE">
      <w:pPr>
        <w:snapToGrid w:val="0"/>
        <w:spacing w:line="312" w:lineRule="auto"/>
        <w:ind w:firstLine="0" w:firstLineChars="0"/>
        <w:rPr>
          <w:rFonts w:ascii="宋体" w:cs="宋体"/>
          <w:color w:val="auto"/>
          <w:lang w:val="zh-CN"/>
        </w:rPr>
      </w:pPr>
      <w:bookmarkStart w:id="1442" w:name="_GoBack"/>
      <w:bookmarkEnd w:id="1442"/>
    </w:p>
    <w:p w14:paraId="3E9C1BD8">
      <w:pPr>
        <w:snapToGrid w:val="0"/>
        <w:spacing w:line="312" w:lineRule="auto"/>
        <w:ind w:firstLine="480"/>
        <w:rPr>
          <w:rFonts w:ascii="宋体" w:cs="宋体"/>
          <w:color w:val="auto"/>
          <w:lang w:val="zh-CN"/>
        </w:rPr>
      </w:pPr>
    </w:p>
    <w:p w14:paraId="6CD643AD">
      <w:pPr>
        <w:adjustRightInd w:val="0"/>
        <w:snapToGrid w:val="0"/>
        <w:spacing w:line="360" w:lineRule="auto"/>
        <w:ind w:firstLine="4080" w:firstLineChars="1700"/>
        <w:textAlignment w:val="baseline"/>
        <w:rPr>
          <w:rFonts w:ascii="宋体" w:cs="宋体"/>
          <w:color w:val="auto"/>
        </w:rPr>
      </w:pPr>
      <w:r>
        <w:rPr>
          <w:rFonts w:hint="eastAsia" w:ascii="宋体" w:hAnsi="宋体" w:cs="宋体"/>
          <w:color w:val="auto"/>
        </w:rPr>
        <w:t>投标人名称（盖章）</w:t>
      </w:r>
      <w:r>
        <w:rPr>
          <w:rFonts w:ascii="宋体" w:hAnsi="宋体" w:cs="宋体"/>
          <w:color w:val="auto"/>
        </w:rPr>
        <w:t>:</w:t>
      </w:r>
    </w:p>
    <w:p w14:paraId="47A52931">
      <w:pPr>
        <w:adjustRightInd w:val="0"/>
        <w:snapToGrid w:val="0"/>
        <w:spacing w:line="360" w:lineRule="auto"/>
        <w:ind w:firstLine="4080" w:firstLineChars="1700"/>
        <w:textAlignment w:val="baseline"/>
        <w:rPr>
          <w:rFonts w:ascii="宋体" w:cs="宋体"/>
          <w:color w:val="auto"/>
          <w:u w:val="single"/>
        </w:rPr>
      </w:pPr>
      <w:r>
        <w:rPr>
          <w:rFonts w:hint="eastAsia" w:ascii="宋体" w:hAnsi="宋体" w:cs="宋体"/>
          <w:color w:val="auto"/>
        </w:rPr>
        <w:t>法定代表人（签字或盖章）</w:t>
      </w:r>
      <w:r>
        <w:rPr>
          <w:rFonts w:ascii="宋体" w:hAnsi="宋体" w:cs="宋体"/>
          <w:color w:val="auto"/>
        </w:rPr>
        <w:t>:</w:t>
      </w:r>
    </w:p>
    <w:p w14:paraId="1D9EB111">
      <w:pPr>
        <w:adjustRightInd w:val="0"/>
        <w:snapToGrid w:val="0"/>
        <w:spacing w:line="360" w:lineRule="auto"/>
        <w:ind w:firstLine="4080" w:firstLineChars="1700"/>
        <w:textAlignment w:val="baseline"/>
        <w:rPr>
          <w:rFonts w:ascii="宋体" w:cs="宋体"/>
          <w:color w:val="auto"/>
          <w:u w:val="single"/>
        </w:rPr>
      </w:pPr>
      <w:r>
        <w:rPr>
          <w:rFonts w:hint="eastAsia" w:ascii="宋体" w:hAnsi="宋体" w:cs="宋体"/>
          <w:color w:val="auto"/>
        </w:rPr>
        <w:t>法定代表人移动电话</w:t>
      </w:r>
      <w:r>
        <w:rPr>
          <w:rFonts w:ascii="宋体" w:hAnsi="宋体" w:cs="宋体"/>
          <w:color w:val="auto"/>
        </w:rPr>
        <w:t>:</w:t>
      </w:r>
    </w:p>
    <w:p w14:paraId="63BC8D33">
      <w:pPr>
        <w:adjustRightInd w:val="0"/>
        <w:snapToGrid w:val="0"/>
        <w:spacing w:line="360" w:lineRule="auto"/>
        <w:ind w:firstLine="4080" w:firstLineChars="1700"/>
        <w:textAlignment w:val="baseline"/>
        <w:rPr>
          <w:rFonts w:ascii="宋体" w:cs="宋体"/>
          <w:color w:val="auto"/>
          <w:lang w:val="zh-CN"/>
        </w:rPr>
      </w:pPr>
      <w:r>
        <w:rPr>
          <w:rFonts w:hint="eastAsia" w:ascii="宋体" w:hAnsi="宋体" w:cs="宋体"/>
          <w:color w:val="auto"/>
        </w:rPr>
        <w:t>授权代理人移动电话</w:t>
      </w:r>
      <w:r>
        <w:rPr>
          <w:rFonts w:ascii="宋体" w:hAnsi="宋体" w:cs="宋体"/>
          <w:color w:val="auto"/>
        </w:rPr>
        <w:t>:</w:t>
      </w:r>
    </w:p>
    <w:p w14:paraId="012723F6">
      <w:pPr>
        <w:ind w:right="440" w:firstLine="4080" w:firstLineChars="1700"/>
        <w:rPr>
          <w:rFonts w:ascii="宋体" w:cs="宋体"/>
          <w:b/>
          <w:bCs/>
          <w:color w:val="auto"/>
        </w:rPr>
      </w:pPr>
      <w:r>
        <w:rPr>
          <w:rFonts w:hint="eastAsia" w:ascii="宋体" w:hAnsi="宋体" w:cs="宋体"/>
          <w:bCs/>
          <w:color w:val="auto"/>
        </w:rPr>
        <w:t>授权委托日期：202</w:t>
      </w:r>
      <w:r>
        <w:rPr>
          <w:rFonts w:hint="eastAsia" w:ascii="宋体" w:hAnsi="宋体" w:cs="宋体"/>
          <w:bCs/>
          <w:color w:val="auto"/>
          <w:lang w:val="en-US" w:eastAsia="zh-CN"/>
        </w:rPr>
        <w:t>5</w:t>
      </w:r>
      <w:r>
        <w:rPr>
          <w:rFonts w:hint="eastAsia" w:ascii="宋体" w:hAnsi="宋体" w:cs="宋体"/>
          <w:bCs/>
          <w:color w:val="auto"/>
        </w:rPr>
        <w:t>年</w:t>
      </w:r>
      <w:r>
        <w:rPr>
          <w:rFonts w:ascii="宋体" w:hAnsi="宋体" w:cs="宋体"/>
          <w:bCs/>
          <w:color w:val="auto"/>
        </w:rPr>
        <w:t xml:space="preserve"> </w:t>
      </w:r>
      <w:r>
        <w:rPr>
          <w:rFonts w:hint="eastAsia" w:ascii="宋体" w:hAnsi="宋体" w:cs="宋体"/>
          <w:bCs/>
          <w:color w:val="auto"/>
          <w:lang w:val="en-US" w:eastAsia="zh-CN"/>
        </w:rPr>
        <w:t xml:space="preserve"> </w:t>
      </w:r>
      <w:r>
        <w:rPr>
          <w:rFonts w:hint="eastAsia" w:ascii="宋体" w:hAnsi="宋体" w:cs="宋体"/>
          <w:bCs/>
          <w:color w:val="auto"/>
        </w:rPr>
        <w:t>月</w:t>
      </w:r>
      <w:r>
        <w:rPr>
          <w:rFonts w:ascii="宋体" w:hAnsi="宋体" w:cs="宋体"/>
          <w:bCs/>
          <w:color w:val="auto"/>
        </w:rPr>
        <w:t xml:space="preserve">  </w:t>
      </w:r>
      <w:r>
        <w:rPr>
          <w:rFonts w:hint="eastAsia" w:ascii="宋体" w:hAnsi="宋体" w:cs="宋体"/>
          <w:bCs/>
          <w:color w:val="auto"/>
        </w:rPr>
        <w:t>日</w:t>
      </w:r>
    </w:p>
    <w:p w14:paraId="7F9203C0">
      <w:pPr>
        <w:spacing w:line="360" w:lineRule="exact"/>
        <w:ind w:left="2699" w:firstLine="480"/>
        <w:rPr>
          <w:rFonts w:ascii="宋体" w:cs="宋体"/>
          <w:color w:val="auto"/>
          <w:kern w:val="0"/>
        </w:rPr>
      </w:pPr>
    </w:p>
    <w:p w14:paraId="287A1547">
      <w:pPr>
        <w:spacing w:line="440" w:lineRule="exact"/>
        <w:rPr>
          <w:rFonts w:ascii="宋体" w:hAnsi="宋体"/>
          <w:sz w:val="24"/>
          <w:szCs w:val="24"/>
        </w:rPr>
      </w:pPr>
      <w:r>
        <w:rPr>
          <w:rFonts w:hint="eastAsia" w:ascii="宋体" w:hAnsi="宋体"/>
          <w:color w:val="000000"/>
          <w:sz w:val="24"/>
          <w:szCs w:val="24"/>
        </w:rPr>
        <w:t>法定代表人身份证</w:t>
      </w:r>
      <w:r>
        <w:rPr>
          <w:rFonts w:hint="eastAsia" w:ascii="宋体" w:hAnsi="宋体"/>
          <w:color w:val="000000"/>
          <w:sz w:val="24"/>
          <w:szCs w:val="24"/>
          <w:lang w:eastAsia="zh-CN"/>
        </w:rPr>
        <w:t>（正反面）</w:t>
      </w:r>
      <w:r>
        <w:rPr>
          <w:rFonts w:hint="eastAsia" w:ascii="宋体" w:hAnsi="宋体"/>
          <w:color w:val="000000"/>
          <w:sz w:val="24"/>
          <w:szCs w:val="24"/>
        </w:rPr>
        <w:t>扫描件</w:t>
      </w:r>
      <w:r>
        <w:rPr>
          <w:rFonts w:hint="eastAsia" w:ascii="宋体" w:hAnsi="宋体"/>
          <w:sz w:val="24"/>
          <w:szCs w:val="24"/>
        </w:rPr>
        <w:t>：</w:t>
      </w:r>
    </w:p>
    <w:tbl>
      <w:tblPr>
        <w:tblStyle w:val="36"/>
        <w:tblW w:w="7786" w:type="dxa"/>
        <w:jc w:val="center"/>
        <w:tblLayout w:type="fixed"/>
        <w:tblCellMar>
          <w:top w:w="0" w:type="dxa"/>
          <w:left w:w="108" w:type="dxa"/>
          <w:bottom w:w="0" w:type="dxa"/>
          <w:right w:w="108" w:type="dxa"/>
        </w:tblCellMar>
      </w:tblPr>
      <w:tblGrid>
        <w:gridCol w:w="7786"/>
      </w:tblGrid>
      <w:tr w14:paraId="6D073915">
        <w:tblPrEx>
          <w:tblCellMar>
            <w:top w:w="0" w:type="dxa"/>
            <w:left w:w="108" w:type="dxa"/>
            <w:bottom w:w="0" w:type="dxa"/>
            <w:right w:w="108" w:type="dxa"/>
          </w:tblCellMar>
        </w:tblPrEx>
        <w:trPr>
          <w:trHeight w:val="2152" w:hRule="atLeast"/>
          <w:jc w:val="center"/>
        </w:trPr>
        <w:tc>
          <w:tcPr>
            <w:tcW w:w="7786" w:type="dxa"/>
            <w:tcBorders>
              <w:top w:val="single" w:color="auto" w:sz="4" w:space="0"/>
              <w:left w:val="single" w:color="auto" w:sz="4" w:space="0"/>
              <w:bottom w:val="single" w:color="auto" w:sz="4" w:space="0"/>
              <w:right w:val="single" w:color="auto" w:sz="4" w:space="0"/>
            </w:tcBorders>
            <w:noWrap w:val="0"/>
            <w:vAlign w:val="top"/>
          </w:tcPr>
          <w:p w14:paraId="4A64528D">
            <w:pPr>
              <w:spacing w:line="440" w:lineRule="exact"/>
              <w:rPr>
                <w:rFonts w:ascii="宋体" w:hAnsi="宋体"/>
                <w:sz w:val="24"/>
                <w:szCs w:val="24"/>
              </w:rPr>
            </w:pPr>
          </w:p>
        </w:tc>
      </w:tr>
    </w:tbl>
    <w:p w14:paraId="1CB016F6">
      <w:pPr>
        <w:spacing w:line="440" w:lineRule="exact"/>
        <w:rPr>
          <w:rFonts w:ascii="宋体" w:hAnsi="宋体"/>
          <w:sz w:val="24"/>
          <w:szCs w:val="24"/>
        </w:rPr>
      </w:pPr>
      <w:r>
        <w:rPr>
          <w:rFonts w:hint="eastAsia" w:ascii="宋体" w:hAnsi="宋体"/>
          <w:color w:val="000000"/>
          <w:sz w:val="24"/>
          <w:szCs w:val="24"/>
        </w:rPr>
        <w:t>被委托人（授权代表)身份证</w:t>
      </w:r>
      <w:r>
        <w:rPr>
          <w:rFonts w:hint="eastAsia" w:ascii="宋体" w:hAnsi="宋体"/>
          <w:color w:val="000000"/>
          <w:sz w:val="24"/>
          <w:szCs w:val="24"/>
          <w:lang w:eastAsia="zh-CN"/>
        </w:rPr>
        <w:t>（正反面）</w:t>
      </w:r>
      <w:r>
        <w:rPr>
          <w:rFonts w:hint="eastAsia" w:ascii="宋体" w:hAnsi="宋体"/>
          <w:color w:val="000000"/>
          <w:sz w:val="24"/>
          <w:szCs w:val="24"/>
        </w:rPr>
        <w:t>扫描件</w:t>
      </w:r>
      <w:r>
        <w:rPr>
          <w:rFonts w:hint="eastAsia" w:ascii="宋体" w:hAnsi="宋体"/>
          <w:sz w:val="24"/>
          <w:szCs w:val="24"/>
        </w:rPr>
        <w:t>：</w:t>
      </w:r>
    </w:p>
    <w:tbl>
      <w:tblPr>
        <w:tblStyle w:val="36"/>
        <w:tblW w:w="7865" w:type="dxa"/>
        <w:jc w:val="center"/>
        <w:tblLayout w:type="fixed"/>
        <w:tblCellMar>
          <w:top w:w="0" w:type="dxa"/>
          <w:left w:w="108" w:type="dxa"/>
          <w:bottom w:w="0" w:type="dxa"/>
          <w:right w:w="108" w:type="dxa"/>
        </w:tblCellMar>
      </w:tblPr>
      <w:tblGrid>
        <w:gridCol w:w="7865"/>
      </w:tblGrid>
      <w:tr w14:paraId="4CCDF476">
        <w:tblPrEx>
          <w:tblCellMar>
            <w:top w:w="0" w:type="dxa"/>
            <w:left w:w="108" w:type="dxa"/>
            <w:bottom w:w="0" w:type="dxa"/>
            <w:right w:w="108" w:type="dxa"/>
          </w:tblCellMar>
        </w:tblPrEx>
        <w:trPr>
          <w:trHeight w:val="2279" w:hRule="atLeast"/>
          <w:jc w:val="center"/>
        </w:trPr>
        <w:tc>
          <w:tcPr>
            <w:tcW w:w="7865" w:type="dxa"/>
            <w:tcBorders>
              <w:top w:val="single" w:color="auto" w:sz="4" w:space="0"/>
              <w:left w:val="single" w:color="auto" w:sz="4" w:space="0"/>
              <w:bottom w:val="single" w:color="auto" w:sz="4" w:space="0"/>
              <w:right w:val="single" w:color="auto" w:sz="4" w:space="0"/>
            </w:tcBorders>
            <w:noWrap w:val="0"/>
            <w:vAlign w:val="top"/>
          </w:tcPr>
          <w:p w14:paraId="610DB2E6">
            <w:pPr>
              <w:spacing w:line="440" w:lineRule="exact"/>
              <w:rPr>
                <w:rFonts w:ascii="宋体" w:hAnsi="宋体"/>
                <w:sz w:val="24"/>
                <w:szCs w:val="24"/>
              </w:rPr>
            </w:pPr>
          </w:p>
        </w:tc>
      </w:tr>
    </w:tbl>
    <w:p w14:paraId="7CF74456">
      <w:pPr>
        <w:ind w:firstLine="0" w:firstLineChars="0"/>
        <w:jc w:val="left"/>
        <w:outlineLvl w:val="1"/>
        <w:rPr>
          <w:rFonts w:hint="eastAsia" w:ascii="宋体" w:hAnsi="宋体" w:cs="宋体"/>
          <w:b/>
          <w:bCs/>
          <w:color w:val="auto"/>
        </w:rPr>
      </w:pPr>
    </w:p>
    <w:p w14:paraId="6105D0A1">
      <w:pPr>
        <w:ind w:firstLine="0" w:firstLineChars="0"/>
        <w:jc w:val="left"/>
        <w:outlineLvl w:val="1"/>
        <w:rPr>
          <w:rFonts w:hint="eastAsia" w:ascii="宋体" w:hAnsi="宋体" w:eastAsia="宋体" w:cs="宋体"/>
          <w:b/>
          <w:bCs/>
          <w:color w:val="auto"/>
          <w:sz w:val="30"/>
          <w:szCs w:val="30"/>
          <w:lang w:eastAsia="zh-CN"/>
        </w:rPr>
      </w:pPr>
      <w:r>
        <w:rPr>
          <w:rFonts w:hint="eastAsia" w:ascii="宋体" w:hAnsi="宋体" w:cs="宋体"/>
          <w:b/>
          <w:bCs/>
          <w:color w:val="auto"/>
        </w:rPr>
        <w:t>附件</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42"/>
      <w:bookmarkEnd w:id="1143"/>
      <w:bookmarkEnd w:id="1144"/>
      <w:bookmarkEnd w:id="1145"/>
      <w:bookmarkEnd w:id="1146"/>
      <w:bookmarkEnd w:id="1147"/>
      <w:bookmarkEnd w:id="1148"/>
      <w:bookmarkEnd w:id="1149"/>
      <w:bookmarkEnd w:id="1150"/>
      <w:r>
        <w:rPr>
          <w:rFonts w:hint="eastAsia" w:ascii="宋体" w:hAnsi="宋体" w:cs="宋体"/>
          <w:b/>
          <w:bCs/>
          <w:color w:val="auto"/>
          <w:lang w:val="en-US" w:eastAsia="zh-CN"/>
        </w:rPr>
        <w:t>3</w:t>
      </w:r>
    </w:p>
    <w:p w14:paraId="2CDDAE25">
      <w:pPr>
        <w:ind w:firstLine="0" w:firstLineChars="0"/>
        <w:jc w:val="center"/>
        <w:rPr>
          <w:b/>
          <w:bCs/>
          <w:color w:val="auto"/>
          <w:sz w:val="30"/>
          <w:szCs w:val="30"/>
          <w:lang w:val="en-GB"/>
        </w:rPr>
      </w:pPr>
      <w:bookmarkStart w:id="1205" w:name="_Toc22805"/>
      <w:bookmarkStart w:id="1206" w:name="_Toc30725"/>
      <w:r>
        <w:rPr>
          <w:rFonts w:hint="eastAsia"/>
          <w:b/>
          <w:bCs/>
          <w:color w:val="auto"/>
          <w:sz w:val="30"/>
          <w:szCs w:val="30"/>
          <w:lang w:val="en-GB"/>
        </w:rPr>
        <w:t>符合参加国企采购活动应当具备的一般条件的承诺函</w:t>
      </w:r>
      <w:bookmarkEnd w:id="1205"/>
      <w:bookmarkEnd w:id="1206"/>
    </w:p>
    <w:p w14:paraId="6AAD1A63">
      <w:pPr>
        <w:spacing w:line="360" w:lineRule="auto"/>
        <w:ind w:firstLine="480"/>
        <w:rPr>
          <w:rFonts w:ascii="宋体" w:hAnsi="宋体" w:cs="宋体"/>
          <w:color w:val="auto"/>
        </w:rPr>
      </w:pPr>
      <w:r>
        <w:rPr>
          <w:rFonts w:hint="eastAsia" w:ascii="宋体" w:hAnsi="宋体" w:cs="宋体"/>
          <w:color w:val="auto"/>
        </w:rPr>
        <w:t>致：</w:t>
      </w:r>
      <w:r>
        <w:rPr>
          <w:rFonts w:hint="eastAsia" w:ascii="宋体" w:hAnsi="宋体" w:cs="宋体"/>
          <w:color w:val="auto"/>
          <w:u w:val="single"/>
        </w:rPr>
        <w:t>（采购人）</w:t>
      </w:r>
      <w:r>
        <w:rPr>
          <w:rFonts w:hint="eastAsia" w:ascii="宋体" w:hAnsi="宋体" w:cs="宋体"/>
          <w:color w:val="auto"/>
        </w:rPr>
        <w:t>：</w:t>
      </w:r>
    </w:p>
    <w:p w14:paraId="1D69714D">
      <w:pPr>
        <w:pStyle w:val="33"/>
        <w:spacing w:line="360" w:lineRule="auto"/>
        <w:ind w:firstLine="480"/>
        <w:rPr>
          <w:color w:val="auto"/>
        </w:rPr>
      </w:pPr>
      <w:r>
        <w:rPr>
          <w:color w:val="auto"/>
        </w:rPr>
        <w:t>我方参加</w:t>
      </w:r>
      <w:r>
        <w:rPr>
          <w:color w:val="auto"/>
          <w:u w:val="single"/>
        </w:rPr>
        <w:t>项目</w:t>
      </w:r>
      <w:r>
        <w:rPr>
          <w:rFonts w:hint="eastAsia"/>
          <w:color w:val="auto"/>
          <w:u w:val="single"/>
        </w:rPr>
        <w:t>名称</w:t>
      </w:r>
      <w:r>
        <w:rPr>
          <w:color w:val="auto"/>
          <w:u w:val="single"/>
        </w:rPr>
        <w:t>（项目编号)</w:t>
      </w:r>
      <w:r>
        <w:rPr>
          <w:rFonts w:hint="eastAsia"/>
          <w:color w:val="auto"/>
        </w:rPr>
        <w:t>国企</w:t>
      </w:r>
      <w:r>
        <w:rPr>
          <w:color w:val="auto"/>
        </w:rPr>
        <w:t>采购活动，郑重承诺：</w:t>
      </w:r>
    </w:p>
    <w:p w14:paraId="11DAE8B0">
      <w:pPr>
        <w:pStyle w:val="33"/>
        <w:spacing w:line="360" w:lineRule="auto"/>
        <w:ind w:firstLine="480"/>
        <w:outlineLvl w:val="1"/>
        <w:rPr>
          <w:rFonts w:ascii="宋体" w:hAnsi="宋体" w:cs="宋体"/>
          <w:color w:val="auto"/>
        </w:rPr>
      </w:pPr>
      <w:bookmarkStart w:id="1207" w:name="_Toc16964"/>
      <w:bookmarkStart w:id="1208" w:name="_Toc9122"/>
      <w:bookmarkStart w:id="1209" w:name="_Toc1454"/>
      <w:bookmarkStart w:id="1210" w:name="_Toc30342"/>
      <w:bookmarkStart w:id="1211" w:name="_Toc12442"/>
      <w:bookmarkStart w:id="1212" w:name="_Toc25013"/>
      <w:bookmarkStart w:id="1213" w:name="_Toc21843"/>
      <w:bookmarkStart w:id="1214" w:name="_Toc29987"/>
      <w:bookmarkStart w:id="1215" w:name="_Toc3835"/>
      <w:bookmarkStart w:id="1216" w:name="_Toc30156"/>
      <w:r>
        <w:rPr>
          <w:rFonts w:hint="eastAsia" w:ascii="宋体" w:hAnsi="宋体" w:cs="宋体"/>
          <w:color w:val="auto"/>
        </w:rPr>
        <w:t>一、符合《中华人民共和国政府采购法》第二十二条规定的条件：</w:t>
      </w:r>
      <w:bookmarkEnd w:id="1207"/>
      <w:bookmarkEnd w:id="1208"/>
      <w:bookmarkEnd w:id="1209"/>
      <w:bookmarkEnd w:id="1210"/>
      <w:bookmarkEnd w:id="1211"/>
      <w:bookmarkEnd w:id="1212"/>
      <w:bookmarkEnd w:id="1213"/>
      <w:bookmarkEnd w:id="1214"/>
      <w:bookmarkEnd w:id="1215"/>
      <w:bookmarkEnd w:id="1216"/>
    </w:p>
    <w:p w14:paraId="2B5204B6">
      <w:pPr>
        <w:pStyle w:val="33"/>
        <w:spacing w:line="360" w:lineRule="auto"/>
        <w:ind w:firstLine="480"/>
        <w:rPr>
          <w:rFonts w:ascii="宋体" w:hAnsi="宋体" w:cs="宋体"/>
          <w:color w:val="auto"/>
        </w:rPr>
      </w:pPr>
      <w:r>
        <w:rPr>
          <w:rFonts w:hint="eastAsia" w:ascii="宋体" w:hAnsi="宋体" w:cs="宋体"/>
          <w:color w:val="auto"/>
        </w:rPr>
        <w:t>1.具有独立承担民事责任的能力；</w:t>
      </w:r>
    </w:p>
    <w:p w14:paraId="252016A8">
      <w:pPr>
        <w:pStyle w:val="33"/>
        <w:spacing w:line="360" w:lineRule="auto"/>
        <w:ind w:firstLine="480"/>
        <w:rPr>
          <w:rFonts w:ascii="宋体" w:hAnsi="宋体" w:cs="宋体"/>
          <w:color w:val="auto"/>
        </w:rPr>
      </w:pPr>
      <w:r>
        <w:rPr>
          <w:rFonts w:hint="eastAsia" w:ascii="宋体" w:hAnsi="宋体" w:cs="宋体"/>
          <w:color w:val="auto"/>
        </w:rPr>
        <w:t>2.具有良好的商业信誉和健全的财务会计制度；</w:t>
      </w:r>
    </w:p>
    <w:p w14:paraId="404B9B5D">
      <w:pPr>
        <w:pStyle w:val="33"/>
        <w:spacing w:line="360" w:lineRule="auto"/>
        <w:ind w:firstLine="480"/>
        <w:rPr>
          <w:rFonts w:ascii="宋体" w:hAnsi="宋体" w:cs="宋体"/>
          <w:color w:val="auto"/>
        </w:rPr>
      </w:pPr>
      <w:r>
        <w:rPr>
          <w:rFonts w:hint="eastAsia" w:ascii="宋体" w:hAnsi="宋体" w:cs="宋体"/>
          <w:color w:val="auto"/>
        </w:rPr>
        <w:t>3.具有履行合同所必需的设备和专业技术能力；</w:t>
      </w:r>
    </w:p>
    <w:p w14:paraId="26F6A9F9">
      <w:pPr>
        <w:pStyle w:val="33"/>
        <w:spacing w:line="360" w:lineRule="auto"/>
        <w:ind w:firstLine="480"/>
        <w:rPr>
          <w:rFonts w:ascii="宋体" w:hAnsi="宋体" w:cs="宋体"/>
          <w:color w:val="auto"/>
        </w:rPr>
      </w:pPr>
      <w:r>
        <w:rPr>
          <w:rFonts w:hint="eastAsia" w:ascii="宋体" w:hAnsi="宋体" w:cs="宋体"/>
          <w:color w:val="auto"/>
        </w:rPr>
        <w:t>4.有依法缴纳税收和社会保障资金的良好记录；</w:t>
      </w:r>
    </w:p>
    <w:p w14:paraId="48A60A63">
      <w:pPr>
        <w:pStyle w:val="33"/>
        <w:spacing w:line="360" w:lineRule="auto"/>
        <w:ind w:firstLine="480"/>
        <w:rPr>
          <w:rFonts w:ascii="宋体" w:hAnsi="宋体" w:cs="宋体"/>
          <w:color w:val="auto"/>
        </w:rPr>
      </w:pPr>
      <w:r>
        <w:rPr>
          <w:rFonts w:hint="eastAsia" w:ascii="宋体" w:hAnsi="宋体" w:cs="宋体"/>
          <w:color w:val="auto"/>
        </w:rPr>
        <w:t>5.参加国企采购活动前三年内，在经营活动中没有重大违法记录；</w:t>
      </w:r>
    </w:p>
    <w:p w14:paraId="460764BB">
      <w:pPr>
        <w:pStyle w:val="33"/>
        <w:spacing w:line="360" w:lineRule="auto"/>
        <w:ind w:firstLine="480"/>
        <w:rPr>
          <w:rFonts w:ascii="宋体" w:hAnsi="宋体" w:cs="宋体"/>
          <w:color w:val="auto"/>
        </w:rPr>
      </w:pPr>
      <w:r>
        <w:rPr>
          <w:rFonts w:hint="eastAsia" w:ascii="宋体" w:hAnsi="宋体" w:cs="宋体"/>
          <w:color w:val="auto"/>
        </w:rPr>
        <w:t>6.具有法律、行政法规规定的其他条件。</w:t>
      </w:r>
    </w:p>
    <w:p w14:paraId="38C2F6F6">
      <w:pPr>
        <w:adjustRightInd w:val="0"/>
        <w:snapToGrid w:val="0"/>
        <w:spacing w:line="312" w:lineRule="auto"/>
        <w:ind w:firstLine="480"/>
        <w:rPr>
          <w:rFonts w:ascii="宋体" w:hAnsi="宋体" w:cs="宋体"/>
          <w:color w:val="auto"/>
        </w:rPr>
      </w:pPr>
      <w:r>
        <w:rPr>
          <w:rFonts w:hint="eastAsia" w:ascii="宋体" w:hAnsi="宋体" w:cs="宋体"/>
          <w:color w:val="auto"/>
        </w:rPr>
        <w:t>二、未被“信用中国”（www.creditchina.gov.cn)、中国政府采购网（www.ccgp.gov.cn）列入失信被执行人、重大税收违法案件当事人名单、政府采购严重违法失信行为记录名单。</w:t>
      </w:r>
    </w:p>
    <w:p w14:paraId="61C82219">
      <w:pPr>
        <w:pStyle w:val="33"/>
        <w:spacing w:line="360" w:lineRule="auto"/>
        <w:ind w:firstLine="480"/>
        <w:outlineLvl w:val="1"/>
        <w:rPr>
          <w:rFonts w:ascii="宋体" w:hAnsi="宋体" w:cs="宋体"/>
          <w:color w:val="auto"/>
        </w:rPr>
      </w:pPr>
      <w:bookmarkStart w:id="1217" w:name="_Toc24871"/>
      <w:bookmarkStart w:id="1218" w:name="_Toc22036"/>
      <w:bookmarkStart w:id="1219" w:name="_Toc5539"/>
      <w:bookmarkStart w:id="1220" w:name="_Toc5546"/>
      <w:bookmarkStart w:id="1221" w:name="_Toc26374"/>
      <w:bookmarkStart w:id="1222" w:name="_Toc8236"/>
      <w:bookmarkStart w:id="1223" w:name="_Toc7014"/>
      <w:bookmarkStart w:id="1224" w:name="_Toc23111"/>
      <w:bookmarkStart w:id="1225" w:name="_Toc23243"/>
      <w:bookmarkStart w:id="1226" w:name="_Toc12965"/>
      <w:r>
        <w:rPr>
          <w:rFonts w:hint="eastAsia" w:ascii="宋体" w:hAnsi="宋体" w:cs="宋体"/>
          <w:color w:val="auto"/>
        </w:rPr>
        <w:t>三、没有下列情形：</w:t>
      </w:r>
      <w:bookmarkEnd w:id="1217"/>
      <w:bookmarkEnd w:id="1218"/>
      <w:bookmarkEnd w:id="1219"/>
      <w:bookmarkEnd w:id="1220"/>
      <w:bookmarkEnd w:id="1221"/>
      <w:bookmarkEnd w:id="1222"/>
      <w:bookmarkEnd w:id="1223"/>
      <w:bookmarkEnd w:id="1224"/>
      <w:bookmarkEnd w:id="1225"/>
      <w:bookmarkEnd w:id="1226"/>
    </w:p>
    <w:p w14:paraId="5E2A9A35">
      <w:pPr>
        <w:pStyle w:val="33"/>
        <w:spacing w:line="360" w:lineRule="auto"/>
        <w:ind w:firstLine="480"/>
        <w:rPr>
          <w:rFonts w:ascii="宋体" w:hAnsi="宋体" w:cs="宋体"/>
          <w:color w:val="auto"/>
        </w:rPr>
      </w:pPr>
      <w:r>
        <w:rPr>
          <w:rFonts w:hint="eastAsia" w:ascii="宋体" w:hAnsi="宋体" w:cs="宋体"/>
          <w:color w:val="auto"/>
        </w:rPr>
        <w:t>单位负责人为同一人或者存在直接控股、管理关系的不同投标人参加同一合同项下的国企采购活动的；</w:t>
      </w:r>
    </w:p>
    <w:p w14:paraId="3695868D">
      <w:pPr>
        <w:pStyle w:val="33"/>
        <w:spacing w:line="360" w:lineRule="auto"/>
        <w:ind w:firstLine="480"/>
        <w:rPr>
          <w:rFonts w:ascii="宋体" w:hAnsi="宋体" w:cs="宋体"/>
          <w:color w:val="auto"/>
        </w:rPr>
      </w:pPr>
    </w:p>
    <w:p w14:paraId="08CB1A94">
      <w:pPr>
        <w:pStyle w:val="33"/>
        <w:spacing w:line="360" w:lineRule="auto"/>
        <w:ind w:firstLine="480"/>
        <w:rPr>
          <w:rFonts w:hAnsi="宋体"/>
          <w:color w:val="auto"/>
          <w:sz w:val="28"/>
          <w:szCs w:val="28"/>
        </w:rPr>
      </w:pPr>
      <w:r>
        <w:rPr>
          <w:rFonts w:hint="eastAsia" w:ascii="宋体" w:hAnsi="宋体" w:cs="宋体"/>
          <w:color w:val="auto"/>
        </w:rPr>
        <w:t>我方对上述承诺的内容事项真实性负责，如有虚假，由我方承担相关法律责任。</w:t>
      </w:r>
    </w:p>
    <w:p w14:paraId="3D62346C">
      <w:pPr>
        <w:ind w:firstLine="4320" w:firstLineChars="1800"/>
        <w:rPr>
          <w:color w:val="auto"/>
        </w:rPr>
      </w:pPr>
    </w:p>
    <w:p w14:paraId="7B7B2AC4">
      <w:pPr>
        <w:pStyle w:val="17"/>
      </w:pPr>
    </w:p>
    <w:p w14:paraId="15283816">
      <w:pPr>
        <w:ind w:firstLine="4320" w:firstLineChars="1800"/>
        <w:rPr>
          <w:color w:val="auto"/>
        </w:rPr>
      </w:pPr>
      <w:r>
        <w:rPr>
          <w:rFonts w:hint="eastAsia"/>
          <w:color w:val="auto"/>
        </w:rPr>
        <w:t>投标人全称（盖章）：</w:t>
      </w:r>
      <w:r>
        <w:rPr>
          <w:color w:val="auto"/>
        </w:rPr>
        <w:t xml:space="preserve">                         </w:t>
      </w:r>
    </w:p>
    <w:p w14:paraId="41BDF27E">
      <w:pPr>
        <w:ind w:firstLine="4320" w:firstLineChars="1800"/>
        <w:rPr>
          <w:color w:val="auto"/>
        </w:rPr>
      </w:pPr>
      <w:r>
        <w:rPr>
          <w:rFonts w:hint="eastAsia"/>
          <w:color w:val="auto"/>
        </w:rPr>
        <w:t>法定代表人或授权代理人（签字或盖章）：</w:t>
      </w:r>
    </w:p>
    <w:p w14:paraId="420FBCAF">
      <w:pPr>
        <w:ind w:firstLine="4320" w:firstLineChars="1800"/>
        <w:rPr>
          <w:color w:val="auto"/>
        </w:rPr>
      </w:pPr>
      <w:r>
        <w:rPr>
          <w:rFonts w:hint="eastAsia"/>
          <w:color w:val="auto"/>
        </w:rPr>
        <w:t>日期：</w:t>
      </w:r>
      <w:r>
        <w:rPr>
          <w:rFonts w:hint="eastAsia"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4F23FC39">
      <w:pPr>
        <w:ind w:firstLine="0" w:firstLineChars="0"/>
        <w:jc w:val="center"/>
        <w:rPr>
          <w:b/>
          <w:bCs/>
          <w:color w:val="auto"/>
          <w:sz w:val="30"/>
          <w:szCs w:val="30"/>
        </w:rPr>
      </w:pPr>
    </w:p>
    <w:p w14:paraId="59A7CC87">
      <w:pPr>
        <w:pStyle w:val="2"/>
        <w:ind w:left="1082" w:hanging="602"/>
        <w:rPr>
          <w:b/>
          <w:bCs/>
          <w:color w:val="auto"/>
          <w:sz w:val="30"/>
          <w:szCs w:val="30"/>
        </w:rPr>
      </w:pPr>
    </w:p>
    <w:p w14:paraId="4E63545D">
      <w:pPr>
        <w:pStyle w:val="2"/>
        <w:ind w:left="1082" w:hanging="602"/>
        <w:rPr>
          <w:b/>
          <w:bCs/>
          <w:color w:val="auto"/>
          <w:sz w:val="30"/>
          <w:szCs w:val="30"/>
        </w:rPr>
      </w:pPr>
    </w:p>
    <w:p w14:paraId="47F492F9">
      <w:pPr>
        <w:pStyle w:val="2"/>
        <w:ind w:left="0" w:leftChars="0" w:firstLine="0" w:firstLineChars="0"/>
        <w:rPr>
          <w:b/>
          <w:bCs/>
          <w:color w:val="auto"/>
          <w:sz w:val="30"/>
          <w:szCs w:val="30"/>
        </w:rPr>
      </w:pPr>
    </w:p>
    <w:p w14:paraId="0D2461B0">
      <w:pPr>
        <w:spacing w:line="420" w:lineRule="exact"/>
        <w:ind w:firstLine="0" w:firstLineChars="0"/>
        <w:jc w:val="center"/>
        <w:rPr>
          <w:rFonts w:ascii="宋体" w:hAnsi="宋体" w:cs="宋体"/>
          <w:b/>
          <w:color w:val="auto"/>
          <w:sz w:val="32"/>
          <w:szCs w:val="32"/>
        </w:rPr>
      </w:pPr>
      <w:bookmarkStart w:id="1227" w:name="_Toc23415"/>
      <w:bookmarkStart w:id="1228" w:name="_Toc13645"/>
      <w:bookmarkStart w:id="1229" w:name="_Toc1864"/>
      <w:bookmarkStart w:id="1230" w:name="_Toc15718"/>
      <w:bookmarkStart w:id="1231" w:name="_Toc3537"/>
      <w:bookmarkStart w:id="1232" w:name="_Toc11177"/>
      <w:bookmarkStart w:id="1233" w:name="_Toc6704"/>
      <w:bookmarkStart w:id="1234" w:name="_Toc16263"/>
      <w:bookmarkStart w:id="1235" w:name="_Toc2026"/>
      <w:bookmarkStart w:id="1236" w:name="_Toc29188"/>
      <w:bookmarkStart w:id="1237" w:name="_Toc23824"/>
      <w:bookmarkStart w:id="1238" w:name="_Toc13161"/>
      <w:bookmarkStart w:id="1239" w:name="_Toc3679"/>
      <w:bookmarkStart w:id="1240" w:name="_Toc26305"/>
      <w:bookmarkStart w:id="1241" w:name="_Toc21736"/>
      <w:bookmarkStart w:id="1242" w:name="_Toc24544"/>
      <w:bookmarkStart w:id="1243" w:name="_Toc9266"/>
      <w:bookmarkStart w:id="1244" w:name="_Toc23844"/>
      <w:bookmarkStart w:id="1245" w:name="_Toc21343"/>
      <w:bookmarkStart w:id="1246" w:name="_Toc31494"/>
      <w:bookmarkStart w:id="1247" w:name="_Toc694"/>
      <w:bookmarkStart w:id="1248" w:name="_Toc22777"/>
    </w:p>
    <w:p w14:paraId="1D0B0936">
      <w:pPr>
        <w:ind w:left="0" w:leftChars="0" w:firstLine="0" w:firstLineChars="0"/>
        <w:rPr>
          <w:rFonts w:hint="default"/>
          <w:lang w:val="en-US" w:eastAsia="zh-CN"/>
        </w:rPr>
      </w:pPr>
    </w:p>
    <w:p w14:paraId="639548E6">
      <w:pPr>
        <w:spacing w:line="420" w:lineRule="exact"/>
        <w:ind w:firstLine="0" w:firstLineChars="0"/>
        <w:jc w:val="both"/>
        <w:outlineLvl w:val="9"/>
        <w:rPr>
          <w:rFonts w:ascii="宋体" w:hAnsi="宋体" w:cs="宋体"/>
          <w:b/>
          <w:color w:val="auto"/>
          <w:sz w:val="32"/>
          <w:szCs w:val="32"/>
        </w:rPr>
      </w:pPr>
      <w:bookmarkStart w:id="1249" w:name="_Toc32499"/>
      <w:bookmarkStart w:id="1250" w:name="_Toc3556"/>
      <w:bookmarkStart w:id="1251" w:name="_Toc26772"/>
      <w:bookmarkStart w:id="1252" w:name="_Toc1142"/>
    </w:p>
    <w:p w14:paraId="7AFB99FA">
      <w:pPr>
        <w:spacing w:line="420" w:lineRule="exact"/>
        <w:ind w:firstLine="0" w:firstLineChars="0"/>
        <w:jc w:val="center"/>
        <w:outlineLvl w:val="0"/>
        <w:rPr>
          <w:rFonts w:ascii="宋体" w:cs="宋体"/>
          <w:b/>
          <w:color w:val="auto"/>
          <w:sz w:val="32"/>
          <w:szCs w:val="32"/>
        </w:rPr>
      </w:pPr>
      <w:bookmarkStart w:id="1253" w:name="_Toc27762"/>
      <w:bookmarkStart w:id="1254" w:name="_Toc15860"/>
      <w:bookmarkStart w:id="1255" w:name="_Toc30141"/>
      <w:bookmarkStart w:id="1256" w:name="_Toc17325"/>
      <w:r>
        <w:rPr>
          <w:rFonts w:hint="eastAsia" w:ascii="宋体" w:hAnsi="宋体" w:cs="宋体"/>
          <w:b/>
          <w:color w:val="auto"/>
          <w:sz w:val="32"/>
          <w:szCs w:val="32"/>
          <w:lang w:eastAsia="zh-CN"/>
        </w:rPr>
        <w:t>技术商务文件</w:t>
      </w:r>
      <w:r>
        <w:rPr>
          <w:rFonts w:hint="eastAsia" w:ascii="宋体" w:hAnsi="宋体" w:cs="宋体"/>
          <w:b/>
          <w:color w:val="auto"/>
          <w:sz w:val="32"/>
          <w:szCs w:val="32"/>
        </w:rPr>
        <w:t>封面格式</w:t>
      </w:r>
      <w:bookmarkEnd w:id="1227"/>
      <w:bookmarkEnd w:id="1228"/>
      <w:bookmarkEnd w:id="1229"/>
      <w:bookmarkEnd w:id="1230"/>
      <w:bookmarkEnd w:id="1231"/>
      <w:bookmarkEnd w:id="1232"/>
      <w:bookmarkEnd w:id="1233"/>
      <w:bookmarkEnd w:id="1234"/>
      <w:bookmarkEnd w:id="1235"/>
      <w:bookmarkEnd w:id="1236"/>
      <w:bookmarkEnd w:id="1237"/>
      <w:bookmarkEnd w:id="1249"/>
      <w:bookmarkEnd w:id="1250"/>
      <w:bookmarkEnd w:id="1251"/>
      <w:bookmarkEnd w:id="1252"/>
      <w:bookmarkEnd w:id="1253"/>
      <w:bookmarkEnd w:id="1254"/>
      <w:bookmarkEnd w:id="1255"/>
      <w:bookmarkEnd w:id="1256"/>
    </w:p>
    <w:p w14:paraId="52CEA0AF">
      <w:pPr>
        <w:pStyle w:val="21"/>
        <w:spacing w:line="420" w:lineRule="exact"/>
        <w:ind w:left="120" w:leftChars="50" w:firstLine="3855" w:firstLineChars="1200"/>
        <w:jc w:val="left"/>
        <w:rPr>
          <w:rFonts w:ascii="宋体" w:hAnsi="宋体" w:eastAsia="宋体" w:cs="宋体"/>
          <w:color w:val="auto"/>
          <w:sz w:val="32"/>
        </w:rPr>
      </w:pPr>
    </w:p>
    <w:p w14:paraId="7D366EE8">
      <w:pPr>
        <w:spacing w:line="420" w:lineRule="exact"/>
        <w:ind w:firstLine="640"/>
        <w:jc w:val="center"/>
        <w:rPr>
          <w:rFonts w:ascii="宋体" w:hAnsi="宋体" w:cs="宋体"/>
          <w:color w:val="auto"/>
          <w:sz w:val="32"/>
          <w:szCs w:val="32"/>
        </w:rPr>
      </w:pPr>
    </w:p>
    <w:p w14:paraId="403F7EA3">
      <w:pPr>
        <w:spacing w:line="420" w:lineRule="exact"/>
        <w:ind w:firstLine="883"/>
        <w:rPr>
          <w:rFonts w:ascii="宋体" w:cs="宋体"/>
          <w:b/>
          <w:color w:val="auto"/>
          <w:sz w:val="44"/>
          <w:szCs w:val="44"/>
        </w:rPr>
      </w:pPr>
    </w:p>
    <w:p w14:paraId="01ED06DB">
      <w:pPr>
        <w:ind w:firstLine="480"/>
        <w:rPr>
          <w:rFonts w:ascii="宋体" w:cs="宋体"/>
          <w:color w:val="auto"/>
        </w:rPr>
      </w:pPr>
    </w:p>
    <w:p w14:paraId="551FA810">
      <w:pPr>
        <w:pStyle w:val="4"/>
        <w:numPr>
          <w:ilvl w:val="255"/>
          <w:numId w:val="0"/>
        </w:numPr>
        <w:spacing w:before="156" w:after="156"/>
        <w:jc w:val="both"/>
        <w:outlineLvl w:val="9"/>
        <w:rPr>
          <w:color w:val="auto"/>
        </w:rPr>
      </w:pPr>
    </w:p>
    <w:p w14:paraId="1225088C">
      <w:pPr>
        <w:ind w:firstLine="480"/>
        <w:rPr>
          <w:color w:val="auto"/>
        </w:rPr>
      </w:pPr>
    </w:p>
    <w:p w14:paraId="7EF60B75">
      <w:pPr>
        <w:spacing w:line="240" w:lineRule="auto"/>
        <w:ind w:firstLine="0" w:firstLineChars="0"/>
        <w:jc w:val="center"/>
        <w:rPr>
          <w:rFonts w:ascii="宋体" w:cs="宋体"/>
          <w:b/>
          <w:bCs/>
          <w:color w:val="auto"/>
          <w:sz w:val="72"/>
          <w:szCs w:val="72"/>
        </w:rPr>
      </w:pPr>
    </w:p>
    <w:p w14:paraId="71C6728E">
      <w:pPr>
        <w:spacing w:line="240" w:lineRule="auto"/>
        <w:ind w:firstLine="0" w:firstLineChars="0"/>
        <w:jc w:val="center"/>
        <w:outlineLvl w:val="1"/>
        <w:rPr>
          <w:rFonts w:hint="eastAsia" w:ascii="宋体" w:eastAsia="宋体" w:cs="宋体"/>
          <w:b/>
          <w:bCs/>
          <w:color w:val="auto"/>
          <w:sz w:val="72"/>
          <w:szCs w:val="72"/>
          <w:lang w:eastAsia="zh-CN"/>
        </w:rPr>
      </w:pPr>
      <w:r>
        <w:rPr>
          <w:rFonts w:hint="eastAsia" w:ascii="宋体" w:hAnsi="宋体" w:cs="宋体"/>
          <w:b/>
          <w:bCs/>
          <w:color w:val="auto"/>
          <w:sz w:val="72"/>
          <w:szCs w:val="72"/>
          <w:lang w:eastAsia="zh-CN"/>
        </w:rPr>
        <w:t>技术商务文件</w:t>
      </w:r>
    </w:p>
    <w:p w14:paraId="00E08D39">
      <w:pPr>
        <w:spacing w:line="240" w:lineRule="auto"/>
        <w:ind w:firstLine="883"/>
        <w:jc w:val="center"/>
        <w:rPr>
          <w:rFonts w:ascii="宋体" w:cs="宋体"/>
          <w:b/>
          <w:bCs/>
          <w:color w:val="auto"/>
          <w:sz w:val="44"/>
          <w:szCs w:val="44"/>
        </w:rPr>
      </w:pPr>
    </w:p>
    <w:p w14:paraId="3486F812">
      <w:pPr>
        <w:ind w:firstLine="0" w:firstLineChars="0"/>
        <w:rPr>
          <w:rFonts w:ascii="宋体" w:cs="宋体"/>
          <w:color w:val="auto"/>
        </w:rPr>
      </w:pPr>
    </w:p>
    <w:p w14:paraId="52951798">
      <w:pPr>
        <w:pStyle w:val="17"/>
        <w:ind w:firstLine="0" w:firstLineChars="0"/>
        <w:rPr>
          <w:color w:val="auto"/>
        </w:rPr>
      </w:pPr>
    </w:p>
    <w:p w14:paraId="64E7F65D">
      <w:pPr>
        <w:pStyle w:val="17"/>
        <w:ind w:firstLine="0" w:firstLineChars="0"/>
        <w:rPr>
          <w:color w:val="auto"/>
        </w:rPr>
      </w:pPr>
    </w:p>
    <w:p w14:paraId="4141568E">
      <w:pPr>
        <w:pStyle w:val="16"/>
        <w:ind w:left="0" w:leftChars="0" w:firstLine="0" w:firstLineChars="0"/>
        <w:rPr>
          <w:color w:val="auto"/>
        </w:rPr>
      </w:pPr>
    </w:p>
    <w:p w14:paraId="7FCED7C8">
      <w:pPr>
        <w:pStyle w:val="42"/>
        <w:ind w:firstLine="480"/>
        <w:rPr>
          <w:color w:val="auto"/>
        </w:rPr>
      </w:pPr>
    </w:p>
    <w:p w14:paraId="32EFFBBB">
      <w:pPr>
        <w:ind w:firstLine="0" w:firstLineChars="0"/>
        <w:rPr>
          <w:rFonts w:ascii="宋体" w:cs="宋体"/>
          <w:color w:val="auto"/>
        </w:rPr>
      </w:pPr>
    </w:p>
    <w:p w14:paraId="685E435A">
      <w:pPr>
        <w:pStyle w:val="2"/>
        <w:ind w:left="960" w:hanging="480"/>
        <w:rPr>
          <w:color w:val="auto"/>
        </w:rPr>
      </w:pPr>
    </w:p>
    <w:p w14:paraId="20806990">
      <w:pPr>
        <w:spacing w:line="360" w:lineRule="auto"/>
        <w:ind w:firstLine="640"/>
        <w:rPr>
          <w:rFonts w:ascii="宋体" w:cs="宋体"/>
          <w:color w:val="auto"/>
          <w:sz w:val="32"/>
        </w:rPr>
      </w:pPr>
      <w:r>
        <w:rPr>
          <w:rFonts w:hint="eastAsia" w:ascii="宋体" w:hAnsi="宋体" w:cs="宋体"/>
          <w:color w:val="auto"/>
          <w:sz w:val="32"/>
        </w:rPr>
        <w:t>项目编号：</w:t>
      </w:r>
      <w:r>
        <w:rPr>
          <w:rFonts w:hint="eastAsia" w:ascii="宋体" w:hAnsi="宋体" w:cs="宋体"/>
          <w:color w:val="auto"/>
          <w:sz w:val="32"/>
          <w:u w:val="single"/>
          <w:lang w:eastAsia="zh-CN"/>
        </w:rPr>
        <w:t>ZJZHGL2025-005</w:t>
      </w:r>
      <w:r>
        <w:rPr>
          <w:rFonts w:ascii="宋体" w:hAnsi="宋体" w:cs="宋体"/>
          <w:color w:val="auto"/>
          <w:sz w:val="32"/>
          <w:u w:val="single"/>
        </w:rPr>
        <w:t xml:space="preserve">                      </w:t>
      </w:r>
    </w:p>
    <w:p w14:paraId="73B0D63C">
      <w:pPr>
        <w:spacing w:line="360" w:lineRule="auto"/>
        <w:ind w:firstLine="640"/>
        <w:rPr>
          <w:rFonts w:ascii="宋体" w:cs="宋体"/>
          <w:color w:val="auto"/>
          <w:sz w:val="32"/>
          <w:u w:val="single"/>
        </w:rPr>
      </w:pPr>
      <w:r>
        <w:rPr>
          <w:rFonts w:hint="eastAsia" w:ascii="宋体" w:hAnsi="宋体" w:cs="宋体"/>
          <w:color w:val="auto"/>
          <w:sz w:val="32"/>
        </w:rPr>
        <w:t>投</w:t>
      </w:r>
      <w:r>
        <w:rPr>
          <w:rFonts w:ascii="宋体" w:hAnsi="宋体" w:cs="宋体"/>
          <w:color w:val="auto"/>
          <w:sz w:val="32"/>
        </w:rPr>
        <w:t xml:space="preserve"> </w:t>
      </w:r>
      <w:r>
        <w:rPr>
          <w:rFonts w:hint="eastAsia" w:ascii="宋体" w:hAnsi="宋体" w:cs="宋体"/>
          <w:color w:val="auto"/>
          <w:sz w:val="32"/>
        </w:rPr>
        <w:t>标</w:t>
      </w:r>
      <w:r>
        <w:rPr>
          <w:rFonts w:ascii="宋体" w:hAnsi="宋体" w:cs="宋体"/>
          <w:color w:val="auto"/>
          <w:sz w:val="32"/>
        </w:rPr>
        <w:t xml:space="preserve"> </w:t>
      </w:r>
      <w:r>
        <w:rPr>
          <w:rFonts w:hint="eastAsia" w:ascii="宋体" w:hAnsi="宋体" w:cs="宋体"/>
          <w:color w:val="auto"/>
          <w:sz w:val="32"/>
        </w:rPr>
        <w:t>人：</w:t>
      </w:r>
      <w:r>
        <w:rPr>
          <w:rFonts w:ascii="宋体" w:hAnsi="宋体" w:cs="宋体"/>
          <w:color w:val="auto"/>
          <w:sz w:val="32"/>
          <w:u w:val="single"/>
        </w:rPr>
        <w:t xml:space="preserve">        </w:t>
      </w:r>
      <w:r>
        <w:rPr>
          <w:rFonts w:hint="eastAsia" w:ascii="宋体" w:hAnsi="宋体" w:cs="宋体"/>
          <w:color w:val="auto"/>
          <w:sz w:val="32"/>
          <w:u w:val="single"/>
        </w:rPr>
        <w:t>（全称）</w:t>
      </w:r>
      <w:r>
        <w:rPr>
          <w:rFonts w:ascii="宋体" w:hAnsi="宋体" w:cs="宋体"/>
          <w:color w:val="auto"/>
          <w:sz w:val="32"/>
          <w:u w:val="single"/>
        </w:rPr>
        <w:t xml:space="preserve">        </w:t>
      </w:r>
      <w:r>
        <w:rPr>
          <w:rFonts w:hint="eastAsia" w:ascii="宋体" w:hAnsi="宋体" w:cs="宋体"/>
          <w:color w:val="auto"/>
          <w:sz w:val="32"/>
          <w:u w:val="single"/>
        </w:rPr>
        <w:t>（加盖公章）</w:t>
      </w:r>
    </w:p>
    <w:p w14:paraId="26D2A250">
      <w:pPr>
        <w:spacing w:line="360" w:lineRule="auto"/>
        <w:ind w:firstLine="640"/>
        <w:rPr>
          <w:rFonts w:ascii="宋体" w:cs="宋体"/>
          <w:color w:val="auto"/>
          <w:sz w:val="32"/>
          <w:u w:val="single"/>
        </w:rPr>
      </w:pPr>
      <w:r>
        <w:rPr>
          <w:rFonts w:hint="eastAsia" w:ascii="宋体" w:hAnsi="宋体" w:cs="宋体"/>
          <w:color w:val="auto"/>
          <w:sz w:val="32"/>
        </w:rPr>
        <w:t>法定代表人或授权代表人签字或盖章：</w:t>
      </w:r>
    </w:p>
    <w:p w14:paraId="0E7001A6">
      <w:pPr>
        <w:spacing w:line="360" w:lineRule="auto"/>
        <w:ind w:firstLine="640"/>
        <w:rPr>
          <w:rFonts w:ascii="宋体" w:cs="宋体"/>
          <w:color w:val="auto"/>
          <w:sz w:val="32"/>
          <w:u w:val="single"/>
        </w:rPr>
      </w:pPr>
      <w:r>
        <w:rPr>
          <w:rFonts w:hint="eastAsia" w:ascii="宋体" w:hAnsi="宋体" w:cs="宋体"/>
          <w:color w:val="auto"/>
          <w:sz w:val="32"/>
        </w:rPr>
        <w:t>投标人地址：</w:t>
      </w:r>
    </w:p>
    <w:p w14:paraId="30C2B4CB">
      <w:pPr>
        <w:spacing w:line="360" w:lineRule="auto"/>
        <w:ind w:firstLine="0" w:firstLineChars="0"/>
        <w:jc w:val="center"/>
        <w:rPr>
          <w:rFonts w:hint="eastAsia" w:ascii="宋体" w:hAnsi="宋体" w:cs="宋体"/>
          <w:color w:val="auto"/>
          <w:sz w:val="32"/>
        </w:rPr>
      </w:pPr>
    </w:p>
    <w:p w14:paraId="4F9E1FCB">
      <w:pPr>
        <w:spacing w:line="360" w:lineRule="auto"/>
        <w:ind w:firstLine="0" w:firstLineChars="0"/>
        <w:jc w:val="center"/>
        <w:rPr>
          <w:rFonts w:ascii="宋体" w:hAnsi="宋体" w:cs="宋体"/>
          <w:b/>
          <w:bCs/>
          <w:color w:val="auto"/>
        </w:rPr>
      </w:pPr>
      <w:r>
        <w:rPr>
          <w:rFonts w:hint="eastAsia" w:ascii="宋体" w:hAnsi="宋体" w:cs="宋体"/>
          <w:color w:val="auto"/>
          <w:sz w:val="32"/>
        </w:rPr>
        <w:t>二〇二</w:t>
      </w:r>
      <w:r>
        <w:rPr>
          <w:rFonts w:hint="eastAsia" w:ascii="宋体" w:hAnsi="宋体" w:cs="宋体"/>
          <w:color w:val="auto"/>
          <w:sz w:val="32"/>
          <w:lang w:val="en-US" w:eastAsia="zh-CN"/>
        </w:rPr>
        <w:t>五</w:t>
      </w:r>
      <w:r>
        <w:rPr>
          <w:rFonts w:hint="eastAsia" w:ascii="宋体" w:hAnsi="宋体" w:cs="宋体"/>
          <w:color w:val="auto"/>
          <w:sz w:val="32"/>
        </w:rPr>
        <w:t>年</w:t>
      </w:r>
      <w:r>
        <w:rPr>
          <w:rFonts w:ascii="宋体" w:hAnsi="宋体" w:cs="宋体"/>
          <w:color w:val="auto"/>
          <w:sz w:val="32"/>
        </w:rPr>
        <w:t xml:space="preserve">    </w:t>
      </w:r>
      <w:r>
        <w:rPr>
          <w:rFonts w:hint="eastAsia" w:ascii="宋体" w:hAnsi="宋体" w:cs="宋体"/>
          <w:color w:val="auto"/>
          <w:sz w:val="32"/>
        </w:rPr>
        <w:t>月</w:t>
      </w:r>
      <w:r>
        <w:rPr>
          <w:rFonts w:ascii="宋体" w:hAnsi="宋体" w:cs="宋体"/>
          <w:color w:val="auto"/>
          <w:sz w:val="32"/>
        </w:rPr>
        <w:t xml:space="preserve">    </w:t>
      </w:r>
      <w:r>
        <w:rPr>
          <w:rFonts w:hint="eastAsia" w:ascii="宋体" w:hAnsi="宋体" w:cs="宋体"/>
          <w:color w:val="auto"/>
          <w:sz w:val="32"/>
        </w:rPr>
        <w:t>日</w:t>
      </w:r>
    </w:p>
    <w:p w14:paraId="34D9CAFD">
      <w:pPr>
        <w:ind w:firstLine="0" w:firstLineChars="0"/>
        <w:jc w:val="left"/>
        <w:outlineLvl w:val="1"/>
        <w:rPr>
          <w:rFonts w:hint="eastAsia" w:eastAsia="宋体"/>
          <w:b/>
          <w:bCs/>
          <w:color w:val="auto"/>
          <w:sz w:val="30"/>
          <w:szCs w:val="30"/>
          <w:lang w:eastAsia="zh-CN"/>
        </w:rPr>
      </w:pPr>
      <w:bookmarkStart w:id="1257" w:name="_Toc9226"/>
      <w:bookmarkStart w:id="1258" w:name="_Toc5926"/>
      <w:bookmarkStart w:id="1259" w:name="_Toc8127"/>
      <w:bookmarkStart w:id="1260" w:name="_Toc26617"/>
      <w:bookmarkStart w:id="1261" w:name="_Toc2784"/>
      <w:bookmarkStart w:id="1262" w:name="_Toc19658"/>
      <w:bookmarkStart w:id="1263" w:name="_Toc29662"/>
      <w:bookmarkStart w:id="1264" w:name="_Toc21678"/>
      <w:bookmarkStart w:id="1265" w:name="_Toc718"/>
      <w:bookmarkStart w:id="1266" w:name="_Toc19930"/>
      <w:bookmarkStart w:id="1267" w:name="_Toc20104"/>
      <w:bookmarkStart w:id="1268" w:name="_Toc31432"/>
      <w:bookmarkStart w:id="1269" w:name="_Toc10280"/>
      <w:bookmarkStart w:id="1270" w:name="_Toc23837"/>
      <w:bookmarkStart w:id="1271" w:name="_Toc25259"/>
      <w:bookmarkStart w:id="1272" w:name="_Toc27462"/>
      <w:bookmarkStart w:id="1273" w:name="_Toc28232"/>
      <w:bookmarkStart w:id="1274" w:name="_Toc1634"/>
      <w:bookmarkStart w:id="1275" w:name="_Toc16681"/>
      <w:r>
        <w:rPr>
          <w:rFonts w:hint="eastAsia" w:ascii="宋体" w:hAnsi="宋体" w:cs="宋体"/>
          <w:b/>
          <w:bCs/>
          <w:color w:val="auto"/>
        </w:rPr>
        <w:t>附件</w:t>
      </w:r>
      <w:bookmarkEnd w:id="1238"/>
      <w:bookmarkEnd w:id="1239"/>
      <w:bookmarkEnd w:id="1240"/>
      <w:bookmarkEnd w:id="1241"/>
      <w:bookmarkEnd w:id="1242"/>
      <w:bookmarkEnd w:id="1243"/>
      <w:bookmarkEnd w:id="1244"/>
      <w:bookmarkEnd w:id="1245"/>
      <w:bookmarkEnd w:id="1246"/>
      <w:bookmarkEnd w:id="1247"/>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rPr>
          <w:rFonts w:hint="eastAsia" w:ascii="宋体" w:hAnsi="宋体" w:cs="宋体"/>
          <w:b/>
          <w:bCs/>
          <w:color w:val="auto"/>
          <w:lang w:val="en-US" w:eastAsia="zh-CN"/>
        </w:rPr>
        <w:t>4</w:t>
      </w:r>
    </w:p>
    <w:bookmarkEnd w:id="1248"/>
    <w:p w14:paraId="702E69A9">
      <w:pPr>
        <w:ind w:firstLine="0" w:firstLineChars="0"/>
        <w:jc w:val="center"/>
        <w:rPr>
          <w:b/>
          <w:bCs/>
          <w:color w:val="auto"/>
          <w:sz w:val="30"/>
          <w:szCs w:val="30"/>
          <w:lang w:val="en-GB"/>
        </w:rPr>
      </w:pPr>
      <w:r>
        <w:rPr>
          <w:rFonts w:hint="eastAsia"/>
          <w:b/>
          <w:bCs/>
          <w:color w:val="auto"/>
          <w:sz w:val="30"/>
          <w:szCs w:val="30"/>
          <w:lang w:val="en-GB"/>
        </w:rPr>
        <w:t>投标函</w:t>
      </w:r>
      <w:bookmarkEnd w:id="1057"/>
      <w:bookmarkEnd w:id="1058"/>
      <w:bookmarkEnd w:id="1059"/>
      <w:bookmarkEnd w:id="1060"/>
      <w:bookmarkEnd w:id="1061"/>
      <w:bookmarkEnd w:id="1062"/>
      <w:bookmarkEnd w:id="1063"/>
      <w:bookmarkEnd w:id="1064"/>
    </w:p>
    <w:p w14:paraId="5C5C6EC8">
      <w:pPr>
        <w:adjustRightInd w:val="0"/>
        <w:snapToGrid w:val="0"/>
        <w:spacing w:line="360" w:lineRule="auto"/>
        <w:ind w:firstLine="480"/>
        <w:rPr>
          <w:rFonts w:ascii="宋体" w:hAnsi="宋体" w:cs="宋体"/>
          <w:color w:val="auto"/>
          <w:u w:val="single"/>
        </w:rPr>
      </w:pPr>
      <w:r>
        <w:rPr>
          <w:rFonts w:hint="eastAsia" w:ascii="宋体" w:hAnsi="宋体" w:cs="宋体"/>
          <w:color w:val="auto"/>
        </w:rPr>
        <w:t>致：</w:t>
      </w:r>
      <w:r>
        <w:rPr>
          <w:rFonts w:hint="eastAsia" w:ascii="宋体" w:hAnsi="宋体" w:cs="宋体"/>
          <w:color w:val="auto"/>
          <w:u w:val="single"/>
        </w:rPr>
        <w:t>（采购人） ：</w:t>
      </w:r>
    </w:p>
    <w:p w14:paraId="4ECBD851">
      <w:pPr>
        <w:ind w:firstLine="480"/>
        <w:rPr>
          <w:rFonts w:ascii="宋体" w:cs="宋体"/>
          <w:color w:val="auto"/>
        </w:rPr>
      </w:pPr>
      <w:r>
        <w:rPr>
          <w:rFonts w:ascii="宋体" w:hAnsi="宋体" w:cs="宋体"/>
          <w:color w:val="auto"/>
          <w:u w:val="single"/>
        </w:rPr>
        <w:t>(</w:t>
      </w:r>
      <w:r>
        <w:rPr>
          <w:rFonts w:hint="eastAsia" w:ascii="宋体" w:hAnsi="宋体" w:cs="宋体"/>
          <w:color w:val="auto"/>
          <w:u w:val="single"/>
        </w:rPr>
        <w:t>投标人全称</w:t>
      </w:r>
      <w:r>
        <w:rPr>
          <w:rFonts w:ascii="宋体" w:hAnsi="宋体" w:cs="宋体"/>
          <w:color w:val="auto"/>
          <w:u w:val="single"/>
        </w:rPr>
        <w:t>)</w:t>
      </w:r>
      <w:r>
        <w:rPr>
          <w:rFonts w:hint="eastAsia" w:ascii="宋体" w:hAnsi="宋体" w:cs="宋体"/>
          <w:color w:val="auto"/>
        </w:rPr>
        <w:t>授权</w:t>
      </w:r>
      <w:r>
        <w:rPr>
          <w:rFonts w:ascii="宋体" w:hAnsi="宋体" w:cs="宋体"/>
          <w:color w:val="auto"/>
          <w:u w:val="single"/>
        </w:rPr>
        <w:t>(</w:t>
      </w:r>
      <w:r>
        <w:rPr>
          <w:rFonts w:hint="eastAsia" w:ascii="宋体" w:hAnsi="宋体" w:cs="宋体"/>
          <w:color w:val="auto"/>
          <w:u w:val="single"/>
        </w:rPr>
        <w:t>全权代表姓名</w:t>
      </w:r>
      <w:r>
        <w:rPr>
          <w:rFonts w:ascii="宋体" w:hAnsi="宋体" w:cs="宋体"/>
          <w:color w:val="auto"/>
          <w:u w:val="single"/>
        </w:rPr>
        <w:t>)</w:t>
      </w:r>
      <w:r>
        <w:rPr>
          <w:rFonts w:hint="eastAsia" w:ascii="宋体" w:hAnsi="宋体" w:cs="宋体"/>
          <w:color w:val="auto"/>
          <w:u w:val="single"/>
        </w:rPr>
        <w:t xml:space="preserve"> </w:t>
      </w:r>
      <w:r>
        <w:rPr>
          <w:rFonts w:ascii="宋体" w:hAnsi="宋体" w:cs="宋体"/>
          <w:color w:val="auto"/>
          <w:u w:val="single"/>
        </w:rPr>
        <w:t>(</w:t>
      </w:r>
      <w:r>
        <w:rPr>
          <w:rFonts w:hint="eastAsia" w:ascii="宋体" w:hAnsi="宋体" w:cs="宋体"/>
          <w:color w:val="auto"/>
        </w:rPr>
        <w:t>职务、职称</w:t>
      </w:r>
      <w:r>
        <w:rPr>
          <w:rFonts w:ascii="宋体" w:hAnsi="宋体" w:cs="宋体"/>
          <w:color w:val="auto"/>
        </w:rPr>
        <w:t>)</w:t>
      </w:r>
      <w:r>
        <w:rPr>
          <w:rFonts w:hint="eastAsia" w:ascii="宋体" w:hAnsi="宋体" w:cs="宋体"/>
          <w:color w:val="auto"/>
        </w:rPr>
        <w:t>为全权代表，参加贵方组织的</w:t>
      </w:r>
      <w:r>
        <w:rPr>
          <w:rFonts w:hint="eastAsia" w:ascii="宋体" w:hAnsi="宋体" w:cs="宋体"/>
          <w:color w:val="auto"/>
          <w:u w:val="single"/>
        </w:rPr>
        <w:t>（项目名称）（项目编号）</w:t>
      </w:r>
      <w:r>
        <w:rPr>
          <w:rFonts w:hint="eastAsia" w:ascii="宋体" w:hAnsi="宋体" w:cs="宋体"/>
          <w:color w:val="auto"/>
        </w:rPr>
        <w:t>招标的有关活动，并对此项目进行投标。为此：</w:t>
      </w:r>
    </w:p>
    <w:p w14:paraId="7AB906BC">
      <w:pPr>
        <w:ind w:firstLine="480"/>
        <w:rPr>
          <w:rFonts w:ascii="宋体" w:cs="宋体"/>
          <w:color w:val="auto"/>
        </w:rPr>
      </w:pPr>
      <w:r>
        <w:rPr>
          <w:rFonts w:ascii="宋体" w:hAnsi="宋体" w:cs="宋体"/>
          <w:color w:val="auto"/>
        </w:rPr>
        <w:t>1</w:t>
      </w:r>
      <w:r>
        <w:rPr>
          <w:rFonts w:hint="eastAsia" w:ascii="宋体" w:hAnsi="宋体" w:cs="宋体"/>
          <w:color w:val="auto"/>
        </w:rPr>
        <w:t>.我方同意在投标人投标须知规定的开标日期起遵守本投标书中的承诺且在投标有效期满之前均具有约束力。</w:t>
      </w:r>
    </w:p>
    <w:p w14:paraId="4EA74435">
      <w:pPr>
        <w:ind w:firstLine="480"/>
        <w:rPr>
          <w:rFonts w:ascii="宋体" w:cs="宋体"/>
          <w:color w:val="auto"/>
        </w:rPr>
      </w:pPr>
      <w:r>
        <w:rPr>
          <w:rFonts w:ascii="宋体" w:hAnsi="宋体" w:cs="宋体"/>
          <w:color w:val="auto"/>
        </w:rPr>
        <w:t>2</w:t>
      </w:r>
      <w:r>
        <w:rPr>
          <w:rFonts w:hint="eastAsia" w:ascii="宋体" w:hAnsi="宋体" w:cs="宋体"/>
          <w:color w:val="auto"/>
        </w:rPr>
        <w:t>.我方承诺已经具备《中华人民共和国政府采购法》中规定的参加国企采购活动的投标人应当具备的条件：</w:t>
      </w:r>
    </w:p>
    <w:p w14:paraId="7D8E2C33">
      <w:pPr>
        <w:ind w:firstLine="480"/>
        <w:rPr>
          <w:rFonts w:ascii="宋体" w:cs="宋体"/>
          <w:color w:val="auto"/>
        </w:rPr>
      </w:pPr>
      <w:bookmarkStart w:id="1276" w:name="_Toc28494_WPSOffice_Level1"/>
      <w:bookmarkStart w:id="1277" w:name="_Toc26282_WPSOffice_Level1"/>
      <w:bookmarkStart w:id="1278" w:name="_Toc28368_WPSOffice_Level1"/>
      <w:r>
        <w:rPr>
          <w:rFonts w:ascii="宋体" w:hAnsi="宋体" w:cs="宋体"/>
          <w:color w:val="auto"/>
        </w:rPr>
        <w:t>(1)</w:t>
      </w:r>
      <w:r>
        <w:rPr>
          <w:rFonts w:hint="eastAsia" w:ascii="宋体" w:hAnsi="宋体" w:cs="宋体"/>
          <w:color w:val="auto"/>
        </w:rPr>
        <w:t>具有独立承担民事责任的能力；</w:t>
      </w:r>
      <w:bookmarkEnd w:id="1276"/>
      <w:bookmarkEnd w:id="1277"/>
      <w:bookmarkEnd w:id="1278"/>
    </w:p>
    <w:p w14:paraId="079ACE90">
      <w:pPr>
        <w:ind w:firstLine="480"/>
        <w:rPr>
          <w:rFonts w:ascii="宋体" w:cs="宋体"/>
          <w:color w:val="auto"/>
        </w:rPr>
      </w:pPr>
      <w:bookmarkStart w:id="1279" w:name="_Toc3878_WPSOffice_Level1"/>
      <w:bookmarkStart w:id="1280" w:name="_Toc7471_WPSOffice_Level1"/>
      <w:bookmarkStart w:id="1281" w:name="_Toc8560_WPSOffice_Level1"/>
      <w:r>
        <w:rPr>
          <w:rFonts w:ascii="宋体" w:hAnsi="宋体" w:cs="宋体"/>
          <w:color w:val="auto"/>
        </w:rPr>
        <w:t>(2)</w:t>
      </w:r>
      <w:r>
        <w:rPr>
          <w:rFonts w:hint="eastAsia" w:ascii="宋体" w:hAnsi="宋体" w:cs="宋体"/>
          <w:color w:val="auto"/>
        </w:rPr>
        <w:t>遵守国家法律、行政法规，具有良好的信誉和商业道德；</w:t>
      </w:r>
      <w:bookmarkEnd w:id="1279"/>
      <w:bookmarkEnd w:id="1280"/>
      <w:bookmarkEnd w:id="1281"/>
    </w:p>
    <w:p w14:paraId="43AFD038">
      <w:pPr>
        <w:ind w:firstLine="480"/>
        <w:rPr>
          <w:rFonts w:ascii="宋体" w:cs="宋体"/>
          <w:color w:val="auto"/>
        </w:rPr>
      </w:pPr>
      <w:bookmarkStart w:id="1282" w:name="_Toc19337_WPSOffice_Level1"/>
      <w:bookmarkStart w:id="1283" w:name="_Toc29658_WPSOffice_Level1"/>
      <w:bookmarkStart w:id="1284" w:name="_Toc12874_WPSOffice_Level1"/>
      <w:r>
        <w:rPr>
          <w:rFonts w:ascii="宋体" w:hAnsi="宋体" w:cs="宋体"/>
          <w:color w:val="auto"/>
        </w:rPr>
        <w:t>(3)</w:t>
      </w:r>
      <w:r>
        <w:rPr>
          <w:rFonts w:hint="eastAsia" w:ascii="宋体" w:hAnsi="宋体" w:cs="宋体"/>
          <w:color w:val="auto"/>
        </w:rPr>
        <w:t>具有履行合同的能力和良好的履行合同记录；</w:t>
      </w:r>
      <w:bookmarkEnd w:id="1282"/>
      <w:bookmarkEnd w:id="1283"/>
      <w:bookmarkEnd w:id="1284"/>
    </w:p>
    <w:p w14:paraId="3F3F9449">
      <w:pPr>
        <w:ind w:firstLine="480"/>
        <w:rPr>
          <w:rFonts w:ascii="宋体" w:cs="宋体"/>
          <w:color w:val="auto"/>
        </w:rPr>
      </w:pPr>
      <w:bookmarkStart w:id="1285" w:name="_Toc9908_WPSOffice_Level1"/>
      <w:bookmarkStart w:id="1286" w:name="_Toc14982_WPSOffice_Level1"/>
      <w:bookmarkStart w:id="1287" w:name="_Toc23978_WPSOffice_Level1"/>
      <w:r>
        <w:rPr>
          <w:rFonts w:ascii="宋体" w:hAnsi="宋体" w:cs="宋体"/>
          <w:color w:val="auto"/>
        </w:rPr>
        <w:t>(4)</w:t>
      </w:r>
      <w:r>
        <w:rPr>
          <w:rFonts w:hint="eastAsia" w:ascii="宋体" w:hAnsi="宋体" w:cs="宋体"/>
          <w:color w:val="auto"/>
        </w:rPr>
        <w:t>良好的资金、财务状况；</w:t>
      </w:r>
      <w:bookmarkEnd w:id="1285"/>
      <w:bookmarkEnd w:id="1286"/>
      <w:bookmarkEnd w:id="1287"/>
    </w:p>
    <w:p w14:paraId="58070BFA">
      <w:pPr>
        <w:ind w:firstLine="480"/>
        <w:rPr>
          <w:rFonts w:ascii="宋体" w:cs="宋体"/>
          <w:color w:val="auto"/>
        </w:rPr>
      </w:pPr>
      <w:bookmarkStart w:id="1288" w:name="_Toc1715_WPSOffice_Level1"/>
      <w:bookmarkStart w:id="1289" w:name="_Toc14576_WPSOffice_Level1"/>
      <w:bookmarkStart w:id="1290" w:name="_Toc19486_WPSOffice_Level1"/>
      <w:r>
        <w:rPr>
          <w:rFonts w:ascii="宋体" w:hAnsi="宋体" w:cs="宋体"/>
          <w:color w:val="auto"/>
        </w:rPr>
        <w:t>(5)</w:t>
      </w:r>
      <w:r>
        <w:rPr>
          <w:rFonts w:hint="eastAsia" w:ascii="宋体" w:hAnsi="宋体" w:cs="宋体"/>
          <w:color w:val="auto"/>
        </w:rPr>
        <w:t>提供的产品和服务符合中国政府规定的相应标准和环保标准；</w:t>
      </w:r>
      <w:bookmarkEnd w:id="1288"/>
      <w:bookmarkEnd w:id="1289"/>
      <w:bookmarkEnd w:id="1290"/>
    </w:p>
    <w:p w14:paraId="617D580C">
      <w:pPr>
        <w:ind w:firstLine="480"/>
        <w:rPr>
          <w:rFonts w:ascii="宋体" w:cs="宋体"/>
          <w:color w:val="auto"/>
        </w:rPr>
      </w:pPr>
      <w:bookmarkStart w:id="1291" w:name="_Toc22738_WPSOffice_Level1"/>
      <w:bookmarkStart w:id="1292" w:name="_Toc21916_WPSOffice_Level1"/>
      <w:bookmarkStart w:id="1293" w:name="_Toc31563_WPSOffice_Level1"/>
      <w:r>
        <w:rPr>
          <w:rFonts w:ascii="宋体" w:hAnsi="宋体" w:cs="宋体"/>
          <w:color w:val="auto"/>
        </w:rPr>
        <w:t>(6)</w:t>
      </w:r>
      <w:r>
        <w:rPr>
          <w:rFonts w:hint="eastAsia" w:ascii="宋体" w:hAnsi="宋体" w:cs="宋体"/>
          <w:color w:val="auto"/>
        </w:rPr>
        <w:t>没有违反国企采购法规、政策的记录；</w:t>
      </w:r>
      <w:bookmarkEnd w:id="1291"/>
      <w:bookmarkEnd w:id="1292"/>
      <w:bookmarkEnd w:id="1293"/>
    </w:p>
    <w:p w14:paraId="1F27DB98">
      <w:pPr>
        <w:ind w:firstLine="480"/>
        <w:rPr>
          <w:rFonts w:ascii="宋体" w:cs="宋体"/>
          <w:color w:val="auto"/>
        </w:rPr>
      </w:pPr>
      <w:bookmarkStart w:id="1294" w:name="_Toc12445_WPSOffice_Level1"/>
      <w:bookmarkStart w:id="1295" w:name="_Toc15073_WPSOffice_Level1"/>
      <w:bookmarkStart w:id="1296" w:name="_Toc12415_WPSOffice_Level1"/>
      <w:r>
        <w:rPr>
          <w:rFonts w:ascii="宋体" w:hAnsi="宋体" w:cs="宋体"/>
          <w:color w:val="auto"/>
        </w:rPr>
        <w:t>(7)</w:t>
      </w:r>
      <w:r>
        <w:rPr>
          <w:rFonts w:hint="eastAsia" w:ascii="宋体" w:hAnsi="宋体" w:cs="宋体"/>
          <w:color w:val="auto"/>
        </w:rPr>
        <w:t>没有发生重大经济纠纷和走私犯罪记录。</w:t>
      </w:r>
      <w:bookmarkEnd w:id="1294"/>
      <w:bookmarkEnd w:id="1295"/>
      <w:bookmarkEnd w:id="1296"/>
    </w:p>
    <w:p w14:paraId="46614104">
      <w:pPr>
        <w:ind w:firstLine="480"/>
        <w:rPr>
          <w:rFonts w:ascii="宋体" w:cs="宋体"/>
          <w:color w:val="auto"/>
        </w:rPr>
      </w:pPr>
      <w:r>
        <w:rPr>
          <w:rFonts w:ascii="宋体" w:hAnsi="宋体" w:cs="宋体"/>
          <w:color w:val="auto"/>
        </w:rPr>
        <w:t>3</w:t>
      </w:r>
      <w:r>
        <w:rPr>
          <w:rFonts w:hint="eastAsia" w:ascii="宋体" w:hAnsi="宋体" w:cs="宋体"/>
          <w:color w:val="auto"/>
        </w:rPr>
        <w:t>.提供编制和提交招标文件须知规定的电子投标文件，具体内容为：</w:t>
      </w:r>
    </w:p>
    <w:p w14:paraId="711F7688">
      <w:pPr>
        <w:ind w:firstLine="480"/>
        <w:rPr>
          <w:rFonts w:ascii="宋体" w:cs="宋体"/>
          <w:color w:val="auto"/>
        </w:rPr>
      </w:pPr>
      <w:r>
        <w:rPr>
          <w:rFonts w:ascii="宋体" w:hAnsi="宋体" w:cs="宋体"/>
          <w:color w:val="auto"/>
        </w:rPr>
        <w:t>(1)</w:t>
      </w:r>
      <w:r>
        <w:rPr>
          <w:rFonts w:hint="eastAsia" w:ascii="宋体" w:hAnsi="宋体" w:cs="宋体"/>
          <w:color w:val="auto"/>
        </w:rPr>
        <w:t>资格审查文件；</w:t>
      </w:r>
    </w:p>
    <w:p w14:paraId="006B6B42">
      <w:pPr>
        <w:ind w:firstLine="480"/>
        <w:rPr>
          <w:rFonts w:ascii="宋体" w:hAnsi="宋体" w:cs="宋体"/>
          <w:color w:val="auto"/>
        </w:rPr>
      </w:pPr>
      <w:r>
        <w:rPr>
          <w:rFonts w:ascii="宋体" w:hAnsi="宋体" w:cs="宋体"/>
          <w:color w:val="auto"/>
        </w:rPr>
        <w:t>(2)</w:t>
      </w:r>
      <w:r>
        <w:rPr>
          <w:rFonts w:hint="eastAsia" w:ascii="宋体" w:hAnsi="宋体" w:cs="宋体"/>
          <w:color w:val="auto"/>
          <w:lang w:val="zh-CN"/>
        </w:rPr>
        <w:t>技术商务文件</w:t>
      </w:r>
      <w:r>
        <w:rPr>
          <w:rFonts w:hint="eastAsia" w:ascii="宋体" w:hAnsi="宋体" w:cs="宋体"/>
          <w:color w:val="auto"/>
        </w:rPr>
        <w:t>；</w:t>
      </w:r>
    </w:p>
    <w:p w14:paraId="0BE2B662">
      <w:pPr>
        <w:ind w:firstLine="480"/>
        <w:rPr>
          <w:rFonts w:ascii="宋体" w:cs="宋体"/>
          <w:color w:val="auto"/>
        </w:rPr>
      </w:pPr>
      <w:r>
        <w:rPr>
          <w:rFonts w:ascii="宋体" w:hAnsi="宋体" w:cs="宋体"/>
          <w:color w:val="auto"/>
        </w:rPr>
        <w:t>(</w:t>
      </w:r>
      <w:r>
        <w:rPr>
          <w:rFonts w:hint="eastAsia" w:ascii="宋体" w:hAnsi="宋体" w:cs="宋体"/>
          <w:color w:val="auto"/>
        </w:rPr>
        <w:t>3</w:t>
      </w:r>
      <w:r>
        <w:rPr>
          <w:rFonts w:ascii="宋体" w:hAnsi="宋体" w:cs="宋体"/>
          <w:color w:val="auto"/>
        </w:rPr>
        <w:t>)</w:t>
      </w:r>
      <w:r>
        <w:rPr>
          <w:rFonts w:hint="eastAsia" w:ascii="宋体" w:hAnsi="宋体" w:cs="宋体"/>
          <w:color w:val="auto"/>
        </w:rPr>
        <w:t>报价</w:t>
      </w:r>
      <w:r>
        <w:rPr>
          <w:rFonts w:hint="eastAsia" w:ascii="宋体" w:hAnsi="宋体" w:cs="宋体"/>
          <w:color w:val="auto"/>
          <w:lang w:val="zh-CN"/>
        </w:rPr>
        <w:t>文件</w:t>
      </w:r>
      <w:r>
        <w:rPr>
          <w:rFonts w:hint="eastAsia" w:ascii="宋体" w:hAnsi="宋体" w:cs="宋体"/>
          <w:color w:val="auto"/>
        </w:rPr>
        <w:t>；</w:t>
      </w:r>
    </w:p>
    <w:p w14:paraId="5847D83D">
      <w:pPr>
        <w:ind w:firstLine="480"/>
        <w:rPr>
          <w:rFonts w:ascii="宋体" w:cs="宋体"/>
          <w:color w:val="auto"/>
        </w:rPr>
      </w:pPr>
      <w:r>
        <w:rPr>
          <w:rFonts w:ascii="宋体" w:hAnsi="宋体" w:cs="宋体"/>
          <w:color w:val="auto"/>
        </w:rPr>
        <w:t>(</w:t>
      </w:r>
      <w:r>
        <w:rPr>
          <w:rFonts w:hint="eastAsia" w:ascii="宋体" w:hAnsi="宋体" w:cs="宋体"/>
          <w:color w:val="auto"/>
        </w:rPr>
        <w:t>4</w:t>
      </w:r>
      <w:r>
        <w:rPr>
          <w:rFonts w:ascii="宋体" w:hAnsi="宋体" w:cs="宋体"/>
          <w:color w:val="auto"/>
        </w:rPr>
        <w:t>)</w:t>
      </w:r>
      <w:r>
        <w:rPr>
          <w:rFonts w:hint="eastAsia" w:ascii="宋体" w:hAnsi="宋体" w:cs="宋体"/>
          <w:color w:val="auto"/>
        </w:rPr>
        <w:t>投标须知要求投标人提交的全部文件；</w:t>
      </w:r>
    </w:p>
    <w:p w14:paraId="5DD86231">
      <w:pPr>
        <w:ind w:firstLine="480"/>
        <w:rPr>
          <w:rFonts w:ascii="宋体" w:cs="宋体"/>
          <w:color w:val="auto"/>
        </w:rPr>
      </w:pPr>
      <w:r>
        <w:rPr>
          <w:rFonts w:ascii="宋体" w:hAnsi="宋体" w:cs="宋体"/>
          <w:color w:val="auto"/>
        </w:rPr>
        <w:t>(</w:t>
      </w:r>
      <w:r>
        <w:rPr>
          <w:rFonts w:hint="eastAsia" w:ascii="宋体" w:hAnsi="宋体" w:cs="宋体"/>
          <w:color w:val="auto"/>
        </w:rPr>
        <w:t>5</w:t>
      </w:r>
      <w:r>
        <w:rPr>
          <w:rFonts w:ascii="宋体" w:hAnsi="宋体" w:cs="宋体"/>
          <w:color w:val="auto"/>
        </w:rPr>
        <w:t>)</w:t>
      </w:r>
      <w:r>
        <w:rPr>
          <w:rFonts w:hint="eastAsia" w:ascii="宋体" w:hAnsi="宋体" w:cs="宋体"/>
          <w:color w:val="auto"/>
        </w:rPr>
        <w:t>按招标文件要求提供和交付的货物和服务的投标报价详见开标一览表；</w:t>
      </w:r>
    </w:p>
    <w:p w14:paraId="280C8E11">
      <w:pPr>
        <w:ind w:firstLine="480"/>
        <w:rPr>
          <w:rFonts w:ascii="宋体" w:cs="宋体"/>
          <w:color w:val="auto"/>
        </w:rPr>
      </w:pPr>
      <w:r>
        <w:rPr>
          <w:rFonts w:ascii="宋体" w:hAnsi="宋体" w:cs="宋体"/>
          <w:color w:val="auto"/>
        </w:rPr>
        <w:t>(</w:t>
      </w:r>
      <w:r>
        <w:rPr>
          <w:rFonts w:hint="eastAsia" w:ascii="宋体" w:hAnsi="宋体" w:cs="宋体"/>
          <w:color w:val="auto"/>
        </w:rPr>
        <w:t>6</w:t>
      </w:r>
      <w:r>
        <w:rPr>
          <w:rFonts w:ascii="宋体" w:hAnsi="宋体" w:cs="宋体"/>
          <w:color w:val="auto"/>
        </w:rPr>
        <w:t>)</w:t>
      </w:r>
      <w:r>
        <w:rPr>
          <w:rFonts w:hint="eastAsia" w:ascii="宋体" w:hAnsi="宋体" w:cs="宋体"/>
          <w:color w:val="auto"/>
        </w:rPr>
        <w:t>保证忠实地执行双方所签订的合同，并承担合同规定的责任和义务；</w:t>
      </w:r>
    </w:p>
    <w:p w14:paraId="3CDD14AF">
      <w:pPr>
        <w:ind w:firstLine="480"/>
        <w:rPr>
          <w:rFonts w:ascii="宋体" w:cs="宋体"/>
          <w:color w:val="auto"/>
        </w:rPr>
      </w:pPr>
      <w:r>
        <w:rPr>
          <w:rFonts w:ascii="宋体" w:hAnsi="宋体" w:cs="宋体"/>
          <w:color w:val="auto"/>
        </w:rPr>
        <w:t>(</w:t>
      </w:r>
      <w:r>
        <w:rPr>
          <w:rFonts w:hint="eastAsia" w:ascii="宋体" w:hAnsi="宋体" w:cs="宋体"/>
          <w:color w:val="auto"/>
        </w:rPr>
        <w:t>7</w:t>
      </w:r>
      <w:r>
        <w:rPr>
          <w:rFonts w:ascii="宋体" w:hAnsi="宋体" w:cs="宋体"/>
          <w:color w:val="auto"/>
        </w:rPr>
        <w:t>)</w:t>
      </w:r>
      <w:r>
        <w:rPr>
          <w:rFonts w:hint="eastAsia" w:ascii="宋体" w:hAnsi="宋体" w:cs="宋体"/>
          <w:color w:val="auto"/>
        </w:rPr>
        <w:t>保证遵守招标文件中的其他有关规定。</w:t>
      </w:r>
    </w:p>
    <w:p w14:paraId="3F9FB606">
      <w:pPr>
        <w:ind w:firstLine="480"/>
        <w:rPr>
          <w:rFonts w:ascii="宋体" w:cs="宋体"/>
          <w:color w:val="auto"/>
        </w:rPr>
      </w:pPr>
      <w:r>
        <w:rPr>
          <w:rFonts w:ascii="宋体" w:hAnsi="宋体" w:cs="宋体"/>
          <w:color w:val="auto"/>
        </w:rPr>
        <w:t>4</w:t>
      </w:r>
      <w:r>
        <w:rPr>
          <w:rFonts w:hint="eastAsia" w:ascii="宋体" w:hAnsi="宋体" w:cs="宋体"/>
          <w:color w:val="auto"/>
        </w:rPr>
        <w:t>.我方完全理解贵方不一定要接受最低价的投标。</w:t>
      </w:r>
    </w:p>
    <w:p w14:paraId="32CC058A">
      <w:pPr>
        <w:ind w:firstLine="480"/>
        <w:rPr>
          <w:rFonts w:ascii="宋体" w:cs="宋体"/>
          <w:color w:val="auto"/>
        </w:rPr>
      </w:pPr>
      <w:r>
        <w:rPr>
          <w:rFonts w:ascii="宋体" w:hAnsi="宋体" w:cs="宋体"/>
          <w:color w:val="auto"/>
        </w:rPr>
        <w:t>5</w:t>
      </w:r>
      <w:r>
        <w:rPr>
          <w:rFonts w:hint="eastAsia" w:ascii="宋体" w:hAnsi="宋体" w:cs="宋体"/>
          <w:color w:val="auto"/>
        </w:rPr>
        <w:t>.我方愿意向贵方提供任何与该项投标有关的数据、情况和服务资料。若贵方需要，我方愿意提供我方作出的一切承诺的证明材料。</w:t>
      </w:r>
    </w:p>
    <w:p w14:paraId="02E0C665">
      <w:pPr>
        <w:ind w:firstLine="480"/>
        <w:rPr>
          <w:rFonts w:ascii="宋体" w:cs="宋体"/>
          <w:color w:val="auto"/>
        </w:rPr>
      </w:pPr>
      <w:r>
        <w:rPr>
          <w:rFonts w:ascii="宋体" w:hAnsi="宋体" w:cs="宋体"/>
          <w:color w:val="auto"/>
        </w:rPr>
        <w:t>6</w:t>
      </w:r>
      <w:r>
        <w:rPr>
          <w:rFonts w:hint="eastAsia" w:ascii="宋体" w:hAnsi="宋体" w:cs="宋体"/>
          <w:color w:val="auto"/>
        </w:rPr>
        <w:t>.我方已详细审核全部招标文件，包括招标文件修改书（如有的话）、参考资料及有关附件，确认无误。我方完全理解并接受招标文件的各项规定和要求，对招标文件的合理性、合法性不再有异议。</w:t>
      </w:r>
    </w:p>
    <w:p w14:paraId="3A5DE73A">
      <w:pPr>
        <w:ind w:firstLine="480"/>
        <w:rPr>
          <w:rFonts w:ascii="宋体" w:cs="宋体"/>
          <w:color w:val="auto"/>
        </w:rPr>
      </w:pPr>
      <w:r>
        <w:rPr>
          <w:rFonts w:ascii="宋体" w:hAnsi="宋体" w:cs="宋体"/>
          <w:color w:val="auto"/>
        </w:rPr>
        <w:t>7</w:t>
      </w:r>
      <w:r>
        <w:rPr>
          <w:rFonts w:hint="eastAsia" w:ascii="宋体" w:hAnsi="宋体" w:cs="宋体"/>
          <w:color w:val="auto"/>
        </w:rPr>
        <w:t>.我方将严格遵守《中华人民共和国政府采购法》第七十七条规定，投标人有下列情形之一的，处以采购金额</w:t>
      </w:r>
      <w:r>
        <w:rPr>
          <w:rFonts w:ascii="宋体" w:hAnsi="宋体" w:cs="宋体"/>
          <w:color w:val="auto"/>
        </w:rPr>
        <w:t>5</w:t>
      </w:r>
      <w:r>
        <w:rPr>
          <w:rFonts w:hint="eastAsia" w:ascii="宋体" w:hAnsi="宋体" w:cs="宋体"/>
          <w:color w:val="auto"/>
        </w:rPr>
        <w:t>‰以上</w:t>
      </w:r>
      <w:r>
        <w:rPr>
          <w:rFonts w:ascii="宋体" w:hAnsi="宋体" w:cs="宋体"/>
          <w:color w:val="auto"/>
        </w:rPr>
        <w:t>10</w:t>
      </w:r>
      <w:r>
        <w:rPr>
          <w:rFonts w:hint="eastAsia" w:ascii="宋体" w:hAnsi="宋体" w:cs="宋体"/>
          <w:color w:val="auto"/>
        </w:rPr>
        <w:t>‰以下的罚款，列入不良行为记录名单，在一至三年内禁止参加国企采购活动；有违法所得的，并处没收违法所得；情节严重的，由</w:t>
      </w:r>
      <w:r>
        <w:rPr>
          <w:rFonts w:hint="eastAsia" w:ascii="宋体" w:hAnsi="宋体" w:cs="宋体"/>
          <w:color w:val="auto"/>
          <w:lang w:eastAsia="zh-CN"/>
        </w:rPr>
        <w:t>市场监督</w:t>
      </w:r>
      <w:r>
        <w:rPr>
          <w:rFonts w:hint="eastAsia" w:ascii="宋体" w:hAnsi="宋体" w:cs="宋体"/>
          <w:color w:val="auto"/>
        </w:rPr>
        <w:t>管理机关吊销营业执照；构成犯罪的，依法追究刑事责任：</w:t>
      </w:r>
    </w:p>
    <w:p w14:paraId="794ED38A">
      <w:pPr>
        <w:ind w:firstLine="480"/>
        <w:rPr>
          <w:rFonts w:ascii="宋体" w:cs="宋体"/>
          <w:color w:val="auto"/>
        </w:rPr>
      </w:pPr>
      <w:bookmarkStart w:id="1297" w:name="_Toc7856_WPSOffice_Level1"/>
      <w:bookmarkStart w:id="1298" w:name="_Toc25395_WPSOffice_Level1"/>
      <w:bookmarkStart w:id="1299" w:name="_Toc4442_WPSOffice_Level1"/>
      <w:r>
        <w:rPr>
          <w:rFonts w:ascii="宋体" w:hAnsi="宋体" w:cs="宋体"/>
          <w:color w:val="auto"/>
        </w:rPr>
        <w:t>(1)</w:t>
      </w:r>
      <w:r>
        <w:rPr>
          <w:rFonts w:hint="eastAsia" w:ascii="宋体" w:hAnsi="宋体" w:cs="宋体"/>
          <w:color w:val="auto"/>
        </w:rPr>
        <w:t>提供虚假材料谋取中标、成交的；</w:t>
      </w:r>
      <w:bookmarkEnd w:id="1297"/>
      <w:bookmarkEnd w:id="1298"/>
      <w:bookmarkEnd w:id="1299"/>
    </w:p>
    <w:p w14:paraId="5B509C20">
      <w:pPr>
        <w:ind w:firstLine="480"/>
        <w:rPr>
          <w:rFonts w:ascii="宋体" w:cs="宋体"/>
          <w:color w:val="auto"/>
        </w:rPr>
      </w:pPr>
      <w:bookmarkStart w:id="1300" w:name="_Toc23417_WPSOffice_Level1"/>
      <w:bookmarkStart w:id="1301" w:name="_Toc19322_WPSOffice_Level1"/>
      <w:bookmarkStart w:id="1302" w:name="_Toc17583_WPSOffice_Level1"/>
      <w:r>
        <w:rPr>
          <w:rFonts w:ascii="宋体" w:hAnsi="宋体" w:cs="宋体"/>
          <w:color w:val="auto"/>
        </w:rPr>
        <w:t>(2)</w:t>
      </w:r>
      <w:r>
        <w:rPr>
          <w:rFonts w:hint="eastAsia" w:ascii="宋体" w:hAnsi="宋体" w:cs="宋体"/>
          <w:color w:val="auto"/>
        </w:rPr>
        <w:t>采取不正当手段诋毁、排挤其他投标人的；</w:t>
      </w:r>
      <w:bookmarkEnd w:id="1300"/>
      <w:bookmarkEnd w:id="1301"/>
      <w:bookmarkEnd w:id="1302"/>
    </w:p>
    <w:p w14:paraId="1941AC89">
      <w:pPr>
        <w:ind w:firstLine="480"/>
        <w:rPr>
          <w:rFonts w:ascii="宋体" w:cs="宋体"/>
          <w:color w:val="auto"/>
        </w:rPr>
      </w:pPr>
      <w:bookmarkStart w:id="1303" w:name="_Toc10338_WPSOffice_Level1"/>
      <w:bookmarkStart w:id="1304" w:name="_Toc2563_WPSOffice_Level1"/>
      <w:bookmarkStart w:id="1305" w:name="_Toc15532_WPSOffice_Level1"/>
      <w:r>
        <w:rPr>
          <w:rFonts w:ascii="宋体" w:hAnsi="宋体" w:cs="宋体"/>
          <w:color w:val="auto"/>
        </w:rPr>
        <w:t>(3)</w:t>
      </w:r>
      <w:r>
        <w:rPr>
          <w:rFonts w:hint="eastAsia" w:ascii="宋体" w:hAnsi="宋体" w:cs="宋体"/>
          <w:color w:val="auto"/>
        </w:rPr>
        <w:t>与采购人、其它投标人或者招标代理机构恶意串通的；</w:t>
      </w:r>
      <w:bookmarkEnd w:id="1303"/>
      <w:bookmarkEnd w:id="1304"/>
      <w:bookmarkEnd w:id="1305"/>
    </w:p>
    <w:p w14:paraId="558F977C">
      <w:pPr>
        <w:ind w:firstLine="480"/>
        <w:rPr>
          <w:rFonts w:ascii="宋体" w:cs="宋体"/>
          <w:color w:val="auto"/>
        </w:rPr>
      </w:pPr>
      <w:bookmarkStart w:id="1306" w:name="_Toc17925_WPSOffice_Level1"/>
      <w:bookmarkStart w:id="1307" w:name="_Toc8669_WPSOffice_Level1"/>
      <w:bookmarkStart w:id="1308" w:name="_Toc16860_WPSOffice_Level1"/>
      <w:r>
        <w:rPr>
          <w:rFonts w:ascii="宋体" w:hAnsi="宋体" w:cs="宋体"/>
          <w:color w:val="auto"/>
        </w:rPr>
        <w:t>(4)</w:t>
      </w:r>
      <w:r>
        <w:rPr>
          <w:rFonts w:hint="eastAsia" w:ascii="宋体" w:hAnsi="宋体" w:cs="宋体"/>
          <w:color w:val="auto"/>
        </w:rPr>
        <w:t>向采购人、招标代理机构行贿或者提供其他不正当利益的；</w:t>
      </w:r>
      <w:bookmarkEnd w:id="1306"/>
      <w:bookmarkEnd w:id="1307"/>
      <w:bookmarkEnd w:id="1308"/>
    </w:p>
    <w:p w14:paraId="2814FD2D">
      <w:pPr>
        <w:ind w:firstLine="480"/>
        <w:rPr>
          <w:rFonts w:ascii="宋体" w:cs="宋体"/>
          <w:color w:val="auto"/>
        </w:rPr>
      </w:pPr>
      <w:bookmarkStart w:id="1309" w:name="_Toc12118_WPSOffice_Level1"/>
      <w:bookmarkStart w:id="1310" w:name="_Toc20834_WPSOffice_Level1"/>
      <w:bookmarkStart w:id="1311" w:name="_Toc10655_WPSOffice_Level1"/>
      <w:r>
        <w:rPr>
          <w:rFonts w:ascii="宋体" w:hAnsi="宋体" w:cs="宋体"/>
          <w:color w:val="auto"/>
        </w:rPr>
        <w:t>(5)</w:t>
      </w:r>
      <w:r>
        <w:rPr>
          <w:rFonts w:hint="eastAsia" w:ascii="宋体" w:hAnsi="宋体" w:cs="宋体"/>
          <w:color w:val="auto"/>
        </w:rPr>
        <w:t>在招标采购过程中与采购人进行协商谈判的；</w:t>
      </w:r>
      <w:bookmarkEnd w:id="1309"/>
      <w:bookmarkEnd w:id="1310"/>
      <w:bookmarkEnd w:id="1311"/>
    </w:p>
    <w:p w14:paraId="1B0539FA">
      <w:pPr>
        <w:ind w:firstLine="480"/>
        <w:rPr>
          <w:rFonts w:ascii="宋体" w:cs="宋体"/>
          <w:color w:val="auto"/>
        </w:rPr>
      </w:pPr>
      <w:bookmarkStart w:id="1312" w:name="_Toc5988_WPSOffice_Level1"/>
      <w:bookmarkStart w:id="1313" w:name="_Toc2385_WPSOffice_Level1"/>
      <w:bookmarkStart w:id="1314" w:name="_Toc14152_WPSOffice_Level1"/>
      <w:r>
        <w:rPr>
          <w:rFonts w:ascii="宋体" w:hAnsi="宋体" w:cs="宋体"/>
          <w:color w:val="auto"/>
        </w:rPr>
        <w:t>(6)</w:t>
      </w:r>
      <w:r>
        <w:rPr>
          <w:rFonts w:hint="eastAsia" w:ascii="宋体" w:hAnsi="宋体" w:cs="宋体"/>
          <w:color w:val="auto"/>
        </w:rPr>
        <w:t>拒绝有关部门监督检查或提供虚假情况的。</w:t>
      </w:r>
      <w:bookmarkEnd w:id="1312"/>
      <w:bookmarkEnd w:id="1313"/>
      <w:bookmarkEnd w:id="1314"/>
    </w:p>
    <w:p w14:paraId="139AC695">
      <w:pPr>
        <w:ind w:firstLine="480"/>
        <w:rPr>
          <w:rFonts w:ascii="宋体" w:cs="宋体"/>
          <w:color w:val="auto"/>
        </w:rPr>
      </w:pPr>
      <w:r>
        <w:rPr>
          <w:rFonts w:hint="eastAsia" w:ascii="宋体" w:hAnsi="宋体" w:cs="宋体"/>
          <w:color w:val="auto"/>
        </w:rPr>
        <w:t>投标人有前款第</w:t>
      </w:r>
      <w:r>
        <w:rPr>
          <w:rFonts w:ascii="宋体" w:hAnsi="宋体" w:cs="宋体"/>
          <w:color w:val="auto"/>
        </w:rPr>
        <w:t>(1)</w:t>
      </w:r>
      <w:r>
        <w:rPr>
          <w:rFonts w:hint="eastAsia" w:ascii="宋体" w:hAnsi="宋体" w:cs="宋体"/>
          <w:color w:val="auto"/>
        </w:rPr>
        <w:t>至</w:t>
      </w:r>
      <w:r>
        <w:rPr>
          <w:rFonts w:ascii="宋体" w:hAnsi="宋体" w:cs="宋体"/>
          <w:color w:val="auto"/>
        </w:rPr>
        <w:t>(4)</w:t>
      </w:r>
      <w:r>
        <w:rPr>
          <w:rFonts w:hint="eastAsia" w:ascii="宋体" w:hAnsi="宋体" w:cs="宋体"/>
          <w:color w:val="auto"/>
        </w:rPr>
        <w:t>项情形之一的，中标、成交无效。</w:t>
      </w:r>
    </w:p>
    <w:p w14:paraId="32583E21">
      <w:pPr>
        <w:ind w:firstLine="480"/>
        <w:rPr>
          <w:rFonts w:ascii="宋体" w:cs="宋体"/>
          <w:color w:val="auto"/>
          <w:lang w:val="zh-CN"/>
        </w:rPr>
      </w:pPr>
    </w:p>
    <w:p w14:paraId="6D5362F0">
      <w:pPr>
        <w:ind w:firstLine="480"/>
        <w:rPr>
          <w:rFonts w:ascii="宋体" w:cs="宋体"/>
          <w:color w:val="auto"/>
        </w:rPr>
      </w:pPr>
      <w:r>
        <w:rPr>
          <w:rFonts w:hint="eastAsia" w:ascii="宋体" w:hAnsi="宋体" w:cs="宋体"/>
          <w:color w:val="auto"/>
          <w:lang w:val="zh-CN"/>
        </w:rPr>
        <w:t>法定（授权）代表人（签字或盖章）：</w:t>
      </w:r>
      <w:r>
        <w:rPr>
          <w:rFonts w:ascii="宋体" w:hAnsi="宋体" w:cs="宋体"/>
          <w:color w:val="auto"/>
          <w:lang w:val="zh-CN"/>
        </w:rPr>
        <w:t xml:space="preserve">                    </w:t>
      </w:r>
      <w:r>
        <w:rPr>
          <w:rFonts w:ascii="宋体" w:cs="宋体"/>
          <w:color w:val="auto"/>
        </w:rPr>
        <w:tab/>
      </w:r>
    </w:p>
    <w:p w14:paraId="1A118E20">
      <w:pPr>
        <w:ind w:firstLine="480"/>
        <w:rPr>
          <w:rFonts w:ascii="宋体" w:cs="宋体"/>
          <w:color w:val="auto"/>
          <w:lang w:val="zh-CN"/>
        </w:rPr>
      </w:pPr>
      <w:r>
        <w:rPr>
          <w:rFonts w:hint="eastAsia" w:ascii="宋体" w:hAnsi="宋体" w:cs="宋体"/>
          <w:color w:val="auto"/>
          <w:lang w:val="zh-CN"/>
        </w:rPr>
        <w:t>投标人盖章：</w:t>
      </w:r>
      <w:r>
        <w:rPr>
          <w:rFonts w:ascii="宋体" w:hAnsi="宋体" w:cs="宋体"/>
          <w:color w:val="auto"/>
          <w:lang w:val="zh-CN"/>
        </w:rPr>
        <w:t xml:space="preserve">                       </w:t>
      </w:r>
    </w:p>
    <w:p w14:paraId="27253672">
      <w:pPr>
        <w:ind w:firstLine="480"/>
        <w:rPr>
          <w:rFonts w:ascii="宋体" w:cs="宋体"/>
          <w:color w:val="auto"/>
        </w:rPr>
      </w:pPr>
      <w:r>
        <w:rPr>
          <w:rFonts w:hint="eastAsia" w:ascii="宋体" w:hAnsi="宋体" w:cs="宋体"/>
          <w:color w:val="auto"/>
          <w:lang w:val="zh-CN"/>
        </w:rPr>
        <w:t>联系电话：</w:t>
      </w:r>
      <w:r>
        <w:rPr>
          <w:rFonts w:ascii="宋体" w:hAnsi="宋体" w:cs="宋体"/>
          <w:color w:val="auto"/>
          <w:lang w:val="zh-CN"/>
        </w:rPr>
        <w:t xml:space="preserve">           </w:t>
      </w:r>
      <w:r>
        <w:rPr>
          <w:rFonts w:hint="eastAsia" w:ascii="宋体" w:hAnsi="宋体" w:cs="宋体"/>
          <w:color w:val="auto"/>
          <w:lang w:val="zh-CN"/>
        </w:rPr>
        <w:t>传真：</w:t>
      </w:r>
      <w:r>
        <w:rPr>
          <w:rFonts w:ascii="宋体" w:hAnsi="宋体" w:cs="宋体"/>
          <w:color w:val="auto"/>
          <w:lang w:val="zh-CN"/>
        </w:rPr>
        <w:t xml:space="preserve">              </w:t>
      </w:r>
      <w:r>
        <w:rPr>
          <w:rFonts w:hint="eastAsia" w:ascii="宋体" w:hAnsi="宋体" w:cs="宋体"/>
          <w:color w:val="auto"/>
          <w:lang w:val="zh-CN"/>
        </w:rPr>
        <w:t>电子邮件：</w:t>
      </w:r>
      <w:r>
        <w:rPr>
          <w:rFonts w:ascii="宋体" w:hAnsi="宋体" w:cs="宋体"/>
          <w:color w:val="auto"/>
          <w:lang w:val="zh-CN"/>
        </w:rPr>
        <w:t xml:space="preserve">              </w:t>
      </w:r>
    </w:p>
    <w:p w14:paraId="588CAE62">
      <w:pPr>
        <w:ind w:firstLine="480"/>
        <w:rPr>
          <w:rFonts w:ascii="宋体" w:cs="宋体"/>
          <w:color w:val="auto"/>
        </w:rPr>
      </w:pPr>
      <w:r>
        <w:rPr>
          <w:rFonts w:hint="eastAsia" w:ascii="宋体" w:hAnsi="宋体" w:cs="宋体"/>
          <w:color w:val="auto"/>
          <w:lang w:val="zh-CN"/>
        </w:rPr>
        <w:t>联系地址：</w:t>
      </w:r>
      <w:r>
        <w:rPr>
          <w:rFonts w:ascii="宋体" w:hAnsi="宋体" w:cs="宋体"/>
          <w:color w:val="auto"/>
          <w:lang w:val="zh-CN"/>
        </w:rPr>
        <w:t xml:space="preserve">                                                    </w:t>
      </w:r>
    </w:p>
    <w:p w14:paraId="53E15478">
      <w:pPr>
        <w:ind w:firstLine="480"/>
        <w:rPr>
          <w:rFonts w:ascii="宋体" w:cs="宋体"/>
          <w:color w:val="auto"/>
        </w:rPr>
      </w:pPr>
      <w:r>
        <w:rPr>
          <w:rFonts w:hint="eastAsia" w:ascii="宋体" w:hAnsi="宋体" w:cs="宋体"/>
          <w:color w:val="auto"/>
          <w:lang w:val="zh-CN"/>
        </w:rPr>
        <w:t>邮政编码：</w:t>
      </w:r>
      <w:r>
        <w:rPr>
          <w:rFonts w:ascii="宋体" w:hAnsi="宋体" w:cs="宋体"/>
          <w:color w:val="auto"/>
          <w:lang w:val="zh-CN"/>
        </w:rPr>
        <w:t xml:space="preserve">                     </w:t>
      </w:r>
      <w:r>
        <w:rPr>
          <w:rFonts w:hint="eastAsia" w:ascii="宋体" w:hAnsi="宋体" w:cs="宋体"/>
          <w:color w:val="auto"/>
          <w:lang w:val="zh-CN"/>
        </w:rPr>
        <w:t>传真号码：</w:t>
      </w:r>
      <w:r>
        <w:rPr>
          <w:rFonts w:ascii="宋体" w:hAnsi="宋体" w:cs="宋体"/>
          <w:color w:val="auto"/>
          <w:lang w:val="zh-CN"/>
        </w:rPr>
        <w:t xml:space="preserve">                     </w:t>
      </w:r>
    </w:p>
    <w:p w14:paraId="7997CBBC">
      <w:pPr>
        <w:ind w:firstLine="480"/>
        <w:rPr>
          <w:rFonts w:ascii="宋体" w:cs="宋体"/>
          <w:color w:val="auto"/>
        </w:rPr>
      </w:pPr>
      <w:r>
        <w:rPr>
          <w:rFonts w:hint="eastAsia" w:ascii="宋体" w:hAnsi="宋体" w:cs="宋体"/>
          <w:color w:val="auto"/>
          <w:lang w:val="zh-CN"/>
        </w:rPr>
        <w:t>日期</w:t>
      </w:r>
      <w:r>
        <w:rPr>
          <w:rFonts w:hint="eastAsia" w:ascii="宋体" w:hAnsi="宋体" w:cs="宋体"/>
          <w:color w:val="auto"/>
        </w:rPr>
        <w:t>：</w:t>
      </w:r>
      <w:r>
        <w:rPr>
          <w:rFonts w:ascii="宋体" w:hAnsi="宋体" w:cs="宋体"/>
          <w:color w:val="auto"/>
        </w:rPr>
        <w:t xml:space="preserve">    </w:t>
      </w:r>
      <w:r>
        <w:rPr>
          <w:rFonts w:hint="eastAsia" w:ascii="宋体" w:hAnsi="宋体" w:cs="宋体"/>
          <w:color w:val="auto"/>
          <w:lang w:val="zh-CN"/>
        </w:rPr>
        <w:t>年</w:t>
      </w:r>
      <w:r>
        <w:rPr>
          <w:rFonts w:ascii="宋体" w:cs="宋体"/>
          <w:color w:val="auto"/>
        </w:rPr>
        <w:tab/>
      </w:r>
      <w:r>
        <w:rPr>
          <w:rFonts w:hint="eastAsia" w:ascii="宋体" w:cs="宋体"/>
          <w:color w:val="auto"/>
        </w:rPr>
        <w:t xml:space="preserve">     </w:t>
      </w:r>
      <w:r>
        <w:rPr>
          <w:rFonts w:hint="eastAsia" w:ascii="宋体" w:hAnsi="宋体" w:cs="宋体"/>
          <w:color w:val="auto"/>
          <w:lang w:val="zh-CN"/>
        </w:rPr>
        <w:t>月</w:t>
      </w:r>
      <w:r>
        <w:rPr>
          <w:rFonts w:ascii="宋体" w:hAnsi="宋体" w:cs="宋体"/>
          <w:color w:val="auto"/>
          <w:lang w:val="zh-CN"/>
        </w:rPr>
        <w:t xml:space="preserve">    </w:t>
      </w:r>
      <w:r>
        <w:rPr>
          <w:rFonts w:hint="eastAsia" w:ascii="宋体" w:hAnsi="宋体" w:cs="宋体"/>
          <w:color w:val="auto"/>
          <w:lang w:val="zh-CN"/>
        </w:rPr>
        <w:t>日</w:t>
      </w:r>
    </w:p>
    <w:p w14:paraId="144A4A67">
      <w:pPr>
        <w:ind w:firstLine="482"/>
        <w:rPr>
          <w:rFonts w:hint="eastAsia" w:ascii="宋体" w:hAnsi="宋体" w:cs="宋体"/>
          <w:b/>
          <w:bCs/>
          <w:color w:val="auto"/>
          <w:lang w:val="zh-CN"/>
        </w:rPr>
      </w:pPr>
    </w:p>
    <w:p w14:paraId="31ACDC80">
      <w:pPr>
        <w:ind w:firstLine="0" w:firstLineChars="0"/>
        <w:jc w:val="left"/>
        <w:rPr>
          <w:rFonts w:ascii="宋体" w:cs="宋体"/>
          <w:b/>
          <w:bCs/>
          <w:color w:val="auto"/>
        </w:rPr>
      </w:pPr>
      <w:bookmarkStart w:id="1315" w:name="_Toc7083"/>
    </w:p>
    <w:p w14:paraId="2C06F751">
      <w:pPr>
        <w:pStyle w:val="6"/>
        <w:numPr>
          <w:ilvl w:val="3"/>
          <w:numId w:val="0"/>
        </w:numPr>
        <w:ind w:leftChars="0"/>
      </w:pPr>
    </w:p>
    <w:p w14:paraId="52E216CB">
      <w:pPr>
        <w:pStyle w:val="35"/>
        <w:ind w:left="480"/>
        <w:rPr>
          <w:rFonts w:hint="default"/>
          <w:color w:val="auto"/>
        </w:rPr>
      </w:pPr>
    </w:p>
    <w:p w14:paraId="51D17CF8">
      <w:pPr>
        <w:pStyle w:val="43"/>
        <w:ind w:left="960" w:firstLine="0" w:firstLineChars="0"/>
        <w:rPr>
          <w:rFonts w:hAnsi="宋体" w:cs="宋体"/>
          <w:b/>
          <w:bCs/>
          <w:color w:val="auto"/>
        </w:rPr>
      </w:pPr>
    </w:p>
    <w:p w14:paraId="32BC9149">
      <w:pPr>
        <w:pStyle w:val="44"/>
      </w:pPr>
    </w:p>
    <w:p w14:paraId="74F998E0">
      <w:pPr>
        <w:pStyle w:val="46"/>
        <w:rPr>
          <w:color w:val="auto"/>
        </w:rPr>
      </w:pPr>
    </w:p>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1315"/>
    <w:p w14:paraId="06B5D601">
      <w:pPr>
        <w:ind w:firstLine="0" w:firstLineChars="0"/>
        <w:jc w:val="left"/>
        <w:outlineLvl w:val="1"/>
        <w:rPr>
          <w:rFonts w:hint="default" w:ascii="宋体" w:hAnsi="宋体" w:eastAsia="宋体" w:cs="宋体"/>
          <w:b/>
          <w:bCs/>
          <w:color w:val="auto"/>
          <w:lang w:val="en-US" w:eastAsia="zh-CN"/>
        </w:rPr>
      </w:pPr>
      <w:bookmarkStart w:id="1316" w:name="_Toc3709"/>
      <w:bookmarkStart w:id="1317" w:name="_Toc12871"/>
      <w:bookmarkStart w:id="1318" w:name="_Toc14311"/>
      <w:bookmarkStart w:id="1319" w:name="_Toc21012"/>
      <w:bookmarkStart w:id="1320" w:name="_Toc22456"/>
      <w:bookmarkStart w:id="1321" w:name="_Toc10746"/>
      <w:bookmarkStart w:id="1322" w:name="_Toc904"/>
      <w:bookmarkStart w:id="1323" w:name="_Toc6746"/>
      <w:bookmarkStart w:id="1324" w:name="_Toc30602"/>
      <w:bookmarkStart w:id="1325" w:name="_Toc2545"/>
      <w:bookmarkStart w:id="1326" w:name="_Toc18978"/>
      <w:bookmarkStart w:id="1327" w:name="_Toc15273"/>
      <w:bookmarkStart w:id="1328" w:name="_Toc19562"/>
      <w:bookmarkStart w:id="1329" w:name="_Toc5955"/>
      <w:bookmarkStart w:id="1330" w:name="_Toc18562"/>
      <w:bookmarkStart w:id="1331" w:name="_Toc3800"/>
      <w:bookmarkStart w:id="1332" w:name="_Toc7624"/>
      <w:bookmarkStart w:id="1333" w:name="_Toc28057"/>
      <w:bookmarkStart w:id="1334" w:name="_Toc8735"/>
      <w:bookmarkStart w:id="1335" w:name="_Toc18159"/>
      <w:bookmarkStart w:id="1336" w:name="_Toc25994"/>
      <w:bookmarkStart w:id="1337" w:name="_Toc30377"/>
      <w:bookmarkStart w:id="1338" w:name="_Toc5829"/>
      <w:bookmarkStart w:id="1339" w:name="_Toc7665"/>
      <w:bookmarkStart w:id="1340" w:name="_Toc27481"/>
      <w:bookmarkStart w:id="1341" w:name="_Toc4312"/>
      <w:bookmarkStart w:id="1342" w:name="_Toc18677"/>
      <w:bookmarkStart w:id="1343" w:name="_Toc15176"/>
      <w:bookmarkStart w:id="1344" w:name="_Toc32506"/>
      <w:bookmarkStart w:id="1345" w:name="_Toc27830"/>
      <w:bookmarkStart w:id="1346" w:name="_Toc16332"/>
      <w:bookmarkStart w:id="1347" w:name="_Toc23735"/>
      <w:bookmarkStart w:id="1348" w:name="_Toc28132"/>
      <w:bookmarkStart w:id="1349" w:name="_Toc55379715"/>
      <w:bookmarkStart w:id="1350" w:name="_Toc20431"/>
      <w:bookmarkStart w:id="1351" w:name="_Toc11793"/>
      <w:bookmarkStart w:id="1352" w:name="_Toc28144"/>
      <w:bookmarkStart w:id="1353" w:name="_Toc60021277"/>
      <w:bookmarkStart w:id="1354" w:name="_Toc16975"/>
      <w:bookmarkStart w:id="1355" w:name="_Toc20561"/>
      <w:bookmarkStart w:id="1356" w:name="_Toc28788"/>
      <w:bookmarkStart w:id="1357" w:name="_Toc2307"/>
      <w:bookmarkStart w:id="1358" w:name="_Toc3610"/>
      <w:bookmarkStart w:id="1359" w:name="_Toc29581"/>
      <w:bookmarkStart w:id="1360" w:name="_Toc37493332"/>
      <w:bookmarkStart w:id="1361" w:name="_Toc31244"/>
      <w:bookmarkStart w:id="1362" w:name="_Toc12407"/>
      <w:bookmarkStart w:id="1363" w:name="_Toc13048"/>
      <w:bookmarkStart w:id="1364" w:name="_Toc17004"/>
      <w:bookmarkStart w:id="1365" w:name="_Toc19191"/>
      <w:bookmarkStart w:id="1366" w:name="_Toc294166745"/>
      <w:bookmarkStart w:id="1367" w:name="_Toc20509"/>
      <w:bookmarkStart w:id="1368" w:name="_Toc12288"/>
      <w:bookmarkStart w:id="1369" w:name="_Toc1322"/>
      <w:bookmarkStart w:id="1370" w:name="_Toc2143"/>
      <w:bookmarkStart w:id="1371" w:name="_Toc17803"/>
      <w:r>
        <w:rPr>
          <w:rFonts w:hint="eastAsia" w:ascii="宋体" w:hAnsi="宋体" w:eastAsia="宋体" w:cs="宋体"/>
          <w:b/>
          <w:bCs/>
          <w:color w:val="auto"/>
        </w:rPr>
        <w:t>附件</w:t>
      </w:r>
      <w:r>
        <w:rPr>
          <w:rFonts w:hint="eastAsia" w:ascii="宋体" w:hAnsi="宋体" w:cs="宋体"/>
          <w:b/>
          <w:bCs/>
          <w:color w:val="auto"/>
          <w:lang w:val="en-US" w:eastAsia="zh-CN"/>
        </w:rPr>
        <w:t>5</w:t>
      </w:r>
    </w:p>
    <w:p w14:paraId="2C35A332">
      <w:pPr>
        <w:spacing w:line="360" w:lineRule="auto"/>
        <w:ind w:firstLine="0" w:firstLineChars="0"/>
        <w:jc w:val="center"/>
        <w:rPr>
          <w:rFonts w:hint="eastAsia" w:ascii="宋体" w:hAnsi="宋体" w:cs="宋体"/>
          <w:b/>
          <w:sz w:val="30"/>
          <w:szCs w:val="30"/>
        </w:rPr>
      </w:pPr>
      <w:r>
        <w:rPr>
          <w:rFonts w:hint="eastAsia" w:ascii="宋体" w:hAnsi="宋体" w:cs="宋体"/>
          <w:b/>
          <w:sz w:val="30"/>
          <w:szCs w:val="30"/>
        </w:rPr>
        <w:t>投标人202</w:t>
      </w:r>
      <w:r>
        <w:rPr>
          <w:rFonts w:hint="eastAsia" w:ascii="宋体" w:hAnsi="宋体" w:cs="宋体"/>
          <w:b/>
          <w:sz w:val="30"/>
          <w:szCs w:val="30"/>
          <w:lang w:val="en-US" w:eastAsia="zh-CN"/>
        </w:rPr>
        <w:t>1</w:t>
      </w:r>
      <w:r>
        <w:rPr>
          <w:rFonts w:hint="eastAsia" w:ascii="宋体" w:hAnsi="宋体" w:cs="宋体"/>
          <w:b/>
          <w:sz w:val="30"/>
          <w:szCs w:val="30"/>
        </w:rPr>
        <w:t>年1月1日以来类似成功案例的业绩一览表</w:t>
      </w:r>
    </w:p>
    <w:p w14:paraId="48CFF8AC">
      <w:pPr>
        <w:pStyle w:val="35"/>
        <w:ind w:left="480"/>
      </w:pPr>
    </w:p>
    <w:tbl>
      <w:tblPr>
        <w:tblStyle w:val="36"/>
        <w:tblW w:w="10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2262"/>
        <w:gridCol w:w="3141"/>
        <w:gridCol w:w="2100"/>
        <w:gridCol w:w="2042"/>
      </w:tblGrid>
      <w:tr w14:paraId="765F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14:paraId="4000D9AA">
            <w:pPr>
              <w:pStyle w:val="20"/>
              <w:widowControl/>
              <w:spacing w:line="360" w:lineRule="auto"/>
              <w:ind w:firstLine="0" w:firstLineChars="0"/>
              <w:jc w:val="center"/>
              <w:rPr>
                <w:rFonts w:hAnsi="宋体"/>
              </w:rPr>
            </w:pPr>
            <w:r>
              <w:rPr>
                <w:rFonts w:hAnsi="宋体"/>
              </w:rPr>
              <w:t>序号</w:t>
            </w:r>
          </w:p>
        </w:tc>
        <w:tc>
          <w:tcPr>
            <w:tcW w:w="2262" w:type="dxa"/>
            <w:tcBorders>
              <w:top w:val="single" w:color="auto" w:sz="4" w:space="0"/>
              <w:left w:val="single" w:color="auto" w:sz="4" w:space="0"/>
              <w:bottom w:val="single" w:color="auto" w:sz="4" w:space="0"/>
              <w:right w:val="single" w:color="auto" w:sz="4" w:space="0"/>
            </w:tcBorders>
            <w:noWrap w:val="0"/>
            <w:vAlign w:val="center"/>
          </w:tcPr>
          <w:p w14:paraId="7AD672C8">
            <w:pPr>
              <w:pStyle w:val="20"/>
              <w:widowControl/>
              <w:spacing w:line="360" w:lineRule="auto"/>
              <w:ind w:left="0" w:leftChars="0" w:firstLine="0" w:firstLineChars="0"/>
              <w:jc w:val="center"/>
              <w:rPr>
                <w:rFonts w:hAnsi="宋体"/>
              </w:rPr>
            </w:pPr>
            <w:r>
              <w:rPr>
                <w:rFonts w:hAnsi="宋体"/>
              </w:rPr>
              <w:t>项目名称</w:t>
            </w:r>
          </w:p>
        </w:tc>
        <w:tc>
          <w:tcPr>
            <w:tcW w:w="3141" w:type="dxa"/>
            <w:tcBorders>
              <w:top w:val="single" w:color="auto" w:sz="4" w:space="0"/>
              <w:left w:val="single" w:color="auto" w:sz="4" w:space="0"/>
              <w:bottom w:val="single" w:color="auto" w:sz="4" w:space="0"/>
              <w:right w:val="single" w:color="auto" w:sz="4" w:space="0"/>
            </w:tcBorders>
            <w:noWrap w:val="0"/>
            <w:vAlign w:val="center"/>
          </w:tcPr>
          <w:p w14:paraId="7E5C6D41">
            <w:pPr>
              <w:pStyle w:val="20"/>
              <w:widowControl/>
              <w:spacing w:line="360" w:lineRule="auto"/>
              <w:ind w:left="0" w:leftChars="0" w:firstLine="0" w:firstLineChars="0"/>
              <w:jc w:val="center"/>
              <w:rPr>
                <w:rFonts w:hint="default" w:hAnsi="宋体" w:eastAsia="宋体"/>
                <w:lang w:val="en-US" w:eastAsia="zh-CN"/>
              </w:rPr>
            </w:pPr>
            <w:r>
              <w:rPr>
                <w:rFonts w:hint="eastAsia" w:hAnsi="宋体"/>
                <w:lang w:val="en-US" w:eastAsia="zh-CN"/>
              </w:rPr>
              <w:t>合同内容描述</w:t>
            </w:r>
          </w:p>
        </w:tc>
        <w:tc>
          <w:tcPr>
            <w:tcW w:w="2100" w:type="dxa"/>
            <w:tcBorders>
              <w:top w:val="single" w:color="auto" w:sz="4" w:space="0"/>
              <w:left w:val="single" w:color="auto" w:sz="4" w:space="0"/>
              <w:bottom w:val="single" w:color="auto" w:sz="4" w:space="0"/>
              <w:right w:val="single" w:color="auto" w:sz="4" w:space="0"/>
            </w:tcBorders>
            <w:noWrap w:val="0"/>
            <w:vAlign w:val="center"/>
          </w:tcPr>
          <w:p w14:paraId="4D94799A">
            <w:pPr>
              <w:pStyle w:val="20"/>
              <w:widowControl/>
              <w:spacing w:line="360" w:lineRule="auto"/>
              <w:ind w:left="0" w:leftChars="0" w:firstLine="0" w:firstLineChars="0"/>
              <w:jc w:val="center"/>
              <w:rPr>
                <w:rFonts w:hAnsi="宋体"/>
              </w:rPr>
            </w:pPr>
            <w:r>
              <w:rPr>
                <w:rFonts w:hAnsi="宋体"/>
              </w:rPr>
              <w:t>项目地址</w:t>
            </w:r>
          </w:p>
        </w:tc>
        <w:tc>
          <w:tcPr>
            <w:tcW w:w="2042" w:type="dxa"/>
            <w:tcBorders>
              <w:top w:val="single" w:color="auto" w:sz="4" w:space="0"/>
              <w:left w:val="single" w:color="auto" w:sz="4" w:space="0"/>
              <w:bottom w:val="single" w:color="auto" w:sz="4" w:space="0"/>
              <w:right w:val="single" w:color="auto" w:sz="4" w:space="0"/>
            </w:tcBorders>
            <w:noWrap w:val="0"/>
            <w:vAlign w:val="center"/>
          </w:tcPr>
          <w:p w14:paraId="372CCAD2">
            <w:pPr>
              <w:pStyle w:val="20"/>
              <w:widowControl/>
              <w:spacing w:line="360" w:lineRule="auto"/>
              <w:ind w:left="0" w:leftChars="0" w:firstLine="0" w:firstLineChars="0"/>
              <w:jc w:val="center"/>
              <w:rPr>
                <w:rFonts w:hAnsi="宋体"/>
              </w:rPr>
            </w:pPr>
            <w:r>
              <w:rPr>
                <w:rFonts w:hAnsi="宋体"/>
              </w:rPr>
              <w:t>金 额</w:t>
            </w:r>
          </w:p>
        </w:tc>
      </w:tr>
      <w:tr w14:paraId="549F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59D48921">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17D3CFCB">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1F6F8628">
            <w:pPr>
              <w:pStyle w:val="20"/>
              <w:widowControl/>
              <w:spacing w:line="360" w:lineRule="auto"/>
              <w:ind w:firstLine="480"/>
              <w:jc w:val="center"/>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31BB2EDA">
            <w:pPr>
              <w:pStyle w:val="20"/>
              <w:widowControl/>
              <w:spacing w:line="360" w:lineRule="auto"/>
              <w:ind w:firstLine="480"/>
              <w:jc w:val="center"/>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0324775A">
            <w:pPr>
              <w:pStyle w:val="20"/>
              <w:widowControl/>
              <w:spacing w:line="360" w:lineRule="auto"/>
              <w:ind w:firstLine="480"/>
              <w:rPr>
                <w:rFonts w:hAnsi="宋体"/>
              </w:rPr>
            </w:pPr>
            <w:r>
              <w:rPr>
                <w:rFonts w:hAnsi="宋体"/>
              </w:rPr>
              <w:t> </w:t>
            </w:r>
          </w:p>
        </w:tc>
      </w:tr>
      <w:tr w14:paraId="18E0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4AE84427">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451FBAF6">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441D7B3A">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3611922F">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60E7062A">
            <w:pPr>
              <w:pStyle w:val="20"/>
              <w:widowControl/>
              <w:spacing w:line="360" w:lineRule="auto"/>
              <w:ind w:firstLine="480"/>
              <w:rPr>
                <w:rFonts w:hAnsi="宋体"/>
              </w:rPr>
            </w:pPr>
            <w:r>
              <w:rPr>
                <w:rFonts w:hAnsi="宋体"/>
              </w:rPr>
              <w:t> </w:t>
            </w:r>
          </w:p>
        </w:tc>
      </w:tr>
      <w:tr w14:paraId="4B41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24BEBD13">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1F6CB168">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72829E78">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74D1BA3A">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50F4F68E">
            <w:pPr>
              <w:pStyle w:val="20"/>
              <w:widowControl/>
              <w:spacing w:line="360" w:lineRule="auto"/>
              <w:ind w:firstLine="480"/>
              <w:rPr>
                <w:rFonts w:hAnsi="宋体"/>
              </w:rPr>
            </w:pPr>
            <w:r>
              <w:rPr>
                <w:rFonts w:hAnsi="宋体"/>
              </w:rPr>
              <w:t> </w:t>
            </w:r>
          </w:p>
        </w:tc>
      </w:tr>
      <w:tr w14:paraId="6B42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701427ED">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58B4DD9E">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357957D3">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4CEBCA2D">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6F0500D5">
            <w:pPr>
              <w:pStyle w:val="20"/>
              <w:widowControl/>
              <w:spacing w:line="360" w:lineRule="auto"/>
              <w:ind w:firstLine="480"/>
              <w:rPr>
                <w:rFonts w:hAnsi="宋体"/>
              </w:rPr>
            </w:pPr>
            <w:r>
              <w:rPr>
                <w:rFonts w:hAnsi="宋体"/>
              </w:rPr>
              <w:t> </w:t>
            </w:r>
          </w:p>
        </w:tc>
      </w:tr>
      <w:tr w14:paraId="3483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373E1460">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74871675">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21ED75A0">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76AC7EB3">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0B05952A">
            <w:pPr>
              <w:pStyle w:val="20"/>
              <w:widowControl/>
              <w:spacing w:line="360" w:lineRule="auto"/>
              <w:ind w:firstLine="480"/>
              <w:rPr>
                <w:rFonts w:hAnsi="宋体"/>
              </w:rPr>
            </w:pPr>
            <w:r>
              <w:rPr>
                <w:rFonts w:hAnsi="宋体"/>
              </w:rPr>
              <w:t> </w:t>
            </w:r>
          </w:p>
        </w:tc>
      </w:tr>
      <w:tr w14:paraId="7928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51B89EDC">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5C7EEFD0">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4F48FDD0">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6246B43E">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6A10BEAA">
            <w:pPr>
              <w:pStyle w:val="20"/>
              <w:widowControl/>
              <w:spacing w:line="360" w:lineRule="auto"/>
              <w:ind w:firstLine="480"/>
              <w:rPr>
                <w:rFonts w:hAnsi="宋体"/>
              </w:rPr>
            </w:pPr>
            <w:r>
              <w:rPr>
                <w:rFonts w:hAnsi="宋体"/>
              </w:rPr>
              <w:t> </w:t>
            </w:r>
          </w:p>
        </w:tc>
      </w:tr>
      <w:tr w14:paraId="765F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41FE3D9A">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5737B8C5">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1158A2D3">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41BACFBB">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32DC6A1F">
            <w:pPr>
              <w:pStyle w:val="20"/>
              <w:widowControl/>
              <w:spacing w:line="360" w:lineRule="auto"/>
              <w:ind w:firstLine="480"/>
              <w:rPr>
                <w:rFonts w:hAnsi="宋体"/>
              </w:rPr>
            </w:pPr>
            <w:r>
              <w:rPr>
                <w:rFonts w:hAnsi="宋体"/>
              </w:rPr>
              <w:t> </w:t>
            </w:r>
          </w:p>
        </w:tc>
      </w:tr>
      <w:tr w14:paraId="6ACB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7C34F250">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6F055C79">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222E8E93">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03D72CA5">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01493DF2">
            <w:pPr>
              <w:pStyle w:val="20"/>
              <w:widowControl/>
              <w:spacing w:line="360" w:lineRule="auto"/>
              <w:ind w:firstLine="480"/>
              <w:rPr>
                <w:rFonts w:hAnsi="宋体"/>
              </w:rPr>
            </w:pPr>
            <w:r>
              <w:rPr>
                <w:rFonts w:hAnsi="宋体"/>
              </w:rPr>
              <w:t> </w:t>
            </w:r>
          </w:p>
        </w:tc>
      </w:tr>
      <w:tr w14:paraId="6C74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11CA91C2">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6BDE436A">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62A6A479">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356DC249">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5D0F1D33">
            <w:pPr>
              <w:pStyle w:val="20"/>
              <w:widowControl/>
              <w:spacing w:line="360" w:lineRule="auto"/>
              <w:ind w:firstLine="480"/>
              <w:rPr>
                <w:rFonts w:hAnsi="宋体"/>
              </w:rPr>
            </w:pPr>
            <w:r>
              <w:rPr>
                <w:rFonts w:hAnsi="宋体"/>
              </w:rPr>
              <w:t> </w:t>
            </w:r>
          </w:p>
        </w:tc>
      </w:tr>
      <w:tr w14:paraId="38CF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779742BA">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5F1DDFBA">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15206F0E">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19B5CB8E">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13009019">
            <w:pPr>
              <w:pStyle w:val="20"/>
              <w:widowControl/>
              <w:spacing w:line="360" w:lineRule="auto"/>
              <w:ind w:firstLine="480"/>
              <w:rPr>
                <w:rFonts w:hAnsi="宋体"/>
              </w:rPr>
            </w:pPr>
            <w:r>
              <w:rPr>
                <w:rFonts w:hAnsi="宋体"/>
              </w:rPr>
              <w:t> </w:t>
            </w:r>
          </w:p>
        </w:tc>
      </w:tr>
      <w:tr w14:paraId="579D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top"/>
          </w:tcPr>
          <w:p w14:paraId="392E87A3">
            <w:pPr>
              <w:pStyle w:val="20"/>
              <w:widowControl/>
              <w:spacing w:line="360" w:lineRule="auto"/>
              <w:ind w:firstLine="480"/>
              <w:rPr>
                <w:rFonts w:hAnsi="宋体"/>
              </w:rPr>
            </w:pPr>
            <w:r>
              <w:rPr>
                <w:rFonts w:hAnsi="宋体"/>
              </w:rPr>
              <w:t> </w:t>
            </w:r>
          </w:p>
        </w:tc>
        <w:tc>
          <w:tcPr>
            <w:tcW w:w="2262" w:type="dxa"/>
            <w:tcBorders>
              <w:top w:val="single" w:color="auto" w:sz="4" w:space="0"/>
              <w:left w:val="single" w:color="auto" w:sz="4" w:space="0"/>
              <w:bottom w:val="single" w:color="auto" w:sz="4" w:space="0"/>
              <w:right w:val="single" w:color="auto" w:sz="4" w:space="0"/>
            </w:tcBorders>
            <w:noWrap w:val="0"/>
            <w:vAlign w:val="top"/>
          </w:tcPr>
          <w:p w14:paraId="5D70AFB1">
            <w:pPr>
              <w:pStyle w:val="20"/>
              <w:widowControl/>
              <w:spacing w:line="360" w:lineRule="auto"/>
              <w:ind w:firstLine="480"/>
              <w:rPr>
                <w:rFonts w:hAnsi="宋体"/>
              </w:rPr>
            </w:pPr>
            <w:r>
              <w:rPr>
                <w:rFonts w:hAnsi="宋体"/>
              </w:rPr>
              <w:t> </w:t>
            </w:r>
          </w:p>
        </w:tc>
        <w:tc>
          <w:tcPr>
            <w:tcW w:w="3141" w:type="dxa"/>
            <w:tcBorders>
              <w:top w:val="single" w:color="auto" w:sz="4" w:space="0"/>
              <w:left w:val="single" w:color="auto" w:sz="4" w:space="0"/>
              <w:bottom w:val="single" w:color="auto" w:sz="4" w:space="0"/>
              <w:right w:val="single" w:color="auto" w:sz="4" w:space="0"/>
            </w:tcBorders>
            <w:noWrap w:val="0"/>
            <w:vAlign w:val="top"/>
          </w:tcPr>
          <w:p w14:paraId="0B45118E">
            <w:pPr>
              <w:pStyle w:val="20"/>
              <w:widowControl/>
              <w:spacing w:line="360" w:lineRule="auto"/>
              <w:ind w:firstLine="480"/>
              <w:rPr>
                <w:rFonts w:hAnsi="宋体"/>
              </w:rPr>
            </w:pPr>
          </w:p>
        </w:tc>
        <w:tc>
          <w:tcPr>
            <w:tcW w:w="2100" w:type="dxa"/>
            <w:tcBorders>
              <w:top w:val="single" w:color="auto" w:sz="4" w:space="0"/>
              <w:left w:val="single" w:color="auto" w:sz="4" w:space="0"/>
              <w:bottom w:val="single" w:color="auto" w:sz="4" w:space="0"/>
              <w:right w:val="single" w:color="auto" w:sz="4" w:space="0"/>
            </w:tcBorders>
            <w:noWrap w:val="0"/>
            <w:vAlign w:val="top"/>
          </w:tcPr>
          <w:p w14:paraId="2273D9FF">
            <w:pPr>
              <w:pStyle w:val="20"/>
              <w:widowControl/>
              <w:spacing w:line="360" w:lineRule="auto"/>
              <w:ind w:firstLine="480"/>
              <w:rPr>
                <w:rFonts w:hAnsi="宋体"/>
              </w:rPr>
            </w:pPr>
            <w:r>
              <w:rPr>
                <w:rFonts w:hAnsi="宋体"/>
              </w:rPr>
              <w:t> </w:t>
            </w:r>
          </w:p>
        </w:tc>
        <w:tc>
          <w:tcPr>
            <w:tcW w:w="2042" w:type="dxa"/>
            <w:tcBorders>
              <w:top w:val="single" w:color="auto" w:sz="4" w:space="0"/>
              <w:left w:val="single" w:color="auto" w:sz="4" w:space="0"/>
              <w:bottom w:val="single" w:color="auto" w:sz="4" w:space="0"/>
              <w:right w:val="single" w:color="auto" w:sz="4" w:space="0"/>
            </w:tcBorders>
            <w:noWrap w:val="0"/>
            <w:vAlign w:val="top"/>
          </w:tcPr>
          <w:p w14:paraId="3BA38F73">
            <w:pPr>
              <w:pStyle w:val="20"/>
              <w:widowControl/>
              <w:spacing w:line="360" w:lineRule="auto"/>
              <w:ind w:firstLine="480"/>
              <w:rPr>
                <w:rFonts w:hAnsi="宋体"/>
              </w:rPr>
            </w:pPr>
            <w:r>
              <w:rPr>
                <w:rFonts w:hAnsi="宋体"/>
              </w:rPr>
              <w:t> </w:t>
            </w:r>
          </w:p>
        </w:tc>
      </w:tr>
    </w:tbl>
    <w:p w14:paraId="2F717D44">
      <w:pPr>
        <w:pStyle w:val="35"/>
        <w:ind w:left="0" w:leftChars="0" w:firstLine="0" w:firstLineChars="0"/>
        <w:rPr>
          <w:rFonts w:hint="eastAsia" w:ascii="宋体" w:hAnsi="宋体" w:eastAsia="宋体" w:cs="宋体"/>
          <w:b/>
          <w:bCs/>
          <w:color w:val="000000"/>
          <w:sz w:val="24"/>
          <w:szCs w:val="24"/>
          <w:lang w:val="en-US" w:eastAsia="zh-CN"/>
        </w:rPr>
      </w:pPr>
    </w:p>
    <w:p w14:paraId="470B1FC1">
      <w:pPr>
        <w:pStyle w:val="35"/>
        <w:ind w:left="0" w:leftChars="0" w:firstLine="0" w:firstLineChars="0"/>
        <w:rPr>
          <w:rFonts w:hint="eastAsia" w:ascii="宋体" w:hAnsi="宋体"/>
          <w:color w:val="000000"/>
          <w:lang w:val="zh-CN"/>
        </w:rPr>
      </w:pPr>
      <w:r>
        <w:rPr>
          <w:rFonts w:hint="eastAsia" w:ascii="宋体" w:hAnsi="宋体" w:eastAsia="宋体" w:cs="宋体"/>
          <w:b/>
          <w:bCs/>
          <w:color w:val="000000"/>
          <w:sz w:val="24"/>
          <w:szCs w:val="24"/>
          <w:lang w:val="en-US" w:eastAsia="zh-CN"/>
        </w:rPr>
        <w:t>注：</w:t>
      </w:r>
      <w:r>
        <w:rPr>
          <w:rFonts w:hint="eastAsia" w:ascii="宋体" w:hAnsi="宋体" w:eastAsia="宋体" w:cs="宋体"/>
          <w:b/>
          <w:bCs/>
          <w:color w:val="auto"/>
          <w:kern w:val="2"/>
          <w:sz w:val="24"/>
          <w:szCs w:val="24"/>
          <w:lang w:val="en-US"/>
        </w:rPr>
        <w:t>须</w:t>
      </w:r>
      <w:r>
        <w:rPr>
          <w:rFonts w:hint="eastAsia" w:ascii="宋体" w:hAnsi="宋体" w:eastAsia="宋体" w:cs="宋体"/>
          <w:b/>
          <w:bCs/>
          <w:color w:val="auto"/>
          <w:kern w:val="2"/>
          <w:sz w:val="24"/>
          <w:szCs w:val="24"/>
        </w:rPr>
        <w:t>提</w:t>
      </w:r>
      <w:r>
        <w:rPr>
          <w:rFonts w:hint="eastAsia" w:ascii="宋体" w:hAnsi="宋体" w:eastAsia="宋体" w:cs="宋体"/>
          <w:b/>
          <w:bCs/>
          <w:color w:val="auto"/>
          <w:kern w:val="2"/>
          <w:sz w:val="24"/>
          <w:szCs w:val="24"/>
          <w:highlight w:val="none"/>
        </w:rPr>
        <w:t>供</w:t>
      </w:r>
      <w:r>
        <w:rPr>
          <w:rFonts w:hint="eastAsia" w:ascii="宋体" w:hAnsi="宋体" w:cs="宋体"/>
          <w:b/>
          <w:bCs/>
          <w:color w:val="auto"/>
          <w:kern w:val="2"/>
          <w:sz w:val="24"/>
          <w:szCs w:val="24"/>
          <w:highlight w:val="none"/>
          <w:lang w:val="en-US" w:eastAsia="zh-CN"/>
        </w:rPr>
        <w:t>合同</w:t>
      </w:r>
      <w:r>
        <w:rPr>
          <w:rFonts w:hint="eastAsia" w:ascii="宋体" w:hAnsi="宋体" w:eastAsia="宋体" w:cs="宋体"/>
          <w:b/>
          <w:bCs/>
          <w:color w:val="auto"/>
          <w:kern w:val="2"/>
          <w:sz w:val="24"/>
          <w:szCs w:val="24"/>
          <w:highlight w:val="none"/>
        </w:rPr>
        <w:t>原</w:t>
      </w:r>
      <w:r>
        <w:rPr>
          <w:rFonts w:hint="eastAsia" w:ascii="宋体" w:hAnsi="宋体" w:eastAsia="宋体" w:cs="宋体"/>
          <w:b/>
          <w:bCs/>
          <w:color w:val="auto"/>
          <w:kern w:val="2"/>
          <w:sz w:val="24"/>
          <w:szCs w:val="24"/>
        </w:rPr>
        <w:t>件扫描件</w:t>
      </w:r>
      <w:r>
        <w:rPr>
          <w:rFonts w:hint="eastAsia" w:ascii="宋体" w:hAnsi="宋体" w:eastAsia="宋体" w:cs="宋体"/>
          <w:b/>
          <w:bCs/>
          <w:color w:val="auto"/>
          <w:kern w:val="2"/>
          <w:sz w:val="24"/>
          <w:szCs w:val="24"/>
          <w:highlight w:val="none"/>
        </w:rPr>
        <w:t>并加盖公章</w:t>
      </w:r>
      <w:r>
        <w:rPr>
          <w:rFonts w:hint="eastAsia" w:ascii="宋体" w:hAnsi="宋体" w:eastAsia="宋体" w:cs="宋体"/>
          <w:b/>
          <w:bCs/>
          <w:color w:val="auto"/>
          <w:kern w:val="2"/>
          <w:sz w:val="24"/>
          <w:szCs w:val="24"/>
        </w:rPr>
        <w:t>，否则不得分。</w:t>
      </w:r>
    </w:p>
    <w:p w14:paraId="53524FE9">
      <w:pPr>
        <w:pStyle w:val="47"/>
        <w:ind w:firstLine="480"/>
        <w:rPr>
          <w:rFonts w:hint="eastAsia"/>
          <w:lang w:val="zh-CN"/>
        </w:rPr>
      </w:pPr>
    </w:p>
    <w:p w14:paraId="77C8D9A7">
      <w:pPr>
        <w:pStyle w:val="48"/>
        <w:rPr>
          <w:rFonts w:hint="eastAsia"/>
          <w:lang w:val="zh-CN"/>
        </w:rPr>
      </w:pPr>
    </w:p>
    <w:p w14:paraId="1C6CC3A1">
      <w:pPr>
        <w:pStyle w:val="48"/>
        <w:rPr>
          <w:rFonts w:hint="eastAsia"/>
          <w:lang w:val="zh-CN"/>
        </w:rPr>
      </w:pPr>
    </w:p>
    <w:p w14:paraId="691EB2C6">
      <w:pPr>
        <w:snapToGrid w:val="0"/>
        <w:ind w:firstLine="480"/>
        <w:rPr>
          <w:rFonts w:hint="eastAsia" w:ascii="宋体" w:hAnsi="宋体" w:cs="宋体"/>
          <w:color w:val="353535"/>
          <w:lang w:val="zh-CN"/>
        </w:rPr>
      </w:pPr>
    </w:p>
    <w:p w14:paraId="14C36B68">
      <w:pPr>
        <w:ind w:firstLine="4320" w:firstLineChars="1800"/>
        <w:rPr>
          <w:color w:val="auto"/>
        </w:rPr>
      </w:pPr>
      <w:r>
        <w:rPr>
          <w:rFonts w:hint="eastAsia"/>
          <w:color w:val="auto"/>
        </w:rPr>
        <w:t>投标人全称（盖章）：</w:t>
      </w:r>
      <w:r>
        <w:rPr>
          <w:color w:val="auto"/>
        </w:rPr>
        <w:t xml:space="preserve">                         </w:t>
      </w:r>
    </w:p>
    <w:p w14:paraId="38795F16">
      <w:pPr>
        <w:ind w:firstLine="4320" w:firstLineChars="1800"/>
        <w:rPr>
          <w:color w:val="auto"/>
        </w:rPr>
      </w:pPr>
      <w:r>
        <w:rPr>
          <w:rFonts w:hint="eastAsia"/>
          <w:color w:val="auto"/>
        </w:rPr>
        <w:t>法定代表人或授权代理人（签字或盖章）：</w:t>
      </w:r>
    </w:p>
    <w:p w14:paraId="5E94E602">
      <w:pPr>
        <w:ind w:firstLine="4320" w:firstLineChars="1800"/>
        <w:rPr>
          <w:color w:val="auto"/>
        </w:rPr>
      </w:pPr>
      <w:r>
        <w:rPr>
          <w:rFonts w:hint="eastAsia"/>
          <w:color w:val="auto"/>
        </w:rPr>
        <w:t>日期：</w:t>
      </w:r>
      <w:r>
        <w:rPr>
          <w:rFonts w:hint="eastAsia"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182FD1CF">
      <w:pPr>
        <w:ind w:firstLine="0" w:firstLineChars="0"/>
        <w:rPr>
          <w:rFonts w:hint="eastAsia" w:ascii="新宋体" w:hAnsi="新宋体" w:eastAsia="新宋体"/>
        </w:rPr>
      </w:pPr>
    </w:p>
    <w:p w14:paraId="54D1D7F8">
      <w:pPr>
        <w:pStyle w:val="3"/>
        <w:numPr>
          <w:ilvl w:val="0"/>
          <w:numId w:val="0"/>
        </w:numPr>
        <w:ind w:leftChars="0"/>
        <w:jc w:val="both"/>
        <w:rPr>
          <w:rFonts w:hint="eastAsia"/>
        </w:rPr>
      </w:pPr>
    </w:p>
    <w:p w14:paraId="1F3BC0AA">
      <w:pPr>
        <w:pStyle w:val="35"/>
        <w:ind w:left="480" w:firstLine="480"/>
        <w:rPr>
          <w:rFonts w:hint="eastAsia" w:ascii="新宋体" w:hAnsi="新宋体" w:eastAsia="新宋体"/>
          <w:sz w:val="24"/>
          <w:szCs w:val="24"/>
        </w:rPr>
      </w:pPr>
    </w:p>
    <w:p w14:paraId="380B042D">
      <w:pPr>
        <w:ind w:firstLine="0" w:firstLineChars="0"/>
        <w:jc w:val="left"/>
        <w:outlineLvl w:val="1"/>
        <w:rPr>
          <w:rFonts w:hint="default" w:ascii="宋体" w:hAnsi="宋体" w:eastAsia="宋体" w:cs="宋体"/>
          <w:b/>
          <w:bCs/>
          <w:color w:val="auto"/>
          <w:lang w:val="en-US"/>
        </w:rPr>
      </w:pPr>
      <w:r>
        <w:rPr>
          <w:rFonts w:hint="eastAsia" w:ascii="宋体" w:hAnsi="宋体" w:eastAsia="宋体" w:cs="宋体"/>
          <w:b/>
          <w:bCs/>
          <w:color w:val="auto"/>
        </w:rPr>
        <w:t>附件</w:t>
      </w:r>
      <w:r>
        <w:rPr>
          <w:rFonts w:hint="eastAsia" w:ascii="宋体" w:hAnsi="宋体" w:eastAsia="宋体" w:cs="宋体"/>
          <w:b/>
          <w:bCs/>
          <w:color w:val="auto"/>
          <w:lang w:val="en-US" w:eastAsia="zh-CN"/>
        </w:rPr>
        <w:t>6</w:t>
      </w:r>
    </w:p>
    <w:p w14:paraId="35FD34E9">
      <w:pPr>
        <w:keepNext w:val="0"/>
        <w:keepLines w:val="0"/>
        <w:pageBreakBefore w:val="0"/>
        <w:widowControl w:val="0"/>
        <w:kinsoku/>
        <w:wordWrap/>
        <w:overflowPunct/>
        <w:topLinePunct w:val="0"/>
        <w:autoSpaceDE/>
        <w:autoSpaceDN/>
        <w:bidi w:val="0"/>
        <w:adjustRightInd/>
        <w:snapToGrid w:val="0"/>
        <w:spacing w:line="480" w:lineRule="auto"/>
        <w:jc w:val="center"/>
        <w:textAlignment w:val="auto"/>
        <w:rPr>
          <w:rFonts w:hint="eastAsia"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技术要求偏离表</w:t>
      </w:r>
    </w:p>
    <w:tbl>
      <w:tblPr>
        <w:tblStyle w:val="36"/>
        <w:tblW w:w="10110"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05"/>
        <w:gridCol w:w="1605"/>
        <w:gridCol w:w="1815"/>
        <w:gridCol w:w="2040"/>
        <w:gridCol w:w="1305"/>
        <w:gridCol w:w="1005"/>
      </w:tblGrid>
      <w:tr w14:paraId="7A9A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35" w:type="dxa"/>
            <w:tcBorders>
              <w:top w:val="thinThickSmallGap" w:color="auto" w:sz="12" w:space="0"/>
              <w:left w:val="thinThickSmallGap" w:color="auto" w:sz="12" w:space="0"/>
            </w:tcBorders>
            <w:noWrap w:val="0"/>
            <w:vAlign w:val="center"/>
          </w:tcPr>
          <w:p w14:paraId="57836214">
            <w:pPr>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05" w:type="dxa"/>
            <w:tcBorders>
              <w:top w:val="thinThickSmallGap" w:color="auto" w:sz="12" w:space="0"/>
            </w:tcBorders>
            <w:noWrap w:val="0"/>
            <w:vAlign w:val="center"/>
          </w:tcPr>
          <w:p w14:paraId="7D16E18E">
            <w:pPr>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产品名称</w:t>
            </w:r>
          </w:p>
        </w:tc>
        <w:tc>
          <w:tcPr>
            <w:tcW w:w="1605" w:type="dxa"/>
            <w:tcBorders>
              <w:top w:val="thinThickSmallGap" w:color="auto" w:sz="12" w:space="0"/>
            </w:tcBorders>
            <w:noWrap w:val="0"/>
            <w:vAlign w:val="center"/>
          </w:tcPr>
          <w:p w14:paraId="287601EB">
            <w:pPr>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采购</w:t>
            </w:r>
            <w:r>
              <w:rPr>
                <w:rFonts w:hint="eastAsia" w:ascii="宋体" w:hAnsi="宋体" w:eastAsia="宋体" w:cs="宋体"/>
                <w:color w:val="000000"/>
                <w:sz w:val="24"/>
                <w:szCs w:val="24"/>
              </w:rPr>
              <w:t>文件技术要求</w:t>
            </w:r>
          </w:p>
        </w:tc>
        <w:tc>
          <w:tcPr>
            <w:tcW w:w="1815" w:type="dxa"/>
            <w:tcBorders>
              <w:top w:val="thinThickSmallGap" w:color="auto" w:sz="12" w:space="0"/>
            </w:tcBorders>
            <w:noWrap w:val="0"/>
            <w:vAlign w:val="center"/>
          </w:tcPr>
          <w:p w14:paraId="2D8D4A39">
            <w:pPr>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投标文件响应品牌型号</w:t>
            </w:r>
          </w:p>
        </w:tc>
        <w:tc>
          <w:tcPr>
            <w:tcW w:w="2040" w:type="dxa"/>
            <w:tcBorders>
              <w:top w:val="thinThickSmallGap" w:color="auto" w:sz="12" w:space="0"/>
            </w:tcBorders>
            <w:noWrap w:val="0"/>
            <w:vAlign w:val="center"/>
          </w:tcPr>
          <w:p w14:paraId="35FEB45A">
            <w:pPr>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投标文件响应技术性能及指标</w:t>
            </w:r>
          </w:p>
        </w:tc>
        <w:tc>
          <w:tcPr>
            <w:tcW w:w="1305" w:type="dxa"/>
            <w:tcBorders>
              <w:top w:val="thinThickSmallGap" w:color="auto" w:sz="12" w:space="0"/>
              <w:right w:val="single" w:color="auto" w:sz="4" w:space="0"/>
            </w:tcBorders>
            <w:noWrap w:val="0"/>
            <w:vAlign w:val="center"/>
          </w:tcPr>
          <w:p w14:paraId="40D8A0B1">
            <w:pPr>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偏离情况</w:t>
            </w:r>
          </w:p>
        </w:tc>
        <w:tc>
          <w:tcPr>
            <w:tcW w:w="1005" w:type="dxa"/>
            <w:tcBorders>
              <w:top w:val="thinThickSmallGap" w:color="auto" w:sz="12" w:space="0"/>
              <w:left w:val="single" w:color="auto" w:sz="4" w:space="0"/>
              <w:right w:val="thickThinSmallGap" w:color="auto" w:sz="12" w:space="0"/>
            </w:tcBorders>
            <w:noWrap w:val="0"/>
            <w:vAlign w:val="center"/>
          </w:tcPr>
          <w:p w14:paraId="194C16FF">
            <w:pPr>
              <w:ind w:left="6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页码</w:t>
            </w:r>
          </w:p>
        </w:tc>
      </w:tr>
      <w:tr w14:paraId="3FDD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5" w:type="dxa"/>
            <w:tcBorders>
              <w:left w:val="thinThickSmallGap" w:color="auto" w:sz="12" w:space="0"/>
            </w:tcBorders>
            <w:noWrap w:val="0"/>
            <w:vAlign w:val="center"/>
          </w:tcPr>
          <w:p w14:paraId="7FBDA1AE">
            <w:pPr>
              <w:pStyle w:val="91"/>
              <w:jc w:val="center"/>
              <w:rPr>
                <w:rFonts w:hint="eastAsia" w:ascii="宋体" w:hAnsi="宋体" w:eastAsia="宋体" w:cs="宋体"/>
                <w:sz w:val="24"/>
                <w:szCs w:val="24"/>
              </w:rPr>
            </w:pPr>
          </w:p>
        </w:tc>
        <w:tc>
          <w:tcPr>
            <w:tcW w:w="1605" w:type="dxa"/>
            <w:noWrap w:val="0"/>
            <w:vAlign w:val="center"/>
          </w:tcPr>
          <w:p w14:paraId="6E7E8366">
            <w:pPr>
              <w:ind w:firstLine="480"/>
              <w:jc w:val="center"/>
              <w:rPr>
                <w:rFonts w:hint="eastAsia" w:ascii="宋体" w:hAnsi="宋体" w:eastAsia="宋体" w:cs="宋体"/>
                <w:color w:val="000000"/>
                <w:sz w:val="24"/>
                <w:szCs w:val="24"/>
              </w:rPr>
            </w:pPr>
          </w:p>
        </w:tc>
        <w:tc>
          <w:tcPr>
            <w:tcW w:w="1605" w:type="dxa"/>
            <w:noWrap w:val="0"/>
            <w:vAlign w:val="center"/>
          </w:tcPr>
          <w:p w14:paraId="7AACE361">
            <w:pPr>
              <w:ind w:firstLine="480"/>
              <w:jc w:val="center"/>
              <w:rPr>
                <w:rFonts w:hint="eastAsia" w:ascii="宋体" w:hAnsi="宋体" w:eastAsia="宋体" w:cs="宋体"/>
                <w:color w:val="000000"/>
                <w:sz w:val="24"/>
                <w:szCs w:val="24"/>
              </w:rPr>
            </w:pPr>
          </w:p>
        </w:tc>
        <w:tc>
          <w:tcPr>
            <w:tcW w:w="1815" w:type="dxa"/>
            <w:noWrap w:val="0"/>
            <w:vAlign w:val="center"/>
          </w:tcPr>
          <w:p w14:paraId="0DA39E0F">
            <w:pPr>
              <w:ind w:firstLine="480"/>
              <w:jc w:val="center"/>
              <w:rPr>
                <w:rFonts w:hint="eastAsia" w:ascii="宋体" w:hAnsi="宋体" w:eastAsia="宋体" w:cs="宋体"/>
                <w:color w:val="000000"/>
                <w:sz w:val="24"/>
                <w:szCs w:val="24"/>
              </w:rPr>
            </w:pPr>
          </w:p>
        </w:tc>
        <w:tc>
          <w:tcPr>
            <w:tcW w:w="2040" w:type="dxa"/>
            <w:noWrap w:val="0"/>
            <w:vAlign w:val="center"/>
          </w:tcPr>
          <w:p w14:paraId="01DF164F">
            <w:pPr>
              <w:ind w:firstLine="480"/>
              <w:jc w:val="center"/>
              <w:rPr>
                <w:rFonts w:hint="eastAsia" w:ascii="宋体" w:hAnsi="宋体" w:eastAsia="宋体" w:cs="宋体"/>
                <w:color w:val="000000"/>
                <w:sz w:val="24"/>
                <w:szCs w:val="24"/>
              </w:rPr>
            </w:pPr>
          </w:p>
        </w:tc>
        <w:tc>
          <w:tcPr>
            <w:tcW w:w="1305" w:type="dxa"/>
            <w:tcBorders>
              <w:right w:val="single" w:color="auto" w:sz="4" w:space="0"/>
            </w:tcBorders>
            <w:noWrap w:val="0"/>
            <w:vAlign w:val="center"/>
          </w:tcPr>
          <w:p w14:paraId="6EAAC448">
            <w:pPr>
              <w:ind w:firstLine="480"/>
              <w:jc w:val="center"/>
              <w:rPr>
                <w:rFonts w:hint="eastAsia" w:ascii="宋体" w:hAnsi="宋体" w:eastAsia="宋体" w:cs="宋体"/>
                <w:color w:val="000000"/>
                <w:sz w:val="24"/>
                <w:szCs w:val="24"/>
              </w:rPr>
            </w:pPr>
          </w:p>
        </w:tc>
        <w:tc>
          <w:tcPr>
            <w:tcW w:w="1005" w:type="dxa"/>
            <w:tcBorders>
              <w:left w:val="single" w:color="auto" w:sz="4" w:space="0"/>
              <w:right w:val="thickThinSmallGap" w:color="auto" w:sz="12" w:space="0"/>
            </w:tcBorders>
            <w:noWrap w:val="0"/>
            <w:vAlign w:val="center"/>
          </w:tcPr>
          <w:p w14:paraId="21F82CE1">
            <w:pPr>
              <w:ind w:firstLine="480"/>
              <w:jc w:val="center"/>
              <w:rPr>
                <w:rFonts w:hint="eastAsia" w:ascii="宋体" w:hAnsi="宋体" w:eastAsia="宋体" w:cs="宋体"/>
                <w:color w:val="000000"/>
                <w:sz w:val="24"/>
                <w:szCs w:val="24"/>
              </w:rPr>
            </w:pPr>
          </w:p>
        </w:tc>
      </w:tr>
      <w:tr w14:paraId="5D1B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5" w:type="dxa"/>
            <w:tcBorders>
              <w:left w:val="thinThickSmallGap" w:color="auto" w:sz="12" w:space="0"/>
            </w:tcBorders>
            <w:noWrap w:val="0"/>
            <w:vAlign w:val="center"/>
          </w:tcPr>
          <w:p w14:paraId="38B0B0CE">
            <w:pPr>
              <w:pStyle w:val="91"/>
              <w:jc w:val="center"/>
              <w:rPr>
                <w:rFonts w:hint="eastAsia" w:ascii="宋体" w:hAnsi="宋体" w:eastAsia="宋体" w:cs="宋体"/>
                <w:sz w:val="24"/>
                <w:szCs w:val="24"/>
              </w:rPr>
            </w:pPr>
          </w:p>
        </w:tc>
        <w:tc>
          <w:tcPr>
            <w:tcW w:w="1605" w:type="dxa"/>
            <w:noWrap w:val="0"/>
            <w:vAlign w:val="center"/>
          </w:tcPr>
          <w:p w14:paraId="682E88E1">
            <w:pPr>
              <w:ind w:firstLine="480"/>
              <w:jc w:val="center"/>
              <w:rPr>
                <w:rFonts w:hint="eastAsia" w:ascii="宋体" w:hAnsi="宋体" w:eastAsia="宋体" w:cs="宋体"/>
                <w:color w:val="000000"/>
                <w:sz w:val="24"/>
                <w:szCs w:val="24"/>
              </w:rPr>
            </w:pPr>
          </w:p>
        </w:tc>
        <w:tc>
          <w:tcPr>
            <w:tcW w:w="1605" w:type="dxa"/>
            <w:noWrap w:val="0"/>
            <w:vAlign w:val="center"/>
          </w:tcPr>
          <w:p w14:paraId="1FACC3CE">
            <w:pPr>
              <w:ind w:firstLine="480"/>
              <w:jc w:val="center"/>
              <w:rPr>
                <w:rFonts w:hint="eastAsia" w:ascii="宋体" w:hAnsi="宋体" w:eastAsia="宋体" w:cs="宋体"/>
                <w:color w:val="000000"/>
                <w:sz w:val="24"/>
                <w:szCs w:val="24"/>
              </w:rPr>
            </w:pPr>
          </w:p>
        </w:tc>
        <w:tc>
          <w:tcPr>
            <w:tcW w:w="1815" w:type="dxa"/>
            <w:noWrap w:val="0"/>
            <w:vAlign w:val="center"/>
          </w:tcPr>
          <w:p w14:paraId="179D5FF2">
            <w:pPr>
              <w:ind w:firstLine="480"/>
              <w:jc w:val="center"/>
              <w:rPr>
                <w:rFonts w:hint="eastAsia" w:ascii="宋体" w:hAnsi="宋体" w:eastAsia="宋体" w:cs="宋体"/>
                <w:color w:val="000000"/>
                <w:sz w:val="24"/>
                <w:szCs w:val="24"/>
              </w:rPr>
            </w:pPr>
          </w:p>
        </w:tc>
        <w:tc>
          <w:tcPr>
            <w:tcW w:w="2040" w:type="dxa"/>
            <w:noWrap w:val="0"/>
            <w:vAlign w:val="center"/>
          </w:tcPr>
          <w:p w14:paraId="582A8DDE">
            <w:pPr>
              <w:ind w:firstLine="480"/>
              <w:jc w:val="center"/>
              <w:rPr>
                <w:rFonts w:hint="eastAsia" w:ascii="宋体" w:hAnsi="宋体" w:eastAsia="宋体" w:cs="宋体"/>
                <w:color w:val="000000"/>
                <w:sz w:val="24"/>
                <w:szCs w:val="24"/>
              </w:rPr>
            </w:pPr>
          </w:p>
        </w:tc>
        <w:tc>
          <w:tcPr>
            <w:tcW w:w="1305" w:type="dxa"/>
            <w:tcBorders>
              <w:right w:val="single" w:color="auto" w:sz="4" w:space="0"/>
            </w:tcBorders>
            <w:noWrap w:val="0"/>
            <w:vAlign w:val="center"/>
          </w:tcPr>
          <w:p w14:paraId="6CEF66EA">
            <w:pPr>
              <w:ind w:firstLine="480"/>
              <w:jc w:val="center"/>
              <w:rPr>
                <w:rFonts w:hint="eastAsia" w:ascii="宋体" w:hAnsi="宋体" w:eastAsia="宋体" w:cs="宋体"/>
                <w:color w:val="000000"/>
                <w:sz w:val="24"/>
                <w:szCs w:val="24"/>
              </w:rPr>
            </w:pPr>
          </w:p>
        </w:tc>
        <w:tc>
          <w:tcPr>
            <w:tcW w:w="1005" w:type="dxa"/>
            <w:tcBorders>
              <w:left w:val="single" w:color="auto" w:sz="4" w:space="0"/>
              <w:right w:val="thickThinSmallGap" w:color="auto" w:sz="12" w:space="0"/>
            </w:tcBorders>
            <w:noWrap w:val="0"/>
            <w:vAlign w:val="center"/>
          </w:tcPr>
          <w:p w14:paraId="0C75CEBF">
            <w:pPr>
              <w:ind w:firstLine="480"/>
              <w:jc w:val="center"/>
              <w:rPr>
                <w:rFonts w:hint="eastAsia" w:ascii="宋体" w:hAnsi="宋体" w:eastAsia="宋体" w:cs="宋体"/>
                <w:color w:val="000000"/>
                <w:sz w:val="24"/>
                <w:szCs w:val="24"/>
              </w:rPr>
            </w:pPr>
          </w:p>
        </w:tc>
      </w:tr>
      <w:tr w14:paraId="6804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5" w:type="dxa"/>
            <w:tcBorders>
              <w:left w:val="thinThickSmallGap" w:color="auto" w:sz="12" w:space="0"/>
            </w:tcBorders>
            <w:noWrap w:val="0"/>
            <w:vAlign w:val="center"/>
          </w:tcPr>
          <w:p w14:paraId="3B8C825E">
            <w:pPr>
              <w:pStyle w:val="91"/>
              <w:jc w:val="center"/>
              <w:rPr>
                <w:rFonts w:hint="eastAsia" w:ascii="宋体" w:hAnsi="宋体" w:eastAsia="宋体" w:cs="宋体"/>
                <w:sz w:val="24"/>
                <w:szCs w:val="24"/>
              </w:rPr>
            </w:pPr>
          </w:p>
        </w:tc>
        <w:tc>
          <w:tcPr>
            <w:tcW w:w="1605" w:type="dxa"/>
            <w:noWrap w:val="0"/>
            <w:vAlign w:val="center"/>
          </w:tcPr>
          <w:p w14:paraId="65725AFF">
            <w:pPr>
              <w:ind w:firstLine="480"/>
              <w:jc w:val="center"/>
              <w:rPr>
                <w:rFonts w:hint="eastAsia" w:ascii="宋体" w:hAnsi="宋体" w:eastAsia="宋体" w:cs="宋体"/>
                <w:color w:val="000000"/>
                <w:sz w:val="24"/>
                <w:szCs w:val="24"/>
              </w:rPr>
            </w:pPr>
          </w:p>
        </w:tc>
        <w:tc>
          <w:tcPr>
            <w:tcW w:w="1605" w:type="dxa"/>
            <w:noWrap w:val="0"/>
            <w:vAlign w:val="center"/>
          </w:tcPr>
          <w:p w14:paraId="55DC6B16">
            <w:pPr>
              <w:ind w:firstLine="480"/>
              <w:jc w:val="center"/>
              <w:rPr>
                <w:rFonts w:hint="eastAsia" w:ascii="宋体" w:hAnsi="宋体" w:eastAsia="宋体" w:cs="宋体"/>
                <w:color w:val="000000"/>
                <w:sz w:val="24"/>
                <w:szCs w:val="24"/>
              </w:rPr>
            </w:pPr>
          </w:p>
        </w:tc>
        <w:tc>
          <w:tcPr>
            <w:tcW w:w="1815" w:type="dxa"/>
            <w:noWrap w:val="0"/>
            <w:vAlign w:val="center"/>
          </w:tcPr>
          <w:p w14:paraId="5C42E3F9">
            <w:pPr>
              <w:ind w:firstLine="480"/>
              <w:jc w:val="center"/>
              <w:rPr>
                <w:rFonts w:hint="eastAsia" w:ascii="宋体" w:hAnsi="宋体" w:eastAsia="宋体" w:cs="宋体"/>
                <w:color w:val="000000"/>
                <w:sz w:val="24"/>
                <w:szCs w:val="24"/>
              </w:rPr>
            </w:pPr>
          </w:p>
        </w:tc>
        <w:tc>
          <w:tcPr>
            <w:tcW w:w="2040" w:type="dxa"/>
            <w:noWrap w:val="0"/>
            <w:vAlign w:val="center"/>
          </w:tcPr>
          <w:p w14:paraId="0E15357A">
            <w:pPr>
              <w:ind w:firstLine="480"/>
              <w:jc w:val="center"/>
              <w:rPr>
                <w:rFonts w:hint="eastAsia" w:ascii="宋体" w:hAnsi="宋体" w:eastAsia="宋体" w:cs="宋体"/>
                <w:color w:val="000000"/>
                <w:sz w:val="24"/>
                <w:szCs w:val="24"/>
              </w:rPr>
            </w:pPr>
          </w:p>
        </w:tc>
        <w:tc>
          <w:tcPr>
            <w:tcW w:w="1305" w:type="dxa"/>
            <w:tcBorders>
              <w:right w:val="single" w:color="auto" w:sz="4" w:space="0"/>
            </w:tcBorders>
            <w:noWrap w:val="0"/>
            <w:vAlign w:val="center"/>
          </w:tcPr>
          <w:p w14:paraId="33F4D6F9">
            <w:pPr>
              <w:ind w:firstLine="480"/>
              <w:jc w:val="center"/>
              <w:rPr>
                <w:rFonts w:hint="eastAsia" w:ascii="宋体" w:hAnsi="宋体" w:eastAsia="宋体" w:cs="宋体"/>
                <w:color w:val="000000"/>
                <w:sz w:val="24"/>
                <w:szCs w:val="24"/>
              </w:rPr>
            </w:pPr>
          </w:p>
        </w:tc>
        <w:tc>
          <w:tcPr>
            <w:tcW w:w="1005" w:type="dxa"/>
            <w:tcBorders>
              <w:left w:val="single" w:color="auto" w:sz="4" w:space="0"/>
              <w:right w:val="thickThinSmallGap" w:color="auto" w:sz="12" w:space="0"/>
            </w:tcBorders>
            <w:noWrap w:val="0"/>
            <w:vAlign w:val="center"/>
          </w:tcPr>
          <w:p w14:paraId="3BC73811">
            <w:pPr>
              <w:ind w:firstLine="480"/>
              <w:jc w:val="center"/>
              <w:rPr>
                <w:rFonts w:hint="eastAsia" w:ascii="宋体" w:hAnsi="宋体" w:eastAsia="宋体" w:cs="宋体"/>
                <w:color w:val="000000"/>
                <w:sz w:val="24"/>
                <w:szCs w:val="24"/>
              </w:rPr>
            </w:pPr>
          </w:p>
        </w:tc>
      </w:tr>
      <w:tr w14:paraId="061B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5" w:type="dxa"/>
            <w:tcBorders>
              <w:left w:val="thinThickSmallGap" w:color="auto" w:sz="12" w:space="0"/>
            </w:tcBorders>
            <w:noWrap w:val="0"/>
            <w:vAlign w:val="center"/>
          </w:tcPr>
          <w:p w14:paraId="42704719">
            <w:pPr>
              <w:pStyle w:val="91"/>
              <w:jc w:val="center"/>
              <w:rPr>
                <w:rFonts w:hint="eastAsia" w:ascii="宋体" w:hAnsi="宋体" w:eastAsia="宋体" w:cs="宋体"/>
                <w:sz w:val="24"/>
                <w:szCs w:val="24"/>
              </w:rPr>
            </w:pPr>
          </w:p>
        </w:tc>
        <w:tc>
          <w:tcPr>
            <w:tcW w:w="1605" w:type="dxa"/>
            <w:noWrap w:val="0"/>
            <w:vAlign w:val="center"/>
          </w:tcPr>
          <w:p w14:paraId="7E9E3D26">
            <w:pPr>
              <w:ind w:firstLine="480"/>
              <w:jc w:val="center"/>
              <w:rPr>
                <w:rFonts w:hint="eastAsia" w:ascii="宋体" w:hAnsi="宋体" w:eastAsia="宋体" w:cs="宋体"/>
                <w:color w:val="000000"/>
                <w:sz w:val="24"/>
                <w:szCs w:val="24"/>
              </w:rPr>
            </w:pPr>
          </w:p>
        </w:tc>
        <w:tc>
          <w:tcPr>
            <w:tcW w:w="1605" w:type="dxa"/>
            <w:noWrap w:val="0"/>
            <w:vAlign w:val="center"/>
          </w:tcPr>
          <w:p w14:paraId="4B58FCB6">
            <w:pPr>
              <w:ind w:firstLine="480"/>
              <w:jc w:val="center"/>
              <w:rPr>
                <w:rFonts w:hint="eastAsia" w:ascii="宋体" w:hAnsi="宋体" w:eastAsia="宋体" w:cs="宋体"/>
                <w:color w:val="000000"/>
                <w:sz w:val="24"/>
                <w:szCs w:val="24"/>
              </w:rPr>
            </w:pPr>
          </w:p>
        </w:tc>
        <w:tc>
          <w:tcPr>
            <w:tcW w:w="1815" w:type="dxa"/>
            <w:noWrap w:val="0"/>
            <w:vAlign w:val="center"/>
          </w:tcPr>
          <w:p w14:paraId="74090D9C">
            <w:pPr>
              <w:ind w:firstLine="480"/>
              <w:jc w:val="center"/>
              <w:rPr>
                <w:rFonts w:hint="eastAsia" w:ascii="宋体" w:hAnsi="宋体" w:eastAsia="宋体" w:cs="宋体"/>
                <w:color w:val="000000"/>
                <w:sz w:val="24"/>
                <w:szCs w:val="24"/>
              </w:rPr>
            </w:pPr>
          </w:p>
        </w:tc>
        <w:tc>
          <w:tcPr>
            <w:tcW w:w="2040" w:type="dxa"/>
            <w:noWrap w:val="0"/>
            <w:vAlign w:val="center"/>
          </w:tcPr>
          <w:p w14:paraId="23C2C07F">
            <w:pPr>
              <w:ind w:firstLine="480"/>
              <w:jc w:val="center"/>
              <w:rPr>
                <w:rFonts w:hint="eastAsia" w:ascii="宋体" w:hAnsi="宋体" w:eastAsia="宋体" w:cs="宋体"/>
                <w:color w:val="000000"/>
                <w:sz w:val="24"/>
                <w:szCs w:val="24"/>
              </w:rPr>
            </w:pPr>
          </w:p>
        </w:tc>
        <w:tc>
          <w:tcPr>
            <w:tcW w:w="1305" w:type="dxa"/>
            <w:tcBorders>
              <w:right w:val="single" w:color="auto" w:sz="4" w:space="0"/>
            </w:tcBorders>
            <w:noWrap w:val="0"/>
            <w:vAlign w:val="center"/>
          </w:tcPr>
          <w:p w14:paraId="149F2057">
            <w:pPr>
              <w:ind w:firstLine="480"/>
              <w:jc w:val="center"/>
              <w:rPr>
                <w:rFonts w:hint="eastAsia" w:ascii="宋体" w:hAnsi="宋体" w:eastAsia="宋体" w:cs="宋体"/>
                <w:color w:val="000000"/>
                <w:sz w:val="24"/>
                <w:szCs w:val="24"/>
              </w:rPr>
            </w:pPr>
          </w:p>
        </w:tc>
        <w:tc>
          <w:tcPr>
            <w:tcW w:w="1005" w:type="dxa"/>
            <w:tcBorders>
              <w:left w:val="single" w:color="auto" w:sz="4" w:space="0"/>
              <w:right w:val="thickThinSmallGap" w:color="auto" w:sz="12" w:space="0"/>
            </w:tcBorders>
            <w:noWrap w:val="0"/>
            <w:vAlign w:val="center"/>
          </w:tcPr>
          <w:p w14:paraId="5312568E">
            <w:pPr>
              <w:ind w:firstLine="480"/>
              <w:jc w:val="center"/>
              <w:rPr>
                <w:rFonts w:hint="eastAsia" w:ascii="宋体" w:hAnsi="宋体" w:eastAsia="宋体" w:cs="宋体"/>
                <w:color w:val="000000"/>
                <w:sz w:val="24"/>
                <w:szCs w:val="24"/>
              </w:rPr>
            </w:pPr>
          </w:p>
        </w:tc>
      </w:tr>
      <w:tr w14:paraId="0EEC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5" w:type="dxa"/>
            <w:tcBorders>
              <w:left w:val="thinThickSmallGap" w:color="auto" w:sz="12" w:space="0"/>
            </w:tcBorders>
            <w:noWrap w:val="0"/>
            <w:vAlign w:val="top"/>
          </w:tcPr>
          <w:p w14:paraId="553D721E">
            <w:pPr>
              <w:pStyle w:val="91"/>
              <w:jc w:val="center"/>
              <w:rPr>
                <w:rFonts w:hint="eastAsia" w:ascii="宋体" w:hAnsi="宋体" w:eastAsia="宋体" w:cs="宋体"/>
                <w:sz w:val="24"/>
                <w:szCs w:val="24"/>
              </w:rPr>
            </w:pPr>
          </w:p>
        </w:tc>
        <w:tc>
          <w:tcPr>
            <w:tcW w:w="1605" w:type="dxa"/>
            <w:noWrap w:val="0"/>
            <w:vAlign w:val="top"/>
          </w:tcPr>
          <w:p w14:paraId="10ABFBAE">
            <w:pPr>
              <w:ind w:firstLine="480"/>
              <w:jc w:val="left"/>
              <w:rPr>
                <w:rFonts w:hint="eastAsia" w:ascii="宋体" w:hAnsi="宋体" w:eastAsia="宋体" w:cs="宋体"/>
                <w:color w:val="000000"/>
                <w:sz w:val="24"/>
                <w:szCs w:val="24"/>
              </w:rPr>
            </w:pPr>
          </w:p>
        </w:tc>
        <w:tc>
          <w:tcPr>
            <w:tcW w:w="1605" w:type="dxa"/>
            <w:noWrap w:val="0"/>
            <w:vAlign w:val="top"/>
          </w:tcPr>
          <w:p w14:paraId="5C80E47E">
            <w:pPr>
              <w:ind w:firstLine="480"/>
              <w:jc w:val="left"/>
              <w:rPr>
                <w:rFonts w:hint="eastAsia" w:ascii="宋体" w:hAnsi="宋体" w:eastAsia="宋体" w:cs="宋体"/>
                <w:color w:val="000000"/>
                <w:sz w:val="24"/>
                <w:szCs w:val="24"/>
              </w:rPr>
            </w:pPr>
          </w:p>
        </w:tc>
        <w:tc>
          <w:tcPr>
            <w:tcW w:w="1815" w:type="dxa"/>
            <w:noWrap w:val="0"/>
            <w:vAlign w:val="top"/>
          </w:tcPr>
          <w:p w14:paraId="1D19023C">
            <w:pPr>
              <w:ind w:firstLine="480"/>
              <w:jc w:val="left"/>
              <w:rPr>
                <w:rFonts w:hint="eastAsia" w:ascii="宋体" w:hAnsi="宋体" w:eastAsia="宋体" w:cs="宋体"/>
                <w:color w:val="000000"/>
                <w:sz w:val="24"/>
                <w:szCs w:val="24"/>
              </w:rPr>
            </w:pPr>
          </w:p>
        </w:tc>
        <w:tc>
          <w:tcPr>
            <w:tcW w:w="2040" w:type="dxa"/>
            <w:noWrap w:val="0"/>
            <w:vAlign w:val="top"/>
          </w:tcPr>
          <w:p w14:paraId="7CFE3C37">
            <w:pPr>
              <w:ind w:firstLine="480"/>
              <w:jc w:val="left"/>
              <w:rPr>
                <w:rFonts w:hint="eastAsia" w:ascii="宋体" w:hAnsi="宋体" w:eastAsia="宋体" w:cs="宋体"/>
                <w:color w:val="000000"/>
                <w:sz w:val="24"/>
                <w:szCs w:val="24"/>
              </w:rPr>
            </w:pPr>
          </w:p>
        </w:tc>
        <w:tc>
          <w:tcPr>
            <w:tcW w:w="1305" w:type="dxa"/>
            <w:tcBorders>
              <w:right w:val="single" w:color="auto" w:sz="4" w:space="0"/>
            </w:tcBorders>
            <w:noWrap w:val="0"/>
            <w:vAlign w:val="top"/>
          </w:tcPr>
          <w:p w14:paraId="00FBC943">
            <w:pPr>
              <w:ind w:firstLine="480"/>
              <w:jc w:val="left"/>
              <w:rPr>
                <w:rFonts w:hint="eastAsia" w:ascii="宋体" w:hAnsi="宋体" w:eastAsia="宋体" w:cs="宋体"/>
                <w:color w:val="000000"/>
                <w:sz w:val="24"/>
                <w:szCs w:val="24"/>
              </w:rPr>
            </w:pPr>
          </w:p>
        </w:tc>
        <w:tc>
          <w:tcPr>
            <w:tcW w:w="1005" w:type="dxa"/>
            <w:tcBorders>
              <w:left w:val="single" w:color="auto" w:sz="4" w:space="0"/>
              <w:right w:val="thickThinSmallGap" w:color="auto" w:sz="12" w:space="0"/>
            </w:tcBorders>
            <w:noWrap w:val="0"/>
            <w:vAlign w:val="top"/>
          </w:tcPr>
          <w:p w14:paraId="24DFF78A">
            <w:pPr>
              <w:ind w:firstLine="480"/>
              <w:jc w:val="left"/>
              <w:rPr>
                <w:rFonts w:hint="eastAsia" w:ascii="宋体" w:hAnsi="宋体" w:eastAsia="宋体" w:cs="宋体"/>
                <w:color w:val="000000"/>
                <w:sz w:val="24"/>
                <w:szCs w:val="24"/>
              </w:rPr>
            </w:pPr>
          </w:p>
        </w:tc>
      </w:tr>
      <w:tr w14:paraId="0643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5" w:type="dxa"/>
            <w:tcBorders>
              <w:left w:val="thinThickSmallGap" w:color="auto" w:sz="12" w:space="0"/>
            </w:tcBorders>
            <w:noWrap w:val="0"/>
            <w:vAlign w:val="top"/>
          </w:tcPr>
          <w:p w14:paraId="12E3383F">
            <w:pPr>
              <w:pStyle w:val="91"/>
              <w:jc w:val="center"/>
              <w:rPr>
                <w:rFonts w:hint="eastAsia" w:ascii="宋体" w:hAnsi="宋体" w:eastAsia="宋体" w:cs="宋体"/>
                <w:sz w:val="24"/>
                <w:szCs w:val="24"/>
              </w:rPr>
            </w:pPr>
          </w:p>
        </w:tc>
        <w:tc>
          <w:tcPr>
            <w:tcW w:w="1605" w:type="dxa"/>
            <w:noWrap w:val="0"/>
            <w:vAlign w:val="top"/>
          </w:tcPr>
          <w:p w14:paraId="6293AE40">
            <w:pPr>
              <w:ind w:firstLine="480"/>
              <w:jc w:val="left"/>
              <w:rPr>
                <w:rFonts w:hint="eastAsia" w:ascii="宋体" w:hAnsi="宋体" w:eastAsia="宋体" w:cs="宋体"/>
                <w:color w:val="000000"/>
                <w:sz w:val="24"/>
                <w:szCs w:val="24"/>
              </w:rPr>
            </w:pPr>
          </w:p>
        </w:tc>
        <w:tc>
          <w:tcPr>
            <w:tcW w:w="1605" w:type="dxa"/>
            <w:noWrap w:val="0"/>
            <w:vAlign w:val="top"/>
          </w:tcPr>
          <w:p w14:paraId="43129760">
            <w:pPr>
              <w:ind w:firstLine="480"/>
              <w:jc w:val="left"/>
              <w:rPr>
                <w:rFonts w:hint="eastAsia" w:ascii="宋体" w:hAnsi="宋体" w:eastAsia="宋体" w:cs="宋体"/>
                <w:color w:val="000000"/>
                <w:sz w:val="24"/>
                <w:szCs w:val="24"/>
              </w:rPr>
            </w:pPr>
          </w:p>
        </w:tc>
        <w:tc>
          <w:tcPr>
            <w:tcW w:w="1815" w:type="dxa"/>
            <w:noWrap w:val="0"/>
            <w:vAlign w:val="top"/>
          </w:tcPr>
          <w:p w14:paraId="7A32B8B5">
            <w:pPr>
              <w:ind w:firstLine="480"/>
              <w:jc w:val="left"/>
              <w:rPr>
                <w:rFonts w:hint="eastAsia" w:ascii="宋体" w:hAnsi="宋体" w:eastAsia="宋体" w:cs="宋体"/>
                <w:color w:val="000000"/>
                <w:sz w:val="24"/>
                <w:szCs w:val="24"/>
              </w:rPr>
            </w:pPr>
          </w:p>
        </w:tc>
        <w:tc>
          <w:tcPr>
            <w:tcW w:w="2040" w:type="dxa"/>
            <w:noWrap w:val="0"/>
            <w:vAlign w:val="top"/>
          </w:tcPr>
          <w:p w14:paraId="1AAB8A50">
            <w:pPr>
              <w:ind w:firstLine="480"/>
              <w:jc w:val="left"/>
              <w:rPr>
                <w:rFonts w:hint="eastAsia" w:ascii="宋体" w:hAnsi="宋体" w:eastAsia="宋体" w:cs="宋体"/>
                <w:color w:val="000000"/>
                <w:sz w:val="24"/>
                <w:szCs w:val="24"/>
              </w:rPr>
            </w:pPr>
          </w:p>
        </w:tc>
        <w:tc>
          <w:tcPr>
            <w:tcW w:w="1305" w:type="dxa"/>
            <w:tcBorders>
              <w:right w:val="single" w:color="auto" w:sz="4" w:space="0"/>
            </w:tcBorders>
            <w:noWrap w:val="0"/>
            <w:vAlign w:val="top"/>
          </w:tcPr>
          <w:p w14:paraId="4CDB76FD">
            <w:pPr>
              <w:ind w:firstLine="480"/>
              <w:jc w:val="left"/>
              <w:rPr>
                <w:rFonts w:hint="eastAsia" w:ascii="宋体" w:hAnsi="宋体" w:eastAsia="宋体" w:cs="宋体"/>
                <w:color w:val="000000"/>
                <w:sz w:val="24"/>
                <w:szCs w:val="24"/>
              </w:rPr>
            </w:pPr>
          </w:p>
        </w:tc>
        <w:tc>
          <w:tcPr>
            <w:tcW w:w="1005" w:type="dxa"/>
            <w:tcBorders>
              <w:left w:val="single" w:color="auto" w:sz="4" w:space="0"/>
              <w:right w:val="thickThinSmallGap" w:color="auto" w:sz="12" w:space="0"/>
            </w:tcBorders>
            <w:noWrap w:val="0"/>
            <w:vAlign w:val="top"/>
          </w:tcPr>
          <w:p w14:paraId="6B2495CA">
            <w:pPr>
              <w:ind w:firstLine="480"/>
              <w:jc w:val="left"/>
              <w:rPr>
                <w:rFonts w:hint="eastAsia" w:ascii="宋体" w:hAnsi="宋体" w:eastAsia="宋体" w:cs="宋体"/>
                <w:color w:val="000000"/>
                <w:sz w:val="24"/>
                <w:szCs w:val="24"/>
              </w:rPr>
            </w:pPr>
          </w:p>
        </w:tc>
      </w:tr>
      <w:tr w14:paraId="3049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5" w:type="dxa"/>
            <w:tcBorders>
              <w:left w:val="thinThickSmallGap" w:color="auto" w:sz="12" w:space="0"/>
            </w:tcBorders>
            <w:noWrap w:val="0"/>
            <w:vAlign w:val="top"/>
          </w:tcPr>
          <w:p w14:paraId="64074137">
            <w:pPr>
              <w:pStyle w:val="91"/>
              <w:jc w:val="center"/>
              <w:rPr>
                <w:rFonts w:hint="eastAsia" w:ascii="宋体" w:hAnsi="宋体" w:eastAsia="宋体" w:cs="宋体"/>
                <w:sz w:val="24"/>
                <w:szCs w:val="24"/>
              </w:rPr>
            </w:pPr>
          </w:p>
        </w:tc>
        <w:tc>
          <w:tcPr>
            <w:tcW w:w="1605" w:type="dxa"/>
            <w:noWrap w:val="0"/>
            <w:vAlign w:val="top"/>
          </w:tcPr>
          <w:p w14:paraId="530AEBAD">
            <w:pPr>
              <w:ind w:firstLine="480"/>
              <w:jc w:val="left"/>
              <w:rPr>
                <w:rFonts w:hint="eastAsia" w:ascii="宋体" w:hAnsi="宋体" w:eastAsia="宋体" w:cs="宋体"/>
                <w:color w:val="000000"/>
                <w:sz w:val="24"/>
                <w:szCs w:val="24"/>
              </w:rPr>
            </w:pPr>
          </w:p>
        </w:tc>
        <w:tc>
          <w:tcPr>
            <w:tcW w:w="1605" w:type="dxa"/>
            <w:noWrap w:val="0"/>
            <w:vAlign w:val="top"/>
          </w:tcPr>
          <w:p w14:paraId="6A3EF023">
            <w:pPr>
              <w:ind w:firstLine="480"/>
              <w:jc w:val="left"/>
              <w:rPr>
                <w:rFonts w:hint="eastAsia" w:ascii="宋体" w:hAnsi="宋体" w:eastAsia="宋体" w:cs="宋体"/>
                <w:color w:val="000000"/>
                <w:sz w:val="24"/>
                <w:szCs w:val="24"/>
              </w:rPr>
            </w:pPr>
          </w:p>
        </w:tc>
        <w:tc>
          <w:tcPr>
            <w:tcW w:w="1815" w:type="dxa"/>
            <w:noWrap w:val="0"/>
            <w:vAlign w:val="top"/>
          </w:tcPr>
          <w:p w14:paraId="4B2F6187">
            <w:pPr>
              <w:ind w:firstLine="480"/>
              <w:jc w:val="left"/>
              <w:rPr>
                <w:rFonts w:hint="eastAsia" w:ascii="宋体" w:hAnsi="宋体" w:eastAsia="宋体" w:cs="宋体"/>
                <w:color w:val="000000"/>
                <w:sz w:val="24"/>
                <w:szCs w:val="24"/>
              </w:rPr>
            </w:pPr>
          </w:p>
        </w:tc>
        <w:tc>
          <w:tcPr>
            <w:tcW w:w="2040" w:type="dxa"/>
            <w:noWrap w:val="0"/>
            <w:vAlign w:val="top"/>
          </w:tcPr>
          <w:p w14:paraId="57C63F63">
            <w:pPr>
              <w:ind w:firstLine="480"/>
              <w:jc w:val="left"/>
              <w:rPr>
                <w:rFonts w:hint="eastAsia" w:ascii="宋体" w:hAnsi="宋体" w:eastAsia="宋体" w:cs="宋体"/>
                <w:color w:val="000000"/>
                <w:sz w:val="24"/>
                <w:szCs w:val="24"/>
              </w:rPr>
            </w:pPr>
          </w:p>
        </w:tc>
        <w:tc>
          <w:tcPr>
            <w:tcW w:w="1305" w:type="dxa"/>
            <w:tcBorders>
              <w:right w:val="single" w:color="auto" w:sz="4" w:space="0"/>
            </w:tcBorders>
            <w:noWrap w:val="0"/>
            <w:vAlign w:val="top"/>
          </w:tcPr>
          <w:p w14:paraId="473F3453">
            <w:pPr>
              <w:ind w:firstLine="480"/>
              <w:jc w:val="left"/>
              <w:rPr>
                <w:rFonts w:hint="eastAsia" w:ascii="宋体" w:hAnsi="宋体" w:eastAsia="宋体" w:cs="宋体"/>
                <w:color w:val="000000"/>
                <w:sz w:val="24"/>
                <w:szCs w:val="24"/>
              </w:rPr>
            </w:pPr>
          </w:p>
        </w:tc>
        <w:tc>
          <w:tcPr>
            <w:tcW w:w="1005" w:type="dxa"/>
            <w:tcBorders>
              <w:left w:val="single" w:color="auto" w:sz="4" w:space="0"/>
              <w:right w:val="thickThinSmallGap" w:color="auto" w:sz="12" w:space="0"/>
            </w:tcBorders>
            <w:noWrap w:val="0"/>
            <w:vAlign w:val="top"/>
          </w:tcPr>
          <w:p w14:paraId="5040EE8C">
            <w:pPr>
              <w:ind w:firstLine="480"/>
              <w:jc w:val="left"/>
              <w:rPr>
                <w:rFonts w:hint="eastAsia" w:ascii="宋体" w:hAnsi="宋体" w:eastAsia="宋体" w:cs="宋体"/>
                <w:color w:val="000000"/>
                <w:sz w:val="24"/>
                <w:szCs w:val="24"/>
              </w:rPr>
            </w:pPr>
          </w:p>
        </w:tc>
      </w:tr>
      <w:tr w14:paraId="71D0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5" w:type="dxa"/>
            <w:tcBorders>
              <w:left w:val="thinThickSmallGap" w:color="auto" w:sz="12" w:space="0"/>
            </w:tcBorders>
            <w:noWrap w:val="0"/>
            <w:vAlign w:val="top"/>
          </w:tcPr>
          <w:p w14:paraId="6F270628">
            <w:pPr>
              <w:pStyle w:val="91"/>
              <w:jc w:val="center"/>
              <w:rPr>
                <w:rFonts w:hint="eastAsia" w:ascii="宋体" w:hAnsi="宋体" w:eastAsia="宋体" w:cs="宋体"/>
                <w:sz w:val="24"/>
                <w:szCs w:val="24"/>
              </w:rPr>
            </w:pPr>
          </w:p>
        </w:tc>
        <w:tc>
          <w:tcPr>
            <w:tcW w:w="1605" w:type="dxa"/>
            <w:noWrap w:val="0"/>
            <w:vAlign w:val="top"/>
          </w:tcPr>
          <w:p w14:paraId="1E0B52CB">
            <w:pPr>
              <w:ind w:firstLine="480"/>
              <w:jc w:val="left"/>
              <w:rPr>
                <w:rFonts w:hint="eastAsia" w:ascii="宋体" w:hAnsi="宋体" w:eastAsia="宋体" w:cs="宋体"/>
                <w:color w:val="000000"/>
                <w:sz w:val="24"/>
                <w:szCs w:val="24"/>
              </w:rPr>
            </w:pPr>
          </w:p>
        </w:tc>
        <w:tc>
          <w:tcPr>
            <w:tcW w:w="1605" w:type="dxa"/>
            <w:noWrap w:val="0"/>
            <w:vAlign w:val="top"/>
          </w:tcPr>
          <w:p w14:paraId="66AA4BC3">
            <w:pPr>
              <w:ind w:firstLine="480"/>
              <w:jc w:val="left"/>
              <w:rPr>
                <w:rFonts w:hint="eastAsia" w:ascii="宋体" w:hAnsi="宋体" w:eastAsia="宋体" w:cs="宋体"/>
                <w:color w:val="000000"/>
                <w:sz w:val="24"/>
                <w:szCs w:val="24"/>
              </w:rPr>
            </w:pPr>
          </w:p>
        </w:tc>
        <w:tc>
          <w:tcPr>
            <w:tcW w:w="1815" w:type="dxa"/>
            <w:noWrap w:val="0"/>
            <w:vAlign w:val="top"/>
          </w:tcPr>
          <w:p w14:paraId="10AF92C2">
            <w:pPr>
              <w:ind w:firstLine="480"/>
              <w:jc w:val="left"/>
              <w:rPr>
                <w:rFonts w:hint="eastAsia" w:ascii="宋体" w:hAnsi="宋体" w:eastAsia="宋体" w:cs="宋体"/>
                <w:color w:val="000000"/>
                <w:sz w:val="24"/>
                <w:szCs w:val="24"/>
              </w:rPr>
            </w:pPr>
          </w:p>
        </w:tc>
        <w:tc>
          <w:tcPr>
            <w:tcW w:w="2040" w:type="dxa"/>
            <w:noWrap w:val="0"/>
            <w:vAlign w:val="top"/>
          </w:tcPr>
          <w:p w14:paraId="062F6AD9">
            <w:pPr>
              <w:ind w:firstLine="480"/>
              <w:jc w:val="left"/>
              <w:rPr>
                <w:rFonts w:hint="eastAsia" w:ascii="宋体" w:hAnsi="宋体" w:eastAsia="宋体" w:cs="宋体"/>
                <w:color w:val="000000"/>
                <w:sz w:val="24"/>
                <w:szCs w:val="24"/>
              </w:rPr>
            </w:pPr>
          </w:p>
        </w:tc>
        <w:tc>
          <w:tcPr>
            <w:tcW w:w="1305" w:type="dxa"/>
            <w:tcBorders>
              <w:right w:val="single" w:color="auto" w:sz="4" w:space="0"/>
            </w:tcBorders>
            <w:noWrap w:val="0"/>
            <w:vAlign w:val="top"/>
          </w:tcPr>
          <w:p w14:paraId="1F3F7BD2">
            <w:pPr>
              <w:ind w:firstLine="480"/>
              <w:jc w:val="left"/>
              <w:rPr>
                <w:rFonts w:hint="eastAsia" w:ascii="宋体" w:hAnsi="宋体" w:eastAsia="宋体" w:cs="宋体"/>
                <w:color w:val="000000"/>
                <w:sz w:val="24"/>
                <w:szCs w:val="24"/>
              </w:rPr>
            </w:pPr>
          </w:p>
        </w:tc>
        <w:tc>
          <w:tcPr>
            <w:tcW w:w="1005" w:type="dxa"/>
            <w:tcBorders>
              <w:left w:val="single" w:color="auto" w:sz="4" w:space="0"/>
              <w:right w:val="thickThinSmallGap" w:color="auto" w:sz="12" w:space="0"/>
            </w:tcBorders>
            <w:noWrap w:val="0"/>
            <w:vAlign w:val="top"/>
          </w:tcPr>
          <w:p w14:paraId="6F2BE49B">
            <w:pPr>
              <w:ind w:firstLine="480"/>
              <w:jc w:val="left"/>
              <w:rPr>
                <w:rFonts w:hint="eastAsia" w:ascii="宋体" w:hAnsi="宋体" w:eastAsia="宋体" w:cs="宋体"/>
                <w:color w:val="000000"/>
                <w:sz w:val="24"/>
                <w:szCs w:val="24"/>
              </w:rPr>
            </w:pPr>
          </w:p>
        </w:tc>
      </w:tr>
    </w:tbl>
    <w:p w14:paraId="53184BDD">
      <w:pPr>
        <w:pStyle w:val="15"/>
        <w:spacing w:line="400" w:lineRule="exact"/>
        <w:ind w:firstLine="0" w:firstLineChars="0"/>
        <w:rPr>
          <w:rFonts w:hint="eastAsia" w:ascii="宋体" w:hAnsi="宋体" w:eastAsia="宋体" w:cs="宋体"/>
          <w:sz w:val="24"/>
          <w:szCs w:val="24"/>
          <w:u w:val="none"/>
        </w:rPr>
      </w:pPr>
      <w:r>
        <w:rPr>
          <w:rFonts w:hint="eastAsia" w:ascii="宋体" w:hAnsi="宋体" w:eastAsia="宋体" w:cs="宋体"/>
          <w:sz w:val="24"/>
          <w:szCs w:val="24"/>
          <w:lang w:val="zh-CN"/>
        </w:rPr>
        <w:t>注：</w:t>
      </w:r>
      <w:r>
        <w:rPr>
          <w:rFonts w:hint="eastAsia" w:ascii="宋体" w:hAnsi="宋体" w:eastAsia="宋体" w:cs="宋体"/>
          <w:sz w:val="24"/>
          <w:szCs w:val="24"/>
        </w:rPr>
        <w:t>1、在填写其中的技术响应内容时，</w:t>
      </w:r>
      <w:r>
        <w:rPr>
          <w:rFonts w:hint="eastAsia" w:ascii="宋体" w:hAnsi="宋体" w:eastAsia="宋体" w:cs="宋体"/>
          <w:sz w:val="24"/>
          <w:szCs w:val="24"/>
          <w:lang w:eastAsia="zh-CN"/>
        </w:rPr>
        <w:t>投标</w:t>
      </w:r>
      <w:r>
        <w:rPr>
          <w:rFonts w:hint="eastAsia" w:ascii="宋体" w:hAnsi="宋体" w:eastAsia="宋体" w:cs="宋体"/>
          <w:sz w:val="24"/>
          <w:szCs w:val="24"/>
        </w:rPr>
        <w:t>响应单位必须对照本</w:t>
      </w:r>
      <w:r>
        <w:rPr>
          <w:rFonts w:hint="eastAsia" w:ascii="宋体" w:hAnsi="宋体" w:eastAsia="宋体" w:cs="宋体"/>
          <w:sz w:val="24"/>
          <w:szCs w:val="24"/>
          <w:lang w:eastAsia="zh-CN"/>
        </w:rPr>
        <w:t>采购</w:t>
      </w:r>
      <w:r>
        <w:rPr>
          <w:rFonts w:hint="eastAsia" w:ascii="宋体" w:hAnsi="宋体" w:eastAsia="宋体" w:cs="宋体"/>
          <w:sz w:val="24"/>
          <w:szCs w:val="24"/>
        </w:rPr>
        <w:t>文件“技术要求”中各指标项逐条说明，写出各自响应产品的具体参数响应内容</w:t>
      </w:r>
      <w:r>
        <w:rPr>
          <w:rFonts w:hint="eastAsia" w:ascii="宋体" w:hAnsi="宋体" w:eastAsia="宋体" w:cs="宋体"/>
          <w:sz w:val="24"/>
          <w:szCs w:val="24"/>
          <w:u w:val="none"/>
        </w:rPr>
        <w:t>且不局限于本</w:t>
      </w:r>
      <w:r>
        <w:rPr>
          <w:rFonts w:hint="eastAsia" w:ascii="宋体" w:hAnsi="宋体" w:eastAsia="宋体" w:cs="宋体"/>
          <w:sz w:val="24"/>
          <w:szCs w:val="24"/>
          <w:u w:val="none"/>
          <w:lang w:eastAsia="zh-CN"/>
        </w:rPr>
        <w:t>采购</w:t>
      </w:r>
      <w:r>
        <w:rPr>
          <w:rFonts w:hint="eastAsia" w:ascii="宋体" w:hAnsi="宋体" w:eastAsia="宋体" w:cs="宋体"/>
          <w:sz w:val="24"/>
          <w:szCs w:val="24"/>
          <w:u w:val="none"/>
        </w:rPr>
        <w:t>文件技术要求，不得以“符合”或“满足”等词语作简单回答，否则</w:t>
      </w:r>
      <w:r>
        <w:rPr>
          <w:rFonts w:hint="eastAsia" w:ascii="宋体" w:hAnsi="宋体" w:eastAsia="宋体" w:cs="宋体"/>
          <w:sz w:val="24"/>
          <w:szCs w:val="24"/>
          <w:u w:val="none"/>
          <w:lang w:eastAsia="zh-CN"/>
        </w:rPr>
        <w:t>评标</w:t>
      </w:r>
      <w:r>
        <w:rPr>
          <w:rFonts w:hint="eastAsia" w:ascii="宋体" w:hAnsi="宋体" w:eastAsia="宋体" w:cs="宋体"/>
          <w:sz w:val="24"/>
          <w:szCs w:val="24"/>
          <w:u w:val="none"/>
        </w:rPr>
        <w:t>小组有权视其响应文件未实质响应</w:t>
      </w:r>
      <w:r>
        <w:rPr>
          <w:rFonts w:hint="eastAsia" w:ascii="宋体" w:hAnsi="宋体" w:eastAsia="宋体" w:cs="宋体"/>
          <w:sz w:val="24"/>
          <w:szCs w:val="24"/>
          <w:u w:val="none"/>
          <w:lang w:eastAsia="zh-CN"/>
        </w:rPr>
        <w:t>采购</w:t>
      </w:r>
      <w:r>
        <w:rPr>
          <w:rFonts w:hint="eastAsia" w:ascii="宋体" w:hAnsi="宋体" w:eastAsia="宋体" w:cs="宋体"/>
          <w:sz w:val="24"/>
          <w:szCs w:val="24"/>
          <w:u w:val="none"/>
        </w:rPr>
        <w:t>文件要求；</w:t>
      </w:r>
    </w:p>
    <w:p w14:paraId="79F4BE0A">
      <w:pPr>
        <w:pStyle w:val="15"/>
        <w:spacing w:line="400" w:lineRule="exact"/>
        <w:ind w:firstLine="480"/>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w:t>
      </w:r>
      <w:r>
        <w:rPr>
          <w:rFonts w:hint="eastAsia" w:ascii="宋体" w:hAnsi="宋体" w:eastAsia="宋体" w:cs="宋体"/>
          <w:sz w:val="24"/>
          <w:szCs w:val="24"/>
        </w:rPr>
        <w:t>响应单位应根据</w:t>
      </w:r>
      <w:r>
        <w:rPr>
          <w:rFonts w:hint="eastAsia" w:ascii="宋体" w:hAnsi="宋体" w:eastAsia="宋体" w:cs="宋体"/>
          <w:sz w:val="24"/>
          <w:szCs w:val="24"/>
          <w:lang w:val="en-US" w:eastAsia="zh-CN"/>
        </w:rPr>
        <w:t>产品</w:t>
      </w:r>
      <w:r>
        <w:rPr>
          <w:rFonts w:hint="eastAsia" w:ascii="宋体" w:hAnsi="宋体" w:eastAsia="宋体" w:cs="宋体"/>
          <w:sz w:val="24"/>
          <w:szCs w:val="24"/>
        </w:rPr>
        <w:t>本身的性能指标、对照</w:t>
      </w:r>
      <w:r>
        <w:rPr>
          <w:rFonts w:hint="eastAsia" w:ascii="宋体" w:hAnsi="宋体" w:eastAsia="宋体" w:cs="宋体"/>
          <w:sz w:val="24"/>
          <w:szCs w:val="24"/>
          <w:lang w:eastAsia="zh-CN"/>
        </w:rPr>
        <w:t>采购</w:t>
      </w:r>
      <w:r>
        <w:rPr>
          <w:rFonts w:hint="eastAsia" w:ascii="宋体" w:hAnsi="宋体" w:eastAsia="宋体" w:cs="宋体"/>
          <w:sz w:val="24"/>
          <w:szCs w:val="24"/>
        </w:rPr>
        <w:t xml:space="preserve">文件要求在“偏离情况”栏注明“正偏离”、“负偏离”或“无偏离”。 </w:t>
      </w:r>
      <w:r>
        <w:rPr>
          <w:rFonts w:hint="eastAsia" w:ascii="宋体" w:hAnsi="宋体" w:eastAsia="宋体" w:cs="宋体"/>
          <w:color w:val="auto"/>
          <w:sz w:val="24"/>
          <w:szCs w:val="24"/>
        </w:rPr>
        <w:t xml:space="preserve"> 带▲的负偏离取消其</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响应资格。</w:t>
      </w:r>
    </w:p>
    <w:p w14:paraId="218A2A8F">
      <w:pPr>
        <w:ind w:firstLine="4320" w:firstLineChars="1800"/>
        <w:rPr>
          <w:rFonts w:hint="eastAsia"/>
          <w:color w:val="auto"/>
        </w:rPr>
      </w:pPr>
    </w:p>
    <w:p w14:paraId="70A5EDA9">
      <w:pPr>
        <w:ind w:firstLine="4320" w:firstLineChars="1800"/>
        <w:rPr>
          <w:rFonts w:hint="eastAsia"/>
          <w:color w:val="auto"/>
        </w:rPr>
      </w:pPr>
    </w:p>
    <w:p w14:paraId="04B44DF2">
      <w:pPr>
        <w:pStyle w:val="6"/>
        <w:numPr>
          <w:ilvl w:val="3"/>
          <w:numId w:val="0"/>
        </w:numPr>
        <w:ind w:leftChars="0"/>
        <w:rPr>
          <w:rFonts w:hint="eastAsia"/>
        </w:rPr>
      </w:pPr>
    </w:p>
    <w:p w14:paraId="71B47550">
      <w:pPr>
        <w:ind w:firstLine="4320" w:firstLineChars="1800"/>
        <w:rPr>
          <w:color w:val="auto"/>
        </w:rPr>
      </w:pPr>
      <w:r>
        <w:rPr>
          <w:rFonts w:hint="eastAsia"/>
          <w:color w:val="auto"/>
        </w:rPr>
        <w:t>投标人全称（盖章）：</w:t>
      </w:r>
      <w:r>
        <w:rPr>
          <w:color w:val="auto"/>
        </w:rPr>
        <w:t xml:space="preserve">                         </w:t>
      </w:r>
    </w:p>
    <w:p w14:paraId="714EAD9E">
      <w:pPr>
        <w:ind w:firstLine="4320" w:firstLineChars="1800"/>
        <w:rPr>
          <w:color w:val="auto"/>
        </w:rPr>
      </w:pPr>
      <w:r>
        <w:rPr>
          <w:rFonts w:hint="eastAsia"/>
          <w:color w:val="auto"/>
        </w:rPr>
        <w:t>法定代表人或授权代理人（签字或盖章）：</w:t>
      </w:r>
    </w:p>
    <w:p w14:paraId="341049D6">
      <w:pPr>
        <w:ind w:firstLine="4320" w:firstLineChars="1800"/>
        <w:rPr>
          <w:rFonts w:hint="eastAsia"/>
          <w:color w:val="auto"/>
        </w:rPr>
      </w:pPr>
      <w:r>
        <w:rPr>
          <w:rFonts w:hint="eastAsia"/>
          <w:color w:val="auto"/>
        </w:rPr>
        <w:t>日期：</w:t>
      </w:r>
      <w:r>
        <w:rPr>
          <w:rFonts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4ED23F33">
      <w:pPr>
        <w:ind w:left="0" w:leftChars="0" w:firstLine="0" w:firstLineChars="0"/>
        <w:rPr>
          <w:rFonts w:hint="eastAsia" w:ascii="新宋体" w:hAnsi="新宋体" w:eastAsia="新宋体" w:cs="Times New Roman"/>
          <w:color w:val="auto"/>
          <w:spacing w:val="0"/>
          <w:kern w:val="2"/>
          <w:position w:val="0"/>
          <w:sz w:val="24"/>
          <w:szCs w:val="24"/>
          <w:u w:val="none"/>
          <w:vertAlign w:val="baseline"/>
          <w:rtl w:val="0"/>
          <w:lang w:val="zh-Hans" w:eastAsia="zh-Hans" w:bidi="ar-SA"/>
        </w:rPr>
      </w:pPr>
    </w:p>
    <w:p w14:paraId="3D3897C5">
      <w:pPr>
        <w:keepNext w:val="0"/>
        <w:keepLines w:val="0"/>
        <w:pageBreakBefore w:val="0"/>
        <w:widowControl w:val="0"/>
        <w:kinsoku/>
        <w:wordWrap/>
        <w:overflowPunct/>
        <w:topLinePunct w:val="0"/>
        <w:autoSpaceDE/>
        <w:autoSpaceDN/>
        <w:bidi w:val="0"/>
        <w:adjustRightInd/>
        <w:snapToGrid w:val="0"/>
        <w:spacing w:line="480" w:lineRule="auto"/>
        <w:jc w:val="left"/>
        <w:textAlignment w:val="auto"/>
        <w:rPr>
          <w:rFonts w:hint="eastAsia" w:ascii="新宋体" w:hAnsi="新宋体" w:eastAsia="新宋体"/>
          <w:sz w:val="24"/>
          <w:szCs w:val="24"/>
        </w:rPr>
      </w:pPr>
    </w:p>
    <w:p w14:paraId="1EE31FAB">
      <w:pPr>
        <w:keepNext w:val="0"/>
        <w:keepLines w:val="0"/>
        <w:pageBreakBefore w:val="0"/>
        <w:widowControl w:val="0"/>
        <w:kinsoku/>
        <w:wordWrap/>
        <w:overflowPunct/>
        <w:topLinePunct w:val="0"/>
        <w:autoSpaceDE/>
        <w:autoSpaceDN/>
        <w:bidi w:val="0"/>
        <w:adjustRightInd/>
        <w:snapToGrid w:val="0"/>
        <w:spacing w:line="480" w:lineRule="auto"/>
        <w:jc w:val="left"/>
        <w:textAlignment w:val="auto"/>
        <w:rPr>
          <w:rFonts w:hint="eastAsia" w:ascii="新宋体" w:hAnsi="新宋体" w:eastAsia="新宋体"/>
          <w:sz w:val="24"/>
          <w:szCs w:val="24"/>
        </w:rPr>
      </w:pPr>
    </w:p>
    <w:p w14:paraId="19DB6EA8">
      <w:pPr>
        <w:ind w:firstLine="0" w:firstLineChars="0"/>
        <w:jc w:val="left"/>
        <w:outlineLvl w:val="1"/>
        <w:rPr>
          <w:rFonts w:hint="default" w:ascii="宋体" w:hAnsi="宋体" w:eastAsia="宋体" w:cs="宋体"/>
          <w:b/>
          <w:bCs/>
          <w:color w:val="auto"/>
          <w:lang w:val="en-US" w:eastAsia="zh-CN"/>
        </w:rPr>
      </w:pPr>
      <w:r>
        <w:rPr>
          <w:rFonts w:hint="eastAsia" w:ascii="宋体" w:hAnsi="宋体" w:eastAsia="宋体" w:cs="宋体"/>
          <w:b/>
          <w:bCs/>
          <w:color w:val="auto"/>
        </w:rPr>
        <w:t>附件</w:t>
      </w:r>
      <w:r>
        <w:rPr>
          <w:rFonts w:hint="eastAsia" w:ascii="宋体" w:hAnsi="宋体" w:eastAsia="宋体" w:cs="宋体"/>
          <w:b/>
          <w:bCs/>
          <w:color w:val="auto"/>
          <w:lang w:val="en-US" w:eastAsia="zh-CN"/>
        </w:rPr>
        <w:t>7</w:t>
      </w:r>
    </w:p>
    <w:p w14:paraId="28D5A626">
      <w:pPr>
        <w:keepNext w:val="0"/>
        <w:keepLines w:val="0"/>
        <w:pageBreakBefore w:val="0"/>
        <w:widowControl w:val="0"/>
        <w:kinsoku/>
        <w:wordWrap/>
        <w:overflowPunct/>
        <w:topLinePunct w:val="0"/>
        <w:autoSpaceDE/>
        <w:autoSpaceDN/>
        <w:bidi w:val="0"/>
        <w:adjustRightInd/>
        <w:snapToGrid w:val="0"/>
        <w:spacing w:line="480" w:lineRule="auto"/>
        <w:jc w:val="center"/>
        <w:textAlignment w:val="auto"/>
        <w:rPr>
          <w:rFonts w:hint="eastAsia"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商务要求偏离表</w:t>
      </w:r>
    </w:p>
    <w:tbl>
      <w:tblPr>
        <w:tblStyle w:val="36"/>
        <w:tblpPr w:leftFromText="180" w:rightFromText="180" w:vertAnchor="text" w:horzAnchor="margin" w:tblpXSpec="center" w:tblpY="190"/>
        <w:tblW w:w="979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0"/>
        <w:gridCol w:w="2670"/>
        <w:gridCol w:w="1866"/>
        <w:gridCol w:w="2502"/>
        <w:gridCol w:w="1834"/>
      </w:tblGrid>
      <w:tr w14:paraId="1E78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000000" w:sz="4" w:space="0"/>
              <w:left w:val="single" w:color="000000" w:sz="4" w:space="0"/>
              <w:bottom w:val="single" w:color="000000" w:sz="4" w:space="0"/>
              <w:right w:val="single" w:color="000000" w:sz="4" w:space="0"/>
            </w:tcBorders>
            <w:noWrap w:val="0"/>
            <w:vAlign w:val="center"/>
          </w:tcPr>
          <w:p w14:paraId="78153D5B">
            <w:pPr>
              <w:ind w:firstLine="0" w:firstLineChars="0"/>
              <w:jc w:val="center"/>
              <w:rPr>
                <w:rFonts w:hint="eastAsia" w:ascii="宋体" w:hAnsi="宋体" w:eastAsia="宋体" w:cs="宋体"/>
                <w:color w:val="333333"/>
                <w:sz w:val="24"/>
                <w:szCs w:val="24"/>
                <w:lang w:val="zh-CN"/>
              </w:rPr>
            </w:pPr>
            <w:r>
              <w:rPr>
                <w:rFonts w:hint="eastAsia" w:ascii="宋体" w:hAnsi="宋体" w:eastAsia="宋体" w:cs="宋体"/>
                <w:color w:val="333333"/>
                <w:sz w:val="24"/>
                <w:szCs w:val="24"/>
                <w:lang w:val="zh-CN"/>
              </w:rPr>
              <w:t>序号</w:t>
            </w:r>
          </w:p>
        </w:tc>
        <w:tc>
          <w:tcPr>
            <w:tcW w:w="2670" w:type="dxa"/>
            <w:tcBorders>
              <w:top w:val="single" w:color="000000" w:sz="4" w:space="0"/>
              <w:left w:val="single" w:color="auto" w:sz="4" w:space="0"/>
              <w:bottom w:val="single" w:color="000000" w:sz="4" w:space="0"/>
              <w:right w:val="single" w:color="000000" w:sz="4" w:space="0"/>
            </w:tcBorders>
            <w:noWrap w:val="0"/>
            <w:vAlign w:val="center"/>
          </w:tcPr>
          <w:p w14:paraId="311F16B3">
            <w:pPr>
              <w:ind w:firstLine="0" w:firstLineChars="0"/>
              <w:jc w:val="center"/>
              <w:rPr>
                <w:rFonts w:hint="eastAsia" w:ascii="宋体" w:hAnsi="宋体" w:eastAsia="宋体" w:cs="宋体"/>
                <w:color w:val="333333"/>
                <w:sz w:val="24"/>
                <w:szCs w:val="24"/>
                <w:lang w:val="zh-CN"/>
              </w:rPr>
            </w:pPr>
            <w:r>
              <w:rPr>
                <w:rFonts w:hint="eastAsia" w:ascii="宋体" w:hAnsi="宋体" w:cs="宋体"/>
                <w:color w:val="333333"/>
                <w:sz w:val="24"/>
                <w:szCs w:val="24"/>
                <w:lang w:val="en-US" w:eastAsia="zh-CN"/>
              </w:rPr>
              <w:t>采购</w:t>
            </w:r>
            <w:r>
              <w:rPr>
                <w:rFonts w:hint="eastAsia" w:ascii="宋体" w:hAnsi="宋体" w:eastAsia="宋体" w:cs="宋体"/>
                <w:color w:val="333333"/>
                <w:sz w:val="24"/>
                <w:szCs w:val="24"/>
                <w:lang w:val="zh-CN"/>
              </w:rPr>
              <w:t>文件条目号</w:t>
            </w:r>
          </w:p>
        </w:tc>
        <w:tc>
          <w:tcPr>
            <w:tcW w:w="1866" w:type="dxa"/>
            <w:tcBorders>
              <w:top w:val="single" w:color="000000" w:sz="4" w:space="0"/>
              <w:left w:val="single" w:color="auto" w:sz="4" w:space="0"/>
              <w:bottom w:val="single" w:color="000000" w:sz="4" w:space="0"/>
              <w:right w:val="single" w:color="000000" w:sz="4" w:space="0"/>
            </w:tcBorders>
            <w:noWrap w:val="0"/>
            <w:vAlign w:val="center"/>
          </w:tcPr>
          <w:p w14:paraId="0A88CFAB">
            <w:pPr>
              <w:snapToGrid w:val="0"/>
              <w:ind w:firstLine="0" w:firstLineChars="0"/>
              <w:jc w:val="center"/>
              <w:rPr>
                <w:rFonts w:hint="eastAsia" w:ascii="宋体" w:hAnsi="宋体" w:eastAsia="宋体" w:cs="宋体"/>
                <w:color w:val="333333"/>
                <w:sz w:val="24"/>
                <w:szCs w:val="24"/>
                <w:lang w:val="zh-CN"/>
              </w:rPr>
            </w:pPr>
            <w:r>
              <w:rPr>
                <w:rFonts w:hint="eastAsia" w:ascii="宋体" w:hAnsi="宋体" w:cs="宋体"/>
                <w:color w:val="333333"/>
                <w:sz w:val="24"/>
                <w:szCs w:val="24"/>
                <w:lang w:val="en-US" w:eastAsia="zh-CN"/>
              </w:rPr>
              <w:t>采购</w:t>
            </w:r>
            <w:r>
              <w:rPr>
                <w:rFonts w:hint="eastAsia" w:ascii="宋体" w:hAnsi="宋体" w:eastAsia="宋体" w:cs="宋体"/>
                <w:color w:val="333333"/>
                <w:sz w:val="24"/>
                <w:szCs w:val="24"/>
                <w:lang w:val="zh-CN"/>
              </w:rPr>
              <w:t>文件要求</w:t>
            </w:r>
          </w:p>
        </w:tc>
        <w:tc>
          <w:tcPr>
            <w:tcW w:w="2502" w:type="dxa"/>
            <w:tcBorders>
              <w:top w:val="single" w:color="000000" w:sz="4" w:space="0"/>
              <w:left w:val="single" w:color="auto" w:sz="4" w:space="0"/>
              <w:bottom w:val="single" w:color="000000" w:sz="4" w:space="0"/>
              <w:right w:val="single" w:color="000000" w:sz="4" w:space="0"/>
            </w:tcBorders>
            <w:noWrap w:val="0"/>
            <w:vAlign w:val="center"/>
          </w:tcPr>
          <w:p w14:paraId="5F691CF6">
            <w:pPr>
              <w:snapToGrid w:val="0"/>
              <w:ind w:firstLine="0" w:firstLineChars="0"/>
              <w:jc w:val="center"/>
              <w:rPr>
                <w:rFonts w:hint="eastAsia" w:ascii="宋体" w:hAnsi="宋体" w:eastAsia="宋体" w:cs="宋体"/>
                <w:color w:val="333333"/>
                <w:sz w:val="24"/>
                <w:szCs w:val="24"/>
                <w:lang w:val="zh-CN"/>
              </w:rPr>
            </w:pPr>
            <w:r>
              <w:rPr>
                <w:rFonts w:hint="eastAsia" w:ascii="宋体" w:hAnsi="宋体" w:cs="宋体"/>
                <w:color w:val="333333"/>
                <w:sz w:val="24"/>
                <w:szCs w:val="24"/>
                <w:lang w:val="en-US" w:eastAsia="zh-CN"/>
              </w:rPr>
              <w:t>投标</w:t>
            </w:r>
            <w:r>
              <w:rPr>
                <w:rFonts w:hint="eastAsia" w:ascii="宋体" w:hAnsi="宋体" w:eastAsia="宋体" w:cs="宋体"/>
                <w:color w:val="333333"/>
                <w:sz w:val="24"/>
                <w:szCs w:val="24"/>
                <w:lang w:val="zh-CN"/>
              </w:rPr>
              <w:t>文件响应内容</w:t>
            </w:r>
          </w:p>
        </w:tc>
        <w:tc>
          <w:tcPr>
            <w:tcW w:w="1834" w:type="dxa"/>
            <w:tcBorders>
              <w:top w:val="single" w:color="000000" w:sz="4" w:space="0"/>
              <w:left w:val="single" w:color="auto" w:sz="4" w:space="0"/>
              <w:bottom w:val="single" w:color="000000" w:sz="4" w:space="0"/>
              <w:right w:val="single" w:color="000000" w:sz="4" w:space="0"/>
            </w:tcBorders>
            <w:noWrap w:val="0"/>
            <w:vAlign w:val="center"/>
          </w:tcPr>
          <w:p w14:paraId="237AEC98">
            <w:pPr>
              <w:ind w:firstLine="0" w:firstLineChars="0"/>
              <w:jc w:val="center"/>
              <w:rPr>
                <w:rFonts w:hint="eastAsia" w:ascii="宋体" w:hAnsi="宋体" w:eastAsia="宋体" w:cs="宋体"/>
                <w:color w:val="333333"/>
                <w:sz w:val="24"/>
                <w:szCs w:val="24"/>
                <w:lang w:val="zh-CN"/>
              </w:rPr>
            </w:pPr>
            <w:r>
              <w:rPr>
                <w:rFonts w:hint="eastAsia" w:ascii="宋体" w:hAnsi="宋体" w:eastAsia="宋体" w:cs="宋体"/>
                <w:color w:val="333333"/>
                <w:sz w:val="24"/>
                <w:szCs w:val="24"/>
                <w:lang w:val="zh-CN"/>
              </w:rPr>
              <w:t>偏离说明</w:t>
            </w:r>
          </w:p>
        </w:tc>
      </w:tr>
      <w:tr w14:paraId="485D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auto" w:sz="4" w:space="0"/>
              <w:left w:val="single" w:color="000000" w:sz="4" w:space="0"/>
              <w:bottom w:val="single" w:color="000000" w:sz="4" w:space="0"/>
              <w:right w:val="single" w:color="000000" w:sz="4" w:space="0"/>
            </w:tcBorders>
            <w:noWrap w:val="0"/>
            <w:vAlign w:val="center"/>
          </w:tcPr>
          <w:p w14:paraId="35160E4A">
            <w:pPr>
              <w:ind w:firstLine="0" w:firstLineChars="0"/>
              <w:jc w:val="center"/>
              <w:rPr>
                <w:rFonts w:hint="eastAsia" w:ascii="宋体" w:hAnsi="宋体" w:eastAsia="宋体" w:cs="宋体"/>
                <w:color w:val="333333"/>
                <w:sz w:val="24"/>
                <w:szCs w:val="24"/>
              </w:rPr>
            </w:pPr>
          </w:p>
        </w:tc>
        <w:tc>
          <w:tcPr>
            <w:tcW w:w="2670" w:type="dxa"/>
            <w:tcBorders>
              <w:top w:val="single" w:color="auto" w:sz="4" w:space="0"/>
              <w:left w:val="single" w:color="auto" w:sz="4" w:space="0"/>
              <w:bottom w:val="single" w:color="000000" w:sz="4" w:space="0"/>
              <w:right w:val="single" w:color="000000" w:sz="4" w:space="0"/>
            </w:tcBorders>
            <w:noWrap w:val="0"/>
            <w:vAlign w:val="center"/>
          </w:tcPr>
          <w:p w14:paraId="456C1BF2">
            <w:pPr>
              <w:spacing w:line="400" w:lineRule="exact"/>
              <w:ind w:firstLine="0" w:firstLineChars="0"/>
              <w:jc w:val="center"/>
              <w:rPr>
                <w:rFonts w:hint="eastAsia" w:ascii="宋体" w:hAnsi="宋体" w:eastAsia="宋体" w:cs="宋体"/>
                <w:color w:val="333333"/>
                <w:sz w:val="24"/>
                <w:szCs w:val="24"/>
                <w:lang w:val="zh-CN"/>
              </w:rPr>
            </w:pPr>
          </w:p>
        </w:tc>
        <w:tc>
          <w:tcPr>
            <w:tcW w:w="1866" w:type="dxa"/>
            <w:tcBorders>
              <w:top w:val="single" w:color="auto" w:sz="4" w:space="0"/>
              <w:left w:val="single" w:color="auto" w:sz="4" w:space="0"/>
              <w:bottom w:val="single" w:color="000000" w:sz="4" w:space="0"/>
              <w:right w:val="single" w:color="000000" w:sz="4" w:space="0"/>
            </w:tcBorders>
            <w:noWrap w:val="0"/>
            <w:vAlign w:val="center"/>
          </w:tcPr>
          <w:p w14:paraId="1C96B065">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000000" w:sz="4" w:space="0"/>
              <w:right w:val="single" w:color="000000" w:sz="4" w:space="0"/>
            </w:tcBorders>
            <w:noWrap w:val="0"/>
            <w:vAlign w:val="center"/>
          </w:tcPr>
          <w:p w14:paraId="60925FA3">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000000" w:sz="4" w:space="0"/>
              <w:right w:val="single" w:color="000000" w:sz="4" w:space="0"/>
            </w:tcBorders>
            <w:noWrap w:val="0"/>
            <w:vAlign w:val="center"/>
          </w:tcPr>
          <w:p w14:paraId="0A37E96B">
            <w:pPr>
              <w:ind w:firstLine="480"/>
              <w:jc w:val="center"/>
              <w:rPr>
                <w:rFonts w:hint="eastAsia" w:ascii="宋体" w:hAnsi="宋体" w:eastAsia="宋体" w:cs="宋体"/>
                <w:color w:val="333333"/>
                <w:sz w:val="24"/>
                <w:szCs w:val="24"/>
                <w:lang w:val="zh-CN"/>
              </w:rPr>
            </w:pPr>
          </w:p>
        </w:tc>
      </w:tr>
      <w:tr w14:paraId="44F8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auto" w:sz="4" w:space="0"/>
              <w:left w:val="single" w:color="000000" w:sz="4" w:space="0"/>
              <w:bottom w:val="single" w:color="000000" w:sz="4" w:space="0"/>
              <w:right w:val="single" w:color="000000" w:sz="4" w:space="0"/>
            </w:tcBorders>
            <w:noWrap w:val="0"/>
            <w:vAlign w:val="center"/>
          </w:tcPr>
          <w:p w14:paraId="5D3181C6">
            <w:pPr>
              <w:ind w:firstLine="0" w:firstLineChars="0"/>
              <w:jc w:val="center"/>
              <w:rPr>
                <w:rFonts w:hint="eastAsia" w:ascii="宋体" w:hAnsi="宋体" w:eastAsia="宋体" w:cs="宋体"/>
                <w:color w:val="333333"/>
                <w:sz w:val="24"/>
                <w:szCs w:val="24"/>
              </w:rPr>
            </w:pPr>
          </w:p>
        </w:tc>
        <w:tc>
          <w:tcPr>
            <w:tcW w:w="2670" w:type="dxa"/>
            <w:tcBorders>
              <w:top w:val="single" w:color="auto" w:sz="4" w:space="0"/>
              <w:left w:val="single" w:color="auto" w:sz="4" w:space="0"/>
              <w:bottom w:val="single" w:color="000000" w:sz="4" w:space="0"/>
              <w:right w:val="single" w:color="000000" w:sz="4" w:space="0"/>
            </w:tcBorders>
            <w:noWrap w:val="0"/>
            <w:vAlign w:val="center"/>
          </w:tcPr>
          <w:p w14:paraId="0D64ACA3">
            <w:pPr>
              <w:spacing w:line="400" w:lineRule="exact"/>
              <w:ind w:firstLine="0" w:firstLineChars="0"/>
              <w:jc w:val="center"/>
              <w:rPr>
                <w:rFonts w:hint="eastAsia" w:ascii="宋体" w:hAnsi="宋体" w:eastAsia="宋体" w:cs="宋体"/>
                <w:color w:val="333333"/>
                <w:sz w:val="24"/>
                <w:szCs w:val="24"/>
              </w:rPr>
            </w:pPr>
          </w:p>
        </w:tc>
        <w:tc>
          <w:tcPr>
            <w:tcW w:w="1866" w:type="dxa"/>
            <w:tcBorders>
              <w:top w:val="single" w:color="auto" w:sz="4" w:space="0"/>
              <w:left w:val="single" w:color="auto" w:sz="4" w:space="0"/>
              <w:bottom w:val="single" w:color="000000" w:sz="4" w:space="0"/>
              <w:right w:val="single" w:color="000000" w:sz="4" w:space="0"/>
            </w:tcBorders>
            <w:noWrap w:val="0"/>
            <w:vAlign w:val="center"/>
          </w:tcPr>
          <w:p w14:paraId="77AE8875">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000000" w:sz="4" w:space="0"/>
              <w:right w:val="single" w:color="000000" w:sz="4" w:space="0"/>
            </w:tcBorders>
            <w:noWrap w:val="0"/>
            <w:vAlign w:val="center"/>
          </w:tcPr>
          <w:p w14:paraId="012896DF">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000000" w:sz="4" w:space="0"/>
              <w:right w:val="single" w:color="000000" w:sz="4" w:space="0"/>
            </w:tcBorders>
            <w:noWrap w:val="0"/>
            <w:vAlign w:val="center"/>
          </w:tcPr>
          <w:p w14:paraId="2EF79CCC">
            <w:pPr>
              <w:ind w:firstLine="480"/>
              <w:jc w:val="center"/>
              <w:rPr>
                <w:rFonts w:hint="eastAsia" w:ascii="宋体" w:hAnsi="宋体" w:eastAsia="宋体" w:cs="宋体"/>
                <w:color w:val="333333"/>
                <w:sz w:val="24"/>
                <w:szCs w:val="24"/>
                <w:lang w:val="zh-CN"/>
              </w:rPr>
            </w:pPr>
          </w:p>
        </w:tc>
      </w:tr>
      <w:tr w14:paraId="2591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auto" w:sz="4" w:space="0"/>
              <w:left w:val="single" w:color="000000" w:sz="4" w:space="0"/>
              <w:bottom w:val="single" w:color="000000" w:sz="4" w:space="0"/>
              <w:right w:val="single" w:color="000000" w:sz="4" w:space="0"/>
            </w:tcBorders>
            <w:noWrap w:val="0"/>
            <w:vAlign w:val="center"/>
          </w:tcPr>
          <w:p w14:paraId="4AF28F0F">
            <w:pPr>
              <w:ind w:firstLine="0" w:firstLineChars="0"/>
              <w:jc w:val="center"/>
              <w:rPr>
                <w:rFonts w:hint="eastAsia" w:ascii="宋体" w:hAnsi="宋体" w:eastAsia="宋体" w:cs="宋体"/>
                <w:color w:val="333333"/>
                <w:sz w:val="24"/>
                <w:szCs w:val="24"/>
              </w:rPr>
            </w:pPr>
          </w:p>
        </w:tc>
        <w:tc>
          <w:tcPr>
            <w:tcW w:w="2670" w:type="dxa"/>
            <w:tcBorders>
              <w:top w:val="single" w:color="auto" w:sz="4" w:space="0"/>
              <w:left w:val="single" w:color="auto" w:sz="4" w:space="0"/>
              <w:bottom w:val="single" w:color="000000" w:sz="4" w:space="0"/>
              <w:right w:val="single" w:color="000000" w:sz="4" w:space="0"/>
            </w:tcBorders>
            <w:noWrap w:val="0"/>
            <w:vAlign w:val="center"/>
          </w:tcPr>
          <w:p w14:paraId="31566458">
            <w:pPr>
              <w:spacing w:line="400" w:lineRule="exact"/>
              <w:ind w:firstLine="0" w:firstLineChars="0"/>
              <w:jc w:val="center"/>
              <w:rPr>
                <w:rFonts w:hint="eastAsia" w:ascii="宋体" w:hAnsi="宋体" w:eastAsia="宋体" w:cs="宋体"/>
                <w:color w:val="333333"/>
                <w:sz w:val="24"/>
                <w:szCs w:val="24"/>
                <w:lang w:val="zh-CN"/>
              </w:rPr>
            </w:pPr>
          </w:p>
        </w:tc>
        <w:tc>
          <w:tcPr>
            <w:tcW w:w="1866" w:type="dxa"/>
            <w:tcBorders>
              <w:top w:val="single" w:color="auto" w:sz="4" w:space="0"/>
              <w:left w:val="single" w:color="auto" w:sz="4" w:space="0"/>
              <w:bottom w:val="single" w:color="000000" w:sz="4" w:space="0"/>
              <w:right w:val="single" w:color="000000" w:sz="4" w:space="0"/>
            </w:tcBorders>
            <w:noWrap w:val="0"/>
            <w:vAlign w:val="center"/>
          </w:tcPr>
          <w:p w14:paraId="4B16088D">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000000" w:sz="4" w:space="0"/>
              <w:right w:val="single" w:color="000000" w:sz="4" w:space="0"/>
            </w:tcBorders>
            <w:noWrap w:val="0"/>
            <w:vAlign w:val="center"/>
          </w:tcPr>
          <w:p w14:paraId="39AAD0D5">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000000" w:sz="4" w:space="0"/>
              <w:right w:val="single" w:color="000000" w:sz="4" w:space="0"/>
            </w:tcBorders>
            <w:noWrap w:val="0"/>
            <w:vAlign w:val="center"/>
          </w:tcPr>
          <w:p w14:paraId="1DD3B8AA">
            <w:pPr>
              <w:ind w:firstLine="480"/>
              <w:jc w:val="center"/>
              <w:rPr>
                <w:rFonts w:hint="eastAsia" w:ascii="宋体" w:hAnsi="宋体" w:eastAsia="宋体" w:cs="宋体"/>
                <w:color w:val="333333"/>
                <w:sz w:val="24"/>
                <w:szCs w:val="24"/>
                <w:lang w:val="zh-CN"/>
              </w:rPr>
            </w:pPr>
          </w:p>
        </w:tc>
      </w:tr>
      <w:tr w14:paraId="52E8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auto" w:sz="4" w:space="0"/>
              <w:left w:val="single" w:color="000000" w:sz="4" w:space="0"/>
              <w:bottom w:val="single" w:color="000000" w:sz="4" w:space="0"/>
              <w:right w:val="single" w:color="000000" w:sz="4" w:space="0"/>
            </w:tcBorders>
            <w:noWrap w:val="0"/>
            <w:vAlign w:val="center"/>
          </w:tcPr>
          <w:p w14:paraId="46FE6DB7">
            <w:pPr>
              <w:ind w:firstLine="0" w:firstLineChars="0"/>
              <w:jc w:val="center"/>
              <w:rPr>
                <w:rFonts w:hint="eastAsia" w:ascii="宋体" w:hAnsi="宋体" w:eastAsia="宋体" w:cs="宋体"/>
                <w:color w:val="333333"/>
                <w:sz w:val="24"/>
                <w:szCs w:val="24"/>
              </w:rPr>
            </w:pPr>
          </w:p>
        </w:tc>
        <w:tc>
          <w:tcPr>
            <w:tcW w:w="2670" w:type="dxa"/>
            <w:tcBorders>
              <w:top w:val="single" w:color="auto" w:sz="4" w:space="0"/>
              <w:left w:val="single" w:color="auto" w:sz="4" w:space="0"/>
              <w:bottom w:val="single" w:color="000000" w:sz="4" w:space="0"/>
              <w:right w:val="single" w:color="000000" w:sz="4" w:space="0"/>
            </w:tcBorders>
            <w:noWrap w:val="0"/>
            <w:vAlign w:val="center"/>
          </w:tcPr>
          <w:p w14:paraId="260ED722">
            <w:pPr>
              <w:spacing w:line="400" w:lineRule="exact"/>
              <w:ind w:firstLine="0" w:firstLineChars="0"/>
              <w:jc w:val="center"/>
              <w:rPr>
                <w:rFonts w:hint="eastAsia" w:ascii="宋体" w:hAnsi="宋体" w:eastAsia="宋体" w:cs="宋体"/>
                <w:color w:val="333333"/>
                <w:sz w:val="24"/>
                <w:szCs w:val="24"/>
                <w:lang w:val="zh-CN"/>
              </w:rPr>
            </w:pPr>
          </w:p>
        </w:tc>
        <w:tc>
          <w:tcPr>
            <w:tcW w:w="1866" w:type="dxa"/>
            <w:tcBorders>
              <w:top w:val="single" w:color="auto" w:sz="4" w:space="0"/>
              <w:left w:val="single" w:color="auto" w:sz="4" w:space="0"/>
              <w:bottom w:val="single" w:color="000000" w:sz="4" w:space="0"/>
              <w:right w:val="single" w:color="000000" w:sz="4" w:space="0"/>
            </w:tcBorders>
            <w:noWrap w:val="0"/>
            <w:vAlign w:val="center"/>
          </w:tcPr>
          <w:p w14:paraId="24BC215D">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000000" w:sz="4" w:space="0"/>
              <w:right w:val="single" w:color="000000" w:sz="4" w:space="0"/>
            </w:tcBorders>
            <w:noWrap w:val="0"/>
            <w:vAlign w:val="center"/>
          </w:tcPr>
          <w:p w14:paraId="2C0E75E9">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000000" w:sz="4" w:space="0"/>
              <w:right w:val="single" w:color="000000" w:sz="4" w:space="0"/>
            </w:tcBorders>
            <w:noWrap w:val="0"/>
            <w:vAlign w:val="center"/>
          </w:tcPr>
          <w:p w14:paraId="04474FB0">
            <w:pPr>
              <w:ind w:firstLine="480"/>
              <w:jc w:val="center"/>
              <w:rPr>
                <w:rFonts w:hint="eastAsia" w:ascii="宋体" w:hAnsi="宋体" w:eastAsia="宋体" w:cs="宋体"/>
                <w:color w:val="333333"/>
                <w:sz w:val="24"/>
                <w:szCs w:val="24"/>
                <w:lang w:val="zh-CN"/>
              </w:rPr>
            </w:pPr>
          </w:p>
        </w:tc>
      </w:tr>
      <w:tr w14:paraId="43D3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auto" w:sz="4" w:space="0"/>
              <w:left w:val="single" w:color="000000" w:sz="4" w:space="0"/>
              <w:bottom w:val="single" w:color="000000" w:sz="4" w:space="0"/>
              <w:right w:val="single" w:color="000000" w:sz="4" w:space="0"/>
            </w:tcBorders>
            <w:noWrap w:val="0"/>
            <w:vAlign w:val="center"/>
          </w:tcPr>
          <w:p w14:paraId="738A25BF">
            <w:pPr>
              <w:ind w:firstLine="0" w:firstLineChars="0"/>
              <w:jc w:val="center"/>
              <w:rPr>
                <w:rFonts w:hint="eastAsia" w:ascii="宋体" w:hAnsi="宋体" w:eastAsia="宋体" w:cs="宋体"/>
                <w:color w:val="333333"/>
                <w:sz w:val="24"/>
                <w:szCs w:val="24"/>
                <w:lang w:eastAsia="zh-CN"/>
              </w:rPr>
            </w:pPr>
          </w:p>
        </w:tc>
        <w:tc>
          <w:tcPr>
            <w:tcW w:w="2670" w:type="dxa"/>
            <w:tcBorders>
              <w:top w:val="single" w:color="auto" w:sz="4" w:space="0"/>
              <w:left w:val="single" w:color="auto" w:sz="4" w:space="0"/>
              <w:bottom w:val="single" w:color="000000" w:sz="4" w:space="0"/>
              <w:right w:val="single" w:color="000000" w:sz="4" w:space="0"/>
            </w:tcBorders>
            <w:noWrap w:val="0"/>
            <w:vAlign w:val="center"/>
          </w:tcPr>
          <w:p w14:paraId="3FC929DE">
            <w:pPr>
              <w:ind w:firstLine="0" w:firstLineChars="0"/>
              <w:jc w:val="center"/>
              <w:rPr>
                <w:rFonts w:hint="eastAsia" w:ascii="宋体" w:hAnsi="宋体" w:eastAsia="宋体" w:cs="宋体"/>
                <w:color w:val="333333"/>
                <w:sz w:val="24"/>
                <w:szCs w:val="24"/>
                <w:lang w:val="zh-CN" w:eastAsia="zh-CN"/>
              </w:rPr>
            </w:pPr>
          </w:p>
        </w:tc>
        <w:tc>
          <w:tcPr>
            <w:tcW w:w="1866" w:type="dxa"/>
            <w:tcBorders>
              <w:top w:val="single" w:color="auto" w:sz="4" w:space="0"/>
              <w:left w:val="single" w:color="auto" w:sz="4" w:space="0"/>
              <w:bottom w:val="single" w:color="000000" w:sz="4" w:space="0"/>
              <w:right w:val="single" w:color="000000" w:sz="4" w:space="0"/>
            </w:tcBorders>
            <w:noWrap w:val="0"/>
            <w:vAlign w:val="center"/>
          </w:tcPr>
          <w:p w14:paraId="1C17F396">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000000" w:sz="4" w:space="0"/>
              <w:right w:val="single" w:color="000000" w:sz="4" w:space="0"/>
            </w:tcBorders>
            <w:noWrap w:val="0"/>
            <w:vAlign w:val="center"/>
          </w:tcPr>
          <w:p w14:paraId="6390D30F">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000000" w:sz="4" w:space="0"/>
              <w:right w:val="single" w:color="000000" w:sz="4" w:space="0"/>
            </w:tcBorders>
            <w:noWrap w:val="0"/>
            <w:vAlign w:val="center"/>
          </w:tcPr>
          <w:p w14:paraId="09D8A0DB">
            <w:pPr>
              <w:ind w:firstLine="480"/>
              <w:jc w:val="center"/>
              <w:rPr>
                <w:rFonts w:hint="eastAsia" w:ascii="宋体" w:hAnsi="宋体" w:eastAsia="宋体" w:cs="宋体"/>
                <w:color w:val="333333"/>
                <w:sz w:val="24"/>
                <w:szCs w:val="24"/>
                <w:lang w:val="zh-CN"/>
              </w:rPr>
            </w:pPr>
          </w:p>
        </w:tc>
      </w:tr>
      <w:tr w14:paraId="60BE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auto" w:sz="4" w:space="0"/>
              <w:left w:val="single" w:color="000000" w:sz="4" w:space="0"/>
              <w:bottom w:val="single" w:color="auto" w:sz="4" w:space="0"/>
              <w:right w:val="single" w:color="000000" w:sz="4" w:space="0"/>
            </w:tcBorders>
            <w:noWrap w:val="0"/>
            <w:vAlign w:val="center"/>
          </w:tcPr>
          <w:p w14:paraId="3B337754">
            <w:pPr>
              <w:ind w:firstLine="0" w:firstLineChars="0"/>
              <w:jc w:val="center"/>
              <w:rPr>
                <w:rFonts w:hint="eastAsia" w:ascii="宋体" w:hAnsi="宋体" w:eastAsia="宋体" w:cs="宋体"/>
                <w:color w:val="333333"/>
                <w:sz w:val="24"/>
                <w:szCs w:val="24"/>
                <w:lang w:val="en-US" w:eastAsia="zh-CN"/>
              </w:rPr>
            </w:pPr>
          </w:p>
        </w:tc>
        <w:tc>
          <w:tcPr>
            <w:tcW w:w="2670" w:type="dxa"/>
            <w:tcBorders>
              <w:top w:val="single" w:color="auto" w:sz="4" w:space="0"/>
              <w:left w:val="single" w:color="auto" w:sz="4" w:space="0"/>
              <w:bottom w:val="single" w:color="auto" w:sz="4" w:space="0"/>
              <w:right w:val="single" w:color="000000" w:sz="4" w:space="0"/>
            </w:tcBorders>
            <w:noWrap w:val="0"/>
            <w:vAlign w:val="center"/>
          </w:tcPr>
          <w:p w14:paraId="382BA0DA">
            <w:pPr>
              <w:ind w:firstLine="0" w:firstLineChars="0"/>
              <w:jc w:val="center"/>
              <w:rPr>
                <w:rFonts w:hint="eastAsia" w:ascii="宋体" w:hAnsi="宋体" w:eastAsia="宋体" w:cs="宋体"/>
                <w:color w:val="333333"/>
                <w:sz w:val="24"/>
                <w:szCs w:val="24"/>
                <w:lang w:val="zh-CN"/>
              </w:rPr>
            </w:pPr>
          </w:p>
        </w:tc>
        <w:tc>
          <w:tcPr>
            <w:tcW w:w="1866" w:type="dxa"/>
            <w:tcBorders>
              <w:top w:val="single" w:color="auto" w:sz="4" w:space="0"/>
              <w:left w:val="single" w:color="auto" w:sz="4" w:space="0"/>
              <w:bottom w:val="single" w:color="auto" w:sz="4" w:space="0"/>
              <w:right w:val="single" w:color="000000" w:sz="4" w:space="0"/>
            </w:tcBorders>
            <w:noWrap w:val="0"/>
            <w:vAlign w:val="center"/>
          </w:tcPr>
          <w:p w14:paraId="2A673CE2">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auto" w:sz="4" w:space="0"/>
              <w:right w:val="single" w:color="000000" w:sz="4" w:space="0"/>
            </w:tcBorders>
            <w:noWrap w:val="0"/>
            <w:vAlign w:val="center"/>
          </w:tcPr>
          <w:p w14:paraId="511141C8">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auto" w:sz="4" w:space="0"/>
              <w:right w:val="single" w:color="000000" w:sz="4" w:space="0"/>
            </w:tcBorders>
            <w:noWrap w:val="0"/>
            <w:vAlign w:val="center"/>
          </w:tcPr>
          <w:p w14:paraId="677AAB7D">
            <w:pPr>
              <w:ind w:firstLine="480"/>
              <w:jc w:val="center"/>
              <w:rPr>
                <w:rFonts w:hint="eastAsia" w:ascii="宋体" w:hAnsi="宋体" w:eastAsia="宋体" w:cs="宋体"/>
                <w:color w:val="333333"/>
                <w:sz w:val="24"/>
                <w:szCs w:val="24"/>
                <w:lang w:val="zh-CN"/>
              </w:rPr>
            </w:pPr>
          </w:p>
        </w:tc>
      </w:tr>
      <w:tr w14:paraId="69D6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auto" w:sz="4" w:space="0"/>
              <w:left w:val="single" w:color="000000" w:sz="4" w:space="0"/>
              <w:bottom w:val="single" w:color="auto" w:sz="4" w:space="0"/>
              <w:right w:val="single" w:color="000000" w:sz="4" w:space="0"/>
            </w:tcBorders>
            <w:noWrap w:val="0"/>
            <w:vAlign w:val="center"/>
          </w:tcPr>
          <w:p w14:paraId="6E0AC592">
            <w:pPr>
              <w:ind w:firstLine="480"/>
              <w:jc w:val="center"/>
              <w:rPr>
                <w:rFonts w:hint="eastAsia" w:ascii="宋体" w:hAnsi="宋体" w:eastAsia="宋体" w:cs="宋体"/>
                <w:color w:val="333333"/>
                <w:sz w:val="24"/>
                <w:szCs w:val="24"/>
                <w:lang w:val="zh-CN"/>
              </w:rPr>
            </w:pPr>
          </w:p>
        </w:tc>
        <w:tc>
          <w:tcPr>
            <w:tcW w:w="2670" w:type="dxa"/>
            <w:tcBorders>
              <w:top w:val="single" w:color="auto" w:sz="4" w:space="0"/>
              <w:left w:val="single" w:color="auto" w:sz="4" w:space="0"/>
              <w:bottom w:val="single" w:color="auto" w:sz="4" w:space="0"/>
              <w:right w:val="single" w:color="000000" w:sz="4" w:space="0"/>
            </w:tcBorders>
            <w:noWrap w:val="0"/>
            <w:vAlign w:val="center"/>
          </w:tcPr>
          <w:p w14:paraId="76979628">
            <w:pPr>
              <w:ind w:firstLine="480"/>
              <w:jc w:val="center"/>
              <w:rPr>
                <w:rFonts w:hint="eastAsia" w:ascii="宋体" w:hAnsi="宋体" w:eastAsia="宋体" w:cs="宋体"/>
                <w:color w:val="333333"/>
                <w:sz w:val="24"/>
                <w:szCs w:val="24"/>
                <w:lang w:val="zh-CN"/>
              </w:rPr>
            </w:pPr>
          </w:p>
        </w:tc>
        <w:tc>
          <w:tcPr>
            <w:tcW w:w="1866" w:type="dxa"/>
            <w:tcBorders>
              <w:top w:val="single" w:color="auto" w:sz="4" w:space="0"/>
              <w:left w:val="single" w:color="auto" w:sz="4" w:space="0"/>
              <w:bottom w:val="single" w:color="auto" w:sz="4" w:space="0"/>
              <w:right w:val="single" w:color="000000" w:sz="4" w:space="0"/>
            </w:tcBorders>
            <w:noWrap w:val="0"/>
            <w:vAlign w:val="center"/>
          </w:tcPr>
          <w:p w14:paraId="49D5E50C">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auto" w:sz="4" w:space="0"/>
              <w:right w:val="single" w:color="000000" w:sz="4" w:space="0"/>
            </w:tcBorders>
            <w:noWrap w:val="0"/>
            <w:vAlign w:val="center"/>
          </w:tcPr>
          <w:p w14:paraId="42370B04">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auto" w:sz="4" w:space="0"/>
              <w:right w:val="single" w:color="000000" w:sz="4" w:space="0"/>
            </w:tcBorders>
            <w:noWrap w:val="0"/>
            <w:vAlign w:val="center"/>
          </w:tcPr>
          <w:p w14:paraId="0B0E4D1A">
            <w:pPr>
              <w:ind w:firstLine="480"/>
              <w:jc w:val="center"/>
              <w:rPr>
                <w:rFonts w:hint="eastAsia" w:ascii="宋体" w:hAnsi="宋体" w:eastAsia="宋体" w:cs="宋体"/>
                <w:color w:val="333333"/>
                <w:sz w:val="24"/>
                <w:szCs w:val="24"/>
                <w:lang w:val="zh-CN"/>
              </w:rPr>
            </w:pPr>
          </w:p>
        </w:tc>
      </w:tr>
      <w:tr w14:paraId="35A6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auto" w:sz="4" w:space="0"/>
              <w:left w:val="single" w:color="000000" w:sz="4" w:space="0"/>
              <w:bottom w:val="single" w:color="auto" w:sz="4" w:space="0"/>
              <w:right w:val="single" w:color="000000" w:sz="4" w:space="0"/>
            </w:tcBorders>
            <w:noWrap w:val="0"/>
            <w:vAlign w:val="center"/>
          </w:tcPr>
          <w:p w14:paraId="7B5C157C">
            <w:pPr>
              <w:ind w:firstLine="480"/>
              <w:jc w:val="center"/>
              <w:rPr>
                <w:rFonts w:hint="eastAsia" w:ascii="宋体" w:hAnsi="宋体" w:eastAsia="宋体" w:cs="宋体"/>
                <w:color w:val="333333"/>
                <w:sz w:val="24"/>
                <w:szCs w:val="24"/>
                <w:lang w:val="zh-CN"/>
              </w:rPr>
            </w:pPr>
          </w:p>
        </w:tc>
        <w:tc>
          <w:tcPr>
            <w:tcW w:w="2670" w:type="dxa"/>
            <w:tcBorders>
              <w:top w:val="single" w:color="auto" w:sz="4" w:space="0"/>
              <w:left w:val="single" w:color="auto" w:sz="4" w:space="0"/>
              <w:bottom w:val="single" w:color="auto" w:sz="4" w:space="0"/>
              <w:right w:val="single" w:color="000000" w:sz="4" w:space="0"/>
            </w:tcBorders>
            <w:noWrap w:val="0"/>
            <w:vAlign w:val="center"/>
          </w:tcPr>
          <w:p w14:paraId="3B16184C">
            <w:pPr>
              <w:ind w:firstLine="480"/>
              <w:jc w:val="center"/>
              <w:rPr>
                <w:rFonts w:hint="eastAsia" w:ascii="宋体" w:hAnsi="宋体" w:eastAsia="宋体" w:cs="宋体"/>
                <w:color w:val="333333"/>
                <w:sz w:val="24"/>
                <w:szCs w:val="24"/>
                <w:lang w:val="zh-CN"/>
              </w:rPr>
            </w:pPr>
          </w:p>
        </w:tc>
        <w:tc>
          <w:tcPr>
            <w:tcW w:w="1866" w:type="dxa"/>
            <w:tcBorders>
              <w:top w:val="single" w:color="auto" w:sz="4" w:space="0"/>
              <w:left w:val="single" w:color="auto" w:sz="4" w:space="0"/>
              <w:bottom w:val="single" w:color="auto" w:sz="4" w:space="0"/>
              <w:right w:val="single" w:color="000000" w:sz="4" w:space="0"/>
            </w:tcBorders>
            <w:noWrap w:val="0"/>
            <w:vAlign w:val="center"/>
          </w:tcPr>
          <w:p w14:paraId="5BE17C92">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auto" w:sz="4" w:space="0"/>
              <w:right w:val="single" w:color="000000" w:sz="4" w:space="0"/>
            </w:tcBorders>
            <w:noWrap w:val="0"/>
            <w:vAlign w:val="center"/>
          </w:tcPr>
          <w:p w14:paraId="4083E358">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auto" w:sz="4" w:space="0"/>
              <w:right w:val="single" w:color="000000" w:sz="4" w:space="0"/>
            </w:tcBorders>
            <w:noWrap w:val="0"/>
            <w:vAlign w:val="center"/>
          </w:tcPr>
          <w:p w14:paraId="10860277">
            <w:pPr>
              <w:ind w:firstLine="480"/>
              <w:jc w:val="center"/>
              <w:rPr>
                <w:rFonts w:hint="eastAsia" w:ascii="宋体" w:hAnsi="宋体" w:eastAsia="宋体" w:cs="宋体"/>
                <w:color w:val="333333"/>
                <w:sz w:val="24"/>
                <w:szCs w:val="24"/>
                <w:lang w:val="zh-CN"/>
              </w:rPr>
            </w:pPr>
          </w:p>
        </w:tc>
      </w:tr>
      <w:tr w14:paraId="25D0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20" w:type="dxa"/>
            <w:tcBorders>
              <w:top w:val="single" w:color="auto" w:sz="4" w:space="0"/>
              <w:left w:val="single" w:color="000000" w:sz="4" w:space="0"/>
              <w:bottom w:val="single" w:color="auto" w:sz="4" w:space="0"/>
              <w:right w:val="single" w:color="000000" w:sz="4" w:space="0"/>
            </w:tcBorders>
            <w:noWrap w:val="0"/>
            <w:vAlign w:val="center"/>
          </w:tcPr>
          <w:p w14:paraId="72869BEF">
            <w:pPr>
              <w:ind w:firstLine="480"/>
              <w:jc w:val="center"/>
              <w:rPr>
                <w:rFonts w:hint="eastAsia" w:ascii="宋体" w:hAnsi="宋体" w:eastAsia="宋体" w:cs="宋体"/>
                <w:color w:val="333333"/>
                <w:sz w:val="24"/>
                <w:szCs w:val="24"/>
                <w:lang w:val="zh-CN"/>
              </w:rPr>
            </w:pPr>
          </w:p>
        </w:tc>
        <w:tc>
          <w:tcPr>
            <w:tcW w:w="2670" w:type="dxa"/>
            <w:tcBorders>
              <w:top w:val="single" w:color="auto" w:sz="4" w:space="0"/>
              <w:left w:val="single" w:color="auto" w:sz="4" w:space="0"/>
              <w:bottom w:val="single" w:color="auto" w:sz="4" w:space="0"/>
              <w:right w:val="single" w:color="000000" w:sz="4" w:space="0"/>
            </w:tcBorders>
            <w:noWrap w:val="0"/>
            <w:vAlign w:val="center"/>
          </w:tcPr>
          <w:p w14:paraId="4E90B7DE">
            <w:pPr>
              <w:ind w:firstLine="480"/>
              <w:jc w:val="center"/>
              <w:rPr>
                <w:rFonts w:hint="eastAsia" w:ascii="宋体" w:hAnsi="宋体" w:eastAsia="宋体" w:cs="宋体"/>
                <w:color w:val="333333"/>
                <w:sz w:val="24"/>
                <w:szCs w:val="24"/>
                <w:lang w:val="zh-CN"/>
              </w:rPr>
            </w:pPr>
          </w:p>
        </w:tc>
        <w:tc>
          <w:tcPr>
            <w:tcW w:w="1866" w:type="dxa"/>
            <w:tcBorders>
              <w:top w:val="single" w:color="auto" w:sz="4" w:space="0"/>
              <w:left w:val="single" w:color="auto" w:sz="4" w:space="0"/>
              <w:bottom w:val="single" w:color="auto" w:sz="4" w:space="0"/>
              <w:right w:val="single" w:color="000000" w:sz="4" w:space="0"/>
            </w:tcBorders>
            <w:noWrap w:val="0"/>
            <w:vAlign w:val="center"/>
          </w:tcPr>
          <w:p w14:paraId="43882B7C">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auto" w:sz="4" w:space="0"/>
              <w:right w:val="single" w:color="000000" w:sz="4" w:space="0"/>
            </w:tcBorders>
            <w:noWrap w:val="0"/>
            <w:vAlign w:val="center"/>
          </w:tcPr>
          <w:p w14:paraId="07C55113">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auto" w:sz="4" w:space="0"/>
              <w:right w:val="single" w:color="000000" w:sz="4" w:space="0"/>
            </w:tcBorders>
            <w:noWrap w:val="0"/>
            <w:vAlign w:val="center"/>
          </w:tcPr>
          <w:p w14:paraId="3C2E2FD5">
            <w:pPr>
              <w:ind w:firstLine="480"/>
              <w:jc w:val="center"/>
              <w:rPr>
                <w:rFonts w:hint="eastAsia" w:ascii="宋体" w:hAnsi="宋体" w:eastAsia="宋体" w:cs="宋体"/>
                <w:color w:val="333333"/>
                <w:sz w:val="24"/>
                <w:szCs w:val="24"/>
                <w:lang w:val="zh-CN"/>
              </w:rPr>
            </w:pPr>
          </w:p>
        </w:tc>
      </w:tr>
      <w:tr w14:paraId="326A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920" w:type="dxa"/>
            <w:tcBorders>
              <w:top w:val="single" w:color="auto" w:sz="4" w:space="0"/>
              <w:left w:val="single" w:color="000000" w:sz="4" w:space="0"/>
              <w:bottom w:val="single" w:color="000000" w:sz="4" w:space="0"/>
              <w:right w:val="single" w:color="000000" w:sz="4" w:space="0"/>
            </w:tcBorders>
            <w:noWrap w:val="0"/>
            <w:vAlign w:val="center"/>
          </w:tcPr>
          <w:p w14:paraId="3B95C360">
            <w:pPr>
              <w:ind w:firstLine="480"/>
              <w:jc w:val="center"/>
              <w:rPr>
                <w:rFonts w:hint="eastAsia" w:ascii="宋体" w:hAnsi="宋体" w:eastAsia="宋体" w:cs="宋体"/>
                <w:color w:val="333333"/>
                <w:sz w:val="24"/>
                <w:szCs w:val="24"/>
                <w:lang w:val="zh-CN"/>
              </w:rPr>
            </w:pPr>
          </w:p>
        </w:tc>
        <w:tc>
          <w:tcPr>
            <w:tcW w:w="2670" w:type="dxa"/>
            <w:tcBorders>
              <w:top w:val="single" w:color="auto" w:sz="4" w:space="0"/>
              <w:left w:val="single" w:color="auto" w:sz="4" w:space="0"/>
              <w:bottom w:val="single" w:color="000000" w:sz="4" w:space="0"/>
              <w:right w:val="single" w:color="000000" w:sz="4" w:space="0"/>
            </w:tcBorders>
            <w:noWrap w:val="0"/>
            <w:vAlign w:val="center"/>
          </w:tcPr>
          <w:p w14:paraId="19D0F026">
            <w:pPr>
              <w:ind w:firstLine="480"/>
              <w:jc w:val="center"/>
              <w:rPr>
                <w:rFonts w:hint="eastAsia" w:ascii="宋体" w:hAnsi="宋体" w:eastAsia="宋体" w:cs="宋体"/>
                <w:color w:val="333333"/>
                <w:sz w:val="24"/>
                <w:szCs w:val="24"/>
                <w:lang w:val="zh-CN"/>
              </w:rPr>
            </w:pPr>
          </w:p>
        </w:tc>
        <w:tc>
          <w:tcPr>
            <w:tcW w:w="1866" w:type="dxa"/>
            <w:tcBorders>
              <w:top w:val="single" w:color="auto" w:sz="4" w:space="0"/>
              <w:left w:val="single" w:color="auto" w:sz="4" w:space="0"/>
              <w:bottom w:val="single" w:color="000000" w:sz="4" w:space="0"/>
              <w:right w:val="single" w:color="000000" w:sz="4" w:space="0"/>
            </w:tcBorders>
            <w:noWrap w:val="0"/>
            <w:vAlign w:val="center"/>
          </w:tcPr>
          <w:p w14:paraId="3C0D2113">
            <w:pPr>
              <w:ind w:firstLine="480"/>
              <w:jc w:val="center"/>
              <w:rPr>
                <w:rFonts w:hint="eastAsia" w:ascii="宋体" w:hAnsi="宋体" w:eastAsia="宋体" w:cs="宋体"/>
                <w:color w:val="333333"/>
                <w:sz w:val="24"/>
                <w:szCs w:val="24"/>
                <w:lang w:val="zh-CN"/>
              </w:rPr>
            </w:pPr>
          </w:p>
        </w:tc>
        <w:tc>
          <w:tcPr>
            <w:tcW w:w="2502" w:type="dxa"/>
            <w:tcBorders>
              <w:top w:val="single" w:color="auto" w:sz="4" w:space="0"/>
              <w:left w:val="single" w:color="auto" w:sz="4" w:space="0"/>
              <w:bottom w:val="single" w:color="000000" w:sz="4" w:space="0"/>
              <w:right w:val="single" w:color="000000" w:sz="4" w:space="0"/>
            </w:tcBorders>
            <w:noWrap w:val="0"/>
            <w:vAlign w:val="center"/>
          </w:tcPr>
          <w:p w14:paraId="6936E4C6">
            <w:pPr>
              <w:ind w:firstLine="480"/>
              <w:jc w:val="center"/>
              <w:rPr>
                <w:rFonts w:hint="eastAsia" w:ascii="宋体" w:hAnsi="宋体" w:eastAsia="宋体" w:cs="宋体"/>
                <w:color w:val="333333"/>
                <w:sz w:val="24"/>
                <w:szCs w:val="24"/>
                <w:lang w:val="zh-CN"/>
              </w:rPr>
            </w:pPr>
          </w:p>
        </w:tc>
        <w:tc>
          <w:tcPr>
            <w:tcW w:w="1834" w:type="dxa"/>
            <w:tcBorders>
              <w:top w:val="single" w:color="auto" w:sz="4" w:space="0"/>
              <w:left w:val="single" w:color="auto" w:sz="4" w:space="0"/>
              <w:bottom w:val="single" w:color="000000" w:sz="4" w:space="0"/>
              <w:right w:val="single" w:color="000000" w:sz="4" w:space="0"/>
            </w:tcBorders>
            <w:noWrap w:val="0"/>
            <w:vAlign w:val="center"/>
          </w:tcPr>
          <w:p w14:paraId="031C378E">
            <w:pPr>
              <w:ind w:firstLine="480"/>
              <w:jc w:val="center"/>
              <w:rPr>
                <w:rFonts w:hint="eastAsia" w:ascii="宋体" w:hAnsi="宋体" w:eastAsia="宋体" w:cs="宋体"/>
                <w:color w:val="333333"/>
                <w:sz w:val="24"/>
                <w:szCs w:val="24"/>
                <w:lang w:val="zh-CN"/>
              </w:rPr>
            </w:pPr>
          </w:p>
        </w:tc>
      </w:tr>
    </w:tbl>
    <w:p w14:paraId="1F4C9B13">
      <w:pPr>
        <w:spacing w:line="480" w:lineRule="auto"/>
        <w:ind w:firstLine="480"/>
        <w:rPr>
          <w:rFonts w:hint="eastAsia" w:ascii="宋体" w:hAnsi="宋体" w:eastAsia="宋体" w:cs="宋体"/>
          <w:kern w:val="2"/>
          <w:sz w:val="24"/>
          <w:szCs w:val="24"/>
          <w:u w:val="none"/>
          <w:lang w:val="zh-CN" w:eastAsia="zh-CN" w:bidi="ar-SA"/>
        </w:rPr>
      </w:pPr>
      <w:r>
        <w:rPr>
          <w:rFonts w:hint="eastAsia" w:ascii="宋体" w:hAnsi="宋体" w:eastAsia="宋体" w:cs="宋体"/>
          <w:kern w:val="2"/>
          <w:sz w:val="24"/>
          <w:szCs w:val="24"/>
          <w:u w:val="none"/>
          <w:lang w:val="zh-CN" w:eastAsia="zh-CN" w:bidi="ar-SA"/>
        </w:rPr>
        <w:t>注：1.无偏离请注明“完全响应”，有偏离请详细填写。</w:t>
      </w:r>
    </w:p>
    <w:p w14:paraId="64A33DD5">
      <w:pPr>
        <w:spacing w:line="480" w:lineRule="auto"/>
        <w:ind w:firstLine="1024" w:firstLineChars="427"/>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zh-CN" w:eastAsia="zh-CN" w:bidi="ar-SA"/>
        </w:rPr>
        <w:t>2.本表与</w:t>
      </w:r>
      <w:r>
        <w:rPr>
          <w:rFonts w:hint="eastAsia" w:ascii="宋体" w:hAnsi="宋体" w:eastAsia="宋体" w:cs="宋体"/>
          <w:kern w:val="2"/>
          <w:sz w:val="24"/>
          <w:szCs w:val="24"/>
          <w:u w:val="none"/>
          <w:lang w:val="en-US" w:eastAsia="zh-CN" w:bidi="ar-SA"/>
        </w:rPr>
        <w:t>投标</w:t>
      </w:r>
      <w:r>
        <w:rPr>
          <w:rFonts w:hint="eastAsia" w:ascii="宋体" w:hAnsi="宋体" w:eastAsia="宋体" w:cs="宋体"/>
          <w:kern w:val="2"/>
          <w:sz w:val="24"/>
          <w:szCs w:val="24"/>
          <w:u w:val="none"/>
          <w:lang w:val="zh-CN" w:eastAsia="zh-CN" w:bidi="ar-SA"/>
        </w:rPr>
        <w:t>响应文件其他表述前后不一致的，如果是非实质性条款，</w:t>
      </w:r>
      <w:r>
        <w:rPr>
          <w:rFonts w:hint="eastAsia" w:ascii="宋体" w:hAnsi="宋体" w:eastAsia="宋体" w:cs="宋体"/>
          <w:kern w:val="2"/>
          <w:sz w:val="24"/>
          <w:szCs w:val="24"/>
          <w:u w:val="none"/>
          <w:lang w:val="en-US" w:eastAsia="zh-CN" w:bidi="ar-SA"/>
        </w:rPr>
        <w:t>投标</w:t>
      </w:r>
      <w:r>
        <w:rPr>
          <w:rFonts w:hint="eastAsia" w:ascii="宋体" w:hAnsi="宋体" w:eastAsia="宋体" w:cs="宋体"/>
          <w:kern w:val="2"/>
          <w:sz w:val="24"/>
          <w:szCs w:val="24"/>
          <w:u w:val="none"/>
          <w:lang w:val="zh-CN" w:eastAsia="zh-CN" w:bidi="ar-SA"/>
        </w:rPr>
        <w:t>响应方可以承诺修改；如果是实质性条款，则不得修改，按</w:t>
      </w:r>
      <w:r>
        <w:rPr>
          <w:rFonts w:hint="eastAsia" w:ascii="宋体" w:hAnsi="宋体" w:eastAsia="宋体" w:cs="宋体"/>
          <w:kern w:val="2"/>
          <w:sz w:val="24"/>
          <w:szCs w:val="24"/>
          <w:u w:val="none"/>
          <w:lang w:val="en-US" w:eastAsia="zh-CN" w:bidi="ar-SA"/>
        </w:rPr>
        <w:t>采购</w:t>
      </w:r>
      <w:r>
        <w:rPr>
          <w:rFonts w:hint="eastAsia" w:ascii="宋体" w:hAnsi="宋体" w:eastAsia="宋体" w:cs="宋体"/>
          <w:kern w:val="2"/>
          <w:sz w:val="24"/>
          <w:szCs w:val="24"/>
          <w:u w:val="none"/>
          <w:lang w:val="zh-CN" w:eastAsia="zh-CN" w:bidi="ar-SA"/>
        </w:rPr>
        <w:t>文件要求取消</w:t>
      </w:r>
      <w:r>
        <w:rPr>
          <w:rFonts w:hint="eastAsia" w:ascii="宋体" w:hAnsi="宋体" w:eastAsia="宋体" w:cs="宋体"/>
          <w:kern w:val="2"/>
          <w:sz w:val="24"/>
          <w:szCs w:val="24"/>
          <w:u w:val="none"/>
          <w:lang w:val="en-US" w:eastAsia="zh-CN" w:bidi="ar-SA"/>
        </w:rPr>
        <w:t>投标</w:t>
      </w:r>
      <w:r>
        <w:rPr>
          <w:rFonts w:hint="eastAsia" w:ascii="宋体" w:hAnsi="宋体" w:eastAsia="宋体" w:cs="宋体"/>
          <w:kern w:val="2"/>
          <w:sz w:val="24"/>
          <w:szCs w:val="24"/>
          <w:u w:val="none"/>
          <w:lang w:val="zh-CN" w:eastAsia="zh-CN" w:bidi="ar-SA"/>
        </w:rPr>
        <w:t>资格。</w:t>
      </w:r>
    </w:p>
    <w:p w14:paraId="20AD6D68">
      <w:pPr>
        <w:keepNext w:val="0"/>
        <w:keepLines w:val="0"/>
        <w:pageBreakBefore w:val="0"/>
        <w:widowControl w:val="0"/>
        <w:kinsoku/>
        <w:wordWrap/>
        <w:overflowPunct/>
        <w:topLinePunct w:val="0"/>
        <w:autoSpaceDE/>
        <w:autoSpaceDN/>
        <w:bidi w:val="0"/>
        <w:adjustRightInd/>
        <w:snapToGrid w:val="0"/>
        <w:spacing w:line="480" w:lineRule="auto"/>
        <w:jc w:val="left"/>
        <w:textAlignment w:val="auto"/>
        <w:rPr>
          <w:rFonts w:hint="eastAsia" w:ascii="新宋体" w:hAnsi="新宋体" w:eastAsia="新宋体"/>
          <w:sz w:val="24"/>
          <w:szCs w:val="24"/>
          <w:lang w:val="en-US" w:eastAsia="zh-CN"/>
        </w:rPr>
      </w:pPr>
    </w:p>
    <w:p w14:paraId="3AEA1BDE">
      <w:pPr>
        <w:pStyle w:val="16"/>
        <w:rPr>
          <w:rFonts w:hint="eastAsia" w:ascii="新宋体" w:hAnsi="新宋体" w:eastAsia="新宋体"/>
          <w:sz w:val="24"/>
          <w:szCs w:val="24"/>
          <w:lang w:val="en-US" w:eastAsia="zh-CN"/>
        </w:rPr>
      </w:pPr>
    </w:p>
    <w:p w14:paraId="3A996590">
      <w:pPr>
        <w:ind w:firstLine="4320" w:firstLineChars="1800"/>
        <w:rPr>
          <w:color w:val="auto"/>
        </w:rPr>
      </w:pPr>
      <w:r>
        <w:rPr>
          <w:rFonts w:hint="eastAsia"/>
          <w:color w:val="auto"/>
        </w:rPr>
        <w:t>投标人全称（盖章）：</w:t>
      </w:r>
      <w:r>
        <w:rPr>
          <w:color w:val="auto"/>
        </w:rPr>
        <w:t xml:space="preserve">                         </w:t>
      </w:r>
    </w:p>
    <w:p w14:paraId="4003E99B">
      <w:pPr>
        <w:ind w:firstLine="4320" w:firstLineChars="1800"/>
        <w:rPr>
          <w:color w:val="auto"/>
        </w:rPr>
      </w:pPr>
      <w:r>
        <w:rPr>
          <w:rFonts w:hint="eastAsia"/>
          <w:color w:val="auto"/>
        </w:rPr>
        <w:t>法定代表人或授权代理人（签字或盖章）：</w:t>
      </w:r>
    </w:p>
    <w:p w14:paraId="3BA78BD8">
      <w:pPr>
        <w:ind w:firstLine="4320" w:firstLineChars="1800"/>
        <w:rPr>
          <w:color w:val="auto"/>
        </w:rPr>
      </w:pPr>
      <w:r>
        <w:rPr>
          <w:rFonts w:hint="eastAsia"/>
          <w:color w:val="auto"/>
        </w:rPr>
        <w:t>日期：</w:t>
      </w:r>
      <w:r>
        <w:rPr>
          <w:rFonts w:hint="eastAsia"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3620FFB3">
      <w:pPr>
        <w:pStyle w:val="16"/>
        <w:ind w:left="0" w:leftChars="0" w:firstLine="0" w:firstLineChars="0"/>
        <w:rPr>
          <w:rFonts w:hint="eastAsia"/>
        </w:rPr>
      </w:pPr>
    </w:p>
    <w:p w14:paraId="767E37A4">
      <w:pPr>
        <w:ind w:firstLine="0" w:firstLineChars="0"/>
        <w:jc w:val="left"/>
        <w:outlineLvl w:val="1"/>
        <w:rPr>
          <w:rFonts w:hint="default" w:ascii="宋体" w:hAnsi="宋体" w:eastAsia="宋体" w:cs="宋体"/>
          <w:b/>
          <w:bCs/>
          <w:color w:val="auto"/>
          <w:lang w:val="en-US" w:eastAsia="zh-CN"/>
        </w:rPr>
      </w:pPr>
      <w:r>
        <w:rPr>
          <w:rFonts w:hint="eastAsia" w:ascii="宋体" w:hAnsi="宋体" w:eastAsia="宋体" w:cs="宋体"/>
          <w:b/>
          <w:bCs/>
          <w:color w:val="auto"/>
        </w:rPr>
        <w:t>附件</w:t>
      </w:r>
      <w:r>
        <w:rPr>
          <w:rFonts w:hint="eastAsia" w:ascii="宋体" w:hAnsi="宋体" w:cs="宋体"/>
          <w:b/>
          <w:bCs/>
          <w:color w:val="auto"/>
          <w:lang w:val="en-US" w:eastAsia="zh-CN"/>
        </w:rPr>
        <w:t>8</w:t>
      </w:r>
    </w:p>
    <w:p w14:paraId="4995B249">
      <w:pPr>
        <w:spacing w:line="360" w:lineRule="auto"/>
        <w:ind w:firstLine="0" w:firstLineChars="0"/>
        <w:jc w:val="center"/>
        <w:rPr>
          <w:rFonts w:hint="eastAsia" w:ascii="宋体" w:hAnsi="宋体" w:cs="宋体"/>
          <w:b/>
          <w:sz w:val="30"/>
          <w:szCs w:val="30"/>
        </w:rPr>
      </w:pPr>
      <w:r>
        <w:rPr>
          <w:rFonts w:hint="eastAsia" w:ascii="宋体" w:hAnsi="宋体" w:cs="宋体"/>
          <w:b/>
          <w:sz w:val="30"/>
          <w:szCs w:val="30"/>
        </w:rPr>
        <w:t>项目实施人员一览表</w:t>
      </w:r>
    </w:p>
    <w:p w14:paraId="44D5C782">
      <w:pPr>
        <w:autoSpaceDE w:val="0"/>
        <w:autoSpaceDN w:val="0"/>
        <w:adjustRightInd w:val="0"/>
        <w:snapToGrid w:val="0"/>
        <w:spacing w:after="156" w:afterLines="50"/>
        <w:ind w:firstLine="0" w:firstLineChars="0"/>
        <w:rPr>
          <w:rFonts w:hint="eastAsia" w:ascii="黑体" w:hAnsi="宋体" w:eastAsia="黑体" w:cs="黑体"/>
          <w:kern w:val="0"/>
          <w:sz w:val="32"/>
          <w:szCs w:val="36"/>
        </w:rPr>
      </w:pPr>
    </w:p>
    <w:p w14:paraId="5116C2A5">
      <w:p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14:paraId="12949BFE">
      <w:pPr>
        <w:snapToGrid w:val="0"/>
        <w:spacing w:line="50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项目编号：</w:t>
      </w:r>
    </w:p>
    <w:p w14:paraId="529C584F">
      <w:pPr>
        <w:snapToGrid w:val="0"/>
        <w:spacing w:line="500" w:lineRule="exact"/>
        <w:rPr>
          <w:rFonts w:hint="default" w:ascii="宋体" w:hAnsi="宋体" w:eastAsia="宋体" w:cs="宋体"/>
          <w:color w:val="000000"/>
          <w:sz w:val="24"/>
          <w:szCs w:val="24"/>
          <w:lang w:val="en-US"/>
        </w:rPr>
      </w:pPr>
    </w:p>
    <w:tbl>
      <w:tblPr>
        <w:tblStyle w:val="36"/>
        <w:tblW w:w="9281"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20"/>
        <w:gridCol w:w="3229"/>
        <w:gridCol w:w="1340"/>
        <w:gridCol w:w="994"/>
        <w:gridCol w:w="870"/>
      </w:tblGrid>
      <w:tr w14:paraId="1AE1043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828" w:type="dxa"/>
            <w:tcBorders>
              <w:tl2br w:val="nil"/>
              <w:tr2bl w:val="nil"/>
            </w:tcBorders>
            <w:vAlign w:val="center"/>
          </w:tcPr>
          <w:p w14:paraId="44845E31">
            <w:pPr>
              <w:keepNext w:val="0"/>
              <w:keepLines w:val="0"/>
              <w:suppressLineNumbers w:val="0"/>
              <w:spacing w:before="0" w:beforeAutospacing="0" w:after="0" w:afterAutospacing="0"/>
              <w:ind w:left="0" w:leftChars="0" w:right="0" w:firstLine="0" w:firstLineChars="0"/>
              <w:jc w:val="center"/>
              <w:rPr>
                <w:rFonts w:hint="default" w:ascii="宋体" w:cs="宋体"/>
                <w:color w:val="000000"/>
                <w:sz w:val="24"/>
                <w:szCs w:val="24"/>
              </w:rPr>
            </w:pPr>
            <w:r>
              <w:rPr>
                <w:rFonts w:hint="eastAsia" w:ascii="宋体" w:cs="宋体"/>
                <w:color w:val="000000"/>
                <w:sz w:val="24"/>
                <w:szCs w:val="24"/>
              </w:rPr>
              <w:t>序号</w:t>
            </w:r>
          </w:p>
        </w:tc>
        <w:tc>
          <w:tcPr>
            <w:tcW w:w="2020" w:type="dxa"/>
            <w:tcBorders>
              <w:tl2br w:val="nil"/>
              <w:tr2bl w:val="nil"/>
            </w:tcBorders>
            <w:vAlign w:val="center"/>
          </w:tcPr>
          <w:p w14:paraId="618E2B9A">
            <w:pPr>
              <w:keepNext w:val="0"/>
              <w:keepLines w:val="0"/>
              <w:suppressLineNumbers w:val="0"/>
              <w:spacing w:before="0" w:beforeAutospacing="0" w:after="0" w:afterAutospacing="0"/>
              <w:ind w:left="0" w:leftChars="0" w:right="0" w:firstLine="0" w:firstLineChars="0"/>
              <w:jc w:val="center"/>
              <w:rPr>
                <w:rFonts w:hint="default" w:ascii="宋体" w:cs="宋体"/>
                <w:color w:val="000000"/>
                <w:sz w:val="24"/>
                <w:szCs w:val="24"/>
              </w:rPr>
            </w:pPr>
            <w:r>
              <w:rPr>
                <w:rFonts w:hint="eastAsia" w:ascii="宋体" w:cs="宋体"/>
                <w:color w:val="000000"/>
                <w:sz w:val="24"/>
                <w:szCs w:val="24"/>
              </w:rPr>
              <w:t>姓名</w:t>
            </w:r>
          </w:p>
        </w:tc>
        <w:tc>
          <w:tcPr>
            <w:tcW w:w="3229" w:type="dxa"/>
            <w:tcBorders>
              <w:tl2br w:val="nil"/>
              <w:tr2bl w:val="nil"/>
            </w:tcBorders>
            <w:vAlign w:val="center"/>
          </w:tcPr>
          <w:p w14:paraId="2DCAB04C">
            <w:pPr>
              <w:keepNext w:val="0"/>
              <w:keepLines w:val="0"/>
              <w:suppressLineNumbers w:val="0"/>
              <w:spacing w:before="0" w:beforeAutospacing="0" w:after="0" w:afterAutospacing="0"/>
              <w:ind w:left="0" w:leftChars="0" w:right="0" w:firstLine="0" w:firstLineChars="0"/>
              <w:jc w:val="center"/>
              <w:rPr>
                <w:rFonts w:hint="default" w:ascii="宋体" w:cs="宋体"/>
                <w:color w:val="000000"/>
                <w:sz w:val="24"/>
                <w:szCs w:val="24"/>
              </w:rPr>
            </w:pPr>
            <w:r>
              <w:rPr>
                <w:rFonts w:hint="eastAsia" w:ascii="宋体" w:cs="宋体"/>
                <w:color w:val="000000"/>
                <w:sz w:val="24"/>
                <w:szCs w:val="24"/>
              </w:rPr>
              <w:t>身份证号码</w:t>
            </w:r>
          </w:p>
        </w:tc>
        <w:tc>
          <w:tcPr>
            <w:tcW w:w="1340" w:type="dxa"/>
            <w:tcBorders>
              <w:tl2br w:val="nil"/>
              <w:tr2bl w:val="nil"/>
            </w:tcBorders>
            <w:vAlign w:val="center"/>
          </w:tcPr>
          <w:p w14:paraId="7A7B217A">
            <w:pPr>
              <w:keepNext w:val="0"/>
              <w:keepLines w:val="0"/>
              <w:suppressLineNumbers w:val="0"/>
              <w:spacing w:before="0" w:beforeAutospacing="0" w:after="0" w:afterAutospacing="0"/>
              <w:ind w:left="0" w:leftChars="0" w:right="0" w:firstLine="0" w:firstLineChars="0"/>
              <w:jc w:val="center"/>
              <w:rPr>
                <w:rFonts w:hint="default" w:ascii="宋体" w:cs="宋体"/>
                <w:color w:val="000000"/>
                <w:sz w:val="24"/>
                <w:szCs w:val="24"/>
              </w:rPr>
            </w:pPr>
            <w:r>
              <w:rPr>
                <w:rFonts w:hint="eastAsia" w:ascii="宋体" w:cs="宋体"/>
                <w:color w:val="000000"/>
                <w:sz w:val="24"/>
                <w:szCs w:val="24"/>
              </w:rPr>
              <w:t>职务/职称</w:t>
            </w:r>
          </w:p>
        </w:tc>
        <w:tc>
          <w:tcPr>
            <w:tcW w:w="994" w:type="dxa"/>
            <w:tcBorders>
              <w:tl2br w:val="nil"/>
              <w:tr2bl w:val="nil"/>
            </w:tcBorders>
            <w:vAlign w:val="center"/>
          </w:tcPr>
          <w:p w14:paraId="405FB5C9">
            <w:pPr>
              <w:keepNext w:val="0"/>
              <w:keepLines w:val="0"/>
              <w:suppressLineNumbers w:val="0"/>
              <w:spacing w:before="0" w:beforeAutospacing="0" w:after="0" w:afterAutospacing="0"/>
              <w:ind w:left="0" w:leftChars="0" w:right="0" w:firstLine="0" w:firstLineChars="0"/>
              <w:jc w:val="center"/>
              <w:rPr>
                <w:rFonts w:hint="default" w:ascii="宋体" w:cs="宋体"/>
                <w:color w:val="000000"/>
                <w:sz w:val="24"/>
                <w:szCs w:val="24"/>
              </w:rPr>
            </w:pPr>
            <w:r>
              <w:rPr>
                <w:rFonts w:hint="eastAsia" w:ascii="宋体" w:cs="宋体"/>
                <w:color w:val="000000"/>
                <w:sz w:val="24"/>
                <w:szCs w:val="24"/>
              </w:rPr>
              <w:t>性别</w:t>
            </w:r>
          </w:p>
        </w:tc>
        <w:tc>
          <w:tcPr>
            <w:tcW w:w="870" w:type="dxa"/>
            <w:tcBorders>
              <w:tl2br w:val="nil"/>
              <w:tr2bl w:val="nil"/>
            </w:tcBorders>
            <w:vAlign w:val="center"/>
          </w:tcPr>
          <w:p w14:paraId="42B3D249">
            <w:pPr>
              <w:keepNext w:val="0"/>
              <w:keepLines w:val="0"/>
              <w:suppressLineNumbers w:val="0"/>
              <w:spacing w:before="0" w:beforeAutospacing="0" w:after="0" w:afterAutospacing="0"/>
              <w:ind w:left="0" w:leftChars="0" w:right="0" w:firstLine="0" w:firstLineChars="0"/>
              <w:jc w:val="center"/>
              <w:rPr>
                <w:rFonts w:hint="default" w:ascii="宋体" w:cs="宋体"/>
                <w:color w:val="000000"/>
                <w:sz w:val="24"/>
                <w:szCs w:val="24"/>
              </w:rPr>
            </w:pPr>
            <w:r>
              <w:rPr>
                <w:rFonts w:hint="eastAsia" w:ascii="宋体" w:cs="宋体"/>
                <w:color w:val="000000"/>
                <w:sz w:val="24"/>
                <w:szCs w:val="24"/>
              </w:rPr>
              <w:t>年龄</w:t>
            </w:r>
          </w:p>
        </w:tc>
      </w:tr>
      <w:tr w14:paraId="50C0360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28" w:type="dxa"/>
            <w:tcBorders>
              <w:tl2br w:val="nil"/>
              <w:tr2bl w:val="nil"/>
            </w:tcBorders>
            <w:vAlign w:val="center"/>
          </w:tcPr>
          <w:p w14:paraId="4A6A513C">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2020" w:type="dxa"/>
            <w:tcBorders>
              <w:tl2br w:val="nil"/>
              <w:tr2bl w:val="nil"/>
            </w:tcBorders>
            <w:vAlign w:val="center"/>
          </w:tcPr>
          <w:p w14:paraId="76942B25">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29" w:type="dxa"/>
            <w:tcBorders>
              <w:tl2br w:val="nil"/>
              <w:tr2bl w:val="nil"/>
            </w:tcBorders>
            <w:vAlign w:val="center"/>
          </w:tcPr>
          <w:p w14:paraId="434FED94">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40" w:type="dxa"/>
            <w:tcBorders>
              <w:tl2br w:val="nil"/>
              <w:tr2bl w:val="nil"/>
            </w:tcBorders>
            <w:vAlign w:val="center"/>
          </w:tcPr>
          <w:p w14:paraId="05A6DAF4">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94" w:type="dxa"/>
            <w:tcBorders>
              <w:tl2br w:val="nil"/>
              <w:tr2bl w:val="nil"/>
            </w:tcBorders>
            <w:vAlign w:val="center"/>
          </w:tcPr>
          <w:p w14:paraId="5358965B">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70" w:type="dxa"/>
            <w:tcBorders>
              <w:tl2br w:val="nil"/>
              <w:tr2bl w:val="nil"/>
            </w:tcBorders>
            <w:vAlign w:val="center"/>
          </w:tcPr>
          <w:p w14:paraId="03036BB0">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4DA07A6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28" w:type="dxa"/>
            <w:tcBorders>
              <w:tl2br w:val="nil"/>
              <w:tr2bl w:val="nil"/>
            </w:tcBorders>
            <w:vAlign w:val="center"/>
          </w:tcPr>
          <w:p w14:paraId="21AD6015">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2020" w:type="dxa"/>
            <w:tcBorders>
              <w:tl2br w:val="nil"/>
              <w:tr2bl w:val="nil"/>
            </w:tcBorders>
            <w:vAlign w:val="center"/>
          </w:tcPr>
          <w:p w14:paraId="5F734CEE">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29" w:type="dxa"/>
            <w:tcBorders>
              <w:tl2br w:val="nil"/>
              <w:tr2bl w:val="nil"/>
            </w:tcBorders>
            <w:vAlign w:val="center"/>
          </w:tcPr>
          <w:p w14:paraId="4C6E7F94">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40" w:type="dxa"/>
            <w:tcBorders>
              <w:tl2br w:val="nil"/>
              <w:tr2bl w:val="nil"/>
            </w:tcBorders>
            <w:vAlign w:val="center"/>
          </w:tcPr>
          <w:p w14:paraId="6D69F412">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94" w:type="dxa"/>
            <w:tcBorders>
              <w:tl2br w:val="nil"/>
              <w:tr2bl w:val="nil"/>
            </w:tcBorders>
            <w:vAlign w:val="center"/>
          </w:tcPr>
          <w:p w14:paraId="1CDAD9DE">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70" w:type="dxa"/>
            <w:tcBorders>
              <w:tl2br w:val="nil"/>
              <w:tr2bl w:val="nil"/>
            </w:tcBorders>
            <w:vAlign w:val="center"/>
          </w:tcPr>
          <w:p w14:paraId="5A0847CE">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1948243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28" w:type="dxa"/>
            <w:tcBorders>
              <w:tl2br w:val="nil"/>
              <w:tr2bl w:val="nil"/>
            </w:tcBorders>
            <w:vAlign w:val="center"/>
          </w:tcPr>
          <w:p w14:paraId="2EE0182A">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2020" w:type="dxa"/>
            <w:tcBorders>
              <w:tl2br w:val="nil"/>
              <w:tr2bl w:val="nil"/>
            </w:tcBorders>
            <w:vAlign w:val="center"/>
          </w:tcPr>
          <w:p w14:paraId="7D133125">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29" w:type="dxa"/>
            <w:tcBorders>
              <w:tl2br w:val="nil"/>
              <w:tr2bl w:val="nil"/>
            </w:tcBorders>
            <w:vAlign w:val="center"/>
          </w:tcPr>
          <w:p w14:paraId="350D2DA6">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40" w:type="dxa"/>
            <w:tcBorders>
              <w:tl2br w:val="nil"/>
              <w:tr2bl w:val="nil"/>
            </w:tcBorders>
            <w:vAlign w:val="center"/>
          </w:tcPr>
          <w:p w14:paraId="591A8E66">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94" w:type="dxa"/>
            <w:tcBorders>
              <w:tl2br w:val="nil"/>
              <w:tr2bl w:val="nil"/>
            </w:tcBorders>
            <w:vAlign w:val="center"/>
          </w:tcPr>
          <w:p w14:paraId="571BF55B">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70" w:type="dxa"/>
            <w:tcBorders>
              <w:tl2br w:val="nil"/>
              <w:tr2bl w:val="nil"/>
            </w:tcBorders>
            <w:vAlign w:val="center"/>
          </w:tcPr>
          <w:p w14:paraId="089B3684">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2E72500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28" w:type="dxa"/>
            <w:tcBorders>
              <w:tl2br w:val="nil"/>
              <w:tr2bl w:val="nil"/>
            </w:tcBorders>
            <w:vAlign w:val="center"/>
          </w:tcPr>
          <w:p w14:paraId="5A6E1601">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2020" w:type="dxa"/>
            <w:tcBorders>
              <w:tl2br w:val="nil"/>
              <w:tr2bl w:val="nil"/>
            </w:tcBorders>
            <w:vAlign w:val="center"/>
          </w:tcPr>
          <w:p w14:paraId="544775F2">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29" w:type="dxa"/>
            <w:tcBorders>
              <w:tl2br w:val="nil"/>
              <w:tr2bl w:val="nil"/>
            </w:tcBorders>
            <w:vAlign w:val="center"/>
          </w:tcPr>
          <w:p w14:paraId="70BD9A80">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40" w:type="dxa"/>
            <w:tcBorders>
              <w:tl2br w:val="nil"/>
              <w:tr2bl w:val="nil"/>
            </w:tcBorders>
            <w:vAlign w:val="center"/>
          </w:tcPr>
          <w:p w14:paraId="70411FDC">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94" w:type="dxa"/>
            <w:tcBorders>
              <w:tl2br w:val="nil"/>
              <w:tr2bl w:val="nil"/>
            </w:tcBorders>
            <w:vAlign w:val="center"/>
          </w:tcPr>
          <w:p w14:paraId="762B723C">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70" w:type="dxa"/>
            <w:tcBorders>
              <w:tl2br w:val="nil"/>
              <w:tr2bl w:val="nil"/>
            </w:tcBorders>
            <w:vAlign w:val="center"/>
          </w:tcPr>
          <w:p w14:paraId="39CE76B7">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562DE72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28" w:type="dxa"/>
            <w:tcBorders>
              <w:tl2br w:val="nil"/>
              <w:tr2bl w:val="nil"/>
            </w:tcBorders>
            <w:vAlign w:val="center"/>
          </w:tcPr>
          <w:p w14:paraId="43B6E720">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2020" w:type="dxa"/>
            <w:tcBorders>
              <w:tl2br w:val="nil"/>
              <w:tr2bl w:val="nil"/>
            </w:tcBorders>
            <w:vAlign w:val="center"/>
          </w:tcPr>
          <w:p w14:paraId="1BA09BCB">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29" w:type="dxa"/>
            <w:tcBorders>
              <w:tl2br w:val="nil"/>
              <w:tr2bl w:val="nil"/>
            </w:tcBorders>
            <w:vAlign w:val="center"/>
          </w:tcPr>
          <w:p w14:paraId="6DE047DA">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40" w:type="dxa"/>
            <w:tcBorders>
              <w:tl2br w:val="nil"/>
              <w:tr2bl w:val="nil"/>
            </w:tcBorders>
            <w:vAlign w:val="center"/>
          </w:tcPr>
          <w:p w14:paraId="170F2542">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94" w:type="dxa"/>
            <w:tcBorders>
              <w:tl2br w:val="nil"/>
              <w:tr2bl w:val="nil"/>
            </w:tcBorders>
            <w:vAlign w:val="center"/>
          </w:tcPr>
          <w:p w14:paraId="45D005EF">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70" w:type="dxa"/>
            <w:tcBorders>
              <w:tl2br w:val="nil"/>
              <w:tr2bl w:val="nil"/>
            </w:tcBorders>
            <w:vAlign w:val="center"/>
          </w:tcPr>
          <w:p w14:paraId="2E4D41F3">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5174B3D2">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28" w:type="dxa"/>
            <w:tcBorders>
              <w:tl2br w:val="nil"/>
              <w:tr2bl w:val="nil"/>
            </w:tcBorders>
            <w:vAlign w:val="center"/>
          </w:tcPr>
          <w:p w14:paraId="3FAAC1B7">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2020" w:type="dxa"/>
            <w:tcBorders>
              <w:tl2br w:val="nil"/>
              <w:tr2bl w:val="nil"/>
            </w:tcBorders>
            <w:vAlign w:val="center"/>
          </w:tcPr>
          <w:p w14:paraId="02BB606B">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29" w:type="dxa"/>
            <w:tcBorders>
              <w:tl2br w:val="nil"/>
              <w:tr2bl w:val="nil"/>
            </w:tcBorders>
            <w:vAlign w:val="center"/>
          </w:tcPr>
          <w:p w14:paraId="56684070">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40" w:type="dxa"/>
            <w:tcBorders>
              <w:tl2br w:val="nil"/>
              <w:tr2bl w:val="nil"/>
            </w:tcBorders>
            <w:vAlign w:val="center"/>
          </w:tcPr>
          <w:p w14:paraId="0C255B09">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94" w:type="dxa"/>
            <w:tcBorders>
              <w:tl2br w:val="nil"/>
              <w:tr2bl w:val="nil"/>
            </w:tcBorders>
            <w:vAlign w:val="center"/>
          </w:tcPr>
          <w:p w14:paraId="3F86DBBA">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70" w:type="dxa"/>
            <w:tcBorders>
              <w:tl2br w:val="nil"/>
              <w:tr2bl w:val="nil"/>
            </w:tcBorders>
            <w:vAlign w:val="center"/>
          </w:tcPr>
          <w:p w14:paraId="5BB0C412">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3E829E82">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28" w:type="dxa"/>
            <w:tcBorders>
              <w:tl2br w:val="nil"/>
              <w:tr2bl w:val="nil"/>
            </w:tcBorders>
            <w:vAlign w:val="center"/>
          </w:tcPr>
          <w:p w14:paraId="2F3A6842">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2020" w:type="dxa"/>
            <w:tcBorders>
              <w:tl2br w:val="nil"/>
              <w:tr2bl w:val="nil"/>
            </w:tcBorders>
            <w:vAlign w:val="center"/>
          </w:tcPr>
          <w:p w14:paraId="71BD10AB">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29" w:type="dxa"/>
            <w:tcBorders>
              <w:tl2br w:val="nil"/>
              <w:tr2bl w:val="nil"/>
            </w:tcBorders>
            <w:vAlign w:val="center"/>
          </w:tcPr>
          <w:p w14:paraId="59EF024A">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40" w:type="dxa"/>
            <w:tcBorders>
              <w:tl2br w:val="nil"/>
              <w:tr2bl w:val="nil"/>
            </w:tcBorders>
            <w:vAlign w:val="center"/>
          </w:tcPr>
          <w:p w14:paraId="3B90B31D">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94" w:type="dxa"/>
            <w:tcBorders>
              <w:tl2br w:val="nil"/>
              <w:tr2bl w:val="nil"/>
            </w:tcBorders>
            <w:vAlign w:val="center"/>
          </w:tcPr>
          <w:p w14:paraId="6C28DFB1">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70" w:type="dxa"/>
            <w:tcBorders>
              <w:tl2br w:val="nil"/>
              <w:tr2bl w:val="nil"/>
            </w:tcBorders>
            <w:vAlign w:val="center"/>
          </w:tcPr>
          <w:p w14:paraId="03F2D894">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bl>
    <w:p w14:paraId="16F50470">
      <w:pPr>
        <w:keepNext w:val="0"/>
        <w:keepLines w:val="0"/>
        <w:pageBreakBefore w:val="0"/>
        <w:widowControl w:val="0"/>
        <w:numPr>
          <w:ilvl w:val="0"/>
          <w:numId w:val="0"/>
        </w:numPr>
        <w:tabs>
          <w:tab w:val="left" w:pos="0"/>
        </w:tabs>
        <w:kinsoku/>
        <w:bidi w:val="0"/>
        <w:snapToGrid w:val="0"/>
        <w:ind w:leftChars="0"/>
        <w:rPr>
          <w:rFonts w:hint="eastAsia" w:cs="宋体"/>
          <w:sz w:val="24"/>
          <w:szCs w:val="24"/>
        </w:rPr>
      </w:pPr>
    </w:p>
    <w:p w14:paraId="5BF4DA3E">
      <w:pPr>
        <w:ind w:firstLine="482"/>
        <w:rPr>
          <w:rFonts w:hint="eastAsia" w:ascii="宋体" w:hAnsi="宋体" w:cs="宋体"/>
          <w:b/>
          <w:bCs/>
          <w:color w:val="FF0000"/>
          <w:sz w:val="21"/>
          <w:szCs w:val="21"/>
        </w:rPr>
      </w:pPr>
    </w:p>
    <w:p w14:paraId="02EB0FE5">
      <w:pPr>
        <w:pStyle w:val="12"/>
        <w:ind w:firstLine="480"/>
      </w:pPr>
    </w:p>
    <w:p w14:paraId="13B70BAF">
      <w:pPr>
        <w:ind w:firstLine="480"/>
      </w:pPr>
    </w:p>
    <w:p w14:paraId="08B2CC62">
      <w:pPr>
        <w:pStyle w:val="16"/>
        <w:ind w:firstLine="420"/>
      </w:pPr>
    </w:p>
    <w:p w14:paraId="0C8ED1B4">
      <w:pPr>
        <w:ind w:firstLine="4320" w:firstLineChars="1800"/>
        <w:rPr>
          <w:color w:val="auto"/>
        </w:rPr>
      </w:pPr>
      <w:r>
        <w:rPr>
          <w:rFonts w:hint="eastAsia"/>
          <w:color w:val="auto"/>
        </w:rPr>
        <w:t>投标人全称（盖章）：</w:t>
      </w:r>
      <w:r>
        <w:rPr>
          <w:color w:val="auto"/>
        </w:rPr>
        <w:t xml:space="preserve">                         </w:t>
      </w:r>
    </w:p>
    <w:p w14:paraId="0D1567DE">
      <w:pPr>
        <w:ind w:firstLine="4320" w:firstLineChars="1800"/>
        <w:rPr>
          <w:color w:val="auto"/>
        </w:rPr>
      </w:pPr>
      <w:r>
        <w:rPr>
          <w:rFonts w:hint="eastAsia"/>
          <w:color w:val="auto"/>
        </w:rPr>
        <w:t>法定代表人或授权代理人（签字或盖章）：</w:t>
      </w:r>
    </w:p>
    <w:p w14:paraId="721FF29A">
      <w:pPr>
        <w:ind w:firstLine="4320" w:firstLineChars="1800"/>
        <w:rPr>
          <w:color w:val="auto"/>
        </w:rPr>
      </w:pPr>
      <w:r>
        <w:rPr>
          <w:rFonts w:hint="eastAsia"/>
          <w:color w:val="auto"/>
        </w:rPr>
        <w:t>日期：</w:t>
      </w:r>
      <w:r>
        <w:rPr>
          <w:rFonts w:hint="eastAsia"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27689AFE">
      <w:pPr>
        <w:ind w:firstLine="0" w:firstLineChars="0"/>
        <w:jc w:val="both"/>
        <w:outlineLvl w:val="9"/>
        <w:rPr>
          <w:rFonts w:hint="eastAsia"/>
          <w:b/>
          <w:bCs/>
          <w:color w:val="auto"/>
          <w:sz w:val="30"/>
          <w:szCs w:val="30"/>
        </w:rPr>
      </w:pPr>
    </w:p>
    <w:p w14:paraId="71F6A72E">
      <w:pPr>
        <w:ind w:firstLine="0" w:firstLineChars="0"/>
        <w:jc w:val="center"/>
        <w:outlineLvl w:val="0"/>
        <w:rPr>
          <w:rFonts w:hint="eastAsia"/>
          <w:b/>
          <w:bCs/>
          <w:color w:val="auto"/>
          <w:sz w:val="30"/>
          <w:szCs w:val="30"/>
        </w:rPr>
      </w:pPr>
      <w:bookmarkStart w:id="1372" w:name="_Toc27202"/>
      <w:bookmarkStart w:id="1373" w:name="_Toc14352"/>
      <w:bookmarkStart w:id="1374" w:name="_Toc16019"/>
      <w:bookmarkStart w:id="1375" w:name="_Toc11447"/>
    </w:p>
    <w:p w14:paraId="3052A975">
      <w:pPr>
        <w:tabs>
          <w:tab w:val="left" w:pos="1575"/>
        </w:tabs>
        <w:snapToGrid w:val="0"/>
        <w:ind w:firstLine="0" w:firstLineChars="0"/>
        <w:jc w:val="both"/>
        <w:rPr>
          <w:rFonts w:hint="eastAsia" w:ascii="新宋体" w:hAnsi="新宋体" w:eastAsia="新宋体" w:cs="Times New Roman"/>
          <w:sz w:val="24"/>
          <w:szCs w:val="24"/>
        </w:rPr>
      </w:pPr>
    </w:p>
    <w:p w14:paraId="2361B025">
      <w:pPr>
        <w:ind w:firstLine="0" w:firstLineChars="0"/>
        <w:jc w:val="left"/>
        <w:outlineLvl w:val="1"/>
        <w:rPr>
          <w:rFonts w:hint="eastAsia" w:ascii="宋体" w:hAnsi="宋体" w:eastAsia="宋体" w:cs="宋体"/>
          <w:b/>
          <w:bCs/>
          <w:color w:val="auto"/>
          <w:lang w:val="en-US" w:eastAsia="zh-CN"/>
        </w:rPr>
      </w:pPr>
      <w:r>
        <w:rPr>
          <w:rFonts w:hint="eastAsia" w:ascii="宋体" w:hAnsi="宋体" w:eastAsia="宋体" w:cs="宋体"/>
          <w:b/>
          <w:bCs/>
          <w:color w:val="auto"/>
        </w:rPr>
        <w:t>附件</w:t>
      </w:r>
      <w:r>
        <w:rPr>
          <w:rFonts w:hint="eastAsia" w:ascii="宋体" w:hAnsi="宋体" w:eastAsia="宋体" w:cs="宋体"/>
          <w:b/>
          <w:bCs/>
          <w:color w:val="auto"/>
          <w:lang w:val="en-US" w:eastAsia="zh-CN"/>
        </w:rPr>
        <w:t>9</w:t>
      </w:r>
    </w:p>
    <w:p w14:paraId="0CBFCAD8">
      <w:pPr>
        <w:pStyle w:val="155"/>
        <w:spacing w:line="500" w:lineRule="exact"/>
        <w:ind w:firstLine="0" w:firstLineChars="0"/>
        <w:jc w:val="center"/>
        <w:rPr>
          <w:rFonts w:hint="eastAsia" w:ascii="宋体" w:hAnsi="宋体" w:eastAsia="宋体" w:cs="宋体"/>
          <w:b/>
          <w:bCs/>
          <w:color w:val="auto"/>
          <w:kern w:val="0"/>
          <w:sz w:val="30"/>
          <w:szCs w:val="30"/>
          <w:highlight w:val="none"/>
          <w:lang w:val="en-US" w:eastAsia="zh-CN" w:bidi="ar-SA"/>
        </w:rPr>
      </w:pPr>
      <w:r>
        <w:rPr>
          <w:rFonts w:hint="eastAsia" w:ascii="宋体" w:hAnsi="宋体" w:eastAsia="宋体" w:cs="宋体"/>
          <w:b/>
          <w:bCs/>
          <w:color w:val="auto"/>
          <w:kern w:val="0"/>
          <w:sz w:val="30"/>
          <w:szCs w:val="30"/>
          <w:highlight w:val="none"/>
          <w:lang w:val="en-US" w:eastAsia="zh-CN" w:bidi="ar-SA"/>
        </w:rPr>
        <w:t>技术支持及服务承诺书</w:t>
      </w:r>
    </w:p>
    <w:p w14:paraId="00E5BCBF">
      <w:pPr>
        <w:widowControl/>
        <w:ind w:firstLine="480"/>
        <w:jc w:val="center"/>
        <w:textAlignment w:val="baseline"/>
        <w:rPr>
          <w:rFonts w:hint="eastAsia" w:ascii="宋体" w:hAnsi="宋体" w:cs="宋体"/>
          <w:color w:val="000000"/>
          <w:kern w:val="0"/>
        </w:rPr>
      </w:pPr>
    </w:p>
    <w:tbl>
      <w:tblPr>
        <w:tblStyle w:val="36"/>
        <w:tblW w:w="9597" w:type="dxa"/>
        <w:jc w:val="center"/>
        <w:tblLayout w:type="fixed"/>
        <w:tblCellMar>
          <w:top w:w="0" w:type="dxa"/>
          <w:left w:w="0" w:type="dxa"/>
          <w:bottom w:w="0" w:type="dxa"/>
          <w:right w:w="0" w:type="dxa"/>
        </w:tblCellMar>
      </w:tblPr>
      <w:tblGrid>
        <w:gridCol w:w="1085"/>
        <w:gridCol w:w="5088"/>
        <w:gridCol w:w="1628"/>
        <w:gridCol w:w="1796"/>
      </w:tblGrid>
      <w:tr w14:paraId="7CC10186">
        <w:tblPrEx>
          <w:tblCellMar>
            <w:top w:w="0" w:type="dxa"/>
            <w:left w:w="0" w:type="dxa"/>
            <w:bottom w:w="0" w:type="dxa"/>
            <w:right w:w="0" w:type="dxa"/>
          </w:tblCellMar>
        </w:tblPrEx>
        <w:trPr>
          <w:cantSplit/>
          <w:trHeight w:val="829" w:hRule="atLeast"/>
          <w:jc w:val="center"/>
        </w:trPr>
        <w:tc>
          <w:tcPr>
            <w:tcW w:w="1085" w:type="dxa"/>
            <w:tcBorders>
              <w:top w:val="single" w:color="auto" w:sz="8" w:space="0"/>
              <w:left w:val="single" w:color="auto" w:sz="8" w:space="0"/>
              <w:bottom w:val="single" w:color="auto" w:sz="8" w:space="0"/>
              <w:right w:val="single" w:color="auto" w:sz="8" w:space="0"/>
            </w:tcBorders>
            <w:noWrap w:val="0"/>
            <w:vAlign w:val="center"/>
          </w:tcPr>
          <w:p w14:paraId="2FCDD571">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5088" w:type="dxa"/>
            <w:tcBorders>
              <w:top w:val="single" w:color="auto" w:sz="8" w:space="0"/>
              <w:left w:val="nil"/>
              <w:bottom w:val="single" w:color="auto" w:sz="8" w:space="0"/>
              <w:right w:val="single" w:color="auto" w:sz="4" w:space="0"/>
            </w:tcBorders>
            <w:noWrap w:val="0"/>
            <w:vAlign w:val="center"/>
          </w:tcPr>
          <w:p w14:paraId="4DAACCBE">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质量保障措施及服务内容</w:t>
            </w:r>
          </w:p>
        </w:tc>
        <w:tc>
          <w:tcPr>
            <w:tcW w:w="1628" w:type="dxa"/>
            <w:tcBorders>
              <w:top w:val="single" w:color="auto" w:sz="8" w:space="0"/>
              <w:left w:val="single" w:color="auto" w:sz="4" w:space="0"/>
              <w:bottom w:val="single" w:color="auto" w:sz="8" w:space="0"/>
              <w:right w:val="single" w:color="auto" w:sz="8" w:space="0"/>
            </w:tcBorders>
            <w:noWrap w:val="0"/>
            <w:vAlign w:val="center"/>
          </w:tcPr>
          <w:p w14:paraId="45EA0193">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承  诺</w:t>
            </w:r>
          </w:p>
        </w:tc>
        <w:tc>
          <w:tcPr>
            <w:tcW w:w="179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6A98FAB6">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14:paraId="2F9CAB74">
        <w:tblPrEx>
          <w:tblCellMar>
            <w:top w:w="0" w:type="dxa"/>
            <w:left w:w="0" w:type="dxa"/>
            <w:bottom w:w="0" w:type="dxa"/>
            <w:right w:w="0" w:type="dxa"/>
          </w:tblCellMar>
        </w:tblPrEx>
        <w:trPr>
          <w:cantSplit/>
          <w:trHeight w:val="829" w:hRule="atLeast"/>
          <w:jc w:val="center"/>
        </w:trPr>
        <w:tc>
          <w:tcPr>
            <w:tcW w:w="1085" w:type="dxa"/>
            <w:tcBorders>
              <w:top w:val="single" w:color="auto" w:sz="8" w:space="0"/>
              <w:left w:val="single" w:color="auto" w:sz="8" w:space="0"/>
              <w:bottom w:val="single" w:color="auto" w:sz="8" w:space="0"/>
              <w:right w:val="single" w:color="auto" w:sz="8" w:space="0"/>
            </w:tcBorders>
            <w:noWrap w:val="0"/>
            <w:vAlign w:val="center"/>
          </w:tcPr>
          <w:p w14:paraId="7FF1B933">
            <w:pPr>
              <w:widowControl/>
              <w:ind w:firstLine="0" w:firstLine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5088" w:type="dxa"/>
            <w:tcBorders>
              <w:top w:val="single" w:color="auto" w:sz="8" w:space="0"/>
              <w:left w:val="nil"/>
              <w:bottom w:val="single" w:color="auto" w:sz="8" w:space="0"/>
              <w:right w:val="single" w:color="auto" w:sz="4" w:space="0"/>
            </w:tcBorders>
            <w:noWrap w:val="0"/>
            <w:vAlign w:val="center"/>
          </w:tcPr>
          <w:p w14:paraId="4E2D8BEB">
            <w:pPr>
              <w:widowControl/>
              <w:ind w:firstLine="0" w:firstLine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保修时间及保修范围</w:t>
            </w:r>
          </w:p>
        </w:tc>
        <w:tc>
          <w:tcPr>
            <w:tcW w:w="1628" w:type="dxa"/>
            <w:tcBorders>
              <w:top w:val="single" w:color="auto" w:sz="8" w:space="0"/>
              <w:left w:val="single" w:color="auto" w:sz="4" w:space="0"/>
              <w:bottom w:val="single" w:color="auto" w:sz="8" w:space="0"/>
              <w:right w:val="single" w:color="auto" w:sz="8" w:space="0"/>
            </w:tcBorders>
            <w:noWrap w:val="0"/>
            <w:vAlign w:val="center"/>
          </w:tcPr>
          <w:p w14:paraId="474C07E3">
            <w:pPr>
              <w:widowControl/>
              <w:ind w:firstLine="0" w:firstLineChars="0"/>
              <w:jc w:val="center"/>
              <w:rPr>
                <w:rFonts w:hint="eastAsia" w:ascii="宋体" w:hAnsi="宋体" w:eastAsia="宋体" w:cs="宋体"/>
                <w:color w:val="000000"/>
                <w:sz w:val="24"/>
                <w:szCs w:val="24"/>
              </w:rPr>
            </w:pPr>
          </w:p>
        </w:tc>
        <w:tc>
          <w:tcPr>
            <w:tcW w:w="179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271EB021">
            <w:pPr>
              <w:widowControl/>
              <w:ind w:firstLine="0" w:firstLineChars="0"/>
              <w:jc w:val="center"/>
              <w:rPr>
                <w:rFonts w:hint="eastAsia" w:ascii="宋体" w:hAnsi="宋体" w:eastAsia="宋体" w:cs="宋体"/>
                <w:color w:val="000000"/>
                <w:sz w:val="24"/>
                <w:szCs w:val="24"/>
              </w:rPr>
            </w:pPr>
          </w:p>
        </w:tc>
      </w:tr>
      <w:tr w14:paraId="6A976E8A">
        <w:tblPrEx>
          <w:tblCellMar>
            <w:top w:w="0" w:type="dxa"/>
            <w:left w:w="0" w:type="dxa"/>
            <w:bottom w:w="0" w:type="dxa"/>
            <w:right w:w="0" w:type="dxa"/>
          </w:tblCellMar>
        </w:tblPrEx>
        <w:trPr>
          <w:cantSplit/>
          <w:trHeight w:val="643" w:hRule="atLeast"/>
          <w:jc w:val="center"/>
        </w:trPr>
        <w:tc>
          <w:tcPr>
            <w:tcW w:w="1085" w:type="dxa"/>
            <w:tcBorders>
              <w:top w:val="nil"/>
              <w:left w:val="single" w:color="auto" w:sz="8" w:space="0"/>
              <w:bottom w:val="single" w:color="auto" w:sz="8" w:space="0"/>
              <w:right w:val="single" w:color="auto" w:sz="8" w:space="0"/>
            </w:tcBorders>
            <w:noWrap w:val="0"/>
            <w:vAlign w:val="center"/>
          </w:tcPr>
          <w:p w14:paraId="6092A854">
            <w:pPr>
              <w:widowControl/>
              <w:ind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2</w:t>
            </w:r>
          </w:p>
        </w:tc>
        <w:tc>
          <w:tcPr>
            <w:tcW w:w="5088" w:type="dxa"/>
            <w:tcBorders>
              <w:top w:val="nil"/>
              <w:left w:val="nil"/>
              <w:bottom w:val="single" w:color="auto" w:sz="8" w:space="0"/>
              <w:right w:val="single" w:color="auto" w:sz="4" w:space="0"/>
            </w:tcBorders>
            <w:noWrap w:val="0"/>
            <w:vAlign w:val="center"/>
          </w:tcPr>
          <w:p w14:paraId="3B4AA0D0">
            <w:pPr>
              <w:widowControl/>
              <w:ind w:firstLine="0" w:firstLineChars="0"/>
              <w:jc w:val="center"/>
              <w:textAlignment w:val="baseline"/>
              <w:rPr>
                <w:rFonts w:hint="eastAsia" w:ascii="宋体" w:hAnsi="宋体" w:eastAsia="宋体" w:cs="宋体"/>
                <w:color w:val="000000"/>
                <w:sz w:val="24"/>
                <w:szCs w:val="24"/>
                <w:lang w:val="en-US" w:eastAsia="zh-CN"/>
              </w:rPr>
            </w:pPr>
            <w:r>
              <w:rPr>
                <w:rFonts w:hint="eastAsia" w:ascii="宋体" w:hAnsi="宋体" w:cs="宋体"/>
                <w:color w:val="auto"/>
                <w:sz w:val="24"/>
                <w:szCs w:val="24"/>
                <w:highlight w:val="none"/>
                <w:lang w:val="en-US" w:eastAsia="zh-CN"/>
              </w:rPr>
              <w:t>运维</w:t>
            </w:r>
            <w:r>
              <w:rPr>
                <w:rFonts w:hint="eastAsia" w:ascii="宋体" w:hAnsi="宋体" w:eastAsia="宋体" w:cs="宋体"/>
                <w:color w:val="auto"/>
                <w:sz w:val="24"/>
                <w:szCs w:val="24"/>
                <w:highlight w:val="none"/>
                <w:lang w:val="en-US" w:eastAsia="zh-CN"/>
              </w:rPr>
              <w:t>期</w:t>
            </w:r>
          </w:p>
        </w:tc>
        <w:tc>
          <w:tcPr>
            <w:tcW w:w="1628" w:type="dxa"/>
            <w:tcBorders>
              <w:top w:val="nil"/>
              <w:left w:val="single" w:color="auto" w:sz="4" w:space="0"/>
              <w:bottom w:val="single" w:color="auto" w:sz="8" w:space="0"/>
              <w:right w:val="single" w:color="auto" w:sz="8" w:space="0"/>
            </w:tcBorders>
            <w:noWrap w:val="0"/>
            <w:vAlign w:val="center"/>
          </w:tcPr>
          <w:p w14:paraId="574B75A7">
            <w:pPr>
              <w:widowControl/>
              <w:ind w:firstLine="480"/>
              <w:jc w:val="center"/>
              <w:rPr>
                <w:rFonts w:hint="eastAsia" w:ascii="宋体" w:hAnsi="宋体" w:eastAsia="宋体" w:cs="宋体"/>
                <w:color w:val="000000"/>
                <w:sz w:val="24"/>
                <w:szCs w:val="24"/>
              </w:rPr>
            </w:pPr>
          </w:p>
        </w:tc>
        <w:tc>
          <w:tcPr>
            <w:tcW w:w="179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B5A0167">
            <w:pPr>
              <w:widowControl/>
              <w:ind w:firstLine="480"/>
              <w:jc w:val="center"/>
              <w:rPr>
                <w:rFonts w:hint="eastAsia" w:ascii="宋体" w:hAnsi="宋体" w:eastAsia="宋体" w:cs="宋体"/>
                <w:color w:val="000000"/>
                <w:sz w:val="24"/>
                <w:szCs w:val="24"/>
              </w:rPr>
            </w:pPr>
          </w:p>
        </w:tc>
      </w:tr>
      <w:tr w14:paraId="67C1C284">
        <w:tblPrEx>
          <w:tblCellMar>
            <w:top w:w="0" w:type="dxa"/>
            <w:left w:w="0" w:type="dxa"/>
            <w:bottom w:w="0" w:type="dxa"/>
            <w:right w:w="0" w:type="dxa"/>
          </w:tblCellMar>
        </w:tblPrEx>
        <w:trPr>
          <w:cantSplit/>
          <w:trHeight w:val="705" w:hRule="atLeast"/>
          <w:jc w:val="center"/>
        </w:trPr>
        <w:tc>
          <w:tcPr>
            <w:tcW w:w="1085" w:type="dxa"/>
            <w:tcBorders>
              <w:top w:val="nil"/>
              <w:left w:val="single" w:color="auto" w:sz="8" w:space="0"/>
              <w:bottom w:val="single" w:color="auto" w:sz="8" w:space="0"/>
              <w:right w:val="single" w:color="auto" w:sz="8" w:space="0"/>
            </w:tcBorders>
            <w:noWrap w:val="0"/>
            <w:vAlign w:val="center"/>
          </w:tcPr>
          <w:p w14:paraId="6450C9E4">
            <w:pPr>
              <w:widowControl/>
              <w:ind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c>
          <w:tcPr>
            <w:tcW w:w="5088" w:type="dxa"/>
            <w:tcBorders>
              <w:top w:val="nil"/>
              <w:left w:val="nil"/>
              <w:bottom w:val="single" w:color="auto" w:sz="8" w:space="0"/>
              <w:right w:val="single" w:color="auto" w:sz="4" w:space="0"/>
            </w:tcBorders>
            <w:noWrap w:val="0"/>
            <w:vAlign w:val="center"/>
          </w:tcPr>
          <w:p w14:paraId="7BBDD0D0">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有关技术人员现场免费提供安装、调试服务</w:t>
            </w:r>
          </w:p>
        </w:tc>
        <w:tc>
          <w:tcPr>
            <w:tcW w:w="1628" w:type="dxa"/>
            <w:tcBorders>
              <w:top w:val="nil"/>
              <w:left w:val="single" w:color="auto" w:sz="4" w:space="0"/>
              <w:bottom w:val="single" w:color="auto" w:sz="8" w:space="0"/>
              <w:right w:val="single" w:color="auto" w:sz="8" w:space="0"/>
            </w:tcBorders>
            <w:noWrap w:val="0"/>
            <w:vAlign w:val="center"/>
          </w:tcPr>
          <w:p w14:paraId="57F8D74F">
            <w:pPr>
              <w:widowControl/>
              <w:ind w:firstLine="480"/>
              <w:jc w:val="center"/>
              <w:rPr>
                <w:rFonts w:hint="eastAsia" w:ascii="宋体" w:hAnsi="宋体" w:eastAsia="宋体" w:cs="宋体"/>
                <w:color w:val="000000"/>
                <w:sz w:val="24"/>
                <w:szCs w:val="24"/>
              </w:rPr>
            </w:pPr>
          </w:p>
          <w:p w14:paraId="55547DC1">
            <w:pPr>
              <w:widowControl/>
              <w:ind w:firstLine="480"/>
              <w:jc w:val="center"/>
              <w:rPr>
                <w:rFonts w:hint="eastAsia" w:ascii="宋体" w:hAnsi="宋体" w:eastAsia="宋体" w:cs="宋体"/>
                <w:color w:val="000000"/>
                <w:sz w:val="24"/>
                <w:szCs w:val="24"/>
              </w:rPr>
            </w:pPr>
          </w:p>
        </w:tc>
        <w:tc>
          <w:tcPr>
            <w:tcW w:w="179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9EE7F04">
            <w:pPr>
              <w:widowControl/>
              <w:ind w:firstLine="480"/>
              <w:jc w:val="center"/>
              <w:rPr>
                <w:rFonts w:hint="eastAsia" w:ascii="宋体" w:hAnsi="宋体" w:eastAsia="宋体" w:cs="宋体"/>
                <w:color w:val="000000"/>
                <w:sz w:val="24"/>
                <w:szCs w:val="24"/>
              </w:rPr>
            </w:pPr>
          </w:p>
        </w:tc>
      </w:tr>
      <w:tr w14:paraId="6944CF70">
        <w:tblPrEx>
          <w:tblCellMar>
            <w:top w:w="0" w:type="dxa"/>
            <w:left w:w="0" w:type="dxa"/>
            <w:bottom w:w="0" w:type="dxa"/>
            <w:right w:w="0" w:type="dxa"/>
          </w:tblCellMar>
        </w:tblPrEx>
        <w:trPr>
          <w:cantSplit/>
          <w:trHeight w:val="643" w:hRule="atLeast"/>
          <w:jc w:val="center"/>
        </w:trPr>
        <w:tc>
          <w:tcPr>
            <w:tcW w:w="1085" w:type="dxa"/>
            <w:tcBorders>
              <w:top w:val="nil"/>
              <w:left w:val="single" w:color="auto" w:sz="8" w:space="0"/>
              <w:bottom w:val="single" w:color="auto" w:sz="8" w:space="0"/>
              <w:right w:val="single" w:color="auto" w:sz="8" w:space="0"/>
            </w:tcBorders>
            <w:noWrap w:val="0"/>
            <w:vAlign w:val="center"/>
          </w:tcPr>
          <w:p w14:paraId="7881A436">
            <w:pPr>
              <w:widowControl/>
              <w:ind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4</w:t>
            </w:r>
          </w:p>
        </w:tc>
        <w:tc>
          <w:tcPr>
            <w:tcW w:w="5088" w:type="dxa"/>
            <w:tcBorders>
              <w:top w:val="nil"/>
              <w:left w:val="nil"/>
              <w:bottom w:val="single" w:color="auto" w:sz="8" w:space="0"/>
              <w:right w:val="single" w:color="auto" w:sz="4" w:space="0"/>
            </w:tcBorders>
            <w:noWrap w:val="0"/>
            <w:vAlign w:val="center"/>
          </w:tcPr>
          <w:p w14:paraId="756638C4">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免费换货期限</w:t>
            </w:r>
          </w:p>
        </w:tc>
        <w:tc>
          <w:tcPr>
            <w:tcW w:w="1628" w:type="dxa"/>
            <w:tcBorders>
              <w:top w:val="nil"/>
              <w:left w:val="single" w:color="auto" w:sz="4" w:space="0"/>
              <w:bottom w:val="single" w:color="auto" w:sz="8" w:space="0"/>
              <w:right w:val="single" w:color="auto" w:sz="8" w:space="0"/>
            </w:tcBorders>
            <w:noWrap w:val="0"/>
            <w:vAlign w:val="center"/>
          </w:tcPr>
          <w:p w14:paraId="6B537920">
            <w:pPr>
              <w:widowControl/>
              <w:ind w:firstLine="480"/>
              <w:jc w:val="center"/>
              <w:rPr>
                <w:rFonts w:hint="eastAsia" w:ascii="宋体" w:hAnsi="宋体" w:eastAsia="宋体" w:cs="宋体"/>
                <w:color w:val="000000"/>
                <w:sz w:val="24"/>
                <w:szCs w:val="24"/>
              </w:rPr>
            </w:pPr>
          </w:p>
        </w:tc>
        <w:tc>
          <w:tcPr>
            <w:tcW w:w="179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9F19BF6">
            <w:pPr>
              <w:widowControl/>
              <w:ind w:firstLine="480"/>
              <w:jc w:val="center"/>
              <w:rPr>
                <w:rFonts w:hint="eastAsia" w:ascii="宋体" w:hAnsi="宋体" w:eastAsia="宋体" w:cs="宋体"/>
                <w:color w:val="000000"/>
                <w:sz w:val="24"/>
                <w:szCs w:val="24"/>
              </w:rPr>
            </w:pPr>
          </w:p>
        </w:tc>
      </w:tr>
      <w:tr w14:paraId="3A92D3AB">
        <w:tblPrEx>
          <w:tblCellMar>
            <w:top w:w="0" w:type="dxa"/>
            <w:left w:w="0" w:type="dxa"/>
            <w:bottom w:w="0" w:type="dxa"/>
            <w:right w:w="0" w:type="dxa"/>
          </w:tblCellMar>
        </w:tblPrEx>
        <w:trPr>
          <w:cantSplit/>
          <w:trHeight w:val="643" w:hRule="atLeast"/>
          <w:jc w:val="center"/>
        </w:trPr>
        <w:tc>
          <w:tcPr>
            <w:tcW w:w="1085" w:type="dxa"/>
            <w:tcBorders>
              <w:top w:val="nil"/>
              <w:left w:val="single" w:color="auto" w:sz="8" w:space="0"/>
              <w:bottom w:val="single" w:color="auto" w:sz="8" w:space="0"/>
              <w:right w:val="single" w:color="auto" w:sz="8" w:space="0"/>
            </w:tcBorders>
            <w:noWrap w:val="0"/>
            <w:vAlign w:val="center"/>
          </w:tcPr>
          <w:p w14:paraId="54AFD5A6">
            <w:pPr>
              <w:widowControl/>
              <w:ind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5</w:t>
            </w:r>
          </w:p>
        </w:tc>
        <w:tc>
          <w:tcPr>
            <w:tcW w:w="5088" w:type="dxa"/>
            <w:tcBorders>
              <w:top w:val="nil"/>
              <w:left w:val="nil"/>
              <w:bottom w:val="single" w:color="auto" w:sz="8" w:space="0"/>
              <w:right w:val="single" w:color="auto" w:sz="4" w:space="0"/>
            </w:tcBorders>
            <w:noWrap w:val="0"/>
            <w:vAlign w:val="center"/>
          </w:tcPr>
          <w:p w14:paraId="0555B542">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免费上门服务期限</w:t>
            </w:r>
          </w:p>
        </w:tc>
        <w:tc>
          <w:tcPr>
            <w:tcW w:w="1628" w:type="dxa"/>
            <w:tcBorders>
              <w:top w:val="nil"/>
              <w:left w:val="single" w:color="auto" w:sz="4" w:space="0"/>
              <w:bottom w:val="single" w:color="auto" w:sz="8" w:space="0"/>
              <w:right w:val="single" w:color="auto" w:sz="8" w:space="0"/>
            </w:tcBorders>
            <w:noWrap w:val="0"/>
            <w:vAlign w:val="center"/>
          </w:tcPr>
          <w:p w14:paraId="652A61DA">
            <w:pPr>
              <w:widowControl/>
              <w:ind w:firstLine="480"/>
              <w:jc w:val="center"/>
              <w:rPr>
                <w:rFonts w:hint="eastAsia" w:ascii="宋体" w:hAnsi="宋体" w:eastAsia="宋体" w:cs="宋体"/>
                <w:color w:val="000000"/>
                <w:sz w:val="24"/>
                <w:szCs w:val="24"/>
              </w:rPr>
            </w:pPr>
          </w:p>
        </w:tc>
        <w:tc>
          <w:tcPr>
            <w:tcW w:w="179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9FE4CED">
            <w:pPr>
              <w:widowControl/>
              <w:ind w:firstLine="480"/>
              <w:jc w:val="center"/>
              <w:rPr>
                <w:rFonts w:hint="eastAsia" w:ascii="宋体" w:hAnsi="宋体" w:eastAsia="宋体" w:cs="宋体"/>
                <w:color w:val="000000"/>
                <w:sz w:val="24"/>
                <w:szCs w:val="24"/>
              </w:rPr>
            </w:pPr>
          </w:p>
        </w:tc>
      </w:tr>
      <w:tr w14:paraId="72838ED5">
        <w:tblPrEx>
          <w:tblCellMar>
            <w:top w:w="0" w:type="dxa"/>
            <w:left w:w="0" w:type="dxa"/>
            <w:bottom w:w="0" w:type="dxa"/>
            <w:right w:w="0" w:type="dxa"/>
          </w:tblCellMar>
        </w:tblPrEx>
        <w:trPr>
          <w:cantSplit/>
          <w:trHeight w:val="643" w:hRule="atLeast"/>
          <w:jc w:val="center"/>
        </w:trPr>
        <w:tc>
          <w:tcPr>
            <w:tcW w:w="1085" w:type="dxa"/>
            <w:tcBorders>
              <w:top w:val="nil"/>
              <w:left w:val="single" w:color="auto" w:sz="8" w:space="0"/>
              <w:bottom w:val="single" w:color="auto" w:sz="8" w:space="0"/>
              <w:right w:val="single" w:color="auto" w:sz="8" w:space="0"/>
            </w:tcBorders>
            <w:noWrap w:val="0"/>
            <w:vAlign w:val="center"/>
          </w:tcPr>
          <w:p w14:paraId="11D50737">
            <w:pPr>
              <w:widowControl/>
              <w:ind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6</w:t>
            </w:r>
          </w:p>
        </w:tc>
        <w:tc>
          <w:tcPr>
            <w:tcW w:w="5088" w:type="dxa"/>
            <w:tcBorders>
              <w:top w:val="nil"/>
              <w:left w:val="nil"/>
              <w:bottom w:val="single" w:color="auto" w:sz="8" w:space="0"/>
              <w:right w:val="single" w:color="auto" w:sz="4" w:space="0"/>
            </w:tcBorders>
            <w:noWrap w:val="0"/>
            <w:vAlign w:val="center"/>
          </w:tcPr>
          <w:p w14:paraId="5AFED184">
            <w:pPr>
              <w:widowControl/>
              <w:ind w:firstLine="0" w:firstLineChars="0"/>
              <w:jc w:val="center"/>
              <w:rPr>
                <w:rFonts w:hint="eastAsia" w:ascii="宋体" w:hAnsi="宋体" w:eastAsia="宋体" w:cs="宋体"/>
                <w:color w:val="000000"/>
                <w:sz w:val="24"/>
                <w:szCs w:val="24"/>
              </w:rPr>
            </w:pPr>
            <w:r>
              <w:rPr>
                <w:rFonts w:hint="eastAsia" w:ascii="宋体" w:hAnsi="宋体" w:cs="宋体"/>
                <w:color w:val="000000"/>
                <w:sz w:val="24"/>
                <w:szCs w:val="24"/>
                <w:lang w:val="en-US" w:eastAsia="zh-CN"/>
              </w:rPr>
              <w:t>运维</w:t>
            </w:r>
            <w:r>
              <w:rPr>
                <w:rFonts w:hint="eastAsia" w:ascii="宋体" w:hAnsi="宋体" w:eastAsia="宋体" w:cs="宋体"/>
                <w:color w:val="000000"/>
                <w:sz w:val="24"/>
                <w:szCs w:val="24"/>
              </w:rPr>
              <w:t>期内产品故障服务响应时限</w:t>
            </w:r>
          </w:p>
        </w:tc>
        <w:tc>
          <w:tcPr>
            <w:tcW w:w="1628" w:type="dxa"/>
            <w:tcBorders>
              <w:top w:val="nil"/>
              <w:left w:val="single" w:color="auto" w:sz="4" w:space="0"/>
              <w:bottom w:val="single" w:color="auto" w:sz="8" w:space="0"/>
              <w:right w:val="single" w:color="auto" w:sz="8" w:space="0"/>
            </w:tcBorders>
            <w:noWrap w:val="0"/>
            <w:vAlign w:val="center"/>
          </w:tcPr>
          <w:p w14:paraId="753E5145">
            <w:pPr>
              <w:widowControl/>
              <w:ind w:firstLine="480"/>
              <w:jc w:val="center"/>
              <w:rPr>
                <w:rFonts w:hint="eastAsia" w:ascii="宋体" w:hAnsi="宋体" w:eastAsia="宋体" w:cs="宋体"/>
                <w:color w:val="000000"/>
                <w:sz w:val="24"/>
                <w:szCs w:val="24"/>
              </w:rPr>
            </w:pPr>
          </w:p>
        </w:tc>
        <w:tc>
          <w:tcPr>
            <w:tcW w:w="179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9412188">
            <w:pPr>
              <w:widowControl/>
              <w:ind w:firstLine="480"/>
              <w:jc w:val="center"/>
              <w:rPr>
                <w:rFonts w:hint="eastAsia" w:ascii="宋体" w:hAnsi="宋体" w:eastAsia="宋体" w:cs="宋体"/>
                <w:color w:val="000000"/>
                <w:sz w:val="24"/>
                <w:szCs w:val="24"/>
              </w:rPr>
            </w:pPr>
          </w:p>
        </w:tc>
      </w:tr>
      <w:tr w14:paraId="12BB42DB">
        <w:tblPrEx>
          <w:tblCellMar>
            <w:top w:w="0" w:type="dxa"/>
            <w:left w:w="0" w:type="dxa"/>
            <w:bottom w:w="0" w:type="dxa"/>
            <w:right w:w="0" w:type="dxa"/>
          </w:tblCellMar>
        </w:tblPrEx>
        <w:trPr>
          <w:cantSplit/>
          <w:trHeight w:val="643" w:hRule="atLeast"/>
          <w:jc w:val="center"/>
        </w:trPr>
        <w:tc>
          <w:tcPr>
            <w:tcW w:w="1085" w:type="dxa"/>
            <w:tcBorders>
              <w:top w:val="nil"/>
              <w:left w:val="single" w:color="auto" w:sz="8" w:space="0"/>
              <w:bottom w:val="single" w:color="auto" w:sz="4" w:space="0"/>
              <w:right w:val="single" w:color="auto" w:sz="8" w:space="0"/>
            </w:tcBorders>
            <w:noWrap w:val="0"/>
            <w:vAlign w:val="center"/>
          </w:tcPr>
          <w:p w14:paraId="1D0B56F5">
            <w:pPr>
              <w:widowControl/>
              <w:ind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7</w:t>
            </w:r>
          </w:p>
        </w:tc>
        <w:tc>
          <w:tcPr>
            <w:tcW w:w="5088" w:type="dxa"/>
            <w:tcBorders>
              <w:top w:val="nil"/>
              <w:left w:val="nil"/>
              <w:bottom w:val="single" w:color="auto" w:sz="4" w:space="0"/>
              <w:right w:val="single" w:color="auto" w:sz="4" w:space="0"/>
            </w:tcBorders>
            <w:noWrap w:val="0"/>
            <w:vAlign w:val="center"/>
          </w:tcPr>
          <w:p w14:paraId="6DAB8AAF">
            <w:pPr>
              <w:widowControl/>
              <w:ind w:firstLine="0" w:firstLineChars="0"/>
              <w:jc w:val="center"/>
              <w:rPr>
                <w:rFonts w:hint="eastAsia" w:ascii="宋体" w:hAnsi="宋体" w:eastAsia="宋体" w:cs="宋体"/>
                <w:color w:val="000000"/>
                <w:sz w:val="24"/>
                <w:szCs w:val="24"/>
              </w:rPr>
            </w:pPr>
            <w:r>
              <w:rPr>
                <w:rFonts w:hint="eastAsia" w:ascii="宋体" w:hAnsi="宋体" w:cs="宋体"/>
                <w:color w:val="000000"/>
                <w:sz w:val="24"/>
                <w:szCs w:val="24"/>
                <w:lang w:val="en-US" w:eastAsia="zh-CN"/>
              </w:rPr>
              <w:t>运维</w:t>
            </w:r>
            <w:r>
              <w:rPr>
                <w:rFonts w:hint="eastAsia" w:ascii="宋体" w:hAnsi="宋体" w:eastAsia="宋体" w:cs="宋体"/>
                <w:color w:val="000000"/>
                <w:sz w:val="24"/>
                <w:szCs w:val="24"/>
              </w:rPr>
              <w:t>期满后的保修服务费用</w:t>
            </w:r>
          </w:p>
        </w:tc>
        <w:tc>
          <w:tcPr>
            <w:tcW w:w="1628" w:type="dxa"/>
            <w:tcBorders>
              <w:top w:val="nil"/>
              <w:left w:val="single" w:color="auto" w:sz="4" w:space="0"/>
              <w:bottom w:val="single" w:color="auto" w:sz="4" w:space="0"/>
              <w:right w:val="single" w:color="auto" w:sz="8" w:space="0"/>
            </w:tcBorders>
            <w:noWrap w:val="0"/>
            <w:vAlign w:val="center"/>
          </w:tcPr>
          <w:p w14:paraId="4DE01160">
            <w:pPr>
              <w:widowControl/>
              <w:ind w:firstLine="480"/>
              <w:jc w:val="center"/>
              <w:rPr>
                <w:rFonts w:hint="eastAsia" w:ascii="宋体" w:hAnsi="宋体" w:eastAsia="宋体" w:cs="宋体"/>
                <w:color w:val="000000"/>
                <w:sz w:val="24"/>
                <w:szCs w:val="24"/>
              </w:rPr>
            </w:pPr>
          </w:p>
        </w:tc>
        <w:tc>
          <w:tcPr>
            <w:tcW w:w="1796"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777FBFB4">
            <w:pPr>
              <w:widowControl/>
              <w:ind w:firstLine="480"/>
              <w:jc w:val="center"/>
              <w:rPr>
                <w:rFonts w:hint="eastAsia" w:ascii="宋体" w:hAnsi="宋体" w:eastAsia="宋体" w:cs="宋体"/>
                <w:color w:val="000000"/>
                <w:sz w:val="24"/>
                <w:szCs w:val="24"/>
              </w:rPr>
            </w:pPr>
          </w:p>
        </w:tc>
      </w:tr>
      <w:tr w14:paraId="2A4BA5F3">
        <w:tblPrEx>
          <w:tblCellMar>
            <w:top w:w="0" w:type="dxa"/>
            <w:left w:w="0" w:type="dxa"/>
            <w:bottom w:w="0" w:type="dxa"/>
            <w:right w:w="0" w:type="dxa"/>
          </w:tblCellMar>
        </w:tblPrEx>
        <w:trPr>
          <w:cantSplit/>
          <w:trHeight w:val="632" w:hRule="atLeast"/>
          <w:jc w:val="center"/>
        </w:trPr>
        <w:tc>
          <w:tcPr>
            <w:tcW w:w="1085" w:type="dxa"/>
            <w:tcBorders>
              <w:top w:val="single" w:color="auto" w:sz="4" w:space="0"/>
              <w:left w:val="single" w:color="auto" w:sz="8" w:space="0"/>
              <w:bottom w:val="single" w:color="auto" w:sz="4" w:space="0"/>
              <w:right w:val="single" w:color="auto" w:sz="8" w:space="0"/>
            </w:tcBorders>
            <w:noWrap w:val="0"/>
            <w:vAlign w:val="center"/>
          </w:tcPr>
          <w:p w14:paraId="3B041A7A">
            <w:pPr>
              <w:widowControl/>
              <w:ind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8</w:t>
            </w:r>
          </w:p>
        </w:tc>
        <w:tc>
          <w:tcPr>
            <w:tcW w:w="5088" w:type="dxa"/>
            <w:tcBorders>
              <w:top w:val="single" w:color="auto" w:sz="4" w:space="0"/>
              <w:left w:val="nil"/>
              <w:bottom w:val="single" w:color="auto" w:sz="4" w:space="0"/>
              <w:right w:val="single" w:color="auto" w:sz="4" w:space="0"/>
            </w:tcBorders>
            <w:noWrap w:val="0"/>
            <w:vAlign w:val="center"/>
          </w:tcPr>
          <w:p w14:paraId="71869923">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交货时间</w:t>
            </w:r>
          </w:p>
        </w:tc>
        <w:tc>
          <w:tcPr>
            <w:tcW w:w="1628" w:type="dxa"/>
            <w:tcBorders>
              <w:top w:val="single" w:color="auto" w:sz="4" w:space="0"/>
              <w:left w:val="single" w:color="auto" w:sz="4" w:space="0"/>
              <w:bottom w:val="single" w:color="auto" w:sz="4" w:space="0"/>
              <w:right w:val="single" w:color="auto" w:sz="8" w:space="0"/>
            </w:tcBorders>
            <w:noWrap w:val="0"/>
            <w:vAlign w:val="center"/>
          </w:tcPr>
          <w:p w14:paraId="2B6E53AC">
            <w:pPr>
              <w:widowControl/>
              <w:ind w:firstLine="480"/>
              <w:jc w:val="center"/>
              <w:rPr>
                <w:rFonts w:hint="eastAsia" w:ascii="宋体" w:hAnsi="宋体" w:eastAsia="宋体" w:cs="宋体"/>
                <w:color w:val="000000"/>
                <w:sz w:val="24"/>
                <w:szCs w:val="24"/>
              </w:rPr>
            </w:pPr>
          </w:p>
        </w:tc>
        <w:tc>
          <w:tcPr>
            <w:tcW w:w="1796"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14:paraId="586BCB97">
            <w:pPr>
              <w:widowControl/>
              <w:ind w:firstLine="480"/>
              <w:jc w:val="center"/>
              <w:rPr>
                <w:rFonts w:hint="eastAsia" w:ascii="宋体" w:hAnsi="宋体" w:eastAsia="宋体" w:cs="宋体"/>
                <w:color w:val="000000"/>
                <w:sz w:val="24"/>
                <w:szCs w:val="24"/>
              </w:rPr>
            </w:pPr>
          </w:p>
        </w:tc>
      </w:tr>
      <w:tr w14:paraId="0EEF2AA2">
        <w:tblPrEx>
          <w:tblCellMar>
            <w:top w:w="0" w:type="dxa"/>
            <w:left w:w="0" w:type="dxa"/>
            <w:bottom w:w="0" w:type="dxa"/>
            <w:right w:w="0" w:type="dxa"/>
          </w:tblCellMar>
        </w:tblPrEx>
        <w:trPr>
          <w:cantSplit/>
          <w:trHeight w:val="632" w:hRule="atLeast"/>
          <w:jc w:val="center"/>
        </w:trPr>
        <w:tc>
          <w:tcPr>
            <w:tcW w:w="1085" w:type="dxa"/>
            <w:tcBorders>
              <w:top w:val="single" w:color="auto" w:sz="4" w:space="0"/>
              <w:left w:val="single" w:color="auto" w:sz="8" w:space="0"/>
              <w:bottom w:val="single" w:color="auto" w:sz="4" w:space="0"/>
              <w:right w:val="single" w:color="auto" w:sz="8" w:space="0"/>
            </w:tcBorders>
            <w:noWrap w:val="0"/>
            <w:vAlign w:val="center"/>
          </w:tcPr>
          <w:p w14:paraId="66DEC81E">
            <w:pPr>
              <w:widowControl/>
              <w:ind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9</w:t>
            </w:r>
          </w:p>
        </w:tc>
        <w:tc>
          <w:tcPr>
            <w:tcW w:w="5088" w:type="dxa"/>
            <w:tcBorders>
              <w:top w:val="single" w:color="auto" w:sz="4" w:space="0"/>
              <w:left w:val="nil"/>
              <w:bottom w:val="single" w:color="auto" w:sz="4" w:space="0"/>
              <w:right w:val="single" w:color="auto" w:sz="4" w:space="0"/>
            </w:tcBorders>
            <w:noWrap w:val="0"/>
            <w:vAlign w:val="center"/>
          </w:tcPr>
          <w:p w14:paraId="2CB9BE0D">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是否有提供备品备件</w:t>
            </w:r>
          </w:p>
        </w:tc>
        <w:tc>
          <w:tcPr>
            <w:tcW w:w="1628" w:type="dxa"/>
            <w:tcBorders>
              <w:top w:val="single" w:color="auto" w:sz="4" w:space="0"/>
              <w:left w:val="single" w:color="auto" w:sz="4" w:space="0"/>
              <w:bottom w:val="single" w:color="auto" w:sz="4" w:space="0"/>
              <w:right w:val="single" w:color="auto" w:sz="8" w:space="0"/>
            </w:tcBorders>
            <w:noWrap w:val="0"/>
            <w:vAlign w:val="center"/>
          </w:tcPr>
          <w:p w14:paraId="7940D85B">
            <w:pPr>
              <w:widowControl/>
              <w:ind w:firstLine="480"/>
              <w:jc w:val="center"/>
              <w:rPr>
                <w:rFonts w:hint="eastAsia" w:ascii="宋体" w:hAnsi="宋体" w:eastAsia="宋体" w:cs="宋体"/>
                <w:color w:val="000000"/>
                <w:sz w:val="24"/>
                <w:szCs w:val="24"/>
              </w:rPr>
            </w:pPr>
          </w:p>
        </w:tc>
        <w:tc>
          <w:tcPr>
            <w:tcW w:w="1796"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14:paraId="32CBAF3A">
            <w:pPr>
              <w:widowControl/>
              <w:ind w:firstLine="480"/>
              <w:jc w:val="center"/>
              <w:rPr>
                <w:rFonts w:hint="eastAsia" w:ascii="宋体" w:hAnsi="宋体" w:eastAsia="宋体" w:cs="宋体"/>
                <w:color w:val="000000"/>
                <w:sz w:val="24"/>
                <w:szCs w:val="24"/>
              </w:rPr>
            </w:pPr>
          </w:p>
        </w:tc>
      </w:tr>
      <w:tr w14:paraId="1E6766F0">
        <w:tblPrEx>
          <w:tblCellMar>
            <w:top w:w="0" w:type="dxa"/>
            <w:left w:w="0" w:type="dxa"/>
            <w:bottom w:w="0" w:type="dxa"/>
            <w:right w:w="0" w:type="dxa"/>
          </w:tblCellMar>
        </w:tblPrEx>
        <w:trPr>
          <w:cantSplit/>
          <w:trHeight w:val="632" w:hRule="atLeast"/>
          <w:jc w:val="center"/>
        </w:trPr>
        <w:tc>
          <w:tcPr>
            <w:tcW w:w="1085" w:type="dxa"/>
            <w:tcBorders>
              <w:top w:val="single" w:color="auto" w:sz="4" w:space="0"/>
              <w:left w:val="single" w:color="auto" w:sz="8" w:space="0"/>
              <w:bottom w:val="single" w:color="auto" w:sz="4" w:space="0"/>
              <w:right w:val="single" w:color="auto" w:sz="8" w:space="0"/>
            </w:tcBorders>
            <w:noWrap w:val="0"/>
            <w:vAlign w:val="center"/>
          </w:tcPr>
          <w:p w14:paraId="69C96BB7">
            <w:pPr>
              <w:widowControl/>
              <w:ind w:firstLine="0" w:firstLineChar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5088" w:type="dxa"/>
            <w:tcBorders>
              <w:top w:val="single" w:color="auto" w:sz="4" w:space="0"/>
              <w:left w:val="nil"/>
              <w:bottom w:val="single" w:color="auto" w:sz="4" w:space="0"/>
              <w:right w:val="single" w:color="auto" w:sz="4" w:space="0"/>
            </w:tcBorders>
            <w:noWrap w:val="0"/>
            <w:vAlign w:val="center"/>
          </w:tcPr>
          <w:p w14:paraId="206CE1FF">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是否有</w:t>
            </w:r>
            <w:r>
              <w:rPr>
                <w:rFonts w:hint="eastAsia" w:ascii="宋体" w:hAnsi="宋体" w:cs="宋体"/>
                <w:color w:val="000000"/>
                <w:sz w:val="24"/>
                <w:szCs w:val="24"/>
                <w:lang w:val="en-US" w:eastAsia="zh-CN"/>
              </w:rPr>
              <w:t>运维</w:t>
            </w:r>
            <w:r>
              <w:rPr>
                <w:rFonts w:hint="eastAsia" w:ascii="宋体" w:hAnsi="宋体" w:eastAsia="宋体" w:cs="宋体"/>
                <w:color w:val="000000"/>
                <w:sz w:val="24"/>
                <w:szCs w:val="24"/>
              </w:rPr>
              <w:t>期外的服务承诺</w:t>
            </w:r>
          </w:p>
        </w:tc>
        <w:tc>
          <w:tcPr>
            <w:tcW w:w="1628" w:type="dxa"/>
            <w:tcBorders>
              <w:top w:val="single" w:color="auto" w:sz="4" w:space="0"/>
              <w:left w:val="single" w:color="auto" w:sz="4" w:space="0"/>
              <w:bottom w:val="single" w:color="auto" w:sz="4" w:space="0"/>
              <w:right w:val="single" w:color="auto" w:sz="8" w:space="0"/>
            </w:tcBorders>
            <w:noWrap w:val="0"/>
            <w:vAlign w:val="center"/>
          </w:tcPr>
          <w:p w14:paraId="70F8AEEA">
            <w:pPr>
              <w:widowControl/>
              <w:ind w:firstLine="480"/>
              <w:jc w:val="center"/>
              <w:rPr>
                <w:rFonts w:hint="eastAsia" w:ascii="宋体" w:hAnsi="宋体" w:eastAsia="宋体" w:cs="宋体"/>
                <w:color w:val="000000"/>
                <w:sz w:val="24"/>
                <w:szCs w:val="24"/>
              </w:rPr>
            </w:pPr>
          </w:p>
        </w:tc>
        <w:tc>
          <w:tcPr>
            <w:tcW w:w="1796"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14:paraId="2564A0A8">
            <w:pPr>
              <w:widowControl/>
              <w:ind w:firstLine="480"/>
              <w:jc w:val="center"/>
              <w:rPr>
                <w:rFonts w:hint="eastAsia" w:ascii="宋体" w:hAnsi="宋体" w:eastAsia="宋体" w:cs="宋体"/>
                <w:color w:val="000000"/>
                <w:sz w:val="24"/>
                <w:szCs w:val="24"/>
              </w:rPr>
            </w:pPr>
          </w:p>
        </w:tc>
      </w:tr>
      <w:tr w14:paraId="6EF431C0">
        <w:tblPrEx>
          <w:tblCellMar>
            <w:top w:w="0" w:type="dxa"/>
            <w:left w:w="0" w:type="dxa"/>
            <w:bottom w:w="0" w:type="dxa"/>
            <w:right w:w="0" w:type="dxa"/>
          </w:tblCellMar>
        </w:tblPrEx>
        <w:trPr>
          <w:cantSplit/>
          <w:trHeight w:val="632" w:hRule="atLeast"/>
          <w:jc w:val="center"/>
        </w:trPr>
        <w:tc>
          <w:tcPr>
            <w:tcW w:w="1085" w:type="dxa"/>
            <w:tcBorders>
              <w:top w:val="single" w:color="auto" w:sz="4" w:space="0"/>
              <w:left w:val="single" w:color="auto" w:sz="8" w:space="0"/>
              <w:bottom w:val="single" w:color="auto" w:sz="4" w:space="0"/>
              <w:right w:val="single" w:color="auto" w:sz="8" w:space="0"/>
            </w:tcBorders>
            <w:noWrap w:val="0"/>
            <w:vAlign w:val="center"/>
          </w:tcPr>
          <w:p w14:paraId="07723F4E">
            <w:pPr>
              <w:widowControl/>
              <w:ind w:firstLine="0" w:firstLineChar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w:t>
            </w:r>
          </w:p>
        </w:tc>
        <w:tc>
          <w:tcPr>
            <w:tcW w:w="5088" w:type="dxa"/>
            <w:tcBorders>
              <w:top w:val="single" w:color="auto" w:sz="4" w:space="0"/>
              <w:left w:val="nil"/>
              <w:bottom w:val="single" w:color="auto" w:sz="4" w:space="0"/>
              <w:right w:val="single" w:color="auto" w:sz="4" w:space="0"/>
            </w:tcBorders>
            <w:noWrap w:val="0"/>
            <w:vAlign w:val="center"/>
          </w:tcPr>
          <w:p w14:paraId="4C465F87">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货物品牌是否原装正品</w:t>
            </w:r>
          </w:p>
        </w:tc>
        <w:tc>
          <w:tcPr>
            <w:tcW w:w="1628" w:type="dxa"/>
            <w:tcBorders>
              <w:top w:val="single" w:color="auto" w:sz="4" w:space="0"/>
              <w:left w:val="single" w:color="auto" w:sz="4" w:space="0"/>
              <w:bottom w:val="single" w:color="auto" w:sz="4" w:space="0"/>
              <w:right w:val="single" w:color="auto" w:sz="8" w:space="0"/>
            </w:tcBorders>
            <w:noWrap w:val="0"/>
            <w:vAlign w:val="center"/>
          </w:tcPr>
          <w:p w14:paraId="0919443B">
            <w:pPr>
              <w:widowControl/>
              <w:ind w:firstLine="480"/>
              <w:jc w:val="center"/>
              <w:rPr>
                <w:rFonts w:hint="eastAsia" w:ascii="宋体" w:hAnsi="宋体" w:eastAsia="宋体" w:cs="宋体"/>
                <w:color w:val="000000"/>
                <w:sz w:val="24"/>
                <w:szCs w:val="24"/>
              </w:rPr>
            </w:pPr>
          </w:p>
        </w:tc>
        <w:tc>
          <w:tcPr>
            <w:tcW w:w="1796"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14:paraId="68B3E477">
            <w:pPr>
              <w:widowControl/>
              <w:ind w:firstLine="480"/>
              <w:jc w:val="center"/>
              <w:rPr>
                <w:rFonts w:hint="eastAsia" w:ascii="宋体" w:hAnsi="宋体" w:eastAsia="宋体" w:cs="宋体"/>
                <w:color w:val="000000"/>
                <w:sz w:val="24"/>
                <w:szCs w:val="24"/>
              </w:rPr>
            </w:pPr>
          </w:p>
        </w:tc>
      </w:tr>
      <w:tr w14:paraId="0776D344">
        <w:tblPrEx>
          <w:tblCellMar>
            <w:top w:w="0" w:type="dxa"/>
            <w:left w:w="0" w:type="dxa"/>
            <w:bottom w:w="0" w:type="dxa"/>
            <w:right w:w="0" w:type="dxa"/>
          </w:tblCellMar>
        </w:tblPrEx>
        <w:trPr>
          <w:cantSplit/>
          <w:trHeight w:val="643" w:hRule="atLeast"/>
          <w:jc w:val="center"/>
        </w:trPr>
        <w:tc>
          <w:tcPr>
            <w:tcW w:w="1085" w:type="dxa"/>
            <w:tcBorders>
              <w:top w:val="single" w:color="auto" w:sz="4" w:space="0"/>
              <w:left w:val="single" w:color="auto" w:sz="8" w:space="0"/>
              <w:bottom w:val="single" w:color="auto" w:sz="4" w:space="0"/>
              <w:right w:val="single" w:color="auto" w:sz="8" w:space="0"/>
            </w:tcBorders>
            <w:noWrap w:val="0"/>
            <w:vAlign w:val="center"/>
          </w:tcPr>
          <w:p w14:paraId="7661E0CF">
            <w:pPr>
              <w:widowControl/>
              <w:ind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w:t>
            </w:r>
          </w:p>
        </w:tc>
        <w:tc>
          <w:tcPr>
            <w:tcW w:w="5088" w:type="dxa"/>
            <w:tcBorders>
              <w:top w:val="single" w:color="auto" w:sz="4" w:space="0"/>
              <w:left w:val="nil"/>
              <w:bottom w:val="single" w:color="auto" w:sz="4" w:space="0"/>
              <w:right w:val="single" w:color="auto" w:sz="4" w:space="0"/>
            </w:tcBorders>
            <w:noWrap w:val="0"/>
            <w:vAlign w:val="center"/>
          </w:tcPr>
          <w:p w14:paraId="2DA13CEA">
            <w:pPr>
              <w:widowControl/>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其他</w:t>
            </w:r>
          </w:p>
        </w:tc>
        <w:tc>
          <w:tcPr>
            <w:tcW w:w="1628" w:type="dxa"/>
            <w:tcBorders>
              <w:top w:val="single" w:color="auto" w:sz="4" w:space="0"/>
              <w:left w:val="single" w:color="auto" w:sz="4" w:space="0"/>
              <w:bottom w:val="single" w:color="auto" w:sz="4" w:space="0"/>
              <w:right w:val="single" w:color="auto" w:sz="8" w:space="0"/>
            </w:tcBorders>
            <w:noWrap w:val="0"/>
            <w:vAlign w:val="center"/>
          </w:tcPr>
          <w:p w14:paraId="7A45D6ED">
            <w:pPr>
              <w:widowControl/>
              <w:ind w:firstLine="480"/>
              <w:jc w:val="center"/>
              <w:rPr>
                <w:rFonts w:hint="eastAsia" w:ascii="宋体" w:hAnsi="宋体" w:eastAsia="宋体" w:cs="宋体"/>
                <w:color w:val="000000"/>
                <w:sz w:val="24"/>
                <w:szCs w:val="24"/>
              </w:rPr>
            </w:pPr>
          </w:p>
        </w:tc>
        <w:tc>
          <w:tcPr>
            <w:tcW w:w="1796"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14:paraId="4BC65B09">
            <w:pPr>
              <w:widowControl/>
              <w:ind w:firstLine="480"/>
              <w:jc w:val="center"/>
              <w:rPr>
                <w:rFonts w:hint="eastAsia" w:ascii="宋体" w:hAnsi="宋体" w:eastAsia="宋体" w:cs="宋体"/>
                <w:color w:val="000000"/>
                <w:sz w:val="24"/>
                <w:szCs w:val="24"/>
              </w:rPr>
            </w:pPr>
          </w:p>
        </w:tc>
      </w:tr>
    </w:tbl>
    <w:p w14:paraId="161847E4">
      <w:pPr>
        <w:autoSpaceDE w:val="0"/>
        <w:autoSpaceDN w:val="0"/>
        <w:adjustRightInd w:val="0"/>
        <w:ind w:firstLine="480"/>
        <w:rPr>
          <w:rFonts w:hint="eastAsia" w:ascii="宋体" w:hAnsi="宋体" w:cs="宋体"/>
          <w:color w:val="000000"/>
        </w:rPr>
      </w:pPr>
    </w:p>
    <w:p w14:paraId="180282F2">
      <w:pPr>
        <w:ind w:firstLine="0" w:firstLineChars="0"/>
        <w:jc w:val="both"/>
        <w:outlineLvl w:val="0"/>
        <w:rPr>
          <w:rFonts w:hint="eastAsia"/>
          <w:b/>
          <w:bCs/>
          <w:color w:val="auto"/>
          <w:sz w:val="30"/>
          <w:szCs w:val="30"/>
        </w:rPr>
      </w:pPr>
    </w:p>
    <w:p w14:paraId="7887003A">
      <w:pPr>
        <w:ind w:firstLine="4320" w:firstLineChars="1800"/>
        <w:rPr>
          <w:color w:val="auto"/>
        </w:rPr>
      </w:pPr>
      <w:r>
        <w:rPr>
          <w:rFonts w:hint="eastAsia"/>
          <w:color w:val="auto"/>
        </w:rPr>
        <w:t>投标人全称（盖章）：</w:t>
      </w:r>
      <w:r>
        <w:rPr>
          <w:color w:val="auto"/>
        </w:rPr>
        <w:t xml:space="preserve">                         </w:t>
      </w:r>
    </w:p>
    <w:p w14:paraId="5582401D">
      <w:pPr>
        <w:ind w:firstLine="4320" w:firstLineChars="1800"/>
        <w:rPr>
          <w:color w:val="auto"/>
        </w:rPr>
      </w:pPr>
      <w:r>
        <w:rPr>
          <w:rFonts w:hint="eastAsia"/>
          <w:color w:val="auto"/>
        </w:rPr>
        <w:t>法定代表人或授权代理人（签字或盖章）：</w:t>
      </w:r>
    </w:p>
    <w:p w14:paraId="601FD5E3">
      <w:pPr>
        <w:ind w:firstLine="4320" w:firstLineChars="1800"/>
        <w:rPr>
          <w:color w:val="auto"/>
        </w:rPr>
      </w:pPr>
      <w:r>
        <w:rPr>
          <w:rFonts w:hint="eastAsia"/>
          <w:color w:val="auto"/>
        </w:rPr>
        <w:t>日期：</w:t>
      </w:r>
      <w:r>
        <w:rPr>
          <w:rFonts w:hint="eastAsia"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0EFC5A8E">
      <w:pPr>
        <w:ind w:firstLine="0" w:firstLineChars="0"/>
        <w:jc w:val="center"/>
        <w:outlineLvl w:val="0"/>
        <w:rPr>
          <w:rFonts w:hint="eastAsia"/>
          <w:b/>
          <w:bCs/>
          <w:color w:val="auto"/>
          <w:sz w:val="30"/>
          <w:szCs w:val="30"/>
        </w:rPr>
      </w:pPr>
    </w:p>
    <w:p w14:paraId="1410D2C0">
      <w:pPr>
        <w:ind w:firstLine="0" w:firstLineChars="0"/>
        <w:jc w:val="center"/>
        <w:outlineLvl w:val="0"/>
        <w:rPr>
          <w:rFonts w:hint="eastAsia"/>
          <w:b/>
          <w:bCs/>
          <w:color w:val="auto"/>
          <w:sz w:val="30"/>
          <w:szCs w:val="30"/>
        </w:rPr>
      </w:pPr>
    </w:p>
    <w:p w14:paraId="56A962F1">
      <w:pPr>
        <w:ind w:firstLine="0" w:firstLineChars="0"/>
        <w:jc w:val="center"/>
        <w:outlineLvl w:val="0"/>
        <w:rPr>
          <w:rFonts w:hint="eastAsia"/>
          <w:b/>
          <w:bCs/>
          <w:color w:val="auto"/>
          <w:sz w:val="30"/>
          <w:szCs w:val="30"/>
        </w:rPr>
      </w:pPr>
    </w:p>
    <w:p w14:paraId="0ABF40F1">
      <w:pPr>
        <w:ind w:firstLine="0" w:firstLineChars="0"/>
        <w:jc w:val="center"/>
        <w:outlineLvl w:val="0"/>
        <w:rPr>
          <w:b/>
          <w:bCs/>
          <w:color w:val="auto"/>
          <w:sz w:val="30"/>
          <w:szCs w:val="30"/>
        </w:rPr>
      </w:pPr>
      <w:r>
        <w:rPr>
          <w:rFonts w:hint="eastAsia"/>
          <w:b/>
          <w:bCs/>
          <w:color w:val="auto"/>
          <w:sz w:val="30"/>
          <w:szCs w:val="30"/>
        </w:rPr>
        <w:t>报价文件封面格式</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72"/>
      <w:bookmarkEnd w:id="1373"/>
      <w:bookmarkEnd w:id="1374"/>
      <w:bookmarkEnd w:id="1375"/>
    </w:p>
    <w:p w14:paraId="6C9AC031">
      <w:pPr>
        <w:ind w:firstLine="0" w:firstLineChars="0"/>
        <w:jc w:val="center"/>
        <w:rPr>
          <w:b/>
          <w:bCs/>
          <w:color w:val="auto"/>
          <w:sz w:val="30"/>
          <w:szCs w:val="30"/>
        </w:rPr>
      </w:pPr>
    </w:p>
    <w:p w14:paraId="3E446F2F">
      <w:pPr>
        <w:spacing w:line="420" w:lineRule="exact"/>
        <w:ind w:firstLine="0" w:firstLineChars="0"/>
        <w:jc w:val="center"/>
        <w:rPr>
          <w:rFonts w:ascii="宋体" w:hAnsi="宋体" w:cs="宋体"/>
          <w:color w:val="auto"/>
          <w:sz w:val="32"/>
          <w:szCs w:val="32"/>
        </w:rPr>
      </w:pPr>
      <w:bookmarkStart w:id="1376" w:name="_Toc29757"/>
      <w:bookmarkStart w:id="1377" w:name="_Toc15531"/>
      <w:bookmarkStart w:id="1378" w:name="_Toc17415"/>
      <w:bookmarkStart w:id="1379" w:name="_Toc16937"/>
      <w:bookmarkStart w:id="1380" w:name="_Toc20933"/>
      <w:bookmarkStart w:id="1381" w:name="_Toc30696"/>
      <w:bookmarkStart w:id="1382" w:name="_Toc12003"/>
      <w:bookmarkStart w:id="1383" w:name="_Toc19820"/>
      <w:bookmarkStart w:id="1384" w:name="_Toc29389"/>
      <w:bookmarkStart w:id="1385" w:name="_Toc10177"/>
      <w:bookmarkStart w:id="1386" w:name="_Toc24987"/>
      <w:bookmarkStart w:id="1387" w:name="_Toc13941"/>
      <w:bookmarkStart w:id="1388" w:name="_Toc9459"/>
      <w:bookmarkStart w:id="1389" w:name="_Toc8432"/>
      <w:bookmarkStart w:id="1390" w:name="_Toc5460"/>
      <w:bookmarkStart w:id="1391" w:name="_Toc7316"/>
      <w:bookmarkStart w:id="1392" w:name="_Toc5863"/>
      <w:bookmarkStart w:id="1393" w:name="_Toc22455"/>
      <w:bookmarkStart w:id="1394" w:name="_Toc7681"/>
      <w:bookmarkStart w:id="1395" w:name="_Toc7104"/>
      <w:bookmarkStart w:id="1396" w:name="_Toc27002"/>
      <w:bookmarkStart w:id="1397" w:name="_Toc433"/>
      <w:bookmarkStart w:id="1398" w:name="_Toc27134"/>
      <w:bookmarkStart w:id="1399" w:name="_Toc32301"/>
      <w:bookmarkStart w:id="1400" w:name="_Toc1215"/>
    </w:p>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14:paraId="348CDCAE">
      <w:pPr>
        <w:spacing w:line="420" w:lineRule="exact"/>
        <w:ind w:firstLine="883"/>
        <w:rPr>
          <w:rFonts w:ascii="宋体" w:cs="宋体"/>
          <w:b/>
          <w:color w:val="auto"/>
          <w:sz w:val="44"/>
          <w:szCs w:val="44"/>
        </w:rPr>
      </w:pPr>
    </w:p>
    <w:p w14:paraId="77196ACE">
      <w:pPr>
        <w:pStyle w:val="16"/>
        <w:ind w:firstLine="480"/>
        <w:rPr>
          <w:color w:val="auto"/>
        </w:rPr>
      </w:pPr>
    </w:p>
    <w:p w14:paraId="6B948F6D">
      <w:pPr>
        <w:pStyle w:val="16"/>
        <w:ind w:firstLine="883"/>
        <w:rPr>
          <w:rFonts w:ascii="宋体" w:cs="宋体"/>
          <w:b/>
          <w:color w:val="auto"/>
          <w:sz w:val="44"/>
          <w:szCs w:val="44"/>
        </w:rPr>
      </w:pPr>
    </w:p>
    <w:p w14:paraId="17E0F283">
      <w:pPr>
        <w:pStyle w:val="16"/>
        <w:ind w:firstLine="883"/>
        <w:rPr>
          <w:rFonts w:ascii="宋体" w:cs="宋体"/>
          <w:b/>
          <w:color w:val="auto"/>
          <w:sz w:val="44"/>
          <w:szCs w:val="44"/>
        </w:rPr>
      </w:pPr>
    </w:p>
    <w:p w14:paraId="777F3445">
      <w:pPr>
        <w:pStyle w:val="35"/>
        <w:ind w:left="0" w:leftChars="0" w:firstLine="0" w:firstLineChars="0"/>
        <w:rPr>
          <w:rFonts w:hint="default" w:cs="宋体"/>
          <w:color w:val="auto"/>
        </w:rPr>
      </w:pPr>
    </w:p>
    <w:p w14:paraId="7F99BBEE">
      <w:pPr>
        <w:spacing w:line="240" w:lineRule="auto"/>
        <w:ind w:firstLine="0" w:firstLineChars="0"/>
        <w:jc w:val="center"/>
        <w:rPr>
          <w:rFonts w:ascii="宋体" w:cs="宋体"/>
          <w:b/>
          <w:bCs/>
          <w:color w:val="auto"/>
          <w:sz w:val="72"/>
          <w:szCs w:val="72"/>
        </w:rPr>
      </w:pPr>
      <w:r>
        <w:rPr>
          <w:rFonts w:hint="eastAsia" w:ascii="宋体" w:hAnsi="宋体" w:cs="宋体"/>
          <w:b/>
          <w:bCs/>
          <w:color w:val="auto"/>
          <w:sz w:val="72"/>
          <w:szCs w:val="72"/>
        </w:rPr>
        <w:t>报价文件</w:t>
      </w:r>
    </w:p>
    <w:p w14:paraId="13C59A04">
      <w:pPr>
        <w:spacing w:line="240" w:lineRule="auto"/>
        <w:ind w:firstLine="883"/>
        <w:jc w:val="center"/>
        <w:rPr>
          <w:rFonts w:ascii="宋体" w:cs="宋体"/>
          <w:b/>
          <w:bCs/>
          <w:color w:val="auto"/>
          <w:sz w:val="44"/>
          <w:szCs w:val="44"/>
        </w:rPr>
      </w:pPr>
    </w:p>
    <w:p w14:paraId="0AE2AAFA">
      <w:pPr>
        <w:pStyle w:val="16"/>
        <w:ind w:firstLine="0" w:firstLineChars="0"/>
        <w:rPr>
          <w:rFonts w:ascii="宋体" w:cs="宋体"/>
          <w:color w:val="auto"/>
        </w:rPr>
      </w:pPr>
    </w:p>
    <w:p w14:paraId="282613D4">
      <w:pPr>
        <w:pStyle w:val="16"/>
        <w:ind w:firstLine="0" w:firstLineChars="0"/>
        <w:rPr>
          <w:rFonts w:ascii="宋体" w:cs="宋体"/>
          <w:color w:val="auto"/>
        </w:rPr>
      </w:pPr>
    </w:p>
    <w:p w14:paraId="347BDAFD">
      <w:pPr>
        <w:ind w:firstLine="480"/>
        <w:rPr>
          <w:rFonts w:ascii="宋体" w:cs="宋体"/>
          <w:color w:val="auto"/>
        </w:rPr>
      </w:pPr>
    </w:p>
    <w:p w14:paraId="36A7E315">
      <w:pPr>
        <w:pStyle w:val="57"/>
        <w:ind w:firstLine="320"/>
        <w:rPr>
          <w:color w:val="auto"/>
        </w:rPr>
      </w:pPr>
    </w:p>
    <w:p w14:paraId="4688DD1E">
      <w:pPr>
        <w:pStyle w:val="2"/>
        <w:ind w:left="0" w:leftChars="0" w:firstLine="0" w:firstLineChars="0"/>
        <w:rPr>
          <w:color w:val="auto"/>
        </w:rPr>
      </w:pPr>
    </w:p>
    <w:p w14:paraId="37F92C56">
      <w:pPr>
        <w:pStyle w:val="57"/>
        <w:ind w:left="0" w:leftChars="0" w:firstLine="0" w:firstLineChars="0"/>
        <w:rPr>
          <w:color w:val="auto"/>
        </w:rPr>
      </w:pPr>
    </w:p>
    <w:p w14:paraId="6E6E2B78">
      <w:pPr>
        <w:pStyle w:val="57"/>
        <w:ind w:firstLine="320"/>
        <w:rPr>
          <w:color w:val="auto"/>
        </w:rPr>
      </w:pPr>
    </w:p>
    <w:p w14:paraId="688E77F6">
      <w:pPr>
        <w:spacing w:line="360" w:lineRule="auto"/>
        <w:ind w:firstLine="640"/>
        <w:rPr>
          <w:rFonts w:ascii="宋体" w:cs="宋体"/>
          <w:color w:val="auto"/>
          <w:sz w:val="32"/>
        </w:rPr>
      </w:pPr>
      <w:r>
        <w:rPr>
          <w:rFonts w:hint="eastAsia" w:ascii="宋体" w:hAnsi="宋体" w:cs="宋体"/>
          <w:color w:val="auto"/>
          <w:sz w:val="32"/>
        </w:rPr>
        <w:t>项目编号：</w:t>
      </w:r>
      <w:r>
        <w:rPr>
          <w:rFonts w:hint="eastAsia" w:ascii="宋体" w:hAnsi="宋体" w:cs="宋体"/>
          <w:color w:val="auto"/>
          <w:sz w:val="32"/>
          <w:u w:val="single"/>
          <w:lang w:eastAsia="zh-CN"/>
        </w:rPr>
        <w:t>ZJZHGL2025-005</w:t>
      </w:r>
      <w:r>
        <w:rPr>
          <w:rFonts w:ascii="宋体" w:hAnsi="宋体" w:cs="宋体"/>
          <w:color w:val="auto"/>
          <w:sz w:val="32"/>
          <w:u w:val="single"/>
        </w:rPr>
        <w:t xml:space="preserve">                      </w:t>
      </w:r>
    </w:p>
    <w:p w14:paraId="09FB693D">
      <w:pPr>
        <w:spacing w:line="360" w:lineRule="auto"/>
        <w:ind w:firstLine="640"/>
        <w:rPr>
          <w:rFonts w:ascii="宋体" w:cs="宋体"/>
          <w:color w:val="auto"/>
          <w:sz w:val="32"/>
          <w:u w:val="single"/>
        </w:rPr>
      </w:pPr>
      <w:r>
        <w:rPr>
          <w:rFonts w:hint="eastAsia" w:ascii="宋体" w:hAnsi="宋体" w:cs="宋体"/>
          <w:color w:val="auto"/>
          <w:sz w:val="32"/>
        </w:rPr>
        <w:t>投</w:t>
      </w:r>
      <w:r>
        <w:rPr>
          <w:rFonts w:ascii="宋体" w:hAnsi="宋体" w:cs="宋体"/>
          <w:color w:val="auto"/>
          <w:sz w:val="32"/>
        </w:rPr>
        <w:t xml:space="preserve"> </w:t>
      </w:r>
      <w:r>
        <w:rPr>
          <w:rFonts w:hint="eastAsia" w:ascii="宋体" w:hAnsi="宋体" w:cs="宋体"/>
          <w:color w:val="auto"/>
          <w:sz w:val="32"/>
        </w:rPr>
        <w:t>标</w:t>
      </w:r>
      <w:r>
        <w:rPr>
          <w:rFonts w:ascii="宋体" w:hAnsi="宋体" w:cs="宋体"/>
          <w:color w:val="auto"/>
          <w:sz w:val="32"/>
        </w:rPr>
        <w:t xml:space="preserve"> </w:t>
      </w:r>
      <w:r>
        <w:rPr>
          <w:rFonts w:hint="eastAsia" w:ascii="宋体" w:hAnsi="宋体" w:cs="宋体"/>
          <w:color w:val="auto"/>
          <w:sz w:val="32"/>
        </w:rPr>
        <w:t>人：</w:t>
      </w:r>
      <w:r>
        <w:rPr>
          <w:rFonts w:ascii="宋体" w:hAnsi="宋体" w:cs="宋体"/>
          <w:color w:val="auto"/>
          <w:sz w:val="32"/>
          <w:u w:val="single"/>
        </w:rPr>
        <w:t xml:space="preserve">        </w:t>
      </w:r>
      <w:r>
        <w:rPr>
          <w:rFonts w:hint="eastAsia" w:ascii="宋体" w:hAnsi="宋体" w:cs="宋体"/>
          <w:color w:val="auto"/>
          <w:sz w:val="32"/>
          <w:u w:val="single"/>
        </w:rPr>
        <w:t>（全称）</w:t>
      </w:r>
      <w:r>
        <w:rPr>
          <w:rFonts w:hint="eastAsia" w:ascii="宋体" w:hAnsi="宋体" w:cs="宋体"/>
          <w:color w:val="auto"/>
          <w:sz w:val="32"/>
          <w:u w:val="single"/>
          <w:lang w:val="en-US" w:eastAsia="zh-CN"/>
        </w:rPr>
        <w:t xml:space="preserve">        </w:t>
      </w:r>
      <w:r>
        <w:rPr>
          <w:rFonts w:hint="eastAsia" w:ascii="宋体" w:hAnsi="宋体" w:cs="宋体"/>
          <w:color w:val="auto"/>
          <w:sz w:val="32"/>
          <w:u w:val="single"/>
        </w:rPr>
        <w:t>（加盖公章）</w:t>
      </w:r>
    </w:p>
    <w:p w14:paraId="06E897E2">
      <w:pPr>
        <w:spacing w:line="360" w:lineRule="auto"/>
        <w:ind w:firstLine="640"/>
        <w:rPr>
          <w:rFonts w:ascii="宋体" w:cs="宋体"/>
          <w:color w:val="auto"/>
          <w:sz w:val="32"/>
          <w:u w:val="single"/>
        </w:rPr>
      </w:pPr>
      <w:r>
        <w:rPr>
          <w:rFonts w:hint="eastAsia" w:ascii="宋体" w:hAnsi="宋体" w:cs="宋体"/>
          <w:color w:val="auto"/>
          <w:sz w:val="32"/>
        </w:rPr>
        <w:t>法定代表人或授权代表人</w:t>
      </w:r>
      <w:r>
        <w:rPr>
          <w:rFonts w:hint="eastAsia" w:ascii="宋体" w:hAnsi="宋体" w:cs="宋体"/>
          <w:color w:val="auto"/>
          <w:sz w:val="32"/>
          <w:lang w:eastAsia="zh-CN"/>
        </w:rPr>
        <w:t>（</w:t>
      </w:r>
      <w:r>
        <w:rPr>
          <w:rFonts w:hint="eastAsia" w:ascii="宋体" w:hAnsi="宋体" w:cs="宋体"/>
          <w:color w:val="auto"/>
          <w:sz w:val="32"/>
        </w:rPr>
        <w:t>签字或盖章</w:t>
      </w:r>
      <w:r>
        <w:rPr>
          <w:rFonts w:hint="eastAsia" w:ascii="宋体" w:hAnsi="宋体" w:cs="宋体"/>
          <w:color w:val="auto"/>
          <w:sz w:val="32"/>
          <w:lang w:eastAsia="zh-CN"/>
        </w:rPr>
        <w:t>）</w:t>
      </w:r>
      <w:r>
        <w:rPr>
          <w:rFonts w:hint="eastAsia" w:ascii="宋体" w:hAnsi="宋体" w:cs="宋体"/>
          <w:color w:val="auto"/>
          <w:sz w:val="32"/>
        </w:rPr>
        <w:t>：</w:t>
      </w:r>
    </w:p>
    <w:p w14:paraId="1D4BA1D2">
      <w:pPr>
        <w:spacing w:line="360" w:lineRule="auto"/>
        <w:ind w:firstLine="640"/>
        <w:rPr>
          <w:rFonts w:hint="eastAsia" w:ascii="宋体" w:hAnsi="宋体" w:cs="宋体"/>
          <w:color w:val="auto"/>
          <w:sz w:val="32"/>
        </w:rPr>
      </w:pPr>
      <w:r>
        <w:rPr>
          <w:rFonts w:hint="eastAsia" w:ascii="宋体" w:hAnsi="宋体" w:cs="宋体"/>
          <w:color w:val="auto"/>
          <w:sz w:val="32"/>
        </w:rPr>
        <w:t>投标人地址：</w:t>
      </w:r>
    </w:p>
    <w:p w14:paraId="60461D89">
      <w:pPr>
        <w:spacing w:line="360" w:lineRule="auto"/>
        <w:ind w:firstLine="0" w:firstLineChars="0"/>
        <w:jc w:val="center"/>
        <w:rPr>
          <w:rFonts w:hint="eastAsia" w:ascii="宋体" w:hAnsi="宋体" w:cs="宋体"/>
          <w:color w:val="auto"/>
          <w:sz w:val="32"/>
        </w:rPr>
      </w:pPr>
    </w:p>
    <w:p w14:paraId="10E218C8">
      <w:pPr>
        <w:spacing w:line="360" w:lineRule="auto"/>
        <w:ind w:firstLine="0" w:firstLineChars="0"/>
        <w:jc w:val="center"/>
        <w:rPr>
          <w:rFonts w:ascii="宋体" w:hAnsi="宋体" w:cs="宋体"/>
          <w:b/>
          <w:bCs/>
          <w:color w:val="auto"/>
        </w:rPr>
      </w:pPr>
      <w:r>
        <w:rPr>
          <w:rFonts w:hint="eastAsia" w:ascii="宋体" w:hAnsi="宋体" w:cs="宋体"/>
          <w:color w:val="auto"/>
          <w:sz w:val="32"/>
        </w:rPr>
        <w:t>二〇二</w:t>
      </w:r>
      <w:r>
        <w:rPr>
          <w:rFonts w:hint="eastAsia" w:ascii="宋体" w:hAnsi="宋体" w:cs="宋体"/>
          <w:color w:val="auto"/>
          <w:sz w:val="32"/>
          <w:lang w:val="en-US" w:eastAsia="zh-CN"/>
        </w:rPr>
        <w:t>五</w:t>
      </w:r>
      <w:r>
        <w:rPr>
          <w:rFonts w:hint="eastAsia" w:ascii="宋体" w:hAnsi="宋体" w:cs="宋体"/>
          <w:color w:val="auto"/>
          <w:sz w:val="32"/>
        </w:rPr>
        <w:t>年</w:t>
      </w:r>
      <w:r>
        <w:rPr>
          <w:rFonts w:ascii="宋体" w:hAnsi="宋体" w:cs="宋体"/>
          <w:color w:val="auto"/>
          <w:sz w:val="32"/>
        </w:rPr>
        <w:t xml:space="preserve">   </w:t>
      </w:r>
      <w:r>
        <w:rPr>
          <w:rFonts w:hint="eastAsia" w:ascii="宋体" w:hAnsi="宋体" w:cs="宋体"/>
          <w:color w:val="auto"/>
          <w:sz w:val="32"/>
        </w:rPr>
        <w:t>月</w:t>
      </w:r>
      <w:r>
        <w:rPr>
          <w:rFonts w:ascii="宋体" w:hAnsi="宋体" w:cs="宋体"/>
          <w:color w:val="auto"/>
          <w:sz w:val="32"/>
        </w:rPr>
        <w:t xml:space="preserve">   </w:t>
      </w:r>
      <w:r>
        <w:rPr>
          <w:rFonts w:hint="eastAsia" w:ascii="宋体" w:hAnsi="宋体" w:cs="宋体"/>
          <w:color w:val="auto"/>
          <w:sz w:val="32"/>
        </w:rPr>
        <w:t>日</w:t>
      </w:r>
    </w:p>
    <w:p w14:paraId="3D73966C">
      <w:pPr>
        <w:ind w:firstLine="0" w:firstLineChars="0"/>
        <w:outlineLvl w:val="1"/>
        <w:rPr>
          <w:rFonts w:hint="default" w:ascii="宋体" w:eastAsia="宋体" w:cs="宋体"/>
          <w:b/>
          <w:bCs/>
          <w:color w:val="auto"/>
          <w:lang w:val="en-US" w:eastAsia="zh-CN"/>
        </w:rPr>
      </w:pPr>
      <w:bookmarkStart w:id="1401" w:name="_Toc31946"/>
      <w:bookmarkStart w:id="1402" w:name="_Toc5211"/>
      <w:bookmarkStart w:id="1403" w:name="_Toc4594"/>
      <w:bookmarkStart w:id="1404" w:name="_Toc24432"/>
      <w:bookmarkStart w:id="1405" w:name="_Toc20433"/>
      <w:bookmarkStart w:id="1406" w:name="_Toc13634"/>
      <w:bookmarkStart w:id="1407" w:name="_Toc25710"/>
      <w:bookmarkStart w:id="1408" w:name="_Toc4376"/>
      <w:bookmarkStart w:id="1409" w:name="_Toc13333"/>
      <w:bookmarkStart w:id="1410" w:name="_Toc16798"/>
      <w:bookmarkStart w:id="1411" w:name="_Toc6661"/>
      <w:bookmarkStart w:id="1412" w:name="_Toc18208"/>
      <w:bookmarkStart w:id="1413" w:name="_Toc8609"/>
      <w:bookmarkStart w:id="1414" w:name="_Toc18452"/>
      <w:bookmarkStart w:id="1415" w:name="_Toc20474"/>
      <w:bookmarkStart w:id="1416" w:name="_Toc27025"/>
      <w:bookmarkStart w:id="1417" w:name="_Toc14293"/>
      <w:bookmarkStart w:id="1418" w:name="_Toc31451"/>
      <w:bookmarkStart w:id="1419" w:name="_Toc18194"/>
      <w:bookmarkStart w:id="1420" w:name="_Toc24177"/>
      <w:bookmarkStart w:id="1421" w:name="_Toc6584"/>
      <w:bookmarkStart w:id="1422" w:name="_Toc24948"/>
      <w:bookmarkStart w:id="1423" w:name="_Toc24825"/>
      <w:bookmarkStart w:id="1424" w:name="_Toc5894"/>
      <w:bookmarkStart w:id="1425" w:name="_Toc19302"/>
      <w:bookmarkStart w:id="1426" w:name="_Toc2822"/>
      <w:bookmarkStart w:id="1427" w:name="_Toc28977"/>
      <w:bookmarkStart w:id="1428" w:name="_Toc27894"/>
      <w:bookmarkStart w:id="1429" w:name="_Toc29549"/>
      <w:bookmarkStart w:id="1430" w:name="_Toc2628"/>
      <w:bookmarkStart w:id="1431" w:name="_Toc594"/>
      <w:bookmarkStart w:id="1432" w:name="_Toc19624"/>
      <w:bookmarkStart w:id="1433" w:name="_Toc16261"/>
      <w:bookmarkStart w:id="1434" w:name="_Toc4847"/>
      <w:bookmarkStart w:id="1435" w:name="_Toc21607"/>
      <w:r>
        <w:rPr>
          <w:rFonts w:hint="eastAsia" w:ascii="宋体" w:hAnsi="宋体" w:cs="宋体"/>
          <w:b/>
          <w:bCs/>
          <w:color w:val="auto"/>
        </w:rPr>
        <w:t>附件</w:t>
      </w:r>
      <w:bookmarkEnd w:id="1401"/>
      <w:bookmarkEnd w:id="1402"/>
      <w:bookmarkEnd w:id="1403"/>
      <w:bookmarkEnd w:id="1404"/>
      <w:bookmarkEnd w:id="1405"/>
      <w:bookmarkEnd w:id="1406"/>
      <w:r>
        <w:rPr>
          <w:rFonts w:hint="eastAsia" w:ascii="宋体" w:hAnsi="宋体" w:cs="宋体"/>
          <w:b/>
          <w:bCs/>
          <w:color w:val="auto"/>
          <w:lang w:val="en-US" w:eastAsia="zh-CN"/>
        </w:rPr>
        <w:t>10</w:t>
      </w:r>
    </w:p>
    <w:p w14:paraId="7E32C33C">
      <w:pPr>
        <w:tabs>
          <w:tab w:val="left" w:pos="900"/>
        </w:tabs>
        <w:spacing w:line="360" w:lineRule="auto"/>
        <w:ind w:firstLine="0" w:firstLineChars="0"/>
        <w:jc w:val="center"/>
        <w:outlineLvl w:val="0"/>
        <w:rPr>
          <w:rFonts w:ascii="宋体" w:hAnsi="宋体"/>
          <w:color w:val="auto"/>
          <w:spacing w:val="-4"/>
          <w:sz w:val="32"/>
          <w:szCs w:val="32"/>
        </w:rPr>
      </w:pPr>
      <w:bookmarkStart w:id="1436" w:name="_Toc12629"/>
      <w:bookmarkStart w:id="1437" w:name="_Toc24802"/>
      <w:bookmarkStart w:id="1438" w:name="_Toc14250"/>
      <w:bookmarkStart w:id="1439" w:name="_Toc10230"/>
      <w:bookmarkStart w:id="1440" w:name="_Toc23768"/>
      <w:bookmarkStart w:id="1441" w:name="_Toc22225"/>
      <w:r>
        <w:rPr>
          <w:rFonts w:hint="eastAsia" w:ascii="宋体" w:hAnsi="宋体"/>
          <w:b/>
          <w:color w:val="auto"/>
          <w:spacing w:val="-4"/>
          <w:sz w:val="32"/>
          <w:szCs w:val="32"/>
        </w:rPr>
        <w:t>开标一览表</w:t>
      </w:r>
      <w:bookmarkEnd w:id="1436"/>
      <w:bookmarkEnd w:id="1437"/>
      <w:bookmarkEnd w:id="1438"/>
      <w:bookmarkEnd w:id="1439"/>
      <w:bookmarkEnd w:id="1440"/>
      <w:bookmarkEnd w:id="1441"/>
    </w:p>
    <w:p w14:paraId="1FF99424">
      <w:pPr>
        <w:tabs>
          <w:tab w:val="left" w:pos="900"/>
        </w:tabs>
        <w:spacing w:line="360" w:lineRule="auto"/>
        <w:ind w:firstLine="464"/>
        <w:rPr>
          <w:rFonts w:ascii="宋体" w:hAnsi="宋体"/>
          <w:color w:val="auto"/>
          <w:spacing w:val="-4"/>
        </w:rPr>
      </w:pPr>
    </w:p>
    <w:p w14:paraId="43DB1D63">
      <w:pPr>
        <w:tabs>
          <w:tab w:val="left" w:pos="900"/>
        </w:tabs>
        <w:spacing w:line="360" w:lineRule="auto"/>
        <w:ind w:firstLine="6960" w:firstLineChars="3000"/>
        <w:rPr>
          <w:rFonts w:ascii="宋体" w:hAnsi="宋体"/>
          <w:color w:val="auto"/>
          <w:spacing w:val="-4"/>
          <w:u w:val="single"/>
        </w:rPr>
      </w:pPr>
      <w:r>
        <w:rPr>
          <w:rFonts w:hint="eastAsia" w:ascii="宋体" w:hAnsi="宋体"/>
          <w:color w:val="auto"/>
          <w:spacing w:val="-4"/>
        </w:rPr>
        <w:t xml:space="preserve">  货币形式：</w:t>
      </w:r>
      <w:r>
        <w:rPr>
          <w:rFonts w:hint="eastAsia" w:ascii="宋体" w:hAnsi="宋体"/>
          <w:color w:val="auto"/>
          <w:spacing w:val="-4"/>
          <w:u w:val="single"/>
        </w:rPr>
        <w:t>人民币/元</w:t>
      </w:r>
    </w:p>
    <w:tbl>
      <w:tblPr>
        <w:tblStyle w:val="36"/>
        <w:tblW w:w="9930" w:type="dxa"/>
        <w:tblInd w:w="-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370"/>
      </w:tblGrid>
      <w:tr w14:paraId="2A98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60" w:type="dxa"/>
            <w:noWrap w:val="0"/>
            <w:vAlign w:val="center"/>
          </w:tcPr>
          <w:p w14:paraId="3922B8C4">
            <w:pPr>
              <w:spacing w:line="300" w:lineRule="auto"/>
              <w:ind w:left="0" w:leftChars="0" w:firstLine="0" w:firstLineChars="0"/>
              <w:jc w:val="center"/>
              <w:rPr>
                <w:rFonts w:hint="eastAsia" w:ascii="宋体" w:hAnsi="宋体" w:cs="宋体"/>
                <w:b/>
                <w:bCs/>
                <w:color w:val="auto"/>
                <w:sz w:val="24"/>
              </w:rPr>
            </w:pPr>
            <w:r>
              <w:rPr>
                <w:rFonts w:hint="eastAsia" w:ascii="宋体" w:hAnsi="宋体" w:cs="宋体"/>
                <w:b/>
                <w:bCs/>
                <w:color w:val="auto"/>
                <w:sz w:val="24"/>
              </w:rPr>
              <w:t>项目名称</w:t>
            </w:r>
          </w:p>
        </w:tc>
        <w:tc>
          <w:tcPr>
            <w:tcW w:w="8370" w:type="dxa"/>
            <w:noWrap w:val="0"/>
            <w:vAlign w:val="center"/>
          </w:tcPr>
          <w:p w14:paraId="4DF5CFC7">
            <w:pPr>
              <w:ind w:left="0" w:leftChars="0" w:firstLine="0" w:firstLineChars="0"/>
              <w:jc w:val="both"/>
              <w:rPr>
                <w:rFonts w:hint="eastAsia" w:ascii="宋体" w:hAnsi="宋体" w:cs="宋体"/>
                <w:b/>
                <w:bCs/>
                <w:color w:val="auto"/>
                <w:sz w:val="24"/>
                <w:szCs w:val="24"/>
                <w:u w:val="single"/>
              </w:rPr>
            </w:pPr>
            <w:r>
              <w:rPr>
                <w:rFonts w:hint="eastAsia" w:ascii="宋体" w:cs="宋体"/>
                <w:bCs/>
                <w:sz w:val="24"/>
                <w:szCs w:val="24"/>
                <w:u w:val="none"/>
                <w:lang w:eastAsia="zh-CN"/>
              </w:rPr>
              <w:t>龙游经济开发区基础设施配套工程-城南特勤消防站家具采购项目</w:t>
            </w:r>
            <w:r>
              <w:rPr>
                <w:rFonts w:hint="eastAsia" w:ascii="宋体" w:cs="宋体"/>
                <w:bCs/>
                <w:sz w:val="24"/>
                <w:szCs w:val="24"/>
                <w:u w:val="none"/>
                <w:lang w:val="en-US" w:eastAsia="zh-CN"/>
              </w:rPr>
              <w:t xml:space="preserve"> </w:t>
            </w:r>
          </w:p>
        </w:tc>
      </w:tr>
      <w:tr w14:paraId="6F56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560" w:type="dxa"/>
            <w:noWrap w:val="0"/>
            <w:vAlign w:val="center"/>
          </w:tcPr>
          <w:p w14:paraId="75AA9210">
            <w:pPr>
              <w:spacing w:line="300" w:lineRule="auto"/>
              <w:ind w:left="0" w:leftChars="0" w:firstLine="0" w:firstLineChars="0"/>
              <w:jc w:val="center"/>
              <w:rPr>
                <w:rFonts w:hint="eastAsia" w:ascii="宋体" w:hAnsi="宋体" w:cs="宋体"/>
                <w:b/>
                <w:bCs/>
                <w:color w:val="auto"/>
                <w:sz w:val="24"/>
              </w:rPr>
            </w:pPr>
            <w:r>
              <w:rPr>
                <w:rFonts w:hint="eastAsia" w:ascii="宋体" w:hAnsi="宋体" w:cs="宋体"/>
                <w:b/>
                <w:bCs/>
                <w:color w:val="auto"/>
                <w:sz w:val="24"/>
              </w:rPr>
              <w:t>采购编号</w:t>
            </w:r>
          </w:p>
        </w:tc>
        <w:tc>
          <w:tcPr>
            <w:tcW w:w="8370" w:type="dxa"/>
            <w:noWrap w:val="0"/>
            <w:vAlign w:val="center"/>
          </w:tcPr>
          <w:p w14:paraId="2C6F0A53">
            <w:pPr>
              <w:spacing w:line="300" w:lineRule="auto"/>
              <w:ind w:left="0" w:leftChars="0" w:firstLine="0" w:firstLineChars="0"/>
              <w:rPr>
                <w:rFonts w:hint="eastAsia" w:ascii="宋体" w:hAnsi="宋体" w:cs="宋体"/>
                <w:b/>
                <w:color w:val="auto"/>
                <w:sz w:val="24"/>
              </w:rPr>
            </w:pPr>
            <w:r>
              <w:rPr>
                <w:rFonts w:hint="eastAsia" w:ascii="宋体" w:hAnsi="宋体" w:cs="宋体"/>
                <w:b w:val="0"/>
                <w:bCs/>
                <w:color w:val="auto"/>
                <w:sz w:val="24"/>
                <w:lang w:eastAsia="zh-CN"/>
              </w:rPr>
              <w:t>ZJZHGL2025-005</w:t>
            </w:r>
          </w:p>
        </w:tc>
      </w:tr>
      <w:tr w14:paraId="3E5C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560" w:type="dxa"/>
            <w:noWrap w:val="0"/>
            <w:vAlign w:val="center"/>
          </w:tcPr>
          <w:p w14:paraId="519B476F">
            <w:pPr>
              <w:spacing w:line="300" w:lineRule="auto"/>
              <w:ind w:left="0" w:leftChars="0" w:firstLine="0" w:firstLineChars="0"/>
              <w:jc w:val="center"/>
              <w:rPr>
                <w:rFonts w:hint="eastAsia" w:ascii="宋体" w:hAnsi="宋体" w:eastAsia="宋体" w:cs="宋体"/>
                <w:b/>
                <w:bCs/>
                <w:color w:val="auto"/>
                <w:sz w:val="24"/>
                <w:highlight w:val="none"/>
                <w:lang w:eastAsia="zh-CN"/>
              </w:rPr>
            </w:pPr>
            <w:r>
              <w:rPr>
                <w:rFonts w:hint="eastAsia" w:ascii="宋体" w:hAnsi="宋体" w:cs="宋体"/>
                <w:b/>
                <w:bCs/>
                <w:color w:val="auto"/>
                <w:sz w:val="24"/>
                <w:highlight w:val="none"/>
              </w:rPr>
              <w:t>投标报价</w:t>
            </w:r>
          </w:p>
        </w:tc>
        <w:tc>
          <w:tcPr>
            <w:tcW w:w="8370" w:type="dxa"/>
            <w:noWrap w:val="0"/>
            <w:vAlign w:val="center"/>
          </w:tcPr>
          <w:p w14:paraId="25A4A993">
            <w:pPr>
              <w:spacing w:line="300" w:lineRule="auto"/>
              <w:ind w:left="0" w:leftChars="0" w:firstLine="0" w:firstLineChars="0"/>
              <w:jc w:val="both"/>
              <w:rPr>
                <w:rFonts w:hint="eastAsia" w:ascii="宋体" w:hAnsi="宋体" w:cs="宋体"/>
                <w:b/>
                <w:color w:val="auto"/>
                <w:sz w:val="24"/>
              </w:rPr>
            </w:pPr>
            <w:r>
              <w:rPr>
                <w:rFonts w:hint="eastAsia" w:ascii="宋体" w:hAnsi="Times New Roman" w:cs="宋体"/>
                <w:bCs/>
                <w:sz w:val="24"/>
                <w:szCs w:val="24"/>
                <w:u w:val="none"/>
                <w:lang w:eastAsia="zh-CN"/>
              </w:rPr>
              <w:t>人民币大写：</w:t>
            </w:r>
            <w:r>
              <w:rPr>
                <w:rFonts w:hint="eastAsia" w:ascii="宋体" w:hAnsi="Times New Roman" w:cs="宋体"/>
                <w:bCs/>
                <w:sz w:val="24"/>
                <w:szCs w:val="24"/>
                <w:u w:val="single"/>
                <w:lang w:eastAsia="zh-CN"/>
              </w:rPr>
              <w:t xml:space="preserve">              </w:t>
            </w:r>
            <w:r>
              <w:rPr>
                <w:rFonts w:hint="eastAsia" w:ascii="宋体" w:hAnsi="Times New Roman" w:cs="宋体"/>
                <w:bCs/>
                <w:sz w:val="24"/>
                <w:szCs w:val="24"/>
                <w:u w:val="none"/>
                <w:lang w:eastAsia="zh-CN"/>
              </w:rPr>
              <w:t>元  （小写：</w:t>
            </w:r>
            <w:r>
              <w:rPr>
                <w:rFonts w:hint="default" w:ascii="Arial" w:hAnsi="Arial" w:cs="Arial"/>
                <w:bCs/>
                <w:sz w:val="24"/>
                <w:szCs w:val="24"/>
                <w:u w:val="none"/>
                <w:lang w:eastAsia="zh-CN"/>
              </w:rPr>
              <w:t>¥</w:t>
            </w:r>
            <w:r>
              <w:rPr>
                <w:rFonts w:hint="eastAsia" w:ascii="宋体" w:hAnsi="Times New Roman" w:cs="宋体"/>
                <w:bCs/>
                <w:sz w:val="24"/>
                <w:szCs w:val="24"/>
                <w:u w:val="single"/>
                <w:lang w:eastAsia="zh-CN"/>
              </w:rPr>
              <w:t xml:space="preserve">      </w:t>
            </w:r>
            <w:r>
              <w:rPr>
                <w:rFonts w:hint="eastAsia" w:ascii="宋体" w:hAnsi="Times New Roman" w:cs="宋体"/>
                <w:bCs/>
                <w:sz w:val="24"/>
                <w:szCs w:val="24"/>
                <w:u w:val="none"/>
                <w:lang w:eastAsia="zh-CN"/>
              </w:rPr>
              <w:t>元 ）</w:t>
            </w:r>
          </w:p>
        </w:tc>
      </w:tr>
      <w:tr w14:paraId="2EE8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560" w:type="dxa"/>
            <w:noWrap w:val="0"/>
            <w:vAlign w:val="center"/>
          </w:tcPr>
          <w:p w14:paraId="0FE00DFC">
            <w:pPr>
              <w:spacing w:line="300" w:lineRule="auto"/>
              <w:ind w:left="0" w:leftChars="0" w:firstLine="0" w:firstLineChars="0"/>
              <w:jc w:val="center"/>
              <w:rPr>
                <w:rFonts w:hint="eastAsia" w:ascii="宋体" w:hAnsi="宋体" w:eastAsia="宋体" w:cs="宋体"/>
                <w:b/>
                <w:bCs/>
                <w:color w:val="auto"/>
                <w:sz w:val="24"/>
                <w:highlight w:val="none"/>
                <w:lang w:eastAsia="zh-CN"/>
              </w:rPr>
            </w:pPr>
            <w:r>
              <w:rPr>
                <w:rFonts w:hint="eastAsia" w:ascii="宋体" w:hAnsi="宋体" w:cs="宋体"/>
                <w:b/>
                <w:bCs/>
                <w:color w:val="auto"/>
                <w:sz w:val="24"/>
                <w:highlight w:val="none"/>
                <w:lang w:val="en-US" w:eastAsia="zh-CN"/>
              </w:rPr>
              <w:t>供货期</w:t>
            </w:r>
          </w:p>
        </w:tc>
        <w:tc>
          <w:tcPr>
            <w:tcW w:w="8370" w:type="dxa"/>
            <w:noWrap w:val="0"/>
            <w:vAlign w:val="center"/>
          </w:tcPr>
          <w:p w14:paraId="1C92688C">
            <w:pPr>
              <w:spacing w:line="300" w:lineRule="auto"/>
              <w:ind w:left="0" w:leftChars="0" w:firstLine="0" w:firstLineChars="0"/>
              <w:rPr>
                <w:rFonts w:hint="eastAsia" w:ascii="宋体" w:hAnsi="宋体" w:cs="宋体"/>
                <w:b/>
                <w:color w:val="auto"/>
                <w:sz w:val="24"/>
                <w:highlight w:val="none"/>
              </w:rPr>
            </w:pPr>
            <w:r>
              <w:rPr>
                <w:rFonts w:hint="eastAsia" w:ascii="宋体" w:hAnsi="宋体"/>
                <w:color w:val="auto"/>
                <w:sz w:val="24"/>
                <w:szCs w:val="24"/>
                <w:highlight w:val="none"/>
                <w:rtl w:val="0"/>
                <w:lang w:val="zh-Hans" w:eastAsia="zh-CN"/>
              </w:rPr>
              <w:t>合同签订后60个日历天内完成供货、安装及验收。</w:t>
            </w:r>
            <w:r>
              <w:rPr>
                <w:rFonts w:hint="eastAsia" w:ascii="宋体" w:hAnsi="宋体" w:cs="宋体"/>
                <w:b/>
                <w:color w:val="auto"/>
                <w:sz w:val="24"/>
                <w:highlight w:val="none"/>
              </w:rPr>
              <w:t xml:space="preserve">   </w:t>
            </w:r>
          </w:p>
        </w:tc>
      </w:tr>
      <w:tr w14:paraId="6E80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60" w:type="dxa"/>
            <w:noWrap w:val="0"/>
            <w:vAlign w:val="center"/>
          </w:tcPr>
          <w:p w14:paraId="38621D17">
            <w:pPr>
              <w:spacing w:line="300" w:lineRule="auto"/>
              <w:ind w:left="0" w:leftChars="0" w:firstLine="0" w:firstLineChars="0"/>
              <w:jc w:val="center"/>
              <w:rPr>
                <w:rFonts w:hint="eastAsia" w:ascii="宋体" w:hAnsi="宋体" w:cs="宋体"/>
                <w:b/>
                <w:bCs/>
                <w:color w:val="auto"/>
                <w:sz w:val="24"/>
                <w:highlight w:val="none"/>
              </w:rPr>
            </w:pPr>
            <w:r>
              <w:rPr>
                <w:rFonts w:hint="eastAsia" w:ascii="宋体" w:hAnsi="宋体" w:cs="宋体"/>
                <w:b/>
                <w:bCs/>
                <w:color w:val="auto"/>
                <w:sz w:val="24"/>
                <w:highlight w:val="none"/>
              </w:rPr>
              <w:t>备注</w:t>
            </w:r>
          </w:p>
        </w:tc>
        <w:tc>
          <w:tcPr>
            <w:tcW w:w="8370" w:type="dxa"/>
            <w:noWrap w:val="0"/>
            <w:vAlign w:val="center"/>
          </w:tcPr>
          <w:p w14:paraId="26421991">
            <w:pPr>
              <w:spacing w:line="300" w:lineRule="auto"/>
              <w:rPr>
                <w:rFonts w:hint="eastAsia" w:ascii="宋体" w:hAnsi="宋体" w:cs="宋体"/>
                <w:b/>
                <w:color w:val="auto"/>
                <w:sz w:val="24"/>
                <w:highlight w:val="none"/>
              </w:rPr>
            </w:pPr>
          </w:p>
        </w:tc>
      </w:tr>
    </w:tbl>
    <w:p w14:paraId="71025772">
      <w:pPr>
        <w:shd w:val="clear" w:color="auto" w:fill="auto"/>
        <w:snapToGri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zh-CN" w:eastAsia="zh-CN"/>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开标一览表中的报价</w:t>
      </w:r>
      <w:r>
        <w:rPr>
          <w:rFonts w:hint="eastAsia" w:ascii="宋体" w:hAnsi="宋体" w:cs="宋体"/>
          <w:color w:val="auto"/>
          <w:sz w:val="24"/>
          <w:szCs w:val="24"/>
          <w:highlight w:val="none"/>
          <w:lang w:val="en-US" w:eastAsia="zh-CN"/>
        </w:rPr>
        <w:t>包括但不限于本次项目实施所需的</w:t>
      </w:r>
      <w:r>
        <w:rPr>
          <w:rFonts w:hint="eastAsia" w:ascii="宋体" w:hAnsi="宋体" w:cs="宋体"/>
          <w:color w:val="auto"/>
          <w:highlight w:val="none"/>
          <w:lang w:val="zh-CN"/>
        </w:rPr>
        <w:t>货物、人工费(投标人须充分考虑安装及调试中遇到的各种问题)、安装调试费、材料费、运输费、装卸车费、总包配合费（1万元由乙方与土建施工单位自行结算）、检测检验费、成品保护费、技术服务、培训费、维护费、辅助材料费、验收费、售后服</w:t>
      </w:r>
      <w:r>
        <w:rPr>
          <w:rFonts w:hint="eastAsia" w:ascii="宋体" w:hAnsi="宋体" w:cs="宋体"/>
          <w:color w:val="auto"/>
          <w:lang w:val="zh-CN"/>
        </w:rPr>
        <w:t>务费、人身意外伤害保险费、税金和利润、采购代理费等完成合同所需的一切本身和不可或缺的所有工作开支、政策性文件规定及合同包含的所有风险、责任等各项全部费用。</w:t>
      </w:r>
      <w:r>
        <w:rPr>
          <w:rFonts w:hint="eastAsia" w:ascii="宋体" w:hAnsi="宋体" w:eastAsia="宋体" w:cs="宋体"/>
          <w:color w:val="auto"/>
          <w:sz w:val="24"/>
          <w:szCs w:val="24"/>
          <w:lang w:val="en-US" w:eastAsia="zh-CN"/>
        </w:rPr>
        <w:t>如有漏项，视同已包含在其他项目中，</w:t>
      </w:r>
      <w:r>
        <w:rPr>
          <w:rFonts w:hint="eastAsia" w:ascii="宋体" w:hAnsi="宋体" w:cs="宋体"/>
          <w:color w:val="auto"/>
          <w:sz w:val="24"/>
          <w:szCs w:val="24"/>
          <w:lang w:val="en-US" w:eastAsia="zh-CN"/>
        </w:rPr>
        <w:t>单价</w:t>
      </w:r>
      <w:r>
        <w:rPr>
          <w:rFonts w:hint="eastAsia" w:ascii="宋体" w:hAnsi="宋体" w:eastAsia="宋体" w:cs="宋体"/>
          <w:color w:val="auto"/>
          <w:sz w:val="24"/>
          <w:szCs w:val="24"/>
          <w:lang w:val="en-US" w:eastAsia="zh-CN"/>
        </w:rPr>
        <w:t>不作调整，采购人不允许供应商擅自更换改变服务内容、质量标准、期限和追加项目费用。</w:t>
      </w:r>
    </w:p>
    <w:p w14:paraId="09C23A56">
      <w:pPr>
        <w:shd w:val="clear" w:color="auto" w:fill="auto"/>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报价填写必须为</w:t>
      </w:r>
      <w:r>
        <w:rPr>
          <w:rFonts w:hint="eastAsia" w:ascii="宋体" w:hAnsi="宋体" w:eastAsia="宋体" w:cs="宋体"/>
          <w:color w:val="auto"/>
          <w:sz w:val="24"/>
          <w:szCs w:val="24"/>
          <w:lang w:eastAsia="zh-CN"/>
        </w:rPr>
        <w:t>印刷体打印</w:t>
      </w:r>
      <w:r>
        <w:rPr>
          <w:rFonts w:hint="eastAsia" w:ascii="宋体" w:hAnsi="宋体" w:eastAsia="宋体" w:cs="宋体"/>
          <w:color w:val="auto"/>
          <w:sz w:val="24"/>
          <w:szCs w:val="24"/>
        </w:rPr>
        <w:t>，手写无效报价、不清楚或模糊等原因而导致评委小组无法确认，其报价无效。</w:t>
      </w:r>
    </w:p>
    <w:p w14:paraId="280987FC">
      <w:pPr>
        <w:spacing w:line="400" w:lineRule="exact"/>
        <w:ind w:firstLine="480" w:firstLineChars="200"/>
        <w:rPr>
          <w:rFonts w:hint="eastAsia" w:ascii="宋体" w:hAnsi="宋体" w:eastAsia="宋体" w:cs="宋体"/>
          <w:sz w:val="24"/>
          <w:szCs w:val="24"/>
        </w:rPr>
      </w:pPr>
      <w:r>
        <w:rPr>
          <w:rFonts w:hint="eastAsia" w:ascii="宋体" w:hAnsi="宋体" w:eastAsia="宋体" w:cs="宋体"/>
          <w:color w:val="auto"/>
          <w:sz w:val="24"/>
          <w:szCs w:val="24"/>
        </w:rPr>
        <w:t>3</w:t>
      </w:r>
      <w:r>
        <w:rPr>
          <w:rFonts w:hint="eastAsia" w:ascii="宋体" w:hAnsi="宋体" w:cs="宋体"/>
          <w:color w:val="auto"/>
          <w:sz w:val="24"/>
          <w:szCs w:val="24"/>
          <w:lang w:eastAsia="zh-CN"/>
        </w:rPr>
        <w:t>、</w:t>
      </w:r>
      <w:r>
        <w:rPr>
          <w:rFonts w:hint="eastAsia" w:ascii="宋体" w:hAnsi="宋体" w:eastAsia="宋体" w:cs="宋体"/>
          <w:color w:val="auto"/>
          <w:sz w:val="24"/>
          <w:szCs w:val="24"/>
        </w:rPr>
        <w:t>本表报价金额与“报价明细表”合</w:t>
      </w:r>
      <w:r>
        <w:rPr>
          <w:rFonts w:hint="eastAsia" w:ascii="宋体" w:hAnsi="宋体" w:eastAsia="宋体" w:cs="宋体"/>
          <w:sz w:val="24"/>
          <w:szCs w:val="24"/>
        </w:rPr>
        <w:t>计一致。</w:t>
      </w:r>
    </w:p>
    <w:p w14:paraId="5FECFABA">
      <w:pPr>
        <w:snapToGrid w:val="0"/>
        <w:spacing w:line="480" w:lineRule="exact"/>
        <w:ind w:firstLine="3840" w:firstLineChars="1600"/>
        <w:rPr>
          <w:rFonts w:ascii="宋体" w:hAnsi="宋体"/>
          <w:color w:val="auto"/>
          <w:lang w:val="zh-CN"/>
        </w:rPr>
      </w:pPr>
    </w:p>
    <w:p w14:paraId="66F7ECDA">
      <w:pPr>
        <w:pStyle w:val="6"/>
        <w:numPr>
          <w:ilvl w:val="3"/>
          <w:numId w:val="0"/>
        </w:numPr>
        <w:ind w:leftChars="0"/>
        <w:rPr>
          <w:lang w:val="zh-CN"/>
        </w:rPr>
      </w:pPr>
    </w:p>
    <w:p w14:paraId="1A1486B4">
      <w:pPr>
        <w:ind w:firstLine="4320" w:firstLineChars="1800"/>
        <w:rPr>
          <w:color w:val="auto"/>
        </w:rPr>
      </w:pPr>
      <w:r>
        <w:rPr>
          <w:rFonts w:hint="eastAsia"/>
          <w:color w:val="auto"/>
        </w:rPr>
        <w:t>投标人全称（盖章）：</w:t>
      </w:r>
      <w:r>
        <w:rPr>
          <w:color w:val="auto"/>
        </w:rPr>
        <w:t xml:space="preserve">                         </w:t>
      </w:r>
    </w:p>
    <w:p w14:paraId="0C53A6D9">
      <w:pPr>
        <w:ind w:firstLine="4320" w:firstLineChars="1800"/>
        <w:rPr>
          <w:color w:val="auto"/>
        </w:rPr>
      </w:pPr>
      <w:r>
        <w:rPr>
          <w:rFonts w:hint="eastAsia"/>
          <w:color w:val="auto"/>
        </w:rPr>
        <w:t>法定代表人或授权代理人（签字或盖章）：</w:t>
      </w:r>
    </w:p>
    <w:p w14:paraId="0D79CFF0">
      <w:pPr>
        <w:ind w:firstLine="4320" w:firstLineChars="1800"/>
        <w:rPr>
          <w:rFonts w:hint="eastAsia"/>
          <w:color w:val="auto"/>
        </w:rPr>
      </w:pPr>
      <w:r>
        <w:rPr>
          <w:rFonts w:hint="eastAsia"/>
          <w:color w:val="auto"/>
        </w:rPr>
        <w:t>日期：</w:t>
      </w:r>
      <w:r>
        <w:rPr>
          <w:rFonts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48975852">
      <w:pPr>
        <w:pStyle w:val="16"/>
        <w:rPr>
          <w:rFonts w:hint="eastAsia"/>
          <w:color w:val="auto"/>
        </w:rPr>
      </w:pPr>
    </w:p>
    <w:p w14:paraId="27CE7A99">
      <w:pPr>
        <w:rPr>
          <w:rFonts w:hint="eastAsia"/>
          <w:color w:val="auto"/>
        </w:rPr>
      </w:pPr>
    </w:p>
    <w:p w14:paraId="0902AAF4">
      <w:pPr>
        <w:ind w:firstLine="0" w:firstLineChars="0"/>
        <w:outlineLvl w:val="1"/>
        <w:rPr>
          <w:rFonts w:hint="default" w:ascii="宋体" w:hAnsi="宋体" w:eastAsia="宋体" w:cs="宋体"/>
          <w:b/>
          <w:bCs/>
          <w:color w:val="auto"/>
          <w:lang w:val="en-US"/>
        </w:rPr>
      </w:pPr>
      <w:r>
        <w:rPr>
          <w:rFonts w:hint="eastAsia" w:ascii="宋体" w:hAnsi="宋体" w:eastAsia="宋体" w:cs="宋体"/>
          <w:b/>
          <w:bCs/>
          <w:color w:val="auto"/>
        </w:rPr>
        <w:t>附件</w:t>
      </w:r>
      <w:r>
        <w:rPr>
          <w:rFonts w:hint="eastAsia" w:ascii="宋体" w:hAnsi="宋体" w:eastAsia="宋体" w:cs="宋体"/>
          <w:b/>
          <w:bCs/>
          <w:color w:val="auto"/>
          <w:lang w:val="en-US" w:eastAsia="zh-CN"/>
        </w:rPr>
        <w:t>1</w:t>
      </w:r>
      <w:r>
        <w:rPr>
          <w:rFonts w:hint="eastAsia" w:ascii="宋体" w:hAnsi="宋体" w:cs="宋体"/>
          <w:b/>
          <w:bCs/>
          <w:color w:val="auto"/>
          <w:lang w:val="en-US" w:eastAsia="zh-CN"/>
        </w:rPr>
        <w:t>1</w:t>
      </w:r>
    </w:p>
    <w:p w14:paraId="7D7C418C">
      <w:pPr>
        <w:spacing w:line="360" w:lineRule="auto"/>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报价明细表</w:t>
      </w:r>
    </w:p>
    <w:p w14:paraId="4DFF037E">
      <w:pPr>
        <w:adjustRightInd w:val="0"/>
        <w:snapToGrid w:val="0"/>
        <w:spacing w:after="240" w:afterLines="100"/>
        <w:ind w:left="0" w:leftChars="0" w:firstLine="0" w:firstLineChars="0"/>
        <w:rPr>
          <w:rFonts w:hint="eastAsia" w:ascii="宋体" w:hAnsi="宋体" w:eastAsia="宋体" w:cs="宋体"/>
          <w:bCs/>
          <w:sz w:val="24"/>
          <w:szCs w:val="24"/>
        </w:rPr>
      </w:pPr>
      <w:r>
        <w:rPr>
          <w:rFonts w:hint="eastAsia" w:ascii="宋体" w:hAnsi="宋体" w:eastAsia="宋体" w:cs="宋体"/>
          <w:bCs/>
          <w:sz w:val="24"/>
          <w:szCs w:val="24"/>
        </w:rPr>
        <w:t>项目编号：</w:t>
      </w:r>
    </w:p>
    <w:p w14:paraId="1DDA3A4D">
      <w:pPr>
        <w:snapToGrid w:val="0"/>
        <w:spacing w:line="320" w:lineRule="exact"/>
        <w:ind w:left="0" w:leftChars="0" w:firstLine="0" w:firstLineChars="0"/>
        <w:rPr>
          <w:rFonts w:hint="eastAsia" w:ascii="宋体" w:hAnsi="宋体" w:eastAsia="宋体" w:cs="宋体"/>
          <w:b/>
          <w:bCs/>
          <w:color w:val="242424"/>
          <w:sz w:val="24"/>
          <w:szCs w:val="24"/>
        </w:rPr>
      </w:pPr>
      <w:r>
        <w:rPr>
          <w:rFonts w:hint="eastAsia" w:ascii="宋体" w:hAnsi="宋体" w:eastAsia="宋体" w:cs="宋体"/>
          <w:bCs/>
          <w:sz w:val="24"/>
          <w:szCs w:val="24"/>
        </w:rPr>
        <w:t xml:space="preserve">项目名称：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金额单位：元</w:t>
      </w:r>
    </w:p>
    <w:tbl>
      <w:tblPr>
        <w:tblStyle w:val="37"/>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2190"/>
        <w:gridCol w:w="2326"/>
        <w:gridCol w:w="936"/>
        <w:gridCol w:w="936"/>
        <w:gridCol w:w="1280"/>
        <w:gridCol w:w="1221"/>
      </w:tblGrid>
      <w:tr w14:paraId="3F28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6170EB95">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2190" w:type="dxa"/>
            <w:noWrap w:val="0"/>
            <w:vAlign w:val="center"/>
          </w:tcPr>
          <w:p w14:paraId="1A64BC91">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产品</w:t>
            </w:r>
            <w:r>
              <w:rPr>
                <w:rFonts w:hint="eastAsia" w:ascii="宋体" w:hAnsi="宋体" w:eastAsia="宋体" w:cs="宋体"/>
                <w:kern w:val="0"/>
                <w:sz w:val="24"/>
                <w:szCs w:val="24"/>
              </w:rPr>
              <w:t>名称</w:t>
            </w:r>
          </w:p>
        </w:tc>
        <w:tc>
          <w:tcPr>
            <w:tcW w:w="2326" w:type="dxa"/>
            <w:noWrap w:val="0"/>
            <w:vAlign w:val="center"/>
          </w:tcPr>
          <w:p w14:paraId="2CD66DDC">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品牌、规格型号</w:t>
            </w:r>
          </w:p>
          <w:p w14:paraId="157D2883">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（技术参数）</w:t>
            </w:r>
          </w:p>
        </w:tc>
        <w:tc>
          <w:tcPr>
            <w:tcW w:w="936" w:type="dxa"/>
            <w:noWrap w:val="0"/>
            <w:vAlign w:val="center"/>
          </w:tcPr>
          <w:p w14:paraId="17AD1A7C">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数量</w:t>
            </w:r>
          </w:p>
        </w:tc>
        <w:tc>
          <w:tcPr>
            <w:tcW w:w="936" w:type="dxa"/>
            <w:noWrap w:val="0"/>
            <w:vAlign w:val="center"/>
          </w:tcPr>
          <w:p w14:paraId="551A9287">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单位</w:t>
            </w:r>
          </w:p>
        </w:tc>
        <w:tc>
          <w:tcPr>
            <w:tcW w:w="1280" w:type="dxa"/>
            <w:noWrap w:val="0"/>
            <w:vAlign w:val="center"/>
          </w:tcPr>
          <w:p w14:paraId="27C23E4C">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单价</w:t>
            </w:r>
          </w:p>
          <w:p w14:paraId="4D0DB62C">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（元）</w:t>
            </w:r>
          </w:p>
        </w:tc>
        <w:tc>
          <w:tcPr>
            <w:tcW w:w="1221" w:type="dxa"/>
            <w:noWrap w:val="0"/>
            <w:vAlign w:val="center"/>
          </w:tcPr>
          <w:p w14:paraId="647CF35A">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总价</w:t>
            </w:r>
          </w:p>
          <w:p w14:paraId="7C7BC773">
            <w:pPr>
              <w:ind w:left="0" w:leftChars="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（元）</w:t>
            </w:r>
          </w:p>
        </w:tc>
      </w:tr>
      <w:tr w14:paraId="4FF3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4DBDD00E">
            <w:pPr>
              <w:jc w:val="center"/>
              <w:rPr>
                <w:rFonts w:hint="eastAsia" w:ascii="宋体" w:hAnsi="宋体" w:eastAsia="宋体" w:cs="宋体"/>
                <w:kern w:val="0"/>
                <w:sz w:val="24"/>
                <w:szCs w:val="24"/>
                <w:lang w:val="en-US" w:eastAsia="zh-CN"/>
              </w:rPr>
            </w:pPr>
          </w:p>
        </w:tc>
        <w:tc>
          <w:tcPr>
            <w:tcW w:w="2190" w:type="dxa"/>
            <w:noWrap w:val="0"/>
            <w:vAlign w:val="center"/>
          </w:tcPr>
          <w:p w14:paraId="25BEA2F9">
            <w:pPr>
              <w:jc w:val="center"/>
              <w:rPr>
                <w:rFonts w:hint="eastAsia" w:ascii="宋体" w:hAnsi="宋体" w:eastAsia="宋体" w:cs="宋体"/>
                <w:kern w:val="0"/>
                <w:sz w:val="24"/>
                <w:szCs w:val="24"/>
              </w:rPr>
            </w:pPr>
          </w:p>
        </w:tc>
        <w:tc>
          <w:tcPr>
            <w:tcW w:w="2326" w:type="dxa"/>
            <w:noWrap w:val="0"/>
            <w:vAlign w:val="center"/>
          </w:tcPr>
          <w:p w14:paraId="37C480FF">
            <w:pPr>
              <w:jc w:val="center"/>
              <w:rPr>
                <w:rFonts w:hint="eastAsia" w:ascii="宋体" w:hAnsi="宋体" w:eastAsia="宋体" w:cs="宋体"/>
                <w:kern w:val="0"/>
                <w:sz w:val="24"/>
                <w:szCs w:val="24"/>
              </w:rPr>
            </w:pPr>
          </w:p>
        </w:tc>
        <w:tc>
          <w:tcPr>
            <w:tcW w:w="936" w:type="dxa"/>
            <w:noWrap w:val="0"/>
            <w:vAlign w:val="center"/>
          </w:tcPr>
          <w:p w14:paraId="00F1D2FD">
            <w:pPr>
              <w:jc w:val="center"/>
              <w:rPr>
                <w:rFonts w:hint="eastAsia" w:ascii="宋体" w:hAnsi="宋体" w:eastAsia="宋体" w:cs="宋体"/>
                <w:kern w:val="0"/>
                <w:sz w:val="24"/>
                <w:szCs w:val="24"/>
              </w:rPr>
            </w:pPr>
          </w:p>
        </w:tc>
        <w:tc>
          <w:tcPr>
            <w:tcW w:w="936" w:type="dxa"/>
            <w:noWrap w:val="0"/>
            <w:vAlign w:val="center"/>
          </w:tcPr>
          <w:p w14:paraId="122D5E03">
            <w:pPr>
              <w:jc w:val="center"/>
              <w:rPr>
                <w:rFonts w:hint="eastAsia" w:ascii="宋体" w:hAnsi="宋体" w:eastAsia="宋体" w:cs="宋体"/>
                <w:kern w:val="0"/>
                <w:sz w:val="24"/>
                <w:szCs w:val="24"/>
              </w:rPr>
            </w:pPr>
          </w:p>
        </w:tc>
        <w:tc>
          <w:tcPr>
            <w:tcW w:w="1280" w:type="dxa"/>
            <w:noWrap w:val="0"/>
            <w:vAlign w:val="center"/>
          </w:tcPr>
          <w:p w14:paraId="197D7444">
            <w:pPr>
              <w:jc w:val="center"/>
              <w:rPr>
                <w:rFonts w:hint="eastAsia" w:ascii="宋体" w:hAnsi="宋体" w:eastAsia="宋体" w:cs="宋体"/>
                <w:kern w:val="0"/>
                <w:sz w:val="24"/>
                <w:szCs w:val="24"/>
              </w:rPr>
            </w:pPr>
          </w:p>
        </w:tc>
        <w:tc>
          <w:tcPr>
            <w:tcW w:w="1221" w:type="dxa"/>
            <w:noWrap w:val="0"/>
            <w:vAlign w:val="center"/>
          </w:tcPr>
          <w:p w14:paraId="7DBFB04E">
            <w:pPr>
              <w:jc w:val="center"/>
              <w:rPr>
                <w:rFonts w:hint="eastAsia" w:ascii="宋体" w:hAnsi="宋体" w:eastAsia="宋体" w:cs="宋体"/>
                <w:kern w:val="0"/>
                <w:sz w:val="24"/>
                <w:szCs w:val="24"/>
              </w:rPr>
            </w:pPr>
          </w:p>
        </w:tc>
      </w:tr>
      <w:tr w14:paraId="08C9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5ECF4C9E">
            <w:pPr>
              <w:jc w:val="center"/>
              <w:rPr>
                <w:rFonts w:hint="eastAsia" w:ascii="宋体" w:hAnsi="宋体" w:eastAsia="宋体" w:cs="宋体"/>
                <w:kern w:val="0"/>
                <w:sz w:val="24"/>
                <w:szCs w:val="24"/>
                <w:lang w:val="en-US" w:eastAsia="zh-CN"/>
              </w:rPr>
            </w:pPr>
          </w:p>
        </w:tc>
        <w:tc>
          <w:tcPr>
            <w:tcW w:w="2190" w:type="dxa"/>
            <w:noWrap w:val="0"/>
            <w:vAlign w:val="center"/>
          </w:tcPr>
          <w:p w14:paraId="138BCEB7">
            <w:pPr>
              <w:jc w:val="center"/>
              <w:rPr>
                <w:rFonts w:hint="eastAsia" w:ascii="宋体" w:hAnsi="宋体" w:eastAsia="宋体" w:cs="宋体"/>
                <w:kern w:val="0"/>
                <w:sz w:val="24"/>
                <w:szCs w:val="24"/>
              </w:rPr>
            </w:pPr>
          </w:p>
        </w:tc>
        <w:tc>
          <w:tcPr>
            <w:tcW w:w="2326" w:type="dxa"/>
            <w:noWrap w:val="0"/>
            <w:vAlign w:val="center"/>
          </w:tcPr>
          <w:p w14:paraId="136B65D3">
            <w:pPr>
              <w:jc w:val="center"/>
              <w:rPr>
                <w:rFonts w:hint="eastAsia" w:ascii="宋体" w:hAnsi="宋体" w:eastAsia="宋体" w:cs="宋体"/>
                <w:kern w:val="0"/>
                <w:sz w:val="24"/>
                <w:szCs w:val="24"/>
              </w:rPr>
            </w:pPr>
          </w:p>
        </w:tc>
        <w:tc>
          <w:tcPr>
            <w:tcW w:w="936" w:type="dxa"/>
            <w:noWrap w:val="0"/>
            <w:vAlign w:val="center"/>
          </w:tcPr>
          <w:p w14:paraId="105F43AE">
            <w:pPr>
              <w:jc w:val="center"/>
              <w:rPr>
                <w:rFonts w:hint="eastAsia" w:ascii="宋体" w:hAnsi="宋体" w:eastAsia="宋体" w:cs="宋体"/>
                <w:kern w:val="0"/>
                <w:sz w:val="24"/>
                <w:szCs w:val="24"/>
              </w:rPr>
            </w:pPr>
          </w:p>
        </w:tc>
        <w:tc>
          <w:tcPr>
            <w:tcW w:w="936" w:type="dxa"/>
            <w:noWrap w:val="0"/>
            <w:vAlign w:val="center"/>
          </w:tcPr>
          <w:p w14:paraId="4F21B7E4">
            <w:pPr>
              <w:jc w:val="center"/>
              <w:rPr>
                <w:rFonts w:hint="eastAsia" w:ascii="宋体" w:hAnsi="宋体" w:eastAsia="宋体" w:cs="宋体"/>
                <w:kern w:val="0"/>
                <w:sz w:val="24"/>
                <w:szCs w:val="24"/>
              </w:rPr>
            </w:pPr>
          </w:p>
        </w:tc>
        <w:tc>
          <w:tcPr>
            <w:tcW w:w="1280" w:type="dxa"/>
            <w:noWrap w:val="0"/>
            <w:vAlign w:val="center"/>
          </w:tcPr>
          <w:p w14:paraId="2E8376AE">
            <w:pPr>
              <w:jc w:val="center"/>
              <w:rPr>
                <w:rFonts w:hint="eastAsia" w:ascii="宋体" w:hAnsi="宋体" w:eastAsia="宋体" w:cs="宋体"/>
                <w:kern w:val="0"/>
                <w:sz w:val="24"/>
                <w:szCs w:val="24"/>
              </w:rPr>
            </w:pPr>
          </w:p>
        </w:tc>
        <w:tc>
          <w:tcPr>
            <w:tcW w:w="1221" w:type="dxa"/>
            <w:noWrap w:val="0"/>
            <w:vAlign w:val="center"/>
          </w:tcPr>
          <w:p w14:paraId="633F6003">
            <w:pPr>
              <w:jc w:val="center"/>
              <w:rPr>
                <w:rFonts w:hint="eastAsia" w:ascii="宋体" w:hAnsi="宋体" w:eastAsia="宋体" w:cs="宋体"/>
                <w:kern w:val="0"/>
                <w:sz w:val="24"/>
                <w:szCs w:val="24"/>
              </w:rPr>
            </w:pPr>
          </w:p>
        </w:tc>
      </w:tr>
      <w:tr w14:paraId="2C5D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5F4717D6">
            <w:pPr>
              <w:jc w:val="center"/>
              <w:rPr>
                <w:rFonts w:hint="eastAsia" w:ascii="宋体" w:hAnsi="宋体" w:eastAsia="宋体" w:cs="宋体"/>
                <w:kern w:val="0"/>
                <w:sz w:val="24"/>
                <w:szCs w:val="24"/>
                <w:lang w:val="en-US" w:eastAsia="zh-CN"/>
              </w:rPr>
            </w:pPr>
          </w:p>
        </w:tc>
        <w:tc>
          <w:tcPr>
            <w:tcW w:w="2190" w:type="dxa"/>
            <w:noWrap w:val="0"/>
            <w:vAlign w:val="center"/>
          </w:tcPr>
          <w:p w14:paraId="53B94364">
            <w:pPr>
              <w:jc w:val="center"/>
              <w:rPr>
                <w:rFonts w:hint="eastAsia" w:ascii="宋体" w:hAnsi="宋体" w:eastAsia="宋体" w:cs="宋体"/>
                <w:kern w:val="0"/>
                <w:sz w:val="24"/>
                <w:szCs w:val="24"/>
              </w:rPr>
            </w:pPr>
          </w:p>
        </w:tc>
        <w:tc>
          <w:tcPr>
            <w:tcW w:w="2326" w:type="dxa"/>
            <w:noWrap w:val="0"/>
            <w:vAlign w:val="center"/>
          </w:tcPr>
          <w:p w14:paraId="5C1A9CC7">
            <w:pPr>
              <w:jc w:val="center"/>
              <w:rPr>
                <w:rFonts w:hint="eastAsia" w:ascii="宋体" w:hAnsi="宋体" w:eastAsia="宋体" w:cs="宋体"/>
                <w:kern w:val="0"/>
                <w:sz w:val="24"/>
                <w:szCs w:val="24"/>
              </w:rPr>
            </w:pPr>
          </w:p>
        </w:tc>
        <w:tc>
          <w:tcPr>
            <w:tcW w:w="936" w:type="dxa"/>
            <w:noWrap w:val="0"/>
            <w:vAlign w:val="center"/>
          </w:tcPr>
          <w:p w14:paraId="773F7751">
            <w:pPr>
              <w:jc w:val="center"/>
              <w:rPr>
                <w:rFonts w:hint="eastAsia" w:ascii="宋体" w:hAnsi="宋体" w:eastAsia="宋体" w:cs="宋体"/>
                <w:kern w:val="0"/>
                <w:sz w:val="24"/>
                <w:szCs w:val="24"/>
              </w:rPr>
            </w:pPr>
          </w:p>
        </w:tc>
        <w:tc>
          <w:tcPr>
            <w:tcW w:w="936" w:type="dxa"/>
            <w:noWrap w:val="0"/>
            <w:vAlign w:val="center"/>
          </w:tcPr>
          <w:p w14:paraId="23D93122">
            <w:pPr>
              <w:jc w:val="center"/>
              <w:rPr>
                <w:rFonts w:hint="eastAsia" w:ascii="宋体" w:hAnsi="宋体" w:eastAsia="宋体" w:cs="宋体"/>
                <w:kern w:val="0"/>
                <w:sz w:val="24"/>
                <w:szCs w:val="24"/>
              </w:rPr>
            </w:pPr>
          </w:p>
        </w:tc>
        <w:tc>
          <w:tcPr>
            <w:tcW w:w="1280" w:type="dxa"/>
            <w:noWrap w:val="0"/>
            <w:vAlign w:val="center"/>
          </w:tcPr>
          <w:p w14:paraId="17475591">
            <w:pPr>
              <w:jc w:val="center"/>
              <w:rPr>
                <w:rFonts w:hint="eastAsia" w:ascii="宋体" w:hAnsi="宋体" w:eastAsia="宋体" w:cs="宋体"/>
                <w:kern w:val="0"/>
                <w:sz w:val="24"/>
                <w:szCs w:val="24"/>
              </w:rPr>
            </w:pPr>
          </w:p>
        </w:tc>
        <w:tc>
          <w:tcPr>
            <w:tcW w:w="1221" w:type="dxa"/>
            <w:noWrap w:val="0"/>
            <w:vAlign w:val="center"/>
          </w:tcPr>
          <w:p w14:paraId="6E129A0A">
            <w:pPr>
              <w:jc w:val="center"/>
              <w:rPr>
                <w:rFonts w:hint="eastAsia" w:ascii="宋体" w:hAnsi="宋体" w:eastAsia="宋体" w:cs="宋体"/>
                <w:kern w:val="0"/>
                <w:sz w:val="24"/>
                <w:szCs w:val="24"/>
              </w:rPr>
            </w:pPr>
          </w:p>
        </w:tc>
      </w:tr>
      <w:tr w14:paraId="1E78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7E010EDC">
            <w:pPr>
              <w:jc w:val="center"/>
              <w:rPr>
                <w:rFonts w:hint="default"/>
                <w:lang w:val="en-US" w:eastAsia="zh-CN"/>
              </w:rPr>
            </w:pPr>
          </w:p>
        </w:tc>
        <w:tc>
          <w:tcPr>
            <w:tcW w:w="2190" w:type="dxa"/>
            <w:noWrap w:val="0"/>
            <w:vAlign w:val="center"/>
          </w:tcPr>
          <w:p w14:paraId="5A1606B5">
            <w:pPr>
              <w:jc w:val="center"/>
              <w:rPr>
                <w:rFonts w:hint="eastAsia" w:ascii="宋体" w:hAnsi="宋体" w:eastAsia="宋体" w:cs="宋体"/>
                <w:kern w:val="0"/>
                <w:sz w:val="24"/>
                <w:szCs w:val="24"/>
              </w:rPr>
            </w:pPr>
          </w:p>
        </w:tc>
        <w:tc>
          <w:tcPr>
            <w:tcW w:w="2326" w:type="dxa"/>
            <w:noWrap w:val="0"/>
            <w:vAlign w:val="center"/>
          </w:tcPr>
          <w:p w14:paraId="7CC2BF77">
            <w:pPr>
              <w:jc w:val="center"/>
              <w:rPr>
                <w:rFonts w:hint="eastAsia" w:ascii="宋体" w:hAnsi="宋体" w:eastAsia="宋体" w:cs="宋体"/>
                <w:kern w:val="0"/>
                <w:sz w:val="24"/>
                <w:szCs w:val="24"/>
              </w:rPr>
            </w:pPr>
          </w:p>
        </w:tc>
        <w:tc>
          <w:tcPr>
            <w:tcW w:w="936" w:type="dxa"/>
            <w:noWrap w:val="0"/>
            <w:vAlign w:val="center"/>
          </w:tcPr>
          <w:p w14:paraId="31BE8AF5">
            <w:pPr>
              <w:jc w:val="center"/>
              <w:rPr>
                <w:rFonts w:hint="eastAsia" w:ascii="宋体" w:hAnsi="宋体" w:eastAsia="宋体" w:cs="宋体"/>
                <w:kern w:val="0"/>
                <w:sz w:val="24"/>
                <w:szCs w:val="24"/>
              </w:rPr>
            </w:pPr>
          </w:p>
        </w:tc>
        <w:tc>
          <w:tcPr>
            <w:tcW w:w="936" w:type="dxa"/>
            <w:noWrap w:val="0"/>
            <w:vAlign w:val="center"/>
          </w:tcPr>
          <w:p w14:paraId="1F4DA1D0">
            <w:pPr>
              <w:jc w:val="center"/>
              <w:rPr>
                <w:rFonts w:hint="eastAsia" w:ascii="宋体" w:hAnsi="宋体" w:eastAsia="宋体" w:cs="宋体"/>
                <w:kern w:val="0"/>
                <w:sz w:val="24"/>
                <w:szCs w:val="24"/>
              </w:rPr>
            </w:pPr>
          </w:p>
        </w:tc>
        <w:tc>
          <w:tcPr>
            <w:tcW w:w="1280" w:type="dxa"/>
            <w:noWrap w:val="0"/>
            <w:vAlign w:val="center"/>
          </w:tcPr>
          <w:p w14:paraId="57602678">
            <w:pPr>
              <w:jc w:val="center"/>
              <w:rPr>
                <w:rFonts w:hint="eastAsia" w:ascii="宋体" w:hAnsi="宋体" w:eastAsia="宋体" w:cs="宋体"/>
                <w:kern w:val="0"/>
                <w:sz w:val="24"/>
                <w:szCs w:val="24"/>
              </w:rPr>
            </w:pPr>
          </w:p>
        </w:tc>
        <w:tc>
          <w:tcPr>
            <w:tcW w:w="1221" w:type="dxa"/>
            <w:noWrap w:val="0"/>
            <w:vAlign w:val="center"/>
          </w:tcPr>
          <w:p w14:paraId="5EDCDC39">
            <w:pPr>
              <w:jc w:val="center"/>
              <w:rPr>
                <w:rFonts w:hint="eastAsia" w:ascii="宋体" w:hAnsi="宋体" w:eastAsia="宋体" w:cs="宋体"/>
                <w:kern w:val="0"/>
                <w:sz w:val="24"/>
                <w:szCs w:val="24"/>
              </w:rPr>
            </w:pPr>
          </w:p>
        </w:tc>
      </w:tr>
      <w:tr w14:paraId="58C9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2525F8D3">
            <w:pPr>
              <w:jc w:val="center"/>
              <w:rPr>
                <w:rFonts w:hint="eastAsia" w:ascii="宋体" w:hAnsi="宋体" w:eastAsia="宋体" w:cs="宋体"/>
                <w:kern w:val="0"/>
                <w:sz w:val="24"/>
                <w:szCs w:val="24"/>
              </w:rPr>
            </w:pPr>
          </w:p>
        </w:tc>
        <w:tc>
          <w:tcPr>
            <w:tcW w:w="2190" w:type="dxa"/>
            <w:noWrap w:val="0"/>
            <w:vAlign w:val="center"/>
          </w:tcPr>
          <w:p w14:paraId="0659099E">
            <w:pPr>
              <w:jc w:val="center"/>
              <w:rPr>
                <w:rFonts w:hint="eastAsia" w:ascii="宋体" w:hAnsi="宋体" w:eastAsia="宋体" w:cs="宋体"/>
                <w:kern w:val="0"/>
                <w:sz w:val="24"/>
                <w:szCs w:val="24"/>
              </w:rPr>
            </w:pPr>
          </w:p>
        </w:tc>
        <w:tc>
          <w:tcPr>
            <w:tcW w:w="2326" w:type="dxa"/>
            <w:noWrap w:val="0"/>
            <w:vAlign w:val="center"/>
          </w:tcPr>
          <w:p w14:paraId="22A8BED9">
            <w:pPr>
              <w:jc w:val="center"/>
              <w:rPr>
                <w:rFonts w:hint="eastAsia" w:ascii="宋体" w:hAnsi="宋体" w:eastAsia="宋体" w:cs="宋体"/>
                <w:kern w:val="0"/>
                <w:sz w:val="24"/>
                <w:szCs w:val="24"/>
              </w:rPr>
            </w:pPr>
          </w:p>
        </w:tc>
        <w:tc>
          <w:tcPr>
            <w:tcW w:w="936" w:type="dxa"/>
            <w:noWrap w:val="0"/>
            <w:vAlign w:val="center"/>
          </w:tcPr>
          <w:p w14:paraId="66B84670">
            <w:pPr>
              <w:jc w:val="center"/>
              <w:rPr>
                <w:rFonts w:hint="eastAsia" w:ascii="宋体" w:hAnsi="宋体" w:eastAsia="宋体" w:cs="宋体"/>
                <w:kern w:val="0"/>
                <w:sz w:val="24"/>
                <w:szCs w:val="24"/>
              </w:rPr>
            </w:pPr>
          </w:p>
        </w:tc>
        <w:tc>
          <w:tcPr>
            <w:tcW w:w="936" w:type="dxa"/>
            <w:noWrap w:val="0"/>
            <w:vAlign w:val="center"/>
          </w:tcPr>
          <w:p w14:paraId="042F37F6">
            <w:pPr>
              <w:jc w:val="center"/>
              <w:rPr>
                <w:rFonts w:hint="eastAsia" w:ascii="宋体" w:hAnsi="宋体" w:eastAsia="宋体" w:cs="宋体"/>
                <w:kern w:val="0"/>
                <w:sz w:val="24"/>
                <w:szCs w:val="24"/>
              </w:rPr>
            </w:pPr>
          </w:p>
        </w:tc>
        <w:tc>
          <w:tcPr>
            <w:tcW w:w="1280" w:type="dxa"/>
            <w:noWrap w:val="0"/>
            <w:vAlign w:val="center"/>
          </w:tcPr>
          <w:p w14:paraId="5A6D027E">
            <w:pPr>
              <w:jc w:val="center"/>
              <w:rPr>
                <w:rFonts w:hint="eastAsia" w:ascii="宋体" w:hAnsi="宋体" w:eastAsia="宋体" w:cs="宋体"/>
                <w:kern w:val="0"/>
                <w:sz w:val="24"/>
                <w:szCs w:val="24"/>
              </w:rPr>
            </w:pPr>
          </w:p>
        </w:tc>
        <w:tc>
          <w:tcPr>
            <w:tcW w:w="1221" w:type="dxa"/>
            <w:noWrap w:val="0"/>
            <w:vAlign w:val="center"/>
          </w:tcPr>
          <w:p w14:paraId="7A0DC206">
            <w:pPr>
              <w:jc w:val="center"/>
              <w:rPr>
                <w:rFonts w:hint="eastAsia" w:ascii="宋体" w:hAnsi="宋体" w:eastAsia="宋体" w:cs="宋体"/>
                <w:kern w:val="0"/>
                <w:sz w:val="24"/>
                <w:szCs w:val="24"/>
              </w:rPr>
            </w:pPr>
          </w:p>
        </w:tc>
      </w:tr>
      <w:tr w14:paraId="7993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53AB3F9E">
            <w:pPr>
              <w:jc w:val="center"/>
              <w:rPr>
                <w:rFonts w:hint="eastAsia" w:ascii="宋体" w:hAnsi="宋体" w:eastAsia="宋体" w:cs="宋体"/>
                <w:kern w:val="0"/>
                <w:sz w:val="24"/>
                <w:szCs w:val="24"/>
              </w:rPr>
            </w:pPr>
          </w:p>
        </w:tc>
        <w:tc>
          <w:tcPr>
            <w:tcW w:w="2190" w:type="dxa"/>
            <w:noWrap w:val="0"/>
            <w:vAlign w:val="center"/>
          </w:tcPr>
          <w:p w14:paraId="4A75C07F">
            <w:pPr>
              <w:jc w:val="center"/>
              <w:rPr>
                <w:rFonts w:hint="eastAsia" w:ascii="宋体" w:hAnsi="宋体" w:eastAsia="宋体" w:cs="宋体"/>
                <w:kern w:val="0"/>
                <w:sz w:val="24"/>
                <w:szCs w:val="24"/>
              </w:rPr>
            </w:pPr>
          </w:p>
        </w:tc>
        <w:tc>
          <w:tcPr>
            <w:tcW w:w="2326" w:type="dxa"/>
            <w:noWrap w:val="0"/>
            <w:vAlign w:val="center"/>
          </w:tcPr>
          <w:p w14:paraId="110F9BA2">
            <w:pPr>
              <w:jc w:val="center"/>
              <w:rPr>
                <w:rFonts w:hint="eastAsia" w:ascii="宋体" w:hAnsi="宋体" w:eastAsia="宋体" w:cs="宋体"/>
                <w:kern w:val="0"/>
                <w:sz w:val="24"/>
                <w:szCs w:val="24"/>
              </w:rPr>
            </w:pPr>
          </w:p>
        </w:tc>
        <w:tc>
          <w:tcPr>
            <w:tcW w:w="936" w:type="dxa"/>
            <w:noWrap w:val="0"/>
            <w:vAlign w:val="center"/>
          </w:tcPr>
          <w:p w14:paraId="7EA1538A">
            <w:pPr>
              <w:jc w:val="center"/>
              <w:rPr>
                <w:rFonts w:hint="eastAsia" w:ascii="宋体" w:hAnsi="宋体" w:eastAsia="宋体" w:cs="宋体"/>
                <w:kern w:val="0"/>
                <w:sz w:val="24"/>
                <w:szCs w:val="24"/>
              </w:rPr>
            </w:pPr>
          </w:p>
        </w:tc>
        <w:tc>
          <w:tcPr>
            <w:tcW w:w="936" w:type="dxa"/>
            <w:noWrap w:val="0"/>
            <w:vAlign w:val="center"/>
          </w:tcPr>
          <w:p w14:paraId="3EE91061">
            <w:pPr>
              <w:jc w:val="center"/>
              <w:rPr>
                <w:rFonts w:hint="eastAsia" w:ascii="宋体" w:hAnsi="宋体" w:eastAsia="宋体" w:cs="宋体"/>
                <w:kern w:val="0"/>
                <w:sz w:val="24"/>
                <w:szCs w:val="24"/>
              </w:rPr>
            </w:pPr>
          </w:p>
        </w:tc>
        <w:tc>
          <w:tcPr>
            <w:tcW w:w="1280" w:type="dxa"/>
            <w:noWrap w:val="0"/>
            <w:vAlign w:val="center"/>
          </w:tcPr>
          <w:p w14:paraId="69AC4D99">
            <w:pPr>
              <w:jc w:val="center"/>
              <w:rPr>
                <w:rFonts w:hint="eastAsia" w:ascii="宋体" w:hAnsi="宋体" w:eastAsia="宋体" w:cs="宋体"/>
                <w:kern w:val="0"/>
                <w:sz w:val="24"/>
                <w:szCs w:val="24"/>
              </w:rPr>
            </w:pPr>
          </w:p>
        </w:tc>
        <w:tc>
          <w:tcPr>
            <w:tcW w:w="1221" w:type="dxa"/>
            <w:noWrap w:val="0"/>
            <w:vAlign w:val="center"/>
          </w:tcPr>
          <w:p w14:paraId="3814EF94">
            <w:pPr>
              <w:jc w:val="center"/>
              <w:rPr>
                <w:rFonts w:hint="eastAsia" w:ascii="宋体" w:hAnsi="宋体" w:eastAsia="宋体" w:cs="宋体"/>
                <w:kern w:val="0"/>
                <w:sz w:val="24"/>
                <w:szCs w:val="24"/>
              </w:rPr>
            </w:pPr>
          </w:p>
        </w:tc>
      </w:tr>
      <w:tr w14:paraId="7C05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6F421D32">
            <w:pPr>
              <w:jc w:val="center"/>
              <w:rPr>
                <w:rFonts w:hint="eastAsia" w:ascii="宋体" w:hAnsi="宋体" w:eastAsia="宋体" w:cs="宋体"/>
                <w:kern w:val="0"/>
                <w:sz w:val="24"/>
                <w:szCs w:val="24"/>
              </w:rPr>
            </w:pPr>
          </w:p>
        </w:tc>
        <w:tc>
          <w:tcPr>
            <w:tcW w:w="2190" w:type="dxa"/>
            <w:noWrap w:val="0"/>
            <w:vAlign w:val="center"/>
          </w:tcPr>
          <w:p w14:paraId="094A3CA9">
            <w:pPr>
              <w:jc w:val="center"/>
              <w:rPr>
                <w:rFonts w:hint="eastAsia" w:ascii="宋体" w:hAnsi="宋体" w:eastAsia="宋体" w:cs="宋体"/>
                <w:kern w:val="0"/>
                <w:sz w:val="24"/>
                <w:szCs w:val="24"/>
              </w:rPr>
            </w:pPr>
          </w:p>
        </w:tc>
        <w:tc>
          <w:tcPr>
            <w:tcW w:w="2326" w:type="dxa"/>
            <w:noWrap w:val="0"/>
            <w:vAlign w:val="center"/>
          </w:tcPr>
          <w:p w14:paraId="3858C24B">
            <w:pPr>
              <w:jc w:val="center"/>
              <w:rPr>
                <w:rFonts w:hint="eastAsia" w:ascii="宋体" w:hAnsi="宋体" w:eastAsia="宋体" w:cs="宋体"/>
                <w:kern w:val="0"/>
                <w:sz w:val="24"/>
                <w:szCs w:val="24"/>
              </w:rPr>
            </w:pPr>
          </w:p>
        </w:tc>
        <w:tc>
          <w:tcPr>
            <w:tcW w:w="936" w:type="dxa"/>
            <w:noWrap w:val="0"/>
            <w:vAlign w:val="center"/>
          </w:tcPr>
          <w:p w14:paraId="58831EC0">
            <w:pPr>
              <w:jc w:val="center"/>
              <w:rPr>
                <w:rFonts w:hint="eastAsia" w:ascii="宋体" w:hAnsi="宋体" w:eastAsia="宋体" w:cs="宋体"/>
                <w:kern w:val="0"/>
                <w:sz w:val="24"/>
                <w:szCs w:val="24"/>
              </w:rPr>
            </w:pPr>
          </w:p>
        </w:tc>
        <w:tc>
          <w:tcPr>
            <w:tcW w:w="936" w:type="dxa"/>
            <w:noWrap w:val="0"/>
            <w:vAlign w:val="center"/>
          </w:tcPr>
          <w:p w14:paraId="7BF94D50">
            <w:pPr>
              <w:jc w:val="center"/>
              <w:rPr>
                <w:rFonts w:hint="eastAsia" w:ascii="宋体" w:hAnsi="宋体" w:eastAsia="宋体" w:cs="宋体"/>
                <w:kern w:val="0"/>
                <w:sz w:val="24"/>
                <w:szCs w:val="24"/>
              </w:rPr>
            </w:pPr>
          </w:p>
        </w:tc>
        <w:tc>
          <w:tcPr>
            <w:tcW w:w="1280" w:type="dxa"/>
            <w:noWrap w:val="0"/>
            <w:vAlign w:val="center"/>
          </w:tcPr>
          <w:p w14:paraId="29AA3D6E">
            <w:pPr>
              <w:jc w:val="center"/>
              <w:rPr>
                <w:rFonts w:hint="eastAsia" w:ascii="宋体" w:hAnsi="宋体" w:eastAsia="宋体" w:cs="宋体"/>
                <w:kern w:val="0"/>
                <w:sz w:val="24"/>
                <w:szCs w:val="24"/>
              </w:rPr>
            </w:pPr>
          </w:p>
        </w:tc>
        <w:tc>
          <w:tcPr>
            <w:tcW w:w="1221" w:type="dxa"/>
            <w:noWrap w:val="0"/>
            <w:vAlign w:val="center"/>
          </w:tcPr>
          <w:p w14:paraId="5E9ADE3F">
            <w:pPr>
              <w:jc w:val="center"/>
              <w:rPr>
                <w:rFonts w:hint="eastAsia" w:ascii="宋体" w:hAnsi="宋体" w:eastAsia="宋体" w:cs="宋体"/>
                <w:kern w:val="0"/>
                <w:sz w:val="24"/>
                <w:szCs w:val="24"/>
              </w:rPr>
            </w:pPr>
          </w:p>
        </w:tc>
      </w:tr>
      <w:tr w14:paraId="0E06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2591D8D2">
            <w:pPr>
              <w:jc w:val="center"/>
              <w:rPr>
                <w:rFonts w:hint="eastAsia" w:ascii="宋体" w:hAnsi="宋体" w:eastAsia="宋体" w:cs="宋体"/>
                <w:kern w:val="0"/>
                <w:sz w:val="24"/>
                <w:szCs w:val="24"/>
              </w:rPr>
            </w:pPr>
          </w:p>
        </w:tc>
        <w:tc>
          <w:tcPr>
            <w:tcW w:w="2190" w:type="dxa"/>
            <w:noWrap w:val="0"/>
            <w:vAlign w:val="center"/>
          </w:tcPr>
          <w:p w14:paraId="1D2B16DC">
            <w:pPr>
              <w:jc w:val="center"/>
              <w:rPr>
                <w:rFonts w:hint="eastAsia" w:ascii="宋体" w:hAnsi="宋体" w:eastAsia="宋体" w:cs="宋体"/>
                <w:kern w:val="0"/>
                <w:sz w:val="24"/>
                <w:szCs w:val="24"/>
              </w:rPr>
            </w:pPr>
          </w:p>
        </w:tc>
        <w:tc>
          <w:tcPr>
            <w:tcW w:w="2326" w:type="dxa"/>
            <w:noWrap w:val="0"/>
            <w:vAlign w:val="center"/>
          </w:tcPr>
          <w:p w14:paraId="014FE45A">
            <w:pPr>
              <w:jc w:val="center"/>
              <w:rPr>
                <w:rFonts w:hint="eastAsia" w:ascii="宋体" w:hAnsi="宋体" w:eastAsia="宋体" w:cs="宋体"/>
                <w:kern w:val="0"/>
                <w:sz w:val="24"/>
                <w:szCs w:val="24"/>
              </w:rPr>
            </w:pPr>
          </w:p>
        </w:tc>
        <w:tc>
          <w:tcPr>
            <w:tcW w:w="936" w:type="dxa"/>
            <w:noWrap w:val="0"/>
            <w:vAlign w:val="center"/>
          </w:tcPr>
          <w:p w14:paraId="4B219E66">
            <w:pPr>
              <w:jc w:val="center"/>
              <w:rPr>
                <w:rFonts w:hint="eastAsia" w:ascii="宋体" w:hAnsi="宋体" w:eastAsia="宋体" w:cs="宋体"/>
                <w:kern w:val="0"/>
                <w:sz w:val="24"/>
                <w:szCs w:val="24"/>
              </w:rPr>
            </w:pPr>
          </w:p>
        </w:tc>
        <w:tc>
          <w:tcPr>
            <w:tcW w:w="936" w:type="dxa"/>
            <w:noWrap w:val="0"/>
            <w:vAlign w:val="center"/>
          </w:tcPr>
          <w:p w14:paraId="6A86F017">
            <w:pPr>
              <w:jc w:val="center"/>
              <w:rPr>
                <w:rFonts w:hint="eastAsia" w:ascii="宋体" w:hAnsi="宋体" w:eastAsia="宋体" w:cs="宋体"/>
                <w:kern w:val="0"/>
                <w:sz w:val="24"/>
                <w:szCs w:val="24"/>
              </w:rPr>
            </w:pPr>
          </w:p>
        </w:tc>
        <w:tc>
          <w:tcPr>
            <w:tcW w:w="1280" w:type="dxa"/>
            <w:noWrap w:val="0"/>
            <w:vAlign w:val="center"/>
          </w:tcPr>
          <w:p w14:paraId="4F131FDB">
            <w:pPr>
              <w:jc w:val="center"/>
              <w:rPr>
                <w:rFonts w:hint="eastAsia" w:ascii="宋体" w:hAnsi="宋体" w:eastAsia="宋体" w:cs="宋体"/>
                <w:kern w:val="0"/>
                <w:sz w:val="24"/>
                <w:szCs w:val="24"/>
              </w:rPr>
            </w:pPr>
          </w:p>
        </w:tc>
        <w:tc>
          <w:tcPr>
            <w:tcW w:w="1221" w:type="dxa"/>
            <w:noWrap w:val="0"/>
            <w:vAlign w:val="center"/>
          </w:tcPr>
          <w:p w14:paraId="6ECA3224">
            <w:pPr>
              <w:jc w:val="center"/>
              <w:rPr>
                <w:rFonts w:hint="eastAsia" w:ascii="宋体" w:hAnsi="宋体" w:eastAsia="宋体" w:cs="宋体"/>
                <w:kern w:val="0"/>
                <w:sz w:val="24"/>
                <w:szCs w:val="24"/>
              </w:rPr>
            </w:pPr>
          </w:p>
        </w:tc>
      </w:tr>
      <w:tr w14:paraId="3D12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4" w:type="dxa"/>
            <w:noWrap w:val="0"/>
            <w:vAlign w:val="center"/>
          </w:tcPr>
          <w:p w14:paraId="06A0DF11">
            <w:pPr>
              <w:jc w:val="center"/>
              <w:rPr>
                <w:rFonts w:hint="eastAsia" w:ascii="宋体" w:hAnsi="宋体" w:eastAsia="宋体" w:cs="宋体"/>
                <w:kern w:val="0"/>
                <w:sz w:val="24"/>
                <w:szCs w:val="24"/>
              </w:rPr>
            </w:pPr>
          </w:p>
        </w:tc>
        <w:tc>
          <w:tcPr>
            <w:tcW w:w="2190" w:type="dxa"/>
            <w:noWrap w:val="0"/>
            <w:vAlign w:val="center"/>
          </w:tcPr>
          <w:p w14:paraId="4EDB703F">
            <w:pPr>
              <w:jc w:val="center"/>
              <w:rPr>
                <w:rFonts w:hint="eastAsia" w:ascii="宋体" w:hAnsi="宋体" w:eastAsia="宋体" w:cs="宋体"/>
                <w:kern w:val="0"/>
                <w:sz w:val="24"/>
                <w:szCs w:val="24"/>
              </w:rPr>
            </w:pPr>
          </w:p>
        </w:tc>
        <w:tc>
          <w:tcPr>
            <w:tcW w:w="2326" w:type="dxa"/>
            <w:noWrap w:val="0"/>
            <w:vAlign w:val="center"/>
          </w:tcPr>
          <w:p w14:paraId="5AA18A88">
            <w:pPr>
              <w:jc w:val="center"/>
              <w:rPr>
                <w:rFonts w:hint="eastAsia" w:ascii="宋体" w:hAnsi="宋体" w:eastAsia="宋体" w:cs="宋体"/>
                <w:kern w:val="0"/>
                <w:sz w:val="24"/>
                <w:szCs w:val="24"/>
              </w:rPr>
            </w:pPr>
          </w:p>
        </w:tc>
        <w:tc>
          <w:tcPr>
            <w:tcW w:w="936" w:type="dxa"/>
            <w:noWrap w:val="0"/>
            <w:vAlign w:val="center"/>
          </w:tcPr>
          <w:p w14:paraId="4603EF38">
            <w:pPr>
              <w:jc w:val="center"/>
              <w:rPr>
                <w:rFonts w:hint="eastAsia" w:ascii="宋体" w:hAnsi="宋体" w:eastAsia="宋体" w:cs="宋体"/>
                <w:kern w:val="0"/>
                <w:sz w:val="24"/>
                <w:szCs w:val="24"/>
              </w:rPr>
            </w:pPr>
          </w:p>
        </w:tc>
        <w:tc>
          <w:tcPr>
            <w:tcW w:w="936" w:type="dxa"/>
            <w:noWrap w:val="0"/>
            <w:vAlign w:val="center"/>
          </w:tcPr>
          <w:p w14:paraId="67566825">
            <w:pPr>
              <w:jc w:val="center"/>
              <w:rPr>
                <w:rFonts w:hint="eastAsia" w:ascii="宋体" w:hAnsi="宋体" w:eastAsia="宋体" w:cs="宋体"/>
                <w:kern w:val="0"/>
                <w:sz w:val="24"/>
                <w:szCs w:val="24"/>
              </w:rPr>
            </w:pPr>
          </w:p>
        </w:tc>
        <w:tc>
          <w:tcPr>
            <w:tcW w:w="1280" w:type="dxa"/>
            <w:noWrap w:val="0"/>
            <w:vAlign w:val="center"/>
          </w:tcPr>
          <w:p w14:paraId="1C886EA0">
            <w:pPr>
              <w:jc w:val="center"/>
              <w:rPr>
                <w:rFonts w:hint="eastAsia" w:ascii="宋体" w:hAnsi="宋体" w:eastAsia="宋体" w:cs="宋体"/>
                <w:kern w:val="0"/>
                <w:sz w:val="24"/>
                <w:szCs w:val="24"/>
              </w:rPr>
            </w:pPr>
          </w:p>
        </w:tc>
        <w:tc>
          <w:tcPr>
            <w:tcW w:w="1221" w:type="dxa"/>
            <w:noWrap w:val="0"/>
            <w:vAlign w:val="center"/>
          </w:tcPr>
          <w:p w14:paraId="1DBA90E6">
            <w:pPr>
              <w:jc w:val="center"/>
              <w:rPr>
                <w:rFonts w:hint="eastAsia" w:ascii="宋体" w:hAnsi="宋体" w:eastAsia="宋体" w:cs="宋体"/>
                <w:kern w:val="0"/>
                <w:sz w:val="24"/>
                <w:szCs w:val="24"/>
              </w:rPr>
            </w:pPr>
          </w:p>
        </w:tc>
      </w:tr>
      <w:tr w14:paraId="202E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3154" w:type="dxa"/>
            <w:gridSpan w:val="2"/>
            <w:noWrap w:val="0"/>
            <w:vAlign w:val="center"/>
          </w:tcPr>
          <w:p w14:paraId="23C31C8D">
            <w:pPr>
              <w:snapToGrid w:val="0"/>
              <w:spacing w:line="360" w:lineRule="exact"/>
              <w:ind w:left="0" w:leftChars="0" w:firstLine="0" w:firstLineChars="0"/>
              <w:jc w:val="center"/>
              <w:rPr>
                <w:rFonts w:hint="eastAsia" w:ascii="宋体" w:hAnsi="宋体" w:eastAsia="宋体" w:cs="宋体"/>
                <w:color w:val="242424"/>
                <w:kern w:val="0"/>
                <w:sz w:val="24"/>
                <w:szCs w:val="24"/>
              </w:rPr>
            </w:pPr>
            <w:r>
              <w:rPr>
                <w:rFonts w:hint="eastAsia" w:ascii="宋体" w:hAnsi="宋体" w:eastAsia="宋体" w:cs="宋体"/>
                <w:color w:val="242424"/>
                <w:kern w:val="0"/>
                <w:sz w:val="24"/>
                <w:szCs w:val="24"/>
              </w:rPr>
              <w:t>投 标 总 价</w:t>
            </w:r>
          </w:p>
        </w:tc>
        <w:tc>
          <w:tcPr>
            <w:tcW w:w="6699" w:type="dxa"/>
            <w:gridSpan w:val="5"/>
            <w:noWrap w:val="0"/>
            <w:vAlign w:val="center"/>
          </w:tcPr>
          <w:p w14:paraId="5A1536CB">
            <w:pPr>
              <w:wordWrap w:val="0"/>
              <w:overflowPunct w:val="0"/>
              <w:autoSpaceDE w:val="0"/>
              <w:autoSpaceDN w:val="0"/>
              <w:snapToGrid w:val="0"/>
              <w:spacing w:line="360" w:lineRule="exact"/>
              <w:ind w:left="0" w:leftChars="0" w:firstLine="0" w:firstLineChars="0"/>
              <w:jc w:val="center"/>
              <w:rPr>
                <w:rFonts w:hint="eastAsia" w:ascii="宋体" w:hAnsi="宋体" w:eastAsia="宋体" w:cs="宋体"/>
                <w:color w:val="242424"/>
                <w:kern w:val="0"/>
                <w:sz w:val="24"/>
                <w:szCs w:val="24"/>
              </w:rPr>
            </w:pPr>
            <w:r>
              <w:rPr>
                <w:rFonts w:hint="eastAsia" w:ascii="宋体" w:hAnsi="宋体" w:eastAsia="宋体" w:cs="宋体"/>
                <w:color w:val="242424"/>
                <w:kern w:val="0"/>
                <w:sz w:val="24"/>
                <w:szCs w:val="24"/>
              </w:rPr>
              <w:t xml:space="preserve">人民币大写： </w:t>
            </w:r>
            <w:r>
              <w:rPr>
                <w:rFonts w:hint="eastAsia" w:ascii="宋体" w:hAnsi="宋体" w:eastAsia="宋体" w:cs="宋体"/>
                <w:color w:val="242424"/>
                <w:kern w:val="0"/>
                <w:sz w:val="24"/>
                <w:szCs w:val="24"/>
                <w:u w:val="single"/>
              </w:rPr>
              <w:t xml:space="preserve">               元 </w:t>
            </w:r>
            <w:r>
              <w:rPr>
                <w:rFonts w:hint="eastAsia" w:ascii="宋体" w:hAnsi="宋体" w:eastAsia="宋体" w:cs="宋体"/>
                <w:color w:val="242424"/>
                <w:kern w:val="0"/>
                <w:sz w:val="24"/>
                <w:szCs w:val="24"/>
              </w:rPr>
              <w:t xml:space="preserve"> （小写：￥       元 ）</w:t>
            </w:r>
          </w:p>
        </w:tc>
      </w:tr>
    </w:tbl>
    <w:p w14:paraId="0CE5AFF3">
      <w:pPr>
        <w:adjustRightInd w:val="0"/>
        <w:snapToGrid w:val="0"/>
        <w:spacing w:before="120" w:beforeLines="50" w:line="312" w:lineRule="auto"/>
        <w:rPr>
          <w:rFonts w:hint="eastAsia" w:ascii="宋体" w:hAnsi="宋体" w:eastAsia="宋体" w:cs="宋体"/>
          <w:sz w:val="24"/>
          <w:szCs w:val="24"/>
        </w:rPr>
      </w:pPr>
      <w:r>
        <w:rPr>
          <w:rFonts w:hint="eastAsia" w:ascii="宋体" w:hAnsi="宋体" w:eastAsia="宋体" w:cs="宋体"/>
          <w:sz w:val="24"/>
          <w:szCs w:val="24"/>
        </w:rPr>
        <w:t>注：1.采用印刷体打印，字迹清晰，不得手工填写，不允许选择性报价。</w:t>
      </w:r>
    </w:p>
    <w:p w14:paraId="4BEC9518">
      <w:pPr>
        <w:pStyle w:val="6"/>
        <w:numPr>
          <w:ilvl w:val="3"/>
          <w:numId w:val="0"/>
        </w:numPr>
        <w:ind w:leftChars="0"/>
        <w:rPr>
          <w:rFonts w:hint="eastAsia"/>
        </w:rPr>
      </w:pPr>
    </w:p>
    <w:p w14:paraId="4993DDC9">
      <w:pPr>
        <w:spacing w:line="360" w:lineRule="auto"/>
        <w:rPr>
          <w:rFonts w:hint="eastAsia" w:ascii="宋体" w:hAnsi="宋体" w:eastAsia="宋体" w:cs="宋体"/>
          <w:color w:val="auto"/>
          <w:sz w:val="24"/>
          <w:szCs w:val="24"/>
        </w:rPr>
      </w:pPr>
    </w:p>
    <w:p w14:paraId="07AA7AA9">
      <w:pPr>
        <w:ind w:firstLine="4320" w:firstLineChars="1800"/>
        <w:rPr>
          <w:color w:val="auto"/>
        </w:rPr>
      </w:pPr>
      <w:r>
        <w:rPr>
          <w:rFonts w:hint="eastAsia"/>
          <w:color w:val="auto"/>
        </w:rPr>
        <w:t>投标人全称（盖章）：</w:t>
      </w:r>
      <w:r>
        <w:rPr>
          <w:color w:val="auto"/>
        </w:rPr>
        <w:t xml:space="preserve">                         </w:t>
      </w:r>
    </w:p>
    <w:p w14:paraId="13918042">
      <w:pPr>
        <w:ind w:firstLine="4320" w:firstLineChars="1800"/>
        <w:rPr>
          <w:color w:val="auto"/>
        </w:rPr>
      </w:pPr>
      <w:r>
        <w:rPr>
          <w:rFonts w:hint="eastAsia"/>
          <w:color w:val="auto"/>
        </w:rPr>
        <w:t>法定代表人或授权代理人（签字或盖章）：</w:t>
      </w:r>
    </w:p>
    <w:p w14:paraId="1553094B">
      <w:pPr>
        <w:ind w:firstLine="4320" w:firstLineChars="1800"/>
        <w:rPr>
          <w:rFonts w:hint="eastAsia"/>
          <w:color w:val="auto"/>
        </w:rPr>
      </w:pPr>
      <w:r>
        <w:rPr>
          <w:rFonts w:hint="eastAsia"/>
          <w:color w:val="auto"/>
        </w:rPr>
        <w:t>日期：</w:t>
      </w:r>
      <w:r>
        <w:rPr>
          <w:rFonts w:ascii="宋体" w:hAnsi="宋体" w:cs="宋体"/>
          <w:color w:val="auto"/>
        </w:rPr>
        <w:t>202</w:t>
      </w:r>
      <w:r>
        <w:rPr>
          <w:rFonts w:hint="eastAsia" w:ascii="宋体" w:hAnsi="宋体" w:cs="宋体"/>
          <w:color w:val="auto"/>
          <w:lang w:val="en-US" w:eastAsia="zh-CN"/>
        </w:rPr>
        <w:t>5</w:t>
      </w:r>
      <w:r>
        <w:rPr>
          <w:rFonts w:hint="eastAsia" w:ascii="宋体" w:hAnsi="宋体" w:cs="宋体"/>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66A479DE">
      <w:pPr>
        <w:ind w:firstLine="0" w:firstLineChars="0"/>
        <w:jc w:val="left"/>
        <w:outlineLvl w:val="1"/>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附件</w:t>
      </w:r>
      <w:r>
        <w:rPr>
          <w:rFonts w:hint="eastAsia" w:ascii="宋体" w:hAnsi="宋体" w:cs="宋体"/>
          <w:b/>
          <w:bCs/>
          <w:color w:val="auto"/>
          <w:lang w:val="en-US" w:eastAsia="zh-CN"/>
        </w:rPr>
        <w:t>12</w:t>
      </w:r>
    </w:p>
    <w:p w14:paraId="50748A71">
      <w:pPr>
        <w:spacing w:line="360" w:lineRule="auto"/>
        <w:ind w:firstLine="0" w:firstLineChars="0"/>
        <w:jc w:val="center"/>
        <w:rPr>
          <w:rFonts w:hint="eastAsia" w:ascii="宋体" w:hAnsi="宋体" w:cs="Arial"/>
          <w:b/>
          <w:bCs/>
          <w:kern w:val="0"/>
          <w:sz w:val="30"/>
          <w:szCs w:val="30"/>
        </w:rPr>
      </w:pPr>
      <w:r>
        <w:rPr>
          <w:rFonts w:hint="eastAsia" w:ascii="宋体" w:hAnsi="宋体" w:cs="宋体"/>
          <w:b/>
          <w:sz w:val="30"/>
          <w:szCs w:val="30"/>
          <w:lang w:val="en-GB"/>
        </w:rPr>
        <w:t>中小企业声明函、监狱企业、残疾人福利性单位及其他相关的充分的证明材料中小企业声明函及其相关的充分的证明材料</w:t>
      </w:r>
    </w:p>
    <w:p w14:paraId="59F060F9">
      <w:pPr>
        <w:tabs>
          <w:tab w:val="left" w:pos="420"/>
        </w:tabs>
        <w:ind w:firstLine="602"/>
        <w:jc w:val="center"/>
      </w:pPr>
      <w:r>
        <w:rPr>
          <w:rFonts w:hint="eastAsia" w:ascii="宋体" w:hAnsi="宋体" w:cs="Arial"/>
          <w:b/>
          <w:bCs/>
          <w:kern w:val="0"/>
          <w:sz w:val="30"/>
          <w:szCs w:val="30"/>
        </w:rPr>
        <w:t>中小企业声明函（货物）</w:t>
      </w:r>
    </w:p>
    <w:p w14:paraId="23452364">
      <w:pPr>
        <w:tabs>
          <w:tab w:val="left" w:pos="420"/>
        </w:tabs>
        <w:spacing w:line="360" w:lineRule="auto"/>
        <w:ind w:firstLine="480"/>
        <w:jc w:val="left"/>
        <w:rPr>
          <w:rFonts w:hint="eastAsia" w:ascii="宋体" w:hAnsi="宋体" w:eastAsia="宋体" w:cs="宋体"/>
          <w:bCs/>
          <w:kern w:val="0"/>
          <w:sz w:val="24"/>
          <w:szCs w:val="24"/>
        </w:rPr>
      </w:pPr>
      <w:r>
        <w:rPr>
          <w:rFonts w:hint="eastAsia" w:ascii="宋体" w:hAnsi="宋体" w:eastAsia="宋体" w:cs="宋体"/>
          <w:bCs/>
          <w:kern w:val="0"/>
          <w:sz w:val="24"/>
          <w:szCs w:val="24"/>
        </w:rPr>
        <w:t>本公司郑重声明，根据《政府采购促进中小企业发展管理办法》（财库﹝2020﹞46 号）的规定，本公司参加__________________（单位名称） 的__________________（项目名称） 采购活动，提供的货物全部由符合政策要求的中小企业制造。相关企业（含联合体中的中小企业、签订分包意向协议的中小企业）的具体情况如下：</w:t>
      </w:r>
    </w:p>
    <w:p w14:paraId="698EF6E1">
      <w:pPr>
        <w:numPr>
          <w:ilvl w:val="0"/>
          <w:numId w:val="39"/>
        </w:numPr>
        <w:tabs>
          <w:tab w:val="left" w:pos="420"/>
        </w:tabs>
        <w:spacing w:line="360" w:lineRule="auto"/>
        <w:ind w:firstLine="480"/>
        <w:jc w:val="left"/>
        <w:rPr>
          <w:rFonts w:hint="eastAsia" w:ascii="宋体" w:hAnsi="宋体" w:eastAsia="宋体" w:cs="宋体"/>
          <w:bCs/>
          <w:kern w:val="0"/>
          <w:sz w:val="24"/>
          <w:szCs w:val="24"/>
        </w:rPr>
      </w:pPr>
      <w:r>
        <w:rPr>
          <w:rFonts w:hint="eastAsia" w:ascii="宋体" w:hAnsi="宋体" w:eastAsia="宋体" w:cs="宋体"/>
          <w:bCs/>
          <w:kern w:val="0"/>
          <w:sz w:val="24"/>
          <w:szCs w:val="24"/>
          <w:u w:val="single"/>
        </w:rPr>
        <w:t>（标的名称）</w:t>
      </w:r>
      <w:r>
        <w:rPr>
          <w:rFonts w:hint="eastAsia" w:ascii="宋体" w:hAnsi="宋体" w:eastAsia="宋体" w:cs="宋体"/>
          <w:bCs/>
          <w:kern w:val="0"/>
          <w:sz w:val="24"/>
          <w:szCs w:val="24"/>
        </w:rPr>
        <w:t>，属于</w:t>
      </w:r>
      <w:r>
        <w:rPr>
          <w:rFonts w:hint="eastAsia" w:ascii="宋体" w:hAnsi="宋体" w:eastAsia="宋体" w:cs="宋体"/>
          <w:bCs/>
          <w:kern w:val="0"/>
          <w:sz w:val="24"/>
          <w:szCs w:val="24"/>
          <w:u w:val="single"/>
        </w:rPr>
        <w:t>（采购文件中明确的所属行业）</w:t>
      </w:r>
      <w:r>
        <w:rPr>
          <w:rFonts w:hint="eastAsia" w:ascii="宋体" w:hAnsi="宋体" w:eastAsia="宋体" w:cs="宋体"/>
          <w:bCs/>
          <w:kern w:val="0"/>
          <w:sz w:val="24"/>
          <w:szCs w:val="24"/>
        </w:rPr>
        <w:t>行业；制造商为</w:t>
      </w:r>
      <w:r>
        <w:rPr>
          <w:rFonts w:hint="eastAsia" w:ascii="宋体" w:hAnsi="宋体" w:eastAsia="宋体" w:cs="宋体"/>
          <w:bCs/>
          <w:kern w:val="0"/>
          <w:sz w:val="24"/>
          <w:szCs w:val="24"/>
          <w:u w:val="single"/>
        </w:rPr>
        <w:t>（企业名称）</w:t>
      </w:r>
      <w:r>
        <w:rPr>
          <w:rFonts w:hint="eastAsia" w:ascii="宋体" w:hAnsi="宋体" w:eastAsia="宋体" w:cs="宋体"/>
          <w:bCs/>
          <w:kern w:val="0"/>
          <w:sz w:val="24"/>
          <w:szCs w:val="24"/>
        </w:rPr>
        <w:t>，从业人员_____人，营业收入为_____万元，资产总额为_____万元，属于</w:t>
      </w:r>
      <w:r>
        <w:rPr>
          <w:rFonts w:hint="eastAsia" w:ascii="宋体" w:hAnsi="宋体" w:eastAsia="宋体" w:cs="宋体"/>
          <w:bCs/>
          <w:kern w:val="0"/>
          <w:sz w:val="24"/>
          <w:szCs w:val="24"/>
          <w:u w:val="single"/>
        </w:rPr>
        <w:t>（中型企业、小型企业、微型企业）</w:t>
      </w:r>
      <w:r>
        <w:rPr>
          <w:rFonts w:hint="eastAsia" w:ascii="宋体" w:hAnsi="宋体" w:eastAsia="宋体" w:cs="宋体"/>
          <w:bCs/>
          <w:kern w:val="0"/>
          <w:sz w:val="24"/>
          <w:szCs w:val="24"/>
        </w:rPr>
        <w:t>；</w:t>
      </w:r>
    </w:p>
    <w:p w14:paraId="33903986">
      <w:pPr>
        <w:numPr>
          <w:ilvl w:val="0"/>
          <w:numId w:val="39"/>
        </w:numPr>
        <w:tabs>
          <w:tab w:val="left" w:pos="420"/>
        </w:tabs>
        <w:spacing w:line="360" w:lineRule="auto"/>
        <w:ind w:firstLine="480"/>
        <w:jc w:val="left"/>
        <w:rPr>
          <w:rFonts w:hint="default"/>
          <w:lang w:val="en-US" w:eastAsia="zh-CN"/>
        </w:rPr>
      </w:pPr>
      <w:r>
        <w:rPr>
          <w:rFonts w:hint="eastAsia" w:ascii="宋体" w:hAnsi="宋体" w:eastAsia="宋体" w:cs="宋体"/>
          <w:bCs/>
          <w:kern w:val="0"/>
          <w:sz w:val="24"/>
          <w:szCs w:val="24"/>
          <w:u w:val="single"/>
        </w:rPr>
        <w:t>（标的名称）</w:t>
      </w:r>
      <w:r>
        <w:rPr>
          <w:rFonts w:hint="eastAsia" w:ascii="宋体" w:hAnsi="宋体" w:eastAsia="宋体" w:cs="宋体"/>
          <w:bCs/>
          <w:kern w:val="0"/>
          <w:sz w:val="24"/>
          <w:szCs w:val="24"/>
        </w:rPr>
        <w:t>，属于（采购文件中明确的所属行业）行业；制造商为</w:t>
      </w:r>
      <w:r>
        <w:rPr>
          <w:rFonts w:hint="eastAsia" w:ascii="宋体" w:hAnsi="宋体" w:eastAsia="宋体" w:cs="宋体"/>
          <w:bCs/>
          <w:kern w:val="0"/>
          <w:sz w:val="24"/>
          <w:szCs w:val="24"/>
          <w:u w:val="single"/>
        </w:rPr>
        <w:t>（企业名称）</w:t>
      </w:r>
      <w:r>
        <w:rPr>
          <w:rFonts w:hint="eastAsia" w:ascii="宋体" w:hAnsi="宋体" w:eastAsia="宋体" w:cs="宋体"/>
          <w:bCs/>
          <w:kern w:val="0"/>
          <w:sz w:val="24"/>
          <w:szCs w:val="24"/>
        </w:rPr>
        <w:t>，从业人员_____人，营业收入为_____万元，资产总额为_____万元，属于</w:t>
      </w:r>
      <w:r>
        <w:rPr>
          <w:rFonts w:hint="eastAsia" w:ascii="宋体" w:hAnsi="宋体" w:eastAsia="宋体" w:cs="宋体"/>
          <w:bCs/>
          <w:kern w:val="0"/>
          <w:sz w:val="24"/>
          <w:szCs w:val="24"/>
          <w:u w:val="single"/>
        </w:rPr>
        <w:t>（中型企业、小型企业、微型企业）</w:t>
      </w:r>
      <w:r>
        <w:rPr>
          <w:rFonts w:hint="eastAsia" w:ascii="宋体" w:hAnsi="宋体" w:eastAsia="宋体" w:cs="宋体"/>
          <w:bCs/>
          <w:kern w:val="0"/>
          <w:sz w:val="24"/>
          <w:szCs w:val="24"/>
        </w:rPr>
        <w:t xml:space="preserve">； </w:t>
      </w:r>
    </w:p>
    <w:p w14:paraId="7DC014C5">
      <w:pPr>
        <w:tabs>
          <w:tab w:val="left" w:pos="420"/>
        </w:tabs>
        <w:spacing w:line="360" w:lineRule="auto"/>
        <w:ind w:firstLine="480"/>
        <w:jc w:val="left"/>
        <w:rPr>
          <w:rFonts w:hint="default" w:ascii="宋体" w:hAnsi="宋体" w:eastAsia="宋体" w:cs="宋体"/>
          <w:bCs/>
          <w:kern w:val="0"/>
          <w:sz w:val="24"/>
          <w:szCs w:val="24"/>
          <w:lang w:val="en-US" w:eastAsia="zh-CN"/>
        </w:rPr>
      </w:pPr>
      <w:r>
        <w:rPr>
          <w:rFonts w:hint="eastAsia" w:ascii="宋体" w:hAnsi="宋体" w:cs="宋体"/>
          <w:bCs/>
          <w:kern w:val="0"/>
          <w:sz w:val="24"/>
          <w:szCs w:val="24"/>
          <w:lang w:val="en-US" w:eastAsia="zh-CN"/>
        </w:rPr>
        <w:t>......</w:t>
      </w:r>
    </w:p>
    <w:p w14:paraId="79BC7BEA">
      <w:pPr>
        <w:tabs>
          <w:tab w:val="left" w:pos="420"/>
        </w:tabs>
        <w:spacing w:line="360" w:lineRule="auto"/>
        <w:ind w:firstLine="480"/>
        <w:jc w:val="left"/>
        <w:rPr>
          <w:rFonts w:hint="eastAsia" w:ascii="宋体" w:hAnsi="宋体" w:eastAsia="宋体" w:cs="宋体"/>
          <w:bCs/>
          <w:kern w:val="0"/>
          <w:sz w:val="24"/>
          <w:szCs w:val="24"/>
        </w:rPr>
      </w:pPr>
      <w:r>
        <w:rPr>
          <w:rFonts w:hint="eastAsia" w:ascii="宋体" w:hAnsi="宋体" w:eastAsia="宋体" w:cs="宋体"/>
          <w:bCs/>
          <w:kern w:val="0"/>
          <w:sz w:val="24"/>
          <w:szCs w:val="24"/>
        </w:rPr>
        <w:t>以上企业，不属于大企业的分支机构，不存在控股股东为大企业的情形，也不存在与大企业的负责人为同一人的情形。</w:t>
      </w:r>
    </w:p>
    <w:p w14:paraId="7ABB62F3">
      <w:pPr>
        <w:tabs>
          <w:tab w:val="left" w:pos="420"/>
        </w:tabs>
        <w:spacing w:line="360" w:lineRule="auto"/>
        <w:ind w:firstLine="480"/>
        <w:jc w:val="left"/>
        <w:rPr>
          <w:rFonts w:hint="eastAsia" w:ascii="宋体" w:hAnsi="宋体" w:eastAsia="宋体" w:cs="宋体"/>
          <w:bCs/>
          <w:kern w:val="0"/>
          <w:sz w:val="24"/>
          <w:szCs w:val="24"/>
        </w:rPr>
      </w:pPr>
      <w:r>
        <w:rPr>
          <w:rFonts w:hint="eastAsia" w:ascii="宋体" w:hAnsi="宋体" w:eastAsia="宋体" w:cs="宋体"/>
          <w:bCs/>
          <w:kern w:val="0"/>
          <w:sz w:val="24"/>
          <w:szCs w:val="24"/>
        </w:rPr>
        <w:t>本企业对上述声明内容的真实性负责。如有虚假，将依法承担相应责任。</w:t>
      </w:r>
    </w:p>
    <w:p w14:paraId="6F5D763B">
      <w:pPr>
        <w:rPr>
          <w:rFonts w:hint="eastAsia"/>
        </w:rPr>
      </w:pPr>
    </w:p>
    <w:p w14:paraId="167283D4">
      <w:pPr>
        <w:adjustRightInd w:val="0"/>
        <w:snapToGrid w:val="0"/>
        <w:ind w:firstLine="5040" w:firstLineChars="2100"/>
        <w:rPr>
          <w:rFonts w:hint="eastAsia" w:ascii="宋体" w:hAnsi="宋体" w:eastAsia="宋体" w:cs="宋体"/>
          <w:sz w:val="24"/>
          <w:szCs w:val="24"/>
          <w:u w:val="single"/>
        </w:rPr>
      </w:pPr>
      <w:r>
        <w:rPr>
          <w:rFonts w:hint="eastAsia" w:ascii="宋体" w:hAnsi="宋体" w:cs="宋体"/>
          <w:sz w:val="24"/>
          <w:szCs w:val="24"/>
        </w:rPr>
        <w:t>供应商名称</w:t>
      </w:r>
      <w:r>
        <w:rPr>
          <w:rFonts w:hint="eastAsia" w:ascii="宋体" w:hAnsi="宋体" w:eastAsia="宋体" w:cs="宋体"/>
          <w:kern w:val="0"/>
          <w:sz w:val="24"/>
          <w:szCs w:val="24"/>
          <w:lang w:val="zh-CN"/>
        </w:rPr>
        <w:t>(公章)</w:t>
      </w:r>
      <w:r>
        <w:rPr>
          <w:rFonts w:hint="eastAsia" w:ascii="宋体" w:hAnsi="宋体" w:eastAsia="宋体" w:cs="宋体"/>
          <w:sz w:val="24"/>
          <w:szCs w:val="24"/>
        </w:rPr>
        <w:t>：</w:t>
      </w:r>
    </w:p>
    <w:p w14:paraId="546A6D0B">
      <w:pPr>
        <w:adjustRightInd w:val="0"/>
        <w:snapToGrid w:val="0"/>
        <w:ind w:firstLine="3600" w:firstLineChars="1500"/>
        <w:rPr>
          <w:rFonts w:hint="eastAsia" w:ascii="宋体" w:hAnsi="宋体" w:eastAsia="宋体" w:cs="宋体"/>
          <w:sz w:val="24"/>
          <w:szCs w:val="24"/>
        </w:rPr>
      </w:pPr>
    </w:p>
    <w:p w14:paraId="2242B0C3">
      <w:pPr>
        <w:adjustRightInd w:val="0"/>
        <w:snapToGrid w:val="0"/>
        <w:ind w:firstLine="5040" w:firstLineChars="2100"/>
        <w:rPr>
          <w:rFonts w:hint="eastAsia" w:ascii="宋体" w:hAnsi="宋体" w:eastAsia="宋体" w:cs="宋体"/>
          <w:sz w:val="24"/>
          <w:szCs w:val="24"/>
        </w:rPr>
      </w:pPr>
      <w:r>
        <w:rPr>
          <w:rFonts w:hint="eastAsia" w:ascii="宋体" w:hAnsi="宋体" w:eastAsia="宋体" w:cs="宋体"/>
          <w:sz w:val="24"/>
          <w:szCs w:val="24"/>
        </w:rPr>
        <w:t>日期：    年   月   日</w:t>
      </w:r>
    </w:p>
    <w:p w14:paraId="72F220B3">
      <w:pPr>
        <w:widowControl/>
        <w:snapToGrid w:val="0"/>
        <w:ind w:firstLine="480"/>
        <w:rPr>
          <w:rFonts w:hint="eastAsia" w:ascii="宋体" w:hAnsi="宋体" w:eastAsia="宋体" w:cs="宋体"/>
          <w:sz w:val="24"/>
          <w:szCs w:val="24"/>
        </w:rPr>
      </w:pPr>
    </w:p>
    <w:p w14:paraId="589A52CC">
      <w:pPr>
        <w:widowControl/>
        <w:snapToGrid w:val="0"/>
        <w:ind w:firstLine="480"/>
        <w:rPr>
          <w:rFonts w:hint="eastAsia" w:ascii="宋体" w:hAnsi="宋体" w:eastAsia="宋体" w:cs="宋体"/>
          <w:sz w:val="24"/>
          <w:szCs w:val="24"/>
        </w:rPr>
      </w:pPr>
      <w:r>
        <w:rPr>
          <w:rFonts w:hint="eastAsia" w:ascii="宋体" w:hAnsi="宋体" w:eastAsia="宋体" w:cs="宋体"/>
          <w:sz w:val="24"/>
          <w:szCs w:val="24"/>
        </w:rPr>
        <w:t>注：</w:t>
      </w:r>
    </w:p>
    <w:p w14:paraId="1EFCA198">
      <w:pPr>
        <w:widowControl/>
        <w:snapToGrid w:val="0"/>
        <w:ind w:firstLine="48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如投标产品由小微企业生产，则需提供中小企业声明函。</w:t>
      </w:r>
    </w:p>
    <w:p w14:paraId="1DCF1CFD">
      <w:pPr>
        <w:widowControl/>
        <w:snapToGrid w:val="0"/>
        <w:ind w:firstLine="48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小微企业提供的货物既有中小企业制造货物，也有大型企业制造货物的，不享受中小企业扶持政策。</w:t>
      </w:r>
    </w:p>
    <w:p w14:paraId="3533D4CB">
      <w:pPr>
        <w:widowControl/>
        <w:snapToGrid w:val="0"/>
        <w:ind w:firstLine="480" w:firstLineChars="0"/>
        <w:rPr>
          <w:rFonts w:hint="eastAsia" w:ascii="宋体" w:hAnsi="宋体" w:cs="宋体"/>
          <w:b/>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如</w:t>
      </w:r>
      <w:r>
        <w:rPr>
          <w:rFonts w:hint="eastAsia" w:ascii="宋体" w:hAnsi="宋体" w:eastAsia="宋体" w:cs="宋体"/>
          <w:sz w:val="24"/>
          <w:szCs w:val="24"/>
          <w:lang w:eastAsia="zh-CN"/>
        </w:rPr>
        <w:t>投标人</w:t>
      </w:r>
      <w:r>
        <w:rPr>
          <w:rFonts w:hint="eastAsia" w:ascii="宋体" w:hAnsi="宋体" w:eastAsia="宋体" w:cs="宋体"/>
          <w:sz w:val="24"/>
          <w:szCs w:val="24"/>
        </w:rPr>
        <w:t>声明为小微企业，本声明函将随中标结果同时公告，接受社会监督。</w:t>
      </w:r>
    </w:p>
    <w:p w14:paraId="24F679BF">
      <w:pPr>
        <w:spacing w:line="360" w:lineRule="auto"/>
        <w:ind w:firstLine="0" w:firstLineChars="0"/>
        <w:jc w:val="center"/>
        <w:rPr>
          <w:rFonts w:ascii="宋体" w:hAnsi="宋体" w:cs="宋体"/>
          <w:b/>
          <w:sz w:val="30"/>
          <w:szCs w:val="30"/>
          <w:lang w:val="zh-CN"/>
        </w:rPr>
      </w:pPr>
      <w:r>
        <w:rPr>
          <w:rFonts w:hint="eastAsia" w:ascii="宋体" w:hAnsi="宋体" w:cs="宋体"/>
          <w:b/>
          <w:sz w:val="30"/>
          <w:szCs w:val="30"/>
          <w:lang w:val="zh-CN"/>
        </w:rPr>
        <w:t>监狱企业声明函</w:t>
      </w:r>
    </w:p>
    <w:p w14:paraId="61103DA6">
      <w:pPr>
        <w:spacing w:line="360" w:lineRule="auto"/>
        <w:ind w:firstLine="0" w:firstLineChars="0"/>
        <w:jc w:val="center"/>
        <w:rPr>
          <w:rFonts w:ascii="宋体" w:hAnsi="宋体" w:cs="宋体"/>
          <w:b/>
          <w:sz w:val="30"/>
          <w:szCs w:val="30"/>
          <w:lang w:val="zh-CN"/>
        </w:rPr>
      </w:pPr>
      <w:r>
        <w:rPr>
          <w:rFonts w:hint="eastAsia" w:ascii="宋体" w:hAnsi="宋体" w:cs="宋体"/>
          <w:b/>
          <w:sz w:val="30"/>
          <w:szCs w:val="30"/>
          <w:lang w:val="zh-CN"/>
        </w:rPr>
        <w:t>【非监狱企业不需提供】</w:t>
      </w:r>
    </w:p>
    <w:p w14:paraId="6E0C9613">
      <w:pPr>
        <w:keepNext w:val="0"/>
        <w:keepLines w:val="0"/>
        <w:pageBreakBefore w:val="0"/>
        <w:widowControl/>
        <w:kinsoku/>
        <w:wordWrap/>
        <w:overflowPunct/>
        <w:topLinePunct w:val="0"/>
        <w:autoSpaceDE/>
        <w:autoSpaceDN/>
        <w:bidi w:val="0"/>
        <w:adjustRightInd w:val="0"/>
        <w:snapToGrid w:val="0"/>
        <w:spacing w:line="500" w:lineRule="exact"/>
        <w:ind w:firstLine="480"/>
        <w:jc w:val="left"/>
        <w:rPr>
          <w:rFonts w:ascii="宋体" w:hAnsi="宋体" w:cs="宋体"/>
          <w:sz w:val="24"/>
          <w:szCs w:val="24"/>
        </w:rPr>
      </w:pPr>
      <w:r>
        <w:rPr>
          <w:rFonts w:hint="eastAsia" w:ascii="宋体" w:hAnsi="宋体" w:cs="宋体"/>
          <w:sz w:val="24"/>
          <w:szCs w:val="24"/>
        </w:rPr>
        <w:t>本企业郑重声明，根据《关于政府采购支持监狱企业发展有关问题的通知》（财库[2</w:t>
      </w:r>
      <w:r>
        <w:rPr>
          <w:rFonts w:hint="eastAsia" w:ascii="宋体" w:hAnsi="宋体" w:cs="宋体"/>
          <w:sz w:val="24"/>
          <w:szCs w:val="24"/>
          <w:lang w:eastAsia="zh-CN"/>
        </w:rPr>
        <w:t>01</w:t>
      </w:r>
      <w:r>
        <w:rPr>
          <w:rFonts w:hint="eastAsia" w:ascii="宋体" w:hAnsi="宋体" w:cs="宋体"/>
          <w:sz w:val="24"/>
          <w:szCs w:val="24"/>
          <w:lang w:val="en-US" w:eastAsia="zh-CN"/>
        </w:rPr>
        <w:t>4</w:t>
      </w:r>
      <w:r>
        <w:rPr>
          <w:rFonts w:hint="eastAsia" w:ascii="宋体" w:hAnsi="宋体" w:cs="宋体"/>
          <w:sz w:val="24"/>
          <w:szCs w:val="24"/>
        </w:rPr>
        <w:t>]68号）的规定，本企业为</w:t>
      </w:r>
      <w:r>
        <w:rPr>
          <w:rFonts w:hint="eastAsia" w:ascii="宋体" w:hAnsi="宋体" w:cs="宋体"/>
          <w:sz w:val="24"/>
          <w:szCs w:val="24"/>
          <w:u w:val="single"/>
        </w:rPr>
        <w:t>监狱企业</w:t>
      </w:r>
      <w:r>
        <w:rPr>
          <w:rFonts w:hint="eastAsia" w:ascii="宋体" w:hAnsi="宋体" w:cs="宋体"/>
          <w:sz w:val="24"/>
          <w:szCs w:val="24"/>
        </w:rPr>
        <w:t>。</w:t>
      </w:r>
    </w:p>
    <w:p w14:paraId="20964311">
      <w:pPr>
        <w:keepNext w:val="0"/>
        <w:keepLines w:val="0"/>
        <w:pageBreakBefore w:val="0"/>
        <w:widowControl/>
        <w:kinsoku/>
        <w:wordWrap/>
        <w:overflowPunct/>
        <w:topLinePunct w:val="0"/>
        <w:autoSpaceDE/>
        <w:autoSpaceDN/>
        <w:bidi w:val="0"/>
        <w:adjustRightInd w:val="0"/>
        <w:snapToGrid w:val="0"/>
        <w:spacing w:line="500" w:lineRule="exact"/>
        <w:ind w:firstLine="480"/>
        <w:jc w:val="left"/>
        <w:rPr>
          <w:rFonts w:ascii="宋体" w:hAnsi="宋体" w:cs="宋体"/>
          <w:sz w:val="24"/>
          <w:szCs w:val="24"/>
        </w:rPr>
      </w:pPr>
      <w:r>
        <w:rPr>
          <w:rFonts w:hint="eastAsia" w:ascii="宋体" w:hAnsi="宋体" w:cs="宋体"/>
          <w:sz w:val="24"/>
          <w:szCs w:val="24"/>
        </w:rPr>
        <w:t>根据上述标准，我企业属于</w:t>
      </w:r>
      <w:r>
        <w:rPr>
          <w:rFonts w:hint="eastAsia" w:ascii="宋体" w:hAnsi="宋体" w:cs="宋体"/>
          <w:sz w:val="24"/>
          <w:szCs w:val="24"/>
          <w:u w:val="single"/>
        </w:rPr>
        <w:t>监狱企业</w:t>
      </w:r>
      <w:r>
        <w:rPr>
          <w:rFonts w:hint="eastAsia" w:ascii="宋体" w:hAnsi="宋体" w:cs="宋体"/>
          <w:sz w:val="24"/>
          <w:szCs w:val="24"/>
        </w:rPr>
        <w:t>的理由为：</w:t>
      </w:r>
    </w:p>
    <w:p w14:paraId="53A4DCDA">
      <w:pPr>
        <w:keepNext w:val="0"/>
        <w:keepLines w:val="0"/>
        <w:pageBreakBefore w:val="0"/>
        <w:widowControl/>
        <w:kinsoku/>
        <w:wordWrap/>
        <w:overflowPunct/>
        <w:topLinePunct w:val="0"/>
        <w:autoSpaceDE/>
        <w:autoSpaceDN/>
        <w:bidi w:val="0"/>
        <w:adjustRightInd w:val="0"/>
        <w:snapToGrid w:val="0"/>
        <w:spacing w:line="500" w:lineRule="exact"/>
        <w:ind w:firstLine="480"/>
        <w:rPr>
          <w:rFonts w:ascii="宋体" w:hAnsi="宋体" w:cs="宋体"/>
          <w:sz w:val="24"/>
          <w:szCs w:val="24"/>
        </w:rPr>
      </w:pPr>
      <w:r>
        <w:rPr>
          <w:rFonts w:hint="eastAsia" w:ascii="宋体" w:hAnsi="宋体" w:cs="宋体"/>
          <w:sz w:val="24"/>
          <w:szCs w:val="24"/>
        </w:rPr>
        <w:t>本企业为参加（项目名称：</w:t>
      </w:r>
      <w:r>
        <w:rPr>
          <w:rFonts w:hint="eastAsia" w:ascii="宋体" w:hAnsi="宋体" w:cs="宋体"/>
          <w:sz w:val="24"/>
          <w:szCs w:val="24"/>
          <w:u w:val="single"/>
        </w:rPr>
        <w:t xml:space="preserve">               </w:t>
      </w:r>
      <w:r>
        <w:rPr>
          <w:rFonts w:hint="eastAsia" w:ascii="宋体" w:hAnsi="宋体" w:cs="宋体"/>
          <w:sz w:val="24"/>
          <w:szCs w:val="24"/>
        </w:rPr>
        <w:t>）（项目编号：</w:t>
      </w:r>
      <w:r>
        <w:rPr>
          <w:rFonts w:hint="eastAsia" w:ascii="宋体" w:hAnsi="宋体" w:cs="宋体"/>
          <w:sz w:val="24"/>
          <w:szCs w:val="24"/>
          <w:u w:val="single"/>
        </w:rPr>
        <w:t xml:space="preserve">             </w:t>
      </w:r>
      <w:r>
        <w:rPr>
          <w:rFonts w:hint="eastAsia" w:ascii="宋体" w:hAnsi="宋体" w:cs="宋体"/>
          <w:sz w:val="24"/>
          <w:szCs w:val="24"/>
        </w:rPr>
        <w:t>）采购活动提供本企业的产品。</w:t>
      </w:r>
    </w:p>
    <w:p w14:paraId="2E3A784E">
      <w:pPr>
        <w:keepNext w:val="0"/>
        <w:keepLines w:val="0"/>
        <w:pageBreakBefore w:val="0"/>
        <w:widowControl/>
        <w:kinsoku/>
        <w:wordWrap/>
        <w:overflowPunct/>
        <w:topLinePunct w:val="0"/>
        <w:autoSpaceDE/>
        <w:autoSpaceDN/>
        <w:bidi w:val="0"/>
        <w:adjustRightInd w:val="0"/>
        <w:snapToGrid w:val="0"/>
        <w:spacing w:line="500" w:lineRule="exact"/>
        <w:ind w:firstLine="480"/>
        <w:rPr>
          <w:rFonts w:ascii="宋体" w:hAnsi="宋体" w:cs="宋体"/>
          <w:sz w:val="24"/>
          <w:szCs w:val="24"/>
        </w:rPr>
      </w:pPr>
      <w:r>
        <w:rPr>
          <w:rFonts w:hint="eastAsia" w:ascii="宋体" w:hAnsi="宋体" w:cs="宋体"/>
          <w:sz w:val="24"/>
          <w:szCs w:val="24"/>
        </w:rPr>
        <w:t>本企业对上述声明的真实性负责。如有虚假，将依法承担相应责任。</w:t>
      </w:r>
    </w:p>
    <w:p w14:paraId="371879A2">
      <w:pPr>
        <w:keepNext w:val="0"/>
        <w:keepLines w:val="0"/>
        <w:pageBreakBefore w:val="0"/>
        <w:kinsoku/>
        <w:wordWrap/>
        <w:overflowPunct/>
        <w:topLinePunct w:val="0"/>
        <w:autoSpaceDE/>
        <w:autoSpaceDN/>
        <w:bidi w:val="0"/>
        <w:adjustRightInd w:val="0"/>
        <w:snapToGrid w:val="0"/>
        <w:spacing w:line="500" w:lineRule="exact"/>
        <w:ind w:firstLine="480"/>
        <w:jc w:val="center"/>
        <w:rPr>
          <w:rFonts w:ascii="宋体" w:hAnsi="宋体" w:cs="宋体"/>
          <w:sz w:val="24"/>
          <w:szCs w:val="24"/>
        </w:rPr>
      </w:pPr>
    </w:p>
    <w:p w14:paraId="2ECF5BA1">
      <w:pPr>
        <w:keepNext w:val="0"/>
        <w:keepLines w:val="0"/>
        <w:pageBreakBefore w:val="0"/>
        <w:kinsoku/>
        <w:wordWrap/>
        <w:overflowPunct/>
        <w:topLinePunct w:val="0"/>
        <w:autoSpaceDE/>
        <w:autoSpaceDN/>
        <w:bidi w:val="0"/>
        <w:adjustRightInd w:val="0"/>
        <w:snapToGrid w:val="0"/>
        <w:spacing w:line="500" w:lineRule="exact"/>
        <w:ind w:firstLine="480"/>
        <w:jc w:val="center"/>
        <w:rPr>
          <w:rFonts w:ascii="宋体" w:hAnsi="宋体" w:cs="宋体"/>
          <w:sz w:val="24"/>
          <w:szCs w:val="24"/>
        </w:rPr>
      </w:pPr>
    </w:p>
    <w:p w14:paraId="3BC5F4C3">
      <w:pPr>
        <w:keepNext w:val="0"/>
        <w:keepLines w:val="0"/>
        <w:pageBreakBefore w:val="0"/>
        <w:kinsoku/>
        <w:wordWrap/>
        <w:overflowPunct/>
        <w:topLinePunct w:val="0"/>
        <w:autoSpaceDE/>
        <w:autoSpaceDN/>
        <w:bidi w:val="0"/>
        <w:adjustRightInd w:val="0"/>
        <w:snapToGrid w:val="0"/>
        <w:spacing w:line="500" w:lineRule="exact"/>
        <w:ind w:firstLine="480"/>
        <w:jc w:val="center"/>
        <w:rPr>
          <w:rFonts w:ascii="宋体" w:hAnsi="宋体" w:cs="宋体"/>
          <w:sz w:val="24"/>
          <w:szCs w:val="24"/>
        </w:rPr>
      </w:pPr>
    </w:p>
    <w:p w14:paraId="612AF5B9">
      <w:pPr>
        <w:keepNext w:val="0"/>
        <w:keepLines w:val="0"/>
        <w:pageBreakBefore w:val="0"/>
        <w:kinsoku/>
        <w:wordWrap/>
        <w:overflowPunct/>
        <w:topLinePunct w:val="0"/>
        <w:autoSpaceDE/>
        <w:autoSpaceDN/>
        <w:bidi w:val="0"/>
        <w:adjustRightInd w:val="0"/>
        <w:snapToGrid w:val="0"/>
        <w:spacing w:line="500" w:lineRule="exact"/>
        <w:ind w:firstLine="480"/>
        <w:rPr>
          <w:rFonts w:ascii="宋体" w:hAnsi="宋体" w:cs="宋体"/>
          <w:sz w:val="24"/>
          <w:szCs w:val="24"/>
        </w:rPr>
      </w:pPr>
    </w:p>
    <w:p w14:paraId="2D2E71B5">
      <w:pPr>
        <w:keepNext w:val="0"/>
        <w:keepLines w:val="0"/>
        <w:pageBreakBefore w:val="0"/>
        <w:kinsoku/>
        <w:wordWrap/>
        <w:overflowPunct/>
        <w:topLinePunct w:val="0"/>
        <w:autoSpaceDE/>
        <w:autoSpaceDN/>
        <w:bidi w:val="0"/>
        <w:adjustRightInd w:val="0"/>
        <w:snapToGrid w:val="0"/>
        <w:spacing w:line="500" w:lineRule="exact"/>
        <w:ind w:firstLine="480"/>
        <w:jc w:val="center"/>
        <w:rPr>
          <w:rFonts w:ascii="宋体" w:hAnsi="宋体" w:cs="宋体"/>
          <w:sz w:val="24"/>
          <w:szCs w:val="24"/>
        </w:rPr>
      </w:pPr>
    </w:p>
    <w:p w14:paraId="042DD247">
      <w:pPr>
        <w:keepNext w:val="0"/>
        <w:keepLines w:val="0"/>
        <w:pageBreakBefore w:val="0"/>
        <w:kinsoku/>
        <w:wordWrap/>
        <w:overflowPunct/>
        <w:topLinePunct w:val="0"/>
        <w:autoSpaceDE/>
        <w:autoSpaceDN/>
        <w:bidi w:val="0"/>
        <w:adjustRightInd w:val="0"/>
        <w:snapToGrid w:val="0"/>
        <w:spacing w:line="500" w:lineRule="exact"/>
        <w:ind w:firstLine="480"/>
        <w:jc w:val="center"/>
        <w:rPr>
          <w:rFonts w:ascii="宋体" w:hAnsi="宋体" w:cs="宋体"/>
          <w:sz w:val="24"/>
          <w:szCs w:val="24"/>
        </w:rPr>
      </w:pPr>
    </w:p>
    <w:p w14:paraId="3D9176F2">
      <w:pPr>
        <w:keepNext w:val="0"/>
        <w:keepLines w:val="0"/>
        <w:pageBreakBefore w:val="0"/>
        <w:kinsoku/>
        <w:wordWrap/>
        <w:overflowPunct/>
        <w:topLinePunct w:val="0"/>
        <w:autoSpaceDE/>
        <w:autoSpaceDN/>
        <w:bidi w:val="0"/>
        <w:adjustRightInd w:val="0"/>
        <w:snapToGrid w:val="0"/>
        <w:spacing w:line="500" w:lineRule="exact"/>
        <w:ind w:firstLine="480"/>
        <w:jc w:val="center"/>
        <w:rPr>
          <w:rFonts w:ascii="宋体" w:hAnsi="宋体" w:cs="宋体"/>
          <w:sz w:val="24"/>
          <w:szCs w:val="24"/>
        </w:rPr>
      </w:pPr>
    </w:p>
    <w:p w14:paraId="74708233">
      <w:pPr>
        <w:keepNext w:val="0"/>
        <w:keepLines w:val="0"/>
        <w:pageBreakBefore w:val="0"/>
        <w:kinsoku/>
        <w:wordWrap/>
        <w:overflowPunct/>
        <w:topLinePunct w:val="0"/>
        <w:autoSpaceDE/>
        <w:autoSpaceDN/>
        <w:bidi w:val="0"/>
        <w:adjustRightInd w:val="0"/>
        <w:snapToGrid w:val="0"/>
        <w:spacing w:line="500" w:lineRule="exact"/>
        <w:ind w:firstLine="480"/>
        <w:jc w:val="center"/>
        <w:rPr>
          <w:rFonts w:ascii="宋体" w:hAnsi="宋体" w:cs="宋体"/>
          <w:sz w:val="24"/>
          <w:szCs w:val="24"/>
        </w:rPr>
      </w:pPr>
    </w:p>
    <w:p w14:paraId="3567052C">
      <w:pPr>
        <w:keepNext w:val="0"/>
        <w:keepLines w:val="0"/>
        <w:pageBreakBefore w:val="0"/>
        <w:kinsoku/>
        <w:wordWrap/>
        <w:overflowPunct/>
        <w:topLinePunct w:val="0"/>
        <w:autoSpaceDE/>
        <w:autoSpaceDN/>
        <w:bidi w:val="0"/>
        <w:adjustRightInd w:val="0"/>
        <w:snapToGrid w:val="0"/>
        <w:spacing w:line="500" w:lineRule="exact"/>
        <w:ind w:firstLine="5040" w:firstLineChars="2100"/>
        <w:rPr>
          <w:rFonts w:ascii="宋体" w:hAnsi="宋体" w:cs="宋体"/>
          <w:sz w:val="24"/>
          <w:szCs w:val="24"/>
          <w:u w:val="single"/>
        </w:rPr>
      </w:pPr>
      <w:r>
        <w:rPr>
          <w:rFonts w:hint="eastAsia" w:ascii="宋体" w:hAnsi="宋体" w:cs="宋体"/>
          <w:sz w:val="24"/>
          <w:szCs w:val="24"/>
        </w:rPr>
        <w:t>供应商名称（盖章）：</w:t>
      </w:r>
      <w:r>
        <w:rPr>
          <w:rFonts w:hint="eastAsia" w:ascii="宋体" w:hAnsi="宋体" w:cs="宋体"/>
          <w:sz w:val="24"/>
          <w:szCs w:val="24"/>
          <w:u w:val="single"/>
        </w:rPr>
        <w:t xml:space="preserve">                    </w:t>
      </w:r>
    </w:p>
    <w:p w14:paraId="093DD97A">
      <w:pPr>
        <w:keepNext w:val="0"/>
        <w:keepLines w:val="0"/>
        <w:pageBreakBefore w:val="0"/>
        <w:kinsoku/>
        <w:wordWrap/>
        <w:overflowPunct/>
        <w:topLinePunct w:val="0"/>
        <w:autoSpaceDE/>
        <w:autoSpaceDN/>
        <w:bidi w:val="0"/>
        <w:adjustRightInd w:val="0"/>
        <w:snapToGrid w:val="0"/>
        <w:spacing w:line="500" w:lineRule="exact"/>
        <w:ind w:firstLine="3600" w:firstLineChars="1500"/>
        <w:rPr>
          <w:rFonts w:ascii="宋体" w:hAnsi="宋体" w:cs="宋体"/>
          <w:sz w:val="24"/>
          <w:szCs w:val="24"/>
        </w:rPr>
      </w:pPr>
    </w:p>
    <w:p w14:paraId="24DACE8F">
      <w:pPr>
        <w:keepNext w:val="0"/>
        <w:keepLines w:val="0"/>
        <w:pageBreakBefore w:val="0"/>
        <w:kinsoku/>
        <w:wordWrap/>
        <w:overflowPunct/>
        <w:topLinePunct w:val="0"/>
        <w:autoSpaceDE/>
        <w:autoSpaceDN/>
        <w:bidi w:val="0"/>
        <w:adjustRightInd w:val="0"/>
        <w:snapToGrid w:val="0"/>
        <w:spacing w:line="500" w:lineRule="exact"/>
        <w:ind w:firstLine="5040" w:firstLineChars="2100"/>
        <w:rPr>
          <w:rFonts w:ascii="宋体" w:hAnsi="宋体" w:cs="宋体"/>
          <w:sz w:val="24"/>
          <w:szCs w:val="24"/>
        </w:rPr>
      </w:pPr>
      <w:r>
        <w:rPr>
          <w:rFonts w:hint="eastAsia" w:ascii="宋体" w:hAnsi="宋体" w:cs="宋体"/>
          <w:sz w:val="24"/>
          <w:szCs w:val="24"/>
        </w:rPr>
        <w:t>日期：    年   月   日</w:t>
      </w:r>
    </w:p>
    <w:p w14:paraId="0FBEB30C">
      <w:pPr>
        <w:keepNext w:val="0"/>
        <w:keepLines w:val="0"/>
        <w:pageBreakBefore w:val="0"/>
        <w:widowControl/>
        <w:kinsoku/>
        <w:wordWrap/>
        <w:overflowPunct/>
        <w:topLinePunct w:val="0"/>
        <w:autoSpaceDE/>
        <w:autoSpaceDN/>
        <w:bidi w:val="0"/>
        <w:snapToGrid w:val="0"/>
        <w:spacing w:line="500" w:lineRule="exact"/>
        <w:ind w:firstLine="480"/>
        <w:rPr>
          <w:rFonts w:ascii="宋体" w:hAnsi="宋体" w:cs="宋体"/>
          <w:sz w:val="24"/>
          <w:szCs w:val="24"/>
        </w:rPr>
      </w:pPr>
    </w:p>
    <w:p w14:paraId="375F1BBF">
      <w:pPr>
        <w:keepNext w:val="0"/>
        <w:keepLines w:val="0"/>
        <w:pageBreakBefore w:val="0"/>
        <w:widowControl/>
        <w:kinsoku/>
        <w:wordWrap/>
        <w:overflowPunct/>
        <w:topLinePunct w:val="0"/>
        <w:autoSpaceDE/>
        <w:autoSpaceDN/>
        <w:bidi w:val="0"/>
        <w:snapToGrid w:val="0"/>
        <w:spacing w:line="500" w:lineRule="exact"/>
        <w:ind w:firstLine="480"/>
        <w:rPr>
          <w:rFonts w:ascii="宋体" w:hAnsi="宋体" w:cs="宋体"/>
          <w:sz w:val="24"/>
          <w:szCs w:val="24"/>
        </w:rPr>
      </w:pPr>
    </w:p>
    <w:p w14:paraId="49FFF3AD">
      <w:pPr>
        <w:keepNext w:val="0"/>
        <w:keepLines w:val="0"/>
        <w:pageBreakBefore w:val="0"/>
        <w:widowControl/>
        <w:kinsoku/>
        <w:wordWrap/>
        <w:overflowPunct/>
        <w:topLinePunct w:val="0"/>
        <w:autoSpaceDE/>
        <w:autoSpaceDN/>
        <w:bidi w:val="0"/>
        <w:snapToGrid w:val="0"/>
        <w:spacing w:line="500" w:lineRule="exact"/>
        <w:ind w:firstLine="480"/>
        <w:rPr>
          <w:rFonts w:ascii="宋体" w:hAnsi="宋体" w:cs="宋体"/>
          <w:sz w:val="24"/>
          <w:szCs w:val="24"/>
        </w:rPr>
      </w:pPr>
    </w:p>
    <w:p w14:paraId="4072E962">
      <w:pPr>
        <w:keepNext w:val="0"/>
        <w:keepLines w:val="0"/>
        <w:pageBreakBefore w:val="0"/>
        <w:widowControl/>
        <w:kinsoku/>
        <w:wordWrap/>
        <w:overflowPunct/>
        <w:topLinePunct w:val="0"/>
        <w:autoSpaceDE/>
        <w:autoSpaceDN/>
        <w:bidi w:val="0"/>
        <w:snapToGrid w:val="0"/>
        <w:spacing w:line="500" w:lineRule="exact"/>
        <w:ind w:firstLine="480"/>
        <w:rPr>
          <w:rFonts w:ascii="宋体" w:hAnsi="宋体" w:cs="宋体"/>
          <w:sz w:val="24"/>
          <w:szCs w:val="24"/>
        </w:rPr>
      </w:pPr>
      <w:r>
        <w:rPr>
          <w:rFonts w:hint="eastAsia" w:ascii="宋体" w:hAnsi="宋体" w:cs="宋体"/>
          <w:sz w:val="24"/>
          <w:szCs w:val="24"/>
        </w:rPr>
        <w:t>供应商为监狱企业的提供此函。</w:t>
      </w:r>
    </w:p>
    <w:p w14:paraId="1BEC9694">
      <w:pPr>
        <w:keepNext w:val="0"/>
        <w:keepLines w:val="0"/>
        <w:pageBreakBefore w:val="0"/>
        <w:widowControl/>
        <w:kinsoku/>
        <w:wordWrap/>
        <w:overflowPunct/>
        <w:topLinePunct w:val="0"/>
        <w:autoSpaceDE/>
        <w:autoSpaceDN/>
        <w:bidi w:val="0"/>
        <w:snapToGrid w:val="0"/>
        <w:spacing w:line="500" w:lineRule="exact"/>
        <w:ind w:firstLine="480"/>
        <w:rPr>
          <w:rFonts w:hint="eastAsia" w:ascii="宋体" w:hAnsi="宋体" w:cs="宋体"/>
          <w:sz w:val="24"/>
          <w:szCs w:val="24"/>
        </w:rPr>
      </w:pPr>
      <w:r>
        <w:rPr>
          <w:rFonts w:hint="eastAsia" w:ascii="宋体" w:hAnsi="宋体" w:cs="宋体"/>
          <w:sz w:val="24"/>
          <w:szCs w:val="24"/>
        </w:rPr>
        <w:t>监狱企业参加政府采购活动时，应当提供由省级以上监狱管理局、戒毒管理局（含新疆生产建设兵团）出具的属于监狱企业的证明文件。</w:t>
      </w:r>
    </w:p>
    <w:p w14:paraId="43EA5BCF">
      <w:pPr>
        <w:adjustRightInd w:val="0"/>
        <w:snapToGrid w:val="0"/>
        <w:jc w:val="both"/>
        <w:textAlignment w:val="baseline"/>
        <w:rPr>
          <w:rFonts w:hint="eastAsia" w:ascii="新宋体" w:hAnsi="新宋体" w:eastAsia="新宋体"/>
          <w:sz w:val="24"/>
          <w:szCs w:val="24"/>
        </w:rPr>
      </w:pPr>
    </w:p>
    <w:p w14:paraId="7CA2C844">
      <w:pPr>
        <w:adjustRightInd w:val="0"/>
        <w:snapToGrid w:val="0"/>
        <w:ind w:left="0" w:leftChars="0" w:firstLine="0" w:firstLineChars="0"/>
        <w:jc w:val="both"/>
        <w:textAlignment w:val="baseline"/>
        <w:rPr>
          <w:rFonts w:hint="eastAsia" w:ascii="宋体" w:hAnsi="宋体" w:cs="宋体"/>
          <w:bCs/>
          <w:szCs w:val="21"/>
        </w:rPr>
      </w:pPr>
    </w:p>
    <w:p w14:paraId="0143DD1D">
      <w:pPr>
        <w:adjustRightInd w:val="0"/>
        <w:snapToGrid w:val="0"/>
        <w:ind w:firstLine="480"/>
        <w:jc w:val="center"/>
        <w:textAlignment w:val="baseline"/>
        <w:rPr>
          <w:rFonts w:ascii="宋体" w:hAnsi="宋体"/>
          <w:sz w:val="28"/>
          <w:szCs w:val="28"/>
        </w:rPr>
      </w:pPr>
      <w:r>
        <w:rPr>
          <w:rFonts w:hint="eastAsia" w:ascii="宋体" w:hAnsi="宋体"/>
          <w:b/>
          <w:bCs/>
          <w:sz w:val="28"/>
          <w:szCs w:val="28"/>
        </w:rPr>
        <w:t>残疾人福利性单位声明函</w:t>
      </w:r>
    </w:p>
    <w:p w14:paraId="65D9E6DC">
      <w:pPr>
        <w:autoSpaceDE w:val="0"/>
        <w:autoSpaceDN w:val="0"/>
        <w:adjustRightInd w:val="0"/>
        <w:snapToGrid w:val="0"/>
        <w:spacing w:after="312" w:afterLines="100"/>
        <w:ind w:firstLine="560"/>
        <w:jc w:val="center"/>
        <w:rPr>
          <w:rFonts w:ascii="宋体" w:hAnsi="宋体"/>
          <w:sz w:val="28"/>
          <w:szCs w:val="28"/>
        </w:rPr>
      </w:pPr>
      <w:r>
        <w:rPr>
          <w:rFonts w:hint="eastAsia" w:ascii="宋体" w:hAnsi="宋体"/>
          <w:sz w:val="28"/>
          <w:szCs w:val="28"/>
        </w:rPr>
        <w:t>【非残疾人福利性单位不需提供】</w:t>
      </w:r>
    </w:p>
    <w:p w14:paraId="62087F59">
      <w:pPr>
        <w:keepNext w:val="0"/>
        <w:keepLines w:val="0"/>
        <w:pageBreakBefore w:val="0"/>
        <w:widowControl w:val="0"/>
        <w:kinsoku/>
        <w:wordWrap/>
        <w:overflowPunct/>
        <w:topLinePunct w:val="0"/>
        <w:autoSpaceDE/>
        <w:autoSpaceDN/>
        <w:bidi w:val="0"/>
        <w:snapToGrid w:val="0"/>
        <w:spacing w:line="500" w:lineRule="exact"/>
        <w:ind w:firstLine="480"/>
        <w:textAlignment w:val="auto"/>
        <w:rPr>
          <w:rFonts w:ascii="宋体" w:hAnsi="宋体"/>
          <w:sz w:val="24"/>
          <w:szCs w:val="24"/>
        </w:rPr>
      </w:pPr>
      <w:r>
        <w:rPr>
          <w:rFonts w:hint="eastAsia" w:ascii="宋体" w:hAnsi="宋体"/>
          <w:sz w:val="24"/>
          <w:szCs w:val="24"/>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sz w:val="24"/>
          <w:szCs w:val="24"/>
          <w:u w:val="single"/>
        </w:rPr>
        <w:t>（采购人名称）</w:t>
      </w:r>
      <w:r>
        <w:rPr>
          <w:rFonts w:hint="eastAsia" w:ascii="宋体" w:hAnsi="宋体"/>
          <w:sz w:val="24"/>
          <w:szCs w:val="24"/>
        </w:rPr>
        <w:t>单位的</w:t>
      </w:r>
      <w:r>
        <w:rPr>
          <w:rFonts w:hint="eastAsia" w:ascii="宋体" w:hAnsi="宋体"/>
          <w:sz w:val="24"/>
          <w:szCs w:val="24"/>
          <w:u w:val="single"/>
        </w:rPr>
        <w:t>（项目名称）</w:t>
      </w:r>
      <w:r>
        <w:rPr>
          <w:rFonts w:hint="eastAsia" w:ascii="宋体" w:hAnsi="宋体"/>
          <w:sz w:val="24"/>
          <w:szCs w:val="24"/>
        </w:rPr>
        <w:t>项目采购活动提供本单位制造的货物（由本单位承担工程/提供服务），或者提供其他残疾人福利性单位制造的货物（不包括使用非残疾人福利性单位注册商标的货物）。</w:t>
      </w:r>
    </w:p>
    <w:p w14:paraId="13E351C5">
      <w:pPr>
        <w:keepNext w:val="0"/>
        <w:keepLines w:val="0"/>
        <w:pageBreakBefore w:val="0"/>
        <w:widowControl w:val="0"/>
        <w:kinsoku/>
        <w:wordWrap/>
        <w:overflowPunct/>
        <w:topLinePunct w:val="0"/>
        <w:autoSpaceDE/>
        <w:autoSpaceDN/>
        <w:bidi w:val="0"/>
        <w:snapToGrid w:val="0"/>
        <w:spacing w:line="500" w:lineRule="exact"/>
        <w:ind w:firstLine="480"/>
        <w:textAlignment w:val="auto"/>
        <w:rPr>
          <w:rFonts w:ascii="宋体" w:hAnsi="宋体"/>
          <w:sz w:val="24"/>
          <w:szCs w:val="24"/>
        </w:rPr>
      </w:pPr>
      <w:r>
        <w:rPr>
          <w:rFonts w:hint="eastAsia" w:ascii="宋体" w:hAnsi="宋体"/>
          <w:sz w:val="24"/>
          <w:szCs w:val="24"/>
        </w:rPr>
        <w:t>本单位对上述声明的真实性负责。如有虚假，将依法承担相应责任。</w:t>
      </w:r>
    </w:p>
    <w:p w14:paraId="6739BC83">
      <w:pPr>
        <w:keepNext w:val="0"/>
        <w:keepLines w:val="0"/>
        <w:pageBreakBefore w:val="0"/>
        <w:widowControl w:val="0"/>
        <w:kinsoku/>
        <w:wordWrap/>
        <w:overflowPunct/>
        <w:topLinePunct w:val="0"/>
        <w:autoSpaceDE/>
        <w:autoSpaceDN/>
        <w:bidi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3C6C6FD4">
      <w:pPr>
        <w:keepNext w:val="0"/>
        <w:keepLines w:val="0"/>
        <w:pageBreakBefore w:val="0"/>
        <w:widowControl w:val="0"/>
        <w:kinsoku/>
        <w:wordWrap/>
        <w:overflowPunct/>
        <w:topLinePunct w:val="0"/>
        <w:autoSpaceDE/>
        <w:autoSpaceDN/>
        <w:bidi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5275490E">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2493341C">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551D5671">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6DDB700A">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5D477FD3">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69375EA8">
      <w:pPr>
        <w:keepNext w:val="0"/>
        <w:keepLines w:val="0"/>
        <w:pageBreakBefore w:val="0"/>
        <w:widowControl w:val="0"/>
        <w:kinsoku/>
        <w:wordWrap/>
        <w:overflowPunct/>
        <w:topLinePunct w:val="0"/>
        <w:autoSpaceDE/>
        <w:autoSpaceDN/>
        <w:bidi w:val="0"/>
        <w:adjustRightInd w:val="0"/>
        <w:snapToGrid w:val="0"/>
        <w:spacing w:line="500" w:lineRule="exact"/>
        <w:ind w:firstLine="4080" w:firstLineChars="1700"/>
        <w:textAlignment w:val="auto"/>
        <w:rPr>
          <w:rFonts w:ascii="宋体" w:hAnsi="宋体"/>
          <w:sz w:val="24"/>
          <w:szCs w:val="24"/>
          <w:u w:val="single"/>
        </w:rPr>
      </w:pPr>
      <w:r>
        <w:rPr>
          <w:rFonts w:hint="eastAsia" w:ascii="宋体" w:hAnsi="宋体"/>
          <w:sz w:val="24"/>
          <w:szCs w:val="24"/>
        </w:rPr>
        <w:t>供应商名称（盖章）：</w:t>
      </w:r>
      <w:r>
        <w:rPr>
          <w:rFonts w:hint="eastAsia" w:ascii="宋体" w:hAnsi="宋体"/>
          <w:sz w:val="24"/>
          <w:szCs w:val="24"/>
          <w:u w:val="single"/>
        </w:rPr>
        <w:t xml:space="preserve">                    </w:t>
      </w:r>
    </w:p>
    <w:p w14:paraId="469B00AE">
      <w:pPr>
        <w:keepNext w:val="0"/>
        <w:keepLines w:val="0"/>
        <w:pageBreakBefore w:val="0"/>
        <w:widowControl w:val="0"/>
        <w:kinsoku/>
        <w:wordWrap/>
        <w:overflowPunct/>
        <w:topLinePunct w:val="0"/>
        <w:autoSpaceDE/>
        <w:autoSpaceDN/>
        <w:bidi w:val="0"/>
        <w:adjustRightInd w:val="0"/>
        <w:snapToGrid w:val="0"/>
        <w:spacing w:line="500" w:lineRule="exact"/>
        <w:ind w:firstLine="3600" w:firstLineChars="1500"/>
        <w:textAlignment w:val="auto"/>
        <w:rPr>
          <w:rFonts w:ascii="宋体" w:hAnsi="宋体"/>
          <w:sz w:val="24"/>
          <w:szCs w:val="24"/>
        </w:rPr>
      </w:pPr>
      <w:r>
        <w:rPr>
          <w:rFonts w:hint="eastAsia" w:ascii="宋体" w:hAnsi="宋体"/>
          <w:sz w:val="24"/>
          <w:szCs w:val="24"/>
        </w:rPr>
        <w:t xml:space="preserve"> </w:t>
      </w:r>
    </w:p>
    <w:p w14:paraId="2BEF48BA">
      <w:pPr>
        <w:keepNext w:val="0"/>
        <w:keepLines w:val="0"/>
        <w:pageBreakBefore w:val="0"/>
        <w:widowControl w:val="0"/>
        <w:kinsoku/>
        <w:wordWrap/>
        <w:overflowPunct/>
        <w:topLinePunct w:val="0"/>
        <w:autoSpaceDE/>
        <w:autoSpaceDN/>
        <w:bidi w:val="0"/>
        <w:adjustRightInd w:val="0"/>
        <w:snapToGrid w:val="0"/>
        <w:spacing w:line="500" w:lineRule="exact"/>
        <w:ind w:firstLine="4080" w:firstLineChars="1700"/>
        <w:textAlignment w:val="auto"/>
        <w:rPr>
          <w:rFonts w:ascii="宋体" w:hAnsi="宋体"/>
          <w:sz w:val="24"/>
          <w:szCs w:val="24"/>
        </w:rPr>
      </w:pPr>
      <w:r>
        <w:rPr>
          <w:rFonts w:hint="eastAsia" w:ascii="宋体" w:hAnsi="宋体"/>
          <w:sz w:val="24"/>
          <w:szCs w:val="24"/>
        </w:rPr>
        <w:t>日期：    年   月  日</w:t>
      </w:r>
    </w:p>
    <w:p w14:paraId="5D0B0AB0">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2F9BBEE1">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6A3A89D3">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宋体" w:hAnsi="宋体"/>
          <w:sz w:val="24"/>
          <w:szCs w:val="24"/>
        </w:rPr>
      </w:pPr>
      <w:r>
        <w:rPr>
          <w:rFonts w:hint="eastAsia" w:ascii="宋体" w:hAnsi="宋体"/>
          <w:sz w:val="24"/>
          <w:szCs w:val="24"/>
        </w:rPr>
        <w:t xml:space="preserve"> </w:t>
      </w:r>
    </w:p>
    <w:p w14:paraId="560169B5">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ascii="宋体" w:hAnsi="宋体"/>
          <w:color w:val="FF0000"/>
          <w:sz w:val="24"/>
          <w:szCs w:val="24"/>
        </w:rPr>
      </w:pPr>
      <w:r>
        <w:rPr>
          <w:rFonts w:hint="eastAsia" w:ascii="宋体" w:hAnsi="宋体"/>
          <w:sz w:val="24"/>
          <w:szCs w:val="24"/>
        </w:rPr>
        <w:t>供应商为残疾人福利性单位的提供此函。</w:t>
      </w:r>
    </w:p>
    <w:p w14:paraId="1E107B88">
      <w:pPr>
        <w:keepNext w:val="0"/>
        <w:keepLines w:val="0"/>
        <w:pageBreakBefore w:val="0"/>
        <w:widowControl w:val="0"/>
        <w:kinsoku/>
        <w:wordWrap/>
        <w:overflowPunct/>
        <w:topLinePunct w:val="0"/>
        <w:autoSpaceDE/>
        <w:autoSpaceDN/>
        <w:bidi w:val="0"/>
        <w:spacing w:before="100" w:beforeAutospacing="1" w:after="120" w:line="500" w:lineRule="exact"/>
        <w:ind w:firstLine="480"/>
        <w:textAlignment w:val="auto"/>
        <w:rPr>
          <w:rFonts w:hint="eastAsia" w:ascii="宋体" w:hAnsi="宋体"/>
          <w:color w:val="auto"/>
          <w:sz w:val="24"/>
          <w:szCs w:val="24"/>
        </w:rPr>
      </w:pPr>
      <w:r>
        <w:rPr>
          <w:rFonts w:hint="eastAsia" w:ascii="宋体" w:hAnsi="宋体"/>
          <w:color w:val="auto"/>
          <w:sz w:val="24"/>
          <w:szCs w:val="24"/>
        </w:rPr>
        <w:t>备注：成交供应商为残疾人福利性单位的，应当随成交结果同时公告其《残疾人福利性单位声明函》，接受社会监督。</w:t>
      </w:r>
    </w:p>
    <w:p w14:paraId="51CE5D43">
      <w:pPr>
        <w:pStyle w:val="35"/>
        <w:rPr>
          <w:rFonts w:hint="eastAsia"/>
        </w:rPr>
      </w:pPr>
    </w:p>
    <w:p w14:paraId="70CEB90B">
      <w:pPr>
        <w:pStyle w:val="16"/>
        <w:ind w:left="0" w:leftChars="0" w:firstLine="0" w:firstLineChars="0"/>
      </w:pPr>
    </w:p>
    <w:sectPr>
      <w:pgSz w:w="11906" w:h="16838"/>
      <w:pgMar w:top="1440" w:right="1080" w:bottom="1440" w:left="1080" w:header="737" w:footer="964" w:gutter="0"/>
      <w:pgBorders>
        <w:top w:val="none" w:sz="0" w:space="0"/>
        <w:left w:val="none" w:sz="0" w:space="0"/>
        <w:bottom w:val="none" w:sz="0" w:space="0"/>
        <w:right w:val="none" w:sz="0" w:space="0"/>
      </w:pgBorders>
      <w:pgNumType w:fmt="decimal"/>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8C9B3E3-2F81-4209-803D-ADBEB80D3E72}"/>
  </w:font>
  <w:font w:name="黑体">
    <w:panose1 w:val="02010609060101010101"/>
    <w:charset w:val="86"/>
    <w:family w:val="auto"/>
    <w:pitch w:val="default"/>
    <w:sig w:usb0="800002BF" w:usb1="38CF7CFA" w:usb2="00000016" w:usb3="00000000" w:csb0="00040001" w:csb1="00000000"/>
    <w:embedRegular r:id="rId2" w:fontKey="{63D8164B-8087-442E-B03D-A0CDE36842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embedRegular r:id="rId3" w:fontKey="{9A389002-C529-40E8-A564-FAC55446AEA1}"/>
  </w:font>
  <w:font w:name="Cambria">
    <w:panose1 w:val="02040503050406030204"/>
    <w:charset w:val="00"/>
    <w:family w:val="roman"/>
    <w:pitch w:val="default"/>
    <w:sig w:usb0="E00006FF" w:usb1="420024FF" w:usb2="02000000" w:usb3="00000000" w:csb0="2000019F" w:csb1="00000000"/>
  </w:font>
  <w:font w:name="Helvetica">
    <w:altName w:val="Arial"/>
    <w:panose1 w:val="020B0504020202030204"/>
    <w:charset w:val="00"/>
    <w:family w:val="swiss"/>
    <w:pitch w:val="default"/>
    <w:sig w:usb0="00000000" w:usb1="00000000" w:usb2="00000000" w:usb3="00000000" w:csb0="00000093" w:csb1="00000000"/>
  </w:font>
  <w:font w:name="ヒラギノ角ゴ Pro W3">
    <w:altName w:val="Yu Gothic"/>
    <w:panose1 w:val="00000000000000000000"/>
    <w:charset w:val="80"/>
    <w:family w:val="auto"/>
    <w:pitch w:val="default"/>
    <w:sig w:usb0="00000000" w:usb1="00000000" w:usb2="00000012" w:usb3="00000000" w:csb0="0002000D" w:csb1="00000000"/>
  </w:font>
  <w:font w:name="Yu Gothic">
    <w:panose1 w:val="020B04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 w:name="???|CS?o｡ﾀ?">
    <w:altName w:val="Yu Gothic"/>
    <w:panose1 w:val="00000000000000000000"/>
    <w:charset w:val="80"/>
    <w:family w:val="modern"/>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embedRegular r:id="rId4" w:fontKey="{F2116EE7-F1DF-4852-810F-5F6649E74E5A}"/>
  </w:font>
  <w:font w:name="华文中宋">
    <w:panose1 w:val="02010600040101010101"/>
    <w:charset w:val="86"/>
    <w:family w:val="auto"/>
    <w:pitch w:val="default"/>
    <w:sig w:usb0="00000287" w:usb1="080F0000" w:usb2="00000000" w:usb3="00000000" w:csb0="0004009F" w:csb1="DFD70000"/>
    <w:embedRegular r:id="rId5" w:fontKey="{0FF3A8BF-B7AA-4B53-99EC-0E9D3F729FBE}"/>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56C3E">
    <w:pPr>
      <w:pStyle w:val="25"/>
      <w:pBdr>
        <w:bottom w:val="single" w:color="auto" w:sz="4" w:space="0"/>
      </w:pBdr>
      <w:tabs>
        <w:tab w:val="left" w:pos="2404"/>
        <w:tab w:val="clear" w:pos="4153"/>
      </w:tabs>
      <w:ind w:firstLine="361"/>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2345F">
    <w:pPr>
      <w:pStyle w:val="25"/>
      <w:pBdr>
        <w:top w:val="single" w:color="auto" w:sz="4" w:space="0"/>
      </w:pBdr>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E11D2">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37AE11D2">
                    <w:pPr>
                      <w:pStyle w:val="2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新宋体" w:hAnsi="新宋体" w:eastAsia="新宋体" w:cs="新宋体"/>
        <w:lang w:eastAsia="zh-CN"/>
      </w:rPr>
      <w:t>浙江中合工程管理有限公司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21612">
    <w:pPr>
      <w:pStyle w:val="25"/>
      <w:pBdr>
        <w:top w:val="single" w:color="auto" w:sz="4" w:space="0"/>
        <w:left w:val="none" w:color="auto" w:sz="0" w:space="0"/>
        <w:bottom w:val="none" w:color="auto" w:sz="0" w:space="0"/>
        <w:right w:val="none" w:color="auto" w:sz="0" w:space="0"/>
        <w:between w:val="none" w:color="auto" w:sz="0" w:space="0"/>
      </w:pBdr>
      <w:ind w:left="0" w:leftChars="0"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5A868">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01C5A868">
                    <w:pPr>
                      <w:pStyle w:val="2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新宋体" w:hAnsi="新宋体" w:eastAsia="新宋体" w:cs="新宋体"/>
        <w:lang w:eastAsia="zh-CN"/>
      </w:rPr>
      <w:t>浙江中合工程管理有限公司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6FF4D">
    <w:pPr>
      <w:pStyle w:val="26"/>
      <w:pBdr>
        <w:top w:val="none" w:color="auto" w:sz="0" w:space="0"/>
        <w:left w:val="none" w:color="auto" w:sz="0" w:space="0"/>
        <w:bottom w:val="double" w:color="auto" w:sz="8" w:space="1"/>
        <w:right w:val="none" w:color="auto" w:sz="0" w:space="0"/>
        <w:between w:val="none" w:color="auto" w:sz="0" w:space="0"/>
      </w:pBdr>
      <w:ind w:firstLine="0" w:firstLineChars="0"/>
      <w:jc w:val="left"/>
    </w:pPr>
    <w:r>
      <w:rPr>
        <w:rFonts w:hint="eastAsia" w:ascii="宋体" w:hAnsi="宋体" w:cs="宋体"/>
        <w:lang w:eastAsia="zh-CN"/>
      </w:rPr>
      <w:t>龙游经济开发区基础设施配套工程-城南特勤消防站家具采购项目</w: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lang w:val="en-US" w:eastAsia="zh-CN"/>
      </w:rPr>
      <w:t xml:space="preserve">   ZJZHGL2025-005</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185F2">
    <w:pPr>
      <w:pStyle w:val="2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C9480">
    <w:pPr>
      <w:pStyle w:val="26"/>
      <w:pBdr>
        <w:top w:val="none" w:color="auto" w:sz="0" w:space="0"/>
        <w:left w:val="none" w:color="auto" w:sz="0" w:space="0"/>
        <w:bottom w:val="thickThinSmallGap" w:color="auto" w:sz="12" w:space="1"/>
        <w:right w:val="none" w:color="auto" w:sz="0" w:space="0"/>
        <w:between w:val="none" w:color="auto" w:sz="0" w:space="0"/>
      </w:pBdr>
      <w:ind w:firstLine="0" w:firstLineChars="0"/>
      <w:jc w:val="left"/>
    </w:pPr>
    <w:r>
      <w:rPr>
        <w:rFonts w:hint="eastAsia" w:ascii="宋体" w:hAnsi="宋体" w:cs="宋体"/>
        <w:lang w:eastAsia="zh-CN"/>
      </w:rPr>
      <w:t>龙游经济开发区基础设施配套工程-城南特勤消防站家具采购项目</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lang w:eastAsia="zh-CN"/>
      </w:rPr>
      <w:t>ZJZHGL2025-005</w:t>
    </w:r>
    <w:r>
      <w:rPr>
        <w:rFonts w:hint="eastAsia" w:ascii="宋体" w:hAnsi="宋体" w:cs="宋体"/>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35B55">
    <w:pPr>
      <w:pStyle w:val="26"/>
      <w:ind w:firstLine="36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F8258">
    <w:pPr>
      <w:pStyle w:val="26"/>
      <w:ind w:firstLine="36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C0A3F">
    <w:pPr>
      <w:pStyle w:val="26"/>
      <w:pBdr>
        <w:top w:val="none" w:color="auto" w:sz="0" w:space="0"/>
        <w:left w:val="none" w:color="auto" w:sz="0" w:space="0"/>
        <w:bottom w:val="thickThinSmallGap" w:color="auto" w:sz="12" w:space="1"/>
        <w:right w:val="none" w:color="auto" w:sz="0" w:space="0"/>
        <w:between w:val="none" w:color="auto" w:sz="0" w:space="0"/>
      </w:pBdr>
      <w:ind w:firstLine="0" w:firstLineChars="0"/>
      <w:jc w:val="left"/>
    </w:pPr>
    <w:r>
      <w:rPr>
        <w:rFonts w:hint="eastAsia" w:ascii="宋体" w:hAnsi="宋体" w:cs="宋体"/>
        <w:lang w:eastAsia="zh-CN"/>
      </w:rPr>
      <w:t>龙游经济开发区基础设施配套工程-城南特勤消防站家具采购项目</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lang w:eastAsia="zh-CN"/>
      </w:rPr>
      <w:t>ZJZHGL2025-005</w:t>
    </w:r>
    <w:r>
      <w:rPr>
        <w:rFonts w:hint="eastAsia" w:ascii="宋体" w:hAnsi="宋体" w:cs="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E1AAC"/>
    <w:multiLevelType w:val="multilevel"/>
    <w:tmpl w:val="84AE1AAC"/>
    <w:lvl w:ilvl="0" w:tentative="0">
      <w:start w:val="37"/>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1">
    <w:nsid w:val="85F771E9"/>
    <w:multiLevelType w:val="multilevel"/>
    <w:tmpl w:val="85F771E9"/>
    <w:lvl w:ilvl="0" w:tentative="0">
      <w:start w:val="33"/>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2">
    <w:nsid w:val="86A465D1"/>
    <w:multiLevelType w:val="singleLevel"/>
    <w:tmpl w:val="86A465D1"/>
    <w:lvl w:ilvl="0" w:tentative="0">
      <w:start w:val="1"/>
      <w:numFmt w:val="decimal"/>
      <w:suff w:val="nothing"/>
      <w:lvlText w:val="%1、"/>
      <w:lvlJc w:val="left"/>
    </w:lvl>
  </w:abstractNum>
  <w:abstractNum w:abstractNumId="3">
    <w:nsid w:val="93AFAFA4"/>
    <w:multiLevelType w:val="multilevel"/>
    <w:tmpl w:val="93AFAFA4"/>
    <w:lvl w:ilvl="0" w:tentative="0">
      <w:start w:val="34"/>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4">
    <w:nsid w:val="947EBF98"/>
    <w:multiLevelType w:val="multilevel"/>
    <w:tmpl w:val="947EBF98"/>
    <w:lvl w:ilvl="0" w:tentative="0">
      <w:start w:val="20"/>
      <w:numFmt w:val="decimal"/>
      <w:suff w:val="nothing"/>
      <w:lvlText w:val="%1."/>
      <w:lvlJc w:val="left"/>
      <w:pPr>
        <w:tabs>
          <w:tab w:val="left" w:pos="0"/>
        </w:tabs>
        <w:ind w:left="0" w:leftChars="0" w:firstLine="0" w:firstLineChars="0"/>
      </w:pPr>
      <w:rPr>
        <w:rFonts w:hint="default" w:ascii="宋体" w:hAnsi="宋体" w:eastAsia="宋体" w:cs="宋体"/>
        <w:sz w:val="28"/>
      </w:rPr>
    </w:lvl>
    <w:lvl w:ilvl="1" w:tentative="0">
      <w:start w:val="1"/>
      <w:numFmt w:val="decimal"/>
      <w:suff w:val="nothing"/>
      <w:lvlText w:val="%1.%2."/>
      <w:lvlJc w:val="left"/>
      <w:pPr>
        <w:tabs>
          <w:tab w:val="left" w:pos="0"/>
        </w:tabs>
        <w:ind w:left="0" w:leftChars="0" w:firstLine="0" w:firstLineChars="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5">
    <w:nsid w:val="96C99190"/>
    <w:multiLevelType w:val="multilevel"/>
    <w:tmpl w:val="96C99190"/>
    <w:lvl w:ilvl="0" w:tentative="0">
      <w:start w:val="25"/>
      <w:numFmt w:val="decimal"/>
      <w:suff w:val="nothing"/>
      <w:lvlText w:val="%1."/>
      <w:lvlJc w:val="left"/>
      <w:pPr>
        <w:tabs>
          <w:tab w:val="left" w:pos="0"/>
        </w:tabs>
        <w:ind w:left="903" w:hanging="425"/>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6">
    <w:nsid w:val="9BD9655A"/>
    <w:multiLevelType w:val="singleLevel"/>
    <w:tmpl w:val="9BD9655A"/>
    <w:lvl w:ilvl="0" w:tentative="0">
      <w:start w:val="1"/>
      <w:numFmt w:val="decimal"/>
      <w:suff w:val="nothing"/>
      <w:lvlText w:val="%1、"/>
      <w:lvlJc w:val="left"/>
    </w:lvl>
  </w:abstractNum>
  <w:abstractNum w:abstractNumId="7">
    <w:nsid w:val="A5C62F60"/>
    <w:multiLevelType w:val="singleLevel"/>
    <w:tmpl w:val="A5C62F60"/>
    <w:lvl w:ilvl="0" w:tentative="0">
      <w:start w:val="1"/>
      <w:numFmt w:val="decimal"/>
      <w:suff w:val="nothing"/>
      <w:lvlText w:val="%1、"/>
      <w:lvlJc w:val="left"/>
    </w:lvl>
  </w:abstractNum>
  <w:abstractNum w:abstractNumId="8">
    <w:nsid w:val="AB3B11DE"/>
    <w:multiLevelType w:val="multilevel"/>
    <w:tmpl w:val="AB3B11DE"/>
    <w:lvl w:ilvl="0" w:tentative="0">
      <w:start w:val="22"/>
      <w:numFmt w:val="decimal"/>
      <w:suff w:val="nothing"/>
      <w:lvlText w:val="%1."/>
      <w:lvlJc w:val="left"/>
      <w:pPr>
        <w:tabs>
          <w:tab w:val="left" w:pos="0"/>
        </w:tabs>
        <w:ind w:left="903" w:hanging="425"/>
      </w:pPr>
      <w:rPr>
        <w:rFonts w:hint="default" w:ascii="宋体" w:hAnsi="宋体" w:eastAsia="宋体" w:cs="宋体"/>
        <w:sz w:val="28"/>
      </w:rPr>
    </w:lvl>
    <w:lvl w:ilvl="1" w:tentative="0">
      <w:start w:val="1"/>
      <w:numFmt w:val="decimal"/>
      <w:suff w:val="nothing"/>
      <w:lvlText w:val="%1.%2."/>
      <w:lvlJc w:val="left"/>
      <w:pPr>
        <w:tabs>
          <w:tab w:val="left" w:pos="0"/>
        </w:tabs>
        <w:ind w:left="0" w:leftChars="0" w:firstLine="0" w:firstLineChars="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9">
    <w:nsid w:val="AB9A4EA1"/>
    <w:multiLevelType w:val="singleLevel"/>
    <w:tmpl w:val="AB9A4EA1"/>
    <w:lvl w:ilvl="0" w:tentative="0">
      <w:start w:val="1"/>
      <w:numFmt w:val="decimal"/>
      <w:suff w:val="nothing"/>
      <w:lvlText w:val="%1、"/>
      <w:lvlJc w:val="left"/>
    </w:lvl>
  </w:abstractNum>
  <w:abstractNum w:abstractNumId="10">
    <w:nsid w:val="B962F18F"/>
    <w:multiLevelType w:val="multilevel"/>
    <w:tmpl w:val="B962F18F"/>
    <w:lvl w:ilvl="0" w:tentative="0">
      <w:start w:val="48"/>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11">
    <w:nsid w:val="BC32BD1C"/>
    <w:multiLevelType w:val="singleLevel"/>
    <w:tmpl w:val="BC32BD1C"/>
    <w:lvl w:ilvl="0" w:tentative="0">
      <w:start w:val="1"/>
      <w:numFmt w:val="decimal"/>
      <w:suff w:val="nothing"/>
      <w:lvlText w:val="%1、"/>
      <w:lvlJc w:val="left"/>
    </w:lvl>
  </w:abstractNum>
  <w:abstractNum w:abstractNumId="12">
    <w:nsid w:val="BEAE6844"/>
    <w:multiLevelType w:val="multilevel"/>
    <w:tmpl w:val="BEAE6844"/>
    <w:lvl w:ilvl="0" w:tentative="0">
      <w:start w:val="38"/>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13">
    <w:nsid w:val="C9E241E8"/>
    <w:multiLevelType w:val="multilevel"/>
    <w:tmpl w:val="C9E241E8"/>
    <w:lvl w:ilvl="0" w:tentative="0">
      <w:start w:val="11"/>
      <w:numFmt w:val="decimal"/>
      <w:suff w:val="nothing"/>
      <w:lvlText w:val="%1."/>
      <w:lvlJc w:val="left"/>
      <w:pPr>
        <w:tabs>
          <w:tab w:val="left" w:pos="0"/>
        </w:tabs>
        <w:ind w:left="425" w:hanging="425"/>
      </w:pPr>
      <w:rPr>
        <w:rFonts w:hint="default" w:ascii="宋体" w:hAnsi="宋体" w:eastAsia="宋体" w:cs="宋体"/>
        <w:sz w:val="28"/>
      </w:rPr>
    </w:lvl>
    <w:lvl w:ilvl="1" w:tentative="0">
      <w:start w:val="1"/>
      <w:numFmt w:val="decimal"/>
      <w:suff w:val="nothing"/>
      <w:lvlText w:val="%1.%2."/>
      <w:lvlJc w:val="left"/>
      <w:pPr>
        <w:tabs>
          <w:tab w:val="left" w:pos="0"/>
        </w:tabs>
        <w:ind w:left="567" w:hanging="567"/>
      </w:pPr>
      <w:rPr>
        <w:rFonts w:hint="default" w:ascii="宋体" w:hAnsi="宋体" w:eastAsia="宋体" w:cs="宋体"/>
        <w:sz w:val="24"/>
        <w:szCs w:val="24"/>
      </w:rPr>
    </w:lvl>
    <w:lvl w:ilvl="2" w:tentative="0">
      <w:start w:val="1"/>
      <w:numFmt w:val="decimal"/>
      <w:suff w:val="nothing"/>
      <w:lvlText w:val="%1.%2.%3."/>
      <w:lvlJc w:val="left"/>
      <w:pPr>
        <w:tabs>
          <w:tab w:val="left" w:pos="0"/>
        </w:tabs>
        <w:ind w:left="709" w:hanging="709"/>
      </w:pPr>
      <w:rPr>
        <w:rFonts w:hint="default" w:ascii="黑体" w:hAnsi="黑体" w:eastAsia="黑体"/>
      </w:rPr>
    </w:lvl>
    <w:lvl w:ilvl="3" w:tentative="0">
      <w:start w:val="1"/>
      <w:numFmt w:val="decimal"/>
      <w:suff w:val="nothing"/>
      <w:lvlText w:val="%1.%2.%3.%4."/>
      <w:lvlJc w:val="left"/>
      <w:pPr>
        <w:tabs>
          <w:tab w:val="left" w:pos="420"/>
        </w:tabs>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D5B8C7FA"/>
    <w:multiLevelType w:val="multilevel"/>
    <w:tmpl w:val="D5B8C7FA"/>
    <w:lvl w:ilvl="0" w:tentative="0">
      <w:start w:val="27"/>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15">
    <w:nsid w:val="DB5FE334"/>
    <w:multiLevelType w:val="multilevel"/>
    <w:tmpl w:val="DB5FE334"/>
    <w:lvl w:ilvl="0" w:tentative="0">
      <w:start w:val="1"/>
      <w:numFmt w:val="chineseCounting"/>
      <w:pStyle w:val="3"/>
      <w:suff w:val="nothing"/>
      <w:lvlText w:val="第%1章 "/>
      <w:lvlJc w:val="left"/>
      <w:pPr>
        <w:ind w:left="432" w:hanging="432"/>
      </w:pPr>
      <w:rPr>
        <w:rFonts w:hint="eastAsia"/>
      </w:rPr>
    </w:lvl>
    <w:lvl w:ilvl="1" w:tentative="0">
      <w:start w:val="1"/>
      <w:numFmt w:val="decimal"/>
      <w:pStyle w:val="4"/>
      <w:isLgl/>
      <w:lvlText w:val="%1.%2."/>
      <w:lvlJc w:val="left"/>
      <w:pPr>
        <w:ind w:left="575" w:hanging="575"/>
      </w:pPr>
      <w:rPr>
        <w:rFonts w:hint="eastAsia"/>
      </w:rPr>
    </w:lvl>
    <w:lvl w:ilvl="2" w:tentative="0">
      <w:start w:val="1"/>
      <w:numFmt w:val="decimal"/>
      <w:pStyle w:val="5"/>
      <w:isLgl/>
      <w:lvlText w:val="%1.%2.%3."/>
      <w:lvlJc w:val="left"/>
      <w:pPr>
        <w:ind w:left="720" w:hanging="720"/>
      </w:pPr>
      <w:rPr>
        <w:rFonts w:hint="eastAsia"/>
      </w:rPr>
    </w:lvl>
    <w:lvl w:ilvl="3" w:tentative="0">
      <w:start w:val="1"/>
      <w:numFmt w:val="decimal"/>
      <w:pStyle w:val="6"/>
      <w:isLgl/>
      <w:lvlText w:val="%1.%2.%3.%4."/>
      <w:lvlJc w:val="left"/>
      <w:pPr>
        <w:ind w:left="864" w:hanging="864"/>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16">
    <w:nsid w:val="DE3F5C08"/>
    <w:multiLevelType w:val="multilevel"/>
    <w:tmpl w:val="DE3F5C08"/>
    <w:lvl w:ilvl="0" w:tentative="0">
      <w:start w:val="28"/>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17">
    <w:nsid w:val="E1BFE8AC"/>
    <w:multiLevelType w:val="singleLevel"/>
    <w:tmpl w:val="E1BFE8AC"/>
    <w:lvl w:ilvl="0" w:tentative="0">
      <w:start w:val="10"/>
      <w:numFmt w:val="chineseCounting"/>
      <w:suff w:val="nothing"/>
      <w:lvlText w:val="%1、"/>
      <w:lvlJc w:val="left"/>
      <w:rPr>
        <w:rFonts w:hint="eastAsia"/>
      </w:rPr>
    </w:lvl>
  </w:abstractNum>
  <w:abstractNum w:abstractNumId="18">
    <w:nsid w:val="F11A53AA"/>
    <w:multiLevelType w:val="multilevel"/>
    <w:tmpl w:val="F11A53AA"/>
    <w:lvl w:ilvl="0" w:tentative="0">
      <w:start w:val="5"/>
      <w:numFmt w:val="decimal"/>
      <w:suff w:val="nothing"/>
      <w:lvlText w:val="%1."/>
      <w:lvlJc w:val="left"/>
      <w:pPr>
        <w:tabs>
          <w:tab w:val="left" w:pos="0"/>
        </w:tabs>
        <w:ind w:left="425" w:hanging="425"/>
      </w:pPr>
      <w:rPr>
        <w:rFonts w:hint="default" w:ascii="宋体" w:hAnsi="宋体" w:eastAsia="宋体" w:cs="宋体"/>
        <w:sz w:val="28"/>
      </w:rPr>
    </w:lvl>
    <w:lvl w:ilvl="1" w:tentative="0">
      <w:start w:val="1"/>
      <w:numFmt w:val="decimal"/>
      <w:suff w:val="nothing"/>
      <w:lvlText w:val="%1.%2."/>
      <w:lvlJc w:val="left"/>
      <w:pPr>
        <w:tabs>
          <w:tab w:val="left" w:pos="0"/>
        </w:tabs>
        <w:ind w:left="567" w:hanging="567"/>
      </w:pPr>
      <w:rPr>
        <w:rFonts w:hint="default" w:ascii="黑体" w:hAnsi="黑体" w:eastAsia="黑体" w:cs="黑体"/>
        <w:sz w:val="22"/>
      </w:rPr>
    </w:lvl>
    <w:lvl w:ilvl="2" w:tentative="0">
      <w:start w:val="1"/>
      <w:numFmt w:val="decimal"/>
      <w:suff w:val="nothing"/>
      <w:lvlText w:val="%1.%2.%3."/>
      <w:lvlJc w:val="left"/>
      <w:pPr>
        <w:tabs>
          <w:tab w:val="left" w:pos="0"/>
        </w:tabs>
        <w:ind w:left="709" w:hanging="709"/>
      </w:pPr>
      <w:rPr>
        <w:rFonts w:hint="default" w:ascii="宋体" w:hAnsi="宋体" w:eastAsia="宋体" w:cs="宋体"/>
        <w:sz w:val="22"/>
        <w:szCs w:val="22"/>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FCDE6739"/>
    <w:multiLevelType w:val="singleLevel"/>
    <w:tmpl w:val="FCDE6739"/>
    <w:lvl w:ilvl="0" w:tentative="0">
      <w:start w:val="1"/>
      <w:numFmt w:val="decimal"/>
      <w:suff w:val="nothing"/>
      <w:lvlText w:val="（%1）"/>
      <w:lvlJc w:val="left"/>
    </w:lvl>
  </w:abstractNum>
  <w:abstractNum w:abstractNumId="20">
    <w:nsid w:val="FF4A4F0E"/>
    <w:multiLevelType w:val="singleLevel"/>
    <w:tmpl w:val="FF4A4F0E"/>
    <w:lvl w:ilvl="0" w:tentative="0">
      <w:start w:val="1"/>
      <w:numFmt w:val="decimal"/>
      <w:suff w:val="nothing"/>
      <w:lvlText w:val="%1、"/>
      <w:lvlJc w:val="left"/>
    </w:lvl>
  </w:abstractNum>
  <w:abstractNum w:abstractNumId="21">
    <w:nsid w:val="0000001C"/>
    <w:multiLevelType w:val="singleLevel"/>
    <w:tmpl w:val="0000001C"/>
    <w:lvl w:ilvl="0" w:tentative="0">
      <w:start w:val="1"/>
      <w:numFmt w:val="decimal"/>
      <w:pStyle w:val="119"/>
      <w:lvlText w:val="(%1)"/>
      <w:lvlJc w:val="left"/>
      <w:pPr>
        <w:tabs>
          <w:tab w:val="left" w:pos="750"/>
        </w:tabs>
        <w:ind w:left="750" w:hanging="270"/>
      </w:pPr>
      <w:rPr>
        <w:rFonts w:hint="default"/>
      </w:rPr>
    </w:lvl>
  </w:abstractNum>
  <w:abstractNum w:abstractNumId="22">
    <w:nsid w:val="0818F3E6"/>
    <w:multiLevelType w:val="multilevel"/>
    <w:tmpl w:val="0818F3E6"/>
    <w:lvl w:ilvl="0" w:tentative="0">
      <w:start w:val="21"/>
      <w:numFmt w:val="decimal"/>
      <w:suff w:val="nothing"/>
      <w:lvlText w:val="%1."/>
      <w:lvlJc w:val="left"/>
      <w:pPr>
        <w:tabs>
          <w:tab w:val="left" w:pos="0"/>
        </w:tabs>
        <w:ind w:left="0" w:leftChars="0" w:firstLine="0" w:firstLineChars="0"/>
      </w:pPr>
      <w:rPr>
        <w:rFonts w:hint="default" w:ascii="宋体" w:hAnsi="宋体" w:eastAsia="宋体" w:cs="宋体"/>
        <w:sz w:val="28"/>
      </w:rPr>
    </w:lvl>
    <w:lvl w:ilvl="1" w:tentative="0">
      <w:start w:val="1"/>
      <w:numFmt w:val="decimal"/>
      <w:suff w:val="nothing"/>
      <w:lvlText w:val="%1.%2."/>
      <w:lvlJc w:val="left"/>
      <w:pPr>
        <w:tabs>
          <w:tab w:val="left" w:pos="171"/>
        </w:tabs>
        <w:ind w:left="1440" w:hanging="453"/>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23">
    <w:nsid w:val="0FB2C440"/>
    <w:multiLevelType w:val="multilevel"/>
    <w:tmpl w:val="0FB2C440"/>
    <w:lvl w:ilvl="0" w:tentative="0">
      <w:start w:val="32"/>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24">
    <w:nsid w:val="127E6382"/>
    <w:multiLevelType w:val="singleLevel"/>
    <w:tmpl w:val="127E6382"/>
    <w:lvl w:ilvl="0" w:tentative="0">
      <w:start w:val="1"/>
      <w:numFmt w:val="decimal"/>
      <w:suff w:val="nothing"/>
      <w:lvlText w:val="%1、"/>
      <w:lvlJc w:val="left"/>
    </w:lvl>
  </w:abstractNum>
  <w:abstractNum w:abstractNumId="25">
    <w:nsid w:val="269126E2"/>
    <w:multiLevelType w:val="singleLevel"/>
    <w:tmpl w:val="269126E2"/>
    <w:lvl w:ilvl="0" w:tentative="0">
      <w:start w:val="1"/>
      <w:numFmt w:val="decimal"/>
      <w:suff w:val="nothing"/>
      <w:lvlText w:val="%1、"/>
      <w:lvlJc w:val="left"/>
    </w:lvl>
  </w:abstractNum>
  <w:abstractNum w:abstractNumId="26">
    <w:nsid w:val="29E66658"/>
    <w:multiLevelType w:val="singleLevel"/>
    <w:tmpl w:val="29E66658"/>
    <w:lvl w:ilvl="0" w:tentative="0">
      <w:start w:val="1"/>
      <w:numFmt w:val="decimal"/>
      <w:suff w:val="nothing"/>
      <w:lvlText w:val="%1、"/>
      <w:lvlJc w:val="left"/>
    </w:lvl>
  </w:abstractNum>
  <w:abstractNum w:abstractNumId="27">
    <w:nsid w:val="2A3B505F"/>
    <w:multiLevelType w:val="multilevel"/>
    <w:tmpl w:val="2A3B505F"/>
    <w:lvl w:ilvl="0" w:tentative="0">
      <w:start w:val="29"/>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28">
    <w:nsid w:val="2A89B273"/>
    <w:multiLevelType w:val="singleLevel"/>
    <w:tmpl w:val="2A89B273"/>
    <w:lvl w:ilvl="0" w:tentative="0">
      <w:start w:val="1"/>
      <w:numFmt w:val="decimal"/>
      <w:suff w:val="nothing"/>
      <w:lvlText w:val="(%1)"/>
      <w:lvlJc w:val="left"/>
      <w:pPr>
        <w:tabs>
          <w:tab w:val="left" w:pos="420"/>
        </w:tabs>
        <w:ind w:left="425" w:hanging="425"/>
      </w:pPr>
      <w:rPr>
        <w:rFonts w:hint="default" w:ascii="宋体" w:hAnsi="宋体" w:eastAsia="宋体" w:cs="宋体"/>
        <w:sz w:val="22"/>
        <w:szCs w:val="22"/>
      </w:rPr>
    </w:lvl>
  </w:abstractNum>
  <w:abstractNum w:abstractNumId="29">
    <w:nsid w:val="32F1B4E1"/>
    <w:multiLevelType w:val="singleLevel"/>
    <w:tmpl w:val="32F1B4E1"/>
    <w:lvl w:ilvl="0" w:tentative="0">
      <w:start w:val="1"/>
      <w:numFmt w:val="decimal"/>
      <w:suff w:val="space"/>
      <w:lvlText w:val="%1."/>
      <w:lvlJc w:val="left"/>
    </w:lvl>
  </w:abstractNum>
  <w:abstractNum w:abstractNumId="30">
    <w:nsid w:val="355503C9"/>
    <w:multiLevelType w:val="singleLevel"/>
    <w:tmpl w:val="355503C9"/>
    <w:lvl w:ilvl="0" w:tentative="0">
      <w:start w:val="1"/>
      <w:numFmt w:val="decimal"/>
      <w:suff w:val="nothing"/>
      <w:lvlText w:val="%1、"/>
      <w:lvlJc w:val="left"/>
    </w:lvl>
  </w:abstractNum>
  <w:abstractNum w:abstractNumId="31">
    <w:nsid w:val="3BBA681D"/>
    <w:multiLevelType w:val="singleLevel"/>
    <w:tmpl w:val="3BBA681D"/>
    <w:lvl w:ilvl="0" w:tentative="0">
      <w:start w:val="1"/>
      <w:numFmt w:val="decimal"/>
      <w:suff w:val="nothing"/>
      <w:lvlText w:val="%1、"/>
      <w:lvlJc w:val="left"/>
    </w:lvl>
  </w:abstractNum>
  <w:abstractNum w:abstractNumId="32">
    <w:nsid w:val="3F39743D"/>
    <w:multiLevelType w:val="singleLevel"/>
    <w:tmpl w:val="3F39743D"/>
    <w:lvl w:ilvl="0" w:tentative="0">
      <w:start w:val="1"/>
      <w:numFmt w:val="decimal"/>
      <w:suff w:val="nothing"/>
      <w:lvlText w:val="%1、"/>
      <w:lvlJc w:val="left"/>
    </w:lvl>
  </w:abstractNum>
  <w:abstractNum w:abstractNumId="33">
    <w:nsid w:val="435328E5"/>
    <w:multiLevelType w:val="singleLevel"/>
    <w:tmpl w:val="435328E5"/>
    <w:lvl w:ilvl="0" w:tentative="0">
      <w:start w:val="3"/>
      <w:numFmt w:val="chineseCounting"/>
      <w:suff w:val="space"/>
      <w:lvlText w:val="第%1章"/>
      <w:lvlJc w:val="left"/>
      <w:rPr>
        <w:rFonts w:hint="eastAsia"/>
      </w:rPr>
    </w:lvl>
  </w:abstractNum>
  <w:abstractNum w:abstractNumId="34">
    <w:nsid w:val="58200E77"/>
    <w:multiLevelType w:val="multilevel"/>
    <w:tmpl w:val="58200E77"/>
    <w:lvl w:ilvl="0" w:tentative="0">
      <w:start w:val="52"/>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35">
    <w:nsid w:val="5ABB7CDF"/>
    <w:multiLevelType w:val="multilevel"/>
    <w:tmpl w:val="5ABB7CDF"/>
    <w:lvl w:ilvl="0" w:tentative="0">
      <w:start w:val="23"/>
      <w:numFmt w:val="decimal"/>
      <w:suff w:val="nothing"/>
      <w:lvlText w:val="%1."/>
      <w:lvlJc w:val="left"/>
      <w:pPr>
        <w:tabs>
          <w:tab w:val="left" w:pos="0"/>
        </w:tabs>
        <w:ind w:left="0" w:leftChars="0" w:firstLine="0" w:firstLineChars="0"/>
      </w:pPr>
      <w:rPr>
        <w:rFonts w:hint="default" w:ascii="宋体" w:hAnsi="宋体" w:eastAsia="宋体" w:cs="宋体"/>
        <w:sz w:val="28"/>
      </w:rPr>
    </w:lvl>
    <w:lvl w:ilvl="1" w:tentative="0">
      <w:start w:val="1"/>
      <w:numFmt w:val="decimal"/>
      <w:suff w:val="nothing"/>
      <w:lvlText w:val="%1.%2."/>
      <w:lvlJc w:val="left"/>
      <w:pPr>
        <w:tabs>
          <w:tab w:val="left" w:pos="0"/>
        </w:tabs>
        <w:ind w:left="0" w:leftChars="0" w:firstLine="0" w:firstLineChars="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36">
    <w:nsid w:val="621669EB"/>
    <w:multiLevelType w:val="multilevel"/>
    <w:tmpl w:val="621669EB"/>
    <w:lvl w:ilvl="0" w:tentative="0">
      <w:start w:val="1"/>
      <w:numFmt w:val="decimal"/>
      <w:suff w:val="nothing"/>
      <w:lvlText w:val="%1."/>
      <w:lvlJc w:val="left"/>
      <w:pPr>
        <w:tabs>
          <w:tab w:val="left" w:pos="0"/>
        </w:tabs>
        <w:ind w:left="903" w:hanging="425"/>
      </w:pPr>
      <w:rPr>
        <w:rFonts w:hint="default" w:ascii="宋体" w:hAnsi="宋体" w:eastAsia="宋体" w:cs="宋体"/>
        <w:sz w:val="28"/>
      </w:rPr>
    </w:lvl>
    <w:lvl w:ilvl="1" w:tentative="0">
      <w:start w:val="1"/>
      <w:numFmt w:val="decimal"/>
      <w:suff w:val="nothing"/>
      <w:lvlText w:val="%1.%2."/>
      <w:lvlJc w:val="left"/>
      <w:pPr>
        <w:tabs>
          <w:tab w:val="left" w:pos="171"/>
        </w:tabs>
        <w:ind w:left="1440" w:hanging="453"/>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37">
    <w:nsid w:val="63C6A213"/>
    <w:multiLevelType w:val="multilevel"/>
    <w:tmpl w:val="63C6A213"/>
    <w:lvl w:ilvl="0" w:tentative="0">
      <w:start w:val="21"/>
      <w:numFmt w:val="decimal"/>
      <w:suff w:val="nothing"/>
      <w:lvlText w:val="%1."/>
      <w:lvlJc w:val="left"/>
      <w:pPr>
        <w:tabs>
          <w:tab w:val="left" w:pos="0"/>
        </w:tabs>
        <w:ind w:left="0" w:leftChars="0" w:firstLine="0" w:firstLineChars="0"/>
      </w:pPr>
      <w:rPr>
        <w:rFonts w:hint="default" w:ascii="宋体" w:hAnsi="宋体" w:eastAsia="宋体" w:cs="宋体"/>
        <w:sz w:val="28"/>
      </w:rPr>
    </w:lvl>
    <w:lvl w:ilvl="1" w:tentative="0">
      <w:start w:val="1"/>
      <w:numFmt w:val="decimal"/>
      <w:suff w:val="nothing"/>
      <w:lvlText w:val="%1.%2."/>
      <w:lvlJc w:val="left"/>
      <w:pPr>
        <w:tabs>
          <w:tab w:val="left" w:pos="0"/>
        </w:tabs>
        <w:ind w:left="1440" w:hanging="453"/>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abstractNum w:abstractNumId="38">
    <w:nsid w:val="6BD6CB78"/>
    <w:multiLevelType w:val="multilevel"/>
    <w:tmpl w:val="6BD6CB78"/>
    <w:lvl w:ilvl="0" w:tentative="0">
      <w:start w:val="45"/>
      <w:numFmt w:val="decimal"/>
      <w:suff w:val="nothing"/>
      <w:lvlText w:val="%1."/>
      <w:lvlJc w:val="left"/>
      <w:pPr>
        <w:tabs>
          <w:tab w:val="left" w:pos="0"/>
        </w:tabs>
        <w:ind w:left="0" w:firstLine="0"/>
      </w:pPr>
      <w:rPr>
        <w:rFonts w:hint="default" w:ascii="宋体" w:hAnsi="宋体" w:eastAsia="宋体" w:cs="宋体"/>
        <w:sz w:val="28"/>
      </w:rPr>
    </w:lvl>
    <w:lvl w:ilvl="1" w:tentative="0">
      <w:start w:val="1"/>
      <w:numFmt w:val="decimal"/>
      <w:suff w:val="nothing"/>
      <w:lvlText w:val="%1.%2."/>
      <w:lvlJc w:val="left"/>
      <w:pPr>
        <w:tabs>
          <w:tab w:val="left" w:pos="0"/>
        </w:tabs>
        <w:ind w:left="0" w:firstLine="0"/>
      </w:pPr>
      <w:rPr>
        <w:rFonts w:hint="default" w:ascii="宋体" w:hAnsi="宋体" w:eastAsia="宋体" w:cs="宋体"/>
        <w:b w:val="0"/>
        <w:bCs w:val="0"/>
        <w:sz w:val="24"/>
        <w:szCs w:val="24"/>
      </w:rPr>
    </w:lvl>
    <w:lvl w:ilvl="2" w:tentative="0">
      <w:start w:val="1"/>
      <w:numFmt w:val="decimal"/>
      <w:suff w:val="nothing"/>
      <w:lvlText w:val="%1.%2.%3."/>
      <w:lvlJc w:val="left"/>
      <w:pPr>
        <w:tabs>
          <w:tab w:val="left" w:pos="0"/>
        </w:tabs>
        <w:ind w:left="1508" w:hanging="708"/>
      </w:pPr>
      <w:rPr>
        <w:rFonts w:hint="default" w:ascii="宋体" w:hAnsi="宋体" w:eastAsia="宋体" w:cs="宋体"/>
        <w:sz w:val="22"/>
      </w:rPr>
    </w:lvl>
    <w:lvl w:ilvl="3" w:tentative="0">
      <w:start w:val="1"/>
      <w:numFmt w:val="decimal"/>
      <w:suff w:val="nothing"/>
      <w:lvlText w:val="%1.%2.%3.%4."/>
      <w:lvlJc w:val="left"/>
      <w:pPr>
        <w:tabs>
          <w:tab w:val="left" w:pos="0"/>
        </w:tabs>
        <w:ind w:left="2053" w:hanging="853"/>
      </w:pPr>
      <w:rPr>
        <w:rFonts w:hint="default" w:ascii="黑体" w:hAnsi="黑体" w:eastAsia="黑体" w:cs="黑体"/>
      </w:rPr>
    </w:lvl>
    <w:lvl w:ilvl="4" w:tentative="0">
      <w:start w:val="1"/>
      <w:numFmt w:val="decimal"/>
      <w:lvlText w:val="%1.%2.%3.%4.%5."/>
      <w:lvlJc w:val="left"/>
      <w:pPr>
        <w:tabs>
          <w:tab w:val="left" w:pos="0"/>
        </w:tabs>
        <w:ind w:left="2495" w:hanging="895"/>
      </w:pPr>
      <w:rPr>
        <w:rFonts w:hint="default"/>
      </w:rPr>
    </w:lvl>
    <w:lvl w:ilvl="5" w:tentative="0">
      <w:start w:val="1"/>
      <w:numFmt w:val="decimal"/>
      <w:lvlText w:val="%1.%2.%3.%4.%5.%6."/>
      <w:lvlJc w:val="left"/>
      <w:pPr>
        <w:tabs>
          <w:tab w:val="left" w:pos="0"/>
        </w:tabs>
        <w:ind w:left="3136" w:hanging="1136"/>
      </w:pPr>
      <w:rPr>
        <w:rFonts w:hint="default"/>
      </w:rPr>
    </w:lvl>
    <w:lvl w:ilvl="6" w:tentative="0">
      <w:start w:val="1"/>
      <w:numFmt w:val="decimal"/>
      <w:lvlText w:val="%1.%2.%3.%4.%5.%6.%7."/>
      <w:lvlJc w:val="left"/>
      <w:pPr>
        <w:tabs>
          <w:tab w:val="left" w:pos="0"/>
        </w:tabs>
        <w:ind w:left="3673" w:hanging="1273"/>
      </w:pPr>
      <w:rPr>
        <w:rFonts w:hint="default"/>
      </w:rPr>
    </w:lvl>
    <w:lvl w:ilvl="7" w:tentative="0">
      <w:start w:val="1"/>
      <w:numFmt w:val="decimal"/>
      <w:lvlText w:val="%1.%2.%3.%4.%5.%6.%7.%8."/>
      <w:lvlJc w:val="left"/>
      <w:pPr>
        <w:tabs>
          <w:tab w:val="left" w:pos="0"/>
        </w:tabs>
        <w:ind w:left="4218" w:hanging="1418"/>
      </w:pPr>
      <w:rPr>
        <w:rFonts w:hint="default"/>
      </w:rPr>
    </w:lvl>
    <w:lvl w:ilvl="8" w:tentative="0">
      <w:start w:val="1"/>
      <w:numFmt w:val="decimal"/>
      <w:lvlText w:val="%1.%2.%3.%4.%5.%6.%7.%8.%9."/>
      <w:lvlJc w:val="left"/>
      <w:pPr>
        <w:tabs>
          <w:tab w:val="left" w:pos="0"/>
        </w:tabs>
        <w:ind w:left="4648" w:hanging="1448"/>
      </w:pPr>
      <w:rPr>
        <w:rFonts w:hint="default"/>
      </w:rPr>
    </w:lvl>
  </w:abstractNum>
  <w:num w:numId="1">
    <w:abstractNumId w:val="15"/>
  </w:num>
  <w:num w:numId="2">
    <w:abstractNumId w:val="21"/>
  </w:num>
  <w:num w:numId="3">
    <w:abstractNumId w:val="36"/>
  </w:num>
  <w:num w:numId="4">
    <w:abstractNumId w:val="18"/>
  </w:num>
  <w:num w:numId="5">
    <w:abstractNumId w:val="28"/>
  </w:num>
  <w:num w:numId="6">
    <w:abstractNumId w:val="13"/>
  </w:num>
  <w:num w:numId="7">
    <w:abstractNumId w:val="4"/>
  </w:num>
  <w:num w:numId="8">
    <w:abstractNumId w:val="19"/>
  </w:num>
  <w:num w:numId="9">
    <w:abstractNumId w:val="22"/>
  </w:num>
  <w:num w:numId="10">
    <w:abstractNumId w:val="37"/>
  </w:num>
  <w:num w:numId="11">
    <w:abstractNumId w:val="8"/>
  </w:num>
  <w:num w:numId="12">
    <w:abstractNumId w:val="35"/>
  </w:num>
  <w:num w:numId="13">
    <w:abstractNumId w:val="5"/>
  </w:num>
  <w:num w:numId="14">
    <w:abstractNumId w:val="14"/>
  </w:num>
  <w:num w:numId="15">
    <w:abstractNumId w:val="16"/>
  </w:num>
  <w:num w:numId="16">
    <w:abstractNumId w:val="27"/>
  </w:num>
  <w:num w:numId="17">
    <w:abstractNumId w:val="23"/>
  </w:num>
  <w:num w:numId="18">
    <w:abstractNumId w:val="1"/>
  </w:num>
  <w:num w:numId="19">
    <w:abstractNumId w:val="3"/>
  </w:num>
  <w:num w:numId="20">
    <w:abstractNumId w:val="0"/>
  </w:num>
  <w:num w:numId="21">
    <w:abstractNumId w:val="12"/>
  </w:num>
  <w:num w:numId="22">
    <w:abstractNumId w:val="38"/>
  </w:num>
  <w:num w:numId="23">
    <w:abstractNumId w:val="10"/>
  </w:num>
  <w:num w:numId="24">
    <w:abstractNumId w:val="34"/>
  </w:num>
  <w:num w:numId="25">
    <w:abstractNumId w:val="33"/>
  </w:num>
  <w:num w:numId="26">
    <w:abstractNumId w:val="31"/>
  </w:num>
  <w:num w:numId="27">
    <w:abstractNumId w:val="20"/>
  </w:num>
  <w:num w:numId="28">
    <w:abstractNumId w:val="32"/>
  </w:num>
  <w:num w:numId="29">
    <w:abstractNumId w:val="24"/>
  </w:num>
  <w:num w:numId="30">
    <w:abstractNumId w:val="30"/>
  </w:num>
  <w:num w:numId="31">
    <w:abstractNumId w:val="7"/>
  </w:num>
  <w:num w:numId="32">
    <w:abstractNumId w:val="2"/>
  </w:num>
  <w:num w:numId="33">
    <w:abstractNumId w:val="26"/>
  </w:num>
  <w:num w:numId="34">
    <w:abstractNumId w:val="6"/>
  </w:num>
  <w:num w:numId="35">
    <w:abstractNumId w:val="25"/>
  </w:num>
  <w:num w:numId="36">
    <w:abstractNumId w:val="11"/>
  </w:num>
  <w:num w:numId="37">
    <w:abstractNumId w:val="9"/>
  </w:num>
  <w:num w:numId="38">
    <w:abstractNumId w:val="17"/>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JjZDE2NDBiYWY0YTFhZTI4YTQ2YTdiMjM3OWEyZjkifQ=="/>
  </w:docVars>
  <w:rsids>
    <w:rsidRoot w:val="00172A27"/>
    <w:rsid w:val="00001B86"/>
    <w:rsid w:val="0001574A"/>
    <w:rsid w:val="00026467"/>
    <w:rsid w:val="00030CA1"/>
    <w:rsid w:val="000720FD"/>
    <w:rsid w:val="00075658"/>
    <w:rsid w:val="00087E9B"/>
    <w:rsid w:val="00095BB3"/>
    <w:rsid w:val="000B12C4"/>
    <w:rsid w:val="000B4D49"/>
    <w:rsid w:val="000C1FF9"/>
    <w:rsid w:val="000E5D71"/>
    <w:rsid w:val="000E6CB8"/>
    <w:rsid w:val="000F4724"/>
    <w:rsid w:val="00110020"/>
    <w:rsid w:val="001135EF"/>
    <w:rsid w:val="00131DED"/>
    <w:rsid w:val="00134482"/>
    <w:rsid w:val="00160C00"/>
    <w:rsid w:val="00166B83"/>
    <w:rsid w:val="00172A27"/>
    <w:rsid w:val="00174D1F"/>
    <w:rsid w:val="001B43B8"/>
    <w:rsid w:val="001B669C"/>
    <w:rsid w:val="001D1BBF"/>
    <w:rsid w:val="001D2A2C"/>
    <w:rsid w:val="001D3AC9"/>
    <w:rsid w:val="001E3818"/>
    <w:rsid w:val="0023244A"/>
    <w:rsid w:val="00240717"/>
    <w:rsid w:val="00240CE3"/>
    <w:rsid w:val="00244B1B"/>
    <w:rsid w:val="00250784"/>
    <w:rsid w:val="00280EB2"/>
    <w:rsid w:val="002B5669"/>
    <w:rsid w:val="002C2150"/>
    <w:rsid w:val="002C6DBF"/>
    <w:rsid w:val="00307A95"/>
    <w:rsid w:val="003206DB"/>
    <w:rsid w:val="00321511"/>
    <w:rsid w:val="0032359B"/>
    <w:rsid w:val="0034086A"/>
    <w:rsid w:val="003532FE"/>
    <w:rsid w:val="00356D83"/>
    <w:rsid w:val="003661AC"/>
    <w:rsid w:val="00372743"/>
    <w:rsid w:val="00393AC1"/>
    <w:rsid w:val="003A1C52"/>
    <w:rsid w:val="003D28DF"/>
    <w:rsid w:val="003E3AC5"/>
    <w:rsid w:val="003F163D"/>
    <w:rsid w:val="003F28D5"/>
    <w:rsid w:val="00442E9B"/>
    <w:rsid w:val="00456C36"/>
    <w:rsid w:val="00464A79"/>
    <w:rsid w:val="004A6B6E"/>
    <w:rsid w:val="004B29DF"/>
    <w:rsid w:val="004C1068"/>
    <w:rsid w:val="004D68B1"/>
    <w:rsid w:val="004D6CFA"/>
    <w:rsid w:val="004E2821"/>
    <w:rsid w:val="004F0AC7"/>
    <w:rsid w:val="005067AA"/>
    <w:rsid w:val="00530FC5"/>
    <w:rsid w:val="005A5587"/>
    <w:rsid w:val="005A66C9"/>
    <w:rsid w:val="005D65F3"/>
    <w:rsid w:val="00637F97"/>
    <w:rsid w:val="00656C7F"/>
    <w:rsid w:val="00681239"/>
    <w:rsid w:val="00682233"/>
    <w:rsid w:val="00687FD5"/>
    <w:rsid w:val="00691733"/>
    <w:rsid w:val="00695207"/>
    <w:rsid w:val="006D2E0A"/>
    <w:rsid w:val="006D5C1D"/>
    <w:rsid w:val="006F1760"/>
    <w:rsid w:val="006F7D98"/>
    <w:rsid w:val="00712D43"/>
    <w:rsid w:val="007170A5"/>
    <w:rsid w:val="00720531"/>
    <w:rsid w:val="007271D6"/>
    <w:rsid w:val="00732090"/>
    <w:rsid w:val="00741652"/>
    <w:rsid w:val="00741A6D"/>
    <w:rsid w:val="00745A51"/>
    <w:rsid w:val="00771A04"/>
    <w:rsid w:val="00794D0F"/>
    <w:rsid w:val="00796568"/>
    <w:rsid w:val="007A53BE"/>
    <w:rsid w:val="007A7EC2"/>
    <w:rsid w:val="007B5D5A"/>
    <w:rsid w:val="007B6021"/>
    <w:rsid w:val="007D6C87"/>
    <w:rsid w:val="0081086A"/>
    <w:rsid w:val="00826647"/>
    <w:rsid w:val="008332A0"/>
    <w:rsid w:val="008A56F1"/>
    <w:rsid w:val="008A7D2D"/>
    <w:rsid w:val="008B1210"/>
    <w:rsid w:val="00911744"/>
    <w:rsid w:val="009301A9"/>
    <w:rsid w:val="00950240"/>
    <w:rsid w:val="00951D06"/>
    <w:rsid w:val="0095235D"/>
    <w:rsid w:val="00954876"/>
    <w:rsid w:val="00960603"/>
    <w:rsid w:val="00961809"/>
    <w:rsid w:val="009722FA"/>
    <w:rsid w:val="0099154C"/>
    <w:rsid w:val="009B781F"/>
    <w:rsid w:val="009E7C52"/>
    <w:rsid w:val="009F1C84"/>
    <w:rsid w:val="00A04C1C"/>
    <w:rsid w:val="00A17AD8"/>
    <w:rsid w:val="00A37ED3"/>
    <w:rsid w:val="00A65FA9"/>
    <w:rsid w:val="00A73D7D"/>
    <w:rsid w:val="00A9539D"/>
    <w:rsid w:val="00AD217A"/>
    <w:rsid w:val="00AE043D"/>
    <w:rsid w:val="00B23941"/>
    <w:rsid w:val="00B25D5D"/>
    <w:rsid w:val="00B308C9"/>
    <w:rsid w:val="00B34E87"/>
    <w:rsid w:val="00B41252"/>
    <w:rsid w:val="00B61F45"/>
    <w:rsid w:val="00B840C6"/>
    <w:rsid w:val="00B9055E"/>
    <w:rsid w:val="00BA1A55"/>
    <w:rsid w:val="00BA4C66"/>
    <w:rsid w:val="00BF0E19"/>
    <w:rsid w:val="00C05CBB"/>
    <w:rsid w:val="00C25FE8"/>
    <w:rsid w:val="00C324D2"/>
    <w:rsid w:val="00C358F9"/>
    <w:rsid w:val="00C41BE3"/>
    <w:rsid w:val="00C65E39"/>
    <w:rsid w:val="00C77BA6"/>
    <w:rsid w:val="00C85511"/>
    <w:rsid w:val="00C95363"/>
    <w:rsid w:val="00CD1788"/>
    <w:rsid w:val="00CF5500"/>
    <w:rsid w:val="00D047D9"/>
    <w:rsid w:val="00D27920"/>
    <w:rsid w:val="00D4030B"/>
    <w:rsid w:val="00D46B8D"/>
    <w:rsid w:val="00D553F0"/>
    <w:rsid w:val="00D735A6"/>
    <w:rsid w:val="00D743B5"/>
    <w:rsid w:val="00D82BEA"/>
    <w:rsid w:val="00DB32A1"/>
    <w:rsid w:val="00DC6BD3"/>
    <w:rsid w:val="00DD51F1"/>
    <w:rsid w:val="00DD5630"/>
    <w:rsid w:val="00DE3A1B"/>
    <w:rsid w:val="00DF0E7E"/>
    <w:rsid w:val="00DF4EE0"/>
    <w:rsid w:val="00E0770D"/>
    <w:rsid w:val="00E12664"/>
    <w:rsid w:val="00E14CA4"/>
    <w:rsid w:val="00E27EAD"/>
    <w:rsid w:val="00E367D5"/>
    <w:rsid w:val="00E57A29"/>
    <w:rsid w:val="00E6702C"/>
    <w:rsid w:val="00E76D46"/>
    <w:rsid w:val="00E80E0C"/>
    <w:rsid w:val="00E92EA4"/>
    <w:rsid w:val="00EA263A"/>
    <w:rsid w:val="00EA78D6"/>
    <w:rsid w:val="00EB51E8"/>
    <w:rsid w:val="00ED68A7"/>
    <w:rsid w:val="00F05400"/>
    <w:rsid w:val="00F148F7"/>
    <w:rsid w:val="00F166FD"/>
    <w:rsid w:val="00F453C0"/>
    <w:rsid w:val="00F46DAC"/>
    <w:rsid w:val="00F50CDF"/>
    <w:rsid w:val="00F8095F"/>
    <w:rsid w:val="00F85681"/>
    <w:rsid w:val="00F96F51"/>
    <w:rsid w:val="00F9798D"/>
    <w:rsid w:val="00FA7BB3"/>
    <w:rsid w:val="00FB3CEF"/>
    <w:rsid w:val="00FC6550"/>
    <w:rsid w:val="00FE4E96"/>
    <w:rsid w:val="00FF2AB9"/>
    <w:rsid w:val="01023BF0"/>
    <w:rsid w:val="0103164E"/>
    <w:rsid w:val="010333FC"/>
    <w:rsid w:val="010827C0"/>
    <w:rsid w:val="010B405F"/>
    <w:rsid w:val="0112363F"/>
    <w:rsid w:val="011E7A06"/>
    <w:rsid w:val="012045F7"/>
    <w:rsid w:val="0134060D"/>
    <w:rsid w:val="0136616B"/>
    <w:rsid w:val="013864CB"/>
    <w:rsid w:val="01457570"/>
    <w:rsid w:val="0150385C"/>
    <w:rsid w:val="015B4FE6"/>
    <w:rsid w:val="016F389D"/>
    <w:rsid w:val="01706634"/>
    <w:rsid w:val="01757B4B"/>
    <w:rsid w:val="018D431C"/>
    <w:rsid w:val="01906A31"/>
    <w:rsid w:val="019C2519"/>
    <w:rsid w:val="01A25893"/>
    <w:rsid w:val="01A802A3"/>
    <w:rsid w:val="01A96691"/>
    <w:rsid w:val="01AD47CF"/>
    <w:rsid w:val="01B11310"/>
    <w:rsid w:val="01C2347D"/>
    <w:rsid w:val="01C34A92"/>
    <w:rsid w:val="01CF32DE"/>
    <w:rsid w:val="01D42A2B"/>
    <w:rsid w:val="01D61657"/>
    <w:rsid w:val="01D6466C"/>
    <w:rsid w:val="01E176EE"/>
    <w:rsid w:val="01E84AF7"/>
    <w:rsid w:val="01ED1932"/>
    <w:rsid w:val="020B3367"/>
    <w:rsid w:val="0219701E"/>
    <w:rsid w:val="021A0D6B"/>
    <w:rsid w:val="022573A2"/>
    <w:rsid w:val="023702FD"/>
    <w:rsid w:val="023C4E17"/>
    <w:rsid w:val="023D73FF"/>
    <w:rsid w:val="02443B62"/>
    <w:rsid w:val="0247556A"/>
    <w:rsid w:val="024C71F6"/>
    <w:rsid w:val="025A0DEA"/>
    <w:rsid w:val="025F0B06"/>
    <w:rsid w:val="02632EF4"/>
    <w:rsid w:val="02756840"/>
    <w:rsid w:val="02923524"/>
    <w:rsid w:val="02963DFC"/>
    <w:rsid w:val="0299656C"/>
    <w:rsid w:val="029C3B08"/>
    <w:rsid w:val="029F0F02"/>
    <w:rsid w:val="02A05AD0"/>
    <w:rsid w:val="02A32EE8"/>
    <w:rsid w:val="02A4249C"/>
    <w:rsid w:val="02A93B2F"/>
    <w:rsid w:val="02B250DA"/>
    <w:rsid w:val="02B96C5E"/>
    <w:rsid w:val="02CE3596"/>
    <w:rsid w:val="02D07463"/>
    <w:rsid w:val="02D22B2F"/>
    <w:rsid w:val="02DA1F3A"/>
    <w:rsid w:val="02E96323"/>
    <w:rsid w:val="02EC044F"/>
    <w:rsid w:val="02EC3DA4"/>
    <w:rsid w:val="03082F4B"/>
    <w:rsid w:val="03086AA8"/>
    <w:rsid w:val="030D40BE"/>
    <w:rsid w:val="030F59F5"/>
    <w:rsid w:val="03100052"/>
    <w:rsid w:val="03282B7E"/>
    <w:rsid w:val="03284B8C"/>
    <w:rsid w:val="032C73AC"/>
    <w:rsid w:val="0333397C"/>
    <w:rsid w:val="03353615"/>
    <w:rsid w:val="0339068B"/>
    <w:rsid w:val="033B3E59"/>
    <w:rsid w:val="033C431B"/>
    <w:rsid w:val="033F4B26"/>
    <w:rsid w:val="0341020B"/>
    <w:rsid w:val="0353648E"/>
    <w:rsid w:val="035B4572"/>
    <w:rsid w:val="035C5C24"/>
    <w:rsid w:val="03676838"/>
    <w:rsid w:val="036D1000"/>
    <w:rsid w:val="03767EB5"/>
    <w:rsid w:val="037979A5"/>
    <w:rsid w:val="037B54CB"/>
    <w:rsid w:val="037D56E7"/>
    <w:rsid w:val="037E320E"/>
    <w:rsid w:val="03841367"/>
    <w:rsid w:val="038F541B"/>
    <w:rsid w:val="039676A9"/>
    <w:rsid w:val="039B54A3"/>
    <w:rsid w:val="03AC38D7"/>
    <w:rsid w:val="03B33B11"/>
    <w:rsid w:val="03BB0082"/>
    <w:rsid w:val="03C6116F"/>
    <w:rsid w:val="03CB00BA"/>
    <w:rsid w:val="03CC3F79"/>
    <w:rsid w:val="03D1333D"/>
    <w:rsid w:val="03E700DD"/>
    <w:rsid w:val="03E80368"/>
    <w:rsid w:val="03EA2651"/>
    <w:rsid w:val="03F139E0"/>
    <w:rsid w:val="03FC232D"/>
    <w:rsid w:val="04021749"/>
    <w:rsid w:val="0402799B"/>
    <w:rsid w:val="04065EFF"/>
    <w:rsid w:val="04164480"/>
    <w:rsid w:val="0430275A"/>
    <w:rsid w:val="04335DA6"/>
    <w:rsid w:val="04365896"/>
    <w:rsid w:val="043D4E77"/>
    <w:rsid w:val="045A77D7"/>
    <w:rsid w:val="045D7CA1"/>
    <w:rsid w:val="046917C8"/>
    <w:rsid w:val="047D1717"/>
    <w:rsid w:val="04814D63"/>
    <w:rsid w:val="048D195A"/>
    <w:rsid w:val="04901171"/>
    <w:rsid w:val="04934A97"/>
    <w:rsid w:val="04936A23"/>
    <w:rsid w:val="04986A1A"/>
    <w:rsid w:val="049B4192"/>
    <w:rsid w:val="049D08B8"/>
    <w:rsid w:val="049F168E"/>
    <w:rsid w:val="04A143E4"/>
    <w:rsid w:val="04A276AB"/>
    <w:rsid w:val="04A3117E"/>
    <w:rsid w:val="04B41B16"/>
    <w:rsid w:val="04B47F34"/>
    <w:rsid w:val="04B72CCE"/>
    <w:rsid w:val="04C9495C"/>
    <w:rsid w:val="04D37589"/>
    <w:rsid w:val="04D8592C"/>
    <w:rsid w:val="04DF4324"/>
    <w:rsid w:val="04E23328"/>
    <w:rsid w:val="04F05A45"/>
    <w:rsid w:val="04F535E0"/>
    <w:rsid w:val="04F90435"/>
    <w:rsid w:val="04FD7C2A"/>
    <w:rsid w:val="05156EEC"/>
    <w:rsid w:val="051712DA"/>
    <w:rsid w:val="051C1E78"/>
    <w:rsid w:val="051D78E1"/>
    <w:rsid w:val="052C3B6E"/>
    <w:rsid w:val="052E77A1"/>
    <w:rsid w:val="05300538"/>
    <w:rsid w:val="053172CC"/>
    <w:rsid w:val="05441FF6"/>
    <w:rsid w:val="05492F7F"/>
    <w:rsid w:val="054B5371"/>
    <w:rsid w:val="054F4E62"/>
    <w:rsid w:val="05540C99"/>
    <w:rsid w:val="055B3C3D"/>
    <w:rsid w:val="056C0D1F"/>
    <w:rsid w:val="057934E6"/>
    <w:rsid w:val="057A4A8F"/>
    <w:rsid w:val="05827F45"/>
    <w:rsid w:val="058A5E99"/>
    <w:rsid w:val="058E5FA2"/>
    <w:rsid w:val="059B3313"/>
    <w:rsid w:val="059D3E1F"/>
    <w:rsid w:val="059E28D3"/>
    <w:rsid w:val="05A21435"/>
    <w:rsid w:val="05A36F5B"/>
    <w:rsid w:val="05AE18D3"/>
    <w:rsid w:val="05B147D4"/>
    <w:rsid w:val="05B81D48"/>
    <w:rsid w:val="05C8457A"/>
    <w:rsid w:val="05CC7F08"/>
    <w:rsid w:val="05CF3AC9"/>
    <w:rsid w:val="05E530D0"/>
    <w:rsid w:val="05F257ED"/>
    <w:rsid w:val="05F31C91"/>
    <w:rsid w:val="06053772"/>
    <w:rsid w:val="06094F71"/>
    <w:rsid w:val="06147E59"/>
    <w:rsid w:val="061609DC"/>
    <w:rsid w:val="062067FE"/>
    <w:rsid w:val="062260D2"/>
    <w:rsid w:val="06227002"/>
    <w:rsid w:val="062430A3"/>
    <w:rsid w:val="06270B33"/>
    <w:rsid w:val="062A142B"/>
    <w:rsid w:val="062F6A28"/>
    <w:rsid w:val="063B7194"/>
    <w:rsid w:val="06426774"/>
    <w:rsid w:val="064A5629"/>
    <w:rsid w:val="06541E3A"/>
    <w:rsid w:val="06603A00"/>
    <w:rsid w:val="0661460E"/>
    <w:rsid w:val="06620BC5"/>
    <w:rsid w:val="06731BEF"/>
    <w:rsid w:val="068C79F0"/>
    <w:rsid w:val="068D7C64"/>
    <w:rsid w:val="069B03E5"/>
    <w:rsid w:val="06A44D39"/>
    <w:rsid w:val="06A7132C"/>
    <w:rsid w:val="06B31420"/>
    <w:rsid w:val="06B50CF4"/>
    <w:rsid w:val="06BB2083"/>
    <w:rsid w:val="06BD5D71"/>
    <w:rsid w:val="06D8039E"/>
    <w:rsid w:val="06DB2355"/>
    <w:rsid w:val="06F37A6F"/>
    <w:rsid w:val="06F400A7"/>
    <w:rsid w:val="06FF4174"/>
    <w:rsid w:val="07093827"/>
    <w:rsid w:val="070C28DE"/>
    <w:rsid w:val="071E2F3F"/>
    <w:rsid w:val="073360BD"/>
    <w:rsid w:val="073F2CB4"/>
    <w:rsid w:val="073F4A62"/>
    <w:rsid w:val="074104B4"/>
    <w:rsid w:val="07414C7E"/>
    <w:rsid w:val="074602F4"/>
    <w:rsid w:val="074B4CEF"/>
    <w:rsid w:val="074C6649"/>
    <w:rsid w:val="07511973"/>
    <w:rsid w:val="07623294"/>
    <w:rsid w:val="07644509"/>
    <w:rsid w:val="076E45C9"/>
    <w:rsid w:val="07741E75"/>
    <w:rsid w:val="078C71BF"/>
    <w:rsid w:val="079052BE"/>
    <w:rsid w:val="07A11279"/>
    <w:rsid w:val="07A95C73"/>
    <w:rsid w:val="07AB7DE9"/>
    <w:rsid w:val="07B214E9"/>
    <w:rsid w:val="07B37081"/>
    <w:rsid w:val="07C35693"/>
    <w:rsid w:val="07C5140B"/>
    <w:rsid w:val="07CF2B0E"/>
    <w:rsid w:val="07D72A16"/>
    <w:rsid w:val="07D72EEC"/>
    <w:rsid w:val="07DA303C"/>
    <w:rsid w:val="07DE69F8"/>
    <w:rsid w:val="07E1193E"/>
    <w:rsid w:val="07E775D3"/>
    <w:rsid w:val="07F24573"/>
    <w:rsid w:val="07F46924"/>
    <w:rsid w:val="07F7358F"/>
    <w:rsid w:val="07F8458B"/>
    <w:rsid w:val="07FB3286"/>
    <w:rsid w:val="08075E2A"/>
    <w:rsid w:val="0808754A"/>
    <w:rsid w:val="080C1275"/>
    <w:rsid w:val="080F2EBC"/>
    <w:rsid w:val="080F30D9"/>
    <w:rsid w:val="081303C8"/>
    <w:rsid w:val="081C4DA3"/>
    <w:rsid w:val="08202AE5"/>
    <w:rsid w:val="082757A5"/>
    <w:rsid w:val="082A3964"/>
    <w:rsid w:val="082F0F7A"/>
    <w:rsid w:val="08306989"/>
    <w:rsid w:val="08387E2F"/>
    <w:rsid w:val="08404F36"/>
    <w:rsid w:val="08406CE4"/>
    <w:rsid w:val="0842480A"/>
    <w:rsid w:val="08485B98"/>
    <w:rsid w:val="084B2667"/>
    <w:rsid w:val="084F0027"/>
    <w:rsid w:val="08512AD9"/>
    <w:rsid w:val="08534C69"/>
    <w:rsid w:val="08560F6B"/>
    <w:rsid w:val="08564759"/>
    <w:rsid w:val="085E716A"/>
    <w:rsid w:val="086230FE"/>
    <w:rsid w:val="08722947"/>
    <w:rsid w:val="0878647D"/>
    <w:rsid w:val="0881210C"/>
    <w:rsid w:val="08812363"/>
    <w:rsid w:val="08892439"/>
    <w:rsid w:val="088C71AD"/>
    <w:rsid w:val="089474E5"/>
    <w:rsid w:val="08A30046"/>
    <w:rsid w:val="08A7323A"/>
    <w:rsid w:val="08B17BE1"/>
    <w:rsid w:val="08B33959"/>
    <w:rsid w:val="08BA6A96"/>
    <w:rsid w:val="08C37475"/>
    <w:rsid w:val="08C43471"/>
    <w:rsid w:val="08CC463A"/>
    <w:rsid w:val="08D06CD2"/>
    <w:rsid w:val="08E231CD"/>
    <w:rsid w:val="08E43B13"/>
    <w:rsid w:val="08E5207E"/>
    <w:rsid w:val="08EA14B6"/>
    <w:rsid w:val="08EB1612"/>
    <w:rsid w:val="08ED6E6B"/>
    <w:rsid w:val="08EF5980"/>
    <w:rsid w:val="08F20C25"/>
    <w:rsid w:val="08F22AA0"/>
    <w:rsid w:val="09011900"/>
    <w:rsid w:val="090D60CD"/>
    <w:rsid w:val="09150170"/>
    <w:rsid w:val="09154475"/>
    <w:rsid w:val="091972B0"/>
    <w:rsid w:val="091F0D16"/>
    <w:rsid w:val="09212671"/>
    <w:rsid w:val="093F51ED"/>
    <w:rsid w:val="09455276"/>
    <w:rsid w:val="09540C99"/>
    <w:rsid w:val="09572A3C"/>
    <w:rsid w:val="09722120"/>
    <w:rsid w:val="097E7AC3"/>
    <w:rsid w:val="09931921"/>
    <w:rsid w:val="0994504E"/>
    <w:rsid w:val="09951BEF"/>
    <w:rsid w:val="09C0632E"/>
    <w:rsid w:val="09C37BCC"/>
    <w:rsid w:val="09C46E19"/>
    <w:rsid w:val="09CC2D1E"/>
    <w:rsid w:val="09D46050"/>
    <w:rsid w:val="09D5345C"/>
    <w:rsid w:val="09D608DD"/>
    <w:rsid w:val="09DA6E2A"/>
    <w:rsid w:val="09DE4A06"/>
    <w:rsid w:val="09E702DD"/>
    <w:rsid w:val="09EA0F59"/>
    <w:rsid w:val="09F2225F"/>
    <w:rsid w:val="09F65F93"/>
    <w:rsid w:val="09FB55B8"/>
    <w:rsid w:val="0A00672A"/>
    <w:rsid w:val="0A12645E"/>
    <w:rsid w:val="0A242C6D"/>
    <w:rsid w:val="0A2A5EEF"/>
    <w:rsid w:val="0A344626"/>
    <w:rsid w:val="0A3A097E"/>
    <w:rsid w:val="0A3E36F7"/>
    <w:rsid w:val="0A3E5BBE"/>
    <w:rsid w:val="0A3F75E5"/>
    <w:rsid w:val="0A4347C8"/>
    <w:rsid w:val="0A454634"/>
    <w:rsid w:val="0A516F86"/>
    <w:rsid w:val="0A5A4272"/>
    <w:rsid w:val="0A5E78F5"/>
    <w:rsid w:val="0A613063"/>
    <w:rsid w:val="0A694687"/>
    <w:rsid w:val="0A723725"/>
    <w:rsid w:val="0A726EFC"/>
    <w:rsid w:val="0A785488"/>
    <w:rsid w:val="0A7964DD"/>
    <w:rsid w:val="0A7B2E0A"/>
    <w:rsid w:val="0A7D5FCD"/>
    <w:rsid w:val="0A8448A0"/>
    <w:rsid w:val="0A856C30"/>
    <w:rsid w:val="0A883255"/>
    <w:rsid w:val="0A913826"/>
    <w:rsid w:val="0A9F0EAA"/>
    <w:rsid w:val="0A9F3102"/>
    <w:rsid w:val="0AAC48A7"/>
    <w:rsid w:val="0AAE06DA"/>
    <w:rsid w:val="0AB80A17"/>
    <w:rsid w:val="0ABA506A"/>
    <w:rsid w:val="0ABC5BC4"/>
    <w:rsid w:val="0ABF0C3B"/>
    <w:rsid w:val="0AD13CC7"/>
    <w:rsid w:val="0AEB73DB"/>
    <w:rsid w:val="0AEE5CC9"/>
    <w:rsid w:val="0AEF7E7E"/>
    <w:rsid w:val="0AF142C5"/>
    <w:rsid w:val="0AF26D60"/>
    <w:rsid w:val="0AF838A6"/>
    <w:rsid w:val="0B00170D"/>
    <w:rsid w:val="0B0C55A3"/>
    <w:rsid w:val="0B195DEC"/>
    <w:rsid w:val="0B266665"/>
    <w:rsid w:val="0B277CB5"/>
    <w:rsid w:val="0B297F03"/>
    <w:rsid w:val="0B320A29"/>
    <w:rsid w:val="0B372620"/>
    <w:rsid w:val="0B375A37"/>
    <w:rsid w:val="0B37608B"/>
    <w:rsid w:val="0B3A5C6C"/>
    <w:rsid w:val="0B3F7726"/>
    <w:rsid w:val="0B491D94"/>
    <w:rsid w:val="0B4E34C6"/>
    <w:rsid w:val="0B5D7BAD"/>
    <w:rsid w:val="0B6131F9"/>
    <w:rsid w:val="0B642CE9"/>
    <w:rsid w:val="0B732F2C"/>
    <w:rsid w:val="0B786794"/>
    <w:rsid w:val="0B7D5340"/>
    <w:rsid w:val="0B823C77"/>
    <w:rsid w:val="0BA23811"/>
    <w:rsid w:val="0BA45365"/>
    <w:rsid w:val="0BAB69EC"/>
    <w:rsid w:val="0BAE66BE"/>
    <w:rsid w:val="0BB26C0D"/>
    <w:rsid w:val="0BC67500"/>
    <w:rsid w:val="0BC77592"/>
    <w:rsid w:val="0BD56F10"/>
    <w:rsid w:val="0BDF124C"/>
    <w:rsid w:val="0BDF2CAC"/>
    <w:rsid w:val="0BE66D02"/>
    <w:rsid w:val="0BF2478A"/>
    <w:rsid w:val="0BF4406D"/>
    <w:rsid w:val="0BF60CFA"/>
    <w:rsid w:val="0BF75417"/>
    <w:rsid w:val="0BF87C3C"/>
    <w:rsid w:val="0BFF2A12"/>
    <w:rsid w:val="0C075659"/>
    <w:rsid w:val="0C090D3D"/>
    <w:rsid w:val="0C0A5DFC"/>
    <w:rsid w:val="0C126B30"/>
    <w:rsid w:val="0C2E0D0E"/>
    <w:rsid w:val="0C2F1549"/>
    <w:rsid w:val="0C332F3F"/>
    <w:rsid w:val="0C353FE5"/>
    <w:rsid w:val="0C3A4DF1"/>
    <w:rsid w:val="0C3B7EEE"/>
    <w:rsid w:val="0C4245AA"/>
    <w:rsid w:val="0C4F67E2"/>
    <w:rsid w:val="0C522348"/>
    <w:rsid w:val="0C523489"/>
    <w:rsid w:val="0C654F6B"/>
    <w:rsid w:val="0C6E2563"/>
    <w:rsid w:val="0C6F136A"/>
    <w:rsid w:val="0C6F1945"/>
    <w:rsid w:val="0C721436"/>
    <w:rsid w:val="0C7451AE"/>
    <w:rsid w:val="0C820D4D"/>
    <w:rsid w:val="0C8B4B82"/>
    <w:rsid w:val="0C8C4C5A"/>
    <w:rsid w:val="0C943AA2"/>
    <w:rsid w:val="0C9458B5"/>
    <w:rsid w:val="0CA737D5"/>
    <w:rsid w:val="0CA90116"/>
    <w:rsid w:val="0CB01370"/>
    <w:rsid w:val="0CB25637"/>
    <w:rsid w:val="0CBF36BB"/>
    <w:rsid w:val="0CD619C5"/>
    <w:rsid w:val="0CEE78D1"/>
    <w:rsid w:val="0CF100B4"/>
    <w:rsid w:val="0CF35DAA"/>
    <w:rsid w:val="0CF4009D"/>
    <w:rsid w:val="0CF602B9"/>
    <w:rsid w:val="0CF87B8D"/>
    <w:rsid w:val="0CF956B3"/>
    <w:rsid w:val="0CFF0F1B"/>
    <w:rsid w:val="0D0A42F2"/>
    <w:rsid w:val="0D0B3AEB"/>
    <w:rsid w:val="0D0D6F08"/>
    <w:rsid w:val="0D136775"/>
    <w:rsid w:val="0D1B387B"/>
    <w:rsid w:val="0D1C7D1F"/>
    <w:rsid w:val="0D21323C"/>
    <w:rsid w:val="0D2F4203"/>
    <w:rsid w:val="0D3D37F2"/>
    <w:rsid w:val="0D3D7AFE"/>
    <w:rsid w:val="0D3E2F48"/>
    <w:rsid w:val="0D411534"/>
    <w:rsid w:val="0D440F4F"/>
    <w:rsid w:val="0D466B4A"/>
    <w:rsid w:val="0D502B3F"/>
    <w:rsid w:val="0D533015"/>
    <w:rsid w:val="0D556D8D"/>
    <w:rsid w:val="0D5A43A4"/>
    <w:rsid w:val="0D5C45C0"/>
    <w:rsid w:val="0D613984"/>
    <w:rsid w:val="0D6A65BF"/>
    <w:rsid w:val="0D6B5D0D"/>
    <w:rsid w:val="0D702544"/>
    <w:rsid w:val="0D72790F"/>
    <w:rsid w:val="0D786F20"/>
    <w:rsid w:val="0D7A2C98"/>
    <w:rsid w:val="0D902199"/>
    <w:rsid w:val="0D96694A"/>
    <w:rsid w:val="0D995086"/>
    <w:rsid w:val="0DA3593E"/>
    <w:rsid w:val="0DAB4895"/>
    <w:rsid w:val="0DAF2891"/>
    <w:rsid w:val="0DBB018F"/>
    <w:rsid w:val="0DBC505E"/>
    <w:rsid w:val="0DC141F2"/>
    <w:rsid w:val="0DC45CC1"/>
    <w:rsid w:val="0DC51A08"/>
    <w:rsid w:val="0DCD4F6C"/>
    <w:rsid w:val="0DD02F0F"/>
    <w:rsid w:val="0DD4472D"/>
    <w:rsid w:val="0DDC125D"/>
    <w:rsid w:val="0DE10191"/>
    <w:rsid w:val="0DE3083D"/>
    <w:rsid w:val="0DF04D08"/>
    <w:rsid w:val="0DF376DD"/>
    <w:rsid w:val="0DFC545B"/>
    <w:rsid w:val="0DFE5677"/>
    <w:rsid w:val="0E082052"/>
    <w:rsid w:val="0E0E45D2"/>
    <w:rsid w:val="0E19425F"/>
    <w:rsid w:val="0E1E3B63"/>
    <w:rsid w:val="0E1F1149"/>
    <w:rsid w:val="0E237841"/>
    <w:rsid w:val="0E29730F"/>
    <w:rsid w:val="0E2D7BE3"/>
    <w:rsid w:val="0E342E47"/>
    <w:rsid w:val="0E3D06A0"/>
    <w:rsid w:val="0E446419"/>
    <w:rsid w:val="0E462C4C"/>
    <w:rsid w:val="0E4B1A1C"/>
    <w:rsid w:val="0E4D215A"/>
    <w:rsid w:val="0E504189"/>
    <w:rsid w:val="0E5556B2"/>
    <w:rsid w:val="0E561CB2"/>
    <w:rsid w:val="0E576B35"/>
    <w:rsid w:val="0E583303"/>
    <w:rsid w:val="0E5C693D"/>
    <w:rsid w:val="0E680D42"/>
    <w:rsid w:val="0E8012D9"/>
    <w:rsid w:val="0E807E3A"/>
    <w:rsid w:val="0E810684"/>
    <w:rsid w:val="0E833B53"/>
    <w:rsid w:val="0E836136"/>
    <w:rsid w:val="0E867D51"/>
    <w:rsid w:val="0E8C1749"/>
    <w:rsid w:val="0E9059C9"/>
    <w:rsid w:val="0E972E44"/>
    <w:rsid w:val="0E9F5F94"/>
    <w:rsid w:val="0EA7186A"/>
    <w:rsid w:val="0EA7314F"/>
    <w:rsid w:val="0EAE0E4B"/>
    <w:rsid w:val="0EB61AAE"/>
    <w:rsid w:val="0EB9159E"/>
    <w:rsid w:val="0EC341CA"/>
    <w:rsid w:val="0EC3752D"/>
    <w:rsid w:val="0ECC307F"/>
    <w:rsid w:val="0ECE4A09"/>
    <w:rsid w:val="0ED57430"/>
    <w:rsid w:val="0ED7095E"/>
    <w:rsid w:val="0ED729EE"/>
    <w:rsid w:val="0EDB7766"/>
    <w:rsid w:val="0EDC5E02"/>
    <w:rsid w:val="0EDF706C"/>
    <w:rsid w:val="0EEC1973"/>
    <w:rsid w:val="0EF146A7"/>
    <w:rsid w:val="0EF16F8A"/>
    <w:rsid w:val="0EF31966"/>
    <w:rsid w:val="0EF32D02"/>
    <w:rsid w:val="0EF93AF3"/>
    <w:rsid w:val="0EFA4090"/>
    <w:rsid w:val="0EFE5203"/>
    <w:rsid w:val="0F0740B7"/>
    <w:rsid w:val="0F0A1DF9"/>
    <w:rsid w:val="0F1133CB"/>
    <w:rsid w:val="0F1173AD"/>
    <w:rsid w:val="0F1A64E0"/>
    <w:rsid w:val="0F244060"/>
    <w:rsid w:val="0F3330FE"/>
    <w:rsid w:val="0F3A00E0"/>
    <w:rsid w:val="0F3A26DF"/>
    <w:rsid w:val="0F405BCB"/>
    <w:rsid w:val="0F4C41C0"/>
    <w:rsid w:val="0F4E5368"/>
    <w:rsid w:val="0F5B2655"/>
    <w:rsid w:val="0F5D698D"/>
    <w:rsid w:val="0F5F5CA1"/>
    <w:rsid w:val="0F616110"/>
    <w:rsid w:val="0F6874B0"/>
    <w:rsid w:val="0F847DFE"/>
    <w:rsid w:val="0F881ACB"/>
    <w:rsid w:val="0F8C5688"/>
    <w:rsid w:val="0F915CF4"/>
    <w:rsid w:val="0F93489A"/>
    <w:rsid w:val="0F982D60"/>
    <w:rsid w:val="0FA1450C"/>
    <w:rsid w:val="0FA7589A"/>
    <w:rsid w:val="0FA77648"/>
    <w:rsid w:val="0FAC06D9"/>
    <w:rsid w:val="0FAD016D"/>
    <w:rsid w:val="0FAF0058"/>
    <w:rsid w:val="0FBD5F7F"/>
    <w:rsid w:val="0FC63BDB"/>
    <w:rsid w:val="0FC64AEA"/>
    <w:rsid w:val="0FD3043D"/>
    <w:rsid w:val="0FD41D0C"/>
    <w:rsid w:val="0FD83CA6"/>
    <w:rsid w:val="0FE66BBE"/>
    <w:rsid w:val="0FE8038D"/>
    <w:rsid w:val="0FE818B3"/>
    <w:rsid w:val="0FED0C0B"/>
    <w:rsid w:val="0FEF5F5D"/>
    <w:rsid w:val="0FF02D9D"/>
    <w:rsid w:val="0FF0673A"/>
    <w:rsid w:val="0FF42037"/>
    <w:rsid w:val="0FF54080"/>
    <w:rsid w:val="0FF65639"/>
    <w:rsid w:val="0FF7412C"/>
    <w:rsid w:val="100827DD"/>
    <w:rsid w:val="100D1BA1"/>
    <w:rsid w:val="101565F4"/>
    <w:rsid w:val="101A3E7C"/>
    <w:rsid w:val="101E1F60"/>
    <w:rsid w:val="1025642B"/>
    <w:rsid w:val="1027514F"/>
    <w:rsid w:val="10280789"/>
    <w:rsid w:val="102B2027"/>
    <w:rsid w:val="102B29FC"/>
    <w:rsid w:val="102D1D40"/>
    <w:rsid w:val="10304C1F"/>
    <w:rsid w:val="10305890"/>
    <w:rsid w:val="103A2396"/>
    <w:rsid w:val="10473C4E"/>
    <w:rsid w:val="10497F6A"/>
    <w:rsid w:val="104A6951"/>
    <w:rsid w:val="104F6378"/>
    <w:rsid w:val="105B5D70"/>
    <w:rsid w:val="105C0433"/>
    <w:rsid w:val="105C7C29"/>
    <w:rsid w:val="10627D00"/>
    <w:rsid w:val="1072039F"/>
    <w:rsid w:val="107514F4"/>
    <w:rsid w:val="10855BDB"/>
    <w:rsid w:val="10867E54"/>
    <w:rsid w:val="1088747A"/>
    <w:rsid w:val="109113BA"/>
    <w:rsid w:val="109802C9"/>
    <w:rsid w:val="10A122E9"/>
    <w:rsid w:val="10A15A4A"/>
    <w:rsid w:val="10A2678D"/>
    <w:rsid w:val="10A51DDA"/>
    <w:rsid w:val="10AE18AB"/>
    <w:rsid w:val="10B14C22"/>
    <w:rsid w:val="10B169D0"/>
    <w:rsid w:val="10B448AF"/>
    <w:rsid w:val="10B77B5F"/>
    <w:rsid w:val="10BA6FC7"/>
    <w:rsid w:val="10C03740"/>
    <w:rsid w:val="10C62793"/>
    <w:rsid w:val="10D64689"/>
    <w:rsid w:val="10DB57FB"/>
    <w:rsid w:val="10DD77C5"/>
    <w:rsid w:val="10E03D54"/>
    <w:rsid w:val="10E137BD"/>
    <w:rsid w:val="10E51C43"/>
    <w:rsid w:val="10E70644"/>
    <w:rsid w:val="10FB1CFE"/>
    <w:rsid w:val="10FB57F0"/>
    <w:rsid w:val="110205B7"/>
    <w:rsid w:val="110C1E59"/>
    <w:rsid w:val="1111121D"/>
    <w:rsid w:val="11161E06"/>
    <w:rsid w:val="11181977"/>
    <w:rsid w:val="111A62A9"/>
    <w:rsid w:val="111B4847"/>
    <w:rsid w:val="11221ADC"/>
    <w:rsid w:val="11225A4B"/>
    <w:rsid w:val="11241AA9"/>
    <w:rsid w:val="11266649"/>
    <w:rsid w:val="11297EC9"/>
    <w:rsid w:val="11373992"/>
    <w:rsid w:val="11381CFF"/>
    <w:rsid w:val="113E2E5F"/>
    <w:rsid w:val="114430CC"/>
    <w:rsid w:val="11537A88"/>
    <w:rsid w:val="115D0906"/>
    <w:rsid w:val="11687794"/>
    <w:rsid w:val="11761FC4"/>
    <w:rsid w:val="11777E64"/>
    <w:rsid w:val="11795660"/>
    <w:rsid w:val="117A4ECD"/>
    <w:rsid w:val="117B268D"/>
    <w:rsid w:val="117F6ACF"/>
    <w:rsid w:val="118529A6"/>
    <w:rsid w:val="11877731"/>
    <w:rsid w:val="11880F61"/>
    <w:rsid w:val="11902A8A"/>
    <w:rsid w:val="11913A5E"/>
    <w:rsid w:val="11954167"/>
    <w:rsid w:val="11965BC6"/>
    <w:rsid w:val="11A958FA"/>
    <w:rsid w:val="11AB27E4"/>
    <w:rsid w:val="11AB3900"/>
    <w:rsid w:val="11B04EDA"/>
    <w:rsid w:val="11B30526"/>
    <w:rsid w:val="11B62E1B"/>
    <w:rsid w:val="11BA71FD"/>
    <w:rsid w:val="11BD3153"/>
    <w:rsid w:val="11BF7BE1"/>
    <w:rsid w:val="11DF131B"/>
    <w:rsid w:val="11DF756D"/>
    <w:rsid w:val="11E44B84"/>
    <w:rsid w:val="11F500D0"/>
    <w:rsid w:val="1207193D"/>
    <w:rsid w:val="120A52F6"/>
    <w:rsid w:val="120A5FBD"/>
    <w:rsid w:val="120F1501"/>
    <w:rsid w:val="121012A0"/>
    <w:rsid w:val="121D56EB"/>
    <w:rsid w:val="12282E23"/>
    <w:rsid w:val="123478B9"/>
    <w:rsid w:val="123632B2"/>
    <w:rsid w:val="12386995"/>
    <w:rsid w:val="123A29F6"/>
    <w:rsid w:val="12443874"/>
    <w:rsid w:val="124878CD"/>
    <w:rsid w:val="124C3DA0"/>
    <w:rsid w:val="12525F91"/>
    <w:rsid w:val="125515DD"/>
    <w:rsid w:val="125B6724"/>
    <w:rsid w:val="1260465A"/>
    <w:rsid w:val="12641E84"/>
    <w:rsid w:val="126924BD"/>
    <w:rsid w:val="126D63D9"/>
    <w:rsid w:val="127E28A6"/>
    <w:rsid w:val="127F754C"/>
    <w:rsid w:val="128C11D9"/>
    <w:rsid w:val="12986019"/>
    <w:rsid w:val="129A025D"/>
    <w:rsid w:val="12AC3A9D"/>
    <w:rsid w:val="12BD412E"/>
    <w:rsid w:val="12C61325"/>
    <w:rsid w:val="12CB18A0"/>
    <w:rsid w:val="12CD545B"/>
    <w:rsid w:val="12D40754"/>
    <w:rsid w:val="12D469A6"/>
    <w:rsid w:val="12D70244"/>
    <w:rsid w:val="12DE5A77"/>
    <w:rsid w:val="12E55783"/>
    <w:rsid w:val="12E806A4"/>
    <w:rsid w:val="12ED5CBA"/>
    <w:rsid w:val="12F217F1"/>
    <w:rsid w:val="12FE1C75"/>
    <w:rsid w:val="130411D0"/>
    <w:rsid w:val="130A100F"/>
    <w:rsid w:val="13143247"/>
    <w:rsid w:val="131A6229"/>
    <w:rsid w:val="131D3F6B"/>
    <w:rsid w:val="13205400"/>
    <w:rsid w:val="132540C3"/>
    <w:rsid w:val="13262314"/>
    <w:rsid w:val="13271C39"/>
    <w:rsid w:val="132971BE"/>
    <w:rsid w:val="1332514D"/>
    <w:rsid w:val="133905DA"/>
    <w:rsid w:val="13453400"/>
    <w:rsid w:val="135936B5"/>
    <w:rsid w:val="135B7C44"/>
    <w:rsid w:val="135C4646"/>
    <w:rsid w:val="135F0966"/>
    <w:rsid w:val="13751FD7"/>
    <w:rsid w:val="137D5290"/>
    <w:rsid w:val="138C4596"/>
    <w:rsid w:val="139323BD"/>
    <w:rsid w:val="13A605C4"/>
    <w:rsid w:val="13AB3BAB"/>
    <w:rsid w:val="13B231DF"/>
    <w:rsid w:val="13B42D6D"/>
    <w:rsid w:val="13BF593A"/>
    <w:rsid w:val="13C36B5C"/>
    <w:rsid w:val="13C509A3"/>
    <w:rsid w:val="13C70B45"/>
    <w:rsid w:val="13CC5951"/>
    <w:rsid w:val="13D824C6"/>
    <w:rsid w:val="13D84274"/>
    <w:rsid w:val="13E0137B"/>
    <w:rsid w:val="13E96481"/>
    <w:rsid w:val="13EC5F71"/>
    <w:rsid w:val="13EE2074"/>
    <w:rsid w:val="13F416E5"/>
    <w:rsid w:val="13F624FF"/>
    <w:rsid w:val="13FB15C8"/>
    <w:rsid w:val="1404577A"/>
    <w:rsid w:val="14112514"/>
    <w:rsid w:val="1416601D"/>
    <w:rsid w:val="1423576F"/>
    <w:rsid w:val="1424570B"/>
    <w:rsid w:val="1427164E"/>
    <w:rsid w:val="142C52A1"/>
    <w:rsid w:val="143376FC"/>
    <w:rsid w:val="143D7C6D"/>
    <w:rsid w:val="14426230"/>
    <w:rsid w:val="14450686"/>
    <w:rsid w:val="145062A0"/>
    <w:rsid w:val="14554F87"/>
    <w:rsid w:val="1457163D"/>
    <w:rsid w:val="145767D9"/>
    <w:rsid w:val="146401FE"/>
    <w:rsid w:val="14643764"/>
    <w:rsid w:val="146C5A05"/>
    <w:rsid w:val="14757D15"/>
    <w:rsid w:val="14765768"/>
    <w:rsid w:val="147A357D"/>
    <w:rsid w:val="147B7480"/>
    <w:rsid w:val="147E74D6"/>
    <w:rsid w:val="14812B5E"/>
    <w:rsid w:val="14887A48"/>
    <w:rsid w:val="148D26ED"/>
    <w:rsid w:val="14901E99"/>
    <w:rsid w:val="14943B26"/>
    <w:rsid w:val="14972381"/>
    <w:rsid w:val="149B5BB4"/>
    <w:rsid w:val="149D34E2"/>
    <w:rsid w:val="14A34882"/>
    <w:rsid w:val="14A405FA"/>
    <w:rsid w:val="14A62D61"/>
    <w:rsid w:val="14B06744"/>
    <w:rsid w:val="14B22D17"/>
    <w:rsid w:val="14B65343"/>
    <w:rsid w:val="14BF5434"/>
    <w:rsid w:val="14C92AA1"/>
    <w:rsid w:val="14D233B9"/>
    <w:rsid w:val="14D26F15"/>
    <w:rsid w:val="14D34889"/>
    <w:rsid w:val="14E354DA"/>
    <w:rsid w:val="14F7137E"/>
    <w:rsid w:val="14FA1657"/>
    <w:rsid w:val="14FB46BE"/>
    <w:rsid w:val="1501324B"/>
    <w:rsid w:val="15035321"/>
    <w:rsid w:val="15136330"/>
    <w:rsid w:val="15233018"/>
    <w:rsid w:val="15252DED"/>
    <w:rsid w:val="152B6F63"/>
    <w:rsid w:val="15314A2C"/>
    <w:rsid w:val="153B22BF"/>
    <w:rsid w:val="153E788E"/>
    <w:rsid w:val="1551551C"/>
    <w:rsid w:val="1558225D"/>
    <w:rsid w:val="155E69FB"/>
    <w:rsid w:val="155F58F6"/>
    <w:rsid w:val="1571257F"/>
    <w:rsid w:val="157224A6"/>
    <w:rsid w:val="15763D45"/>
    <w:rsid w:val="15785D0F"/>
    <w:rsid w:val="15852C95"/>
    <w:rsid w:val="15902BAD"/>
    <w:rsid w:val="15916DD0"/>
    <w:rsid w:val="1598015F"/>
    <w:rsid w:val="159B7C4F"/>
    <w:rsid w:val="159D14F7"/>
    <w:rsid w:val="15B45973"/>
    <w:rsid w:val="15B74140"/>
    <w:rsid w:val="15BC293A"/>
    <w:rsid w:val="15C90318"/>
    <w:rsid w:val="15CA0E7F"/>
    <w:rsid w:val="15D81EF7"/>
    <w:rsid w:val="15DD3DC4"/>
    <w:rsid w:val="15DE174F"/>
    <w:rsid w:val="15E3366A"/>
    <w:rsid w:val="16010AFE"/>
    <w:rsid w:val="16063AA0"/>
    <w:rsid w:val="16092E0B"/>
    <w:rsid w:val="160B0931"/>
    <w:rsid w:val="16134D55"/>
    <w:rsid w:val="161A6DC6"/>
    <w:rsid w:val="16241D49"/>
    <w:rsid w:val="162B2D81"/>
    <w:rsid w:val="162B4B2F"/>
    <w:rsid w:val="16347871"/>
    <w:rsid w:val="163C065A"/>
    <w:rsid w:val="163D73D7"/>
    <w:rsid w:val="164901B2"/>
    <w:rsid w:val="166813E7"/>
    <w:rsid w:val="16687394"/>
    <w:rsid w:val="16711794"/>
    <w:rsid w:val="167209B0"/>
    <w:rsid w:val="167469B2"/>
    <w:rsid w:val="167A6959"/>
    <w:rsid w:val="168240D2"/>
    <w:rsid w:val="1686191E"/>
    <w:rsid w:val="16873D30"/>
    <w:rsid w:val="168E4F39"/>
    <w:rsid w:val="169721C5"/>
    <w:rsid w:val="16985F3D"/>
    <w:rsid w:val="16A4068F"/>
    <w:rsid w:val="16A62408"/>
    <w:rsid w:val="16AB6DCA"/>
    <w:rsid w:val="16B533FE"/>
    <w:rsid w:val="16B56757"/>
    <w:rsid w:val="16BE3BF5"/>
    <w:rsid w:val="16BF2C26"/>
    <w:rsid w:val="16C65FA2"/>
    <w:rsid w:val="16C808CD"/>
    <w:rsid w:val="16C91141"/>
    <w:rsid w:val="16CB6312"/>
    <w:rsid w:val="16CD3E38"/>
    <w:rsid w:val="16D30323"/>
    <w:rsid w:val="16D76A65"/>
    <w:rsid w:val="16DD1801"/>
    <w:rsid w:val="16DE20A4"/>
    <w:rsid w:val="16DE7170"/>
    <w:rsid w:val="16E42F30"/>
    <w:rsid w:val="16E80C72"/>
    <w:rsid w:val="16EC15B1"/>
    <w:rsid w:val="16ED44DA"/>
    <w:rsid w:val="16F54E7E"/>
    <w:rsid w:val="16F64EA3"/>
    <w:rsid w:val="16F92E7F"/>
    <w:rsid w:val="16FC64CC"/>
    <w:rsid w:val="1703785A"/>
    <w:rsid w:val="1703788F"/>
    <w:rsid w:val="170B4961"/>
    <w:rsid w:val="1716227E"/>
    <w:rsid w:val="172004E9"/>
    <w:rsid w:val="17216686"/>
    <w:rsid w:val="1723614E"/>
    <w:rsid w:val="17283764"/>
    <w:rsid w:val="173D00AC"/>
    <w:rsid w:val="1759391E"/>
    <w:rsid w:val="176172B0"/>
    <w:rsid w:val="176522C3"/>
    <w:rsid w:val="176A5686"/>
    <w:rsid w:val="176C5A33"/>
    <w:rsid w:val="178C3191"/>
    <w:rsid w:val="178E022A"/>
    <w:rsid w:val="179235A8"/>
    <w:rsid w:val="17926D92"/>
    <w:rsid w:val="17932454"/>
    <w:rsid w:val="17962A65"/>
    <w:rsid w:val="17973558"/>
    <w:rsid w:val="179B5CE4"/>
    <w:rsid w:val="17A20C6B"/>
    <w:rsid w:val="17AC1A7D"/>
    <w:rsid w:val="17AE0DB1"/>
    <w:rsid w:val="17B747D9"/>
    <w:rsid w:val="17C37A7E"/>
    <w:rsid w:val="17DB3497"/>
    <w:rsid w:val="17DF7A9B"/>
    <w:rsid w:val="17F17FFA"/>
    <w:rsid w:val="17F35B20"/>
    <w:rsid w:val="17F92A0B"/>
    <w:rsid w:val="18003D99"/>
    <w:rsid w:val="18007FB7"/>
    <w:rsid w:val="180514C3"/>
    <w:rsid w:val="18057779"/>
    <w:rsid w:val="180E582C"/>
    <w:rsid w:val="181250C7"/>
    <w:rsid w:val="181B0BD3"/>
    <w:rsid w:val="182E0907"/>
    <w:rsid w:val="184719C8"/>
    <w:rsid w:val="18475E6C"/>
    <w:rsid w:val="18477C1A"/>
    <w:rsid w:val="187148A9"/>
    <w:rsid w:val="18876269"/>
    <w:rsid w:val="188B645A"/>
    <w:rsid w:val="188C57BD"/>
    <w:rsid w:val="189152F2"/>
    <w:rsid w:val="189845FF"/>
    <w:rsid w:val="18AB4F78"/>
    <w:rsid w:val="18B51CE9"/>
    <w:rsid w:val="18C96988"/>
    <w:rsid w:val="18E045F9"/>
    <w:rsid w:val="18E5190D"/>
    <w:rsid w:val="18E831AB"/>
    <w:rsid w:val="18E851E1"/>
    <w:rsid w:val="18EC510F"/>
    <w:rsid w:val="18F161F8"/>
    <w:rsid w:val="18F75BB9"/>
    <w:rsid w:val="190478B9"/>
    <w:rsid w:val="190F7CCF"/>
    <w:rsid w:val="19103F29"/>
    <w:rsid w:val="19117AEC"/>
    <w:rsid w:val="19137AFC"/>
    <w:rsid w:val="19177273"/>
    <w:rsid w:val="19185113"/>
    <w:rsid w:val="1919248B"/>
    <w:rsid w:val="191F64A1"/>
    <w:rsid w:val="192352E4"/>
    <w:rsid w:val="192A5572"/>
    <w:rsid w:val="192A633A"/>
    <w:rsid w:val="19346A48"/>
    <w:rsid w:val="19363C15"/>
    <w:rsid w:val="193C34F7"/>
    <w:rsid w:val="194523AD"/>
    <w:rsid w:val="19481E9C"/>
    <w:rsid w:val="194E0E5A"/>
    <w:rsid w:val="19543ABE"/>
    <w:rsid w:val="195B559E"/>
    <w:rsid w:val="19630A84"/>
    <w:rsid w:val="196A4428"/>
    <w:rsid w:val="196C557D"/>
    <w:rsid w:val="196C5B8A"/>
    <w:rsid w:val="19754608"/>
    <w:rsid w:val="197B7B7C"/>
    <w:rsid w:val="197C0D71"/>
    <w:rsid w:val="197E58BE"/>
    <w:rsid w:val="197F0DB4"/>
    <w:rsid w:val="19801636"/>
    <w:rsid w:val="198729C4"/>
    <w:rsid w:val="198A7DBF"/>
    <w:rsid w:val="198D5B01"/>
    <w:rsid w:val="199B6A17"/>
    <w:rsid w:val="19AC1A4C"/>
    <w:rsid w:val="19BC195B"/>
    <w:rsid w:val="19C64D56"/>
    <w:rsid w:val="19C92FDD"/>
    <w:rsid w:val="19CB567A"/>
    <w:rsid w:val="19D86F64"/>
    <w:rsid w:val="19EB7A42"/>
    <w:rsid w:val="19EC0A79"/>
    <w:rsid w:val="19EE47F1"/>
    <w:rsid w:val="19F32962"/>
    <w:rsid w:val="19F32E2F"/>
    <w:rsid w:val="19F978BA"/>
    <w:rsid w:val="19FC0F81"/>
    <w:rsid w:val="19FD1C49"/>
    <w:rsid w:val="1A08042B"/>
    <w:rsid w:val="1A0F5222"/>
    <w:rsid w:val="1A111A09"/>
    <w:rsid w:val="1A1621C7"/>
    <w:rsid w:val="1A1A6026"/>
    <w:rsid w:val="1A1C2C19"/>
    <w:rsid w:val="1A24540D"/>
    <w:rsid w:val="1A2A59B6"/>
    <w:rsid w:val="1A37758D"/>
    <w:rsid w:val="1A3E71FD"/>
    <w:rsid w:val="1A422994"/>
    <w:rsid w:val="1A516B2E"/>
    <w:rsid w:val="1A542310"/>
    <w:rsid w:val="1A5959E3"/>
    <w:rsid w:val="1A6E148E"/>
    <w:rsid w:val="1A780F03"/>
    <w:rsid w:val="1A7E3DE6"/>
    <w:rsid w:val="1A8018D6"/>
    <w:rsid w:val="1A8E1B30"/>
    <w:rsid w:val="1AA03612"/>
    <w:rsid w:val="1AB86F6A"/>
    <w:rsid w:val="1ABB08E4"/>
    <w:rsid w:val="1ABF1CEA"/>
    <w:rsid w:val="1AC56101"/>
    <w:rsid w:val="1AC67053"/>
    <w:rsid w:val="1AD14166"/>
    <w:rsid w:val="1AD90B28"/>
    <w:rsid w:val="1AD95915"/>
    <w:rsid w:val="1AE5074D"/>
    <w:rsid w:val="1AFA54C9"/>
    <w:rsid w:val="1B043BA1"/>
    <w:rsid w:val="1B067919"/>
    <w:rsid w:val="1B0B3181"/>
    <w:rsid w:val="1B134833"/>
    <w:rsid w:val="1B170CA1"/>
    <w:rsid w:val="1B1C0EEA"/>
    <w:rsid w:val="1B1D009E"/>
    <w:rsid w:val="1B240AD9"/>
    <w:rsid w:val="1B351FAC"/>
    <w:rsid w:val="1B375D24"/>
    <w:rsid w:val="1B3A2B42"/>
    <w:rsid w:val="1B3A53E7"/>
    <w:rsid w:val="1B3B1CB8"/>
    <w:rsid w:val="1B3E3557"/>
    <w:rsid w:val="1B3E70B3"/>
    <w:rsid w:val="1B3F1E98"/>
    <w:rsid w:val="1B44346C"/>
    <w:rsid w:val="1B495A57"/>
    <w:rsid w:val="1B555DD3"/>
    <w:rsid w:val="1B5F3E2D"/>
    <w:rsid w:val="1B634D6B"/>
    <w:rsid w:val="1B6B3C20"/>
    <w:rsid w:val="1B713592"/>
    <w:rsid w:val="1B7156DA"/>
    <w:rsid w:val="1B7818DE"/>
    <w:rsid w:val="1B7E3953"/>
    <w:rsid w:val="1B803EA7"/>
    <w:rsid w:val="1B854CE1"/>
    <w:rsid w:val="1B9A6B18"/>
    <w:rsid w:val="1BA3160C"/>
    <w:rsid w:val="1BA43457"/>
    <w:rsid w:val="1BA96CA8"/>
    <w:rsid w:val="1BAA7852"/>
    <w:rsid w:val="1BB14670"/>
    <w:rsid w:val="1BBE4697"/>
    <w:rsid w:val="1BC03F6C"/>
    <w:rsid w:val="1BC31CAE"/>
    <w:rsid w:val="1BC4216E"/>
    <w:rsid w:val="1BC44079"/>
    <w:rsid w:val="1BC872C4"/>
    <w:rsid w:val="1BCA4F7A"/>
    <w:rsid w:val="1BCC0B62"/>
    <w:rsid w:val="1BD45C69"/>
    <w:rsid w:val="1BD605F3"/>
    <w:rsid w:val="1BD9327F"/>
    <w:rsid w:val="1BE75189"/>
    <w:rsid w:val="1BED17B1"/>
    <w:rsid w:val="1BF01FFA"/>
    <w:rsid w:val="1BF115FF"/>
    <w:rsid w:val="1BFA1DAE"/>
    <w:rsid w:val="1C0302FC"/>
    <w:rsid w:val="1C0D4CD7"/>
    <w:rsid w:val="1C0D72D6"/>
    <w:rsid w:val="1C194EA0"/>
    <w:rsid w:val="1C4454C3"/>
    <w:rsid w:val="1C4671C1"/>
    <w:rsid w:val="1C47468D"/>
    <w:rsid w:val="1C4B6499"/>
    <w:rsid w:val="1C521ECE"/>
    <w:rsid w:val="1C5446B4"/>
    <w:rsid w:val="1C551849"/>
    <w:rsid w:val="1C5F6D67"/>
    <w:rsid w:val="1C60574F"/>
    <w:rsid w:val="1C646FED"/>
    <w:rsid w:val="1C754761"/>
    <w:rsid w:val="1C7C60E2"/>
    <w:rsid w:val="1C861D86"/>
    <w:rsid w:val="1C872CDB"/>
    <w:rsid w:val="1C8E7BC6"/>
    <w:rsid w:val="1CB12E70"/>
    <w:rsid w:val="1CB54FBC"/>
    <w:rsid w:val="1CB67720"/>
    <w:rsid w:val="1CB7443F"/>
    <w:rsid w:val="1CC00F43"/>
    <w:rsid w:val="1CCE2454"/>
    <w:rsid w:val="1CCE4466"/>
    <w:rsid w:val="1CD13F56"/>
    <w:rsid w:val="1CD31210"/>
    <w:rsid w:val="1CDA5429"/>
    <w:rsid w:val="1CDC3027"/>
    <w:rsid w:val="1CDF5444"/>
    <w:rsid w:val="1CE33463"/>
    <w:rsid w:val="1CF34586"/>
    <w:rsid w:val="1CFE7CC5"/>
    <w:rsid w:val="1CFF32CC"/>
    <w:rsid w:val="1D0428D1"/>
    <w:rsid w:val="1D0460DA"/>
    <w:rsid w:val="1D063C00"/>
    <w:rsid w:val="1D0F39CD"/>
    <w:rsid w:val="1D1502E7"/>
    <w:rsid w:val="1D1628DD"/>
    <w:rsid w:val="1D187DD7"/>
    <w:rsid w:val="1D247B2E"/>
    <w:rsid w:val="1D3D6E21"/>
    <w:rsid w:val="1D440BCC"/>
    <w:rsid w:val="1D4A104F"/>
    <w:rsid w:val="1D5105FE"/>
    <w:rsid w:val="1D566256"/>
    <w:rsid w:val="1D5E2B68"/>
    <w:rsid w:val="1D644DCB"/>
    <w:rsid w:val="1D682760"/>
    <w:rsid w:val="1D684BFF"/>
    <w:rsid w:val="1D6E79F7"/>
    <w:rsid w:val="1D70376F"/>
    <w:rsid w:val="1D7777EA"/>
    <w:rsid w:val="1D790876"/>
    <w:rsid w:val="1D792624"/>
    <w:rsid w:val="1D7F39B2"/>
    <w:rsid w:val="1D807E56"/>
    <w:rsid w:val="1D827D4F"/>
    <w:rsid w:val="1D862C10"/>
    <w:rsid w:val="1D882867"/>
    <w:rsid w:val="1D8B7007"/>
    <w:rsid w:val="1D9317D5"/>
    <w:rsid w:val="1D990F18"/>
    <w:rsid w:val="1D994785"/>
    <w:rsid w:val="1D9C1C9E"/>
    <w:rsid w:val="1DA17DCD"/>
    <w:rsid w:val="1DAD49C3"/>
    <w:rsid w:val="1DAE7300"/>
    <w:rsid w:val="1DB23D88"/>
    <w:rsid w:val="1DB37F40"/>
    <w:rsid w:val="1DB55626"/>
    <w:rsid w:val="1DC615E1"/>
    <w:rsid w:val="1DC94A18"/>
    <w:rsid w:val="1DCA7323"/>
    <w:rsid w:val="1DCB65CC"/>
    <w:rsid w:val="1DCF11AF"/>
    <w:rsid w:val="1DE71932"/>
    <w:rsid w:val="1DEA1774"/>
    <w:rsid w:val="1DFC3255"/>
    <w:rsid w:val="1DFF1C8C"/>
    <w:rsid w:val="1E067FD0"/>
    <w:rsid w:val="1E1C296E"/>
    <w:rsid w:val="1E2B296F"/>
    <w:rsid w:val="1E332792"/>
    <w:rsid w:val="1E3B3DBE"/>
    <w:rsid w:val="1E455902"/>
    <w:rsid w:val="1E482113"/>
    <w:rsid w:val="1E48649A"/>
    <w:rsid w:val="1E4A0224"/>
    <w:rsid w:val="1E4A0464"/>
    <w:rsid w:val="1E4A3FC0"/>
    <w:rsid w:val="1E4F7829"/>
    <w:rsid w:val="1E566A9B"/>
    <w:rsid w:val="1E5A2587"/>
    <w:rsid w:val="1E625BA4"/>
    <w:rsid w:val="1E650DFA"/>
    <w:rsid w:val="1E682698"/>
    <w:rsid w:val="1E685343"/>
    <w:rsid w:val="1E7A2AF8"/>
    <w:rsid w:val="1E7F254D"/>
    <w:rsid w:val="1E82375A"/>
    <w:rsid w:val="1E860D4B"/>
    <w:rsid w:val="1E8B091C"/>
    <w:rsid w:val="1E9B04AD"/>
    <w:rsid w:val="1EA17CFA"/>
    <w:rsid w:val="1EA85C77"/>
    <w:rsid w:val="1EA94266"/>
    <w:rsid w:val="1EAF2075"/>
    <w:rsid w:val="1EB37DB8"/>
    <w:rsid w:val="1EB549B3"/>
    <w:rsid w:val="1EC21DA9"/>
    <w:rsid w:val="1EC732BD"/>
    <w:rsid w:val="1EC93137"/>
    <w:rsid w:val="1ECC0E79"/>
    <w:rsid w:val="1ECE4BF1"/>
    <w:rsid w:val="1ED76559"/>
    <w:rsid w:val="1EDA5344"/>
    <w:rsid w:val="1EE6018D"/>
    <w:rsid w:val="1EE9292A"/>
    <w:rsid w:val="1EEB57A3"/>
    <w:rsid w:val="1EEC6E65"/>
    <w:rsid w:val="1F0717E1"/>
    <w:rsid w:val="1F095C2A"/>
    <w:rsid w:val="1F0B6573"/>
    <w:rsid w:val="1F1220B1"/>
    <w:rsid w:val="1F122490"/>
    <w:rsid w:val="1F1F71FB"/>
    <w:rsid w:val="1F274071"/>
    <w:rsid w:val="1F29007A"/>
    <w:rsid w:val="1F2D3EE7"/>
    <w:rsid w:val="1F3429E6"/>
    <w:rsid w:val="1F394761"/>
    <w:rsid w:val="1F453CAA"/>
    <w:rsid w:val="1F510CDC"/>
    <w:rsid w:val="1F58672D"/>
    <w:rsid w:val="1F5A0233"/>
    <w:rsid w:val="1F621928"/>
    <w:rsid w:val="1F6D7F66"/>
    <w:rsid w:val="1F7F116C"/>
    <w:rsid w:val="1F837CBF"/>
    <w:rsid w:val="1F890B18"/>
    <w:rsid w:val="1F8F25D3"/>
    <w:rsid w:val="1F975732"/>
    <w:rsid w:val="1F9A2CFD"/>
    <w:rsid w:val="1F9C1C18"/>
    <w:rsid w:val="1F9C64CE"/>
    <w:rsid w:val="1FA40111"/>
    <w:rsid w:val="1FA53BA4"/>
    <w:rsid w:val="1FA82BC2"/>
    <w:rsid w:val="1FB137B2"/>
    <w:rsid w:val="1FB45C7C"/>
    <w:rsid w:val="1FBF6C2C"/>
    <w:rsid w:val="1FC16504"/>
    <w:rsid w:val="1FC73B9A"/>
    <w:rsid w:val="1FCE4C55"/>
    <w:rsid w:val="1FD20DA4"/>
    <w:rsid w:val="1FE44B36"/>
    <w:rsid w:val="1FE71021"/>
    <w:rsid w:val="1FEE637A"/>
    <w:rsid w:val="1FEF26C4"/>
    <w:rsid w:val="1FF56E00"/>
    <w:rsid w:val="1FF959D3"/>
    <w:rsid w:val="20022A1A"/>
    <w:rsid w:val="200C67DD"/>
    <w:rsid w:val="20120B0E"/>
    <w:rsid w:val="20127FCD"/>
    <w:rsid w:val="201362E7"/>
    <w:rsid w:val="20157DC4"/>
    <w:rsid w:val="20182154"/>
    <w:rsid w:val="201A0C7D"/>
    <w:rsid w:val="201F2DDD"/>
    <w:rsid w:val="202069BA"/>
    <w:rsid w:val="202F2518"/>
    <w:rsid w:val="203117E9"/>
    <w:rsid w:val="20436F19"/>
    <w:rsid w:val="204B5225"/>
    <w:rsid w:val="20522205"/>
    <w:rsid w:val="205D090C"/>
    <w:rsid w:val="205E3D53"/>
    <w:rsid w:val="20682939"/>
    <w:rsid w:val="206F7D0E"/>
    <w:rsid w:val="20721DF5"/>
    <w:rsid w:val="207672EF"/>
    <w:rsid w:val="2079293B"/>
    <w:rsid w:val="207C0588"/>
    <w:rsid w:val="20831A0C"/>
    <w:rsid w:val="20856C7D"/>
    <w:rsid w:val="20870939"/>
    <w:rsid w:val="209617EF"/>
    <w:rsid w:val="20971013"/>
    <w:rsid w:val="20A4708F"/>
    <w:rsid w:val="20AC0BEB"/>
    <w:rsid w:val="20B10327"/>
    <w:rsid w:val="20B97912"/>
    <w:rsid w:val="20BA4E89"/>
    <w:rsid w:val="20BB11A5"/>
    <w:rsid w:val="20BD1908"/>
    <w:rsid w:val="20BE47F2"/>
    <w:rsid w:val="20C742D6"/>
    <w:rsid w:val="20D64231"/>
    <w:rsid w:val="20DD736E"/>
    <w:rsid w:val="20E029BA"/>
    <w:rsid w:val="20EA01C4"/>
    <w:rsid w:val="20EB02CA"/>
    <w:rsid w:val="20EB4E1A"/>
    <w:rsid w:val="20EF35E8"/>
    <w:rsid w:val="20EF4493"/>
    <w:rsid w:val="20F841A8"/>
    <w:rsid w:val="20FB38C6"/>
    <w:rsid w:val="210963B5"/>
    <w:rsid w:val="210A7749"/>
    <w:rsid w:val="210B29D6"/>
    <w:rsid w:val="21115269"/>
    <w:rsid w:val="21121E38"/>
    <w:rsid w:val="2112799E"/>
    <w:rsid w:val="2113462E"/>
    <w:rsid w:val="211A0471"/>
    <w:rsid w:val="21246D4B"/>
    <w:rsid w:val="21323553"/>
    <w:rsid w:val="213663E1"/>
    <w:rsid w:val="213960B7"/>
    <w:rsid w:val="213C47A6"/>
    <w:rsid w:val="213D197A"/>
    <w:rsid w:val="2144119B"/>
    <w:rsid w:val="214A6377"/>
    <w:rsid w:val="214B42B4"/>
    <w:rsid w:val="214B42D7"/>
    <w:rsid w:val="214B6D4C"/>
    <w:rsid w:val="215277DE"/>
    <w:rsid w:val="21547189"/>
    <w:rsid w:val="21576A6A"/>
    <w:rsid w:val="215E2E66"/>
    <w:rsid w:val="21630741"/>
    <w:rsid w:val="21645399"/>
    <w:rsid w:val="216E446A"/>
    <w:rsid w:val="217016BE"/>
    <w:rsid w:val="217372D6"/>
    <w:rsid w:val="217961F5"/>
    <w:rsid w:val="217A2887"/>
    <w:rsid w:val="217A4BBD"/>
    <w:rsid w:val="2181419D"/>
    <w:rsid w:val="218617B3"/>
    <w:rsid w:val="21867BCC"/>
    <w:rsid w:val="218A7CDE"/>
    <w:rsid w:val="218B39F0"/>
    <w:rsid w:val="21902632"/>
    <w:rsid w:val="219B4CCB"/>
    <w:rsid w:val="21A734D8"/>
    <w:rsid w:val="21AB4A3D"/>
    <w:rsid w:val="21B836A9"/>
    <w:rsid w:val="21BA4448"/>
    <w:rsid w:val="21BE2FC0"/>
    <w:rsid w:val="21CE1561"/>
    <w:rsid w:val="21D94524"/>
    <w:rsid w:val="21E21860"/>
    <w:rsid w:val="21EE24F5"/>
    <w:rsid w:val="21F22A09"/>
    <w:rsid w:val="21FB3E29"/>
    <w:rsid w:val="21FF50C2"/>
    <w:rsid w:val="22036CED"/>
    <w:rsid w:val="22065492"/>
    <w:rsid w:val="22105521"/>
    <w:rsid w:val="22127D94"/>
    <w:rsid w:val="22137F0C"/>
    <w:rsid w:val="2219008B"/>
    <w:rsid w:val="221943D6"/>
    <w:rsid w:val="22197164"/>
    <w:rsid w:val="222734EC"/>
    <w:rsid w:val="222B5EB7"/>
    <w:rsid w:val="223C5356"/>
    <w:rsid w:val="223E3E3C"/>
    <w:rsid w:val="224B0307"/>
    <w:rsid w:val="22576CAC"/>
    <w:rsid w:val="22577E9D"/>
    <w:rsid w:val="22596EC8"/>
    <w:rsid w:val="225A171B"/>
    <w:rsid w:val="225A547C"/>
    <w:rsid w:val="225B5797"/>
    <w:rsid w:val="225C1B8B"/>
    <w:rsid w:val="22625D7D"/>
    <w:rsid w:val="22635651"/>
    <w:rsid w:val="2265761B"/>
    <w:rsid w:val="226B29C3"/>
    <w:rsid w:val="226E2973"/>
    <w:rsid w:val="22704800"/>
    <w:rsid w:val="2273006A"/>
    <w:rsid w:val="22735ACB"/>
    <w:rsid w:val="22761828"/>
    <w:rsid w:val="22791318"/>
    <w:rsid w:val="227D1357"/>
    <w:rsid w:val="227F5DD8"/>
    <w:rsid w:val="228D6B72"/>
    <w:rsid w:val="22971DEB"/>
    <w:rsid w:val="229D5613"/>
    <w:rsid w:val="229E5854"/>
    <w:rsid w:val="229F30BB"/>
    <w:rsid w:val="229F6964"/>
    <w:rsid w:val="22A73404"/>
    <w:rsid w:val="22AA1450"/>
    <w:rsid w:val="22AA194C"/>
    <w:rsid w:val="22AA7E1E"/>
    <w:rsid w:val="22B45EAC"/>
    <w:rsid w:val="22BF4F15"/>
    <w:rsid w:val="22CF3CDA"/>
    <w:rsid w:val="22D447A0"/>
    <w:rsid w:val="22D629CA"/>
    <w:rsid w:val="22D93B65"/>
    <w:rsid w:val="22E319F7"/>
    <w:rsid w:val="22E92FB8"/>
    <w:rsid w:val="22EC6B17"/>
    <w:rsid w:val="22EF2060"/>
    <w:rsid w:val="2302130E"/>
    <w:rsid w:val="230D7B6D"/>
    <w:rsid w:val="23183019"/>
    <w:rsid w:val="23190BEB"/>
    <w:rsid w:val="231F5D2B"/>
    <w:rsid w:val="232079E6"/>
    <w:rsid w:val="23243032"/>
    <w:rsid w:val="23270D74"/>
    <w:rsid w:val="23294515"/>
    <w:rsid w:val="23307C29"/>
    <w:rsid w:val="23321A81"/>
    <w:rsid w:val="23452FA8"/>
    <w:rsid w:val="235012F5"/>
    <w:rsid w:val="235A6A54"/>
    <w:rsid w:val="235F406A"/>
    <w:rsid w:val="23623B5A"/>
    <w:rsid w:val="23636E2B"/>
    <w:rsid w:val="23675615"/>
    <w:rsid w:val="236A6CF0"/>
    <w:rsid w:val="23704BA9"/>
    <w:rsid w:val="237678AA"/>
    <w:rsid w:val="2378512C"/>
    <w:rsid w:val="237B69CA"/>
    <w:rsid w:val="23841D23"/>
    <w:rsid w:val="238F24D8"/>
    <w:rsid w:val="23953F30"/>
    <w:rsid w:val="23983A20"/>
    <w:rsid w:val="239864BD"/>
    <w:rsid w:val="239947B9"/>
    <w:rsid w:val="23B148E2"/>
    <w:rsid w:val="23B26890"/>
    <w:rsid w:val="23BD6B16"/>
    <w:rsid w:val="23C21C08"/>
    <w:rsid w:val="23D031BA"/>
    <w:rsid w:val="23D5257E"/>
    <w:rsid w:val="23D82812"/>
    <w:rsid w:val="23D8346C"/>
    <w:rsid w:val="23D84773"/>
    <w:rsid w:val="23E85E15"/>
    <w:rsid w:val="23F016A2"/>
    <w:rsid w:val="23FD2161"/>
    <w:rsid w:val="23FD6E50"/>
    <w:rsid w:val="240F5C1B"/>
    <w:rsid w:val="240F5CB6"/>
    <w:rsid w:val="2412732E"/>
    <w:rsid w:val="24191353"/>
    <w:rsid w:val="241D402C"/>
    <w:rsid w:val="242B4894"/>
    <w:rsid w:val="244008F1"/>
    <w:rsid w:val="244140D2"/>
    <w:rsid w:val="24467E41"/>
    <w:rsid w:val="24547947"/>
    <w:rsid w:val="245B3B5C"/>
    <w:rsid w:val="245B6F27"/>
    <w:rsid w:val="24637B8A"/>
    <w:rsid w:val="246C3480"/>
    <w:rsid w:val="247023F2"/>
    <w:rsid w:val="24733DEA"/>
    <w:rsid w:val="2477721B"/>
    <w:rsid w:val="247E6772"/>
    <w:rsid w:val="248A15BB"/>
    <w:rsid w:val="248A5117"/>
    <w:rsid w:val="2492221D"/>
    <w:rsid w:val="24985DA7"/>
    <w:rsid w:val="249A1A6B"/>
    <w:rsid w:val="24A106B2"/>
    <w:rsid w:val="24A969C4"/>
    <w:rsid w:val="24AA3A0B"/>
    <w:rsid w:val="24B83C38"/>
    <w:rsid w:val="24BB1FD8"/>
    <w:rsid w:val="24C05D6D"/>
    <w:rsid w:val="24D23C9C"/>
    <w:rsid w:val="24D47368"/>
    <w:rsid w:val="24D740D4"/>
    <w:rsid w:val="24ED38F7"/>
    <w:rsid w:val="24ED6857"/>
    <w:rsid w:val="24EE6FBD"/>
    <w:rsid w:val="24F001C4"/>
    <w:rsid w:val="24F17A37"/>
    <w:rsid w:val="24F904EE"/>
    <w:rsid w:val="24FA4BE3"/>
    <w:rsid w:val="24FB6014"/>
    <w:rsid w:val="24FD3B3B"/>
    <w:rsid w:val="2501017D"/>
    <w:rsid w:val="2501732F"/>
    <w:rsid w:val="25042435"/>
    <w:rsid w:val="250A5532"/>
    <w:rsid w:val="250C6474"/>
    <w:rsid w:val="25195BF6"/>
    <w:rsid w:val="251B0465"/>
    <w:rsid w:val="252F0691"/>
    <w:rsid w:val="25315EDA"/>
    <w:rsid w:val="253C2302"/>
    <w:rsid w:val="254B4E37"/>
    <w:rsid w:val="25537674"/>
    <w:rsid w:val="255676EF"/>
    <w:rsid w:val="255F11D7"/>
    <w:rsid w:val="25626093"/>
    <w:rsid w:val="25673A5B"/>
    <w:rsid w:val="257768A5"/>
    <w:rsid w:val="257A518B"/>
    <w:rsid w:val="258904E5"/>
    <w:rsid w:val="258C3110"/>
    <w:rsid w:val="259124D5"/>
    <w:rsid w:val="259D3570"/>
    <w:rsid w:val="259F2E44"/>
    <w:rsid w:val="25A05602"/>
    <w:rsid w:val="25A302BA"/>
    <w:rsid w:val="25AA2900"/>
    <w:rsid w:val="25B82B80"/>
    <w:rsid w:val="25BB35C5"/>
    <w:rsid w:val="25BF005D"/>
    <w:rsid w:val="25C1499B"/>
    <w:rsid w:val="25C56630"/>
    <w:rsid w:val="25C64874"/>
    <w:rsid w:val="25CA3B84"/>
    <w:rsid w:val="25CE08CA"/>
    <w:rsid w:val="25DB5394"/>
    <w:rsid w:val="25ED5E58"/>
    <w:rsid w:val="25F077EA"/>
    <w:rsid w:val="25F47529"/>
    <w:rsid w:val="26026E9C"/>
    <w:rsid w:val="260D4251"/>
    <w:rsid w:val="260F68D2"/>
    <w:rsid w:val="26103D41"/>
    <w:rsid w:val="2616406B"/>
    <w:rsid w:val="261A4BC0"/>
    <w:rsid w:val="261E3E24"/>
    <w:rsid w:val="26241C37"/>
    <w:rsid w:val="26297314"/>
    <w:rsid w:val="264634D2"/>
    <w:rsid w:val="264F6F26"/>
    <w:rsid w:val="26530E12"/>
    <w:rsid w:val="265A320F"/>
    <w:rsid w:val="265E4AAD"/>
    <w:rsid w:val="266876DA"/>
    <w:rsid w:val="266A5EAB"/>
    <w:rsid w:val="267017DF"/>
    <w:rsid w:val="267047E0"/>
    <w:rsid w:val="267243CA"/>
    <w:rsid w:val="2677489A"/>
    <w:rsid w:val="267B07EE"/>
    <w:rsid w:val="267C13D7"/>
    <w:rsid w:val="267E5188"/>
    <w:rsid w:val="2698180C"/>
    <w:rsid w:val="269B6CA4"/>
    <w:rsid w:val="26AC15C4"/>
    <w:rsid w:val="26AD77E2"/>
    <w:rsid w:val="26B02E2F"/>
    <w:rsid w:val="26B2676D"/>
    <w:rsid w:val="26BB2FF0"/>
    <w:rsid w:val="26BC47F7"/>
    <w:rsid w:val="26CC6DAE"/>
    <w:rsid w:val="26CE3F68"/>
    <w:rsid w:val="26DB1108"/>
    <w:rsid w:val="26E07A13"/>
    <w:rsid w:val="26E65B8E"/>
    <w:rsid w:val="26E8081A"/>
    <w:rsid w:val="26FB7E82"/>
    <w:rsid w:val="26FE0477"/>
    <w:rsid w:val="270113F7"/>
    <w:rsid w:val="270278E7"/>
    <w:rsid w:val="27062D33"/>
    <w:rsid w:val="270A5E16"/>
    <w:rsid w:val="270E64D3"/>
    <w:rsid w:val="27124E5F"/>
    <w:rsid w:val="27247AA4"/>
    <w:rsid w:val="27264508"/>
    <w:rsid w:val="27275308"/>
    <w:rsid w:val="272B69DA"/>
    <w:rsid w:val="27300FF9"/>
    <w:rsid w:val="27306961"/>
    <w:rsid w:val="27346B8F"/>
    <w:rsid w:val="273E7F40"/>
    <w:rsid w:val="27452AAD"/>
    <w:rsid w:val="275D2FB6"/>
    <w:rsid w:val="27626574"/>
    <w:rsid w:val="276471EB"/>
    <w:rsid w:val="276C6AAD"/>
    <w:rsid w:val="276F1C0A"/>
    <w:rsid w:val="27736336"/>
    <w:rsid w:val="277A535B"/>
    <w:rsid w:val="277D5407"/>
    <w:rsid w:val="27815711"/>
    <w:rsid w:val="279B3ADF"/>
    <w:rsid w:val="279D3598"/>
    <w:rsid w:val="27B11893"/>
    <w:rsid w:val="27B301F5"/>
    <w:rsid w:val="27B343EB"/>
    <w:rsid w:val="27B917D9"/>
    <w:rsid w:val="27BB67F2"/>
    <w:rsid w:val="27C2106B"/>
    <w:rsid w:val="27C22E19"/>
    <w:rsid w:val="27C568AB"/>
    <w:rsid w:val="27CE17BE"/>
    <w:rsid w:val="27D112AE"/>
    <w:rsid w:val="27D75C67"/>
    <w:rsid w:val="27D95470"/>
    <w:rsid w:val="27DD3E45"/>
    <w:rsid w:val="27DF1C1D"/>
    <w:rsid w:val="27E03472"/>
    <w:rsid w:val="27E7741F"/>
    <w:rsid w:val="27E97236"/>
    <w:rsid w:val="27EE38FE"/>
    <w:rsid w:val="27EE440B"/>
    <w:rsid w:val="27F0062F"/>
    <w:rsid w:val="27F33EE4"/>
    <w:rsid w:val="27F37477"/>
    <w:rsid w:val="27F409D5"/>
    <w:rsid w:val="27F82CDF"/>
    <w:rsid w:val="28017DE6"/>
    <w:rsid w:val="280612FE"/>
    <w:rsid w:val="28074CD0"/>
    <w:rsid w:val="280C5045"/>
    <w:rsid w:val="280D0DD8"/>
    <w:rsid w:val="280D43ED"/>
    <w:rsid w:val="281774F5"/>
    <w:rsid w:val="281F026C"/>
    <w:rsid w:val="28321D4D"/>
    <w:rsid w:val="28342F2F"/>
    <w:rsid w:val="2835183D"/>
    <w:rsid w:val="284321AC"/>
    <w:rsid w:val="28464198"/>
    <w:rsid w:val="284B2E0F"/>
    <w:rsid w:val="284C629E"/>
    <w:rsid w:val="285409FA"/>
    <w:rsid w:val="28550131"/>
    <w:rsid w:val="28575C58"/>
    <w:rsid w:val="285D1191"/>
    <w:rsid w:val="285F1FD2"/>
    <w:rsid w:val="286839C1"/>
    <w:rsid w:val="28690923"/>
    <w:rsid w:val="28771E56"/>
    <w:rsid w:val="287F70C8"/>
    <w:rsid w:val="28822F06"/>
    <w:rsid w:val="28880DF6"/>
    <w:rsid w:val="288D2848"/>
    <w:rsid w:val="28921CDC"/>
    <w:rsid w:val="289D1D9F"/>
    <w:rsid w:val="289E0BE5"/>
    <w:rsid w:val="28A12C95"/>
    <w:rsid w:val="28A40771"/>
    <w:rsid w:val="28A644E9"/>
    <w:rsid w:val="28B041DE"/>
    <w:rsid w:val="28B96D7F"/>
    <w:rsid w:val="28C4446D"/>
    <w:rsid w:val="28C50E13"/>
    <w:rsid w:val="28C64B8B"/>
    <w:rsid w:val="28C976D2"/>
    <w:rsid w:val="28CD36A6"/>
    <w:rsid w:val="28E868B0"/>
    <w:rsid w:val="28EA2628"/>
    <w:rsid w:val="28EC2844"/>
    <w:rsid w:val="28EF49A4"/>
    <w:rsid w:val="28F214DC"/>
    <w:rsid w:val="28F507E0"/>
    <w:rsid w:val="28F9282F"/>
    <w:rsid w:val="28FC3D06"/>
    <w:rsid w:val="28FE0A0E"/>
    <w:rsid w:val="28FF1471"/>
    <w:rsid w:val="28FF3418"/>
    <w:rsid w:val="29023E15"/>
    <w:rsid w:val="290424DB"/>
    <w:rsid w:val="290731DA"/>
    <w:rsid w:val="290C43B0"/>
    <w:rsid w:val="291612ED"/>
    <w:rsid w:val="29180602"/>
    <w:rsid w:val="292178F6"/>
    <w:rsid w:val="292264E0"/>
    <w:rsid w:val="29286333"/>
    <w:rsid w:val="292A728C"/>
    <w:rsid w:val="29386107"/>
    <w:rsid w:val="29394CEC"/>
    <w:rsid w:val="294D5D35"/>
    <w:rsid w:val="29501316"/>
    <w:rsid w:val="29613FA7"/>
    <w:rsid w:val="29720F92"/>
    <w:rsid w:val="29725FA9"/>
    <w:rsid w:val="297D16EE"/>
    <w:rsid w:val="29826D04"/>
    <w:rsid w:val="298A5BB9"/>
    <w:rsid w:val="298C1931"/>
    <w:rsid w:val="29905D8B"/>
    <w:rsid w:val="2991644E"/>
    <w:rsid w:val="29964799"/>
    <w:rsid w:val="2999687A"/>
    <w:rsid w:val="29A22E9A"/>
    <w:rsid w:val="29A22F02"/>
    <w:rsid w:val="29AC3294"/>
    <w:rsid w:val="29AC5B2F"/>
    <w:rsid w:val="29AF6A79"/>
    <w:rsid w:val="29B15C29"/>
    <w:rsid w:val="29C53C70"/>
    <w:rsid w:val="29C966E1"/>
    <w:rsid w:val="29CA0B66"/>
    <w:rsid w:val="29D41C18"/>
    <w:rsid w:val="29D42826"/>
    <w:rsid w:val="29E17ECF"/>
    <w:rsid w:val="29E7769C"/>
    <w:rsid w:val="29EB19A2"/>
    <w:rsid w:val="29EC7864"/>
    <w:rsid w:val="29EF7509"/>
    <w:rsid w:val="29F06E6F"/>
    <w:rsid w:val="29F174B1"/>
    <w:rsid w:val="29FA0F90"/>
    <w:rsid w:val="2A106F1F"/>
    <w:rsid w:val="2A1262DA"/>
    <w:rsid w:val="2A1F176D"/>
    <w:rsid w:val="2A216FA0"/>
    <w:rsid w:val="2A2C5E20"/>
    <w:rsid w:val="2A2F1F1E"/>
    <w:rsid w:val="2A344E05"/>
    <w:rsid w:val="2A3F69A3"/>
    <w:rsid w:val="2A401D9D"/>
    <w:rsid w:val="2A5341FD"/>
    <w:rsid w:val="2A587A65"/>
    <w:rsid w:val="2A5E426D"/>
    <w:rsid w:val="2A693EF4"/>
    <w:rsid w:val="2A713C7F"/>
    <w:rsid w:val="2A7147D9"/>
    <w:rsid w:val="2A720B27"/>
    <w:rsid w:val="2A78126D"/>
    <w:rsid w:val="2A7F214F"/>
    <w:rsid w:val="2A816DE6"/>
    <w:rsid w:val="2A88659C"/>
    <w:rsid w:val="2A8947DB"/>
    <w:rsid w:val="2A8D1AFD"/>
    <w:rsid w:val="2A9071FF"/>
    <w:rsid w:val="2A921248"/>
    <w:rsid w:val="2A9271E7"/>
    <w:rsid w:val="2A965385"/>
    <w:rsid w:val="2A97233B"/>
    <w:rsid w:val="2A972457"/>
    <w:rsid w:val="2A981BB1"/>
    <w:rsid w:val="2A9943B2"/>
    <w:rsid w:val="2A9F2F4C"/>
    <w:rsid w:val="2AA9206F"/>
    <w:rsid w:val="2ABC6246"/>
    <w:rsid w:val="2AE17A5A"/>
    <w:rsid w:val="2AE729DA"/>
    <w:rsid w:val="2AF1047D"/>
    <w:rsid w:val="2AF53506"/>
    <w:rsid w:val="2AFE060C"/>
    <w:rsid w:val="2AFE7F0C"/>
    <w:rsid w:val="2B007A64"/>
    <w:rsid w:val="2B0A0D5F"/>
    <w:rsid w:val="2B0A3ECC"/>
    <w:rsid w:val="2B1B11BE"/>
    <w:rsid w:val="2B253DEB"/>
    <w:rsid w:val="2B294DB1"/>
    <w:rsid w:val="2B2F4C6A"/>
    <w:rsid w:val="2B33447D"/>
    <w:rsid w:val="2B3E5D0E"/>
    <w:rsid w:val="2B483DD6"/>
    <w:rsid w:val="2B567AF0"/>
    <w:rsid w:val="2B5841C1"/>
    <w:rsid w:val="2B5C5333"/>
    <w:rsid w:val="2B610732"/>
    <w:rsid w:val="2B7D025F"/>
    <w:rsid w:val="2B886128"/>
    <w:rsid w:val="2B9335DC"/>
    <w:rsid w:val="2B983ECA"/>
    <w:rsid w:val="2B9B22FF"/>
    <w:rsid w:val="2BA60CCC"/>
    <w:rsid w:val="2BA75ECB"/>
    <w:rsid w:val="2BAA2542"/>
    <w:rsid w:val="2BAD5B8F"/>
    <w:rsid w:val="2BB331A5"/>
    <w:rsid w:val="2BBD71D9"/>
    <w:rsid w:val="2BC445B9"/>
    <w:rsid w:val="2BCB64AE"/>
    <w:rsid w:val="2BD001FB"/>
    <w:rsid w:val="2BD650E5"/>
    <w:rsid w:val="2BD66E93"/>
    <w:rsid w:val="2BDF21EC"/>
    <w:rsid w:val="2BEB6DE3"/>
    <w:rsid w:val="2BF612E4"/>
    <w:rsid w:val="2BF71D69"/>
    <w:rsid w:val="2BFB575E"/>
    <w:rsid w:val="2C035777"/>
    <w:rsid w:val="2C0B1233"/>
    <w:rsid w:val="2C0E6DA4"/>
    <w:rsid w:val="2C0E70A9"/>
    <w:rsid w:val="2C155A3C"/>
    <w:rsid w:val="2C1C51EE"/>
    <w:rsid w:val="2C1F1AC9"/>
    <w:rsid w:val="2C236410"/>
    <w:rsid w:val="2C29790B"/>
    <w:rsid w:val="2C2A243C"/>
    <w:rsid w:val="2C3C763E"/>
    <w:rsid w:val="2C3F0EDD"/>
    <w:rsid w:val="2C4604BD"/>
    <w:rsid w:val="2C4A329A"/>
    <w:rsid w:val="2C4B0C83"/>
    <w:rsid w:val="2C4B162F"/>
    <w:rsid w:val="2C4E1904"/>
    <w:rsid w:val="2C4F180B"/>
    <w:rsid w:val="2C5016D4"/>
    <w:rsid w:val="2C623873"/>
    <w:rsid w:val="2C666469"/>
    <w:rsid w:val="2C680433"/>
    <w:rsid w:val="2C6C77F8"/>
    <w:rsid w:val="2C7212B2"/>
    <w:rsid w:val="2C817F6A"/>
    <w:rsid w:val="2C82199F"/>
    <w:rsid w:val="2C822C4A"/>
    <w:rsid w:val="2C8479B6"/>
    <w:rsid w:val="2C8640C1"/>
    <w:rsid w:val="2C8949FE"/>
    <w:rsid w:val="2CAA1BF4"/>
    <w:rsid w:val="2CAE7E10"/>
    <w:rsid w:val="2CB24425"/>
    <w:rsid w:val="2CC1414B"/>
    <w:rsid w:val="2CC43190"/>
    <w:rsid w:val="2CD63A16"/>
    <w:rsid w:val="2CEF46B1"/>
    <w:rsid w:val="2CFC10BD"/>
    <w:rsid w:val="2D0C1B61"/>
    <w:rsid w:val="2D0D2D89"/>
    <w:rsid w:val="2D186DEB"/>
    <w:rsid w:val="2D1E19DF"/>
    <w:rsid w:val="2D320D31"/>
    <w:rsid w:val="2D354363"/>
    <w:rsid w:val="2D3F044C"/>
    <w:rsid w:val="2D47136C"/>
    <w:rsid w:val="2D4744ED"/>
    <w:rsid w:val="2D485B6F"/>
    <w:rsid w:val="2D5504D7"/>
    <w:rsid w:val="2D5664DE"/>
    <w:rsid w:val="2D626C0E"/>
    <w:rsid w:val="2D6410DD"/>
    <w:rsid w:val="2D6918FE"/>
    <w:rsid w:val="2D7746A6"/>
    <w:rsid w:val="2D7D7839"/>
    <w:rsid w:val="2D855015"/>
    <w:rsid w:val="2D856DC3"/>
    <w:rsid w:val="2D875713"/>
    <w:rsid w:val="2D8B7285"/>
    <w:rsid w:val="2D8C01F5"/>
    <w:rsid w:val="2D8D08D1"/>
    <w:rsid w:val="2D8D245B"/>
    <w:rsid w:val="2D937732"/>
    <w:rsid w:val="2D9A6AF9"/>
    <w:rsid w:val="2D9B7F27"/>
    <w:rsid w:val="2DB24C88"/>
    <w:rsid w:val="2DBB08D7"/>
    <w:rsid w:val="2DC21DC5"/>
    <w:rsid w:val="2DC62405"/>
    <w:rsid w:val="2DCA69B9"/>
    <w:rsid w:val="2DD65871"/>
    <w:rsid w:val="2DEC0BF0"/>
    <w:rsid w:val="2DEE4968"/>
    <w:rsid w:val="2DF94BAE"/>
    <w:rsid w:val="2DFA6269"/>
    <w:rsid w:val="2DFB7085"/>
    <w:rsid w:val="2E0221C2"/>
    <w:rsid w:val="2E022272"/>
    <w:rsid w:val="2E023E21"/>
    <w:rsid w:val="2E03257A"/>
    <w:rsid w:val="2E051CB2"/>
    <w:rsid w:val="2E0C560D"/>
    <w:rsid w:val="2E0F1BDF"/>
    <w:rsid w:val="2E0F5C61"/>
    <w:rsid w:val="2E2E1209"/>
    <w:rsid w:val="2E385BE3"/>
    <w:rsid w:val="2E3D4AF1"/>
    <w:rsid w:val="2E4B3B69"/>
    <w:rsid w:val="2E4D2C29"/>
    <w:rsid w:val="2E501652"/>
    <w:rsid w:val="2E513149"/>
    <w:rsid w:val="2E514DC3"/>
    <w:rsid w:val="2E520D92"/>
    <w:rsid w:val="2E532A1D"/>
    <w:rsid w:val="2E690493"/>
    <w:rsid w:val="2E6D7F83"/>
    <w:rsid w:val="2E770CDA"/>
    <w:rsid w:val="2E8D60F4"/>
    <w:rsid w:val="2E924F48"/>
    <w:rsid w:val="2E935510"/>
    <w:rsid w:val="2E9A566C"/>
    <w:rsid w:val="2E9B0AC6"/>
    <w:rsid w:val="2EA43279"/>
    <w:rsid w:val="2EB15996"/>
    <w:rsid w:val="2EB401C1"/>
    <w:rsid w:val="2EB57234"/>
    <w:rsid w:val="2EBA484A"/>
    <w:rsid w:val="2EC102CF"/>
    <w:rsid w:val="2EC753D2"/>
    <w:rsid w:val="2ED26BAD"/>
    <w:rsid w:val="2EDA40AD"/>
    <w:rsid w:val="2EDF0755"/>
    <w:rsid w:val="2EE46C66"/>
    <w:rsid w:val="2EE93382"/>
    <w:rsid w:val="2EEA497C"/>
    <w:rsid w:val="2EEB0EA8"/>
    <w:rsid w:val="2EED10C4"/>
    <w:rsid w:val="2EF444CA"/>
    <w:rsid w:val="2EFB298B"/>
    <w:rsid w:val="2F01691D"/>
    <w:rsid w:val="2F0A4903"/>
    <w:rsid w:val="2F0B0FAD"/>
    <w:rsid w:val="2F0D0E1E"/>
    <w:rsid w:val="2F0E4B96"/>
    <w:rsid w:val="2F0E4F72"/>
    <w:rsid w:val="2F1679A2"/>
    <w:rsid w:val="2F174C3D"/>
    <w:rsid w:val="2F191EB9"/>
    <w:rsid w:val="2F1E3866"/>
    <w:rsid w:val="2F206E4A"/>
    <w:rsid w:val="2F2148C9"/>
    <w:rsid w:val="2F250E3B"/>
    <w:rsid w:val="2F2B157A"/>
    <w:rsid w:val="2F37233F"/>
    <w:rsid w:val="2F451C2D"/>
    <w:rsid w:val="2F541C99"/>
    <w:rsid w:val="2F57046A"/>
    <w:rsid w:val="2F5A089B"/>
    <w:rsid w:val="2F612A17"/>
    <w:rsid w:val="2F672985"/>
    <w:rsid w:val="2F682106"/>
    <w:rsid w:val="2F692858"/>
    <w:rsid w:val="2F6C3E5B"/>
    <w:rsid w:val="2F7964B4"/>
    <w:rsid w:val="2F7B66D0"/>
    <w:rsid w:val="2F89769B"/>
    <w:rsid w:val="2F8F20DF"/>
    <w:rsid w:val="2F91067B"/>
    <w:rsid w:val="2F940399"/>
    <w:rsid w:val="2F974B8C"/>
    <w:rsid w:val="2F9C21A2"/>
    <w:rsid w:val="2FA01C92"/>
    <w:rsid w:val="2FB63AAC"/>
    <w:rsid w:val="2FBB4D1E"/>
    <w:rsid w:val="2FC0489B"/>
    <w:rsid w:val="2FC46619"/>
    <w:rsid w:val="2FC736C3"/>
    <w:rsid w:val="2FCF694B"/>
    <w:rsid w:val="2FD472F4"/>
    <w:rsid w:val="2FD8767E"/>
    <w:rsid w:val="2FDA5E67"/>
    <w:rsid w:val="2FDD1780"/>
    <w:rsid w:val="2FE42670"/>
    <w:rsid w:val="2FE9706B"/>
    <w:rsid w:val="2FFB1A6A"/>
    <w:rsid w:val="30000983"/>
    <w:rsid w:val="3002294D"/>
    <w:rsid w:val="300541EB"/>
    <w:rsid w:val="30055990"/>
    <w:rsid w:val="300B6158"/>
    <w:rsid w:val="300D700E"/>
    <w:rsid w:val="30126B4E"/>
    <w:rsid w:val="30143EEF"/>
    <w:rsid w:val="30153346"/>
    <w:rsid w:val="301C0738"/>
    <w:rsid w:val="30233B2A"/>
    <w:rsid w:val="30281C88"/>
    <w:rsid w:val="302C5C1C"/>
    <w:rsid w:val="302D30A6"/>
    <w:rsid w:val="302E3742"/>
    <w:rsid w:val="302E54F0"/>
    <w:rsid w:val="30304270"/>
    <w:rsid w:val="30403C29"/>
    <w:rsid w:val="30406FD1"/>
    <w:rsid w:val="304765B2"/>
    <w:rsid w:val="304A55B1"/>
    <w:rsid w:val="30542A7D"/>
    <w:rsid w:val="305807BF"/>
    <w:rsid w:val="30644772"/>
    <w:rsid w:val="30722FEE"/>
    <w:rsid w:val="30744ECD"/>
    <w:rsid w:val="307B25E8"/>
    <w:rsid w:val="308642B3"/>
    <w:rsid w:val="308C0468"/>
    <w:rsid w:val="308E5F8F"/>
    <w:rsid w:val="30A43A04"/>
    <w:rsid w:val="30AA3658"/>
    <w:rsid w:val="30AE2286"/>
    <w:rsid w:val="30B644A3"/>
    <w:rsid w:val="30B73737"/>
    <w:rsid w:val="30B8300C"/>
    <w:rsid w:val="30CE166B"/>
    <w:rsid w:val="30D53BBD"/>
    <w:rsid w:val="30D836AE"/>
    <w:rsid w:val="30DB50D5"/>
    <w:rsid w:val="30DD3F27"/>
    <w:rsid w:val="30EC089E"/>
    <w:rsid w:val="30EF7839"/>
    <w:rsid w:val="30F304E8"/>
    <w:rsid w:val="30F52CFA"/>
    <w:rsid w:val="30FA1D36"/>
    <w:rsid w:val="30FA7AC8"/>
    <w:rsid w:val="31017ADC"/>
    <w:rsid w:val="3106021B"/>
    <w:rsid w:val="310821E5"/>
    <w:rsid w:val="310B6B56"/>
    <w:rsid w:val="310E68AD"/>
    <w:rsid w:val="3118459C"/>
    <w:rsid w:val="311917B6"/>
    <w:rsid w:val="311D51E8"/>
    <w:rsid w:val="3122365E"/>
    <w:rsid w:val="31231DD2"/>
    <w:rsid w:val="312F5B44"/>
    <w:rsid w:val="3131279D"/>
    <w:rsid w:val="31465BAC"/>
    <w:rsid w:val="314B257E"/>
    <w:rsid w:val="314B328A"/>
    <w:rsid w:val="314B5285"/>
    <w:rsid w:val="315045FA"/>
    <w:rsid w:val="31523460"/>
    <w:rsid w:val="315630E8"/>
    <w:rsid w:val="31574285"/>
    <w:rsid w:val="31597B9A"/>
    <w:rsid w:val="315E3A28"/>
    <w:rsid w:val="3160383C"/>
    <w:rsid w:val="3166515D"/>
    <w:rsid w:val="31684A32"/>
    <w:rsid w:val="316A2F37"/>
    <w:rsid w:val="316B62D0"/>
    <w:rsid w:val="317062B6"/>
    <w:rsid w:val="31725D9D"/>
    <w:rsid w:val="3179289B"/>
    <w:rsid w:val="31795FC2"/>
    <w:rsid w:val="317F50EB"/>
    <w:rsid w:val="318436ED"/>
    <w:rsid w:val="31853836"/>
    <w:rsid w:val="31864FFD"/>
    <w:rsid w:val="318869AB"/>
    <w:rsid w:val="31947080"/>
    <w:rsid w:val="319B5AB3"/>
    <w:rsid w:val="31BB1005"/>
    <w:rsid w:val="31BB24EE"/>
    <w:rsid w:val="31BD1974"/>
    <w:rsid w:val="31C27FA8"/>
    <w:rsid w:val="31CA1248"/>
    <w:rsid w:val="31D245A1"/>
    <w:rsid w:val="31D418BD"/>
    <w:rsid w:val="31D57C0E"/>
    <w:rsid w:val="31D641D8"/>
    <w:rsid w:val="31DD71CE"/>
    <w:rsid w:val="31E340B8"/>
    <w:rsid w:val="31E61640"/>
    <w:rsid w:val="31ED6B4D"/>
    <w:rsid w:val="31F57241"/>
    <w:rsid w:val="3201418F"/>
    <w:rsid w:val="320A5AE9"/>
    <w:rsid w:val="32191325"/>
    <w:rsid w:val="32193F7E"/>
    <w:rsid w:val="321C75CA"/>
    <w:rsid w:val="322070BA"/>
    <w:rsid w:val="322842EF"/>
    <w:rsid w:val="323443E6"/>
    <w:rsid w:val="32351D9D"/>
    <w:rsid w:val="32430E48"/>
    <w:rsid w:val="32454D73"/>
    <w:rsid w:val="324D0BFE"/>
    <w:rsid w:val="32503088"/>
    <w:rsid w:val="32516877"/>
    <w:rsid w:val="3252061C"/>
    <w:rsid w:val="325D3E6B"/>
    <w:rsid w:val="326276D3"/>
    <w:rsid w:val="32634ED6"/>
    <w:rsid w:val="3264169D"/>
    <w:rsid w:val="32722C3D"/>
    <w:rsid w:val="32736509"/>
    <w:rsid w:val="327613D0"/>
    <w:rsid w:val="32764F2C"/>
    <w:rsid w:val="327B181C"/>
    <w:rsid w:val="3288062F"/>
    <w:rsid w:val="328E2276"/>
    <w:rsid w:val="328E671A"/>
    <w:rsid w:val="32976BE6"/>
    <w:rsid w:val="32981347"/>
    <w:rsid w:val="32A71F93"/>
    <w:rsid w:val="32AB773A"/>
    <w:rsid w:val="32B954BB"/>
    <w:rsid w:val="32BE6D38"/>
    <w:rsid w:val="32CC7242"/>
    <w:rsid w:val="32CE034A"/>
    <w:rsid w:val="32CE37B6"/>
    <w:rsid w:val="32CE3F9C"/>
    <w:rsid w:val="32D103B5"/>
    <w:rsid w:val="32D14ADB"/>
    <w:rsid w:val="32D16607"/>
    <w:rsid w:val="32D560F7"/>
    <w:rsid w:val="32DF2BCE"/>
    <w:rsid w:val="32E35176"/>
    <w:rsid w:val="32E427DE"/>
    <w:rsid w:val="32ED5BC4"/>
    <w:rsid w:val="33016D23"/>
    <w:rsid w:val="33061DB1"/>
    <w:rsid w:val="330771D2"/>
    <w:rsid w:val="330B463D"/>
    <w:rsid w:val="330F49C2"/>
    <w:rsid w:val="33155ECA"/>
    <w:rsid w:val="3316226B"/>
    <w:rsid w:val="332130EA"/>
    <w:rsid w:val="3323216C"/>
    <w:rsid w:val="33270F22"/>
    <w:rsid w:val="332E3A59"/>
    <w:rsid w:val="3333106F"/>
    <w:rsid w:val="333371F3"/>
    <w:rsid w:val="33360887"/>
    <w:rsid w:val="333A6A61"/>
    <w:rsid w:val="333D0637"/>
    <w:rsid w:val="333D0CEC"/>
    <w:rsid w:val="333F17C2"/>
    <w:rsid w:val="334943EF"/>
    <w:rsid w:val="334A3A91"/>
    <w:rsid w:val="334C5311"/>
    <w:rsid w:val="334E5EA9"/>
    <w:rsid w:val="3350065B"/>
    <w:rsid w:val="33547F33"/>
    <w:rsid w:val="33631E0B"/>
    <w:rsid w:val="33641F81"/>
    <w:rsid w:val="3369683F"/>
    <w:rsid w:val="336A4256"/>
    <w:rsid w:val="3374417F"/>
    <w:rsid w:val="33774F37"/>
    <w:rsid w:val="33835B53"/>
    <w:rsid w:val="33872C3D"/>
    <w:rsid w:val="338B4A07"/>
    <w:rsid w:val="33973645"/>
    <w:rsid w:val="339A78CE"/>
    <w:rsid w:val="33A1422B"/>
    <w:rsid w:val="33A32227"/>
    <w:rsid w:val="33A361F5"/>
    <w:rsid w:val="33A67108"/>
    <w:rsid w:val="33B8271D"/>
    <w:rsid w:val="33B95251"/>
    <w:rsid w:val="33C50529"/>
    <w:rsid w:val="33D04B10"/>
    <w:rsid w:val="33D22636"/>
    <w:rsid w:val="33D75164"/>
    <w:rsid w:val="33D94875"/>
    <w:rsid w:val="33DC08A6"/>
    <w:rsid w:val="33DF6B01"/>
    <w:rsid w:val="33E365F1"/>
    <w:rsid w:val="33EF3432"/>
    <w:rsid w:val="33F10985"/>
    <w:rsid w:val="33F21429"/>
    <w:rsid w:val="33FA5772"/>
    <w:rsid w:val="340053F5"/>
    <w:rsid w:val="34052A0C"/>
    <w:rsid w:val="34067514"/>
    <w:rsid w:val="34086C8B"/>
    <w:rsid w:val="34164C19"/>
    <w:rsid w:val="341E4DC2"/>
    <w:rsid w:val="3421711A"/>
    <w:rsid w:val="34232E92"/>
    <w:rsid w:val="3423623B"/>
    <w:rsid w:val="34287774"/>
    <w:rsid w:val="342A5F2C"/>
    <w:rsid w:val="342C7F98"/>
    <w:rsid w:val="343126B5"/>
    <w:rsid w:val="34346E4D"/>
    <w:rsid w:val="343F33D6"/>
    <w:rsid w:val="344233E9"/>
    <w:rsid w:val="345A2A58"/>
    <w:rsid w:val="345B087E"/>
    <w:rsid w:val="34623692"/>
    <w:rsid w:val="34665642"/>
    <w:rsid w:val="34692BFE"/>
    <w:rsid w:val="346D124D"/>
    <w:rsid w:val="34767465"/>
    <w:rsid w:val="34800EF9"/>
    <w:rsid w:val="3480243A"/>
    <w:rsid w:val="3486019B"/>
    <w:rsid w:val="34925AE1"/>
    <w:rsid w:val="34931A96"/>
    <w:rsid w:val="349561DB"/>
    <w:rsid w:val="349D086A"/>
    <w:rsid w:val="349F7FDC"/>
    <w:rsid w:val="34A03348"/>
    <w:rsid w:val="34AF629B"/>
    <w:rsid w:val="34B02D58"/>
    <w:rsid w:val="34D649FE"/>
    <w:rsid w:val="34DB5BDC"/>
    <w:rsid w:val="34E206E1"/>
    <w:rsid w:val="34E263DB"/>
    <w:rsid w:val="34E645EB"/>
    <w:rsid w:val="34EA39B0"/>
    <w:rsid w:val="34EC3AC9"/>
    <w:rsid w:val="34F2533E"/>
    <w:rsid w:val="34F605A6"/>
    <w:rsid w:val="34FA0097"/>
    <w:rsid w:val="34FA62E8"/>
    <w:rsid w:val="35122488"/>
    <w:rsid w:val="351533ED"/>
    <w:rsid w:val="351647A5"/>
    <w:rsid w:val="3518051D"/>
    <w:rsid w:val="351868E9"/>
    <w:rsid w:val="351D7AE8"/>
    <w:rsid w:val="35260E8C"/>
    <w:rsid w:val="352944D8"/>
    <w:rsid w:val="352D221A"/>
    <w:rsid w:val="35301EC3"/>
    <w:rsid w:val="353256B7"/>
    <w:rsid w:val="35335357"/>
    <w:rsid w:val="35393682"/>
    <w:rsid w:val="353C06AF"/>
    <w:rsid w:val="354168C4"/>
    <w:rsid w:val="3548790C"/>
    <w:rsid w:val="35494B7A"/>
    <w:rsid w:val="355D42E6"/>
    <w:rsid w:val="35654127"/>
    <w:rsid w:val="356A2A1B"/>
    <w:rsid w:val="356C2617"/>
    <w:rsid w:val="357557F7"/>
    <w:rsid w:val="357A4D33"/>
    <w:rsid w:val="357C4F4F"/>
    <w:rsid w:val="357D1B56"/>
    <w:rsid w:val="357F234A"/>
    <w:rsid w:val="357F56BE"/>
    <w:rsid w:val="359258CF"/>
    <w:rsid w:val="359779FE"/>
    <w:rsid w:val="35984047"/>
    <w:rsid w:val="35A3159E"/>
    <w:rsid w:val="35AD6EB7"/>
    <w:rsid w:val="35AF70D3"/>
    <w:rsid w:val="35B244CD"/>
    <w:rsid w:val="35B6181A"/>
    <w:rsid w:val="35BD7658"/>
    <w:rsid w:val="35BE11A8"/>
    <w:rsid w:val="35BF164A"/>
    <w:rsid w:val="35C42453"/>
    <w:rsid w:val="35C661CB"/>
    <w:rsid w:val="35CD3B05"/>
    <w:rsid w:val="35CE07E8"/>
    <w:rsid w:val="35D408E8"/>
    <w:rsid w:val="35D72186"/>
    <w:rsid w:val="35D723E7"/>
    <w:rsid w:val="35E23E2E"/>
    <w:rsid w:val="35E7439C"/>
    <w:rsid w:val="35ED2F28"/>
    <w:rsid w:val="35F418C0"/>
    <w:rsid w:val="35FC6014"/>
    <w:rsid w:val="36025A84"/>
    <w:rsid w:val="361138EA"/>
    <w:rsid w:val="36127662"/>
    <w:rsid w:val="36147018"/>
    <w:rsid w:val="36257395"/>
    <w:rsid w:val="362D52F2"/>
    <w:rsid w:val="36317AE8"/>
    <w:rsid w:val="36330F1C"/>
    <w:rsid w:val="36360607"/>
    <w:rsid w:val="363C4DE7"/>
    <w:rsid w:val="363D2F83"/>
    <w:rsid w:val="364035BD"/>
    <w:rsid w:val="36455341"/>
    <w:rsid w:val="364907A3"/>
    <w:rsid w:val="36571E8A"/>
    <w:rsid w:val="365E430D"/>
    <w:rsid w:val="3667669B"/>
    <w:rsid w:val="36706B22"/>
    <w:rsid w:val="367865FB"/>
    <w:rsid w:val="36792CE9"/>
    <w:rsid w:val="367E35EC"/>
    <w:rsid w:val="36835E6A"/>
    <w:rsid w:val="368816D2"/>
    <w:rsid w:val="369333B7"/>
    <w:rsid w:val="36934F4F"/>
    <w:rsid w:val="369F5C48"/>
    <w:rsid w:val="36A35C8D"/>
    <w:rsid w:val="36AA5AEC"/>
    <w:rsid w:val="36B275F5"/>
    <w:rsid w:val="36BE73B3"/>
    <w:rsid w:val="36BF714A"/>
    <w:rsid w:val="36C41988"/>
    <w:rsid w:val="36CA1CEB"/>
    <w:rsid w:val="36CC43AF"/>
    <w:rsid w:val="36DC35FA"/>
    <w:rsid w:val="36E0221D"/>
    <w:rsid w:val="36E0288E"/>
    <w:rsid w:val="36E345A3"/>
    <w:rsid w:val="36E67C80"/>
    <w:rsid w:val="36F2632E"/>
    <w:rsid w:val="36F56D67"/>
    <w:rsid w:val="370F5BF3"/>
    <w:rsid w:val="37117919"/>
    <w:rsid w:val="371C0798"/>
    <w:rsid w:val="371F6FE6"/>
    <w:rsid w:val="372B776E"/>
    <w:rsid w:val="372C3876"/>
    <w:rsid w:val="373762B5"/>
    <w:rsid w:val="3744384B"/>
    <w:rsid w:val="37455673"/>
    <w:rsid w:val="374675C3"/>
    <w:rsid w:val="374750E9"/>
    <w:rsid w:val="37486D43"/>
    <w:rsid w:val="375901B0"/>
    <w:rsid w:val="37592C62"/>
    <w:rsid w:val="375D66BB"/>
    <w:rsid w:val="375F1848"/>
    <w:rsid w:val="37661A13"/>
    <w:rsid w:val="37672250"/>
    <w:rsid w:val="37695EFA"/>
    <w:rsid w:val="376A7405"/>
    <w:rsid w:val="376B527C"/>
    <w:rsid w:val="376B62D4"/>
    <w:rsid w:val="3776777C"/>
    <w:rsid w:val="377834F5"/>
    <w:rsid w:val="377C4D93"/>
    <w:rsid w:val="377D6D5D"/>
    <w:rsid w:val="377E2FB7"/>
    <w:rsid w:val="378656E9"/>
    <w:rsid w:val="378C0712"/>
    <w:rsid w:val="378C393B"/>
    <w:rsid w:val="378D61E4"/>
    <w:rsid w:val="37904CE2"/>
    <w:rsid w:val="37910951"/>
    <w:rsid w:val="379561F9"/>
    <w:rsid w:val="379E7954"/>
    <w:rsid w:val="37A54D04"/>
    <w:rsid w:val="37A75B88"/>
    <w:rsid w:val="37A974A4"/>
    <w:rsid w:val="37AF7EE0"/>
    <w:rsid w:val="37B51B38"/>
    <w:rsid w:val="37B54749"/>
    <w:rsid w:val="37BE08A2"/>
    <w:rsid w:val="37C760F3"/>
    <w:rsid w:val="37C87AAE"/>
    <w:rsid w:val="37CF1981"/>
    <w:rsid w:val="37D2440C"/>
    <w:rsid w:val="37D3697D"/>
    <w:rsid w:val="37D42E21"/>
    <w:rsid w:val="37DB599D"/>
    <w:rsid w:val="37EB77D4"/>
    <w:rsid w:val="37F2136C"/>
    <w:rsid w:val="37F561E6"/>
    <w:rsid w:val="37FA274B"/>
    <w:rsid w:val="380940D8"/>
    <w:rsid w:val="380B6117"/>
    <w:rsid w:val="38105348"/>
    <w:rsid w:val="381730A5"/>
    <w:rsid w:val="38206AF7"/>
    <w:rsid w:val="3825731A"/>
    <w:rsid w:val="382A3096"/>
    <w:rsid w:val="382A6E0F"/>
    <w:rsid w:val="38353194"/>
    <w:rsid w:val="383C09C6"/>
    <w:rsid w:val="383D6DF5"/>
    <w:rsid w:val="383E4145"/>
    <w:rsid w:val="384818BA"/>
    <w:rsid w:val="385D0CEB"/>
    <w:rsid w:val="3862042D"/>
    <w:rsid w:val="3866173D"/>
    <w:rsid w:val="386D6DD1"/>
    <w:rsid w:val="3870318F"/>
    <w:rsid w:val="38770423"/>
    <w:rsid w:val="38877407"/>
    <w:rsid w:val="388859B9"/>
    <w:rsid w:val="388B06CF"/>
    <w:rsid w:val="388B5B4D"/>
    <w:rsid w:val="388D4D7E"/>
    <w:rsid w:val="38931E37"/>
    <w:rsid w:val="38936CED"/>
    <w:rsid w:val="389F684B"/>
    <w:rsid w:val="38A32936"/>
    <w:rsid w:val="38B467AE"/>
    <w:rsid w:val="38B95B73"/>
    <w:rsid w:val="38BD1B07"/>
    <w:rsid w:val="38BF587F"/>
    <w:rsid w:val="38C81386"/>
    <w:rsid w:val="38C81E6C"/>
    <w:rsid w:val="38C8225A"/>
    <w:rsid w:val="38C92DDF"/>
    <w:rsid w:val="38D84F92"/>
    <w:rsid w:val="38DE382B"/>
    <w:rsid w:val="38EA7D3C"/>
    <w:rsid w:val="38F90665"/>
    <w:rsid w:val="38FD63A7"/>
    <w:rsid w:val="39003F00"/>
    <w:rsid w:val="390E5EBF"/>
    <w:rsid w:val="39111E53"/>
    <w:rsid w:val="391332F6"/>
    <w:rsid w:val="391667AB"/>
    <w:rsid w:val="391B05DB"/>
    <w:rsid w:val="391D4354"/>
    <w:rsid w:val="391E1AF1"/>
    <w:rsid w:val="39225AD9"/>
    <w:rsid w:val="3922727F"/>
    <w:rsid w:val="3932023F"/>
    <w:rsid w:val="393D2C48"/>
    <w:rsid w:val="3947680D"/>
    <w:rsid w:val="394C69E7"/>
    <w:rsid w:val="39512953"/>
    <w:rsid w:val="395B30CE"/>
    <w:rsid w:val="39660B6F"/>
    <w:rsid w:val="396B18F5"/>
    <w:rsid w:val="396E6BFE"/>
    <w:rsid w:val="39711B5A"/>
    <w:rsid w:val="397B127F"/>
    <w:rsid w:val="397F31CA"/>
    <w:rsid w:val="39894B3E"/>
    <w:rsid w:val="39981C2C"/>
    <w:rsid w:val="399C5871"/>
    <w:rsid w:val="39A16D33"/>
    <w:rsid w:val="39A20CFD"/>
    <w:rsid w:val="39A64349"/>
    <w:rsid w:val="39A75E83"/>
    <w:rsid w:val="39B37E38"/>
    <w:rsid w:val="39B62978"/>
    <w:rsid w:val="39C173D5"/>
    <w:rsid w:val="39C742BF"/>
    <w:rsid w:val="39CC0F50"/>
    <w:rsid w:val="39E41315"/>
    <w:rsid w:val="39F30880"/>
    <w:rsid w:val="39FB4D8F"/>
    <w:rsid w:val="39FC040D"/>
    <w:rsid w:val="39FE4EB6"/>
    <w:rsid w:val="39FF3A59"/>
    <w:rsid w:val="3A067163"/>
    <w:rsid w:val="3A0E43A9"/>
    <w:rsid w:val="3A131647"/>
    <w:rsid w:val="3A15327D"/>
    <w:rsid w:val="3A1C285D"/>
    <w:rsid w:val="3A207BDC"/>
    <w:rsid w:val="3A267238"/>
    <w:rsid w:val="3A275858"/>
    <w:rsid w:val="3A287AFD"/>
    <w:rsid w:val="3A2B0CF2"/>
    <w:rsid w:val="3A2B5401"/>
    <w:rsid w:val="3A3C2EFF"/>
    <w:rsid w:val="3A464351"/>
    <w:rsid w:val="3A4E7A20"/>
    <w:rsid w:val="3A5262EA"/>
    <w:rsid w:val="3A577D39"/>
    <w:rsid w:val="3A5B15D7"/>
    <w:rsid w:val="3A5C62C1"/>
    <w:rsid w:val="3A5F7D57"/>
    <w:rsid w:val="3A6A7A6C"/>
    <w:rsid w:val="3A6B3DFF"/>
    <w:rsid w:val="3A6D130B"/>
    <w:rsid w:val="3A6D1460"/>
    <w:rsid w:val="3A7152A8"/>
    <w:rsid w:val="3A7B3A28"/>
    <w:rsid w:val="3A7F3C43"/>
    <w:rsid w:val="3A8A5A19"/>
    <w:rsid w:val="3A924750"/>
    <w:rsid w:val="3AA15401"/>
    <w:rsid w:val="3AA20FB4"/>
    <w:rsid w:val="3AA700A1"/>
    <w:rsid w:val="3AAA6FAD"/>
    <w:rsid w:val="3AB947E1"/>
    <w:rsid w:val="3AC06E65"/>
    <w:rsid w:val="3AC32CD9"/>
    <w:rsid w:val="3ADE5D64"/>
    <w:rsid w:val="3AE25855"/>
    <w:rsid w:val="3AE671D5"/>
    <w:rsid w:val="3AF21490"/>
    <w:rsid w:val="3AF216B0"/>
    <w:rsid w:val="3AFA7DAE"/>
    <w:rsid w:val="3B044EA2"/>
    <w:rsid w:val="3B0E03F8"/>
    <w:rsid w:val="3B117EE8"/>
    <w:rsid w:val="3B334302"/>
    <w:rsid w:val="3B340586"/>
    <w:rsid w:val="3B3616FD"/>
    <w:rsid w:val="3B390A93"/>
    <w:rsid w:val="3B3A575C"/>
    <w:rsid w:val="3B3F4A55"/>
    <w:rsid w:val="3B526BD4"/>
    <w:rsid w:val="3B5A31DA"/>
    <w:rsid w:val="3B614F1D"/>
    <w:rsid w:val="3B643511"/>
    <w:rsid w:val="3B7010B2"/>
    <w:rsid w:val="3B732951"/>
    <w:rsid w:val="3B781D15"/>
    <w:rsid w:val="3B817EF0"/>
    <w:rsid w:val="3B9B15AF"/>
    <w:rsid w:val="3B9C6D88"/>
    <w:rsid w:val="3B9E45CE"/>
    <w:rsid w:val="3BA63804"/>
    <w:rsid w:val="3BA66882"/>
    <w:rsid w:val="3BAC5155"/>
    <w:rsid w:val="3BB70A8F"/>
    <w:rsid w:val="3BBA0580"/>
    <w:rsid w:val="3BC44F5A"/>
    <w:rsid w:val="3BCE7B87"/>
    <w:rsid w:val="3BD50F16"/>
    <w:rsid w:val="3BDE524C"/>
    <w:rsid w:val="3BE26AE1"/>
    <w:rsid w:val="3BE439CC"/>
    <w:rsid w:val="3BE455FD"/>
    <w:rsid w:val="3BE63CCF"/>
    <w:rsid w:val="3BEF771D"/>
    <w:rsid w:val="3BF22375"/>
    <w:rsid w:val="3BF238E3"/>
    <w:rsid w:val="3BFD046C"/>
    <w:rsid w:val="3C0161AE"/>
    <w:rsid w:val="3C141845"/>
    <w:rsid w:val="3C212249"/>
    <w:rsid w:val="3C277DB9"/>
    <w:rsid w:val="3C405832"/>
    <w:rsid w:val="3C410359"/>
    <w:rsid w:val="3C44609B"/>
    <w:rsid w:val="3C537E81"/>
    <w:rsid w:val="3C555A1E"/>
    <w:rsid w:val="3C56017D"/>
    <w:rsid w:val="3C5B317F"/>
    <w:rsid w:val="3C651580"/>
    <w:rsid w:val="3C6978B0"/>
    <w:rsid w:val="3C6D55F2"/>
    <w:rsid w:val="3C6E4EC6"/>
    <w:rsid w:val="3C770CF1"/>
    <w:rsid w:val="3C892371"/>
    <w:rsid w:val="3C8B5A78"/>
    <w:rsid w:val="3C94492D"/>
    <w:rsid w:val="3C987704"/>
    <w:rsid w:val="3CA35A73"/>
    <w:rsid w:val="3CA619B1"/>
    <w:rsid w:val="3CA90BF8"/>
    <w:rsid w:val="3CAD59EE"/>
    <w:rsid w:val="3CAF3139"/>
    <w:rsid w:val="3CB13731"/>
    <w:rsid w:val="3CB60D47"/>
    <w:rsid w:val="3CC2593E"/>
    <w:rsid w:val="3CC80C7F"/>
    <w:rsid w:val="3CD15437"/>
    <w:rsid w:val="3CD916F6"/>
    <w:rsid w:val="3CDB07AE"/>
    <w:rsid w:val="3CE5162C"/>
    <w:rsid w:val="3CE70DB8"/>
    <w:rsid w:val="3CE83692"/>
    <w:rsid w:val="3CED6733"/>
    <w:rsid w:val="3CF35A94"/>
    <w:rsid w:val="3CF41400"/>
    <w:rsid w:val="3CF950D8"/>
    <w:rsid w:val="3CFC17D0"/>
    <w:rsid w:val="3D035CB5"/>
    <w:rsid w:val="3D09356D"/>
    <w:rsid w:val="3D0D2FB0"/>
    <w:rsid w:val="3D127F47"/>
    <w:rsid w:val="3D1513A5"/>
    <w:rsid w:val="3D1825A2"/>
    <w:rsid w:val="3D191A51"/>
    <w:rsid w:val="3D3F340A"/>
    <w:rsid w:val="3D467644"/>
    <w:rsid w:val="3D55447E"/>
    <w:rsid w:val="3D6C5E06"/>
    <w:rsid w:val="3D6D1908"/>
    <w:rsid w:val="3D6F73FC"/>
    <w:rsid w:val="3D73400A"/>
    <w:rsid w:val="3D766F81"/>
    <w:rsid w:val="3D7D7AB7"/>
    <w:rsid w:val="3D8E3A72"/>
    <w:rsid w:val="3D8F7BCA"/>
    <w:rsid w:val="3D9034BE"/>
    <w:rsid w:val="3D917CF4"/>
    <w:rsid w:val="3D9C187B"/>
    <w:rsid w:val="3DA9286A"/>
    <w:rsid w:val="3DAD45E9"/>
    <w:rsid w:val="3DB652AD"/>
    <w:rsid w:val="3DBA6615"/>
    <w:rsid w:val="3DBE0321"/>
    <w:rsid w:val="3DC72AE0"/>
    <w:rsid w:val="3DCF03F9"/>
    <w:rsid w:val="3DDF423F"/>
    <w:rsid w:val="3DE73182"/>
    <w:rsid w:val="3DEF41EA"/>
    <w:rsid w:val="3DF136A1"/>
    <w:rsid w:val="3DF16CDF"/>
    <w:rsid w:val="3DF60BBB"/>
    <w:rsid w:val="3E014687"/>
    <w:rsid w:val="3E111FAD"/>
    <w:rsid w:val="3E1D08B5"/>
    <w:rsid w:val="3E2239FA"/>
    <w:rsid w:val="3E342DF1"/>
    <w:rsid w:val="3E3846C5"/>
    <w:rsid w:val="3E38578C"/>
    <w:rsid w:val="3E3A0201"/>
    <w:rsid w:val="3E3A59A8"/>
    <w:rsid w:val="3E3D2DA2"/>
    <w:rsid w:val="3E491747"/>
    <w:rsid w:val="3E4920FF"/>
    <w:rsid w:val="3E4A5B2A"/>
    <w:rsid w:val="3E4B54BF"/>
    <w:rsid w:val="3E587BDC"/>
    <w:rsid w:val="3E5C147A"/>
    <w:rsid w:val="3E5C4D5B"/>
    <w:rsid w:val="3E647817"/>
    <w:rsid w:val="3E654263"/>
    <w:rsid w:val="3E66054B"/>
    <w:rsid w:val="3E7B46E8"/>
    <w:rsid w:val="3E7D64DF"/>
    <w:rsid w:val="3E7E66BF"/>
    <w:rsid w:val="3E833E1A"/>
    <w:rsid w:val="3E9514D0"/>
    <w:rsid w:val="3E9A368F"/>
    <w:rsid w:val="3E9E6530"/>
    <w:rsid w:val="3EAA6689"/>
    <w:rsid w:val="3EAC1607"/>
    <w:rsid w:val="3EAD30B6"/>
    <w:rsid w:val="3EB81A14"/>
    <w:rsid w:val="3EB85781"/>
    <w:rsid w:val="3EB922F6"/>
    <w:rsid w:val="3EBA3015"/>
    <w:rsid w:val="3EBF0C71"/>
    <w:rsid w:val="3EC52C0E"/>
    <w:rsid w:val="3ECC4F11"/>
    <w:rsid w:val="3ED90C96"/>
    <w:rsid w:val="3ED951C1"/>
    <w:rsid w:val="3EE576C2"/>
    <w:rsid w:val="3EED47C8"/>
    <w:rsid w:val="3EF11F0E"/>
    <w:rsid w:val="3EF6342D"/>
    <w:rsid w:val="3F104137"/>
    <w:rsid w:val="3F1400B3"/>
    <w:rsid w:val="3F152851"/>
    <w:rsid w:val="3F1925D1"/>
    <w:rsid w:val="3F2006FA"/>
    <w:rsid w:val="3F2C52F0"/>
    <w:rsid w:val="3F3A0789"/>
    <w:rsid w:val="3F456272"/>
    <w:rsid w:val="3F553CBB"/>
    <w:rsid w:val="3F67457A"/>
    <w:rsid w:val="3F704041"/>
    <w:rsid w:val="3F7153F9"/>
    <w:rsid w:val="3F7222FD"/>
    <w:rsid w:val="3F88428B"/>
    <w:rsid w:val="3F92608C"/>
    <w:rsid w:val="3F997779"/>
    <w:rsid w:val="3F9B06C8"/>
    <w:rsid w:val="3FA0183A"/>
    <w:rsid w:val="3FA26DC7"/>
    <w:rsid w:val="3FAC4683"/>
    <w:rsid w:val="3FB42F10"/>
    <w:rsid w:val="3FBD4CDE"/>
    <w:rsid w:val="3FC96FE3"/>
    <w:rsid w:val="3FD00372"/>
    <w:rsid w:val="3FDE235C"/>
    <w:rsid w:val="3FE0432D"/>
    <w:rsid w:val="3FE43E1D"/>
    <w:rsid w:val="3FEF50DC"/>
    <w:rsid w:val="3FF43FD3"/>
    <w:rsid w:val="3FFB2F15"/>
    <w:rsid w:val="3FFD0A3B"/>
    <w:rsid w:val="4000052B"/>
    <w:rsid w:val="40041DC9"/>
    <w:rsid w:val="40093884"/>
    <w:rsid w:val="400F2C87"/>
    <w:rsid w:val="40125FEE"/>
    <w:rsid w:val="401C5365"/>
    <w:rsid w:val="401D04E8"/>
    <w:rsid w:val="40200374"/>
    <w:rsid w:val="402A3E6D"/>
    <w:rsid w:val="403673E9"/>
    <w:rsid w:val="40373AAA"/>
    <w:rsid w:val="403C641F"/>
    <w:rsid w:val="4044724F"/>
    <w:rsid w:val="40460634"/>
    <w:rsid w:val="40462F23"/>
    <w:rsid w:val="40464542"/>
    <w:rsid w:val="40503261"/>
    <w:rsid w:val="40596638"/>
    <w:rsid w:val="40636DF8"/>
    <w:rsid w:val="40644F5E"/>
    <w:rsid w:val="4067459F"/>
    <w:rsid w:val="40745E01"/>
    <w:rsid w:val="40827192"/>
    <w:rsid w:val="40890521"/>
    <w:rsid w:val="4092255F"/>
    <w:rsid w:val="40924E1B"/>
    <w:rsid w:val="409C46F8"/>
    <w:rsid w:val="40A04D80"/>
    <w:rsid w:val="40B805A1"/>
    <w:rsid w:val="40B90E06"/>
    <w:rsid w:val="40C17CBA"/>
    <w:rsid w:val="40CA06EF"/>
    <w:rsid w:val="40D0614F"/>
    <w:rsid w:val="40DE2279"/>
    <w:rsid w:val="40E21AD4"/>
    <w:rsid w:val="40E83499"/>
    <w:rsid w:val="40EA121D"/>
    <w:rsid w:val="40EC2411"/>
    <w:rsid w:val="40FA4F7A"/>
    <w:rsid w:val="40FC3E1B"/>
    <w:rsid w:val="41034E0B"/>
    <w:rsid w:val="41125455"/>
    <w:rsid w:val="41126768"/>
    <w:rsid w:val="411566A8"/>
    <w:rsid w:val="41175B2C"/>
    <w:rsid w:val="41212130"/>
    <w:rsid w:val="41275362"/>
    <w:rsid w:val="412768C3"/>
    <w:rsid w:val="412828F9"/>
    <w:rsid w:val="41340BD4"/>
    <w:rsid w:val="413B567A"/>
    <w:rsid w:val="413E755D"/>
    <w:rsid w:val="414B2885"/>
    <w:rsid w:val="414D154E"/>
    <w:rsid w:val="415A48B5"/>
    <w:rsid w:val="41646EE2"/>
    <w:rsid w:val="41651C42"/>
    <w:rsid w:val="4167521D"/>
    <w:rsid w:val="41681C6B"/>
    <w:rsid w:val="416C134E"/>
    <w:rsid w:val="416E4340"/>
    <w:rsid w:val="416F4EB9"/>
    <w:rsid w:val="41752637"/>
    <w:rsid w:val="4176435E"/>
    <w:rsid w:val="417A606C"/>
    <w:rsid w:val="41840C10"/>
    <w:rsid w:val="418A2804"/>
    <w:rsid w:val="418F0F7A"/>
    <w:rsid w:val="41906AC2"/>
    <w:rsid w:val="419F015A"/>
    <w:rsid w:val="41A01FC6"/>
    <w:rsid w:val="41A03D74"/>
    <w:rsid w:val="41A360B9"/>
    <w:rsid w:val="41BE41FA"/>
    <w:rsid w:val="41BE7E42"/>
    <w:rsid w:val="41BF3E63"/>
    <w:rsid w:val="41C21F3C"/>
    <w:rsid w:val="41D63F61"/>
    <w:rsid w:val="41DC1B54"/>
    <w:rsid w:val="41DC7E80"/>
    <w:rsid w:val="41EA3241"/>
    <w:rsid w:val="41F57B8B"/>
    <w:rsid w:val="41FB36A0"/>
    <w:rsid w:val="41FF1560"/>
    <w:rsid w:val="42072A91"/>
    <w:rsid w:val="42104B67"/>
    <w:rsid w:val="4217035F"/>
    <w:rsid w:val="42205707"/>
    <w:rsid w:val="42220C2D"/>
    <w:rsid w:val="42253C46"/>
    <w:rsid w:val="422961A5"/>
    <w:rsid w:val="42326E07"/>
    <w:rsid w:val="42356728"/>
    <w:rsid w:val="42387954"/>
    <w:rsid w:val="423F5835"/>
    <w:rsid w:val="4240597B"/>
    <w:rsid w:val="424665ED"/>
    <w:rsid w:val="42513B85"/>
    <w:rsid w:val="425F59DD"/>
    <w:rsid w:val="42641245"/>
    <w:rsid w:val="42671DAC"/>
    <w:rsid w:val="42687EB7"/>
    <w:rsid w:val="426A0AD7"/>
    <w:rsid w:val="42733236"/>
    <w:rsid w:val="427B20EB"/>
    <w:rsid w:val="427D161B"/>
    <w:rsid w:val="428670B5"/>
    <w:rsid w:val="42882FE1"/>
    <w:rsid w:val="428972CE"/>
    <w:rsid w:val="428D4F27"/>
    <w:rsid w:val="42911747"/>
    <w:rsid w:val="4299172F"/>
    <w:rsid w:val="42994B53"/>
    <w:rsid w:val="429D02B3"/>
    <w:rsid w:val="42A67168"/>
    <w:rsid w:val="42A94EAA"/>
    <w:rsid w:val="42AB02FE"/>
    <w:rsid w:val="42B33603"/>
    <w:rsid w:val="42B429A1"/>
    <w:rsid w:val="42B77749"/>
    <w:rsid w:val="42BB1E4A"/>
    <w:rsid w:val="42C56191"/>
    <w:rsid w:val="42D27F5D"/>
    <w:rsid w:val="42D9385C"/>
    <w:rsid w:val="42D9578F"/>
    <w:rsid w:val="42DE686E"/>
    <w:rsid w:val="42E47468"/>
    <w:rsid w:val="42E9367D"/>
    <w:rsid w:val="42F205FF"/>
    <w:rsid w:val="42FA7493"/>
    <w:rsid w:val="42FC155B"/>
    <w:rsid w:val="4304511C"/>
    <w:rsid w:val="430B02DB"/>
    <w:rsid w:val="43237164"/>
    <w:rsid w:val="4324422F"/>
    <w:rsid w:val="432A3E57"/>
    <w:rsid w:val="432F1853"/>
    <w:rsid w:val="433724B6"/>
    <w:rsid w:val="43373E19"/>
    <w:rsid w:val="43374264"/>
    <w:rsid w:val="433C6E2B"/>
    <w:rsid w:val="43432BE5"/>
    <w:rsid w:val="435172B7"/>
    <w:rsid w:val="43615785"/>
    <w:rsid w:val="43617EE7"/>
    <w:rsid w:val="43653B74"/>
    <w:rsid w:val="436F0A2F"/>
    <w:rsid w:val="437159C8"/>
    <w:rsid w:val="43726DC6"/>
    <w:rsid w:val="4379487C"/>
    <w:rsid w:val="437E1E93"/>
    <w:rsid w:val="43825A45"/>
    <w:rsid w:val="43876962"/>
    <w:rsid w:val="438A6B52"/>
    <w:rsid w:val="438E177B"/>
    <w:rsid w:val="438E6981"/>
    <w:rsid w:val="439416B6"/>
    <w:rsid w:val="43943464"/>
    <w:rsid w:val="43A41F82"/>
    <w:rsid w:val="43A44928"/>
    <w:rsid w:val="43A455EE"/>
    <w:rsid w:val="43A55671"/>
    <w:rsid w:val="43B47DBF"/>
    <w:rsid w:val="43B50C33"/>
    <w:rsid w:val="43B807E2"/>
    <w:rsid w:val="43C26223"/>
    <w:rsid w:val="43C27FD1"/>
    <w:rsid w:val="43C567F0"/>
    <w:rsid w:val="43CF26EE"/>
    <w:rsid w:val="43E50164"/>
    <w:rsid w:val="43E51F12"/>
    <w:rsid w:val="43E73EDC"/>
    <w:rsid w:val="43EA7BD7"/>
    <w:rsid w:val="43EC11EF"/>
    <w:rsid w:val="43F860E9"/>
    <w:rsid w:val="43FB7987"/>
    <w:rsid w:val="44077C63"/>
    <w:rsid w:val="44184095"/>
    <w:rsid w:val="442A5B77"/>
    <w:rsid w:val="442E2670"/>
    <w:rsid w:val="443021AD"/>
    <w:rsid w:val="44313C40"/>
    <w:rsid w:val="44380293"/>
    <w:rsid w:val="443D2B78"/>
    <w:rsid w:val="44466BA0"/>
    <w:rsid w:val="444F63D4"/>
    <w:rsid w:val="44573F66"/>
    <w:rsid w:val="44587A26"/>
    <w:rsid w:val="446B3AD9"/>
    <w:rsid w:val="44730537"/>
    <w:rsid w:val="447339C1"/>
    <w:rsid w:val="44741875"/>
    <w:rsid w:val="44753296"/>
    <w:rsid w:val="44770043"/>
    <w:rsid w:val="447D7693"/>
    <w:rsid w:val="44856A0F"/>
    <w:rsid w:val="448B0D0B"/>
    <w:rsid w:val="44966287"/>
    <w:rsid w:val="44986F84"/>
    <w:rsid w:val="449A71A0"/>
    <w:rsid w:val="449E610E"/>
    <w:rsid w:val="44AC72BB"/>
    <w:rsid w:val="44B31A22"/>
    <w:rsid w:val="44B33DBE"/>
    <w:rsid w:val="44B57B36"/>
    <w:rsid w:val="44B8098A"/>
    <w:rsid w:val="44BF2763"/>
    <w:rsid w:val="44C06258"/>
    <w:rsid w:val="44C24001"/>
    <w:rsid w:val="44C775FA"/>
    <w:rsid w:val="44C9538F"/>
    <w:rsid w:val="44D012CD"/>
    <w:rsid w:val="44F96329"/>
    <w:rsid w:val="44FD0994"/>
    <w:rsid w:val="45060392"/>
    <w:rsid w:val="450D7972"/>
    <w:rsid w:val="450E7246"/>
    <w:rsid w:val="451505D5"/>
    <w:rsid w:val="45164116"/>
    <w:rsid w:val="451A208F"/>
    <w:rsid w:val="45253CC8"/>
    <w:rsid w:val="452B716C"/>
    <w:rsid w:val="45301F07"/>
    <w:rsid w:val="45370A88"/>
    <w:rsid w:val="453B51F9"/>
    <w:rsid w:val="453E6E0B"/>
    <w:rsid w:val="453F236B"/>
    <w:rsid w:val="45454D35"/>
    <w:rsid w:val="45462260"/>
    <w:rsid w:val="454964D0"/>
    <w:rsid w:val="454C31E3"/>
    <w:rsid w:val="454C58BC"/>
    <w:rsid w:val="454D38D0"/>
    <w:rsid w:val="45605CF4"/>
    <w:rsid w:val="456D40D6"/>
    <w:rsid w:val="4570237F"/>
    <w:rsid w:val="4571013B"/>
    <w:rsid w:val="457556F4"/>
    <w:rsid w:val="457572C5"/>
    <w:rsid w:val="4577128F"/>
    <w:rsid w:val="457C0E68"/>
    <w:rsid w:val="457C0F3F"/>
    <w:rsid w:val="458D0AB3"/>
    <w:rsid w:val="458F0387"/>
    <w:rsid w:val="459B6D2C"/>
    <w:rsid w:val="45A02594"/>
    <w:rsid w:val="45A04342"/>
    <w:rsid w:val="45A32084"/>
    <w:rsid w:val="45A71B75"/>
    <w:rsid w:val="45B86804"/>
    <w:rsid w:val="45BE6EBE"/>
    <w:rsid w:val="45C67B21"/>
    <w:rsid w:val="45D97854"/>
    <w:rsid w:val="45DB2146"/>
    <w:rsid w:val="45E16709"/>
    <w:rsid w:val="45E52D76"/>
    <w:rsid w:val="45F56F89"/>
    <w:rsid w:val="45F97EF6"/>
    <w:rsid w:val="46026DAB"/>
    <w:rsid w:val="46063770"/>
    <w:rsid w:val="46072613"/>
    <w:rsid w:val="46081EE8"/>
    <w:rsid w:val="460A47DD"/>
    <w:rsid w:val="46122350"/>
    <w:rsid w:val="461261E1"/>
    <w:rsid w:val="46132D66"/>
    <w:rsid w:val="46142B3F"/>
    <w:rsid w:val="46162856"/>
    <w:rsid w:val="461B0E6C"/>
    <w:rsid w:val="46207231"/>
    <w:rsid w:val="462C02CC"/>
    <w:rsid w:val="462E5DF2"/>
    <w:rsid w:val="46301D24"/>
    <w:rsid w:val="463B22BD"/>
    <w:rsid w:val="46413BF9"/>
    <w:rsid w:val="464A2500"/>
    <w:rsid w:val="464F0520"/>
    <w:rsid w:val="465869CB"/>
    <w:rsid w:val="465A74D8"/>
    <w:rsid w:val="465B7157"/>
    <w:rsid w:val="46601D24"/>
    <w:rsid w:val="46622454"/>
    <w:rsid w:val="466261C9"/>
    <w:rsid w:val="46647A66"/>
    <w:rsid w:val="466510A1"/>
    <w:rsid w:val="46737CA9"/>
    <w:rsid w:val="46925084"/>
    <w:rsid w:val="469638D6"/>
    <w:rsid w:val="469B3E0F"/>
    <w:rsid w:val="469C7CE9"/>
    <w:rsid w:val="46A55988"/>
    <w:rsid w:val="46A85FD1"/>
    <w:rsid w:val="46A911C0"/>
    <w:rsid w:val="46AB75EC"/>
    <w:rsid w:val="46AE0CE1"/>
    <w:rsid w:val="46B8390E"/>
    <w:rsid w:val="46BB33A6"/>
    <w:rsid w:val="46C422B2"/>
    <w:rsid w:val="46C50352"/>
    <w:rsid w:val="46CE1383"/>
    <w:rsid w:val="46D67E95"/>
    <w:rsid w:val="46E05A91"/>
    <w:rsid w:val="46E453C3"/>
    <w:rsid w:val="46E85CFA"/>
    <w:rsid w:val="46EE10DD"/>
    <w:rsid w:val="46F247B0"/>
    <w:rsid w:val="46F55484"/>
    <w:rsid w:val="46F56910"/>
    <w:rsid w:val="46FB611D"/>
    <w:rsid w:val="46FF2A7C"/>
    <w:rsid w:val="47000EBA"/>
    <w:rsid w:val="4700324F"/>
    <w:rsid w:val="470531BC"/>
    <w:rsid w:val="470C6BD5"/>
    <w:rsid w:val="470D474B"/>
    <w:rsid w:val="47121268"/>
    <w:rsid w:val="47197F94"/>
    <w:rsid w:val="471A45C8"/>
    <w:rsid w:val="471E1980"/>
    <w:rsid w:val="472E1965"/>
    <w:rsid w:val="47325952"/>
    <w:rsid w:val="473311E6"/>
    <w:rsid w:val="47392CA0"/>
    <w:rsid w:val="473A4323"/>
    <w:rsid w:val="473C62ED"/>
    <w:rsid w:val="473D3E13"/>
    <w:rsid w:val="473E2065"/>
    <w:rsid w:val="4751080C"/>
    <w:rsid w:val="4754272C"/>
    <w:rsid w:val="47573126"/>
    <w:rsid w:val="475B0A29"/>
    <w:rsid w:val="47657CF1"/>
    <w:rsid w:val="477240C5"/>
    <w:rsid w:val="47730B9F"/>
    <w:rsid w:val="477564FB"/>
    <w:rsid w:val="477977A3"/>
    <w:rsid w:val="47797FC1"/>
    <w:rsid w:val="477A1E2D"/>
    <w:rsid w:val="477E6905"/>
    <w:rsid w:val="478C70C4"/>
    <w:rsid w:val="47917A70"/>
    <w:rsid w:val="479559FD"/>
    <w:rsid w:val="47A6205D"/>
    <w:rsid w:val="47AA14A8"/>
    <w:rsid w:val="47B176A2"/>
    <w:rsid w:val="47BB36B5"/>
    <w:rsid w:val="47BF45D4"/>
    <w:rsid w:val="47C3256A"/>
    <w:rsid w:val="47C336F1"/>
    <w:rsid w:val="47D47AA7"/>
    <w:rsid w:val="47D96D05"/>
    <w:rsid w:val="47DB5B06"/>
    <w:rsid w:val="47DC7C21"/>
    <w:rsid w:val="47DE621E"/>
    <w:rsid w:val="47DF5582"/>
    <w:rsid w:val="47E623BE"/>
    <w:rsid w:val="47F64CDE"/>
    <w:rsid w:val="47F96FE2"/>
    <w:rsid w:val="47FB6455"/>
    <w:rsid w:val="47FC06F6"/>
    <w:rsid w:val="48014FD9"/>
    <w:rsid w:val="4804261B"/>
    <w:rsid w:val="480A7EDF"/>
    <w:rsid w:val="481334F1"/>
    <w:rsid w:val="481459D2"/>
    <w:rsid w:val="481728B6"/>
    <w:rsid w:val="481B05F8"/>
    <w:rsid w:val="48217D2F"/>
    <w:rsid w:val="482C18D6"/>
    <w:rsid w:val="483314F5"/>
    <w:rsid w:val="48337643"/>
    <w:rsid w:val="48345216"/>
    <w:rsid w:val="483A14AB"/>
    <w:rsid w:val="483E64A8"/>
    <w:rsid w:val="48482A6B"/>
    <w:rsid w:val="484B5043"/>
    <w:rsid w:val="48507027"/>
    <w:rsid w:val="48517B76"/>
    <w:rsid w:val="485D476D"/>
    <w:rsid w:val="48627FD5"/>
    <w:rsid w:val="48645AFB"/>
    <w:rsid w:val="48760A8C"/>
    <w:rsid w:val="487828C9"/>
    <w:rsid w:val="487B4BF3"/>
    <w:rsid w:val="48895562"/>
    <w:rsid w:val="488A3088"/>
    <w:rsid w:val="489A638C"/>
    <w:rsid w:val="489B7043"/>
    <w:rsid w:val="48AC1250"/>
    <w:rsid w:val="48B33A52"/>
    <w:rsid w:val="48C06AA9"/>
    <w:rsid w:val="48C11BEB"/>
    <w:rsid w:val="48C87033"/>
    <w:rsid w:val="48CC544E"/>
    <w:rsid w:val="48CE297D"/>
    <w:rsid w:val="48D32C81"/>
    <w:rsid w:val="48D81613"/>
    <w:rsid w:val="48D9080D"/>
    <w:rsid w:val="48E94164"/>
    <w:rsid w:val="48EC3D42"/>
    <w:rsid w:val="48EC40CC"/>
    <w:rsid w:val="48EC71F7"/>
    <w:rsid w:val="48EE43F2"/>
    <w:rsid w:val="48F15CCF"/>
    <w:rsid w:val="48F30756"/>
    <w:rsid w:val="48F46662"/>
    <w:rsid w:val="48F549A5"/>
    <w:rsid w:val="48FD385A"/>
    <w:rsid w:val="490A460A"/>
    <w:rsid w:val="490C51FD"/>
    <w:rsid w:val="491E5F31"/>
    <w:rsid w:val="493915B4"/>
    <w:rsid w:val="493E4893"/>
    <w:rsid w:val="49404E3D"/>
    <w:rsid w:val="49474874"/>
    <w:rsid w:val="494B3609"/>
    <w:rsid w:val="494E0559"/>
    <w:rsid w:val="495279EA"/>
    <w:rsid w:val="495518E8"/>
    <w:rsid w:val="4958673A"/>
    <w:rsid w:val="496436C2"/>
    <w:rsid w:val="4968161B"/>
    <w:rsid w:val="496D072A"/>
    <w:rsid w:val="496D4E83"/>
    <w:rsid w:val="497004D0"/>
    <w:rsid w:val="49731300"/>
    <w:rsid w:val="4977360C"/>
    <w:rsid w:val="497E2BEC"/>
    <w:rsid w:val="498C5EA9"/>
    <w:rsid w:val="499833AA"/>
    <w:rsid w:val="49997FE4"/>
    <w:rsid w:val="49A563CB"/>
    <w:rsid w:val="49A65473"/>
    <w:rsid w:val="49A941EB"/>
    <w:rsid w:val="49AD05AC"/>
    <w:rsid w:val="49B70B21"/>
    <w:rsid w:val="49BC1967"/>
    <w:rsid w:val="49BC23EF"/>
    <w:rsid w:val="49C03205"/>
    <w:rsid w:val="49C302EC"/>
    <w:rsid w:val="49CD5922"/>
    <w:rsid w:val="49D104C6"/>
    <w:rsid w:val="49D339AC"/>
    <w:rsid w:val="49DE368B"/>
    <w:rsid w:val="49E76045"/>
    <w:rsid w:val="49E92BC2"/>
    <w:rsid w:val="49ED7E45"/>
    <w:rsid w:val="49F92273"/>
    <w:rsid w:val="49FB7CC2"/>
    <w:rsid w:val="4A0045CB"/>
    <w:rsid w:val="4A0A430E"/>
    <w:rsid w:val="4A190449"/>
    <w:rsid w:val="4A19137E"/>
    <w:rsid w:val="4A260D4B"/>
    <w:rsid w:val="4A275032"/>
    <w:rsid w:val="4A3A0FE8"/>
    <w:rsid w:val="4A3E412A"/>
    <w:rsid w:val="4A3E794E"/>
    <w:rsid w:val="4A407FFE"/>
    <w:rsid w:val="4A45001D"/>
    <w:rsid w:val="4A45370A"/>
    <w:rsid w:val="4A471230"/>
    <w:rsid w:val="4A5B2F2E"/>
    <w:rsid w:val="4A5E7F48"/>
    <w:rsid w:val="4A607D77"/>
    <w:rsid w:val="4A6326F0"/>
    <w:rsid w:val="4A6609C3"/>
    <w:rsid w:val="4A6C0C97"/>
    <w:rsid w:val="4A6C59EA"/>
    <w:rsid w:val="4A6F0787"/>
    <w:rsid w:val="4A750DD0"/>
    <w:rsid w:val="4A761B16"/>
    <w:rsid w:val="4A816BF6"/>
    <w:rsid w:val="4A8A7705"/>
    <w:rsid w:val="4A915B36"/>
    <w:rsid w:val="4A926343"/>
    <w:rsid w:val="4A987CDE"/>
    <w:rsid w:val="4A9B1E46"/>
    <w:rsid w:val="4A9B77CE"/>
    <w:rsid w:val="4AA409BB"/>
    <w:rsid w:val="4AAC3789"/>
    <w:rsid w:val="4ABB58F0"/>
    <w:rsid w:val="4ABD1B22"/>
    <w:rsid w:val="4ACF60CC"/>
    <w:rsid w:val="4AD468AE"/>
    <w:rsid w:val="4AE82413"/>
    <w:rsid w:val="4AE91D72"/>
    <w:rsid w:val="4AEF38E4"/>
    <w:rsid w:val="4AEF7CB9"/>
    <w:rsid w:val="4AF34F14"/>
    <w:rsid w:val="4AF60EA8"/>
    <w:rsid w:val="4AFF792F"/>
    <w:rsid w:val="4B053908"/>
    <w:rsid w:val="4B2257F9"/>
    <w:rsid w:val="4B2952C4"/>
    <w:rsid w:val="4B2C0426"/>
    <w:rsid w:val="4B3F36B0"/>
    <w:rsid w:val="4B400C48"/>
    <w:rsid w:val="4B4277BB"/>
    <w:rsid w:val="4B432E15"/>
    <w:rsid w:val="4B4734B2"/>
    <w:rsid w:val="4B4A5F92"/>
    <w:rsid w:val="4B562022"/>
    <w:rsid w:val="4B5C5FAA"/>
    <w:rsid w:val="4B611731"/>
    <w:rsid w:val="4B6202EC"/>
    <w:rsid w:val="4B640C01"/>
    <w:rsid w:val="4B667DDC"/>
    <w:rsid w:val="4B6D2F19"/>
    <w:rsid w:val="4B793EB9"/>
    <w:rsid w:val="4B7D0C82"/>
    <w:rsid w:val="4B841097"/>
    <w:rsid w:val="4B8E0948"/>
    <w:rsid w:val="4B8E2E8F"/>
    <w:rsid w:val="4B971D44"/>
    <w:rsid w:val="4B992311"/>
    <w:rsid w:val="4B9C37FE"/>
    <w:rsid w:val="4BA26746"/>
    <w:rsid w:val="4BA43605"/>
    <w:rsid w:val="4BAD3E2B"/>
    <w:rsid w:val="4BAD5A0B"/>
    <w:rsid w:val="4BAE2A3A"/>
    <w:rsid w:val="4BB426BA"/>
    <w:rsid w:val="4BB87F0C"/>
    <w:rsid w:val="4BBD5522"/>
    <w:rsid w:val="4BCB75EB"/>
    <w:rsid w:val="4BD028C4"/>
    <w:rsid w:val="4BD4433C"/>
    <w:rsid w:val="4BDC1831"/>
    <w:rsid w:val="4BE05D3B"/>
    <w:rsid w:val="4BE154E9"/>
    <w:rsid w:val="4BE60F1D"/>
    <w:rsid w:val="4BE62CCB"/>
    <w:rsid w:val="4BEA41FD"/>
    <w:rsid w:val="4BEC745B"/>
    <w:rsid w:val="4BED6D03"/>
    <w:rsid w:val="4BF0670A"/>
    <w:rsid w:val="4BF13385"/>
    <w:rsid w:val="4BF6222F"/>
    <w:rsid w:val="4C177328"/>
    <w:rsid w:val="4C18651C"/>
    <w:rsid w:val="4C1F5620"/>
    <w:rsid w:val="4C282812"/>
    <w:rsid w:val="4C2D08FA"/>
    <w:rsid w:val="4C2F01CE"/>
    <w:rsid w:val="4C3A68AE"/>
    <w:rsid w:val="4C497E6E"/>
    <w:rsid w:val="4C54358C"/>
    <w:rsid w:val="4C561A87"/>
    <w:rsid w:val="4C5639AD"/>
    <w:rsid w:val="4C5C21C4"/>
    <w:rsid w:val="4C616357"/>
    <w:rsid w:val="4C6347B7"/>
    <w:rsid w:val="4C653BF0"/>
    <w:rsid w:val="4C67500F"/>
    <w:rsid w:val="4C7E73A7"/>
    <w:rsid w:val="4C8853C2"/>
    <w:rsid w:val="4C8A3125"/>
    <w:rsid w:val="4C8E7373"/>
    <w:rsid w:val="4C8F3363"/>
    <w:rsid w:val="4C9046DD"/>
    <w:rsid w:val="4C982217"/>
    <w:rsid w:val="4C9B5863"/>
    <w:rsid w:val="4C9F3A4C"/>
    <w:rsid w:val="4CA010CC"/>
    <w:rsid w:val="4CB701C3"/>
    <w:rsid w:val="4CB74274"/>
    <w:rsid w:val="4CC63A4B"/>
    <w:rsid w:val="4CC81333"/>
    <w:rsid w:val="4CC92202"/>
    <w:rsid w:val="4CD11285"/>
    <w:rsid w:val="4CD34FFD"/>
    <w:rsid w:val="4CD77BB3"/>
    <w:rsid w:val="4CDE7960"/>
    <w:rsid w:val="4CE11498"/>
    <w:rsid w:val="4CE30FB8"/>
    <w:rsid w:val="4CE76CFB"/>
    <w:rsid w:val="4CEC2563"/>
    <w:rsid w:val="4CEC7A64"/>
    <w:rsid w:val="4CF5242E"/>
    <w:rsid w:val="4CF569C8"/>
    <w:rsid w:val="4CFF2296"/>
    <w:rsid w:val="4CFF4044"/>
    <w:rsid w:val="4CFF6B5B"/>
    <w:rsid w:val="4D0A3706"/>
    <w:rsid w:val="4D0F059F"/>
    <w:rsid w:val="4D1E1728"/>
    <w:rsid w:val="4D1F6804"/>
    <w:rsid w:val="4D202522"/>
    <w:rsid w:val="4D275349"/>
    <w:rsid w:val="4D2E6AE0"/>
    <w:rsid w:val="4D34761C"/>
    <w:rsid w:val="4D3D691B"/>
    <w:rsid w:val="4D460297"/>
    <w:rsid w:val="4D5325E2"/>
    <w:rsid w:val="4D536117"/>
    <w:rsid w:val="4D53613E"/>
    <w:rsid w:val="4D5B3250"/>
    <w:rsid w:val="4D7215A8"/>
    <w:rsid w:val="4D765CAE"/>
    <w:rsid w:val="4D770AC3"/>
    <w:rsid w:val="4D784C61"/>
    <w:rsid w:val="4D79113C"/>
    <w:rsid w:val="4D7A4E0D"/>
    <w:rsid w:val="4D7B6D5F"/>
    <w:rsid w:val="4D8330FD"/>
    <w:rsid w:val="4D8B58D8"/>
    <w:rsid w:val="4D8F614E"/>
    <w:rsid w:val="4D956757"/>
    <w:rsid w:val="4D9A4ACC"/>
    <w:rsid w:val="4D9A7089"/>
    <w:rsid w:val="4D9C7AE5"/>
    <w:rsid w:val="4DA65614"/>
    <w:rsid w:val="4DBC6F01"/>
    <w:rsid w:val="4DBD5EE2"/>
    <w:rsid w:val="4DBD6446"/>
    <w:rsid w:val="4DBF5582"/>
    <w:rsid w:val="4DC332C4"/>
    <w:rsid w:val="4DC7118D"/>
    <w:rsid w:val="4DCC1EF1"/>
    <w:rsid w:val="4DD454D1"/>
    <w:rsid w:val="4DDB4ED1"/>
    <w:rsid w:val="4DDD7CB1"/>
    <w:rsid w:val="4DE02888"/>
    <w:rsid w:val="4DE4323A"/>
    <w:rsid w:val="4DE53D67"/>
    <w:rsid w:val="4DE96862"/>
    <w:rsid w:val="4DEB15BA"/>
    <w:rsid w:val="4DEC260A"/>
    <w:rsid w:val="4DF13C53"/>
    <w:rsid w:val="4DF72F6D"/>
    <w:rsid w:val="4DF7375A"/>
    <w:rsid w:val="4E031912"/>
    <w:rsid w:val="4E037EC3"/>
    <w:rsid w:val="4E1213FF"/>
    <w:rsid w:val="4E151983"/>
    <w:rsid w:val="4E17716C"/>
    <w:rsid w:val="4E191136"/>
    <w:rsid w:val="4E1C5480"/>
    <w:rsid w:val="4E1F4EB6"/>
    <w:rsid w:val="4E281379"/>
    <w:rsid w:val="4E287DAD"/>
    <w:rsid w:val="4E2A50F1"/>
    <w:rsid w:val="4E2E44B5"/>
    <w:rsid w:val="4E2F0959"/>
    <w:rsid w:val="4E31591A"/>
    <w:rsid w:val="4E355844"/>
    <w:rsid w:val="4E3715BC"/>
    <w:rsid w:val="4E385522"/>
    <w:rsid w:val="4E396368"/>
    <w:rsid w:val="4E54712C"/>
    <w:rsid w:val="4E6C395B"/>
    <w:rsid w:val="4E712D20"/>
    <w:rsid w:val="4E7A3016"/>
    <w:rsid w:val="4E7B3B9E"/>
    <w:rsid w:val="4E824F2D"/>
    <w:rsid w:val="4E832A53"/>
    <w:rsid w:val="4E943B74"/>
    <w:rsid w:val="4E9514C2"/>
    <w:rsid w:val="4E9904C8"/>
    <w:rsid w:val="4E9D7BB0"/>
    <w:rsid w:val="4E9F52F3"/>
    <w:rsid w:val="4E9F6CDA"/>
    <w:rsid w:val="4EA12ED9"/>
    <w:rsid w:val="4EA36C51"/>
    <w:rsid w:val="4EA65FA5"/>
    <w:rsid w:val="4EAA2AF5"/>
    <w:rsid w:val="4EAA6232"/>
    <w:rsid w:val="4EAD4A8B"/>
    <w:rsid w:val="4EB653D7"/>
    <w:rsid w:val="4EBC7D13"/>
    <w:rsid w:val="4EBF33BF"/>
    <w:rsid w:val="4EC05A5D"/>
    <w:rsid w:val="4EC372F3"/>
    <w:rsid w:val="4EC7378F"/>
    <w:rsid w:val="4ECC61A8"/>
    <w:rsid w:val="4ECE001C"/>
    <w:rsid w:val="4ECF54AB"/>
    <w:rsid w:val="4ED42F9E"/>
    <w:rsid w:val="4ED96B17"/>
    <w:rsid w:val="4EDD2163"/>
    <w:rsid w:val="4EFA0F67"/>
    <w:rsid w:val="4F0065C6"/>
    <w:rsid w:val="4F1B20E2"/>
    <w:rsid w:val="4F247867"/>
    <w:rsid w:val="4F356E50"/>
    <w:rsid w:val="4F363A2B"/>
    <w:rsid w:val="4F4246BC"/>
    <w:rsid w:val="4F443F90"/>
    <w:rsid w:val="4F4E3061"/>
    <w:rsid w:val="4F562E5E"/>
    <w:rsid w:val="4F586999"/>
    <w:rsid w:val="4F5D14F6"/>
    <w:rsid w:val="4F5D32A4"/>
    <w:rsid w:val="4F6102D1"/>
    <w:rsid w:val="4F610FE6"/>
    <w:rsid w:val="4F6603AB"/>
    <w:rsid w:val="4F665099"/>
    <w:rsid w:val="4F7C239F"/>
    <w:rsid w:val="4F7E5458"/>
    <w:rsid w:val="4F8115BD"/>
    <w:rsid w:val="4F813436"/>
    <w:rsid w:val="4F8D7575"/>
    <w:rsid w:val="4F8E16AF"/>
    <w:rsid w:val="4F974A08"/>
    <w:rsid w:val="4F9C201E"/>
    <w:rsid w:val="4F9C3DCC"/>
    <w:rsid w:val="4F9C4764"/>
    <w:rsid w:val="4FA00D06"/>
    <w:rsid w:val="4FAB09B6"/>
    <w:rsid w:val="4FAC734A"/>
    <w:rsid w:val="4FB159EC"/>
    <w:rsid w:val="4FB23A3B"/>
    <w:rsid w:val="4FB57E74"/>
    <w:rsid w:val="4FBB7FCB"/>
    <w:rsid w:val="4FBD09B0"/>
    <w:rsid w:val="4FBD1088"/>
    <w:rsid w:val="4FBD4BBB"/>
    <w:rsid w:val="4FC652ED"/>
    <w:rsid w:val="4FCC21D8"/>
    <w:rsid w:val="4FD16062"/>
    <w:rsid w:val="4FE17A31"/>
    <w:rsid w:val="4FE22A38"/>
    <w:rsid w:val="4FE77CEF"/>
    <w:rsid w:val="4FF17B27"/>
    <w:rsid w:val="4FF5172F"/>
    <w:rsid w:val="50024FBE"/>
    <w:rsid w:val="50041972"/>
    <w:rsid w:val="50046123"/>
    <w:rsid w:val="50050846"/>
    <w:rsid w:val="500C0B37"/>
    <w:rsid w:val="502412EE"/>
    <w:rsid w:val="502845FF"/>
    <w:rsid w:val="50296C42"/>
    <w:rsid w:val="50304F7E"/>
    <w:rsid w:val="504F4A7B"/>
    <w:rsid w:val="50500713"/>
    <w:rsid w:val="505E5526"/>
    <w:rsid w:val="506D5769"/>
    <w:rsid w:val="50722D7F"/>
    <w:rsid w:val="50764D94"/>
    <w:rsid w:val="50772144"/>
    <w:rsid w:val="507E1724"/>
    <w:rsid w:val="507F0E7D"/>
    <w:rsid w:val="5080549C"/>
    <w:rsid w:val="50817100"/>
    <w:rsid w:val="50845B41"/>
    <w:rsid w:val="50852AB2"/>
    <w:rsid w:val="509168AF"/>
    <w:rsid w:val="509349BC"/>
    <w:rsid w:val="50937573"/>
    <w:rsid w:val="509C5AF8"/>
    <w:rsid w:val="50A8223C"/>
    <w:rsid w:val="50A96514"/>
    <w:rsid w:val="50AC5050"/>
    <w:rsid w:val="50AD26AB"/>
    <w:rsid w:val="50B957EE"/>
    <w:rsid w:val="50C21B20"/>
    <w:rsid w:val="50C51101"/>
    <w:rsid w:val="50C90D77"/>
    <w:rsid w:val="50E60E53"/>
    <w:rsid w:val="50F11EF6"/>
    <w:rsid w:val="50F145FC"/>
    <w:rsid w:val="50F1639A"/>
    <w:rsid w:val="50FA0581"/>
    <w:rsid w:val="50FA5805"/>
    <w:rsid w:val="50FB0CEF"/>
    <w:rsid w:val="50FB33AC"/>
    <w:rsid w:val="510C7DEC"/>
    <w:rsid w:val="511E7880"/>
    <w:rsid w:val="512027DB"/>
    <w:rsid w:val="51217D0C"/>
    <w:rsid w:val="51283F24"/>
    <w:rsid w:val="514211CD"/>
    <w:rsid w:val="51450494"/>
    <w:rsid w:val="51452242"/>
    <w:rsid w:val="515A24AA"/>
    <w:rsid w:val="51696C3D"/>
    <w:rsid w:val="516B2E85"/>
    <w:rsid w:val="517111FF"/>
    <w:rsid w:val="51722E6E"/>
    <w:rsid w:val="517374E0"/>
    <w:rsid w:val="517448D5"/>
    <w:rsid w:val="51750350"/>
    <w:rsid w:val="51793207"/>
    <w:rsid w:val="517D7C2E"/>
    <w:rsid w:val="51955B7D"/>
    <w:rsid w:val="519568F3"/>
    <w:rsid w:val="51986815"/>
    <w:rsid w:val="51993FF5"/>
    <w:rsid w:val="519F3032"/>
    <w:rsid w:val="51B318A1"/>
    <w:rsid w:val="51B80C66"/>
    <w:rsid w:val="51BA1DFF"/>
    <w:rsid w:val="51BA49DE"/>
    <w:rsid w:val="51BC2848"/>
    <w:rsid w:val="51C25640"/>
    <w:rsid w:val="51C3412D"/>
    <w:rsid w:val="51C92E73"/>
    <w:rsid w:val="51CF3F45"/>
    <w:rsid w:val="51DB6702"/>
    <w:rsid w:val="51E406C2"/>
    <w:rsid w:val="51E47232"/>
    <w:rsid w:val="51E63A25"/>
    <w:rsid w:val="51ED15F6"/>
    <w:rsid w:val="51F83758"/>
    <w:rsid w:val="51F9337C"/>
    <w:rsid w:val="51F9664C"/>
    <w:rsid w:val="51FC1391"/>
    <w:rsid w:val="51FC4FF6"/>
    <w:rsid w:val="5201085F"/>
    <w:rsid w:val="52015F60"/>
    <w:rsid w:val="520370FC"/>
    <w:rsid w:val="520B785C"/>
    <w:rsid w:val="520C4C6B"/>
    <w:rsid w:val="52146746"/>
    <w:rsid w:val="52195BA8"/>
    <w:rsid w:val="5226558C"/>
    <w:rsid w:val="52280B1A"/>
    <w:rsid w:val="52326C6A"/>
    <w:rsid w:val="523302EC"/>
    <w:rsid w:val="524349D3"/>
    <w:rsid w:val="524D78D0"/>
    <w:rsid w:val="525077B8"/>
    <w:rsid w:val="52520E91"/>
    <w:rsid w:val="52687C58"/>
    <w:rsid w:val="526A78D5"/>
    <w:rsid w:val="527E5EBE"/>
    <w:rsid w:val="528F19C6"/>
    <w:rsid w:val="52946FDD"/>
    <w:rsid w:val="529D77FC"/>
    <w:rsid w:val="52AD3580"/>
    <w:rsid w:val="52B04B3F"/>
    <w:rsid w:val="52B46657"/>
    <w:rsid w:val="52B61649"/>
    <w:rsid w:val="52BA3273"/>
    <w:rsid w:val="52BB0A0D"/>
    <w:rsid w:val="52BB31BE"/>
    <w:rsid w:val="52BC4786"/>
    <w:rsid w:val="52C553E8"/>
    <w:rsid w:val="52CD60C9"/>
    <w:rsid w:val="52D25F4F"/>
    <w:rsid w:val="52D41ACF"/>
    <w:rsid w:val="52D816BB"/>
    <w:rsid w:val="52D834A1"/>
    <w:rsid w:val="52D86965"/>
    <w:rsid w:val="52D90E94"/>
    <w:rsid w:val="52DB2E5E"/>
    <w:rsid w:val="52E2243E"/>
    <w:rsid w:val="52E873D0"/>
    <w:rsid w:val="52FA31DE"/>
    <w:rsid w:val="52FE1B35"/>
    <w:rsid w:val="52FE6B4C"/>
    <w:rsid w:val="53133C1C"/>
    <w:rsid w:val="531776E2"/>
    <w:rsid w:val="53207C88"/>
    <w:rsid w:val="5322219A"/>
    <w:rsid w:val="5326161A"/>
    <w:rsid w:val="53263C79"/>
    <w:rsid w:val="53275D9B"/>
    <w:rsid w:val="533D4C44"/>
    <w:rsid w:val="533F3014"/>
    <w:rsid w:val="534810C4"/>
    <w:rsid w:val="534869C7"/>
    <w:rsid w:val="53582700"/>
    <w:rsid w:val="535C6B19"/>
    <w:rsid w:val="537138C7"/>
    <w:rsid w:val="53761013"/>
    <w:rsid w:val="537B5AAA"/>
    <w:rsid w:val="53822C25"/>
    <w:rsid w:val="53861605"/>
    <w:rsid w:val="538C2B80"/>
    <w:rsid w:val="538C4314"/>
    <w:rsid w:val="53933738"/>
    <w:rsid w:val="539574B0"/>
    <w:rsid w:val="53990623"/>
    <w:rsid w:val="539F050B"/>
    <w:rsid w:val="539F4F04"/>
    <w:rsid w:val="53A019B1"/>
    <w:rsid w:val="53A150D9"/>
    <w:rsid w:val="53A21BCD"/>
    <w:rsid w:val="53A92F5C"/>
    <w:rsid w:val="53B645B0"/>
    <w:rsid w:val="53BB6616"/>
    <w:rsid w:val="53BC6E3E"/>
    <w:rsid w:val="53C1631C"/>
    <w:rsid w:val="53C30DAF"/>
    <w:rsid w:val="53C743DD"/>
    <w:rsid w:val="53D37C94"/>
    <w:rsid w:val="53D578AD"/>
    <w:rsid w:val="53D76D2B"/>
    <w:rsid w:val="53DC50DF"/>
    <w:rsid w:val="53E93358"/>
    <w:rsid w:val="53F4213D"/>
    <w:rsid w:val="541128AF"/>
    <w:rsid w:val="541505F1"/>
    <w:rsid w:val="54244390"/>
    <w:rsid w:val="542E16B3"/>
    <w:rsid w:val="54411FA2"/>
    <w:rsid w:val="54466335"/>
    <w:rsid w:val="54493DF7"/>
    <w:rsid w:val="5452714F"/>
    <w:rsid w:val="546213C7"/>
    <w:rsid w:val="5483293F"/>
    <w:rsid w:val="5496746D"/>
    <w:rsid w:val="54972DB4"/>
    <w:rsid w:val="549E2395"/>
    <w:rsid w:val="54AE41A3"/>
    <w:rsid w:val="54AF45A2"/>
    <w:rsid w:val="54B35714"/>
    <w:rsid w:val="54B42CDF"/>
    <w:rsid w:val="54C875AC"/>
    <w:rsid w:val="54CA13DC"/>
    <w:rsid w:val="54CB6F02"/>
    <w:rsid w:val="54CB7CD3"/>
    <w:rsid w:val="54CF345E"/>
    <w:rsid w:val="54DD36E3"/>
    <w:rsid w:val="54DE7E84"/>
    <w:rsid w:val="54E824C4"/>
    <w:rsid w:val="54EA03CE"/>
    <w:rsid w:val="54FA797C"/>
    <w:rsid w:val="54FE72D7"/>
    <w:rsid w:val="55017C9A"/>
    <w:rsid w:val="55021383"/>
    <w:rsid w:val="55083E20"/>
    <w:rsid w:val="550B6A5E"/>
    <w:rsid w:val="55160A03"/>
    <w:rsid w:val="55172B07"/>
    <w:rsid w:val="551E34D6"/>
    <w:rsid w:val="551F7930"/>
    <w:rsid w:val="55216B22"/>
    <w:rsid w:val="55236D3E"/>
    <w:rsid w:val="55274B8B"/>
    <w:rsid w:val="552A24B9"/>
    <w:rsid w:val="553920BD"/>
    <w:rsid w:val="553D7BAB"/>
    <w:rsid w:val="553E34B3"/>
    <w:rsid w:val="55472A2C"/>
    <w:rsid w:val="55482300"/>
    <w:rsid w:val="55484B22"/>
    <w:rsid w:val="554C1057"/>
    <w:rsid w:val="55547B4D"/>
    <w:rsid w:val="55653051"/>
    <w:rsid w:val="556A7BF9"/>
    <w:rsid w:val="556C2493"/>
    <w:rsid w:val="556F788D"/>
    <w:rsid w:val="557650C0"/>
    <w:rsid w:val="559E2882"/>
    <w:rsid w:val="55A25378"/>
    <w:rsid w:val="55AA1478"/>
    <w:rsid w:val="55B31E70"/>
    <w:rsid w:val="55B82787"/>
    <w:rsid w:val="55C025A8"/>
    <w:rsid w:val="55C27729"/>
    <w:rsid w:val="55CE0A58"/>
    <w:rsid w:val="55D43B94"/>
    <w:rsid w:val="55E738C7"/>
    <w:rsid w:val="55F174E6"/>
    <w:rsid w:val="55F21B08"/>
    <w:rsid w:val="560E52F8"/>
    <w:rsid w:val="560E6B90"/>
    <w:rsid w:val="5613290E"/>
    <w:rsid w:val="5618364A"/>
    <w:rsid w:val="561B17C3"/>
    <w:rsid w:val="561B7A15"/>
    <w:rsid w:val="562E599A"/>
    <w:rsid w:val="56347138"/>
    <w:rsid w:val="563A5842"/>
    <w:rsid w:val="5640122A"/>
    <w:rsid w:val="564330AF"/>
    <w:rsid w:val="56676126"/>
    <w:rsid w:val="56687C99"/>
    <w:rsid w:val="566D4782"/>
    <w:rsid w:val="567048C3"/>
    <w:rsid w:val="56737851"/>
    <w:rsid w:val="56755377"/>
    <w:rsid w:val="56773959"/>
    <w:rsid w:val="567A7A0A"/>
    <w:rsid w:val="56804250"/>
    <w:rsid w:val="569357FD"/>
    <w:rsid w:val="569F41A2"/>
    <w:rsid w:val="56A570FE"/>
    <w:rsid w:val="56B57101"/>
    <w:rsid w:val="56B57E6A"/>
    <w:rsid w:val="56B64591"/>
    <w:rsid w:val="56C55F1E"/>
    <w:rsid w:val="56CD0598"/>
    <w:rsid w:val="56D20E7B"/>
    <w:rsid w:val="56D227CA"/>
    <w:rsid w:val="56D26FEF"/>
    <w:rsid w:val="56D40104"/>
    <w:rsid w:val="56D504FC"/>
    <w:rsid w:val="56D71B8E"/>
    <w:rsid w:val="56DF58C0"/>
    <w:rsid w:val="56E74337"/>
    <w:rsid w:val="56E9366F"/>
    <w:rsid w:val="56EC1C55"/>
    <w:rsid w:val="56F00EA2"/>
    <w:rsid w:val="56F13B6C"/>
    <w:rsid w:val="56F24197"/>
    <w:rsid w:val="56F72230"/>
    <w:rsid w:val="56FA3E61"/>
    <w:rsid w:val="56FB3ACE"/>
    <w:rsid w:val="56FD06DF"/>
    <w:rsid w:val="56FE711B"/>
    <w:rsid w:val="57013134"/>
    <w:rsid w:val="570255EE"/>
    <w:rsid w:val="57047E91"/>
    <w:rsid w:val="57087F99"/>
    <w:rsid w:val="57160E80"/>
    <w:rsid w:val="571C0AD8"/>
    <w:rsid w:val="571C3A45"/>
    <w:rsid w:val="57236B81"/>
    <w:rsid w:val="57280E28"/>
    <w:rsid w:val="573A44C2"/>
    <w:rsid w:val="57415259"/>
    <w:rsid w:val="574511ED"/>
    <w:rsid w:val="57492E02"/>
    <w:rsid w:val="575907F5"/>
    <w:rsid w:val="5759180F"/>
    <w:rsid w:val="575D64F8"/>
    <w:rsid w:val="57734909"/>
    <w:rsid w:val="577E098B"/>
    <w:rsid w:val="5780605D"/>
    <w:rsid w:val="57840BFE"/>
    <w:rsid w:val="5784697D"/>
    <w:rsid w:val="578D03B6"/>
    <w:rsid w:val="57AD449F"/>
    <w:rsid w:val="57BF322E"/>
    <w:rsid w:val="57C77E54"/>
    <w:rsid w:val="57D24312"/>
    <w:rsid w:val="57D4682F"/>
    <w:rsid w:val="57EB2F39"/>
    <w:rsid w:val="57EB5809"/>
    <w:rsid w:val="57F4051E"/>
    <w:rsid w:val="57F45209"/>
    <w:rsid w:val="57F675D1"/>
    <w:rsid w:val="57F95B34"/>
    <w:rsid w:val="57FF1CF3"/>
    <w:rsid w:val="58005114"/>
    <w:rsid w:val="58030761"/>
    <w:rsid w:val="5806097D"/>
    <w:rsid w:val="58092ACC"/>
    <w:rsid w:val="58136982"/>
    <w:rsid w:val="58226D2A"/>
    <w:rsid w:val="582316B5"/>
    <w:rsid w:val="582368E1"/>
    <w:rsid w:val="58253C3E"/>
    <w:rsid w:val="582D4846"/>
    <w:rsid w:val="58346D28"/>
    <w:rsid w:val="58384301"/>
    <w:rsid w:val="5838762D"/>
    <w:rsid w:val="58411733"/>
    <w:rsid w:val="584119B5"/>
    <w:rsid w:val="584274DB"/>
    <w:rsid w:val="584414A5"/>
    <w:rsid w:val="584944DE"/>
    <w:rsid w:val="584E7C2E"/>
    <w:rsid w:val="58513CB5"/>
    <w:rsid w:val="585766E9"/>
    <w:rsid w:val="58580AAD"/>
    <w:rsid w:val="58584F50"/>
    <w:rsid w:val="585D2255"/>
    <w:rsid w:val="58663BE5"/>
    <w:rsid w:val="5868282C"/>
    <w:rsid w:val="58773629"/>
    <w:rsid w:val="587E182B"/>
    <w:rsid w:val="5882708A"/>
    <w:rsid w:val="588C69A8"/>
    <w:rsid w:val="588D4BFA"/>
    <w:rsid w:val="588E44CE"/>
    <w:rsid w:val="58951D01"/>
    <w:rsid w:val="5898359F"/>
    <w:rsid w:val="589A10C5"/>
    <w:rsid w:val="58AB7214"/>
    <w:rsid w:val="58AD02DF"/>
    <w:rsid w:val="58B17390"/>
    <w:rsid w:val="58BB2E28"/>
    <w:rsid w:val="58BC103B"/>
    <w:rsid w:val="58BF54EF"/>
    <w:rsid w:val="58BF7AF2"/>
    <w:rsid w:val="58C8591B"/>
    <w:rsid w:val="58DE20A4"/>
    <w:rsid w:val="58DF354B"/>
    <w:rsid w:val="58F509F1"/>
    <w:rsid w:val="58FA005E"/>
    <w:rsid w:val="58FB4971"/>
    <w:rsid w:val="590039E6"/>
    <w:rsid w:val="5901124F"/>
    <w:rsid w:val="590315FB"/>
    <w:rsid w:val="59103CDB"/>
    <w:rsid w:val="59105B3F"/>
    <w:rsid w:val="591231C6"/>
    <w:rsid w:val="59190C7F"/>
    <w:rsid w:val="591F15CA"/>
    <w:rsid w:val="59223548"/>
    <w:rsid w:val="59282B75"/>
    <w:rsid w:val="593244F7"/>
    <w:rsid w:val="59337DFE"/>
    <w:rsid w:val="59345076"/>
    <w:rsid w:val="59402C3A"/>
    <w:rsid w:val="594149BA"/>
    <w:rsid w:val="595125BE"/>
    <w:rsid w:val="595E6596"/>
    <w:rsid w:val="59607878"/>
    <w:rsid w:val="59657925"/>
    <w:rsid w:val="5967369D"/>
    <w:rsid w:val="596A13DB"/>
    <w:rsid w:val="596A685A"/>
    <w:rsid w:val="596B480F"/>
    <w:rsid w:val="596D0A4F"/>
    <w:rsid w:val="597B59E0"/>
    <w:rsid w:val="597D6C7A"/>
    <w:rsid w:val="597E7CD2"/>
    <w:rsid w:val="598730EE"/>
    <w:rsid w:val="59875AED"/>
    <w:rsid w:val="598A113A"/>
    <w:rsid w:val="598D6AC3"/>
    <w:rsid w:val="59910483"/>
    <w:rsid w:val="59945B14"/>
    <w:rsid w:val="599A624A"/>
    <w:rsid w:val="59A07700"/>
    <w:rsid w:val="59A41DA7"/>
    <w:rsid w:val="59B368E2"/>
    <w:rsid w:val="59B60D7B"/>
    <w:rsid w:val="59B65BAF"/>
    <w:rsid w:val="59B86896"/>
    <w:rsid w:val="59B9557B"/>
    <w:rsid w:val="59BB12F3"/>
    <w:rsid w:val="59C25EAF"/>
    <w:rsid w:val="59C469A8"/>
    <w:rsid w:val="59D67CEC"/>
    <w:rsid w:val="59DA6D1C"/>
    <w:rsid w:val="59E036D4"/>
    <w:rsid w:val="59E07580"/>
    <w:rsid w:val="59E30A31"/>
    <w:rsid w:val="59E54492"/>
    <w:rsid w:val="59E5617B"/>
    <w:rsid w:val="59EA607C"/>
    <w:rsid w:val="59EF06CC"/>
    <w:rsid w:val="5A0709DC"/>
    <w:rsid w:val="5A094754"/>
    <w:rsid w:val="5A0C7DA1"/>
    <w:rsid w:val="5A1804F3"/>
    <w:rsid w:val="5A1F0F30"/>
    <w:rsid w:val="5A2E64FD"/>
    <w:rsid w:val="5A32309C"/>
    <w:rsid w:val="5A3643B2"/>
    <w:rsid w:val="5A487EB0"/>
    <w:rsid w:val="5A580929"/>
    <w:rsid w:val="5A5D684E"/>
    <w:rsid w:val="5A5F25C6"/>
    <w:rsid w:val="5A614E09"/>
    <w:rsid w:val="5A6302C6"/>
    <w:rsid w:val="5A63069A"/>
    <w:rsid w:val="5A6574B1"/>
    <w:rsid w:val="5A6D4478"/>
    <w:rsid w:val="5A7140A7"/>
    <w:rsid w:val="5A7F28BA"/>
    <w:rsid w:val="5A871B1D"/>
    <w:rsid w:val="5A897643"/>
    <w:rsid w:val="5A8C2C8F"/>
    <w:rsid w:val="5A915ACF"/>
    <w:rsid w:val="5A9234A3"/>
    <w:rsid w:val="5AA17202"/>
    <w:rsid w:val="5AA4622B"/>
    <w:rsid w:val="5AA8188C"/>
    <w:rsid w:val="5AA91877"/>
    <w:rsid w:val="5AC44642"/>
    <w:rsid w:val="5ACB74F1"/>
    <w:rsid w:val="5ACC3540"/>
    <w:rsid w:val="5AD67599"/>
    <w:rsid w:val="5AD924D5"/>
    <w:rsid w:val="5ADF1011"/>
    <w:rsid w:val="5AE8436A"/>
    <w:rsid w:val="5AE919DD"/>
    <w:rsid w:val="5AF01470"/>
    <w:rsid w:val="5B056A50"/>
    <w:rsid w:val="5B0867BA"/>
    <w:rsid w:val="5B152C85"/>
    <w:rsid w:val="5B182775"/>
    <w:rsid w:val="5B2D7FCE"/>
    <w:rsid w:val="5B2E1C8E"/>
    <w:rsid w:val="5B435A44"/>
    <w:rsid w:val="5B4578E7"/>
    <w:rsid w:val="5B503CBD"/>
    <w:rsid w:val="5B69661C"/>
    <w:rsid w:val="5B6C0858"/>
    <w:rsid w:val="5B6E783F"/>
    <w:rsid w:val="5B700AE5"/>
    <w:rsid w:val="5B7C04A8"/>
    <w:rsid w:val="5B8337E5"/>
    <w:rsid w:val="5B855579"/>
    <w:rsid w:val="5B867AC2"/>
    <w:rsid w:val="5B8743CF"/>
    <w:rsid w:val="5B8837FD"/>
    <w:rsid w:val="5B8B1199"/>
    <w:rsid w:val="5B8B2F47"/>
    <w:rsid w:val="5B8D4F11"/>
    <w:rsid w:val="5B90523D"/>
    <w:rsid w:val="5B9E4722"/>
    <w:rsid w:val="5BA81D4B"/>
    <w:rsid w:val="5BAB6D76"/>
    <w:rsid w:val="5BB907BF"/>
    <w:rsid w:val="5BC03DE2"/>
    <w:rsid w:val="5BCA73D9"/>
    <w:rsid w:val="5BD62414"/>
    <w:rsid w:val="5BDE39BF"/>
    <w:rsid w:val="5BE070DC"/>
    <w:rsid w:val="5BE54D4D"/>
    <w:rsid w:val="5BE62B20"/>
    <w:rsid w:val="5BE7170C"/>
    <w:rsid w:val="5BEC5D3A"/>
    <w:rsid w:val="5BFE7BBD"/>
    <w:rsid w:val="5BFF7E6A"/>
    <w:rsid w:val="5C04435B"/>
    <w:rsid w:val="5C1A6677"/>
    <w:rsid w:val="5C1F25FB"/>
    <w:rsid w:val="5C2515ED"/>
    <w:rsid w:val="5C270EC2"/>
    <w:rsid w:val="5C317A70"/>
    <w:rsid w:val="5C321615"/>
    <w:rsid w:val="5C3B496D"/>
    <w:rsid w:val="5C3B671B"/>
    <w:rsid w:val="5C3D172A"/>
    <w:rsid w:val="5C4004DF"/>
    <w:rsid w:val="5C4035E0"/>
    <w:rsid w:val="5C4F21B0"/>
    <w:rsid w:val="5C51136D"/>
    <w:rsid w:val="5C552A3C"/>
    <w:rsid w:val="5C556EA6"/>
    <w:rsid w:val="5C602CC7"/>
    <w:rsid w:val="5C62014C"/>
    <w:rsid w:val="5C621EFA"/>
    <w:rsid w:val="5C650FB0"/>
    <w:rsid w:val="5C700ABB"/>
    <w:rsid w:val="5C743C34"/>
    <w:rsid w:val="5C7A4279"/>
    <w:rsid w:val="5C7B5266"/>
    <w:rsid w:val="5C844566"/>
    <w:rsid w:val="5C8B45F6"/>
    <w:rsid w:val="5C8E17F7"/>
    <w:rsid w:val="5C913139"/>
    <w:rsid w:val="5C930305"/>
    <w:rsid w:val="5CA354AC"/>
    <w:rsid w:val="5CA442C0"/>
    <w:rsid w:val="5CB0241A"/>
    <w:rsid w:val="5CB45F05"/>
    <w:rsid w:val="5CB55CD5"/>
    <w:rsid w:val="5CB84210"/>
    <w:rsid w:val="5CBC678C"/>
    <w:rsid w:val="5CBF3BEB"/>
    <w:rsid w:val="5CC77597"/>
    <w:rsid w:val="5CC9106E"/>
    <w:rsid w:val="5CCB5CF1"/>
    <w:rsid w:val="5CD50321"/>
    <w:rsid w:val="5CD50908"/>
    <w:rsid w:val="5CD653E1"/>
    <w:rsid w:val="5CD85DEB"/>
    <w:rsid w:val="5D011713"/>
    <w:rsid w:val="5D041203"/>
    <w:rsid w:val="5D043BDE"/>
    <w:rsid w:val="5D0638C7"/>
    <w:rsid w:val="5D0B274A"/>
    <w:rsid w:val="5D0E3E30"/>
    <w:rsid w:val="5D2071FB"/>
    <w:rsid w:val="5D253F3F"/>
    <w:rsid w:val="5D2573D0"/>
    <w:rsid w:val="5D276C9F"/>
    <w:rsid w:val="5D2A5237"/>
    <w:rsid w:val="5D2B6EAA"/>
    <w:rsid w:val="5D395FE0"/>
    <w:rsid w:val="5D3E2967"/>
    <w:rsid w:val="5D3E4715"/>
    <w:rsid w:val="5D445AA3"/>
    <w:rsid w:val="5D453167"/>
    <w:rsid w:val="5D605245"/>
    <w:rsid w:val="5D7F0889"/>
    <w:rsid w:val="5D8050B5"/>
    <w:rsid w:val="5D811D91"/>
    <w:rsid w:val="5D8331ED"/>
    <w:rsid w:val="5D84646B"/>
    <w:rsid w:val="5D8547EA"/>
    <w:rsid w:val="5D892330"/>
    <w:rsid w:val="5D8C1B29"/>
    <w:rsid w:val="5D8F4F70"/>
    <w:rsid w:val="5D940211"/>
    <w:rsid w:val="5D9A027D"/>
    <w:rsid w:val="5DA026D7"/>
    <w:rsid w:val="5DA97B86"/>
    <w:rsid w:val="5DB865F0"/>
    <w:rsid w:val="5DB873CE"/>
    <w:rsid w:val="5DBC68D6"/>
    <w:rsid w:val="5DC801B2"/>
    <w:rsid w:val="5DC82230"/>
    <w:rsid w:val="5DC92D73"/>
    <w:rsid w:val="5DCB1D21"/>
    <w:rsid w:val="5DD17991"/>
    <w:rsid w:val="5DDE1A54"/>
    <w:rsid w:val="5DE033F9"/>
    <w:rsid w:val="5DE54B90"/>
    <w:rsid w:val="5DE66C20"/>
    <w:rsid w:val="5DF10618"/>
    <w:rsid w:val="5E046A15"/>
    <w:rsid w:val="5E056147"/>
    <w:rsid w:val="5E084D23"/>
    <w:rsid w:val="5E0A45F7"/>
    <w:rsid w:val="5E0C65C1"/>
    <w:rsid w:val="5E157EEA"/>
    <w:rsid w:val="5E1E4A95"/>
    <w:rsid w:val="5E2356B9"/>
    <w:rsid w:val="5E2A6BBC"/>
    <w:rsid w:val="5E383247"/>
    <w:rsid w:val="5E3A3ABF"/>
    <w:rsid w:val="5E3C677A"/>
    <w:rsid w:val="5E3E0745"/>
    <w:rsid w:val="5E4107AB"/>
    <w:rsid w:val="5E437B09"/>
    <w:rsid w:val="5E45554E"/>
    <w:rsid w:val="5E4A5AF6"/>
    <w:rsid w:val="5E525F9E"/>
    <w:rsid w:val="5E573E48"/>
    <w:rsid w:val="5E587A58"/>
    <w:rsid w:val="5E59597F"/>
    <w:rsid w:val="5E597ADD"/>
    <w:rsid w:val="5E5A37D0"/>
    <w:rsid w:val="5E5F64F0"/>
    <w:rsid w:val="5E6107E9"/>
    <w:rsid w:val="5E631F59"/>
    <w:rsid w:val="5E6379C1"/>
    <w:rsid w:val="5E6C52B2"/>
    <w:rsid w:val="5E6F08FE"/>
    <w:rsid w:val="5E785A05"/>
    <w:rsid w:val="5E792416"/>
    <w:rsid w:val="5E8817D8"/>
    <w:rsid w:val="5E8C14B0"/>
    <w:rsid w:val="5E8F570F"/>
    <w:rsid w:val="5E9255DC"/>
    <w:rsid w:val="5E9340F8"/>
    <w:rsid w:val="5E935F94"/>
    <w:rsid w:val="5E96029E"/>
    <w:rsid w:val="5E9622BA"/>
    <w:rsid w:val="5E9B254F"/>
    <w:rsid w:val="5EA26F25"/>
    <w:rsid w:val="5EA7453C"/>
    <w:rsid w:val="5EB6477F"/>
    <w:rsid w:val="5EB84053"/>
    <w:rsid w:val="5EB8611E"/>
    <w:rsid w:val="5EC8397E"/>
    <w:rsid w:val="5ECB2990"/>
    <w:rsid w:val="5ECF0182"/>
    <w:rsid w:val="5ED80DC1"/>
    <w:rsid w:val="5ED9084B"/>
    <w:rsid w:val="5EDF0ADA"/>
    <w:rsid w:val="5EE10235"/>
    <w:rsid w:val="5EE25574"/>
    <w:rsid w:val="5EED7FF0"/>
    <w:rsid w:val="5EF7101F"/>
    <w:rsid w:val="5EFC7E35"/>
    <w:rsid w:val="5F070A50"/>
    <w:rsid w:val="5F0B6879"/>
    <w:rsid w:val="5F0C25F1"/>
    <w:rsid w:val="5F0F2476"/>
    <w:rsid w:val="5F365651"/>
    <w:rsid w:val="5F441D8B"/>
    <w:rsid w:val="5F471F31"/>
    <w:rsid w:val="5F481892"/>
    <w:rsid w:val="5F4959FC"/>
    <w:rsid w:val="5F4B5F0B"/>
    <w:rsid w:val="5F52038F"/>
    <w:rsid w:val="5F5F4E16"/>
    <w:rsid w:val="5F6274AD"/>
    <w:rsid w:val="5F656830"/>
    <w:rsid w:val="5F664883"/>
    <w:rsid w:val="5F6B37BB"/>
    <w:rsid w:val="5F6C7812"/>
    <w:rsid w:val="5F745CEF"/>
    <w:rsid w:val="5F7B08DC"/>
    <w:rsid w:val="5F7E34EF"/>
    <w:rsid w:val="5F950838"/>
    <w:rsid w:val="5F9745B0"/>
    <w:rsid w:val="5F9C0158"/>
    <w:rsid w:val="5F9C45C2"/>
    <w:rsid w:val="5F9D2510"/>
    <w:rsid w:val="5FA12D39"/>
    <w:rsid w:val="5FA32325"/>
    <w:rsid w:val="5FA647F3"/>
    <w:rsid w:val="5FB16998"/>
    <w:rsid w:val="5FB310AE"/>
    <w:rsid w:val="5FBB18F0"/>
    <w:rsid w:val="5FBE06A9"/>
    <w:rsid w:val="5FC36ABF"/>
    <w:rsid w:val="5FC41A99"/>
    <w:rsid w:val="5FCB3F5F"/>
    <w:rsid w:val="5FCB59BA"/>
    <w:rsid w:val="5FCD2D18"/>
    <w:rsid w:val="5FD43F14"/>
    <w:rsid w:val="5FD56E87"/>
    <w:rsid w:val="5FD82F7C"/>
    <w:rsid w:val="5FD90725"/>
    <w:rsid w:val="5FE002F9"/>
    <w:rsid w:val="5FE61094"/>
    <w:rsid w:val="5FEF4E02"/>
    <w:rsid w:val="5FF437B1"/>
    <w:rsid w:val="5FF62290"/>
    <w:rsid w:val="5FF76DFD"/>
    <w:rsid w:val="5FFD062D"/>
    <w:rsid w:val="60003F04"/>
    <w:rsid w:val="600129B9"/>
    <w:rsid w:val="6017749F"/>
    <w:rsid w:val="601D1CCD"/>
    <w:rsid w:val="60237F71"/>
    <w:rsid w:val="60290E01"/>
    <w:rsid w:val="602C19B8"/>
    <w:rsid w:val="602E3115"/>
    <w:rsid w:val="603911C4"/>
    <w:rsid w:val="60483AFC"/>
    <w:rsid w:val="604A35BC"/>
    <w:rsid w:val="604C2094"/>
    <w:rsid w:val="604F6C39"/>
    <w:rsid w:val="606A4E3B"/>
    <w:rsid w:val="606C1599"/>
    <w:rsid w:val="607C0D31"/>
    <w:rsid w:val="607D1EBB"/>
    <w:rsid w:val="60824919"/>
    <w:rsid w:val="60904C36"/>
    <w:rsid w:val="60916139"/>
    <w:rsid w:val="60A109EB"/>
    <w:rsid w:val="60A46028"/>
    <w:rsid w:val="60A61087"/>
    <w:rsid w:val="60B90EC4"/>
    <w:rsid w:val="60BC53FD"/>
    <w:rsid w:val="60C07B37"/>
    <w:rsid w:val="60C16719"/>
    <w:rsid w:val="60D3786A"/>
    <w:rsid w:val="60DE2AF7"/>
    <w:rsid w:val="60E229A9"/>
    <w:rsid w:val="60ED166D"/>
    <w:rsid w:val="60F111D8"/>
    <w:rsid w:val="60F31D02"/>
    <w:rsid w:val="60F66586"/>
    <w:rsid w:val="60F831B7"/>
    <w:rsid w:val="61014B51"/>
    <w:rsid w:val="61027F57"/>
    <w:rsid w:val="6105554A"/>
    <w:rsid w:val="61096DE8"/>
    <w:rsid w:val="610B6D0D"/>
    <w:rsid w:val="610E47E7"/>
    <w:rsid w:val="61125A96"/>
    <w:rsid w:val="61157B25"/>
    <w:rsid w:val="612260FC"/>
    <w:rsid w:val="612E2CF2"/>
    <w:rsid w:val="613B2EC6"/>
    <w:rsid w:val="613C540F"/>
    <w:rsid w:val="613D7AC0"/>
    <w:rsid w:val="61412A26"/>
    <w:rsid w:val="614372F4"/>
    <w:rsid w:val="61440E6E"/>
    <w:rsid w:val="61457884"/>
    <w:rsid w:val="61475B62"/>
    <w:rsid w:val="614B5652"/>
    <w:rsid w:val="6160135D"/>
    <w:rsid w:val="6162299C"/>
    <w:rsid w:val="61767CB3"/>
    <w:rsid w:val="617952FC"/>
    <w:rsid w:val="617A5F38"/>
    <w:rsid w:val="617C53D9"/>
    <w:rsid w:val="61812E22"/>
    <w:rsid w:val="61891CD7"/>
    <w:rsid w:val="6190308F"/>
    <w:rsid w:val="61936D8B"/>
    <w:rsid w:val="619C7C5C"/>
    <w:rsid w:val="619E1C26"/>
    <w:rsid w:val="61A56914"/>
    <w:rsid w:val="61AA6062"/>
    <w:rsid w:val="61AE5BE1"/>
    <w:rsid w:val="61AF3E33"/>
    <w:rsid w:val="61B2648B"/>
    <w:rsid w:val="61B27CA1"/>
    <w:rsid w:val="61B3707D"/>
    <w:rsid w:val="61BC02FE"/>
    <w:rsid w:val="61C001CC"/>
    <w:rsid w:val="61C158B1"/>
    <w:rsid w:val="61C952DF"/>
    <w:rsid w:val="61E3633F"/>
    <w:rsid w:val="61EF0440"/>
    <w:rsid w:val="61EF2482"/>
    <w:rsid w:val="61FF27FC"/>
    <w:rsid w:val="62045801"/>
    <w:rsid w:val="620C2033"/>
    <w:rsid w:val="620D46B6"/>
    <w:rsid w:val="620F48D2"/>
    <w:rsid w:val="620F6F18"/>
    <w:rsid w:val="62117EBD"/>
    <w:rsid w:val="621B3277"/>
    <w:rsid w:val="621C0778"/>
    <w:rsid w:val="621D05DD"/>
    <w:rsid w:val="622C4470"/>
    <w:rsid w:val="622D4D58"/>
    <w:rsid w:val="623B764F"/>
    <w:rsid w:val="623F2EA5"/>
    <w:rsid w:val="624B51DE"/>
    <w:rsid w:val="625130FB"/>
    <w:rsid w:val="62556940"/>
    <w:rsid w:val="625C615E"/>
    <w:rsid w:val="625F7ED6"/>
    <w:rsid w:val="626256DD"/>
    <w:rsid w:val="62683FE2"/>
    <w:rsid w:val="626B762E"/>
    <w:rsid w:val="6271444B"/>
    <w:rsid w:val="628935EF"/>
    <w:rsid w:val="629870A2"/>
    <w:rsid w:val="629D3C5C"/>
    <w:rsid w:val="62A74B0A"/>
    <w:rsid w:val="62A80882"/>
    <w:rsid w:val="62AE6250"/>
    <w:rsid w:val="62B054FF"/>
    <w:rsid w:val="62B1643E"/>
    <w:rsid w:val="62B45479"/>
    <w:rsid w:val="62BC1B11"/>
    <w:rsid w:val="62BF209A"/>
    <w:rsid w:val="62CA2184"/>
    <w:rsid w:val="62CA25A7"/>
    <w:rsid w:val="62CF5E0F"/>
    <w:rsid w:val="62D43425"/>
    <w:rsid w:val="62DE6052"/>
    <w:rsid w:val="62DF24F6"/>
    <w:rsid w:val="62EA2C49"/>
    <w:rsid w:val="63007776"/>
    <w:rsid w:val="63011F0B"/>
    <w:rsid w:val="63027F93"/>
    <w:rsid w:val="6305370E"/>
    <w:rsid w:val="630D3399"/>
    <w:rsid w:val="630E7347"/>
    <w:rsid w:val="63100901"/>
    <w:rsid w:val="631B52B1"/>
    <w:rsid w:val="631F28F3"/>
    <w:rsid w:val="632720A3"/>
    <w:rsid w:val="63367D3F"/>
    <w:rsid w:val="6337605A"/>
    <w:rsid w:val="63384BF1"/>
    <w:rsid w:val="633F11E7"/>
    <w:rsid w:val="633F3CAA"/>
    <w:rsid w:val="635051A2"/>
    <w:rsid w:val="635E6E8C"/>
    <w:rsid w:val="635F6D2C"/>
    <w:rsid w:val="63624ED5"/>
    <w:rsid w:val="63626C83"/>
    <w:rsid w:val="63690012"/>
    <w:rsid w:val="636F24BB"/>
    <w:rsid w:val="63890E28"/>
    <w:rsid w:val="638D35C3"/>
    <w:rsid w:val="638E1826"/>
    <w:rsid w:val="639170EF"/>
    <w:rsid w:val="639826A5"/>
    <w:rsid w:val="63A1155A"/>
    <w:rsid w:val="63A70B3A"/>
    <w:rsid w:val="63A8695F"/>
    <w:rsid w:val="63B70D7D"/>
    <w:rsid w:val="63BA169B"/>
    <w:rsid w:val="63BF2AC1"/>
    <w:rsid w:val="63C15836"/>
    <w:rsid w:val="63D119F0"/>
    <w:rsid w:val="63D27BE3"/>
    <w:rsid w:val="63D538F9"/>
    <w:rsid w:val="63DA2CBD"/>
    <w:rsid w:val="63DC1055"/>
    <w:rsid w:val="63DD33CD"/>
    <w:rsid w:val="63E90FE0"/>
    <w:rsid w:val="63EF47D9"/>
    <w:rsid w:val="63F749B9"/>
    <w:rsid w:val="63FA510E"/>
    <w:rsid w:val="63FB7C3B"/>
    <w:rsid w:val="63FE4BFE"/>
    <w:rsid w:val="64080705"/>
    <w:rsid w:val="64120C1E"/>
    <w:rsid w:val="642632AF"/>
    <w:rsid w:val="64382901"/>
    <w:rsid w:val="643979E4"/>
    <w:rsid w:val="643A1643"/>
    <w:rsid w:val="643C278B"/>
    <w:rsid w:val="643D5CCF"/>
    <w:rsid w:val="643E2670"/>
    <w:rsid w:val="6445778C"/>
    <w:rsid w:val="644C6871"/>
    <w:rsid w:val="644D348F"/>
    <w:rsid w:val="64515ACD"/>
    <w:rsid w:val="645A5BAC"/>
    <w:rsid w:val="645D7C18"/>
    <w:rsid w:val="645E241A"/>
    <w:rsid w:val="645E390D"/>
    <w:rsid w:val="645E744B"/>
    <w:rsid w:val="64604B5D"/>
    <w:rsid w:val="64654DEB"/>
    <w:rsid w:val="646D768E"/>
    <w:rsid w:val="647A412F"/>
    <w:rsid w:val="647C4325"/>
    <w:rsid w:val="649607A0"/>
    <w:rsid w:val="64A21A2D"/>
    <w:rsid w:val="64A82548"/>
    <w:rsid w:val="64AF1213"/>
    <w:rsid w:val="64B477E8"/>
    <w:rsid w:val="64B703EC"/>
    <w:rsid w:val="64B84F5C"/>
    <w:rsid w:val="64C431C0"/>
    <w:rsid w:val="64CF0348"/>
    <w:rsid w:val="64CF569C"/>
    <w:rsid w:val="64E21E2A"/>
    <w:rsid w:val="64E5191A"/>
    <w:rsid w:val="64E9096A"/>
    <w:rsid w:val="64E969EC"/>
    <w:rsid w:val="64F728D5"/>
    <w:rsid w:val="6513691A"/>
    <w:rsid w:val="651641C9"/>
    <w:rsid w:val="65173519"/>
    <w:rsid w:val="65181CEF"/>
    <w:rsid w:val="651A5A67"/>
    <w:rsid w:val="65613696"/>
    <w:rsid w:val="657049D2"/>
    <w:rsid w:val="657D21FF"/>
    <w:rsid w:val="65875458"/>
    <w:rsid w:val="658904F7"/>
    <w:rsid w:val="65982E30"/>
    <w:rsid w:val="659C51A1"/>
    <w:rsid w:val="659D508A"/>
    <w:rsid w:val="65BD3CE7"/>
    <w:rsid w:val="65C77271"/>
    <w:rsid w:val="65D06126"/>
    <w:rsid w:val="65DA51F7"/>
    <w:rsid w:val="65DF45BB"/>
    <w:rsid w:val="65E16585"/>
    <w:rsid w:val="65E21B63"/>
    <w:rsid w:val="65E6592A"/>
    <w:rsid w:val="65EC3BB8"/>
    <w:rsid w:val="65EE2A50"/>
    <w:rsid w:val="65F4293E"/>
    <w:rsid w:val="65F71905"/>
    <w:rsid w:val="65FC7FFD"/>
    <w:rsid w:val="65FF605F"/>
    <w:rsid w:val="66091638"/>
    <w:rsid w:val="660B53B0"/>
    <w:rsid w:val="660F5F33"/>
    <w:rsid w:val="66154DA9"/>
    <w:rsid w:val="66246472"/>
    <w:rsid w:val="662A2DCE"/>
    <w:rsid w:val="662E541A"/>
    <w:rsid w:val="662F296E"/>
    <w:rsid w:val="66320B8F"/>
    <w:rsid w:val="66362D25"/>
    <w:rsid w:val="663743F7"/>
    <w:rsid w:val="663A3EE7"/>
    <w:rsid w:val="663B23F4"/>
    <w:rsid w:val="663C3275"/>
    <w:rsid w:val="663D12E2"/>
    <w:rsid w:val="66413EAD"/>
    <w:rsid w:val="66490FDC"/>
    <w:rsid w:val="66503810"/>
    <w:rsid w:val="66555EDF"/>
    <w:rsid w:val="665C20B0"/>
    <w:rsid w:val="66652862"/>
    <w:rsid w:val="666B40A1"/>
    <w:rsid w:val="667239F8"/>
    <w:rsid w:val="667C2102"/>
    <w:rsid w:val="667F4267"/>
    <w:rsid w:val="66807B4C"/>
    <w:rsid w:val="66884460"/>
    <w:rsid w:val="668B029F"/>
    <w:rsid w:val="66911D59"/>
    <w:rsid w:val="6698362A"/>
    <w:rsid w:val="669B2BD8"/>
    <w:rsid w:val="669E7FD2"/>
    <w:rsid w:val="66A0076C"/>
    <w:rsid w:val="66A75B12"/>
    <w:rsid w:val="66A870A3"/>
    <w:rsid w:val="66AB4480"/>
    <w:rsid w:val="66BC66AA"/>
    <w:rsid w:val="66C043ED"/>
    <w:rsid w:val="66C537B1"/>
    <w:rsid w:val="66C71671"/>
    <w:rsid w:val="66C814F3"/>
    <w:rsid w:val="66D40608"/>
    <w:rsid w:val="66D954AE"/>
    <w:rsid w:val="66DA57BF"/>
    <w:rsid w:val="66DC2BCD"/>
    <w:rsid w:val="66E229A8"/>
    <w:rsid w:val="66E70059"/>
    <w:rsid w:val="66ED5DE6"/>
    <w:rsid w:val="66F145A6"/>
    <w:rsid w:val="66FB7F14"/>
    <w:rsid w:val="6703077D"/>
    <w:rsid w:val="67090533"/>
    <w:rsid w:val="670E6D38"/>
    <w:rsid w:val="67142208"/>
    <w:rsid w:val="67172593"/>
    <w:rsid w:val="671868DB"/>
    <w:rsid w:val="6719585F"/>
    <w:rsid w:val="671A724E"/>
    <w:rsid w:val="672A7AB8"/>
    <w:rsid w:val="672C7E85"/>
    <w:rsid w:val="67492634"/>
    <w:rsid w:val="675237A4"/>
    <w:rsid w:val="675240C2"/>
    <w:rsid w:val="67601121"/>
    <w:rsid w:val="6764121C"/>
    <w:rsid w:val="67650849"/>
    <w:rsid w:val="677218E4"/>
    <w:rsid w:val="677B2C68"/>
    <w:rsid w:val="67923912"/>
    <w:rsid w:val="679338AF"/>
    <w:rsid w:val="6793565D"/>
    <w:rsid w:val="679A69EC"/>
    <w:rsid w:val="679E2FBD"/>
    <w:rsid w:val="679F2DEE"/>
    <w:rsid w:val="67A61B38"/>
    <w:rsid w:val="67A67F21"/>
    <w:rsid w:val="67A700E1"/>
    <w:rsid w:val="67A94E81"/>
    <w:rsid w:val="67B0377C"/>
    <w:rsid w:val="67B55E60"/>
    <w:rsid w:val="67B6759E"/>
    <w:rsid w:val="67BC2E06"/>
    <w:rsid w:val="67C01797"/>
    <w:rsid w:val="67C248FD"/>
    <w:rsid w:val="67C65A33"/>
    <w:rsid w:val="67CA1B05"/>
    <w:rsid w:val="67EA2533"/>
    <w:rsid w:val="67EB3C17"/>
    <w:rsid w:val="67EE31DB"/>
    <w:rsid w:val="67EE6D37"/>
    <w:rsid w:val="67EF02A9"/>
    <w:rsid w:val="67FB1A94"/>
    <w:rsid w:val="67FC44E7"/>
    <w:rsid w:val="67FD51CC"/>
    <w:rsid w:val="67FD6F7B"/>
    <w:rsid w:val="67FE04D0"/>
    <w:rsid w:val="67FF0F45"/>
    <w:rsid w:val="680203FF"/>
    <w:rsid w:val="68091DC3"/>
    <w:rsid w:val="680C2DD0"/>
    <w:rsid w:val="68133A7A"/>
    <w:rsid w:val="68161920"/>
    <w:rsid w:val="681F180F"/>
    <w:rsid w:val="68272B82"/>
    <w:rsid w:val="683055A2"/>
    <w:rsid w:val="6832311B"/>
    <w:rsid w:val="683D4A7A"/>
    <w:rsid w:val="683D4DCE"/>
    <w:rsid w:val="684265A9"/>
    <w:rsid w:val="684352D5"/>
    <w:rsid w:val="6843583A"/>
    <w:rsid w:val="68437083"/>
    <w:rsid w:val="68444BA9"/>
    <w:rsid w:val="68455962"/>
    <w:rsid w:val="68471CFA"/>
    <w:rsid w:val="684E052E"/>
    <w:rsid w:val="6852376A"/>
    <w:rsid w:val="685643E1"/>
    <w:rsid w:val="6858637B"/>
    <w:rsid w:val="68594929"/>
    <w:rsid w:val="686D4D23"/>
    <w:rsid w:val="68702277"/>
    <w:rsid w:val="68753642"/>
    <w:rsid w:val="688974A8"/>
    <w:rsid w:val="68931CD5"/>
    <w:rsid w:val="68936434"/>
    <w:rsid w:val="689773CF"/>
    <w:rsid w:val="689A6B90"/>
    <w:rsid w:val="68B03FED"/>
    <w:rsid w:val="68B57855"/>
    <w:rsid w:val="68B757C8"/>
    <w:rsid w:val="68B9594A"/>
    <w:rsid w:val="68C77CB4"/>
    <w:rsid w:val="68DB4126"/>
    <w:rsid w:val="68E34AC6"/>
    <w:rsid w:val="68E56BBE"/>
    <w:rsid w:val="68E87C1F"/>
    <w:rsid w:val="68EF4209"/>
    <w:rsid w:val="68FE3AD5"/>
    <w:rsid w:val="690523FE"/>
    <w:rsid w:val="690A656D"/>
    <w:rsid w:val="690C3919"/>
    <w:rsid w:val="6911105D"/>
    <w:rsid w:val="69117A34"/>
    <w:rsid w:val="6916655A"/>
    <w:rsid w:val="691935FF"/>
    <w:rsid w:val="691B74A1"/>
    <w:rsid w:val="69227F89"/>
    <w:rsid w:val="69256789"/>
    <w:rsid w:val="69277146"/>
    <w:rsid w:val="692A0243"/>
    <w:rsid w:val="692A1FF1"/>
    <w:rsid w:val="692C5D69"/>
    <w:rsid w:val="692F7608"/>
    <w:rsid w:val="69381564"/>
    <w:rsid w:val="69392234"/>
    <w:rsid w:val="69395CC5"/>
    <w:rsid w:val="693D7F76"/>
    <w:rsid w:val="693E2568"/>
    <w:rsid w:val="69594684"/>
    <w:rsid w:val="69594A47"/>
    <w:rsid w:val="695B2625"/>
    <w:rsid w:val="696F6D2D"/>
    <w:rsid w:val="69777C6C"/>
    <w:rsid w:val="698600A5"/>
    <w:rsid w:val="698A6F34"/>
    <w:rsid w:val="699456BD"/>
    <w:rsid w:val="699F3D19"/>
    <w:rsid w:val="699F5A0A"/>
    <w:rsid w:val="69A2427D"/>
    <w:rsid w:val="69A37450"/>
    <w:rsid w:val="69A51678"/>
    <w:rsid w:val="69AE677E"/>
    <w:rsid w:val="69AF594B"/>
    <w:rsid w:val="69B04C83"/>
    <w:rsid w:val="69B1626F"/>
    <w:rsid w:val="69B47395"/>
    <w:rsid w:val="69B960E8"/>
    <w:rsid w:val="69BC044F"/>
    <w:rsid w:val="69BF520A"/>
    <w:rsid w:val="69C77FE8"/>
    <w:rsid w:val="69CE59BB"/>
    <w:rsid w:val="69DF5C48"/>
    <w:rsid w:val="69E24846"/>
    <w:rsid w:val="69F90ABF"/>
    <w:rsid w:val="6A072653"/>
    <w:rsid w:val="6A0D2B94"/>
    <w:rsid w:val="6A10568B"/>
    <w:rsid w:val="6A1A02B8"/>
    <w:rsid w:val="6A1A2066"/>
    <w:rsid w:val="6A1A62CD"/>
    <w:rsid w:val="6A1C0E4B"/>
    <w:rsid w:val="6A1F142A"/>
    <w:rsid w:val="6A2140B2"/>
    <w:rsid w:val="6A2353BE"/>
    <w:rsid w:val="6A236552"/>
    <w:rsid w:val="6A2F23AB"/>
    <w:rsid w:val="6A3C67A6"/>
    <w:rsid w:val="6A405DAE"/>
    <w:rsid w:val="6A4175F2"/>
    <w:rsid w:val="6A472B90"/>
    <w:rsid w:val="6A4E2526"/>
    <w:rsid w:val="6A5006F6"/>
    <w:rsid w:val="6A503CD9"/>
    <w:rsid w:val="6A553A32"/>
    <w:rsid w:val="6A560DAC"/>
    <w:rsid w:val="6A663538"/>
    <w:rsid w:val="6A7D1633"/>
    <w:rsid w:val="6A814492"/>
    <w:rsid w:val="6A8A28EE"/>
    <w:rsid w:val="6A8D304D"/>
    <w:rsid w:val="6A8E5EDF"/>
    <w:rsid w:val="6A957578"/>
    <w:rsid w:val="6A994787"/>
    <w:rsid w:val="6AA033E6"/>
    <w:rsid w:val="6AA10091"/>
    <w:rsid w:val="6AA803C3"/>
    <w:rsid w:val="6AAD49C9"/>
    <w:rsid w:val="6AAD5F0E"/>
    <w:rsid w:val="6AB3597F"/>
    <w:rsid w:val="6ABA1153"/>
    <w:rsid w:val="6ABF6E0B"/>
    <w:rsid w:val="6AC02C0D"/>
    <w:rsid w:val="6AC12A16"/>
    <w:rsid w:val="6AD0505E"/>
    <w:rsid w:val="6AD10D9A"/>
    <w:rsid w:val="6AD42215"/>
    <w:rsid w:val="6ADF3578"/>
    <w:rsid w:val="6AE90161"/>
    <w:rsid w:val="6AEB2A78"/>
    <w:rsid w:val="6AF403FB"/>
    <w:rsid w:val="6B00125C"/>
    <w:rsid w:val="6B106C62"/>
    <w:rsid w:val="6B106FC5"/>
    <w:rsid w:val="6B1533AD"/>
    <w:rsid w:val="6B16771A"/>
    <w:rsid w:val="6B17611C"/>
    <w:rsid w:val="6B19231D"/>
    <w:rsid w:val="6B197A81"/>
    <w:rsid w:val="6B1F11E2"/>
    <w:rsid w:val="6B301415"/>
    <w:rsid w:val="6B317667"/>
    <w:rsid w:val="6B325BF7"/>
    <w:rsid w:val="6B3A697D"/>
    <w:rsid w:val="6B3B484B"/>
    <w:rsid w:val="6B3C3C68"/>
    <w:rsid w:val="6B424F3A"/>
    <w:rsid w:val="6B42603A"/>
    <w:rsid w:val="6B431030"/>
    <w:rsid w:val="6B436A8D"/>
    <w:rsid w:val="6B4E5778"/>
    <w:rsid w:val="6B5A2C3F"/>
    <w:rsid w:val="6B607E5C"/>
    <w:rsid w:val="6B684B2B"/>
    <w:rsid w:val="6B737C7F"/>
    <w:rsid w:val="6B756B41"/>
    <w:rsid w:val="6B761510"/>
    <w:rsid w:val="6B782B8D"/>
    <w:rsid w:val="6B785296"/>
    <w:rsid w:val="6B7A412B"/>
    <w:rsid w:val="6B98412E"/>
    <w:rsid w:val="6B9B71D6"/>
    <w:rsid w:val="6BA81FC6"/>
    <w:rsid w:val="6BA972A1"/>
    <w:rsid w:val="6BAC13E3"/>
    <w:rsid w:val="6BBB5183"/>
    <w:rsid w:val="6BBD1CF7"/>
    <w:rsid w:val="6BBD7903"/>
    <w:rsid w:val="6BC73B27"/>
    <w:rsid w:val="6BCB1032"/>
    <w:rsid w:val="6BCD6965"/>
    <w:rsid w:val="6BD16ED3"/>
    <w:rsid w:val="6BD275B7"/>
    <w:rsid w:val="6BDD7E70"/>
    <w:rsid w:val="6BE75F78"/>
    <w:rsid w:val="6BEA6C23"/>
    <w:rsid w:val="6BEC17E0"/>
    <w:rsid w:val="6BFC1155"/>
    <w:rsid w:val="6C043D76"/>
    <w:rsid w:val="6C054650"/>
    <w:rsid w:val="6C0601F1"/>
    <w:rsid w:val="6C075B03"/>
    <w:rsid w:val="6C082D01"/>
    <w:rsid w:val="6C0D5B92"/>
    <w:rsid w:val="6C112B24"/>
    <w:rsid w:val="6C164AAF"/>
    <w:rsid w:val="6C382C77"/>
    <w:rsid w:val="6C3D64DF"/>
    <w:rsid w:val="6C3F24CA"/>
    <w:rsid w:val="6C4130C1"/>
    <w:rsid w:val="6C474C68"/>
    <w:rsid w:val="6C4C4A8D"/>
    <w:rsid w:val="6C5147F6"/>
    <w:rsid w:val="6C5527E5"/>
    <w:rsid w:val="6C553EED"/>
    <w:rsid w:val="6C5A2BED"/>
    <w:rsid w:val="6C5B406F"/>
    <w:rsid w:val="6C6058A7"/>
    <w:rsid w:val="6C683B9C"/>
    <w:rsid w:val="6C697BBF"/>
    <w:rsid w:val="6C6B350B"/>
    <w:rsid w:val="6C7520FA"/>
    <w:rsid w:val="6C7F2654"/>
    <w:rsid w:val="6C81461E"/>
    <w:rsid w:val="6C865790"/>
    <w:rsid w:val="6C8C4686"/>
    <w:rsid w:val="6C983716"/>
    <w:rsid w:val="6C9D0D2C"/>
    <w:rsid w:val="6CA4725E"/>
    <w:rsid w:val="6CA9147F"/>
    <w:rsid w:val="6CAB449D"/>
    <w:rsid w:val="6CB21A56"/>
    <w:rsid w:val="6CB56076"/>
    <w:rsid w:val="6CB86E80"/>
    <w:rsid w:val="6CCA7D73"/>
    <w:rsid w:val="6CD45945"/>
    <w:rsid w:val="6CDA60C2"/>
    <w:rsid w:val="6CDC3602"/>
    <w:rsid w:val="6CDC43E9"/>
    <w:rsid w:val="6CDF25C2"/>
    <w:rsid w:val="6CE80A80"/>
    <w:rsid w:val="6CEB5F3B"/>
    <w:rsid w:val="6CEF1588"/>
    <w:rsid w:val="6CF245FA"/>
    <w:rsid w:val="6CFC3CA5"/>
    <w:rsid w:val="6D00090C"/>
    <w:rsid w:val="6D165E10"/>
    <w:rsid w:val="6D181281"/>
    <w:rsid w:val="6D260D22"/>
    <w:rsid w:val="6D2A08D5"/>
    <w:rsid w:val="6D2A6A64"/>
    <w:rsid w:val="6D2B6338"/>
    <w:rsid w:val="6D2D0302"/>
    <w:rsid w:val="6D2F4066"/>
    <w:rsid w:val="6D495DA4"/>
    <w:rsid w:val="6D4D4500"/>
    <w:rsid w:val="6D505D9E"/>
    <w:rsid w:val="6D517303"/>
    <w:rsid w:val="6D590593"/>
    <w:rsid w:val="6D5E6497"/>
    <w:rsid w:val="6D5E6EBF"/>
    <w:rsid w:val="6D6209B3"/>
    <w:rsid w:val="6D673814"/>
    <w:rsid w:val="6D6B416B"/>
    <w:rsid w:val="6D6D1B92"/>
    <w:rsid w:val="6D720BA9"/>
    <w:rsid w:val="6D77157D"/>
    <w:rsid w:val="6D7B16CC"/>
    <w:rsid w:val="6D7C3DDB"/>
    <w:rsid w:val="6D8E6624"/>
    <w:rsid w:val="6D9640F9"/>
    <w:rsid w:val="6D9B583C"/>
    <w:rsid w:val="6DA01445"/>
    <w:rsid w:val="6DAA3701"/>
    <w:rsid w:val="6DB04CB2"/>
    <w:rsid w:val="6DB12CE1"/>
    <w:rsid w:val="6DB4178C"/>
    <w:rsid w:val="6DC03450"/>
    <w:rsid w:val="6DC42A14"/>
    <w:rsid w:val="6DD4077E"/>
    <w:rsid w:val="6DD60B69"/>
    <w:rsid w:val="6DD93147"/>
    <w:rsid w:val="6DDE4298"/>
    <w:rsid w:val="6DF61D70"/>
    <w:rsid w:val="6DF7425E"/>
    <w:rsid w:val="6DFA03C4"/>
    <w:rsid w:val="6E076D34"/>
    <w:rsid w:val="6E0A1325"/>
    <w:rsid w:val="6E1653EE"/>
    <w:rsid w:val="6E1A7B10"/>
    <w:rsid w:val="6E207B4E"/>
    <w:rsid w:val="6E2434B3"/>
    <w:rsid w:val="6E276AFF"/>
    <w:rsid w:val="6E2A4841"/>
    <w:rsid w:val="6E3D0A6D"/>
    <w:rsid w:val="6E443B55"/>
    <w:rsid w:val="6E4848D8"/>
    <w:rsid w:val="6E5C7B73"/>
    <w:rsid w:val="6E5F098F"/>
    <w:rsid w:val="6E602011"/>
    <w:rsid w:val="6E6B242A"/>
    <w:rsid w:val="6E7066F8"/>
    <w:rsid w:val="6E757270"/>
    <w:rsid w:val="6E781A51"/>
    <w:rsid w:val="6E7B6E4B"/>
    <w:rsid w:val="6E884778"/>
    <w:rsid w:val="6E891A4E"/>
    <w:rsid w:val="6E8A4814"/>
    <w:rsid w:val="6E91041D"/>
    <w:rsid w:val="6E932533"/>
    <w:rsid w:val="6E934195"/>
    <w:rsid w:val="6E940421"/>
    <w:rsid w:val="6E9A4FA5"/>
    <w:rsid w:val="6E9C74ED"/>
    <w:rsid w:val="6E9D3265"/>
    <w:rsid w:val="6E9E4065"/>
    <w:rsid w:val="6E9F0D8B"/>
    <w:rsid w:val="6EA2277C"/>
    <w:rsid w:val="6EA350D8"/>
    <w:rsid w:val="6EA90FDE"/>
    <w:rsid w:val="6EB26D11"/>
    <w:rsid w:val="6EB34837"/>
    <w:rsid w:val="6EB96D3E"/>
    <w:rsid w:val="6EBD1C57"/>
    <w:rsid w:val="6EC10D02"/>
    <w:rsid w:val="6EC30F1E"/>
    <w:rsid w:val="6EC46A44"/>
    <w:rsid w:val="6EC64922"/>
    <w:rsid w:val="6EC66318"/>
    <w:rsid w:val="6ECB55B8"/>
    <w:rsid w:val="6ED24951"/>
    <w:rsid w:val="6ED30A35"/>
    <w:rsid w:val="6ED43694"/>
    <w:rsid w:val="6ED8604B"/>
    <w:rsid w:val="6ED87E74"/>
    <w:rsid w:val="6EDD18B4"/>
    <w:rsid w:val="6EE80DE1"/>
    <w:rsid w:val="6EE90259"/>
    <w:rsid w:val="6EED40D9"/>
    <w:rsid w:val="6EFA2466"/>
    <w:rsid w:val="6F0B5CC5"/>
    <w:rsid w:val="6F0F3FB5"/>
    <w:rsid w:val="6F15104E"/>
    <w:rsid w:val="6F1B2B08"/>
    <w:rsid w:val="6F1E2296"/>
    <w:rsid w:val="6F23498B"/>
    <w:rsid w:val="6F235519"/>
    <w:rsid w:val="6F285225"/>
    <w:rsid w:val="6F3659D8"/>
    <w:rsid w:val="6F466612"/>
    <w:rsid w:val="6F49037E"/>
    <w:rsid w:val="6F5002D8"/>
    <w:rsid w:val="6F5C7A75"/>
    <w:rsid w:val="6F6048FE"/>
    <w:rsid w:val="6F631DB9"/>
    <w:rsid w:val="6F633146"/>
    <w:rsid w:val="6F655B31"/>
    <w:rsid w:val="6F6C691B"/>
    <w:rsid w:val="6F7B5355"/>
    <w:rsid w:val="6F864031"/>
    <w:rsid w:val="6F8A3E42"/>
    <w:rsid w:val="6F9603E0"/>
    <w:rsid w:val="6FB27708"/>
    <w:rsid w:val="6FB478B7"/>
    <w:rsid w:val="6FB645DF"/>
    <w:rsid w:val="6FBF4BFE"/>
    <w:rsid w:val="6FC52A15"/>
    <w:rsid w:val="6FC8448B"/>
    <w:rsid w:val="6FD35191"/>
    <w:rsid w:val="6FD83771"/>
    <w:rsid w:val="6FD900B8"/>
    <w:rsid w:val="6FDE202A"/>
    <w:rsid w:val="6FE43C35"/>
    <w:rsid w:val="6FEA5A1C"/>
    <w:rsid w:val="6FEB253B"/>
    <w:rsid w:val="6FFE09D9"/>
    <w:rsid w:val="70041B6B"/>
    <w:rsid w:val="70061007"/>
    <w:rsid w:val="700E7FC4"/>
    <w:rsid w:val="7012558D"/>
    <w:rsid w:val="70205EFC"/>
    <w:rsid w:val="7023779A"/>
    <w:rsid w:val="702A2886"/>
    <w:rsid w:val="70310109"/>
    <w:rsid w:val="703674CE"/>
    <w:rsid w:val="70384FF4"/>
    <w:rsid w:val="703951EF"/>
    <w:rsid w:val="703B0129"/>
    <w:rsid w:val="703B4AE4"/>
    <w:rsid w:val="703C27F4"/>
    <w:rsid w:val="703E6382"/>
    <w:rsid w:val="703F45D4"/>
    <w:rsid w:val="7047792D"/>
    <w:rsid w:val="70525CB0"/>
    <w:rsid w:val="705F2162"/>
    <w:rsid w:val="70630383"/>
    <w:rsid w:val="706737D7"/>
    <w:rsid w:val="70696A50"/>
    <w:rsid w:val="706C1141"/>
    <w:rsid w:val="708244C1"/>
    <w:rsid w:val="70866B41"/>
    <w:rsid w:val="708772EC"/>
    <w:rsid w:val="70893AA1"/>
    <w:rsid w:val="70952446"/>
    <w:rsid w:val="709F3B54"/>
    <w:rsid w:val="70AB523A"/>
    <w:rsid w:val="70AB7EBB"/>
    <w:rsid w:val="70AE7092"/>
    <w:rsid w:val="70B52AE8"/>
    <w:rsid w:val="70CB5E68"/>
    <w:rsid w:val="70CD23C0"/>
    <w:rsid w:val="70CE5958"/>
    <w:rsid w:val="70D32B61"/>
    <w:rsid w:val="70D36C12"/>
    <w:rsid w:val="70D85FC1"/>
    <w:rsid w:val="70F353BF"/>
    <w:rsid w:val="70F516CE"/>
    <w:rsid w:val="710C1B97"/>
    <w:rsid w:val="7114113C"/>
    <w:rsid w:val="711C0906"/>
    <w:rsid w:val="71292B19"/>
    <w:rsid w:val="712B2BDC"/>
    <w:rsid w:val="712B4D5F"/>
    <w:rsid w:val="712C10F3"/>
    <w:rsid w:val="712D267F"/>
    <w:rsid w:val="71324139"/>
    <w:rsid w:val="71325EE7"/>
    <w:rsid w:val="713C1844"/>
    <w:rsid w:val="713C6D66"/>
    <w:rsid w:val="71445C1A"/>
    <w:rsid w:val="71450BD3"/>
    <w:rsid w:val="7146355D"/>
    <w:rsid w:val="714E33B7"/>
    <w:rsid w:val="715045BF"/>
    <w:rsid w:val="715776FB"/>
    <w:rsid w:val="715E0A8A"/>
    <w:rsid w:val="7162419C"/>
    <w:rsid w:val="716A7B93"/>
    <w:rsid w:val="716B31A7"/>
    <w:rsid w:val="718A6801"/>
    <w:rsid w:val="718E6353"/>
    <w:rsid w:val="71940950"/>
    <w:rsid w:val="719E532A"/>
    <w:rsid w:val="71A76E4A"/>
    <w:rsid w:val="71A87F57"/>
    <w:rsid w:val="71AA3CCF"/>
    <w:rsid w:val="71AE7E0F"/>
    <w:rsid w:val="71AF5213"/>
    <w:rsid w:val="71BA0B9E"/>
    <w:rsid w:val="71BB71E6"/>
    <w:rsid w:val="71BE0B36"/>
    <w:rsid w:val="71BE3C1E"/>
    <w:rsid w:val="71C54FAD"/>
    <w:rsid w:val="71C81340"/>
    <w:rsid w:val="71C8398B"/>
    <w:rsid w:val="71DB657E"/>
    <w:rsid w:val="71E74F23"/>
    <w:rsid w:val="71ED7D41"/>
    <w:rsid w:val="71EE5577"/>
    <w:rsid w:val="71F47640"/>
    <w:rsid w:val="71F65166"/>
    <w:rsid w:val="71F96A05"/>
    <w:rsid w:val="71FE1AD4"/>
    <w:rsid w:val="72007BEE"/>
    <w:rsid w:val="72007D93"/>
    <w:rsid w:val="72037883"/>
    <w:rsid w:val="720553A9"/>
    <w:rsid w:val="720B51B6"/>
    <w:rsid w:val="72161365"/>
    <w:rsid w:val="721E1F6F"/>
    <w:rsid w:val="72234D69"/>
    <w:rsid w:val="724759C2"/>
    <w:rsid w:val="72477710"/>
    <w:rsid w:val="724C122A"/>
    <w:rsid w:val="72563E57"/>
    <w:rsid w:val="725D5379"/>
    <w:rsid w:val="726447C6"/>
    <w:rsid w:val="727F12F9"/>
    <w:rsid w:val="728704B4"/>
    <w:rsid w:val="72874010"/>
    <w:rsid w:val="72895D82"/>
    <w:rsid w:val="72907E92"/>
    <w:rsid w:val="72945E87"/>
    <w:rsid w:val="72953AC7"/>
    <w:rsid w:val="7296204E"/>
    <w:rsid w:val="72B33057"/>
    <w:rsid w:val="72B8066E"/>
    <w:rsid w:val="72BF4F7D"/>
    <w:rsid w:val="72CB188C"/>
    <w:rsid w:val="72CE562C"/>
    <w:rsid w:val="72CF3B0D"/>
    <w:rsid w:val="72E01973"/>
    <w:rsid w:val="72E476B5"/>
    <w:rsid w:val="72EA091E"/>
    <w:rsid w:val="72EB11D1"/>
    <w:rsid w:val="72F07E08"/>
    <w:rsid w:val="72F53670"/>
    <w:rsid w:val="72FA7ADC"/>
    <w:rsid w:val="72FB055A"/>
    <w:rsid w:val="72FB4772"/>
    <w:rsid w:val="72FD24F2"/>
    <w:rsid w:val="72FF44EF"/>
    <w:rsid w:val="73020966"/>
    <w:rsid w:val="730423A2"/>
    <w:rsid w:val="731A30D6"/>
    <w:rsid w:val="732249A1"/>
    <w:rsid w:val="732950C8"/>
    <w:rsid w:val="73295B2E"/>
    <w:rsid w:val="732E0930"/>
    <w:rsid w:val="73441807"/>
    <w:rsid w:val="734464A7"/>
    <w:rsid w:val="7347663E"/>
    <w:rsid w:val="73487C44"/>
    <w:rsid w:val="734D3BC8"/>
    <w:rsid w:val="734D525A"/>
    <w:rsid w:val="73506918"/>
    <w:rsid w:val="735230D5"/>
    <w:rsid w:val="73554010"/>
    <w:rsid w:val="736F3422"/>
    <w:rsid w:val="73764B58"/>
    <w:rsid w:val="73786272"/>
    <w:rsid w:val="737C0FFA"/>
    <w:rsid w:val="73853BCA"/>
    <w:rsid w:val="739102A9"/>
    <w:rsid w:val="73925D92"/>
    <w:rsid w:val="739619CC"/>
    <w:rsid w:val="73970283"/>
    <w:rsid w:val="73992B41"/>
    <w:rsid w:val="739E08B8"/>
    <w:rsid w:val="739F5CD9"/>
    <w:rsid w:val="73A111BE"/>
    <w:rsid w:val="73A95B56"/>
    <w:rsid w:val="73B76B77"/>
    <w:rsid w:val="73BB0416"/>
    <w:rsid w:val="73BB13AD"/>
    <w:rsid w:val="73BB4593"/>
    <w:rsid w:val="73BC1C0C"/>
    <w:rsid w:val="73BE3A62"/>
    <w:rsid w:val="73BE7F06"/>
    <w:rsid w:val="73C4268A"/>
    <w:rsid w:val="73CA2CA4"/>
    <w:rsid w:val="73CA314A"/>
    <w:rsid w:val="73CC3327"/>
    <w:rsid w:val="73D10A7C"/>
    <w:rsid w:val="73E159A2"/>
    <w:rsid w:val="73E558A9"/>
    <w:rsid w:val="73F2319F"/>
    <w:rsid w:val="73F751C6"/>
    <w:rsid w:val="73FA085C"/>
    <w:rsid w:val="740775BE"/>
    <w:rsid w:val="74082F2F"/>
    <w:rsid w:val="741A1465"/>
    <w:rsid w:val="741E2403"/>
    <w:rsid w:val="74253798"/>
    <w:rsid w:val="742F56A4"/>
    <w:rsid w:val="74363F40"/>
    <w:rsid w:val="743E44FA"/>
    <w:rsid w:val="74453829"/>
    <w:rsid w:val="744A3547"/>
    <w:rsid w:val="746F7452"/>
    <w:rsid w:val="747301B7"/>
    <w:rsid w:val="747D1B6F"/>
    <w:rsid w:val="747F58E7"/>
    <w:rsid w:val="74803981"/>
    <w:rsid w:val="748E671C"/>
    <w:rsid w:val="748F1B35"/>
    <w:rsid w:val="74913DDA"/>
    <w:rsid w:val="74922AC0"/>
    <w:rsid w:val="749420F2"/>
    <w:rsid w:val="74A225EF"/>
    <w:rsid w:val="74A470FC"/>
    <w:rsid w:val="74B17A6A"/>
    <w:rsid w:val="74B45395"/>
    <w:rsid w:val="74C87F16"/>
    <w:rsid w:val="74CB28DA"/>
    <w:rsid w:val="74D04DB6"/>
    <w:rsid w:val="74D90969"/>
    <w:rsid w:val="74DA48CB"/>
    <w:rsid w:val="74E92D60"/>
    <w:rsid w:val="74EC7067"/>
    <w:rsid w:val="74F5194B"/>
    <w:rsid w:val="74F72AF3"/>
    <w:rsid w:val="74F7365D"/>
    <w:rsid w:val="74F87C2C"/>
    <w:rsid w:val="75097D55"/>
    <w:rsid w:val="750A2CD7"/>
    <w:rsid w:val="750A5428"/>
    <w:rsid w:val="752437F8"/>
    <w:rsid w:val="75262924"/>
    <w:rsid w:val="752A12F1"/>
    <w:rsid w:val="754378F0"/>
    <w:rsid w:val="7544268D"/>
    <w:rsid w:val="754430F8"/>
    <w:rsid w:val="754524E8"/>
    <w:rsid w:val="75454B54"/>
    <w:rsid w:val="75456373"/>
    <w:rsid w:val="754E52B9"/>
    <w:rsid w:val="75596CAF"/>
    <w:rsid w:val="755B7C0B"/>
    <w:rsid w:val="755E78EA"/>
    <w:rsid w:val="756019C9"/>
    <w:rsid w:val="756659DC"/>
    <w:rsid w:val="756B19C7"/>
    <w:rsid w:val="756D53EE"/>
    <w:rsid w:val="757C3BD5"/>
    <w:rsid w:val="757F58D8"/>
    <w:rsid w:val="758C51E5"/>
    <w:rsid w:val="75912A06"/>
    <w:rsid w:val="75947170"/>
    <w:rsid w:val="75A03342"/>
    <w:rsid w:val="75AA6994"/>
    <w:rsid w:val="75AF16E6"/>
    <w:rsid w:val="75AF3FAA"/>
    <w:rsid w:val="75BD3566"/>
    <w:rsid w:val="75D10E0C"/>
    <w:rsid w:val="75D4260F"/>
    <w:rsid w:val="75D532E5"/>
    <w:rsid w:val="75D7705D"/>
    <w:rsid w:val="75DD0582"/>
    <w:rsid w:val="75EB3CEA"/>
    <w:rsid w:val="75F152ED"/>
    <w:rsid w:val="75F428A6"/>
    <w:rsid w:val="75F52486"/>
    <w:rsid w:val="760E7BB6"/>
    <w:rsid w:val="76110158"/>
    <w:rsid w:val="76126652"/>
    <w:rsid w:val="76182072"/>
    <w:rsid w:val="761B7D80"/>
    <w:rsid w:val="761C0A74"/>
    <w:rsid w:val="761C0F14"/>
    <w:rsid w:val="761E5DB4"/>
    <w:rsid w:val="762B0D2A"/>
    <w:rsid w:val="76382F12"/>
    <w:rsid w:val="76391AC6"/>
    <w:rsid w:val="763E0E8A"/>
    <w:rsid w:val="76457A23"/>
    <w:rsid w:val="764F2B2D"/>
    <w:rsid w:val="765C5EC2"/>
    <w:rsid w:val="765D7381"/>
    <w:rsid w:val="76612DCA"/>
    <w:rsid w:val="766A7ED1"/>
    <w:rsid w:val="76724FD8"/>
    <w:rsid w:val="767E7C63"/>
    <w:rsid w:val="76830F93"/>
    <w:rsid w:val="768A39BC"/>
    <w:rsid w:val="768A40CF"/>
    <w:rsid w:val="768F2D9D"/>
    <w:rsid w:val="76962A74"/>
    <w:rsid w:val="769E5DCD"/>
    <w:rsid w:val="76A8778E"/>
    <w:rsid w:val="76AE4262"/>
    <w:rsid w:val="76B15B00"/>
    <w:rsid w:val="76B57B1A"/>
    <w:rsid w:val="76B62E18"/>
    <w:rsid w:val="76B73919"/>
    <w:rsid w:val="76B8516C"/>
    <w:rsid w:val="76D637B8"/>
    <w:rsid w:val="76DC73B5"/>
    <w:rsid w:val="76DD0A13"/>
    <w:rsid w:val="76E81C8A"/>
    <w:rsid w:val="76E976A7"/>
    <w:rsid w:val="76F52AE3"/>
    <w:rsid w:val="76F65C09"/>
    <w:rsid w:val="77057BFA"/>
    <w:rsid w:val="77061685"/>
    <w:rsid w:val="770A73B3"/>
    <w:rsid w:val="770C3AED"/>
    <w:rsid w:val="77182CF2"/>
    <w:rsid w:val="77183DD1"/>
    <w:rsid w:val="77251B93"/>
    <w:rsid w:val="772B318E"/>
    <w:rsid w:val="772B3B04"/>
    <w:rsid w:val="772C579E"/>
    <w:rsid w:val="772E5490"/>
    <w:rsid w:val="772E606C"/>
    <w:rsid w:val="773B0D91"/>
    <w:rsid w:val="77444BC6"/>
    <w:rsid w:val="77471FC0"/>
    <w:rsid w:val="774C0BC8"/>
    <w:rsid w:val="774E334F"/>
    <w:rsid w:val="77514BED"/>
    <w:rsid w:val="776042C2"/>
    <w:rsid w:val="77633E9B"/>
    <w:rsid w:val="77665300"/>
    <w:rsid w:val="776F6A13"/>
    <w:rsid w:val="77752FD1"/>
    <w:rsid w:val="777C3A99"/>
    <w:rsid w:val="778A6B73"/>
    <w:rsid w:val="778D031B"/>
    <w:rsid w:val="778F321E"/>
    <w:rsid w:val="779D6084"/>
    <w:rsid w:val="77A4357D"/>
    <w:rsid w:val="77AE670B"/>
    <w:rsid w:val="77B05DB7"/>
    <w:rsid w:val="77B37656"/>
    <w:rsid w:val="77BB555A"/>
    <w:rsid w:val="77BD7867"/>
    <w:rsid w:val="77C11D73"/>
    <w:rsid w:val="77CB114B"/>
    <w:rsid w:val="77CB1A30"/>
    <w:rsid w:val="77DE1039"/>
    <w:rsid w:val="77E05069"/>
    <w:rsid w:val="77E108A2"/>
    <w:rsid w:val="77F55D5D"/>
    <w:rsid w:val="77FE6B23"/>
    <w:rsid w:val="780138A2"/>
    <w:rsid w:val="780974B2"/>
    <w:rsid w:val="780B1240"/>
    <w:rsid w:val="78104AA8"/>
    <w:rsid w:val="78144598"/>
    <w:rsid w:val="781F4CEB"/>
    <w:rsid w:val="78320EC2"/>
    <w:rsid w:val="783464A7"/>
    <w:rsid w:val="7836450F"/>
    <w:rsid w:val="78423D48"/>
    <w:rsid w:val="784771A0"/>
    <w:rsid w:val="785B3F75"/>
    <w:rsid w:val="785D33E7"/>
    <w:rsid w:val="785D489D"/>
    <w:rsid w:val="78614E88"/>
    <w:rsid w:val="7866720A"/>
    <w:rsid w:val="78686692"/>
    <w:rsid w:val="786C14C2"/>
    <w:rsid w:val="78774B27"/>
    <w:rsid w:val="7877762E"/>
    <w:rsid w:val="787A7E9F"/>
    <w:rsid w:val="787B0173"/>
    <w:rsid w:val="788B1F02"/>
    <w:rsid w:val="788E5C50"/>
    <w:rsid w:val="78A76272"/>
    <w:rsid w:val="78A8679B"/>
    <w:rsid w:val="78AB47AD"/>
    <w:rsid w:val="78AC7D6F"/>
    <w:rsid w:val="78B86684"/>
    <w:rsid w:val="78CA2E70"/>
    <w:rsid w:val="78CD15F4"/>
    <w:rsid w:val="78CF2423"/>
    <w:rsid w:val="78E34B02"/>
    <w:rsid w:val="78E811D1"/>
    <w:rsid w:val="78E96C93"/>
    <w:rsid w:val="78EA52F9"/>
    <w:rsid w:val="78EF290F"/>
    <w:rsid w:val="78F92AA4"/>
    <w:rsid w:val="78FA0EF3"/>
    <w:rsid w:val="78FA7D70"/>
    <w:rsid w:val="78FD03CE"/>
    <w:rsid w:val="790A7005"/>
    <w:rsid w:val="790A7749"/>
    <w:rsid w:val="790F5FD1"/>
    <w:rsid w:val="79167E9C"/>
    <w:rsid w:val="791B040F"/>
    <w:rsid w:val="791B1956"/>
    <w:rsid w:val="791F3A81"/>
    <w:rsid w:val="79254583"/>
    <w:rsid w:val="792E3438"/>
    <w:rsid w:val="793228FA"/>
    <w:rsid w:val="793B7250"/>
    <w:rsid w:val="793C51B2"/>
    <w:rsid w:val="794063F1"/>
    <w:rsid w:val="794669D3"/>
    <w:rsid w:val="794F0D9D"/>
    <w:rsid w:val="794F5DED"/>
    <w:rsid w:val="7954485D"/>
    <w:rsid w:val="79561AC8"/>
    <w:rsid w:val="79584959"/>
    <w:rsid w:val="79586707"/>
    <w:rsid w:val="79681A30"/>
    <w:rsid w:val="79733540"/>
    <w:rsid w:val="79782905"/>
    <w:rsid w:val="797F7CE1"/>
    <w:rsid w:val="79815C5D"/>
    <w:rsid w:val="79844921"/>
    <w:rsid w:val="79872B48"/>
    <w:rsid w:val="798E2A40"/>
    <w:rsid w:val="799139C7"/>
    <w:rsid w:val="799314ED"/>
    <w:rsid w:val="799460F3"/>
    <w:rsid w:val="799E4E4D"/>
    <w:rsid w:val="79C616A5"/>
    <w:rsid w:val="79CE4C1B"/>
    <w:rsid w:val="79CF2C9D"/>
    <w:rsid w:val="79E306C6"/>
    <w:rsid w:val="79E9735F"/>
    <w:rsid w:val="79F53FAD"/>
    <w:rsid w:val="7A1268B5"/>
    <w:rsid w:val="7A173ECC"/>
    <w:rsid w:val="7A2B2B3C"/>
    <w:rsid w:val="7A2C5A49"/>
    <w:rsid w:val="7A2D36EF"/>
    <w:rsid w:val="7A2D6DC8"/>
    <w:rsid w:val="7A39345C"/>
    <w:rsid w:val="7A4602B8"/>
    <w:rsid w:val="7A4647B1"/>
    <w:rsid w:val="7A505DAD"/>
    <w:rsid w:val="7A5731A8"/>
    <w:rsid w:val="7A603AC5"/>
    <w:rsid w:val="7A637111"/>
    <w:rsid w:val="7A6A1AB9"/>
    <w:rsid w:val="7A6A78DB"/>
    <w:rsid w:val="7A6E2D41"/>
    <w:rsid w:val="7A710BA7"/>
    <w:rsid w:val="7A754286"/>
    <w:rsid w:val="7A807F4C"/>
    <w:rsid w:val="7A8378C2"/>
    <w:rsid w:val="7A88301C"/>
    <w:rsid w:val="7A8D62FA"/>
    <w:rsid w:val="7A923E9A"/>
    <w:rsid w:val="7A932034"/>
    <w:rsid w:val="7A977FC5"/>
    <w:rsid w:val="7AA5597C"/>
    <w:rsid w:val="7AA833A4"/>
    <w:rsid w:val="7AAF67FA"/>
    <w:rsid w:val="7AB67B89"/>
    <w:rsid w:val="7ABB3F96"/>
    <w:rsid w:val="7ABB6F4D"/>
    <w:rsid w:val="7ABC158E"/>
    <w:rsid w:val="7ABC24D7"/>
    <w:rsid w:val="7ABF6014"/>
    <w:rsid w:val="7AC47FDA"/>
    <w:rsid w:val="7ACD5386"/>
    <w:rsid w:val="7ACF0C4A"/>
    <w:rsid w:val="7ACF47A6"/>
    <w:rsid w:val="7ADD519D"/>
    <w:rsid w:val="7AEC4D72"/>
    <w:rsid w:val="7AF34939"/>
    <w:rsid w:val="7AF65D6A"/>
    <w:rsid w:val="7AF7106B"/>
    <w:rsid w:val="7AFB37ED"/>
    <w:rsid w:val="7AFF62DC"/>
    <w:rsid w:val="7AFF67A2"/>
    <w:rsid w:val="7B05660A"/>
    <w:rsid w:val="7B1B3E90"/>
    <w:rsid w:val="7B2B077A"/>
    <w:rsid w:val="7B2F5472"/>
    <w:rsid w:val="7B3311D9"/>
    <w:rsid w:val="7B396B7D"/>
    <w:rsid w:val="7B3D4B20"/>
    <w:rsid w:val="7B3D7962"/>
    <w:rsid w:val="7B4F7695"/>
    <w:rsid w:val="7B537186"/>
    <w:rsid w:val="7B581AC3"/>
    <w:rsid w:val="7B6B5B27"/>
    <w:rsid w:val="7B713AB0"/>
    <w:rsid w:val="7B831689"/>
    <w:rsid w:val="7BA9512D"/>
    <w:rsid w:val="7BC254CF"/>
    <w:rsid w:val="7BC26C10"/>
    <w:rsid w:val="7BE00B87"/>
    <w:rsid w:val="7BE246C4"/>
    <w:rsid w:val="7BEB4301"/>
    <w:rsid w:val="7BEC12EC"/>
    <w:rsid w:val="7BEC3136"/>
    <w:rsid w:val="7BED0F85"/>
    <w:rsid w:val="7BED75E5"/>
    <w:rsid w:val="7BEE728A"/>
    <w:rsid w:val="7BEF3120"/>
    <w:rsid w:val="7BEFF81C"/>
    <w:rsid w:val="7BF546E1"/>
    <w:rsid w:val="7BF55794"/>
    <w:rsid w:val="7BF96898"/>
    <w:rsid w:val="7C0051D3"/>
    <w:rsid w:val="7C021BFF"/>
    <w:rsid w:val="7C0972AA"/>
    <w:rsid w:val="7C1B3D98"/>
    <w:rsid w:val="7C246D74"/>
    <w:rsid w:val="7C377F58"/>
    <w:rsid w:val="7C4C264F"/>
    <w:rsid w:val="7C4D08BF"/>
    <w:rsid w:val="7C53272D"/>
    <w:rsid w:val="7C596A1E"/>
    <w:rsid w:val="7C635BB6"/>
    <w:rsid w:val="7C655B98"/>
    <w:rsid w:val="7C691019"/>
    <w:rsid w:val="7C6C2CF0"/>
    <w:rsid w:val="7C760E26"/>
    <w:rsid w:val="7C7A6994"/>
    <w:rsid w:val="7C7E46D6"/>
    <w:rsid w:val="7C815F74"/>
    <w:rsid w:val="7C831CEC"/>
    <w:rsid w:val="7C8F0691"/>
    <w:rsid w:val="7C97070F"/>
    <w:rsid w:val="7C9D177F"/>
    <w:rsid w:val="7C9F2371"/>
    <w:rsid w:val="7C9F63FA"/>
    <w:rsid w:val="7CA7192E"/>
    <w:rsid w:val="7CA8619F"/>
    <w:rsid w:val="7CAF2AE1"/>
    <w:rsid w:val="7CB225D2"/>
    <w:rsid w:val="7CB34B68"/>
    <w:rsid w:val="7CB46824"/>
    <w:rsid w:val="7CCC021E"/>
    <w:rsid w:val="7CCE4FF6"/>
    <w:rsid w:val="7CD2057E"/>
    <w:rsid w:val="7CD4792B"/>
    <w:rsid w:val="7CD940D7"/>
    <w:rsid w:val="7CDE1088"/>
    <w:rsid w:val="7CE704CD"/>
    <w:rsid w:val="7CF3248A"/>
    <w:rsid w:val="7D0042EC"/>
    <w:rsid w:val="7D0175BF"/>
    <w:rsid w:val="7D0F49D7"/>
    <w:rsid w:val="7D1053DC"/>
    <w:rsid w:val="7D1965EB"/>
    <w:rsid w:val="7D1D6273"/>
    <w:rsid w:val="7D281EBD"/>
    <w:rsid w:val="7D2C0EF9"/>
    <w:rsid w:val="7D2C7C8E"/>
    <w:rsid w:val="7D450D50"/>
    <w:rsid w:val="7D4B43A1"/>
    <w:rsid w:val="7D513B99"/>
    <w:rsid w:val="7D751B04"/>
    <w:rsid w:val="7D7B0C16"/>
    <w:rsid w:val="7D7B492C"/>
    <w:rsid w:val="7D7D673C"/>
    <w:rsid w:val="7D8A1BBB"/>
    <w:rsid w:val="7D8D3D7E"/>
    <w:rsid w:val="7D9677FD"/>
    <w:rsid w:val="7D9B0DD1"/>
    <w:rsid w:val="7DA15DA2"/>
    <w:rsid w:val="7DA63EE4"/>
    <w:rsid w:val="7DAE456B"/>
    <w:rsid w:val="7DAF3575"/>
    <w:rsid w:val="7DB639FC"/>
    <w:rsid w:val="7DBB1012"/>
    <w:rsid w:val="7DCB56F9"/>
    <w:rsid w:val="7DCE4DF6"/>
    <w:rsid w:val="7DD56578"/>
    <w:rsid w:val="7DD6409E"/>
    <w:rsid w:val="7DE33C3D"/>
    <w:rsid w:val="7DEC58BF"/>
    <w:rsid w:val="7DF03033"/>
    <w:rsid w:val="7DF804B8"/>
    <w:rsid w:val="7DFB58B2"/>
    <w:rsid w:val="7E0368D8"/>
    <w:rsid w:val="7E0470FA"/>
    <w:rsid w:val="7E163E97"/>
    <w:rsid w:val="7E1739A0"/>
    <w:rsid w:val="7E1B24C9"/>
    <w:rsid w:val="7E1C4C96"/>
    <w:rsid w:val="7E244BDB"/>
    <w:rsid w:val="7E251AE0"/>
    <w:rsid w:val="7E293579"/>
    <w:rsid w:val="7E2B3DA2"/>
    <w:rsid w:val="7E374B3D"/>
    <w:rsid w:val="7E3C190F"/>
    <w:rsid w:val="7E5971A9"/>
    <w:rsid w:val="7E5A648D"/>
    <w:rsid w:val="7E5F4740"/>
    <w:rsid w:val="7E631DD5"/>
    <w:rsid w:val="7E6401F6"/>
    <w:rsid w:val="7E663305"/>
    <w:rsid w:val="7E6B2A38"/>
    <w:rsid w:val="7E6D055E"/>
    <w:rsid w:val="7E6F077A"/>
    <w:rsid w:val="7E7074A7"/>
    <w:rsid w:val="7E720703"/>
    <w:rsid w:val="7E744B35"/>
    <w:rsid w:val="7E751B09"/>
    <w:rsid w:val="7E757ABD"/>
    <w:rsid w:val="7E7C72D4"/>
    <w:rsid w:val="7E8104AE"/>
    <w:rsid w:val="7E87442F"/>
    <w:rsid w:val="7E977CD1"/>
    <w:rsid w:val="7E996E25"/>
    <w:rsid w:val="7E9F76F2"/>
    <w:rsid w:val="7EA12A16"/>
    <w:rsid w:val="7EA339B2"/>
    <w:rsid w:val="7EA664F1"/>
    <w:rsid w:val="7EA94FED"/>
    <w:rsid w:val="7EBD3942"/>
    <w:rsid w:val="7ECD225B"/>
    <w:rsid w:val="7ED17B3E"/>
    <w:rsid w:val="7EDF04BA"/>
    <w:rsid w:val="7EE23801"/>
    <w:rsid w:val="7EF06E36"/>
    <w:rsid w:val="7EF300D6"/>
    <w:rsid w:val="7EF63574"/>
    <w:rsid w:val="7EF73380"/>
    <w:rsid w:val="7EFC3897"/>
    <w:rsid w:val="7F005876"/>
    <w:rsid w:val="7F0C5FC9"/>
    <w:rsid w:val="7F166E48"/>
    <w:rsid w:val="7F17496E"/>
    <w:rsid w:val="7F1EC1CF"/>
    <w:rsid w:val="7F233313"/>
    <w:rsid w:val="7F3177DE"/>
    <w:rsid w:val="7F3207CA"/>
    <w:rsid w:val="7F4C4618"/>
    <w:rsid w:val="7F5A27DA"/>
    <w:rsid w:val="7F5B2AAD"/>
    <w:rsid w:val="7F5B7CB9"/>
    <w:rsid w:val="7F5C05D3"/>
    <w:rsid w:val="7F5E259D"/>
    <w:rsid w:val="7F6000C3"/>
    <w:rsid w:val="7F663065"/>
    <w:rsid w:val="7F6776A3"/>
    <w:rsid w:val="7F6B1BAD"/>
    <w:rsid w:val="7F701B3E"/>
    <w:rsid w:val="7F7122D0"/>
    <w:rsid w:val="7F765B38"/>
    <w:rsid w:val="7F783734"/>
    <w:rsid w:val="7F7B4EFD"/>
    <w:rsid w:val="7F7D5708"/>
    <w:rsid w:val="7F911DDB"/>
    <w:rsid w:val="7F9935D5"/>
    <w:rsid w:val="7F9A7290"/>
    <w:rsid w:val="7FAA77D2"/>
    <w:rsid w:val="7FAD6F33"/>
    <w:rsid w:val="7FB02E22"/>
    <w:rsid w:val="7FB41CEA"/>
    <w:rsid w:val="7FC00703"/>
    <w:rsid w:val="7FD73216"/>
    <w:rsid w:val="7FD76069"/>
    <w:rsid w:val="7FE117F7"/>
    <w:rsid w:val="7FE57A5D"/>
    <w:rsid w:val="7FF9061E"/>
    <w:rsid w:val="7FFA4074"/>
    <w:rsid w:val="983E8831"/>
    <w:rsid w:val="AB7E4BDD"/>
    <w:rsid w:val="B9391AD9"/>
    <w:rsid w:val="BDDDAB8D"/>
    <w:rsid w:val="FBDF351C"/>
    <w:rsid w:val="FFDB3155"/>
    <w:rsid w:val="FFED065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uiPriority="0" w:name="toc 5"/>
    <w:lsdException w:qFormat="1" w:uiPriority="39"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99" w:semiHidden="0" w:name="page number"/>
    <w:lsdException w:uiPriority="0" w:name="endnote reference"/>
    <w:lsdException w:qFormat="1" w:unhideWhenUsed="0" w:uiPriority="99"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00" w:lineRule="exact"/>
      <w:ind w:firstLine="36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111"/>
    <w:autoRedefine/>
    <w:qFormat/>
    <w:uiPriority w:val="0"/>
    <w:pPr>
      <w:keepNext/>
      <w:numPr>
        <w:ilvl w:val="0"/>
        <w:numId w:val="1"/>
      </w:numPr>
      <w:tabs>
        <w:tab w:val="left" w:pos="480"/>
      </w:tabs>
      <w:spacing w:beforeLines="100" w:afterLines="100" w:line="240" w:lineRule="auto"/>
      <w:ind w:firstLineChars="0"/>
      <w:jc w:val="center"/>
      <w:outlineLvl w:val="0"/>
    </w:pPr>
    <w:rPr>
      <w:b/>
      <w:sz w:val="36"/>
      <w:szCs w:val="20"/>
    </w:rPr>
  </w:style>
  <w:style w:type="paragraph" w:styleId="4">
    <w:name w:val="heading 2"/>
    <w:basedOn w:val="1"/>
    <w:next w:val="1"/>
    <w:link w:val="73"/>
    <w:autoRedefine/>
    <w:unhideWhenUsed/>
    <w:qFormat/>
    <w:uiPriority w:val="0"/>
    <w:pPr>
      <w:keepNext/>
      <w:keepLines/>
      <w:numPr>
        <w:ilvl w:val="1"/>
        <w:numId w:val="1"/>
      </w:numPr>
      <w:tabs>
        <w:tab w:val="left" w:pos="480"/>
      </w:tabs>
      <w:spacing w:beforeLines="50" w:afterLines="50" w:line="240" w:lineRule="auto"/>
      <w:ind w:firstLineChars="0"/>
      <w:jc w:val="center"/>
      <w:outlineLvl w:val="1"/>
    </w:pPr>
    <w:rPr>
      <w:rFonts w:ascii="Arial" w:hAnsi="Arial"/>
      <w:bCs/>
      <w:sz w:val="30"/>
      <w:szCs w:val="32"/>
    </w:rPr>
  </w:style>
  <w:style w:type="paragraph" w:styleId="5">
    <w:name w:val="heading 3"/>
    <w:basedOn w:val="1"/>
    <w:next w:val="1"/>
    <w:link w:val="90"/>
    <w:autoRedefine/>
    <w:unhideWhenUsed/>
    <w:qFormat/>
    <w:uiPriority w:val="0"/>
    <w:pPr>
      <w:numPr>
        <w:ilvl w:val="2"/>
        <w:numId w:val="1"/>
      </w:numPr>
      <w:tabs>
        <w:tab w:val="left" w:pos="2651"/>
      </w:tabs>
      <w:ind w:firstLineChars="0"/>
      <w:jc w:val="left"/>
      <w:outlineLvl w:val="2"/>
    </w:pPr>
    <w:rPr>
      <w:rFonts w:ascii="仿宋_GB2312" w:hAnsi="仿宋_GB2312"/>
      <w:b/>
      <w:kern w:val="0"/>
      <w:sz w:val="28"/>
      <w:szCs w:val="20"/>
    </w:rPr>
  </w:style>
  <w:style w:type="paragraph" w:styleId="6">
    <w:name w:val="heading 4"/>
    <w:basedOn w:val="1"/>
    <w:next w:val="1"/>
    <w:autoRedefine/>
    <w:unhideWhenUsed/>
    <w:qFormat/>
    <w:uiPriority w:val="0"/>
    <w:pPr>
      <w:keepNext/>
      <w:keepLines/>
      <w:numPr>
        <w:ilvl w:val="3"/>
        <w:numId w:val="1"/>
      </w:numPr>
      <w:spacing w:line="372" w:lineRule="auto"/>
      <w:ind w:firstLineChars="0"/>
      <w:outlineLvl w:val="3"/>
    </w:pPr>
    <w:rPr>
      <w:rFonts w:ascii="Arial" w:hAnsi="Arial" w:eastAsia="黑体"/>
      <w:b/>
      <w:sz w:val="28"/>
    </w:rPr>
  </w:style>
  <w:style w:type="paragraph" w:styleId="7">
    <w:name w:val="heading 5"/>
    <w:basedOn w:val="1"/>
    <w:next w:val="1"/>
    <w:autoRedefine/>
    <w:unhideWhenUsed/>
    <w:qFormat/>
    <w:uiPriority w:val="0"/>
    <w:pPr>
      <w:keepNext/>
      <w:keepLines/>
      <w:numPr>
        <w:ilvl w:val="4"/>
        <w:numId w:val="1"/>
      </w:numPr>
      <w:spacing w:line="372" w:lineRule="auto"/>
      <w:ind w:firstLineChars="0"/>
      <w:outlineLvl w:val="4"/>
    </w:pPr>
    <w:rPr>
      <w:b/>
      <w:sz w:val="28"/>
    </w:rPr>
  </w:style>
  <w:style w:type="paragraph" w:styleId="8">
    <w:name w:val="heading 6"/>
    <w:basedOn w:val="1"/>
    <w:next w:val="1"/>
    <w:autoRedefine/>
    <w:qFormat/>
    <w:uiPriority w:val="0"/>
    <w:pPr>
      <w:keepNext/>
      <w:keepLines/>
      <w:widowControl/>
      <w:numPr>
        <w:ilvl w:val="5"/>
        <w:numId w:val="1"/>
      </w:numPr>
      <w:tabs>
        <w:tab w:val="left" w:pos="1440"/>
      </w:tabs>
      <w:spacing w:before="240" w:after="64" w:line="317" w:lineRule="auto"/>
      <w:ind w:firstLineChars="0"/>
      <w:jc w:val="left"/>
      <w:outlineLvl w:val="5"/>
    </w:pPr>
    <w:rPr>
      <w:rFonts w:ascii="Arial" w:hAnsi="Arial" w:eastAsia="黑体"/>
      <w:b/>
      <w:kern w:val="0"/>
      <w:szCs w:val="20"/>
    </w:rPr>
  </w:style>
  <w:style w:type="paragraph" w:styleId="9">
    <w:name w:val="heading 7"/>
    <w:basedOn w:val="1"/>
    <w:next w:val="1"/>
    <w:autoRedefine/>
    <w:semiHidden/>
    <w:unhideWhenUsed/>
    <w:qFormat/>
    <w:uiPriority w:val="0"/>
    <w:pPr>
      <w:keepNext/>
      <w:keepLines/>
      <w:numPr>
        <w:ilvl w:val="6"/>
        <w:numId w:val="1"/>
      </w:numPr>
      <w:spacing w:before="240" w:after="64" w:line="317" w:lineRule="auto"/>
      <w:ind w:firstLineChars="0"/>
      <w:outlineLvl w:val="6"/>
    </w:pPr>
    <w:rPr>
      <w:b/>
    </w:rPr>
  </w:style>
  <w:style w:type="paragraph" w:styleId="10">
    <w:name w:val="heading 8"/>
    <w:basedOn w:val="1"/>
    <w:next w:val="1"/>
    <w:autoRedefine/>
    <w:semiHidden/>
    <w:unhideWhenUsed/>
    <w:qFormat/>
    <w:uiPriority w:val="0"/>
    <w:pPr>
      <w:keepNext/>
      <w:keepLines/>
      <w:numPr>
        <w:ilvl w:val="7"/>
        <w:numId w:val="1"/>
      </w:numPr>
      <w:spacing w:before="240" w:after="64" w:line="317" w:lineRule="auto"/>
      <w:ind w:firstLineChars="0"/>
      <w:outlineLvl w:val="7"/>
    </w:pPr>
    <w:rPr>
      <w:rFonts w:ascii="Arial" w:hAnsi="Arial" w:eastAsia="黑体"/>
    </w:rPr>
  </w:style>
  <w:style w:type="paragraph" w:styleId="11">
    <w:name w:val="heading 9"/>
    <w:basedOn w:val="1"/>
    <w:next w:val="1"/>
    <w:autoRedefine/>
    <w:semiHidden/>
    <w:unhideWhenUsed/>
    <w:qFormat/>
    <w:uiPriority w:val="0"/>
    <w:pPr>
      <w:keepNext/>
      <w:keepLines/>
      <w:numPr>
        <w:ilvl w:val="8"/>
        <w:numId w:val="1"/>
      </w:numPr>
      <w:spacing w:before="240" w:after="64" w:line="317" w:lineRule="auto"/>
      <w:ind w:firstLineChars="0"/>
      <w:outlineLvl w:val="8"/>
    </w:pPr>
    <w:rPr>
      <w:rFonts w:ascii="Arial" w:hAnsi="Arial" w:eastAsia="黑体"/>
      <w:sz w:val="21"/>
    </w:rPr>
  </w:style>
  <w:style w:type="character" w:default="1" w:styleId="38">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2">
    <w:name w:val="List 2"/>
    <w:basedOn w:val="1"/>
    <w:autoRedefine/>
    <w:qFormat/>
    <w:uiPriority w:val="99"/>
    <w:pPr>
      <w:ind w:left="100" w:leftChars="200" w:hanging="200" w:hangingChars="200"/>
      <w:contextualSpacing/>
    </w:pPr>
  </w:style>
  <w:style w:type="paragraph" w:styleId="12">
    <w:name w:val="Normal Indent"/>
    <w:basedOn w:val="1"/>
    <w:autoRedefine/>
    <w:qFormat/>
    <w:uiPriority w:val="0"/>
    <w:pPr>
      <w:ind w:firstLine="420"/>
    </w:pPr>
    <w:rPr>
      <w:rFonts w:ascii="Calibri" w:hAnsi="Calibri" w:cs="Times New Roman"/>
    </w:rPr>
  </w:style>
  <w:style w:type="paragraph" w:styleId="13">
    <w:name w:val="caption"/>
    <w:basedOn w:val="1"/>
    <w:next w:val="1"/>
    <w:autoRedefine/>
    <w:qFormat/>
    <w:uiPriority w:val="0"/>
    <w:rPr>
      <w:rFonts w:ascii="Arial" w:hAnsi="Arial" w:eastAsia="黑体" w:cs="Arial"/>
      <w:sz w:val="20"/>
      <w:szCs w:val="20"/>
    </w:rPr>
  </w:style>
  <w:style w:type="paragraph" w:styleId="14">
    <w:name w:val="annotation text"/>
    <w:basedOn w:val="1"/>
    <w:autoRedefine/>
    <w:unhideWhenUsed/>
    <w:qFormat/>
    <w:uiPriority w:val="0"/>
    <w:pPr>
      <w:jc w:val="left"/>
    </w:pPr>
  </w:style>
  <w:style w:type="paragraph" w:styleId="15">
    <w:name w:val="Body Text 3"/>
    <w:basedOn w:val="1"/>
    <w:autoRedefine/>
    <w:qFormat/>
    <w:uiPriority w:val="0"/>
    <w:pPr>
      <w:snapToGrid w:val="0"/>
    </w:pPr>
  </w:style>
  <w:style w:type="paragraph" w:styleId="16">
    <w:name w:val="Body Text"/>
    <w:basedOn w:val="1"/>
    <w:next w:val="17"/>
    <w:link w:val="62"/>
    <w:autoRedefine/>
    <w:qFormat/>
    <w:uiPriority w:val="0"/>
    <w:pPr>
      <w:jc w:val="left"/>
    </w:pPr>
    <w:rPr>
      <w:bCs/>
    </w:rPr>
  </w:style>
  <w:style w:type="paragraph" w:styleId="17">
    <w:name w:val="Body Text First Indent"/>
    <w:basedOn w:val="16"/>
    <w:next w:val="1"/>
    <w:autoRedefine/>
    <w:qFormat/>
    <w:uiPriority w:val="0"/>
    <w:pPr>
      <w:spacing w:after="120"/>
      <w:ind w:firstLine="420" w:firstLineChars="100"/>
      <w:jc w:val="both"/>
    </w:pPr>
    <w:rPr>
      <w:rFonts w:ascii="Calibri" w:hAnsi="Calibri" w:cs="Times New Roman"/>
      <w:sz w:val="21"/>
      <w:szCs w:val="21"/>
    </w:rPr>
  </w:style>
  <w:style w:type="paragraph" w:styleId="18">
    <w:name w:val="Body Text Indent"/>
    <w:basedOn w:val="1"/>
    <w:next w:val="1"/>
    <w:link w:val="80"/>
    <w:autoRedefine/>
    <w:qFormat/>
    <w:uiPriority w:val="0"/>
    <w:pPr>
      <w:ind w:left="420" w:leftChars="200"/>
    </w:pPr>
  </w:style>
  <w:style w:type="paragraph" w:styleId="19">
    <w:name w:val="toc 3"/>
    <w:basedOn w:val="1"/>
    <w:next w:val="1"/>
    <w:autoRedefine/>
    <w:unhideWhenUsed/>
    <w:qFormat/>
    <w:uiPriority w:val="0"/>
    <w:pPr>
      <w:ind w:left="840" w:leftChars="400"/>
    </w:pPr>
  </w:style>
  <w:style w:type="paragraph" w:styleId="20">
    <w:name w:val="Plain Text"/>
    <w:basedOn w:val="1"/>
    <w:next w:val="1"/>
    <w:autoRedefine/>
    <w:qFormat/>
    <w:uiPriority w:val="0"/>
    <w:rPr>
      <w:rFonts w:ascii="宋体" w:hAnsi="Courier New"/>
      <w:szCs w:val="20"/>
    </w:rPr>
  </w:style>
  <w:style w:type="paragraph" w:styleId="21">
    <w:name w:val="Date"/>
    <w:basedOn w:val="1"/>
    <w:next w:val="1"/>
    <w:autoRedefine/>
    <w:qFormat/>
    <w:uiPriority w:val="0"/>
    <w:rPr>
      <w:rFonts w:ascii="楷体_GB2312" w:eastAsia="楷体_GB2312"/>
      <w:b/>
      <w:sz w:val="28"/>
    </w:rPr>
  </w:style>
  <w:style w:type="paragraph" w:styleId="22">
    <w:name w:val="Body Text Indent 2"/>
    <w:basedOn w:val="1"/>
    <w:autoRedefine/>
    <w:qFormat/>
    <w:uiPriority w:val="0"/>
    <w:pPr>
      <w:spacing w:line="432" w:lineRule="auto"/>
      <w:ind w:firstLine="480"/>
    </w:pPr>
    <w:rPr>
      <w:szCs w:val="21"/>
    </w:rPr>
  </w:style>
  <w:style w:type="paragraph" w:styleId="23">
    <w:name w:val="endnote text"/>
    <w:basedOn w:val="1"/>
    <w:autoRedefine/>
    <w:qFormat/>
    <w:uiPriority w:val="99"/>
    <w:rPr>
      <w:rFonts w:ascii="Calibri" w:hAnsi="Calibri" w:cs="Calibri" w:eastAsiaTheme="minorEastAsia"/>
      <w:sz w:val="21"/>
      <w:szCs w:val="21"/>
    </w:rPr>
  </w:style>
  <w:style w:type="paragraph" w:styleId="24">
    <w:name w:val="Balloon Text"/>
    <w:basedOn w:val="1"/>
    <w:link w:val="79"/>
    <w:autoRedefine/>
    <w:qFormat/>
    <w:uiPriority w:val="0"/>
    <w:pPr>
      <w:spacing w:line="240" w:lineRule="auto"/>
    </w:pPr>
    <w:rPr>
      <w:sz w:val="18"/>
      <w:szCs w:val="18"/>
    </w:rPr>
  </w:style>
  <w:style w:type="paragraph" w:styleId="25">
    <w:name w:val="footer"/>
    <w:basedOn w:val="1"/>
    <w:autoRedefine/>
    <w:qFormat/>
    <w:uiPriority w:val="0"/>
    <w:pPr>
      <w:tabs>
        <w:tab w:val="center" w:pos="4153"/>
        <w:tab w:val="right" w:pos="8306"/>
      </w:tabs>
      <w:snapToGrid w:val="0"/>
      <w:jc w:val="left"/>
    </w:pPr>
    <w:rPr>
      <w:sz w:val="18"/>
      <w:szCs w:val="18"/>
    </w:rPr>
  </w:style>
  <w:style w:type="paragraph" w:styleId="26">
    <w:name w:val="header"/>
    <w:basedOn w:val="1"/>
    <w:autoRedefine/>
    <w:qFormat/>
    <w:uiPriority w:val="0"/>
    <w:pPr>
      <w:pBdr>
        <w:bottom w:val="single" w:color="auto" w:sz="6" w:space="1"/>
      </w:pBdr>
      <w:tabs>
        <w:tab w:val="center" w:pos="4153"/>
        <w:tab w:val="right" w:pos="8306"/>
      </w:tabs>
      <w:snapToGrid w:val="0"/>
      <w:jc w:val="center"/>
    </w:pPr>
    <w:rPr>
      <w:b/>
      <w:sz w:val="18"/>
      <w:szCs w:val="18"/>
    </w:rPr>
  </w:style>
  <w:style w:type="paragraph" w:styleId="27">
    <w:name w:val="toc 1"/>
    <w:basedOn w:val="1"/>
    <w:next w:val="1"/>
    <w:autoRedefine/>
    <w:qFormat/>
    <w:uiPriority w:val="0"/>
    <w:pPr>
      <w:tabs>
        <w:tab w:val="right" w:leader="hyphen" w:pos="9628"/>
      </w:tabs>
      <w:spacing w:line="800" w:lineRule="exact"/>
      <w:jc w:val="left"/>
    </w:pPr>
    <w:rPr>
      <w:rFonts w:ascii="新宋体" w:hAnsi="新宋体" w:eastAsia="新宋体"/>
      <w:b/>
      <w:bCs/>
      <w:caps/>
      <w:sz w:val="28"/>
      <w:szCs w:val="28"/>
    </w:rPr>
  </w:style>
  <w:style w:type="paragraph" w:styleId="28">
    <w:name w:val="toc 4"/>
    <w:basedOn w:val="1"/>
    <w:next w:val="1"/>
    <w:autoRedefine/>
    <w:qFormat/>
    <w:uiPriority w:val="0"/>
    <w:pPr>
      <w:ind w:left="630"/>
      <w:jc w:val="left"/>
    </w:pPr>
    <w:rPr>
      <w:sz w:val="18"/>
      <w:szCs w:val="18"/>
    </w:rPr>
  </w:style>
  <w:style w:type="paragraph" w:styleId="29">
    <w:name w:val="Subtitle"/>
    <w:basedOn w:val="1"/>
    <w:next w:val="1"/>
    <w:autoRedefine/>
    <w:qFormat/>
    <w:uiPriority w:val="0"/>
    <w:pPr>
      <w:spacing w:before="240" w:after="60" w:line="312" w:lineRule="auto"/>
      <w:jc w:val="center"/>
      <w:outlineLvl w:val="1"/>
    </w:pPr>
    <w:rPr>
      <w:rFonts w:ascii="Cambria" w:hAnsi="Cambria"/>
      <w:b/>
      <w:bCs/>
      <w:kern w:val="28"/>
      <w:sz w:val="32"/>
      <w:szCs w:val="32"/>
    </w:rPr>
  </w:style>
  <w:style w:type="paragraph" w:styleId="30">
    <w:name w:val="toc 6"/>
    <w:basedOn w:val="1"/>
    <w:next w:val="1"/>
    <w:autoRedefine/>
    <w:unhideWhenUsed/>
    <w:qFormat/>
    <w:uiPriority w:val="39"/>
    <w:pPr>
      <w:spacing w:line="240" w:lineRule="auto"/>
      <w:ind w:left="1050" w:firstLine="0" w:firstLineChars="0"/>
      <w:jc w:val="left"/>
    </w:pPr>
    <w:rPr>
      <w:szCs w:val="21"/>
    </w:rPr>
  </w:style>
  <w:style w:type="paragraph" w:styleId="31">
    <w:name w:val="table of figures"/>
    <w:basedOn w:val="1"/>
    <w:next w:val="1"/>
    <w:autoRedefine/>
    <w:unhideWhenUsed/>
    <w:qFormat/>
    <w:uiPriority w:val="0"/>
    <w:pPr>
      <w:tabs>
        <w:tab w:val="left" w:pos="1270"/>
      </w:tabs>
      <w:spacing w:line="360" w:lineRule="auto"/>
      <w:ind w:left="1270" w:hanging="420"/>
      <w:jc w:val="left"/>
    </w:pPr>
    <w:rPr>
      <w:smallCaps/>
      <w:sz w:val="20"/>
      <w:szCs w:val="20"/>
    </w:rPr>
  </w:style>
  <w:style w:type="paragraph" w:styleId="32">
    <w:name w:val="toc 2"/>
    <w:basedOn w:val="1"/>
    <w:next w:val="1"/>
    <w:autoRedefine/>
    <w:qFormat/>
    <w:uiPriority w:val="0"/>
    <w:pPr>
      <w:tabs>
        <w:tab w:val="right" w:leader="hyphen" w:pos="9628"/>
      </w:tabs>
      <w:spacing w:line="800" w:lineRule="exact"/>
      <w:ind w:left="420" w:leftChars="200"/>
      <w:jc w:val="left"/>
    </w:pPr>
    <w:rPr>
      <w:rFonts w:ascii="宋体" w:hAnsi="宋体"/>
      <w:b/>
      <w:smallCaps/>
    </w:rPr>
  </w:style>
  <w:style w:type="paragraph" w:styleId="3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style>
  <w:style w:type="paragraph" w:styleId="34">
    <w:name w:val="Normal (Web)"/>
    <w:basedOn w:val="1"/>
    <w:autoRedefine/>
    <w:qFormat/>
    <w:uiPriority w:val="0"/>
    <w:pPr>
      <w:widowControl/>
      <w:spacing w:before="100" w:beforeAutospacing="1" w:after="100" w:afterAutospacing="1"/>
      <w:jc w:val="left"/>
    </w:pPr>
    <w:rPr>
      <w:rFonts w:ascii="宋体" w:hAnsi="宋体"/>
      <w:kern w:val="0"/>
    </w:rPr>
  </w:style>
  <w:style w:type="paragraph" w:styleId="35">
    <w:name w:val="Body Text First Indent 2"/>
    <w:basedOn w:val="18"/>
    <w:next w:val="16"/>
    <w:autoRedefine/>
    <w:qFormat/>
    <w:uiPriority w:val="0"/>
    <w:pPr>
      <w:snapToGrid w:val="0"/>
      <w:spacing w:after="120" w:line="240" w:lineRule="auto"/>
      <w:ind w:firstLine="420"/>
    </w:pPr>
    <w:rPr>
      <w:rFonts w:hint="eastAsia" w:ascii="宋体" w:cs="Times New Roman"/>
      <w:kern w:val="0"/>
      <w:sz w:val="21"/>
      <w:szCs w:val="21"/>
    </w:rPr>
  </w:style>
  <w:style w:type="table" w:styleId="37">
    <w:name w:val="Table Grid"/>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39">
    <w:name w:val="Strong"/>
    <w:basedOn w:val="38"/>
    <w:autoRedefine/>
    <w:qFormat/>
    <w:uiPriority w:val="0"/>
    <w:rPr>
      <w:b/>
      <w:bCs/>
    </w:rPr>
  </w:style>
  <w:style w:type="character" w:styleId="40">
    <w:name w:val="page number"/>
    <w:basedOn w:val="38"/>
    <w:autoRedefine/>
    <w:unhideWhenUsed/>
    <w:qFormat/>
    <w:uiPriority w:val="99"/>
  </w:style>
  <w:style w:type="character" w:styleId="41">
    <w:name w:val="Hyperlink"/>
    <w:basedOn w:val="38"/>
    <w:autoRedefine/>
    <w:qFormat/>
    <w:uiPriority w:val="0"/>
    <w:rPr>
      <w:color w:val="0000FF"/>
      <w:u w:val="single"/>
    </w:rPr>
  </w:style>
  <w:style w:type="paragraph" w:customStyle="1" w:styleId="42">
    <w:name w:val="样式 表格正文 + 两端对齐"/>
    <w:basedOn w:val="1"/>
    <w:next w:val="43"/>
    <w:autoRedefine/>
    <w:qFormat/>
    <w:uiPriority w:val="0"/>
    <w:pPr>
      <w:spacing w:line="300" w:lineRule="auto"/>
      <w:ind w:firstLine="0"/>
    </w:pPr>
  </w:style>
  <w:style w:type="paragraph" w:customStyle="1" w:styleId="43">
    <w:name w:val="正文1"/>
    <w:basedOn w:val="19"/>
    <w:next w:val="44"/>
    <w:autoRedefine/>
    <w:qFormat/>
    <w:uiPriority w:val="0"/>
    <w:pPr>
      <w:widowControl/>
      <w:snapToGrid w:val="0"/>
      <w:ind w:firstLine="567"/>
    </w:pPr>
    <w:rPr>
      <w:rFonts w:ascii="楷体_GB2312" w:eastAsia="楷体_GB2312"/>
      <w:kern w:val="0"/>
      <w:sz w:val="28"/>
      <w:szCs w:val="20"/>
    </w:rPr>
  </w:style>
  <w:style w:type="paragraph" w:customStyle="1" w:styleId="44">
    <w:name w:val="自动更正"/>
    <w:next w:val="4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xl39"/>
    <w:basedOn w:val="1"/>
    <w:next w:val="46"/>
    <w:autoRedefine/>
    <w:qFormat/>
    <w:uiPriority w:val="0"/>
    <w:pPr>
      <w:widowControl/>
      <w:pBdr>
        <w:top w:val="single" w:color="auto" w:sz="4" w:space="0"/>
        <w:bottom w:val="single" w:color="auto" w:sz="4" w:space="0"/>
        <w:right w:val="single" w:color="auto" w:sz="4" w:space="0"/>
      </w:pBdr>
      <w:spacing w:before="100" w:after="100"/>
      <w:jc w:val="left"/>
      <w:textAlignment w:val="center"/>
    </w:pPr>
    <w:rPr>
      <w:kern w:val="0"/>
      <w:szCs w:val="20"/>
    </w:rPr>
  </w:style>
  <w:style w:type="paragraph" w:customStyle="1" w:styleId="46">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 w:type="paragraph" w:customStyle="1" w:styleId="47">
    <w:name w:val="文章正文"/>
    <w:basedOn w:val="1"/>
    <w:next w:val="48"/>
    <w:autoRedefine/>
    <w:qFormat/>
    <w:uiPriority w:val="0"/>
    <w:pPr>
      <w:spacing w:line="360" w:lineRule="auto"/>
      <w:ind w:firstLine="200"/>
    </w:pPr>
    <w:rPr>
      <w:rFonts w:ascii="Calibri" w:hAnsi="Calibri" w:cs="Times New Roman"/>
    </w:rPr>
  </w:style>
  <w:style w:type="paragraph" w:customStyle="1" w:styleId="48">
    <w:name w:val="公式样式 变量"/>
    <w:autoRedefine/>
    <w:qFormat/>
    <w:uiPriority w:val="0"/>
    <w:rPr>
      <w:rFonts w:ascii="Times New Roman" w:hAnsi="Times New Roman" w:eastAsia="宋体" w:cs="Times New Roman"/>
      <w:i/>
      <w:lang w:val="en-US" w:eastAsia="zh-CN" w:bidi="ar-SA"/>
    </w:rPr>
  </w:style>
  <w:style w:type="paragraph" w:customStyle="1" w:styleId="49">
    <w:name w:val="正文 "/>
    <w:basedOn w:val="1"/>
    <w:autoRedefine/>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50">
    <w:name w:val="1正文"/>
    <w:basedOn w:val="1"/>
    <w:autoRedefine/>
    <w:qFormat/>
    <w:uiPriority w:val="0"/>
    <w:pPr>
      <w:snapToGrid/>
      <w:ind w:firstLine="480"/>
      <w:contextualSpacing/>
      <w:jc w:val="left"/>
    </w:pPr>
    <w:rPr>
      <w:rFonts w:ascii="仿宋" w:hAnsi="Times New Roman" w:eastAsiaTheme="minorEastAsia"/>
      <w:bCs/>
      <w:color w:val="000000"/>
      <w:sz w:val="24"/>
      <w:szCs w:val="30"/>
    </w:rPr>
  </w:style>
  <w:style w:type="paragraph" w:customStyle="1" w:styleId="51">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52">
    <w:name w:val="Heading2"/>
    <w:basedOn w:val="1"/>
    <w:next w:val="1"/>
    <w:autoRedefine/>
    <w:qFormat/>
    <w:uiPriority w:val="0"/>
    <w:pPr>
      <w:keepNext/>
      <w:keepLines/>
      <w:spacing w:before="260" w:after="260" w:line="416" w:lineRule="auto"/>
    </w:pPr>
    <w:rPr>
      <w:rFonts w:ascii="Cambria" w:hAnsi="Cambria"/>
      <w:sz w:val="32"/>
      <w:szCs w:val="32"/>
    </w:rPr>
  </w:style>
  <w:style w:type="paragraph" w:customStyle="1" w:styleId="53">
    <w:name w:val="BodyText1I"/>
    <w:basedOn w:val="54"/>
    <w:autoRedefine/>
    <w:qFormat/>
    <w:uiPriority w:val="0"/>
    <w:pPr>
      <w:spacing w:after="120"/>
      <w:ind w:firstLine="420"/>
    </w:pPr>
    <w:rPr>
      <w:rFonts w:ascii="仿宋_GB2312" w:hAnsi="Times New Roman" w:eastAsia="仿宋_GB2312"/>
      <w:sz w:val="28"/>
      <w:lang w:bidi="ar-SA"/>
    </w:rPr>
  </w:style>
  <w:style w:type="paragraph" w:customStyle="1" w:styleId="54">
    <w:name w:val="BodyText"/>
    <w:basedOn w:val="1"/>
    <w:autoRedefine/>
    <w:qFormat/>
    <w:uiPriority w:val="0"/>
    <w:pPr>
      <w:textAlignment w:val="baseline"/>
    </w:pPr>
    <w:rPr>
      <w:rFonts w:ascii="仿宋" w:hAnsi="仿宋" w:eastAsia="仿宋"/>
      <w:lang w:val="zh-CN" w:bidi="zh-CN"/>
    </w:rPr>
  </w:style>
  <w:style w:type="paragraph" w:customStyle="1" w:styleId="55">
    <w:name w:val="标准正文"/>
    <w:basedOn w:val="1"/>
    <w:autoRedefine/>
    <w:qFormat/>
    <w:uiPriority w:val="0"/>
    <w:pPr>
      <w:spacing w:line="360" w:lineRule="auto"/>
      <w:ind w:firstLine="200"/>
    </w:pPr>
    <w:rPr>
      <w:szCs w:val="20"/>
    </w:rPr>
  </w:style>
  <w:style w:type="paragraph" w:customStyle="1" w:styleId="56">
    <w:name w:val="章正文"/>
    <w:basedOn w:val="1"/>
    <w:autoRedefine/>
    <w:qFormat/>
    <w:uiPriority w:val="0"/>
    <w:pPr>
      <w:spacing w:before="156" w:beforeLines="50" w:after="120" w:line="300" w:lineRule="auto"/>
      <w:ind w:firstLine="480"/>
    </w:pPr>
    <w:rPr>
      <w:rFonts w:ascii="Helvetica" w:hAnsi="Helvetica"/>
      <w:kern w:val="0"/>
    </w:rPr>
  </w:style>
  <w:style w:type="paragraph" w:customStyle="1" w:styleId="57">
    <w:name w:val="正文文本 31"/>
    <w:basedOn w:val="1"/>
    <w:autoRedefine/>
    <w:qFormat/>
    <w:uiPriority w:val="0"/>
    <w:rPr>
      <w:sz w:val="16"/>
      <w:szCs w:val="16"/>
    </w:rPr>
  </w:style>
  <w:style w:type="paragraph" w:customStyle="1" w:styleId="58">
    <w:name w:val="Char Char1 Char"/>
    <w:basedOn w:val="1"/>
    <w:autoRedefine/>
    <w:qFormat/>
    <w:uiPriority w:val="0"/>
  </w:style>
  <w:style w:type="character" w:customStyle="1" w:styleId="59">
    <w:name w:val="标题 2 Char"/>
    <w:basedOn w:val="38"/>
    <w:link w:val="4"/>
    <w:autoRedefine/>
    <w:qFormat/>
    <w:uiPriority w:val="0"/>
    <w:rPr>
      <w:rFonts w:ascii="Arial" w:hAnsi="Arial" w:eastAsia="宋体" w:cstheme="minorBidi"/>
      <w:b/>
      <w:bCs/>
      <w:sz w:val="28"/>
      <w:szCs w:val="32"/>
    </w:rPr>
  </w:style>
  <w:style w:type="character" w:customStyle="1" w:styleId="60">
    <w:name w:val="标题 3 Char"/>
    <w:autoRedefine/>
    <w:qFormat/>
    <w:uiPriority w:val="9"/>
    <w:rPr>
      <w:rFonts w:ascii="仿宋_GB2312" w:hAnsi="仿宋_GB2312" w:eastAsia="宋体" w:cstheme="minorBidi"/>
      <w:b/>
      <w:bCs/>
      <w:sz w:val="28"/>
      <w:szCs w:val="20"/>
    </w:rPr>
  </w:style>
  <w:style w:type="character" w:customStyle="1" w:styleId="61">
    <w:name w:val="标题 1 Char"/>
    <w:autoRedefine/>
    <w:qFormat/>
    <w:locked/>
    <w:uiPriority w:val="99"/>
    <w:rPr>
      <w:rFonts w:ascii="Times New Roman" w:hAnsi="Times New Roman" w:eastAsia="宋体" w:cstheme="minorBidi"/>
      <w:b/>
      <w:sz w:val="36"/>
      <w:szCs w:val="20"/>
    </w:rPr>
  </w:style>
  <w:style w:type="character" w:customStyle="1" w:styleId="62">
    <w:name w:val="正文文本 字符"/>
    <w:basedOn w:val="38"/>
    <w:link w:val="16"/>
    <w:autoRedefine/>
    <w:semiHidden/>
    <w:qFormat/>
    <w:locked/>
    <w:uiPriority w:val="99"/>
    <w:rPr>
      <w:rFonts w:ascii="Calibri" w:hAnsi="Calibri" w:eastAsia="仿宋" w:cs="Times New Roman"/>
      <w:sz w:val="24"/>
    </w:rPr>
  </w:style>
  <w:style w:type="paragraph" w:customStyle="1" w:styleId="63">
    <w:name w:val="普通(网站)1"/>
    <w:basedOn w:val="1"/>
    <w:autoRedefine/>
    <w:qFormat/>
    <w:uiPriority w:val="0"/>
    <w:pPr>
      <w:widowControl/>
      <w:spacing w:beforeAutospacing="1" w:afterAutospacing="1"/>
      <w:jc w:val="left"/>
    </w:pPr>
    <w:rPr>
      <w:rFonts w:ascii="宋体" w:hAnsi="宋体"/>
      <w:kern w:val="0"/>
      <w:szCs w:val="20"/>
    </w:rPr>
  </w:style>
  <w:style w:type="paragraph" w:customStyle="1" w:styleId="64">
    <w:name w:val="索引 11"/>
    <w:basedOn w:val="1"/>
    <w:next w:val="1"/>
    <w:autoRedefine/>
    <w:qFormat/>
    <w:uiPriority w:val="0"/>
    <w:pPr>
      <w:snapToGrid w:val="0"/>
    </w:pPr>
    <w:rPr>
      <w:szCs w:val="21"/>
    </w:rPr>
  </w:style>
  <w:style w:type="character" w:customStyle="1" w:styleId="65">
    <w:name w:val="large1"/>
    <w:autoRedefine/>
    <w:qFormat/>
    <w:uiPriority w:val="0"/>
    <w:rPr>
      <w:rFonts w:hint="eastAsia" w:ascii="宋体" w:hAnsi="宋体" w:eastAsia="宋体"/>
      <w:sz w:val="21"/>
      <w:szCs w:val="21"/>
    </w:rPr>
  </w:style>
  <w:style w:type="paragraph" w:customStyle="1" w:styleId="66">
    <w:name w:val="List Paragraph1"/>
    <w:basedOn w:val="1"/>
    <w:autoRedefine/>
    <w:qFormat/>
    <w:uiPriority w:val="0"/>
    <w:pPr>
      <w:widowControl/>
      <w:ind w:firstLine="420"/>
      <w:jc w:val="left"/>
    </w:pPr>
    <w:rPr>
      <w:rFonts w:ascii="Calibri" w:hAnsi="Calibri"/>
      <w:szCs w:val="22"/>
    </w:rPr>
  </w:style>
  <w:style w:type="paragraph" w:customStyle="1" w:styleId="67">
    <w:name w:val="Default"/>
    <w:next w:val="68"/>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8">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69">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0">
    <w:name w:val="正文_17"/>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1">
    <w:name w:val="DG正文"/>
    <w:basedOn w:val="1"/>
    <w:autoRedefine/>
    <w:qFormat/>
    <w:uiPriority w:val="0"/>
    <w:pPr>
      <w:widowControl/>
      <w:spacing w:line="360" w:lineRule="auto"/>
      <w:ind w:right="142" w:firstLine="640"/>
      <w:jc w:val="left"/>
    </w:pPr>
    <w:rPr>
      <w:rFonts w:ascii="Calibri" w:hAnsi="Calibri" w:cs="Calibri"/>
    </w:rPr>
  </w:style>
  <w:style w:type="paragraph" w:customStyle="1" w:styleId="72">
    <w:name w:val="正文 A"/>
    <w:autoRedefine/>
    <w:qFormat/>
    <w:uiPriority w:val="0"/>
    <w:rPr>
      <w:rFonts w:ascii="Times New Roman" w:hAnsi="Times New Roman" w:eastAsia="ヒラギノ角ゴ Pro W3" w:cs="Times New Roman"/>
      <w:color w:val="000000"/>
      <w:sz w:val="24"/>
      <w:szCs w:val="22"/>
      <w:lang w:val="en-US" w:eastAsia="zh-CN" w:bidi="ar-SA"/>
    </w:rPr>
  </w:style>
  <w:style w:type="character" w:customStyle="1" w:styleId="73">
    <w:name w:val="标题 2 字符"/>
    <w:basedOn w:val="38"/>
    <w:link w:val="4"/>
    <w:autoRedefine/>
    <w:qFormat/>
    <w:uiPriority w:val="0"/>
    <w:rPr>
      <w:rFonts w:ascii="Arial" w:hAnsi="Arial" w:eastAsia="宋体"/>
      <w:bCs/>
      <w:kern w:val="2"/>
      <w:sz w:val="30"/>
      <w:szCs w:val="32"/>
      <w:lang w:val="en-US" w:eastAsia="zh-CN" w:bidi="ar-SA"/>
    </w:rPr>
  </w:style>
  <w:style w:type="paragraph" w:customStyle="1" w:styleId="74">
    <w:name w:val="Proposals body"/>
    <w:basedOn w:val="1"/>
    <w:next w:val="1"/>
    <w:autoRedefine/>
    <w:qFormat/>
    <w:uiPriority w:val="0"/>
    <w:pPr>
      <w:widowControl/>
      <w:spacing w:line="360" w:lineRule="auto"/>
      <w:jc w:val="left"/>
    </w:pPr>
    <w:rPr>
      <w:rFonts w:ascii="宋体" w:eastAsia="仿宋_GB2312"/>
      <w:snapToGrid w:val="0"/>
      <w:color w:val="000000"/>
      <w:kern w:val="0"/>
      <w:szCs w:val="20"/>
    </w:rPr>
  </w:style>
  <w:style w:type="paragraph" w:customStyle="1" w:styleId="75">
    <w:name w:val="列出段落1"/>
    <w:basedOn w:val="1"/>
    <w:autoRedefine/>
    <w:qFormat/>
    <w:uiPriority w:val="34"/>
    <w:pPr>
      <w:ind w:firstLine="420"/>
    </w:pPr>
  </w:style>
  <w:style w:type="paragraph" w:customStyle="1" w:styleId="76">
    <w:name w:val="L正文"/>
    <w:basedOn w:val="1"/>
    <w:autoRedefine/>
    <w:qFormat/>
    <w:uiPriority w:val="0"/>
    <w:pPr>
      <w:spacing w:afterLines="50" w:line="240" w:lineRule="auto"/>
      <w:ind w:left="160" w:leftChars="160"/>
    </w:pPr>
    <w:rPr>
      <w:rFonts w:cs="Times New Roman"/>
      <w:sz w:val="21"/>
    </w:rPr>
  </w:style>
  <w:style w:type="paragraph" w:customStyle="1" w:styleId="77">
    <w:name w:val="列出段落11"/>
    <w:basedOn w:val="1"/>
    <w:autoRedefine/>
    <w:qFormat/>
    <w:uiPriority w:val="34"/>
    <w:pPr>
      <w:spacing w:line="240" w:lineRule="auto"/>
      <w:ind w:firstLine="420"/>
    </w:pPr>
    <w:rPr>
      <w:rFonts w:cs="宋体"/>
      <w:sz w:val="21"/>
      <w:szCs w:val="21"/>
    </w:rPr>
  </w:style>
  <w:style w:type="paragraph" w:customStyle="1" w:styleId="78">
    <w:name w:val="Char"/>
    <w:basedOn w:val="1"/>
    <w:next w:val="1"/>
    <w:autoRedefine/>
    <w:qFormat/>
    <w:uiPriority w:val="0"/>
    <w:rPr>
      <w:rFonts w:ascii="Tahoma" w:hAnsi="Tahoma"/>
      <w:szCs w:val="20"/>
    </w:rPr>
  </w:style>
  <w:style w:type="character" w:customStyle="1" w:styleId="79">
    <w:name w:val="批注框文本 字符"/>
    <w:basedOn w:val="38"/>
    <w:link w:val="24"/>
    <w:autoRedefine/>
    <w:qFormat/>
    <w:uiPriority w:val="0"/>
    <w:rPr>
      <w:rFonts w:ascii="Times New Roman" w:hAnsi="Times New Roman" w:cstheme="minorBidi"/>
      <w:kern w:val="2"/>
      <w:sz w:val="18"/>
      <w:szCs w:val="18"/>
    </w:rPr>
  </w:style>
  <w:style w:type="character" w:customStyle="1" w:styleId="80">
    <w:name w:val="正文文本缩进 字符"/>
    <w:basedOn w:val="38"/>
    <w:link w:val="18"/>
    <w:autoRedefine/>
    <w:qFormat/>
    <w:uiPriority w:val="0"/>
    <w:rPr>
      <w:rFonts w:ascii="Times New Roman" w:hAnsi="Times New Roman" w:cstheme="minorBidi"/>
      <w:kern w:val="2"/>
      <w:sz w:val="24"/>
      <w:szCs w:val="24"/>
    </w:rPr>
  </w:style>
  <w:style w:type="character" w:customStyle="1" w:styleId="81">
    <w:name w:val="未命名4"/>
    <w:basedOn w:val="38"/>
    <w:autoRedefine/>
    <w:qFormat/>
    <w:uiPriority w:val="0"/>
  </w:style>
  <w:style w:type="paragraph" w:customStyle="1" w:styleId="82">
    <w:name w:val="表格文字"/>
    <w:basedOn w:val="20"/>
    <w:next w:val="16"/>
    <w:autoRedefine/>
    <w:qFormat/>
    <w:uiPriority w:val="0"/>
    <w:pPr>
      <w:adjustRightInd w:val="0"/>
      <w:spacing w:line="420" w:lineRule="atLeast"/>
      <w:jc w:val="left"/>
      <w:textAlignment w:val="baseline"/>
    </w:pPr>
    <w:rPr>
      <w:kern w:val="0"/>
    </w:rPr>
  </w:style>
  <w:style w:type="paragraph" w:customStyle="1" w:styleId="83">
    <w:name w:val="reader-word-layer reader-word-s27-4"/>
    <w:basedOn w:val="1"/>
    <w:autoRedefine/>
    <w:qFormat/>
    <w:uiPriority w:val="99"/>
    <w:pPr>
      <w:widowControl/>
      <w:spacing w:before="100" w:beforeAutospacing="1" w:after="100" w:afterAutospacing="1" w:line="440" w:lineRule="exact"/>
      <w:ind w:firstLine="1040"/>
      <w:jc w:val="left"/>
    </w:pPr>
    <w:rPr>
      <w:rFonts w:ascii="宋体" w:hAnsi="宋体" w:eastAsia="微软雅黑" w:cs="宋体"/>
      <w:kern w:val="0"/>
    </w:rPr>
  </w:style>
  <w:style w:type="character" w:customStyle="1" w:styleId="84">
    <w:name w:val="font81"/>
    <w:basedOn w:val="38"/>
    <w:autoRedefine/>
    <w:qFormat/>
    <w:uiPriority w:val="0"/>
    <w:rPr>
      <w:rFonts w:hint="default" w:ascii="Times New Roman" w:hAnsi="Times New Roman" w:cs="Times New Roman"/>
      <w:color w:val="000000"/>
      <w:sz w:val="24"/>
      <w:szCs w:val="24"/>
      <w:u w:val="none"/>
    </w:rPr>
  </w:style>
  <w:style w:type="paragraph" w:customStyle="1" w:styleId="85">
    <w:name w:val="WPSOffice手动目录 1"/>
    <w:autoRedefine/>
    <w:qFormat/>
    <w:uiPriority w:val="0"/>
    <w:rPr>
      <w:rFonts w:ascii="Times New Roman" w:hAnsi="Times New Roman" w:eastAsia="宋体" w:cs="Times New Roman"/>
      <w:lang w:val="en-US" w:eastAsia="zh-CN" w:bidi="ar-SA"/>
    </w:rPr>
  </w:style>
  <w:style w:type="paragraph" w:customStyle="1" w:styleId="86">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7">
    <w:name w:val="普通(网站)2"/>
    <w:basedOn w:val="1"/>
    <w:autoRedefine/>
    <w:qFormat/>
    <w:uiPriority w:val="0"/>
    <w:pPr>
      <w:widowControl/>
      <w:spacing w:before="100" w:beforeAutospacing="1" w:after="100" w:afterAutospacing="1"/>
      <w:jc w:val="left"/>
    </w:pPr>
    <w:rPr>
      <w:rFonts w:ascii="宋体" w:hAnsi="宋体"/>
      <w:kern w:val="0"/>
      <w:szCs w:val="20"/>
    </w:rPr>
  </w:style>
  <w:style w:type="paragraph" w:customStyle="1" w:styleId="88">
    <w:name w:val="保留正文"/>
    <w:basedOn w:val="16"/>
    <w:autoRedefine/>
    <w:qFormat/>
    <w:uiPriority w:val="0"/>
    <w:pPr>
      <w:keepNext/>
      <w:spacing w:after="160"/>
    </w:pPr>
    <w:rPr>
      <w:sz w:val="21"/>
    </w:rPr>
  </w:style>
  <w:style w:type="paragraph" w:customStyle="1" w:styleId="89">
    <w:name w:val="首行缩进"/>
    <w:basedOn w:val="1"/>
    <w:autoRedefine/>
    <w:qFormat/>
    <w:uiPriority w:val="0"/>
    <w:pPr>
      <w:spacing w:line="360" w:lineRule="auto"/>
      <w:ind w:firstLine="420"/>
    </w:pPr>
    <w:rPr>
      <w:rFonts w:ascii="宋体" w:hAnsi="宋体"/>
    </w:rPr>
  </w:style>
  <w:style w:type="character" w:customStyle="1" w:styleId="90">
    <w:name w:val="标题 3 字符"/>
    <w:link w:val="5"/>
    <w:autoRedefine/>
    <w:qFormat/>
    <w:uiPriority w:val="9"/>
    <w:rPr>
      <w:rFonts w:ascii="仿宋_GB2312" w:hAnsi="仿宋_GB2312" w:eastAsia="仿宋" w:cs="Times New Roman"/>
      <w:b/>
      <w:bCs/>
      <w:sz w:val="24"/>
      <w:szCs w:val="20"/>
    </w:rPr>
  </w:style>
  <w:style w:type="paragraph" w:customStyle="1" w:styleId="91">
    <w:name w:val="_Style 3"/>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2">
    <w:name w:val="font31"/>
    <w:basedOn w:val="38"/>
    <w:autoRedefine/>
    <w:qFormat/>
    <w:uiPriority w:val="0"/>
    <w:rPr>
      <w:rFonts w:hint="eastAsia" w:ascii="微软雅黑" w:hAnsi="微软雅黑" w:eastAsia="微软雅黑" w:cs="微软雅黑"/>
      <w:color w:val="000000"/>
      <w:sz w:val="22"/>
      <w:szCs w:val="22"/>
      <w:u w:val="none"/>
    </w:rPr>
  </w:style>
  <w:style w:type="character" w:customStyle="1" w:styleId="93">
    <w:name w:val="font71"/>
    <w:basedOn w:val="38"/>
    <w:autoRedefine/>
    <w:qFormat/>
    <w:uiPriority w:val="0"/>
    <w:rPr>
      <w:rFonts w:hint="eastAsia" w:ascii="微软雅黑" w:hAnsi="微软雅黑" w:eastAsia="微软雅黑" w:cs="微软雅黑"/>
      <w:color w:val="000000"/>
      <w:sz w:val="22"/>
      <w:szCs w:val="22"/>
      <w:u w:val="none"/>
      <w:vertAlign w:val="superscript"/>
    </w:rPr>
  </w:style>
  <w:style w:type="character" w:customStyle="1" w:styleId="94">
    <w:name w:val="font21"/>
    <w:basedOn w:val="38"/>
    <w:autoRedefine/>
    <w:qFormat/>
    <w:uiPriority w:val="0"/>
    <w:rPr>
      <w:rFonts w:hint="eastAsia" w:ascii="微软雅黑" w:hAnsi="微软雅黑" w:eastAsia="微软雅黑" w:cs="微软雅黑"/>
      <w:color w:val="000000"/>
      <w:sz w:val="22"/>
      <w:szCs w:val="22"/>
      <w:u w:val="none"/>
    </w:rPr>
  </w:style>
  <w:style w:type="character" w:customStyle="1" w:styleId="95">
    <w:name w:val="font61"/>
    <w:basedOn w:val="38"/>
    <w:autoRedefine/>
    <w:qFormat/>
    <w:uiPriority w:val="0"/>
    <w:rPr>
      <w:rFonts w:hint="eastAsia" w:ascii="微软雅黑" w:hAnsi="微软雅黑" w:eastAsia="微软雅黑" w:cs="微软雅黑"/>
      <w:color w:val="000000"/>
      <w:sz w:val="22"/>
      <w:szCs w:val="22"/>
      <w:u w:val="none"/>
      <w:vertAlign w:val="superscript"/>
    </w:rPr>
  </w:style>
  <w:style w:type="character" w:customStyle="1" w:styleId="96">
    <w:name w:val="font01"/>
    <w:basedOn w:val="38"/>
    <w:autoRedefine/>
    <w:qFormat/>
    <w:uiPriority w:val="0"/>
    <w:rPr>
      <w:rFonts w:hint="eastAsia" w:ascii="宋体" w:hAnsi="宋体" w:eastAsia="宋体" w:cs="宋体"/>
      <w:color w:val="000000"/>
      <w:sz w:val="22"/>
      <w:szCs w:val="22"/>
      <w:u w:val="none"/>
    </w:rPr>
  </w:style>
  <w:style w:type="paragraph" w:customStyle="1" w:styleId="97">
    <w:name w:val="p0"/>
    <w:basedOn w:val="1"/>
    <w:autoRedefine/>
    <w:qFormat/>
    <w:uiPriority w:val="0"/>
    <w:pPr>
      <w:widowControl/>
    </w:pPr>
    <w:rPr>
      <w:kern w:val="0"/>
      <w:szCs w:val="21"/>
    </w:rPr>
  </w:style>
  <w:style w:type="paragraph" w:customStyle="1" w:styleId="98">
    <w:name w:val="表头文字"/>
    <w:basedOn w:val="1"/>
    <w:autoRedefine/>
    <w:qFormat/>
    <w:uiPriority w:val="0"/>
    <w:pPr>
      <w:widowControl/>
      <w:jc w:val="left"/>
    </w:pPr>
    <w:rPr>
      <w:rFonts w:eastAsia="仿宋" w:cs="宋体"/>
      <w:b/>
      <w:kern w:val="0"/>
      <w:szCs w:val="21"/>
    </w:rPr>
  </w:style>
  <w:style w:type="character" w:customStyle="1" w:styleId="99">
    <w:name w:val="font41"/>
    <w:basedOn w:val="38"/>
    <w:autoRedefine/>
    <w:qFormat/>
    <w:uiPriority w:val="0"/>
    <w:rPr>
      <w:rFonts w:hint="eastAsia" w:ascii="微软雅黑" w:hAnsi="微软雅黑" w:eastAsia="微软雅黑" w:cs="微软雅黑"/>
      <w:color w:val="000000"/>
      <w:sz w:val="20"/>
      <w:szCs w:val="20"/>
      <w:u w:val="none"/>
    </w:rPr>
  </w:style>
  <w:style w:type="character" w:customStyle="1" w:styleId="100">
    <w:name w:val="font111"/>
    <w:basedOn w:val="38"/>
    <w:autoRedefine/>
    <w:qFormat/>
    <w:uiPriority w:val="0"/>
    <w:rPr>
      <w:rFonts w:hint="eastAsia" w:ascii="微软雅黑" w:hAnsi="微软雅黑" w:eastAsia="微软雅黑" w:cs="微软雅黑"/>
      <w:color w:val="000000"/>
      <w:sz w:val="20"/>
      <w:szCs w:val="20"/>
      <w:u w:val="none"/>
      <w:vertAlign w:val="superscript"/>
    </w:rPr>
  </w:style>
  <w:style w:type="character" w:customStyle="1" w:styleId="101">
    <w:name w:val="font101"/>
    <w:basedOn w:val="38"/>
    <w:autoRedefine/>
    <w:qFormat/>
    <w:uiPriority w:val="0"/>
    <w:rPr>
      <w:rFonts w:hint="eastAsia" w:ascii="微软雅黑" w:hAnsi="微软雅黑" w:eastAsia="微软雅黑" w:cs="微软雅黑"/>
      <w:color w:val="000000"/>
      <w:sz w:val="20"/>
      <w:szCs w:val="20"/>
      <w:u w:val="none"/>
      <w:vertAlign w:val="superscript"/>
    </w:rPr>
  </w:style>
  <w:style w:type="character" w:customStyle="1" w:styleId="102">
    <w:name w:val="font122"/>
    <w:basedOn w:val="38"/>
    <w:autoRedefine/>
    <w:qFormat/>
    <w:uiPriority w:val="0"/>
    <w:rPr>
      <w:rFonts w:hint="eastAsia" w:ascii="宋体" w:hAnsi="宋体" w:eastAsia="宋体" w:cs="宋体"/>
      <w:b/>
      <w:bCs/>
      <w:color w:val="FF0000"/>
      <w:sz w:val="22"/>
      <w:szCs w:val="22"/>
      <w:u w:val="none"/>
    </w:rPr>
  </w:style>
  <w:style w:type="character" w:customStyle="1" w:styleId="103">
    <w:name w:val="font91"/>
    <w:basedOn w:val="38"/>
    <w:autoRedefine/>
    <w:qFormat/>
    <w:uiPriority w:val="0"/>
    <w:rPr>
      <w:rFonts w:hint="eastAsia" w:ascii="宋体" w:hAnsi="宋体" w:eastAsia="宋体" w:cs="宋体"/>
      <w:color w:val="000000"/>
      <w:sz w:val="22"/>
      <w:szCs w:val="22"/>
      <w:u w:val="none"/>
    </w:rPr>
  </w:style>
  <w:style w:type="character" w:customStyle="1" w:styleId="104">
    <w:name w:val="font51"/>
    <w:basedOn w:val="38"/>
    <w:autoRedefine/>
    <w:qFormat/>
    <w:uiPriority w:val="0"/>
    <w:rPr>
      <w:rFonts w:hint="eastAsia" w:ascii="微软雅黑" w:hAnsi="微软雅黑" w:eastAsia="微软雅黑" w:cs="微软雅黑"/>
      <w:color w:val="000000"/>
      <w:sz w:val="20"/>
      <w:szCs w:val="20"/>
      <w:u w:val="none"/>
      <w:vertAlign w:val="superscript"/>
    </w:rPr>
  </w:style>
  <w:style w:type="character" w:customStyle="1" w:styleId="105">
    <w:name w:val="font112"/>
    <w:basedOn w:val="38"/>
    <w:autoRedefine/>
    <w:qFormat/>
    <w:uiPriority w:val="0"/>
    <w:rPr>
      <w:rFonts w:hint="eastAsia" w:ascii="宋体" w:hAnsi="宋体" w:eastAsia="宋体" w:cs="宋体"/>
      <w:color w:val="000000"/>
      <w:sz w:val="24"/>
      <w:szCs w:val="24"/>
      <w:u w:val="none"/>
    </w:rPr>
  </w:style>
  <w:style w:type="paragraph" w:customStyle="1" w:styleId="106">
    <w:name w:val="样式1"/>
    <w:basedOn w:val="1"/>
    <w:autoRedefine/>
    <w:qFormat/>
    <w:uiPriority w:val="0"/>
    <w:pPr>
      <w:spacing w:line="360" w:lineRule="exact"/>
      <w:ind w:firstLine="200"/>
    </w:pPr>
    <w:rPr>
      <w:rFonts w:ascii="Arial" w:hAnsi="Arial"/>
    </w:rPr>
  </w:style>
  <w:style w:type="paragraph" w:customStyle="1" w:styleId="107">
    <w:name w:val="无间隔2"/>
    <w:autoRedefine/>
    <w:qFormat/>
    <w:uiPriority w:val="1"/>
    <w:rPr>
      <w:rFonts w:ascii="Times New Roman" w:hAnsi="Times New Roman" w:eastAsia="宋体" w:cs="Times New Roman"/>
      <w:sz w:val="22"/>
      <w:szCs w:val="22"/>
      <w:lang w:val="en-US" w:eastAsia="en-US" w:bidi="en-US"/>
    </w:rPr>
  </w:style>
  <w:style w:type="paragraph" w:customStyle="1" w:styleId="108">
    <w:name w:val="_Style 1"/>
    <w:basedOn w:val="1"/>
    <w:link w:val="117"/>
    <w:autoRedefine/>
    <w:qFormat/>
    <w:uiPriority w:val="0"/>
    <w:pPr>
      <w:widowControl/>
      <w:jc w:val="left"/>
    </w:pPr>
    <w:rPr>
      <w:rFonts w:ascii="Calibri" w:hAnsi="Calibri" w:cs="Times New Roman"/>
      <w:sz w:val="28"/>
      <w:szCs w:val="28"/>
    </w:rPr>
  </w:style>
  <w:style w:type="paragraph" w:customStyle="1" w:styleId="109">
    <w:name w:val="Table Paragraph"/>
    <w:basedOn w:val="1"/>
    <w:autoRedefine/>
    <w:qFormat/>
    <w:uiPriority w:val="99"/>
    <w:rPr>
      <w:rFonts w:ascii="宋体" w:hAnsi="宋体" w:cs="宋体"/>
      <w:lang w:val="zh-CN"/>
    </w:rPr>
  </w:style>
  <w:style w:type="character" w:customStyle="1" w:styleId="110">
    <w:name w:val="NormalCharacter"/>
    <w:autoRedefine/>
    <w:qFormat/>
    <w:uiPriority w:val="0"/>
  </w:style>
  <w:style w:type="character" w:customStyle="1" w:styleId="111">
    <w:name w:val="标题 1 字符"/>
    <w:basedOn w:val="38"/>
    <w:link w:val="3"/>
    <w:autoRedefine/>
    <w:qFormat/>
    <w:locked/>
    <w:uiPriority w:val="99"/>
    <w:rPr>
      <w:rFonts w:ascii="宋体" w:hAnsi="宋体" w:eastAsia="宋体" w:cs="宋体"/>
      <w:b/>
      <w:bCs/>
      <w:kern w:val="36"/>
      <w:sz w:val="48"/>
      <w:szCs w:val="48"/>
    </w:rPr>
  </w:style>
  <w:style w:type="paragraph" w:customStyle="1" w:styleId="112">
    <w:name w:val="正文首行缩进两字符"/>
    <w:basedOn w:val="1"/>
    <w:autoRedefine/>
    <w:qFormat/>
    <w:uiPriority w:val="0"/>
    <w:pPr>
      <w:spacing w:line="360" w:lineRule="auto"/>
      <w:ind w:firstLine="200"/>
    </w:pPr>
  </w:style>
  <w:style w:type="paragraph" w:customStyle="1" w:styleId="113">
    <w:name w:val="正文（文章）"/>
    <w:basedOn w:val="1"/>
    <w:autoRedefine/>
    <w:qFormat/>
    <w:uiPriority w:val="0"/>
    <w:pPr>
      <w:ind w:firstLine="560"/>
    </w:pPr>
    <w:rPr>
      <w:rFonts w:cs="宋体"/>
      <w:szCs w:val="20"/>
    </w:rPr>
  </w:style>
  <w:style w:type="paragraph" w:styleId="114">
    <w:name w:val="List Paragraph"/>
    <w:basedOn w:val="1"/>
    <w:autoRedefine/>
    <w:qFormat/>
    <w:uiPriority w:val="34"/>
    <w:pPr>
      <w:ind w:firstLine="420"/>
    </w:pPr>
  </w:style>
  <w:style w:type="paragraph" w:customStyle="1" w:styleId="115">
    <w:name w:val="正文缩进1"/>
    <w:basedOn w:val="1"/>
    <w:autoRedefine/>
    <w:qFormat/>
    <w:uiPriority w:val="0"/>
    <w:pPr>
      <w:ind w:firstLine="420"/>
    </w:pPr>
  </w:style>
  <w:style w:type="paragraph" w:customStyle="1" w:styleId="116">
    <w:name w:val="Heading #2|1"/>
    <w:basedOn w:val="1"/>
    <w:autoRedefine/>
    <w:qFormat/>
    <w:uiPriority w:val="0"/>
    <w:pPr>
      <w:spacing w:after="5580"/>
      <w:jc w:val="center"/>
      <w:outlineLvl w:val="1"/>
    </w:pPr>
    <w:rPr>
      <w:b/>
      <w:bCs/>
      <w:sz w:val="44"/>
      <w:szCs w:val="44"/>
      <w:lang w:val="zh-TW" w:eastAsia="zh-TW" w:bidi="zh-TW"/>
    </w:rPr>
  </w:style>
  <w:style w:type="character" w:customStyle="1" w:styleId="117">
    <w:name w:val="_Style 1 Char"/>
    <w:link w:val="108"/>
    <w:autoRedefine/>
    <w:qFormat/>
    <w:uiPriority w:val="0"/>
    <w:rPr>
      <w:rFonts w:ascii="Calibri" w:hAnsi="Calibri" w:cs="Times New Roman"/>
      <w:sz w:val="28"/>
      <w:szCs w:val="28"/>
    </w:rPr>
  </w:style>
  <w:style w:type="paragraph" w:customStyle="1" w:styleId="118">
    <w:name w:val="+正文 Char Char"/>
    <w:basedOn w:val="1"/>
    <w:autoRedefine/>
    <w:qFormat/>
    <w:uiPriority w:val="0"/>
    <w:pPr>
      <w:spacing w:line="360" w:lineRule="auto"/>
      <w:ind w:firstLine="200"/>
    </w:pPr>
    <w:rPr>
      <w:szCs w:val="28"/>
    </w:rPr>
  </w:style>
  <w:style w:type="paragraph" w:customStyle="1" w:styleId="119">
    <w:name w:val="+●"/>
    <w:autoRedefine/>
    <w:qFormat/>
    <w:uiPriority w:val="0"/>
    <w:pPr>
      <w:numPr>
        <w:ilvl w:val="0"/>
        <w:numId w:val="2"/>
      </w:numPr>
      <w:tabs>
        <w:tab w:val="left" w:pos="900"/>
        <w:tab w:val="left" w:pos="958"/>
      </w:tabs>
      <w:ind w:firstLine="0"/>
    </w:pPr>
    <w:rPr>
      <w:rFonts w:ascii="Times New Roman" w:hAnsi="Times New Roman" w:eastAsia="宋体" w:cs="Times New Roman"/>
      <w:lang w:val="en-US" w:eastAsia="zh-CN" w:bidi="ar-SA"/>
    </w:rPr>
  </w:style>
  <w:style w:type="paragraph" w:customStyle="1" w:styleId="120">
    <w:name w:val="文字"/>
    <w:basedOn w:val="1"/>
    <w:autoRedefine/>
    <w:qFormat/>
    <w:uiPriority w:val="0"/>
    <w:pPr>
      <w:tabs>
        <w:tab w:val="left" w:pos="8520"/>
      </w:tabs>
      <w:spacing w:line="312" w:lineRule="auto"/>
      <w:ind w:right="-210" w:firstLine="556"/>
    </w:pPr>
    <w:rPr>
      <w:rFonts w:ascii="楷体_GB2312" w:eastAsia="楷体_GB2312"/>
      <w:sz w:val="28"/>
      <w:szCs w:val="20"/>
    </w:rPr>
  </w:style>
  <w:style w:type="paragraph" w:customStyle="1" w:styleId="121">
    <w:name w:val="_正文"/>
    <w:basedOn w:val="1"/>
    <w:autoRedefine/>
    <w:qFormat/>
    <w:uiPriority w:val="0"/>
    <w:pPr>
      <w:tabs>
        <w:tab w:val="left" w:pos="540"/>
      </w:tabs>
    </w:pPr>
    <w:rPr>
      <w:rFonts w:cs="Arial"/>
    </w:rPr>
  </w:style>
  <w:style w:type="paragraph" w:customStyle="1" w:styleId="122">
    <w:name w:val="+正文"/>
    <w:basedOn w:val="1"/>
    <w:autoRedefine/>
    <w:qFormat/>
    <w:uiPriority w:val="0"/>
    <w:pPr>
      <w:spacing w:line="360" w:lineRule="auto"/>
      <w:ind w:firstLine="200"/>
    </w:pPr>
  </w:style>
  <w:style w:type="character" w:customStyle="1" w:styleId="123">
    <w:name w:val="fontstyle01"/>
    <w:autoRedefine/>
    <w:qFormat/>
    <w:uiPriority w:val="0"/>
    <w:rPr>
      <w:rFonts w:hint="eastAsia" w:ascii="宋体" w:hAnsi="宋体" w:eastAsia="宋体"/>
      <w:color w:val="000000"/>
      <w:sz w:val="22"/>
      <w:szCs w:val="22"/>
    </w:rPr>
  </w:style>
  <w:style w:type="paragraph" w:customStyle="1" w:styleId="124">
    <w:name w:val="标题4"/>
    <w:basedOn w:val="1"/>
    <w:autoRedefine/>
    <w:qFormat/>
    <w:uiPriority w:val="0"/>
    <w:rPr>
      <w:rFonts w:eastAsia="仿宋_GB2312"/>
      <w:sz w:val="32"/>
      <w:szCs w:val="20"/>
    </w:rPr>
  </w:style>
  <w:style w:type="character" w:customStyle="1" w:styleId="125">
    <w:name w:val="标题 4 Char"/>
    <w:autoRedefine/>
    <w:qFormat/>
    <w:uiPriority w:val="0"/>
    <w:rPr>
      <w:rFonts w:eastAsia="黑体"/>
      <w:b/>
      <w:bCs/>
      <w:kern w:val="2"/>
      <w:sz w:val="30"/>
      <w:szCs w:val="30"/>
      <w:lang w:val="en-US" w:eastAsia="zh-CN" w:bidi="ar-SA"/>
    </w:rPr>
  </w:style>
  <w:style w:type="paragraph" w:customStyle="1" w:styleId="126">
    <w:name w:val="reader-word-layer reader-word-s1-7"/>
    <w:basedOn w:val="1"/>
    <w:autoRedefine/>
    <w:qFormat/>
    <w:uiPriority w:val="0"/>
    <w:pPr>
      <w:widowControl/>
      <w:spacing w:before="100" w:beforeAutospacing="1" w:after="100" w:afterAutospacing="1"/>
      <w:jc w:val="left"/>
    </w:pPr>
    <w:rPr>
      <w:rFonts w:ascii="宋体" w:hAnsi="宋体" w:cs="宋体"/>
      <w:kern w:val="0"/>
    </w:rPr>
  </w:style>
  <w:style w:type="character" w:customStyle="1" w:styleId="127">
    <w:name w:val="font11"/>
    <w:basedOn w:val="38"/>
    <w:autoRedefine/>
    <w:qFormat/>
    <w:uiPriority w:val="0"/>
    <w:rPr>
      <w:rFonts w:hint="eastAsia" w:ascii="宋体" w:hAnsi="宋体" w:eastAsia="宋体" w:cs="宋体"/>
      <w:color w:val="000000"/>
      <w:sz w:val="20"/>
      <w:szCs w:val="20"/>
      <w:u w:val="none"/>
    </w:rPr>
  </w:style>
  <w:style w:type="character" w:customStyle="1" w:styleId="128">
    <w:name w:val="10"/>
    <w:autoRedefine/>
    <w:qFormat/>
    <w:uiPriority w:val="0"/>
    <w:rPr>
      <w:rFonts w:hint="default" w:ascii="Times New Roman" w:hAnsi="Times New Roman" w:cs="Times New Roman"/>
    </w:rPr>
  </w:style>
  <w:style w:type="paragraph" w:customStyle="1" w:styleId="129">
    <w:name w:val="blockquote"/>
    <w:basedOn w:val="1"/>
    <w:autoRedefine/>
    <w:qFormat/>
    <w:uiPriority w:val="0"/>
    <w:pPr>
      <w:widowControl/>
      <w:spacing w:before="100" w:beforeAutospacing="1" w:after="100" w:afterAutospacing="1"/>
      <w:jc w:val="left"/>
    </w:pPr>
    <w:rPr>
      <w:rFonts w:ascii="宋体" w:hAnsi="宋体"/>
      <w:kern w:val="0"/>
    </w:rPr>
  </w:style>
  <w:style w:type="paragraph" w:customStyle="1" w:styleId="130">
    <w:name w:val="无间隔3"/>
    <w:autoRedefine/>
    <w:qFormat/>
    <w:uiPriority w:val="1"/>
    <w:rPr>
      <w:rFonts w:ascii="Times New Roman" w:hAnsi="Times New Roman" w:eastAsia="宋体" w:cs="Times New Roman"/>
      <w:sz w:val="22"/>
      <w:szCs w:val="22"/>
      <w:lang w:val="en-US" w:eastAsia="en-US" w:bidi="en-US"/>
    </w:rPr>
  </w:style>
  <w:style w:type="paragraph" w:customStyle="1" w:styleId="131">
    <w:name w:val="正文文本缩进1"/>
    <w:basedOn w:val="1"/>
    <w:autoRedefine/>
    <w:qFormat/>
    <w:uiPriority w:val="0"/>
    <w:pPr>
      <w:spacing w:line="360" w:lineRule="auto"/>
      <w:ind w:firstLine="435"/>
    </w:pPr>
    <w:rPr>
      <w:sz w:val="28"/>
    </w:rPr>
  </w:style>
  <w:style w:type="paragraph" w:customStyle="1" w:styleId="132">
    <w:name w:val="No Spacing_7e509324-65a2-4ed7-bf10-9eaa9c0383f4"/>
    <w:autoRedefine/>
    <w:qFormat/>
    <w:uiPriority w:val="1"/>
    <w:rPr>
      <w:rFonts w:ascii="Times New Roman" w:hAnsi="Times New Roman" w:eastAsia="宋体" w:cs="Times New Roman"/>
      <w:sz w:val="22"/>
      <w:szCs w:val="22"/>
      <w:lang w:val="en-US" w:eastAsia="en-US" w:bidi="en-US"/>
    </w:rPr>
  </w:style>
  <w:style w:type="paragraph" w:customStyle="1" w:styleId="133">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134">
    <w:name w:val="无间距1"/>
    <w:autoRedefine/>
    <w:qFormat/>
    <w:uiPriority w:val="1"/>
    <w:pPr>
      <w:widowControl w:val="0"/>
      <w:jc w:val="both"/>
    </w:pPr>
    <w:rPr>
      <w:rFonts w:ascii="Calibri" w:hAnsi="Calibri" w:eastAsia="微软雅黑 Light" w:cs="Times New Roman"/>
      <w:kern w:val="2"/>
      <w:sz w:val="24"/>
      <w:szCs w:val="22"/>
      <w:lang w:val="en-US" w:eastAsia="zh-CN" w:bidi="ar-SA"/>
    </w:rPr>
  </w:style>
  <w:style w:type="paragraph" w:customStyle="1" w:styleId="135">
    <w:name w:val="正文（缩进）"/>
    <w:autoRedefine/>
    <w:qFormat/>
    <w:uiPriority w:val="0"/>
    <w:pPr>
      <w:widowControl w:val="0"/>
      <w:spacing w:before="156" w:after="156"/>
      <w:ind w:firstLine="480" w:firstLineChars="200"/>
      <w:jc w:val="both"/>
    </w:pPr>
    <w:rPr>
      <w:rFonts w:ascii="Times New Roman" w:hAnsi="Times New Roman" w:eastAsia="宋体" w:cs="Times New Roman"/>
      <w:kern w:val="2"/>
      <w:sz w:val="21"/>
      <w:szCs w:val="24"/>
      <w:lang w:val="en-US" w:eastAsia="zh-CN" w:bidi="ar-SA"/>
    </w:rPr>
  </w:style>
  <w:style w:type="paragraph" w:customStyle="1" w:styleId="136">
    <w:name w:val="_正文段落"/>
    <w:basedOn w:val="1"/>
    <w:autoRedefine/>
    <w:qFormat/>
    <w:uiPriority w:val="0"/>
    <w:pPr>
      <w:spacing w:beforeLines="15" w:afterLines="15" w:line="360" w:lineRule="auto"/>
      <w:ind w:firstLine="560"/>
    </w:pPr>
    <w:rPr>
      <w:rFonts w:eastAsia="仿宋"/>
      <w:sz w:val="28"/>
    </w:rPr>
  </w:style>
  <w:style w:type="paragraph" w:customStyle="1" w:styleId="137">
    <w:name w:val="正文2"/>
    <w:basedOn w:val="1"/>
    <w:next w:val="27"/>
    <w:autoRedefine/>
    <w:qFormat/>
    <w:uiPriority w:val="0"/>
    <w:pPr>
      <w:spacing w:before="156" w:line="360" w:lineRule="auto"/>
      <w:ind w:firstLine="510"/>
    </w:pPr>
  </w:style>
  <w:style w:type="paragraph" w:customStyle="1" w:styleId="138">
    <w:name w:val="Other|1"/>
    <w:basedOn w:val="1"/>
    <w:autoRedefine/>
    <w:qFormat/>
    <w:uiPriority w:val="0"/>
    <w:pPr>
      <w:spacing w:line="415" w:lineRule="auto"/>
      <w:ind w:firstLine="400"/>
    </w:pPr>
    <w:rPr>
      <w:rFonts w:ascii="宋体" w:hAnsi="宋体" w:cs="宋体"/>
      <w:sz w:val="22"/>
      <w:szCs w:val="22"/>
      <w:lang w:val="zh-TW" w:eastAsia="zh-TW" w:bidi="zh-TW"/>
    </w:rPr>
  </w:style>
  <w:style w:type="paragraph" w:customStyle="1" w:styleId="139">
    <w:name w:val="内文正文"/>
    <w:autoRedefine/>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140">
    <w:name w:val="正文_0"/>
    <w:next w:val="141"/>
    <w:autoRedefine/>
    <w:qFormat/>
    <w:uiPriority w:val="1"/>
    <w:pPr>
      <w:jc w:val="both"/>
    </w:pPr>
    <w:rPr>
      <w:rFonts w:ascii="Times New Roman" w:hAnsi="Times New Roman" w:eastAsia="宋体" w:cs="Times New Roman"/>
      <w:sz w:val="21"/>
      <w:szCs w:val="21"/>
      <w:lang w:val="en-US" w:eastAsia="zh-CN" w:bidi="ar-SA"/>
    </w:rPr>
  </w:style>
  <w:style w:type="paragraph" w:customStyle="1" w:styleId="141">
    <w:name w:val="正文首行缩进_0"/>
    <w:basedOn w:val="142"/>
    <w:next w:val="140"/>
    <w:autoRedefine/>
    <w:qFormat/>
    <w:uiPriority w:val="0"/>
    <w:pPr>
      <w:spacing w:after="0"/>
      <w:ind w:firstLine="420"/>
      <w:jc w:val="left"/>
    </w:pPr>
    <w:rPr>
      <w:sz w:val="20"/>
      <w:szCs w:val="20"/>
    </w:rPr>
  </w:style>
  <w:style w:type="paragraph" w:customStyle="1" w:styleId="142">
    <w:name w:val="正文文本_0"/>
    <w:basedOn w:val="140"/>
    <w:next w:val="141"/>
    <w:autoRedefine/>
    <w:qFormat/>
    <w:uiPriority w:val="0"/>
    <w:pPr>
      <w:spacing w:after="120"/>
    </w:pPr>
  </w:style>
  <w:style w:type="paragraph" w:customStyle="1" w:styleId="143">
    <w:name w:val="正文_1"/>
    <w:next w:val="144"/>
    <w:autoRedefine/>
    <w:qFormat/>
    <w:uiPriority w:val="1"/>
    <w:pPr>
      <w:jc w:val="both"/>
    </w:pPr>
    <w:rPr>
      <w:rFonts w:ascii="Times New Roman" w:hAnsi="Times New Roman" w:eastAsia="宋体" w:cs="Times New Roman"/>
      <w:sz w:val="21"/>
      <w:szCs w:val="21"/>
      <w:lang w:val="en-US" w:eastAsia="zh-CN" w:bidi="ar-SA"/>
    </w:rPr>
  </w:style>
  <w:style w:type="paragraph" w:customStyle="1" w:styleId="144">
    <w:name w:val="标题 2_1"/>
    <w:basedOn w:val="145"/>
    <w:next w:val="143"/>
    <w:autoRedefine/>
    <w:qFormat/>
    <w:uiPriority w:val="8"/>
    <w:pPr>
      <w:keepNext/>
      <w:keepLines/>
      <w:outlineLvl w:val="1"/>
    </w:pPr>
    <w:rPr>
      <w:rFonts w:ascii="Arial" w:hAnsi="Arial" w:eastAsia="Arial"/>
      <w:b/>
      <w:sz w:val="24"/>
      <w:szCs w:val="24"/>
    </w:rPr>
  </w:style>
  <w:style w:type="paragraph" w:customStyle="1" w:styleId="145">
    <w:name w:val="正文_5_0"/>
    <w:autoRedefine/>
    <w:qFormat/>
    <w:uiPriority w:val="1"/>
    <w:pPr>
      <w:jc w:val="both"/>
    </w:pPr>
    <w:rPr>
      <w:rFonts w:ascii="等线" w:hAnsi="等线" w:eastAsia="等线" w:cs="Times New Roman"/>
      <w:sz w:val="21"/>
      <w:szCs w:val="21"/>
      <w:lang w:val="en-US" w:eastAsia="zh-CN" w:bidi="ar-SA"/>
    </w:rPr>
  </w:style>
  <w:style w:type="paragraph" w:customStyle="1" w:styleId="146">
    <w:name w:val="正文_1_1"/>
    <w:next w:val="147"/>
    <w:autoRedefine/>
    <w:qFormat/>
    <w:uiPriority w:val="1"/>
    <w:pPr>
      <w:jc w:val="both"/>
    </w:pPr>
    <w:rPr>
      <w:rFonts w:ascii="Times New Roman" w:hAnsi="Times New Roman" w:eastAsia="宋体" w:cs="Times New Roman"/>
      <w:sz w:val="21"/>
      <w:szCs w:val="21"/>
      <w:lang w:val="en-US" w:eastAsia="zh-CN" w:bidi="ar-SA"/>
    </w:rPr>
  </w:style>
  <w:style w:type="paragraph" w:customStyle="1" w:styleId="147">
    <w:name w:val="正文首行缩进_1_0"/>
    <w:basedOn w:val="148"/>
    <w:next w:val="146"/>
    <w:autoRedefine/>
    <w:qFormat/>
    <w:uiPriority w:val="0"/>
    <w:pPr>
      <w:ind w:firstLine="420"/>
    </w:pPr>
  </w:style>
  <w:style w:type="paragraph" w:customStyle="1" w:styleId="148">
    <w:name w:val="正文文本_1_0"/>
    <w:basedOn w:val="149"/>
    <w:next w:val="147"/>
    <w:autoRedefine/>
    <w:unhideWhenUsed/>
    <w:qFormat/>
    <w:uiPriority w:val="0"/>
    <w:pPr>
      <w:spacing w:after="120"/>
    </w:pPr>
    <w:rPr>
      <w:sz w:val="20"/>
    </w:rPr>
  </w:style>
  <w:style w:type="paragraph" w:customStyle="1" w:styleId="149">
    <w:name w:val="正文_1_0"/>
    <w:next w:val="148"/>
    <w:autoRedefine/>
    <w:qFormat/>
    <w:uiPriority w:val="1"/>
    <w:pPr>
      <w:jc w:val="both"/>
    </w:pPr>
    <w:rPr>
      <w:rFonts w:ascii="Times New Roman" w:hAnsi="Times New Roman" w:eastAsia="宋体" w:cs="Times New Roman"/>
      <w:sz w:val="21"/>
      <w:szCs w:val="21"/>
      <w:lang w:val="en-US" w:eastAsia="zh-CN" w:bidi="ar-SA"/>
    </w:rPr>
  </w:style>
  <w:style w:type="paragraph" w:customStyle="1" w:styleId="150">
    <w:name w:val="A_正文_黑"/>
    <w:basedOn w:val="50"/>
    <w:autoRedefine/>
    <w:qFormat/>
    <w:uiPriority w:val="0"/>
  </w:style>
  <w:style w:type="paragraph" w:customStyle="1" w:styleId="151">
    <w:name w:val="Body text|1"/>
    <w:basedOn w:val="1"/>
    <w:autoRedefine/>
    <w:qFormat/>
    <w:uiPriority w:val="0"/>
    <w:pPr>
      <w:widowControl w:val="0"/>
      <w:shd w:val="clear" w:color="auto" w:fill="auto"/>
      <w:spacing w:line="401" w:lineRule="auto"/>
      <w:ind w:firstLine="400"/>
    </w:pPr>
    <w:rPr>
      <w:rFonts w:ascii="宋体" w:hAnsi="宋体" w:eastAsia="宋体" w:cs="宋体"/>
      <w:sz w:val="30"/>
      <w:szCs w:val="30"/>
      <w:u w:val="none"/>
      <w:shd w:val="clear" w:color="auto" w:fill="auto"/>
      <w:lang w:val="zh-TW" w:eastAsia="zh-TW" w:bidi="zh-TW"/>
    </w:rPr>
  </w:style>
  <w:style w:type="paragraph" w:customStyle="1" w:styleId="152">
    <w:name w:val="Body text|3"/>
    <w:basedOn w:val="1"/>
    <w:autoRedefine/>
    <w:qFormat/>
    <w:uiPriority w:val="0"/>
    <w:pPr>
      <w:widowControl w:val="0"/>
      <w:shd w:val="clear" w:color="auto" w:fill="auto"/>
    </w:pPr>
    <w:rPr>
      <w:rFonts w:ascii="宋体" w:hAnsi="宋体" w:eastAsia="宋体" w:cs="宋体"/>
      <w:sz w:val="17"/>
      <w:szCs w:val="17"/>
      <w:u w:val="none"/>
      <w:shd w:val="clear" w:color="auto" w:fill="auto"/>
      <w:lang w:val="zh-TW" w:eastAsia="zh-TW" w:bidi="zh-TW"/>
    </w:rPr>
  </w:style>
  <w:style w:type="paragraph" w:customStyle="1" w:styleId="153">
    <w:name w:val="Normal (Web)"/>
    <w:basedOn w:val="1"/>
    <w:autoRedefine/>
    <w:qFormat/>
    <w:uiPriority w:val="0"/>
    <w:pPr>
      <w:widowControl/>
      <w:spacing w:before="100" w:beforeLines="0" w:beforeAutospacing="1" w:after="100" w:afterLines="0" w:afterAutospacing="1"/>
      <w:jc w:val="left"/>
    </w:pPr>
    <w:rPr>
      <w:rFonts w:ascii="宋体" w:hAnsi="宋体"/>
      <w:kern w:val="0"/>
      <w:sz w:val="24"/>
      <w:szCs w:val="20"/>
    </w:rPr>
  </w:style>
  <w:style w:type="paragraph" w:customStyle="1" w:styleId="154">
    <w:name w:val="列出段落2"/>
    <w:basedOn w:val="1"/>
    <w:autoRedefine/>
    <w:qFormat/>
    <w:uiPriority w:val="0"/>
    <w:pPr>
      <w:autoSpaceDE w:val="0"/>
      <w:autoSpaceDN w:val="0"/>
      <w:adjustRightInd w:val="0"/>
      <w:spacing w:line="360" w:lineRule="auto"/>
      <w:ind w:left="140" w:hanging="140" w:hangingChars="50"/>
      <w:jc w:val="left"/>
    </w:pPr>
    <w:rPr>
      <w:rFonts w:ascii="微软雅黑" w:hAnsi="微软雅黑" w:eastAsia="微软雅黑"/>
      <w:kern w:val="0"/>
      <w:sz w:val="28"/>
      <w:szCs w:val="28"/>
      <w:lang w:bidi="th-TH"/>
    </w:rPr>
  </w:style>
  <w:style w:type="paragraph" w:customStyle="1" w:styleId="155">
    <w:name w:val="正文缩进2格"/>
    <w:basedOn w:val="1"/>
    <w:qFormat/>
    <w:uiPriority w:val="0"/>
    <w:pPr>
      <w:snapToGrid w:val="0"/>
      <w:spacing w:line="600" w:lineRule="exact"/>
      <w:ind w:firstLine="639" w:firstLineChars="206"/>
    </w:pPr>
    <w:rPr>
      <w:rFonts w:hint="eastAsia" w:ascii="仿宋_GB2312" w:hAnsi="宋体" w:eastAsia="仿宋_GB2312"/>
      <w:kern w:val="0"/>
      <w:sz w:val="31"/>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header" Target="header4.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header" Target="header3.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1.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5" Type="http://schemas.openxmlformats.org/officeDocument/2006/relationships/fontTable" Target="fontTable.xml"/><Relationship Id="rId154" Type="http://schemas.openxmlformats.org/officeDocument/2006/relationships/numbering" Target="numbering.xml"/><Relationship Id="rId153" Type="http://schemas.openxmlformats.org/officeDocument/2006/relationships/customXml" Target="../customXml/item1.xml"/><Relationship Id="rId152" Type="http://schemas.openxmlformats.org/officeDocument/2006/relationships/image" Target="media/image138.png"/><Relationship Id="rId151" Type="http://schemas.openxmlformats.org/officeDocument/2006/relationships/image" Target="media/image137.png"/><Relationship Id="rId150" Type="http://schemas.openxmlformats.org/officeDocument/2006/relationships/image" Target="media/image136.png"/><Relationship Id="rId15" Type="http://schemas.openxmlformats.org/officeDocument/2006/relationships/image" Target="media/image1.png"/><Relationship Id="rId149" Type="http://schemas.openxmlformats.org/officeDocument/2006/relationships/image" Target="media/image135.png"/><Relationship Id="rId148" Type="http://schemas.openxmlformats.org/officeDocument/2006/relationships/image" Target="media/image134.png"/><Relationship Id="rId147" Type="http://schemas.openxmlformats.org/officeDocument/2006/relationships/image" Target="media/image133.png"/><Relationship Id="rId146" Type="http://schemas.openxmlformats.org/officeDocument/2006/relationships/image" Target="media/image132.png"/><Relationship Id="rId145" Type="http://schemas.openxmlformats.org/officeDocument/2006/relationships/image" Target="media/image131.png"/><Relationship Id="rId144" Type="http://schemas.openxmlformats.org/officeDocument/2006/relationships/image" Target="media/image130.png"/><Relationship Id="rId143" Type="http://schemas.openxmlformats.org/officeDocument/2006/relationships/image" Target="media/image129.png"/><Relationship Id="rId142" Type="http://schemas.openxmlformats.org/officeDocument/2006/relationships/image" Target="media/image128.png"/><Relationship Id="rId141" Type="http://schemas.openxmlformats.org/officeDocument/2006/relationships/image" Target="media/image127.png"/><Relationship Id="rId140" Type="http://schemas.openxmlformats.org/officeDocument/2006/relationships/image" Target="media/image126.png"/><Relationship Id="rId14" Type="http://schemas.openxmlformats.org/officeDocument/2006/relationships/theme" Target="theme/theme1.xml"/><Relationship Id="rId139" Type="http://schemas.openxmlformats.org/officeDocument/2006/relationships/image" Target="media/image125.png"/><Relationship Id="rId138" Type="http://schemas.openxmlformats.org/officeDocument/2006/relationships/image" Target="media/image124.png"/><Relationship Id="rId137" Type="http://schemas.openxmlformats.org/officeDocument/2006/relationships/image" Target="media/image123.png"/><Relationship Id="rId136" Type="http://schemas.openxmlformats.org/officeDocument/2006/relationships/image" Target="media/image122.png"/><Relationship Id="rId135" Type="http://schemas.openxmlformats.org/officeDocument/2006/relationships/image" Target="media/image121.png"/><Relationship Id="rId134" Type="http://schemas.openxmlformats.org/officeDocument/2006/relationships/image" Target="media/image120.png"/><Relationship Id="rId133" Type="http://schemas.openxmlformats.org/officeDocument/2006/relationships/image" Target="media/image119.png"/><Relationship Id="rId132" Type="http://schemas.openxmlformats.org/officeDocument/2006/relationships/image" Target="media/image118.png"/><Relationship Id="rId131" Type="http://schemas.openxmlformats.org/officeDocument/2006/relationships/image" Target="media/image117.png"/><Relationship Id="rId130" Type="http://schemas.openxmlformats.org/officeDocument/2006/relationships/image" Target="media/image116.jpeg"/><Relationship Id="rId13" Type="http://schemas.openxmlformats.org/officeDocument/2006/relationships/footer" Target="footer3.xml"/><Relationship Id="rId129" Type="http://schemas.openxmlformats.org/officeDocument/2006/relationships/image" Target="media/image115.png"/><Relationship Id="rId128" Type="http://schemas.openxmlformats.org/officeDocument/2006/relationships/image" Target="media/image114.png"/><Relationship Id="rId127" Type="http://schemas.openxmlformats.org/officeDocument/2006/relationships/image" Target="media/image113.png"/><Relationship Id="rId126" Type="http://schemas.openxmlformats.org/officeDocument/2006/relationships/image" Target="media/image112.png"/><Relationship Id="rId125" Type="http://schemas.openxmlformats.org/officeDocument/2006/relationships/image" Target="media/image111.png"/><Relationship Id="rId124" Type="http://schemas.openxmlformats.org/officeDocument/2006/relationships/image" Target="media/image110.png"/><Relationship Id="rId123" Type="http://schemas.openxmlformats.org/officeDocument/2006/relationships/image" Target="media/image109.png"/><Relationship Id="rId122" Type="http://schemas.openxmlformats.org/officeDocument/2006/relationships/image" Target="media/image108.png"/><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header" Target="header6.xml"/><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media/image97.png"/><Relationship Id="rId110" Type="http://schemas.openxmlformats.org/officeDocument/2006/relationships/image" Target="media/image96.png"/><Relationship Id="rId11" Type="http://schemas.openxmlformats.org/officeDocument/2006/relationships/footer" Target="footer2.xml"/><Relationship Id="rId109" Type="http://schemas.openxmlformats.org/officeDocument/2006/relationships/image" Target="media/image95.png"/><Relationship Id="rId108" Type="http://schemas.openxmlformats.org/officeDocument/2006/relationships/image" Target="media/image94.png"/><Relationship Id="rId107" Type="http://schemas.openxmlformats.org/officeDocument/2006/relationships/image" Target="media/image93.png"/><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102</Pages>
  <Words>4344</Words>
  <Characters>5126</Characters>
  <Lines>1</Lines>
  <Paragraphs>1</Paragraphs>
  <TotalTime>17</TotalTime>
  <ScaleCrop>false</ScaleCrop>
  <LinksUpToDate>false</LinksUpToDate>
  <CharactersWithSpaces>5251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2021-09-14T19:18:00Z</dcterms:created>
  <dc:creator>宇正-王</dc:creator>
  <cp:lastModifiedBy>Administrator</cp:lastModifiedBy>
  <cp:lastPrinted>2023-03-09T18:22:00Z</cp:lastPrinted>
  <dcterms:modified xsi:type="dcterms:W3CDTF">2025-01-07T13:37:26Z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374B2158B6E4437FBFA5FA4D6513DA4D_13</vt:lpwstr>
  </property>
  <property fmtid="{D5CDD505-2E9C-101B-9397-08002B2CF9AE}" pid="4" name="KSOTemplateDocerSaveRecord">
    <vt:lpwstr>eyJoZGlkIjoiNzJjZDE2NDBiYWY0YTFhZTI4YTQ2YTdiMjM3OWEyZjkiLCJ1c2VySWQiOiI0MjQ2OTg0NTQifQ==</vt:lpwstr>
  </property>
</Properties>
</file>