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7E0D90">
      <w:pPr>
        <w:ind w:firstLine="0" w:firstLineChars="0"/>
        <w:rPr>
          <w:rFonts w:ascii="宋体" w:hAnsi="宋体"/>
          <w:b/>
          <w:sz w:val="36"/>
          <w:szCs w:val="36"/>
          <w:lang w:val="zh-CN"/>
        </w:rPr>
      </w:pPr>
    </w:p>
    <w:p w14:paraId="54A4737C">
      <w:pPr>
        <w:snapToGrid w:val="0"/>
        <w:ind w:firstLine="0" w:firstLineChars="0"/>
        <w:jc w:val="center"/>
        <w:outlineLvl w:val="9"/>
        <w:rPr>
          <w:rFonts w:hint="eastAsia" w:ascii="宋体" w:hAnsi="宋体"/>
          <w:b/>
          <w:sz w:val="44"/>
          <w:szCs w:val="44"/>
          <w:lang w:val="zh-CN" w:eastAsia="zh-CN"/>
        </w:rPr>
      </w:pPr>
      <w:bookmarkStart w:id="0" w:name="_Toc6294"/>
      <w:bookmarkStart w:id="1" w:name="_Toc13799"/>
    </w:p>
    <w:p w14:paraId="2E4ED7DC">
      <w:pPr>
        <w:snapToGrid w:val="0"/>
        <w:ind w:firstLine="0" w:firstLineChars="0"/>
        <w:jc w:val="center"/>
        <w:outlineLvl w:val="0"/>
        <w:rPr>
          <w:rFonts w:hint="eastAsia" w:ascii="宋体" w:hAnsi="宋体"/>
          <w:b/>
          <w:bCs/>
          <w:sz w:val="36"/>
          <w:szCs w:val="36"/>
          <w:lang w:val="zh-CN"/>
        </w:rPr>
      </w:pPr>
      <w:bookmarkStart w:id="2" w:name="_Toc9884"/>
      <w:bookmarkStart w:id="3" w:name="_Toc24121"/>
      <w:bookmarkStart w:id="4" w:name="_Toc241"/>
      <w:bookmarkStart w:id="5" w:name="_Toc14791"/>
      <w:r>
        <w:rPr>
          <w:rFonts w:hint="eastAsia" w:ascii="宋体" w:hAnsi="宋体"/>
          <w:b/>
          <w:sz w:val="36"/>
          <w:szCs w:val="36"/>
          <w:lang w:val="zh-CN" w:eastAsia="zh-CN"/>
        </w:rPr>
        <w:t>小南海镇周红坂村老年活动中心及厨房改造采购项目</w:t>
      </w:r>
    </w:p>
    <w:p w14:paraId="1A5A5DCA">
      <w:pPr>
        <w:snapToGrid w:val="0"/>
        <w:ind w:firstLine="0" w:firstLineChars="0"/>
        <w:jc w:val="center"/>
        <w:outlineLvl w:val="0"/>
        <w:rPr>
          <w:rFonts w:hint="eastAsia" w:ascii="宋体" w:hAnsi="宋体"/>
          <w:b/>
          <w:bCs/>
          <w:sz w:val="36"/>
          <w:szCs w:val="36"/>
          <w:lang w:val="zh-CN"/>
        </w:rPr>
      </w:pPr>
    </w:p>
    <w:p w14:paraId="79EB54F6">
      <w:pPr>
        <w:snapToGrid w:val="0"/>
        <w:ind w:firstLine="0" w:firstLineChars="0"/>
        <w:jc w:val="center"/>
        <w:outlineLvl w:val="0"/>
        <w:rPr>
          <w:rFonts w:hint="eastAsia" w:ascii="宋体" w:hAnsi="宋体"/>
          <w:b/>
          <w:sz w:val="36"/>
          <w:szCs w:val="36"/>
          <w:lang w:val="zh-CN" w:eastAsia="zh-CN"/>
        </w:rPr>
      </w:pPr>
      <w:r>
        <w:rPr>
          <w:rFonts w:hint="eastAsia" w:ascii="宋体" w:hAnsi="宋体"/>
          <w:b/>
          <w:sz w:val="36"/>
          <w:szCs w:val="36"/>
          <w:lang w:val="zh-CN" w:eastAsia="zh-CN"/>
        </w:rPr>
        <w:t>项目编号：</w:t>
      </w:r>
      <w:bookmarkEnd w:id="0"/>
      <w:bookmarkEnd w:id="1"/>
      <w:bookmarkEnd w:id="2"/>
      <w:bookmarkEnd w:id="3"/>
      <w:bookmarkEnd w:id="4"/>
      <w:bookmarkEnd w:id="5"/>
      <w:bookmarkStart w:id="6" w:name="_Toc4181"/>
      <w:bookmarkStart w:id="7" w:name="_Toc598"/>
      <w:bookmarkStart w:id="8" w:name="_Toc23353"/>
      <w:bookmarkStart w:id="9" w:name="_Toc24101"/>
      <w:bookmarkStart w:id="10" w:name="_Toc32351"/>
      <w:bookmarkStart w:id="11" w:name="_Toc13192"/>
      <w:bookmarkStart w:id="12" w:name="_Toc20262"/>
      <w:bookmarkStart w:id="13" w:name="_Toc21940"/>
      <w:bookmarkStart w:id="14" w:name="_Toc17601"/>
      <w:bookmarkStart w:id="15" w:name="_Toc12263"/>
      <w:bookmarkStart w:id="16" w:name="_Toc25868"/>
      <w:bookmarkStart w:id="17" w:name="_Toc14202"/>
      <w:bookmarkStart w:id="18" w:name="_Toc18186"/>
      <w:bookmarkStart w:id="19" w:name="_Toc23460"/>
      <w:bookmarkStart w:id="20" w:name="_Toc23620"/>
      <w:bookmarkStart w:id="21" w:name="_Toc1151"/>
      <w:bookmarkStart w:id="22" w:name="_Toc21710"/>
      <w:bookmarkStart w:id="23" w:name="_Toc19031"/>
      <w:bookmarkStart w:id="24" w:name="_Toc30278"/>
      <w:bookmarkStart w:id="25" w:name="_Toc6952"/>
      <w:bookmarkStart w:id="26" w:name="_Toc9322"/>
      <w:bookmarkStart w:id="27" w:name="_Toc21731"/>
      <w:r>
        <w:rPr>
          <w:rFonts w:hint="eastAsia" w:ascii="宋体" w:hAnsi="宋体"/>
          <w:b/>
          <w:sz w:val="36"/>
          <w:szCs w:val="36"/>
          <w:lang w:val="zh-CN" w:eastAsia="zh-CN"/>
        </w:rPr>
        <w:t>LYCG2025XCX-008</w:t>
      </w:r>
    </w:p>
    <w:p w14:paraId="6E28A035">
      <w:pPr>
        <w:ind w:firstLine="480"/>
      </w:pPr>
    </w:p>
    <w:p w14:paraId="2DA38FD2">
      <w:pPr>
        <w:pStyle w:val="49"/>
        <w:ind w:left="0" w:leftChars="0" w:firstLine="0" w:firstLineChars="0"/>
      </w:pPr>
      <w:bookmarkStart w:id="28" w:name="_Toc10105"/>
    </w:p>
    <w:p w14:paraId="304FDD93">
      <w:pPr>
        <w:pStyle w:val="49"/>
        <w:ind w:left="0" w:leftChars="0" w:firstLine="0" w:firstLineChars="0"/>
      </w:pPr>
    </w:p>
    <w:p w14:paraId="220EA785">
      <w:pPr>
        <w:pStyle w:val="49"/>
        <w:tabs>
          <w:tab w:val="left" w:pos="6223"/>
        </w:tabs>
        <w:ind w:left="0" w:leftChars="0" w:firstLine="0" w:firstLineChars="0"/>
        <w:rPr>
          <w:rFonts w:hint="eastAsia" w:eastAsia="宋体"/>
          <w:lang w:eastAsia="zh-CN"/>
        </w:rPr>
      </w:pPr>
      <w:r>
        <w:rPr>
          <w:rFonts w:hint="eastAsia"/>
          <w:lang w:eastAsia="zh-CN"/>
        </w:rPr>
        <w:tab/>
      </w:r>
    </w:p>
    <w:p w14:paraId="6404D1A4">
      <w:pPr>
        <w:pStyle w:val="10"/>
        <w:ind w:left="0" w:leftChars="0" w:firstLine="0" w:firstLineChars="0"/>
      </w:pPr>
    </w:p>
    <w:p w14:paraId="41BEA49D">
      <w:pPr>
        <w:pStyle w:val="2"/>
        <w:keepNext w:val="0"/>
        <w:spacing w:before="312" w:after="312" w:line="360" w:lineRule="auto"/>
        <w:ind w:firstLine="0" w:firstLineChars="0"/>
        <w:jc w:val="center"/>
        <w:rPr>
          <w:rFonts w:hint="eastAsia" w:ascii="宋体" w:hAnsi="宋体"/>
        </w:rPr>
      </w:pPr>
      <w:bookmarkStart w:id="29" w:name="_Toc9221"/>
      <w:bookmarkStart w:id="30" w:name="_Toc15623"/>
      <w:bookmarkStart w:id="31" w:name="_Toc28329"/>
      <w:bookmarkStart w:id="32" w:name="_Toc18878"/>
      <w:bookmarkStart w:id="33" w:name="_Toc7265"/>
      <w:bookmarkStart w:id="34" w:name="_Toc7487"/>
      <w:bookmarkStart w:id="35" w:name="_Toc6896"/>
      <w:bookmarkStart w:id="36" w:name="_Toc13874"/>
      <w:bookmarkStart w:id="37" w:name="_Toc22329"/>
      <w:bookmarkStart w:id="38" w:name="_Toc25379"/>
      <w:bookmarkStart w:id="39" w:name="_Toc6121"/>
      <w:bookmarkStart w:id="40" w:name="_Toc28900"/>
      <w:bookmarkStart w:id="41" w:name="_Toc7482"/>
      <w:bookmarkStart w:id="42" w:name="_Toc3461"/>
      <w:bookmarkStart w:id="43" w:name="_Toc15593"/>
      <w:bookmarkStart w:id="44" w:name="_Toc24253"/>
      <w:bookmarkStart w:id="45" w:name="_Toc17807"/>
      <w:bookmarkStart w:id="46" w:name="_Toc19883"/>
      <w:r>
        <w:rPr>
          <w:rFonts w:hint="eastAsia" w:ascii="宋体" w:hAnsi="宋体" w:cs="宋体"/>
          <w:sz w:val="84"/>
          <w:szCs w:val="84"/>
        </w:rPr>
        <w:t>竞争性磋商文件</w:t>
      </w:r>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p>
    <w:p w14:paraId="3867C18E">
      <w:pPr>
        <w:pStyle w:val="15"/>
        <w:rPr>
          <w:rFonts w:hint="eastAsia"/>
          <w:lang w:val="zh-CN"/>
        </w:rPr>
      </w:pPr>
    </w:p>
    <w:p w14:paraId="4B408B13">
      <w:pPr>
        <w:pStyle w:val="47"/>
        <w:rPr>
          <w:rFonts w:hint="eastAsia"/>
          <w:lang w:val="zh-CN"/>
        </w:rPr>
      </w:pPr>
    </w:p>
    <w:p w14:paraId="6AB67DB1">
      <w:pPr>
        <w:pStyle w:val="47"/>
        <w:rPr>
          <w:rFonts w:hint="eastAsia"/>
          <w:lang w:val="zh-CN"/>
        </w:rPr>
      </w:pPr>
    </w:p>
    <w:p w14:paraId="2643FBCE">
      <w:pPr>
        <w:pStyle w:val="47"/>
        <w:rPr>
          <w:rFonts w:hint="eastAsia"/>
          <w:lang w:val="zh-CN"/>
        </w:rPr>
      </w:pPr>
    </w:p>
    <w:p w14:paraId="0C770A09">
      <w:pPr>
        <w:pStyle w:val="47"/>
        <w:rPr>
          <w:rFonts w:hint="eastAsia"/>
          <w:lang w:val="zh-CN"/>
        </w:rPr>
      </w:pPr>
    </w:p>
    <w:p w14:paraId="34095C06">
      <w:pPr>
        <w:pStyle w:val="47"/>
        <w:rPr>
          <w:rFonts w:hint="eastAsia"/>
          <w:lang w:val="zh-CN"/>
        </w:rPr>
      </w:pPr>
    </w:p>
    <w:p w14:paraId="14F814F3">
      <w:pPr>
        <w:pStyle w:val="47"/>
        <w:rPr>
          <w:rFonts w:hint="eastAsia"/>
          <w:lang w:val="zh-CN"/>
        </w:rPr>
      </w:pPr>
    </w:p>
    <w:p w14:paraId="29D1DDC7">
      <w:pPr>
        <w:pStyle w:val="47"/>
        <w:rPr>
          <w:rFonts w:hint="eastAsia"/>
          <w:lang w:val="zh-CN"/>
        </w:rPr>
      </w:pPr>
    </w:p>
    <w:p w14:paraId="6F1EE878">
      <w:pPr>
        <w:pStyle w:val="47"/>
        <w:rPr>
          <w:rFonts w:hint="eastAsia"/>
          <w:lang w:val="zh-CN"/>
        </w:rPr>
      </w:pPr>
    </w:p>
    <w:p w14:paraId="2155C36B">
      <w:pPr>
        <w:pStyle w:val="47"/>
        <w:rPr>
          <w:rFonts w:hint="eastAsia"/>
          <w:lang w:val="zh-CN"/>
        </w:rPr>
      </w:pPr>
    </w:p>
    <w:p w14:paraId="1A5B7C5B">
      <w:pPr>
        <w:pStyle w:val="47"/>
        <w:rPr>
          <w:rFonts w:hint="eastAsia"/>
          <w:lang w:val="zh-CN"/>
        </w:rPr>
      </w:pPr>
    </w:p>
    <w:p w14:paraId="049C8528">
      <w:pPr>
        <w:pStyle w:val="47"/>
        <w:rPr>
          <w:rFonts w:hint="eastAsia"/>
          <w:lang w:val="zh-CN"/>
        </w:rPr>
      </w:pPr>
    </w:p>
    <w:p w14:paraId="4F352221">
      <w:pPr>
        <w:adjustRightInd w:val="0"/>
        <w:snapToGrid w:val="0"/>
        <w:spacing w:line="800" w:lineRule="exact"/>
        <w:jc w:val="both"/>
        <w:rPr>
          <w:rFonts w:hint="eastAsia" w:ascii="宋体" w:hAnsi="宋体" w:cs="宋体"/>
          <w:b/>
          <w:bCs/>
          <w:sz w:val="36"/>
          <w:szCs w:val="36"/>
          <w:lang w:val="zh-CN"/>
        </w:rPr>
      </w:pPr>
      <w:r>
        <w:rPr>
          <w:rFonts w:hint="eastAsia" w:ascii="宋体" w:hAnsi="宋体" w:cs="宋体"/>
          <w:b/>
          <w:bCs/>
          <w:sz w:val="36"/>
          <w:szCs w:val="36"/>
          <w:lang w:val="zh-CN"/>
        </w:rPr>
        <w:t>采购人：</w:t>
      </w:r>
      <w:r>
        <w:rPr>
          <w:rFonts w:hint="eastAsia" w:ascii="宋体" w:hAnsi="宋体" w:cs="宋体"/>
          <w:b/>
          <w:sz w:val="36"/>
          <w:szCs w:val="36"/>
          <w:lang w:val="zh-CN"/>
        </w:rPr>
        <w:t xml:space="preserve">龙游县小南海镇周红坂村股份经济合作社（盖章） </w:t>
      </w:r>
    </w:p>
    <w:p w14:paraId="012585BC">
      <w:pPr>
        <w:adjustRightInd w:val="0"/>
        <w:spacing w:line="800" w:lineRule="exact"/>
        <w:jc w:val="both"/>
        <w:outlineLvl w:val="0"/>
        <w:rPr>
          <w:rFonts w:hint="eastAsia" w:ascii="宋体" w:hAnsi="宋体" w:cs="宋体"/>
          <w:b/>
          <w:bCs/>
          <w:sz w:val="36"/>
          <w:szCs w:val="36"/>
          <w:lang w:val="zh-CN"/>
        </w:rPr>
      </w:pPr>
      <w:bookmarkStart w:id="47" w:name="_Toc16157"/>
      <w:r>
        <w:rPr>
          <w:rFonts w:hint="eastAsia" w:ascii="宋体" w:hAnsi="宋体" w:cs="宋体"/>
          <w:b/>
          <w:bCs/>
          <w:sz w:val="36"/>
          <w:szCs w:val="36"/>
          <w:lang w:val="en-US" w:eastAsia="zh-CN"/>
        </w:rPr>
        <w:t>采购</w:t>
      </w:r>
      <w:r>
        <w:rPr>
          <w:rFonts w:hint="eastAsia" w:ascii="宋体" w:hAnsi="宋体" w:cs="宋体"/>
          <w:b/>
          <w:bCs/>
          <w:sz w:val="36"/>
          <w:szCs w:val="36"/>
          <w:lang w:val="zh-CN"/>
        </w:rPr>
        <w:t>代理机构：浙江新诚信工程咨询有限公司（盖章）</w:t>
      </w:r>
      <w:bookmarkEnd w:id="47"/>
    </w:p>
    <w:p w14:paraId="5A7910A9">
      <w:pPr>
        <w:pStyle w:val="35"/>
        <w:widowControl w:val="0"/>
        <w:ind w:left="0" w:leftChars="0" w:firstLine="0" w:firstLineChars="0"/>
        <w:jc w:val="center"/>
        <w:rPr>
          <w:rFonts w:hint="eastAsia" w:ascii="宋体" w:hAnsi="宋体" w:eastAsia="宋体" w:cs="宋体"/>
          <w:b/>
          <w:bCs/>
          <w:kern w:val="2"/>
          <w:sz w:val="36"/>
          <w:szCs w:val="36"/>
          <w:lang w:val="zh-CN" w:eastAsia="zh-CN" w:bidi="ar-SA"/>
        </w:rPr>
      </w:pPr>
    </w:p>
    <w:p w14:paraId="545E98D3">
      <w:pPr>
        <w:pStyle w:val="35"/>
        <w:widowControl w:val="0"/>
        <w:ind w:left="0" w:leftChars="0" w:firstLine="0" w:firstLineChars="0"/>
        <w:jc w:val="center"/>
        <w:rPr>
          <w:rFonts w:hint="eastAsia" w:ascii="宋体" w:hAnsi="宋体" w:eastAsia="宋体" w:cs="宋体"/>
          <w:b/>
          <w:bCs/>
          <w:kern w:val="2"/>
          <w:sz w:val="36"/>
          <w:szCs w:val="36"/>
          <w:lang w:val="zh-CN" w:eastAsia="zh-CN" w:bidi="ar-SA"/>
        </w:rPr>
      </w:pPr>
      <w:r>
        <w:rPr>
          <w:rFonts w:hint="eastAsia" w:ascii="宋体" w:hAnsi="宋体" w:eastAsia="宋体" w:cs="宋体"/>
          <w:b/>
          <w:bCs/>
          <w:kern w:val="2"/>
          <w:sz w:val="36"/>
          <w:szCs w:val="36"/>
          <w:lang w:val="zh-CN" w:eastAsia="zh-CN" w:bidi="ar-SA"/>
        </w:rPr>
        <w:t>二〇二</w:t>
      </w:r>
      <w:r>
        <w:rPr>
          <w:rFonts w:hint="eastAsia" w:hAnsi="宋体" w:cs="宋体"/>
          <w:b/>
          <w:bCs/>
          <w:kern w:val="2"/>
          <w:sz w:val="36"/>
          <w:szCs w:val="36"/>
          <w:lang w:val="en-US" w:eastAsia="zh-CN" w:bidi="ar-SA"/>
        </w:rPr>
        <w:t>五</w:t>
      </w:r>
      <w:r>
        <w:rPr>
          <w:rFonts w:hint="eastAsia" w:ascii="宋体" w:hAnsi="宋体" w:eastAsia="宋体" w:cs="宋体"/>
          <w:b/>
          <w:bCs/>
          <w:kern w:val="2"/>
          <w:sz w:val="36"/>
          <w:szCs w:val="36"/>
          <w:lang w:val="zh-CN" w:eastAsia="zh-CN" w:bidi="ar-SA"/>
        </w:rPr>
        <w:t>年</w:t>
      </w:r>
      <w:r>
        <w:rPr>
          <w:rFonts w:hint="eastAsia" w:hAnsi="宋体" w:cs="宋体"/>
          <w:b/>
          <w:bCs/>
          <w:kern w:val="2"/>
          <w:sz w:val="36"/>
          <w:szCs w:val="36"/>
          <w:lang w:val="en-US" w:eastAsia="zh-CN" w:bidi="ar-SA"/>
        </w:rPr>
        <w:t>三</w:t>
      </w:r>
      <w:r>
        <w:rPr>
          <w:rFonts w:hint="eastAsia" w:ascii="宋体" w:hAnsi="宋体" w:eastAsia="宋体" w:cs="宋体"/>
          <w:b/>
          <w:bCs/>
          <w:kern w:val="2"/>
          <w:sz w:val="36"/>
          <w:szCs w:val="36"/>
          <w:lang w:val="zh-CN" w:eastAsia="zh-CN" w:bidi="ar-SA"/>
        </w:rPr>
        <w:t>月</w:t>
      </w:r>
    </w:p>
    <w:p w14:paraId="13DBDB7A">
      <w:pPr>
        <w:pBdr>
          <w:left w:val="single" w:color="auto" w:sz="4" w:space="0"/>
        </w:pBdr>
        <w:tabs>
          <w:tab w:val="center" w:pos="4934"/>
          <w:tab w:val="left" w:pos="6344"/>
          <w:tab w:val="left" w:pos="7256"/>
        </w:tabs>
        <w:ind w:firstLine="0" w:firstLineChars="0"/>
        <w:jc w:val="center"/>
        <w:rPr>
          <w:rFonts w:hint="eastAsia" w:ascii="宋体" w:hAnsi="宋体"/>
          <w:b/>
          <w:sz w:val="44"/>
          <w:szCs w:val="44"/>
        </w:rPr>
      </w:pPr>
    </w:p>
    <w:p w14:paraId="27C525E4">
      <w:pPr>
        <w:pBdr>
          <w:left w:val="single" w:color="auto" w:sz="4" w:space="0"/>
        </w:pBdr>
        <w:tabs>
          <w:tab w:val="center" w:pos="4934"/>
          <w:tab w:val="left" w:pos="6344"/>
          <w:tab w:val="left" w:pos="7256"/>
        </w:tabs>
        <w:ind w:firstLine="0" w:firstLineChars="0"/>
        <w:jc w:val="center"/>
        <w:rPr>
          <w:rFonts w:ascii="宋体" w:hAnsi="宋体"/>
          <w:b/>
          <w:sz w:val="44"/>
          <w:szCs w:val="44"/>
        </w:rPr>
      </w:pPr>
      <w:r>
        <w:rPr>
          <w:rFonts w:hint="eastAsia" w:ascii="宋体" w:hAnsi="宋体"/>
          <w:b/>
          <w:sz w:val="44"/>
          <w:szCs w:val="44"/>
        </w:rPr>
        <w:t>目  录</w:t>
      </w:r>
    </w:p>
    <w:sdt>
      <w:sdtPr>
        <w:rPr>
          <w:rFonts w:ascii="宋体" w:hAnsi="宋体" w:eastAsia="宋体" w:cs="宋体"/>
          <w:kern w:val="2"/>
          <w:sz w:val="21"/>
          <w:szCs w:val="24"/>
          <w:lang w:val="en-US" w:eastAsia="zh-CN" w:bidi="ar-SA"/>
        </w:rPr>
        <w:id w:val="147458230"/>
        <w15:color w:val="DBDBDB"/>
        <w:docPartObj>
          <w:docPartGallery w:val="Table of Contents"/>
          <w:docPartUnique/>
        </w:docPartObj>
      </w:sdtPr>
      <w:sdtEndPr>
        <w:rPr>
          <w:rFonts w:ascii="Times New Roman" w:hAnsi="Times New Roman" w:eastAsia="宋体" w:cs="宋体"/>
          <w:b/>
          <w:kern w:val="2"/>
          <w:sz w:val="16"/>
          <w:szCs w:val="16"/>
          <w:lang w:val="en-US" w:eastAsia="zh-CN" w:bidi="ar-SA"/>
        </w:rPr>
      </w:sdtEndPr>
      <w:sdtContent>
        <w:p w14:paraId="00CDD7B4">
          <w:pPr>
            <w:spacing w:before="0" w:beforeLines="0" w:after="0" w:afterLines="0" w:line="240" w:lineRule="auto"/>
            <w:ind w:left="0" w:leftChars="0" w:right="0" w:rightChars="0" w:firstLine="0" w:firstLineChars="0"/>
            <w:jc w:val="center"/>
          </w:pPr>
          <w:bookmarkStart w:id="48" w:name="_Toc16134"/>
        </w:p>
        <w:p w14:paraId="3385FE3F">
          <w:pPr>
            <w:pStyle w:val="85"/>
            <w:tabs>
              <w:tab w:val="right" w:leader="dot" w:pos="9746"/>
            </w:tabs>
            <w:rPr>
              <w:b/>
            </w:rPr>
          </w:pPr>
          <w:r>
            <w:fldChar w:fldCharType="begin"/>
          </w:r>
          <w:r>
            <w:instrText xml:space="preserve">TOC \o "1-2" \h \u </w:instrText>
          </w:r>
          <w:r>
            <w:fldChar w:fldCharType="separate"/>
          </w:r>
        </w:p>
        <w:p w14:paraId="61B6DD29">
          <w:pPr>
            <w:pStyle w:val="85"/>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2" w:firstLineChars="200"/>
            <w:textAlignment w:val="auto"/>
            <w:rPr>
              <w:rFonts w:hint="eastAsia" w:ascii="宋体" w:hAnsi="宋体" w:eastAsia="宋体" w:cs="宋体"/>
              <w:b/>
              <w:sz w:val="22"/>
              <w:szCs w:val="22"/>
            </w:rPr>
          </w:pP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HYPERLINK \l _Toc17951 </w:instrText>
          </w:r>
          <w:r>
            <w:rPr>
              <w:rFonts w:hint="eastAsia" w:ascii="宋体" w:hAnsi="宋体" w:eastAsia="宋体" w:cs="宋体"/>
              <w:b/>
              <w:sz w:val="22"/>
              <w:szCs w:val="22"/>
            </w:rPr>
            <w:fldChar w:fldCharType="separate"/>
          </w:r>
          <w:r>
            <w:rPr>
              <w:rFonts w:hint="eastAsia" w:ascii="宋体" w:hAnsi="宋体" w:eastAsia="宋体" w:cs="宋体"/>
              <w:b/>
              <w:sz w:val="22"/>
              <w:szCs w:val="22"/>
            </w:rPr>
            <w:t>第一章 磋商公告</w:t>
          </w:r>
          <w:r>
            <w:rPr>
              <w:rFonts w:hint="eastAsia" w:ascii="宋体" w:hAnsi="宋体" w:eastAsia="宋体" w:cs="宋体"/>
              <w:b/>
              <w:sz w:val="22"/>
              <w:szCs w:val="22"/>
            </w:rPr>
            <w:tab/>
          </w: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PAGEREF _Toc17951 \h </w:instrText>
          </w:r>
          <w:r>
            <w:rPr>
              <w:rFonts w:hint="eastAsia" w:ascii="宋体" w:hAnsi="宋体" w:eastAsia="宋体" w:cs="宋体"/>
              <w:b/>
              <w:sz w:val="22"/>
              <w:szCs w:val="22"/>
            </w:rPr>
            <w:fldChar w:fldCharType="separate"/>
          </w:r>
          <w:r>
            <w:rPr>
              <w:rFonts w:hint="eastAsia" w:ascii="宋体" w:hAnsi="宋体" w:eastAsia="宋体" w:cs="宋体"/>
              <w:b/>
              <w:sz w:val="22"/>
              <w:szCs w:val="22"/>
            </w:rPr>
            <w:t>3</w:t>
          </w:r>
          <w:r>
            <w:rPr>
              <w:rFonts w:hint="eastAsia" w:ascii="宋体" w:hAnsi="宋体" w:eastAsia="宋体" w:cs="宋体"/>
              <w:b/>
              <w:sz w:val="22"/>
              <w:szCs w:val="22"/>
            </w:rPr>
            <w:fldChar w:fldCharType="end"/>
          </w:r>
          <w:r>
            <w:rPr>
              <w:rFonts w:hint="eastAsia" w:ascii="宋体" w:hAnsi="宋体" w:eastAsia="宋体" w:cs="宋体"/>
              <w:b/>
              <w:sz w:val="22"/>
              <w:szCs w:val="22"/>
            </w:rPr>
            <w:fldChar w:fldCharType="end"/>
          </w:r>
        </w:p>
        <w:p w14:paraId="4F869716">
          <w:pPr>
            <w:pStyle w:val="85"/>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2" w:firstLineChars="200"/>
            <w:textAlignment w:val="auto"/>
            <w:rPr>
              <w:rFonts w:hint="eastAsia" w:ascii="宋体" w:hAnsi="宋体" w:eastAsia="宋体" w:cs="宋体"/>
              <w:b/>
              <w:sz w:val="22"/>
              <w:szCs w:val="22"/>
            </w:rPr>
          </w:pP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HYPERLINK \l _Toc18478 </w:instrText>
          </w:r>
          <w:r>
            <w:rPr>
              <w:rFonts w:hint="eastAsia" w:ascii="宋体" w:hAnsi="宋体" w:eastAsia="宋体" w:cs="宋体"/>
              <w:b/>
              <w:sz w:val="22"/>
              <w:szCs w:val="22"/>
            </w:rPr>
            <w:fldChar w:fldCharType="separate"/>
          </w:r>
          <w:r>
            <w:rPr>
              <w:rFonts w:hint="eastAsia" w:ascii="宋体" w:hAnsi="宋体" w:eastAsia="宋体" w:cs="宋体"/>
              <w:b/>
              <w:sz w:val="22"/>
              <w:szCs w:val="22"/>
            </w:rPr>
            <w:t>第二章 供应商须知</w:t>
          </w:r>
          <w:r>
            <w:rPr>
              <w:rFonts w:hint="eastAsia" w:ascii="宋体" w:hAnsi="宋体" w:eastAsia="宋体" w:cs="宋体"/>
              <w:b/>
              <w:sz w:val="22"/>
              <w:szCs w:val="22"/>
            </w:rPr>
            <w:tab/>
          </w: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PAGEREF _Toc18478 \h </w:instrText>
          </w:r>
          <w:r>
            <w:rPr>
              <w:rFonts w:hint="eastAsia" w:ascii="宋体" w:hAnsi="宋体" w:eastAsia="宋体" w:cs="宋体"/>
              <w:b/>
              <w:sz w:val="22"/>
              <w:szCs w:val="22"/>
            </w:rPr>
            <w:fldChar w:fldCharType="separate"/>
          </w:r>
          <w:r>
            <w:rPr>
              <w:rFonts w:hint="eastAsia" w:ascii="宋体" w:hAnsi="宋体" w:eastAsia="宋体" w:cs="宋体"/>
              <w:b/>
              <w:sz w:val="22"/>
              <w:szCs w:val="22"/>
            </w:rPr>
            <w:t>6</w:t>
          </w:r>
          <w:r>
            <w:rPr>
              <w:rFonts w:hint="eastAsia" w:ascii="宋体" w:hAnsi="宋体" w:eastAsia="宋体" w:cs="宋体"/>
              <w:b/>
              <w:sz w:val="22"/>
              <w:szCs w:val="22"/>
            </w:rPr>
            <w:fldChar w:fldCharType="end"/>
          </w:r>
          <w:r>
            <w:rPr>
              <w:rFonts w:hint="eastAsia" w:ascii="宋体" w:hAnsi="宋体" w:eastAsia="宋体" w:cs="宋体"/>
              <w:b/>
              <w:sz w:val="22"/>
              <w:szCs w:val="22"/>
            </w:rPr>
            <w:fldChar w:fldCharType="end"/>
          </w:r>
        </w:p>
        <w:p w14:paraId="66057BA3">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_Toc19935 </w:instrText>
          </w:r>
          <w:r>
            <w:rPr>
              <w:rFonts w:hint="eastAsia" w:ascii="宋体" w:hAnsi="宋体" w:eastAsia="宋体" w:cs="宋体"/>
              <w:sz w:val="22"/>
              <w:szCs w:val="22"/>
            </w:rPr>
            <w:fldChar w:fldCharType="separate"/>
          </w:r>
          <w:r>
            <w:rPr>
              <w:rFonts w:hint="eastAsia" w:ascii="宋体" w:hAnsi="宋体" w:eastAsia="宋体" w:cs="宋体"/>
              <w:sz w:val="22"/>
              <w:szCs w:val="22"/>
              <w:lang w:val="en-US" w:eastAsia="zh-CN"/>
            </w:rPr>
            <w:t>一、</w:t>
          </w:r>
          <w:r>
            <w:rPr>
              <w:rFonts w:hint="eastAsia" w:ascii="宋体" w:hAnsi="宋体" w:eastAsia="宋体" w:cs="宋体"/>
              <w:sz w:val="22"/>
              <w:szCs w:val="22"/>
            </w:rPr>
            <w:t>供应商须知前附表</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_Toc19935 \h </w:instrText>
          </w:r>
          <w:r>
            <w:rPr>
              <w:rFonts w:hint="eastAsia" w:ascii="宋体" w:hAnsi="宋体" w:eastAsia="宋体" w:cs="宋体"/>
              <w:sz w:val="22"/>
              <w:szCs w:val="22"/>
            </w:rPr>
            <w:fldChar w:fldCharType="separate"/>
          </w:r>
          <w:r>
            <w:rPr>
              <w:rFonts w:hint="eastAsia" w:ascii="宋体" w:hAnsi="宋体" w:eastAsia="宋体" w:cs="宋体"/>
              <w:sz w:val="22"/>
              <w:szCs w:val="22"/>
            </w:rPr>
            <w:t>6</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2565CDAF">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_Toc11668 </w:instrText>
          </w:r>
          <w:r>
            <w:rPr>
              <w:rFonts w:hint="eastAsia" w:ascii="宋体" w:hAnsi="宋体" w:eastAsia="宋体" w:cs="宋体"/>
              <w:sz w:val="22"/>
              <w:szCs w:val="22"/>
            </w:rPr>
            <w:fldChar w:fldCharType="separate"/>
          </w:r>
          <w:r>
            <w:rPr>
              <w:rFonts w:hint="eastAsia" w:ascii="宋体" w:hAnsi="宋体" w:eastAsia="宋体" w:cs="宋体"/>
              <w:bCs w:val="0"/>
              <w:sz w:val="22"/>
              <w:szCs w:val="22"/>
              <w:lang w:val="en-US" w:eastAsia="zh-CN"/>
            </w:rPr>
            <w:t>二</w:t>
          </w:r>
          <w:r>
            <w:rPr>
              <w:rFonts w:hint="eastAsia" w:ascii="宋体" w:hAnsi="宋体" w:eastAsia="宋体" w:cs="宋体"/>
              <w:bCs w:val="0"/>
              <w:sz w:val="22"/>
              <w:szCs w:val="22"/>
              <w:lang w:val="en-US"/>
            </w:rPr>
            <w:t>、说明</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_Toc11668 \h </w:instrText>
          </w:r>
          <w:r>
            <w:rPr>
              <w:rFonts w:hint="eastAsia" w:ascii="宋体" w:hAnsi="宋体" w:eastAsia="宋体" w:cs="宋体"/>
              <w:sz w:val="22"/>
              <w:szCs w:val="22"/>
            </w:rPr>
            <w:fldChar w:fldCharType="separate"/>
          </w:r>
          <w:r>
            <w:rPr>
              <w:rFonts w:hint="eastAsia" w:ascii="宋体" w:hAnsi="宋体" w:eastAsia="宋体" w:cs="宋体"/>
              <w:sz w:val="22"/>
              <w:szCs w:val="22"/>
            </w:rPr>
            <w:t>8</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0EF03551">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_Toc30926 </w:instrText>
          </w:r>
          <w:r>
            <w:rPr>
              <w:rFonts w:hint="eastAsia" w:ascii="宋体" w:hAnsi="宋体" w:eastAsia="宋体" w:cs="宋体"/>
              <w:sz w:val="22"/>
              <w:szCs w:val="22"/>
            </w:rPr>
            <w:fldChar w:fldCharType="separate"/>
          </w:r>
          <w:r>
            <w:rPr>
              <w:rFonts w:hint="eastAsia" w:ascii="宋体" w:hAnsi="宋体" w:eastAsia="宋体" w:cs="宋体"/>
              <w:bCs w:val="0"/>
              <w:sz w:val="22"/>
              <w:szCs w:val="22"/>
              <w:lang w:val="en-US" w:eastAsia="zh-CN"/>
            </w:rPr>
            <w:t>三</w:t>
          </w:r>
          <w:r>
            <w:rPr>
              <w:rFonts w:hint="eastAsia" w:ascii="宋体" w:hAnsi="宋体" w:eastAsia="宋体" w:cs="宋体"/>
              <w:bCs w:val="0"/>
              <w:sz w:val="22"/>
              <w:szCs w:val="22"/>
            </w:rPr>
            <w:t>、竞争性磋商文件</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_Toc30926 \h </w:instrText>
          </w:r>
          <w:r>
            <w:rPr>
              <w:rFonts w:hint="eastAsia" w:ascii="宋体" w:hAnsi="宋体" w:eastAsia="宋体" w:cs="宋体"/>
              <w:sz w:val="22"/>
              <w:szCs w:val="22"/>
            </w:rPr>
            <w:fldChar w:fldCharType="separate"/>
          </w:r>
          <w:r>
            <w:rPr>
              <w:rFonts w:hint="eastAsia" w:ascii="宋体" w:hAnsi="宋体" w:eastAsia="宋体" w:cs="宋体"/>
              <w:sz w:val="22"/>
              <w:szCs w:val="22"/>
            </w:rPr>
            <w:t>8</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4EF4C70D">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_Toc25089 </w:instrText>
          </w:r>
          <w:r>
            <w:rPr>
              <w:rFonts w:hint="eastAsia" w:ascii="宋体" w:hAnsi="宋体" w:eastAsia="宋体" w:cs="宋体"/>
              <w:sz w:val="22"/>
              <w:szCs w:val="22"/>
            </w:rPr>
            <w:fldChar w:fldCharType="separate"/>
          </w:r>
          <w:r>
            <w:rPr>
              <w:rFonts w:hint="eastAsia" w:ascii="宋体" w:hAnsi="宋体" w:eastAsia="宋体" w:cs="宋体"/>
              <w:bCs w:val="0"/>
              <w:sz w:val="22"/>
              <w:szCs w:val="22"/>
              <w:lang w:val="en-US" w:eastAsia="zh-CN"/>
            </w:rPr>
            <w:t>四</w:t>
          </w:r>
          <w:r>
            <w:rPr>
              <w:rFonts w:hint="eastAsia" w:ascii="宋体" w:hAnsi="宋体" w:eastAsia="宋体" w:cs="宋体"/>
              <w:bCs w:val="0"/>
              <w:sz w:val="22"/>
              <w:szCs w:val="22"/>
            </w:rPr>
            <w:t>、</w:t>
          </w:r>
          <w:r>
            <w:rPr>
              <w:rFonts w:hint="eastAsia" w:ascii="宋体" w:hAnsi="宋体" w:cs="宋体"/>
              <w:bCs w:val="0"/>
              <w:sz w:val="22"/>
              <w:szCs w:val="22"/>
              <w:lang w:eastAsia="zh-CN"/>
            </w:rPr>
            <w:t>磋商响应文件</w:t>
          </w:r>
          <w:r>
            <w:rPr>
              <w:rFonts w:hint="eastAsia" w:ascii="宋体" w:hAnsi="宋体" w:eastAsia="宋体" w:cs="宋体"/>
              <w:bCs w:val="0"/>
              <w:sz w:val="22"/>
              <w:szCs w:val="22"/>
            </w:rPr>
            <w:t>的编写</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_Toc25089 \h </w:instrText>
          </w:r>
          <w:r>
            <w:rPr>
              <w:rFonts w:hint="eastAsia" w:ascii="宋体" w:hAnsi="宋体" w:eastAsia="宋体" w:cs="宋体"/>
              <w:sz w:val="22"/>
              <w:szCs w:val="22"/>
            </w:rPr>
            <w:fldChar w:fldCharType="separate"/>
          </w:r>
          <w:r>
            <w:rPr>
              <w:rFonts w:hint="eastAsia" w:ascii="宋体" w:hAnsi="宋体" w:eastAsia="宋体" w:cs="宋体"/>
              <w:sz w:val="22"/>
              <w:szCs w:val="22"/>
            </w:rPr>
            <w:t>9</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559A5E9A">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_Toc26610 </w:instrText>
          </w:r>
          <w:r>
            <w:rPr>
              <w:rFonts w:hint="eastAsia" w:ascii="宋体" w:hAnsi="宋体" w:eastAsia="宋体" w:cs="宋体"/>
              <w:sz w:val="22"/>
              <w:szCs w:val="22"/>
            </w:rPr>
            <w:fldChar w:fldCharType="separate"/>
          </w:r>
          <w:r>
            <w:rPr>
              <w:rFonts w:hint="eastAsia" w:ascii="宋体" w:hAnsi="宋体" w:eastAsia="宋体" w:cs="宋体"/>
              <w:bCs w:val="0"/>
              <w:sz w:val="22"/>
              <w:szCs w:val="22"/>
              <w:lang w:val="en-US" w:eastAsia="zh-CN"/>
            </w:rPr>
            <w:t>五</w:t>
          </w:r>
          <w:r>
            <w:rPr>
              <w:rFonts w:hint="eastAsia" w:ascii="宋体" w:hAnsi="宋体" w:eastAsia="宋体" w:cs="宋体"/>
              <w:bCs w:val="0"/>
              <w:sz w:val="22"/>
              <w:szCs w:val="22"/>
              <w:lang w:val="en-US"/>
            </w:rPr>
            <w:t>、</w:t>
          </w:r>
          <w:r>
            <w:rPr>
              <w:rFonts w:hint="eastAsia" w:ascii="宋体" w:hAnsi="宋体" w:cs="宋体"/>
              <w:bCs w:val="0"/>
              <w:sz w:val="22"/>
              <w:szCs w:val="22"/>
              <w:lang w:val="en-US" w:eastAsia="zh-CN"/>
            </w:rPr>
            <w:t>磋商响应文件</w:t>
          </w:r>
          <w:r>
            <w:rPr>
              <w:rFonts w:hint="eastAsia" w:ascii="宋体" w:hAnsi="宋体" w:eastAsia="宋体" w:cs="宋体"/>
              <w:bCs w:val="0"/>
              <w:sz w:val="22"/>
              <w:szCs w:val="22"/>
              <w:lang w:val="en-US"/>
            </w:rPr>
            <w:t>的提交</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_Toc26610 \h </w:instrText>
          </w:r>
          <w:r>
            <w:rPr>
              <w:rFonts w:hint="eastAsia" w:ascii="宋体" w:hAnsi="宋体" w:eastAsia="宋体" w:cs="宋体"/>
              <w:sz w:val="22"/>
              <w:szCs w:val="22"/>
            </w:rPr>
            <w:fldChar w:fldCharType="separate"/>
          </w:r>
          <w:r>
            <w:rPr>
              <w:rFonts w:hint="eastAsia" w:ascii="宋体" w:hAnsi="宋体" w:eastAsia="宋体" w:cs="宋体"/>
              <w:sz w:val="22"/>
              <w:szCs w:val="22"/>
            </w:rPr>
            <w:t>12</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33FC755B">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_Toc22611 </w:instrText>
          </w:r>
          <w:r>
            <w:rPr>
              <w:rFonts w:hint="eastAsia" w:ascii="宋体" w:hAnsi="宋体" w:eastAsia="宋体" w:cs="宋体"/>
              <w:sz w:val="22"/>
              <w:szCs w:val="22"/>
            </w:rPr>
            <w:fldChar w:fldCharType="separate"/>
          </w:r>
          <w:r>
            <w:rPr>
              <w:rFonts w:hint="eastAsia" w:ascii="宋体" w:hAnsi="宋体" w:eastAsia="宋体" w:cs="宋体"/>
              <w:bCs w:val="0"/>
              <w:sz w:val="22"/>
              <w:szCs w:val="22"/>
              <w:lang w:val="en-US" w:eastAsia="zh-CN"/>
            </w:rPr>
            <w:t>六</w:t>
          </w:r>
          <w:r>
            <w:rPr>
              <w:rFonts w:hint="eastAsia" w:ascii="宋体" w:hAnsi="宋体" w:eastAsia="宋体" w:cs="宋体"/>
              <w:bCs w:val="0"/>
              <w:sz w:val="22"/>
              <w:szCs w:val="22"/>
              <w:lang w:val="en-US"/>
            </w:rPr>
            <w:t>、</w:t>
          </w:r>
          <w:r>
            <w:rPr>
              <w:rFonts w:hint="eastAsia" w:ascii="宋体" w:hAnsi="宋体" w:cs="宋体"/>
              <w:bCs w:val="0"/>
              <w:sz w:val="22"/>
              <w:szCs w:val="22"/>
              <w:lang w:val="en-US" w:eastAsia="zh-CN"/>
            </w:rPr>
            <w:t>磋商响应文件</w:t>
          </w:r>
          <w:r>
            <w:rPr>
              <w:rFonts w:hint="eastAsia" w:ascii="宋体" w:hAnsi="宋体" w:eastAsia="宋体" w:cs="宋体"/>
              <w:bCs w:val="0"/>
              <w:sz w:val="22"/>
              <w:szCs w:val="22"/>
              <w:lang w:val="en-US"/>
            </w:rPr>
            <w:t>的评审</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_Toc22611 \h </w:instrText>
          </w:r>
          <w:r>
            <w:rPr>
              <w:rFonts w:hint="eastAsia" w:ascii="宋体" w:hAnsi="宋体" w:eastAsia="宋体" w:cs="宋体"/>
              <w:sz w:val="22"/>
              <w:szCs w:val="22"/>
            </w:rPr>
            <w:fldChar w:fldCharType="separate"/>
          </w:r>
          <w:r>
            <w:rPr>
              <w:rFonts w:hint="eastAsia" w:ascii="宋体" w:hAnsi="宋体" w:eastAsia="宋体" w:cs="宋体"/>
              <w:sz w:val="22"/>
              <w:szCs w:val="22"/>
            </w:rPr>
            <w:t>13</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6321112B">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_Toc10537 </w:instrText>
          </w:r>
          <w:r>
            <w:rPr>
              <w:rFonts w:hint="eastAsia" w:ascii="宋体" w:hAnsi="宋体" w:eastAsia="宋体" w:cs="宋体"/>
              <w:sz w:val="22"/>
              <w:szCs w:val="22"/>
            </w:rPr>
            <w:fldChar w:fldCharType="separate"/>
          </w:r>
          <w:r>
            <w:rPr>
              <w:rFonts w:hint="eastAsia" w:ascii="宋体" w:hAnsi="宋体" w:eastAsia="宋体" w:cs="宋体"/>
              <w:sz w:val="22"/>
              <w:szCs w:val="22"/>
              <w:lang w:val="en-US" w:eastAsia="zh-CN"/>
            </w:rPr>
            <w:t>七</w:t>
          </w:r>
          <w:r>
            <w:rPr>
              <w:rFonts w:hint="eastAsia" w:ascii="宋体" w:hAnsi="宋体" w:eastAsia="宋体" w:cs="宋体"/>
              <w:bCs w:val="0"/>
              <w:sz w:val="22"/>
              <w:szCs w:val="22"/>
            </w:rPr>
            <w:t>、磋商无效的情形</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_Toc10537 \h </w:instrText>
          </w:r>
          <w:r>
            <w:rPr>
              <w:rFonts w:hint="eastAsia" w:ascii="宋体" w:hAnsi="宋体" w:eastAsia="宋体" w:cs="宋体"/>
              <w:sz w:val="22"/>
              <w:szCs w:val="22"/>
            </w:rPr>
            <w:fldChar w:fldCharType="separate"/>
          </w:r>
          <w:r>
            <w:rPr>
              <w:rFonts w:hint="eastAsia" w:ascii="宋体" w:hAnsi="宋体" w:eastAsia="宋体" w:cs="宋体"/>
              <w:sz w:val="22"/>
              <w:szCs w:val="22"/>
            </w:rPr>
            <w:t>15</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5625FD6E">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_Toc10340 </w:instrText>
          </w:r>
          <w:r>
            <w:rPr>
              <w:rFonts w:hint="eastAsia" w:ascii="宋体" w:hAnsi="宋体" w:eastAsia="宋体" w:cs="宋体"/>
              <w:sz w:val="22"/>
              <w:szCs w:val="22"/>
            </w:rPr>
            <w:fldChar w:fldCharType="separate"/>
          </w:r>
          <w:r>
            <w:rPr>
              <w:rFonts w:hint="eastAsia" w:ascii="宋体" w:hAnsi="宋体" w:eastAsia="宋体" w:cs="宋体"/>
              <w:bCs w:val="0"/>
              <w:sz w:val="22"/>
              <w:szCs w:val="22"/>
              <w:lang w:val="en-US" w:eastAsia="zh-CN"/>
            </w:rPr>
            <w:t>八</w:t>
          </w:r>
          <w:r>
            <w:rPr>
              <w:rFonts w:hint="eastAsia" w:ascii="宋体" w:hAnsi="宋体" w:eastAsia="宋体" w:cs="宋体"/>
              <w:bCs w:val="0"/>
              <w:sz w:val="22"/>
              <w:szCs w:val="22"/>
            </w:rPr>
            <w:t>、废标的情形</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_Toc10340 \h </w:instrText>
          </w:r>
          <w:r>
            <w:rPr>
              <w:rFonts w:hint="eastAsia" w:ascii="宋体" w:hAnsi="宋体" w:eastAsia="宋体" w:cs="宋体"/>
              <w:sz w:val="22"/>
              <w:szCs w:val="22"/>
            </w:rPr>
            <w:fldChar w:fldCharType="separate"/>
          </w:r>
          <w:r>
            <w:rPr>
              <w:rFonts w:hint="eastAsia" w:ascii="宋体" w:hAnsi="宋体" w:eastAsia="宋体" w:cs="宋体"/>
              <w:sz w:val="22"/>
              <w:szCs w:val="22"/>
            </w:rPr>
            <w:t>15</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211BA888">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_Toc26818 </w:instrText>
          </w:r>
          <w:r>
            <w:rPr>
              <w:rFonts w:hint="eastAsia" w:ascii="宋体" w:hAnsi="宋体" w:eastAsia="宋体" w:cs="宋体"/>
              <w:sz w:val="22"/>
              <w:szCs w:val="22"/>
            </w:rPr>
            <w:fldChar w:fldCharType="separate"/>
          </w:r>
          <w:r>
            <w:rPr>
              <w:rFonts w:hint="eastAsia" w:ascii="宋体" w:hAnsi="宋体" w:eastAsia="宋体" w:cs="宋体"/>
              <w:bCs w:val="0"/>
              <w:sz w:val="22"/>
              <w:szCs w:val="22"/>
              <w:lang w:val="en-US" w:eastAsia="zh-CN"/>
            </w:rPr>
            <w:t>九</w:t>
          </w:r>
          <w:r>
            <w:rPr>
              <w:rFonts w:hint="eastAsia" w:ascii="宋体" w:hAnsi="宋体" w:eastAsia="宋体" w:cs="宋体"/>
              <w:bCs w:val="0"/>
              <w:sz w:val="22"/>
              <w:szCs w:val="22"/>
            </w:rPr>
            <w:t>、确定成交供应商与签订合同</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_Toc26818 \h </w:instrText>
          </w:r>
          <w:r>
            <w:rPr>
              <w:rFonts w:hint="eastAsia" w:ascii="宋体" w:hAnsi="宋体" w:eastAsia="宋体" w:cs="宋体"/>
              <w:sz w:val="22"/>
              <w:szCs w:val="22"/>
            </w:rPr>
            <w:fldChar w:fldCharType="separate"/>
          </w:r>
          <w:r>
            <w:rPr>
              <w:rFonts w:hint="eastAsia" w:ascii="宋体" w:hAnsi="宋体" w:eastAsia="宋体" w:cs="宋体"/>
              <w:sz w:val="22"/>
              <w:szCs w:val="22"/>
            </w:rPr>
            <w:t>15</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3738FF01">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_Toc7596 </w:instrText>
          </w:r>
          <w:r>
            <w:rPr>
              <w:rFonts w:hint="eastAsia" w:ascii="宋体" w:hAnsi="宋体" w:eastAsia="宋体" w:cs="宋体"/>
              <w:sz w:val="22"/>
              <w:szCs w:val="22"/>
            </w:rPr>
            <w:fldChar w:fldCharType="separate"/>
          </w:r>
          <w:r>
            <w:rPr>
              <w:rFonts w:hint="eastAsia" w:ascii="宋体" w:hAnsi="宋体" w:eastAsia="宋体" w:cs="宋体"/>
              <w:sz w:val="22"/>
              <w:szCs w:val="22"/>
              <w:lang w:val="en-US" w:eastAsia="zh-CN"/>
            </w:rPr>
            <w:t>十</w:t>
          </w:r>
          <w:r>
            <w:rPr>
              <w:rFonts w:hint="eastAsia" w:ascii="宋体" w:hAnsi="宋体" w:eastAsia="宋体" w:cs="宋体"/>
              <w:bCs w:val="0"/>
              <w:sz w:val="22"/>
              <w:szCs w:val="22"/>
            </w:rPr>
            <w:t>、法律责任</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_Toc7596 \h </w:instrText>
          </w:r>
          <w:r>
            <w:rPr>
              <w:rFonts w:hint="eastAsia" w:ascii="宋体" w:hAnsi="宋体" w:eastAsia="宋体" w:cs="宋体"/>
              <w:sz w:val="22"/>
              <w:szCs w:val="22"/>
            </w:rPr>
            <w:fldChar w:fldCharType="separate"/>
          </w:r>
          <w:r>
            <w:rPr>
              <w:rFonts w:hint="eastAsia" w:ascii="宋体" w:hAnsi="宋体" w:eastAsia="宋体" w:cs="宋体"/>
              <w:sz w:val="22"/>
              <w:szCs w:val="22"/>
            </w:rPr>
            <w:t>16</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42E08903">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_Toc19533 </w:instrText>
          </w:r>
          <w:r>
            <w:rPr>
              <w:rFonts w:hint="eastAsia" w:ascii="宋体" w:hAnsi="宋体" w:eastAsia="宋体" w:cs="宋体"/>
              <w:sz w:val="22"/>
              <w:szCs w:val="22"/>
            </w:rPr>
            <w:fldChar w:fldCharType="separate"/>
          </w:r>
          <w:r>
            <w:rPr>
              <w:rFonts w:hint="eastAsia" w:ascii="宋体" w:hAnsi="宋体" w:eastAsia="宋体" w:cs="宋体"/>
              <w:bCs w:val="0"/>
              <w:sz w:val="22"/>
              <w:szCs w:val="22"/>
            </w:rPr>
            <w:t>十</w:t>
          </w:r>
          <w:r>
            <w:rPr>
              <w:rFonts w:hint="eastAsia" w:ascii="宋体" w:hAnsi="宋体" w:eastAsia="宋体" w:cs="宋体"/>
              <w:bCs w:val="0"/>
              <w:sz w:val="22"/>
              <w:szCs w:val="22"/>
              <w:lang w:val="en-US" w:eastAsia="zh-CN"/>
            </w:rPr>
            <w:t>一</w:t>
          </w:r>
          <w:r>
            <w:rPr>
              <w:rFonts w:hint="eastAsia" w:ascii="宋体" w:hAnsi="宋体" w:eastAsia="宋体" w:cs="宋体"/>
              <w:bCs w:val="0"/>
              <w:sz w:val="22"/>
              <w:szCs w:val="22"/>
            </w:rPr>
            <w:t>、诚信管理</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_Toc19533 \h </w:instrText>
          </w:r>
          <w:r>
            <w:rPr>
              <w:rFonts w:hint="eastAsia" w:ascii="宋体" w:hAnsi="宋体" w:eastAsia="宋体" w:cs="宋体"/>
              <w:sz w:val="22"/>
              <w:szCs w:val="22"/>
            </w:rPr>
            <w:fldChar w:fldCharType="separate"/>
          </w:r>
          <w:r>
            <w:rPr>
              <w:rFonts w:hint="eastAsia" w:ascii="宋体" w:hAnsi="宋体" w:eastAsia="宋体" w:cs="宋体"/>
              <w:sz w:val="22"/>
              <w:szCs w:val="22"/>
            </w:rPr>
            <w:t>17</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29986B81">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_Toc2553 </w:instrText>
          </w:r>
          <w:r>
            <w:rPr>
              <w:rFonts w:hint="eastAsia" w:ascii="宋体" w:hAnsi="宋体" w:eastAsia="宋体" w:cs="宋体"/>
              <w:sz w:val="22"/>
              <w:szCs w:val="22"/>
            </w:rPr>
            <w:fldChar w:fldCharType="separate"/>
          </w:r>
          <w:r>
            <w:rPr>
              <w:rFonts w:hint="eastAsia" w:ascii="宋体" w:hAnsi="宋体" w:eastAsia="宋体" w:cs="宋体"/>
              <w:bCs w:val="0"/>
              <w:sz w:val="22"/>
              <w:szCs w:val="22"/>
            </w:rPr>
            <w:t>十</w:t>
          </w:r>
          <w:r>
            <w:rPr>
              <w:rFonts w:hint="eastAsia" w:ascii="宋体" w:hAnsi="宋体" w:eastAsia="宋体" w:cs="宋体"/>
              <w:bCs w:val="0"/>
              <w:sz w:val="22"/>
              <w:szCs w:val="22"/>
              <w:lang w:val="en-US" w:eastAsia="zh-CN"/>
            </w:rPr>
            <w:t>二</w:t>
          </w:r>
          <w:r>
            <w:rPr>
              <w:rFonts w:hint="eastAsia" w:ascii="宋体" w:hAnsi="宋体" w:eastAsia="宋体" w:cs="宋体"/>
              <w:bCs w:val="0"/>
              <w:sz w:val="22"/>
              <w:szCs w:val="22"/>
            </w:rPr>
            <w:t>、质疑与投诉</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_Toc2553 \h </w:instrText>
          </w:r>
          <w:r>
            <w:rPr>
              <w:rFonts w:hint="eastAsia" w:ascii="宋体" w:hAnsi="宋体" w:eastAsia="宋体" w:cs="宋体"/>
              <w:sz w:val="22"/>
              <w:szCs w:val="22"/>
            </w:rPr>
            <w:fldChar w:fldCharType="separate"/>
          </w:r>
          <w:r>
            <w:rPr>
              <w:rFonts w:hint="eastAsia" w:ascii="宋体" w:hAnsi="宋体" w:eastAsia="宋体" w:cs="宋体"/>
              <w:sz w:val="22"/>
              <w:szCs w:val="22"/>
            </w:rPr>
            <w:t>18</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10756B87">
          <w:pPr>
            <w:pStyle w:val="86"/>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0" w:firstLineChars="200"/>
            <w:textAlignment w:val="auto"/>
            <w:rPr>
              <w:rFonts w:hint="eastAsia" w:ascii="宋体" w:hAnsi="宋体" w:eastAsia="宋体" w:cs="宋体"/>
              <w:sz w:val="22"/>
              <w:szCs w:val="22"/>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HYPERLINK \l _Toc31588 </w:instrText>
          </w:r>
          <w:r>
            <w:rPr>
              <w:rFonts w:hint="eastAsia" w:ascii="宋体" w:hAnsi="宋体" w:eastAsia="宋体" w:cs="宋体"/>
              <w:sz w:val="22"/>
              <w:szCs w:val="22"/>
            </w:rPr>
            <w:fldChar w:fldCharType="separate"/>
          </w:r>
          <w:r>
            <w:rPr>
              <w:rFonts w:hint="eastAsia" w:ascii="宋体" w:hAnsi="宋体" w:eastAsia="宋体" w:cs="宋体"/>
              <w:bCs w:val="0"/>
              <w:sz w:val="22"/>
              <w:szCs w:val="22"/>
            </w:rPr>
            <w:t>十</w:t>
          </w:r>
          <w:r>
            <w:rPr>
              <w:rFonts w:hint="eastAsia" w:ascii="宋体" w:hAnsi="宋体" w:eastAsia="宋体" w:cs="宋体"/>
              <w:bCs w:val="0"/>
              <w:sz w:val="22"/>
              <w:szCs w:val="22"/>
              <w:lang w:val="en-US" w:eastAsia="zh-CN"/>
            </w:rPr>
            <w:t>三</w:t>
          </w:r>
          <w:r>
            <w:rPr>
              <w:rFonts w:hint="eastAsia" w:ascii="宋体" w:hAnsi="宋体" w:eastAsia="宋体" w:cs="宋体"/>
              <w:bCs w:val="0"/>
              <w:sz w:val="22"/>
              <w:szCs w:val="22"/>
            </w:rPr>
            <w:t>、其他</w:t>
          </w:r>
          <w:r>
            <w:rPr>
              <w:rFonts w:hint="eastAsia" w:ascii="宋体" w:hAnsi="宋体" w:eastAsia="宋体" w:cs="宋体"/>
              <w:sz w:val="22"/>
              <w:szCs w:val="22"/>
            </w:rPr>
            <w:tab/>
          </w: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PAGEREF _Toc31588 \h </w:instrText>
          </w:r>
          <w:r>
            <w:rPr>
              <w:rFonts w:hint="eastAsia" w:ascii="宋体" w:hAnsi="宋体" w:eastAsia="宋体" w:cs="宋体"/>
              <w:sz w:val="22"/>
              <w:szCs w:val="22"/>
            </w:rPr>
            <w:fldChar w:fldCharType="separate"/>
          </w:r>
          <w:r>
            <w:rPr>
              <w:rFonts w:hint="eastAsia" w:ascii="宋体" w:hAnsi="宋体" w:eastAsia="宋体" w:cs="宋体"/>
              <w:sz w:val="22"/>
              <w:szCs w:val="22"/>
            </w:rPr>
            <w:t>18</w:t>
          </w:r>
          <w:r>
            <w:rPr>
              <w:rFonts w:hint="eastAsia" w:ascii="宋体" w:hAnsi="宋体" w:eastAsia="宋体" w:cs="宋体"/>
              <w:sz w:val="22"/>
              <w:szCs w:val="22"/>
            </w:rPr>
            <w:fldChar w:fldCharType="end"/>
          </w:r>
          <w:r>
            <w:rPr>
              <w:rFonts w:hint="eastAsia" w:ascii="宋体" w:hAnsi="宋体" w:eastAsia="宋体" w:cs="宋体"/>
              <w:sz w:val="22"/>
              <w:szCs w:val="22"/>
            </w:rPr>
            <w:fldChar w:fldCharType="end"/>
          </w:r>
        </w:p>
        <w:p w14:paraId="1F5C60EC">
          <w:pPr>
            <w:pStyle w:val="85"/>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2" w:firstLineChars="200"/>
            <w:textAlignment w:val="auto"/>
            <w:rPr>
              <w:rFonts w:hint="eastAsia" w:ascii="宋体" w:hAnsi="宋体" w:eastAsia="宋体" w:cs="宋体"/>
              <w:b/>
              <w:sz w:val="22"/>
              <w:szCs w:val="22"/>
            </w:rPr>
          </w:pP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HYPERLINK \l _Toc19802 </w:instrText>
          </w:r>
          <w:r>
            <w:rPr>
              <w:rFonts w:hint="eastAsia" w:ascii="宋体" w:hAnsi="宋体" w:eastAsia="宋体" w:cs="宋体"/>
              <w:b/>
              <w:sz w:val="22"/>
              <w:szCs w:val="22"/>
            </w:rPr>
            <w:fldChar w:fldCharType="separate"/>
          </w:r>
          <w:r>
            <w:rPr>
              <w:rFonts w:hint="eastAsia" w:ascii="宋体" w:hAnsi="宋体" w:eastAsia="宋体" w:cs="宋体"/>
              <w:b/>
              <w:sz w:val="22"/>
              <w:szCs w:val="22"/>
              <w:lang w:val="en-US" w:eastAsia="zh-CN"/>
            </w:rPr>
            <w:t xml:space="preserve">第三章 </w:t>
          </w:r>
          <w:r>
            <w:rPr>
              <w:rFonts w:hint="eastAsia" w:ascii="宋体" w:hAnsi="宋体" w:eastAsia="宋体" w:cs="宋体"/>
              <w:b/>
              <w:sz w:val="22"/>
              <w:szCs w:val="22"/>
            </w:rPr>
            <w:t>采购内容及要求</w:t>
          </w:r>
          <w:r>
            <w:rPr>
              <w:rFonts w:hint="eastAsia" w:ascii="宋体" w:hAnsi="宋体" w:eastAsia="宋体" w:cs="宋体"/>
              <w:b/>
              <w:sz w:val="22"/>
              <w:szCs w:val="22"/>
            </w:rPr>
            <w:tab/>
          </w: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PAGEREF _Toc19802 \h </w:instrText>
          </w:r>
          <w:r>
            <w:rPr>
              <w:rFonts w:hint="eastAsia" w:ascii="宋体" w:hAnsi="宋体" w:eastAsia="宋体" w:cs="宋体"/>
              <w:b/>
              <w:sz w:val="22"/>
              <w:szCs w:val="22"/>
            </w:rPr>
            <w:fldChar w:fldCharType="separate"/>
          </w:r>
          <w:r>
            <w:rPr>
              <w:rFonts w:hint="eastAsia" w:ascii="宋体" w:hAnsi="宋体" w:eastAsia="宋体" w:cs="宋体"/>
              <w:b/>
              <w:sz w:val="22"/>
              <w:szCs w:val="22"/>
            </w:rPr>
            <w:t>21</w:t>
          </w:r>
          <w:r>
            <w:rPr>
              <w:rFonts w:hint="eastAsia" w:ascii="宋体" w:hAnsi="宋体" w:eastAsia="宋体" w:cs="宋体"/>
              <w:b/>
              <w:sz w:val="22"/>
              <w:szCs w:val="22"/>
            </w:rPr>
            <w:fldChar w:fldCharType="end"/>
          </w:r>
          <w:r>
            <w:rPr>
              <w:rFonts w:hint="eastAsia" w:ascii="宋体" w:hAnsi="宋体" w:eastAsia="宋体" w:cs="宋体"/>
              <w:b/>
              <w:sz w:val="22"/>
              <w:szCs w:val="22"/>
            </w:rPr>
            <w:fldChar w:fldCharType="end"/>
          </w:r>
        </w:p>
        <w:p w14:paraId="1102F018">
          <w:pPr>
            <w:pStyle w:val="85"/>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2" w:firstLineChars="200"/>
            <w:textAlignment w:val="auto"/>
            <w:rPr>
              <w:rFonts w:hint="eastAsia" w:ascii="宋体" w:hAnsi="宋体" w:eastAsia="宋体" w:cs="宋体"/>
              <w:b/>
              <w:sz w:val="22"/>
              <w:szCs w:val="22"/>
            </w:rPr>
          </w:pP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HYPERLINK \l _Toc11194 </w:instrText>
          </w:r>
          <w:r>
            <w:rPr>
              <w:rFonts w:hint="eastAsia" w:ascii="宋体" w:hAnsi="宋体" w:eastAsia="宋体" w:cs="宋体"/>
              <w:b/>
              <w:sz w:val="22"/>
              <w:szCs w:val="22"/>
            </w:rPr>
            <w:fldChar w:fldCharType="separate"/>
          </w:r>
          <w:r>
            <w:rPr>
              <w:rFonts w:hint="eastAsia" w:ascii="宋体" w:hAnsi="宋体" w:eastAsia="宋体" w:cs="宋体"/>
              <w:b/>
              <w:sz w:val="22"/>
              <w:szCs w:val="22"/>
              <w:lang w:val="en-US" w:eastAsia="zh-CN"/>
            </w:rPr>
            <w:t>第四章 磋商原则和磋商方法</w:t>
          </w:r>
          <w:r>
            <w:rPr>
              <w:rFonts w:hint="eastAsia" w:ascii="宋体" w:hAnsi="宋体" w:eastAsia="宋体" w:cs="宋体"/>
              <w:b/>
              <w:sz w:val="22"/>
              <w:szCs w:val="22"/>
            </w:rPr>
            <w:tab/>
          </w: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PAGEREF _Toc11194 \h </w:instrText>
          </w:r>
          <w:r>
            <w:rPr>
              <w:rFonts w:hint="eastAsia" w:ascii="宋体" w:hAnsi="宋体" w:eastAsia="宋体" w:cs="宋体"/>
              <w:b/>
              <w:sz w:val="22"/>
              <w:szCs w:val="22"/>
            </w:rPr>
            <w:fldChar w:fldCharType="separate"/>
          </w:r>
          <w:r>
            <w:rPr>
              <w:rFonts w:hint="eastAsia" w:ascii="宋体" w:hAnsi="宋体" w:eastAsia="宋体" w:cs="宋体"/>
              <w:b/>
              <w:sz w:val="22"/>
              <w:szCs w:val="22"/>
            </w:rPr>
            <w:t>21</w:t>
          </w:r>
          <w:r>
            <w:rPr>
              <w:rFonts w:hint="eastAsia" w:ascii="宋体" w:hAnsi="宋体" w:eastAsia="宋体" w:cs="宋体"/>
              <w:b/>
              <w:sz w:val="22"/>
              <w:szCs w:val="22"/>
            </w:rPr>
            <w:fldChar w:fldCharType="end"/>
          </w:r>
          <w:r>
            <w:rPr>
              <w:rFonts w:hint="eastAsia" w:ascii="宋体" w:hAnsi="宋体" w:eastAsia="宋体" w:cs="宋体"/>
              <w:b/>
              <w:sz w:val="22"/>
              <w:szCs w:val="22"/>
            </w:rPr>
            <w:fldChar w:fldCharType="end"/>
          </w:r>
        </w:p>
        <w:p w14:paraId="62918958">
          <w:pPr>
            <w:pStyle w:val="85"/>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2" w:firstLineChars="200"/>
            <w:textAlignment w:val="auto"/>
            <w:rPr>
              <w:rFonts w:hint="eastAsia" w:ascii="宋体" w:hAnsi="宋体" w:eastAsia="宋体" w:cs="宋体"/>
              <w:b/>
              <w:sz w:val="22"/>
              <w:szCs w:val="22"/>
            </w:rPr>
          </w:pP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HYPERLINK \l _Toc17422 </w:instrText>
          </w:r>
          <w:r>
            <w:rPr>
              <w:rFonts w:hint="eastAsia" w:ascii="宋体" w:hAnsi="宋体" w:eastAsia="宋体" w:cs="宋体"/>
              <w:b/>
              <w:sz w:val="22"/>
              <w:szCs w:val="22"/>
            </w:rPr>
            <w:fldChar w:fldCharType="separate"/>
          </w:r>
          <w:r>
            <w:rPr>
              <w:rFonts w:hint="eastAsia" w:ascii="宋体" w:hAnsi="宋体" w:eastAsia="宋体" w:cs="宋体"/>
              <w:b/>
              <w:sz w:val="22"/>
              <w:szCs w:val="22"/>
            </w:rPr>
            <w:t>第五章 合同主要条款及格式</w:t>
          </w:r>
          <w:r>
            <w:rPr>
              <w:rFonts w:hint="eastAsia" w:ascii="宋体" w:hAnsi="宋体" w:eastAsia="宋体" w:cs="宋体"/>
              <w:b/>
              <w:sz w:val="22"/>
              <w:szCs w:val="22"/>
            </w:rPr>
            <w:tab/>
          </w: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PAGEREF _Toc17422 \h </w:instrText>
          </w:r>
          <w:r>
            <w:rPr>
              <w:rFonts w:hint="eastAsia" w:ascii="宋体" w:hAnsi="宋体" w:eastAsia="宋体" w:cs="宋体"/>
              <w:b/>
              <w:sz w:val="22"/>
              <w:szCs w:val="22"/>
            </w:rPr>
            <w:fldChar w:fldCharType="separate"/>
          </w:r>
          <w:r>
            <w:rPr>
              <w:rFonts w:hint="eastAsia" w:ascii="宋体" w:hAnsi="宋体" w:eastAsia="宋体" w:cs="宋体"/>
              <w:b/>
              <w:sz w:val="22"/>
              <w:szCs w:val="22"/>
            </w:rPr>
            <w:t>33</w:t>
          </w:r>
          <w:r>
            <w:rPr>
              <w:rFonts w:hint="eastAsia" w:ascii="宋体" w:hAnsi="宋体" w:eastAsia="宋体" w:cs="宋体"/>
              <w:b/>
              <w:sz w:val="22"/>
              <w:szCs w:val="22"/>
            </w:rPr>
            <w:fldChar w:fldCharType="end"/>
          </w:r>
          <w:r>
            <w:rPr>
              <w:rFonts w:hint="eastAsia" w:ascii="宋体" w:hAnsi="宋体" w:eastAsia="宋体" w:cs="宋体"/>
              <w:b/>
              <w:sz w:val="22"/>
              <w:szCs w:val="22"/>
            </w:rPr>
            <w:fldChar w:fldCharType="end"/>
          </w:r>
        </w:p>
        <w:p w14:paraId="3842AD62">
          <w:pPr>
            <w:pStyle w:val="85"/>
            <w:keepNext w:val="0"/>
            <w:keepLines w:val="0"/>
            <w:pageBreakBefore w:val="0"/>
            <w:widowControl/>
            <w:tabs>
              <w:tab w:val="right" w:leader="dot" w:pos="9746"/>
            </w:tabs>
            <w:kinsoku/>
            <w:wordWrap/>
            <w:overflowPunct/>
            <w:topLinePunct w:val="0"/>
            <w:autoSpaceDE/>
            <w:autoSpaceDN/>
            <w:bidi w:val="0"/>
            <w:adjustRightInd/>
            <w:snapToGrid/>
            <w:spacing w:line="312" w:lineRule="auto"/>
            <w:ind w:left="0" w:leftChars="0" w:firstLine="442" w:firstLineChars="200"/>
            <w:textAlignment w:val="auto"/>
            <w:rPr>
              <w:rFonts w:hint="eastAsia" w:ascii="宋体" w:hAnsi="宋体" w:eastAsia="宋体" w:cs="宋体"/>
              <w:b/>
              <w:sz w:val="22"/>
              <w:szCs w:val="22"/>
            </w:rPr>
          </w:pP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HYPERLINK \l _Toc18976 </w:instrText>
          </w:r>
          <w:r>
            <w:rPr>
              <w:rFonts w:hint="eastAsia" w:ascii="宋体" w:hAnsi="宋体" w:eastAsia="宋体" w:cs="宋体"/>
              <w:b/>
              <w:sz w:val="22"/>
              <w:szCs w:val="22"/>
            </w:rPr>
            <w:fldChar w:fldCharType="separate"/>
          </w:r>
          <w:r>
            <w:rPr>
              <w:rFonts w:hint="eastAsia" w:ascii="宋体" w:hAnsi="宋体" w:eastAsia="宋体" w:cs="宋体"/>
              <w:b/>
              <w:sz w:val="22"/>
              <w:szCs w:val="22"/>
            </w:rPr>
            <w:t xml:space="preserve">第六章 </w:t>
          </w:r>
          <w:r>
            <w:rPr>
              <w:rFonts w:hint="eastAsia" w:ascii="宋体" w:hAnsi="宋体" w:cs="宋体"/>
              <w:b/>
              <w:sz w:val="22"/>
              <w:szCs w:val="22"/>
              <w:lang w:eastAsia="zh-CN"/>
            </w:rPr>
            <w:t>磋商响应文件</w:t>
          </w:r>
          <w:r>
            <w:rPr>
              <w:rFonts w:hint="eastAsia" w:ascii="宋体" w:hAnsi="宋体" w:eastAsia="宋体" w:cs="宋体"/>
              <w:b/>
              <w:sz w:val="22"/>
              <w:szCs w:val="22"/>
            </w:rPr>
            <w:t>格式</w:t>
          </w:r>
          <w:r>
            <w:rPr>
              <w:rFonts w:hint="eastAsia" w:ascii="宋体" w:hAnsi="宋体" w:eastAsia="宋体" w:cs="宋体"/>
              <w:b/>
              <w:sz w:val="22"/>
              <w:szCs w:val="22"/>
            </w:rPr>
            <w:tab/>
          </w:r>
          <w:r>
            <w:rPr>
              <w:rFonts w:hint="eastAsia" w:ascii="宋体" w:hAnsi="宋体" w:eastAsia="宋体" w:cs="宋体"/>
              <w:b/>
              <w:sz w:val="22"/>
              <w:szCs w:val="22"/>
            </w:rPr>
            <w:fldChar w:fldCharType="begin"/>
          </w:r>
          <w:r>
            <w:rPr>
              <w:rFonts w:hint="eastAsia" w:ascii="宋体" w:hAnsi="宋体" w:eastAsia="宋体" w:cs="宋体"/>
              <w:b/>
              <w:sz w:val="22"/>
              <w:szCs w:val="22"/>
            </w:rPr>
            <w:instrText xml:space="preserve"> PAGEREF _Toc18976 \h </w:instrText>
          </w:r>
          <w:r>
            <w:rPr>
              <w:rFonts w:hint="eastAsia" w:ascii="宋体" w:hAnsi="宋体" w:eastAsia="宋体" w:cs="宋体"/>
              <w:b/>
              <w:sz w:val="22"/>
              <w:szCs w:val="22"/>
            </w:rPr>
            <w:fldChar w:fldCharType="separate"/>
          </w:r>
          <w:r>
            <w:rPr>
              <w:rFonts w:hint="eastAsia" w:ascii="宋体" w:hAnsi="宋体" w:eastAsia="宋体" w:cs="宋体"/>
              <w:b/>
              <w:sz w:val="22"/>
              <w:szCs w:val="22"/>
            </w:rPr>
            <w:t>39</w:t>
          </w:r>
          <w:r>
            <w:rPr>
              <w:rFonts w:hint="eastAsia" w:ascii="宋体" w:hAnsi="宋体" w:eastAsia="宋体" w:cs="宋体"/>
              <w:b/>
              <w:sz w:val="22"/>
              <w:szCs w:val="22"/>
            </w:rPr>
            <w:fldChar w:fldCharType="end"/>
          </w:r>
          <w:r>
            <w:rPr>
              <w:rFonts w:hint="eastAsia" w:ascii="宋体" w:hAnsi="宋体" w:eastAsia="宋体" w:cs="宋体"/>
              <w:b/>
              <w:sz w:val="22"/>
              <w:szCs w:val="22"/>
            </w:rPr>
            <w:fldChar w:fldCharType="end"/>
          </w:r>
        </w:p>
        <w:p w14:paraId="36F68E9A">
          <w:pPr>
            <w:pStyle w:val="49"/>
            <w:ind w:left="0" w:leftChars="0" w:firstLine="0" w:firstLineChars="0"/>
            <w:rPr>
              <w:rFonts w:ascii="Times New Roman" w:hAnsi="Times New Roman" w:eastAsia="宋体" w:cs="宋体"/>
              <w:b/>
              <w:kern w:val="2"/>
              <w:sz w:val="16"/>
              <w:szCs w:val="16"/>
              <w:lang w:val="en-US" w:eastAsia="zh-CN" w:bidi="ar-SA"/>
            </w:rPr>
          </w:pPr>
          <w:r>
            <w:rPr>
              <w:b/>
            </w:rPr>
            <w:fldChar w:fldCharType="end"/>
          </w:r>
        </w:p>
      </w:sdtContent>
    </w:sdt>
    <w:p w14:paraId="1F0019C1">
      <w:pPr>
        <w:pStyle w:val="49"/>
        <w:ind w:left="0" w:leftChars="0" w:firstLine="0" w:firstLineChars="0"/>
        <w:rPr>
          <w:rFonts w:ascii="Times New Roman" w:hAnsi="Times New Roman" w:eastAsia="宋体" w:cs="宋体"/>
          <w:b/>
          <w:kern w:val="2"/>
          <w:sz w:val="16"/>
          <w:szCs w:val="16"/>
          <w:lang w:val="en-US" w:eastAsia="zh-CN" w:bidi="ar-SA"/>
        </w:rPr>
      </w:pPr>
    </w:p>
    <w:p w14:paraId="2F596BC6">
      <w:pPr>
        <w:pStyle w:val="49"/>
        <w:ind w:left="0" w:leftChars="0" w:firstLine="0" w:firstLineChars="0"/>
      </w:pPr>
    </w:p>
    <w:p w14:paraId="1B89AF8F">
      <w:pPr>
        <w:pStyle w:val="49"/>
        <w:ind w:left="0" w:leftChars="0" w:firstLine="0" w:firstLineChars="0"/>
      </w:pPr>
    </w:p>
    <w:p w14:paraId="3B348C23">
      <w:pPr>
        <w:pStyle w:val="49"/>
        <w:ind w:left="0" w:leftChars="0" w:firstLine="0" w:firstLineChars="0"/>
      </w:pPr>
    </w:p>
    <w:p w14:paraId="530C7875">
      <w:pPr>
        <w:pStyle w:val="49"/>
        <w:ind w:left="0" w:leftChars="0" w:firstLine="0" w:firstLineChars="0"/>
      </w:pPr>
    </w:p>
    <w:p w14:paraId="28682FE3">
      <w:pPr>
        <w:pStyle w:val="49"/>
        <w:ind w:left="0" w:leftChars="0" w:firstLine="0" w:firstLineChars="0"/>
      </w:pPr>
    </w:p>
    <w:p w14:paraId="67A1E850">
      <w:pPr>
        <w:pStyle w:val="49"/>
        <w:ind w:left="0" w:leftChars="0" w:firstLine="0" w:firstLineChars="0"/>
      </w:pPr>
    </w:p>
    <w:p w14:paraId="06A4B3B3">
      <w:pPr>
        <w:pStyle w:val="2"/>
        <w:ind w:firstLine="0" w:firstLineChars="0"/>
        <w:jc w:val="center"/>
      </w:pPr>
      <w:bookmarkStart w:id="49" w:name="_Toc17951"/>
      <w:bookmarkStart w:id="50" w:name="_Toc16678"/>
      <w:bookmarkStart w:id="51" w:name="_Toc11631"/>
      <w:r>
        <w:t>第一章  磋商公告</w:t>
      </w:r>
      <w:bookmarkEnd w:id="48"/>
      <w:bookmarkEnd w:id="49"/>
      <w:bookmarkEnd w:id="50"/>
      <w:bookmarkEnd w:id="51"/>
    </w:p>
    <w:p w14:paraId="55AFC7C6">
      <w:pPr>
        <w:keepNext w:val="0"/>
        <w:keepLines w:val="0"/>
        <w:pageBreakBefore w:val="0"/>
        <w:widowControl/>
        <w:numPr>
          <w:ilvl w:val="-1"/>
          <w:numId w:val="0"/>
        </w:numPr>
        <w:tabs>
          <w:tab w:val="left" w:pos="0"/>
        </w:tabs>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sz w:val="24"/>
          <w:szCs w:val="24"/>
        </w:rPr>
      </w:pPr>
      <w:bookmarkStart w:id="52" w:name="_Toc19434"/>
      <w:bookmarkStart w:id="53" w:name="_Toc28678"/>
      <w:bookmarkStart w:id="54" w:name="_Toc5181"/>
      <w:bookmarkStart w:id="55" w:name="_Toc29546"/>
      <w:bookmarkStart w:id="56" w:name="_Toc21065"/>
      <w:bookmarkStart w:id="57" w:name="_Toc26645"/>
      <w:bookmarkStart w:id="58" w:name="_Toc3151"/>
      <w:bookmarkStart w:id="59" w:name="_Toc6244"/>
      <w:bookmarkStart w:id="60" w:name="_Toc16407"/>
      <w:bookmarkStart w:id="61" w:name="_Toc28447"/>
      <w:bookmarkStart w:id="62" w:name="_Toc23483"/>
      <w:bookmarkStart w:id="63" w:name="_Hlk24379207"/>
      <w:bookmarkStart w:id="64" w:name="_Toc15482"/>
      <w:bookmarkStart w:id="65" w:name="_Toc1441"/>
      <w:bookmarkStart w:id="66" w:name="_Toc13995"/>
      <w:bookmarkStart w:id="67" w:name="_Toc28359079"/>
      <w:bookmarkStart w:id="68" w:name="_Toc18383"/>
      <w:bookmarkStart w:id="69" w:name="_Toc28359002"/>
      <w:bookmarkStart w:id="70" w:name="_Toc3098"/>
      <w:bookmarkStart w:id="71" w:name="_Toc27703"/>
      <w:bookmarkStart w:id="72" w:name="_Toc2440"/>
      <w:bookmarkStart w:id="73" w:name="_Toc704"/>
      <w:r>
        <w:rPr>
          <w:rFonts w:hint="eastAsia" w:ascii="宋体" w:hAnsi="宋体" w:cs="宋体"/>
          <w:sz w:val="24"/>
          <w:szCs w:val="24"/>
        </w:rPr>
        <w:t>参照《中华人民共和国政府采购法》《中华人民共和国政府采购法实施条例》以及</w:t>
      </w:r>
      <w:r>
        <w:rPr>
          <w:rFonts w:hint="eastAsia" w:ascii="宋体" w:hAnsi="宋体" w:cs="宋体"/>
        </w:rPr>
        <w:t>《政府采购货物和服务招标投标管理办法》（财政部令第87号令）</w:t>
      </w:r>
      <w:r>
        <w:rPr>
          <w:rFonts w:hint="eastAsia" w:ascii="宋体" w:hAnsi="宋体" w:cs="宋体"/>
          <w:lang w:val="en-US" w:eastAsia="zh-CN"/>
        </w:rPr>
        <w:t>等</w:t>
      </w:r>
      <w:r>
        <w:rPr>
          <w:rFonts w:hint="eastAsia" w:ascii="宋体" w:hAnsi="宋体" w:cs="宋体"/>
          <w:sz w:val="24"/>
          <w:szCs w:val="24"/>
        </w:rPr>
        <w:t>有关规定，</w:t>
      </w:r>
      <w:r>
        <w:rPr>
          <w:rFonts w:hint="eastAsia" w:ascii="宋体" w:hAnsi="宋体" w:cs="宋体"/>
          <w:sz w:val="24"/>
          <w:szCs w:val="24"/>
          <w:lang w:eastAsia="zh-CN"/>
        </w:rPr>
        <w:t>浙江新诚信工程咨询有限公司</w:t>
      </w:r>
      <w:r>
        <w:rPr>
          <w:rFonts w:hint="eastAsia" w:ascii="宋体" w:hAnsi="宋体" w:eastAsia="宋体" w:cs="宋体"/>
          <w:sz w:val="24"/>
          <w:szCs w:val="24"/>
        </w:rPr>
        <w:t>受</w:t>
      </w:r>
      <w:r>
        <w:rPr>
          <w:rFonts w:hint="eastAsia" w:ascii="宋体" w:hAnsi="宋体" w:cs="宋体"/>
          <w:sz w:val="24"/>
          <w:szCs w:val="24"/>
          <w:lang w:eastAsia="zh-CN"/>
        </w:rPr>
        <w:t>龙游县小南海镇周红坂村股份经济合作社</w:t>
      </w:r>
      <w:r>
        <w:rPr>
          <w:rFonts w:hint="eastAsia" w:ascii="宋体" w:hAnsi="宋体" w:eastAsia="宋体" w:cs="宋体"/>
          <w:sz w:val="24"/>
          <w:szCs w:val="24"/>
        </w:rPr>
        <w:t>委托，现就</w:t>
      </w:r>
      <w:r>
        <w:rPr>
          <w:rFonts w:hint="eastAsia" w:ascii="宋体" w:hAnsi="宋体" w:cs="宋体"/>
          <w:sz w:val="24"/>
          <w:szCs w:val="24"/>
          <w:lang w:eastAsia="zh-CN"/>
        </w:rPr>
        <w:t>小南海镇周红坂村老年活动中心及厨房改造采购项目</w:t>
      </w:r>
      <w:r>
        <w:rPr>
          <w:rFonts w:hint="eastAsia" w:ascii="宋体" w:hAnsi="宋体" w:eastAsia="宋体" w:cs="宋体"/>
          <w:sz w:val="24"/>
          <w:szCs w:val="24"/>
        </w:rPr>
        <w:t>进行</w:t>
      </w:r>
      <w:r>
        <w:rPr>
          <w:rFonts w:hint="eastAsia" w:ascii="宋体" w:hAnsi="宋体" w:cs="宋体"/>
          <w:sz w:val="24"/>
          <w:szCs w:val="24"/>
          <w:lang w:val="en-US" w:eastAsia="zh-CN"/>
        </w:rPr>
        <w:t>竞争性磋商</w:t>
      </w:r>
      <w:r>
        <w:rPr>
          <w:rFonts w:hint="eastAsia" w:ascii="宋体" w:hAnsi="宋体" w:eastAsia="宋体" w:cs="宋体"/>
          <w:sz w:val="24"/>
          <w:szCs w:val="24"/>
        </w:rPr>
        <w:t>，欢迎有意向的</w:t>
      </w:r>
      <w:r>
        <w:rPr>
          <w:rFonts w:hint="eastAsia" w:ascii="宋体" w:hAnsi="宋体" w:cs="宋体"/>
          <w:sz w:val="24"/>
          <w:szCs w:val="24"/>
          <w:lang w:val="en-US" w:eastAsia="zh-CN"/>
        </w:rPr>
        <w:t>供应商</w:t>
      </w:r>
      <w:r>
        <w:rPr>
          <w:rFonts w:hint="eastAsia" w:ascii="宋体" w:hAnsi="宋体" w:eastAsia="宋体" w:cs="宋体"/>
          <w:sz w:val="24"/>
          <w:szCs w:val="24"/>
        </w:rPr>
        <w:t>参加本次采购活动。</w:t>
      </w:r>
    </w:p>
    <w:p w14:paraId="634DE897">
      <w:pPr>
        <w:keepNext w:val="0"/>
        <w:keepLines w:val="0"/>
        <w:pageBreakBefore w:val="0"/>
        <w:widowControl w:val="0"/>
        <w:numPr>
          <w:ilvl w:val="255"/>
          <w:numId w:val="0"/>
        </w:numPr>
        <w:kinsoku/>
        <w:wordWrap/>
        <w:overflowPunct/>
        <w:topLinePunct w:val="0"/>
        <w:autoSpaceDE/>
        <w:autoSpaceDN/>
        <w:bidi w:val="0"/>
        <w:adjustRightInd/>
        <w:snapToGrid w:val="0"/>
        <w:spacing w:line="312" w:lineRule="auto"/>
        <w:ind w:left="0" w:leftChars="0" w:firstLine="482" w:firstLineChars="200"/>
        <w:textAlignment w:val="auto"/>
        <w:outlineLvl w:val="1"/>
        <w:rPr>
          <w:rFonts w:hint="eastAsia" w:ascii="宋体" w:hAnsi="宋体" w:eastAsia="宋体" w:cs="宋体"/>
          <w:b/>
          <w:bCs/>
          <w:color w:val="auto"/>
          <w:sz w:val="24"/>
          <w:szCs w:val="24"/>
          <w:lang w:val="zh-CN"/>
        </w:rPr>
      </w:pPr>
      <w:bookmarkStart w:id="74" w:name="_Toc12662"/>
      <w:r>
        <w:rPr>
          <w:rFonts w:hint="eastAsia" w:ascii="宋体" w:hAnsi="宋体" w:eastAsia="宋体" w:cs="宋体"/>
          <w:b/>
          <w:bCs/>
          <w:color w:val="auto"/>
          <w:sz w:val="24"/>
          <w:szCs w:val="24"/>
          <w:lang w:val="en-US" w:eastAsia="zh-CN"/>
        </w:rPr>
        <w:t>一、</w:t>
      </w:r>
      <w:r>
        <w:rPr>
          <w:rFonts w:hint="eastAsia" w:ascii="宋体" w:hAnsi="宋体" w:eastAsia="宋体" w:cs="宋体"/>
          <w:b/>
          <w:bCs/>
          <w:color w:val="auto"/>
          <w:sz w:val="24"/>
          <w:szCs w:val="24"/>
          <w:lang w:val="zh-CN"/>
        </w:rPr>
        <w:t>项目基本情况</w:t>
      </w:r>
      <w:bookmarkEnd w:id="52"/>
      <w:bookmarkEnd w:id="53"/>
      <w:bookmarkEnd w:id="54"/>
      <w:bookmarkEnd w:id="74"/>
    </w:p>
    <w:p w14:paraId="084872C5">
      <w:pPr>
        <w:keepNext w:val="0"/>
        <w:keepLines w:val="0"/>
        <w:pageBreakBefore w:val="0"/>
        <w:numPr>
          <w:ilvl w:val="0"/>
          <w:numId w:val="3"/>
        </w:numPr>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项目编号：</w:t>
      </w:r>
      <w:r>
        <w:rPr>
          <w:rFonts w:hint="eastAsia" w:ascii="宋体" w:hAnsi="宋体" w:cs="宋体"/>
          <w:sz w:val="24"/>
          <w:szCs w:val="24"/>
          <w:lang w:val="en-US" w:eastAsia="zh-CN"/>
        </w:rPr>
        <w:t>LYCG2025XCX-008</w:t>
      </w:r>
    </w:p>
    <w:p w14:paraId="5ACE12F5">
      <w:pPr>
        <w:keepNext w:val="0"/>
        <w:keepLines w:val="0"/>
        <w:pageBreakBefore w:val="0"/>
        <w:numPr>
          <w:ilvl w:val="0"/>
          <w:numId w:val="3"/>
        </w:numPr>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项目名称：</w:t>
      </w:r>
      <w:r>
        <w:rPr>
          <w:rFonts w:hint="eastAsia" w:ascii="宋体" w:hAnsi="宋体" w:cs="宋体"/>
          <w:sz w:val="24"/>
          <w:szCs w:val="24"/>
          <w:lang w:val="en-US" w:eastAsia="zh-CN"/>
        </w:rPr>
        <w:t>小南海镇周红坂村老年活动中心及厨房改造采购项目</w:t>
      </w:r>
    </w:p>
    <w:p w14:paraId="41A95C26">
      <w:pPr>
        <w:keepNext w:val="0"/>
        <w:keepLines w:val="0"/>
        <w:pageBreakBefore w:val="0"/>
        <w:numPr>
          <w:ilvl w:val="0"/>
          <w:numId w:val="3"/>
        </w:numPr>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采购方式：竞争性磋商</w:t>
      </w:r>
    </w:p>
    <w:p w14:paraId="18CDD48A">
      <w:pPr>
        <w:keepNext w:val="0"/>
        <w:keepLines w:val="0"/>
        <w:pageBreakBefore w:val="0"/>
        <w:numPr>
          <w:ilvl w:val="0"/>
          <w:numId w:val="3"/>
        </w:numPr>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预算金额（元）：</w:t>
      </w:r>
      <w:r>
        <w:rPr>
          <w:rFonts w:hint="eastAsia" w:ascii="宋体" w:hAnsi="宋体" w:cs="宋体"/>
          <w:sz w:val="24"/>
          <w:szCs w:val="24"/>
          <w:lang w:val="en-US" w:eastAsia="zh-CN"/>
        </w:rPr>
        <w:t>283000元</w:t>
      </w:r>
      <w:r>
        <w:rPr>
          <w:rFonts w:hint="eastAsia" w:ascii="宋体" w:hAnsi="宋体" w:eastAsia="宋体" w:cs="宋体"/>
          <w:sz w:val="24"/>
          <w:szCs w:val="24"/>
          <w:lang w:val="en-US" w:eastAsia="zh-CN"/>
        </w:rPr>
        <w:t>；</w:t>
      </w:r>
    </w:p>
    <w:p w14:paraId="43BCC1FE">
      <w:pPr>
        <w:keepNext w:val="0"/>
        <w:keepLines w:val="0"/>
        <w:pageBreakBefore w:val="0"/>
        <w:numPr>
          <w:ilvl w:val="0"/>
          <w:numId w:val="3"/>
        </w:numPr>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eastAsia="zh-CN"/>
        </w:rPr>
        <w:t>最高</w:t>
      </w:r>
      <w:r>
        <w:rPr>
          <w:rFonts w:hint="eastAsia" w:ascii="宋体" w:hAnsi="宋体" w:eastAsia="宋体" w:cs="宋体"/>
          <w:sz w:val="24"/>
          <w:szCs w:val="24"/>
          <w:lang w:val="en-US" w:eastAsia="zh-CN"/>
        </w:rPr>
        <w:t>限价（元）：</w:t>
      </w:r>
      <w:r>
        <w:rPr>
          <w:rFonts w:hint="eastAsia" w:ascii="宋体" w:hAnsi="宋体" w:cs="宋体"/>
          <w:sz w:val="24"/>
          <w:szCs w:val="24"/>
          <w:lang w:val="en-US" w:eastAsia="zh-CN"/>
        </w:rPr>
        <w:t>283000元</w:t>
      </w:r>
      <w:r>
        <w:rPr>
          <w:rFonts w:hint="eastAsia" w:ascii="宋体" w:hAnsi="宋体" w:eastAsia="宋体" w:cs="宋体"/>
          <w:sz w:val="24"/>
          <w:szCs w:val="24"/>
          <w:lang w:val="en-US" w:eastAsia="zh-CN"/>
        </w:rPr>
        <w:t>；</w:t>
      </w:r>
    </w:p>
    <w:p w14:paraId="76752D73">
      <w:pPr>
        <w:keepNext w:val="0"/>
        <w:keepLines w:val="0"/>
        <w:pageBreakBefore w:val="0"/>
        <w:numPr>
          <w:ilvl w:val="0"/>
          <w:numId w:val="3"/>
        </w:numPr>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采购需求：详见磋商文件“第三章 采购内容及要求”（包括但不限于标的的名称、数量、简要技术需求或服务要求等）。</w:t>
      </w:r>
    </w:p>
    <w:p w14:paraId="7682696A">
      <w:pPr>
        <w:keepNext w:val="0"/>
        <w:keepLines w:val="0"/>
        <w:pageBreakBefore w:val="0"/>
        <w:numPr>
          <w:ilvl w:val="0"/>
          <w:numId w:val="3"/>
        </w:numPr>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供货期</w:t>
      </w:r>
      <w:r>
        <w:rPr>
          <w:rFonts w:hint="eastAsia" w:ascii="宋体" w:hAnsi="宋体" w:eastAsia="宋体" w:cs="宋体"/>
          <w:sz w:val="24"/>
          <w:szCs w:val="24"/>
          <w:lang w:val="en-US" w:eastAsia="zh-CN"/>
        </w:rPr>
        <w:t>：</w:t>
      </w:r>
      <w:r>
        <w:rPr>
          <w:rFonts w:hint="eastAsia" w:ascii="宋体" w:hAnsi="宋体" w:cs="宋体"/>
          <w:sz w:val="24"/>
          <w:szCs w:val="24"/>
          <w:lang w:val="en-US" w:eastAsia="zh-CN"/>
        </w:rPr>
        <w:t>合同签订后30日历天内完成设计及布展施工、安装、调试（含深化设计及布展施工图设计调整）。</w:t>
      </w:r>
    </w:p>
    <w:p w14:paraId="00C19A76">
      <w:pPr>
        <w:keepNext w:val="0"/>
        <w:keepLines w:val="0"/>
        <w:pageBreakBefore w:val="0"/>
        <w:numPr>
          <w:ilvl w:val="0"/>
          <w:numId w:val="3"/>
        </w:numPr>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本项目不接受联合体投标。</w:t>
      </w:r>
    </w:p>
    <w:p w14:paraId="26482669">
      <w:pPr>
        <w:keepNext w:val="0"/>
        <w:keepLines w:val="0"/>
        <w:pageBreakBefore w:val="0"/>
        <w:numPr>
          <w:ilvl w:val="255"/>
          <w:numId w:val="0"/>
        </w:numPr>
        <w:kinsoku/>
        <w:wordWrap/>
        <w:overflowPunct/>
        <w:topLinePunct w:val="0"/>
        <w:autoSpaceDE/>
        <w:autoSpaceDN/>
        <w:bidi w:val="0"/>
        <w:adjustRightInd/>
        <w:snapToGrid w:val="0"/>
        <w:spacing w:line="312" w:lineRule="auto"/>
        <w:ind w:firstLine="482" w:firstLineChars="200"/>
        <w:textAlignment w:val="auto"/>
        <w:outlineLvl w:val="1"/>
        <w:rPr>
          <w:rFonts w:hint="eastAsia" w:ascii="宋体" w:hAnsi="宋体" w:eastAsia="宋体" w:cs="宋体"/>
          <w:b/>
          <w:bCs/>
          <w:color w:val="auto"/>
        </w:rPr>
      </w:pPr>
      <w:bookmarkStart w:id="75" w:name="_Toc5004"/>
      <w:bookmarkStart w:id="76" w:name="_Toc23499"/>
      <w:r>
        <w:rPr>
          <w:rFonts w:hint="eastAsia" w:ascii="宋体" w:hAnsi="宋体" w:eastAsia="宋体" w:cs="宋体"/>
          <w:b/>
          <w:bCs/>
          <w:color w:val="auto"/>
        </w:rPr>
        <w:t>二、申请人的资格要求</w:t>
      </w:r>
      <w:bookmarkEnd w:id="75"/>
      <w:bookmarkEnd w:id="76"/>
    </w:p>
    <w:p w14:paraId="45A0A631">
      <w:pPr>
        <w:keepNext w:val="0"/>
        <w:keepLines w:val="0"/>
        <w:pageBreakBefore w:val="0"/>
        <w:kinsoku/>
        <w:wordWrap/>
        <w:overflowPunct/>
        <w:topLinePunct w:val="0"/>
        <w:autoSpaceDE/>
        <w:autoSpaceDN/>
        <w:bidi w:val="0"/>
        <w:adjustRightInd/>
        <w:spacing w:line="312" w:lineRule="auto"/>
        <w:ind w:firstLine="0"/>
        <w:textAlignment w:val="auto"/>
        <w:rPr>
          <w:rFonts w:hint="eastAsia" w:ascii="宋体" w:hAnsi="宋体" w:eastAsia="宋体" w:cs="宋体"/>
          <w:lang w:eastAsia="zh-CN"/>
        </w:rPr>
      </w:pPr>
      <w:r>
        <w:rPr>
          <w:rFonts w:hint="eastAsia" w:ascii="宋体" w:hAnsi="宋体" w:eastAsia="宋体" w:cs="宋体"/>
        </w:rPr>
        <w:t>1.满足《</w:t>
      </w:r>
      <w:r>
        <w:rPr>
          <w:rFonts w:hint="eastAsia" w:ascii="宋体" w:hAnsi="宋体" w:cs="宋体"/>
          <w:lang w:eastAsia="zh-CN"/>
        </w:rPr>
        <w:t>中华人民共和国政府采购法</w:t>
      </w:r>
      <w:r>
        <w:rPr>
          <w:rFonts w:hint="eastAsia" w:ascii="宋体" w:hAnsi="宋体" w:eastAsia="宋体" w:cs="宋体"/>
        </w:rPr>
        <w:t>》第二十二条规定</w:t>
      </w:r>
      <w:r>
        <w:rPr>
          <w:rFonts w:hint="eastAsia" w:ascii="宋体" w:hAnsi="宋体" w:eastAsia="宋体" w:cs="宋体"/>
          <w:lang w:eastAsia="zh-CN"/>
        </w:rPr>
        <w:t>：</w:t>
      </w:r>
    </w:p>
    <w:p w14:paraId="2B9D6F3D">
      <w:pPr>
        <w:keepNext w:val="0"/>
        <w:keepLines w:val="0"/>
        <w:pageBreakBefore w:val="0"/>
        <w:kinsoku/>
        <w:wordWrap/>
        <w:overflowPunct/>
        <w:topLinePunct w:val="0"/>
        <w:autoSpaceDE/>
        <w:autoSpaceDN/>
        <w:bidi w:val="0"/>
        <w:adjustRightInd/>
        <w:spacing w:line="312" w:lineRule="auto"/>
        <w:ind w:firstLine="0"/>
        <w:textAlignment w:val="auto"/>
        <w:rPr>
          <w:rFonts w:hint="eastAsia" w:ascii="宋体" w:hAnsi="宋体" w:eastAsia="宋体" w:cs="宋体"/>
          <w:lang w:eastAsia="zh-CN"/>
        </w:rPr>
      </w:pPr>
      <w:r>
        <w:rPr>
          <w:rFonts w:hint="eastAsia" w:ascii="宋体" w:hAnsi="宋体" w:eastAsia="宋体" w:cs="宋体"/>
        </w:rPr>
        <w:t>1.1具有独立承担民事责任的能力</w:t>
      </w:r>
      <w:r>
        <w:rPr>
          <w:rFonts w:hint="eastAsia" w:ascii="宋体" w:hAnsi="宋体" w:eastAsia="宋体" w:cs="宋体"/>
          <w:lang w:eastAsia="zh-CN"/>
        </w:rPr>
        <w:t>；</w:t>
      </w:r>
    </w:p>
    <w:p w14:paraId="3394FD10">
      <w:pPr>
        <w:keepNext w:val="0"/>
        <w:keepLines w:val="0"/>
        <w:pageBreakBefore w:val="0"/>
        <w:kinsoku/>
        <w:wordWrap/>
        <w:overflowPunct/>
        <w:topLinePunct w:val="0"/>
        <w:autoSpaceDE/>
        <w:autoSpaceDN/>
        <w:bidi w:val="0"/>
        <w:adjustRightInd/>
        <w:spacing w:line="312" w:lineRule="auto"/>
        <w:ind w:firstLine="0"/>
        <w:textAlignment w:val="auto"/>
        <w:rPr>
          <w:rFonts w:hint="eastAsia" w:ascii="宋体" w:hAnsi="宋体" w:eastAsia="宋体" w:cs="宋体"/>
          <w:lang w:eastAsia="zh-CN"/>
        </w:rPr>
      </w:pPr>
      <w:r>
        <w:rPr>
          <w:rFonts w:hint="eastAsia" w:ascii="宋体" w:hAnsi="宋体" w:eastAsia="宋体" w:cs="宋体"/>
        </w:rPr>
        <w:t>1.2具有良好的商业信誉和健全的财务会计制度</w:t>
      </w:r>
      <w:r>
        <w:rPr>
          <w:rFonts w:hint="eastAsia" w:ascii="宋体" w:hAnsi="宋体" w:eastAsia="宋体" w:cs="宋体"/>
          <w:lang w:eastAsia="zh-CN"/>
        </w:rPr>
        <w:t>；</w:t>
      </w:r>
    </w:p>
    <w:p w14:paraId="65A7941D">
      <w:pPr>
        <w:keepNext w:val="0"/>
        <w:keepLines w:val="0"/>
        <w:pageBreakBefore w:val="0"/>
        <w:kinsoku/>
        <w:wordWrap/>
        <w:overflowPunct/>
        <w:topLinePunct w:val="0"/>
        <w:autoSpaceDE/>
        <w:autoSpaceDN/>
        <w:bidi w:val="0"/>
        <w:adjustRightInd/>
        <w:spacing w:line="312" w:lineRule="auto"/>
        <w:ind w:firstLine="0"/>
        <w:textAlignment w:val="auto"/>
        <w:rPr>
          <w:rFonts w:hint="eastAsia" w:ascii="宋体" w:hAnsi="宋体" w:eastAsia="宋体" w:cs="宋体"/>
          <w:lang w:eastAsia="zh-CN"/>
        </w:rPr>
      </w:pPr>
      <w:r>
        <w:rPr>
          <w:rFonts w:hint="eastAsia" w:ascii="宋体" w:hAnsi="宋体" w:eastAsia="宋体" w:cs="宋体"/>
        </w:rPr>
        <w:t>1.3具有履行合同所必需的设备和专业技术能力</w:t>
      </w:r>
      <w:r>
        <w:rPr>
          <w:rFonts w:hint="eastAsia" w:ascii="宋体" w:hAnsi="宋体" w:eastAsia="宋体" w:cs="宋体"/>
          <w:lang w:eastAsia="zh-CN"/>
        </w:rPr>
        <w:t>；</w:t>
      </w:r>
    </w:p>
    <w:p w14:paraId="45C2EF73">
      <w:pPr>
        <w:keepNext w:val="0"/>
        <w:keepLines w:val="0"/>
        <w:pageBreakBefore w:val="0"/>
        <w:kinsoku/>
        <w:wordWrap/>
        <w:overflowPunct/>
        <w:topLinePunct w:val="0"/>
        <w:autoSpaceDE/>
        <w:autoSpaceDN/>
        <w:bidi w:val="0"/>
        <w:adjustRightInd/>
        <w:spacing w:line="312" w:lineRule="auto"/>
        <w:ind w:firstLine="0"/>
        <w:textAlignment w:val="auto"/>
        <w:rPr>
          <w:rFonts w:hint="eastAsia" w:ascii="宋体" w:hAnsi="宋体" w:eastAsia="宋体" w:cs="宋体"/>
          <w:lang w:eastAsia="zh-CN"/>
        </w:rPr>
      </w:pPr>
      <w:r>
        <w:rPr>
          <w:rFonts w:hint="eastAsia" w:ascii="宋体" w:hAnsi="宋体" w:eastAsia="宋体" w:cs="宋体"/>
        </w:rPr>
        <w:t>1.4有依法缴纳税收和社会保障资金的良好记录</w:t>
      </w:r>
      <w:r>
        <w:rPr>
          <w:rFonts w:hint="eastAsia" w:ascii="宋体" w:hAnsi="宋体" w:eastAsia="宋体" w:cs="宋体"/>
          <w:lang w:eastAsia="zh-CN"/>
        </w:rPr>
        <w:t>；</w:t>
      </w:r>
    </w:p>
    <w:p w14:paraId="7CED7F51">
      <w:pPr>
        <w:keepNext w:val="0"/>
        <w:keepLines w:val="0"/>
        <w:pageBreakBefore w:val="0"/>
        <w:kinsoku/>
        <w:wordWrap/>
        <w:overflowPunct/>
        <w:topLinePunct w:val="0"/>
        <w:autoSpaceDE/>
        <w:autoSpaceDN/>
        <w:bidi w:val="0"/>
        <w:adjustRightInd/>
        <w:spacing w:line="312" w:lineRule="auto"/>
        <w:ind w:firstLine="0"/>
        <w:textAlignment w:val="auto"/>
        <w:rPr>
          <w:rFonts w:hint="eastAsia" w:ascii="宋体" w:hAnsi="宋体" w:eastAsia="宋体" w:cs="宋体"/>
          <w:lang w:eastAsia="zh-CN"/>
        </w:rPr>
      </w:pPr>
      <w:r>
        <w:rPr>
          <w:rFonts w:hint="eastAsia" w:ascii="宋体" w:hAnsi="宋体" w:eastAsia="宋体" w:cs="宋体"/>
        </w:rPr>
        <w:t>1.5参加</w:t>
      </w:r>
      <w:r>
        <w:rPr>
          <w:rFonts w:hint="eastAsia" w:ascii="宋体" w:hAnsi="宋体" w:eastAsia="宋体" w:cs="宋体"/>
          <w:lang w:eastAsia="zh-CN"/>
        </w:rPr>
        <w:t>采购</w:t>
      </w:r>
      <w:r>
        <w:rPr>
          <w:rFonts w:hint="eastAsia" w:ascii="宋体" w:hAnsi="宋体" w:eastAsia="宋体" w:cs="宋体"/>
        </w:rPr>
        <w:t>活动前三年内</w:t>
      </w:r>
      <w:r>
        <w:rPr>
          <w:rFonts w:hint="eastAsia" w:ascii="宋体" w:hAnsi="宋体" w:eastAsia="宋体" w:cs="宋体"/>
          <w:lang w:eastAsia="zh-CN"/>
        </w:rPr>
        <w:t>，</w:t>
      </w:r>
      <w:r>
        <w:rPr>
          <w:rFonts w:hint="eastAsia" w:ascii="宋体" w:hAnsi="宋体" w:eastAsia="宋体" w:cs="宋体"/>
        </w:rPr>
        <w:t>在经营活动中没有重大违法记录</w:t>
      </w:r>
      <w:r>
        <w:rPr>
          <w:rFonts w:hint="eastAsia" w:ascii="宋体" w:hAnsi="宋体" w:eastAsia="宋体" w:cs="宋体"/>
          <w:lang w:eastAsia="zh-CN"/>
        </w:rPr>
        <w:t>；</w:t>
      </w:r>
    </w:p>
    <w:p w14:paraId="3C32677A">
      <w:pPr>
        <w:keepNext w:val="0"/>
        <w:keepLines w:val="0"/>
        <w:pageBreakBefore w:val="0"/>
        <w:kinsoku/>
        <w:wordWrap/>
        <w:overflowPunct/>
        <w:topLinePunct w:val="0"/>
        <w:autoSpaceDE/>
        <w:autoSpaceDN/>
        <w:bidi w:val="0"/>
        <w:adjustRightInd/>
        <w:spacing w:line="312" w:lineRule="auto"/>
        <w:ind w:firstLine="0"/>
        <w:textAlignment w:val="auto"/>
        <w:rPr>
          <w:rFonts w:hint="eastAsia" w:ascii="宋体" w:hAnsi="宋体" w:eastAsia="宋体" w:cs="宋体"/>
        </w:rPr>
      </w:pPr>
      <w:r>
        <w:rPr>
          <w:rFonts w:hint="eastAsia" w:ascii="宋体" w:hAnsi="宋体" w:eastAsia="宋体" w:cs="宋体"/>
        </w:rPr>
        <w:t>1.6法律、行政法规规定的其他条件。</w:t>
      </w:r>
    </w:p>
    <w:p w14:paraId="1019AD57">
      <w:pPr>
        <w:keepNext w:val="0"/>
        <w:keepLines w:val="0"/>
        <w:pageBreakBefore w:val="0"/>
        <w:kinsoku/>
        <w:wordWrap/>
        <w:overflowPunct/>
        <w:topLinePunct w:val="0"/>
        <w:autoSpaceDE/>
        <w:autoSpaceDN/>
        <w:bidi w:val="0"/>
        <w:adjustRightInd/>
        <w:spacing w:line="312" w:lineRule="auto"/>
        <w:ind w:firstLine="0"/>
        <w:textAlignment w:val="auto"/>
        <w:rPr>
          <w:rFonts w:hint="eastAsia" w:ascii="宋体" w:hAnsi="宋体" w:eastAsia="宋体" w:cs="宋体"/>
        </w:rPr>
      </w:pPr>
      <w:r>
        <w:rPr>
          <w:rFonts w:hint="eastAsia" w:ascii="宋体" w:hAnsi="宋体" w:eastAsia="宋体" w:cs="宋体"/>
          <w:lang w:val="en-US" w:eastAsia="zh-CN"/>
        </w:rPr>
        <w:t>2.</w:t>
      </w:r>
      <w:r>
        <w:rPr>
          <w:rFonts w:hint="eastAsia" w:ascii="宋体" w:hAnsi="宋体" w:eastAsia="宋体" w:cs="宋体"/>
        </w:rPr>
        <w:t>需满足的资格要求</w:t>
      </w:r>
      <w:r>
        <w:rPr>
          <w:rFonts w:hint="eastAsia" w:ascii="宋体" w:hAnsi="宋体" w:eastAsia="宋体" w:cs="宋体"/>
          <w:lang w:eastAsia="zh-CN"/>
        </w:rPr>
        <w:t>：</w:t>
      </w:r>
      <w:r>
        <w:rPr>
          <w:rFonts w:hint="eastAsia" w:ascii="宋体" w:hAnsi="宋体" w:eastAsia="宋体" w:cs="宋体"/>
          <w:lang w:val="en-US" w:eastAsia="zh-CN"/>
        </w:rPr>
        <w:t>无。</w:t>
      </w:r>
    </w:p>
    <w:p w14:paraId="635B96C0">
      <w:pPr>
        <w:keepNext w:val="0"/>
        <w:keepLines w:val="0"/>
        <w:pageBreakBefore w:val="0"/>
        <w:kinsoku/>
        <w:wordWrap/>
        <w:overflowPunct/>
        <w:topLinePunct w:val="0"/>
        <w:autoSpaceDE/>
        <w:autoSpaceDN/>
        <w:bidi w:val="0"/>
        <w:adjustRightInd/>
        <w:spacing w:line="312" w:lineRule="auto"/>
        <w:ind w:firstLine="0"/>
        <w:textAlignment w:val="auto"/>
        <w:rPr>
          <w:rFonts w:hint="eastAsia" w:ascii="宋体" w:hAnsi="宋体" w:eastAsia="宋体" w:cs="宋体"/>
        </w:rPr>
      </w:pPr>
      <w:r>
        <w:rPr>
          <w:rFonts w:hint="eastAsia" w:ascii="宋体" w:hAnsi="宋体" w:eastAsia="宋体" w:cs="宋体"/>
        </w:rPr>
        <w:t>3.本项目的特定资格要求：</w:t>
      </w:r>
      <w:bookmarkStart w:id="77" w:name="_Toc3950"/>
      <w:bookmarkStart w:id="78" w:name="_Toc23303"/>
      <w:bookmarkStart w:id="79" w:name="_Toc17491"/>
      <w:r>
        <w:rPr>
          <w:rFonts w:hint="eastAsia" w:ascii="宋体" w:hAnsi="宋体" w:eastAsia="宋体" w:cs="宋体"/>
          <w:lang w:val="en-US" w:eastAsia="zh-CN"/>
        </w:rPr>
        <w:t>无。</w:t>
      </w:r>
    </w:p>
    <w:p w14:paraId="775115B0">
      <w:pPr>
        <w:keepNext w:val="0"/>
        <w:keepLines w:val="0"/>
        <w:pageBreakBefore w:val="0"/>
        <w:numPr>
          <w:ilvl w:val="255"/>
          <w:numId w:val="0"/>
        </w:numPr>
        <w:kinsoku/>
        <w:wordWrap/>
        <w:overflowPunct/>
        <w:topLinePunct w:val="0"/>
        <w:autoSpaceDE/>
        <w:autoSpaceDN/>
        <w:bidi w:val="0"/>
        <w:adjustRightInd/>
        <w:snapToGrid w:val="0"/>
        <w:spacing w:line="312" w:lineRule="auto"/>
        <w:ind w:firstLine="482" w:firstLineChars="200"/>
        <w:textAlignment w:val="auto"/>
        <w:outlineLvl w:val="1"/>
        <w:rPr>
          <w:rFonts w:hint="eastAsia" w:ascii="宋体" w:hAnsi="宋体" w:eastAsia="宋体" w:cs="宋体"/>
          <w:b/>
          <w:bCs/>
          <w:color w:val="auto"/>
        </w:rPr>
      </w:pPr>
      <w:r>
        <w:rPr>
          <w:rFonts w:hint="eastAsia" w:ascii="宋体" w:hAnsi="宋体" w:eastAsia="宋体" w:cs="宋体"/>
          <w:b/>
          <w:bCs/>
          <w:color w:val="auto"/>
        </w:rPr>
        <w:t>三、禁止参加本次采购活动的申请人</w:t>
      </w:r>
      <w:bookmarkEnd w:id="77"/>
      <w:bookmarkEnd w:id="78"/>
    </w:p>
    <w:p w14:paraId="61E593AC">
      <w:pPr>
        <w:pStyle w:val="36"/>
        <w:keepNext w:val="0"/>
        <w:keepLines w:val="0"/>
        <w:pageBreakBefore w:val="0"/>
        <w:numPr>
          <w:ilvl w:val="0"/>
          <w:numId w:val="4"/>
        </w:numPr>
        <w:tabs>
          <w:tab w:val="left" w:pos="397"/>
          <w:tab w:val="left" w:pos="420"/>
          <w:tab w:val="clear" w:pos="0"/>
        </w:tabs>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color w:val="auto"/>
          <w:sz w:val="24"/>
          <w:szCs w:val="24"/>
          <w:highlight w:val="none"/>
        </w:rPr>
      </w:pPr>
      <w:bookmarkStart w:id="80" w:name="_Toc29791"/>
      <w:bookmarkStart w:id="81" w:name="_Toc728"/>
      <w:bookmarkStart w:id="82" w:name="_Toc17769"/>
      <w:bookmarkStart w:id="83" w:name="_Toc20310"/>
      <w:bookmarkStart w:id="84" w:name="_Toc21923"/>
      <w:bookmarkStart w:id="85" w:name="_Toc5447"/>
      <w:bookmarkStart w:id="86" w:name="_Toc1399"/>
      <w:bookmarkStart w:id="87" w:name="_Toc13512"/>
      <w:r>
        <w:rPr>
          <w:rFonts w:hint="eastAsia" w:ascii="宋体" w:hAnsi="宋体" w:eastAsia="宋体" w:cs="宋体"/>
          <w:color w:val="auto"/>
          <w:sz w:val="24"/>
          <w:szCs w:val="24"/>
          <w:highlight w:val="none"/>
        </w:rPr>
        <w:t>被“信用中国”网站（https://www.creditchina.gov.cn/home/）</w:t>
      </w:r>
      <w:r>
        <w:rPr>
          <w:rFonts w:hint="eastAsia" w:ascii="宋体" w:hAnsi="宋体" w:eastAsia="宋体" w:cs="宋体"/>
          <w:color w:val="auto"/>
          <w:sz w:val="24"/>
          <w:szCs w:val="24"/>
          <w:highlight w:val="none"/>
          <w:shd w:val="clear" w:color="auto" w:fill="FFFFFF"/>
        </w:rPr>
        <w:t>列入失信被执行人、重</w:t>
      </w:r>
      <w:r>
        <w:rPr>
          <w:rFonts w:hint="eastAsia" w:ascii="宋体" w:hAnsi="宋体" w:eastAsia="宋体" w:cs="宋体"/>
          <w:color w:val="auto"/>
          <w:sz w:val="24"/>
          <w:szCs w:val="24"/>
          <w:highlight w:val="none"/>
          <w:shd w:val="clear"/>
        </w:rPr>
        <w:t>大税收违法案件当事人名单、采购严重违法失信名单，且在处罚公示期内；</w:t>
      </w:r>
    </w:p>
    <w:p w14:paraId="7F9B6F72">
      <w:pPr>
        <w:pStyle w:val="36"/>
        <w:keepNext w:val="0"/>
        <w:keepLines w:val="0"/>
        <w:pageBreakBefore w:val="0"/>
        <w:numPr>
          <w:ilvl w:val="0"/>
          <w:numId w:val="4"/>
        </w:numPr>
        <w:tabs>
          <w:tab w:val="left" w:pos="397"/>
          <w:tab w:val="left" w:pos="420"/>
          <w:tab w:val="clear" w:pos="0"/>
        </w:tabs>
        <w:kinsoku/>
        <w:wordWrap/>
        <w:overflowPunct/>
        <w:topLinePunct w:val="0"/>
        <w:autoSpaceDE/>
        <w:autoSpaceDN/>
        <w:bidi w:val="0"/>
        <w:adjustRightInd/>
        <w:snapToGrid w:val="0"/>
        <w:spacing w:line="312" w:lineRule="auto"/>
        <w:ind w:left="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shd w:val="clear"/>
        </w:rPr>
        <w:t>单位负责人为同一人或者存在直接控股、管理关系的不同申请人，不得参加同一合同项下的采购活动。</w:t>
      </w:r>
      <w:bookmarkEnd w:id="80"/>
      <w:bookmarkEnd w:id="81"/>
      <w:bookmarkEnd w:id="82"/>
      <w:bookmarkEnd w:id="83"/>
      <w:bookmarkEnd w:id="84"/>
      <w:bookmarkEnd w:id="85"/>
      <w:bookmarkEnd w:id="86"/>
      <w:bookmarkEnd w:id="87"/>
    </w:p>
    <w:p w14:paraId="69D5FF34">
      <w:pPr>
        <w:keepNext w:val="0"/>
        <w:keepLines w:val="0"/>
        <w:pageBreakBefore w:val="0"/>
        <w:widowControl w:val="0"/>
        <w:numPr>
          <w:ilvl w:val="255"/>
          <w:numId w:val="0"/>
        </w:numPr>
        <w:kinsoku/>
        <w:wordWrap/>
        <w:overflowPunct/>
        <w:topLinePunct w:val="0"/>
        <w:autoSpaceDE/>
        <w:autoSpaceDN/>
        <w:bidi w:val="0"/>
        <w:adjustRightInd/>
        <w:snapToGrid w:val="0"/>
        <w:spacing w:line="312" w:lineRule="auto"/>
        <w:ind w:firstLine="482" w:firstLineChars="200"/>
        <w:textAlignment w:val="auto"/>
        <w:outlineLvl w:val="1"/>
        <w:rPr>
          <w:rFonts w:hint="eastAsia" w:ascii="宋体" w:hAnsi="宋体" w:eastAsia="宋体" w:cs="宋体"/>
          <w:b/>
          <w:bCs/>
          <w:color w:val="auto"/>
        </w:rPr>
      </w:pPr>
      <w:bookmarkStart w:id="88" w:name="_Toc13713"/>
      <w:bookmarkStart w:id="89" w:name="_Toc5391"/>
      <w:r>
        <w:rPr>
          <w:rFonts w:hint="eastAsia" w:ascii="宋体" w:hAnsi="宋体" w:eastAsia="宋体" w:cs="宋体"/>
          <w:b/>
          <w:bCs/>
          <w:color w:val="auto"/>
        </w:rPr>
        <w:t>四、获取竞争性磋商文件</w:t>
      </w:r>
      <w:bookmarkEnd w:id="88"/>
      <w:bookmarkEnd w:id="89"/>
    </w:p>
    <w:p w14:paraId="5FB26D68">
      <w:pPr>
        <w:keepNext w:val="0"/>
        <w:keepLines w:val="0"/>
        <w:pageBreakBefore w:val="0"/>
        <w:widowControl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rPr>
      </w:pPr>
      <w:r>
        <w:rPr>
          <w:rFonts w:hint="eastAsia" w:ascii="宋体" w:hAnsi="宋体" w:eastAsia="宋体" w:cs="宋体"/>
        </w:rPr>
        <w:t>1.报名时间</w:t>
      </w:r>
      <w:r>
        <w:rPr>
          <w:rFonts w:hint="eastAsia" w:ascii="宋体" w:hAnsi="宋体" w:cs="宋体"/>
          <w:lang w:eastAsia="zh-CN"/>
        </w:rPr>
        <w:t>：</w:t>
      </w:r>
      <w:r>
        <w:rPr>
          <w:rFonts w:hint="eastAsia" w:ascii="宋体" w:hAnsi="宋体" w:eastAsia="宋体" w:cs="宋体"/>
          <w:lang w:val="en-US" w:eastAsia="zh-CN"/>
        </w:rPr>
        <w:t>自</w:t>
      </w:r>
      <w:r>
        <w:rPr>
          <w:rFonts w:hint="eastAsia" w:ascii="宋体" w:hAnsi="宋体" w:eastAsia="宋体" w:cs="宋体"/>
        </w:rPr>
        <w:t>本</w:t>
      </w:r>
      <w:r>
        <w:rPr>
          <w:rFonts w:hint="eastAsia" w:ascii="宋体" w:hAnsi="宋体" w:eastAsia="宋体" w:cs="宋体"/>
          <w:lang w:val="en-US" w:eastAsia="zh-CN"/>
        </w:rPr>
        <w:t>磋商</w:t>
      </w:r>
      <w:r>
        <w:rPr>
          <w:rFonts w:hint="eastAsia" w:ascii="宋体" w:hAnsi="宋体" w:eastAsia="宋体" w:cs="宋体"/>
        </w:rPr>
        <w:t>公告发布之日起至</w:t>
      </w:r>
      <w:r>
        <w:rPr>
          <w:rFonts w:hint="eastAsia" w:ascii="宋体" w:hAnsi="宋体" w:cs="宋体"/>
          <w:lang w:val="en-US" w:eastAsia="zh-CN"/>
        </w:rPr>
        <w:t>磋商截止时间</w:t>
      </w:r>
      <w:r>
        <w:rPr>
          <w:rFonts w:hint="eastAsia" w:ascii="宋体" w:hAnsi="宋体" w:eastAsia="宋体" w:cs="宋体"/>
        </w:rPr>
        <w:t>止(逾期不予受理)</w:t>
      </w:r>
      <w:r>
        <w:rPr>
          <w:rFonts w:hint="eastAsia" w:ascii="宋体" w:hAnsi="宋体" w:cs="宋体"/>
          <w:lang w:eastAsia="zh-CN"/>
        </w:rPr>
        <w:t>，</w:t>
      </w:r>
      <w:r>
        <w:rPr>
          <w:rFonts w:hint="eastAsia" w:ascii="宋体" w:hAnsi="宋体" w:eastAsia="宋体" w:cs="宋体"/>
        </w:rPr>
        <w:t>上午8:30-11:30时</w:t>
      </w:r>
      <w:r>
        <w:rPr>
          <w:rFonts w:hint="eastAsia" w:ascii="宋体" w:hAnsi="宋体" w:cs="宋体"/>
          <w:lang w:eastAsia="zh-CN"/>
        </w:rPr>
        <w:t>，14:</w:t>
      </w:r>
      <w:r>
        <w:rPr>
          <w:rFonts w:hint="eastAsia" w:ascii="宋体" w:hAnsi="宋体" w:eastAsia="宋体" w:cs="宋体"/>
        </w:rPr>
        <w:t>30-17:00时止(双休日、节假日除外)。</w:t>
      </w:r>
    </w:p>
    <w:p w14:paraId="65AC26E7">
      <w:pPr>
        <w:keepNext w:val="0"/>
        <w:keepLines w:val="0"/>
        <w:pageBreakBefore w:val="0"/>
        <w:widowControl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rPr>
      </w:pPr>
      <w:r>
        <w:rPr>
          <w:rFonts w:hint="eastAsia" w:ascii="宋体" w:hAnsi="宋体" w:eastAsia="宋体" w:cs="宋体"/>
        </w:rPr>
        <w:t>2.获取方式</w:t>
      </w:r>
      <w:r>
        <w:rPr>
          <w:rFonts w:hint="eastAsia" w:ascii="宋体" w:hAnsi="宋体" w:cs="宋体"/>
          <w:lang w:eastAsia="zh-CN"/>
        </w:rPr>
        <w:t>：</w:t>
      </w:r>
      <w:r>
        <w:rPr>
          <w:rFonts w:hint="eastAsia" w:ascii="宋体" w:hAnsi="宋体" w:eastAsia="宋体" w:cs="宋体"/>
        </w:rPr>
        <w:t>申请人在浙江政府采购网</w:t>
      </w:r>
      <w:r>
        <w:rPr>
          <w:rFonts w:hint="eastAsia" w:ascii="宋体" w:hAnsi="宋体" w:eastAsia="宋体" w:cs="宋体"/>
          <w:lang w:eastAsia="zh-CN"/>
        </w:rPr>
        <w:t>（</w:t>
      </w:r>
      <w:r>
        <w:rPr>
          <w:rFonts w:hint="eastAsia" w:ascii="宋体" w:hAnsi="宋体" w:eastAsia="宋体" w:cs="宋体"/>
          <w:lang w:val="en-US" w:eastAsia="zh-CN"/>
        </w:rPr>
        <w:t>其他非政府</w:t>
      </w:r>
      <w:r>
        <w:rPr>
          <w:rFonts w:hint="eastAsia" w:ascii="宋体" w:hAnsi="宋体" w:cs="宋体"/>
          <w:lang w:val="en-US" w:eastAsia="zh-CN"/>
        </w:rPr>
        <w:t>磋商公告</w:t>
      </w:r>
      <w:r>
        <w:rPr>
          <w:rFonts w:hint="eastAsia" w:ascii="宋体" w:hAnsi="宋体" w:eastAsia="宋体" w:cs="宋体"/>
          <w:lang w:eastAsia="zh-CN"/>
        </w:rPr>
        <w:t>）</w:t>
      </w:r>
      <w:r>
        <w:rPr>
          <w:rFonts w:hint="eastAsia" w:ascii="宋体" w:hAnsi="宋体" w:eastAsia="宋体" w:cs="宋体"/>
        </w:rPr>
        <w:t>附件处自行下载。</w:t>
      </w:r>
    </w:p>
    <w:p w14:paraId="6ADA841B">
      <w:pPr>
        <w:keepNext w:val="0"/>
        <w:keepLines w:val="0"/>
        <w:pageBreakBefore w:val="0"/>
        <w:widowControl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rPr>
      </w:pPr>
      <w:r>
        <w:rPr>
          <w:rFonts w:hint="eastAsia" w:ascii="宋体" w:hAnsi="宋体" w:eastAsia="宋体" w:cs="宋体"/>
        </w:rPr>
        <w:t>3.申请获取</w:t>
      </w:r>
      <w:r>
        <w:rPr>
          <w:rFonts w:hint="eastAsia" w:ascii="宋体" w:hAnsi="宋体" w:eastAsia="宋体" w:cs="宋体"/>
          <w:lang w:val="en-US" w:eastAsia="zh-CN"/>
        </w:rPr>
        <w:t>竞争性</w:t>
      </w:r>
      <w:r>
        <w:rPr>
          <w:rFonts w:hint="eastAsia" w:ascii="宋体" w:hAnsi="宋体" w:eastAsia="宋体" w:cs="宋体"/>
        </w:rPr>
        <w:t>磋商文件</w:t>
      </w:r>
      <w:r>
        <w:rPr>
          <w:rFonts w:hint="eastAsia" w:ascii="宋体" w:hAnsi="宋体" w:cs="宋体"/>
          <w:lang w:eastAsia="zh-CN"/>
        </w:rPr>
        <w:t>，</w:t>
      </w:r>
      <w:r>
        <w:rPr>
          <w:rFonts w:hint="eastAsia" w:ascii="宋体" w:hAnsi="宋体" w:eastAsia="宋体" w:cs="宋体"/>
        </w:rPr>
        <w:t>须将下列报名资料扫描后发至邮箱</w:t>
      </w:r>
      <w:r>
        <w:rPr>
          <w:rFonts w:hint="eastAsia" w:ascii="宋体" w:hAnsi="宋体" w:cs="宋体"/>
          <w:lang w:eastAsia="zh-CN"/>
        </w:rPr>
        <w:t>821384349</w:t>
      </w:r>
      <w:r>
        <w:rPr>
          <w:rFonts w:hint="eastAsia" w:ascii="宋体" w:hAnsi="宋体" w:eastAsia="宋体" w:cs="宋体"/>
        </w:rPr>
        <w:t>@qq.com。</w:t>
      </w:r>
    </w:p>
    <w:p w14:paraId="546424FC">
      <w:pPr>
        <w:keepNext w:val="0"/>
        <w:keepLines w:val="0"/>
        <w:pageBreakBefore w:val="0"/>
        <w:widowControl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lang w:eastAsia="zh-CN"/>
        </w:rPr>
      </w:pPr>
      <w:r>
        <w:rPr>
          <w:rFonts w:hint="eastAsia" w:ascii="宋体" w:hAnsi="宋体" w:eastAsia="宋体" w:cs="宋体"/>
        </w:rPr>
        <w:t>3.1企业单位提供有效《企业营业执照》扫描件</w:t>
      </w:r>
      <w:r>
        <w:rPr>
          <w:rFonts w:hint="eastAsia" w:ascii="宋体" w:hAnsi="宋体" w:eastAsia="宋体" w:cs="宋体"/>
          <w:lang w:eastAsia="zh-CN"/>
        </w:rPr>
        <w:t>；</w:t>
      </w:r>
    </w:p>
    <w:p w14:paraId="24EA0BAE">
      <w:pPr>
        <w:keepNext w:val="0"/>
        <w:keepLines w:val="0"/>
        <w:pageBreakBefore w:val="0"/>
        <w:widowControl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3.2</w:t>
      </w:r>
      <w:r>
        <w:rPr>
          <w:rFonts w:hint="eastAsia" w:ascii="宋体" w:hAnsi="宋体" w:eastAsia="宋体" w:cs="宋体"/>
        </w:rPr>
        <w:t>法人证明或授权委托书扫描件（格式参照附件</w:t>
      </w:r>
      <w:r>
        <w:rPr>
          <w:rFonts w:hint="eastAsia" w:ascii="宋体" w:hAnsi="宋体" w:eastAsia="宋体" w:cs="宋体"/>
          <w:lang w:val="en-US" w:eastAsia="zh-CN"/>
        </w:rPr>
        <w:t>4</w:t>
      </w:r>
      <w:r>
        <w:rPr>
          <w:rFonts w:hint="eastAsia" w:ascii="宋体" w:hAnsi="宋体" w:eastAsia="宋体" w:cs="宋体"/>
        </w:rPr>
        <w:t>）；</w:t>
      </w:r>
    </w:p>
    <w:p w14:paraId="6C06C88C">
      <w:pPr>
        <w:keepNext w:val="0"/>
        <w:keepLines w:val="0"/>
        <w:pageBreakBefore w:val="0"/>
        <w:widowControl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rPr>
      </w:pPr>
      <w:r>
        <w:rPr>
          <w:rFonts w:hint="eastAsia" w:ascii="宋体" w:hAnsi="宋体" w:eastAsia="宋体" w:cs="宋体"/>
          <w:lang w:val="en-US" w:eastAsia="zh-CN"/>
        </w:rPr>
        <w:t>3.3</w:t>
      </w:r>
      <w:r>
        <w:rPr>
          <w:rFonts w:hint="eastAsia" w:ascii="宋体" w:hAnsi="宋体" w:eastAsia="宋体" w:cs="宋体"/>
          <w:lang w:eastAsia="zh-CN"/>
        </w:rPr>
        <w:t>供应商</w:t>
      </w:r>
      <w:r>
        <w:rPr>
          <w:rFonts w:hint="eastAsia" w:ascii="宋体" w:hAnsi="宋体" w:eastAsia="宋体" w:cs="宋体"/>
        </w:rPr>
        <w:t>未提交上述报名资料参与本项目</w:t>
      </w:r>
      <w:r>
        <w:rPr>
          <w:rFonts w:hint="eastAsia" w:ascii="宋体" w:hAnsi="宋体" w:cs="宋体"/>
          <w:lang w:val="en-US" w:eastAsia="zh-CN"/>
        </w:rPr>
        <w:t>磋商</w:t>
      </w:r>
      <w:r>
        <w:rPr>
          <w:rFonts w:hint="eastAsia" w:ascii="宋体" w:hAnsi="宋体" w:eastAsia="宋体" w:cs="宋体"/>
        </w:rPr>
        <w:t>活动的，</w:t>
      </w:r>
      <w:r>
        <w:rPr>
          <w:rFonts w:hint="eastAsia" w:ascii="宋体" w:hAnsi="宋体" w:eastAsia="宋体" w:cs="宋体"/>
          <w:lang w:val="en-US" w:eastAsia="zh-CN"/>
        </w:rPr>
        <w:t>采购人有权拒绝其</w:t>
      </w:r>
      <w:r>
        <w:rPr>
          <w:rFonts w:hint="eastAsia" w:ascii="宋体" w:hAnsi="宋体" w:cs="宋体"/>
          <w:lang w:val="en-US" w:eastAsia="zh-CN"/>
        </w:rPr>
        <w:t>磋商</w:t>
      </w:r>
      <w:r>
        <w:rPr>
          <w:rFonts w:hint="eastAsia" w:ascii="宋体" w:hAnsi="宋体" w:eastAsia="宋体" w:cs="宋体"/>
          <w:lang w:val="en-US" w:eastAsia="zh-CN"/>
        </w:rPr>
        <w:t>活动</w:t>
      </w:r>
      <w:r>
        <w:rPr>
          <w:rFonts w:hint="eastAsia" w:ascii="宋体" w:hAnsi="宋体" w:eastAsia="宋体" w:cs="宋体"/>
        </w:rPr>
        <w:t>。</w:t>
      </w:r>
    </w:p>
    <w:p w14:paraId="6CBEE61A">
      <w:pPr>
        <w:keepNext w:val="0"/>
        <w:keepLines w:val="0"/>
        <w:pageBreakBefore w:val="0"/>
        <w:widowControl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rPr>
      </w:pPr>
      <w:r>
        <w:rPr>
          <w:rFonts w:hint="eastAsia" w:ascii="宋体" w:hAnsi="宋体" w:eastAsia="宋体" w:cs="宋体"/>
        </w:rPr>
        <w:t>4.售价</w:t>
      </w:r>
      <w:r>
        <w:rPr>
          <w:rFonts w:hint="eastAsia" w:ascii="宋体" w:hAnsi="宋体" w:cs="宋体"/>
          <w:lang w:eastAsia="zh-CN"/>
        </w:rPr>
        <w:t>：</w:t>
      </w:r>
      <w:r>
        <w:rPr>
          <w:rFonts w:hint="eastAsia" w:ascii="宋体" w:hAnsi="宋体" w:eastAsia="宋体" w:cs="宋体"/>
        </w:rPr>
        <w:t>免费。</w:t>
      </w:r>
    </w:p>
    <w:p w14:paraId="0D31A426">
      <w:pPr>
        <w:keepNext w:val="0"/>
        <w:keepLines w:val="0"/>
        <w:pageBreakBefore w:val="0"/>
        <w:widowControl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rPr>
      </w:pPr>
      <w:r>
        <w:rPr>
          <w:rFonts w:hint="eastAsia" w:ascii="宋体" w:hAnsi="宋体" w:eastAsia="宋体" w:cs="宋体"/>
        </w:rPr>
        <w:t>提示</w:t>
      </w:r>
      <w:r>
        <w:rPr>
          <w:rFonts w:hint="eastAsia" w:ascii="宋体" w:hAnsi="宋体" w:cs="宋体"/>
          <w:lang w:eastAsia="zh-CN"/>
        </w:rPr>
        <w:t>：</w:t>
      </w:r>
      <w:r>
        <w:rPr>
          <w:rFonts w:hint="eastAsia" w:ascii="宋体" w:hAnsi="宋体" w:eastAsia="宋体" w:cs="宋体"/>
        </w:rPr>
        <w:t>潜在供应商须按规定时间、地址获取磋商文件</w:t>
      </w:r>
      <w:r>
        <w:rPr>
          <w:rFonts w:hint="eastAsia" w:ascii="宋体" w:hAnsi="宋体" w:cs="宋体"/>
          <w:lang w:eastAsia="zh-CN"/>
        </w:rPr>
        <w:t>，</w:t>
      </w:r>
      <w:r>
        <w:rPr>
          <w:rFonts w:hint="eastAsia" w:ascii="宋体" w:hAnsi="宋体" w:eastAsia="宋体" w:cs="宋体"/>
        </w:rPr>
        <w:t>视为依法获取磋商文件。本次招标采用资格后审</w:t>
      </w:r>
      <w:r>
        <w:rPr>
          <w:rFonts w:hint="eastAsia" w:ascii="宋体" w:hAnsi="宋体" w:cs="宋体"/>
          <w:lang w:eastAsia="zh-CN"/>
        </w:rPr>
        <w:t>，</w:t>
      </w:r>
      <w:r>
        <w:rPr>
          <w:rFonts w:hint="eastAsia" w:ascii="宋体" w:hAnsi="宋体" w:eastAsia="宋体" w:cs="宋体"/>
        </w:rPr>
        <w:t>获取磋商文件的供应商不一定为合格的供应商。</w:t>
      </w:r>
    </w:p>
    <w:p w14:paraId="33953905">
      <w:pPr>
        <w:keepNext w:val="0"/>
        <w:keepLines w:val="0"/>
        <w:pageBreakBefore w:val="0"/>
        <w:widowControl w:val="0"/>
        <w:numPr>
          <w:ilvl w:val="255"/>
          <w:numId w:val="0"/>
        </w:numPr>
        <w:kinsoku/>
        <w:wordWrap/>
        <w:overflowPunct/>
        <w:topLinePunct w:val="0"/>
        <w:autoSpaceDE/>
        <w:autoSpaceDN/>
        <w:bidi w:val="0"/>
        <w:adjustRightInd/>
        <w:snapToGrid w:val="0"/>
        <w:spacing w:line="312" w:lineRule="auto"/>
        <w:ind w:firstLine="482" w:firstLineChars="200"/>
        <w:textAlignment w:val="auto"/>
        <w:outlineLvl w:val="1"/>
        <w:rPr>
          <w:rFonts w:hint="eastAsia" w:ascii="宋体" w:hAnsi="宋体" w:eastAsia="宋体" w:cs="宋体"/>
          <w:b/>
          <w:bCs/>
          <w:color w:val="auto"/>
        </w:rPr>
      </w:pPr>
      <w:bookmarkStart w:id="90" w:name="_Toc13621"/>
      <w:bookmarkStart w:id="91" w:name="_Toc22447"/>
      <w:r>
        <w:rPr>
          <w:rFonts w:hint="eastAsia" w:ascii="宋体" w:hAnsi="宋体" w:eastAsia="宋体" w:cs="宋体"/>
          <w:b/>
          <w:bCs/>
          <w:color w:val="auto"/>
        </w:rPr>
        <w:t>五、提交</w:t>
      </w:r>
      <w:r>
        <w:rPr>
          <w:rFonts w:hint="eastAsia" w:ascii="宋体" w:hAnsi="宋体" w:eastAsia="宋体" w:cs="宋体"/>
          <w:b/>
          <w:bCs/>
          <w:color w:val="auto"/>
          <w:lang w:val="en-US" w:eastAsia="zh-CN"/>
        </w:rPr>
        <w:t>磋商</w:t>
      </w:r>
      <w:r>
        <w:rPr>
          <w:rFonts w:hint="eastAsia" w:ascii="宋体" w:hAnsi="宋体" w:eastAsia="宋体" w:cs="宋体"/>
          <w:b/>
          <w:bCs/>
          <w:color w:val="auto"/>
        </w:rPr>
        <w:t>响应文件时间、开启时间和地址</w:t>
      </w:r>
      <w:bookmarkEnd w:id="90"/>
      <w:bookmarkEnd w:id="91"/>
    </w:p>
    <w:p w14:paraId="2B4A37A1">
      <w:pPr>
        <w:keepNext w:val="0"/>
        <w:keepLines w:val="0"/>
        <w:pageBreakBefore w:val="0"/>
        <w:widowControl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rPr>
      </w:pPr>
      <w:r>
        <w:rPr>
          <w:rFonts w:hint="eastAsia" w:ascii="宋体" w:hAnsi="宋体" w:eastAsia="宋体" w:cs="宋体"/>
        </w:rPr>
        <w:t>1.时间</w:t>
      </w:r>
      <w:r>
        <w:rPr>
          <w:rFonts w:hint="eastAsia" w:ascii="宋体" w:hAnsi="宋体" w:cs="宋体"/>
          <w:lang w:eastAsia="zh-CN"/>
        </w:rPr>
        <w:t>：2025</w:t>
      </w:r>
      <w:r>
        <w:rPr>
          <w:rFonts w:hint="eastAsia" w:ascii="宋体" w:hAnsi="宋体" w:eastAsia="宋体" w:cs="宋体"/>
        </w:rPr>
        <w:t>年</w:t>
      </w:r>
      <w:r>
        <w:rPr>
          <w:rFonts w:hint="eastAsia" w:ascii="宋体" w:hAnsi="宋体" w:cs="宋体"/>
          <w:lang w:val="en-US" w:eastAsia="zh-CN"/>
        </w:rPr>
        <w:t>4</w:t>
      </w:r>
      <w:r>
        <w:rPr>
          <w:rFonts w:hint="eastAsia" w:ascii="宋体" w:hAnsi="宋体" w:eastAsia="宋体" w:cs="宋体"/>
        </w:rPr>
        <w:t>月</w:t>
      </w:r>
      <w:r>
        <w:rPr>
          <w:rFonts w:hint="eastAsia" w:ascii="宋体" w:hAnsi="宋体" w:cs="宋体"/>
          <w:lang w:val="en-US" w:eastAsia="zh-CN"/>
        </w:rPr>
        <w:t>11</w:t>
      </w:r>
      <w:r>
        <w:rPr>
          <w:rFonts w:hint="eastAsia" w:ascii="宋体" w:hAnsi="宋体" w:eastAsia="宋体" w:cs="宋体"/>
        </w:rPr>
        <w:t>日</w:t>
      </w:r>
      <w:r>
        <w:rPr>
          <w:rFonts w:hint="eastAsia" w:ascii="宋体" w:hAnsi="宋体" w:cs="宋体"/>
          <w:lang w:val="en-US" w:eastAsia="zh-CN"/>
        </w:rPr>
        <w:t>09</w:t>
      </w:r>
      <w:r>
        <w:rPr>
          <w:rFonts w:hint="eastAsia" w:ascii="宋体" w:hAnsi="宋体" w:eastAsia="宋体" w:cs="宋体"/>
        </w:rPr>
        <w:t>:</w:t>
      </w:r>
      <w:r>
        <w:rPr>
          <w:rFonts w:hint="eastAsia" w:ascii="宋体" w:hAnsi="宋体" w:cs="宋体"/>
          <w:lang w:val="en-US" w:eastAsia="zh-CN"/>
        </w:rPr>
        <w:t>3</w:t>
      </w:r>
      <w:r>
        <w:rPr>
          <w:rFonts w:hint="eastAsia" w:ascii="宋体" w:hAnsi="宋体" w:eastAsia="宋体" w:cs="宋体"/>
        </w:rPr>
        <w:t>0时(北京时间)</w:t>
      </w:r>
      <w:r>
        <w:rPr>
          <w:rFonts w:hint="eastAsia" w:ascii="宋体" w:hAnsi="宋体" w:cs="宋体"/>
          <w:lang w:eastAsia="zh-CN"/>
        </w:rPr>
        <w:t>，</w:t>
      </w:r>
      <w:r>
        <w:rPr>
          <w:rFonts w:hint="eastAsia" w:ascii="宋体" w:hAnsi="宋体" w:eastAsia="宋体" w:cs="宋体"/>
        </w:rPr>
        <w:t>逾期送达的拒收。</w:t>
      </w:r>
    </w:p>
    <w:p w14:paraId="37420795">
      <w:pPr>
        <w:keepNext w:val="0"/>
        <w:keepLines w:val="0"/>
        <w:pageBreakBefore w:val="0"/>
        <w:tabs>
          <w:tab w:val="left" w:pos="0"/>
        </w:tabs>
        <w:kinsoku/>
        <w:wordWrap/>
        <w:overflowPunct/>
        <w:topLinePunct w:val="0"/>
        <w:autoSpaceDE/>
        <w:autoSpaceDN/>
        <w:bidi w:val="0"/>
        <w:adjustRightInd/>
        <w:snapToGrid w:val="0"/>
        <w:spacing w:line="312" w:lineRule="auto"/>
        <w:ind w:firstLine="0"/>
        <w:textAlignment w:val="auto"/>
        <w:outlineLvl w:val="1"/>
        <w:rPr>
          <w:rFonts w:hint="eastAsia" w:ascii="宋体" w:hAnsi="宋体" w:eastAsia="宋体" w:cs="宋体"/>
        </w:rPr>
      </w:pPr>
      <w:bookmarkStart w:id="92" w:name="_Toc144"/>
      <w:r>
        <w:rPr>
          <w:rFonts w:hint="eastAsia" w:ascii="宋体" w:hAnsi="宋体" w:eastAsia="宋体" w:cs="宋体"/>
        </w:rPr>
        <w:t>2.地址</w:t>
      </w:r>
      <w:r>
        <w:rPr>
          <w:rFonts w:hint="eastAsia" w:ascii="宋体" w:hAnsi="宋体" w:cs="宋体"/>
          <w:lang w:eastAsia="zh-CN"/>
        </w:rPr>
        <w:t>：龙游县小南海镇人民政府办公楼二楼会议室（龙游县小南海镇茶圩里村光明路29号）。</w:t>
      </w:r>
      <w:bookmarkEnd w:id="92"/>
    </w:p>
    <w:p w14:paraId="5322CAD2">
      <w:pPr>
        <w:keepNext w:val="0"/>
        <w:keepLines w:val="0"/>
        <w:pageBreakBefore w:val="0"/>
        <w:widowControl w:val="0"/>
        <w:numPr>
          <w:ilvl w:val="255"/>
          <w:numId w:val="0"/>
        </w:numPr>
        <w:kinsoku/>
        <w:wordWrap/>
        <w:overflowPunct/>
        <w:topLinePunct w:val="0"/>
        <w:autoSpaceDE/>
        <w:autoSpaceDN/>
        <w:bidi w:val="0"/>
        <w:adjustRightInd/>
        <w:snapToGrid w:val="0"/>
        <w:spacing w:line="312" w:lineRule="auto"/>
        <w:ind w:firstLine="482" w:firstLineChars="200"/>
        <w:textAlignment w:val="auto"/>
        <w:outlineLvl w:val="1"/>
        <w:rPr>
          <w:rFonts w:hint="eastAsia" w:ascii="宋体" w:hAnsi="宋体" w:eastAsia="宋体" w:cs="宋体"/>
          <w:b/>
          <w:bCs/>
          <w:color w:val="auto"/>
        </w:rPr>
      </w:pPr>
      <w:bookmarkStart w:id="93" w:name="_Toc7767"/>
      <w:bookmarkStart w:id="94" w:name="_Toc8484"/>
      <w:r>
        <w:rPr>
          <w:rFonts w:hint="eastAsia" w:ascii="宋体" w:hAnsi="宋体" w:eastAsia="宋体" w:cs="宋体"/>
          <w:b/>
          <w:bCs/>
          <w:color w:val="auto"/>
        </w:rPr>
        <w:t>六、公告期限</w:t>
      </w:r>
      <w:bookmarkEnd w:id="93"/>
      <w:bookmarkEnd w:id="94"/>
    </w:p>
    <w:p w14:paraId="552D82E6">
      <w:pPr>
        <w:keepNext w:val="0"/>
        <w:keepLines w:val="0"/>
        <w:pageBreakBefore w:val="0"/>
        <w:widowControl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rPr>
      </w:pPr>
      <w:r>
        <w:rPr>
          <w:rFonts w:hint="eastAsia" w:ascii="宋体" w:hAnsi="宋体" w:eastAsia="宋体" w:cs="宋体"/>
        </w:rPr>
        <w:t>自本磋商公告发布之日起3个工作日。</w:t>
      </w:r>
    </w:p>
    <w:p w14:paraId="16B6B331">
      <w:pPr>
        <w:keepNext w:val="0"/>
        <w:keepLines w:val="0"/>
        <w:pageBreakBefore w:val="0"/>
        <w:widowControl w:val="0"/>
        <w:numPr>
          <w:ilvl w:val="255"/>
          <w:numId w:val="0"/>
        </w:numPr>
        <w:kinsoku/>
        <w:wordWrap/>
        <w:overflowPunct/>
        <w:topLinePunct w:val="0"/>
        <w:autoSpaceDE/>
        <w:autoSpaceDN/>
        <w:bidi w:val="0"/>
        <w:adjustRightInd/>
        <w:snapToGrid w:val="0"/>
        <w:spacing w:line="312" w:lineRule="auto"/>
        <w:ind w:firstLine="482" w:firstLineChars="200"/>
        <w:textAlignment w:val="auto"/>
        <w:outlineLvl w:val="1"/>
        <w:rPr>
          <w:rFonts w:hint="eastAsia" w:ascii="宋体" w:hAnsi="宋体" w:eastAsia="宋体" w:cs="宋体"/>
          <w:b/>
          <w:bCs/>
          <w:color w:val="auto"/>
        </w:rPr>
      </w:pPr>
      <w:bookmarkStart w:id="95" w:name="_Toc26987"/>
      <w:bookmarkStart w:id="96" w:name="_Toc17403"/>
      <w:r>
        <w:rPr>
          <w:rFonts w:hint="eastAsia" w:ascii="宋体" w:hAnsi="宋体" w:eastAsia="宋体" w:cs="宋体"/>
          <w:b/>
          <w:bCs/>
          <w:color w:val="auto"/>
        </w:rPr>
        <w:t>七、其他补充事宜</w:t>
      </w:r>
      <w:bookmarkEnd w:id="95"/>
      <w:bookmarkEnd w:id="96"/>
    </w:p>
    <w:p w14:paraId="321C41A2">
      <w:pPr>
        <w:keepNext w:val="0"/>
        <w:keepLines w:val="0"/>
        <w:pageBreakBefore w:val="0"/>
        <w:widowControl w:val="0"/>
        <w:tabs>
          <w:tab w:val="left" w:pos="567"/>
        </w:tabs>
        <w:kinsoku/>
        <w:wordWrap/>
        <w:overflowPunct/>
        <w:topLinePunct w:val="0"/>
        <w:autoSpaceDE/>
        <w:autoSpaceDN/>
        <w:bidi w:val="0"/>
        <w:adjustRightInd/>
        <w:snapToGrid w:val="0"/>
        <w:spacing w:line="312" w:lineRule="auto"/>
        <w:ind w:left="0" w:leftChars="0" w:firstLine="480" w:firstLineChars="200"/>
        <w:textAlignment w:val="auto"/>
        <w:rPr>
          <w:rFonts w:hint="eastAsia" w:ascii="宋体" w:hAnsi="宋体" w:eastAsia="宋体" w:cs="宋体"/>
          <w:i w:val="0"/>
          <w:iCs w:val="0"/>
          <w:caps w:val="0"/>
          <w:color w:val="auto"/>
          <w:spacing w:val="0"/>
          <w:sz w:val="24"/>
          <w:szCs w:val="24"/>
          <w:highlight w:val="none"/>
        </w:rPr>
      </w:pPr>
      <w:bookmarkStart w:id="97" w:name="_Toc12664"/>
      <w:bookmarkStart w:id="98" w:name="_Toc1289"/>
      <w:bookmarkStart w:id="99" w:name="_Toc20308"/>
      <w:bookmarkStart w:id="100" w:name="_Toc14089"/>
      <w:bookmarkStart w:id="101" w:name="_Toc27751"/>
      <w:r>
        <w:rPr>
          <w:rFonts w:hint="eastAsia" w:ascii="宋体" w:hAnsi="宋体" w:eastAsia="宋体" w:cs="宋体"/>
          <w:i w:val="0"/>
          <w:iCs w:val="0"/>
          <w:caps w:val="0"/>
          <w:color w:val="auto"/>
          <w:spacing w:val="0"/>
          <w:sz w:val="24"/>
          <w:szCs w:val="24"/>
          <w:highlight w:val="none"/>
        </w:rPr>
        <w:t>潜在</w:t>
      </w:r>
      <w:r>
        <w:rPr>
          <w:rFonts w:hint="eastAsia" w:ascii="宋体" w:hAnsi="宋体" w:eastAsia="宋体" w:cs="宋体"/>
          <w:i w:val="0"/>
          <w:iCs w:val="0"/>
          <w:caps w:val="0"/>
          <w:color w:val="auto"/>
          <w:spacing w:val="0"/>
          <w:sz w:val="24"/>
          <w:szCs w:val="24"/>
          <w:highlight w:val="none"/>
          <w:lang w:eastAsia="zh-CN"/>
        </w:rPr>
        <w:t>供应商</w:t>
      </w:r>
      <w:r>
        <w:rPr>
          <w:rFonts w:hint="eastAsia" w:ascii="宋体" w:hAnsi="宋体" w:eastAsia="宋体" w:cs="宋体"/>
          <w:i w:val="0"/>
          <w:iCs w:val="0"/>
          <w:caps w:val="0"/>
          <w:color w:val="auto"/>
          <w:spacing w:val="0"/>
          <w:sz w:val="24"/>
          <w:szCs w:val="24"/>
          <w:highlight w:val="none"/>
        </w:rPr>
        <w:t>对</w:t>
      </w:r>
      <w:r>
        <w:rPr>
          <w:rFonts w:hint="eastAsia" w:ascii="宋体" w:hAnsi="宋体" w:cs="宋体"/>
          <w:i w:val="0"/>
          <w:iCs w:val="0"/>
          <w:caps w:val="0"/>
          <w:color w:val="auto"/>
          <w:spacing w:val="0"/>
          <w:sz w:val="24"/>
          <w:szCs w:val="24"/>
          <w:highlight w:val="none"/>
          <w:lang w:eastAsia="zh-CN"/>
        </w:rPr>
        <w:t>磋商公告</w:t>
      </w:r>
      <w:r>
        <w:rPr>
          <w:rFonts w:hint="eastAsia" w:ascii="宋体" w:hAnsi="宋体" w:eastAsia="宋体" w:cs="宋体"/>
          <w:i w:val="0"/>
          <w:iCs w:val="0"/>
          <w:caps w:val="0"/>
          <w:color w:val="auto"/>
          <w:spacing w:val="0"/>
          <w:sz w:val="24"/>
          <w:szCs w:val="24"/>
          <w:highlight w:val="none"/>
        </w:rPr>
        <w:t>、</w:t>
      </w:r>
      <w:r>
        <w:rPr>
          <w:rFonts w:hint="eastAsia" w:ascii="宋体" w:hAnsi="宋体" w:cs="宋体"/>
          <w:i w:val="0"/>
          <w:iCs w:val="0"/>
          <w:caps w:val="0"/>
          <w:color w:val="auto"/>
          <w:spacing w:val="0"/>
          <w:sz w:val="24"/>
          <w:szCs w:val="24"/>
          <w:highlight w:val="none"/>
          <w:lang w:eastAsia="zh-CN"/>
        </w:rPr>
        <w:t>磋商文件</w:t>
      </w:r>
      <w:r>
        <w:rPr>
          <w:rFonts w:hint="eastAsia" w:ascii="宋体" w:hAnsi="宋体" w:eastAsia="宋体" w:cs="宋体"/>
          <w:i w:val="0"/>
          <w:iCs w:val="0"/>
          <w:caps w:val="0"/>
          <w:color w:val="auto"/>
          <w:spacing w:val="0"/>
          <w:sz w:val="24"/>
          <w:szCs w:val="24"/>
          <w:highlight w:val="none"/>
        </w:rPr>
        <w:t>有疑问的，在</w:t>
      </w:r>
      <w:r>
        <w:rPr>
          <w:rFonts w:hint="eastAsia" w:ascii="宋体" w:hAnsi="宋体" w:cs="宋体"/>
          <w:i w:val="0"/>
          <w:iCs w:val="0"/>
          <w:caps w:val="0"/>
          <w:color w:val="auto"/>
          <w:spacing w:val="0"/>
          <w:sz w:val="24"/>
          <w:szCs w:val="24"/>
          <w:highlight w:val="none"/>
          <w:lang w:eastAsia="zh-CN"/>
        </w:rPr>
        <w:t>2025</w:t>
      </w:r>
      <w:r>
        <w:rPr>
          <w:rFonts w:hint="eastAsia" w:ascii="宋体" w:hAnsi="宋体" w:eastAsia="宋体" w:cs="宋体"/>
          <w:i w:val="0"/>
          <w:iCs w:val="0"/>
          <w:caps w:val="0"/>
          <w:color w:val="auto"/>
          <w:spacing w:val="0"/>
          <w:sz w:val="24"/>
          <w:szCs w:val="24"/>
          <w:highlight w:val="none"/>
        </w:rPr>
        <w:t>年</w:t>
      </w:r>
      <w:r>
        <w:rPr>
          <w:rFonts w:hint="eastAsia" w:ascii="宋体" w:hAnsi="宋体" w:cs="宋体"/>
          <w:i w:val="0"/>
          <w:iCs w:val="0"/>
          <w:caps w:val="0"/>
          <w:color w:val="auto"/>
          <w:spacing w:val="0"/>
          <w:sz w:val="24"/>
          <w:szCs w:val="24"/>
          <w:highlight w:val="none"/>
          <w:lang w:val="en-US" w:eastAsia="zh-CN"/>
        </w:rPr>
        <w:t>4</w:t>
      </w:r>
      <w:r>
        <w:rPr>
          <w:rFonts w:hint="eastAsia" w:ascii="宋体" w:hAnsi="宋体" w:eastAsia="宋体" w:cs="宋体"/>
          <w:i w:val="0"/>
          <w:iCs w:val="0"/>
          <w:caps w:val="0"/>
          <w:color w:val="auto"/>
          <w:spacing w:val="0"/>
          <w:sz w:val="24"/>
          <w:szCs w:val="24"/>
          <w:highlight w:val="none"/>
        </w:rPr>
        <w:t>月</w:t>
      </w:r>
      <w:r>
        <w:rPr>
          <w:rFonts w:hint="eastAsia" w:ascii="宋体" w:hAnsi="宋体" w:cs="宋体"/>
          <w:i w:val="0"/>
          <w:iCs w:val="0"/>
          <w:caps w:val="0"/>
          <w:color w:val="auto"/>
          <w:spacing w:val="0"/>
          <w:sz w:val="24"/>
          <w:szCs w:val="24"/>
          <w:highlight w:val="none"/>
          <w:lang w:val="en-US" w:eastAsia="zh-CN"/>
        </w:rPr>
        <w:t>3</w:t>
      </w:r>
      <w:r>
        <w:rPr>
          <w:rFonts w:hint="eastAsia" w:ascii="宋体" w:hAnsi="宋体" w:eastAsia="宋体" w:cs="宋体"/>
          <w:i w:val="0"/>
          <w:iCs w:val="0"/>
          <w:caps w:val="0"/>
          <w:color w:val="auto"/>
          <w:spacing w:val="0"/>
          <w:sz w:val="24"/>
          <w:szCs w:val="24"/>
          <w:highlight w:val="none"/>
        </w:rPr>
        <w:t>日1</w:t>
      </w:r>
      <w:r>
        <w:rPr>
          <w:rFonts w:hint="eastAsia" w:ascii="宋体" w:hAnsi="宋体" w:eastAsia="宋体" w:cs="宋体"/>
          <w:i w:val="0"/>
          <w:iCs w:val="0"/>
          <w:caps w:val="0"/>
          <w:color w:val="auto"/>
          <w:spacing w:val="0"/>
          <w:sz w:val="24"/>
          <w:szCs w:val="24"/>
          <w:highlight w:val="none"/>
          <w:lang w:val="en-US" w:eastAsia="zh-CN"/>
        </w:rPr>
        <w:t>7</w:t>
      </w:r>
      <w:r>
        <w:rPr>
          <w:rFonts w:hint="eastAsia" w:ascii="宋体" w:hAnsi="宋体" w:eastAsia="宋体" w:cs="宋体"/>
          <w:i w:val="0"/>
          <w:iCs w:val="0"/>
          <w:caps w:val="0"/>
          <w:color w:val="auto"/>
          <w:spacing w:val="0"/>
          <w:sz w:val="24"/>
          <w:szCs w:val="24"/>
          <w:highlight w:val="none"/>
        </w:rPr>
        <w:t>:00时前以书面形式向采购人和采购代理机构提出询问，逾期提出不予受理。如需修改或补充的，采购代理机构以补充公告形式于</w:t>
      </w:r>
      <w:r>
        <w:rPr>
          <w:rFonts w:hint="eastAsia" w:ascii="宋体" w:hAnsi="宋体" w:cs="宋体"/>
          <w:i w:val="0"/>
          <w:iCs w:val="0"/>
          <w:caps w:val="0"/>
          <w:color w:val="auto"/>
          <w:spacing w:val="0"/>
          <w:sz w:val="24"/>
          <w:szCs w:val="24"/>
          <w:highlight w:val="none"/>
          <w:lang w:eastAsia="zh-CN"/>
        </w:rPr>
        <w:t>2025</w:t>
      </w:r>
      <w:r>
        <w:rPr>
          <w:rFonts w:hint="eastAsia" w:ascii="宋体" w:hAnsi="宋体" w:eastAsia="宋体" w:cs="宋体"/>
          <w:i w:val="0"/>
          <w:iCs w:val="0"/>
          <w:caps w:val="0"/>
          <w:color w:val="auto"/>
          <w:spacing w:val="0"/>
          <w:sz w:val="24"/>
          <w:szCs w:val="24"/>
          <w:highlight w:val="none"/>
        </w:rPr>
        <w:t>年</w:t>
      </w:r>
      <w:r>
        <w:rPr>
          <w:rFonts w:hint="eastAsia" w:ascii="宋体" w:hAnsi="宋体" w:cs="宋体"/>
          <w:i w:val="0"/>
          <w:iCs w:val="0"/>
          <w:caps w:val="0"/>
          <w:color w:val="auto"/>
          <w:spacing w:val="0"/>
          <w:sz w:val="24"/>
          <w:szCs w:val="24"/>
          <w:highlight w:val="none"/>
          <w:lang w:val="en-US" w:eastAsia="zh-CN"/>
        </w:rPr>
        <w:t>4月4</w:t>
      </w:r>
      <w:r>
        <w:rPr>
          <w:rFonts w:hint="eastAsia" w:ascii="宋体" w:hAnsi="宋体" w:eastAsia="宋体" w:cs="宋体"/>
          <w:i w:val="0"/>
          <w:iCs w:val="0"/>
          <w:caps w:val="0"/>
          <w:color w:val="auto"/>
          <w:spacing w:val="0"/>
          <w:sz w:val="24"/>
          <w:szCs w:val="24"/>
          <w:highlight w:val="none"/>
        </w:rPr>
        <w:t>日17:00时前在浙江政府采购网</w:t>
      </w:r>
      <w:r>
        <w:rPr>
          <w:rFonts w:hint="eastAsia" w:ascii="宋体" w:hAnsi="宋体" w:eastAsia="宋体" w:cs="宋体"/>
          <w:i w:val="0"/>
          <w:iCs w:val="0"/>
          <w:caps w:val="0"/>
          <w:color w:val="auto"/>
          <w:spacing w:val="0"/>
          <w:sz w:val="24"/>
          <w:szCs w:val="24"/>
          <w:highlight w:val="none"/>
          <w:lang w:eastAsia="zh-CN"/>
        </w:rPr>
        <w:t>（</w:t>
      </w:r>
      <w:r>
        <w:rPr>
          <w:rFonts w:hint="eastAsia" w:ascii="宋体" w:hAnsi="宋体" w:eastAsia="宋体" w:cs="宋体"/>
          <w:i w:val="0"/>
          <w:iCs w:val="0"/>
          <w:caps w:val="0"/>
          <w:color w:val="auto"/>
          <w:spacing w:val="0"/>
          <w:sz w:val="24"/>
          <w:szCs w:val="24"/>
          <w:highlight w:val="none"/>
          <w:lang w:val="en-US" w:eastAsia="zh-CN"/>
        </w:rPr>
        <w:t>其他非政府</w:t>
      </w:r>
      <w:r>
        <w:rPr>
          <w:rFonts w:hint="eastAsia" w:ascii="宋体" w:hAnsi="宋体" w:cs="宋体"/>
          <w:i w:val="0"/>
          <w:iCs w:val="0"/>
          <w:caps w:val="0"/>
          <w:color w:val="auto"/>
          <w:spacing w:val="0"/>
          <w:sz w:val="24"/>
          <w:szCs w:val="24"/>
          <w:highlight w:val="none"/>
          <w:lang w:val="en-US" w:eastAsia="zh-CN"/>
        </w:rPr>
        <w:t>采购公告</w:t>
      </w:r>
      <w:r>
        <w:rPr>
          <w:rFonts w:hint="eastAsia" w:ascii="宋体" w:hAnsi="宋体" w:eastAsia="宋体" w:cs="宋体"/>
          <w:i w:val="0"/>
          <w:iCs w:val="0"/>
          <w:caps w:val="0"/>
          <w:color w:val="auto"/>
          <w:spacing w:val="0"/>
          <w:sz w:val="24"/>
          <w:szCs w:val="24"/>
          <w:highlight w:val="none"/>
          <w:lang w:val="en-US" w:eastAsia="zh-CN"/>
        </w:rPr>
        <w:t>栏</w:t>
      </w:r>
      <w:r>
        <w:rPr>
          <w:rFonts w:hint="eastAsia" w:ascii="宋体" w:hAnsi="宋体" w:eastAsia="宋体" w:cs="宋体"/>
          <w:i w:val="0"/>
          <w:iCs w:val="0"/>
          <w:caps w:val="0"/>
          <w:color w:val="auto"/>
          <w:spacing w:val="0"/>
          <w:sz w:val="24"/>
          <w:szCs w:val="24"/>
          <w:highlight w:val="none"/>
          <w:lang w:eastAsia="zh-CN"/>
        </w:rPr>
        <w:t>）</w:t>
      </w:r>
      <w:r>
        <w:rPr>
          <w:rFonts w:hint="eastAsia" w:ascii="宋体" w:hAnsi="宋体" w:eastAsia="宋体" w:cs="宋体"/>
          <w:i w:val="0"/>
          <w:iCs w:val="0"/>
          <w:caps w:val="0"/>
          <w:color w:val="auto"/>
          <w:spacing w:val="0"/>
          <w:sz w:val="24"/>
          <w:szCs w:val="24"/>
          <w:highlight w:val="none"/>
        </w:rPr>
        <w:t>公告。</w:t>
      </w:r>
    </w:p>
    <w:bookmarkEnd w:id="97"/>
    <w:bookmarkEnd w:id="98"/>
    <w:bookmarkEnd w:id="99"/>
    <w:bookmarkEnd w:id="100"/>
    <w:bookmarkEnd w:id="101"/>
    <w:p w14:paraId="23928654">
      <w:pPr>
        <w:keepNext w:val="0"/>
        <w:keepLines w:val="0"/>
        <w:pageBreakBefore w:val="0"/>
        <w:widowControl w:val="0"/>
        <w:numPr>
          <w:ilvl w:val="255"/>
          <w:numId w:val="0"/>
        </w:numPr>
        <w:kinsoku/>
        <w:wordWrap/>
        <w:overflowPunct/>
        <w:topLinePunct w:val="0"/>
        <w:autoSpaceDE/>
        <w:autoSpaceDN/>
        <w:bidi w:val="0"/>
        <w:adjustRightInd/>
        <w:snapToGrid w:val="0"/>
        <w:spacing w:line="312" w:lineRule="auto"/>
        <w:ind w:left="0" w:leftChars="0" w:firstLine="482" w:firstLineChars="200"/>
        <w:textAlignment w:val="auto"/>
        <w:outlineLvl w:val="1"/>
        <w:rPr>
          <w:rFonts w:hint="eastAsia" w:ascii="宋体" w:hAnsi="宋体" w:eastAsia="宋体" w:cs="宋体"/>
          <w:b/>
          <w:bCs/>
          <w:color w:val="auto"/>
          <w:sz w:val="24"/>
          <w:szCs w:val="24"/>
          <w:lang w:val="zh-CN" w:eastAsia="zh-CN"/>
        </w:rPr>
      </w:pPr>
      <w:bookmarkStart w:id="102" w:name="_Toc30108"/>
      <w:bookmarkStart w:id="103" w:name="_Toc11525"/>
      <w:bookmarkStart w:id="104" w:name="_Toc28457"/>
      <w:bookmarkStart w:id="105" w:name="_Toc16092"/>
      <w:bookmarkStart w:id="106" w:name="_Toc20405"/>
      <w:bookmarkStart w:id="107" w:name="_Toc28134"/>
      <w:bookmarkStart w:id="108" w:name="_Toc16026"/>
      <w:bookmarkStart w:id="109" w:name="_Toc11334"/>
      <w:bookmarkStart w:id="110" w:name="_Toc20184"/>
      <w:bookmarkStart w:id="111" w:name="_Toc1089"/>
      <w:r>
        <w:rPr>
          <w:rFonts w:hint="eastAsia" w:ascii="宋体" w:hAnsi="宋体" w:eastAsia="宋体" w:cs="宋体"/>
          <w:b/>
          <w:bCs/>
          <w:color w:val="auto"/>
          <w:sz w:val="24"/>
          <w:szCs w:val="24"/>
          <w:lang w:val="en-US" w:eastAsia="zh-CN"/>
        </w:rPr>
        <w:t>八、磋商</w:t>
      </w:r>
      <w:r>
        <w:rPr>
          <w:rFonts w:hint="eastAsia" w:ascii="宋体" w:hAnsi="宋体" w:eastAsia="宋体" w:cs="宋体"/>
          <w:b/>
          <w:bCs/>
          <w:color w:val="auto"/>
          <w:sz w:val="24"/>
          <w:szCs w:val="24"/>
          <w:lang w:val="zh-CN" w:eastAsia="zh-CN"/>
        </w:rPr>
        <w:t>文件发布及下载地址</w:t>
      </w:r>
      <w:bookmarkEnd w:id="102"/>
      <w:bookmarkEnd w:id="103"/>
      <w:bookmarkEnd w:id="104"/>
      <w:bookmarkEnd w:id="105"/>
      <w:bookmarkEnd w:id="106"/>
      <w:bookmarkEnd w:id="107"/>
      <w:bookmarkEnd w:id="108"/>
      <w:bookmarkEnd w:id="109"/>
      <w:bookmarkEnd w:id="110"/>
      <w:bookmarkEnd w:id="111"/>
    </w:p>
    <w:p w14:paraId="6424721E">
      <w:pPr>
        <w:keepNext w:val="0"/>
        <w:keepLines w:val="0"/>
        <w:pageBreakBefore w:val="0"/>
        <w:widowControl w:val="0"/>
        <w:numPr>
          <w:ilvl w:val="0"/>
          <w:numId w:val="0"/>
        </w:numPr>
        <w:kinsoku/>
        <w:wordWrap/>
        <w:overflowPunct/>
        <w:topLinePunct w:val="0"/>
        <w:autoSpaceDE/>
        <w:autoSpaceDN/>
        <w:bidi w:val="0"/>
        <w:adjustRightInd/>
        <w:snapToGrid w:val="0"/>
        <w:spacing w:line="312" w:lineRule="auto"/>
        <w:ind w:left="0" w:leftChars="0" w:firstLine="480" w:firstLineChars="200"/>
        <w:textAlignment w:val="auto"/>
        <w:outlineLvl w:val="1"/>
        <w:rPr>
          <w:rFonts w:hint="eastAsia" w:ascii="宋体" w:hAnsi="宋体" w:eastAsia="宋体" w:cs="宋体"/>
          <w:snapToGrid/>
          <w:color w:val="auto"/>
          <w:kern w:val="2"/>
          <w:sz w:val="24"/>
          <w:szCs w:val="24"/>
          <w:highlight w:val="none"/>
          <w:lang w:val="en-US" w:eastAsia="zh-CN" w:bidi="ar-SA"/>
        </w:rPr>
      </w:pPr>
      <w:bookmarkStart w:id="112" w:name="_Toc1840"/>
      <w:bookmarkStart w:id="113" w:name="_Toc3481"/>
      <w:bookmarkStart w:id="114" w:name="_Toc15036"/>
      <w:bookmarkStart w:id="115" w:name="_Toc9899"/>
      <w:bookmarkStart w:id="116" w:name="_Toc12455"/>
      <w:bookmarkStart w:id="117" w:name="_Toc5564"/>
      <w:bookmarkStart w:id="118" w:name="_Toc27759"/>
      <w:bookmarkStart w:id="119" w:name="_Toc22361"/>
      <w:r>
        <w:rPr>
          <w:rFonts w:hint="eastAsia" w:ascii="宋体" w:hAnsi="宋体" w:eastAsia="宋体" w:cs="宋体"/>
          <w:snapToGrid/>
          <w:color w:val="auto"/>
          <w:kern w:val="2"/>
          <w:sz w:val="24"/>
          <w:szCs w:val="24"/>
          <w:highlight w:val="none"/>
          <w:lang w:val="en-US" w:eastAsia="zh-CN" w:bidi="ar-SA"/>
        </w:rPr>
        <w:t>浙江政府采购网（</w:t>
      </w:r>
      <w:r>
        <w:rPr>
          <w:rFonts w:hint="eastAsia" w:ascii="宋体" w:hAnsi="宋体" w:eastAsia="宋体" w:cs="宋体"/>
          <w:snapToGrid/>
          <w:color w:val="auto"/>
          <w:kern w:val="2"/>
          <w:sz w:val="24"/>
          <w:szCs w:val="24"/>
          <w:highlight w:val="none"/>
          <w:lang w:val="en-US" w:eastAsia="zh-CN" w:bidi="ar-SA"/>
        </w:rPr>
        <w:fldChar w:fldCharType="begin"/>
      </w:r>
      <w:r>
        <w:rPr>
          <w:rFonts w:hint="eastAsia" w:ascii="宋体" w:hAnsi="宋体" w:eastAsia="宋体" w:cs="宋体"/>
          <w:snapToGrid/>
          <w:color w:val="auto"/>
          <w:kern w:val="2"/>
          <w:sz w:val="24"/>
          <w:szCs w:val="24"/>
          <w:highlight w:val="none"/>
          <w:lang w:val="en-US" w:eastAsia="zh-CN" w:bidi="ar-SA"/>
        </w:rPr>
        <w:instrText xml:space="preserve"> HYPERLINK "http://www.zjzfcg.gov.cn" </w:instrText>
      </w:r>
      <w:r>
        <w:rPr>
          <w:rFonts w:hint="eastAsia" w:ascii="宋体" w:hAnsi="宋体" w:eastAsia="宋体" w:cs="宋体"/>
          <w:snapToGrid/>
          <w:color w:val="auto"/>
          <w:kern w:val="2"/>
          <w:sz w:val="24"/>
          <w:szCs w:val="24"/>
          <w:highlight w:val="none"/>
          <w:lang w:val="en-US" w:eastAsia="zh-CN" w:bidi="ar-SA"/>
        </w:rPr>
        <w:fldChar w:fldCharType="separate"/>
      </w:r>
      <w:r>
        <w:rPr>
          <w:rFonts w:hint="eastAsia" w:ascii="宋体" w:hAnsi="宋体" w:eastAsia="宋体" w:cs="宋体"/>
          <w:snapToGrid/>
          <w:color w:val="auto"/>
          <w:kern w:val="2"/>
          <w:sz w:val="24"/>
          <w:szCs w:val="24"/>
          <w:highlight w:val="none"/>
          <w:lang w:val="en-US" w:eastAsia="zh-CN" w:bidi="ar-SA"/>
        </w:rPr>
        <w:t>http://zfcg.czt.zj.gov.cn/</w:t>
      </w:r>
      <w:r>
        <w:rPr>
          <w:rFonts w:hint="eastAsia" w:ascii="宋体" w:hAnsi="宋体" w:eastAsia="宋体" w:cs="宋体"/>
          <w:snapToGrid/>
          <w:color w:val="auto"/>
          <w:kern w:val="2"/>
          <w:sz w:val="24"/>
          <w:szCs w:val="24"/>
          <w:highlight w:val="none"/>
          <w:lang w:val="en-US" w:eastAsia="zh-CN" w:bidi="ar-SA"/>
        </w:rPr>
        <w:fldChar w:fldCharType="end"/>
      </w:r>
      <w:r>
        <w:rPr>
          <w:rFonts w:hint="eastAsia" w:ascii="宋体" w:hAnsi="宋体" w:eastAsia="宋体" w:cs="宋体"/>
          <w:snapToGrid/>
          <w:color w:val="auto"/>
          <w:kern w:val="2"/>
          <w:sz w:val="24"/>
          <w:szCs w:val="24"/>
          <w:highlight w:val="none"/>
          <w:lang w:val="en-US" w:eastAsia="zh-CN" w:bidi="ar-SA"/>
        </w:rPr>
        <w:t>）</w:t>
      </w:r>
      <w:bookmarkEnd w:id="112"/>
      <w:bookmarkEnd w:id="113"/>
      <w:bookmarkEnd w:id="114"/>
      <w:bookmarkEnd w:id="115"/>
      <w:bookmarkEnd w:id="116"/>
      <w:r>
        <w:rPr>
          <w:rFonts w:hint="eastAsia" w:ascii="宋体" w:hAnsi="宋体" w:eastAsia="宋体" w:cs="宋体"/>
          <w:i w:val="0"/>
          <w:iCs w:val="0"/>
          <w:caps w:val="0"/>
          <w:color w:val="auto"/>
          <w:spacing w:val="0"/>
          <w:sz w:val="24"/>
          <w:szCs w:val="24"/>
          <w:highlight w:val="none"/>
          <w:lang w:eastAsia="zh-CN"/>
        </w:rPr>
        <w:t>（</w:t>
      </w:r>
      <w:r>
        <w:rPr>
          <w:rFonts w:hint="eastAsia" w:ascii="宋体" w:hAnsi="宋体" w:eastAsia="宋体" w:cs="宋体"/>
          <w:i w:val="0"/>
          <w:iCs w:val="0"/>
          <w:caps w:val="0"/>
          <w:color w:val="auto"/>
          <w:spacing w:val="0"/>
          <w:sz w:val="24"/>
          <w:szCs w:val="24"/>
          <w:highlight w:val="none"/>
          <w:lang w:val="en-US" w:eastAsia="zh-CN"/>
        </w:rPr>
        <w:t>其他非政府</w:t>
      </w:r>
      <w:r>
        <w:rPr>
          <w:rFonts w:hint="eastAsia" w:ascii="宋体" w:hAnsi="宋体" w:cs="宋体"/>
          <w:i w:val="0"/>
          <w:iCs w:val="0"/>
          <w:caps w:val="0"/>
          <w:color w:val="auto"/>
          <w:spacing w:val="0"/>
          <w:sz w:val="24"/>
          <w:szCs w:val="24"/>
          <w:highlight w:val="none"/>
          <w:lang w:val="en-US" w:eastAsia="zh-CN"/>
        </w:rPr>
        <w:t>采购公告</w:t>
      </w:r>
      <w:r>
        <w:rPr>
          <w:rFonts w:hint="eastAsia" w:ascii="宋体" w:hAnsi="宋体" w:eastAsia="宋体" w:cs="宋体"/>
          <w:i w:val="0"/>
          <w:iCs w:val="0"/>
          <w:caps w:val="0"/>
          <w:color w:val="auto"/>
          <w:spacing w:val="0"/>
          <w:sz w:val="24"/>
          <w:szCs w:val="24"/>
          <w:highlight w:val="none"/>
          <w:lang w:eastAsia="zh-CN"/>
        </w:rPr>
        <w:t>）</w:t>
      </w:r>
      <w:bookmarkEnd w:id="117"/>
      <w:bookmarkEnd w:id="118"/>
      <w:bookmarkEnd w:id="119"/>
    </w:p>
    <w:p w14:paraId="74B418D6">
      <w:pPr>
        <w:keepNext w:val="0"/>
        <w:keepLines w:val="0"/>
        <w:pageBreakBefore w:val="0"/>
        <w:widowControl w:val="0"/>
        <w:numPr>
          <w:ilvl w:val="255"/>
          <w:numId w:val="0"/>
        </w:numPr>
        <w:kinsoku/>
        <w:wordWrap/>
        <w:overflowPunct/>
        <w:topLinePunct w:val="0"/>
        <w:autoSpaceDE/>
        <w:autoSpaceDN/>
        <w:bidi w:val="0"/>
        <w:adjustRightInd/>
        <w:snapToGrid w:val="0"/>
        <w:spacing w:line="312" w:lineRule="auto"/>
        <w:ind w:firstLine="482" w:firstLineChars="200"/>
        <w:textAlignment w:val="auto"/>
        <w:outlineLvl w:val="1"/>
        <w:rPr>
          <w:rFonts w:hint="eastAsia" w:ascii="宋体" w:hAnsi="宋体" w:eastAsia="宋体" w:cs="宋体"/>
          <w:b/>
          <w:bCs/>
          <w:color w:val="auto"/>
        </w:rPr>
      </w:pPr>
      <w:bookmarkStart w:id="120" w:name="_Toc16072"/>
      <w:r>
        <w:rPr>
          <w:rFonts w:hint="eastAsia" w:ascii="宋体" w:hAnsi="宋体" w:cs="宋体"/>
          <w:b/>
          <w:bCs/>
          <w:color w:val="auto"/>
          <w:lang w:val="en-US" w:eastAsia="zh-CN"/>
        </w:rPr>
        <w:t>九</w:t>
      </w:r>
      <w:r>
        <w:rPr>
          <w:rFonts w:hint="eastAsia" w:ascii="宋体" w:hAnsi="宋体" w:eastAsia="宋体" w:cs="宋体"/>
          <w:b/>
          <w:bCs/>
          <w:color w:val="auto"/>
        </w:rPr>
        <w:t>、对本次采购提出询问</w:t>
      </w:r>
      <w:r>
        <w:rPr>
          <w:rFonts w:hint="eastAsia" w:ascii="宋体" w:hAnsi="宋体" w:cs="宋体"/>
          <w:b/>
          <w:bCs/>
          <w:color w:val="auto"/>
          <w:lang w:eastAsia="zh-CN"/>
        </w:rPr>
        <w:t>，</w:t>
      </w:r>
      <w:r>
        <w:rPr>
          <w:rFonts w:hint="eastAsia" w:ascii="宋体" w:hAnsi="宋体" w:eastAsia="宋体" w:cs="宋体"/>
          <w:b/>
          <w:bCs/>
          <w:color w:val="auto"/>
        </w:rPr>
        <w:t>请按以下方式联系</w:t>
      </w:r>
      <w:bookmarkEnd w:id="79"/>
      <w:bookmarkEnd w:id="120"/>
    </w:p>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p w14:paraId="6BC77248">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bCs/>
          <w:color w:val="auto"/>
          <w:sz w:val="24"/>
          <w:szCs w:val="24"/>
          <w:lang w:val="en-US" w:eastAsia="zh-CN"/>
        </w:rPr>
      </w:pPr>
      <w:bookmarkStart w:id="121" w:name="_Toc12686"/>
      <w:bookmarkStart w:id="122" w:name="_Toc12500"/>
      <w:bookmarkStart w:id="123" w:name="_Toc20787"/>
      <w:bookmarkStart w:id="124" w:name="_Toc6015"/>
      <w:bookmarkStart w:id="125" w:name="_Toc2619"/>
      <w:bookmarkStart w:id="126" w:name="_Toc24117"/>
      <w:bookmarkStart w:id="127" w:name="_Toc21280"/>
      <w:bookmarkStart w:id="128" w:name="_Toc23630"/>
      <w:bookmarkStart w:id="129" w:name="_Toc16957"/>
      <w:bookmarkStart w:id="130" w:name="_Toc26049"/>
      <w:bookmarkStart w:id="131" w:name="_Toc12646"/>
      <w:bookmarkStart w:id="132" w:name="_Toc9281"/>
      <w:bookmarkStart w:id="133" w:name="_Toc14948"/>
      <w:bookmarkStart w:id="134" w:name="_Toc17873"/>
      <w:bookmarkStart w:id="135" w:name="_Toc4390"/>
      <w:bookmarkStart w:id="136" w:name="_Toc14630"/>
      <w:bookmarkStart w:id="137" w:name="_Toc10896"/>
      <w:bookmarkStart w:id="138" w:name="_Toc22916"/>
      <w:bookmarkStart w:id="139" w:name="_Toc6325"/>
      <w:bookmarkStart w:id="140" w:name="_Toc17699"/>
      <w:bookmarkStart w:id="141" w:name="_Toc7054"/>
      <w:bookmarkStart w:id="142" w:name="_Toc30817"/>
      <w:bookmarkStart w:id="143" w:name="_Toc23457"/>
      <w:bookmarkStart w:id="144" w:name="_Toc8894"/>
      <w:bookmarkStart w:id="145" w:name="_Toc18814"/>
      <w:bookmarkStart w:id="146" w:name="_Toc3742"/>
      <w:bookmarkStart w:id="147" w:name="_Toc14188"/>
      <w:bookmarkStart w:id="148" w:name="_Toc27348"/>
      <w:bookmarkStart w:id="149" w:name="_Toc25049"/>
      <w:bookmarkStart w:id="150" w:name="_Toc24829"/>
      <w:bookmarkStart w:id="151" w:name="_Toc20710"/>
      <w:bookmarkStart w:id="152" w:name="_Toc2759"/>
      <w:bookmarkStart w:id="153" w:name="_Toc9562"/>
      <w:bookmarkStart w:id="154" w:name="_Toc21210"/>
      <w:bookmarkStart w:id="155" w:name="_Toc16230"/>
      <w:bookmarkStart w:id="156" w:name="_Toc2504"/>
      <w:bookmarkStart w:id="157" w:name="_Toc13762"/>
      <w:bookmarkStart w:id="158" w:name="_Toc8830"/>
      <w:bookmarkStart w:id="159" w:name="_Toc24226"/>
      <w:bookmarkStart w:id="160" w:name="_Toc26647"/>
      <w:bookmarkStart w:id="161" w:name="_Toc24594"/>
      <w:bookmarkStart w:id="162" w:name="_Toc16652"/>
      <w:bookmarkStart w:id="163" w:name="_Toc6056"/>
      <w:bookmarkStart w:id="164" w:name="_Toc27038"/>
      <w:bookmarkStart w:id="165" w:name="_Toc5940"/>
      <w:r>
        <w:rPr>
          <w:rFonts w:hint="eastAsia" w:ascii="宋体" w:hAnsi="宋体" w:eastAsia="宋体" w:cs="宋体"/>
          <w:bCs/>
          <w:color w:val="auto"/>
          <w:sz w:val="24"/>
          <w:szCs w:val="24"/>
          <w:lang w:val="en-US" w:eastAsia="zh-CN"/>
        </w:rPr>
        <w:t>1.采购人信息</w:t>
      </w:r>
    </w:p>
    <w:p w14:paraId="77BCF30C">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cs="宋体"/>
          <w:bCs/>
          <w:color w:val="auto"/>
          <w:sz w:val="24"/>
          <w:szCs w:val="24"/>
          <w:lang w:eastAsia="zh-CN"/>
        </w:rPr>
      </w:pPr>
      <w:r>
        <w:rPr>
          <w:rFonts w:hint="eastAsia" w:ascii="宋体" w:hAnsi="宋体" w:cs="宋体"/>
          <w:bCs/>
          <w:color w:val="auto"/>
          <w:sz w:val="24"/>
          <w:szCs w:val="24"/>
          <w:lang w:val="en-US" w:eastAsia="zh-CN"/>
        </w:rPr>
        <w:t>名称：</w:t>
      </w:r>
      <w:r>
        <w:rPr>
          <w:rFonts w:hint="eastAsia" w:ascii="宋体" w:hAnsi="宋体" w:cs="宋体"/>
          <w:bCs/>
          <w:color w:val="auto"/>
          <w:sz w:val="24"/>
          <w:szCs w:val="24"/>
          <w:lang w:eastAsia="zh-CN"/>
        </w:rPr>
        <w:t xml:space="preserve">龙游县小南海镇周红坂村股份经济合作社  </w:t>
      </w:r>
    </w:p>
    <w:p w14:paraId="4475974E">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cs="宋体"/>
          <w:bCs/>
          <w:color w:val="auto"/>
          <w:sz w:val="24"/>
          <w:szCs w:val="24"/>
          <w:lang w:val="en-US" w:eastAsia="zh-CN"/>
        </w:rPr>
      </w:pPr>
      <w:r>
        <w:rPr>
          <w:rFonts w:hint="eastAsia" w:ascii="宋体" w:hAnsi="宋体" w:cs="宋体"/>
          <w:bCs/>
          <w:color w:val="auto"/>
          <w:sz w:val="24"/>
          <w:szCs w:val="24"/>
          <w:lang w:val="en-US" w:eastAsia="zh-CN"/>
        </w:rPr>
        <w:t>地址：</w:t>
      </w:r>
      <w:r>
        <w:rPr>
          <w:rFonts w:hint="eastAsia" w:ascii="宋体" w:hAnsi="宋体" w:cs="宋体"/>
          <w:bCs/>
          <w:color w:val="auto"/>
          <w:sz w:val="24"/>
          <w:szCs w:val="24"/>
          <w:lang w:eastAsia="zh-CN"/>
        </w:rPr>
        <w:t>龙游县小南海镇周红坂村</w:t>
      </w:r>
    </w:p>
    <w:p w14:paraId="22711208">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cs="宋体"/>
          <w:bCs/>
          <w:color w:val="auto"/>
          <w:sz w:val="24"/>
          <w:szCs w:val="24"/>
          <w:lang w:val="en-US" w:eastAsia="zh-CN"/>
        </w:rPr>
      </w:pPr>
      <w:r>
        <w:rPr>
          <w:rFonts w:hint="eastAsia" w:ascii="宋体" w:hAnsi="宋体" w:cs="宋体"/>
          <w:bCs/>
          <w:color w:val="auto"/>
          <w:sz w:val="24"/>
          <w:szCs w:val="24"/>
          <w:lang w:eastAsia="zh-CN"/>
        </w:rPr>
        <w:t>联系人：</w:t>
      </w:r>
      <w:r>
        <w:rPr>
          <w:rFonts w:hint="eastAsia" w:ascii="宋体" w:hAnsi="宋体" w:cs="宋体"/>
          <w:bCs/>
          <w:color w:val="auto"/>
          <w:sz w:val="24"/>
          <w:szCs w:val="24"/>
          <w:lang w:val="en-US" w:eastAsia="zh-CN"/>
        </w:rPr>
        <w:t>尹女士</w:t>
      </w:r>
    </w:p>
    <w:p w14:paraId="10684222">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default" w:ascii="宋体" w:hAnsi="宋体" w:cs="宋体"/>
          <w:bCs/>
          <w:color w:val="auto"/>
          <w:sz w:val="24"/>
          <w:szCs w:val="24"/>
          <w:lang w:val="en-US" w:eastAsia="zh-CN"/>
        </w:rPr>
      </w:pPr>
      <w:r>
        <w:rPr>
          <w:rFonts w:hint="eastAsia" w:ascii="宋体" w:hAnsi="宋体" w:cs="宋体"/>
          <w:bCs/>
          <w:color w:val="auto"/>
          <w:sz w:val="24"/>
          <w:szCs w:val="24"/>
          <w:lang w:eastAsia="zh-CN"/>
        </w:rPr>
        <w:t>联系方式：</w:t>
      </w:r>
      <w:r>
        <w:rPr>
          <w:rFonts w:hint="eastAsia" w:ascii="宋体" w:hAnsi="宋体" w:cs="宋体"/>
          <w:bCs/>
          <w:color w:val="auto"/>
          <w:sz w:val="24"/>
          <w:szCs w:val="24"/>
          <w:lang w:val="en-US" w:eastAsia="zh-CN"/>
        </w:rPr>
        <w:t xml:space="preserve">15057036959 </w:t>
      </w:r>
    </w:p>
    <w:bookmarkEnd w:id="121"/>
    <w:bookmarkEnd w:id="122"/>
    <w:bookmarkEnd w:id="123"/>
    <w:bookmarkEnd w:id="124"/>
    <w:bookmarkEnd w:id="125"/>
    <w:bookmarkEnd w:id="126"/>
    <w:bookmarkEnd w:id="127"/>
    <w:bookmarkEnd w:id="128"/>
    <w:bookmarkEnd w:id="129"/>
    <w:p w14:paraId="4BDB52F0">
      <w:pPr>
        <w:keepNext w:val="0"/>
        <w:keepLines w:val="0"/>
        <w:pageBreakBefore w:val="0"/>
        <w:widowControl/>
        <w:numPr>
          <w:ilvl w:val="0"/>
          <w:numId w:val="0"/>
        </w:numPr>
        <w:kinsoku/>
        <w:wordWrap/>
        <w:overflowPunct/>
        <w:topLinePunct w:val="0"/>
        <w:autoSpaceDE/>
        <w:autoSpaceDN/>
        <w:bidi w:val="0"/>
        <w:adjustRightInd/>
        <w:snapToGrid/>
        <w:spacing w:line="312" w:lineRule="auto"/>
        <w:ind w:left="0" w:leftChars="0" w:firstLine="480" w:firstLineChars="200"/>
        <w:jc w:val="left"/>
        <w:textAlignment w:val="auto"/>
        <w:outlineLvl w:val="9"/>
        <w:rPr>
          <w:rFonts w:hint="eastAsia" w:ascii="宋体" w:hAnsi="宋体" w:eastAsia="宋体" w:cs="宋体"/>
          <w:bCs/>
          <w:color w:val="auto"/>
          <w:kern w:val="2"/>
          <w:sz w:val="24"/>
          <w:szCs w:val="24"/>
          <w:lang w:val="en-US" w:eastAsia="zh-CN" w:bidi="ar-SA"/>
        </w:rPr>
      </w:pPr>
      <w:bookmarkStart w:id="166" w:name="_Toc7056"/>
      <w:bookmarkStart w:id="167" w:name="_Toc3771"/>
      <w:bookmarkStart w:id="168" w:name="_Toc19489"/>
      <w:bookmarkStart w:id="169" w:name="_Toc13096"/>
      <w:bookmarkStart w:id="170" w:name="_Toc27396"/>
      <w:bookmarkStart w:id="171" w:name="_Toc20365"/>
      <w:bookmarkStart w:id="172" w:name="_Toc32228"/>
      <w:bookmarkStart w:id="173" w:name="_Toc10341"/>
      <w:bookmarkStart w:id="174" w:name="_Toc26503"/>
      <w:bookmarkStart w:id="175" w:name="_Toc16453"/>
    </w:p>
    <w:p w14:paraId="3215AA22">
      <w:pPr>
        <w:keepNext w:val="0"/>
        <w:keepLines w:val="0"/>
        <w:pageBreakBefore w:val="0"/>
        <w:widowControl/>
        <w:numPr>
          <w:ilvl w:val="0"/>
          <w:numId w:val="0"/>
        </w:numPr>
        <w:kinsoku/>
        <w:wordWrap/>
        <w:overflowPunct/>
        <w:topLinePunct w:val="0"/>
        <w:autoSpaceDE/>
        <w:autoSpaceDN/>
        <w:bidi w:val="0"/>
        <w:adjustRightInd/>
        <w:snapToGrid/>
        <w:spacing w:line="312" w:lineRule="auto"/>
        <w:ind w:left="0" w:leftChars="0" w:firstLine="480" w:firstLineChars="200"/>
        <w:jc w:val="left"/>
        <w:textAlignment w:val="auto"/>
        <w:outlineLvl w:val="9"/>
        <w:rPr>
          <w:rFonts w:hint="eastAsia" w:ascii="宋体" w:hAnsi="宋体" w:eastAsia="宋体" w:cs="宋体"/>
          <w:bCs/>
          <w:color w:val="auto"/>
          <w:kern w:val="2"/>
          <w:sz w:val="24"/>
          <w:szCs w:val="24"/>
          <w:lang w:val="zh-CN" w:eastAsia="zh-CN" w:bidi="ar-SA"/>
        </w:rPr>
      </w:pPr>
      <w:r>
        <w:rPr>
          <w:rFonts w:hint="eastAsia" w:ascii="宋体" w:hAnsi="宋体" w:eastAsia="宋体" w:cs="宋体"/>
          <w:bCs/>
          <w:color w:val="auto"/>
          <w:kern w:val="2"/>
          <w:sz w:val="24"/>
          <w:szCs w:val="24"/>
          <w:lang w:val="en-US" w:eastAsia="zh-CN" w:bidi="ar-SA"/>
        </w:rPr>
        <w:t>2.</w:t>
      </w:r>
      <w:r>
        <w:rPr>
          <w:rFonts w:hint="eastAsia" w:ascii="宋体" w:hAnsi="宋体" w:eastAsia="宋体" w:cs="宋体"/>
          <w:bCs/>
          <w:color w:val="auto"/>
          <w:kern w:val="2"/>
          <w:sz w:val="24"/>
          <w:szCs w:val="24"/>
          <w:lang w:val="zh-CN" w:eastAsia="zh-CN" w:bidi="ar-SA"/>
        </w:rPr>
        <w:t>采购代理机构</w:t>
      </w:r>
      <w:r>
        <w:rPr>
          <w:rFonts w:hint="eastAsia" w:ascii="宋体" w:hAnsi="宋体" w:eastAsia="宋体" w:cs="宋体"/>
          <w:bCs/>
          <w:color w:val="auto"/>
          <w:kern w:val="2"/>
          <w:sz w:val="24"/>
          <w:szCs w:val="24"/>
          <w:lang w:val="en-US" w:eastAsia="zh-CN" w:bidi="ar-SA"/>
        </w:rPr>
        <w:t>信息</w:t>
      </w:r>
      <w:bookmarkEnd w:id="166"/>
      <w:bookmarkEnd w:id="167"/>
      <w:bookmarkEnd w:id="168"/>
      <w:bookmarkEnd w:id="169"/>
      <w:bookmarkEnd w:id="170"/>
    </w:p>
    <w:p w14:paraId="1AF9271E">
      <w:pPr>
        <w:keepNext w:val="0"/>
        <w:keepLines w:val="0"/>
        <w:pageBreakBefore w:val="0"/>
        <w:numPr>
          <w:ilvl w:val="0"/>
          <w:numId w:val="0"/>
        </w:numPr>
        <w:kinsoku/>
        <w:wordWrap/>
        <w:overflowPunct/>
        <w:topLinePunct w:val="0"/>
        <w:autoSpaceDE/>
        <w:autoSpaceDN/>
        <w:bidi w:val="0"/>
        <w:adjustRightInd/>
        <w:spacing w:line="312" w:lineRule="auto"/>
        <w:ind w:leftChars="0" w:firstLine="480" w:firstLineChars="200"/>
        <w:textAlignment w:val="auto"/>
        <w:outlineLvl w:val="2"/>
        <w:rPr>
          <w:rFonts w:hint="eastAsia" w:ascii="宋体" w:hAnsi="宋体" w:eastAsia="宋体" w:cs="宋体"/>
          <w:sz w:val="24"/>
          <w:szCs w:val="24"/>
          <w:lang w:eastAsia="zh-CN"/>
        </w:rPr>
      </w:pPr>
      <w:bookmarkStart w:id="176" w:name="_Toc297"/>
      <w:bookmarkStart w:id="177" w:name="_Toc6045"/>
      <w:bookmarkStart w:id="178" w:name="_Toc1130"/>
      <w:bookmarkStart w:id="179" w:name="_Toc2087"/>
      <w:bookmarkStart w:id="180" w:name="_Toc28684"/>
      <w:r>
        <w:rPr>
          <w:rFonts w:hint="eastAsia" w:ascii="宋体" w:hAnsi="宋体" w:cs="宋体"/>
          <w:sz w:val="24"/>
          <w:szCs w:val="24"/>
        </w:rPr>
        <w:t>名称：</w:t>
      </w:r>
      <w:r>
        <w:rPr>
          <w:rFonts w:hint="eastAsia" w:ascii="宋体" w:hAnsi="宋体" w:cs="宋体"/>
          <w:sz w:val="24"/>
          <w:szCs w:val="24"/>
          <w:lang w:eastAsia="zh-CN"/>
        </w:rPr>
        <w:t>浙江新诚信工程咨询有限公司</w:t>
      </w:r>
    </w:p>
    <w:p w14:paraId="3AA66EC9">
      <w:pPr>
        <w:keepNext w:val="0"/>
        <w:keepLines w:val="0"/>
        <w:pageBreakBefore w:val="0"/>
        <w:numPr>
          <w:ilvl w:val="0"/>
          <w:numId w:val="0"/>
        </w:numPr>
        <w:kinsoku/>
        <w:wordWrap/>
        <w:overflowPunct/>
        <w:topLinePunct w:val="0"/>
        <w:autoSpaceDE/>
        <w:autoSpaceDN/>
        <w:bidi w:val="0"/>
        <w:adjustRightInd/>
        <w:spacing w:line="312" w:lineRule="auto"/>
        <w:ind w:leftChars="0" w:firstLine="480" w:firstLineChars="200"/>
        <w:textAlignment w:val="auto"/>
        <w:outlineLvl w:val="2"/>
        <w:rPr>
          <w:rFonts w:hint="eastAsia" w:ascii="宋体" w:hAnsi="宋体" w:eastAsia="宋体" w:cs="宋体"/>
          <w:sz w:val="24"/>
          <w:szCs w:val="24"/>
          <w:lang w:eastAsia="zh-CN"/>
        </w:rPr>
      </w:pPr>
      <w:r>
        <w:rPr>
          <w:rFonts w:hint="eastAsia" w:ascii="宋体" w:hAnsi="宋体" w:cs="宋体"/>
          <w:sz w:val="24"/>
          <w:szCs w:val="24"/>
        </w:rPr>
        <w:t>地址：</w:t>
      </w:r>
      <w:r>
        <w:rPr>
          <w:rFonts w:hint="eastAsia" w:ascii="宋体" w:hAnsi="宋体" w:cs="宋体"/>
          <w:sz w:val="24"/>
          <w:szCs w:val="24"/>
          <w:lang w:eastAsia="zh-CN"/>
        </w:rPr>
        <w:t xml:space="preserve">龙游县龙洲街道环河步行街242号313室 </w:t>
      </w:r>
    </w:p>
    <w:p w14:paraId="41A33026">
      <w:pPr>
        <w:keepNext w:val="0"/>
        <w:keepLines w:val="0"/>
        <w:pageBreakBefore w:val="0"/>
        <w:numPr>
          <w:ilvl w:val="0"/>
          <w:numId w:val="0"/>
        </w:numPr>
        <w:kinsoku/>
        <w:wordWrap/>
        <w:overflowPunct/>
        <w:topLinePunct w:val="0"/>
        <w:autoSpaceDE/>
        <w:autoSpaceDN/>
        <w:bidi w:val="0"/>
        <w:adjustRightInd/>
        <w:spacing w:line="312" w:lineRule="auto"/>
        <w:ind w:leftChars="0" w:firstLine="480" w:firstLineChars="200"/>
        <w:textAlignment w:val="auto"/>
        <w:outlineLvl w:val="2"/>
        <w:rPr>
          <w:rFonts w:hint="eastAsia" w:ascii="宋体" w:hAnsi="宋体" w:cs="宋体"/>
          <w:sz w:val="24"/>
          <w:szCs w:val="24"/>
        </w:rPr>
      </w:pPr>
      <w:r>
        <w:rPr>
          <w:rFonts w:hint="eastAsia" w:ascii="宋体" w:hAnsi="宋体" w:eastAsia="宋体" w:cs="宋体"/>
          <w:bCs/>
          <w:color w:val="auto"/>
          <w:sz w:val="24"/>
          <w:szCs w:val="24"/>
        </w:rPr>
        <w:t>联系人：</w:t>
      </w:r>
      <w:r>
        <w:rPr>
          <w:rFonts w:hint="eastAsia" w:ascii="宋体" w:hAnsi="宋体" w:cs="宋体"/>
          <w:sz w:val="24"/>
          <w:szCs w:val="24"/>
          <w:lang w:val="en-US" w:eastAsia="zh-CN"/>
        </w:rPr>
        <w:t>唐女士</w:t>
      </w:r>
    </w:p>
    <w:p w14:paraId="22748CC2">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bCs/>
          <w:color w:val="auto"/>
          <w:sz w:val="24"/>
          <w:szCs w:val="24"/>
          <w:lang w:eastAsia="zh-CN"/>
        </w:rPr>
      </w:pPr>
      <w:r>
        <w:rPr>
          <w:rFonts w:hint="eastAsia" w:ascii="宋体" w:hAnsi="宋体" w:cs="宋体"/>
          <w:bCs/>
          <w:color w:val="auto"/>
          <w:sz w:val="24"/>
          <w:szCs w:val="24"/>
          <w:lang w:eastAsia="zh-CN"/>
        </w:rPr>
        <w:t>联系</w:t>
      </w:r>
      <w:r>
        <w:rPr>
          <w:rFonts w:hint="eastAsia" w:ascii="宋体" w:hAnsi="宋体" w:eastAsia="宋体" w:cs="宋体"/>
          <w:bCs/>
          <w:color w:val="auto"/>
          <w:sz w:val="24"/>
          <w:szCs w:val="24"/>
          <w:lang w:eastAsia="zh-CN"/>
        </w:rPr>
        <w:t>方式：</w:t>
      </w:r>
      <w:r>
        <w:rPr>
          <w:rFonts w:hint="eastAsia" w:ascii="宋体" w:hAnsi="宋体" w:cs="宋体"/>
          <w:bCs/>
          <w:color w:val="auto"/>
          <w:sz w:val="24"/>
          <w:szCs w:val="24"/>
          <w:lang w:eastAsia="zh-CN"/>
        </w:rPr>
        <w:t>13357013858</w:t>
      </w:r>
    </w:p>
    <w:bookmarkEnd w:id="171"/>
    <w:bookmarkEnd w:id="172"/>
    <w:bookmarkEnd w:id="173"/>
    <w:bookmarkEnd w:id="174"/>
    <w:bookmarkEnd w:id="175"/>
    <w:bookmarkEnd w:id="176"/>
    <w:bookmarkEnd w:id="177"/>
    <w:bookmarkEnd w:id="178"/>
    <w:bookmarkEnd w:id="179"/>
    <w:bookmarkEnd w:id="180"/>
    <w:p w14:paraId="36E5DC64">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bCs/>
          <w:color w:val="auto"/>
          <w:sz w:val="24"/>
          <w:szCs w:val="24"/>
          <w:lang w:val="zh-CN" w:eastAsia="zh-CN"/>
        </w:rPr>
      </w:pPr>
      <w:bookmarkStart w:id="181" w:name="_Toc2610"/>
      <w:bookmarkStart w:id="182" w:name="_Toc31921"/>
      <w:bookmarkStart w:id="183" w:name="_Toc7454"/>
      <w:bookmarkStart w:id="184" w:name="_Toc5031"/>
      <w:bookmarkStart w:id="185" w:name="_Toc11202"/>
      <w:bookmarkStart w:id="186" w:name="_Toc13617"/>
      <w:bookmarkStart w:id="187" w:name="_Toc5589"/>
      <w:bookmarkStart w:id="188" w:name="_Toc13990"/>
      <w:bookmarkStart w:id="189" w:name="_Toc5624"/>
      <w:bookmarkStart w:id="190" w:name="_Toc11036"/>
      <w:bookmarkStart w:id="191" w:name="_Toc21743"/>
      <w:bookmarkStart w:id="192" w:name="_Toc82"/>
      <w:bookmarkStart w:id="193" w:name="_Toc23576"/>
      <w:bookmarkStart w:id="194" w:name="_Toc8831"/>
    </w:p>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p w14:paraId="129E0F5D">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3.</w:t>
      </w:r>
      <w:r>
        <w:rPr>
          <w:rFonts w:hint="eastAsia" w:ascii="宋体" w:hAnsi="宋体" w:cs="宋体"/>
          <w:bCs/>
          <w:color w:val="auto"/>
          <w:sz w:val="24"/>
          <w:szCs w:val="24"/>
          <w:lang w:val="en-US" w:eastAsia="zh-CN"/>
        </w:rPr>
        <w:t>同级监督管理部门</w:t>
      </w:r>
    </w:p>
    <w:p w14:paraId="6BC3DCF8">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名称：</w:t>
      </w:r>
      <w:r>
        <w:rPr>
          <w:rFonts w:hint="eastAsia" w:ascii="宋体" w:hAnsi="宋体" w:cs="宋体"/>
          <w:bCs/>
          <w:color w:val="auto"/>
          <w:sz w:val="24"/>
          <w:szCs w:val="24"/>
          <w:lang w:val="en-US" w:eastAsia="zh-CN"/>
        </w:rPr>
        <w:t xml:space="preserve">龙游县小南海镇公共资源交易监督管理办公室 </w:t>
      </w:r>
      <w:r>
        <w:rPr>
          <w:rFonts w:hint="eastAsia" w:ascii="宋体" w:hAnsi="宋体" w:eastAsia="宋体" w:cs="宋体"/>
          <w:bCs/>
          <w:color w:val="auto"/>
          <w:sz w:val="24"/>
          <w:szCs w:val="24"/>
          <w:lang w:val="en-US" w:eastAsia="zh-CN"/>
        </w:rPr>
        <w:t> </w:t>
      </w:r>
    </w:p>
    <w:p w14:paraId="2A319D23">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地址：</w:t>
      </w:r>
      <w:r>
        <w:rPr>
          <w:rFonts w:hint="eastAsia" w:ascii="宋体" w:hAnsi="宋体" w:cs="宋体"/>
          <w:bCs/>
          <w:color w:val="auto"/>
          <w:sz w:val="24"/>
          <w:szCs w:val="24"/>
          <w:lang w:val="en-US" w:eastAsia="zh-CN"/>
        </w:rPr>
        <w:t>龙游县小南海镇茶圩里村光明路29号</w:t>
      </w:r>
    </w:p>
    <w:p w14:paraId="50F5D36F">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联系人：</w:t>
      </w:r>
      <w:r>
        <w:rPr>
          <w:rFonts w:hint="eastAsia" w:ascii="宋体" w:hAnsi="宋体" w:cs="宋体"/>
          <w:bCs/>
          <w:color w:val="auto"/>
          <w:sz w:val="24"/>
          <w:szCs w:val="24"/>
          <w:lang w:val="en-US" w:eastAsia="zh-CN"/>
        </w:rPr>
        <w:t>管女士</w:t>
      </w:r>
    </w:p>
    <w:p w14:paraId="63F54574">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监督投诉电话：</w:t>
      </w:r>
      <w:r>
        <w:rPr>
          <w:rFonts w:hint="eastAsia" w:ascii="宋体" w:hAnsi="宋体" w:cs="宋体"/>
          <w:bCs/>
          <w:color w:val="auto"/>
          <w:sz w:val="24"/>
          <w:szCs w:val="24"/>
          <w:lang w:val="en-US" w:eastAsia="zh-CN"/>
        </w:rPr>
        <w:t>15167059707</w:t>
      </w:r>
    </w:p>
    <w:p w14:paraId="76AEA3C0">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bCs/>
          <w:color w:val="auto"/>
          <w:sz w:val="24"/>
          <w:szCs w:val="24"/>
          <w:lang w:val="zh-CN" w:eastAsia="zh-CN"/>
        </w:rPr>
      </w:pPr>
    </w:p>
    <w:p w14:paraId="179DBFB3">
      <w:pPr>
        <w:keepNext w:val="0"/>
        <w:keepLines w:val="0"/>
        <w:pageBreakBefore w:val="0"/>
        <w:kinsoku/>
        <w:wordWrap/>
        <w:overflowPunct/>
        <w:topLinePunct w:val="0"/>
        <w:autoSpaceDE/>
        <w:autoSpaceDN/>
        <w:bidi w:val="0"/>
        <w:adjustRightInd/>
        <w:spacing w:line="312" w:lineRule="auto"/>
        <w:ind w:firstLine="480" w:firstLineChars="200"/>
        <w:textAlignment w:val="auto"/>
        <w:rPr>
          <w:rFonts w:hint="eastAsia" w:ascii="宋体" w:hAnsi="宋体" w:eastAsia="宋体" w:cs="宋体"/>
          <w:bCs/>
          <w:color w:val="auto"/>
          <w:sz w:val="24"/>
          <w:szCs w:val="24"/>
          <w:lang w:val="zh-CN" w:eastAsia="zh-CN"/>
        </w:rPr>
      </w:pPr>
      <w:r>
        <w:rPr>
          <w:rFonts w:hint="eastAsia" w:ascii="宋体" w:hAnsi="宋体" w:cs="宋体"/>
          <w:bCs/>
          <w:color w:val="auto"/>
          <w:sz w:val="24"/>
          <w:szCs w:val="24"/>
          <w:lang w:val="zh-CN" w:eastAsia="zh-CN"/>
        </w:rPr>
        <w:t>2025</w:t>
      </w:r>
      <w:r>
        <w:rPr>
          <w:rFonts w:hint="eastAsia" w:ascii="宋体" w:hAnsi="宋体" w:eastAsia="宋体" w:cs="宋体"/>
          <w:bCs/>
          <w:color w:val="auto"/>
          <w:sz w:val="24"/>
          <w:szCs w:val="24"/>
          <w:lang w:val="zh-CN" w:eastAsia="zh-CN"/>
        </w:rPr>
        <w:t>年</w:t>
      </w:r>
      <w:r>
        <w:rPr>
          <w:rFonts w:hint="eastAsia" w:ascii="宋体" w:hAnsi="宋体" w:cs="宋体"/>
          <w:bCs/>
          <w:color w:val="auto"/>
          <w:sz w:val="24"/>
          <w:szCs w:val="24"/>
          <w:lang w:val="en-US" w:eastAsia="zh-CN"/>
        </w:rPr>
        <w:t>3</w:t>
      </w:r>
      <w:r>
        <w:rPr>
          <w:rFonts w:hint="eastAsia" w:ascii="宋体" w:hAnsi="宋体" w:eastAsia="宋体" w:cs="宋体"/>
          <w:bCs/>
          <w:color w:val="auto"/>
          <w:sz w:val="24"/>
          <w:szCs w:val="24"/>
          <w:lang w:val="zh-CN" w:eastAsia="zh-CN"/>
        </w:rPr>
        <w:t>月</w:t>
      </w:r>
      <w:r>
        <w:rPr>
          <w:rFonts w:hint="eastAsia" w:ascii="宋体" w:hAnsi="宋体" w:cs="宋体"/>
          <w:bCs/>
          <w:color w:val="auto"/>
          <w:sz w:val="24"/>
          <w:szCs w:val="24"/>
          <w:lang w:val="en-US" w:eastAsia="zh-CN"/>
        </w:rPr>
        <w:t>31</w:t>
      </w:r>
      <w:r>
        <w:rPr>
          <w:rFonts w:hint="eastAsia" w:ascii="宋体" w:hAnsi="宋体" w:eastAsia="宋体" w:cs="宋体"/>
          <w:bCs/>
          <w:color w:val="auto"/>
          <w:sz w:val="24"/>
          <w:szCs w:val="24"/>
          <w:lang w:val="zh-CN" w:eastAsia="zh-CN"/>
        </w:rPr>
        <w:t>日</w:t>
      </w:r>
    </w:p>
    <w:p w14:paraId="731CB29C">
      <w:pPr>
        <w:pStyle w:val="3"/>
        <w:outlineLvl w:val="9"/>
        <w:rPr>
          <w:rFonts w:hint="eastAsia" w:ascii="宋体" w:hAnsi="宋体" w:eastAsia="宋体" w:cs="宋体"/>
          <w:bCs/>
          <w:color w:val="auto"/>
          <w:sz w:val="24"/>
          <w:szCs w:val="24"/>
          <w:lang w:val="zh-CN" w:eastAsia="zh-CN"/>
        </w:rPr>
      </w:pPr>
    </w:p>
    <w:p w14:paraId="7A424EB9">
      <w:pPr>
        <w:rPr>
          <w:rFonts w:hint="eastAsia" w:ascii="宋体" w:hAnsi="宋体" w:eastAsia="宋体" w:cs="宋体"/>
          <w:bCs/>
          <w:color w:val="auto"/>
          <w:sz w:val="24"/>
          <w:szCs w:val="24"/>
          <w:lang w:val="zh-CN" w:eastAsia="zh-CN"/>
        </w:rPr>
      </w:pPr>
    </w:p>
    <w:p w14:paraId="547E929B">
      <w:pPr>
        <w:pStyle w:val="3"/>
        <w:outlineLvl w:val="9"/>
        <w:rPr>
          <w:rFonts w:hint="eastAsia" w:ascii="宋体" w:hAnsi="宋体" w:eastAsia="宋体" w:cs="宋体"/>
          <w:bCs/>
          <w:color w:val="auto"/>
          <w:sz w:val="24"/>
          <w:szCs w:val="24"/>
          <w:lang w:val="zh-CN" w:eastAsia="zh-CN"/>
        </w:rPr>
      </w:pPr>
    </w:p>
    <w:p w14:paraId="57E22266">
      <w:pPr>
        <w:rPr>
          <w:rFonts w:hint="eastAsia" w:ascii="宋体" w:hAnsi="宋体" w:eastAsia="宋体" w:cs="宋体"/>
          <w:bCs/>
          <w:color w:val="auto"/>
          <w:sz w:val="24"/>
          <w:szCs w:val="24"/>
          <w:lang w:val="zh-CN" w:eastAsia="zh-CN"/>
        </w:rPr>
      </w:pPr>
    </w:p>
    <w:p w14:paraId="1D9ACFAF">
      <w:pPr>
        <w:pStyle w:val="3"/>
        <w:outlineLvl w:val="9"/>
        <w:rPr>
          <w:rFonts w:hint="eastAsia" w:ascii="宋体" w:hAnsi="宋体" w:eastAsia="宋体" w:cs="宋体"/>
          <w:bCs/>
          <w:color w:val="auto"/>
          <w:sz w:val="24"/>
          <w:szCs w:val="24"/>
          <w:lang w:val="zh-CN" w:eastAsia="zh-CN"/>
        </w:rPr>
      </w:pPr>
    </w:p>
    <w:p w14:paraId="1B654E73">
      <w:pPr>
        <w:rPr>
          <w:rFonts w:hint="eastAsia" w:ascii="宋体" w:hAnsi="宋体" w:eastAsia="宋体" w:cs="宋体"/>
          <w:bCs/>
          <w:color w:val="auto"/>
          <w:sz w:val="24"/>
          <w:szCs w:val="24"/>
          <w:lang w:val="zh-CN" w:eastAsia="zh-CN"/>
        </w:rPr>
      </w:pPr>
    </w:p>
    <w:p w14:paraId="7C470F4D">
      <w:pPr>
        <w:pStyle w:val="3"/>
        <w:outlineLvl w:val="9"/>
        <w:rPr>
          <w:rFonts w:hint="eastAsia" w:ascii="宋体" w:hAnsi="宋体" w:eastAsia="宋体" w:cs="宋体"/>
          <w:bCs/>
          <w:color w:val="auto"/>
          <w:sz w:val="24"/>
          <w:szCs w:val="24"/>
          <w:lang w:val="zh-CN" w:eastAsia="zh-CN"/>
        </w:rPr>
      </w:pPr>
    </w:p>
    <w:p w14:paraId="479FEA79">
      <w:pPr>
        <w:rPr>
          <w:rFonts w:hint="eastAsia" w:ascii="宋体" w:hAnsi="宋体" w:eastAsia="宋体" w:cs="宋体"/>
          <w:bCs/>
          <w:color w:val="auto"/>
          <w:sz w:val="24"/>
          <w:szCs w:val="24"/>
          <w:lang w:val="zh-CN" w:eastAsia="zh-CN"/>
        </w:rPr>
      </w:pPr>
    </w:p>
    <w:p w14:paraId="45695936">
      <w:pPr>
        <w:pStyle w:val="3"/>
        <w:outlineLvl w:val="9"/>
        <w:rPr>
          <w:rFonts w:hint="eastAsia" w:ascii="宋体" w:hAnsi="宋体" w:eastAsia="宋体" w:cs="宋体"/>
          <w:bCs/>
          <w:color w:val="auto"/>
          <w:sz w:val="24"/>
          <w:szCs w:val="24"/>
          <w:lang w:val="zh-CN" w:eastAsia="zh-CN"/>
        </w:rPr>
      </w:pPr>
    </w:p>
    <w:p w14:paraId="3B5DF32E">
      <w:pPr>
        <w:ind w:left="0" w:leftChars="0" w:firstLine="0" w:firstLineChars="0"/>
        <w:rPr>
          <w:rFonts w:hint="eastAsia"/>
          <w:lang w:eastAsia="zh-CN"/>
        </w:rPr>
      </w:pPr>
    </w:p>
    <w:p w14:paraId="6921C6C2">
      <w:pPr>
        <w:ind w:left="0" w:leftChars="0" w:firstLine="0" w:firstLineChars="0"/>
        <w:rPr>
          <w:rFonts w:hint="eastAsia"/>
          <w:lang w:eastAsia="zh-CN"/>
        </w:rPr>
      </w:pPr>
    </w:p>
    <w:p w14:paraId="742D94E2">
      <w:pPr>
        <w:ind w:left="0" w:leftChars="0" w:firstLine="0" w:firstLineChars="0"/>
        <w:rPr>
          <w:rFonts w:hint="eastAsia"/>
          <w:lang w:eastAsia="zh-CN"/>
        </w:rPr>
      </w:pPr>
    </w:p>
    <w:p w14:paraId="3DCFA4DB">
      <w:pPr>
        <w:ind w:left="0" w:leftChars="0" w:firstLine="0" w:firstLineChars="0"/>
        <w:rPr>
          <w:rFonts w:hint="eastAsia"/>
          <w:lang w:eastAsia="zh-CN"/>
        </w:rPr>
      </w:pPr>
    </w:p>
    <w:p w14:paraId="740B2465">
      <w:pPr>
        <w:ind w:left="0" w:leftChars="0" w:firstLine="0" w:firstLineChars="0"/>
        <w:rPr>
          <w:rFonts w:hint="eastAsia"/>
          <w:lang w:eastAsia="zh-CN"/>
        </w:rPr>
      </w:pPr>
    </w:p>
    <w:p w14:paraId="55925844">
      <w:pPr>
        <w:ind w:left="0" w:leftChars="0" w:firstLine="0" w:firstLineChars="0"/>
        <w:rPr>
          <w:rFonts w:hint="eastAsia"/>
          <w:lang w:eastAsia="zh-CN"/>
        </w:rPr>
      </w:pPr>
    </w:p>
    <w:p w14:paraId="4E391C70">
      <w:pPr>
        <w:ind w:left="0" w:leftChars="0" w:firstLine="0" w:firstLineChars="0"/>
        <w:rPr>
          <w:rFonts w:hint="eastAsia"/>
          <w:lang w:eastAsia="zh-CN"/>
        </w:rPr>
      </w:pPr>
    </w:p>
    <w:p w14:paraId="095EBBA9">
      <w:pPr>
        <w:ind w:left="0" w:leftChars="0" w:firstLine="0" w:firstLineChars="0"/>
        <w:rPr>
          <w:rFonts w:hint="eastAsia"/>
          <w:lang w:eastAsia="zh-CN"/>
        </w:rPr>
      </w:pPr>
    </w:p>
    <w:p w14:paraId="596BA479">
      <w:pPr>
        <w:ind w:left="0" w:leftChars="0" w:firstLine="0" w:firstLineChars="0"/>
        <w:rPr>
          <w:rFonts w:hint="eastAsia"/>
          <w:lang w:eastAsia="zh-CN"/>
        </w:rPr>
      </w:pPr>
    </w:p>
    <w:p w14:paraId="46A1A401">
      <w:pPr>
        <w:pStyle w:val="2"/>
        <w:numPr>
          <w:ilvl w:val="0"/>
          <w:numId w:val="5"/>
        </w:numPr>
        <w:spacing w:before="0" w:beforeLines="0" w:after="0" w:afterLines="0"/>
        <w:ind w:firstLine="0" w:firstLineChars="0"/>
        <w:jc w:val="center"/>
        <w:rPr>
          <w:rFonts w:hint="eastAsia" w:ascii="宋体" w:hAnsi="宋体" w:cs="宋体"/>
        </w:rPr>
      </w:pPr>
      <w:bookmarkStart w:id="195" w:name="_Toc19725"/>
      <w:r>
        <w:rPr>
          <w:rFonts w:hint="eastAsia" w:ascii="宋体" w:hAnsi="宋体" w:cs="宋体"/>
        </w:rPr>
        <w:t xml:space="preserve"> </w:t>
      </w:r>
      <w:bookmarkStart w:id="196" w:name="_Toc18478"/>
      <w:bookmarkStart w:id="197" w:name="_Toc16810"/>
      <w:r>
        <w:rPr>
          <w:rFonts w:hint="eastAsia" w:ascii="宋体" w:hAnsi="宋体" w:cs="宋体"/>
        </w:rPr>
        <w:t>供应商须知</w:t>
      </w:r>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95"/>
      <w:bookmarkEnd w:id="196"/>
      <w:bookmarkEnd w:id="197"/>
    </w:p>
    <w:p w14:paraId="5F05711A">
      <w:pPr>
        <w:pStyle w:val="2"/>
        <w:spacing w:before="0" w:beforeLines="0" w:after="0" w:afterLines="0"/>
        <w:ind w:firstLine="0" w:firstLineChars="0"/>
        <w:jc w:val="center"/>
        <w:outlineLvl w:val="1"/>
        <w:rPr>
          <w:sz w:val="28"/>
          <w:szCs w:val="28"/>
        </w:rPr>
      </w:pPr>
      <w:bookmarkStart w:id="198" w:name="_Toc26287"/>
      <w:bookmarkStart w:id="199" w:name="_Toc20037"/>
      <w:bookmarkStart w:id="200" w:name="_Toc3467"/>
      <w:bookmarkStart w:id="201" w:name="_Toc14941"/>
      <w:bookmarkStart w:id="202" w:name="_Toc31532"/>
      <w:bookmarkStart w:id="203" w:name="_Toc29631"/>
      <w:bookmarkStart w:id="204" w:name="_Toc5731"/>
      <w:bookmarkStart w:id="205" w:name="_Toc30180"/>
      <w:bookmarkStart w:id="206" w:name="_Toc25506"/>
      <w:bookmarkStart w:id="207" w:name="_Toc24970"/>
      <w:bookmarkStart w:id="208" w:name="_Toc16050"/>
      <w:bookmarkStart w:id="209" w:name="_Toc14335"/>
      <w:bookmarkStart w:id="210" w:name="_Toc6862"/>
      <w:bookmarkStart w:id="211" w:name="_Toc2286"/>
      <w:bookmarkStart w:id="212" w:name="_Toc14813"/>
      <w:bookmarkStart w:id="213" w:name="_Toc14238"/>
      <w:bookmarkStart w:id="214" w:name="_Toc9420"/>
      <w:bookmarkStart w:id="215" w:name="_Toc25611"/>
      <w:bookmarkStart w:id="216" w:name="_Toc1709"/>
      <w:bookmarkStart w:id="217" w:name="_Toc2093"/>
      <w:bookmarkStart w:id="218" w:name="_Toc26378"/>
      <w:bookmarkStart w:id="219" w:name="_Toc14307"/>
      <w:bookmarkStart w:id="220" w:name="_Toc26033"/>
      <w:bookmarkStart w:id="221" w:name="_Toc18330"/>
      <w:bookmarkStart w:id="222" w:name="_Toc9216"/>
      <w:bookmarkStart w:id="223" w:name="_Toc1237"/>
      <w:bookmarkStart w:id="224" w:name="_Toc29871"/>
      <w:bookmarkStart w:id="225" w:name="_Toc1898"/>
      <w:bookmarkStart w:id="226" w:name="_Toc19935"/>
      <w:bookmarkStart w:id="227" w:name="_Toc16227"/>
      <w:bookmarkStart w:id="228" w:name="_Toc7175"/>
      <w:bookmarkStart w:id="229" w:name="_Toc22467"/>
      <w:bookmarkStart w:id="230" w:name="_Toc13830"/>
      <w:bookmarkStart w:id="231" w:name="_Toc29109"/>
      <w:bookmarkStart w:id="232" w:name="_Toc2683"/>
      <w:bookmarkStart w:id="233" w:name="_Toc29439"/>
      <w:bookmarkStart w:id="234" w:name="_Toc18954"/>
      <w:bookmarkStart w:id="235" w:name="_Toc5125"/>
      <w:bookmarkStart w:id="236" w:name="_Toc23368"/>
      <w:bookmarkStart w:id="237" w:name="_Toc22528"/>
      <w:bookmarkStart w:id="238" w:name="_Toc24474"/>
      <w:r>
        <w:rPr>
          <w:rFonts w:hint="default"/>
          <w:sz w:val="28"/>
          <w:szCs w:val="28"/>
          <w:lang w:val="en-US" w:eastAsia="zh-CN"/>
        </w:rPr>
        <w:t>一、</w:t>
      </w:r>
      <w:r>
        <w:rPr>
          <w:rFonts w:hint="default"/>
          <w:sz w:val="28"/>
          <w:szCs w:val="28"/>
        </w:rPr>
        <w:t>供应商须知前附表</w:t>
      </w:r>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p>
    <w:tbl>
      <w:tblPr>
        <w:tblStyle w:val="38"/>
        <w:tblW w:w="10130"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85"/>
        <w:gridCol w:w="2110"/>
        <w:gridCol w:w="7235"/>
      </w:tblGrid>
      <w:tr w14:paraId="71A5F52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tcBorders>
              <w:top w:val="thinThickSmallGap" w:color="auto" w:sz="12" w:space="0"/>
            </w:tcBorders>
            <w:vAlign w:val="center"/>
          </w:tcPr>
          <w:p w14:paraId="63866BFC">
            <w:pPr>
              <w:keepNext w:val="0"/>
              <w:keepLines w:val="0"/>
              <w:pageBreakBefore w:val="0"/>
              <w:widowControl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center"/>
              <w:textAlignment w:val="auto"/>
              <w:rPr>
                <w:rFonts w:hint="eastAsia" w:ascii="宋体" w:hAnsi="宋体" w:eastAsia="宋体" w:cs="宋体"/>
              </w:rPr>
            </w:pPr>
            <w:r>
              <w:rPr>
                <w:rFonts w:hint="eastAsia" w:ascii="宋体" w:hAnsi="宋体" w:eastAsia="宋体" w:cs="宋体"/>
              </w:rPr>
              <w:t>序号</w:t>
            </w:r>
          </w:p>
        </w:tc>
        <w:tc>
          <w:tcPr>
            <w:tcW w:w="2110" w:type="dxa"/>
            <w:tcBorders>
              <w:top w:val="thinThickSmallGap" w:color="auto" w:sz="12" w:space="0"/>
            </w:tcBorders>
            <w:vAlign w:val="center"/>
          </w:tcPr>
          <w:p w14:paraId="2AA0AB05">
            <w:pPr>
              <w:keepNext w:val="0"/>
              <w:keepLines w:val="0"/>
              <w:pageBreakBefore w:val="0"/>
              <w:widowControl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center"/>
              <w:textAlignment w:val="auto"/>
              <w:rPr>
                <w:rFonts w:hint="eastAsia" w:ascii="宋体" w:hAnsi="宋体" w:eastAsia="宋体" w:cs="宋体"/>
              </w:rPr>
            </w:pPr>
            <w:r>
              <w:rPr>
                <w:rFonts w:hint="eastAsia" w:ascii="宋体" w:hAnsi="宋体" w:eastAsia="宋体" w:cs="宋体"/>
              </w:rPr>
              <w:t>内  容</w:t>
            </w:r>
          </w:p>
        </w:tc>
        <w:tc>
          <w:tcPr>
            <w:tcW w:w="7235" w:type="dxa"/>
            <w:tcBorders>
              <w:top w:val="thinThickSmallGap" w:color="auto" w:sz="12" w:space="0"/>
            </w:tcBorders>
            <w:vAlign w:val="center"/>
          </w:tcPr>
          <w:p w14:paraId="2A7CC795">
            <w:pPr>
              <w:keepNext w:val="0"/>
              <w:keepLines w:val="0"/>
              <w:pageBreakBefore w:val="0"/>
              <w:widowControl w:val="0"/>
              <w:suppressLineNumbers w:val="0"/>
              <w:tabs>
                <w:tab w:val="left" w:pos="0"/>
              </w:tabs>
              <w:kinsoku/>
              <w:wordWrap/>
              <w:overflowPunct/>
              <w:topLinePunct w:val="0"/>
              <w:bidi w:val="0"/>
              <w:snapToGrid/>
              <w:spacing w:before="0" w:beforeAutospacing="0" w:after="0" w:afterAutospacing="0" w:line="240" w:lineRule="auto"/>
              <w:ind w:left="0" w:right="0" w:firstLine="0" w:firstLineChars="0"/>
              <w:jc w:val="both"/>
              <w:textAlignment w:val="auto"/>
              <w:rPr>
                <w:rFonts w:hint="eastAsia" w:ascii="宋体" w:hAnsi="宋体" w:eastAsia="宋体" w:cs="宋体"/>
              </w:rPr>
            </w:pPr>
            <w:r>
              <w:rPr>
                <w:rFonts w:hint="eastAsia" w:ascii="宋体" w:hAnsi="宋体" w:eastAsia="宋体" w:cs="宋体"/>
              </w:rPr>
              <w:t>说明与要求</w:t>
            </w:r>
          </w:p>
        </w:tc>
      </w:tr>
      <w:tr w14:paraId="220CF13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564295E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rPr>
            </w:pPr>
            <w:r>
              <w:rPr>
                <w:rFonts w:hint="eastAsia" w:ascii="宋体" w:hAnsi="宋体" w:cs="宋体"/>
                <w:color w:val="000000"/>
              </w:rPr>
              <w:t>1</w:t>
            </w:r>
          </w:p>
        </w:tc>
        <w:tc>
          <w:tcPr>
            <w:tcW w:w="2110" w:type="dxa"/>
            <w:vAlign w:val="center"/>
          </w:tcPr>
          <w:p w14:paraId="7C0FD2AF">
            <w:pPr>
              <w:keepNext w:val="0"/>
              <w:keepLines w:val="0"/>
              <w:pageBreakBefore w:val="0"/>
              <w:widowControl/>
              <w:suppressLineNumbers w:val="0"/>
              <w:kinsoku/>
              <w:wordWrap/>
              <w:overflowPunct/>
              <w:topLinePunct w:val="0"/>
              <w:bidi w:val="0"/>
              <w:snapToGrid/>
              <w:spacing w:before="0" w:beforeAutospacing="0" w:after="0" w:afterAutospacing="0" w:line="240" w:lineRule="auto"/>
              <w:ind w:left="0" w:leftChars="0" w:right="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采购人</w:t>
            </w:r>
          </w:p>
        </w:tc>
        <w:tc>
          <w:tcPr>
            <w:tcW w:w="7235" w:type="dxa"/>
            <w:vAlign w:val="center"/>
          </w:tcPr>
          <w:p w14:paraId="68C70361">
            <w:pPr>
              <w:keepNext w:val="0"/>
              <w:keepLines w:val="0"/>
              <w:suppressLineNumbers w:val="0"/>
              <w:spacing w:before="0" w:beforeAutospacing="0" w:after="0" w:afterAutospacing="0" w:line="240" w:lineRule="auto"/>
              <w:ind w:left="0" w:right="0" w:firstLine="0" w:firstLineChars="0"/>
              <w:jc w:val="both"/>
              <w:rPr>
                <w:rFonts w:hint="eastAsia" w:ascii="宋体" w:hAnsi="宋体" w:cs="宋体"/>
                <w:bCs/>
                <w:color w:val="auto"/>
                <w:sz w:val="24"/>
                <w:szCs w:val="24"/>
                <w:lang w:val="zh-CN" w:eastAsia="zh-CN"/>
              </w:rPr>
            </w:pPr>
            <w:r>
              <w:rPr>
                <w:rFonts w:hint="eastAsia" w:ascii="宋体" w:hAnsi="宋体" w:cs="宋体"/>
                <w:bCs/>
                <w:color w:val="auto"/>
                <w:sz w:val="24"/>
                <w:szCs w:val="24"/>
                <w:lang w:val="zh-CN" w:eastAsia="zh-CN"/>
              </w:rPr>
              <w:t xml:space="preserve">名称：龙游县小南海镇周红坂村股份经济合作社  </w:t>
            </w:r>
          </w:p>
          <w:p w14:paraId="0A2BA844">
            <w:pPr>
              <w:keepNext w:val="0"/>
              <w:keepLines w:val="0"/>
              <w:suppressLineNumbers w:val="0"/>
              <w:spacing w:before="0" w:beforeAutospacing="0" w:after="0" w:afterAutospacing="0" w:line="240" w:lineRule="auto"/>
              <w:ind w:left="0" w:right="0" w:firstLine="0" w:firstLineChars="0"/>
              <w:jc w:val="both"/>
              <w:rPr>
                <w:rFonts w:hint="eastAsia" w:ascii="宋体" w:hAnsi="宋体" w:cs="宋体"/>
                <w:bCs/>
                <w:color w:val="auto"/>
                <w:sz w:val="24"/>
                <w:szCs w:val="24"/>
                <w:lang w:val="zh-CN" w:eastAsia="zh-CN"/>
              </w:rPr>
            </w:pPr>
            <w:r>
              <w:rPr>
                <w:rFonts w:hint="eastAsia" w:ascii="宋体" w:hAnsi="宋体" w:cs="宋体"/>
                <w:bCs/>
                <w:color w:val="auto"/>
                <w:sz w:val="24"/>
                <w:szCs w:val="24"/>
                <w:lang w:val="zh-CN" w:eastAsia="zh-CN"/>
              </w:rPr>
              <w:t>联系人：</w:t>
            </w:r>
            <w:r>
              <w:rPr>
                <w:rFonts w:hint="eastAsia" w:ascii="宋体" w:hAnsi="宋体" w:cs="宋体"/>
                <w:bCs/>
                <w:color w:val="auto"/>
                <w:sz w:val="24"/>
                <w:szCs w:val="24"/>
                <w:lang w:val="en-US" w:eastAsia="zh-CN"/>
              </w:rPr>
              <w:t>尹女士</w:t>
            </w:r>
          </w:p>
          <w:p w14:paraId="58C78199">
            <w:pPr>
              <w:keepNext w:val="0"/>
              <w:keepLines w:val="0"/>
              <w:suppressLineNumbers w:val="0"/>
              <w:spacing w:before="0" w:beforeAutospacing="0" w:after="0" w:afterAutospacing="0" w:line="240" w:lineRule="auto"/>
              <w:ind w:left="0" w:right="0" w:firstLine="0" w:firstLineChars="0"/>
              <w:jc w:val="both"/>
              <w:rPr>
                <w:rFonts w:hint="eastAsia" w:ascii="宋体" w:hAnsi="宋体" w:cs="宋体"/>
                <w:bCs/>
                <w:color w:val="auto"/>
                <w:sz w:val="24"/>
                <w:szCs w:val="24"/>
                <w:lang w:val="zh-CN" w:eastAsia="zh-CN"/>
              </w:rPr>
            </w:pPr>
            <w:r>
              <w:rPr>
                <w:rFonts w:hint="eastAsia" w:ascii="宋体" w:hAnsi="宋体" w:cs="宋体"/>
                <w:bCs/>
                <w:color w:val="auto"/>
                <w:sz w:val="24"/>
                <w:szCs w:val="24"/>
                <w:lang w:val="zh-CN" w:eastAsia="zh-CN"/>
              </w:rPr>
              <w:t>联系方式：</w:t>
            </w:r>
            <w:r>
              <w:rPr>
                <w:rFonts w:hint="eastAsia" w:ascii="宋体" w:hAnsi="宋体" w:cs="宋体"/>
                <w:bCs/>
                <w:color w:val="auto"/>
                <w:sz w:val="24"/>
                <w:szCs w:val="24"/>
                <w:lang w:val="en-US" w:eastAsia="zh-CN"/>
              </w:rPr>
              <w:t xml:space="preserve">15057036959 </w:t>
            </w:r>
          </w:p>
          <w:p w14:paraId="66507BBF">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kern w:val="2"/>
                <w:sz w:val="24"/>
                <w:szCs w:val="24"/>
                <w:lang w:val="zh-CN" w:eastAsia="zh-CN" w:bidi="ar-SA"/>
              </w:rPr>
            </w:pPr>
            <w:r>
              <w:rPr>
                <w:rFonts w:hint="eastAsia" w:ascii="宋体" w:hAnsi="宋体" w:cs="宋体"/>
                <w:bCs/>
                <w:color w:val="auto"/>
                <w:sz w:val="24"/>
                <w:szCs w:val="24"/>
                <w:lang w:val="zh-CN" w:eastAsia="zh-CN"/>
              </w:rPr>
              <w:t>地址：</w:t>
            </w:r>
            <w:r>
              <w:rPr>
                <w:rFonts w:hint="eastAsia" w:ascii="宋体" w:hAnsi="宋体" w:cs="宋体"/>
                <w:bCs/>
                <w:color w:val="auto"/>
                <w:sz w:val="24"/>
                <w:szCs w:val="24"/>
                <w:lang w:val="en-US" w:eastAsia="zh-CN"/>
              </w:rPr>
              <w:t>龙游县小南海镇周红坂村</w:t>
            </w:r>
          </w:p>
        </w:tc>
      </w:tr>
      <w:tr w14:paraId="4E46366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569DB672">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lang w:val="zh-CN" w:eastAsia="zh-CN"/>
              </w:rPr>
            </w:pPr>
            <w:r>
              <w:rPr>
                <w:rFonts w:hint="eastAsia" w:ascii="宋体" w:hAnsi="宋体" w:cs="宋体"/>
                <w:color w:val="000000"/>
              </w:rPr>
              <w:t>2</w:t>
            </w:r>
          </w:p>
        </w:tc>
        <w:tc>
          <w:tcPr>
            <w:tcW w:w="2110" w:type="dxa"/>
            <w:vAlign w:val="center"/>
          </w:tcPr>
          <w:p w14:paraId="73BC6243">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采购代理机构</w:t>
            </w:r>
          </w:p>
        </w:tc>
        <w:tc>
          <w:tcPr>
            <w:tcW w:w="7235" w:type="dxa"/>
            <w:vAlign w:val="center"/>
          </w:tcPr>
          <w:p w14:paraId="2A940543">
            <w:pPr>
              <w:keepNext w:val="0"/>
              <w:keepLines w:val="0"/>
              <w:suppressLineNumbers w:val="0"/>
              <w:spacing w:before="0" w:beforeAutospacing="0" w:after="0" w:afterAutospacing="0" w:line="240" w:lineRule="auto"/>
              <w:ind w:left="0" w:right="0" w:firstLine="0" w:firstLineChars="0"/>
              <w:jc w:val="both"/>
              <w:rPr>
                <w:rFonts w:hint="default" w:ascii="宋体" w:hAnsi="宋体" w:cs="宋体"/>
                <w:color w:val="auto"/>
                <w:lang w:val="zh-CN"/>
              </w:rPr>
            </w:pPr>
            <w:r>
              <w:rPr>
                <w:rFonts w:hint="eastAsia" w:ascii="宋体" w:hAnsi="宋体" w:cs="宋体"/>
                <w:color w:val="auto"/>
                <w:lang w:val="zh-CN"/>
              </w:rPr>
              <w:t>名称：浙江新诚信工程咨询有限公司</w:t>
            </w:r>
          </w:p>
          <w:p w14:paraId="6FDCDA7F">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lang w:val="zh-CN" w:eastAsia="zh-CN"/>
              </w:rPr>
            </w:pPr>
            <w:r>
              <w:rPr>
                <w:rFonts w:hint="eastAsia" w:ascii="宋体" w:hAnsi="宋体" w:cs="宋体"/>
                <w:color w:val="auto"/>
                <w:lang w:val="zh-CN"/>
              </w:rPr>
              <w:t>联系人：</w:t>
            </w:r>
            <w:r>
              <w:rPr>
                <w:rFonts w:hint="eastAsia" w:ascii="宋体" w:hAnsi="宋体" w:cs="宋体"/>
                <w:color w:val="auto"/>
                <w:lang w:val="en-US" w:eastAsia="zh-CN"/>
              </w:rPr>
              <w:t>唐女士</w:t>
            </w:r>
          </w:p>
          <w:p w14:paraId="5638DC0E">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lang w:val="zh-CN" w:eastAsia="zh-CN"/>
              </w:rPr>
            </w:pPr>
            <w:r>
              <w:rPr>
                <w:rFonts w:hint="eastAsia" w:ascii="宋体" w:hAnsi="宋体" w:cs="宋体"/>
                <w:color w:val="auto"/>
                <w:lang w:val="zh-CN"/>
              </w:rPr>
              <w:t>联系方式：</w:t>
            </w:r>
            <w:r>
              <w:rPr>
                <w:rFonts w:hint="eastAsia" w:ascii="宋体" w:hAnsi="宋体" w:cs="宋体"/>
                <w:color w:val="auto"/>
                <w:lang w:eastAsia="zh-CN"/>
              </w:rPr>
              <w:t>13357013858</w:t>
            </w:r>
          </w:p>
          <w:p w14:paraId="28BD4996">
            <w:pPr>
              <w:keepNext w:val="0"/>
              <w:keepLines w:val="0"/>
              <w:widowControl/>
              <w:suppressLineNumbers w:val="0"/>
              <w:wordWrap/>
              <w:snapToGrid/>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kern w:val="2"/>
                <w:sz w:val="24"/>
                <w:szCs w:val="24"/>
                <w:lang w:val="zh-CN" w:eastAsia="zh-CN" w:bidi="ar-SA"/>
              </w:rPr>
            </w:pPr>
            <w:r>
              <w:rPr>
                <w:rFonts w:hint="eastAsia" w:ascii="宋体" w:hAnsi="宋体" w:cs="宋体"/>
                <w:color w:val="auto"/>
                <w:lang w:val="zh-CN"/>
              </w:rPr>
              <w:t>地址：</w:t>
            </w:r>
            <w:r>
              <w:rPr>
                <w:rFonts w:hint="eastAsia" w:ascii="宋体" w:hAnsi="宋体" w:cs="宋体"/>
                <w:color w:val="auto"/>
                <w:lang w:eastAsia="zh-CN"/>
              </w:rPr>
              <w:t xml:space="preserve">龙游县龙洲街道环河步行街242号313室 </w:t>
            </w:r>
          </w:p>
        </w:tc>
      </w:tr>
      <w:tr w14:paraId="6F7ACB9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5F8AC599">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kern w:val="2"/>
                <w:sz w:val="24"/>
                <w:szCs w:val="24"/>
                <w:lang w:val="zh-CN" w:eastAsia="zh-CN" w:bidi="ar-SA"/>
              </w:rPr>
            </w:pPr>
            <w:r>
              <w:rPr>
                <w:rFonts w:hint="eastAsia" w:ascii="宋体" w:hAnsi="宋体" w:cs="宋体"/>
                <w:color w:val="000000"/>
              </w:rPr>
              <w:t>3</w:t>
            </w:r>
          </w:p>
        </w:tc>
        <w:tc>
          <w:tcPr>
            <w:tcW w:w="2110" w:type="dxa"/>
            <w:vAlign w:val="center"/>
          </w:tcPr>
          <w:p w14:paraId="5A5C108A">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项目名称及编号</w:t>
            </w:r>
          </w:p>
        </w:tc>
        <w:tc>
          <w:tcPr>
            <w:tcW w:w="7235" w:type="dxa"/>
            <w:vAlign w:val="center"/>
          </w:tcPr>
          <w:p w14:paraId="37C11CD7">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firstLine="0" w:firstLineChars="0"/>
              <w:jc w:val="left"/>
              <w:textAlignment w:val="auto"/>
              <w:rPr>
                <w:rFonts w:hint="eastAsia" w:ascii="宋体" w:hAnsi="宋体" w:eastAsia="宋体" w:cs="宋体"/>
                <w:kern w:val="2"/>
                <w:sz w:val="24"/>
                <w:szCs w:val="24"/>
                <w:lang w:val="zh-CN" w:eastAsia="zh-CN" w:bidi="ar-SA"/>
              </w:rPr>
            </w:pPr>
            <w:r>
              <w:rPr>
                <w:rFonts w:hint="eastAsia" w:ascii="宋体" w:hAnsi="宋体" w:cs="宋体"/>
                <w:kern w:val="2"/>
                <w:sz w:val="24"/>
                <w:szCs w:val="24"/>
                <w:lang w:val="zh-CN" w:eastAsia="zh-CN" w:bidi="ar-SA"/>
              </w:rPr>
              <w:t>小南海镇周红坂村老年活动中心及厨房改造采购项目</w:t>
            </w:r>
            <w:r>
              <w:rPr>
                <w:rFonts w:hint="eastAsia" w:ascii="宋体" w:hAnsi="宋体" w:eastAsia="宋体" w:cs="宋体"/>
                <w:kern w:val="2"/>
                <w:sz w:val="24"/>
                <w:szCs w:val="24"/>
                <w:lang w:val="zh-CN" w:eastAsia="zh-CN" w:bidi="ar-SA"/>
              </w:rPr>
              <w:t>（项目编号：</w:t>
            </w:r>
            <w:r>
              <w:rPr>
                <w:rFonts w:hint="eastAsia" w:ascii="宋体" w:hAnsi="宋体" w:cs="宋体"/>
                <w:kern w:val="2"/>
                <w:sz w:val="24"/>
                <w:szCs w:val="24"/>
                <w:lang w:val="zh-CN" w:eastAsia="zh-CN" w:bidi="ar-SA"/>
              </w:rPr>
              <w:t>LYCG2025XCX-008</w:t>
            </w:r>
            <w:r>
              <w:rPr>
                <w:rFonts w:hint="eastAsia" w:ascii="宋体" w:hAnsi="宋体" w:eastAsia="宋体" w:cs="宋体"/>
                <w:kern w:val="2"/>
                <w:sz w:val="24"/>
                <w:szCs w:val="24"/>
                <w:lang w:val="zh-CN" w:eastAsia="zh-CN" w:bidi="ar-SA"/>
              </w:rPr>
              <w:t>)</w:t>
            </w:r>
          </w:p>
        </w:tc>
      </w:tr>
      <w:tr w14:paraId="431B8E2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49B9E03C">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kern w:val="2"/>
                <w:sz w:val="24"/>
                <w:szCs w:val="24"/>
                <w:lang w:val="zh-CN" w:eastAsia="zh-CN" w:bidi="ar-SA"/>
              </w:rPr>
            </w:pPr>
            <w:r>
              <w:rPr>
                <w:rFonts w:hint="eastAsia" w:ascii="宋体" w:hAnsi="宋体" w:cs="宋体"/>
                <w:color w:val="000000"/>
              </w:rPr>
              <w:t>4</w:t>
            </w:r>
          </w:p>
        </w:tc>
        <w:tc>
          <w:tcPr>
            <w:tcW w:w="2110" w:type="dxa"/>
            <w:vAlign w:val="center"/>
          </w:tcPr>
          <w:p w14:paraId="0142C84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预算价</w:t>
            </w:r>
          </w:p>
        </w:tc>
        <w:tc>
          <w:tcPr>
            <w:tcW w:w="7235" w:type="dxa"/>
            <w:vAlign w:val="center"/>
          </w:tcPr>
          <w:p w14:paraId="7C20E680">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lang w:val="zh-CN" w:eastAsia="zh-CN"/>
              </w:rPr>
            </w:pPr>
            <w:r>
              <w:rPr>
                <w:rFonts w:hint="eastAsia" w:ascii="宋体" w:hAnsi="宋体" w:cs="宋体"/>
                <w:color w:val="auto"/>
                <w:lang w:val="en-US" w:eastAsia="zh-CN"/>
              </w:rPr>
              <w:t>283000元</w:t>
            </w:r>
            <w:r>
              <w:rPr>
                <w:rFonts w:hint="eastAsia" w:ascii="宋体" w:hAnsi="宋体" w:eastAsia="宋体" w:cs="宋体"/>
                <w:color w:val="auto"/>
                <w:lang w:val="zh-CN" w:eastAsia="zh-CN"/>
              </w:rPr>
              <w:t>；</w:t>
            </w:r>
          </w:p>
        </w:tc>
      </w:tr>
      <w:tr w14:paraId="06DA70A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742E538F">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kern w:val="2"/>
                <w:sz w:val="24"/>
                <w:szCs w:val="24"/>
                <w:lang w:val="zh-CN" w:eastAsia="zh-CN" w:bidi="ar-SA"/>
              </w:rPr>
            </w:pPr>
            <w:r>
              <w:rPr>
                <w:rFonts w:hint="eastAsia" w:ascii="宋体" w:hAnsi="宋体" w:cs="宋体"/>
                <w:color w:val="000000"/>
              </w:rPr>
              <w:t>5</w:t>
            </w:r>
          </w:p>
        </w:tc>
        <w:tc>
          <w:tcPr>
            <w:tcW w:w="2110" w:type="dxa"/>
            <w:vAlign w:val="center"/>
          </w:tcPr>
          <w:p w14:paraId="559B6A83">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最高限价</w:t>
            </w:r>
          </w:p>
        </w:tc>
        <w:tc>
          <w:tcPr>
            <w:tcW w:w="7235" w:type="dxa"/>
            <w:vAlign w:val="center"/>
          </w:tcPr>
          <w:p w14:paraId="1ACF6458">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lang w:val="zh-CN" w:eastAsia="zh-CN"/>
              </w:rPr>
            </w:pPr>
            <w:r>
              <w:rPr>
                <w:rFonts w:hint="eastAsia" w:ascii="宋体" w:hAnsi="宋体" w:cs="宋体"/>
                <w:color w:val="auto"/>
                <w:lang w:val="en-US" w:eastAsia="zh-CN"/>
              </w:rPr>
              <w:t>283000元</w:t>
            </w:r>
            <w:r>
              <w:rPr>
                <w:rFonts w:hint="eastAsia" w:ascii="宋体" w:hAnsi="宋体" w:eastAsia="宋体" w:cs="宋体"/>
                <w:color w:val="auto"/>
                <w:lang w:val="zh-CN" w:eastAsia="zh-CN"/>
              </w:rPr>
              <w:t>；</w:t>
            </w:r>
            <w:r>
              <w:rPr>
                <w:rFonts w:hint="eastAsia" w:ascii="宋体" w:hAnsi="宋体" w:eastAsia="宋体" w:cs="宋体"/>
                <w:color w:val="auto"/>
                <w:lang w:val="en-US" w:eastAsia="zh-CN"/>
              </w:rPr>
              <w:t>供应商</w:t>
            </w:r>
            <w:r>
              <w:rPr>
                <w:rFonts w:hint="eastAsia" w:ascii="宋体" w:hAnsi="宋体" w:eastAsia="宋体" w:cs="宋体"/>
                <w:color w:val="auto"/>
                <w:lang w:val="zh-CN" w:eastAsia="zh-CN"/>
              </w:rPr>
              <w:t>应按此最高限价并结合企业自身情况及管理经验自主报价，</w:t>
            </w:r>
            <w:r>
              <w:rPr>
                <w:rFonts w:hint="eastAsia" w:ascii="宋体" w:hAnsi="宋体" w:eastAsia="宋体" w:cs="宋体"/>
                <w:color w:val="auto"/>
                <w:lang w:val="en-US" w:eastAsia="zh-CN"/>
              </w:rPr>
              <w:t>磋商响应</w:t>
            </w:r>
            <w:r>
              <w:rPr>
                <w:rFonts w:hint="eastAsia" w:ascii="宋体" w:hAnsi="宋体" w:eastAsia="宋体" w:cs="宋体"/>
                <w:color w:val="auto"/>
                <w:lang w:val="zh-CN" w:eastAsia="zh-CN"/>
              </w:rPr>
              <w:t>报价不得超过最高限价，否则作废标处理。</w:t>
            </w:r>
          </w:p>
        </w:tc>
      </w:tr>
      <w:tr w14:paraId="50E75AB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21FF1BB5">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kern w:val="2"/>
                <w:sz w:val="24"/>
                <w:szCs w:val="24"/>
                <w:lang w:val="zh-CN" w:eastAsia="zh-CN" w:bidi="ar-SA"/>
              </w:rPr>
            </w:pPr>
            <w:r>
              <w:rPr>
                <w:rFonts w:hint="eastAsia" w:ascii="宋体" w:hAnsi="宋体" w:cs="宋体"/>
                <w:color w:val="000000"/>
              </w:rPr>
              <w:t>6</w:t>
            </w:r>
          </w:p>
        </w:tc>
        <w:tc>
          <w:tcPr>
            <w:tcW w:w="2110" w:type="dxa"/>
            <w:vAlign w:val="center"/>
          </w:tcPr>
          <w:p w14:paraId="69CB3729">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磋商</w:t>
            </w:r>
            <w:r>
              <w:rPr>
                <w:rFonts w:hint="eastAsia" w:ascii="宋体" w:hAnsi="宋体" w:eastAsia="宋体" w:cs="宋体"/>
                <w:kern w:val="2"/>
                <w:sz w:val="24"/>
                <w:szCs w:val="24"/>
                <w:lang w:val="zh-CN" w:eastAsia="zh-CN" w:bidi="ar-SA"/>
              </w:rPr>
              <w:t>范围</w:t>
            </w:r>
          </w:p>
        </w:tc>
        <w:tc>
          <w:tcPr>
            <w:tcW w:w="7235" w:type="dxa"/>
            <w:vAlign w:val="center"/>
          </w:tcPr>
          <w:p w14:paraId="0B97FDE6">
            <w:pPr>
              <w:keepNext w:val="0"/>
              <w:keepLines w:val="0"/>
              <w:pageBreakBefore w:val="0"/>
              <w:widowControl w:val="0"/>
              <w:numPr>
                <w:ilvl w:val="-1"/>
                <w:numId w:val="0"/>
              </w:numPr>
              <w:suppressLineNumbers w:val="0"/>
              <w:kinsoku/>
              <w:wordWrap/>
              <w:overflowPunct/>
              <w:topLinePunct w:val="0"/>
              <w:bidi w:val="0"/>
              <w:snapToGrid/>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kern w:val="2"/>
                <w:sz w:val="24"/>
                <w:szCs w:val="24"/>
                <w:lang w:val="zh-CN" w:eastAsia="zh-CN" w:bidi="ar-SA"/>
              </w:rPr>
            </w:pPr>
            <w:r>
              <w:rPr>
                <w:rFonts w:hint="eastAsia" w:ascii="宋体" w:hAnsi="宋体" w:eastAsia="宋体" w:cs="宋体"/>
                <w:sz w:val="24"/>
                <w:szCs w:val="24"/>
                <w:lang w:val="zh-CN"/>
              </w:rPr>
              <w:t>详见磋商文件“第三章 采购</w:t>
            </w:r>
            <w:r>
              <w:rPr>
                <w:rFonts w:hint="eastAsia" w:ascii="宋体" w:hAnsi="宋体" w:cs="宋体"/>
                <w:sz w:val="24"/>
                <w:szCs w:val="24"/>
                <w:lang w:val="zh-CN" w:eastAsia="zh-CN"/>
              </w:rPr>
              <w:t>内容及要</w:t>
            </w:r>
            <w:r>
              <w:rPr>
                <w:rFonts w:hint="eastAsia" w:ascii="宋体" w:hAnsi="宋体" w:eastAsia="宋体" w:cs="宋体"/>
                <w:sz w:val="24"/>
                <w:szCs w:val="24"/>
                <w:lang w:val="zh-CN"/>
              </w:rPr>
              <w:t>求”</w:t>
            </w:r>
            <w:r>
              <w:rPr>
                <w:rFonts w:hint="eastAsia" w:ascii="宋体" w:hAnsi="宋体" w:eastAsia="宋体" w:cs="宋体"/>
                <w:sz w:val="24"/>
                <w:szCs w:val="24"/>
                <w:lang w:val="zh-CN" w:eastAsia="zh-CN"/>
              </w:rPr>
              <w:t>。</w:t>
            </w:r>
          </w:p>
        </w:tc>
      </w:tr>
      <w:tr w14:paraId="6CFF964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14C7F348">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kern w:val="2"/>
                <w:sz w:val="24"/>
                <w:szCs w:val="24"/>
                <w:lang w:val="zh-CN" w:eastAsia="zh-CN" w:bidi="ar-SA"/>
              </w:rPr>
            </w:pPr>
            <w:r>
              <w:rPr>
                <w:rFonts w:hint="eastAsia" w:ascii="宋体" w:hAnsi="宋体" w:cs="宋体"/>
                <w:color w:val="000000"/>
              </w:rPr>
              <w:t>7</w:t>
            </w:r>
          </w:p>
        </w:tc>
        <w:tc>
          <w:tcPr>
            <w:tcW w:w="2110" w:type="dxa"/>
            <w:vAlign w:val="center"/>
          </w:tcPr>
          <w:p w14:paraId="7E78F3BD">
            <w:pPr>
              <w:keepNext w:val="0"/>
              <w:keepLines w:val="0"/>
              <w:pageBreakBefore w:val="0"/>
              <w:widowControl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0000FF"/>
                <w:kern w:val="2"/>
                <w:sz w:val="24"/>
                <w:szCs w:val="24"/>
                <w:lang w:val="zh-CN" w:eastAsia="zh-CN" w:bidi="ar-SA"/>
              </w:rPr>
            </w:pPr>
            <w:r>
              <w:rPr>
                <w:rFonts w:hint="eastAsia" w:ascii="宋体" w:hAnsi="宋体" w:cs="宋体"/>
                <w:color w:val="auto"/>
                <w:kern w:val="2"/>
                <w:sz w:val="24"/>
                <w:szCs w:val="24"/>
                <w:highlight w:val="none"/>
                <w:lang w:val="en-US" w:eastAsia="zh-CN" w:bidi="ar-SA"/>
              </w:rPr>
              <w:t>磋商响应报价</w:t>
            </w:r>
            <w:r>
              <w:rPr>
                <w:rFonts w:hint="eastAsia" w:ascii="宋体" w:hAnsi="宋体" w:eastAsia="宋体" w:cs="宋体"/>
                <w:color w:val="auto"/>
                <w:kern w:val="2"/>
                <w:sz w:val="24"/>
                <w:szCs w:val="24"/>
                <w:highlight w:val="none"/>
                <w:lang w:val="en-US" w:eastAsia="zh-CN" w:bidi="ar-SA"/>
              </w:rPr>
              <w:t>范围</w:t>
            </w:r>
          </w:p>
        </w:tc>
        <w:tc>
          <w:tcPr>
            <w:tcW w:w="7235" w:type="dxa"/>
            <w:vAlign w:val="center"/>
          </w:tcPr>
          <w:p w14:paraId="4F86050A">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color w:val="0000FF"/>
                <w:kern w:val="2"/>
                <w:sz w:val="24"/>
                <w:szCs w:val="24"/>
                <w:lang w:val="zh-CN" w:eastAsia="zh-CN" w:bidi="ar-SA"/>
              </w:rPr>
            </w:pPr>
            <w:r>
              <w:rPr>
                <w:rFonts w:hint="eastAsia" w:ascii="宋体" w:hAnsi="宋体" w:cs="宋体"/>
                <w:color w:val="000000"/>
                <w:highlight w:val="none"/>
                <w:lang w:val="en-US" w:eastAsia="zh-CN"/>
              </w:rPr>
              <w:t>1.</w:t>
            </w:r>
            <w:r>
              <w:rPr>
                <w:rFonts w:hint="eastAsia" w:ascii="宋体" w:hAnsi="宋体" w:cs="宋体"/>
                <w:color w:val="000000"/>
                <w:highlight w:val="none"/>
                <w:lang w:eastAsia="zh-CN"/>
              </w:rPr>
              <w:t>磋商报价</w:t>
            </w:r>
            <w:r>
              <w:rPr>
                <w:rFonts w:hint="eastAsia" w:ascii="宋体" w:hAnsi="宋体" w:cs="宋体"/>
                <w:color w:val="000000"/>
                <w:highlight w:val="none"/>
              </w:rPr>
              <w:t>应以人民币为结算货币。</w:t>
            </w:r>
            <w:r>
              <w:rPr>
                <w:rFonts w:hint="eastAsia" w:ascii="宋体" w:hAnsi="宋体" w:eastAsia="宋体" w:cs="宋体"/>
                <w:color w:val="000000"/>
                <w:lang w:eastAsia="zh-CN"/>
              </w:rPr>
              <w:t>磋商报价</w:t>
            </w:r>
            <w:r>
              <w:rPr>
                <w:rFonts w:hint="eastAsia" w:ascii="宋体" w:hAnsi="宋体" w:eastAsia="宋体" w:cs="宋体"/>
                <w:color w:val="000000"/>
              </w:rPr>
              <w:t>应为供应商在正确地完全履行合同义务后采购人应支付的全部价款，</w:t>
            </w:r>
            <w:r>
              <w:rPr>
                <w:rFonts w:hint="eastAsia" w:ascii="宋体" w:hAnsi="宋体" w:eastAsia="宋体" w:cs="宋体"/>
                <w:color w:val="auto"/>
                <w:sz w:val="24"/>
                <w:szCs w:val="24"/>
                <w:highlight w:val="none"/>
                <w:lang w:val="zh-CN"/>
              </w:rPr>
              <w:t>报价</w:t>
            </w:r>
            <w:bookmarkStart w:id="239" w:name="OLE_LINK37"/>
            <w:r>
              <w:rPr>
                <w:rFonts w:hint="eastAsia" w:ascii="宋体" w:hAnsi="宋体" w:eastAsia="宋体" w:cs="宋体"/>
                <w:color w:val="000000"/>
                <w:lang w:eastAsia="zh-CN"/>
              </w:rPr>
              <w:t>包括但不限于</w:t>
            </w:r>
            <w:bookmarkEnd w:id="239"/>
            <w:r>
              <w:rPr>
                <w:rFonts w:hint="eastAsia" w:ascii="宋体" w:hAnsi="宋体" w:cs="宋体"/>
                <w:color w:val="000000"/>
                <w:lang w:eastAsia="zh-CN"/>
              </w:rPr>
              <w:t>设备、劳务、管理、材料、安装、调试、维护、深化及布展（制作）图设计、制作、垃圾清扫和搬运、机械费、运输费、安装费、施工费、施工措施费用、民工工伤保险费、验收、保险、利润、税金、以及政策性文件规定的费用及合同包含的所有风险、责任等费用。</w:t>
            </w:r>
          </w:p>
        </w:tc>
      </w:tr>
      <w:tr w14:paraId="09EDC11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24" w:hRule="atLeast"/>
          <w:jc w:val="center"/>
        </w:trPr>
        <w:tc>
          <w:tcPr>
            <w:tcW w:w="785" w:type="dxa"/>
            <w:vAlign w:val="center"/>
          </w:tcPr>
          <w:p w14:paraId="65604292">
            <w:pPr>
              <w:keepNext w:val="0"/>
              <w:keepLines w:val="0"/>
              <w:suppressLineNumbers w:val="0"/>
              <w:spacing w:before="0" w:beforeAutospacing="0" w:after="0" w:afterAutospacing="0" w:line="240" w:lineRule="auto"/>
              <w:ind w:left="0" w:right="0" w:firstLine="0" w:firstLineChars="0"/>
              <w:jc w:val="center"/>
              <w:rPr>
                <w:rFonts w:hint="eastAsia"/>
                <w:lang w:val="zh-CN" w:eastAsia="zh-CN"/>
              </w:rPr>
            </w:pPr>
            <w:r>
              <w:rPr>
                <w:rFonts w:hint="eastAsia" w:ascii="宋体" w:hAnsi="宋体" w:cs="宋体"/>
                <w:color w:val="000000"/>
                <w:lang w:val="en-US" w:eastAsia="zh-CN"/>
              </w:rPr>
              <w:t>8</w:t>
            </w:r>
          </w:p>
        </w:tc>
        <w:tc>
          <w:tcPr>
            <w:tcW w:w="2110" w:type="dxa"/>
            <w:vAlign w:val="center"/>
          </w:tcPr>
          <w:p w14:paraId="409BD610">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cs="宋体"/>
                <w:color w:val="0000FF"/>
                <w:kern w:val="2"/>
                <w:sz w:val="24"/>
                <w:szCs w:val="24"/>
                <w:lang w:val="en-US" w:eastAsia="zh-CN" w:bidi="ar-SA"/>
              </w:rPr>
            </w:pPr>
            <w:r>
              <w:rPr>
                <w:rFonts w:hint="eastAsia" w:ascii="宋体" w:hAnsi="宋体" w:eastAsia="宋体" w:cs="宋体"/>
                <w:kern w:val="2"/>
                <w:sz w:val="24"/>
                <w:szCs w:val="24"/>
                <w:lang w:val="zh-CN" w:eastAsia="zh-CN" w:bidi="ar-SA"/>
              </w:rPr>
              <w:t>申请人资格要求</w:t>
            </w:r>
          </w:p>
        </w:tc>
        <w:tc>
          <w:tcPr>
            <w:tcW w:w="7235" w:type="dxa"/>
            <w:vAlign w:val="center"/>
          </w:tcPr>
          <w:p w14:paraId="4F3B8695">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color w:val="0000FF"/>
                <w:kern w:val="2"/>
                <w:sz w:val="24"/>
                <w:szCs w:val="24"/>
                <w:lang w:val="zh-CN" w:eastAsia="zh-CN" w:bidi="ar-SA"/>
              </w:rPr>
            </w:pPr>
            <w:r>
              <w:rPr>
                <w:rFonts w:hint="eastAsia" w:ascii="宋体" w:hAnsi="宋体" w:eastAsia="宋体" w:cs="宋体"/>
                <w:kern w:val="2"/>
                <w:sz w:val="24"/>
                <w:szCs w:val="24"/>
                <w:lang w:val="zh-CN" w:eastAsia="zh-CN" w:bidi="ar-SA"/>
              </w:rPr>
              <w:t xml:space="preserve">详见“第一章 </w:t>
            </w:r>
            <w:r>
              <w:rPr>
                <w:rFonts w:hint="eastAsia" w:ascii="宋体" w:hAnsi="宋体" w:cs="宋体"/>
                <w:kern w:val="2"/>
                <w:sz w:val="24"/>
                <w:szCs w:val="24"/>
                <w:lang w:val="en-US" w:eastAsia="zh-CN" w:bidi="ar-SA"/>
              </w:rPr>
              <w:t>磋商</w:t>
            </w:r>
            <w:r>
              <w:rPr>
                <w:rFonts w:hint="eastAsia" w:ascii="宋体" w:hAnsi="宋体" w:eastAsia="宋体" w:cs="宋体"/>
                <w:kern w:val="2"/>
                <w:sz w:val="24"/>
                <w:szCs w:val="24"/>
                <w:lang w:val="zh-CN" w:eastAsia="zh-CN" w:bidi="ar-SA"/>
              </w:rPr>
              <w:t>公告”</w:t>
            </w:r>
            <w:r>
              <w:rPr>
                <w:rFonts w:hint="eastAsia" w:ascii="宋体" w:hAnsi="宋体" w:cs="宋体"/>
                <w:kern w:val="2"/>
                <w:sz w:val="24"/>
                <w:szCs w:val="24"/>
                <w:lang w:val="zh-CN" w:eastAsia="zh-CN" w:bidi="ar-SA"/>
              </w:rPr>
              <w:t>。</w:t>
            </w:r>
          </w:p>
        </w:tc>
      </w:tr>
      <w:tr w14:paraId="0C4A71C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214854B6">
            <w:pPr>
              <w:keepNext w:val="0"/>
              <w:keepLines w:val="0"/>
              <w:suppressLineNumbers w:val="0"/>
              <w:spacing w:before="0" w:beforeAutospacing="0" w:after="0" w:afterAutospacing="0" w:line="240" w:lineRule="auto"/>
              <w:ind w:left="0" w:right="0" w:firstLine="0" w:firstLineChars="0"/>
              <w:jc w:val="center"/>
              <w:rPr>
                <w:rFonts w:hint="eastAsia"/>
                <w:lang w:val="zh-CN" w:eastAsia="zh-CN"/>
              </w:rPr>
            </w:pPr>
            <w:r>
              <w:rPr>
                <w:rFonts w:hint="eastAsia" w:ascii="宋体" w:hAnsi="宋体" w:cs="宋体"/>
                <w:color w:val="000000"/>
                <w:lang w:val="en-US" w:eastAsia="zh-CN"/>
              </w:rPr>
              <w:t>9</w:t>
            </w:r>
          </w:p>
        </w:tc>
        <w:tc>
          <w:tcPr>
            <w:tcW w:w="2110" w:type="dxa"/>
            <w:vAlign w:val="center"/>
          </w:tcPr>
          <w:p w14:paraId="2F3D4CE7">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cs="宋体"/>
                <w:color w:val="0000FF"/>
                <w:kern w:val="2"/>
                <w:sz w:val="24"/>
                <w:szCs w:val="24"/>
                <w:lang w:val="en-US" w:eastAsia="zh-CN" w:bidi="ar-SA"/>
              </w:rPr>
            </w:pPr>
            <w:r>
              <w:rPr>
                <w:rFonts w:hint="eastAsia" w:ascii="宋体" w:hAnsi="宋体" w:eastAsia="宋体" w:cs="宋体"/>
                <w:kern w:val="2"/>
                <w:sz w:val="24"/>
                <w:szCs w:val="24"/>
                <w:lang w:val="zh-CN" w:eastAsia="zh-CN" w:bidi="ar-SA"/>
              </w:rPr>
              <w:t>获取</w:t>
            </w:r>
            <w:r>
              <w:rPr>
                <w:rFonts w:hint="eastAsia" w:ascii="宋体" w:hAnsi="宋体" w:eastAsia="宋体" w:cs="宋体"/>
                <w:color w:val="000000"/>
                <w:lang w:val="en-US" w:eastAsia="zh-CN"/>
              </w:rPr>
              <w:t>磋商</w:t>
            </w:r>
            <w:r>
              <w:rPr>
                <w:rFonts w:hint="eastAsia" w:ascii="宋体" w:hAnsi="宋体" w:eastAsia="宋体" w:cs="宋体"/>
                <w:kern w:val="2"/>
                <w:sz w:val="24"/>
                <w:szCs w:val="24"/>
                <w:lang w:val="zh-CN" w:eastAsia="zh-CN" w:bidi="ar-SA"/>
              </w:rPr>
              <w:t>文件</w:t>
            </w:r>
          </w:p>
        </w:tc>
        <w:tc>
          <w:tcPr>
            <w:tcW w:w="7235" w:type="dxa"/>
            <w:vAlign w:val="center"/>
          </w:tcPr>
          <w:p w14:paraId="18F16A6C">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color w:val="0000FF"/>
                <w:kern w:val="2"/>
                <w:sz w:val="24"/>
                <w:szCs w:val="24"/>
                <w:lang w:val="zh-CN" w:eastAsia="zh-CN" w:bidi="ar-SA"/>
              </w:rPr>
            </w:pPr>
            <w:r>
              <w:rPr>
                <w:rFonts w:hint="eastAsia" w:ascii="宋体" w:hAnsi="宋体" w:eastAsia="宋体" w:cs="宋体"/>
                <w:kern w:val="2"/>
                <w:sz w:val="24"/>
                <w:szCs w:val="24"/>
                <w:lang w:val="zh-CN" w:eastAsia="zh-CN" w:bidi="ar-SA"/>
              </w:rPr>
              <w:t xml:space="preserve">详见“第一章 </w:t>
            </w:r>
            <w:r>
              <w:rPr>
                <w:rFonts w:hint="eastAsia" w:ascii="宋体" w:hAnsi="宋体" w:cs="宋体"/>
                <w:kern w:val="2"/>
                <w:sz w:val="24"/>
                <w:szCs w:val="24"/>
                <w:lang w:val="en-US" w:eastAsia="zh-CN" w:bidi="ar-SA"/>
              </w:rPr>
              <w:t>磋商</w:t>
            </w:r>
            <w:r>
              <w:rPr>
                <w:rFonts w:hint="eastAsia" w:ascii="宋体" w:hAnsi="宋体" w:eastAsia="宋体" w:cs="宋体"/>
                <w:kern w:val="2"/>
                <w:sz w:val="24"/>
                <w:szCs w:val="24"/>
                <w:lang w:val="zh-CN" w:eastAsia="zh-CN" w:bidi="ar-SA"/>
              </w:rPr>
              <w:t>公告”</w:t>
            </w:r>
            <w:r>
              <w:rPr>
                <w:rFonts w:hint="eastAsia" w:ascii="宋体" w:hAnsi="宋体" w:cs="宋体"/>
                <w:kern w:val="2"/>
                <w:sz w:val="24"/>
                <w:szCs w:val="24"/>
                <w:lang w:val="zh-CN" w:eastAsia="zh-CN" w:bidi="ar-SA"/>
              </w:rPr>
              <w:t>。</w:t>
            </w:r>
          </w:p>
        </w:tc>
      </w:tr>
      <w:tr w14:paraId="6825BC1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7CECB426">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kern w:val="2"/>
                <w:sz w:val="24"/>
                <w:szCs w:val="24"/>
                <w:lang w:val="en-US" w:eastAsia="zh-CN" w:bidi="ar-SA"/>
              </w:rPr>
            </w:pPr>
            <w:r>
              <w:rPr>
                <w:rFonts w:hint="eastAsia" w:ascii="宋体" w:hAnsi="宋体" w:cs="宋体"/>
                <w:color w:val="000000"/>
                <w:lang w:val="en-US" w:eastAsia="zh-CN"/>
              </w:rPr>
              <w:t>10</w:t>
            </w:r>
          </w:p>
        </w:tc>
        <w:tc>
          <w:tcPr>
            <w:tcW w:w="2110" w:type="dxa"/>
            <w:vAlign w:val="center"/>
          </w:tcPr>
          <w:p w14:paraId="10913864">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kern w:val="2"/>
                <w:sz w:val="24"/>
                <w:szCs w:val="24"/>
                <w:lang w:val="zh-CN" w:eastAsia="zh-CN" w:bidi="ar-SA"/>
              </w:rPr>
            </w:pPr>
            <w:r>
              <w:rPr>
                <w:rFonts w:hint="eastAsia" w:ascii="宋体" w:hAnsi="宋体" w:eastAsia="宋体" w:cs="宋体"/>
                <w:lang w:val="zh-CN" w:eastAsia="zh-CN"/>
              </w:rPr>
              <w:t>磋商</w:t>
            </w:r>
            <w:r>
              <w:rPr>
                <w:rFonts w:hint="eastAsia" w:ascii="宋体" w:hAnsi="宋体" w:eastAsia="宋体" w:cs="宋体"/>
                <w:lang w:val="zh-CN"/>
              </w:rPr>
              <w:t>语言</w:t>
            </w:r>
          </w:p>
        </w:tc>
        <w:tc>
          <w:tcPr>
            <w:tcW w:w="7235" w:type="dxa"/>
            <w:vAlign w:val="center"/>
          </w:tcPr>
          <w:p w14:paraId="38DB9FE0">
            <w:pPr>
              <w:keepNext w:val="0"/>
              <w:keepLines w:val="0"/>
              <w:suppressLineNumbers w:val="0"/>
              <w:spacing w:before="0" w:beforeAutospacing="0" w:after="0" w:afterAutospacing="0" w:line="240" w:lineRule="auto"/>
              <w:ind w:left="0" w:leftChars="0" w:right="0" w:rightChars="0" w:firstLine="0" w:firstLineChars="0"/>
              <w:jc w:val="left"/>
              <w:rPr>
                <w:rFonts w:hint="eastAsia" w:ascii="宋体" w:hAnsi="宋体" w:eastAsia="宋体" w:cs="宋体"/>
                <w:kern w:val="2"/>
                <w:sz w:val="24"/>
                <w:szCs w:val="24"/>
                <w:lang w:val="zh-CN" w:eastAsia="zh-CN" w:bidi="ar-SA"/>
              </w:rPr>
            </w:pPr>
            <w:r>
              <w:rPr>
                <w:rFonts w:hint="eastAsia" w:ascii="宋体" w:hAnsi="宋体" w:eastAsia="宋体" w:cs="宋体"/>
                <w:lang w:val="zh-CN"/>
              </w:rPr>
              <w:t>中文</w:t>
            </w:r>
            <w:r>
              <w:rPr>
                <w:rFonts w:hint="eastAsia" w:ascii="宋体" w:hAnsi="宋体" w:eastAsia="宋体" w:cs="宋体"/>
                <w:lang w:val="zh-CN" w:eastAsia="zh-CN"/>
              </w:rPr>
              <w:t>。</w:t>
            </w:r>
          </w:p>
        </w:tc>
      </w:tr>
      <w:tr w14:paraId="19C6DB1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50780176">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kern w:val="2"/>
                <w:sz w:val="24"/>
                <w:szCs w:val="24"/>
                <w:lang w:val="en-US" w:eastAsia="zh-CN" w:bidi="ar-SA"/>
              </w:rPr>
            </w:pPr>
            <w:r>
              <w:rPr>
                <w:rFonts w:hint="eastAsia" w:ascii="宋体" w:hAnsi="宋体" w:cs="宋体"/>
                <w:color w:val="000000"/>
                <w:lang w:val="en-US" w:eastAsia="zh-CN"/>
              </w:rPr>
              <w:t>11</w:t>
            </w:r>
          </w:p>
        </w:tc>
        <w:tc>
          <w:tcPr>
            <w:tcW w:w="2110" w:type="dxa"/>
            <w:vAlign w:val="center"/>
          </w:tcPr>
          <w:p w14:paraId="1208D225">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color w:val="000000"/>
                <w:lang w:val="en-US" w:eastAsia="zh-CN"/>
              </w:rPr>
              <w:t>磋商</w:t>
            </w:r>
            <w:r>
              <w:rPr>
                <w:rFonts w:hint="eastAsia" w:ascii="宋体" w:hAnsi="宋体" w:eastAsia="宋体" w:cs="宋体"/>
                <w:kern w:val="2"/>
                <w:sz w:val="24"/>
                <w:szCs w:val="24"/>
                <w:lang w:val="zh-CN" w:eastAsia="zh-CN" w:bidi="ar-SA"/>
              </w:rPr>
              <w:t>有效期</w:t>
            </w:r>
          </w:p>
        </w:tc>
        <w:tc>
          <w:tcPr>
            <w:tcW w:w="7235" w:type="dxa"/>
            <w:vAlign w:val="center"/>
          </w:tcPr>
          <w:p w14:paraId="089EFBFB">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自投标截止之日起90日历天。</w:t>
            </w:r>
          </w:p>
        </w:tc>
      </w:tr>
      <w:tr w14:paraId="3FDB62D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110EB3D5">
            <w:pPr>
              <w:keepNext w:val="0"/>
              <w:keepLines w:val="0"/>
              <w:suppressLineNumbers w:val="0"/>
              <w:spacing w:before="0" w:beforeAutospacing="0" w:after="0" w:afterAutospacing="0" w:line="240" w:lineRule="auto"/>
              <w:ind w:left="0" w:right="0" w:firstLine="0" w:firstLineChars="0"/>
              <w:jc w:val="center"/>
              <w:rPr>
                <w:rFonts w:hint="eastAsia"/>
                <w:lang w:val="zh-CN" w:eastAsia="zh-CN"/>
              </w:rPr>
            </w:pPr>
            <w:r>
              <w:rPr>
                <w:rFonts w:hint="eastAsia" w:ascii="宋体" w:hAnsi="宋体" w:cs="宋体"/>
                <w:color w:val="000000"/>
              </w:rPr>
              <w:t>12</w:t>
            </w:r>
          </w:p>
        </w:tc>
        <w:tc>
          <w:tcPr>
            <w:tcW w:w="2110" w:type="dxa"/>
            <w:vAlign w:val="center"/>
          </w:tcPr>
          <w:p w14:paraId="52CA676C">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cs="宋体"/>
                <w:color w:val="0000FF"/>
                <w:kern w:val="2"/>
                <w:sz w:val="24"/>
                <w:szCs w:val="24"/>
                <w:lang w:val="en-US" w:eastAsia="zh-CN" w:bidi="ar-SA"/>
              </w:rPr>
            </w:pPr>
            <w:r>
              <w:rPr>
                <w:rFonts w:hint="eastAsia" w:ascii="宋体" w:hAnsi="宋体" w:cs="宋体"/>
                <w:kern w:val="2"/>
                <w:sz w:val="24"/>
                <w:szCs w:val="24"/>
                <w:lang w:val="en-US" w:eastAsia="zh-CN" w:bidi="ar-SA"/>
              </w:rPr>
              <w:t>资格审查</w:t>
            </w:r>
          </w:p>
        </w:tc>
        <w:tc>
          <w:tcPr>
            <w:tcW w:w="7235" w:type="dxa"/>
            <w:vAlign w:val="center"/>
          </w:tcPr>
          <w:p w14:paraId="22589EF8">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color w:val="0000FF"/>
                <w:kern w:val="2"/>
                <w:sz w:val="24"/>
                <w:szCs w:val="24"/>
                <w:lang w:val="zh-CN" w:eastAsia="zh-CN" w:bidi="ar-SA"/>
              </w:rPr>
            </w:pPr>
            <w:r>
              <w:rPr>
                <w:rFonts w:hint="eastAsia" w:ascii="宋体" w:hAnsi="宋体" w:cs="宋体"/>
                <w:kern w:val="2"/>
                <w:sz w:val="24"/>
                <w:szCs w:val="24"/>
                <w:lang w:val="en-US" w:eastAsia="zh-CN" w:bidi="ar-SA"/>
              </w:rPr>
              <w:t>资格后审。</w:t>
            </w:r>
          </w:p>
        </w:tc>
      </w:tr>
      <w:tr w14:paraId="1984CD5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77F890ED">
            <w:pPr>
              <w:keepNext w:val="0"/>
              <w:keepLines w:val="0"/>
              <w:suppressLineNumbers w:val="0"/>
              <w:spacing w:before="0" w:beforeAutospacing="0" w:after="0" w:afterAutospacing="0" w:line="240" w:lineRule="auto"/>
              <w:ind w:left="0" w:right="0" w:firstLine="0" w:firstLineChars="0"/>
              <w:jc w:val="center"/>
              <w:rPr>
                <w:rFonts w:hint="eastAsia" w:ascii="宋体" w:hAnsi="宋体" w:cs="宋体"/>
                <w:kern w:val="2"/>
                <w:sz w:val="24"/>
                <w:szCs w:val="24"/>
                <w:lang w:val="en-US" w:eastAsia="zh-CN" w:bidi="ar-SA"/>
              </w:rPr>
            </w:pPr>
            <w:r>
              <w:rPr>
                <w:rFonts w:hint="eastAsia" w:ascii="宋体" w:hAnsi="宋体" w:cs="宋体"/>
                <w:color w:val="000000"/>
              </w:rPr>
              <w:t>13</w:t>
            </w:r>
          </w:p>
        </w:tc>
        <w:tc>
          <w:tcPr>
            <w:tcW w:w="2110" w:type="dxa"/>
            <w:vAlign w:val="center"/>
          </w:tcPr>
          <w:p w14:paraId="5166EA7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000000"/>
                <w:lang w:val="en-US" w:eastAsia="zh-CN"/>
              </w:rPr>
            </w:pPr>
            <w:r>
              <w:rPr>
                <w:rFonts w:hint="eastAsia" w:ascii="宋体" w:hAnsi="宋体" w:eastAsia="宋体" w:cs="宋体"/>
                <w:color w:val="000000"/>
                <w:kern w:val="2"/>
                <w:sz w:val="24"/>
                <w:szCs w:val="24"/>
                <w:lang w:val="en-US" w:eastAsia="zh-CN" w:bidi="ar-SA"/>
              </w:rPr>
              <w:t>构成磋商文件的其他材料</w:t>
            </w:r>
          </w:p>
        </w:tc>
        <w:tc>
          <w:tcPr>
            <w:tcW w:w="7235" w:type="dxa"/>
            <w:vAlign w:val="center"/>
          </w:tcPr>
          <w:p w14:paraId="078B2B69">
            <w:pPr>
              <w:pStyle w:val="111"/>
              <w:keepNext w:val="0"/>
              <w:keepLines w:val="0"/>
              <w:pageBreakBefore w:val="0"/>
              <w:widowControl w:val="0"/>
              <w:suppressLineNumbers w:val="0"/>
              <w:tabs>
                <w:tab w:val="left" w:pos="768"/>
              </w:tabs>
              <w:kinsoku/>
              <w:wordWrap/>
              <w:overflowPunct/>
              <w:topLinePunct w:val="0"/>
              <w:bidi w:val="0"/>
              <w:snapToGrid/>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kern w:val="2"/>
                <w:sz w:val="24"/>
                <w:szCs w:val="24"/>
                <w:lang w:val="zh-CN" w:eastAsia="zh-CN" w:bidi="ar-SA"/>
              </w:rPr>
            </w:pPr>
            <w:r>
              <w:rPr>
                <w:rFonts w:hint="eastAsia" w:ascii="宋体" w:hAnsi="宋体" w:eastAsia="宋体" w:cs="宋体"/>
                <w:lang w:eastAsia="zh-CN"/>
              </w:rPr>
              <w:t>补充、更正公告</w:t>
            </w:r>
            <w:r>
              <w:rPr>
                <w:rFonts w:hint="eastAsia" w:cs="宋体"/>
                <w:lang w:eastAsia="zh-CN"/>
              </w:rPr>
              <w:t>。</w:t>
            </w:r>
          </w:p>
        </w:tc>
      </w:tr>
      <w:tr w14:paraId="6D9A1A3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vAlign w:val="center"/>
          </w:tcPr>
          <w:p w14:paraId="1C371739">
            <w:pPr>
              <w:keepNext w:val="0"/>
              <w:keepLines w:val="0"/>
              <w:suppressLineNumbers w:val="0"/>
              <w:spacing w:before="0" w:beforeAutospacing="0" w:after="0" w:afterAutospacing="0" w:line="240" w:lineRule="auto"/>
              <w:ind w:left="0" w:right="0" w:firstLine="0" w:firstLineChars="0"/>
              <w:jc w:val="center"/>
              <w:rPr>
                <w:rFonts w:hint="eastAsia" w:ascii="宋体" w:hAnsi="宋体" w:cs="宋体"/>
                <w:kern w:val="2"/>
                <w:sz w:val="24"/>
                <w:szCs w:val="24"/>
                <w:lang w:val="en-US" w:eastAsia="zh-CN" w:bidi="ar-SA"/>
              </w:rPr>
            </w:pPr>
            <w:r>
              <w:rPr>
                <w:rFonts w:hint="eastAsia" w:ascii="宋体" w:hAnsi="宋体" w:cs="宋体"/>
                <w:color w:val="000000"/>
              </w:rPr>
              <w:t>14</w:t>
            </w:r>
          </w:p>
        </w:tc>
        <w:tc>
          <w:tcPr>
            <w:tcW w:w="2110" w:type="dxa"/>
            <w:vAlign w:val="center"/>
          </w:tcPr>
          <w:p w14:paraId="76C2BD77">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000000"/>
                <w:lang w:val="en-US" w:eastAsia="zh-CN"/>
              </w:rPr>
            </w:pPr>
            <w:r>
              <w:rPr>
                <w:rFonts w:hint="eastAsia" w:ascii="宋体" w:hAnsi="宋体" w:eastAsia="宋体" w:cs="宋体"/>
                <w:color w:val="000000"/>
              </w:rPr>
              <w:t>询问与答复</w:t>
            </w:r>
          </w:p>
        </w:tc>
        <w:tc>
          <w:tcPr>
            <w:tcW w:w="7235" w:type="dxa"/>
            <w:vAlign w:val="center"/>
          </w:tcPr>
          <w:p w14:paraId="0BDAD472">
            <w:pPr>
              <w:keepNext w:val="0"/>
              <w:keepLines w:val="0"/>
              <w:suppressLineNumbers w:val="0"/>
              <w:spacing w:before="0" w:beforeAutospacing="0" w:after="0" w:afterAutospacing="0" w:line="240" w:lineRule="auto"/>
              <w:ind w:left="0" w:leftChars="0" w:right="0" w:rightChars="0" w:firstLine="0" w:firstLineChars="0"/>
              <w:rPr>
                <w:rFonts w:hint="eastAsia" w:ascii="宋体" w:hAnsi="宋体" w:eastAsia="宋体" w:cs="宋体"/>
                <w:kern w:val="2"/>
                <w:sz w:val="24"/>
                <w:szCs w:val="24"/>
                <w:lang w:val="zh-CN" w:eastAsia="zh-CN" w:bidi="ar-SA"/>
              </w:rPr>
            </w:pPr>
            <w:r>
              <w:rPr>
                <w:rFonts w:hint="eastAsia" w:ascii="宋体" w:hAnsi="宋体" w:cs="宋体"/>
                <w:color w:val="000000"/>
              </w:rPr>
              <w:t>潜在</w:t>
            </w:r>
            <w:r>
              <w:rPr>
                <w:rFonts w:hint="eastAsia" w:ascii="宋体" w:hAnsi="宋体" w:cs="宋体"/>
                <w:color w:val="000000"/>
                <w:lang w:val="en-US" w:eastAsia="zh-CN"/>
              </w:rPr>
              <w:t>供应商</w:t>
            </w:r>
            <w:r>
              <w:rPr>
                <w:rFonts w:hint="eastAsia" w:ascii="宋体" w:hAnsi="宋体" w:cs="宋体"/>
                <w:color w:val="000000"/>
              </w:rPr>
              <w:t>对</w:t>
            </w:r>
            <w:r>
              <w:rPr>
                <w:rFonts w:hint="eastAsia" w:ascii="宋体" w:hAnsi="宋体" w:cs="宋体"/>
                <w:color w:val="000000"/>
                <w:lang w:val="en-US" w:eastAsia="zh-CN"/>
              </w:rPr>
              <w:t>磋商</w:t>
            </w:r>
            <w:r>
              <w:rPr>
                <w:rFonts w:hint="eastAsia" w:ascii="宋体" w:hAnsi="宋体" w:cs="宋体"/>
                <w:color w:val="000000"/>
              </w:rPr>
              <w:t>公告、</w:t>
            </w:r>
            <w:r>
              <w:rPr>
                <w:rFonts w:hint="eastAsia" w:ascii="宋体" w:hAnsi="宋体" w:cs="宋体"/>
                <w:color w:val="000000"/>
                <w:lang w:val="en-US" w:eastAsia="zh-CN"/>
              </w:rPr>
              <w:t>磋商</w:t>
            </w:r>
            <w:r>
              <w:rPr>
                <w:rFonts w:hint="eastAsia" w:ascii="宋体" w:hAnsi="宋体" w:cs="宋体"/>
                <w:color w:val="000000"/>
              </w:rPr>
              <w:t>文件有疑问的</w:t>
            </w:r>
            <w:r>
              <w:rPr>
                <w:rFonts w:hint="eastAsia" w:ascii="宋体" w:hAnsi="宋体" w:cs="宋体"/>
                <w:color w:val="000000"/>
                <w:lang w:eastAsia="zh-CN"/>
              </w:rPr>
              <w:t>，</w:t>
            </w:r>
            <w:r>
              <w:rPr>
                <w:rFonts w:hint="eastAsia" w:ascii="宋体" w:hAnsi="宋体" w:cs="宋体"/>
                <w:color w:val="000000"/>
              </w:rPr>
              <w:t>在</w:t>
            </w:r>
            <w:r>
              <w:rPr>
                <w:rFonts w:hint="eastAsia" w:ascii="宋体" w:hAnsi="宋体" w:cs="宋体"/>
                <w:color w:val="000000"/>
                <w:lang w:eastAsia="zh-CN"/>
              </w:rPr>
              <w:t>2025年</w:t>
            </w:r>
            <w:r>
              <w:rPr>
                <w:rFonts w:hint="eastAsia" w:ascii="宋体" w:hAnsi="宋体" w:cs="宋体"/>
                <w:color w:val="000000"/>
                <w:lang w:val="en-US" w:eastAsia="zh-CN"/>
              </w:rPr>
              <w:t>4</w:t>
            </w:r>
            <w:r>
              <w:rPr>
                <w:rFonts w:hint="eastAsia" w:ascii="宋体" w:hAnsi="宋体" w:cs="宋体"/>
                <w:color w:val="000000"/>
              </w:rPr>
              <w:t>月</w:t>
            </w:r>
            <w:r>
              <w:rPr>
                <w:rFonts w:hint="eastAsia" w:ascii="宋体" w:hAnsi="宋体" w:cs="宋体"/>
                <w:color w:val="000000"/>
                <w:lang w:val="en-US" w:eastAsia="zh-CN"/>
              </w:rPr>
              <w:t>3</w:t>
            </w:r>
            <w:r>
              <w:rPr>
                <w:rFonts w:hint="eastAsia" w:ascii="宋体" w:hAnsi="宋体" w:cs="宋体"/>
                <w:color w:val="000000"/>
              </w:rPr>
              <w:t>日1</w:t>
            </w:r>
            <w:r>
              <w:rPr>
                <w:rFonts w:hint="eastAsia" w:ascii="宋体" w:hAnsi="宋体" w:cs="宋体"/>
                <w:color w:val="000000"/>
                <w:lang w:val="en-US" w:eastAsia="zh-CN"/>
              </w:rPr>
              <w:t>7</w:t>
            </w:r>
            <w:r>
              <w:rPr>
                <w:rFonts w:hint="eastAsia" w:ascii="宋体" w:hAnsi="宋体" w:cs="宋体"/>
                <w:color w:val="000000"/>
              </w:rPr>
              <w:t>:00时前以书面形式向采购人和采购代理机构提出询问</w:t>
            </w:r>
            <w:r>
              <w:rPr>
                <w:rFonts w:hint="eastAsia" w:ascii="宋体" w:hAnsi="宋体" w:cs="宋体"/>
                <w:color w:val="000000"/>
                <w:lang w:eastAsia="zh-CN"/>
              </w:rPr>
              <w:t>，</w:t>
            </w:r>
            <w:r>
              <w:rPr>
                <w:rFonts w:hint="eastAsia" w:ascii="宋体" w:hAnsi="宋体" w:cs="宋体"/>
                <w:color w:val="000000"/>
              </w:rPr>
              <w:t>逾期提出不予受理。如需修改或补充的</w:t>
            </w:r>
            <w:r>
              <w:rPr>
                <w:rFonts w:hint="eastAsia" w:ascii="宋体" w:hAnsi="宋体" w:cs="宋体"/>
                <w:color w:val="000000"/>
                <w:lang w:eastAsia="zh-CN"/>
              </w:rPr>
              <w:t>，</w:t>
            </w:r>
            <w:r>
              <w:rPr>
                <w:rFonts w:hint="eastAsia" w:ascii="宋体" w:hAnsi="宋体" w:cs="宋体"/>
                <w:color w:val="000000"/>
              </w:rPr>
              <w:t>采购代理机构以补充公告形式于</w:t>
            </w:r>
            <w:r>
              <w:rPr>
                <w:rFonts w:hint="eastAsia" w:ascii="宋体" w:hAnsi="宋体" w:cs="宋体"/>
                <w:color w:val="000000"/>
                <w:lang w:eastAsia="zh-CN"/>
              </w:rPr>
              <w:t>2025年</w:t>
            </w:r>
            <w:r>
              <w:rPr>
                <w:rFonts w:hint="eastAsia" w:ascii="宋体" w:hAnsi="宋体" w:cs="宋体"/>
                <w:color w:val="000000"/>
                <w:lang w:val="en-US" w:eastAsia="zh-CN"/>
              </w:rPr>
              <w:t>4</w:t>
            </w:r>
            <w:r>
              <w:rPr>
                <w:rFonts w:hint="eastAsia" w:ascii="宋体" w:hAnsi="宋体" w:cs="宋体"/>
                <w:color w:val="000000"/>
              </w:rPr>
              <w:t>月</w:t>
            </w:r>
            <w:r>
              <w:rPr>
                <w:rFonts w:hint="eastAsia" w:ascii="宋体" w:hAnsi="宋体" w:cs="宋体"/>
                <w:color w:val="000000"/>
                <w:lang w:val="en-US" w:eastAsia="zh-CN"/>
              </w:rPr>
              <w:t>4</w:t>
            </w:r>
            <w:r>
              <w:rPr>
                <w:rFonts w:hint="eastAsia" w:ascii="宋体" w:hAnsi="宋体" w:cs="宋体"/>
                <w:color w:val="000000"/>
              </w:rPr>
              <w:t>日17:00时前在浙江政府采购网公告。</w:t>
            </w:r>
          </w:p>
        </w:tc>
      </w:tr>
      <w:tr w14:paraId="495D2F6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261ED682">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kern w:val="2"/>
                <w:sz w:val="24"/>
                <w:szCs w:val="24"/>
                <w:lang w:val="en-US" w:eastAsia="zh-CN" w:bidi="ar-SA"/>
              </w:rPr>
            </w:pPr>
            <w:r>
              <w:rPr>
                <w:rFonts w:hint="eastAsia" w:ascii="宋体" w:hAnsi="宋体" w:cs="宋体"/>
                <w:color w:val="000000"/>
              </w:rPr>
              <w:t>15</w:t>
            </w:r>
          </w:p>
        </w:tc>
        <w:tc>
          <w:tcPr>
            <w:tcW w:w="2110" w:type="dxa"/>
            <w:vAlign w:val="center"/>
          </w:tcPr>
          <w:p w14:paraId="3E8DF4E1">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color w:val="000000"/>
                <w:lang w:val="en-US" w:eastAsia="zh-CN"/>
              </w:rPr>
            </w:pPr>
            <w:r>
              <w:rPr>
                <w:rFonts w:hint="eastAsia" w:ascii="宋体" w:hAnsi="宋体" w:cs="宋体"/>
                <w:color w:val="000000"/>
                <w:lang w:val="en-US" w:eastAsia="zh-CN"/>
              </w:rPr>
              <w:t>是否需要提供样品</w:t>
            </w:r>
          </w:p>
        </w:tc>
        <w:tc>
          <w:tcPr>
            <w:tcW w:w="7235" w:type="dxa"/>
            <w:vAlign w:val="center"/>
          </w:tcPr>
          <w:p w14:paraId="490309AC">
            <w:pPr>
              <w:keepNext w:val="0"/>
              <w:keepLines w:val="0"/>
              <w:pageBreakBefore w:val="0"/>
              <w:suppressLineNumbers w:val="0"/>
              <w:kinsoku/>
              <w:wordWrap/>
              <w:overflowPunct/>
              <w:topLinePunct w:val="0"/>
              <w:bidi w:val="0"/>
              <w:snapToGrid/>
              <w:spacing w:before="0" w:beforeAutospacing="0" w:after="0" w:afterAutospacing="0" w:line="240" w:lineRule="auto"/>
              <w:ind w:left="0" w:right="0" w:firstLine="0" w:firstLineChars="0"/>
              <w:jc w:val="both"/>
              <w:textAlignment w:val="auto"/>
              <w:rPr>
                <w:rFonts w:hint="eastAsia" w:ascii="宋体" w:hAnsi="宋体" w:eastAsia="宋体" w:cs="宋体"/>
                <w:color w:val="000000"/>
                <w:sz w:val="24"/>
                <w:szCs w:val="24"/>
                <w:lang w:eastAsia="zh-CN"/>
              </w:rPr>
            </w:pPr>
            <w:r>
              <w:rPr>
                <w:rFonts w:hint="eastAsia" w:ascii="宋体" w:hAnsi="宋体" w:cs="宋体"/>
                <w:color w:val="000000"/>
                <w:sz w:val="24"/>
                <w:szCs w:val="24"/>
                <w:lang w:eastAsia="zh-CN"/>
              </w:rPr>
              <w:t>☑</w:t>
            </w:r>
            <w:r>
              <w:rPr>
                <w:rFonts w:hint="eastAsia" w:ascii="宋体" w:hAnsi="宋体" w:eastAsia="宋体" w:cs="宋体"/>
                <w:color w:val="000000"/>
                <w:sz w:val="24"/>
                <w:szCs w:val="24"/>
              </w:rPr>
              <w:t>不</w:t>
            </w:r>
            <w:r>
              <w:rPr>
                <w:rFonts w:hint="eastAsia" w:ascii="宋体" w:hAnsi="宋体" w:eastAsia="宋体" w:cs="宋体"/>
                <w:color w:val="000000"/>
                <w:sz w:val="24"/>
                <w:szCs w:val="24"/>
                <w:lang w:val="en-US" w:eastAsia="zh-CN"/>
              </w:rPr>
              <w:t>需要</w:t>
            </w:r>
          </w:p>
          <w:p w14:paraId="7DD6DC79">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kern w:val="2"/>
                <w:sz w:val="24"/>
                <w:szCs w:val="24"/>
                <w:lang w:val="zh-CN" w:eastAsia="zh-CN" w:bidi="ar-SA"/>
              </w:rPr>
            </w:pPr>
            <w:r>
              <w:rPr>
                <w:rFonts w:hint="eastAsia" w:ascii="宋体" w:hAnsi="宋体" w:cs="宋体"/>
                <w:color w:val="000000"/>
                <w:sz w:val="24"/>
                <w:szCs w:val="24"/>
                <w:lang w:val="en-US" w:eastAsia="zh-CN"/>
              </w:rPr>
              <w:t>□</w:t>
            </w:r>
            <w:r>
              <w:rPr>
                <w:rFonts w:hint="eastAsia" w:ascii="宋体" w:hAnsi="宋体" w:eastAsia="宋体" w:cs="宋体"/>
                <w:color w:val="000000"/>
                <w:sz w:val="24"/>
                <w:szCs w:val="24"/>
                <w:lang w:val="en-US" w:eastAsia="zh-CN"/>
              </w:rPr>
              <w:t>需要</w:t>
            </w:r>
          </w:p>
        </w:tc>
      </w:tr>
      <w:tr w14:paraId="6006F0D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785" w:type="dxa"/>
            <w:shd w:val="clear" w:color="auto" w:fill="auto"/>
            <w:vAlign w:val="center"/>
          </w:tcPr>
          <w:p w14:paraId="5C5AAF3B">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kern w:val="2"/>
                <w:sz w:val="24"/>
                <w:szCs w:val="24"/>
                <w:lang w:val="en-US" w:eastAsia="zh-CN" w:bidi="ar-SA"/>
              </w:rPr>
            </w:pPr>
            <w:r>
              <w:rPr>
                <w:rFonts w:hint="eastAsia" w:ascii="宋体" w:hAnsi="宋体" w:eastAsia="宋体" w:cs="宋体"/>
                <w:color w:val="000000"/>
                <w:sz w:val="24"/>
                <w:szCs w:val="24"/>
              </w:rPr>
              <w:t>16</w:t>
            </w:r>
          </w:p>
        </w:tc>
        <w:tc>
          <w:tcPr>
            <w:tcW w:w="2110" w:type="dxa"/>
            <w:vAlign w:val="center"/>
          </w:tcPr>
          <w:p w14:paraId="6CD889C4">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0000FF"/>
                <w:kern w:val="2"/>
                <w:sz w:val="24"/>
                <w:szCs w:val="24"/>
                <w:lang w:val="zh-CN" w:eastAsia="zh-CN" w:bidi="ar-SA"/>
              </w:rPr>
            </w:pPr>
            <w:r>
              <w:rPr>
                <w:rFonts w:hint="eastAsia" w:ascii="宋体" w:hAnsi="宋体" w:eastAsia="宋体" w:cs="宋体"/>
                <w:color w:val="000000"/>
                <w:sz w:val="24"/>
                <w:szCs w:val="24"/>
              </w:rPr>
              <w:t>是否接受联合体</w:t>
            </w:r>
            <w:r>
              <w:rPr>
                <w:rFonts w:hint="eastAsia" w:ascii="宋体" w:hAnsi="宋体" w:eastAsia="宋体" w:cs="宋体"/>
                <w:color w:val="000000"/>
                <w:lang w:val="en-US" w:eastAsia="zh-CN"/>
              </w:rPr>
              <w:t>磋商</w:t>
            </w:r>
          </w:p>
        </w:tc>
        <w:tc>
          <w:tcPr>
            <w:tcW w:w="7235" w:type="dxa"/>
            <w:vAlign w:val="center"/>
          </w:tcPr>
          <w:p w14:paraId="23CCFEDD">
            <w:pPr>
              <w:keepNext w:val="0"/>
              <w:keepLines w:val="0"/>
              <w:pageBreakBefore w:val="0"/>
              <w:suppressLineNumbers w:val="0"/>
              <w:kinsoku/>
              <w:wordWrap/>
              <w:overflowPunct/>
              <w:topLinePunct w:val="0"/>
              <w:bidi w:val="0"/>
              <w:snapToGrid/>
              <w:spacing w:before="0" w:beforeAutospacing="0" w:after="0" w:afterAutospacing="0" w:line="240" w:lineRule="auto"/>
              <w:ind w:left="0" w:right="0" w:firstLine="0" w:firstLineChars="0"/>
              <w:jc w:val="both"/>
              <w:textAlignment w:val="auto"/>
              <w:rPr>
                <w:rFonts w:hint="eastAsia" w:ascii="宋体" w:hAnsi="宋体" w:eastAsia="宋体" w:cs="宋体"/>
                <w:color w:val="000000"/>
                <w:sz w:val="24"/>
                <w:szCs w:val="24"/>
              </w:rPr>
            </w:pPr>
            <w:r>
              <w:rPr>
                <w:rFonts w:hint="eastAsia" w:ascii="宋体" w:hAnsi="宋体" w:cs="宋体"/>
                <w:color w:val="000000"/>
                <w:sz w:val="24"/>
                <w:szCs w:val="24"/>
                <w:lang w:eastAsia="zh-CN"/>
              </w:rPr>
              <w:t>☑</w:t>
            </w:r>
            <w:r>
              <w:rPr>
                <w:rFonts w:hint="eastAsia" w:ascii="宋体" w:hAnsi="宋体" w:eastAsia="宋体" w:cs="宋体"/>
                <w:color w:val="000000"/>
                <w:sz w:val="24"/>
                <w:szCs w:val="24"/>
              </w:rPr>
              <w:t>不接受</w:t>
            </w:r>
          </w:p>
          <w:p w14:paraId="583A5557">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color w:val="0000FF"/>
                <w:kern w:val="2"/>
                <w:sz w:val="24"/>
                <w:szCs w:val="24"/>
                <w:lang w:val="zh-CN" w:eastAsia="zh-CN" w:bidi="ar-SA"/>
              </w:rPr>
            </w:pPr>
            <w:r>
              <w:rPr>
                <w:rFonts w:hint="eastAsia" w:ascii="宋体" w:hAnsi="宋体" w:eastAsia="宋体" w:cs="宋体"/>
                <w:color w:val="000000"/>
                <w:sz w:val="24"/>
                <w:szCs w:val="24"/>
              </w:rPr>
              <w:t>□接受，应满足下列要求：</w:t>
            </w:r>
          </w:p>
        </w:tc>
      </w:tr>
      <w:tr w14:paraId="522DA76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785" w:type="dxa"/>
            <w:shd w:val="clear" w:color="auto" w:fill="auto"/>
            <w:vAlign w:val="center"/>
          </w:tcPr>
          <w:p w14:paraId="7812317D">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color w:val="000000"/>
                <w:sz w:val="24"/>
                <w:szCs w:val="24"/>
              </w:rPr>
              <w:t>17</w:t>
            </w:r>
          </w:p>
        </w:tc>
        <w:tc>
          <w:tcPr>
            <w:tcW w:w="2110" w:type="dxa"/>
            <w:vAlign w:val="center"/>
          </w:tcPr>
          <w:p w14:paraId="3C08C1DD">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cs="宋体"/>
                <w:color w:val="000000"/>
                <w:sz w:val="24"/>
                <w:szCs w:val="24"/>
                <w:lang w:val="en-US" w:eastAsia="zh-CN"/>
              </w:rPr>
              <w:t>是否允许</w:t>
            </w:r>
            <w:r>
              <w:rPr>
                <w:rFonts w:hint="eastAsia" w:ascii="宋体" w:hAnsi="宋体" w:eastAsia="宋体" w:cs="宋体"/>
                <w:color w:val="000000"/>
                <w:sz w:val="24"/>
                <w:szCs w:val="24"/>
              </w:rPr>
              <w:t>转包与分包</w:t>
            </w:r>
          </w:p>
        </w:tc>
        <w:tc>
          <w:tcPr>
            <w:tcW w:w="7235" w:type="dxa"/>
            <w:vAlign w:val="center"/>
          </w:tcPr>
          <w:p w14:paraId="16C73E3F">
            <w:pPr>
              <w:keepNext w:val="0"/>
              <w:keepLines w:val="0"/>
              <w:pageBreakBefore w:val="0"/>
              <w:suppressLineNumbers w:val="0"/>
              <w:kinsoku/>
              <w:wordWrap/>
              <w:overflowPunct/>
              <w:topLinePunct w:val="0"/>
              <w:bidi w:val="0"/>
              <w:snapToGrid/>
              <w:spacing w:before="0" w:beforeAutospacing="0" w:after="0" w:afterAutospacing="0" w:line="240" w:lineRule="auto"/>
              <w:ind w:left="0" w:right="0" w:firstLine="0" w:firstLineChars="0"/>
              <w:jc w:val="both"/>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不允许</w:t>
            </w:r>
          </w:p>
          <w:p w14:paraId="142A8784">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kern w:val="2"/>
                <w:sz w:val="24"/>
                <w:szCs w:val="24"/>
                <w:lang w:val="zh-CN" w:eastAsia="zh-CN" w:bidi="ar-SA"/>
              </w:rPr>
            </w:pPr>
            <w:r>
              <w:rPr>
                <w:rFonts w:hint="eastAsia" w:ascii="宋体" w:hAnsi="宋体" w:cs="宋体"/>
                <w:color w:val="000000"/>
                <w:sz w:val="24"/>
                <w:szCs w:val="24"/>
                <w:lang w:eastAsia="zh-CN"/>
              </w:rPr>
              <w:t>□</w:t>
            </w:r>
            <w:r>
              <w:rPr>
                <w:rFonts w:hint="eastAsia" w:ascii="宋体" w:hAnsi="宋体" w:eastAsia="宋体" w:cs="宋体"/>
                <w:color w:val="000000"/>
                <w:sz w:val="24"/>
                <w:szCs w:val="24"/>
              </w:rPr>
              <w:t>允许</w:t>
            </w:r>
          </w:p>
        </w:tc>
      </w:tr>
      <w:tr w14:paraId="1944724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785" w:type="dxa"/>
            <w:shd w:val="clear" w:color="auto" w:fill="auto"/>
            <w:vAlign w:val="center"/>
          </w:tcPr>
          <w:p w14:paraId="5479CBA4">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color w:val="000000"/>
                <w:sz w:val="24"/>
                <w:szCs w:val="24"/>
              </w:rPr>
              <w:t>18</w:t>
            </w:r>
          </w:p>
        </w:tc>
        <w:tc>
          <w:tcPr>
            <w:tcW w:w="2110" w:type="dxa"/>
            <w:vAlign w:val="center"/>
          </w:tcPr>
          <w:p w14:paraId="52CBD354">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color w:val="000000"/>
                <w:sz w:val="24"/>
                <w:szCs w:val="24"/>
                <w:lang w:val="en-US" w:eastAsia="zh-CN"/>
              </w:rPr>
              <w:t>是否允许进口产品</w:t>
            </w:r>
          </w:p>
        </w:tc>
        <w:tc>
          <w:tcPr>
            <w:tcW w:w="7235" w:type="dxa"/>
            <w:vAlign w:val="center"/>
          </w:tcPr>
          <w:p w14:paraId="1EF0F45E">
            <w:pPr>
              <w:keepNext w:val="0"/>
              <w:keepLines w:val="0"/>
              <w:pageBreakBefore w:val="0"/>
              <w:suppressLineNumbers w:val="0"/>
              <w:kinsoku/>
              <w:wordWrap/>
              <w:overflowPunct/>
              <w:topLinePunct w:val="0"/>
              <w:bidi w:val="0"/>
              <w:snapToGrid/>
              <w:spacing w:before="0" w:beforeAutospacing="0" w:after="0" w:afterAutospacing="0" w:line="240" w:lineRule="auto"/>
              <w:ind w:left="0" w:right="0" w:firstLine="0" w:firstLineChars="0"/>
              <w:jc w:val="both"/>
              <w:textAlignment w:val="auto"/>
              <w:rPr>
                <w:rFonts w:hint="eastAsia" w:ascii="宋体" w:hAnsi="宋体" w:eastAsia="宋体" w:cs="宋体"/>
                <w:color w:val="000000"/>
                <w:sz w:val="24"/>
                <w:szCs w:val="24"/>
              </w:rPr>
            </w:pPr>
            <w:r>
              <w:rPr>
                <w:rFonts w:hint="eastAsia" w:ascii="宋体" w:hAnsi="宋体" w:cs="宋体"/>
                <w:color w:val="000000"/>
                <w:sz w:val="24"/>
                <w:szCs w:val="24"/>
                <w:lang w:eastAsia="zh-CN"/>
              </w:rPr>
              <w:t>☑</w:t>
            </w:r>
            <w:r>
              <w:rPr>
                <w:rFonts w:hint="eastAsia" w:ascii="宋体" w:hAnsi="宋体" w:eastAsia="宋体" w:cs="宋体"/>
                <w:color w:val="000000"/>
                <w:sz w:val="24"/>
                <w:szCs w:val="24"/>
              </w:rPr>
              <w:t>不允许</w:t>
            </w:r>
          </w:p>
          <w:p w14:paraId="41D38AC0">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kern w:val="2"/>
                <w:sz w:val="24"/>
                <w:szCs w:val="24"/>
                <w:lang w:val="zh-CN" w:eastAsia="zh-CN" w:bidi="ar-SA"/>
              </w:rPr>
            </w:pPr>
            <w:r>
              <w:rPr>
                <w:rFonts w:hint="eastAsia" w:ascii="宋体" w:hAnsi="宋体" w:cs="宋体"/>
                <w:color w:val="000000"/>
                <w:sz w:val="24"/>
                <w:szCs w:val="24"/>
                <w:lang w:eastAsia="zh-CN"/>
              </w:rPr>
              <w:t>□</w:t>
            </w:r>
            <w:r>
              <w:rPr>
                <w:rFonts w:hint="eastAsia" w:ascii="宋体" w:hAnsi="宋体" w:eastAsia="宋体" w:cs="宋体"/>
                <w:color w:val="000000"/>
                <w:sz w:val="24"/>
                <w:szCs w:val="24"/>
              </w:rPr>
              <w:t>允许</w:t>
            </w:r>
          </w:p>
        </w:tc>
      </w:tr>
      <w:tr w14:paraId="020B55D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785" w:type="dxa"/>
            <w:shd w:val="clear" w:color="auto" w:fill="auto"/>
            <w:vAlign w:val="center"/>
          </w:tcPr>
          <w:p w14:paraId="0B368F4F">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color w:val="000000"/>
                <w:sz w:val="24"/>
                <w:szCs w:val="24"/>
              </w:rPr>
              <w:t>19</w:t>
            </w:r>
          </w:p>
        </w:tc>
        <w:tc>
          <w:tcPr>
            <w:tcW w:w="2110" w:type="dxa"/>
            <w:vAlign w:val="center"/>
          </w:tcPr>
          <w:p w14:paraId="7B41E9B7">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color w:val="000000"/>
                <w:sz w:val="24"/>
                <w:szCs w:val="24"/>
              </w:rPr>
              <w:t>踏勘现场</w:t>
            </w:r>
          </w:p>
        </w:tc>
        <w:tc>
          <w:tcPr>
            <w:tcW w:w="7235" w:type="dxa"/>
            <w:vAlign w:val="center"/>
          </w:tcPr>
          <w:p w14:paraId="7FE29149">
            <w:pPr>
              <w:keepNext w:val="0"/>
              <w:keepLines w:val="0"/>
              <w:pageBreakBefore w:val="0"/>
              <w:suppressLineNumbers w:val="0"/>
              <w:kinsoku/>
              <w:wordWrap/>
              <w:overflowPunct/>
              <w:topLinePunct w:val="0"/>
              <w:bidi w:val="0"/>
              <w:snapToGrid/>
              <w:spacing w:before="0" w:beforeAutospacing="0" w:after="0" w:afterAutospacing="0" w:line="240" w:lineRule="auto"/>
              <w:ind w:left="0" w:right="0" w:firstLine="0" w:firstLineChars="0"/>
              <w:jc w:val="both"/>
              <w:textAlignment w:val="auto"/>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不组织【请自行踏勘，不统一组织】</w:t>
            </w:r>
          </w:p>
          <w:p w14:paraId="7ADF314B">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kern w:val="2"/>
                <w:sz w:val="24"/>
                <w:szCs w:val="24"/>
                <w:lang w:val="zh-CN" w:eastAsia="zh-CN" w:bidi="ar-SA"/>
              </w:rPr>
            </w:pPr>
            <w:r>
              <w:rPr>
                <w:rFonts w:hint="eastAsia" w:ascii="宋体" w:hAnsi="宋体" w:cs="宋体"/>
                <w:color w:val="000000"/>
                <w:sz w:val="24"/>
                <w:szCs w:val="24"/>
                <w:lang w:eastAsia="zh-CN"/>
              </w:rPr>
              <w:t>□</w:t>
            </w:r>
            <w:r>
              <w:rPr>
                <w:rFonts w:hint="eastAsia" w:ascii="宋体" w:hAnsi="宋体" w:eastAsia="宋体" w:cs="宋体"/>
                <w:color w:val="000000"/>
                <w:sz w:val="24"/>
                <w:szCs w:val="24"/>
              </w:rPr>
              <w:t>组织</w:t>
            </w:r>
          </w:p>
        </w:tc>
      </w:tr>
      <w:tr w14:paraId="77EFF3C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785" w:type="dxa"/>
            <w:shd w:val="clear" w:color="auto" w:fill="auto"/>
            <w:vAlign w:val="center"/>
          </w:tcPr>
          <w:p w14:paraId="19B89696">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color w:val="000000"/>
                <w:sz w:val="24"/>
                <w:szCs w:val="24"/>
              </w:rPr>
              <w:t>20</w:t>
            </w:r>
          </w:p>
        </w:tc>
        <w:tc>
          <w:tcPr>
            <w:tcW w:w="2110" w:type="dxa"/>
            <w:vAlign w:val="center"/>
          </w:tcPr>
          <w:p w14:paraId="092B88D2">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color w:val="000000"/>
                <w:sz w:val="24"/>
                <w:szCs w:val="24"/>
              </w:rPr>
              <w:t>是否允许递交备选</w:t>
            </w:r>
            <w:r>
              <w:rPr>
                <w:rFonts w:hint="eastAsia" w:ascii="宋体" w:hAnsi="宋体" w:eastAsia="宋体" w:cs="宋体"/>
                <w:color w:val="000000"/>
                <w:sz w:val="24"/>
                <w:szCs w:val="24"/>
                <w:lang w:val="en-US" w:eastAsia="zh-CN"/>
              </w:rPr>
              <w:t>方</w:t>
            </w:r>
            <w:r>
              <w:rPr>
                <w:rFonts w:hint="eastAsia" w:ascii="宋体" w:hAnsi="宋体" w:eastAsia="宋体" w:cs="宋体"/>
                <w:color w:val="000000"/>
                <w:sz w:val="24"/>
                <w:szCs w:val="24"/>
              </w:rPr>
              <w:t>案</w:t>
            </w:r>
          </w:p>
        </w:tc>
        <w:tc>
          <w:tcPr>
            <w:tcW w:w="7235" w:type="dxa"/>
            <w:vAlign w:val="center"/>
          </w:tcPr>
          <w:p w14:paraId="7715545A">
            <w:pPr>
              <w:keepNext w:val="0"/>
              <w:keepLines w:val="0"/>
              <w:pageBreakBefore w:val="0"/>
              <w:suppressLineNumbers w:val="0"/>
              <w:kinsoku/>
              <w:wordWrap/>
              <w:overflowPunct/>
              <w:topLinePunct w:val="0"/>
              <w:bidi w:val="0"/>
              <w:snapToGrid/>
              <w:spacing w:before="0" w:beforeAutospacing="0" w:after="0" w:afterAutospacing="0" w:line="240" w:lineRule="auto"/>
              <w:ind w:left="0" w:right="0" w:firstLine="0" w:firstLineChars="0"/>
              <w:jc w:val="both"/>
              <w:textAlignment w:val="auto"/>
              <w:rPr>
                <w:rFonts w:hint="eastAsia" w:ascii="宋体" w:hAnsi="宋体" w:eastAsia="宋体" w:cs="宋体"/>
                <w:color w:val="000000"/>
                <w:sz w:val="24"/>
                <w:szCs w:val="24"/>
              </w:rPr>
            </w:pPr>
            <w:r>
              <w:rPr>
                <w:rFonts w:hint="eastAsia" w:ascii="宋体" w:hAnsi="宋体" w:cs="宋体"/>
                <w:color w:val="000000"/>
                <w:sz w:val="24"/>
                <w:szCs w:val="24"/>
                <w:lang w:eastAsia="zh-CN"/>
              </w:rPr>
              <w:t>☑</w:t>
            </w:r>
            <w:r>
              <w:rPr>
                <w:rFonts w:hint="eastAsia" w:ascii="宋体" w:hAnsi="宋体" w:eastAsia="宋体" w:cs="宋体"/>
                <w:color w:val="000000"/>
                <w:sz w:val="24"/>
                <w:szCs w:val="24"/>
              </w:rPr>
              <w:t>不允许</w:t>
            </w:r>
          </w:p>
          <w:p w14:paraId="4533357B">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kern w:val="2"/>
                <w:sz w:val="24"/>
                <w:szCs w:val="24"/>
                <w:lang w:val="zh-CN" w:eastAsia="zh-CN" w:bidi="ar-SA"/>
              </w:rPr>
            </w:pPr>
            <w:r>
              <w:rPr>
                <w:rFonts w:hint="eastAsia" w:ascii="宋体" w:hAnsi="宋体" w:cs="宋体"/>
                <w:color w:val="000000"/>
                <w:sz w:val="24"/>
                <w:szCs w:val="24"/>
                <w:lang w:eastAsia="zh-CN"/>
              </w:rPr>
              <w:t>□</w:t>
            </w:r>
            <w:r>
              <w:rPr>
                <w:rFonts w:hint="eastAsia" w:ascii="宋体" w:hAnsi="宋体" w:eastAsia="宋体" w:cs="宋体"/>
                <w:color w:val="000000"/>
                <w:sz w:val="24"/>
                <w:szCs w:val="24"/>
              </w:rPr>
              <w:t>允许</w:t>
            </w:r>
          </w:p>
        </w:tc>
      </w:tr>
      <w:tr w14:paraId="7CF99B0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785" w:type="dxa"/>
            <w:shd w:val="clear" w:color="auto" w:fill="auto"/>
            <w:vAlign w:val="center"/>
          </w:tcPr>
          <w:p w14:paraId="0B3C6853">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color w:val="000000"/>
                <w:sz w:val="24"/>
                <w:szCs w:val="24"/>
              </w:rPr>
              <w:t>21</w:t>
            </w:r>
          </w:p>
        </w:tc>
        <w:tc>
          <w:tcPr>
            <w:tcW w:w="2110" w:type="dxa"/>
            <w:vAlign w:val="center"/>
          </w:tcPr>
          <w:p w14:paraId="6954E8E4">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color w:val="000000"/>
                <w:sz w:val="24"/>
                <w:szCs w:val="24"/>
              </w:rPr>
              <w:t>投标保证金</w:t>
            </w:r>
          </w:p>
        </w:tc>
        <w:tc>
          <w:tcPr>
            <w:tcW w:w="7235" w:type="dxa"/>
            <w:vAlign w:val="center"/>
          </w:tcPr>
          <w:p w14:paraId="0294FAE0">
            <w:pPr>
              <w:keepNext w:val="0"/>
              <w:keepLines w:val="0"/>
              <w:pageBreakBefore w:val="0"/>
              <w:suppressLineNumbers w:val="0"/>
              <w:kinsoku/>
              <w:wordWrap/>
              <w:overflowPunct/>
              <w:topLinePunct w:val="0"/>
              <w:bidi w:val="0"/>
              <w:snapToGrid/>
              <w:spacing w:before="0" w:beforeAutospacing="0" w:after="0" w:afterAutospacing="0" w:line="240" w:lineRule="auto"/>
              <w:ind w:left="0" w:right="0" w:firstLine="0" w:firstLineChars="0"/>
              <w:jc w:val="both"/>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不需要</w:t>
            </w:r>
          </w:p>
          <w:p w14:paraId="31ADF3C3">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kern w:val="2"/>
                <w:sz w:val="24"/>
                <w:szCs w:val="24"/>
                <w:lang w:val="zh-CN" w:eastAsia="zh-CN" w:bidi="ar-SA"/>
              </w:rPr>
            </w:pPr>
            <w:r>
              <w:rPr>
                <w:rFonts w:hint="eastAsia" w:ascii="宋体" w:hAnsi="宋体" w:eastAsia="宋体" w:cs="宋体"/>
                <w:color w:val="000000"/>
                <w:sz w:val="24"/>
                <w:szCs w:val="24"/>
              </w:rPr>
              <w:t xml:space="preserve">□需要  </w:t>
            </w:r>
          </w:p>
        </w:tc>
      </w:tr>
      <w:tr w14:paraId="43A2669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785" w:type="dxa"/>
            <w:shd w:val="clear" w:color="auto" w:fill="auto"/>
            <w:vAlign w:val="center"/>
          </w:tcPr>
          <w:p w14:paraId="7D1BAECC">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color w:val="000000"/>
                <w:sz w:val="24"/>
                <w:szCs w:val="24"/>
              </w:rPr>
              <w:t>22</w:t>
            </w:r>
          </w:p>
        </w:tc>
        <w:tc>
          <w:tcPr>
            <w:tcW w:w="2110" w:type="dxa"/>
            <w:vAlign w:val="center"/>
          </w:tcPr>
          <w:p w14:paraId="25A40A95">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color w:val="000000"/>
                <w:sz w:val="24"/>
                <w:szCs w:val="24"/>
              </w:rPr>
              <w:t>履约保证金</w:t>
            </w:r>
          </w:p>
        </w:tc>
        <w:tc>
          <w:tcPr>
            <w:tcW w:w="7235" w:type="dxa"/>
            <w:vAlign w:val="center"/>
          </w:tcPr>
          <w:p w14:paraId="6796E201">
            <w:pPr>
              <w:keepNext w:val="0"/>
              <w:keepLines w:val="0"/>
              <w:pageBreakBefore w:val="0"/>
              <w:widowControl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rightChars="0" w:firstLine="0" w:firstLineChars="0"/>
              <w:jc w:val="left"/>
              <w:textAlignment w:val="auto"/>
              <w:rPr>
                <w:rFonts w:hint="eastAsia" w:ascii="宋体" w:hAnsi="宋体" w:eastAsia="宋体" w:cs="宋体"/>
                <w:kern w:val="2"/>
                <w:sz w:val="24"/>
                <w:szCs w:val="24"/>
                <w:lang w:val="zh-CN" w:eastAsia="zh-CN" w:bidi="ar-SA"/>
              </w:rPr>
            </w:pPr>
            <w:r>
              <w:rPr>
                <w:rFonts w:hint="eastAsia" w:ascii="宋体" w:hAnsi="宋体" w:cs="宋体"/>
                <w:kern w:val="2"/>
                <w:sz w:val="24"/>
                <w:szCs w:val="24"/>
                <w:lang w:val="zh-CN" w:eastAsia="zh-CN" w:bidi="ar-SA"/>
              </w:rPr>
              <w:t>☑</w:t>
            </w:r>
            <w:r>
              <w:rPr>
                <w:rFonts w:hint="eastAsia" w:ascii="宋体" w:hAnsi="宋体" w:eastAsia="宋体" w:cs="宋体"/>
                <w:kern w:val="2"/>
                <w:sz w:val="24"/>
                <w:szCs w:val="24"/>
                <w:lang w:val="zh-CN" w:eastAsia="zh-CN" w:bidi="ar-SA"/>
              </w:rPr>
              <w:t>不需要</w:t>
            </w:r>
          </w:p>
          <w:p w14:paraId="1CCD94B2">
            <w:pPr>
              <w:keepNext w:val="0"/>
              <w:keepLines w:val="0"/>
              <w:pageBreakBefore w:val="0"/>
              <w:widowControl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rightChars="0" w:firstLine="0" w:firstLineChars="0"/>
              <w:jc w:val="left"/>
              <w:textAlignment w:val="auto"/>
              <w:rPr>
                <w:rFonts w:hint="eastAsia" w:ascii="宋体" w:hAnsi="宋体" w:eastAsia="宋体" w:cs="宋体"/>
                <w:kern w:val="2"/>
                <w:sz w:val="24"/>
                <w:szCs w:val="24"/>
                <w:lang w:val="zh-CN" w:eastAsia="zh-CN" w:bidi="ar-SA"/>
              </w:rPr>
            </w:pPr>
            <w:r>
              <w:rPr>
                <w:rFonts w:hint="eastAsia" w:ascii="宋体" w:hAnsi="宋体" w:cs="宋体"/>
                <w:kern w:val="2"/>
                <w:sz w:val="24"/>
                <w:szCs w:val="24"/>
                <w:lang w:val="zh-CN" w:eastAsia="zh-CN" w:bidi="ar-SA"/>
              </w:rPr>
              <w:t>□</w:t>
            </w:r>
            <w:r>
              <w:rPr>
                <w:rFonts w:hint="eastAsia" w:ascii="宋体" w:hAnsi="宋体" w:eastAsia="宋体" w:cs="宋体"/>
                <w:kern w:val="2"/>
                <w:sz w:val="24"/>
                <w:szCs w:val="24"/>
                <w:lang w:val="zh-CN" w:eastAsia="zh-CN" w:bidi="ar-SA"/>
              </w:rPr>
              <w:t>需要</w:t>
            </w:r>
          </w:p>
          <w:p w14:paraId="669E9796">
            <w:pPr>
              <w:keepNext w:val="0"/>
              <w:keepLines w:val="0"/>
              <w:suppressLineNumbers w:val="0"/>
              <w:tabs>
                <w:tab w:val="left" w:pos="0"/>
              </w:tabs>
              <w:autoSpaceDE w:val="0"/>
              <w:autoSpaceDN w:val="0"/>
              <w:adjustRightInd w:val="0"/>
              <w:spacing w:before="0" w:beforeAutospacing="0" w:after="0" w:afterAutospacing="0" w:line="240" w:lineRule="auto"/>
              <w:ind w:left="0" w:right="0" w:firstLine="0" w:firstLineChars="0"/>
              <w:jc w:val="left"/>
              <w:rPr>
                <w:rFonts w:hint="default" w:ascii="宋体" w:hAnsi="宋体" w:eastAsia="宋体" w:cs="宋体"/>
                <w:color w:val="auto"/>
                <w:highlight w:val="none"/>
                <w:lang w:val="zh-CN"/>
              </w:rPr>
            </w:pPr>
            <w:r>
              <w:rPr>
                <w:rFonts w:hint="default" w:ascii="宋体" w:hAnsi="宋体" w:eastAsia="宋体" w:cs="宋体"/>
                <w:color w:val="auto"/>
                <w:highlight w:val="none"/>
                <w:lang w:val="zh-CN"/>
              </w:rPr>
              <w:t>1.缴纳金额：</w:t>
            </w:r>
            <w:r>
              <w:rPr>
                <w:rFonts w:hint="eastAsia" w:ascii="宋体" w:hAnsi="宋体" w:cs="宋体"/>
                <w:color w:val="auto"/>
                <w:highlight w:val="none"/>
                <w:lang w:val="zh-CN"/>
              </w:rPr>
              <w:t>成交供应商</w:t>
            </w:r>
            <w:r>
              <w:rPr>
                <w:rFonts w:hint="default" w:ascii="宋体" w:hAnsi="宋体" w:eastAsia="宋体" w:cs="宋体"/>
                <w:color w:val="auto"/>
                <w:highlight w:val="none"/>
                <w:lang w:val="zh-CN"/>
              </w:rPr>
              <w:t>须向采购人缴纳，为合同价格的1.0%</w:t>
            </w:r>
            <w:r>
              <w:rPr>
                <w:rFonts w:hint="eastAsia" w:ascii="宋体" w:hAnsi="宋体" w:cs="宋体"/>
                <w:color w:val="auto"/>
                <w:highlight w:val="none"/>
                <w:lang w:val="zh-CN"/>
              </w:rPr>
              <w:t>；</w:t>
            </w:r>
          </w:p>
          <w:p w14:paraId="2DF1BD7A">
            <w:pPr>
              <w:keepNext w:val="0"/>
              <w:keepLines w:val="0"/>
              <w:suppressLineNumbers w:val="0"/>
              <w:tabs>
                <w:tab w:val="left" w:pos="0"/>
              </w:tabs>
              <w:autoSpaceDE w:val="0"/>
              <w:autoSpaceDN w:val="0"/>
              <w:adjustRightInd w:val="0"/>
              <w:spacing w:before="0" w:beforeAutospacing="0" w:after="0" w:afterAutospacing="0" w:line="240" w:lineRule="auto"/>
              <w:ind w:left="0" w:right="0" w:firstLine="0" w:firstLineChars="0"/>
              <w:jc w:val="left"/>
              <w:rPr>
                <w:rFonts w:hint="default" w:ascii="宋体" w:hAnsi="宋体" w:eastAsia="宋体" w:cs="宋体"/>
                <w:color w:val="auto"/>
                <w:highlight w:val="none"/>
                <w:lang w:val="zh-CN"/>
              </w:rPr>
            </w:pPr>
            <w:r>
              <w:rPr>
                <w:rFonts w:hint="eastAsia" w:ascii="宋体" w:hAnsi="宋体" w:eastAsia="宋体" w:cs="宋体"/>
                <w:color w:val="auto"/>
                <w:highlight w:val="none"/>
                <w:lang w:val="zh-CN"/>
              </w:rPr>
              <w:t xml:space="preserve">2.缴纳方式：汇票/支票/银行转账/银行保函/保险公司保函； </w:t>
            </w:r>
          </w:p>
          <w:p w14:paraId="0D72F69F">
            <w:pPr>
              <w:keepNext w:val="0"/>
              <w:keepLines w:val="0"/>
              <w:suppressLineNumbers w:val="0"/>
              <w:tabs>
                <w:tab w:val="left" w:pos="0"/>
              </w:tabs>
              <w:autoSpaceDE w:val="0"/>
              <w:autoSpaceDN w:val="0"/>
              <w:adjustRightInd w:val="0"/>
              <w:spacing w:before="0" w:beforeAutospacing="0" w:after="0" w:afterAutospacing="0" w:line="240" w:lineRule="auto"/>
              <w:ind w:left="0" w:right="0" w:firstLine="0" w:firstLineChars="0"/>
              <w:jc w:val="left"/>
              <w:rPr>
                <w:rFonts w:hint="default" w:ascii="宋体" w:hAnsi="宋体" w:eastAsia="宋体" w:cs="宋体"/>
                <w:color w:val="auto"/>
                <w:highlight w:val="none"/>
                <w:lang w:val="zh-CN"/>
              </w:rPr>
            </w:pPr>
            <w:r>
              <w:rPr>
                <w:rFonts w:hint="eastAsia" w:ascii="宋体" w:hAnsi="宋体" w:eastAsia="宋体" w:cs="宋体"/>
                <w:color w:val="auto"/>
                <w:highlight w:val="none"/>
                <w:lang w:val="zh-CN"/>
              </w:rPr>
              <w:t>3.缴纳时间：本项目中标通知书发出后合同签订前缴纳</w:t>
            </w:r>
            <w:r>
              <w:rPr>
                <w:rFonts w:hint="eastAsia" w:ascii="宋体" w:hAnsi="宋体" w:cs="宋体"/>
                <w:color w:val="auto"/>
                <w:highlight w:val="none"/>
                <w:lang w:val="zh-CN"/>
              </w:rPr>
              <w:t>；</w:t>
            </w:r>
          </w:p>
          <w:p w14:paraId="1BD2994A">
            <w:pPr>
              <w:keepNext w:val="0"/>
              <w:keepLines w:val="0"/>
              <w:suppressLineNumbers w:val="0"/>
              <w:tabs>
                <w:tab w:val="left" w:pos="0"/>
              </w:tabs>
              <w:autoSpaceDE w:val="0"/>
              <w:autoSpaceDN w:val="0"/>
              <w:adjustRightInd w:val="0"/>
              <w:spacing w:before="0" w:beforeAutospacing="0" w:after="0" w:afterAutospacing="0" w:line="240" w:lineRule="auto"/>
              <w:ind w:left="0" w:right="0" w:firstLine="0" w:firstLineChars="0"/>
              <w:jc w:val="left"/>
              <w:rPr>
                <w:rFonts w:hint="eastAsia"/>
                <w:lang w:val="zh-CN" w:eastAsia="zh-CN"/>
              </w:rPr>
            </w:pPr>
            <w:r>
              <w:rPr>
                <w:rFonts w:hint="eastAsia" w:ascii="宋体" w:hAnsi="宋体" w:eastAsia="宋体" w:cs="宋体"/>
                <w:color w:val="auto"/>
                <w:highlight w:val="none"/>
                <w:lang w:val="zh-CN"/>
              </w:rPr>
              <w:t>4.退还条件：</w:t>
            </w:r>
            <w:r>
              <w:rPr>
                <w:rFonts w:hint="eastAsia" w:ascii="宋体" w:hAnsi="宋体" w:cs="宋体"/>
                <w:kern w:val="2"/>
                <w:sz w:val="24"/>
                <w:szCs w:val="24"/>
                <w:lang w:val="en-US" w:eastAsia="zh-CN" w:bidi="ar"/>
              </w:rPr>
              <w:t>验收合格通过后7个工作日无息退还。</w:t>
            </w:r>
          </w:p>
        </w:tc>
      </w:tr>
      <w:tr w14:paraId="0D7B43D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09917D03">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bookmarkStart w:id="240" w:name="OLE_LINK9" w:colFirst="1" w:colLast="2"/>
            <w:r>
              <w:rPr>
                <w:rFonts w:hint="eastAsia" w:ascii="宋体" w:hAnsi="宋体" w:eastAsia="宋体" w:cs="宋体"/>
                <w:color w:val="000000"/>
                <w:sz w:val="24"/>
                <w:szCs w:val="24"/>
              </w:rPr>
              <w:t>23</w:t>
            </w:r>
          </w:p>
        </w:tc>
        <w:tc>
          <w:tcPr>
            <w:tcW w:w="2110" w:type="dxa"/>
            <w:vAlign w:val="center"/>
          </w:tcPr>
          <w:p w14:paraId="6B4DAA88">
            <w:pPr>
              <w:keepNext w:val="0"/>
              <w:keepLines w:val="0"/>
              <w:suppressLineNumbers w:val="0"/>
              <w:topLinePunct w:val="0"/>
              <w:adjustRightInd/>
              <w:snapToGrid/>
              <w:spacing w:before="0" w:beforeAutospacing="0" w:after="0" w:afterAutospacing="0" w:line="240" w:lineRule="auto"/>
              <w:ind w:left="0" w:right="0" w:firstLine="0" w:firstLineChars="0"/>
              <w:jc w:val="center"/>
              <w:rPr>
                <w:rFonts w:hint="eastAsia" w:ascii="宋体" w:hAnsi="宋体" w:eastAsia="宋体" w:cs="宋体"/>
                <w:color w:val="000000"/>
                <w:sz w:val="24"/>
                <w:szCs w:val="24"/>
                <w:lang w:val="en-US" w:eastAsia="zh-CN"/>
              </w:rPr>
            </w:pPr>
            <w:r>
              <w:rPr>
                <w:rFonts w:hint="eastAsia" w:ascii="宋体" w:hAnsi="宋体" w:eastAsia="宋体" w:cs="宋体"/>
                <w:color w:val="000000"/>
              </w:rPr>
              <w:t>▲响应文件份数</w:t>
            </w:r>
          </w:p>
        </w:tc>
        <w:tc>
          <w:tcPr>
            <w:tcW w:w="7235" w:type="dxa"/>
            <w:vAlign w:val="center"/>
          </w:tcPr>
          <w:p w14:paraId="476D34AA">
            <w:pPr>
              <w:keepNext w:val="0"/>
              <w:keepLines w:val="0"/>
              <w:suppressLineNumbers w:val="0"/>
              <w:tabs>
                <w:tab w:val="left" w:pos="0"/>
              </w:tabs>
              <w:autoSpaceDE w:val="0"/>
              <w:autoSpaceDN w:val="0"/>
              <w:adjustRightInd w:val="0"/>
              <w:spacing w:before="0" w:beforeAutospacing="0" w:after="0" w:afterAutospacing="0" w:line="240" w:lineRule="auto"/>
              <w:ind w:left="0" w:right="0" w:firstLine="0" w:firstLineChars="0"/>
              <w:jc w:val="left"/>
              <w:rPr>
                <w:rFonts w:hint="eastAsia" w:ascii="宋体" w:hAnsi="宋体" w:eastAsia="宋体" w:cs="宋体"/>
                <w:color w:val="auto"/>
                <w:highlight w:val="none"/>
                <w:lang w:val="zh-CN" w:eastAsia="zh-CN"/>
              </w:rPr>
            </w:pPr>
            <w:bookmarkStart w:id="241" w:name="OLE_LINK14"/>
            <w:r>
              <w:rPr>
                <w:rFonts w:hint="eastAsia" w:ascii="宋体" w:hAnsi="宋体" w:eastAsia="宋体" w:cs="宋体"/>
                <w:color w:val="auto"/>
                <w:highlight w:val="none"/>
                <w:lang w:val="en-US" w:eastAsia="zh-CN"/>
              </w:rPr>
              <w:t>1.</w:t>
            </w:r>
            <w:r>
              <w:rPr>
                <w:rFonts w:hint="eastAsia" w:ascii="宋体" w:hAnsi="宋体" w:cs="宋体"/>
                <w:color w:val="auto"/>
                <w:highlight w:val="none"/>
                <w:lang w:val="zh-CN"/>
              </w:rPr>
              <w:t>磋商响应文件</w:t>
            </w:r>
            <w:r>
              <w:rPr>
                <w:rFonts w:hint="eastAsia" w:ascii="宋体" w:hAnsi="宋体" w:eastAsia="宋体" w:cs="宋体"/>
                <w:color w:val="auto"/>
                <w:highlight w:val="none"/>
                <w:lang w:val="zh-CN"/>
              </w:rPr>
              <w:t>一式3份，其中正本1份、副本2份（三份密封一袋）；</w:t>
            </w:r>
            <w:r>
              <w:rPr>
                <w:rFonts w:hint="eastAsia" w:ascii="宋体" w:hAnsi="宋体" w:cs="宋体"/>
                <w:color w:val="auto"/>
                <w:highlight w:val="none"/>
                <w:lang w:val="zh-CN"/>
              </w:rPr>
              <w:t>磋商响应文件</w:t>
            </w:r>
            <w:r>
              <w:rPr>
                <w:rFonts w:hint="eastAsia" w:ascii="宋体" w:hAnsi="宋体" w:eastAsia="宋体" w:cs="宋体"/>
                <w:color w:val="auto"/>
                <w:highlight w:val="none"/>
                <w:lang w:val="zh-CN"/>
              </w:rPr>
              <w:t>由资格、资信商务技术和报价部分组成合订成一册，采用A4幅面纸张打印装订，密封一袋；副本应为盖过章的正本的完整复印件，并在封面标明“正本”、“副本”字样。正本与副本如有不一致，以正本为准。</w:t>
            </w:r>
          </w:p>
          <w:p w14:paraId="645AE413">
            <w:pPr>
              <w:keepNext w:val="0"/>
              <w:keepLines w:val="0"/>
              <w:suppressLineNumbers w:val="0"/>
              <w:tabs>
                <w:tab w:val="left" w:pos="0"/>
              </w:tabs>
              <w:adjustRightInd w:val="0"/>
              <w:spacing w:before="0" w:beforeAutospacing="0" w:after="0" w:afterAutospacing="0" w:line="240" w:lineRule="auto"/>
              <w:ind w:left="0" w:right="0" w:firstLine="0" w:firstLineChars="0"/>
              <w:rPr>
                <w:rFonts w:hint="eastAsia" w:ascii="宋体" w:hAnsi="宋体" w:eastAsia="宋体" w:cs="宋体"/>
                <w:color w:val="000000"/>
                <w:sz w:val="24"/>
                <w:szCs w:val="24"/>
                <w:lang w:val="zh-CN" w:eastAsia="zh-CN"/>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zh-CN"/>
              </w:rPr>
              <w:t>磋商响应文件</w:t>
            </w:r>
            <w:r>
              <w:rPr>
                <w:rFonts w:hint="eastAsia" w:ascii="宋体" w:hAnsi="宋体" w:eastAsia="宋体" w:cs="宋体"/>
                <w:color w:val="auto"/>
                <w:highlight w:val="none"/>
                <w:lang w:val="zh-CN"/>
              </w:rPr>
              <w:t>采用活页装订的按无效标处理。（活页装订是指用卡条、抽杆夹等形式装订，使标书可以拆卸或者在翻动过程</w:t>
            </w:r>
            <w:r>
              <w:rPr>
                <w:rFonts w:hint="eastAsia" w:ascii="宋体" w:hAnsi="宋体" w:eastAsia="宋体" w:cs="宋体"/>
                <w:color w:val="auto"/>
                <w:highlight w:val="none"/>
                <w:lang w:val="zh-CN" w:eastAsia="zh-CN"/>
              </w:rPr>
              <w:t>中不</w:t>
            </w:r>
            <w:r>
              <w:rPr>
                <w:rFonts w:hint="eastAsia" w:ascii="宋体" w:hAnsi="宋体" w:eastAsia="宋体" w:cs="宋体"/>
                <w:color w:val="auto"/>
                <w:highlight w:val="none"/>
                <w:lang w:val="zh-CN"/>
              </w:rPr>
              <w:t>易脱落的一种装订方式）。</w:t>
            </w:r>
            <w:bookmarkEnd w:id="241"/>
          </w:p>
        </w:tc>
      </w:tr>
      <w:bookmarkEnd w:id="240"/>
      <w:tr w14:paraId="0F7153E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04D65A17">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rPr>
              <w:t>24</w:t>
            </w:r>
          </w:p>
        </w:tc>
        <w:tc>
          <w:tcPr>
            <w:tcW w:w="2110" w:type="dxa"/>
            <w:vAlign w:val="center"/>
          </w:tcPr>
          <w:p w14:paraId="345B6522">
            <w:pPr>
              <w:keepNext w:val="0"/>
              <w:keepLines w:val="0"/>
              <w:suppressLineNumbers w:val="0"/>
              <w:topLinePunct w:val="0"/>
              <w:adjustRightInd/>
              <w:snapToGrid/>
              <w:spacing w:before="0" w:beforeAutospacing="0" w:after="0" w:afterAutospacing="0" w:line="240" w:lineRule="auto"/>
              <w:ind w:left="0" w:right="0" w:firstLine="0" w:firstLineChars="0"/>
              <w:jc w:val="center"/>
              <w:rPr>
                <w:rFonts w:hint="eastAsia" w:ascii="宋体" w:hAnsi="宋体" w:eastAsia="宋体" w:cs="宋体"/>
                <w:color w:val="000000"/>
                <w:sz w:val="24"/>
                <w:szCs w:val="24"/>
              </w:rPr>
            </w:pPr>
            <w:r>
              <w:rPr>
                <w:rFonts w:hint="eastAsia" w:ascii="宋体" w:hAnsi="宋体" w:eastAsia="宋体" w:cs="宋体"/>
                <w:color w:val="000000"/>
              </w:rPr>
              <w:t>响应文件密封件</w:t>
            </w:r>
          </w:p>
        </w:tc>
        <w:tc>
          <w:tcPr>
            <w:tcW w:w="7235" w:type="dxa"/>
            <w:vAlign w:val="center"/>
          </w:tcPr>
          <w:p w14:paraId="3E464C25">
            <w:pPr>
              <w:keepNext w:val="0"/>
              <w:keepLines w:val="0"/>
              <w:suppressLineNumbers w:val="0"/>
              <w:snapToGrid/>
              <w:spacing w:before="0" w:beforeAutospacing="0" w:after="0" w:afterAutospacing="0" w:line="240" w:lineRule="auto"/>
              <w:ind w:left="0" w:right="0" w:firstLine="0" w:firstLineChars="0"/>
              <w:rPr>
                <w:rFonts w:hint="eastAsia" w:ascii="宋体" w:hAnsi="宋体" w:eastAsia="宋体" w:cs="宋体"/>
                <w:color w:val="000000"/>
                <w:sz w:val="24"/>
                <w:szCs w:val="24"/>
              </w:rPr>
            </w:pPr>
            <w:r>
              <w:rPr>
                <w:rFonts w:hint="eastAsia" w:ascii="宋体" w:hAnsi="宋体" w:eastAsia="宋体" w:cs="宋体"/>
                <w:sz w:val="24"/>
                <w:szCs w:val="24"/>
              </w:rPr>
              <w:t>标函袋密封件1个。【响应文件所附原件单独装袋无需密封</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如有</w:t>
            </w:r>
            <w:r>
              <w:rPr>
                <w:rFonts w:hint="eastAsia" w:ascii="宋体" w:hAnsi="宋体" w:eastAsia="宋体" w:cs="宋体"/>
                <w:sz w:val="24"/>
                <w:szCs w:val="24"/>
                <w:lang w:eastAsia="zh-CN"/>
              </w:rPr>
              <w:t>）</w:t>
            </w:r>
            <w:r>
              <w:rPr>
                <w:rFonts w:hint="eastAsia" w:ascii="宋体" w:hAnsi="宋体" w:eastAsia="宋体" w:cs="宋体"/>
                <w:sz w:val="24"/>
                <w:szCs w:val="24"/>
              </w:rPr>
              <w:t>】</w:t>
            </w:r>
          </w:p>
        </w:tc>
      </w:tr>
      <w:tr w14:paraId="3335110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1313344A">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rPr>
              <w:t>25</w:t>
            </w:r>
          </w:p>
        </w:tc>
        <w:tc>
          <w:tcPr>
            <w:tcW w:w="2110" w:type="dxa"/>
            <w:vAlign w:val="center"/>
          </w:tcPr>
          <w:p w14:paraId="2C2BAFD0">
            <w:pPr>
              <w:keepNext w:val="0"/>
              <w:keepLines w:val="0"/>
              <w:suppressLineNumbers w:val="0"/>
              <w:tabs>
                <w:tab w:val="left" w:pos="0"/>
              </w:tabs>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color w:val="000000"/>
                <w:kern w:val="2"/>
                <w:sz w:val="24"/>
                <w:szCs w:val="24"/>
                <w:lang w:val="en-US" w:eastAsia="zh-CN" w:bidi="ar-SA"/>
              </w:rPr>
            </w:pPr>
            <w:r>
              <w:rPr>
                <w:rFonts w:hint="eastAsia" w:ascii="宋体" w:hAnsi="宋体" w:cs="宋体"/>
                <w:color w:val="auto"/>
              </w:rPr>
              <w:t>签字或盖章要求</w:t>
            </w:r>
          </w:p>
        </w:tc>
        <w:tc>
          <w:tcPr>
            <w:tcW w:w="7235" w:type="dxa"/>
            <w:vAlign w:val="center"/>
          </w:tcPr>
          <w:p w14:paraId="108435EF">
            <w:pPr>
              <w:keepNext w:val="0"/>
              <w:keepLines w:val="0"/>
              <w:suppressLineNumbers w:val="0"/>
              <w:tabs>
                <w:tab w:val="left" w:pos="0"/>
              </w:tabs>
              <w:autoSpaceDE w:val="0"/>
              <w:autoSpaceDN w:val="0"/>
              <w:adjustRightInd w:val="0"/>
              <w:spacing w:before="0" w:beforeAutospacing="0" w:after="0" w:afterAutospacing="0" w:line="240" w:lineRule="auto"/>
              <w:ind w:left="0" w:right="0" w:firstLine="0" w:firstLineChars="0"/>
              <w:jc w:val="left"/>
              <w:rPr>
                <w:rFonts w:hint="default" w:ascii="宋体" w:hAnsi="宋体" w:cs="宋体"/>
                <w:color w:val="auto"/>
              </w:rPr>
            </w:pPr>
            <w:r>
              <w:rPr>
                <w:rFonts w:hint="eastAsia" w:ascii="宋体" w:hAnsi="宋体" w:cs="宋体"/>
                <w:color w:val="auto"/>
                <w:lang w:val="en-US" w:eastAsia="zh-CN"/>
              </w:rPr>
              <w:t>1.磋商响应</w:t>
            </w:r>
            <w:r>
              <w:rPr>
                <w:rFonts w:hint="eastAsia" w:ascii="宋体" w:hAnsi="宋体" w:cs="宋体"/>
                <w:color w:val="auto"/>
              </w:rPr>
              <w:t>文件封面按</w:t>
            </w:r>
            <w:r>
              <w:rPr>
                <w:rFonts w:hint="eastAsia" w:ascii="宋体" w:hAnsi="宋体" w:cs="宋体"/>
                <w:color w:val="auto"/>
                <w:lang w:val="en-US" w:eastAsia="zh-CN"/>
              </w:rPr>
              <w:t>磋商</w:t>
            </w:r>
            <w:r>
              <w:rPr>
                <w:rFonts w:hint="eastAsia" w:ascii="宋体" w:hAnsi="宋体" w:cs="宋体"/>
                <w:color w:val="auto"/>
              </w:rPr>
              <w:t>文件</w:t>
            </w:r>
            <w:r>
              <w:rPr>
                <w:rFonts w:hint="eastAsia" w:ascii="宋体" w:hAnsi="宋体" w:cs="宋体"/>
                <w:color w:val="auto"/>
                <w:lang w:val="en-US" w:eastAsia="zh-CN"/>
              </w:rPr>
              <w:t xml:space="preserve"> </w:t>
            </w:r>
            <w:r>
              <w:rPr>
                <w:rFonts w:hint="eastAsia" w:ascii="宋体" w:hAnsi="宋体" w:cs="宋体"/>
                <w:color w:val="auto"/>
              </w:rPr>
              <w:t>第六章“</w:t>
            </w:r>
            <w:r>
              <w:rPr>
                <w:rFonts w:hint="eastAsia" w:ascii="宋体" w:hAnsi="宋体" w:eastAsia="宋体" w:cs="宋体"/>
                <w:b w:val="0"/>
                <w:bCs/>
              </w:rPr>
              <w:t>磋商响应文件格式</w:t>
            </w:r>
            <w:r>
              <w:rPr>
                <w:rFonts w:hint="eastAsia" w:ascii="宋体" w:hAnsi="宋体" w:cs="宋体"/>
                <w:color w:val="auto"/>
              </w:rPr>
              <w:t>”规定处格式要求签字或盖章。</w:t>
            </w:r>
          </w:p>
          <w:p w14:paraId="3C5871C1">
            <w:pPr>
              <w:keepNext w:val="0"/>
              <w:keepLines w:val="0"/>
              <w:suppressLineNumbers w:val="0"/>
              <w:tabs>
                <w:tab w:val="left" w:pos="0"/>
              </w:tabs>
              <w:autoSpaceDE w:val="0"/>
              <w:autoSpaceDN w:val="0"/>
              <w:adjustRightInd w:val="0"/>
              <w:spacing w:before="0" w:beforeAutospacing="0" w:after="0" w:afterAutospacing="0" w:line="240" w:lineRule="auto"/>
              <w:ind w:left="0" w:right="0" w:firstLine="0" w:firstLineChars="0"/>
              <w:jc w:val="left"/>
              <w:rPr>
                <w:rFonts w:hint="eastAsia" w:ascii="宋体" w:hAnsi="宋体" w:eastAsia="宋体" w:cs="宋体"/>
                <w:kern w:val="2"/>
                <w:sz w:val="24"/>
                <w:szCs w:val="24"/>
                <w:lang w:val="zh-CN" w:eastAsia="zh-CN" w:bidi="ar-SA"/>
              </w:rPr>
            </w:pPr>
            <w:r>
              <w:rPr>
                <w:rFonts w:hint="eastAsia" w:ascii="宋体" w:hAnsi="宋体" w:cs="宋体"/>
                <w:color w:val="auto"/>
                <w:lang w:val="en-US" w:eastAsia="zh-CN"/>
              </w:rPr>
              <w:t>2.</w:t>
            </w:r>
            <w:r>
              <w:rPr>
                <w:rFonts w:hint="eastAsia" w:ascii="宋体" w:hAnsi="宋体" w:cs="宋体"/>
                <w:color w:val="auto"/>
              </w:rPr>
              <w:t>上述盖章要求</w:t>
            </w:r>
            <w:r>
              <w:rPr>
                <w:rFonts w:hint="eastAsia" w:ascii="宋体" w:hAnsi="宋体" w:cs="宋体"/>
                <w:color w:val="auto"/>
                <w:lang w:eastAsia="zh-CN"/>
              </w:rPr>
              <w:t>：</w:t>
            </w:r>
            <w:r>
              <w:rPr>
                <w:rFonts w:hint="eastAsia" w:ascii="宋体" w:hAnsi="宋体" w:eastAsia="宋体" w:cs="宋体"/>
                <w:b w:val="0"/>
                <w:bCs/>
              </w:rPr>
              <w:t>磋商响应文件格式</w:t>
            </w:r>
            <w:r>
              <w:rPr>
                <w:rFonts w:hint="eastAsia" w:ascii="宋体" w:hAnsi="宋体" w:cs="宋体"/>
                <w:color w:val="auto"/>
              </w:rPr>
              <w:t>正本应按格式要求签字或盖章，副本可用正本复印。</w:t>
            </w:r>
          </w:p>
        </w:tc>
      </w:tr>
      <w:tr w14:paraId="3961F97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4E35ACEE">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rPr>
              <w:t>26</w:t>
            </w:r>
          </w:p>
        </w:tc>
        <w:tc>
          <w:tcPr>
            <w:tcW w:w="2110" w:type="dxa"/>
            <w:vAlign w:val="center"/>
          </w:tcPr>
          <w:p w14:paraId="6A03DE8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rPr>
              <w:t>采购方式</w:t>
            </w:r>
          </w:p>
        </w:tc>
        <w:tc>
          <w:tcPr>
            <w:tcW w:w="7235" w:type="dxa"/>
            <w:vAlign w:val="center"/>
          </w:tcPr>
          <w:p w14:paraId="582B684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textAlignment w:val="auto"/>
              <w:rPr>
                <w:rFonts w:hint="default" w:ascii="宋体" w:hAnsi="宋体" w:eastAsia="宋体" w:cs="宋体"/>
                <w:kern w:val="2"/>
                <w:sz w:val="24"/>
                <w:szCs w:val="24"/>
                <w:lang w:val="en-US" w:eastAsia="zh-CN" w:bidi="ar-SA"/>
              </w:rPr>
            </w:pPr>
            <w:r>
              <w:rPr>
                <w:rFonts w:hint="eastAsia" w:ascii="宋体" w:hAnsi="宋体" w:cs="宋体"/>
                <w:sz w:val="24"/>
                <w:szCs w:val="24"/>
                <w:lang w:val="en-US" w:eastAsia="zh-CN"/>
              </w:rPr>
              <w:t>竞争性磋商。</w:t>
            </w:r>
          </w:p>
        </w:tc>
      </w:tr>
      <w:tr w14:paraId="31A1236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2A09E2CD">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rPr>
              <w:t>27</w:t>
            </w:r>
          </w:p>
        </w:tc>
        <w:tc>
          <w:tcPr>
            <w:tcW w:w="2110" w:type="dxa"/>
            <w:vAlign w:val="center"/>
          </w:tcPr>
          <w:p w14:paraId="6C0716FB">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firstLine="0" w:firstLineChars="0"/>
              <w:jc w:val="center"/>
              <w:textAlignment w:val="auto"/>
              <w:rPr>
                <w:rFonts w:hint="eastAsia" w:ascii="宋体" w:hAnsi="宋体" w:eastAsia="宋体" w:cs="宋体"/>
                <w:color w:val="000000"/>
                <w:sz w:val="24"/>
                <w:szCs w:val="24"/>
              </w:rPr>
            </w:pPr>
            <w:r>
              <w:rPr>
                <w:rFonts w:hint="eastAsia" w:ascii="宋体" w:hAnsi="宋体" w:cs="宋体"/>
                <w:color w:val="000000"/>
                <w:sz w:val="24"/>
                <w:szCs w:val="24"/>
                <w:lang w:eastAsia="zh-CN"/>
              </w:rPr>
              <w:t>磋商小组</w:t>
            </w:r>
            <w:r>
              <w:rPr>
                <w:rFonts w:hint="eastAsia" w:ascii="宋体" w:hAnsi="宋体" w:eastAsia="宋体" w:cs="宋体"/>
                <w:color w:val="000000"/>
                <w:sz w:val="24"/>
                <w:szCs w:val="24"/>
              </w:rPr>
              <w:t>的</w:t>
            </w:r>
          </w:p>
          <w:p w14:paraId="4B84F05C">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firstLine="0" w:firstLineChars="0"/>
              <w:jc w:val="center"/>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rPr>
              <w:t>组建</w:t>
            </w:r>
          </w:p>
        </w:tc>
        <w:tc>
          <w:tcPr>
            <w:tcW w:w="7235" w:type="dxa"/>
            <w:vAlign w:val="center"/>
          </w:tcPr>
          <w:p w14:paraId="18159AC5">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firstLine="0" w:firstLineChars="0"/>
              <w:jc w:val="left"/>
              <w:textAlignment w:val="auto"/>
              <w:rPr>
                <w:rFonts w:hint="eastAsia" w:ascii="宋体" w:hAnsi="宋体" w:eastAsia="宋体" w:cs="宋体"/>
                <w:color w:val="auto"/>
                <w:sz w:val="24"/>
                <w:szCs w:val="24"/>
                <w:highlight w:val="none"/>
                <w:lang w:val="zh-CN" w:eastAsia="zh-CN"/>
              </w:rPr>
            </w:pPr>
            <w:r>
              <w:rPr>
                <w:rFonts w:hint="eastAsia" w:ascii="宋体" w:hAnsi="宋体" w:cs="宋体"/>
                <w:color w:val="auto"/>
                <w:sz w:val="24"/>
                <w:szCs w:val="24"/>
                <w:highlight w:val="none"/>
                <w:lang w:eastAsia="zh-CN"/>
              </w:rPr>
              <w:t>磋商小组</w:t>
            </w:r>
            <w:r>
              <w:rPr>
                <w:rFonts w:hint="eastAsia" w:ascii="宋体" w:hAnsi="宋体" w:eastAsia="宋体" w:cs="宋体"/>
                <w:color w:val="auto"/>
                <w:sz w:val="24"/>
                <w:szCs w:val="24"/>
                <w:highlight w:val="none"/>
              </w:rPr>
              <w:t>构成：成员为</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人及以上单数，评审专家不得少于总人数的2/3；评标专家确定方式：按相关规定抽取。</w:t>
            </w:r>
          </w:p>
        </w:tc>
      </w:tr>
      <w:tr w14:paraId="5C3A0E3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172404B7">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rPr>
              <w:t>28</w:t>
            </w:r>
          </w:p>
        </w:tc>
        <w:tc>
          <w:tcPr>
            <w:tcW w:w="2110" w:type="dxa"/>
            <w:vAlign w:val="center"/>
          </w:tcPr>
          <w:p w14:paraId="114E7B26">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firstLine="0" w:firstLineChars="0"/>
              <w:jc w:val="center"/>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评审办法</w:t>
            </w:r>
          </w:p>
        </w:tc>
        <w:tc>
          <w:tcPr>
            <w:tcW w:w="7235" w:type="dxa"/>
            <w:vAlign w:val="center"/>
          </w:tcPr>
          <w:p w14:paraId="2B1D25CB">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firstLine="0" w:firstLineChars="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综合评分法</w:t>
            </w:r>
          </w:p>
        </w:tc>
      </w:tr>
      <w:tr w14:paraId="5422BD6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5CAC3F35">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rPr>
              <w:t>29</w:t>
            </w:r>
          </w:p>
        </w:tc>
        <w:tc>
          <w:tcPr>
            <w:tcW w:w="2110" w:type="dxa"/>
            <w:vAlign w:val="center"/>
          </w:tcPr>
          <w:p w14:paraId="282AF600">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000000"/>
                <w:sz w:val="24"/>
                <w:szCs w:val="24"/>
                <w:lang w:val="en-US" w:eastAsia="zh-CN"/>
              </w:rPr>
            </w:pPr>
            <w:r>
              <w:rPr>
                <w:rFonts w:hint="eastAsia" w:ascii="宋体" w:hAnsi="宋体" w:cs="宋体"/>
                <w:color w:val="000000"/>
                <w:highlight w:val="none"/>
              </w:rPr>
              <w:t>面向中小企业预留情况及小微企业报价扣除标准</w:t>
            </w:r>
          </w:p>
        </w:tc>
        <w:tc>
          <w:tcPr>
            <w:tcW w:w="7235" w:type="dxa"/>
            <w:vAlign w:val="center"/>
          </w:tcPr>
          <w:p w14:paraId="0AAC736D">
            <w:pPr>
              <w:keepNext w:val="0"/>
              <w:keepLines w:val="0"/>
              <w:suppressLineNumbers w:val="0"/>
              <w:spacing w:before="0" w:beforeAutospacing="0" w:after="0" w:afterAutospacing="0" w:line="240" w:lineRule="auto"/>
              <w:ind w:left="0" w:right="0" w:firstLine="0" w:firstLineChars="0"/>
              <w:jc w:val="left"/>
              <w:rPr>
                <w:rFonts w:hint="eastAsia" w:ascii="宋体" w:hAnsi="宋体" w:cs="宋体"/>
                <w:color w:val="000000"/>
                <w:highlight w:val="none"/>
              </w:rPr>
            </w:pPr>
            <w:r>
              <w:rPr>
                <w:rFonts w:hint="eastAsia" w:ascii="宋体" w:hAnsi="宋体" w:cs="宋体"/>
                <w:color w:val="000000"/>
                <w:highlight w:val="none"/>
                <w:lang w:eastAsia="zh-CN"/>
              </w:rPr>
              <w:t>□</w:t>
            </w:r>
            <w:r>
              <w:rPr>
                <w:rFonts w:hint="eastAsia" w:ascii="宋体" w:hAnsi="宋体" w:cs="宋体"/>
                <w:color w:val="000000"/>
                <w:highlight w:val="none"/>
              </w:rPr>
              <w:t>本项目为专门面向中小企业采购，小微企业不享受价格折扣优惠。</w:t>
            </w:r>
          </w:p>
          <w:p w14:paraId="5197018E">
            <w:pPr>
              <w:keepNext w:val="0"/>
              <w:keepLines w:val="0"/>
              <w:suppressLineNumbers w:val="0"/>
              <w:spacing w:before="0" w:beforeAutospacing="0" w:after="0" w:afterAutospacing="0" w:line="240" w:lineRule="auto"/>
              <w:ind w:left="0" w:right="0" w:firstLine="0" w:firstLineChars="0"/>
              <w:jc w:val="left"/>
              <w:rPr>
                <w:rFonts w:hint="eastAsia" w:ascii="宋体" w:hAnsi="宋体" w:eastAsia="宋体" w:cs="宋体"/>
                <w:color w:val="auto"/>
                <w:sz w:val="24"/>
                <w:szCs w:val="24"/>
                <w:highlight w:val="none"/>
                <w:lang w:val="en-US" w:eastAsia="zh-CN"/>
              </w:rPr>
            </w:pPr>
            <w:r>
              <w:rPr>
                <w:rFonts w:hint="eastAsia" w:ascii="宋体" w:hAnsi="宋体" w:cs="宋体"/>
                <w:color w:val="000000"/>
                <w:highlight w:val="none"/>
                <w:lang w:eastAsia="zh-CN"/>
              </w:rPr>
              <w:t>☑</w:t>
            </w:r>
            <w:r>
              <w:rPr>
                <w:rFonts w:hint="eastAsia" w:ascii="宋体" w:hAnsi="宋体" w:cs="宋体"/>
                <w:color w:val="000000"/>
                <w:highlight w:val="none"/>
              </w:rPr>
              <w:t>非专门面向中小企业采购项目，小微企业报价给予</w:t>
            </w:r>
            <w:r>
              <w:rPr>
                <w:rFonts w:hint="eastAsia" w:ascii="宋体" w:hAnsi="宋体" w:cs="宋体"/>
                <w:color w:val="000000"/>
                <w:highlight w:val="none"/>
                <w:lang w:val="en-US" w:eastAsia="zh-CN"/>
              </w:rPr>
              <w:t>1</w:t>
            </w:r>
            <w:r>
              <w:rPr>
                <w:rFonts w:hint="eastAsia" w:ascii="宋体" w:hAnsi="宋体" w:cs="宋体"/>
                <w:color w:val="000000"/>
                <w:highlight w:val="none"/>
              </w:rPr>
              <w:t>0%（工程项目为5%)的扣除，用扣除后的价格参与评审。</w:t>
            </w:r>
          </w:p>
        </w:tc>
      </w:tr>
      <w:tr w14:paraId="237E780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79D7489E">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000000"/>
                <w:kern w:val="2"/>
                <w:sz w:val="24"/>
                <w:szCs w:val="24"/>
                <w:lang w:val="en-US" w:eastAsia="zh-CN" w:bidi="ar-SA"/>
              </w:rPr>
            </w:pPr>
            <w:r>
              <w:rPr>
                <w:rFonts w:hint="eastAsia" w:ascii="宋体" w:hAnsi="宋体" w:cs="宋体"/>
                <w:color w:val="000000"/>
                <w:sz w:val="24"/>
                <w:szCs w:val="24"/>
                <w:lang w:val="en-US" w:eastAsia="zh-CN"/>
              </w:rPr>
              <w:t>30</w:t>
            </w:r>
          </w:p>
        </w:tc>
        <w:tc>
          <w:tcPr>
            <w:tcW w:w="2110" w:type="dxa"/>
            <w:vAlign w:val="center"/>
          </w:tcPr>
          <w:p w14:paraId="122B704F">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000000"/>
                <w:sz w:val="24"/>
                <w:szCs w:val="24"/>
                <w:lang w:val="en-US" w:eastAsia="zh-CN"/>
              </w:rPr>
            </w:pPr>
            <w:r>
              <w:rPr>
                <w:rFonts w:hint="eastAsia" w:ascii="宋体" w:hAnsi="宋体" w:cs="宋体"/>
                <w:color w:val="000000"/>
                <w:highlight w:val="none"/>
              </w:rPr>
              <w:t>行业划分标准和对应所属行业</w:t>
            </w:r>
          </w:p>
        </w:tc>
        <w:tc>
          <w:tcPr>
            <w:tcW w:w="7235" w:type="dxa"/>
            <w:vAlign w:val="center"/>
          </w:tcPr>
          <w:p w14:paraId="4FE94FE4">
            <w:pPr>
              <w:keepNext w:val="0"/>
              <w:keepLines w:val="0"/>
              <w:suppressLineNumbers w:val="0"/>
              <w:spacing w:before="0" w:beforeAutospacing="0" w:after="0" w:afterAutospacing="0" w:line="240" w:lineRule="auto"/>
              <w:ind w:left="0" w:right="0" w:firstLine="0" w:firstLineChars="0"/>
              <w:jc w:val="left"/>
              <w:rPr>
                <w:rFonts w:hint="eastAsia" w:ascii="宋体" w:hAnsi="宋体" w:cs="宋体"/>
                <w:color w:val="000000"/>
                <w:highlight w:val="none"/>
              </w:rPr>
            </w:pPr>
            <w:r>
              <w:rPr>
                <w:rFonts w:hint="eastAsia" w:ascii="宋体" w:hAnsi="宋体" w:cs="宋体"/>
                <w:color w:val="000000"/>
                <w:highlight w:val="none"/>
              </w:rPr>
              <w:t>1.采购标的对应所属行业：</w:t>
            </w:r>
            <w:r>
              <w:rPr>
                <w:rFonts w:hint="eastAsia" w:ascii="宋体" w:hAnsi="宋体" w:cs="宋体"/>
                <w:color w:val="000000"/>
                <w:highlight w:val="none"/>
                <w:lang w:val="en-US" w:eastAsia="zh-CN"/>
              </w:rPr>
              <w:t>未列明行业</w:t>
            </w:r>
            <w:r>
              <w:rPr>
                <w:rFonts w:hint="eastAsia" w:ascii="宋体" w:hAnsi="宋体" w:cs="宋体"/>
                <w:color w:val="000000"/>
                <w:highlight w:val="none"/>
              </w:rPr>
              <w:t>。</w:t>
            </w:r>
          </w:p>
          <w:p w14:paraId="0CA08D7B">
            <w:pPr>
              <w:keepNext w:val="0"/>
              <w:keepLines w:val="0"/>
              <w:suppressLineNumbers w:val="0"/>
              <w:spacing w:before="0" w:beforeAutospacing="0" w:after="0" w:afterAutospacing="0" w:line="240" w:lineRule="auto"/>
              <w:ind w:left="0" w:right="0" w:firstLine="0" w:firstLineChars="0"/>
              <w:jc w:val="left"/>
              <w:rPr>
                <w:rFonts w:hint="eastAsia" w:ascii="宋体" w:hAnsi="宋体" w:cs="宋体"/>
                <w:color w:val="auto"/>
              </w:rPr>
            </w:pPr>
            <w:r>
              <w:rPr>
                <w:rFonts w:hint="eastAsia" w:ascii="宋体" w:hAnsi="宋体" w:cs="宋体"/>
                <w:color w:val="000000"/>
                <w:highlight w:val="none"/>
              </w:rPr>
              <w:t>2.中小企业行业划分标准：</w:t>
            </w:r>
            <w:r>
              <w:rPr>
                <w:rFonts w:hint="eastAsia" w:ascii="宋体" w:hAnsi="宋体" w:eastAsia="宋体" w:cs="宋体"/>
                <w:color w:val="000000"/>
                <w:highlight w:val="none"/>
                <w:lang w:val="en-US" w:eastAsia="zh-CN"/>
              </w:rPr>
              <w:t>从业人员 300 人以下的为中小微型企业。 其中，从业人员 100 人及以上的为中型企业；从业人员 10 人及以上的为 小型企业；从业人员 10 人以下的为微型企业。</w:t>
            </w:r>
          </w:p>
        </w:tc>
      </w:tr>
      <w:tr w14:paraId="542F530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0605EE8C">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color w:val="000000"/>
                <w:kern w:val="2"/>
                <w:sz w:val="24"/>
                <w:szCs w:val="24"/>
                <w:lang w:val="en-US" w:eastAsia="zh-CN" w:bidi="ar-SA"/>
              </w:rPr>
            </w:pPr>
            <w:r>
              <w:rPr>
                <w:rFonts w:hint="eastAsia" w:ascii="宋体" w:hAnsi="宋体" w:cs="宋体"/>
                <w:color w:val="000000"/>
                <w:sz w:val="24"/>
                <w:szCs w:val="24"/>
                <w:lang w:val="en-US" w:eastAsia="zh-CN"/>
              </w:rPr>
              <w:t>31</w:t>
            </w:r>
          </w:p>
        </w:tc>
        <w:tc>
          <w:tcPr>
            <w:tcW w:w="2110" w:type="dxa"/>
            <w:vAlign w:val="center"/>
          </w:tcPr>
          <w:p w14:paraId="559FA63F">
            <w:pPr>
              <w:keepNext w:val="0"/>
              <w:keepLines w:val="0"/>
              <w:suppressLineNumbers w:val="0"/>
              <w:autoSpaceDE/>
              <w:autoSpaceDN/>
              <w:adjustRightInd/>
              <w:spacing w:before="0" w:beforeAutospacing="0" w:after="0" w:afterAutospacing="0" w:line="240" w:lineRule="auto"/>
              <w:ind w:left="0" w:right="0" w:firstLine="0" w:firstLineChars="0"/>
              <w:jc w:val="center"/>
              <w:rPr>
                <w:rFonts w:hint="eastAsia" w:ascii="宋体" w:hAnsi="宋体" w:eastAsia="宋体" w:cs="宋体"/>
                <w:color w:val="000000"/>
                <w:sz w:val="24"/>
                <w:szCs w:val="24"/>
                <w:lang w:val="en-US" w:eastAsia="zh-CN"/>
              </w:rPr>
            </w:pPr>
            <w:r>
              <w:rPr>
                <w:rFonts w:hint="eastAsia" w:ascii="宋体" w:hAnsi="宋体" w:eastAsia="宋体" w:cs="宋体"/>
                <w:color w:val="000000"/>
                <w:lang w:val="en-US"/>
              </w:rPr>
              <w:t>确定供应商</w:t>
            </w:r>
          </w:p>
        </w:tc>
        <w:tc>
          <w:tcPr>
            <w:tcW w:w="7235" w:type="dxa"/>
            <w:vAlign w:val="center"/>
          </w:tcPr>
          <w:p w14:paraId="08461809">
            <w:pPr>
              <w:keepNext w:val="0"/>
              <w:keepLines w:val="0"/>
              <w:suppressLineNumbers w:val="0"/>
              <w:tabs>
                <w:tab w:val="left" w:pos="0"/>
              </w:tabs>
              <w:autoSpaceDE w:val="0"/>
              <w:autoSpaceDN w:val="0"/>
              <w:adjustRightInd w:val="0"/>
              <w:spacing w:before="0" w:beforeAutospacing="0" w:after="0" w:afterAutospacing="0" w:line="240" w:lineRule="auto"/>
              <w:ind w:left="0" w:right="0" w:firstLine="0" w:firstLineChars="0"/>
              <w:jc w:val="left"/>
              <w:rPr>
                <w:rFonts w:hint="eastAsia" w:ascii="宋体" w:hAnsi="宋体" w:eastAsia="宋体" w:cs="宋体"/>
                <w:color w:val="000000"/>
                <w:sz w:val="24"/>
                <w:szCs w:val="24"/>
                <w:lang w:val="zh-CN" w:eastAsia="zh-CN"/>
              </w:rPr>
            </w:pPr>
            <w:r>
              <w:rPr>
                <w:rFonts w:hint="eastAsia" w:ascii="宋体" w:hAnsi="宋体"/>
                <w:lang w:val="zh-CN"/>
              </w:rPr>
              <w:t>确定</w:t>
            </w:r>
            <w:r>
              <w:rPr>
                <w:rFonts w:hint="eastAsia" w:ascii="宋体" w:hAnsi="宋体"/>
              </w:rPr>
              <w:t>1</w:t>
            </w:r>
            <w:r>
              <w:rPr>
                <w:rFonts w:hint="eastAsia" w:ascii="宋体" w:hAnsi="宋体"/>
                <w:lang w:val="zh-CN"/>
              </w:rPr>
              <w:t>个</w:t>
            </w:r>
            <w:r>
              <w:rPr>
                <w:rFonts w:hint="eastAsia" w:ascii="宋体" w:hAnsi="宋体"/>
              </w:rPr>
              <w:t>成交</w:t>
            </w:r>
            <w:r>
              <w:rPr>
                <w:rFonts w:hint="eastAsia" w:ascii="宋体" w:hAnsi="宋体"/>
                <w:lang w:val="zh-CN"/>
              </w:rPr>
              <w:t>供应商，</w:t>
            </w:r>
            <w:r>
              <w:rPr>
                <w:rFonts w:hint="eastAsia" w:ascii="宋体" w:hAnsi="宋体"/>
              </w:rPr>
              <w:t>成交</w:t>
            </w:r>
            <w:r>
              <w:rPr>
                <w:rFonts w:hint="eastAsia" w:ascii="宋体" w:hAnsi="宋体"/>
                <w:lang w:val="zh-CN"/>
              </w:rPr>
              <w:t>结果在浙江政府采购网公告，公告期限为 1 个工作日</w:t>
            </w:r>
          </w:p>
        </w:tc>
      </w:tr>
      <w:tr w14:paraId="4F5B9EB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6B7EE0AE">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color w:val="000000"/>
                <w:kern w:val="2"/>
                <w:sz w:val="24"/>
                <w:szCs w:val="24"/>
                <w:lang w:val="en-US" w:eastAsia="zh-CN" w:bidi="ar-SA"/>
              </w:rPr>
            </w:pPr>
            <w:r>
              <w:rPr>
                <w:rFonts w:hint="eastAsia" w:ascii="宋体" w:hAnsi="宋体" w:cs="宋体"/>
                <w:color w:val="000000"/>
                <w:sz w:val="24"/>
                <w:szCs w:val="24"/>
                <w:lang w:val="en-US" w:eastAsia="zh-CN"/>
              </w:rPr>
              <w:t>32</w:t>
            </w:r>
          </w:p>
        </w:tc>
        <w:tc>
          <w:tcPr>
            <w:tcW w:w="2110" w:type="dxa"/>
            <w:vAlign w:val="center"/>
          </w:tcPr>
          <w:p w14:paraId="5BDA254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是否退还</w:t>
            </w:r>
            <w:r>
              <w:rPr>
                <w:rFonts w:hint="eastAsia" w:ascii="宋体" w:hAnsi="宋体" w:cs="宋体"/>
                <w:color w:val="000000"/>
                <w:kern w:val="2"/>
                <w:sz w:val="24"/>
                <w:szCs w:val="24"/>
                <w:lang w:val="en-US" w:eastAsia="zh-CN" w:bidi="ar-SA"/>
              </w:rPr>
              <w:t>响应文件</w:t>
            </w:r>
          </w:p>
        </w:tc>
        <w:tc>
          <w:tcPr>
            <w:tcW w:w="7235" w:type="dxa"/>
            <w:vAlign w:val="center"/>
          </w:tcPr>
          <w:p w14:paraId="2A062847">
            <w:pPr>
              <w:keepNext w:val="0"/>
              <w:keepLines w:val="0"/>
              <w:pageBreakBefore w:val="0"/>
              <w:widowControl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val="zh-CN" w:eastAsia="zh-CN" w:bidi="ar-SA"/>
              </w:rPr>
              <w:t>已拆封的</w:t>
            </w:r>
            <w:r>
              <w:rPr>
                <w:rFonts w:hint="eastAsia" w:ascii="宋体" w:hAnsi="宋体" w:cs="宋体"/>
                <w:color w:val="auto"/>
                <w:kern w:val="2"/>
                <w:sz w:val="24"/>
                <w:szCs w:val="24"/>
                <w:lang w:val="zh-CN" w:eastAsia="zh-CN" w:bidi="ar-SA"/>
              </w:rPr>
              <w:t>响应文件</w:t>
            </w:r>
            <w:r>
              <w:rPr>
                <w:rFonts w:hint="eastAsia" w:ascii="宋体" w:hAnsi="宋体" w:eastAsia="宋体" w:cs="宋体"/>
                <w:color w:val="auto"/>
                <w:kern w:val="2"/>
                <w:sz w:val="24"/>
                <w:szCs w:val="24"/>
                <w:lang w:val="zh-CN" w:eastAsia="zh-CN" w:bidi="ar-SA"/>
              </w:rPr>
              <w:t>概不退还，未拆封的</w:t>
            </w:r>
            <w:r>
              <w:rPr>
                <w:rFonts w:hint="eastAsia" w:ascii="宋体" w:hAnsi="宋体" w:cs="宋体"/>
                <w:color w:val="auto"/>
                <w:kern w:val="2"/>
                <w:sz w:val="24"/>
                <w:szCs w:val="24"/>
                <w:lang w:val="zh-CN" w:eastAsia="zh-CN" w:bidi="ar-SA"/>
              </w:rPr>
              <w:t>响应文件供应商</w:t>
            </w:r>
            <w:r>
              <w:rPr>
                <w:rFonts w:hint="eastAsia" w:ascii="宋体" w:hAnsi="宋体" w:eastAsia="宋体" w:cs="宋体"/>
                <w:color w:val="auto"/>
                <w:kern w:val="2"/>
                <w:sz w:val="24"/>
                <w:szCs w:val="24"/>
                <w:lang w:val="zh-CN" w:eastAsia="zh-CN" w:bidi="ar-SA"/>
              </w:rPr>
              <w:t>可收回。</w:t>
            </w:r>
          </w:p>
        </w:tc>
      </w:tr>
      <w:tr w14:paraId="55DB95A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5C2A385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color w:val="000000"/>
                <w:kern w:val="2"/>
                <w:sz w:val="24"/>
                <w:szCs w:val="24"/>
                <w:lang w:val="en-US" w:eastAsia="zh-CN" w:bidi="ar-SA"/>
              </w:rPr>
            </w:pPr>
            <w:r>
              <w:rPr>
                <w:rFonts w:hint="eastAsia" w:ascii="宋体" w:hAnsi="宋体" w:cs="宋体"/>
                <w:color w:val="000000"/>
                <w:sz w:val="24"/>
                <w:szCs w:val="24"/>
                <w:lang w:val="en-US" w:eastAsia="zh-CN"/>
              </w:rPr>
              <w:t>33</w:t>
            </w:r>
          </w:p>
        </w:tc>
        <w:tc>
          <w:tcPr>
            <w:tcW w:w="2110" w:type="dxa"/>
            <w:vAlign w:val="center"/>
          </w:tcPr>
          <w:p w14:paraId="2801622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签订合同时间</w:t>
            </w:r>
          </w:p>
        </w:tc>
        <w:tc>
          <w:tcPr>
            <w:tcW w:w="7235" w:type="dxa"/>
            <w:vAlign w:val="center"/>
          </w:tcPr>
          <w:p w14:paraId="62C65B73">
            <w:pPr>
              <w:keepNext w:val="0"/>
              <w:keepLines w:val="0"/>
              <w:pageBreakBefore w:val="0"/>
              <w:widowControl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kern w:val="2"/>
                <w:sz w:val="24"/>
                <w:szCs w:val="24"/>
                <w:lang w:val="zh-CN" w:eastAsia="zh-CN" w:bidi="ar-SA"/>
              </w:rPr>
            </w:pPr>
            <w:r>
              <w:rPr>
                <w:rFonts w:hint="eastAsia" w:ascii="宋体" w:hAnsi="宋体" w:cs="宋体"/>
                <w:color w:val="auto"/>
                <w:kern w:val="2"/>
                <w:sz w:val="24"/>
                <w:szCs w:val="24"/>
                <w:lang w:val="zh-CN" w:eastAsia="zh-CN" w:bidi="ar-SA"/>
              </w:rPr>
              <w:t>成交</w:t>
            </w:r>
            <w:r>
              <w:rPr>
                <w:rFonts w:hint="eastAsia" w:ascii="宋体" w:hAnsi="宋体" w:eastAsia="宋体" w:cs="宋体"/>
                <w:color w:val="auto"/>
                <w:kern w:val="2"/>
                <w:sz w:val="24"/>
                <w:szCs w:val="24"/>
                <w:lang w:val="zh-CN" w:eastAsia="zh-CN" w:bidi="ar-SA"/>
              </w:rPr>
              <w:t>通知书发出后30日内</w:t>
            </w:r>
            <w:r>
              <w:rPr>
                <w:rFonts w:hint="eastAsia" w:ascii="宋体" w:hAnsi="宋体" w:cs="宋体"/>
                <w:color w:val="auto"/>
                <w:kern w:val="2"/>
                <w:sz w:val="24"/>
                <w:szCs w:val="24"/>
                <w:lang w:val="zh-CN" w:eastAsia="zh-CN" w:bidi="ar-SA"/>
              </w:rPr>
              <w:t>。</w:t>
            </w:r>
          </w:p>
        </w:tc>
      </w:tr>
      <w:tr w14:paraId="22605B4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5" w:type="dxa"/>
            <w:shd w:val="clear" w:color="auto" w:fill="auto"/>
            <w:vAlign w:val="center"/>
          </w:tcPr>
          <w:p w14:paraId="6E47D27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color w:val="000000"/>
                <w:kern w:val="2"/>
                <w:sz w:val="24"/>
                <w:szCs w:val="24"/>
                <w:lang w:val="en-US" w:eastAsia="zh-CN" w:bidi="ar-SA"/>
              </w:rPr>
            </w:pPr>
            <w:r>
              <w:rPr>
                <w:rFonts w:hint="eastAsia" w:ascii="宋体" w:hAnsi="宋体" w:cs="宋体"/>
                <w:color w:val="000000"/>
                <w:sz w:val="24"/>
                <w:szCs w:val="24"/>
                <w:lang w:val="en-US" w:eastAsia="zh-CN"/>
              </w:rPr>
              <w:t>34</w:t>
            </w:r>
          </w:p>
        </w:tc>
        <w:tc>
          <w:tcPr>
            <w:tcW w:w="2110" w:type="dxa"/>
            <w:vAlign w:val="center"/>
          </w:tcPr>
          <w:p w14:paraId="2D0EA19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采购信息发布媒体</w:t>
            </w:r>
          </w:p>
        </w:tc>
        <w:tc>
          <w:tcPr>
            <w:tcW w:w="7235" w:type="dxa"/>
            <w:vAlign w:val="center"/>
          </w:tcPr>
          <w:p w14:paraId="12663742">
            <w:pPr>
              <w:keepNext w:val="0"/>
              <w:keepLines w:val="0"/>
              <w:pageBreakBefore w:val="0"/>
              <w:widowControl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val="zh-CN" w:eastAsia="zh-CN" w:bidi="ar-SA"/>
              </w:rPr>
              <w:t>浙江省政府采购网（</w:t>
            </w:r>
            <w:r>
              <w:rPr>
                <w:rFonts w:hint="eastAsia" w:ascii="宋体" w:hAnsi="宋体" w:eastAsia="宋体" w:cs="宋体"/>
                <w:color w:val="auto"/>
                <w:kern w:val="2"/>
                <w:sz w:val="24"/>
                <w:szCs w:val="24"/>
                <w:lang w:val="zh-CN" w:eastAsia="zh-CN" w:bidi="ar-SA"/>
              </w:rPr>
              <w:fldChar w:fldCharType="begin"/>
            </w:r>
            <w:r>
              <w:rPr>
                <w:rFonts w:hint="eastAsia" w:ascii="宋体" w:hAnsi="宋体" w:eastAsia="宋体" w:cs="宋体"/>
                <w:color w:val="auto"/>
                <w:kern w:val="2"/>
                <w:sz w:val="24"/>
                <w:szCs w:val="24"/>
                <w:lang w:val="zh-CN" w:eastAsia="zh-CN" w:bidi="ar-SA"/>
              </w:rPr>
              <w:instrText xml:space="preserve"> HYPERLINK "http://zfcg.czt.zj.gov.cn/" </w:instrText>
            </w:r>
            <w:r>
              <w:rPr>
                <w:rFonts w:hint="eastAsia" w:ascii="宋体" w:hAnsi="宋体" w:eastAsia="宋体" w:cs="宋体"/>
                <w:color w:val="auto"/>
                <w:kern w:val="2"/>
                <w:sz w:val="24"/>
                <w:szCs w:val="24"/>
                <w:lang w:val="zh-CN" w:eastAsia="zh-CN" w:bidi="ar-SA"/>
              </w:rPr>
              <w:fldChar w:fldCharType="separate"/>
            </w:r>
            <w:r>
              <w:rPr>
                <w:rFonts w:hint="eastAsia" w:ascii="宋体" w:hAnsi="宋体" w:cs="宋体"/>
                <w:color w:val="auto"/>
                <w:kern w:val="2"/>
                <w:sz w:val="24"/>
                <w:szCs w:val="24"/>
                <w:lang w:val="zh-CN" w:eastAsia="zh-CN" w:bidi="ar-SA"/>
              </w:rPr>
              <w:t>http://zfcg.czt.zj.gov.cn/</w:t>
            </w:r>
            <w:r>
              <w:rPr>
                <w:rFonts w:hint="eastAsia" w:ascii="宋体" w:hAnsi="宋体" w:eastAsia="宋体" w:cs="宋体"/>
                <w:color w:val="auto"/>
                <w:kern w:val="2"/>
                <w:sz w:val="24"/>
                <w:szCs w:val="24"/>
                <w:lang w:val="zh-CN" w:eastAsia="zh-CN" w:bidi="ar-SA"/>
              </w:rPr>
              <w:fldChar w:fldCharType="end"/>
            </w:r>
            <w:r>
              <w:rPr>
                <w:rFonts w:hint="eastAsia" w:ascii="宋体" w:hAnsi="宋体" w:eastAsia="宋体" w:cs="宋体"/>
                <w:color w:val="auto"/>
                <w:kern w:val="2"/>
                <w:sz w:val="24"/>
                <w:szCs w:val="24"/>
                <w:lang w:val="zh-CN" w:eastAsia="zh-CN" w:bidi="ar-SA"/>
              </w:rPr>
              <w:t>）</w:t>
            </w:r>
          </w:p>
        </w:tc>
      </w:tr>
      <w:tr w14:paraId="22CEE23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785" w:type="dxa"/>
            <w:shd w:val="clear" w:color="auto" w:fill="auto"/>
            <w:vAlign w:val="center"/>
          </w:tcPr>
          <w:p w14:paraId="3CB4089C">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color w:val="000000"/>
                <w:kern w:val="2"/>
                <w:sz w:val="24"/>
                <w:szCs w:val="24"/>
                <w:lang w:val="en-US" w:eastAsia="zh-CN" w:bidi="ar-SA"/>
              </w:rPr>
            </w:pPr>
            <w:r>
              <w:rPr>
                <w:rFonts w:hint="eastAsia" w:ascii="宋体" w:hAnsi="宋体" w:cs="宋体"/>
                <w:color w:val="000000"/>
                <w:sz w:val="24"/>
                <w:szCs w:val="24"/>
                <w:lang w:val="en-US" w:eastAsia="zh-CN"/>
              </w:rPr>
              <w:t>35</w:t>
            </w:r>
          </w:p>
        </w:tc>
        <w:tc>
          <w:tcPr>
            <w:tcW w:w="2110" w:type="dxa"/>
            <w:vAlign w:val="center"/>
          </w:tcPr>
          <w:p w14:paraId="5D12CF37">
            <w:pPr>
              <w:keepNext w:val="0"/>
              <w:keepLines w:val="0"/>
              <w:pageBreakBefore w:val="0"/>
              <w:widowControl w:val="0"/>
              <w:suppressLineNumbers w:val="0"/>
              <w:kinsoku/>
              <w:wordWrap/>
              <w:overflowPunct/>
              <w:topLinePunct w:val="0"/>
              <w:bidi w:val="0"/>
              <w:snapToGrid/>
              <w:spacing w:before="0" w:beforeAutospacing="0" w:after="0" w:afterAutospacing="0" w:line="240" w:lineRule="auto"/>
              <w:ind w:left="0" w:leftChars="0" w:right="0" w:firstLine="0" w:firstLineChars="0"/>
              <w:jc w:val="center"/>
              <w:textAlignment w:val="auto"/>
              <w:rPr>
                <w:rFonts w:hint="eastAsia" w:ascii="宋体" w:hAnsi="宋体" w:cs="宋体"/>
                <w:kern w:val="2"/>
                <w:sz w:val="24"/>
                <w:szCs w:val="24"/>
                <w:lang w:val="zh-CN" w:eastAsia="zh-CN" w:bidi="ar-SA"/>
              </w:rPr>
            </w:pPr>
            <w:r>
              <w:rPr>
                <w:rFonts w:hint="eastAsia" w:ascii="宋体" w:hAnsi="宋体" w:cs="宋体"/>
                <w:kern w:val="2"/>
                <w:sz w:val="24"/>
                <w:szCs w:val="24"/>
                <w:lang w:val="zh-CN" w:eastAsia="zh-CN" w:bidi="ar-SA"/>
              </w:rPr>
              <w:t>供应商质疑</w:t>
            </w:r>
          </w:p>
        </w:tc>
        <w:tc>
          <w:tcPr>
            <w:tcW w:w="7235" w:type="dxa"/>
            <w:vAlign w:val="center"/>
          </w:tcPr>
          <w:p w14:paraId="648BAC9F">
            <w:pPr>
              <w:keepNext w:val="0"/>
              <w:keepLines w:val="0"/>
              <w:pageBreakBefore w:val="0"/>
              <w:widowControl/>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leftChars="0" w:right="0" w:firstLine="0" w:firstLineChars="0"/>
              <w:jc w:val="left"/>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eastAsia="zh-CN"/>
              </w:rPr>
              <w:t>名称</w:t>
            </w:r>
            <w:r>
              <w:rPr>
                <w:rFonts w:hint="eastAsia" w:ascii="宋体" w:hAnsi="宋体" w:eastAsia="宋体" w:cs="宋体"/>
                <w:color w:val="auto"/>
                <w:kern w:val="2"/>
                <w:sz w:val="24"/>
                <w:szCs w:val="24"/>
                <w:highlight w:val="none"/>
                <w:lang w:val="zh-CN" w:eastAsia="zh-CN" w:bidi="ar-SA"/>
              </w:rPr>
              <w:t>：</w:t>
            </w:r>
            <w:r>
              <w:rPr>
                <w:rFonts w:hint="eastAsia" w:ascii="宋体" w:hAnsi="宋体" w:cs="宋体"/>
                <w:color w:val="auto"/>
                <w:kern w:val="2"/>
                <w:sz w:val="24"/>
                <w:szCs w:val="24"/>
                <w:highlight w:val="none"/>
                <w:lang w:val="zh-CN" w:eastAsia="zh-CN" w:bidi="ar-SA"/>
              </w:rPr>
              <w:t>浙江新诚信工程咨询有限公司</w:t>
            </w:r>
            <w:r>
              <w:rPr>
                <w:rFonts w:hint="eastAsia" w:ascii="宋体" w:hAnsi="宋体" w:eastAsia="宋体" w:cs="宋体"/>
                <w:color w:val="auto"/>
                <w:kern w:val="2"/>
                <w:sz w:val="24"/>
                <w:szCs w:val="24"/>
                <w:highlight w:val="none"/>
                <w:lang w:val="zh-CN" w:eastAsia="zh-CN" w:bidi="ar-SA"/>
              </w:rPr>
              <w:t xml:space="preserve">  </w:t>
            </w:r>
          </w:p>
          <w:p w14:paraId="44DA5C30">
            <w:pPr>
              <w:keepNext w:val="0"/>
              <w:keepLines w:val="0"/>
              <w:pageBreakBefore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宋体" w:hAnsi="宋体" w:eastAsia="宋体" w:cs="宋体"/>
                <w:bCs w:val="0"/>
                <w:color w:val="auto"/>
                <w:sz w:val="24"/>
                <w:szCs w:val="24"/>
                <w:highlight w:val="none"/>
                <w:lang w:val="zh-CN" w:eastAsia="zh-CN"/>
              </w:rPr>
            </w:pPr>
            <w:r>
              <w:rPr>
                <w:rFonts w:hint="eastAsia" w:ascii="宋体" w:hAnsi="宋体" w:eastAsia="宋体" w:cs="宋体"/>
                <w:bCs w:val="0"/>
                <w:color w:val="auto"/>
                <w:sz w:val="24"/>
                <w:szCs w:val="24"/>
                <w:highlight w:val="none"/>
                <w:lang w:val="zh-CN"/>
              </w:rPr>
              <w:t>地址：</w:t>
            </w:r>
            <w:r>
              <w:rPr>
                <w:rFonts w:hint="eastAsia" w:ascii="宋体" w:hAnsi="宋体" w:cs="宋体"/>
                <w:color w:val="auto"/>
                <w:lang w:eastAsia="zh-CN"/>
              </w:rPr>
              <w:t xml:space="preserve">龙游县龙洲街道环河步行街242号313室 </w:t>
            </w:r>
          </w:p>
          <w:p w14:paraId="2671D442">
            <w:pPr>
              <w:keepNext w:val="0"/>
              <w:keepLines w:val="0"/>
              <w:pageBreakBefore w:val="0"/>
              <w:widowControl/>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leftChars="0" w:right="0" w:firstLine="0" w:firstLineChars="0"/>
              <w:jc w:val="left"/>
              <w:textAlignment w:val="auto"/>
              <w:rPr>
                <w:rFonts w:hint="eastAsia" w:ascii="宋体" w:hAnsi="宋体" w:eastAsia="宋体" w:cs="宋体"/>
                <w:bCs w:val="0"/>
                <w:color w:val="auto"/>
                <w:sz w:val="24"/>
                <w:szCs w:val="24"/>
                <w:highlight w:val="none"/>
                <w:lang w:val="zh-CN" w:eastAsia="zh-CN"/>
              </w:rPr>
            </w:pPr>
            <w:r>
              <w:rPr>
                <w:rFonts w:hint="eastAsia" w:ascii="宋体" w:hAnsi="宋体" w:eastAsia="宋体" w:cs="宋体"/>
                <w:bCs w:val="0"/>
                <w:color w:val="auto"/>
                <w:sz w:val="24"/>
                <w:szCs w:val="24"/>
                <w:highlight w:val="none"/>
                <w:lang w:val="zh-CN"/>
              </w:rPr>
              <w:t>联系人：</w:t>
            </w:r>
            <w:r>
              <w:rPr>
                <w:rFonts w:hint="eastAsia" w:ascii="宋体" w:hAnsi="宋体" w:cs="宋体"/>
                <w:bCs w:val="0"/>
                <w:color w:val="auto"/>
                <w:sz w:val="24"/>
                <w:szCs w:val="24"/>
                <w:highlight w:val="none"/>
                <w:lang w:val="en-US" w:eastAsia="zh-CN"/>
              </w:rPr>
              <w:t>唐女士</w:t>
            </w:r>
          </w:p>
          <w:p w14:paraId="75233D93">
            <w:pPr>
              <w:keepNext w:val="0"/>
              <w:keepLines w:val="0"/>
              <w:pageBreakBefore w:val="0"/>
              <w:widowControl/>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leftChars="0" w:right="0" w:rightChars="0" w:firstLine="0" w:firstLineChars="0"/>
              <w:jc w:val="left"/>
              <w:textAlignment w:val="auto"/>
              <w:rPr>
                <w:rFonts w:hint="default" w:ascii="宋体" w:hAnsi="宋体" w:cs="宋体"/>
                <w:color w:val="auto"/>
                <w:kern w:val="2"/>
                <w:sz w:val="24"/>
                <w:szCs w:val="24"/>
                <w:lang w:val="en-US" w:eastAsia="zh-CN" w:bidi="ar-SA"/>
              </w:rPr>
            </w:pPr>
            <w:r>
              <w:rPr>
                <w:rFonts w:hint="eastAsia" w:ascii="宋体" w:hAnsi="宋体" w:eastAsia="宋体" w:cs="宋体"/>
                <w:color w:val="auto"/>
                <w:sz w:val="24"/>
                <w:szCs w:val="24"/>
                <w:lang w:val="zh-CN" w:eastAsia="zh-CN"/>
              </w:rPr>
              <w:t>联系方式</w:t>
            </w:r>
            <w:r>
              <w:rPr>
                <w:rFonts w:hint="eastAsia" w:ascii="宋体" w:hAnsi="宋体" w:eastAsia="宋体" w:cs="宋体"/>
                <w:bCs w:val="0"/>
                <w:color w:val="auto"/>
                <w:sz w:val="24"/>
                <w:szCs w:val="24"/>
                <w:highlight w:val="none"/>
                <w:lang w:val="zh-CN"/>
              </w:rPr>
              <w:t>：</w:t>
            </w:r>
            <w:r>
              <w:rPr>
                <w:rFonts w:hint="eastAsia" w:ascii="宋体" w:hAnsi="宋体" w:cs="宋体"/>
                <w:bCs w:val="0"/>
                <w:color w:val="auto"/>
                <w:sz w:val="24"/>
                <w:szCs w:val="24"/>
                <w:highlight w:val="none"/>
                <w:lang w:val="en-US" w:eastAsia="zh-CN"/>
              </w:rPr>
              <w:t>13357013858</w:t>
            </w:r>
          </w:p>
        </w:tc>
      </w:tr>
      <w:tr w14:paraId="5E1C445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785" w:type="dxa"/>
            <w:shd w:val="clear" w:color="auto" w:fill="auto"/>
            <w:vAlign w:val="center"/>
          </w:tcPr>
          <w:p w14:paraId="096478C3">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kern w:val="2"/>
                <w:sz w:val="24"/>
                <w:szCs w:val="24"/>
                <w:lang w:val="en-US" w:eastAsia="zh-CN" w:bidi="ar-SA"/>
              </w:rPr>
            </w:pPr>
            <w:r>
              <w:rPr>
                <w:rFonts w:hint="eastAsia" w:ascii="宋体" w:hAnsi="宋体" w:cs="宋体"/>
                <w:color w:val="000000"/>
                <w:sz w:val="24"/>
                <w:szCs w:val="24"/>
                <w:lang w:val="en-US" w:eastAsia="zh-CN"/>
              </w:rPr>
              <w:t>36</w:t>
            </w:r>
          </w:p>
        </w:tc>
        <w:tc>
          <w:tcPr>
            <w:tcW w:w="2110" w:type="dxa"/>
            <w:vAlign w:val="center"/>
          </w:tcPr>
          <w:p w14:paraId="7E74CBC6">
            <w:pPr>
              <w:keepNext w:val="0"/>
              <w:keepLines w:val="0"/>
              <w:pageBreakBefore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lang w:val="zh-CN" w:eastAsia="zh-CN"/>
              </w:rPr>
            </w:pPr>
            <w:r>
              <w:rPr>
                <w:rFonts w:hint="eastAsia" w:ascii="宋体" w:hAnsi="宋体" w:eastAsia="宋体" w:cs="宋体"/>
                <w:color w:val="auto"/>
                <w:lang w:val="zh-CN" w:eastAsia="zh-CN"/>
              </w:rPr>
              <w:t>供应商投诉</w:t>
            </w:r>
          </w:p>
        </w:tc>
        <w:tc>
          <w:tcPr>
            <w:tcW w:w="7235" w:type="dxa"/>
            <w:vAlign w:val="center"/>
          </w:tcPr>
          <w:p w14:paraId="1F134A2A">
            <w:pPr>
              <w:keepNext w:val="0"/>
              <w:keepLines w:val="0"/>
              <w:pageBreakBefore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名称：</w:t>
            </w:r>
            <w:r>
              <w:rPr>
                <w:rFonts w:hint="eastAsia" w:ascii="宋体" w:hAnsi="宋体" w:cs="宋体"/>
                <w:color w:val="auto"/>
                <w:lang w:val="en-US" w:eastAsia="zh-CN"/>
              </w:rPr>
              <w:t xml:space="preserve">龙游县小南海镇公共资源交易监督管理办公室 </w:t>
            </w:r>
            <w:r>
              <w:rPr>
                <w:rFonts w:hint="eastAsia" w:ascii="宋体" w:hAnsi="宋体" w:eastAsia="宋体" w:cs="宋体"/>
                <w:color w:val="auto"/>
                <w:lang w:val="en-US" w:eastAsia="zh-CN"/>
              </w:rPr>
              <w:t> </w:t>
            </w:r>
          </w:p>
          <w:p w14:paraId="14A7DFC2">
            <w:pPr>
              <w:keepNext w:val="0"/>
              <w:keepLines w:val="0"/>
              <w:pageBreakBefore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left"/>
              <w:textAlignment w:val="auto"/>
              <w:rPr>
                <w:rFonts w:hint="default" w:ascii="宋体" w:hAnsi="宋体" w:eastAsia="宋体" w:cs="宋体"/>
                <w:color w:val="auto"/>
                <w:lang w:val="en-US" w:eastAsia="zh-CN"/>
              </w:rPr>
            </w:pPr>
            <w:r>
              <w:rPr>
                <w:rFonts w:hint="eastAsia" w:ascii="宋体" w:hAnsi="宋体" w:eastAsia="宋体" w:cs="宋体"/>
                <w:color w:val="auto"/>
                <w:lang w:val="en-US" w:eastAsia="zh-CN"/>
              </w:rPr>
              <w:t>地址：</w:t>
            </w:r>
            <w:r>
              <w:rPr>
                <w:rFonts w:hint="eastAsia" w:ascii="宋体" w:hAnsi="宋体" w:cs="宋体"/>
                <w:color w:val="auto"/>
                <w:lang w:val="en-US" w:eastAsia="zh-CN"/>
              </w:rPr>
              <w:t>龙游县小南海镇茶圩里村光明路29号</w:t>
            </w:r>
          </w:p>
          <w:p w14:paraId="53BD26A8">
            <w:pPr>
              <w:keepNext w:val="0"/>
              <w:keepLines w:val="0"/>
              <w:pageBreakBefore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联系人：</w:t>
            </w:r>
            <w:r>
              <w:rPr>
                <w:rFonts w:hint="eastAsia" w:ascii="宋体" w:hAnsi="宋体" w:cs="宋体"/>
                <w:color w:val="auto"/>
                <w:lang w:val="en-US" w:eastAsia="zh-CN"/>
              </w:rPr>
              <w:t>管女士</w:t>
            </w:r>
          </w:p>
          <w:p w14:paraId="7A11325C">
            <w:pPr>
              <w:keepNext w:val="0"/>
              <w:keepLines w:val="0"/>
              <w:pageBreakBefore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lang w:val="zh-CN" w:eastAsia="zh-CN"/>
              </w:rPr>
            </w:pPr>
            <w:r>
              <w:rPr>
                <w:rFonts w:hint="eastAsia" w:ascii="宋体" w:hAnsi="宋体" w:eastAsia="宋体" w:cs="宋体"/>
                <w:color w:val="auto"/>
                <w:lang w:val="en-US" w:eastAsia="zh-CN"/>
              </w:rPr>
              <w:t>监督投诉电话：</w:t>
            </w:r>
            <w:r>
              <w:rPr>
                <w:rFonts w:hint="eastAsia" w:ascii="宋体" w:hAnsi="宋体" w:cs="宋体"/>
                <w:color w:val="auto"/>
                <w:lang w:val="en-US" w:eastAsia="zh-CN"/>
              </w:rPr>
              <w:t>15167059707</w:t>
            </w:r>
          </w:p>
        </w:tc>
      </w:tr>
      <w:tr w14:paraId="1686118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785" w:type="dxa"/>
            <w:tcBorders>
              <w:bottom w:val="thinThickSmallGap" w:color="auto" w:sz="12" w:space="0"/>
            </w:tcBorders>
            <w:shd w:val="clear" w:color="auto" w:fill="auto"/>
            <w:vAlign w:val="center"/>
          </w:tcPr>
          <w:p w14:paraId="4C00854E">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kern w:val="2"/>
                <w:sz w:val="24"/>
                <w:szCs w:val="24"/>
                <w:lang w:val="en-US" w:eastAsia="zh-CN" w:bidi="ar-SA"/>
              </w:rPr>
            </w:pPr>
            <w:r>
              <w:rPr>
                <w:rFonts w:hint="eastAsia" w:ascii="宋体" w:hAnsi="宋体" w:cs="宋体"/>
                <w:color w:val="000000"/>
                <w:sz w:val="24"/>
                <w:szCs w:val="24"/>
                <w:lang w:val="en-US" w:eastAsia="zh-CN"/>
              </w:rPr>
              <w:t>37</w:t>
            </w:r>
          </w:p>
        </w:tc>
        <w:tc>
          <w:tcPr>
            <w:tcW w:w="2110" w:type="dxa"/>
            <w:tcBorders>
              <w:bottom w:val="thinThickSmallGap" w:color="auto" w:sz="12" w:space="0"/>
            </w:tcBorders>
            <w:vAlign w:val="center"/>
          </w:tcPr>
          <w:p w14:paraId="52051ECE">
            <w:pPr>
              <w:keepNext w:val="0"/>
              <w:keepLines w:val="0"/>
              <w:pageBreakBefore w:val="0"/>
              <w:widowControl w:val="0"/>
              <w:suppressLineNumbers w:val="0"/>
              <w:tabs>
                <w:tab w:val="left" w:pos="0"/>
              </w:tabs>
              <w:kinsoku/>
              <w:wordWrap/>
              <w:overflowPunct/>
              <w:topLinePunct w:val="0"/>
              <w:autoSpaceDE w:val="0"/>
              <w:autoSpaceDN w:val="0"/>
              <w:bidi w:val="0"/>
              <w:adjustRightInd w:val="0"/>
              <w:snapToGrid/>
              <w:spacing w:before="0" w:beforeAutospacing="0" w:after="0" w:afterAutospacing="0" w:line="240" w:lineRule="auto"/>
              <w:ind w:left="0" w:right="0" w:firstLine="0" w:firstLineChars="0"/>
              <w:jc w:val="center"/>
              <w:textAlignment w:val="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解释权</w:t>
            </w:r>
          </w:p>
        </w:tc>
        <w:tc>
          <w:tcPr>
            <w:tcW w:w="7235" w:type="dxa"/>
            <w:tcBorders>
              <w:bottom w:val="thinThickSmallGap" w:color="auto" w:sz="12" w:space="0"/>
            </w:tcBorders>
            <w:vAlign w:val="center"/>
          </w:tcPr>
          <w:p w14:paraId="29A95618">
            <w:pPr>
              <w:pStyle w:val="111"/>
              <w:keepNext w:val="0"/>
              <w:keepLines w:val="0"/>
              <w:pageBreakBefore w:val="0"/>
              <w:widowControl w:val="0"/>
              <w:suppressLineNumbers w:val="0"/>
              <w:tabs>
                <w:tab w:val="left" w:pos="768"/>
              </w:tabs>
              <w:kinsoku/>
              <w:wordWrap/>
              <w:overflowPunct/>
              <w:topLinePunct w:val="0"/>
              <w:bidi w:val="0"/>
              <w:snapToGrid/>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lang w:eastAsia="zh-CN"/>
              </w:rPr>
            </w:pPr>
            <w:r>
              <w:rPr>
                <w:rFonts w:hint="eastAsia" w:ascii="宋体" w:hAnsi="宋体" w:eastAsia="宋体" w:cs="宋体"/>
                <w:lang w:eastAsia="zh-CN"/>
              </w:rPr>
              <w:t>本文件的解释权属于采购人</w:t>
            </w:r>
          </w:p>
        </w:tc>
      </w:tr>
    </w:tbl>
    <w:p w14:paraId="57FA2EF5">
      <w:pPr>
        <w:pStyle w:val="2"/>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lang w:val="en-US"/>
        </w:rPr>
      </w:pPr>
      <w:bookmarkStart w:id="242" w:name="_Toc19659"/>
      <w:bookmarkStart w:id="243" w:name="_Toc11023"/>
      <w:bookmarkStart w:id="244" w:name="_Toc391298955"/>
      <w:bookmarkStart w:id="245" w:name="_Toc6094"/>
      <w:bookmarkStart w:id="246" w:name="_Toc20312"/>
      <w:bookmarkStart w:id="247" w:name="_Toc22305"/>
      <w:bookmarkStart w:id="248" w:name="_Toc12381"/>
      <w:bookmarkStart w:id="249" w:name="_Toc12403"/>
      <w:bookmarkStart w:id="250" w:name="_Toc5481"/>
      <w:bookmarkStart w:id="251" w:name="_Toc25730"/>
      <w:bookmarkStart w:id="252" w:name="_Toc28742"/>
      <w:bookmarkStart w:id="253" w:name="_Toc18666"/>
      <w:bookmarkStart w:id="254" w:name="_Toc11668"/>
      <w:bookmarkStart w:id="255" w:name="_Toc16257"/>
      <w:bookmarkStart w:id="256" w:name="_Toc26063"/>
      <w:bookmarkStart w:id="257" w:name="_Toc15313"/>
      <w:bookmarkStart w:id="258" w:name="_Toc4630"/>
      <w:bookmarkStart w:id="259" w:name="_Toc30408"/>
      <w:bookmarkStart w:id="260" w:name="_Toc12958"/>
      <w:bookmarkStart w:id="261" w:name="_Toc1621"/>
      <w:bookmarkStart w:id="262" w:name="_Toc3923"/>
      <w:bookmarkStart w:id="263" w:name="_Toc31099"/>
      <w:bookmarkStart w:id="264" w:name="_Toc19715"/>
      <w:bookmarkStart w:id="265" w:name="_Toc4113"/>
      <w:bookmarkStart w:id="266" w:name="_Toc17098"/>
      <w:bookmarkStart w:id="267" w:name="_Toc24478"/>
      <w:bookmarkStart w:id="268" w:name="_Toc27406"/>
      <w:bookmarkStart w:id="269" w:name="_Toc32668"/>
      <w:bookmarkStart w:id="270" w:name="_Toc331"/>
      <w:bookmarkStart w:id="271" w:name="_Toc21903"/>
      <w:bookmarkStart w:id="272" w:name="_Toc11179"/>
      <w:bookmarkStart w:id="273" w:name="_Toc19731"/>
      <w:bookmarkStart w:id="274" w:name="_Toc27407"/>
      <w:bookmarkStart w:id="275" w:name="_Toc27241"/>
      <w:bookmarkStart w:id="276" w:name="_Toc27367"/>
      <w:bookmarkStart w:id="277" w:name="_Toc29625"/>
      <w:bookmarkStart w:id="278" w:name="_Toc5699"/>
      <w:bookmarkStart w:id="279" w:name="_Toc30126"/>
      <w:bookmarkStart w:id="280" w:name="_Toc11984"/>
      <w:r>
        <w:rPr>
          <w:rFonts w:hint="eastAsia" w:ascii="宋体" w:hAnsi="宋体" w:eastAsia="宋体" w:cs="宋体"/>
          <w:b/>
          <w:bCs w:val="0"/>
          <w:sz w:val="28"/>
          <w:szCs w:val="28"/>
          <w:lang w:val="en-US" w:eastAsia="zh-CN"/>
        </w:rPr>
        <w:t>二</w:t>
      </w:r>
      <w:r>
        <w:rPr>
          <w:rFonts w:hint="eastAsia" w:ascii="宋体" w:hAnsi="宋体" w:eastAsia="宋体" w:cs="宋体"/>
          <w:b/>
          <w:bCs w:val="0"/>
          <w:sz w:val="28"/>
          <w:szCs w:val="28"/>
          <w:lang w:val="en-US"/>
        </w:rPr>
        <w:t>、说明</w:t>
      </w:r>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p>
    <w:p w14:paraId="4991E1A2">
      <w:pPr>
        <w:pStyle w:val="30"/>
        <w:keepNext w:val="0"/>
        <w:keepLines w:val="0"/>
        <w:pageBreakBefore w:val="0"/>
        <w:widowControl w:val="0"/>
        <w:numPr>
          <w:ilvl w:val="0"/>
          <w:numId w:val="6"/>
        </w:numPr>
        <w:kinsoku/>
        <w:wordWrap/>
        <w:overflowPunct/>
        <w:topLinePunct w:val="0"/>
        <w:autoSpaceDE/>
        <w:autoSpaceDN/>
        <w:bidi w:val="0"/>
        <w:adjustRightInd w:val="0"/>
        <w:snapToGrid w:val="0"/>
        <w:spacing w:line="312" w:lineRule="auto"/>
        <w:ind w:left="0" w:leftChars="0" w:firstLine="482" w:firstLineChars="0"/>
        <w:jc w:val="both"/>
        <w:textAlignment w:val="auto"/>
        <w:rPr>
          <w:rFonts w:hint="eastAsia" w:ascii="宋体" w:hAnsi="宋体" w:eastAsia="宋体" w:cs="宋体"/>
          <w:sz w:val="24"/>
          <w:szCs w:val="24"/>
        </w:rPr>
      </w:pPr>
      <w:r>
        <w:rPr>
          <w:rFonts w:hint="eastAsia" w:ascii="宋体" w:hAnsi="宋体" w:eastAsia="宋体" w:cs="宋体"/>
          <w:sz w:val="24"/>
          <w:szCs w:val="24"/>
          <w:lang w:eastAsia="zh-CN"/>
        </w:rPr>
        <w:t>编制依据</w:t>
      </w:r>
    </w:p>
    <w:p w14:paraId="4FCBB2D0">
      <w:pPr>
        <w:pStyle w:val="30"/>
        <w:keepNext w:val="0"/>
        <w:keepLines w:val="0"/>
        <w:pageBreakBefore w:val="0"/>
        <w:widowControl w:val="0"/>
        <w:kinsoku/>
        <w:wordWrap/>
        <w:overflowPunct/>
        <w:topLinePunct w:val="0"/>
        <w:autoSpaceDE/>
        <w:autoSpaceDN/>
        <w:bidi w:val="0"/>
        <w:adjustRightInd w:val="0"/>
        <w:snapToGrid w:val="0"/>
        <w:spacing w:line="312" w:lineRule="auto"/>
        <w:ind w:left="0" w:firstLine="482"/>
        <w:jc w:val="both"/>
        <w:textAlignment w:val="auto"/>
        <w:rPr>
          <w:rFonts w:hint="eastAsia" w:ascii="宋体" w:hAnsi="宋体" w:eastAsia="宋体" w:cs="宋体"/>
          <w:sz w:val="24"/>
          <w:szCs w:val="24"/>
        </w:rPr>
      </w:pPr>
      <w:r>
        <w:rPr>
          <w:rFonts w:hint="eastAsia" w:ascii="宋体" w:hAnsi="宋体" w:eastAsia="宋体" w:cs="宋体"/>
          <w:color w:val="auto"/>
          <w:sz w:val="24"/>
          <w:szCs w:val="24"/>
          <w:lang w:eastAsia="zh-CN"/>
        </w:rPr>
        <w:t>参照</w:t>
      </w:r>
      <w:r>
        <w:rPr>
          <w:rFonts w:hint="eastAsia" w:ascii="宋体" w:hAnsi="宋体" w:eastAsia="宋体" w:cs="宋体"/>
          <w:sz w:val="24"/>
          <w:szCs w:val="24"/>
        </w:rPr>
        <w:t>《中华人民共和国政府采购法》《中华人民共和国政府采购法</w:t>
      </w:r>
      <w:r>
        <w:rPr>
          <w:rFonts w:hint="eastAsia" w:ascii="宋体" w:hAnsi="宋体" w:eastAsia="宋体" w:cs="宋体"/>
          <w:sz w:val="24"/>
          <w:szCs w:val="24"/>
          <w:lang w:eastAsia="zh-CN"/>
        </w:rPr>
        <w:t>实施条例</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政府采购货物和服务招标投标管理办法</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财政部令第87号</w:t>
      </w:r>
      <w:r>
        <w:rPr>
          <w:rFonts w:hint="eastAsia" w:ascii="宋体" w:hAnsi="宋体" w:eastAsia="宋体" w:cs="宋体"/>
          <w:sz w:val="24"/>
          <w:szCs w:val="24"/>
          <w:lang w:eastAsia="zh-CN"/>
        </w:rPr>
        <w:t>）</w:t>
      </w:r>
      <w:r>
        <w:rPr>
          <w:rFonts w:hint="eastAsia" w:ascii="宋体" w:hAnsi="宋体" w:eastAsia="宋体" w:cs="宋体"/>
          <w:color w:val="auto"/>
          <w:sz w:val="24"/>
          <w:szCs w:val="24"/>
          <w:lang w:val="en-US" w:eastAsia="zh-CN"/>
        </w:rPr>
        <w:t>等</w:t>
      </w:r>
      <w:r>
        <w:rPr>
          <w:rFonts w:hint="eastAsia" w:ascii="宋体" w:hAnsi="宋体" w:eastAsia="宋体" w:cs="宋体"/>
          <w:color w:val="auto"/>
          <w:sz w:val="24"/>
          <w:szCs w:val="24"/>
          <w:lang w:eastAsia="zh-CN"/>
        </w:rPr>
        <w:t>有关采购</w:t>
      </w:r>
      <w:r>
        <w:rPr>
          <w:rFonts w:hint="eastAsia" w:ascii="宋体" w:hAnsi="宋体" w:eastAsia="宋体" w:cs="宋体"/>
          <w:color w:val="auto"/>
          <w:sz w:val="24"/>
          <w:szCs w:val="24"/>
          <w:lang w:val="en-US" w:eastAsia="zh-CN"/>
        </w:rPr>
        <w:t>管理的</w:t>
      </w:r>
      <w:r>
        <w:rPr>
          <w:rFonts w:hint="eastAsia" w:ascii="宋体" w:hAnsi="宋体" w:eastAsia="宋体" w:cs="宋体"/>
          <w:color w:val="auto"/>
          <w:sz w:val="24"/>
          <w:szCs w:val="24"/>
        </w:rPr>
        <w:t>规定</w:t>
      </w:r>
      <w:r>
        <w:rPr>
          <w:rFonts w:hint="eastAsia" w:ascii="宋体" w:hAnsi="宋体" w:eastAsia="宋体" w:cs="宋体"/>
          <w:color w:val="auto"/>
          <w:sz w:val="24"/>
          <w:szCs w:val="24"/>
          <w:lang w:eastAsia="zh-CN"/>
        </w:rPr>
        <w:t>，编制本</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lang w:eastAsia="zh-CN"/>
        </w:rPr>
        <w:t>文件。</w:t>
      </w:r>
    </w:p>
    <w:p w14:paraId="6756F4CB">
      <w:pPr>
        <w:pageBreakBefore w:val="0"/>
        <w:kinsoku/>
        <w:wordWrap/>
        <w:overflowPunct/>
        <w:topLinePunct w:val="0"/>
        <w:autoSpaceDE/>
        <w:autoSpaceDN/>
        <w:bidi w:val="0"/>
        <w:snapToGrid w:val="0"/>
        <w:spacing w:line="312" w:lineRule="auto"/>
        <w:ind w:firstLine="562"/>
        <w:jc w:val="left"/>
        <w:textAlignment w:val="auto"/>
        <w:rPr>
          <w:rFonts w:hint="eastAsia" w:ascii="宋体" w:hAnsi="宋体" w:eastAsia="宋体" w:cs="宋体"/>
          <w:sz w:val="24"/>
          <w:szCs w:val="24"/>
        </w:rPr>
      </w:pPr>
      <w:r>
        <w:rPr>
          <w:rFonts w:hint="eastAsia" w:ascii="宋体" w:hAnsi="宋体" w:eastAsia="宋体" w:cs="宋体"/>
          <w:sz w:val="24"/>
          <w:szCs w:val="24"/>
        </w:rPr>
        <w:t>2.定义</w:t>
      </w:r>
    </w:p>
    <w:p w14:paraId="36ACF5D5">
      <w:pPr>
        <w:pageBreakBefore w:val="0"/>
        <w:kinsoku/>
        <w:wordWrap/>
        <w:overflowPunct/>
        <w:topLinePunct w:val="0"/>
        <w:autoSpaceDE/>
        <w:autoSpaceDN/>
        <w:bidi w:val="0"/>
        <w:snapToGrid w:val="0"/>
        <w:spacing w:line="312" w:lineRule="auto"/>
        <w:ind w:firstLine="562"/>
        <w:jc w:val="left"/>
        <w:textAlignment w:val="auto"/>
        <w:rPr>
          <w:rFonts w:hint="eastAsia" w:ascii="宋体" w:hAnsi="宋体" w:eastAsia="宋体" w:cs="宋体"/>
          <w:sz w:val="24"/>
          <w:szCs w:val="24"/>
          <w:lang w:val="zh-CN"/>
        </w:rPr>
      </w:pPr>
      <w:r>
        <w:rPr>
          <w:rFonts w:hint="eastAsia" w:ascii="宋体" w:hAnsi="宋体" w:eastAsia="宋体" w:cs="宋体"/>
          <w:sz w:val="24"/>
          <w:szCs w:val="24"/>
        </w:rPr>
        <w:t>2.1“</w:t>
      </w:r>
      <w:r>
        <w:rPr>
          <w:rFonts w:hint="eastAsia" w:ascii="宋体" w:hAnsi="宋体" w:eastAsia="宋体" w:cs="宋体"/>
          <w:sz w:val="24"/>
          <w:szCs w:val="24"/>
          <w:lang w:val="zh-CN"/>
        </w:rPr>
        <w:t>采购人”系指“</w:t>
      </w:r>
      <w:r>
        <w:rPr>
          <w:rFonts w:hint="eastAsia" w:ascii="宋体" w:hAnsi="宋体" w:cs="宋体"/>
          <w:sz w:val="24"/>
          <w:szCs w:val="24"/>
          <w:lang w:eastAsia="zh-CN"/>
        </w:rPr>
        <w:t>龙游县小南海镇周红坂村股份经济合作社</w:t>
      </w:r>
      <w:r>
        <w:rPr>
          <w:rFonts w:hint="eastAsia" w:ascii="宋体" w:hAnsi="宋体" w:eastAsia="宋体" w:cs="宋体"/>
          <w:sz w:val="24"/>
          <w:szCs w:val="24"/>
          <w:lang w:val="zh-CN"/>
        </w:rPr>
        <w:t>”。</w:t>
      </w:r>
    </w:p>
    <w:p w14:paraId="3C0610B8">
      <w:pPr>
        <w:pageBreakBefore w:val="0"/>
        <w:kinsoku/>
        <w:wordWrap/>
        <w:overflowPunct/>
        <w:topLinePunct w:val="0"/>
        <w:autoSpaceDE/>
        <w:autoSpaceDN/>
        <w:bidi w:val="0"/>
        <w:snapToGrid w:val="0"/>
        <w:spacing w:line="312" w:lineRule="auto"/>
        <w:ind w:firstLine="562"/>
        <w:jc w:val="left"/>
        <w:textAlignment w:val="auto"/>
        <w:rPr>
          <w:rFonts w:hint="eastAsia" w:ascii="宋体" w:hAnsi="宋体" w:eastAsia="宋体" w:cs="宋体"/>
          <w:sz w:val="24"/>
          <w:szCs w:val="24"/>
        </w:rPr>
      </w:pPr>
      <w:r>
        <w:rPr>
          <w:rFonts w:hint="eastAsia" w:ascii="宋体" w:hAnsi="宋体" w:eastAsia="宋体" w:cs="宋体"/>
          <w:sz w:val="24"/>
          <w:szCs w:val="24"/>
        </w:rPr>
        <w:t>2.2“</w:t>
      </w:r>
      <w:r>
        <w:rPr>
          <w:rFonts w:hint="eastAsia" w:ascii="宋体" w:hAnsi="宋体" w:eastAsia="宋体" w:cs="宋体"/>
          <w:sz w:val="24"/>
          <w:szCs w:val="24"/>
          <w:lang w:val="zh-CN"/>
        </w:rPr>
        <w:t>供应商</w:t>
      </w:r>
      <w:r>
        <w:rPr>
          <w:rFonts w:hint="eastAsia" w:ascii="宋体" w:hAnsi="宋体" w:eastAsia="宋体" w:cs="宋体"/>
          <w:sz w:val="24"/>
          <w:szCs w:val="24"/>
        </w:rPr>
        <w:t>”系指向</w:t>
      </w:r>
      <w:r>
        <w:rPr>
          <w:rFonts w:hint="eastAsia" w:ascii="宋体" w:hAnsi="宋体" w:eastAsia="宋体" w:cs="宋体"/>
          <w:sz w:val="24"/>
          <w:szCs w:val="24"/>
          <w:lang w:val="zh-CN"/>
        </w:rPr>
        <w:t>采购人</w:t>
      </w:r>
      <w:r>
        <w:rPr>
          <w:rFonts w:hint="eastAsia" w:ascii="宋体" w:hAnsi="宋体" w:eastAsia="宋体" w:cs="宋体"/>
          <w:sz w:val="24"/>
          <w:szCs w:val="24"/>
        </w:rPr>
        <w:t>提交</w:t>
      </w:r>
      <w:r>
        <w:rPr>
          <w:rFonts w:hint="eastAsia" w:ascii="宋体" w:hAnsi="宋体" w:eastAsia="宋体" w:cs="宋体"/>
          <w:sz w:val="24"/>
          <w:szCs w:val="24"/>
          <w:lang w:val="zh-CN"/>
        </w:rPr>
        <w:t>磋商响应</w:t>
      </w:r>
      <w:r>
        <w:rPr>
          <w:rFonts w:hint="eastAsia" w:ascii="宋体" w:hAnsi="宋体" w:eastAsia="宋体" w:cs="宋体"/>
          <w:sz w:val="24"/>
          <w:szCs w:val="24"/>
        </w:rPr>
        <w:t>文件的供应商。</w:t>
      </w:r>
    </w:p>
    <w:p w14:paraId="353668B9">
      <w:pPr>
        <w:pageBreakBefore w:val="0"/>
        <w:kinsoku/>
        <w:wordWrap/>
        <w:overflowPunct/>
        <w:topLinePunct w:val="0"/>
        <w:autoSpaceDE/>
        <w:autoSpaceDN/>
        <w:bidi w:val="0"/>
        <w:snapToGrid w:val="0"/>
        <w:spacing w:line="312" w:lineRule="auto"/>
        <w:ind w:firstLine="562"/>
        <w:jc w:val="left"/>
        <w:textAlignment w:val="auto"/>
        <w:rPr>
          <w:rFonts w:hint="eastAsia" w:ascii="宋体" w:hAnsi="宋体" w:eastAsia="宋体" w:cs="宋体"/>
          <w:sz w:val="24"/>
          <w:szCs w:val="24"/>
        </w:rPr>
      </w:pPr>
      <w:r>
        <w:rPr>
          <w:rFonts w:hint="eastAsia" w:ascii="宋体" w:hAnsi="宋体" w:eastAsia="宋体" w:cs="宋体"/>
          <w:sz w:val="24"/>
          <w:szCs w:val="24"/>
        </w:rPr>
        <w:t>2.3</w:t>
      </w:r>
      <w:r>
        <w:rPr>
          <w:rFonts w:hint="eastAsia" w:ascii="宋体" w:hAnsi="宋体" w:eastAsia="宋体" w:cs="宋体"/>
          <w:sz w:val="24"/>
          <w:szCs w:val="24"/>
          <w:lang w:val="zh-CN"/>
        </w:rPr>
        <w:t>“</w:t>
      </w:r>
      <w:r>
        <w:rPr>
          <w:rFonts w:hint="eastAsia" w:ascii="宋体" w:hAnsi="宋体" w:cs="宋体"/>
          <w:sz w:val="24"/>
          <w:szCs w:val="24"/>
          <w:lang w:val="zh-CN"/>
        </w:rPr>
        <w:t>采购代理机构</w:t>
      </w:r>
      <w:r>
        <w:rPr>
          <w:rFonts w:hint="eastAsia" w:ascii="宋体" w:hAnsi="宋体" w:eastAsia="宋体" w:cs="宋体"/>
          <w:sz w:val="24"/>
          <w:szCs w:val="24"/>
          <w:lang w:val="zh-CN"/>
        </w:rPr>
        <w:t>”系指“</w:t>
      </w:r>
      <w:r>
        <w:rPr>
          <w:rFonts w:hint="eastAsia" w:ascii="宋体" w:hAnsi="宋体" w:cs="宋体"/>
          <w:sz w:val="24"/>
          <w:szCs w:val="24"/>
          <w:lang w:eastAsia="zh-CN"/>
        </w:rPr>
        <w:t>浙江新诚信工程咨询有限公司</w:t>
      </w:r>
      <w:r>
        <w:rPr>
          <w:rFonts w:hint="eastAsia" w:ascii="宋体" w:hAnsi="宋体" w:eastAsia="宋体" w:cs="宋体"/>
          <w:sz w:val="24"/>
          <w:szCs w:val="24"/>
          <w:lang w:val="zh-CN"/>
        </w:rPr>
        <w:t>”。</w:t>
      </w:r>
    </w:p>
    <w:p w14:paraId="15C4B8AE">
      <w:pPr>
        <w:pageBreakBefore w:val="0"/>
        <w:kinsoku/>
        <w:wordWrap/>
        <w:overflowPunct/>
        <w:topLinePunct w:val="0"/>
        <w:autoSpaceDE/>
        <w:autoSpaceDN/>
        <w:bidi w:val="0"/>
        <w:snapToGrid w:val="0"/>
        <w:spacing w:line="312" w:lineRule="auto"/>
        <w:ind w:firstLine="562"/>
        <w:jc w:val="left"/>
        <w:textAlignment w:val="auto"/>
        <w:rPr>
          <w:rFonts w:hint="eastAsia" w:ascii="宋体" w:hAnsi="宋体" w:eastAsia="宋体" w:cs="宋体"/>
          <w:sz w:val="24"/>
          <w:szCs w:val="24"/>
        </w:rPr>
      </w:pPr>
      <w:r>
        <w:rPr>
          <w:rFonts w:hint="eastAsia" w:ascii="宋体" w:hAnsi="宋体" w:eastAsia="宋体" w:cs="宋体"/>
          <w:sz w:val="24"/>
          <w:szCs w:val="24"/>
        </w:rPr>
        <w:t>2.4</w:t>
      </w:r>
      <w:r>
        <w:rPr>
          <w:rFonts w:hint="eastAsia" w:ascii="宋体" w:hAnsi="宋体" w:eastAsia="宋体" w:cs="宋体"/>
          <w:sz w:val="24"/>
          <w:szCs w:val="24"/>
          <w:lang w:val="zh-CN"/>
        </w:rPr>
        <w:t>“货物”系指按本磋商文件中采购人所要求的</w:t>
      </w:r>
      <w:r>
        <w:rPr>
          <w:rFonts w:hint="eastAsia" w:ascii="宋体" w:hAnsi="宋体" w:eastAsia="宋体" w:cs="宋体"/>
          <w:sz w:val="24"/>
          <w:szCs w:val="24"/>
        </w:rPr>
        <w:t>设备</w:t>
      </w:r>
      <w:r>
        <w:rPr>
          <w:rFonts w:hint="eastAsia" w:ascii="宋体" w:hAnsi="宋体" w:eastAsia="宋体" w:cs="宋体"/>
          <w:sz w:val="24"/>
          <w:szCs w:val="24"/>
          <w:lang w:val="zh-CN"/>
        </w:rPr>
        <w:t>。</w:t>
      </w:r>
    </w:p>
    <w:p w14:paraId="10C376DD">
      <w:pPr>
        <w:pageBreakBefore w:val="0"/>
        <w:kinsoku/>
        <w:wordWrap/>
        <w:overflowPunct/>
        <w:topLinePunct w:val="0"/>
        <w:autoSpaceDE/>
        <w:autoSpaceDN/>
        <w:bidi w:val="0"/>
        <w:snapToGrid w:val="0"/>
        <w:spacing w:line="312" w:lineRule="auto"/>
        <w:ind w:firstLine="562"/>
        <w:jc w:val="left"/>
        <w:textAlignment w:val="auto"/>
        <w:rPr>
          <w:rFonts w:hint="eastAsia" w:ascii="宋体" w:hAnsi="宋体" w:eastAsia="宋体" w:cs="宋体"/>
          <w:sz w:val="24"/>
          <w:szCs w:val="24"/>
          <w:lang w:val="zh-CN"/>
        </w:rPr>
      </w:pPr>
      <w:r>
        <w:rPr>
          <w:rFonts w:hint="eastAsia" w:ascii="宋体" w:hAnsi="宋体" w:eastAsia="宋体" w:cs="宋体"/>
          <w:sz w:val="24"/>
          <w:szCs w:val="24"/>
        </w:rPr>
        <w:t>2.5</w:t>
      </w:r>
      <w:r>
        <w:rPr>
          <w:rFonts w:hint="eastAsia" w:ascii="宋体" w:hAnsi="宋体" w:eastAsia="宋体" w:cs="宋体"/>
          <w:sz w:val="24"/>
          <w:szCs w:val="24"/>
          <w:lang w:val="zh-CN"/>
        </w:rPr>
        <w:t>“服务”系指供应商按磋商文件规定为采购人提供货物的相关服务。</w:t>
      </w:r>
    </w:p>
    <w:p w14:paraId="4877F203">
      <w:pPr>
        <w:pageBreakBefore w:val="0"/>
        <w:kinsoku/>
        <w:wordWrap/>
        <w:overflowPunct/>
        <w:topLinePunct w:val="0"/>
        <w:autoSpaceDE/>
        <w:autoSpaceDN/>
        <w:bidi w:val="0"/>
        <w:snapToGrid w:val="0"/>
        <w:spacing w:line="312" w:lineRule="auto"/>
        <w:ind w:firstLine="562"/>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2.6“产品”系指供应商按磋商文件规定，须向采购人（使用单位或买方）提供一切仪器仪表、备品备件、工具、手册及其他有关技术资料和材料。</w:t>
      </w:r>
    </w:p>
    <w:p w14:paraId="303C89EC">
      <w:pPr>
        <w:pageBreakBefore w:val="0"/>
        <w:kinsoku/>
        <w:wordWrap/>
        <w:overflowPunct/>
        <w:topLinePunct w:val="0"/>
        <w:autoSpaceDE/>
        <w:autoSpaceDN/>
        <w:bidi w:val="0"/>
        <w:snapToGrid w:val="0"/>
        <w:spacing w:line="312" w:lineRule="auto"/>
        <w:ind w:firstLine="480" w:firstLineChars="20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2.7</w:t>
      </w:r>
      <w:r>
        <w:rPr>
          <w:rFonts w:hint="eastAsia" w:ascii="宋体" w:hAnsi="宋体" w:eastAsia="宋体" w:cs="宋体"/>
          <w:sz w:val="24"/>
          <w:szCs w:val="24"/>
          <w:lang w:val="zh-CN"/>
        </w:rPr>
        <w:t>“▲”系指</w:t>
      </w:r>
      <w:r>
        <w:rPr>
          <w:rFonts w:hint="eastAsia" w:ascii="宋体" w:hAnsi="宋体" w:cs="宋体"/>
          <w:sz w:val="24"/>
          <w:szCs w:val="24"/>
          <w:lang w:val="zh-CN"/>
        </w:rPr>
        <w:t>按照</w:t>
      </w:r>
      <w:r>
        <w:rPr>
          <w:rFonts w:hint="eastAsia" w:ascii="宋体" w:hAnsi="宋体" w:eastAsia="宋体" w:cs="宋体"/>
          <w:sz w:val="24"/>
          <w:szCs w:val="24"/>
          <w:lang w:val="zh-CN"/>
        </w:rPr>
        <w:t>本磋商文件要求供应商必须实质性响应的条款，有任何一项缺失或非实质性响应即刻取消其磋商资格。供应商自行承担其参加磋商所涉及的一切费用。</w:t>
      </w:r>
    </w:p>
    <w:p w14:paraId="4D946A5A">
      <w:pPr>
        <w:pageBreakBefore w:val="0"/>
        <w:kinsoku/>
        <w:wordWrap/>
        <w:overflowPunct/>
        <w:topLinePunct w:val="0"/>
        <w:autoSpaceDE/>
        <w:autoSpaceDN/>
        <w:bidi w:val="0"/>
        <w:snapToGrid w:val="0"/>
        <w:spacing w:line="312" w:lineRule="auto"/>
        <w:ind w:firstLine="562"/>
        <w:jc w:val="left"/>
        <w:textAlignment w:val="auto"/>
        <w:rPr>
          <w:rFonts w:hint="eastAsia" w:ascii="宋体" w:hAnsi="宋体" w:eastAsia="宋体" w:cs="宋体"/>
          <w:sz w:val="24"/>
          <w:szCs w:val="24"/>
          <w:lang w:val="en-US" w:eastAsia="zh-CN"/>
        </w:rPr>
      </w:pPr>
      <w:bookmarkStart w:id="281" w:name="_Toc24670"/>
      <w:bookmarkStart w:id="282" w:name="_Toc4520"/>
      <w:bookmarkStart w:id="283" w:name="_Toc22382"/>
      <w:bookmarkStart w:id="284" w:name="_Toc16235"/>
      <w:bookmarkStart w:id="285" w:name="_Toc31767"/>
      <w:bookmarkStart w:id="286" w:name="_Toc26128"/>
      <w:bookmarkStart w:id="287" w:name="_Toc28373"/>
      <w:r>
        <w:rPr>
          <w:rFonts w:hint="eastAsia" w:ascii="宋体" w:hAnsi="宋体" w:eastAsia="宋体" w:cs="宋体"/>
          <w:sz w:val="24"/>
          <w:szCs w:val="24"/>
          <w:lang w:val="en-US" w:eastAsia="zh-CN"/>
        </w:rPr>
        <w:t>3.采购方式</w:t>
      </w:r>
    </w:p>
    <w:p w14:paraId="387D4F93">
      <w:pPr>
        <w:pageBreakBefore w:val="0"/>
        <w:kinsoku/>
        <w:wordWrap/>
        <w:overflowPunct/>
        <w:topLinePunct w:val="0"/>
        <w:autoSpaceDE/>
        <w:autoSpaceDN/>
        <w:bidi w:val="0"/>
        <w:spacing w:line="312" w:lineRule="auto"/>
        <w:ind w:left="0" w:leftChars="0"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.1采购组织形式</w:t>
      </w:r>
      <w:r>
        <w:rPr>
          <w:rFonts w:hint="eastAsia" w:ascii="宋体" w:hAnsi="宋体" w:cs="宋体"/>
          <w:color w:val="000000"/>
          <w:sz w:val="24"/>
          <w:szCs w:val="24"/>
          <w:lang w:val="en-US" w:eastAsia="zh-CN"/>
        </w:rPr>
        <w:t>自行采购</w:t>
      </w:r>
      <w:r>
        <w:rPr>
          <w:rFonts w:hint="eastAsia" w:ascii="宋体" w:hAnsi="宋体" w:eastAsia="宋体" w:cs="宋体"/>
          <w:color w:val="000000"/>
          <w:sz w:val="24"/>
          <w:szCs w:val="24"/>
        </w:rPr>
        <w:t>委托代理。</w:t>
      </w:r>
    </w:p>
    <w:p w14:paraId="1115E3F6">
      <w:pPr>
        <w:pageBreakBefore w:val="0"/>
        <w:kinsoku/>
        <w:wordWrap/>
        <w:overflowPunct/>
        <w:topLinePunct w:val="0"/>
        <w:autoSpaceDE/>
        <w:autoSpaceDN/>
        <w:bidi w:val="0"/>
        <w:spacing w:line="312"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.2采用</w:t>
      </w:r>
      <w:r>
        <w:rPr>
          <w:rFonts w:hint="eastAsia" w:ascii="宋体" w:hAnsi="宋体" w:eastAsia="宋体" w:cs="宋体"/>
          <w:color w:val="000000"/>
          <w:sz w:val="24"/>
          <w:szCs w:val="24"/>
          <w:lang w:val="en-US" w:eastAsia="zh-CN"/>
        </w:rPr>
        <w:t>竞争性磋商</w:t>
      </w:r>
      <w:r>
        <w:rPr>
          <w:rFonts w:hint="eastAsia" w:ascii="宋体" w:hAnsi="宋体" w:eastAsia="宋体" w:cs="宋体"/>
          <w:color w:val="000000"/>
          <w:sz w:val="24"/>
          <w:szCs w:val="24"/>
          <w:lang w:eastAsia="zh-CN"/>
        </w:rPr>
        <w:t>采购方式</w:t>
      </w:r>
      <w:r>
        <w:rPr>
          <w:rFonts w:hint="eastAsia" w:ascii="宋体" w:hAnsi="宋体" w:eastAsia="宋体" w:cs="宋体"/>
          <w:color w:val="000000"/>
          <w:sz w:val="24"/>
          <w:szCs w:val="24"/>
        </w:rPr>
        <w:t>。</w:t>
      </w:r>
    </w:p>
    <w:p w14:paraId="6D364F7D">
      <w:pPr>
        <w:pageBreakBefore w:val="0"/>
        <w:kinsoku/>
        <w:wordWrap/>
        <w:overflowPunct/>
        <w:topLinePunct w:val="0"/>
        <w:autoSpaceDE/>
        <w:autoSpaceDN/>
        <w:bidi w:val="0"/>
        <w:snapToGrid w:val="0"/>
        <w:spacing w:line="312" w:lineRule="auto"/>
        <w:ind w:firstLine="562"/>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4.联合体</w:t>
      </w:r>
    </w:p>
    <w:p w14:paraId="06D05F37">
      <w:pPr>
        <w:pageBreakBefore w:val="0"/>
        <w:kinsoku/>
        <w:wordWrap/>
        <w:overflowPunct/>
        <w:topLinePunct w:val="0"/>
        <w:autoSpaceDE/>
        <w:autoSpaceDN/>
        <w:bidi w:val="0"/>
        <w:snapToGrid w:val="0"/>
        <w:spacing w:line="312" w:lineRule="auto"/>
        <w:ind w:left="0" w:leftChars="0"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本项目不接受联合体</w:t>
      </w:r>
      <w:r>
        <w:rPr>
          <w:rFonts w:hint="eastAsia" w:ascii="宋体" w:hAnsi="宋体" w:eastAsia="宋体" w:cs="宋体"/>
          <w:sz w:val="24"/>
          <w:szCs w:val="24"/>
          <w:lang w:val="en-US" w:eastAsia="zh-CN"/>
        </w:rPr>
        <w:t>磋商</w:t>
      </w:r>
      <w:r>
        <w:rPr>
          <w:rFonts w:hint="eastAsia" w:ascii="宋体" w:hAnsi="宋体" w:eastAsia="宋体" w:cs="宋体"/>
          <w:sz w:val="24"/>
          <w:szCs w:val="24"/>
        </w:rPr>
        <w:t>。</w:t>
      </w:r>
    </w:p>
    <w:p w14:paraId="3306391B">
      <w:pPr>
        <w:pageBreakBefore w:val="0"/>
        <w:kinsoku/>
        <w:wordWrap/>
        <w:overflowPunct/>
        <w:topLinePunct w:val="0"/>
        <w:autoSpaceDE/>
        <w:autoSpaceDN/>
        <w:bidi w:val="0"/>
        <w:snapToGrid w:val="0"/>
        <w:spacing w:line="312" w:lineRule="auto"/>
        <w:ind w:firstLine="562"/>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5.转包与分包</w:t>
      </w:r>
    </w:p>
    <w:p w14:paraId="507FAFDF">
      <w:pPr>
        <w:pageBreakBefore w:val="0"/>
        <w:kinsoku/>
        <w:wordWrap/>
        <w:overflowPunct/>
        <w:topLinePunct w:val="0"/>
        <w:autoSpaceDE/>
        <w:autoSpaceDN/>
        <w:bidi w:val="0"/>
        <w:snapToGrid w:val="0"/>
        <w:spacing w:line="312" w:lineRule="auto"/>
        <w:ind w:left="0" w:leftChars="0"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本项目不允许转包和分包。</w:t>
      </w:r>
      <w:bookmarkEnd w:id="281"/>
      <w:bookmarkEnd w:id="282"/>
      <w:bookmarkEnd w:id="283"/>
      <w:bookmarkEnd w:id="284"/>
      <w:bookmarkEnd w:id="285"/>
      <w:bookmarkEnd w:id="286"/>
      <w:bookmarkEnd w:id="287"/>
    </w:p>
    <w:p w14:paraId="0D15F013">
      <w:pPr>
        <w:pStyle w:val="2"/>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rPr>
      </w:pPr>
      <w:bookmarkStart w:id="288" w:name="_Toc15565"/>
      <w:bookmarkStart w:id="289" w:name="_Toc27890"/>
      <w:bookmarkStart w:id="290" w:name="_Toc29749"/>
      <w:bookmarkStart w:id="291" w:name="_Toc29806"/>
      <w:bookmarkStart w:id="292" w:name="_Toc29952"/>
      <w:bookmarkStart w:id="293" w:name="_Toc10002"/>
      <w:bookmarkStart w:id="294" w:name="_Toc391298956"/>
      <w:bookmarkStart w:id="295" w:name="_Toc14662"/>
      <w:bookmarkStart w:id="296" w:name="_Toc30552"/>
      <w:bookmarkStart w:id="297" w:name="_Toc24650"/>
      <w:bookmarkStart w:id="298" w:name="_Toc4844"/>
      <w:bookmarkStart w:id="299" w:name="_Toc21135"/>
      <w:bookmarkStart w:id="300" w:name="_Toc31945"/>
      <w:bookmarkStart w:id="301" w:name="_Toc4162"/>
      <w:bookmarkStart w:id="302" w:name="_Toc20755"/>
      <w:bookmarkStart w:id="303" w:name="_Toc30221"/>
      <w:bookmarkStart w:id="304" w:name="_Toc4727"/>
      <w:bookmarkStart w:id="305" w:name="_Toc13177"/>
      <w:bookmarkStart w:id="306" w:name="_Toc1767"/>
      <w:bookmarkStart w:id="307" w:name="_Toc26486"/>
      <w:bookmarkStart w:id="308" w:name="_Toc17144"/>
      <w:bookmarkStart w:id="309" w:name="_Toc19098"/>
      <w:bookmarkStart w:id="310" w:name="_Toc10213"/>
      <w:bookmarkStart w:id="311" w:name="_Toc9348"/>
      <w:bookmarkStart w:id="312" w:name="_Toc27482"/>
      <w:bookmarkStart w:id="313" w:name="_Toc5191"/>
      <w:bookmarkStart w:id="314" w:name="_Toc29317"/>
      <w:bookmarkStart w:id="315" w:name="_Toc9386"/>
      <w:bookmarkStart w:id="316" w:name="_Toc27999"/>
      <w:bookmarkStart w:id="317" w:name="_Toc19389"/>
      <w:bookmarkStart w:id="318" w:name="_Toc17275"/>
      <w:bookmarkStart w:id="319" w:name="_Toc29252"/>
      <w:bookmarkStart w:id="320" w:name="_Toc11784"/>
      <w:bookmarkStart w:id="321" w:name="_Toc19378"/>
      <w:bookmarkStart w:id="322" w:name="_Toc13927"/>
      <w:bookmarkStart w:id="323" w:name="_Toc17350"/>
      <w:bookmarkStart w:id="324" w:name="_Toc30926"/>
      <w:bookmarkStart w:id="325" w:name="_Toc1924"/>
      <w:bookmarkStart w:id="326" w:name="_Toc6916"/>
      <w:r>
        <w:rPr>
          <w:rFonts w:hint="eastAsia" w:ascii="宋体" w:hAnsi="宋体" w:eastAsia="宋体" w:cs="宋体"/>
          <w:b/>
          <w:bCs w:val="0"/>
          <w:sz w:val="28"/>
          <w:szCs w:val="28"/>
          <w:lang w:val="en-US" w:eastAsia="zh-CN"/>
        </w:rPr>
        <w:t>三</w:t>
      </w:r>
      <w:r>
        <w:rPr>
          <w:rFonts w:hint="eastAsia" w:ascii="宋体" w:hAnsi="宋体" w:eastAsia="宋体" w:cs="宋体"/>
          <w:b/>
          <w:bCs w:val="0"/>
          <w:sz w:val="28"/>
          <w:szCs w:val="28"/>
        </w:rPr>
        <w:t>、竞争性磋商文件</w:t>
      </w:r>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p>
    <w:p w14:paraId="6B069EB7">
      <w:pPr>
        <w:pageBreakBefore w:val="0"/>
        <w:kinsoku/>
        <w:wordWrap/>
        <w:overflowPunct/>
        <w:topLinePunct w:val="0"/>
        <w:autoSpaceDE/>
        <w:autoSpaceDN/>
        <w:bidi w:val="0"/>
        <w:spacing w:line="312" w:lineRule="auto"/>
        <w:ind w:firstLine="562"/>
        <w:textAlignment w:val="auto"/>
        <w:rPr>
          <w:rFonts w:hint="eastAsia" w:ascii="宋体" w:hAnsi="宋体" w:eastAsia="宋体" w:cs="宋体"/>
          <w:sz w:val="24"/>
          <w:szCs w:val="24"/>
        </w:rPr>
      </w:pPr>
      <w:r>
        <w:rPr>
          <w:rFonts w:hint="eastAsia" w:ascii="宋体" w:hAnsi="宋体" w:eastAsia="宋体" w:cs="宋体"/>
          <w:sz w:val="24"/>
          <w:szCs w:val="24"/>
        </w:rPr>
        <w:t>6.竞争性磋商文件的组成</w:t>
      </w:r>
    </w:p>
    <w:p w14:paraId="0CD7713C">
      <w:pPr>
        <w:pageBreakBefore w:val="0"/>
        <w:kinsoku/>
        <w:wordWrap/>
        <w:overflowPunct/>
        <w:topLinePunct w:val="0"/>
        <w:autoSpaceDE/>
        <w:autoSpaceDN/>
        <w:bidi w:val="0"/>
        <w:spacing w:line="312" w:lineRule="auto"/>
        <w:ind w:firstLine="562"/>
        <w:textAlignment w:val="auto"/>
        <w:rPr>
          <w:rFonts w:hint="eastAsia" w:ascii="宋体" w:hAnsi="宋体" w:eastAsia="宋体" w:cs="宋体"/>
          <w:sz w:val="24"/>
          <w:szCs w:val="24"/>
        </w:rPr>
      </w:pPr>
      <w:r>
        <w:rPr>
          <w:rFonts w:hint="eastAsia" w:ascii="宋体" w:hAnsi="宋体" w:eastAsia="宋体" w:cs="宋体"/>
          <w:sz w:val="24"/>
          <w:szCs w:val="24"/>
        </w:rPr>
        <w:t>6.1竞争性磋商文件用于阐明所需采购磋商程序和合同主要条款。竞争性磋商文件由下述部分组成：</w:t>
      </w:r>
    </w:p>
    <w:p w14:paraId="515B01E3">
      <w:pPr>
        <w:pageBreakBefore w:val="0"/>
        <w:kinsoku/>
        <w:wordWrap/>
        <w:overflowPunct/>
        <w:topLinePunct w:val="0"/>
        <w:autoSpaceDE/>
        <w:autoSpaceDN/>
        <w:bidi w:val="0"/>
        <w:spacing w:line="312" w:lineRule="auto"/>
        <w:ind w:firstLine="562"/>
        <w:textAlignment w:val="auto"/>
        <w:rPr>
          <w:rFonts w:hint="eastAsia" w:ascii="宋体" w:hAnsi="宋体" w:eastAsia="宋体" w:cs="宋体"/>
          <w:sz w:val="24"/>
          <w:szCs w:val="24"/>
        </w:rPr>
      </w:pPr>
      <w:r>
        <w:rPr>
          <w:rFonts w:hint="eastAsia" w:ascii="宋体" w:hAnsi="宋体" w:eastAsia="宋体" w:cs="宋体"/>
          <w:sz w:val="24"/>
          <w:szCs w:val="24"/>
        </w:rPr>
        <w:t>(1)磋商公告</w:t>
      </w:r>
    </w:p>
    <w:p w14:paraId="4298916B">
      <w:pPr>
        <w:pageBreakBefore w:val="0"/>
        <w:kinsoku/>
        <w:wordWrap/>
        <w:overflowPunct/>
        <w:topLinePunct w:val="0"/>
        <w:autoSpaceDE/>
        <w:autoSpaceDN/>
        <w:bidi w:val="0"/>
        <w:spacing w:line="312" w:lineRule="auto"/>
        <w:ind w:firstLine="562"/>
        <w:textAlignment w:val="auto"/>
        <w:rPr>
          <w:rFonts w:hint="eastAsia" w:ascii="宋体" w:hAnsi="宋体" w:eastAsia="宋体" w:cs="宋体"/>
          <w:sz w:val="24"/>
          <w:szCs w:val="24"/>
        </w:rPr>
      </w:pPr>
      <w:r>
        <w:rPr>
          <w:rFonts w:hint="eastAsia" w:ascii="宋体" w:hAnsi="宋体" w:eastAsia="宋体" w:cs="宋体"/>
          <w:sz w:val="24"/>
          <w:szCs w:val="24"/>
        </w:rPr>
        <w:t xml:space="preserve">(2)供应商须知 </w:t>
      </w:r>
    </w:p>
    <w:p w14:paraId="7C225F23">
      <w:pPr>
        <w:pageBreakBefore w:val="0"/>
        <w:kinsoku/>
        <w:wordWrap/>
        <w:overflowPunct/>
        <w:topLinePunct w:val="0"/>
        <w:autoSpaceDE/>
        <w:autoSpaceDN/>
        <w:bidi w:val="0"/>
        <w:spacing w:line="312" w:lineRule="auto"/>
        <w:ind w:firstLine="562"/>
        <w:textAlignment w:val="auto"/>
        <w:rPr>
          <w:rFonts w:hint="eastAsia" w:ascii="宋体" w:hAnsi="宋体" w:eastAsia="宋体" w:cs="宋体"/>
          <w:sz w:val="24"/>
          <w:szCs w:val="24"/>
        </w:rPr>
      </w:pPr>
      <w:r>
        <w:rPr>
          <w:rFonts w:hint="eastAsia" w:ascii="宋体" w:hAnsi="宋体" w:eastAsia="宋体" w:cs="宋体"/>
          <w:sz w:val="24"/>
          <w:szCs w:val="24"/>
        </w:rPr>
        <w:t>(3)采购内容及要求</w:t>
      </w:r>
    </w:p>
    <w:p w14:paraId="16408D5B">
      <w:pPr>
        <w:pageBreakBefore w:val="0"/>
        <w:kinsoku/>
        <w:wordWrap/>
        <w:overflowPunct/>
        <w:topLinePunct w:val="0"/>
        <w:autoSpaceDE/>
        <w:autoSpaceDN/>
        <w:bidi w:val="0"/>
        <w:spacing w:line="312" w:lineRule="auto"/>
        <w:ind w:firstLine="562"/>
        <w:textAlignment w:val="auto"/>
        <w:rPr>
          <w:rFonts w:hint="eastAsia" w:ascii="宋体" w:hAnsi="宋体" w:eastAsia="宋体" w:cs="宋体"/>
          <w:sz w:val="24"/>
          <w:szCs w:val="24"/>
        </w:rPr>
      </w:pPr>
      <w:bookmarkStart w:id="327" w:name="_Toc430488851"/>
      <w:bookmarkStart w:id="328" w:name="_Toc430422413"/>
      <w:bookmarkStart w:id="329" w:name="_Toc430489119"/>
      <w:bookmarkStart w:id="330" w:name="_Toc430488644"/>
      <w:bookmarkStart w:id="331" w:name="_Toc430490612"/>
      <w:bookmarkStart w:id="332" w:name="_Toc430492126"/>
      <w:bookmarkStart w:id="333" w:name="_Toc415567497"/>
      <w:r>
        <w:rPr>
          <w:rFonts w:hint="eastAsia" w:ascii="宋体" w:hAnsi="宋体" w:eastAsia="宋体" w:cs="宋体"/>
          <w:sz w:val="24"/>
          <w:szCs w:val="24"/>
        </w:rPr>
        <w:t>(4)</w:t>
      </w:r>
      <w:r>
        <w:rPr>
          <w:rFonts w:hint="eastAsia" w:ascii="宋体" w:hAnsi="宋体" w:eastAsia="宋体" w:cs="宋体"/>
          <w:bCs/>
          <w:sz w:val="24"/>
          <w:szCs w:val="24"/>
        </w:rPr>
        <w:t>磋商原则和磋商方法</w:t>
      </w:r>
    </w:p>
    <w:p w14:paraId="7B7AE42E">
      <w:pPr>
        <w:pageBreakBefore w:val="0"/>
        <w:kinsoku/>
        <w:wordWrap/>
        <w:overflowPunct/>
        <w:topLinePunct w:val="0"/>
        <w:autoSpaceDE/>
        <w:autoSpaceDN/>
        <w:bidi w:val="0"/>
        <w:spacing w:line="312" w:lineRule="auto"/>
        <w:ind w:firstLine="562"/>
        <w:textAlignment w:val="auto"/>
        <w:rPr>
          <w:rFonts w:hint="eastAsia" w:ascii="宋体" w:hAnsi="宋体" w:eastAsia="宋体" w:cs="宋体"/>
          <w:sz w:val="24"/>
          <w:szCs w:val="24"/>
        </w:rPr>
      </w:pPr>
      <w:r>
        <w:rPr>
          <w:rFonts w:hint="eastAsia" w:ascii="宋体" w:hAnsi="宋体" w:eastAsia="宋体" w:cs="宋体"/>
          <w:sz w:val="24"/>
          <w:szCs w:val="24"/>
        </w:rPr>
        <w:t>(5)合同主要条款</w:t>
      </w:r>
    </w:p>
    <w:p w14:paraId="386E5F5A">
      <w:pPr>
        <w:pageBreakBefore w:val="0"/>
        <w:kinsoku/>
        <w:wordWrap/>
        <w:overflowPunct/>
        <w:topLinePunct w:val="0"/>
        <w:autoSpaceDE/>
        <w:autoSpaceDN/>
        <w:bidi w:val="0"/>
        <w:spacing w:line="312" w:lineRule="auto"/>
        <w:ind w:firstLine="562"/>
        <w:textAlignment w:val="auto"/>
        <w:rPr>
          <w:rFonts w:hint="eastAsia" w:ascii="宋体" w:hAnsi="宋体" w:eastAsia="宋体" w:cs="宋体"/>
          <w:sz w:val="24"/>
          <w:szCs w:val="24"/>
        </w:rPr>
      </w:pPr>
      <w:r>
        <w:rPr>
          <w:rFonts w:hint="eastAsia" w:ascii="宋体" w:hAnsi="宋体" w:eastAsia="宋体" w:cs="宋体"/>
          <w:sz w:val="24"/>
          <w:szCs w:val="24"/>
        </w:rPr>
        <w:t>(6)</w:t>
      </w:r>
      <w:r>
        <w:rPr>
          <w:rFonts w:hint="eastAsia" w:ascii="宋体" w:hAnsi="宋体" w:cs="宋体"/>
          <w:sz w:val="24"/>
          <w:szCs w:val="24"/>
          <w:lang w:eastAsia="zh-CN"/>
        </w:rPr>
        <w:t>磋商响应文件</w:t>
      </w:r>
      <w:r>
        <w:rPr>
          <w:rFonts w:hint="eastAsia" w:ascii="宋体" w:hAnsi="宋体" w:eastAsia="宋体" w:cs="宋体"/>
          <w:sz w:val="24"/>
          <w:szCs w:val="24"/>
        </w:rPr>
        <w:t>格式</w:t>
      </w:r>
      <w:bookmarkEnd w:id="327"/>
      <w:bookmarkEnd w:id="328"/>
      <w:bookmarkEnd w:id="329"/>
      <w:bookmarkEnd w:id="330"/>
      <w:bookmarkEnd w:id="331"/>
      <w:bookmarkEnd w:id="332"/>
      <w:bookmarkEnd w:id="333"/>
    </w:p>
    <w:p w14:paraId="34D8721E">
      <w:pPr>
        <w:keepNext w:val="0"/>
        <w:keepLines w:val="0"/>
        <w:pageBreakBefore w:val="0"/>
        <w:widowControl w:val="0"/>
        <w:kinsoku/>
        <w:wordWrap/>
        <w:overflowPunct/>
        <w:topLinePunct w:val="0"/>
        <w:autoSpaceDE/>
        <w:autoSpaceDN/>
        <w:bidi w:val="0"/>
        <w:adjustRightInd/>
        <w:spacing w:line="312" w:lineRule="auto"/>
        <w:ind w:firstLine="562"/>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7.竞争性磋商文件的澄清</w:t>
      </w:r>
      <w:r>
        <w:rPr>
          <w:rFonts w:hint="eastAsia" w:ascii="宋体" w:hAnsi="宋体" w:cs="宋体"/>
          <w:sz w:val="24"/>
          <w:szCs w:val="24"/>
          <w:lang w:val="en-US" w:eastAsia="zh-CN"/>
        </w:rPr>
        <w:t>与修改</w:t>
      </w:r>
    </w:p>
    <w:p w14:paraId="604D6DEA">
      <w:pPr>
        <w:keepNext w:val="0"/>
        <w:keepLines w:val="0"/>
        <w:pageBreakBefore w:val="0"/>
        <w:widowControl w:val="0"/>
        <w:kinsoku/>
        <w:wordWrap/>
        <w:overflowPunct/>
        <w:topLinePunct w:val="0"/>
        <w:autoSpaceDE/>
        <w:autoSpaceDN/>
        <w:bidi w:val="0"/>
        <w:adjustRightInd/>
        <w:spacing w:line="312" w:lineRule="auto"/>
        <w:ind w:firstLine="562"/>
        <w:textAlignment w:val="auto"/>
        <w:rPr>
          <w:rFonts w:hint="eastAsia" w:ascii="宋体" w:hAnsi="宋体" w:eastAsia="宋体" w:cs="宋体"/>
          <w:bCs/>
          <w:sz w:val="24"/>
          <w:szCs w:val="24"/>
        </w:rPr>
      </w:pPr>
      <w:r>
        <w:rPr>
          <w:rFonts w:hint="eastAsia" w:ascii="宋体" w:hAnsi="宋体" w:eastAsia="宋体" w:cs="宋体"/>
          <w:bCs/>
          <w:sz w:val="24"/>
          <w:szCs w:val="24"/>
        </w:rPr>
        <w:t>7.1供应商对竞争性磋商文件如有疑点，可要求澄清。按磋商</w:t>
      </w:r>
      <w:r>
        <w:rPr>
          <w:rFonts w:hint="eastAsia" w:ascii="宋体" w:hAnsi="宋体" w:eastAsia="宋体" w:cs="宋体"/>
          <w:sz w:val="24"/>
          <w:szCs w:val="24"/>
        </w:rPr>
        <w:t>公告中的规定时间前在浙江政府采购网（</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"http://www.zjzfcg.gov.cn" </w:instrText>
      </w:r>
      <w:r>
        <w:rPr>
          <w:rFonts w:hint="eastAsia" w:ascii="宋体" w:hAnsi="宋体" w:eastAsia="宋体" w:cs="宋体"/>
          <w:sz w:val="24"/>
          <w:szCs w:val="24"/>
        </w:rPr>
        <w:fldChar w:fldCharType="separate"/>
      </w:r>
      <w:r>
        <w:rPr>
          <w:rFonts w:hint="eastAsia" w:ascii="宋体" w:hAnsi="宋体" w:eastAsia="宋体" w:cs="宋体"/>
          <w:sz w:val="24"/>
          <w:szCs w:val="24"/>
          <w:lang w:eastAsia="zh-CN"/>
        </w:rPr>
        <w:t>http://zfcg.czt.zj.gov.cn/</w:t>
      </w:r>
      <w:r>
        <w:rPr>
          <w:rFonts w:hint="eastAsia" w:ascii="宋体" w:hAnsi="宋体" w:eastAsia="宋体" w:cs="宋体"/>
          <w:sz w:val="24"/>
          <w:szCs w:val="24"/>
        </w:rPr>
        <w:fldChar w:fldCharType="end"/>
      </w:r>
      <w:r>
        <w:rPr>
          <w:rFonts w:hint="eastAsia" w:ascii="宋体" w:hAnsi="宋体" w:eastAsia="宋体" w:cs="宋体"/>
          <w:sz w:val="24"/>
          <w:szCs w:val="24"/>
        </w:rPr>
        <w:t>）予以公布答复，请所有获取磋商文件的供应商必须注意。</w:t>
      </w:r>
      <w:r>
        <w:rPr>
          <w:rFonts w:hint="eastAsia" w:ascii="宋体" w:hAnsi="宋体" w:eastAsia="宋体" w:cs="宋体"/>
          <w:bCs/>
          <w:sz w:val="24"/>
          <w:szCs w:val="24"/>
        </w:rPr>
        <w:t>该澄清内容为竞争性磋商文件的组成部分。</w:t>
      </w:r>
    </w:p>
    <w:p w14:paraId="0088901B">
      <w:pPr>
        <w:keepNext w:val="0"/>
        <w:keepLines w:val="0"/>
        <w:pageBreakBefore w:val="0"/>
        <w:widowControl w:val="0"/>
        <w:kinsoku/>
        <w:wordWrap/>
        <w:overflowPunct/>
        <w:topLinePunct w:val="0"/>
        <w:autoSpaceDE/>
        <w:autoSpaceDN/>
        <w:bidi w:val="0"/>
        <w:adjustRightInd/>
        <w:snapToGrid w:val="0"/>
        <w:spacing w:line="312" w:lineRule="auto"/>
        <w:ind w:firstLine="562"/>
        <w:textAlignment w:val="auto"/>
        <w:rPr>
          <w:rFonts w:hint="eastAsia" w:ascii="宋体" w:hAnsi="宋体" w:eastAsia="宋体" w:cs="宋体"/>
          <w:color w:val="000000"/>
          <w:sz w:val="24"/>
          <w:szCs w:val="24"/>
        </w:rPr>
      </w:pPr>
      <w:r>
        <w:rPr>
          <w:rFonts w:hint="eastAsia" w:ascii="宋体" w:hAnsi="宋体" w:cs="宋体"/>
          <w:bCs/>
          <w:color w:val="000000"/>
          <w:kern w:val="0"/>
          <w:sz w:val="24"/>
          <w:szCs w:val="24"/>
          <w:lang w:val="en-US" w:eastAsia="zh-CN"/>
        </w:rPr>
        <w:t>7</w:t>
      </w:r>
      <w:r>
        <w:rPr>
          <w:rFonts w:hint="eastAsia" w:ascii="宋体" w:hAnsi="宋体" w:eastAsia="宋体" w:cs="宋体"/>
          <w:bCs/>
          <w:color w:val="000000"/>
          <w:kern w:val="0"/>
          <w:sz w:val="24"/>
          <w:szCs w:val="24"/>
        </w:rPr>
        <w:t>.</w:t>
      </w:r>
      <w:r>
        <w:rPr>
          <w:rFonts w:hint="eastAsia" w:ascii="宋体" w:hAnsi="宋体" w:cs="宋体"/>
          <w:bCs/>
          <w:color w:val="000000"/>
          <w:kern w:val="0"/>
          <w:sz w:val="24"/>
          <w:szCs w:val="24"/>
          <w:lang w:val="en-US" w:eastAsia="zh-CN"/>
        </w:rPr>
        <w:t>2</w:t>
      </w:r>
      <w:r>
        <w:rPr>
          <w:rFonts w:hint="eastAsia" w:ascii="宋体" w:hAnsi="宋体" w:eastAsia="宋体" w:cs="宋体"/>
          <w:bCs/>
          <w:color w:val="000000"/>
          <w:kern w:val="0"/>
          <w:sz w:val="24"/>
          <w:szCs w:val="24"/>
        </w:rPr>
        <w:t>采购人或者</w:t>
      </w:r>
      <w:r>
        <w:rPr>
          <w:rFonts w:hint="eastAsia" w:ascii="宋体" w:hAnsi="宋体" w:cs="宋体"/>
          <w:sz w:val="24"/>
          <w:szCs w:val="24"/>
          <w:lang w:val="zh-CN"/>
        </w:rPr>
        <w:t>采购代理机构</w:t>
      </w:r>
      <w:r>
        <w:rPr>
          <w:rFonts w:hint="eastAsia" w:ascii="宋体" w:hAnsi="宋体" w:eastAsia="宋体" w:cs="宋体"/>
          <w:bCs/>
          <w:color w:val="000000"/>
          <w:kern w:val="0"/>
          <w:sz w:val="24"/>
          <w:szCs w:val="24"/>
        </w:rPr>
        <w:t>可以对已发出的磋商文件进行必要的澄清或者修改，以补充文件的形式</w:t>
      </w:r>
      <w:r>
        <w:rPr>
          <w:rFonts w:hint="eastAsia" w:ascii="宋体" w:hAnsi="宋体" w:eastAsia="宋体" w:cs="宋体"/>
          <w:sz w:val="24"/>
          <w:szCs w:val="24"/>
        </w:rPr>
        <w:t>在浙江政府采购网（</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"http://www.zjzfcg.gov.cn" </w:instrText>
      </w:r>
      <w:r>
        <w:rPr>
          <w:rFonts w:hint="eastAsia" w:ascii="宋体" w:hAnsi="宋体" w:eastAsia="宋体" w:cs="宋体"/>
          <w:sz w:val="24"/>
          <w:szCs w:val="24"/>
        </w:rPr>
        <w:fldChar w:fldCharType="separate"/>
      </w:r>
      <w:r>
        <w:rPr>
          <w:rFonts w:hint="eastAsia" w:ascii="宋体" w:hAnsi="宋体" w:eastAsia="宋体" w:cs="宋体"/>
          <w:sz w:val="24"/>
          <w:szCs w:val="24"/>
          <w:lang w:eastAsia="zh-CN"/>
        </w:rPr>
        <w:t>http://zfcg.czt.zj.gov.cn/</w:t>
      </w:r>
      <w:r>
        <w:rPr>
          <w:rFonts w:hint="eastAsia" w:ascii="宋体" w:hAnsi="宋体" w:eastAsia="宋体" w:cs="宋体"/>
          <w:sz w:val="24"/>
          <w:szCs w:val="24"/>
        </w:rPr>
        <w:fldChar w:fldCharType="end"/>
      </w:r>
      <w:r>
        <w:rPr>
          <w:rFonts w:hint="eastAsia" w:ascii="宋体" w:hAnsi="宋体" w:eastAsia="宋体" w:cs="宋体"/>
          <w:sz w:val="24"/>
          <w:szCs w:val="24"/>
        </w:rPr>
        <w:t>）予以公布</w:t>
      </w:r>
      <w:r>
        <w:rPr>
          <w:rFonts w:hint="eastAsia" w:ascii="宋体" w:hAnsi="宋体" w:eastAsia="宋体" w:cs="宋体"/>
          <w:bCs/>
          <w:color w:val="000000"/>
          <w:kern w:val="0"/>
          <w:sz w:val="24"/>
          <w:szCs w:val="24"/>
        </w:rPr>
        <w:t>，澄清或者修改的内容作为磋商文件的组成部分。</w:t>
      </w:r>
    </w:p>
    <w:p w14:paraId="6DD50140">
      <w:pPr>
        <w:keepNext w:val="0"/>
        <w:keepLines w:val="0"/>
        <w:pageBreakBefore w:val="0"/>
        <w:widowControl w:val="0"/>
        <w:kinsoku/>
        <w:wordWrap/>
        <w:overflowPunct/>
        <w:topLinePunct w:val="0"/>
        <w:autoSpaceDE/>
        <w:autoSpaceDN/>
        <w:bidi w:val="0"/>
        <w:adjustRightInd/>
        <w:snapToGrid w:val="0"/>
        <w:spacing w:line="312" w:lineRule="auto"/>
        <w:ind w:firstLine="562"/>
        <w:textAlignment w:val="auto"/>
        <w:rPr>
          <w:rFonts w:hint="eastAsia" w:ascii="宋体" w:hAnsi="宋体" w:eastAsia="宋体" w:cs="宋体"/>
          <w:bCs/>
          <w:color w:val="000000"/>
          <w:kern w:val="0"/>
          <w:sz w:val="24"/>
          <w:szCs w:val="24"/>
        </w:rPr>
      </w:pPr>
      <w:r>
        <w:rPr>
          <w:rFonts w:hint="eastAsia" w:ascii="宋体" w:hAnsi="宋体" w:eastAsia="宋体" w:cs="宋体"/>
          <w:bCs/>
          <w:color w:val="000000"/>
          <w:kern w:val="0"/>
          <w:sz w:val="24"/>
          <w:szCs w:val="24"/>
          <w:lang w:val="en-US" w:eastAsia="zh-CN"/>
        </w:rPr>
        <w:t>8.</w:t>
      </w:r>
      <w:r>
        <w:rPr>
          <w:rFonts w:hint="eastAsia" w:ascii="宋体" w:hAnsi="宋体" w:eastAsia="宋体" w:cs="宋体"/>
          <w:bCs/>
          <w:color w:val="000000"/>
          <w:kern w:val="0"/>
          <w:sz w:val="24"/>
          <w:szCs w:val="24"/>
        </w:rPr>
        <w:t>▲特别说明：</w:t>
      </w:r>
    </w:p>
    <w:p w14:paraId="095934AC">
      <w:pPr>
        <w:keepNext w:val="0"/>
        <w:keepLines w:val="0"/>
        <w:pageBreakBefore w:val="0"/>
        <w:widowControl w:val="0"/>
        <w:kinsoku/>
        <w:wordWrap/>
        <w:overflowPunct/>
        <w:topLinePunct w:val="0"/>
        <w:autoSpaceDE/>
        <w:autoSpaceDN/>
        <w:bidi w:val="0"/>
        <w:adjustRightInd/>
        <w:spacing w:line="312" w:lineRule="auto"/>
        <w:ind w:firstLine="480"/>
        <w:textAlignment w:val="auto"/>
        <w:rPr>
          <w:rFonts w:hint="eastAsia" w:ascii="宋体" w:hAnsi="宋体" w:eastAsia="宋体" w:cs="宋体"/>
          <w:bCs/>
          <w:highlight w:val="none"/>
          <w:lang w:val="en-US" w:eastAsia="zh-CN"/>
        </w:rPr>
      </w:pPr>
      <w:bookmarkStart w:id="334" w:name="_Toc2929"/>
      <w:bookmarkStart w:id="335" w:name="_Toc8584"/>
      <w:bookmarkStart w:id="336" w:name="_Toc30296"/>
      <w:bookmarkStart w:id="337" w:name="_Toc32074"/>
      <w:bookmarkStart w:id="338" w:name="_Toc8860"/>
      <w:bookmarkStart w:id="339" w:name="_Toc16757"/>
      <w:bookmarkStart w:id="340" w:name="_Toc391298957"/>
      <w:bookmarkStart w:id="341" w:name="_Toc26251"/>
      <w:bookmarkStart w:id="342" w:name="_Toc8644"/>
      <w:bookmarkStart w:id="343" w:name="_Toc30162"/>
      <w:bookmarkStart w:id="344" w:name="_Toc10657"/>
      <w:bookmarkStart w:id="345" w:name="_Toc18702"/>
      <w:bookmarkStart w:id="346" w:name="_Toc15453"/>
      <w:bookmarkStart w:id="347" w:name="_Toc13462"/>
      <w:bookmarkStart w:id="348" w:name="_Toc11921"/>
      <w:bookmarkStart w:id="349" w:name="_Toc9195"/>
      <w:bookmarkStart w:id="350" w:name="_Toc8804"/>
      <w:bookmarkStart w:id="351" w:name="_Toc17678"/>
      <w:bookmarkStart w:id="352" w:name="_Toc2461"/>
      <w:bookmarkStart w:id="353" w:name="_Toc12898"/>
      <w:bookmarkStart w:id="354" w:name="_Toc30012"/>
      <w:bookmarkStart w:id="355" w:name="_Toc31210"/>
      <w:bookmarkStart w:id="356" w:name="_Toc2007"/>
      <w:bookmarkStart w:id="357" w:name="_Toc26178"/>
      <w:bookmarkStart w:id="358" w:name="_Toc6273"/>
      <w:bookmarkStart w:id="359" w:name="_Toc8388"/>
      <w:bookmarkStart w:id="360" w:name="_Toc6766"/>
      <w:bookmarkStart w:id="361" w:name="_Toc30122"/>
      <w:bookmarkStart w:id="362" w:name="_Toc7782"/>
      <w:bookmarkStart w:id="363" w:name="_Toc6387"/>
      <w:bookmarkStart w:id="364" w:name="_Toc16617"/>
      <w:bookmarkStart w:id="365" w:name="_Toc30640"/>
      <w:bookmarkStart w:id="366" w:name="_Toc6563"/>
      <w:bookmarkStart w:id="367" w:name="_Toc1828"/>
      <w:bookmarkStart w:id="368" w:name="_Toc26050"/>
      <w:bookmarkStart w:id="369" w:name="_Toc26603"/>
      <w:bookmarkStart w:id="370" w:name="_Toc24622"/>
      <w:bookmarkStart w:id="371" w:name="_Toc16631"/>
      <w:r>
        <w:rPr>
          <w:rFonts w:hint="eastAsia" w:ascii="宋体" w:hAnsi="宋体" w:eastAsia="宋体" w:cs="宋体"/>
          <w:bCs/>
          <w:highlight w:val="none"/>
          <w:lang w:val="en-US" w:eastAsia="zh-CN"/>
        </w:rPr>
        <w:t>8.1 单位负责人为同一人或者存在直接控股、管理关系的不同供应商，不得参加本项目的政府采购活动。</w:t>
      </w:r>
    </w:p>
    <w:p w14:paraId="4703C15F">
      <w:pPr>
        <w:keepNext w:val="0"/>
        <w:keepLines w:val="0"/>
        <w:pageBreakBefore w:val="0"/>
        <w:widowControl w:val="0"/>
        <w:kinsoku/>
        <w:wordWrap/>
        <w:overflowPunct/>
        <w:topLinePunct w:val="0"/>
        <w:autoSpaceDE/>
        <w:autoSpaceDN/>
        <w:bidi w:val="0"/>
        <w:adjustRightInd/>
        <w:spacing w:line="312" w:lineRule="auto"/>
        <w:ind w:firstLine="480"/>
        <w:textAlignment w:val="auto"/>
        <w:rPr>
          <w:rFonts w:hint="eastAsia" w:ascii="宋体" w:hAnsi="宋体" w:eastAsia="宋体" w:cs="宋体"/>
          <w:bCs/>
          <w:highlight w:val="none"/>
          <w:lang w:val="en-US" w:eastAsia="zh-CN"/>
        </w:rPr>
      </w:pPr>
      <w:r>
        <w:rPr>
          <w:rFonts w:hint="eastAsia" w:ascii="宋体" w:hAnsi="宋体" w:eastAsia="宋体" w:cs="宋体"/>
          <w:bCs/>
          <w:highlight w:val="none"/>
          <w:lang w:val="en-US" w:eastAsia="zh-CN"/>
        </w:rPr>
        <w:t>8.2 供应商投标所使用的资格、信誉、荣誉、业绩与企业认证必须为本法人所拥有。供应商母公司（总机构）或者同一母公司下属的其他子公司（同一总机构下属的其他分支机构）的资格、信誉、荣誉、业绩与企业认证等，不为该供应商所拥有。</w:t>
      </w:r>
    </w:p>
    <w:p w14:paraId="2A3D16CE">
      <w:pPr>
        <w:keepNext w:val="0"/>
        <w:keepLines w:val="0"/>
        <w:pageBreakBefore w:val="0"/>
        <w:widowControl w:val="0"/>
        <w:kinsoku/>
        <w:wordWrap/>
        <w:overflowPunct/>
        <w:topLinePunct w:val="0"/>
        <w:autoSpaceDE/>
        <w:autoSpaceDN/>
        <w:bidi w:val="0"/>
        <w:adjustRightInd/>
        <w:spacing w:line="312" w:lineRule="auto"/>
        <w:ind w:firstLine="480"/>
        <w:textAlignment w:val="auto"/>
        <w:rPr>
          <w:rFonts w:hint="eastAsia" w:ascii="宋体" w:hAnsi="宋体" w:eastAsia="宋体" w:cs="宋体"/>
          <w:bCs/>
          <w:highlight w:val="none"/>
          <w:lang w:val="en-US" w:eastAsia="zh-CN"/>
        </w:rPr>
      </w:pPr>
      <w:r>
        <w:rPr>
          <w:rFonts w:hint="eastAsia" w:ascii="宋体" w:hAnsi="宋体" w:eastAsia="宋体" w:cs="宋体"/>
          <w:bCs/>
          <w:highlight w:val="none"/>
          <w:lang w:val="en-US" w:eastAsia="zh-CN"/>
        </w:rPr>
        <w:t>8.3 政府采购货物和服务招标投标管理办法（财政部令第87号）第31条规定：使用综合评分法的采购项目，提供相同品牌产品且通过资格审查、符合性审查的不同供应商参加同一合同项下投标的，按一家供应商计算，评审后得分最高的同品牌供应商获得</w:t>
      </w:r>
      <w:r>
        <w:rPr>
          <w:rFonts w:hint="eastAsia" w:ascii="宋体" w:hAnsi="宋体" w:cs="宋体"/>
          <w:bCs/>
          <w:highlight w:val="none"/>
          <w:lang w:val="en-US" w:eastAsia="zh-CN"/>
        </w:rPr>
        <w:t>成交供应商</w:t>
      </w:r>
      <w:r>
        <w:rPr>
          <w:rFonts w:hint="eastAsia" w:ascii="宋体" w:hAnsi="宋体" w:eastAsia="宋体" w:cs="宋体"/>
          <w:bCs/>
          <w:highlight w:val="none"/>
          <w:lang w:val="en-US" w:eastAsia="zh-CN"/>
        </w:rPr>
        <w:t>推荐资格；评审得分相同的采取随机抽取方式确定，其他同品牌供应商不作为中标候选人。</w:t>
      </w:r>
    </w:p>
    <w:p w14:paraId="4031BF33">
      <w:pPr>
        <w:keepNext w:val="0"/>
        <w:keepLines w:val="0"/>
        <w:pageBreakBefore w:val="0"/>
        <w:widowControl w:val="0"/>
        <w:kinsoku/>
        <w:wordWrap/>
        <w:overflowPunct/>
        <w:topLinePunct w:val="0"/>
        <w:autoSpaceDE/>
        <w:autoSpaceDN/>
        <w:bidi w:val="0"/>
        <w:adjustRightInd/>
        <w:spacing w:line="312" w:lineRule="auto"/>
        <w:ind w:firstLine="480"/>
        <w:textAlignment w:val="auto"/>
        <w:rPr>
          <w:rFonts w:hint="eastAsia" w:ascii="宋体" w:hAnsi="宋体" w:eastAsia="宋体" w:cs="宋体"/>
          <w:bCs/>
          <w:highlight w:val="none"/>
          <w:lang w:val="en-US" w:eastAsia="zh-CN"/>
        </w:rPr>
      </w:pPr>
      <w:r>
        <w:rPr>
          <w:rFonts w:hint="eastAsia" w:ascii="宋体" w:hAnsi="宋体" w:eastAsia="宋体" w:cs="宋体"/>
          <w:bCs/>
          <w:highlight w:val="none"/>
          <w:lang w:val="en-US" w:eastAsia="zh-CN"/>
        </w:rPr>
        <w:t>8.4 非单一产品采购项目，招标文件中确定核心产品。多家供应商提供的核心产品品牌全部相同的，按前款规定处理。</w:t>
      </w:r>
    </w:p>
    <w:p w14:paraId="54374003">
      <w:pPr>
        <w:keepNext w:val="0"/>
        <w:keepLines w:val="0"/>
        <w:pageBreakBefore w:val="0"/>
        <w:widowControl w:val="0"/>
        <w:kinsoku/>
        <w:wordWrap/>
        <w:overflowPunct/>
        <w:topLinePunct w:val="0"/>
        <w:autoSpaceDE/>
        <w:autoSpaceDN/>
        <w:bidi w:val="0"/>
        <w:adjustRightInd/>
        <w:spacing w:line="312" w:lineRule="auto"/>
        <w:ind w:firstLine="480"/>
        <w:textAlignment w:val="auto"/>
        <w:rPr>
          <w:rFonts w:hint="eastAsia" w:ascii="宋体" w:hAnsi="宋体" w:eastAsia="宋体" w:cs="宋体"/>
          <w:bCs/>
          <w:highlight w:val="none"/>
          <w:lang w:val="en-US" w:eastAsia="zh-CN"/>
        </w:rPr>
      </w:pPr>
      <w:r>
        <w:rPr>
          <w:rFonts w:hint="eastAsia" w:ascii="宋体" w:hAnsi="宋体" w:eastAsia="宋体" w:cs="宋体"/>
          <w:bCs/>
          <w:highlight w:val="none"/>
          <w:lang w:val="en-US" w:eastAsia="zh-CN"/>
        </w:rPr>
        <w:t>8.5 供应商应仔细阅读磋商文件的所有内容，按照磋商文件的要求提交投标文件，并对所提供的全部资料的真实性承担法律责任。</w:t>
      </w:r>
    </w:p>
    <w:p w14:paraId="6B1B99A1">
      <w:pPr>
        <w:keepNext w:val="0"/>
        <w:keepLines w:val="0"/>
        <w:pageBreakBefore w:val="0"/>
        <w:widowControl w:val="0"/>
        <w:kinsoku/>
        <w:wordWrap/>
        <w:overflowPunct/>
        <w:topLinePunct w:val="0"/>
        <w:autoSpaceDE/>
        <w:autoSpaceDN/>
        <w:bidi w:val="0"/>
        <w:adjustRightInd/>
        <w:spacing w:line="312" w:lineRule="auto"/>
        <w:ind w:firstLine="480"/>
        <w:textAlignment w:val="auto"/>
        <w:rPr>
          <w:rFonts w:hint="eastAsia" w:ascii="宋体" w:hAnsi="宋体" w:eastAsia="宋体" w:cs="宋体"/>
          <w:bCs/>
          <w:highlight w:val="none"/>
          <w:lang w:val="en-US" w:eastAsia="zh-CN"/>
        </w:rPr>
      </w:pPr>
      <w:r>
        <w:rPr>
          <w:rFonts w:hint="eastAsia" w:ascii="宋体" w:hAnsi="宋体" w:eastAsia="宋体" w:cs="宋体"/>
          <w:bCs/>
          <w:highlight w:val="none"/>
          <w:lang w:val="en-US" w:eastAsia="zh-CN"/>
        </w:rPr>
        <w:t>8.6 供应商在投标活动中提供任何虚假材料,其投标无效，并报监管部门查处成交后发现的,成交供应商须依照《中华人民共和国消费者权益保护法》第49条之规定双倍赔偿采购人，且民事赔偿并不免除违法供应商的行政与刑事责任。</w:t>
      </w:r>
    </w:p>
    <w:p w14:paraId="6698E2E9">
      <w:pPr>
        <w:keepNext w:val="0"/>
        <w:keepLines w:val="0"/>
        <w:pageBreakBefore w:val="0"/>
        <w:widowControl w:val="0"/>
        <w:kinsoku/>
        <w:wordWrap/>
        <w:overflowPunct/>
        <w:topLinePunct w:val="0"/>
        <w:autoSpaceDE/>
        <w:autoSpaceDN/>
        <w:bidi w:val="0"/>
        <w:adjustRightInd/>
        <w:spacing w:line="312" w:lineRule="auto"/>
        <w:ind w:firstLine="480"/>
        <w:textAlignment w:val="auto"/>
        <w:rPr>
          <w:rFonts w:hint="eastAsia" w:ascii="宋体" w:hAnsi="宋体" w:cs="宋体"/>
          <w:bCs/>
          <w:highlight w:val="none"/>
        </w:rPr>
      </w:pPr>
      <w:r>
        <w:rPr>
          <w:rFonts w:hint="eastAsia" w:ascii="宋体" w:hAnsi="宋体" w:cs="宋体"/>
          <w:bCs/>
          <w:highlight w:val="none"/>
          <w:lang w:val="en-US" w:eastAsia="zh-CN"/>
        </w:rPr>
        <w:t xml:space="preserve">8.7 </w:t>
      </w:r>
      <w:r>
        <w:rPr>
          <w:rFonts w:hint="eastAsia" w:ascii="宋体" w:hAnsi="宋体" w:cs="宋体"/>
          <w:bCs/>
          <w:highlight w:val="none"/>
        </w:rPr>
        <w:t>供应商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采购人可以拒绝其投标文件。</w:t>
      </w:r>
    </w:p>
    <w:p w14:paraId="7FA23B4E">
      <w:pPr>
        <w:pStyle w:val="2"/>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rPr>
      </w:pPr>
      <w:bookmarkStart w:id="372" w:name="_Toc25089"/>
      <w:r>
        <w:rPr>
          <w:rFonts w:hint="eastAsia" w:ascii="宋体" w:hAnsi="宋体" w:eastAsia="宋体" w:cs="宋体"/>
          <w:b/>
          <w:bCs w:val="0"/>
          <w:sz w:val="28"/>
          <w:szCs w:val="28"/>
          <w:lang w:val="en-US" w:eastAsia="zh-CN"/>
        </w:rPr>
        <w:t>四</w:t>
      </w:r>
      <w:r>
        <w:rPr>
          <w:rFonts w:hint="eastAsia" w:ascii="宋体" w:hAnsi="宋体" w:eastAsia="宋体" w:cs="宋体"/>
          <w:b/>
          <w:bCs w:val="0"/>
          <w:sz w:val="28"/>
          <w:szCs w:val="28"/>
        </w:rPr>
        <w:t>、</w:t>
      </w:r>
      <w:r>
        <w:rPr>
          <w:rFonts w:hint="eastAsia" w:ascii="宋体" w:hAnsi="宋体" w:cs="宋体"/>
          <w:b/>
          <w:bCs w:val="0"/>
          <w:sz w:val="28"/>
          <w:szCs w:val="28"/>
          <w:lang w:eastAsia="zh-CN"/>
        </w:rPr>
        <w:t>磋商响应文件</w:t>
      </w:r>
      <w:r>
        <w:rPr>
          <w:rFonts w:hint="eastAsia" w:ascii="宋体" w:hAnsi="宋体" w:eastAsia="宋体" w:cs="宋体"/>
          <w:b/>
          <w:bCs w:val="0"/>
          <w:sz w:val="28"/>
          <w:szCs w:val="28"/>
        </w:rPr>
        <w:t>的编写</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p>
    <w:p w14:paraId="657C8300">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9.要求</w:t>
      </w:r>
    </w:p>
    <w:p w14:paraId="64E16BB7">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9.1</w:t>
      </w:r>
      <w:r>
        <w:rPr>
          <w:rFonts w:hint="eastAsia" w:ascii="宋体" w:hAnsi="宋体" w:eastAsia="宋体" w:cs="宋体"/>
          <w:bCs/>
        </w:rPr>
        <w:t>供应商</w:t>
      </w:r>
      <w:r>
        <w:rPr>
          <w:rFonts w:hint="eastAsia" w:ascii="宋体" w:hAnsi="宋体" w:eastAsia="宋体" w:cs="宋体"/>
        </w:rPr>
        <w:t>应仔细阅读竞争性磋商文件的所有内容，按照竞争性磋商文件的要求提交</w:t>
      </w:r>
      <w:r>
        <w:rPr>
          <w:rFonts w:hint="eastAsia" w:ascii="宋体" w:hAnsi="宋体" w:cs="宋体"/>
          <w:lang w:eastAsia="zh-CN"/>
        </w:rPr>
        <w:t>磋商响应文件</w:t>
      </w:r>
      <w:r>
        <w:rPr>
          <w:rFonts w:hint="eastAsia" w:ascii="宋体" w:hAnsi="宋体" w:eastAsia="宋体" w:cs="宋体"/>
        </w:rPr>
        <w:t>。</w:t>
      </w:r>
      <w:r>
        <w:rPr>
          <w:rFonts w:hint="eastAsia" w:ascii="宋体" w:hAnsi="宋体" w:cs="宋体"/>
          <w:lang w:eastAsia="zh-CN"/>
        </w:rPr>
        <w:t>磋商响应文件</w:t>
      </w:r>
      <w:r>
        <w:rPr>
          <w:rFonts w:hint="eastAsia" w:ascii="宋体" w:hAnsi="宋体" w:eastAsia="宋体" w:cs="宋体"/>
        </w:rPr>
        <w:t>应对竞争性磋商文件的要求</w:t>
      </w:r>
      <w:r>
        <w:rPr>
          <w:rFonts w:hint="eastAsia" w:ascii="宋体" w:hAnsi="宋体" w:cs="宋体"/>
          <w:lang w:eastAsia="zh-CN"/>
        </w:rPr>
        <w:t>作出</w:t>
      </w:r>
      <w:r>
        <w:rPr>
          <w:rFonts w:hint="eastAsia" w:ascii="宋体" w:hAnsi="宋体" w:eastAsia="宋体" w:cs="宋体"/>
        </w:rPr>
        <w:t>实质性响应，并保证所提供的全部资料的真实性，否则视其为虚假响应，其响应将被否决。</w:t>
      </w:r>
    </w:p>
    <w:p w14:paraId="685CD607">
      <w:pPr>
        <w:pageBreakBefore w:val="0"/>
        <w:kinsoku/>
        <w:wordWrap/>
        <w:overflowPunct/>
        <w:topLinePunct w:val="0"/>
        <w:autoSpaceDE/>
        <w:autoSpaceDN/>
        <w:bidi w:val="0"/>
        <w:spacing w:line="312" w:lineRule="auto"/>
        <w:ind w:firstLine="562"/>
        <w:textAlignment w:val="auto"/>
        <w:rPr>
          <w:rFonts w:hint="eastAsia" w:ascii="宋体" w:hAnsi="宋体" w:eastAsia="宋体" w:cs="宋体"/>
          <w:color w:val="000000"/>
        </w:rPr>
      </w:pPr>
      <w:r>
        <w:rPr>
          <w:rFonts w:hint="eastAsia" w:ascii="宋体" w:hAnsi="宋体" w:eastAsia="宋体" w:cs="宋体"/>
        </w:rPr>
        <w:t>9.2</w:t>
      </w:r>
      <w:r>
        <w:rPr>
          <w:rFonts w:hint="eastAsia" w:ascii="宋体" w:hAnsi="宋体" w:eastAsia="宋体" w:cs="宋体"/>
          <w:color w:val="000000"/>
        </w:rPr>
        <w:t>报价</w:t>
      </w:r>
    </w:p>
    <w:p w14:paraId="1AF910E8">
      <w:pPr>
        <w:spacing w:line="288" w:lineRule="auto"/>
        <w:ind w:firstLine="480"/>
        <w:rPr>
          <w:rFonts w:hint="eastAsia" w:ascii="宋体" w:hAnsi="宋体" w:cs="宋体"/>
          <w:color w:val="000000"/>
          <w:lang w:eastAsia="zh-CN"/>
        </w:rPr>
      </w:pPr>
      <w:r>
        <w:rPr>
          <w:rFonts w:hint="eastAsia" w:ascii="宋体" w:hAnsi="宋体" w:eastAsia="宋体" w:cs="宋体"/>
        </w:rPr>
        <w:t>9.2.1本次报价非一次性报价，报价币种为人民币。在磋商后根据磋商情况（包括细化采购方案和要求，增补部分采购内容等），供应商须最终报价。</w:t>
      </w:r>
      <w:r>
        <w:rPr>
          <w:rFonts w:hint="eastAsia" w:ascii="宋体" w:hAnsi="宋体" w:eastAsia="宋体" w:cs="宋体"/>
          <w:color w:val="000000"/>
          <w:lang w:eastAsia="zh-CN"/>
        </w:rPr>
        <w:t>磋商报价</w:t>
      </w:r>
      <w:r>
        <w:rPr>
          <w:rFonts w:hint="eastAsia" w:ascii="宋体" w:hAnsi="宋体" w:eastAsia="宋体" w:cs="宋体"/>
          <w:color w:val="000000"/>
        </w:rPr>
        <w:t>应为供应商在正确地完全履行合同义务后采购人应支付的全部服务价款，</w:t>
      </w:r>
      <w:r>
        <w:rPr>
          <w:rFonts w:hint="eastAsia" w:ascii="宋体" w:hAnsi="宋体" w:eastAsia="宋体" w:cs="宋体"/>
          <w:color w:val="000000"/>
          <w:lang w:eastAsia="zh-CN"/>
        </w:rPr>
        <w:t>包括但不限于</w:t>
      </w:r>
      <w:r>
        <w:rPr>
          <w:rFonts w:hint="eastAsia" w:ascii="宋体" w:hAnsi="宋体" w:cs="宋体"/>
          <w:color w:val="auto"/>
          <w:highlight w:val="none"/>
          <w:lang w:val="zh-CN"/>
        </w:rPr>
        <w:t>本次采购投标报价最高限价</w:t>
      </w:r>
      <w:r>
        <w:rPr>
          <w:rFonts w:hint="eastAsia" w:ascii="宋体" w:hAnsi="宋体" w:cs="宋体"/>
          <w:color w:val="auto"/>
          <w:highlight w:val="none"/>
          <w:u w:val="none"/>
          <w:lang w:val="zh-CN" w:eastAsia="zh-CN"/>
        </w:rPr>
        <w:t>283000元</w:t>
      </w:r>
      <w:r>
        <w:rPr>
          <w:rFonts w:hint="eastAsia" w:ascii="宋体" w:hAnsi="宋体" w:cs="宋体"/>
          <w:color w:val="auto"/>
          <w:highlight w:val="none"/>
          <w:lang w:val="zh-CN"/>
        </w:rPr>
        <w:t>，</w:t>
      </w:r>
      <w:r>
        <w:rPr>
          <w:rFonts w:hint="eastAsia" w:ascii="宋体" w:hAnsi="宋体" w:eastAsia="宋体" w:cs="宋体"/>
          <w:color w:val="auto"/>
          <w:sz w:val="24"/>
          <w:szCs w:val="24"/>
          <w:highlight w:val="none"/>
          <w:lang w:val="zh-CN"/>
        </w:rPr>
        <w:t>本次报价为一次性报价，报价币种为人民币，中标（成交）供应商的投标报价是履行合同的最终价格，报价</w:t>
      </w:r>
      <w:r>
        <w:rPr>
          <w:rFonts w:hint="eastAsia" w:ascii="宋体" w:hAnsi="宋体" w:eastAsia="宋体" w:cs="宋体"/>
          <w:color w:val="000000"/>
          <w:lang w:eastAsia="zh-CN"/>
        </w:rPr>
        <w:t>包括但不限于</w:t>
      </w:r>
      <w:r>
        <w:rPr>
          <w:rFonts w:hint="eastAsia" w:ascii="宋体" w:hAnsi="宋体" w:cs="宋体"/>
          <w:color w:val="000000"/>
          <w:lang w:eastAsia="zh-CN"/>
        </w:rPr>
        <w:t>设备、劳务、管理、材料、安装、调试、维护、深化及布展（制作）图设计、制作、垃圾清扫和搬运、机械费、运输费、安装费、施工费、施工措施费用、民工工伤保险费、验收、保险、利润、税金、以及政策性文件规定的费用及合同包含的所有风险、责任等费用。</w:t>
      </w:r>
    </w:p>
    <w:p w14:paraId="7BAA0B80">
      <w:pPr>
        <w:spacing w:line="288" w:lineRule="auto"/>
        <w:ind w:firstLine="480"/>
        <w:rPr>
          <w:rFonts w:hint="eastAsia" w:ascii="宋体" w:hAnsi="宋体" w:eastAsia="宋体" w:cs="宋体"/>
          <w:color w:val="000000"/>
          <w:lang w:eastAsia="zh-CN"/>
        </w:rPr>
      </w:pPr>
      <w:r>
        <w:rPr>
          <w:rFonts w:hint="eastAsia" w:ascii="宋体" w:hAnsi="宋体" w:cs="宋体"/>
          <w:color w:val="000000"/>
          <w:lang w:val="en-US" w:eastAsia="zh-CN"/>
        </w:rPr>
        <w:t>9.2.2</w:t>
      </w:r>
      <w:r>
        <w:rPr>
          <w:rFonts w:hint="eastAsia" w:ascii="宋体" w:hAnsi="宋体" w:cs="宋体"/>
          <w:color w:val="000000"/>
          <w:lang w:eastAsia="zh-CN"/>
        </w:rPr>
        <w:t>报价清单中设备数量有变化时,据实调整,但单价不变。</w:t>
      </w:r>
    </w:p>
    <w:p w14:paraId="54DDA03D">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10.</w:t>
      </w:r>
      <w:r>
        <w:rPr>
          <w:rFonts w:hint="eastAsia" w:ascii="宋体" w:hAnsi="宋体" w:cs="宋体"/>
          <w:lang w:eastAsia="zh-CN"/>
        </w:rPr>
        <w:t>磋商响应文件</w:t>
      </w:r>
      <w:r>
        <w:rPr>
          <w:rFonts w:hint="eastAsia" w:ascii="宋体" w:hAnsi="宋体" w:eastAsia="宋体" w:cs="宋体"/>
        </w:rPr>
        <w:t>语言</w:t>
      </w:r>
    </w:p>
    <w:p w14:paraId="51A2667E">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cs="宋体"/>
          <w:lang w:eastAsia="zh-CN"/>
        </w:rPr>
        <w:t>磋商响应文件</w:t>
      </w:r>
      <w:r>
        <w:rPr>
          <w:rFonts w:hint="eastAsia" w:ascii="宋体" w:hAnsi="宋体" w:eastAsia="宋体" w:cs="宋体"/>
        </w:rPr>
        <w:t>应用中文书写。</w:t>
      </w:r>
      <w:r>
        <w:rPr>
          <w:rFonts w:hint="eastAsia" w:ascii="宋体" w:hAnsi="宋体" w:cs="宋体"/>
          <w:lang w:eastAsia="zh-CN"/>
        </w:rPr>
        <w:t>磋商响应文件</w:t>
      </w:r>
      <w:r>
        <w:rPr>
          <w:rFonts w:hint="eastAsia" w:ascii="宋体" w:hAnsi="宋体" w:eastAsia="宋体" w:cs="宋体"/>
        </w:rPr>
        <w:t>中所附或所引用的原件不是中文时，应附中文译本。各种计量单位及符号应采用国际上统一使用的公制计量单位和符号。</w:t>
      </w:r>
    </w:p>
    <w:p w14:paraId="7B0E5101">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11.</w:t>
      </w:r>
      <w:r>
        <w:rPr>
          <w:rFonts w:hint="eastAsia" w:ascii="宋体" w:hAnsi="宋体" w:cs="宋体"/>
          <w:lang w:eastAsia="zh-CN"/>
        </w:rPr>
        <w:t>磋商响应文件</w:t>
      </w:r>
      <w:r>
        <w:rPr>
          <w:rFonts w:hint="eastAsia" w:ascii="宋体" w:hAnsi="宋体" w:eastAsia="宋体" w:cs="宋体"/>
        </w:rPr>
        <w:t>的组成</w:t>
      </w:r>
    </w:p>
    <w:p w14:paraId="251C1D4E">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b w:val="0"/>
          <w:sz w:val="24"/>
          <w:szCs w:val="24"/>
        </w:rPr>
        <w:t>▲</w:t>
      </w:r>
      <w:r>
        <w:rPr>
          <w:rFonts w:hint="eastAsia" w:ascii="宋体" w:hAnsi="宋体" w:cs="宋体"/>
          <w:lang w:eastAsia="zh-CN"/>
        </w:rPr>
        <w:t>磋商响应文件</w:t>
      </w:r>
      <w:r>
        <w:rPr>
          <w:rFonts w:hint="eastAsia" w:ascii="宋体" w:hAnsi="宋体" w:eastAsia="宋体" w:cs="宋体"/>
          <w:b w:val="0"/>
          <w:sz w:val="24"/>
          <w:szCs w:val="24"/>
          <w:lang w:val="zh-CN" w:eastAsia="zh-CN"/>
        </w:rPr>
        <w:t>由</w:t>
      </w:r>
      <w:r>
        <w:rPr>
          <w:rFonts w:hint="eastAsia" w:ascii="宋体" w:hAnsi="宋体" w:eastAsia="宋体" w:cs="宋体"/>
          <w:bCs w:val="0"/>
          <w:sz w:val="24"/>
        </w:rPr>
        <w:t>资格部分</w:t>
      </w:r>
      <w:r>
        <w:rPr>
          <w:rFonts w:hint="eastAsia" w:ascii="宋体" w:hAnsi="宋体" w:eastAsia="宋体" w:cs="宋体"/>
          <w:bCs w:val="0"/>
          <w:sz w:val="24"/>
          <w:lang w:eastAsia="zh-CN"/>
        </w:rPr>
        <w:t>、</w:t>
      </w:r>
      <w:r>
        <w:rPr>
          <w:rFonts w:hint="eastAsia" w:ascii="宋体" w:hAnsi="宋体" w:eastAsia="宋体" w:cs="宋体"/>
          <w:b w:val="0"/>
          <w:bCs w:val="0"/>
          <w:kern w:val="2"/>
          <w:sz w:val="24"/>
          <w:szCs w:val="24"/>
          <w:lang w:eastAsia="zh-CN" w:bidi="ar-SA"/>
        </w:rPr>
        <w:t>资信商务技术部分</w:t>
      </w:r>
      <w:r>
        <w:rPr>
          <w:rFonts w:hint="eastAsia" w:ascii="宋体" w:hAnsi="宋体" w:eastAsia="宋体" w:cs="宋体"/>
          <w:b w:val="0"/>
          <w:bCs w:val="0"/>
          <w:kern w:val="2"/>
          <w:sz w:val="24"/>
          <w:szCs w:val="24"/>
          <w:lang w:val="en-US" w:eastAsia="zh-CN" w:bidi="ar-SA"/>
        </w:rPr>
        <w:t>及</w:t>
      </w:r>
      <w:r>
        <w:rPr>
          <w:rFonts w:hint="eastAsia" w:ascii="宋体" w:hAnsi="宋体" w:eastAsia="宋体" w:cs="宋体"/>
          <w:b w:val="0"/>
          <w:bCs w:val="0"/>
          <w:kern w:val="2"/>
          <w:sz w:val="24"/>
          <w:szCs w:val="24"/>
          <w:lang w:eastAsia="zh-CN" w:bidi="ar-SA"/>
        </w:rPr>
        <w:t>报价</w:t>
      </w:r>
      <w:r>
        <w:rPr>
          <w:rFonts w:hint="eastAsia" w:ascii="宋体" w:hAnsi="宋体" w:eastAsia="宋体" w:cs="宋体"/>
          <w:bCs w:val="0"/>
          <w:sz w:val="24"/>
        </w:rPr>
        <w:t>部分</w:t>
      </w:r>
      <w:r>
        <w:rPr>
          <w:rFonts w:hint="eastAsia" w:ascii="宋体" w:hAnsi="宋体" w:eastAsia="宋体" w:cs="宋体"/>
          <w:b w:val="0"/>
          <w:sz w:val="24"/>
          <w:szCs w:val="24"/>
          <w:lang w:val="zh-CN" w:eastAsia="zh-CN"/>
        </w:rPr>
        <w:t>三部分组成</w:t>
      </w:r>
      <w:r>
        <w:rPr>
          <w:rFonts w:hint="eastAsia" w:ascii="宋体" w:hAnsi="宋体" w:eastAsia="宋体" w:cs="宋体"/>
          <w:sz w:val="24"/>
          <w:szCs w:val="24"/>
        </w:rPr>
        <w:t>。</w:t>
      </w:r>
      <w:r>
        <w:rPr>
          <w:rFonts w:hint="eastAsia" w:ascii="宋体" w:hAnsi="宋体" w:eastAsia="宋体" w:cs="宋体"/>
        </w:rPr>
        <w:t>包括但不限于以下内容（封装形式：一正二副，封装成一袋）：</w:t>
      </w:r>
    </w:p>
    <w:p w14:paraId="7C9BE2C0">
      <w:pPr>
        <w:pStyle w:val="6"/>
        <w:pageBreakBefore w:val="0"/>
        <w:numPr>
          <w:ilvl w:val="4"/>
          <w:numId w:val="0"/>
        </w:numPr>
        <w:tabs>
          <w:tab w:val="left" w:pos="1458"/>
        </w:tabs>
        <w:kinsoku/>
        <w:wordWrap/>
        <w:overflowPunct/>
        <w:topLinePunct w:val="0"/>
        <w:autoSpaceDE/>
        <w:autoSpaceDN/>
        <w:bidi w:val="0"/>
        <w:spacing w:line="312" w:lineRule="auto"/>
        <w:ind w:firstLine="482" w:firstLineChars="200"/>
        <w:textAlignment w:val="auto"/>
        <w:rPr>
          <w:rFonts w:hint="eastAsia" w:ascii="宋体" w:hAnsi="宋体" w:eastAsia="宋体" w:cs="宋体"/>
          <w:bCs/>
          <w:sz w:val="24"/>
        </w:rPr>
      </w:pPr>
      <w:bookmarkStart w:id="373" w:name="_Toc8291"/>
      <w:r>
        <w:rPr>
          <w:rFonts w:hint="eastAsia" w:ascii="宋体" w:hAnsi="宋体" w:eastAsia="宋体" w:cs="宋体"/>
          <w:bCs/>
          <w:sz w:val="24"/>
        </w:rPr>
        <w:t>11.1 ▲资格部分</w:t>
      </w:r>
      <w:bookmarkEnd w:id="373"/>
    </w:p>
    <w:p w14:paraId="52B3584A">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（1）供应商基本情况表；（格式见附件1）</w:t>
      </w:r>
    </w:p>
    <w:p w14:paraId="02B1798D">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（2）提供有效《营业执照》或者《事业单位法人证书》副本复印件并加盖公章编入响应文件中</w:t>
      </w:r>
      <w:r>
        <w:rPr>
          <w:rFonts w:hint="eastAsia" w:ascii="宋体" w:hAnsi="宋体" w:eastAsia="宋体" w:cs="宋体"/>
          <w:color w:val="000000"/>
          <w:sz w:val="24"/>
          <w:szCs w:val="24"/>
          <w:lang w:val="en-US" w:eastAsia="en-US"/>
        </w:rPr>
        <w:t xml:space="preserve">； </w:t>
      </w:r>
    </w:p>
    <w:p w14:paraId="5784EC5D">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color w:val="000000"/>
          <w:sz w:val="24"/>
          <w:szCs w:val="24"/>
          <w:lang w:val="en-US" w:eastAsia="en-US"/>
        </w:rPr>
      </w:pPr>
      <w:r>
        <w:rPr>
          <w:rFonts w:hint="eastAsia" w:ascii="宋体" w:hAnsi="宋体" w:eastAsia="宋体" w:cs="宋体"/>
          <w:color w:val="000000"/>
          <w:sz w:val="24"/>
          <w:szCs w:val="24"/>
          <w:lang w:val="en-US" w:eastAsia="en-US"/>
        </w:rPr>
        <w:t>（</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lang w:val="en-US" w:eastAsia="en-US"/>
        </w:rPr>
        <w:t>）符合参加采购活动应当具备的一般条件的承诺函；（格式见附件2）</w:t>
      </w:r>
    </w:p>
    <w:p w14:paraId="74DB4078">
      <w:pPr>
        <w:keepNext w:val="0"/>
        <w:keepLines w:val="0"/>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2" w:firstLineChars="200"/>
        <w:textAlignment w:val="auto"/>
        <w:rPr>
          <w:rFonts w:hint="eastAsia" w:ascii="宋体" w:hAnsi="宋体" w:eastAsia="宋体" w:cs="宋体"/>
          <w:b/>
          <w:bCs/>
          <w:snapToGrid/>
          <w:color w:val="auto"/>
          <w:sz w:val="24"/>
          <w:szCs w:val="24"/>
          <w:highlight w:val="none"/>
          <w:lang w:val="en-US" w:eastAsia="en-US" w:bidi="ar-SA"/>
        </w:rPr>
      </w:pPr>
      <w:r>
        <w:rPr>
          <w:rFonts w:hint="eastAsia" w:ascii="宋体" w:hAnsi="宋体" w:eastAsia="宋体" w:cs="宋体"/>
          <w:b/>
          <w:bCs/>
          <w:snapToGrid/>
          <w:color w:val="auto"/>
          <w:sz w:val="24"/>
          <w:szCs w:val="24"/>
          <w:highlight w:val="none"/>
          <w:lang w:val="en-US" w:eastAsia="en-US" w:bidi="ar-SA"/>
        </w:rPr>
        <w:t>▲注：以上</w:t>
      </w:r>
      <w:r>
        <w:rPr>
          <w:rFonts w:hint="eastAsia" w:ascii="宋体" w:hAnsi="宋体" w:cs="宋体"/>
          <w:b/>
          <w:bCs/>
          <w:snapToGrid/>
          <w:color w:val="auto"/>
          <w:sz w:val="24"/>
          <w:szCs w:val="24"/>
          <w:highlight w:val="none"/>
          <w:lang w:val="en-US" w:eastAsia="zh-CN" w:bidi="ar-SA"/>
        </w:rPr>
        <w:t>资格部分</w:t>
      </w:r>
      <w:r>
        <w:rPr>
          <w:rFonts w:hint="eastAsia" w:ascii="宋体" w:hAnsi="宋体" w:eastAsia="宋体" w:cs="宋体"/>
          <w:b/>
          <w:bCs/>
          <w:snapToGrid/>
          <w:color w:val="auto"/>
          <w:sz w:val="24"/>
          <w:szCs w:val="24"/>
          <w:highlight w:val="none"/>
          <w:lang w:val="en-US" w:eastAsia="en-US" w:bidi="ar-SA"/>
        </w:rPr>
        <w:t>为通过式评审</w:t>
      </w:r>
      <w:r>
        <w:rPr>
          <w:rFonts w:hint="eastAsia" w:ascii="宋体" w:hAnsi="宋体" w:cs="宋体"/>
          <w:b/>
          <w:bCs/>
          <w:snapToGrid/>
          <w:color w:val="auto"/>
          <w:sz w:val="24"/>
          <w:szCs w:val="24"/>
          <w:highlight w:val="none"/>
          <w:lang w:val="en-US" w:eastAsia="zh-CN" w:bidi="ar-SA"/>
        </w:rPr>
        <w:t>，</w:t>
      </w:r>
      <w:r>
        <w:rPr>
          <w:rFonts w:hint="eastAsia" w:ascii="宋体" w:hAnsi="宋体" w:eastAsia="宋体" w:cs="宋体"/>
          <w:b/>
          <w:bCs/>
          <w:snapToGrid/>
          <w:color w:val="auto"/>
          <w:sz w:val="24"/>
          <w:szCs w:val="24"/>
          <w:highlight w:val="none"/>
          <w:lang w:val="en-US" w:eastAsia="en-US" w:bidi="ar-SA"/>
        </w:rPr>
        <w:t>如有缺少或不符合要求的</w:t>
      </w:r>
      <w:r>
        <w:rPr>
          <w:rFonts w:hint="eastAsia" w:ascii="宋体" w:hAnsi="宋体" w:cs="宋体"/>
          <w:b/>
          <w:bCs/>
          <w:snapToGrid/>
          <w:color w:val="auto"/>
          <w:sz w:val="24"/>
          <w:szCs w:val="24"/>
          <w:highlight w:val="none"/>
          <w:lang w:val="en-US" w:eastAsia="zh-CN" w:bidi="ar-SA"/>
        </w:rPr>
        <w:t>，</w:t>
      </w:r>
      <w:r>
        <w:rPr>
          <w:rFonts w:hint="eastAsia" w:ascii="宋体" w:hAnsi="宋体" w:eastAsia="宋体" w:cs="宋体"/>
          <w:b/>
          <w:bCs/>
          <w:snapToGrid/>
          <w:color w:val="auto"/>
          <w:sz w:val="24"/>
          <w:szCs w:val="24"/>
          <w:highlight w:val="none"/>
          <w:lang w:val="en-US" w:eastAsia="en-US" w:bidi="ar-SA"/>
        </w:rPr>
        <w:t>则视为资格审查不予通过。</w:t>
      </w:r>
    </w:p>
    <w:p w14:paraId="071EDA77">
      <w:pPr>
        <w:pStyle w:val="109"/>
        <w:pageBreakBefore w:val="0"/>
        <w:widowControl w:val="0"/>
        <w:numPr>
          <w:ilvl w:val="255"/>
          <w:numId w:val="0"/>
        </w:numPr>
        <w:tabs>
          <w:tab w:val="left" w:pos="0"/>
        </w:tabs>
        <w:kinsoku/>
        <w:wordWrap/>
        <w:overflowPunct/>
        <w:topLinePunct w:val="0"/>
        <w:autoSpaceDE/>
        <w:autoSpaceDN/>
        <w:bidi w:val="0"/>
        <w:adjustRightInd w:val="0"/>
        <w:snapToGrid w:val="0"/>
        <w:spacing w:line="312" w:lineRule="auto"/>
        <w:ind w:firstLine="482" w:firstLineChars="200"/>
        <w:textAlignment w:val="auto"/>
        <w:rPr>
          <w:rFonts w:hint="eastAsia" w:ascii="宋体" w:hAnsi="宋体" w:eastAsia="宋体" w:cs="宋体"/>
          <w:b/>
          <w:bCs/>
          <w:kern w:val="2"/>
          <w:sz w:val="24"/>
          <w:szCs w:val="24"/>
          <w:lang w:eastAsia="zh-CN" w:bidi="ar-SA"/>
        </w:rPr>
      </w:pPr>
      <w:r>
        <w:rPr>
          <w:rFonts w:hint="eastAsia" w:ascii="宋体" w:hAnsi="宋体" w:eastAsia="宋体" w:cs="宋体"/>
          <w:b/>
          <w:bCs/>
          <w:kern w:val="2"/>
          <w:sz w:val="24"/>
          <w:szCs w:val="24"/>
          <w:lang w:eastAsia="zh-CN" w:bidi="ar-SA"/>
        </w:rPr>
        <w:t>11.2 资信商务技术部分</w:t>
      </w:r>
    </w:p>
    <w:p w14:paraId="78066302">
      <w:pPr>
        <w:spacing w:line="288" w:lineRule="auto"/>
        <w:ind w:firstLine="480"/>
        <w:rPr>
          <w:rFonts w:hint="eastAsia" w:ascii="宋体" w:hAnsi="宋体" w:eastAsia="宋体" w:cs="宋体"/>
          <w:highlight w:val="none"/>
          <w:lang w:val="zh-CN"/>
        </w:rPr>
      </w:pPr>
      <w:r>
        <w:rPr>
          <w:rFonts w:hint="eastAsia" w:ascii="宋体" w:hAnsi="宋体" w:eastAsia="宋体" w:cs="宋体"/>
          <w:highlight w:val="none"/>
          <w:lang w:val="zh-CN"/>
        </w:rPr>
        <w:t>（1）▲磋商函；（格式见附件</w:t>
      </w:r>
      <w:r>
        <w:rPr>
          <w:rFonts w:hint="eastAsia" w:ascii="宋体" w:hAnsi="宋体" w:eastAsia="宋体" w:cs="宋体"/>
          <w:highlight w:val="none"/>
          <w:lang w:val="en-US" w:eastAsia="zh-CN"/>
        </w:rPr>
        <w:t>3</w:t>
      </w:r>
      <w:r>
        <w:rPr>
          <w:rFonts w:hint="eastAsia" w:ascii="宋体" w:hAnsi="宋体" w:eastAsia="宋体" w:cs="宋体"/>
          <w:highlight w:val="none"/>
          <w:lang w:val="zh-CN"/>
        </w:rPr>
        <w:t>）</w:t>
      </w:r>
    </w:p>
    <w:p w14:paraId="3AB808D2">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（2）▲法人证明或法人授权委托书；（格式见附件</w:t>
      </w: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lang w:val="zh-CN" w:eastAsia="zh-CN"/>
        </w:rPr>
        <w:t>）</w:t>
      </w:r>
    </w:p>
    <w:p w14:paraId="685EE0DE">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（3）类似业绩一览表；（格式见附件</w:t>
      </w:r>
      <w:r>
        <w:rPr>
          <w:rFonts w:hint="eastAsia" w:ascii="宋体" w:hAnsi="宋体" w:eastAsia="宋体" w:cs="宋体"/>
          <w:color w:val="000000"/>
          <w:sz w:val="24"/>
          <w:szCs w:val="24"/>
          <w:lang w:val="en-US" w:eastAsia="zh-CN"/>
        </w:rPr>
        <w:t>5</w:t>
      </w:r>
      <w:r>
        <w:rPr>
          <w:rFonts w:hint="eastAsia" w:ascii="宋体" w:hAnsi="宋体" w:eastAsia="宋体" w:cs="宋体"/>
          <w:color w:val="000000"/>
          <w:sz w:val="24"/>
          <w:szCs w:val="24"/>
          <w:lang w:val="zh-CN" w:eastAsia="zh-CN"/>
        </w:rPr>
        <w:t>）</w:t>
      </w:r>
    </w:p>
    <w:p w14:paraId="12F8AAC6">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（4）</w:t>
      </w:r>
      <w:r>
        <w:rPr>
          <w:rFonts w:hint="eastAsia" w:ascii="宋体" w:hAnsi="宋体" w:eastAsia="宋体" w:cs="宋体"/>
          <w:color w:val="000000"/>
          <w:sz w:val="24"/>
          <w:szCs w:val="24"/>
          <w:lang w:val="en-US" w:eastAsia="zh-CN"/>
        </w:rPr>
        <w:t>拟投入项目组人员一览表</w:t>
      </w:r>
      <w:r>
        <w:rPr>
          <w:rFonts w:hint="eastAsia" w:ascii="宋体" w:hAnsi="宋体" w:eastAsia="宋体" w:cs="宋体"/>
          <w:color w:val="000000"/>
          <w:sz w:val="24"/>
          <w:szCs w:val="24"/>
          <w:lang w:val="zh-CN" w:eastAsia="zh-CN"/>
        </w:rPr>
        <w:t>；（格式见附件</w:t>
      </w:r>
      <w:r>
        <w:rPr>
          <w:rFonts w:hint="eastAsia" w:ascii="宋体" w:hAnsi="宋体" w:eastAsia="宋体" w:cs="宋体"/>
          <w:color w:val="000000"/>
          <w:sz w:val="24"/>
          <w:szCs w:val="24"/>
          <w:lang w:val="en-US" w:eastAsia="zh-CN"/>
        </w:rPr>
        <w:t>6</w:t>
      </w:r>
      <w:r>
        <w:rPr>
          <w:rFonts w:hint="eastAsia" w:ascii="宋体" w:hAnsi="宋体" w:eastAsia="宋体" w:cs="宋体"/>
          <w:color w:val="000000"/>
          <w:sz w:val="24"/>
          <w:szCs w:val="24"/>
          <w:lang w:val="zh-CN" w:eastAsia="zh-CN"/>
        </w:rPr>
        <w:t>）</w:t>
      </w:r>
    </w:p>
    <w:p w14:paraId="0E304936">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（5）</w:t>
      </w:r>
      <w:bookmarkStart w:id="374" w:name="_Toc6562"/>
      <w:bookmarkStart w:id="375" w:name="_Toc15608"/>
      <w:r>
        <w:rPr>
          <w:rFonts w:hint="eastAsia" w:ascii="宋体" w:hAnsi="宋体" w:eastAsia="宋体" w:cs="宋体"/>
          <w:color w:val="000000"/>
          <w:sz w:val="24"/>
          <w:szCs w:val="24"/>
          <w:lang w:val="zh-CN" w:eastAsia="zh-CN"/>
        </w:rPr>
        <w:t>产品配置清单</w:t>
      </w:r>
      <w:bookmarkEnd w:id="374"/>
      <w:r>
        <w:rPr>
          <w:rFonts w:hint="eastAsia" w:ascii="宋体" w:hAnsi="宋体" w:eastAsia="宋体" w:cs="宋体"/>
          <w:color w:val="000000"/>
          <w:sz w:val="24"/>
          <w:szCs w:val="24"/>
          <w:lang w:val="zh-CN" w:eastAsia="zh-CN"/>
        </w:rPr>
        <w:t>；（格式见附件</w:t>
      </w: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lang w:val="zh-CN" w:eastAsia="zh-CN"/>
        </w:rPr>
        <w:t>）</w:t>
      </w:r>
    </w:p>
    <w:bookmarkEnd w:id="375"/>
    <w:p w14:paraId="7E12230A">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rPr>
        <w:t>设计方案</w:t>
      </w:r>
      <w:r>
        <w:rPr>
          <w:rFonts w:hint="eastAsia" w:ascii="宋体" w:hAnsi="宋体" w:eastAsia="宋体" w:cs="宋体"/>
          <w:bCs/>
          <w:color w:val="auto"/>
          <w:sz w:val="24"/>
          <w:szCs w:val="24"/>
          <w:highlight w:val="none"/>
          <w:lang w:val="zh-CN" w:eastAsia="zh-CN"/>
        </w:rPr>
        <w:t xml:space="preserve">；（格式自拟）   </w:t>
      </w:r>
    </w:p>
    <w:p w14:paraId="7E91C1E8">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7</w:t>
      </w: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项目实施方案</w:t>
      </w:r>
      <w:r>
        <w:rPr>
          <w:rFonts w:hint="eastAsia" w:ascii="宋体" w:hAnsi="宋体" w:eastAsia="宋体" w:cs="宋体"/>
          <w:bCs/>
          <w:color w:val="auto"/>
          <w:sz w:val="24"/>
          <w:szCs w:val="24"/>
          <w:highlight w:val="none"/>
          <w:lang w:val="zh-CN" w:eastAsia="zh-CN"/>
        </w:rPr>
        <w:t xml:space="preserve">；（格式自拟）  </w:t>
      </w:r>
    </w:p>
    <w:p w14:paraId="17B673FD">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8</w:t>
      </w: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图纸</w:t>
      </w:r>
      <w:r>
        <w:rPr>
          <w:rFonts w:hint="eastAsia" w:ascii="宋体" w:hAnsi="宋体" w:eastAsia="宋体" w:cs="宋体"/>
          <w:bCs/>
          <w:color w:val="auto"/>
          <w:sz w:val="24"/>
          <w:szCs w:val="24"/>
          <w:highlight w:val="none"/>
          <w:lang w:val="zh-CN" w:eastAsia="zh-CN"/>
        </w:rPr>
        <w:t>；（格式自拟）</w:t>
      </w:r>
    </w:p>
    <w:p w14:paraId="65994DF4">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9</w:t>
      </w: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安全文明施工保障措施</w:t>
      </w:r>
      <w:r>
        <w:rPr>
          <w:rFonts w:hint="eastAsia" w:ascii="宋体" w:hAnsi="宋体" w:eastAsia="宋体" w:cs="宋体"/>
          <w:bCs/>
          <w:color w:val="auto"/>
          <w:sz w:val="24"/>
          <w:szCs w:val="24"/>
          <w:highlight w:val="none"/>
          <w:lang w:val="zh-CN" w:eastAsia="zh-CN"/>
        </w:rPr>
        <w:t xml:space="preserve">；（格式自拟）                        </w:t>
      </w:r>
    </w:p>
    <w:p w14:paraId="38545852">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rPr>
        <w:t>质量保证</w:t>
      </w:r>
      <w:r>
        <w:rPr>
          <w:rFonts w:hint="eastAsia" w:ascii="宋体" w:hAnsi="宋体" w:eastAsia="宋体" w:cs="宋体"/>
          <w:bCs/>
          <w:color w:val="auto"/>
          <w:sz w:val="24"/>
          <w:szCs w:val="24"/>
          <w:highlight w:val="none"/>
          <w:lang w:val="en-US" w:eastAsia="zh-CN"/>
        </w:rPr>
        <w:t>措施</w:t>
      </w:r>
      <w:r>
        <w:rPr>
          <w:rFonts w:hint="eastAsia" w:ascii="宋体" w:hAnsi="宋体" w:eastAsia="宋体" w:cs="宋体"/>
          <w:bCs/>
          <w:color w:val="auto"/>
          <w:sz w:val="24"/>
          <w:szCs w:val="24"/>
          <w:highlight w:val="none"/>
          <w:lang w:val="zh-CN" w:eastAsia="zh-CN"/>
        </w:rPr>
        <w:t>；（格式自拟）</w:t>
      </w:r>
    </w:p>
    <w:p w14:paraId="0EBF74AC">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11</w:t>
      </w: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技术参数完整性</w:t>
      </w:r>
      <w:r>
        <w:rPr>
          <w:rFonts w:hint="eastAsia" w:ascii="宋体" w:hAnsi="宋体" w:eastAsia="宋体" w:cs="宋体"/>
          <w:bCs/>
          <w:color w:val="auto"/>
          <w:sz w:val="24"/>
          <w:szCs w:val="24"/>
          <w:highlight w:val="none"/>
          <w:lang w:val="zh-CN" w:eastAsia="zh-CN"/>
        </w:rPr>
        <w:t>；（格式自拟）</w:t>
      </w:r>
    </w:p>
    <w:p w14:paraId="6FF9C803">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12</w:t>
      </w: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应急保障措施</w:t>
      </w:r>
      <w:r>
        <w:rPr>
          <w:rFonts w:hint="eastAsia" w:ascii="宋体" w:hAnsi="宋体" w:eastAsia="宋体" w:cs="宋体"/>
          <w:bCs/>
          <w:color w:val="auto"/>
          <w:sz w:val="24"/>
          <w:szCs w:val="24"/>
          <w:highlight w:val="none"/>
          <w:lang w:val="zh-CN" w:eastAsia="zh-CN"/>
        </w:rPr>
        <w:t>；（格式自拟）</w:t>
      </w:r>
    </w:p>
    <w:p w14:paraId="6C2861E0">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13</w:t>
      </w: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rPr>
        <w:t>售后服务方案</w:t>
      </w:r>
      <w:r>
        <w:rPr>
          <w:rFonts w:hint="eastAsia" w:ascii="宋体" w:hAnsi="宋体" w:eastAsia="宋体" w:cs="宋体"/>
          <w:bCs/>
          <w:color w:val="auto"/>
          <w:sz w:val="24"/>
          <w:szCs w:val="24"/>
          <w:highlight w:val="none"/>
          <w:lang w:val="zh-CN" w:eastAsia="zh-CN"/>
        </w:rPr>
        <w:t>；（格式自拟）</w:t>
      </w:r>
    </w:p>
    <w:p w14:paraId="58B2B357">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14</w:t>
      </w:r>
      <w:r>
        <w:rPr>
          <w:rFonts w:hint="eastAsia" w:ascii="宋体" w:hAnsi="宋体" w:eastAsia="宋体" w:cs="宋体"/>
          <w:bCs/>
          <w:color w:val="auto"/>
          <w:sz w:val="24"/>
          <w:szCs w:val="24"/>
          <w:highlight w:val="none"/>
          <w:lang w:val="zh-CN" w:eastAsia="zh-CN"/>
        </w:rPr>
        <w:t>）技术响应表；（格式见附件</w:t>
      </w:r>
      <w:r>
        <w:rPr>
          <w:rFonts w:hint="eastAsia" w:ascii="宋体" w:hAnsi="宋体" w:eastAsia="宋体" w:cs="宋体"/>
          <w:bCs/>
          <w:color w:val="auto"/>
          <w:sz w:val="24"/>
          <w:szCs w:val="24"/>
          <w:highlight w:val="none"/>
          <w:lang w:val="en-US" w:eastAsia="zh-CN"/>
        </w:rPr>
        <w:t>8</w:t>
      </w:r>
      <w:r>
        <w:rPr>
          <w:rFonts w:hint="eastAsia" w:ascii="宋体" w:hAnsi="宋体" w:eastAsia="宋体" w:cs="宋体"/>
          <w:bCs/>
          <w:color w:val="auto"/>
          <w:sz w:val="24"/>
          <w:szCs w:val="24"/>
          <w:highlight w:val="none"/>
          <w:lang w:val="zh-CN" w:eastAsia="zh-CN"/>
        </w:rPr>
        <w:t>）</w:t>
      </w:r>
    </w:p>
    <w:p w14:paraId="68E6D169">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w:t>
      </w:r>
      <w:r>
        <w:rPr>
          <w:rFonts w:hint="eastAsia" w:ascii="宋体" w:hAnsi="宋体" w:eastAsia="宋体" w:cs="宋体"/>
          <w:bCs/>
          <w:color w:val="auto"/>
          <w:sz w:val="24"/>
          <w:szCs w:val="24"/>
          <w:highlight w:val="none"/>
          <w:lang w:val="en-US" w:eastAsia="zh-CN"/>
        </w:rPr>
        <w:t>15</w:t>
      </w:r>
      <w:r>
        <w:rPr>
          <w:rFonts w:hint="eastAsia" w:ascii="宋体" w:hAnsi="宋体" w:eastAsia="宋体" w:cs="宋体"/>
          <w:bCs/>
          <w:color w:val="auto"/>
          <w:sz w:val="24"/>
          <w:szCs w:val="24"/>
          <w:highlight w:val="none"/>
          <w:lang w:val="zh-CN" w:eastAsia="zh-CN"/>
        </w:rPr>
        <w:t>）商务响应表；（格式见附件</w:t>
      </w:r>
      <w:r>
        <w:rPr>
          <w:rFonts w:hint="eastAsia" w:ascii="宋体" w:hAnsi="宋体" w:eastAsia="宋体" w:cs="宋体"/>
          <w:bCs/>
          <w:color w:val="auto"/>
          <w:sz w:val="24"/>
          <w:szCs w:val="24"/>
          <w:highlight w:val="none"/>
          <w:lang w:val="en-US" w:eastAsia="zh-CN"/>
        </w:rPr>
        <w:t>9</w:t>
      </w:r>
      <w:r>
        <w:rPr>
          <w:rFonts w:hint="eastAsia" w:ascii="宋体" w:hAnsi="宋体" w:eastAsia="宋体" w:cs="宋体"/>
          <w:bCs/>
          <w:color w:val="auto"/>
          <w:sz w:val="24"/>
          <w:szCs w:val="24"/>
          <w:highlight w:val="none"/>
          <w:lang w:val="zh-CN" w:eastAsia="zh-CN"/>
        </w:rPr>
        <w:t>）</w:t>
      </w:r>
    </w:p>
    <w:p w14:paraId="1FBFC659">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（16）供应商认为需要提供的其他相关资料。</w:t>
      </w:r>
    </w:p>
    <w:p w14:paraId="56934D5F">
      <w:pPr>
        <w:pStyle w:val="109"/>
        <w:pageBreakBefore w:val="0"/>
        <w:tabs>
          <w:tab w:val="left" w:pos="0"/>
        </w:tabs>
        <w:kinsoku/>
        <w:wordWrap/>
        <w:overflowPunct/>
        <w:topLinePunct w:val="0"/>
        <w:autoSpaceDE/>
        <w:autoSpaceDN/>
        <w:bidi w:val="0"/>
        <w:adjustRightInd w:val="0"/>
        <w:snapToGrid w:val="0"/>
        <w:spacing w:line="312" w:lineRule="auto"/>
        <w:ind w:firstLine="482" w:firstLineChars="200"/>
        <w:textAlignment w:val="auto"/>
        <w:rPr>
          <w:rFonts w:hint="eastAsia" w:ascii="宋体" w:hAnsi="宋体" w:eastAsia="宋体" w:cs="宋体"/>
          <w:b/>
          <w:bCs/>
          <w:kern w:val="2"/>
          <w:sz w:val="24"/>
          <w:szCs w:val="24"/>
          <w:lang w:eastAsia="zh-CN" w:bidi="ar-SA"/>
        </w:rPr>
      </w:pPr>
      <w:r>
        <w:rPr>
          <w:rFonts w:hint="eastAsia" w:ascii="宋体" w:hAnsi="宋体" w:eastAsia="宋体" w:cs="宋体"/>
          <w:b/>
          <w:bCs/>
          <w:kern w:val="2"/>
          <w:sz w:val="24"/>
          <w:szCs w:val="24"/>
          <w:lang w:eastAsia="zh-CN" w:bidi="ar-SA"/>
        </w:rPr>
        <w:t>11.3 报价部分</w:t>
      </w:r>
    </w:p>
    <w:p w14:paraId="62AF4952">
      <w:pPr>
        <w:pageBreakBefore w:val="0"/>
        <w:numPr>
          <w:ilvl w:val="255"/>
          <w:numId w:val="0"/>
        </w:numPr>
        <w:tabs>
          <w:tab w:val="left" w:pos="397"/>
        </w:tabs>
        <w:kinsoku/>
        <w:wordWrap/>
        <w:overflowPunct/>
        <w:topLinePunct w:val="0"/>
        <w:autoSpaceDE/>
        <w:autoSpaceDN/>
        <w:bidi w:val="0"/>
        <w:adjustRightInd w:val="0"/>
        <w:snapToGrid w:val="0"/>
        <w:spacing w:line="312" w:lineRule="auto"/>
        <w:ind w:firstLine="480" w:firstLineChars="200"/>
        <w:jc w:val="left"/>
        <w:textAlignment w:val="auto"/>
        <w:rPr>
          <w:rFonts w:hint="eastAsia" w:ascii="宋体" w:hAnsi="宋体" w:eastAsia="宋体" w:cs="宋体"/>
          <w:b w:val="0"/>
          <w:bCs w:val="0"/>
          <w:spacing w:val="0"/>
          <w:sz w:val="24"/>
          <w:szCs w:val="24"/>
        </w:rPr>
      </w:pPr>
      <w:r>
        <w:rPr>
          <w:rFonts w:hint="eastAsia" w:ascii="宋体" w:hAnsi="宋体" w:eastAsia="宋体" w:cs="宋体"/>
        </w:rPr>
        <w:t>（1）▲</w:t>
      </w:r>
      <w:r>
        <w:rPr>
          <w:rFonts w:hint="eastAsia" w:ascii="宋体" w:hAnsi="宋体" w:eastAsia="宋体" w:cs="宋体"/>
          <w:lang w:eastAsia="zh-CN"/>
        </w:rPr>
        <w:t>首次报价表</w:t>
      </w:r>
      <w:r>
        <w:rPr>
          <w:rFonts w:hint="eastAsia" w:ascii="宋体" w:hAnsi="宋体" w:cs="宋体"/>
          <w:lang w:val="en-US" w:eastAsia="zh-CN"/>
        </w:rPr>
        <w:t>；</w:t>
      </w:r>
      <w:r>
        <w:rPr>
          <w:rFonts w:hint="eastAsia" w:ascii="宋体" w:hAnsi="宋体" w:eastAsia="宋体" w:cs="宋体"/>
        </w:rPr>
        <w:t>（</w:t>
      </w:r>
      <w:r>
        <w:rPr>
          <w:rFonts w:hint="eastAsia" w:ascii="宋体" w:hAnsi="宋体" w:eastAsia="宋体" w:cs="宋体"/>
          <w:color w:val="000000"/>
          <w:sz w:val="24"/>
          <w:szCs w:val="24"/>
          <w:lang w:val="en-US" w:eastAsia="zh-CN"/>
        </w:rPr>
        <w:t>格式见</w:t>
      </w:r>
      <w:r>
        <w:rPr>
          <w:rFonts w:hint="eastAsia" w:ascii="宋体" w:hAnsi="宋体" w:eastAsia="宋体" w:cs="宋体"/>
        </w:rPr>
        <w:t>附件</w:t>
      </w:r>
      <w:r>
        <w:rPr>
          <w:rFonts w:hint="eastAsia" w:ascii="宋体" w:hAnsi="宋体" w:cs="宋体"/>
          <w:lang w:val="en-US" w:eastAsia="zh-CN"/>
        </w:rPr>
        <w:t>10</w:t>
      </w:r>
      <w:r>
        <w:rPr>
          <w:rFonts w:hint="eastAsia" w:ascii="宋体" w:hAnsi="宋体" w:eastAsia="宋体" w:cs="宋体"/>
        </w:rPr>
        <w:t>）</w:t>
      </w:r>
    </w:p>
    <w:p w14:paraId="333E058A">
      <w:pPr>
        <w:pageBreakBefore w:val="0"/>
        <w:tabs>
          <w:tab w:val="left" w:pos="397"/>
        </w:tabs>
        <w:kinsoku/>
        <w:wordWrap/>
        <w:overflowPunct/>
        <w:topLinePunct w:val="0"/>
        <w:autoSpaceDE/>
        <w:autoSpaceDN/>
        <w:bidi w:val="0"/>
        <w:adjustRightInd w:val="0"/>
        <w:snapToGrid w:val="0"/>
        <w:spacing w:line="312" w:lineRule="auto"/>
        <w:ind w:firstLine="562"/>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2</w:t>
      </w:r>
      <w:r>
        <w:rPr>
          <w:rFonts w:hint="eastAsia" w:ascii="宋体" w:hAnsi="宋体" w:eastAsia="宋体" w:cs="宋体"/>
        </w:rPr>
        <w:t>）</w:t>
      </w:r>
      <w:r>
        <w:rPr>
          <w:rFonts w:hint="eastAsia" w:ascii="宋体" w:hAnsi="宋体" w:cs="宋体"/>
          <w:lang w:val="en-US" w:eastAsia="zh-CN"/>
        </w:rPr>
        <w:t>清单报价明细</w:t>
      </w:r>
      <w:r>
        <w:rPr>
          <w:rFonts w:hint="eastAsia" w:ascii="宋体" w:hAnsi="宋体" w:eastAsia="宋体" w:cs="宋体"/>
        </w:rPr>
        <w:t>表</w:t>
      </w:r>
      <w:r>
        <w:rPr>
          <w:rFonts w:hint="eastAsia" w:ascii="宋体" w:hAnsi="宋体" w:cs="宋体"/>
          <w:lang w:val="en-US" w:eastAsia="zh-CN"/>
        </w:rPr>
        <w:t>；</w:t>
      </w:r>
      <w:r>
        <w:rPr>
          <w:rFonts w:hint="eastAsia" w:ascii="宋体" w:hAnsi="宋体" w:eastAsia="宋体" w:cs="宋体"/>
        </w:rPr>
        <w:t>（</w:t>
      </w:r>
      <w:r>
        <w:rPr>
          <w:rFonts w:hint="eastAsia" w:ascii="宋体" w:hAnsi="宋体" w:eastAsia="宋体" w:cs="宋体"/>
          <w:color w:val="000000"/>
          <w:sz w:val="24"/>
          <w:szCs w:val="24"/>
          <w:lang w:val="en-US" w:eastAsia="zh-CN"/>
        </w:rPr>
        <w:t>格式见</w:t>
      </w:r>
      <w:r>
        <w:rPr>
          <w:rFonts w:hint="eastAsia" w:ascii="宋体" w:hAnsi="宋体" w:eastAsia="宋体" w:cs="宋体"/>
        </w:rPr>
        <w:t>附件</w:t>
      </w:r>
      <w:r>
        <w:rPr>
          <w:rFonts w:hint="eastAsia" w:ascii="宋体" w:hAnsi="宋体" w:cs="宋体"/>
          <w:lang w:val="en-US" w:eastAsia="zh-CN"/>
        </w:rPr>
        <w:t>11</w:t>
      </w:r>
      <w:r>
        <w:rPr>
          <w:rFonts w:hint="eastAsia" w:ascii="宋体" w:hAnsi="宋体" w:eastAsia="宋体" w:cs="宋体"/>
        </w:rPr>
        <w:t>）</w:t>
      </w:r>
    </w:p>
    <w:p w14:paraId="53F837B5">
      <w:pPr>
        <w:pageBreakBefore w:val="0"/>
        <w:tabs>
          <w:tab w:val="left" w:pos="397"/>
        </w:tabs>
        <w:kinsoku/>
        <w:wordWrap/>
        <w:overflowPunct/>
        <w:topLinePunct w:val="0"/>
        <w:autoSpaceDE/>
        <w:autoSpaceDN/>
        <w:bidi w:val="0"/>
        <w:adjustRightInd w:val="0"/>
        <w:snapToGrid w:val="0"/>
        <w:spacing w:line="312" w:lineRule="auto"/>
        <w:ind w:firstLine="562"/>
        <w:textAlignment w:val="auto"/>
        <w:rPr>
          <w:rFonts w:hint="eastAsia" w:ascii="宋体" w:hAnsi="宋体" w:eastAsia="宋体" w:cs="宋体"/>
          <w:b/>
          <w:bCs/>
        </w:rPr>
      </w:pPr>
      <w:r>
        <w:rPr>
          <w:rFonts w:hint="eastAsia" w:ascii="宋体" w:hAnsi="宋体" w:cs="宋体"/>
          <w:lang w:eastAsia="zh-CN"/>
        </w:rPr>
        <w:t>（</w:t>
      </w:r>
      <w:r>
        <w:rPr>
          <w:rFonts w:hint="eastAsia" w:ascii="宋体" w:hAnsi="宋体" w:cs="宋体"/>
          <w:lang w:val="en-US" w:eastAsia="zh-CN"/>
        </w:rPr>
        <w:t>3</w:t>
      </w:r>
      <w:r>
        <w:rPr>
          <w:rFonts w:hint="eastAsia" w:ascii="宋体" w:hAnsi="宋体" w:cs="宋体"/>
          <w:lang w:eastAsia="zh-CN"/>
        </w:rPr>
        <w:t>）</w:t>
      </w:r>
      <w:r>
        <w:rPr>
          <w:rFonts w:hint="eastAsia" w:ascii="宋体" w:hAnsi="宋体" w:eastAsia="宋体" w:cs="宋体"/>
        </w:rPr>
        <w:t>最终报价表</w:t>
      </w:r>
      <w:r>
        <w:rPr>
          <w:rFonts w:hint="eastAsia" w:ascii="宋体" w:hAnsi="宋体" w:cs="宋体"/>
          <w:lang w:val="en-US" w:eastAsia="zh-CN"/>
        </w:rPr>
        <w:t>；</w:t>
      </w:r>
      <w:r>
        <w:rPr>
          <w:rFonts w:hint="eastAsia" w:ascii="宋体" w:hAnsi="宋体" w:eastAsia="宋体" w:cs="宋体"/>
        </w:rPr>
        <w:t>（</w:t>
      </w:r>
      <w:r>
        <w:rPr>
          <w:rFonts w:hint="eastAsia" w:ascii="宋体" w:hAnsi="宋体" w:eastAsia="宋体" w:cs="宋体"/>
          <w:color w:val="000000"/>
          <w:sz w:val="24"/>
          <w:szCs w:val="24"/>
          <w:lang w:val="en-US" w:eastAsia="zh-CN"/>
        </w:rPr>
        <w:t>格式见</w:t>
      </w:r>
      <w:r>
        <w:rPr>
          <w:rFonts w:hint="eastAsia" w:ascii="宋体" w:hAnsi="宋体" w:eastAsia="宋体" w:cs="宋体"/>
        </w:rPr>
        <w:t>附件</w:t>
      </w:r>
      <w:r>
        <w:rPr>
          <w:rFonts w:hint="eastAsia" w:ascii="宋体" w:hAnsi="宋体" w:cs="宋体"/>
          <w:lang w:val="en-US" w:eastAsia="zh-CN"/>
        </w:rPr>
        <w:t>12</w:t>
      </w:r>
      <w:r>
        <w:rPr>
          <w:rFonts w:hint="eastAsia" w:ascii="宋体" w:hAnsi="宋体" w:eastAsia="宋体" w:cs="宋体"/>
        </w:rPr>
        <w:t>）</w:t>
      </w:r>
      <w:r>
        <w:rPr>
          <w:rFonts w:hint="eastAsia" w:ascii="宋体" w:hAnsi="宋体" w:eastAsia="宋体" w:cs="宋体"/>
          <w:b/>
          <w:bCs/>
        </w:rPr>
        <w:t>（此表无需在制作</w:t>
      </w:r>
      <w:r>
        <w:rPr>
          <w:rFonts w:hint="eastAsia" w:ascii="宋体" w:hAnsi="宋体" w:cs="宋体"/>
          <w:b/>
          <w:bCs/>
          <w:lang w:eastAsia="zh-CN"/>
        </w:rPr>
        <w:t>磋商响应文件</w:t>
      </w:r>
      <w:r>
        <w:rPr>
          <w:rFonts w:hint="eastAsia" w:ascii="宋体" w:hAnsi="宋体" w:eastAsia="宋体" w:cs="宋体"/>
          <w:b/>
          <w:bCs/>
        </w:rPr>
        <w:t>时填写，但供应商须提前打印并签字加盖公章，作为磋商过程后最终报价时填写。此表填写后需单独装入信封在规定时间递交工作人员）</w:t>
      </w:r>
    </w:p>
    <w:p w14:paraId="6074508C">
      <w:pPr>
        <w:pageBreakBefore w:val="0"/>
        <w:numPr>
          <w:ilvl w:val="-1"/>
          <w:numId w:val="0"/>
        </w:numPr>
        <w:tabs>
          <w:tab w:val="left" w:pos="397"/>
        </w:tabs>
        <w:kinsoku/>
        <w:wordWrap/>
        <w:overflowPunct/>
        <w:topLinePunct w:val="0"/>
        <w:autoSpaceDE/>
        <w:autoSpaceDN/>
        <w:bidi w:val="0"/>
        <w:adjustRightInd w:val="0"/>
        <w:snapToGrid w:val="0"/>
        <w:spacing w:line="312" w:lineRule="auto"/>
        <w:ind w:left="0" w:leftChars="0" w:firstLine="480" w:firstLineChars="200"/>
        <w:textAlignment w:val="auto"/>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en-US"/>
        </w:rPr>
        <w:t>（</w:t>
      </w: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lang w:val="en-US" w:eastAsia="en-US"/>
        </w:rPr>
        <w:t>）</w:t>
      </w:r>
      <w:r>
        <w:rPr>
          <w:rFonts w:hint="eastAsia" w:ascii="宋体" w:hAnsi="宋体" w:eastAsia="宋体" w:cs="宋体"/>
          <w:color w:val="000000"/>
          <w:sz w:val="24"/>
          <w:szCs w:val="24"/>
          <w:lang w:val="en-US" w:eastAsia="zh-CN"/>
        </w:rPr>
        <w:t>落实政府采购政策需满足的资格要求：《提供中小企业声明函（</w:t>
      </w:r>
      <w:r>
        <w:rPr>
          <w:rFonts w:hint="eastAsia" w:ascii="宋体" w:hAnsi="宋体" w:cs="宋体"/>
          <w:color w:val="000000"/>
          <w:sz w:val="24"/>
          <w:szCs w:val="24"/>
          <w:lang w:val="en-US" w:eastAsia="zh-CN"/>
        </w:rPr>
        <w:t>货物</w:t>
      </w:r>
      <w:r>
        <w:rPr>
          <w:rFonts w:hint="eastAsia" w:ascii="宋体" w:hAnsi="宋体" w:eastAsia="宋体" w:cs="宋体"/>
          <w:color w:val="000000"/>
          <w:sz w:val="24"/>
          <w:szCs w:val="24"/>
          <w:lang w:val="en-US" w:eastAsia="zh-CN"/>
        </w:rPr>
        <w:t>）》（格式见附件1</w:t>
      </w:r>
      <w:r>
        <w:rPr>
          <w:rFonts w:hint="eastAsia" w:ascii="宋体" w:hAnsi="宋体" w:cs="宋体"/>
          <w:color w:val="000000"/>
          <w:sz w:val="24"/>
          <w:szCs w:val="24"/>
          <w:lang w:val="en-US" w:eastAsia="zh-CN"/>
        </w:rPr>
        <w:t>3</w:t>
      </w:r>
      <w:r>
        <w:rPr>
          <w:rFonts w:hint="eastAsia" w:ascii="宋体" w:hAnsi="宋体" w:eastAsia="宋体" w:cs="宋体"/>
          <w:color w:val="000000"/>
          <w:sz w:val="24"/>
          <w:szCs w:val="24"/>
          <w:lang w:val="en-US" w:eastAsia="zh-CN"/>
        </w:rPr>
        <w:t>）、《监狱企业声明函》（格式见附件1</w:t>
      </w:r>
      <w:r>
        <w:rPr>
          <w:rFonts w:hint="eastAsia" w:ascii="宋体" w:hAnsi="宋体" w:cs="宋体"/>
          <w:color w:val="000000"/>
          <w:sz w:val="24"/>
          <w:szCs w:val="24"/>
          <w:lang w:val="en-US" w:eastAsia="zh-CN"/>
        </w:rPr>
        <w:t>4</w:t>
      </w:r>
      <w:r>
        <w:rPr>
          <w:rFonts w:hint="eastAsia" w:ascii="宋体" w:hAnsi="宋体" w:eastAsia="宋体" w:cs="宋体"/>
          <w:color w:val="000000"/>
          <w:sz w:val="24"/>
          <w:szCs w:val="24"/>
          <w:lang w:val="en-US" w:eastAsia="zh-CN"/>
        </w:rPr>
        <w:t>）；《残疾人福利性单位声明函》（格式见附件1</w:t>
      </w:r>
      <w:r>
        <w:rPr>
          <w:rFonts w:hint="eastAsia" w:ascii="宋体" w:hAnsi="宋体" w:cs="宋体"/>
          <w:color w:val="000000"/>
          <w:sz w:val="24"/>
          <w:szCs w:val="24"/>
          <w:lang w:val="en-US" w:eastAsia="zh-CN"/>
        </w:rPr>
        <w:t>5</w:t>
      </w:r>
      <w:r>
        <w:rPr>
          <w:rFonts w:hint="eastAsia" w:ascii="宋体" w:hAnsi="宋体" w:eastAsia="宋体" w:cs="宋体"/>
          <w:color w:val="000000"/>
          <w:sz w:val="24"/>
          <w:szCs w:val="24"/>
          <w:lang w:val="en-US" w:eastAsia="zh-CN"/>
        </w:rPr>
        <w:t>）；</w:t>
      </w:r>
    </w:p>
    <w:p w14:paraId="622C7F74">
      <w:pPr>
        <w:pageBreakBefore w:val="0"/>
        <w:kinsoku/>
        <w:wordWrap/>
        <w:overflowPunct/>
        <w:topLinePunct w:val="0"/>
        <w:autoSpaceDE/>
        <w:autoSpaceDN/>
        <w:bidi w:val="0"/>
        <w:spacing w:line="312" w:lineRule="auto"/>
        <w:ind w:firstLine="562"/>
        <w:textAlignment w:val="auto"/>
        <w:rPr>
          <w:rFonts w:hint="eastAsia" w:ascii="宋体" w:hAnsi="宋体" w:eastAsia="宋体" w:cs="宋体"/>
          <w:color w:val="000000"/>
        </w:rPr>
      </w:pPr>
      <w:r>
        <w:rPr>
          <w:rFonts w:hint="eastAsia" w:ascii="宋体" w:hAnsi="宋体" w:eastAsia="宋体" w:cs="宋体"/>
          <w:color w:val="000000"/>
        </w:rPr>
        <w:t>以上文件组成磋商响应文件。供应商应对磋商文件</w:t>
      </w:r>
      <w:r>
        <w:rPr>
          <w:rFonts w:hint="eastAsia" w:ascii="宋体" w:hAnsi="宋体" w:cs="宋体"/>
          <w:color w:val="000000"/>
          <w:lang w:eastAsia="zh-CN"/>
        </w:rPr>
        <w:t>作出</w:t>
      </w:r>
      <w:r>
        <w:rPr>
          <w:rFonts w:hint="eastAsia" w:ascii="宋体" w:hAnsi="宋体" w:eastAsia="宋体" w:cs="宋体"/>
          <w:color w:val="000000"/>
        </w:rPr>
        <w:t>实质性响应，该项内容将作为投标的重要指标。一旦开标后，经审核确定投标资格和技术能力不能响应磋商文件要求，则供应商即刻被废标或被拒绝进入</w:t>
      </w:r>
      <w:r>
        <w:rPr>
          <w:rFonts w:hint="eastAsia" w:ascii="宋体" w:hAnsi="宋体" w:eastAsia="宋体" w:cs="宋体"/>
          <w:color w:val="000000"/>
          <w:lang w:eastAsia="zh-CN"/>
        </w:rPr>
        <w:t>报价</w:t>
      </w:r>
      <w:r>
        <w:rPr>
          <w:rFonts w:hint="eastAsia" w:ascii="宋体" w:hAnsi="宋体" w:eastAsia="宋体" w:cs="宋体"/>
          <w:color w:val="000000"/>
        </w:rPr>
        <w:t>阶段。</w:t>
      </w:r>
    </w:p>
    <w:p w14:paraId="7BC2113E">
      <w:pPr>
        <w:pStyle w:val="21"/>
        <w:pageBreakBefore w:val="0"/>
        <w:kinsoku/>
        <w:wordWrap/>
        <w:overflowPunct/>
        <w:topLinePunct w:val="0"/>
        <w:autoSpaceDE/>
        <w:autoSpaceDN/>
        <w:bidi w:val="0"/>
        <w:spacing w:line="312" w:lineRule="auto"/>
        <w:ind w:firstLine="562"/>
        <w:jc w:val="left"/>
        <w:textAlignment w:val="auto"/>
        <w:rPr>
          <w:rFonts w:hint="eastAsia" w:ascii="宋体" w:hAnsi="宋体" w:eastAsia="宋体" w:cs="宋体"/>
          <w:color w:val="000000"/>
          <w:szCs w:val="24"/>
        </w:rPr>
      </w:pPr>
      <w:r>
        <w:rPr>
          <w:rFonts w:hint="eastAsia" w:ascii="宋体" w:hAnsi="宋体" w:eastAsia="宋体" w:cs="宋体"/>
          <w:color w:val="000000"/>
          <w:szCs w:val="24"/>
        </w:rPr>
        <w:t>以上文件组成磋商响应文件。供应商应对磋商文件</w:t>
      </w:r>
      <w:r>
        <w:rPr>
          <w:rFonts w:hint="eastAsia" w:hAnsi="宋体" w:cs="宋体"/>
          <w:color w:val="000000"/>
          <w:szCs w:val="24"/>
          <w:lang w:eastAsia="zh-CN"/>
        </w:rPr>
        <w:t>作出</w:t>
      </w:r>
      <w:r>
        <w:rPr>
          <w:rFonts w:hint="eastAsia" w:ascii="宋体" w:hAnsi="宋体" w:eastAsia="宋体" w:cs="宋体"/>
          <w:color w:val="000000"/>
          <w:szCs w:val="24"/>
        </w:rPr>
        <w:t>实质性响应，该项内容将作为投标的重要指标。一旦开标后，经审核确定投标资格和技术能力不能响应磋商文件要求，则供应商即刻被废标或被拒绝进入最终报价阶段。</w:t>
      </w:r>
    </w:p>
    <w:p w14:paraId="35171CF9">
      <w:pPr>
        <w:pStyle w:val="21"/>
        <w:pageBreakBefore w:val="0"/>
        <w:kinsoku/>
        <w:wordWrap/>
        <w:overflowPunct/>
        <w:topLinePunct w:val="0"/>
        <w:autoSpaceDE/>
        <w:autoSpaceDN/>
        <w:bidi w:val="0"/>
        <w:spacing w:line="312" w:lineRule="auto"/>
        <w:ind w:firstLine="562"/>
        <w:jc w:val="left"/>
        <w:textAlignment w:val="auto"/>
        <w:rPr>
          <w:rFonts w:hint="eastAsia" w:ascii="宋体" w:hAnsi="宋体" w:eastAsia="宋体" w:cs="宋体"/>
          <w:color w:val="000000"/>
          <w:szCs w:val="24"/>
        </w:rPr>
      </w:pPr>
      <w:r>
        <w:rPr>
          <w:rFonts w:hint="eastAsia" w:ascii="宋体" w:hAnsi="宋体" w:eastAsia="宋体" w:cs="宋体"/>
          <w:color w:val="000000"/>
          <w:szCs w:val="24"/>
        </w:rPr>
        <w:t>12.</w:t>
      </w:r>
      <w:r>
        <w:rPr>
          <w:rFonts w:hint="eastAsia" w:hAnsi="宋体" w:cs="宋体"/>
          <w:color w:val="000000"/>
          <w:szCs w:val="24"/>
          <w:lang w:eastAsia="zh-CN"/>
        </w:rPr>
        <w:t>磋商响应文件</w:t>
      </w:r>
      <w:r>
        <w:rPr>
          <w:rFonts w:hint="eastAsia" w:ascii="宋体" w:hAnsi="宋体" w:eastAsia="宋体" w:cs="宋体"/>
          <w:color w:val="000000"/>
          <w:szCs w:val="24"/>
        </w:rPr>
        <w:t>有效期</w:t>
      </w:r>
    </w:p>
    <w:p w14:paraId="640E1DE9">
      <w:pPr>
        <w:pStyle w:val="21"/>
        <w:pageBreakBefore w:val="0"/>
        <w:kinsoku/>
        <w:wordWrap/>
        <w:overflowPunct/>
        <w:topLinePunct w:val="0"/>
        <w:autoSpaceDE/>
        <w:autoSpaceDN/>
        <w:bidi w:val="0"/>
        <w:spacing w:line="312" w:lineRule="auto"/>
        <w:ind w:firstLine="562"/>
        <w:jc w:val="left"/>
        <w:textAlignment w:val="auto"/>
        <w:rPr>
          <w:rFonts w:hint="eastAsia" w:ascii="宋体" w:hAnsi="宋体" w:eastAsia="宋体" w:cs="宋体"/>
          <w:szCs w:val="24"/>
        </w:rPr>
      </w:pPr>
      <w:r>
        <w:rPr>
          <w:rFonts w:hint="eastAsia" w:ascii="宋体" w:hAnsi="宋体" w:eastAsia="宋体" w:cs="宋体"/>
          <w:color w:val="000000"/>
          <w:szCs w:val="24"/>
        </w:rPr>
        <w:t>12.1</w:t>
      </w:r>
      <w:r>
        <w:rPr>
          <w:rFonts w:hint="eastAsia" w:hAnsi="宋体" w:cs="宋体"/>
          <w:color w:val="000000"/>
          <w:szCs w:val="24"/>
          <w:lang w:eastAsia="zh-CN"/>
        </w:rPr>
        <w:t>磋商响应文件</w:t>
      </w:r>
      <w:r>
        <w:rPr>
          <w:rFonts w:hint="eastAsia" w:ascii="宋体" w:hAnsi="宋体" w:eastAsia="宋体" w:cs="宋体"/>
          <w:color w:val="000000"/>
          <w:szCs w:val="24"/>
        </w:rPr>
        <w:t>从磋商</w:t>
      </w:r>
      <w:r>
        <w:rPr>
          <w:rFonts w:hint="eastAsia" w:ascii="宋体" w:hAnsi="宋体" w:eastAsia="宋体" w:cs="宋体"/>
          <w:szCs w:val="24"/>
        </w:rPr>
        <w:t>响应文件递交截止时间之日起90个日历天内有效。</w:t>
      </w:r>
    </w:p>
    <w:p w14:paraId="7CF09BB3">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12.2特殊情况下采购人可于</w:t>
      </w:r>
      <w:r>
        <w:rPr>
          <w:rFonts w:hint="eastAsia" w:ascii="宋体" w:hAnsi="宋体" w:cs="宋体"/>
          <w:lang w:eastAsia="zh-CN"/>
        </w:rPr>
        <w:t>磋商响应文件</w:t>
      </w:r>
      <w:r>
        <w:rPr>
          <w:rFonts w:hint="eastAsia" w:ascii="宋体" w:hAnsi="宋体" w:eastAsia="宋体" w:cs="宋体"/>
        </w:rPr>
        <w:t>有效期届满前书面要求</w:t>
      </w:r>
      <w:r>
        <w:rPr>
          <w:rFonts w:hint="eastAsia" w:ascii="宋体" w:hAnsi="宋体" w:eastAsia="宋体" w:cs="宋体"/>
          <w:bCs/>
        </w:rPr>
        <w:t>供应商</w:t>
      </w:r>
      <w:r>
        <w:rPr>
          <w:rFonts w:hint="eastAsia" w:ascii="宋体" w:hAnsi="宋体" w:eastAsia="宋体" w:cs="宋体"/>
        </w:rPr>
        <w:t>同意延长有效期，</w:t>
      </w:r>
      <w:r>
        <w:rPr>
          <w:rFonts w:hint="eastAsia" w:ascii="宋体" w:hAnsi="宋体" w:eastAsia="宋体" w:cs="宋体"/>
          <w:bCs/>
        </w:rPr>
        <w:t>供应商</w:t>
      </w:r>
      <w:r>
        <w:rPr>
          <w:rFonts w:hint="eastAsia" w:ascii="宋体" w:hAnsi="宋体" w:eastAsia="宋体" w:cs="宋体"/>
        </w:rPr>
        <w:t>应在采购人规定的期限内以书面形式予以答复。</w:t>
      </w:r>
      <w:r>
        <w:rPr>
          <w:rFonts w:hint="eastAsia" w:ascii="宋体" w:hAnsi="宋体" w:eastAsia="宋体" w:cs="宋体"/>
          <w:bCs/>
        </w:rPr>
        <w:t>供应商</w:t>
      </w:r>
      <w:r>
        <w:rPr>
          <w:rFonts w:hint="eastAsia" w:ascii="宋体" w:hAnsi="宋体" w:eastAsia="宋体" w:cs="宋体"/>
        </w:rPr>
        <w:t>答复不明确或者逾期未答复的，均视为拒绝上述要求。对于接受该要求的</w:t>
      </w:r>
      <w:r>
        <w:rPr>
          <w:rFonts w:hint="eastAsia" w:ascii="宋体" w:hAnsi="宋体" w:eastAsia="宋体" w:cs="宋体"/>
          <w:bCs/>
        </w:rPr>
        <w:t>供应商</w:t>
      </w:r>
      <w:r>
        <w:rPr>
          <w:rFonts w:hint="eastAsia" w:ascii="宋体" w:hAnsi="宋体" w:eastAsia="宋体" w:cs="宋体"/>
        </w:rPr>
        <w:t>，既不要求也不允许其修改</w:t>
      </w:r>
      <w:r>
        <w:rPr>
          <w:rFonts w:hint="eastAsia" w:ascii="宋体" w:hAnsi="宋体" w:cs="宋体"/>
          <w:lang w:eastAsia="zh-CN"/>
        </w:rPr>
        <w:t>磋商响应文件</w:t>
      </w:r>
      <w:r>
        <w:rPr>
          <w:rFonts w:hint="eastAsia" w:ascii="宋体" w:hAnsi="宋体" w:eastAsia="宋体" w:cs="宋体"/>
        </w:rPr>
        <w:t>。</w:t>
      </w:r>
    </w:p>
    <w:p w14:paraId="3B5686F3">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13.</w:t>
      </w:r>
      <w:r>
        <w:rPr>
          <w:rFonts w:hint="eastAsia" w:ascii="宋体" w:hAnsi="宋体" w:cs="宋体"/>
          <w:lang w:eastAsia="zh-CN"/>
        </w:rPr>
        <w:t>磋商响应文件</w:t>
      </w:r>
      <w:r>
        <w:rPr>
          <w:rFonts w:hint="eastAsia" w:ascii="宋体" w:hAnsi="宋体" w:eastAsia="宋体" w:cs="宋体"/>
        </w:rPr>
        <w:t>的格式</w:t>
      </w:r>
    </w:p>
    <w:p w14:paraId="5938230F">
      <w:pPr>
        <w:pageBreakBefore w:val="0"/>
        <w:kinsoku/>
        <w:wordWrap/>
        <w:overflowPunct/>
        <w:topLinePunct w:val="0"/>
        <w:autoSpaceDE/>
        <w:autoSpaceDN/>
        <w:bidi w:val="0"/>
        <w:spacing w:line="312" w:lineRule="auto"/>
        <w:ind w:firstLine="562"/>
        <w:textAlignment w:val="auto"/>
        <w:rPr>
          <w:rFonts w:hint="eastAsia" w:ascii="宋体" w:hAnsi="宋体" w:eastAsia="宋体" w:cs="宋体"/>
          <w:color w:val="000000"/>
        </w:rPr>
      </w:pPr>
      <w:r>
        <w:rPr>
          <w:rFonts w:hint="eastAsia" w:ascii="宋体" w:hAnsi="宋体" w:eastAsia="宋体" w:cs="宋体"/>
          <w:color w:val="000000"/>
        </w:rPr>
        <w:t>13.1</w:t>
      </w:r>
      <w:r>
        <w:rPr>
          <w:rFonts w:hint="eastAsia" w:ascii="宋体" w:hAnsi="宋体" w:eastAsia="宋体" w:cs="宋体"/>
          <w:bCs/>
        </w:rPr>
        <w:t>供应商</w:t>
      </w:r>
      <w:r>
        <w:rPr>
          <w:rFonts w:hint="eastAsia" w:ascii="宋体" w:hAnsi="宋体" w:eastAsia="宋体" w:cs="宋体"/>
          <w:color w:val="000000"/>
        </w:rPr>
        <w:t>的</w:t>
      </w:r>
      <w:r>
        <w:rPr>
          <w:rFonts w:hint="eastAsia" w:ascii="宋体" w:hAnsi="宋体" w:cs="宋体"/>
          <w:color w:val="000000"/>
          <w:lang w:eastAsia="zh-CN"/>
        </w:rPr>
        <w:t>磋商响应文件</w:t>
      </w:r>
      <w:r>
        <w:rPr>
          <w:rFonts w:hint="eastAsia" w:ascii="宋体" w:hAnsi="宋体" w:eastAsia="宋体" w:cs="宋体"/>
          <w:color w:val="000000"/>
        </w:rPr>
        <w:t>由资格、资信商务技术和报价部分组成，并按以下要求制作，否则视为无效响应：</w:t>
      </w:r>
    </w:p>
    <w:p w14:paraId="19EE22E0">
      <w:pPr>
        <w:pageBreakBefore w:val="0"/>
        <w:kinsoku/>
        <w:wordWrap/>
        <w:overflowPunct/>
        <w:topLinePunct w:val="0"/>
        <w:autoSpaceDE/>
        <w:autoSpaceDN/>
        <w:bidi w:val="0"/>
        <w:spacing w:line="312" w:lineRule="auto"/>
        <w:ind w:firstLine="562"/>
        <w:textAlignment w:val="auto"/>
        <w:rPr>
          <w:rFonts w:hint="eastAsia" w:ascii="宋体" w:hAnsi="宋体" w:eastAsia="宋体" w:cs="宋体"/>
          <w:lang w:val="zh-CN"/>
        </w:rPr>
      </w:pPr>
      <w:r>
        <w:rPr>
          <w:rFonts w:hint="eastAsia" w:ascii="宋体" w:hAnsi="宋体" w:eastAsia="宋体" w:cs="宋体"/>
        </w:rPr>
        <w:t>13.2</w:t>
      </w:r>
      <w:r>
        <w:rPr>
          <w:rFonts w:hint="eastAsia" w:ascii="宋体" w:hAnsi="宋体" w:cs="宋体"/>
          <w:lang w:val="zh-CN"/>
        </w:rPr>
        <w:t>磋商响应文件</w:t>
      </w:r>
      <w:r>
        <w:rPr>
          <w:rFonts w:hint="eastAsia" w:ascii="宋体" w:hAnsi="宋体" w:eastAsia="宋体" w:cs="宋体"/>
          <w:lang w:val="zh-CN"/>
        </w:rPr>
        <w:t>一式</w:t>
      </w:r>
      <w:r>
        <w:rPr>
          <w:rFonts w:hint="eastAsia" w:ascii="宋体" w:hAnsi="宋体" w:eastAsia="宋体" w:cs="宋体"/>
        </w:rPr>
        <w:t>3</w:t>
      </w:r>
      <w:r>
        <w:rPr>
          <w:rFonts w:hint="eastAsia" w:ascii="宋体" w:hAnsi="宋体" w:eastAsia="宋体" w:cs="宋体"/>
          <w:lang w:val="zh-CN"/>
        </w:rPr>
        <w:t>份，其中正本1份、副本</w:t>
      </w:r>
      <w:r>
        <w:rPr>
          <w:rFonts w:hint="eastAsia" w:ascii="宋体" w:hAnsi="宋体" w:eastAsia="宋体" w:cs="宋体"/>
        </w:rPr>
        <w:t>2</w:t>
      </w:r>
      <w:r>
        <w:rPr>
          <w:rFonts w:hint="eastAsia" w:ascii="宋体" w:hAnsi="宋体" w:eastAsia="宋体" w:cs="宋体"/>
          <w:lang w:val="zh-CN"/>
        </w:rPr>
        <w:t>份；</w:t>
      </w:r>
      <w:r>
        <w:rPr>
          <w:rFonts w:hint="eastAsia" w:ascii="宋体" w:hAnsi="宋体" w:cs="宋体"/>
          <w:lang w:val="zh-CN"/>
        </w:rPr>
        <w:t>磋商响应文件</w:t>
      </w:r>
      <w:r>
        <w:rPr>
          <w:rFonts w:hint="eastAsia" w:ascii="宋体" w:hAnsi="宋体" w:eastAsia="宋体" w:cs="宋体"/>
        </w:rPr>
        <w:t>由</w:t>
      </w:r>
      <w:r>
        <w:rPr>
          <w:rFonts w:hint="eastAsia" w:ascii="宋体" w:hAnsi="宋体" w:eastAsia="宋体" w:cs="宋体"/>
          <w:color w:val="000000"/>
        </w:rPr>
        <w:t>资格、资信商务技术和报价部分组成</w:t>
      </w:r>
      <w:r>
        <w:rPr>
          <w:rFonts w:hint="eastAsia" w:ascii="宋体" w:hAnsi="宋体" w:eastAsia="宋体" w:cs="宋体"/>
          <w:lang w:val="zh-CN"/>
        </w:rPr>
        <w:t>合订成一册，</w:t>
      </w:r>
      <w:r>
        <w:rPr>
          <w:rFonts w:hint="eastAsia" w:ascii="宋体" w:hAnsi="宋体" w:eastAsia="宋体" w:cs="宋体"/>
          <w:u w:val="single"/>
          <w:lang w:val="zh-CN"/>
        </w:rPr>
        <w:t>采用A4幅面纸张打印装订，</w:t>
      </w:r>
      <w:r>
        <w:rPr>
          <w:rFonts w:hint="eastAsia" w:ascii="宋体" w:hAnsi="宋体" w:eastAsia="宋体" w:cs="宋体"/>
          <w:lang w:val="zh-CN"/>
        </w:rPr>
        <w:t>密封一袋；副本应为盖过章的正本的完整复印件，并在封面标明“正本</w:t>
      </w:r>
      <w:r>
        <w:rPr>
          <w:rFonts w:hint="eastAsia" w:ascii="宋体" w:hAnsi="宋体" w:cs="宋体"/>
          <w:lang w:val="zh-CN"/>
        </w:rPr>
        <w:t>”“</w:t>
      </w:r>
      <w:r>
        <w:rPr>
          <w:rFonts w:hint="eastAsia" w:ascii="宋体" w:hAnsi="宋体" w:eastAsia="宋体" w:cs="宋体"/>
          <w:lang w:val="zh-CN"/>
        </w:rPr>
        <w:t>副本”字样。正本与副本如有不一致，以正本为准。</w:t>
      </w:r>
    </w:p>
    <w:p w14:paraId="5410C59B">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13.3</w:t>
      </w:r>
      <w:r>
        <w:rPr>
          <w:rFonts w:hint="eastAsia" w:ascii="宋体" w:hAnsi="宋体" w:cs="宋体"/>
          <w:lang w:eastAsia="zh-CN"/>
        </w:rPr>
        <w:t>磋商响应文件</w:t>
      </w:r>
      <w:r>
        <w:rPr>
          <w:rFonts w:hint="eastAsia" w:ascii="宋体" w:hAnsi="宋体" w:eastAsia="宋体" w:cs="宋体"/>
        </w:rPr>
        <w:t>应由</w:t>
      </w:r>
      <w:r>
        <w:rPr>
          <w:rFonts w:hint="eastAsia" w:ascii="宋体" w:hAnsi="宋体" w:eastAsia="宋体" w:cs="宋体"/>
          <w:bCs/>
        </w:rPr>
        <w:t>供应商</w:t>
      </w:r>
      <w:r>
        <w:rPr>
          <w:rFonts w:hint="eastAsia" w:ascii="宋体" w:hAnsi="宋体" w:eastAsia="宋体" w:cs="宋体"/>
        </w:rPr>
        <w:t>的法定代表人或者其授权代表签字并加盖公章，如由后者签字，应提供“法定代表人授权委托书”。</w:t>
      </w:r>
    </w:p>
    <w:p w14:paraId="114FCBEC">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13.4响应使用货币为人民币。</w:t>
      </w:r>
    </w:p>
    <w:p w14:paraId="0D2087FD">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13.5</w:t>
      </w:r>
      <w:r>
        <w:rPr>
          <w:rFonts w:hint="eastAsia" w:ascii="宋体" w:hAnsi="宋体" w:eastAsia="宋体" w:cs="宋体"/>
          <w:bCs/>
        </w:rPr>
        <w:t>供应商</w:t>
      </w:r>
      <w:r>
        <w:rPr>
          <w:rFonts w:hint="eastAsia" w:ascii="宋体" w:hAnsi="宋体" w:eastAsia="宋体" w:cs="宋体"/>
        </w:rPr>
        <w:t xml:space="preserve">应提交证明其拟供采购内容符合竞争性磋商文件要求的相应材料，该材料可以是文字资料、图纸和数据，并须提供主要技术要求的详细描述。                          </w:t>
      </w:r>
    </w:p>
    <w:p w14:paraId="247CFCA4">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13.6</w:t>
      </w:r>
      <w:r>
        <w:rPr>
          <w:rFonts w:hint="eastAsia" w:ascii="宋体" w:hAnsi="宋体" w:cs="宋体"/>
          <w:lang w:eastAsia="zh-CN"/>
        </w:rPr>
        <w:t>磋商响应文件</w:t>
      </w:r>
      <w:r>
        <w:rPr>
          <w:rFonts w:hint="eastAsia" w:ascii="宋体" w:hAnsi="宋体" w:eastAsia="宋体" w:cs="宋体"/>
        </w:rPr>
        <w:t>的正本和副本均应使用不能擦去的墨料或墨水打印、书写或复印，并由法定代表人或其授权代表签署，盖</w:t>
      </w:r>
      <w:r>
        <w:rPr>
          <w:rFonts w:hint="eastAsia" w:ascii="宋体" w:hAnsi="宋体" w:eastAsia="宋体" w:cs="宋体"/>
          <w:bCs/>
        </w:rPr>
        <w:t>供应商</w:t>
      </w:r>
      <w:r>
        <w:rPr>
          <w:rFonts w:hint="eastAsia" w:ascii="宋体" w:hAnsi="宋体" w:eastAsia="宋体" w:cs="宋体"/>
        </w:rPr>
        <w:t>公章。</w:t>
      </w:r>
    </w:p>
    <w:p w14:paraId="57AE510A">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13.7全套</w:t>
      </w:r>
      <w:r>
        <w:rPr>
          <w:rFonts w:hint="eastAsia" w:ascii="宋体" w:hAnsi="宋体" w:cs="宋体"/>
          <w:lang w:eastAsia="zh-CN"/>
        </w:rPr>
        <w:t>磋商响应文件</w:t>
      </w:r>
      <w:r>
        <w:rPr>
          <w:rFonts w:hint="eastAsia" w:ascii="宋体" w:hAnsi="宋体" w:eastAsia="宋体" w:cs="宋体"/>
        </w:rPr>
        <w:t xml:space="preserve">应无涂改和行间插字，除非是为改正供应商造成的必须修改的错误而进行的。有改动时，修改处应由法人代表或授权代表签署并加盖公章。 </w:t>
      </w:r>
    </w:p>
    <w:p w14:paraId="163193FC">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13.8未按本须知规定的格式填写</w:t>
      </w:r>
      <w:r>
        <w:rPr>
          <w:rFonts w:hint="eastAsia" w:ascii="宋体" w:hAnsi="宋体" w:cs="宋体"/>
          <w:lang w:eastAsia="zh-CN"/>
        </w:rPr>
        <w:t>磋商响应文件</w:t>
      </w:r>
      <w:r>
        <w:rPr>
          <w:rFonts w:hint="eastAsia" w:ascii="宋体" w:hAnsi="宋体" w:eastAsia="宋体" w:cs="宋体"/>
        </w:rPr>
        <w:t>或</w:t>
      </w:r>
      <w:r>
        <w:rPr>
          <w:rFonts w:hint="eastAsia" w:ascii="宋体" w:hAnsi="宋体" w:cs="宋体"/>
          <w:lang w:eastAsia="zh-CN"/>
        </w:rPr>
        <w:t>磋商响应文件</w:t>
      </w:r>
      <w:r>
        <w:rPr>
          <w:rFonts w:hint="eastAsia" w:ascii="宋体" w:hAnsi="宋体" w:eastAsia="宋体" w:cs="宋体"/>
        </w:rPr>
        <w:t>字迹模糊不清的，其响应将被拒绝。</w:t>
      </w:r>
    </w:p>
    <w:p w14:paraId="7E573554">
      <w:pPr>
        <w:pageBreakBefore w:val="0"/>
        <w:kinsoku/>
        <w:wordWrap/>
        <w:overflowPunct/>
        <w:topLinePunct w:val="0"/>
        <w:autoSpaceDE/>
        <w:autoSpaceDN/>
        <w:bidi w:val="0"/>
        <w:spacing w:line="312" w:lineRule="auto"/>
        <w:ind w:firstLine="562"/>
        <w:textAlignment w:val="auto"/>
        <w:rPr>
          <w:rFonts w:hint="eastAsia" w:ascii="宋体" w:hAnsi="宋体" w:eastAsia="宋体" w:cs="宋体"/>
          <w:bCs/>
        </w:rPr>
      </w:pPr>
      <w:r>
        <w:rPr>
          <w:rFonts w:hint="eastAsia" w:ascii="宋体" w:hAnsi="宋体" w:eastAsia="宋体" w:cs="宋体"/>
          <w:bCs/>
        </w:rPr>
        <w:t>13.9所有资格证明文件复印件均须在有效期内。</w:t>
      </w:r>
    </w:p>
    <w:p w14:paraId="552E8BE7">
      <w:pPr>
        <w:pStyle w:val="2"/>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lang w:val="en-US"/>
        </w:rPr>
      </w:pPr>
      <w:bookmarkStart w:id="376" w:name="_Toc3766"/>
      <w:bookmarkStart w:id="377" w:name="_Toc9536"/>
      <w:bookmarkStart w:id="378" w:name="_Toc26610"/>
      <w:bookmarkStart w:id="379" w:name="_Toc21411"/>
      <w:bookmarkStart w:id="380" w:name="_Toc391298958"/>
      <w:bookmarkStart w:id="381" w:name="_Toc8749"/>
      <w:bookmarkStart w:id="382" w:name="_Toc6074"/>
      <w:bookmarkStart w:id="383" w:name="_Toc16051"/>
      <w:bookmarkStart w:id="384" w:name="_Toc21093"/>
      <w:bookmarkStart w:id="385" w:name="_Toc12012"/>
      <w:bookmarkStart w:id="386" w:name="_Toc25012"/>
      <w:bookmarkStart w:id="387" w:name="_Toc1836"/>
      <w:bookmarkStart w:id="388" w:name="_Toc20241"/>
      <w:bookmarkStart w:id="389" w:name="_Toc26751"/>
      <w:bookmarkStart w:id="390" w:name="_Toc13246"/>
      <w:bookmarkStart w:id="391" w:name="_Toc9094"/>
      <w:bookmarkStart w:id="392" w:name="_Toc1902"/>
      <w:bookmarkStart w:id="393" w:name="_Toc29320"/>
      <w:bookmarkStart w:id="394" w:name="_Toc31866"/>
      <w:bookmarkStart w:id="395" w:name="_Toc3853"/>
      <w:bookmarkStart w:id="396" w:name="_Toc6197"/>
      <w:bookmarkStart w:id="397" w:name="_Toc31201"/>
      <w:bookmarkStart w:id="398" w:name="_Toc7775"/>
      <w:bookmarkStart w:id="399" w:name="_Toc10699"/>
      <w:bookmarkStart w:id="400" w:name="_Toc15758"/>
      <w:bookmarkStart w:id="401" w:name="_Toc29085"/>
      <w:bookmarkStart w:id="402" w:name="_Toc25659"/>
      <w:bookmarkStart w:id="403" w:name="_Toc6705"/>
      <w:bookmarkStart w:id="404" w:name="_Toc1636"/>
      <w:bookmarkStart w:id="405" w:name="_Toc29059"/>
      <w:bookmarkStart w:id="406" w:name="_Toc19875"/>
      <w:bookmarkStart w:id="407" w:name="_Toc8235"/>
      <w:bookmarkStart w:id="408" w:name="_Toc13506"/>
      <w:bookmarkStart w:id="409" w:name="_Toc3975"/>
      <w:bookmarkStart w:id="410" w:name="_Toc19745"/>
      <w:bookmarkStart w:id="411" w:name="_Toc29452"/>
      <w:bookmarkStart w:id="412" w:name="_Toc19872"/>
      <w:bookmarkStart w:id="413" w:name="_Toc4382"/>
      <w:r>
        <w:rPr>
          <w:rFonts w:hint="eastAsia" w:ascii="宋体" w:hAnsi="宋体" w:eastAsia="宋体" w:cs="宋体"/>
          <w:b/>
          <w:bCs w:val="0"/>
          <w:sz w:val="28"/>
          <w:szCs w:val="28"/>
          <w:lang w:val="en-US" w:eastAsia="zh-CN"/>
        </w:rPr>
        <w:t>五</w:t>
      </w:r>
      <w:r>
        <w:rPr>
          <w:rFonts w:hint="eastAsia" w:ascii="宋体" w:hAnsi="宋体" w:eastAsia="宋体" w:cs="宋体"/>
          <w:b/>
          <w:bCs w:val="0"/>
          <w:sz w:val="28"/>
          <w:szCs w:val="28"/>
          <w:lang w:val="en-US"/>
        </w:rPr>
        <w:t>、</w:t>
      </w:r>
      <w:r>
        <w:rPr>
          <w:rFonts w:hint="eastAsia" w:ascii="宋体" w:hAnsi="宋体" w:cs="宋体"/>
          <w:b/>
          <w:bCs w:val="0"/>
          <w:sz w:val="28"/>
          <w:szCs w:val="28"/>
          <w:lang w:val="en-US" w:eastAsia="zh-CN"/>
        </w:rPr>
        <w:t>磋商响应文件</w:t>
      </w:r>
      <w:r>
        <w:rPr>
          <w:rFonts w:hint="eastAsia" w:ascii="宋体" w:hAnsi="宋体" w:eastAsia="宋体" w:cs="宋体"/>
          <w:b/>
          <w:bCs w:val="0"/>
          <w:sz w:val="28"/>
          <w:szCs w:val="28"/>
          <w:lang w:val="en-US"/>
        </w:rPr>
        <w:t>的提交</w:t>
      </w:r>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p>
    <w:p w14:paraId="7F7D4560">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14.</w:t>
      </w:r>
      <w:r>
        <w:rPr>
          <w:rFonts w:hint="eastAsia" w:ascii="宋体" w:hAnsi="宋体" w:cs="宋体"/>
          <w:lang w:eastAsia="zh-CN"/>
        </w:rPr>
        <w:t>磋商响应文件</w:t>
      </w:r>
      <w:r>
        <w:rPr>
          <w:rFonts w:hint="eastAsia" w:ascii="宋体" w:hAnsi="宋体" w:eastAsia="宋体" w:cs="宋体"/>
        </w:rPr>
        <w:t>的密封、标记和递交</w:t>
      </w:r>
    </w:p>
    <w:p w14:paraId="1543848C">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14.1</w:t>
      </w:r>
      <w:r>
        <w:rPr>
          <w:rFonts w:hint="eastAsia" w:ascii="宋体" w:hAnsi="宋体" w:eastAsia="宋体" w:cs="宋体"/>
          <w:bCs/>
        </w:rPr>
        <w:t>供应商</w:t>
      </w:r>
      <w:r>
        <w:rPr>
          <w:rFonts w:hint="eastAsia" w:ascii="宋体" w:hAnsi="宋体" w:eastAsia="宋体" w:cs="宋体"/>
        </w:rPr>
        <w:t>应将</w:t>
      </w:r>
      <w:r>
        <w:rPr>
          <w:rFonts w:hint="eastAsia" w:ascii="宋体" w:hAnsi="宋体" w:cs="宋体"/>
          <w:lang w:eastAsia="zh-CN"/>
        </w:rPr>
        <w:t>磋商响应文件</w:t>
      </w:r>
      <w:r>
        <w:rPr>
          <w:rFonts w:hint="eastAsia" w:ascii="宋体" w:hAnsi="宋体" w:eastAsia="宋体" w:cs="宋体"/>
        </w:rPr>
        <w:t>的</w:t>
      </w:r>
      <w:r>
        <w:rPr>
          <w:rFonts w:hint="eastAsia" w:ascii="宋体" w:hAnsi="宋体" w:eastAsia="宋体" w:cs="宋体"/>
          <w:bCs/>
        </w:rPr>
        <w:t>正本和副本分别装订成册</w:t>
      </w:r>
      <w:r>
        <w:rPr>
          <w:rFonts w:hint="eastAsia" w:ascii="宋体" w:hAnsi="宋体" w:eastAsia="宋体" w:cs="宋体"/>
        </w:rPr>
        <w:t>，密封成一袋，并标明供应商名称、磋商项目名称及“正本”或“副本”字样。</w:t>
      </w:r>
      <w:r>
        <w:rPr>
          <w:rFonts w:hint="eastAsia" w:ascii="宋体" w:hAnsi="宋体" w:cs="宋体"/>
          <w:lang w:eastAsia="zh-CN"/>
        </w:rPr>
        <w:t>磋商响应文件</w:t>
      </w:r>
      <w:r>
        <w:rPr>
          <w:rFonts w:hint="eastAsia" w:ascii="宋体" w:hAnsi="宋体" w:eastAsia="宋体" w:cs="宋体"/>
        </w:rPr>
        <w:t>未密封将导致响应被拒绝。</w:t>
      </w:r>
    </w:p>
    <w:p w14:paraId="36053F88">
      <w:pPr>
        <w:pageBreakBefore w:val="0"/>
        <w:kinsoku/>
        <w:wordWrap/>
        <w:overflowPunct/>
        <w:topLinePunct w:val="0"/>
        <w:autoSpaceDE/>
        <w:autoSpaceDN/>
        <w:bidi w:val="0"/>
        <w:spacing w:line="312" w:lineRule="auto"/>
        <w:ind w:firstLine="562"/>
        <w:textAlignment w:val="auto"/>
        <w:rPr>
          <w:rFonts w:hint="eastAsia" w:ascii="宋体" w:hAnsi="宋体" w:eastAsia="宋体" w:cs="宋体"/>
        </w:rPr>
      </w:pPr>
      <w:r>
        <w:rPr>
          <w:rFonts w:hint="eastAsia" w:ascii="宋体" w:hAnsi="宋体" w:eastAsia="宋体" w:cs="宋体"/>
        </w:rPr>
        <w:t>14.2</w:t>
      </w:r>
      <w:r>
        <w:rPr>
          <w:rFonts w:hint="eastAsia" w:ascii="宋体" w:hAnsi="宋体" w:cs="宋体"/>
          <w:lang w:eastAsia="zh-CN"/>
        </w:rPr>
        <w:t>磋商响应文件</w:t>
      </w:r>
      <w:r>
        <w:rPr>
          <w:rFonts w:hint="eastAsia" w:ascii="宋体" w:hAnsi="宋体" w:eastAsia="宋体" w:cs="宋体"/>
        </w:rPr>
        <w:t>外封面应注明“χχ（指响应文件规定的递交截止时间）之前不得开启”的字样，并加盖供应商公章，法人代表或其授权代表签字。</w:t>
      </w:r>
    </w:p>
    <w:p w14:paraId="50E3AB50">
      <w:pPr>
        <w:pageBreakBefore w:val="0"/>
        <w:kinsoku/>
        <w:wordWrap/>
        <w:overflowPunct/>
        <w:topLinePunct w:val="0"/>
        <w:autoSpaceDE/>
        <w:autoSpaceDN/>
        <w:bidi w:val="0"/>
        <w:spacing w:line="312" w:lineRule="auto"/>
        <w:ind w:firstLine="562"/>
        <w:jc w:val="center"/>
        <w:textAlignment w:val="auto"/>
        <w:outlineLvl w:val="1"/>
        <w:rPr>
          <w:rFonts w:hint="eastAsia" w:ascii="宋体" w:hAnsi="宋体" w:eastAsia="宋体" w:cs="宋体"/>
        </w:rPr>
      </w:pPr>
      <w:bookmarkStart w:id="414" w:name="_Toc22283"/>
      <w:bookmarkStart w:id="415" w:name="_Toc8642"/>
      <w:bookmarkStart w:id="416" w:name="_Toc12002"/>
      <w:bookmarkStart w:id="417" w:name="_Toc8597"/>
      <w:bookmarkStart w:id="418" w:name="_Toc20113"/>
      <w:bookmarkStart w:id="419" w:name="_Toc28209"/>
      <w:bookmarkStart w:id="420" w:name="_Toc7503"/>
      <w:bookmarkStart w:id="421" w:name="_Toc15576"/>
      <w:bookmarkStart w:id="422" w:name="_Toc332"/>
      <w:bookmarkStart w:id="423" w:name="_Toc17891"/>
      <w:bookmarkStart w:id="424" w:name="_Toc15483"/>
      <w:bookmarkStart w:id="425" w:name="_Toc6618"/>
      <w:bookmarkStart w:id="426" w:name="_Toc30706"/>
      <w:bookmarkStart w:id="427" w:name="_Toc1786"/>
      <w:bookmarkStart w:id="428" w:name="_Toc23387"/>
      <w:bookmarkStart w:id="429" w:name="_Toc4758"/>
      <w:bookmarkStart w:id="430" w:name="_Toc9140"/>
      <w:bookmarkStart w:id="431" w:name="_Toc27247"/>
      <w:bookmarkStart w:id="432" w:name="_Toc31137"/>
      <w:bookmarkStart w:id="433" w:name="_Toc11589"/>
      <w:bookmarkStart w:id="434" w:name="_Toc18508"/>
      <w:bookmarkStart w:id="435" w:name="_Toc2133"/>
      <w:bookmarkStart w:id="436" w:name="_Toc17018"/>
      <w:bookmarkStart w:id="437" w:name="_Toc24525"/>
      <w:bookmarkStart w:id="438" w:name="_Toc3190"/>
      <w:bookmarkStart w:id="439" w:name="_Toc23231"/>
      <w:bookmarkStart w:id="440" w:name="_Toc14330"/>
      <w:bookmarkStart w:id="441" w:name="_Toc10613"/>
      <w:bookmarkStart w:id="442" w:name="_Toc31317"/>
      <w:bookmarkStart w:id="443" w:name="_Toc20970"/>
      <w:r>
        <w:rPr>
          <w:rFonts w:hint="eastAsia" w:ascii="宋体" w:hAnsi="宋体" w:eastAsia="宋体" w:cs="宋体"/>
        </w:rPr>
        <w:t>外层包装格式（密封处加盖供应商公章）</w:t>
      </w:r>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p>
    <w:tbl>
      <w:tblPr>
        <w:tblStyle w:val="38"/>
        <w:tblW w:w="9962" w:type="dxa"/>
        <w:tblInd w:w="0" w:type="dxa"/>
        <w:tblBorders>
          <w:top w:val="thinThickSmallGap" w:color="auto" w:sz="12" w:space="0"/>
          <w:left w:val="thinThickSmallGap" w:color="auto" w:sz="12" w:space="0"/>
          <w:bottom w:val="thinThickSmallGap" w:color="auto" w:sz="12" w:space="0"/>
          <w:right w:val="thinThickSmallGap" w:color="auto" w:sz="12" w:space="0"/>
          <w:insideH w:val="none" w:color="auto" w:sz="0" w:space="0"/>
          <w:insideV w:val="none" w:color="auto" w:sz="0" w:space="0"/>
        </w:tblBorders>
        <w:tblLayout w:type="fixed"/>
        <w:tblCellMar>
          <w:top w:w="0" w:type="dxa"/>
          <w:left w:w="108" w:type="dxa"/>
          <w:bottom w:w="0" w:type="dxa"/>
          <w:right w:w="108" w:type="dxa"/>
        </w:tblCellMar>
      </w:tblPr>
      <w:tblGrid>
        <w:gridCol w:w="9962"/>
      </w:tblGrid>
      <w:tr w14:paraId="435EC138">
        <w:tblPrEx>
          <w:tblBorders>
            <w:top w:val="thinThickSmallGap" w:color="auto" w:sz="12" w:space="0"/>
            <w:left w:val="thinThickSmallGap" w:color="auto" w:sz="12" w:space="0"/>
            <w:bottom w:val="thinThickSmallGap" w:color="auto" w:sz="12" w:space="0"/>
            <w:right w:val="thinThickSmallGap" w:color="auto" w:sz="12"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962" w:type="dxa"/>
            <w:vAlign w:val="center"/>
          </w:tcPr>
          <w:p w14:paraId="3DFD1840">
            <w:pPr>
              <w:keepNext w:val="0"/>
              <w:keepLines w:val="0"/>
              <w:pageBreakBefore w:val="0"/>
              <w:suppressLineNumbers w:val="0"/>
              <w:kinsoku/>
              <w:wordWrap/>
              <w:overflowPunct/>
              <w:topLinePunct w:val="0"/>
              <w:autoSpaceDE/>
              <w:autoSpaceDN/>
              <w:bidi w:val="0"/>
              <w:snapToGrid w:val="0"/>
              <w:spacing w:before="0" w:beforeAutospacing="0" w:after="0" w:afterAutospacing="0" w:line="312" w:lineRule="auto"/>
              <w:ind w:left="0" w:right="0" w:firstLine="482" w:firstLineChars="200"/>
              <w:jc w:val="center"/>
              <w:textAlignment w:val="auto"/>
              <w:rPr>
                <w:rFonts w:hint="eastAsia" w:ascii="宋体" w:hAnsi="宋体" w:cs="宋体"/>
                <w:b/>
                <w:bCs/>
                <w:lang w:val="en-US" w:eastAsia="zh-CN"/>
              </w:rPr>
            </w:pPr>
            <w:r>
              <w:rPr>
                <w:rFonts w:hint="eastAsia" w:ascii="宋体" w:hAnsi="宋体" w:cs="宋体"/>
                <w:b/>
                <w:bCs/>
                <w:lang w:val="zh-CN"/>
              </w:rPr>
              <w:t>小南海镇周红坂村老年活动中心及厨房改造采购项目</w:t>
            </w:r>
            <w:r>
              <w:rPr>
                <w:rFonts w:hint="eastAsia" w:ascii="宋体" w:hAnsi="宋体" w:cs="宋体"/>
                <w:b/>
                <w:bCs/>
                <w:lang w:val="en-US" w:eastAsia="zh-CN"/>
              </w:rPr>
              <w:t xml:space="preserve">             </w:t>
            </w:r>
          </w:p>
          <w:p w14:paraId="7670BBF9">
            <w:pPr>
              <w:keepNext w:val="0"/>
              <w:keepLines w:val="0"/>
              <w:pageBreakBefore w:val="0"/>
              <w:suppressLineNumbers w:val="0"/>
              <w:kinsoku/>
              <w:wordWrap/>
              <w:overflowPunct/>
              <w:topLinePunct w:val="0"/>
              <w:autoSpaceDE/>
              <w:autoSpaceDN/>
              <w:bidi w:val="0"/>
              <w:snapToGrid w:val="0"/>
              <w:spacing w:before="0" w:beforeAutospacing="0" w:after="0" w:afterAutospacing="0" w:line="312" w:lineRule="auto"/>
              <w:ind w:left="0" w:right="0" w:firstLine="482" w:firstLineChars="200"/>
              <w:jc w:val="center"/>
              <w:textAlignment w:val="auto"/>
              <w:rPr>
                <w:rFonts w:hint="eastAsia" w:ascii="宋体" w:hAnsi="宋体" w:eastAsia="宋体" w:cs="宋体"/>
                <w:b/>
                <w:bCs/>
                <w:lang w:val="zh-CN"/>
              </w:rPr>
            </w:pPr>
            <w:r>
              <w:rPr>
                <w:rFonts w:hint="eastAsia" w:ascii="宋体" w:hAnsi="宋体" w:cs="宋体"/>
                <w:b/>
                <w:bCs/>
                <w:lang w:val="zh-CN"/>
              </w:rPr>
              <w:t>磋商响应文件</w:t>
            </w:r>
          </w:p>
          <w:p w14:paraId="46F6BE42">
            <w:pPr>
              <w:keepNext w:val="0"/>
              <w:keepLines w:val="0"/>
              <w:pageBreakBefore w:val="0"/>
              <w:suppressLineNumbers w:val="0"/>
              <w:kinsoku/>
              <w:wordWrap/>
              <w:overflowPunct/>
              <w:topLinePunct w:val="0"/>
              <w:autoSpaceDE/>
              <w:autoSpaceDN/>
              <w:bidi w:val="0"/>
              <w:snapToGrid w:val="0"/>
              <w:spacing w:before="0" w:beforeAutospacing="0" w:after="0" w:afterAutospacing="0" w:line="312" w:lineRule="auto"/>
              <w:ind w:left="0" w:right="0" w:firstLine="480" w:firstLineChars="200"/>
              <w:jc w:val="center"/>
              <w:textAlignment w:val="auto"/>
              <w:rPr>
                <w:rFonts w:hint="eastAsia" w:ascii="宋体" w:hAnsi="宋体" w:eastAsia="宋体" w:cs="宋体"/>
                <w:b w:val="0"/>
                <w:bCs w:val="0"/>
                <w:color w:val="000000"/>
              </w:rPr>
            </w:pPr>
            <w:r>
              <w:rPr>
                <w:rFonts w:hint="eastAsia" w:ascii="宋体" w:hAnsi="宋体" w:cs="宋体"/>
                <w:b w:val="0"/>
                <w:bCs w:val="0"/>
                <w:lang w:val="en-US" w:eastAsia="zh-CN"/>
              </w:rPr>
              <w:t>（</w:t>
            </w:r>
            <w:r>
              <w:rPr>
                <w:rFonts w:hint="eastAsia" w:ascii="宋体" w:hAnsi="宋体" w:eastAsia="宋体" w:cs="宋体"/>
                <w:b w:val="0"/>
                <w:bCs w:val="0"/>
                <w:lang w:val="en-US" w:eastAsia="zh-CN"/>
              </w:rPr>
              <w:t>资格部分</w:t>
            </w:r>
            <w:r>
              <w:rPr>
                <w:rFonts w:hint="eastAsia" w:ascii="宋体" w:hAnsi="宋体" w:cs="宋体"/>
                <w:b w:val="0"/>
                <w:bCs w:val="0"/>
                <w:lang w:val="en-US" w:eastAsia="zh-CN"/>
              </w:rPr>
              <w:t>、资信商务技术部分、</w:t>
            </w:r>
            <w:r>
              <w:rPr>
                <w:rFonts w:hint="eastAsia" w:ascii="宋体" w:hAnsi="宋体" w:eastAsia="宋体" w:cs="宋体"/>
                <w:b w:val="0"/>
                <w:bCs w:val="0"/>
                <w:lang w:val="en-US" w:eastAsia="zh-CN"/>
              </w:rPr>
              <w:t>报价部分</w:t>
            </w:r>
            <w:r>
              <w:rPr>
                <w:rFonts w:hint="eastAsia" w:ascii="宋体" w:hAnsi="宋体" w:cs="宋体"/>
                <w:b w:val="0"/>
                <w:bCs w:val="0"/>
                <w:lang w:val="en-US" w:eastAsia="zh-CN"/>
              </w:rPr>
              <w:t>）</w:t>
            </w:r>
          </w:p>
          <w:p w14:paraId="0460A9F2">
            <w:pPr>
              <w:keepNext w:val="0"/>
              <w:keepLines w:val="0"/>
              <w:pageBreakBefore w:val="0"/>
              <w:suppressLineNumbers w:val="0"/>
              <w:kinsoku/>
              <w:wordWrap/>
              <w:overflowPunct/>
              <w:topLinePunct w:val="0"/>
              <w:autoSpaceDE/>
              <w:autoSpaceDN/>
              <w:bidi w:val="0"/>
              <w:snapToGrid w:val="0"/>
              <w:spacing w:before="0" w:beforeAutospacing="0" w:after="0" w:afterAutospacing="0" w:line="312" w:lineRule="auto"/>
              <w:ind w:left="0" w:right="0" w:firstLine="480" w:firstLineChars="200"/>
              <w:textAlignment w:val="auto"/>
              <w:rPr>
                <w:rFonts w:hint="eastAsia" w:ascii="宋体" w:hAnsi="宋体" w:eastAsia="宋体" w:cs="宋体"/>
                <w:color w:val="000000"/>
              </w:rPr>
            </w:pPr>
            <w:r>
              <w:rPr>
                <w:rFonts w:hint="eastAsia" w:ascii="宋体" w:hAnsi="宋体" w:eastAsia="宋体" w:cs="宋体"/>
                <w:color w:val="000000"/>
              </w:rPr>
              <w:t xml:space="preserve">项目编号： </w:t>
            </w:r>
          </w:p>
          <w:p w14:paraId="2799FCA3">
            <w:pPr>
              <w:keepNext w:val="0"/>
              <w:keepLines w:val="0"/>
              <w:pageBreakBefore w:val="0"/>
              <w:suppressLineNumbers w:val="0"/>
              <w:kinsoku/>
              <w:wordWrap/>
              <w:overflowPunct/>
              <w:topLinePunct w:val="0"/>
              <w:autoSpaceDE/>
              <w:autoSpaceDN/>
              <w:bidi w:val="0"/>
              <w:snapToGrid w:val="0"/>
              <w:spacing w:before="0" w:beforeAutospacing="0" w:after="0" w:afterAutospacing="0" w:line="312" w:lineRule="auto"/>
              <w:ind w:left="0" w:right="0" w:firstLine="480" w:firstLineChars="200"/>
              <w:textAlignment w:val="auto"/>
              <w:rPr>
                <w:rFonts w:hint="eastAsia" w:ascii="宋体" w:hAnsi="宋体" w:eastAsia="宋体" w:cs="宋体"/>
                <w:color w:val="000000"/>
              </w:rPr>
            </w:pPr>
            <w:r>
              <w:rPr>
                <w:rFonts w:hint="eastAsia" w:ascii="宋体" w:hAnsi="宋体" w:eastAsia="宋体" w:cs="宋体"/>
                <w:color w:val="000000"/>
              </w:rPr>
              <w:t>供应商名称：（盖章）</w:t>
            </w:r>
          </w:p>
          <w:p w14:paraId="165A7F02">
            <w:pPr>
              <w:keepNext w:val="0"/>
              <w:keepLines w:val="0"/>
              <w:pageBreakBefore w:val="0"/>
              <w:suppressLineNumbers w:val="0"/>
              <w:kinsoku/>
              <w:wordWrap/>
              <w:overflowPunct/>
              <w:topLinePunct w:val="0"/>
              <w:autoSpaceDE/>
              <w:autoSpaceDN/>
              <w:bidi w:val="0"/>
              <w:snapToGrid w:val="0"/>
              <w:spacing w:before="0" w:beforeAutospacing="0" w:after="0" w:afterAutospacing="0" w:line="312" w:lineRule="auto"/>
              <w:ind w:left="0" w:right="0" w:firstLine="480" w:firstLineChars="200"/>
              <w:textAlignment w:val="auto"/>
              <w:rPr>
                <w:rFonts w:hint="eastAsia" w:ascii="宋体" w:hAnsi="宋体" w:eastAsia="宋体" w:cs="宋体"/>
                <w:color w:val="000000"/>
              </w:rPr>
            </w:pPr>
            <w:r>
              <w:rPr>
                <w:rFonts w:hint="eastAsia" w:ascii="宋体" w:hAnsi="宋体" w:eastAsia="宋体" w:cs="宋体"/>
                <w:color w:val="000000"/>
              </w:rPr>
              <w:t>法定代表人或授权委托人（签字或盖章）</w:t>
            </w:r>
          </w:p>
          <w:p w14:paraId="2D350948">
            <w:pPr>
              <w:keepNext w:val="0"/>
              <w:keepLines w:val="0"/>
              <w:pageBreakBefore w:val="0"/>
              <w:suppressLineNumbers w:val="0"/>
              <w:kinsoku/>
              <w:wordWrap/>
              <w:overflowPunct/>
              <w:topLinePunct w:val="0"/>
              <w:autoSpaceDE/>
              <w:autoSpaceDN/>
              <w:bidi w:val="0"/>
              <w:snapToGrid w:val="0"/>
              <w:spacing w:before="0" w:beforeAutospacing="0" w:after="0" w:afterAutospacing="0" w:line="312" w:lineRule="auto"/>
              <w:ind w:left="0" w:right="0" w:firstLine="480" w:firstLineChars="200"/>
              <w:textAlignment w:val="auto"/>
              <w:rPr>
                <w:rFonts w:hint="eastAsia" w:ascii="宋体" w:hAnsi="宋体" w:eastAsia="宋体" w:cs="宋体"/>
                <w:color w:val="000000"/>
              </w:rPr>
            </w:pPr>
            <w:r>
              <w:rPr>
                <w:rFonts w:hint="eastAsia" w:ascii="宋体" w:hAnsi="宋体" w:eastAsia="宋体" w:cs="宋体"/>
                <w:color w:val="000000"/>
              </w:rPr>
              <w:t>供应商地址：</w:t>
            </w:r>
          </w:p>
          <w:p w14:paraId="36BB0876">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firstLine="562"/>
              <w:jc w:val="center"/>
              <w:textAlignment w:val="auto"/>
              <w:rPr>
                <w:rFonts w:hint="eastAsia" w:ascii="宋体" w:hAnsi="宋体" w:eastAsia="宋体" w:cs="宋体"/>
              </w:rPr>
            </w:pPr>
            <w:r>
              <w:rPr>
                <w:rFonts w:hint="eastAsia" w:ascii="宋体" w:hAnsi="宋体" w:eastAsia="宋体" w:cs="宋体"/>
                <w:color w:val="000000"/>
              </w:rPr>
              <w:t>在</w:t>
            </w:r>
            <w:r>
              <w:rPr>
                <w:rFonts w:hint="eastAsia" w:ascii="宋体" w:hAnsi="宋体" w:eastAsia="宋体" w:cs="宋体"/>
              </w:rPr>
              <w:t xml:space="preserve">  年  月  日  时  分之前不得启封</w:t>
            </w:r>
          </w:p>
        </w:tc>
      </w:tr>
    </w:tbl>
    <w:p w14:paraId="26EC82D3">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14.3如果未按上述规定进行密封和标记，采购人将不承担由此造成的对</w:t>
      </w:r>
      <w:r>
        <w:rPr>
          <w:rFonts w:hint="eastAsia" w:ascii="宋体" w:hAnsi="宋体" w:cs="宋体"/>
          <w:lang w:eastAsia="zh-CN"/>
        </w:rPr>
        <w:t>磋商响应文件</w:t>
      </w:r>
      <w:r>
        <w:rPr>
          <w:rFonts w:hint="eastAsia" w:ascii="宋体" w:hAnsi="宋体" w:eastAsia="宋体" w:cs="宋体"/>
        </w:rPr>
        <w:t>的拒绝或提前拆封的责任。</w:t>
      </w:r>
    </w:p>
    <w:p w14:paraId="05FA04A2">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14.4</w:t>
      </w:r>
      <w:r>
        <w:rPr>
          <w:rFonts w:hint="eastAsia" w:ascii="宋体" w:hAnsi="宋体" w:cs="宋体"/>
          <w:lang w:eastAsia="zh-CN"/>
        </w:rPr>
        <w:t>磋商响应文件</w:t>
      </w:r>
      <w:r>
        <w:rPr>
          <w:rFonts w:hint="eastAsia" w:ascii="宋体" w:hAnsi="宋体" w:eastAsia="宋体" w:cs="宋体"/>
        </w:rPr>
        <w:t>应在公告中规定的截止时间前送达，</w:t>
      </w:r>
      <w:r>
        <w:rPr>
          <w:rFonts w:hint="eastAsia" w:ascii="宋体" w:hAnsi="宋体" w:eastAsia="宋体" w:cs="宋体"/>
          <w:lang w:val="en-US" w:eastAsia="zh-CN"/>
        </w:rPr>
        <w:t>逾期送达</w:t>
      </w:r>
      <w:r>
        <w:rPr>
          <w:rFonts w:hint="eastAsia" w:ascii="宋体" w:hAnsi="宋体" w:eastAsia="宋体" w:cs="宋体"/>
        </w:rPr>
        <w:t>的</w:t>
      </w:r>
      <w:r>
        <w:rPr>
          <w:rFonts w:hint="eastAsia" w:ascii="宋体" w:hAnsi="宋体" w:cs="宋体"/>
          <w:lang w:eastAsia="zh-CN"/>
        </w:rPr>
        <w:t>磋商响应文件</w:t>
      </w:r>
      <w:r>
        <w:rPr>
          <w:rFonts w:hint="eastAsia" w:ascii="宋体" w:hAnsi="宋体" w:eastAsia="宋体" w:cs="宋体"/>
        </w:rPr>
        <w:t>为无效</w:t>
      </w:r>
      <w:r>
        <w:rPr>
          <w:rFonts w:hint="eastAsia" w:ascii="宋体" w:hAnsi="宋体" w:cs="宋体"/>
          <w:lang w:eastAsia="zh-CN"/>
        </w:rPr>
        <w:t>磋商响应文件，</w:t>
      </w:r>
      <w:r>
        <w:rPr>
          <w:rFonts w:hint="eastAsia" w:ascii="宋体" w:hAnsi="宋体" w:eastAsia="宋体" w:cs="宋体"/>
        </w:rPr>
        <w:t>将被拒收。</w:t>
      </w:r>
    </w:p>
    <w:p w14:paraId="6AB65D0F">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14.5</w:t>
      </w:r>
      <w:r>
        <w:rPr>
          <w:rFonts w:hint="eastAsia" w:ascii="宋体" w:hAnsi="宋体" w:eastAsia="宋体" w:cs="宋体"/>
          <w:bCs/>
        </w:rPr>
        <w:t>供应商</w:t>
      </w:r>
      <w:r>
        <w:rPr>
          <w:rFonts w:hint="eastAsia" w:ascii="宋体" w:hAnsi="宋体" w:eastAsia="宋体" w:cs="宋体"/>
        </w:rPr>
        <w:t>在响应截止时间前，可以对所提交的</w:t>
      </w:r>
      <w:r>
        <w:rPr>
          <w:rFonts w:hint="eastAsia" w:ascii="宋体" w:hAnsi="宋体" w:cs="宋体"/>
          <w:lang w:eastAsia="zh-CN"/>
        </w:rPr>
        <w:t>磋商响应文件</w:t>
      </w:r>
      <w:r>
        <w:rPr>
          <w:rFonts w:hint="eastAsia" w:ascii="宋体" w:hAnsi="宋体" w:eastAsia="宋体" w:cs="宋体"/>
        </w:rPr>
        <w:t>进行修改或者撤回，并书面通知采购人。修改的内容和撤回通知应当按本须知要求签署、盖章、密封，并作为</w:t>
      </w:r>
      <w:r>
        <w:rPr>
          <w:rFonts w:hint="eastAsia" w:ascii="宋体" w:hAnsi="宋体" w:cs="宋体"/>
          <w:lang w:eastAsia="zh-CN"/>
        </w:rPr>
        <w:t>磋商响应文件</w:t>
      </w:r>
      <w:r>
        <w:rPr>
          <w:rFonts w:hint="eastAsia" w:ascii="宋体" w:hAnsi="宋体" w:eastAsia="宋体" w:cs="宋体"/>
        </w:rPr>
        <w:t>的组成部分。</w:t>
      </w:r>
    </w:p>
    <w:p w14:paraId="761A8C3D">
      <w:pPr>
        <w:pStyle w:val="2"/>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lang w:val="en-US"/>
        </w:rPr>
      </w:pPr>
      <w:bookmarkStart w:id="444" w:name="_Toc142"/>
      <w:bookmarkStart w:id="445" w:name="_Toc12241"/>
      <w:bookmarkStart w:id="446" w:name="_Toc22460"/>
      <w:bookmarkStart w:id="447" w:name="_Toc30812"/>
      <w:bookmarkStart w:id="448" w:name="_Toc14187"/>
      <w:bookmarkStart w:id="449" w:name="_Toc25143"/>
      <w:bookmarkStart w:id="450" w:name="_Toc9748"/>
      <w:bookmarkStart w:id="451" w:name="_Toc12914"/>
      <w:bookmarkStart w:id="452" w:name="_Toc7875"/>
      <w:bookmarkStart w:id="453" w:name="_Toc28965"/>
      <w:bookmarkStart w:id="454" w:name="_Toc22970"/>
      <w:bookmarkStart w:id="455" w:name="_Toc20775"/>
      <w:bookmarkStart w:id="456" w:name="_Toc22130"/>
      <w:bookmarkStart w:id="457" w:name="_Toc24177"/>
      <w:bookmarkStart w:id="458" w:name="_Toc23856"/>
      <w:bookmarkStart w:id="459" w:name="_Toc25660"/>
      <w:bookmarkStart w:id="460" w:name="_Toc9318"/>
      <w:bookmarkStart w:id="461" w:name="_Toc24662"/>
      <w:bookmarkStart w:id="462" w:name="_Toc11937"/>
      <w:bookmarkStart w:id="463" w:name="_Toc28947"/>
      <w:bookmarkStart w:id="464" w:name="_Toc1573"/>
      <w:bookmarkStart w:id="465" w:name="_Toc11986"/>
      <w:bookmarkStart w:id="466" w:name="_Toc391298959"/>
      <w:bookmarkStart w:id="467" w:name="_Toc30721"/>
      <w:bookmarkStart w:id="468" w:name="_Toc9753"/>
      <w:bookmarkStart w:id="469" w:name="_Toc22066"/>
      <w:bookmarkStart w:id="470" w:name="_Toc544"/>
      <w:bookmarkStart w:id="471" w:name="_Toc27912"/>
      <w:bookmarkStart w:id="472" w:name="_Toc4335"/>
      <w:bookmarkStart w:id="473" w:name="_Toc22611"/>
      <w:bookmarkStart w:id="474" w:name="_Toc2080"/>
      <w:bookmarkStart w:id="475" w:name="_Toc19227"/>
      <w:bookmarkStart w:id="476" w:name="_Toc22867"/>
      <w:bookmarkStart w:id="477" w:name="_Toc26527"/>
      <w:bookmarkStart w:id="478" w:name="_Toc8551"/>
      <w:bookmarkStart w:id="479" w:name="_Toc3636"/>
      <w:bookmarkStart w:id="480" w:name="_Toc27745"/>
      <w:bookmarkStart w:id="481" w:name="_Toc804"/>
      <w:bookmarkStart w:id="482" w:name="_Toc24759"/>
      <w:r>
        <w:rPr>
          <w:rFonts w:hint="eastAsia" w:ascii="宋体" w:hAnsi="宋体" w:eastAsia="宋体" w:cs="宋体"/>
          <w:b/>
          <w:bCs w:val="0"/>
          <w:sz w:val="28"/>
          <w:szCs w:val="28"/>
          <w:lang w:val="en-US" w:eastAsia="zh-CN"/>
        </w:rPr>
        <w:t>六</w:t>
      </w:r>
      <w:r>
        <w:rPr>
          <w:rFonts w:hint="eastAsia" w:ascii="宋体" w:hAnsi="宋体" w:eastAsia="宋体" w:cs="宋体"/>
          <w:b/>
          <w:bCs w:val="0"/>
          <w:sz w:val="28"/>
          <w:szCs w:val="28"/>
          <w:lang w:val="en-US"/>
        </w:rPr>
        <w:t>、</w:t>
      </w:r>
      <w:r>
        <w:rPr>
          <w:rFonts w:hint="eastAsia" w:ascii="宋体" w:hAnsi="宋体" w:cs="宋体"/>
          <w:b/>
          <w:bCs w:val="0"/>
          <w:sz w:val="28"/>
          <w:szCs w:val="28"/>
          <w:lang w:val="en-US" w:eastAsia="zh-CN"/>
        </w:rPr>
        <w:t>磋商响应文件</w:t>
      </w:r>
      <w:r>
        <w:rPr>
          <w:rFonts w:hint="eastAsia" w:ascii="宋体" w:hAnsi="宋体" w:eastAsia="宋体" w:cs="宋体"/>
          <w:b/>
          <w:bCs w:val="0"/>
          <w:sz w:val="28"/>
          <w:szCs w:val="28"/>
          <w:lang w:val="en-US"/>
        </w:rPr>
        <w:t>的评审</w:t>
      </w:r>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p>
    <w:p w14:paraId="5CC8D4E9">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15.评审、磋商时间</w:t>
      </w:r>
    </w:p>
    <w:p w14:paraId="60177F70">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15.1 在</w:t>
      </w:r>
      <w:r>
        <w:rPr>
          <w:rFonts w:hint="eastAsia" w:ascii="宋体" w:hAnsi="宋体" w:eastAsia="宋体" w:cs="宋体"/>
          <w:bCs/>
        </w:rPr>
        <w:t>磋商公告</w:t>
      </w:r>
      <w:r>
        <w:rPr>
          <w:rFonts w:hint="eastAsia" w:ascii="宋体" w:hAnsi="宋体" w:eastAsia="宋体" w:cs="宋体"/>
        </w:rPr>
        <w:t>中所规定的时间、地点评审。</w:t>
      </w:r>
    </w:p>
    <w:p w14:paraId="13486000">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15.2 开标会议由</w:t>
      </w:r>
      <w:r>
        <w:rPr>
          <w:rFonts w:hint="eastAsia" w:ascii="宋体" w:hAnsi="宋体" w:cs="宋体"/>
          <w:lang w:eastAsia="zh-CN"/>
        </w:rPr>
        <w:t>采购代理机构</w:t>
      </w:r>
      <w:r>
        <w:rPr>
          <w:rFonts w:hint="eastAsia" w:ascii="宋体" w:hAnsi="宋体" w:eastAsia="宋体" w:cs="宋体"/>
        </w:rPr>
        <w:t>主持，采购人、供应商和有关方面代表参加，并签到。所有</w:t>
      </w:r>
      <w:r>
        <w:rPr>
          <w:rFonts w:hint="eastAsia" w:ascii="宋体" w:hAnsi="宋体" w:eastAsia="宋体" w:cs="宋体"/>
          <w:bCs/>
        </w:rPr>
        <w:t>供应商</w:t>
      </w:r>
      <w:r>
        <w:rPr>
          <w:rFonts w:hint="eastAsia" w:ascii="宋体" w:hAnsi="宋体" w:eastAsia="宋体" w:cs="宋体"/>
        </w:rPr>
        <w:t>应派拟任项目负责人或授权代表参加磋商。（供应商授权代表参加开标的须携带身份证原件、授权委托书到开标现场备查）。</w:t>
      </w:r>
    </w:p>
    <w:p w14:paraId="297F2A98">
      <w:pPr>
        <w:pageBreakBefore w:val="0"/>
        <w:kinsoku/>
        <w:wordWrap/>
        <w:overflowPunct/>
        <w:topLinePunct w:val="0"/>
        <w:autoSpaceDE/>
        <w:autoSpaceDN/>
        <w:bidi w:val="0"/>
        <w:spacing w:line="312" w:lineRule="auto"/>
        <w:ind w:firstLine="480"/>
        <w:textAlignment w:val="auto"/>
        <w:rPr>
          <w:rFonts w:hint="eastAsia" w:ascii="宋体" w:hAnsi="宋体" w:eastAsia="宋体" w:cs="宋体"/>
          <w:bCs/>
        </w:rPr>
      </w:pPr>
      <w:r>
        <w:rPr>
          <w:rFonts w:hint="eastAsia" w:ascii="宋体" w:hAnsi="宋体" w:eastAsia="宋体" w:cs="宋体"/>
          <w:bCs/>
        </w:rPr>
        <w:t>15.3 记录人将开标一览表内容分项记录，由供应商法定代表人或授权代表签字确认。</w:t>
      </w:r>
    </w:p>
    <w:p w14:paraId="1037214C">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16.组建磋商小组</w:t>
      </w:r>
    </w:p>
    <w:p w14:paraId="3189C207">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16.1采购人根据项目的特点依法组建磋商小组，磋商小组成员共3人。磋商小组负责对</w:t>
      </w:r>
      <w:r>
        <w:rPr>
          <w:rFonts w:hint="eastAsia" w:ascii="宋体" w:hAnsi="宋体" w:cs="宋体"/>
          <w:lang w:eastAsia="zh-CN"/>
        </w:rPr>
        <w:t>磋商响应文件</w:t>
      </w:r>
      <w:r>
        <w:rPr>
          <w:rFonts w:hint="eastAsia" w:ascii="宋体" w:hAnsi="宋体" w:eastAsia="宋体" w:cs="宋体"/>
        </w:rPr>
        <w:t>进行评审和比较，并出具评审结果。</w:t>
      </w:r>
    </w:p>
    <w:p w14:paraId="7C8D8C60">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 xml:space="preserve">17.资格性检查和符合性检查 </w:t>
      </w:r>
    </w:p>
    <w:p w14:paraId="4DCB5C41">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17.1资格性检查。依据法律法规和竞争性磋商文件的规定，在对</w:t>
      </w:r>
      <w:r>
        <w:rPr>
          <w:rFonts w:hint="eastAsia" w:ascii="宋体" w:hAnsi="宋体" w:cs="宋体"/>
          <w:lang w:eastAsia="zh-CN"/>
        </w:rPr>
        <w:t>磋商响应文件</w:t>
      </w:r>
      <w:r>
        <w:rPr>
          <w:rFonts w:hint="eastAsia" w:ascii="宋体" w:hAnsi="宋体" w:eastAsia="宋体" w:cs="宋体"/>
        </w:rPr>
        <w:t>详细评估之前，磋商小组将依据</w:t>
      </w:r>
      <w:r>
        <w:rPr>
          <w:rFonts w:hint="eastAsia" w:ascii="宋体" w:hAnsi="宋体" w:eastAsia="宋体" w:cs="宋体"/>
          <w:bCs/>
        </w:rPr>
        <w:t>供应商</w:t>
      </w:r>
      <w:r>
        <w:rPr>
          <w:rFonts w:hint="eastAsia" w:ascii="宋体" w:hAnsi="宋体" w:eastAsia="宋体" w:cs="宋体"/>
        </w:rPr>
        <w:t>提交的</w:t>
      </w:r>
      <w:r>
        <w:rPr>
          <w:rFonts w:hint="eastAsia" w:ascii="宋体" w:hAnsi="宋体" w:cs="宋体"/>
          <w:lang w:eastAsia="zh-CN"/>
        </w:rPr>
        <w:t>磋商响应文件</w:t>
      </w:r>
      <w:r>
        <w:rPr>
          <w:rFonts w:hint="eastAsia" w:ascii="宋体" w:hAnsi="宋体" w:eastAsia="宋体" w:cs="宋体"/>
        </w:rPr>
        <w:t>按</w:t>
      </w:r>
      <w:r>
        <w:rPr>
          <w:rFonts w:hint="eastAsia" w:ascii="宋体" w:hAnsi="宋体" w:eastAsia="宋体" w:cs="宋体"/>
          <w:bCs/>
        </w:rPr>
        <w:t>供应商</w:t>
      </w:r>
      <w:r>
        <w:rPr>
          <w:rFonts w:hint="eastAsia" w:ascii="宋体" w:hAnsi="宋体" w:eastAsia="宋体" w:cs="宋体"/>
        </w:rPr>
        <w:t>须知前附表所述的资格标准对供应商进行资格审查。如果</w:t>
      </w:r>
      <w:r>
        <w:rPr>
          <w:rFonts w:hint="eastAsia" w:ascii="宋体" w:hAnsi="宋体" w:eastAsia="宋体" w:cs="宋体"/>
          <w:bCs/>
        </w:rPr>
        <w:t>供应商</w:t>
      </w:r>
      <w:r>
        <w:rPr>
          <w:rFonts w:hint="eastAsia" w:ascii="宋体" w:hAnsi="宋体" w:eastAsia="宋体" w:cs="宋体"/>
        </w:rPr>
        <w:t>不满足竞争性磋商文件所规定的资格标准或提供资格证明文件不全的</w:t>
      </w:r>
      <w:r>
        <w:rPr>
          <w:rFonts w:hint="eastAsia" w:ascii="宋体" w:hAnsi="宋体" w:cs="宋体"/>
          <w:lang w:eastAsia="zh-CN"/>
        </w:rPr>
        <w:t>，</w:t>
      </w:r>
      <w:r>
        <w:rPr>
          <w:rFonts w:hint="eastAsia" w:ascii="宋体" w:hAnsi="宋体" w:eastAsia="宋体" w:cs="宋体"/>
        </w:rPr>
        <w:t>其</w:t>
      </w:r>
      <w:r>
        <w:rPr>
          <w:rFonts w:hint="eastAsia" w:ascii="宋体" w:hAnsi="宋体" w:cs="宋体"/>
          <w:lang w:eastAsia="zh-CN"/>
        </w:rPr>
        <w:t>磋商响应文件</w:t>
      </w:r>
      <w:r>
        <w:rPr>
          <w:rFonts w:hint="eastAsia" w:ascii="宋体" w:hAnsi="宋体" w:eastAsia="宋体" w:cs="宋体"/>
        </w:rPr>
        <w:t>将被否决。</w:t>
      </w:r>
    </w:p>
    <w:p w14:paraId="68C8E508">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17.2符合性检查。依据竞争性磋商文件的规定，磋商小组还将从</w:t>
      </w:r>
      <w:r>
        <w:rPr>
          <w:rFonts w:hint="eastAsia" w:ascii="宋体" w:hAnsi="宋体" w:cs="宋体"/>
          <w:lang w:eastAsia="zh-CN"/>
        </w:rPr>
        <w:t>磋商响应文件</w:t>
      </w:r>
      <w:r>
        <w:rPr>
          <w:rFonts w:hint="eastAsia" w:ascii="宋体" w:hAnsi="宋体" w:eastAsia="宋体" w:cs="宋体"/>
        </w:rPr>
        <w:t>的有效性、完整性和对竞争性磋商文件的响应程度进行审查，以确定是否符合对竞争性磋商文件的实质性要求做出响应。实质性偏离是指：(1)实质性影响合同规定的范围、质量；(2)实质性违背竞争性磋商文件，限制了采购人的权利和供应商合同项下的义务；(3)不公正地影响</w:t>
      </w:r>
      <w:r>
        <w:rPr>
          <w:rFonts w:hint="eastAsia" w:ascii="宋体" w:hAnsi="宋体" w:cs="宋体"/>
          <w:lang w:eastAsia="zh-CN"/>
        </w:rPr>
        <w:t>了其他</w:t>
      </w:r>
      <w:r>
        <w:rPr>
          <w:rFonts w:hint="eastAsia" w:ascii="宋体" w:hAnsi="宋体" w:eastAsia="宋体" w:cs="宋体"/>
        </w:rPr>
        <w:t>做出实质性响应的供应商的竞争地位。对没有实质性响应的</w:t>
      </w:r>
      <w:r>
        <w:rPr>
          <w:rFonts w:hint="eastAsia" w:ascii="宋体" w:hAnsi="宋体" w:cs="宋体"/>
          <w:lang w:eastAsia="zh-CN"/>
        </w:rPr>
        <w:t>磋商响应文件</w:t>
      </w:r>
      <w:r>
        <w:rPr>
          <w:rFonts w:hint="eastAsia" w:ascii="宋体" w:hAnsi="宋体" w:eastAsia="宋体" w:cs="宋体"/>
        </w:rPr>
        <w:t>将不进行详细评审，其磋商响应性文件将被否决。</w:t>
      </w:r>
    </w:p>
    <w:p w14:paraId="484ECA19">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18.</w:t>
      </w:r>
      <w:r>
        <w:rPr>
          <w:rFonts w:hint="eastAsia" w:ascii="宋体" w:hAnsi="宋体" w:cs="宋体"/>
          <w:lang w:eastAsia="zh-CN"/>
        </w:rPr>
        <w:t>磋商响应文件</w:t>
      </w:r>
      <w:r>
        <w:rPr>
          <w:rFonts w:hint="eastAsia" w:ascii="宋体" w:hAnsi="宋体" w:eastAsia="宋体" w:cs="宋体"/>
        </w:rPr>
        <w:t>的详细评审</w:t>
      </w:r>
    </w:p>
    <w:p w14:paraId="34C13D3B">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18.1对所有</w:t>
      </w:r>
      <w:r>
        <w:rPr>
          <w:rFonts w:hint="eastAsia" w:ascii="宋体" w:hAnsi="宋体" w:eastAsia="宋体" w:cs="宋体"/>
          <w:bCs/>
        </w:rPr>
        <w:t>供应商</w:t>
      </w:r>
      <w:r>
        <w:rPr>
          <w:rFonts w:hint="eastAsia" w:ascii="宋体" w:hAnsi="宋体" w:eastAsia="宋体" w:cs="宋体"/>
        </w:rPr>
        <w:t>的评审，都采用相同的程序和标准。评审过程将严格按照竞争性磋商文件的要求和规定进行。</w:t>
      </w:r>
    </w:p>
    <w:p w14:paraId="2F1345B3">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18.2有关</w:t>
      </w:r>
      <w:r>
        <w:rPr>
          <w:rFonts w:hint="eastAsia" w:ascii="宋体" w:hAnsi="宋体" w:cs="宋体"/>
          <w:lang w:eastAsia="zh-CN"/>
        </w:rPr>
        <w:t>磋商响应文件</w:t>
      </w:r>
      <w:r>
        <w:rPr>
          <w:rFonts w:hint="eastAsia" w:ascii="宋体" w:hAnsi="宋体" w:eastAsia="宋体" w:cs="宋体"/>
        </w:rPr>
        <w:t>的审查、评估和比较以及推荐成交候选人的一切情况都不得透露给任何</w:t>
      </w:r>
      <w:r>
        <w:rPr>
          <w:rFonts w:hint="eastAsia" w:ascii="宋体" w:hAnsi="宋体" w:eastAsia="宋体" w:cs="宋体"/>
          <w:bCs/>
        </w:rPr>
        <w:t>供应商</w:t>
      </w:r>
      <w:r>
        <w:rPr>
          <w:rFonts w:hint="eastAsia" w:ascii="宋体" w:hAnsi="宋体" w:eastAsia="宋体" w:cs="宋体"/>
        </w:rPr>
        <w:t>或与上述磋商工作无关的人员。</w:t>
      </w:r>
    </w:p>
    <w:p w14:paraId="5CC17B43">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18.3</w:t>
      </w:r>
      <w:r>
        <w:rPr>
          <w:rFonts w:hint="eastAsia" w:ascii="宋体" w:hAnsi="宋体" w:eastAsia="宋体" w:cs="宋体"/>
          <w:bCs/>
        </w:rPr>
        <w:t>供应商</w:t>
      </w:r>
      <w:r>
        <w:rPr>
          <w:rFonts w:hint="eastAsia" w:ascii="宋体" w:hAnsi="宋体" w:eastAsia="宋体" w:cs="宋体"/>
        </w:rPr>
        <w:t>任何试图影响评委会对</w:t>
      </w:r>
      <w:r>
        <w:rPr>
          <w:rFonts w:hint="eastAsia" w:ascii="宋体" w:hAnsi="宋体" w:cs="宋体"/>
          <w:lang w:eastAsia="zh-CN"/>
        </w:rPr>
        <w:t>磋商响应文件</w:t>
      </w:r>
      <w:r>
        <w:rPr>
          <w:rFonts w:hint="eastAsia" w:ascii="宋体" w:hAnsi="宋体" w:eastAsia="宋体" w:cs="宋体"/>
        </w:rPr>
        <w:t>的评审、比较或者推荐候选人的行为，都将导致其磋商响应文件被否决。</w:t>
      </w:r>
    </w:p>
    <w:p w14:paraId="5A7CF72C">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18.4磋商小组将对</w:t>
      </w:r>
      <w:r>
        <w:rPr>
          <w:rFonts w:hint="eastAsia" w:ascii="宋体" w:hAnsi="宋体" w:cs="宋体"/>
          <w:lang w:eastAsia="zh-CN"/>
        </w:rPr>
        <w:t>磋商响应文件</w:t>
      </w:r>
      <w:r>
        <w:rPr>
          <w:rFonts w:hint="eastAsia" w:ascii="宋体" w:hAnsi="宋体" w:eastAsia="宋体" w:cs="宋体"/>
        </w:rPr>
        <w:t>进行检查，以确定</w:t>
      </w:r>
      <w:r>
        <w:rPr>
          <w:rFonts w:hint="eastAsia" w:ascii="宋体" w:hAnsi="宋体" w:cs="宋体"/>
          <w:lang w:eastAsia="zh-CN"/>
        </w:rPr>
        <w:t>磋商响应文件</w:t>
      </w:r>
      <w:r>
        <w:rPr>
          <w:rFonts w:hint="eastAsia" w:ascii="宋体" w:hAnsi="宋体" w:eastAsia="宋体" w:cs="宋体"/>
        </w:rPr>
        <w:t>是否完整、有无计算上的错误、文件是否已正确签署等。</w:t>
      </w:r>
    </w:p>
    <w:p w14:paraId="30220FDF">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18.5 算术错误将按以下方法更正：</w:t>
      </w:r>
    </w:p>
    <w:p w14:paraId="73EE9BF4">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w:t>
      </w:r>
      <w:r>
        <w:rPr>
          <w:rFonts w:hint="eastAsia" w:ascii="宋体" w:hAnsi="宋体" w:cs="宋体"/>
          <w:lang w:eastAsia="zh-CN"/>
        </w:rPr>
        <w:t>磋商响应文件</w:t>
      </w:r>
      <w:r>
        <w:rPr>
          <w:rFonts w:hint="eastAsia" w:ascii="宋体" w:hAnsi="宋体" w:eastAsia="宋体" w:cs="宋体"/>
        </w:rPr>
        <w:t>中评审一览表(首次报价表)内容与</w:t>
      </w:r>
      <w:r>
        <w:rPr>
          <w:rFonts w:hint="eastAsia" w:ascii="宋体" w:hAnsi="宋体" w:cs="宋体"/>
          <w:lang w:eastAsia="zh-CN"/>
        </w:rPr>
        <w:t>磋商响应文件</w:t>
      </w:r>
      <w:r>
        <w:rPr>
          <w:rFonts w:hint="eastAsia" w:ascii="宋体" w:hAnsi="宋体" w:eastAsia="宋体" w:cs="宋体"/>
        </w:rPr>
        <w:t>中明细表内容不一致的，以评审一览表(首次报价表)为准。</w:t>
      </w:r>
    </w:p>
    <w:p w14:paraId="7D87A842">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w:t>
      </w:r>
      <w:r>
        <w:rPr>
          <w:rFonts w:hint="eastAsia" w:ascii="宋体" w:hAnsi="宋体" w:cs="宋体"/>
          <w:lang w:eastAsia="zh-CN"/>
        </w:rPr>
        <w:t>磋商响应文件</w:t>
      </w:r>
      <w:r>
        <w:rPr>
          <w:rFonts w:hint="eastAsia" w:ascii="宋体" w:hAnsi="宋体" w:eastAsia="宋体" w:cs="宋体"/>
        </w:rPr>
        <w:t>的大写</w:t>
      </w:r>
      <w:r>
        <w:rPr>
          <w:rFonts w:hint="eastAsia" w:ascii="宋体" w:hAnsi="宋体" w:eastAsia="宋体" w:cs="宋体"/>
          <w:lang w:val="en-US" w:eastAsia="zh-CN"/>
        </w:rPr>
        <w:t>金额</w:t>
      </w:r>
      <w:r>
        <w:rPr>
          <w:rFonts w:hint="eastAsia" w:ascii="宋体" w:hAnsi="宋体" w:eastAsia="宋体" w:cs="宋体"/>
        </w:rPr>
        <w:t>和小写</w:t>
      </w:r>
      <w:r>
        <w:rPr>
          <w:rFonts w:hint="eastAsia" w:ascii="宋体" w:hAnsi="宋体" w:eastAsia="宋体" w:cs="宋体"/>
          <w:lang w:val="en-US" w:eastAsia="zh-CN"/>
        </w:rPr>
        <w:t>金额</w:t>
      </w:r>
      <w:r>
        <w:rPr>
          <w:rFonts w:hint="eastAsia" w:ascii="宋体" w:hAnsi="宋体" w:eastAsia="宋体" w:cs="宋体"/>
        </w:rPr>
        <w:t>不一致的，以大写金额为准；对不同文字文本导致</w:t>
      </w:r>
      <w:r>
        <w:rPr>
          <w:rFonts w:hint="eastAsia" w:ascii="宋体" w:hAnsi="宋体" w:cs="宋体"/>
          <w:lang w:eastAsia="zh-CN"/>
        </w:rPr>
        <w:t>磋商响应文件</w:t>
      </w:r>
      <w:r>
        <w:rPr>
          <w:rFonts w:hint="eastAsia" w:ascii="宋体" w:hAnsi="宋体" w:eastAsia="宋体" w:cs="宋体"/>
        </w:rPr>
        <w:t>的解释发生异议的，以中文文本为准。</w:t>
      </w:r>
    </w:p>
    <w:p w14:paraId="155FB0AA">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3</w:t>
      </w:r>
      <w:r>
        <w:rPr>
          <w:rFonts w:hint="eastAsia" w:ascii="宋体" w:hAnsi="宋体" w:eastAsia="宋体" w:cs="宋体"/>
        </w:rPr>
        <w:t>)如果</w:t>
      </w:r>
      <w:r>
        <w:rPr>
          <w:rFonts w:hint="eastAsia" w:ascii="宋体" w:hAnsi="宋体" w:eastAsia="宋体" w:cs="宋体"/>
          <w:bCs/>
        </w:rPr>
        <w:t>供应商</w:t>
      </w:r>
      <w:r>
        <w:rPr>
          <w:rFonts w:hint="eastAsia" w:ascii="宋体" w:hAnsi="宋体" w:eastAsia="宋体" w:cs="宋体"/>
        </w:rPr>
        <w:t>不接受按上述方法对</w:t>
      </w:r>
      <w:r>
        <w:rPr>
          <w:rFonts w:hint="eastAsia" w:ascii="宋体" w:hAnsi="宋体" w:cs="宋体"/>
          <w:lang w:eastAsia="zh-CN"/>
        </w:rPr>
        <w:t>磋商响应文件</w:t>
      </w:r>
      <w:r>
        <w:rPr>
          <w:rFonts w:hint="eastAsia" w:ascii="宋体" w:hAnsi="宋体" w:eastAsia="宋体" w:cs="宋体"/>
        </w:rPr>
        <w:t>中的算术错误进行更正，其磋商响应文件将被否决。</w:t>
      </w:r>
    </w:p>
    <w:p w14:paraId="381D793B">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19.竞争性磋商小组在评审过程中发现有下列情形之一的，属于恶意串通，对供应商依照政府采购法第七十七条第一款的规定追究法律责任，对采购人、采购代理机构及其工作人员依照政府采购法第七十二条的规定追究法律责任：</w:t>
      </w:r>
    </w:p>
    <w:p w14:paraId="17481057">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（一）供应商直接或者间接从采购人或者采购代理机构处获得其他供应商的相关情况并修改其磋商响应文件；</w:t>
      </w:r>
    </w:p>
    <w:p w14:paraId="4A44F124">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（二）供应商按照采购人或者采购代理机构的授意撤换、修改磋商响应文件；</w:t>
      </w:r>
    </w:p>
    <w:p w14:paraId="43C09CFC">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（三）供应商之间协商报价、技术方案等磋商响应文件的实质性内容；</w:t>
      </w:r>
    </w:p>
    <w:p w14:paraId="2F708FEA">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（四）属于同一集团、协会、商会等组织成员的供应商按照该组织要求协同参加政府采购活动；</w:t>
      </w:r>
    </w:p>
    <w:p w14:paraId="638108DC">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（五）供应商之间事先约定由某一特定供应商</w:t>
      </w:r>
      <w:r>
        <w:rPr>
          <w:rFonts w:hint="eastAsia" w:ascii="宋体" w:hAnsi="宋体" w:cs="宋体"/>
          <w:lang w:eastAsia="zh-CN"/>
        </w:rPr>
        <w:t>中标、成交</w:t>
      </w:r>
      <w:r>
        <w:rPr>
          <w:rFonts w:hint="eastAsia" w:ascii="宋体" w:hAnsi="宋体" w:eastAsia="宋体" w:cs="宋体"/>
        </w:rPr>
        <w:t>；</w:t>
      </w:r>
    </w:p>
    <w:p w14:paraId="74524695">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（六）供应商之间商定部分供应商放弃参加</w:t>
      </w:r>
      <w:r>
        <w:rPr>
          <w:rFonts w:hint="eastAsia" w:ascii="宋体" w:hAnsi="宋体" w:eastAsia="宋体" w:cs="宋体"/>
          <w:lang w:eastAsia="zh-CN"/>
        </w:rPr>
        <w:t>采购</w:t>
      </w:r>
      <w:r>
        <w:rPr>
          <w:rFonts w:hint="eastAsia" w:ascii="宋体" w:hAnsi="宋体" w:eastAsia="宋体" w:cs="宋体"/>
        </w:rPr>
        <w:t>活动或者放弃</w:t>
      </w:r>
      <w:r>
        <w:rPr>
          <w:rFonts w:hint="eastAsia" w:ascii="宋体" w:hAnsi="宋体" w:cs="宋体"/>
          <w:lang w:eastAsia="zh-CN"/>
        </w:rPr>
        <w:t>中标、成交</w:t>
      </w:r>
      <w:r>
        <w:rPr>
          <w:rFonts w:hint="eastAsia" w:ascii="宋体" w:hAnsi="宋体" w:eastAsia="宋体" w:cs="宋体"/>
        </w:rPr>
        <w:t>；</w:t>
      </w:r>
    </w:p>
    <w:p w14:paraId="02E73A93">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（七）供应商与采购人或者采购代理机构之间、供应商相互之间，为谋求特定供应商</w:t>
      </w:r>
      <w:r>
        <w:rPr>
          <w:rFonts w:hint="eastAsia" w:ascii="宋体" w:hAnsi="宋体" w:cs="宋体"/>
          <w:lang w:eastAsia="zh-CN"/>
        </w:rPr>
        <w:t>中标、成交</w:t>
      </w:r>
      <w:r>
        <w:rPr>
          <w:rFonts w:hint="eastAsia" w:ascii="宋体" w:hAnsi="宋体" w:eastAsia="宋体" w:cs="宋体"/>
        </w:rPr>
        <w:t>或者排斥其他供应商的其他串通行为。</w:t>
      </w:r>
    </w:p>
    <w:p w14:paraId="54D0867E">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20.磋商小组决定磋商的响应性只根据</w:t>
      </w:r>
      <w:r>
        <w:rPr>
          <w:rFonts w:hint="eastAsia" w:ascii="宋体" w:hAnsi="宋体" w:cs="宋体"/>
          <w:lang w:eastAsia="zh-CN"/>
        </w:rPr>
        <w:t>磋商响应文件</w:t>
      </w:r>
      <w:r>
        <w:rPr>
          <w:rFonts w:hint="eastAsia" w:ascii="宋体" w:hAnsi="宋体" w:eastAsia="宋体" w:cs="宋体"/>
        </w:rPr>
        <w:t>本身的内容，而不寻求其他的外部证据。</w:t>
      </w:r>
    </w:p>
    <w:p w14:paraId="2ECC2585">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21.</w:t>
      </w:r>
      <w:r>
        <w:rPr>
          <w:rFonts w:hint="eastAsia" w:ascii="宋体" w:hAnsi="宋体" w:cs="宋体"/>
          <w:lang w:eastAsia="zh-CN"/>
        </w:rPr>
        <w:t>磋商响应文件</w:t>
      </w:r>
      <w:r>
        <w:rPr>
          <w:rFonts w:hint="eastAsia" w:ascii="宋体" w:hAnsi="宋体" w:eastAsia="宋体" w:cs="宋体"/>
        </w:rPr>
        <w:t xml:space="preserve">的澄清  </w:t>
      </w:r>
    </w:p>
    <w:p w14:paraId="489B4324">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对</w:t>
      </w:r>
      <w:r>
        <w:rPr>
          <w:rFonts w:hint="eastAsia" w:ascii="宋体" w:hAnsi="宋体" w:cs="宋体"/>
          <w:lang w:eastAsia="zh-CN"/>
        </w:rPr>
        <w:t>磋商响应文件</w:t>
      </w:r>
      <w:r>
        <w:rPr>
          <w:rFonts w:hint="eastAsia" w:ascii="宋体" w:hAnsi="宋体" w:eastAsia="宋体" w:cs="宋体"/>
        </w:rPr>
        <w:t>中含义不明确、同类问题表述不一致或者有明显文字和计算错误的内容，磋商小组可以书面形式或口头形式要求供应商做出必要的澄清、说明或者纠正。</w:t>
      </w:r>
      <w:r>
        <w:rPr>
          <w:rFonts w:hint="eastAsia" w:ascii="宋体" w:hAnsi="宋体" w:eastAsia="宋体" w:cs="宋体"/>
          <w:bCs/>
        </w:rPr>
        <w:t>供应商</w:t>
      </w:r>
      <w:r>
        <w:rPr>
          <w:rFonts w:hint="eastAsia" w:ascii="宋体" w:hAnsi="宋体" w:eastAsia="宋体" w:cs="宋体"/>
        </w:rPr>
        <w:t>的澄清、说明或者纠正应当在磋商小组规定的时间内以书面形式做出，由其法定代表人或者授权代表签字，并不得超出</w:t>
      </w:r>
      <w:r>
        <w:rPr>
          <w:rFonts w:hint="eastAsia" w:ascii="宋体" w:hAnsi="宋体" w:cs="宋体"/>
          <w:lang w:eastAsia="zh-CN"/>
        </w:rPr>
        <w:t>磋商响应文件</w:t>
      </w:r>
      <w:r>
        <w:rPr>
          <w:rFonts w:hint="eastAsia" w:ascii="宋体" w:hAnsi="宋体" w:eastAsia="宋体" w:cs="宋体"/>
        </w:rPr>
        <w:t>的范围或者改变</w:t>
      </w:r>
      <w:r>
        <w:rPr>
          <w:rFonts w:hint="eastAsia" w:ascii="宋体" w:hAnsi="宋体" w:cs="宋体"/>
          <w:lang w:eastAsia="zh-CN"/>
        </w:rPr>
        <w:t>磋商响应文件</w:t>
      </w:r>
      <w:r>
        <w:rPr>
          <w:rFonts w:hint="eastAsia" w:ascii="宋体" w:hAnsi="宋体" w:eastAsia="宋体" w:cs="宋体"/>
        </w:rPr>
        <w:t>的实质性内容。</w:t>
      </w:r>
    </w:p>
    <w:p w14:paraId="4F3F06DA">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22.比较与评审</w:t>
      </w:r>
    </w:p>
    <w:p w14:paraId="787C1848">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22.1磋商小组将按竞争性磋商文件第四章规定的磋商原则和磋商方法，对资格性检查和</w:t>
      </w:r>
      <w:r>
        <w:rPr>
          <w:rFonts w:hint="eastAsia" w:ascii="宋体" w:hAnsi="宋体" w:eastAsia="宋体" w:cs="宋体"/>
          <w:spacing w:val="-6"/>
        </w:rPr>
        <w:t>符合性检查合格的</w:t>
      </w:r>
      <w:r>
        <w:rPr>
          <w:rFonts w:hint="eastAsia" w:ascii="宋体" w:hAnsi="宋体" w:cs="宋体"/>
          <w:spacing w:val="-6"/>
          <w:lang w:eastAsia="zh-CN"/>
        </w:rPr>
        <w:t>磋商响应文件</w:t>
      </w:r>
      <w:r>
        <w:rPr>
          <w:rFonts w:hint="eastAsia" w:ascii="宋体" w:hAnsi="宋体" w:eastAsia="宋体" w:cs="宋体"/>
          <w:spacing w:val="-6"/>
        </w:rPr>
        <w:t>进行资信</w:t>
      </w:r>
      <w:r>
        <w:rPr>
          <w:rFonts w:hint="eastAsia" w:ascii="宋体" w:hAnsi="宋体" w:eastAsia="宋体" w:cs="宋体"/>
          <w:spacing w:val="-6"/>
          <w:lang w:val="en-US" w:eastAsia="zh-CN"/>
        </w:rPr>
        <w:t>商务</w:t>
      </w:r>
      <w:r>
        <w:rPr>
          <w:rFonts w:hint="eastAsia" w:ascii="宋体" w:hAnsi="宋体" w:eastAsia="宋体" w:cs="宋体"/>
          <w:spacing w:val="-6"/>
        </w:rPr>
        <w:t>技术部分和报价部分详细评审，进行综合打分。</w:t>
      </w:r>
    </w:p>
    <w:p w14:paraId="5AD08E69">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22.2 若</w:t>
      </w:r>
      <w:r>
        <w:rPr>
          <w:rFonts w:hint="eastAsia" w:ascii="宋体" w:hAnsi="宋体" w:eastAsia="宋体" w:cs="宋体"/>
          <w:bCs/>
        </w:rPr>
        <w:t>供应商</w:t>
      </w:r>
      <w:r>
        <w:rPr>
          <w:rFonts w:hint="eastAsia" w:ascii="宋体" w:hAnsi="宋体" w:eastAsia="宋体" w:cs="宋体"/>
        </w:rPr>
        <w:t>的报价明显低于其他报价，使得其项目报价可能低于其个别成本的，有可能影响服务质量或诚信履约的，</w:t>
      </w:r>
      <w:r>
        <w:rPr>
          <w:rFonts w:hint="eastAsia" w:ascii="宋体" w:hAnsi="宋体" w:eastAsia="宋体" w:cs="宋体"/>
          <w:bCs/>
        </w:rPr>
        <w:t>供应商</w:t>
      </w:r>
      <w:r>
        <w:rPr>
          <w:rFonts w:hint="eastAsia" w:ascii="宋体" w:hAnsi="宋体" w:eastAsia="宋体" w:cs="宋体"/>
        </w:rPr>
        <w:t>应按磋商小组要求作出书面说明并提供相关证明材料，否则其响应文件将被否决。</w:t>
      </w:r>
    </w:p>
    <w:p w14:paraId="1F010229">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 xml:space="preserve"> 22.3</w:t>
      </w:r>
      <w:r>
        <w:rPr>
          <w:rFonts w:hint="eastAsia" w:ascii="宋体" w:hAnsi="宋体" w:eastAsia="宋体" w:cs="宋体"/>
          <w:bCs/>
          <w:color w:val="000000"/>
          <w:kern w:val="0"/>
        </w:rPr>
        <w:t>磋商小组应当从质量和规格均能满足竞争性磋商文件实质性要求的供应商中，按照综合得分由高到低的顺序推荐</w:t>
      </w:r>
      <w:r>
        <w:rPr>
          <w:rFonts w:hint="eastAsia" w:ascii="宋体" w:hAnsi="宋体" w:eastAsia="宋体" w:cs="宋体"/>
          <w:bCs/>
          <w:color w:val="000000"/>
          <w:kern w:val="0"/>
          <w:lang w:val="en-US" w:eastAsia="zh-CN"/>
        </w:rPr>
        <w:t>3</w:t>
      </w:r>
      <w:r>
        <w:rPr>
          <w:rFonts w:hint="eastAsia" w:ascii="宋体" w:hAnsi="宋体" w:eastAsia="宋体" w:cs="宋体"/>
          <w:bCs/>
          <w:color w:val="000000"/>
          <w:kern w:val="0"/>
        </w:rPr>
        <w:t>名成交候选人，并进行排名。</w:t>
      </w:r>
    </w:p>
    <w:p w14:paraId="25D16F71">
      <w:pPr>
        <w:pStyle w:val="2"/>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lang w:val="en-US"/>
        </w:rPr>
      </w:pPr>
      <w:bookmarkStart w:id="483" w:name="_Toc31962"/>
      <w:bookmarkStart w:id="484" w:name="_Toc8659"/>
      <w:bookmarkStart w:id="485" w:name="_Toc5989"/>
      <w:bookmarkStart w:id="486" w:name="_Toc30939"/>
      <w:bookmarkStart w:id="487" w:name="_Toc15294"/>
      <w:bookmarkStart w:id="488" w:name="_Toc7529"/>
      <w:bookmarkStart w:id="489" w:name="_Toc13658"/>
      <w:bookmarkStart w:id="490" w:name="_Toc826"/>
      <w:bookmarkStart w:id="491" w:name="_Toc2177"/>
      <w:bookmarkStart w:id="492" w:name="_Toc27379"/>
      <w:bookmarkStart w:id="493" w:name="_Toc26716"/>
      <w:bookmarkStart w:id="494" w:name="_Toc1242"/>
      <w:bookmarkStart w:id="495" w:name="_Toc319"/>
      <w:bookmarkStart w:id="496" w:name="_Toc25727"/>
      <w:bookmarkStart w:id="497" w:name="_Toc20933"/>
      <w:bookmarkStart w:id="498" w:name="_Toc3563"/>
      <w:bookmarkStart w:id="499" w:name="_Toc14206"/>
      <w:bookmarkStart w:id="500" w:name="_Toc16516"/>
      <w:bookmarkStart w:id="501" w:name="_Toc18454"/>
      <w:bookmarkStart w:id="502" w:name="_Toc9974"/>
      <w:bookmarkStart w:id="503" w:name="_Toc20488"/>
      <w:bookmarkStart w:id="504" w:name="_Toc27033"/>
      <w:bookmarkStart w:id="505" w:name="_Toc31543"/>
      <w:bookmarkStart w:id="506" w:name="_Toc10965"/>
      <w:bookmarkStart w:id="507" w:name="_Toc13611"/>
      <w:bookmarkStart w:id="508" w:name="_Toc8879"/>
      <w:bookmarkStart w:id="509" w:name="_Toc19436"/>
      <w:bookmarkStart w:id="510" w:name="_Toc25658"/>
      <w:bookmarkStart w:id="511" w:name="_Toc10537"/>
      <w:bookmarkStart w:id="512" w:name="_Toc29322"/>
      <w:bookmarkStart w:id="513" w:name="_Toc4433"/>
      <w:bookmarkStart w:id="514" w:name="_Toc22739"/>
      <w:bookmarkStart w:id="515" w:name="_Toc7610"/>
      <w:bookmarkStart w:id="516" w:name="_Toc4715"/>
      <w:bookmarkStart w:id="517" w:name="_Toc391298960"/>
      <w:bookmarkStart w:id="518" w:name="_Toc27820"/>
      <w:bookmarkStart w:id="519" w:name="_Toc17604"/>
      <w:bookmarkStart w:id="520" w:name="_Toc24664"/>
      <w:bookmarkStart w:id="521" w:name="_Toc27036"/>
      <w:r>
        <w:rPr>
          <w:rFonts w:hint="eastAsia" w:ascii="宋体" w:hAnsi="宋体" w:eastAsia="宋体" w:cs="宋体"/>
          <w:b/>
          <w:sz w:val="28"/>
          <w:szCs w:val="28"/>
          <w:lang w:val="en-US" w:eastAsia="zh-CN"/>
        </w:rPr>
        <w:t>七</w:t>
      </w:r>
      <w:r>
        <w:rPr>
          <w:rFonts w:hint="eastAsia" w:ascii="宋体" w:hAnsi="宋体" w:eastAsia="宋体" w:cs="宋体"/>
          <w:b/>
          <w:bCs w:val="0"/>
          <w:sz w:val="28"/>
          <w:szCs w:val="28"/>
        </w:rPr>
        <w:t>、磋商无效的情形</w:t>
      </w:r>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p>
    <w:p w14:paraId="5829E594">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23.实质上没有响应磋商文件要求的响应文件将被视为无效磋商。供应商不得通过修正或</w:t>
      </w:r>
      <w:r>
        <w:rPr>
          <w:rFonts w:hint="eastAsia" w:ascii="宋体" w:hAnsi="宋体" w:cs="宋体"/>
          <w:lang w:eastAsia="zh-CN"/>
        </w:rPr>
        <w:t>撤销</w:t>
      </w:r>
      <w:r>
        <w:rPr>
          <w:rFonts w:hint="eastAsia" w:ascii="宋体" w:hAnsi="宋体" w:eastAsia="宋体" w:cs="宋体"/>
        </w:rPr>
        <w:t>不合要求的偏离或保留从而使其磋商成为实质上响应的磋商。如发生下列情况之一的，其响应文件视为无效：</w:t>
      </w:r>
    </w:p>
    <w:p w14:paraId="3FBD9A63">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23.1响应文件逾期送达的；</w:t>
      </w:r>
    </w:p>
    <w:p w14:paraId="70390767">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23.2不具备磋商文件规</w:t>
      </w:r>
      <w:r>
        <w:rPr>
          <w:rFonts w:hint="eastAsia" w:ascii="宋体" w:hAnsi="宋体" w:cs="宋体"/>
          <w:lang w:eastAsia="zh-CN"/>
        </w:rPr>
        <w:t>定的</w:t>
      </w:r>
      <w:r>
        <w:rPr>
          <w:rFonts w:hint="eastAsia" w:ascii="宋体" w:hAnsi="宋体" w:eastAsia="宋体" w:cs="宋体"/>
        </w:rPr>
        <w:t>资格要求；</w:t>
      </w:r>
    </w:p>
    <w:p w14:paraId="70FA9F46">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23.3响应文件有应盖而未盖公章、应签字而未签字；未按规定装订、胶装、密封、未有效授权的</w:t>
      </w:r>
      <w:r>
        <w:rPr>
          <w:rFonts w:hint="eastAsia" w:ascii="宋体" w:hAnsi="宋体" w:cs="宋体"/>
          <w:lang w:eastAsia="zh-CN"/>
        </w:rPr>
        <w:t>；</w:t>
      </w:r>
    </w:p>
    <w:p w14:paraId="6CD77965">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23.4磋商响应文件中有▲处条款供应商未作实质性响应的；</w:t>
      </w:r>
    </w:p>
    <w:p w14:paraId="6CA5D16F">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23.5供应商的报价</w:t>
      </w:r>
      <w:r>
        <w:rPr>
          <w:rFonts w:hint="eastAsia" w:ascii="宋体" w:hAnsi="宋体" w:eastAsia="宋体" w:cs="宋体"/>
          <w:lang w:val="zh-CN"/>
        </w:rPr>
        <w:t>明显低于其他通过符合性审查供应商的报价，有可能影响产品质量或者不能诚信履约的</w:t>
      </w:r>
      <w:r>
        <w:rPr>
          <w:rFonts w:hint="eastAsia" w:ascii="宋体" w:hAnsi="宋体" w:eastAsia="宋体" w:cs="宋体"/>
        </w:rPr>
        <w:t>，不能合理说明原因并提供证明材料的；</w:t>
      </w:r>
    </w:p>
    <w:p w14:paraId="4B89AEA8">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23.6响应文件关键内容字迹模糊、无法辨认的；</w:t>
      </w:r>
    </w:p>
    <w:p w14:paraId="133FE453">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23.7报价超出采购预算价的；</w:t>
      </w:r>
    </w:p>
    <w:p w14:paraId="3637554A">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23.8提供虚假材料谋取</w:t>
      </w:r>
      <w:r>
        <w:rPr>
          <w:rFonts w:hint="eastAsia" w:ascii="宋体" w:hAnsi="宋体" w:eastAsia="宋体" w:cs="宋体"/>
          <w:lang w:eastAsia="zh-CN"/>
        </w:rPr>
        <w:t>成交</w:t>
      </w:r>
      <w:r>
        <w:rPr>
          <w:rFonts w:hint="eastAsia" w:ascii="宋体" w:hAnsi="宋体" w:eastAsia="宋体" w:cs="宋体"/>
        </w:rPr>
        <w:t>的；</w:t>
      </w:r>
    </w:p>
    <w:p w14:paraId="05B87AFE">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23.9不符合</w:t>
      </w:r>
      <w:r>
        <w:rPr>
          <w:rFonts w:hint="eastAsia" w:ascii="宋体" w:hAnsi="宋体" w:cs="宋体"/>
          <w:lang w:eastAsia="zh-CN"/>
        </w:rPr>
        <w:t>法律法规</w:t>
      </w:r>
      <w:r>
        <w:rPr>
          <w:rFonts w:hint="eastAsia" w:ascii="宋体" w:hAnsi="宋体" w:eastAsia="宋体" w:cs="宋体"/>
        </w:rPr>
        <w:t>和磋商文件规定的其他实质性要求的。</w:t>
      </w:r>
    </w:p>
    <w:p w14:paraId="2E91667B">
      <w:pPr>
        <w:pStyle w:val="2"/>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rPr>
      </w:pPr>
      <w:bookmarkStart w:id="522" w:name="_Toc14913"/>
      <w:bookmarkStart w:id="523" w:name="_Toc13195"/>
      <w:bookmarkStart w:id="524" w:name="_Toc28864"/>
      <w:bookmarkStart w:id="525" w:name="_Toc6271"/>
      <w:bookmarkStart w:id="526" w:name="_Toc14186"/>
      <w:bookmarkStart w:id="527" w:name="_Toc14576"/>
      <w:bookmarkStart w:id="528" w:name="_Toc10296"/>
      <w:bookmarkStart w:id="529" w:name="_Toc25176"/>
      <w:bookmarkStart w:id="530" w:name="_Toc20074"/>
      <w:bookmarkStart w:id="531" w:name="_Toc3812"/>
      <w:bookmarkStart w:id="532" w:name="_Toc20068"/>
      <w:bookmarkStart w:id="533" w:name="_Toc25815"/>
      <w:bookmarkStart w:id="534" w:name="_Toc16533"/>
      <w:bookmarkStart w:id="535" w:name="_Toc27232"/>
      <w:bookmarkStart w:id="536" w:name="_Toc18497"/>
      <w:bookmarkStart w:id="537" w:name="_Toc15375"/>
      <w:bookmarkStart w:id="538" w:name="_Toc28543"/>
      <w:bookmarkStart w:id="539" w:name="_Toc3944"/>
      <w:bookmarkStart w:id="540" w:name="_Toc3135"/>
      <w:bookmarkStart w:id="541" w:name="_Toc31993"/>
      <w:bookmarkStart w:id="542" w:name="_Toc5848"/>
      <w:bookmarkStart w:id="543" w:name="_Toc21391"/>
      <w:bookmarkStart w:id="544" w:name="_Toc20290"/>
      <w:bookmarkStart w:id="545" w:name="_Toc26422"/>
      <w:bookmarkStart w:id="546" w:name="_Toc27425"/>
      <w:bookmarkStart w:id="547" w:name="_Toc11948"/>
      <w:bookmarkStart w:id="548" w:name="_Toc13408"/>
      <w:bookmarkStart w:id="549" w:name="_Toc10340"/>
      <w:bookmarkStart w:id="550" w:name="_Toc15011"/>
      <w:bookmarkStart w:id="551" w:name="_Toc11370"/>
      <w:bookmarkStart w:id="552" w:name="_Toc24359"/>
      <w:r>
        <w:rPr>
          <w:rFonts w:hint="eastAsia" w:ascii="宋体" w:hAnsi="宋体" w:eastAsia="宋体" w:cs="宋体"/>
          <w:b/>
          <w:bCs w:val="0"/>
          <w:sz w:val="28"/>
          <w:szCs w:val="28"/>
          <w:lang w:val="en-US" w:eastAsia="zh-CN"/>
        </w:rPr>
        <w:t>八</w:t>
      </w:r>
      <w:r>
        <w:rPr>
          <w:rFonts w:hint="eastAsia" w:ascii="宋体" w:hAnsi="宋体" w:eastAsia="宋体" w:cs="宋体"/>
          <w:b/>
          <w:bCs w:val="0"/>
          <w:sz w:val="28"/>
          <w:szCs w:val="28"/>
        </w:rPr>
        <w:t>、废标的情形</w:t>
      </w:r>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p>
    <w:p w14:paraId="581B3D98">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24.采购中，出现下列情形之一的，应予废标。废标后，采购人应将废标理由通知所有供应商：</w:t>
      </w:r>
    </w:p>
    <w:p w14:paraId="304D78D4">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24.1因情况变化，不再符合规定的竞争性磋商采购方式适用情形的；</w:t>
      </w:r>
    </w:p>
    <w:p w14:paraId="3AAE1EF2">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24.2符合专业条件的供应商或者对磋商文件实质响应的供应商不足三家的；</w:t>
      </w:r>
    </w:p>
    <w:p w14:paraId="1D465841">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24.3出现影响采购</w:t>
      </w:r>
      <w:r>
        <w:rPr>
          <w:rFonts w:hint="eastAsia" w:ascii="宋体" w:hAnsi="宋体" w:cs="宋体"/>
          <w:lang w:eastAsia="zh-CN"/>
        </w:rPr>
        <w:t>公正</w:t>
      </w:r>
      <w:r>
        <w:rPr>
          <w:rFonts w:hint="eastAsia" w:ascii="宋体" w:hAnsi="宋体" w:eastAsia="宋体" w:cs="宋体"/>
        </w:rPr>
        <w:t>的违法、违规行为的；</w:t>
      </w:r>
    </w:p>
    <w:p w14:paraId="424D45D7">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24.4供应商的报价均超过了采购预算，采购人不能支付的；</w:t>
      </w:r>
    </w:p>
    <w:p w14:paraId="2913CD5F">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24.5因重大变故，采购任务取消的。</w:t>
      </w:r>
    </w:p>
    <w:p w14:paraId="13306EE2">
      <w:pPr>
        <w:pStyle w:val="2"/>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rPr>
      </w:pPr>
      <w:bookmarkStart w:id="553" w:name="_Toc32686"/>
      <w:bookmarkStart w:id="554" w:name="_Toc16788"/>
      <w:bookmarkStart w:id="555" w:name="_Toc32412"/>
      <w:bookmarkStart w:id="556" w:name="_Toc19293"/>
      <w:bookmarkStart w:id="557" w:name="_Toc11749"/>
      <w:bookmarkStart w:id="558" w:name="_Toc15882"/>
      <w:bookmarkStart w:id="559" w:name="_Toc10326"/>
      <w:bookmarkStart w:id="560" w:name="_Toc15120"/>
      <w:bookmarkStart w:id="561" w:name="_Toc27854"/>
      <w:bookmarkStart w:id="562" w:name="_Toc11181"/>
      <w:bookmarkStart w:id="563" w:name="_Toc19750"/>
      <w:bookmarkStart w:id="564" w:name="_Toc23403"/>
      <w:bookmarkStart w:id="565" w:name="_Toc9107"/>
      <w:bookmarkStart w:id="566" w:name="_Toc12786"/>
      <w:bookmarkStart w:id="567" w:name="_Toc9841"/>
      <w:bookmarkStart w:id="568" w:name="_Toc26677"/>
      <w:bookmarkStart w:id="569" w:name="_Toc20271"/>
      <w:bookmarkStart w:id="570" w:name="_Toc19363"/>
      <w:bookmarkStart w:id="571" w:name="_Toc24033"/>
      <w:bookmarkStart w:id="572" w:name="_Toc22820"/>
      <w:bookmarkStart w:id="573" w:name="_Toc24803"/>
      <w:bookmarkStart w:id="574" w:name="_Toc26818"/>
      <w:bookmarkStart w:id="575" w:name="_Toc20983"/>
      <w:bookmarkStart w:id="576" w:name="_Toc9831"/>
      <w:bookmarkStart w:id="577" w:name="_Toc24988"/>
      <w:bookmarkStart w:id="578" w:name="_Toc15254"/>
      <w:bookmarkStart w:id="579" w:name="_Toc28165"/>
      <w:bookmarkStart w:id="580" w:name="_Toc22913"/>
      <w:bookmarkStart w:id="581" w:name="_Toc23284"/>
      <w:bookmarkStart w:id="582" w:name="_Toc15151"/>
      <w:bookmarkStart w:id="583" w:name="_Toc2702"/>
      <w:r>
        <w:rPr>
          <w:rFonts w:hint="eastAsia" w:ascii="宋体" w:hAnsi="宋体" w:eastAsia="宋体" w:cs="宋体"/>
          <w:b/>
          <w:bCs w:val="0"/>
          <w:sz w:val="28"/>
          <w:szCs w:val="28"/>
          <w:lang w:val="en-US" w:eastAsia="zh-CN"/>
        </w:rPr>
        <w:t>九</w:t>
      </w:r>
      <w:r>
        <w:rPr>
          <w:rFonts w:hint="eastAsia" w:ascii="宋体" w:hAnsi="宋体" w:eastAsia="宋体" w:cs="宋体"/>
          <w:b/>
          <w:bCs w:val="0"/>
          <w:sz w:val="28"/>
          <w:szCs w:val="28"/>
        </w:rPr>
        <w:t>、确定成交供应商与签订合同</w:t>
      </w:r>
      <w:bookmarkEnd w:id="515"/>
      <w:bookmarkEnd w:id="516"/>
      <w:bookmarkEnd w:id="517"/>
      <w:bookmarkEnd w:id="518"/>
      <w:bookmarkEnd w:id="519"/>
      <w:bookmarkEnd w:id="520"/>
      <w:bookmarkEnd w:id="521"/>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p>
    <w:p w14:paraId="4959124A">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25.确定成交供应商准则</w:t>
      </w:r>
    </w:p>
    <w:p w14:paraId="44DD08A4">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25.1本项目采用综合评分法，评审出得分最高的</w:t>
      </w:r>
      <w:r>
        <w:rPr>
          <w:rFonts w:hint="eastAsia" w:ascii="宋体" w:hAnsi="宋体" w:eastAsia="宋体" w:cs="宋体"/>
          <w:bCs/>
          <w:color w:val="000000"/>
          <w:kern w:val="0"/>
          <w:lang w:val="en-US" w:eastAsia="zh-CN"/>
        </w:rPr>
        <w:t>3</w:t>
      </w:r>
      <w:r>
        <w:rPr>
          <w:rFonts w:hint="eastAsia" w:ascii="宋体" w:hAnsi="宋体" w:eastAsia="宋体" w:cs="宋体"/>
          <w:bCs/>
          <w:color w:val="000000"/>
          <w:kern w:val="0"/>
        </w:rPr>
        <w:t>名成交候选人</w:t>
      </w:r>
      <w:r>
        <w:rPr>
          <w:rFonts w:hint="eastAsia" w:ascii="宋体" w:hAnsi="宋体" w:eastAsia="宋体" w:cs="宋体"/>
        </w:rPr>
        <w:t>。</w:t>
      </w:r>
    </w:p>
    <w:p w14:paraId="5423FDFD">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25.2采购人原则上应确定排名第一位的成交候选人作为成交供应商。</w:t>
      </w:r>
    </w:p>
    <w:p w14:paraId="74A3AAD4">
      <w:pPr>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25.3 采购人只对评审结果负责，不对评审结果</w:t>
      </w:r>
      <w:r>
        <w:rPr>
          <w:rFonts w:hint="eastAsia" w:ascii="宋体" w:hAnsi="宋体" w:cs="宋体"/>
          <w:lang w:eastAsia="zh-CN"/>
        </w:rPr>
        <w:t>做</w:t>
      </w:r>
      <w:r>
        <w:rPr>
          <w:rFonts w:hint="eastAsia" w:ascii="宋体" w:hAnsi="宋体" w:eastAsia="宋体" w:cs="宋体"/>
        </w:rPr>
        <w:t>任何解释。</w:t>
      </w:r>
    </w:p>
    <w:p w14:paraId="4781703D">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26.成交通知</w:t>
      </w:r>
    </w:p>
    <w:p w14:paraId="726A9F74">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26.1采购人确定成交供应商后应及时向成交供应商发出《成交通知书》。《成交通知书》对采购人和成交供应商具有同等法律效力。《成交通知书》发出后，采购人改变成交结果，或者成交供应商放弃成交，应按相关法律、规章、规范性文件的要求承担相应的法律责任。</w:t>
      </w:r>
    </w:p>
    <w:p w14:paraId="61E130AF">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26.2《成交通知书》将作为签订合同的依据。《合同》签订后，《成交通知书》成为《合同》的一部分。</w:t>
      </w:r>
    </w:p>
    <w:p w14:paraId="40FD9D2D">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bCs/>
        </w:rPr>
        <w:t>27.</w:t>
      </w:r>
      <w:r>
        <w:rPr>
          <w:rFonts w:hint="eastAsia" w:ascii="宋体" w:hAnsi="宋体" w:eastAsia="宋体" w:cs="宋体"/>
        </w:rPr>
        <w:t>签订合同</w:t>
      </w:r>
    </w:p>
    <w:p w14:paraId="2E6945BF">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27.1采购人、成交供应商应在《成交通知书》发出之日起</w:t>
      </w:r>
      <w:r>
        <w:rPr>
          <w:rFonts w:hint="eastAsia" w:ascii="宋体" w:hAnsi="宋体" w:eastAsia="宋体" w:cs="宋体"/>
          <w:lang w:val="en-US" w:eastAsia="zh-CN"/>
        </w:rPr>
        <w:t>30</w:t>
      </w:r>
      <w:r>
        <w:rPr>
          <w:rFonts w:hint="eastAsia" w:ascii="宋体" w:hAnsi="宋体" w:eastAsia="宋体" w:cs="宋体"/>
        </w:rPr>
        <w:t>日内，根据竞争性磋商文件确定的事项和成交供应商</w:t>
      </w:r>
      <w:r>
        <w:rPr>
          <w:rFonts w:hint="eastAsia" w:ascii="宋体" w:hAnsi="宋体" w:cs="宋体"/>
          <w:lang w:eastAsia="zh-CN"/>
        </w:rPr>
        <w:t>磋商响应文件</w:t>
      </w:r>
      <w:r>
        <w:rPr>
          <w:rFonts w:hint="eastAsia" w:ascii="宋体" w:hAnsi="宋体" w:eastAsia="宋体" w:cs="宋体"/>
        </w:rPr>
        <w:t>的内容签署服务采购合同，双方所签订的合同不得对竞争性磋商文件和成交供应商</w:t>
      </w:r>
      <w:r>
        <w:rPr>
          <w:rFonts w:hint="eastAsia" w:ascii="宋体" w:hAnsi="宋体" w:cs="宋体"/>
          <w:lang w:eastAsia="zh-CN"/>
        </w:rPr>
        <w:t>磋商响应文件</w:t>
      </w:r>
      <w:r>
        <w:rPr>
          <w:rFonts w:hint="eastAsia" w:ascii="宋体" w:hAnsi="宋体" w:eastAsia="宋体" w:cs="宋体"/>
        </w:rPr>
        <w:t>作实质性修改。成交供应商逾期未签订合同，按照有关法律规定承担相应的法律责任。</w:t>
      </w:r>
    </w:p>
    <w:p w14:paraId="04CBF8A2">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27.2竞争性磋商文件、竞争性磋商文件的修改文件、成交供应商的</w:t>
      </w:r>
      <w:r>
        <w:rPr>
          <w:rFonts w:hint="eastAsia" w:ascii="宋体" w:hAnsi="宋体" w:cs="宋体"/>
          <w:lang w:eastAsia="zh-CN"/>
        </w:rPr>
        <w:t>磋商响应文件</w:t>
      </w:r>
      <w:r>
        <w:rPr>
          <w:rFonts w:hint="eastAsia" w:ascii="宋体" w:hAnsi="宋体" w:eastAsia="宋体" w:cs="宋体"/>
        </w:rPr>
        <w:t>、补充或修改的文件及澄清或承诺文件等，均为双方签订合同的组成部分，与合同具体条款具有同等法律效力。</w:t>
      </w:r>
    </w:p>
    <w:p w14:paraId="5BD0BC3F">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bCs/>
          <w:sz w:val="24"/>
          <w:szCs w:val="24"/>
        </w:rPr>
      </w:pPr>
      <w:r>
        <w:rPr>
          <w:rFonts w:hint="eastAsia" w:ascii="宋体" w:hAnsi="宋体" w:eastAsia="宋体" w:cs="宋体"/>
          <w:bCs/>
        </w:rPr>
        <w:t>27.3</w:t>
      </w:r>
      <w:r>
        <w:rPr>
          <w:rFonts w:hint="eastAsia" w:ascii="宋体" w:hAnsi="宋体" w:eastAsia="宋体" w:cs="宋体"/>
          <w:bCs/>
          <w:sz w:val="24"/>
          <w:szCs w:val="24"/>
        </w:rPr>
        <w:t>排名第一的</w:t>
      </w:r>
      <w:r>
        <w:rPr>
          <w:rFonts w:hint="eastAsia" w:ascii="宋体" w:hAnsi="宋体" w:eastAsia="宋体" w:cs="宋体"/>
          <w:bCs/>
          <w:sz w:val="24"/>
          <w:szCs w:val="24"/>
          <w:lang w:eastAsia="zh-CN"/>
        </w:rPr>
        <w:t>成交候选人</w:t>
      </w:r>
      <w:r>
        <w:rPr>
          <w:rFonts w:hint="eastAsia" w:ascii="宋体" w:hAnsi="宋体" w:eastAsia="宋体" w:cs="宋体"/>
          <w:bCs/>
          <w:sz w:val="24"/>
          <w:szCs w:val="24"/>
        </w:rPr>
        <w:t>放弃中标；因不可抗力提出不能履行合同或未能在规定时间内与采购人签订合同的，或者经质疑，采购人审查后，确因排名第一的候选人在本次采购活动中存在违法违规行为或其他原因使质疑成立的，</w:t>
      </w:r>
      <w:r>
        <w:rPr>
          <w:rFonts w:hint="eastAsia" w:ascii="宋体" w:hAnsi="宋体" w:eastAsia="宋体" w:cs="宋体"/>
          <w:bCs/>
          <w:sz w:val="24"/>
          <w:szCs w:val="24"/>
          <w:lang w:val="en-US" w:eastAsia="zh-CN"/>
        </w:rPr>
        <w:t>采购人</w:t>
      </w:r>
      <w:r>
        <w:rPr>
          <w:rFonts w:hint="eastAsia" w:ascii="宋体" w:hAnsi="宋体" w:eastAsia="宋体" w:cs="宋体"/>
          <w:bCs/>
          <w:sz w:val="24"/>
          <w:szCs w:val="24"/>
        </w:rPr>
        <w:t>可以按照</w:t>
      </w:r>
      <w:r>
        <w:rPr>
          <w:rFonts w:hint="eastAsia" w:ascii="宋体" w:hAnsi="宋体" w:cs="宋体"/>
          <w:bCs/>
          <w:sz w:val="24"/>
          <w:szCs w:val="24"/>
          <w:lang w:eastAsia="zh-CN"/>
        </w:rPr>
        <w:t>磋商小组</w:t>
      </w:r>
      <w:r>
        <w:rPr>
          <w:rFonts w:hint="eastAsia" w:ascii="宋体" w:hAnsi="宋体" w:eastAsia="宋体" w:cs="宋体"/>
          <w:bCs/>
          <w:sz w:val="24"/>
          <w:szCs w:val="24"/>
        </w:rPr>
        <w:t>提出的</w:t>
      </w:r>
      <w:r>
        <w:rPr>
          <w:rFonts w:hint="eastAsia" w:ascii="宋体" w:hAnsi="宋体" w:eastAsia="宋体" w:cs="宋体"/>
          <w:bCs/>
          <w:sz w:val="24"/>
          <w:szCs w:val="24"/>
          <w:lang w:eastAsia="zh-CN"/>
        </w:rPr>
        <w:t>成交候选人</w:t>
      </w:r>
      <w:r>
        <w:rPr>
          <w:rFonts w:hint="eastAsia" w:ascii="宋体" w:hAnsi="宋体" w:eastAsia="宋体" w:cs="宋体"/>
          <w:bCs/>
          <w:sz w:val="24"/>
          <w:szCs w:val="24"/>
        </w:rPr>
        <w:t>名单排序依次确定其他</w:t>
      </w:r>
      <w:r>
        <w:rPr>
          <w:rFonts w:hint="eastAsia" w:ascii="宋体" w:hAnsi="宋体" w:eastAsia="宋体" w:cs="宋体"/>
          <w:bCs/>
          <w:sz w:val="24"/>
          <w:szCs w:val="24"/>
          <w:lang w:val="en-US" w:eastAsia="zh-CN"/>
        </w:rPr>
        <w:t>成交</w:t>
      </w:r>
      <w:r>
        <w:rPr>
          <w:rFonts w:hint="eastAsia" w:ascii="宋体" w:hAnsi="宋体" w:eastAsia="宋体" w:cs="宋体"/>
          <w:bCs/>
          <w:sz w:val="24"/>
          <w:szCs w:val="24"/>
        </w:rPr>
        <w:t>候选人为</w:t>
      </w:r>
      <w:r>
        <w:rPr>
          <w:rFonts w:hint="eastAsia" w:ascii="宋体" w:hAnsi="宋体" w:eastAsia="宋体" w:cs="宋体"/>
          <w:bCs/>
          <w:sz w:val="24"/>
          <w:szCs w:val="24"/>
          <w:lang w:eastAsia="zh-CN"/>
        </w:rPr>
        <w:t>成交供应商</w:t>
      </w:r>
      <w:r>
        <w:rPr>
          <w:rFonts w:hint="eastAsia" w:ascii="宋体" w:hAnsi="宋体" w:eastAsia="宋体" w:cs="宋体"/>
          <w:bCs/>
          <w:sz w:val="24"/>
          <w:szCs w:val="24"/>
        </w:rPr>
        <w:t>，也可以重新招标。对于无正当理由放弃中标的中标候选人，</w:t>
      </w:r>
      <w:r>
        <w:rPr>
          <w:rFonts w:hint="eastAsia" w:ascii="宋体" w:hAnsi="宋体" w:eastAsia="宋体" w:cs="宋体"/>
          <w:bCs/>
          <w:sz w:val="24"/>
          <w:szCs w:val="24"/>
          <w:lang w:val="en-US" w:eastAsia="zh-CN"/>
        </w:rPr>
        <w:t>采购人</w:t>
      </w:r>
      <w:r>
        <w:rPr>
          <w:rFonts w:hint="eastAsia" w:ascii="宋体" w:hAnsi="宋体" w:eastAsia="宋体" w:cs="宋体"/>
          <w:bCs/>
          <w:sz w:val="24"/>
          <w:szCs w:val="24"/>
        </w:rPr>
        <w:t>可以要求其赔偿实际损失。</w:t>
      </w:r>
    </w:p>
    <w:p w14:paraId="14BA579C">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bCs/>
          <w:sz w:val="24"/>
          <w:szCs w:val="24"/>
        </w:rPr>
      </w:pPr>
      <w:r>
        <w:rPr>
          <w:rFonts w:hint="eastAsia" w:ascii="宋体" w:hAnsi="宋体" w:eastAsia="宋体" w:cs="宋体"/>
          <w:bCs/>
          <w:sz w:val="24"/>
          <w:szCs w:val="24"/>
        </w:rPr>
        <w:t>28.付款方式：见合同主要条款。</w:t>
      </w:r>
    </w:p>
    <w:p w14:paraId="19F12DC5">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bCs/>
          <w:sz w:val="24"/>
          <w:szCs w:val="24"/>
        </w:rPr>
      </w:pPr>
      <w:r>
        <w:rPr>
          <w:rFonts w:hint="eastAsia" w:ascii="宋体" w:hAnsi="宋体" w:eastAsia="宋体" w:cs="宋体"/>
          <w:bCs/>
          <w:sz w:val="24"/>
          <w:szCs w:val="24"/>
        </w:rPr>
        <w:t>29.采购代理服务费</w:t>
      </w:r>
    </w:p>
    <w:p w14:paraId="7A89D82D">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bookmarkStart w:id="584" w:name="_Toc26749"/>
      <w:bookmarkStart w:id="585" w:name="_Toc366144040"/>
      <w:bookmarkStart w:id="586" w:name="_Toc31746"/>
      <w:bookmarkStart w:id="587" w:name="_Toc11236"/>
      <w:bookmarkStart w:id="588" w:name="_Toc356371441"/>
      <w:bookmarkStart w:id="589" w:name="_Toc1171"/>
      <w:bookmarkStart w:id="590" w:name="_Toc19656"/>
      <w:bookmarkStart w:id="591" w:name="_Toc10535"/>
      <w:bookmarkStart w:id="592" w:name="_Toc25612"/>
      <w:bookmarkStart w:id="593" w:name="_Toc23307"/>
      <w:bookmarkStart w:id="594" w:name="_Toc32460"/>
      <w:bookmarkStart w:id="595" w:name="_Toc16590"/>
      <w:bookmarkStart w:id="596" w:name="_Toc16318"/>
      <w:bookmarkStart w:id="597" w:name="_Toc391298961"/>
      <w:bookmarkStart w:id="598" w:name="_Toc12922"/>
      <w:bookmarkStart w:id="599" w:name="_Toc7744"/>
      <w:r>
        <w:rPr>
          <w:rFonts w:hint="eastAsia" w:ascii="宋体" w:hAnsi="宋体" w:eastAsia="宋体" w:cs="宋体"/>
          <w:bCs/>
          <w:sz w:val="24"/>
          <w:szCs w:val="24"/>
        </w:rPr>
        <w:t>29</w:t>
      </w:r>
      <w:r>
        <w:rPr>
          <w:rFonts w:hint="eastAsia" w:ascii="宋体" w:hAnsi="宋体" w:eastAsia="宋体" w:cs="宋体"/>
          <w:bCs/>
          <w:sz w:val="24"/>
          <w:szCs w:val="24"/>
          <w:lang w:val="zh-CN"/>
        </w:rPr>
        <w:t>.1</w:t>
      </w:r>
      <w:bookmarkStart w:id="600" w:name="OLE_LINK6"/>
      <w:r>
        <w:rPr>
          <w:rFonts w:hint="eastAsia" w:ascii="宋体" w:hAnsi="宋体"/>
          <w:bCs/>
          <w:color w:val="auto"/>
          <w:lang w:val="zh-CN"/>
        </w:rPr>
        <w:t>本项目招标代理费参照《招标代理服务收费管理暂行办法》（国家计委计价格</w:t>
      </w:r>
      <w:r>
        <w:rPr>
          <w:rFonts w:hint="eastAsia" w:ascii="宋体" w:hAnsi="宋体"/>
          <w:bCs/>
          <w:color w:val="auto"/>
        </w:rPr>
        <w:t>〔2002〕</w:t>
      </w:r>
      <w:r>
        <w:rPr>
          <w:rFonts w:hint="eastAsia" w:ascii="宋体" w:hAnsi="宋体"/>
          <w:bCs/>
          <w:color w:val="auto"/>
          <w:lang w:val="zh-CN"/>
        </w:rPr>
        <w:t>1980号）文件标准收费额计取，</w:t>
      </w:r>
      <w:r>
        <w:rPr>
          <w:rFonts w:hint="eastAsia" w:ascii="宋体" w:hAnsi="宋体" w:eastAsia="宋体" w:cs="宋体"/>
        </w:rPr>
        <w:t>由</w:t>
      </w:r>
      <w:r>
        <w:rPr>
          <w:rFonts w:hint="eastAsia" w:ascii="宋体" w:hAnsi="宋体" w:eastAsia="宋体" w:cs="宋体"/>
          <w:lang w:eastAsia="zh-CN"/>
        </w:rPr>
        <w:t>成交供应商</w:t>
      </w:r>
      <w:r>
        <w:rPr>
          <w:rFonts w:hint="eastAsia" w:ascii="宋体" w:hAnsi="宋体" w:eastAsia="宋体" w:cs="宋体"/>
        </w:rPr>
        <w:t>支付，在领取</w:t>
      </w:r>
      <w:r>
        <w:rPr>
          <w:rFonts w:hint="eastAsia" w:ascii="宋体" w:hAnsi="宋体" w:cs="宋体"/>
          <w:lang w:val="en-US" w:eastAsia="zh-CN"/>
        </w:rPr>
        <w:t>成交</w:t>
      </w:r>
      <w:r>
        <w:rPr>
          <w:rFonts w:hint="eastAsia" w:ascii="宋体" w:hAnsi="宋体" w:eastAsia="宋体" w:cs="宋体"/>
        </w:rPr>
        <w:t>通知书时交与招标代理机构。</w:t>
      </w:r>
    </w:p>
    <w:bookmarkEnd w:id="600"/>
    <w:p w14:paraId="4C206356">
      <w:pPr>
        <w:pStyle w:val="30"/>
        <w:keepNext w:val="0"/>
        <w:keepLines w:val="0"/>
        <w:pageBreakBefore w:val="0"/>
        <w:numPr>
          <w:ilvl w:val="-1"/>
          <w:numId w:val="0"/>
        </w:numPr>
        <w:tabs>
          <w:tab w:val="left" w:pos="171"/>
        </w:tabs>
        <w:kinsoku/>
        <w:wordWrap/>
        <w:overflowPunct/>
        <w:topLinePunct w:val="0"/>
        <w:autoSpaceDE/>
        <w:autoSpaceDN/>
        <w:bidi w:val="0"/>
        <w:spacing w:line="312" w:lineRule="auto"/>
        <w:ind w:left="0" w:leftChars="0" w:firstLine="480" w:firstLineChars="200"/>
        <w:textAlignment w:val="auto"/>
        <w:rPr>
          <w:rFonts w:hint="eastAsia" w:ascii="宋体" w:hAnsi="宋体" w:eastAsia="宋体" w:cs="宋体"/>
          <w:u w:val="none"/>
          <w:lang w:bidi="ar"/>
        </w:rPr>
      </w:pPr>
      <w:r>
        <w:rPr>
          <w:rFonts w:hint="eastAsia" w:ascii="宋体" w:hAnsi="宋体" w:eastAsia="宋体" w:cs="宋体"/>
          <w:u w:val="none"/>
          <w:lang w:val="en-US" w:eastAsia="zh-CN" w:bidi="ar"/>
        </w:rPr>
        <w:t>29.2</w:t>
      </w:r>
      <w:bookmarkStart w:id="601" w:name="OLE_LINK8"/>
      <w:r>
        <w:rPr>
          <w:rFonts w:hint="eastAsia" w:ascii="宋体" w:hAnsi="宋体" w:eastAsia="宋体" w:cs="宋体"/>
          <w:u w:val="none"/>
          <w:lang w:bidi="ar"/>
        </w:rPr>
        <w:t>评委费按实结算，</w:t>
      </w:r>
      <w:r>
        <w:rPr>
          <w:rFonts w:hint="eastAsia" w:ascii="宋体" w:hAnsi="宋体" w:eastAsia="宋体" w:cs="宋体"/>
          <w:lang w:val="zh-CN" w:eastAsia="zh-CN"/>
        </w:rPr>
        <w:t>由</w:t>
      </w:r>
      <w:r>
        <w:rPr>
          <w:rFonts w:hint="eastAsia" w:ascii="宋体" w:hAnsi="宋体" w:cs="宋体"/>
          <w:lang w:val="en-US" w:eastAsia="zh-CN"/>
        </w:rPr>
        <w:t>成交供应商</w:t>
      </w:r>
      <w:r>
        <w:rPr>
          <w:rFonts w:hint="eastAsia" w:ascii="宋体" w:hAnsi="宋体" w:eastAsia="宋体" w:cs="宋体"/>
          <w:lang w:val="zh-CN" w:eastAsia="zh-CN"/>
        </w:rPr>
        <w:t>支付</w:t>
      </w:r>
      <w:r>
        <w:rPr>
          <w:rFonts w:hint="eastAsia" w:ascii="宋体" w:hAnsi="宋体" w:eastAsia="宋体" w:cs="宋体"/>
          <w:u w:val="none"/>
          <w:lang w:bidi="ar"/>
        </w:rPr>
        <w:t>。</w:t>
      </w:r>
      <w:bookmarkEnd w:id="601"/>
    </w:p>
    <w:p w14:paraId="07469984">
      <w:pPr>
        <w:pStyle w:val="30"/>
        <w:keepNext w:val="0"/>
        <w:keepLines w:val="0"/>
        <w:pageBreakBefore w:val="0"/>
        <w:numPr>
          <w:ilvl w:val="-1"/>
          <w:numId w:val="0"/>
        </w:numPr>
        <w:tabs>
          <w:tab w:val="left" w:pos="171"/>
        </w:tabs>
        <w:kinsoku/>
        <w:wordWrap/>
        <w:overflowPunct/>
        <w:topLinePunct w:val="0"/>
        <w:autoSpaceDE/>
        <w:autoSpaceDN/>
        <w:bidi w:val="0"/>
        <w:spacing w:line="312" w:lineRule="auto"/>
        <w:ind w:left="0" w:leftChars="0" w:firstLine="480" w:firstLineChars="200"/>
        <w:textAlignment w:val="auto"/>
        <w:rPr>
          <w:rFonts w:hint="eastAsia" w:ascii="宋体" w:hAnsi="宋体" w:eastAsia="宋体" w:cs="宋体"/>
          <w:u w:val="none"/>
          <w:lang w:bidi="ar"/>
        </w:rPr>
      </w:pPr>
      <w:r>
        <w:rPr>
          <w:rFonts w:hint="eastAsia" w:ascii="宋体" w:hAnsi="宋体" w:eastAsia="宋体" w:cs="宋体"/>
          <w:u w:val="none"/>
          <w:lang w:val="en-US" w:eastAsia="zh-CN" w:bidi="ar"/>
        </w:rPr>
        <w:t>29.</w:t>
      </w:r>
      <w:bookmarkStart w:id="602" w:name="OLE_LINK7"/>
      <w:r>
        <w:rPr>
          <w:rFonts w:hint="eastAsia" w:ascii="宋体" w:hAnsi="宋体" w:eastAsia="宋体" w:cs="宋体"/>
          <w:u w:val="none"/>
          <w:lang w:val="en-US" w:eastAsia="zh-CN" w:bidi="ar"/>
        </w:rPr>
        <w:t>3</w:t>
      </w:r>
      <w:r>
        <w:rPr>
          <w:rFonts w:hint="eastAsia" w:ascii="宋体" w:hAnsi="宋体" w:eastAsia="宋体" w:cs="宋体"/>
          <w:u w:val="none"/>
          <w:lang w:bidi="ar"/>
        </w:rPr>
        <w:t>若出现终止采购情形的，上述费用由采购人支付。</w:t>
      </w:r>
      <w:bookmarkEnd w:id="602"/>
    </w:p>
    <w:p w14:paraId="6D60D1F8">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bookmarkStart w:id="603" w:name="_Toc8017"/>
      <w:bookmarkStart w:id="604" w:name="_Toc5073"/>
      <w:bookmarkStart w:id="605" w:name="_Toc7269"/>
      <w:bookmarkStart w:id="606" w:name="_Toc24934"/>
      <w:bookmarkStart w:id="607" w:name="_Toc21379"/>
      <w:bookmarkStart w:id="608" w:name="_Toc16495"/>
      <w:bookmarkStart w:id="609" w:name="_Toc21388"/>
      <w:bookmarkStart w:id="610" w:name="_Toc831"/>
      <w:bookmarkStart w:id="611" w:name="_Toc29020"/>
      <w:bookmarkStart w:id="612" w:name="_Toc3372"/>
      <w:bookmarkStart w:id="613" w:name="_Toc30984"/>
      <w:bookmarkStart w:id="614" w:name="_Toc18124"/>
      <w:bookmarkStart w:id="615" w:name="_Toc17331"/>
      <w:bookmarkStart w:id="616" w:name="_Toc28896"/>
      <w:bookmarkStart w:id="617" w:name="_Toc8016"/>
      <w:bookmarkStart w:id="618" w:name="_Toc19042"/>
      <w:bookmarkStart w:id="619" w:name="_Toc6214"/>
      <w:bookmarkStart w:id="620" w:name="_Toc17768"/>
      <w:bookmarkStart w:id="621" w:name="_Toc17717"/>
      <w:bookmarkStart w:id="622" w:name="_Toc3774"/>
      <w:r>
        <w:rPr>
          <w:rFonts w:hint="eastAsia" w:ascii="宋体" w:hAnsi="宋体" w:eastAsia="宋体" w:cs="宋体"/>
        </w:rPr>
        <w:t>以上费用不在报价中单列，请供应商在报价中予以考虑。</w:t>
      </w:r>
    </w:p>
    <w:p w14:paraId="2A527BB5">
      <w:pPr>
        <w:pStyle w:val="2"/>
        <w:keepNext w:val="0"/>
        <w:keepLines w:val="0"/>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rPr>
      </w:pPr>
      <w:bookmarkStart w:id="623" w:name="_Toc8169"/>
      <w:bookmarkStart w:id="624" w:name="_Toc17850"/>
      <w:bookmarkStart w:id="625" w:name="_Toc7596"/>
      <w:bookmarkStart w:id="626" w:name="_Toc32726"/>
      <w:bookmarkStart w:id="627" w:name="_Toc13764"/>
      <w:bookmarkStart w:id="628" w:name="_Toc12693"/>
      <w:bookmarkStart w:id="629" w:name="_Toc23437"/>
      <w:r>
        <w:rPr>
          <w:rFonts w:hint="eastAsia" w:ascii="宋体" w:hAnsi="宋体" w:eastAsia="宋体" w:cs="宋体"/>
          <w:sz w:val="28"/>
          <w:szCs w:val="28"/>
          <w:lang w:val="en-US" w:eastAsia="zh-CN"/>
        </w:rPr>
        <w:t>十</w:t>
      </w:r>
      <w:r>
        <w:rPr>
          <w:rFonts w:hint="eastAsia" w:ascii="宋体" w:hAnsi="宋体" w:eastAsia="宋体" w:cs="宋体"/>
          <w:b/>
          <w:bCs w:val="0"/>
          <w:sz w:val="28"/>
          <w:szCs w:val="28"/>
        </w:rPr>
        <w:t>、法律责任</w:t>
      </w:r>
      <w:bookmarkEnd w:id="584"/>
      <w:bookmarkEnd w:id="585"/>
      <w:bookmarkEnd w:id="586"/>
      <w:bookmarkEnd w:id="587"/>
      <w:bookmarkEnd w:id="588"/>
      <w:bookmarkEnd w:id="589"/>
      <w:bookmarkEnd w:id="590"/>
      <w:bookmarkEnd w:id="591"/>
      <w:bookmarkEnd w:id="592"/>
      <w:bookmarkEnd w:id="593"/>
      <w:bookmarkEnd w:id="594"/>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p>
    <w:p w14:paraId="085E1A26">
      <w:pPr>
        <w:keepNext w:val="0"/>
        <w:keepLines w:val="0"/>
        <w:pageBreakBefore w:val="0"/>
        <w:kinsoku/>
        <w:wordWrap/>
        <w:overflowPunct/>
        <w:topLinePunct w:val="0"/>
        <w:autoSpaceDE/>
        <w:autoSpaceDN/>
        <w:bidi w:val="0"/>
        <w:snapToGrid w:val="0"/>
        <w:spacing w:line="312" w:lineRule="auto"/>
        <w:ind w:firstLine="480"/>
        <w:textAlignment w:val="auto"/>
        <w:rPr>
          <w:rFonts w:hint="eastAsia" w:ascii="宋体" w:hAnsi="宋体" w:eastAsia="宋体" w:cs="宋体"/>
        </w:rPr>
      </w:pPr>
      <w:r>
        <w:rPr>
          <w:rFonts w:hint="eastAsia" w:ascii="宋体" w:hAnsi="宋体" w:eastAsia="宋体" w:cs="宋体"/>
        </w:rPr>
        <w:t>30.供应商有下列情形之一的</w:t>
      </w:r>
      <w:r>
        <w:rPr>
          <w:rFonts w:hint="eastAsia" w:ascii="宋体" w:hAnsi="宋体" w:cs="宋体"/>
          <w:lang w:eastAsia="zh-CN"/>
        </w:rPr>
        <w:t>，</w:t>
      </w:r>
      <w:r>
        <w:rPr>
          <w:rFonts w:hint="eastAsia" w:ascii="宋体" w:hAnsi="宋体" w:eastAsia="宋体" w:cs="宋体"/>
        </w:rPr>
        <w:t>处以</w:t>
      </w:r>
      <w:r>
        <w:rPr>
          <w:rFonts w:hint="eastAsia" w:ascii="宋体" w:hAnsi="宋体" w:eastAsia="宋体" w:cs="宋体"/>
          <w:lang w:eastAsia="zh-CN"/>
        </w:rPr>
        <w:t>采购</w:t>
      </w:r>
      <w:r>
        <w:rPr>
          <w:rFonts w:hint="eastAsia" w:ascii="宋体" w:hAnsi="宋体" w:eastAsia="宋体" w:cs="宋体"/>
        </w:rPr>
        <w:t>项目</w:t>
      </w:r>
      <w:r>
        <w:rPr>
          <w:rFonts w:hint="eastAsia" w:ascii="宋体" w:hAnsi="宋体" w:eastAsia="宋体" w:cs="宋体"/>
          <w:lang w:eastAsia="zh-CN"/>
        </w:rPr>
        <w:t>成交</w:t>
      </w:r>
      <w:r>
        <w:rPr>
          <w:rFonts w:hint="eastAsia" w:ascii="宋体" w:hAnsi="宋体" w:eastAsia="宋体" w:cs="宋体"/>
        </w:rPr>
        <w:t>金额千分之五以上千分之十以下的罚款</w:t>
      </w:r>
      <w:r>
        <w:rPr>
          <w:rFonts w:hint="eastAsia" w:ascii="宋体" w:hAnsi="宋体" w:cs="宋体"/>
          <w:lang w:eastAsia="zh-CN"/>
        </w:rPr>
        <w:t>，</w:t>
      </w:r>
      <w:r>
        <w:rPr>
          <w:rFonts w:hint="eastAsia" w:ascii="宋体" w:hAnsi="宋体" w:eastAsia="宋体" w:cs="宋体"/>
        </w:rPr>
        <w:t>列入不良行为记录名单</w:t>
      </w:r>
      <w:r>
        <w:rPr>
          <w:rFonts w:hint="eastAsia" w:ascii="宋体" w:hAnsi="宋体" w:cs="宋体"/>
          <w:lang w:eastAsia="zh-CN"/>
        </w:rPr>
        <w:t>，</w:t>
      </w:r>
      <w:r>
        <w:rPr>
          <w:rFonts w:hint="eastAsia" w:ascii="宋体" w:hAnsi="宋体" w:eastAsia="宋体" w:cs="宋体"/>
        </w:rPr>
        <w:t>在一至三年内禁止参加</w:t>
      </w:r>
      <w:r>
        <w:rPr>
          <w:rFonts w:hint="eastAsia" w:ascii="宋体" w:hAnsi="宋体" w:eastAsia="宋体" w:cs="宋体"/>
          <w:lang w:eastAsia="zh-CN"/>
        </w:rPr>
        <w:t>采购</w:t>
      </w:r>
      <w:r>
        <w:rPr>
          <w:rFonts w:hint="eastAsia" w:ascii="宋体" w:hAnsi="宋体" w:eastAsia="宋体" w:cs="宋体"/>
        </w:rPr>
        <w:t>活动</w:t>
      </w:r>
      <w:r>
        <w:rPr>
          <w:rFonts w:hint="eastAsia" w:ascii="宋体" w:hAnsi="宋体" w:cs="宋体"/>
          <w:lang w:eastAsia="zh-CN"/>
        </w:rPr>
        <w:t>，</w:t>
      </w:r>
      <w:r>
        <w:rPr>
          <w:rFonts w:hint="eastAsia" w:ascii="宋体" w:hAnsi="宋体" w:eastAsia="宋体" w:cs="宋体"/>
        </w:rPr>
        <w:t>并予以公告</w:t>
      </w:r>
      <w:r>
        <w:rPr>
          <w:rFonts w:hint="eastAsia" w:ascii="宋体" w:hAnsi="宋体" w:cs="宋体"/>
          <w:lang w:eastAsia="zh-CN"/>
        </w:rPr>
        <w:t>，</w:t>
      </w:r>
      <w:r>
        <w:rPr>
          <w:rFonts w:hint="eastAsia" w:ascii="宋体" w:hAnsi="宋体" w:eastAsia="宋体" w:cs="宋体"/>
        </w:rPr>
        <w:t>有违法所得的</w:t>
      </w:r>
      <w:r>
        <w:rPr>
          <w:rFonts w:hint="eastAsia" w:ascii="宋体" w:hAnsi="宋体" w:cs="宋体"/>
          <w:lang w:eastAsia="zh-CN"/>
        </w:rPr>
        <w:t>，</w:t>
      </w:r>
      <w:r>
        <w:rPr>
          <w:rFonts w:hint="eastAsia" w:ascii="宋体" w:hAnsi="宋体" w:eastAsia="宋体" w:cs="宋体"/>
        </w:rPr>
        <w:t>并处没收违法所得</w:t>
      </w:r>
      <w:r>
        <w:rPr>
          <w:rFonts w:hint="eastAsia" w:ascii="宋体" w:hAnsi="宋体" w:cs="宋体"/>
          <w:lang w:eastAsia="zh-CN"/>
        </w:rPr>
        <w:t>，</w:t>
      </w:r>
      <w:r>
        <w:rPr>
          <w:rFonts w:hint="eastAsia" w:ascii="宋体" w:hAnsi="宋体" w:eastAsia="宋体" w:cs="宋体"/>
        </w:rPr>
        <w:t>情节严重的</w:t>
      </w:r>
      <w:r>
        <w:rPr>
          <w:rFonts w:hint="eastAsia" w:ascii="宋体" w:hAnsi="宋体" w:cs="宋体"/>
          <w:lang w:eastAsia="zh-CN"/>
        </w:rPr>
        <w:t>，</w:t>
      </w:r>
      <w:r>
        <w:rPr>
          <w:rFonts w:hint="eastAsia" w:ascii="宋体" w:hAnsi="宋体" w:eastAsia="宋体" w:cs="宋体"/>
        </w:rPr>
        <w:t>由工商行政管理机关吊销营业执照</w:t>
      </w:r>
      <w:r>
        <w:rPr>
          <w:rFonts w:hint="eastAsia" w:ascii="宋体" w:hAnsi="宋体" w:cs="宋体"/>
          <w:lang w:eastAsia="zh-CN"/>
        </w:rPr>
        <w:t>；</w:t>
      </w:r>
      <w:r>
        <w:rPr>
          <w:rFonts w:hint="eastAsia" w:ascii="宋体" w:hAnsi="宋体" w:eastAsia="宋体" w:cs="宋体"/>
        </w:rPr>
        <w:t>构成犯罪的</w:t>
      </w:r>
      <w:r>
        <w:rPr>
          <w:rFonts w:hint="eastAsia" w:ascii="宋体" w:hAnsi="宋体" w:cs="宋体"/>
          <w:lang w:eastAsia="zh-CN"/>
        </w:rPr>
        <w:t>，</w:t>
      </w:r>
      <w:r>
        <w:rPr>
          <w:rFonts w:hint="eastAsia" w:ascii="宋体" w:hAnsi="宋体" w:eastAsia="宋体" w:cs="宋体"/>
        </w:rPr>
        <w:t>依法追究刑事责任</w:t>
      </w:r>
      <w:r>
        <w:rPr>
          <w:rFonts w:hint="eastAsia" w:ascii="宋体" w:hAnsi="宋体" w:cs="宋体"/>
          <w:lang w:eastAsia="zh-CN"/>
        </w:rPr>
        <w:t>：</w:t>
      </w:r>
    </w:p>
    <w:p w14:paraId="2E554A51">
      <w:pPr>
        <w:keepNext w:val="0"/>
        <w:keepLines w:val="0"/>
        <w:pageBreakBefore w:val="0"/>
        <w:kinsoku/>
        <w:wordWrap/>
        <w:overflowPunct/>
        <w:topLinePunct w:val="0"/>
        <w:autoSpaceDE/>
        <w:autoSpaceDN/>
        <w:bidi w:val="0"/>
        <w:snapToGrid w:val="0"/>
        <w:spacing w:line="312" w:lineRule="auto"/>
        <w:ind w:firstLine="480"/>
        <w:textAlignment w:val="auto"/>
        <w:rPr>
          <w:rFonts w:hint="eastAsia" w:ascii="宋体" w:hAnsi="宋体" w:eastAsia="宋体" w:cs="宋体"/>
          <w:lang w:eastAsia="zh-CN"/>
        </w:rPr>
      </w:pPr>
      <w:r>
        <w:rPr>
          <w:rFonts w:hint="eastAsia" w:ascii="宋体" w:hAnsi="宋体" w:eastAsia="宋体" w:cs="宋体"/>
        </w:rPr>
        <w:t>30.1提供虚假材料谋取</w:t>
      </w:r>
      <w:r>
        <w:rPr>
          <w:rFonts w:hint="eastAsia" w:ascii="宋体" w:hAnsi="宋体" w:eastAsia="宋体" w:cs="宋体"/>
          <w:lang w:eastAsia="zh-CN"/>
        </w:rPr>
        <w:t>成交</w:t>
      </w:r>
      <w:r>
        <w:rPr>
          <w:rFonts w:hint="eastAsia" w:ascii="宋体" w:hAnsi="宋体" w:eastAsia="宋体" w:cs="宋体"/>
        </w:rPr>
        <w:t>的</w:t>
      </w:r>
      <w:r>
        <w:rPr>
          <w:rFonts w:hint="eastAsia" w:ascii="宋体" w:hAnsi="宋体" w:eastAsia="宋体" w:cs="宋体"/>
          <w:lang w:eastAsia="zh-CN"/>
        </w:rPr>
        <w:t>；</w:t>
      </w:r>
    </w:p>
    <w:p w14:paraId="6F784212">
      <w:pPr>
        <w:keepNext w:val="0"/>
        <w:keepLines w:val="0"/>
        <w:pageBreakBefore w:val="0"/>
        <w:kinsoku/>
        <w:wordWrap/>
        <w:overflowPunct/>
        <w:topLinePunct w:val="0"/>
        <w:autoSpaceDE/>
        <w:autoSpaceDN/>
        <w:bidi w:val="0"/>
        <w:snapToGrid w:val="0"/>
        <w:spacing w:line="312" w:lineRule="auto"/>
        <w:ind w:firstLine="480"/>
        <w:textAlignment w:val="auto"/>
        <w:rPr>
          <w:rFonts w:hint="eastAsia" w:ascii="宋体" w:hAnsi="宋体" w:eastAsia="宋体" w:cs="宋体"/>
          <w:lang w:eastAsia="zh-CN"/>
        </w:rPr>
      </w:pPr>
      <w:r>
        <w:rPr>
          <w:rFonts w:hint="eastAsia" w:ascii="宋体" w:hAnsi="宋体" w:eastAsia="宋体" w:cs="宋体"/>
          <w:color w:val="000000"/>
        </w:rPr>
        <w:t>30.2采取</w:t>
      </w:r>
      <w:r>
        <w:rPr>
          <w:rFonts w:hint="eastAsia" w:ascii="宋体" w:hAnsi="宋体" w:eastAsia="宋体" w:cs="宋体"/>
        </w:rPr>
        <w:t>不正当手段诋毁、排挤其他供应商的</w:t>
      </w:r>
      <w:r>
        <w:rPr>
          <w:rFonts w:hint="eastAsia" w:ascii="宋体" w:hAnsi="宋体" w:eastAsia="宋体" w:cs="宋体"/>
          <w:lang w:eastAsia="zh-CN"/>
        </w:rPr>
        <w:t>；</w:t>
      </w:r>
    </w:p>
    <w:p w14:paraId="32095FE0">
      <w:pPr>
        <w:keepNext w:val="0"/>
        <w:keepLines w:val="0"/>
        <w:pageBreakBefore w:val="0"/>
        <w:kinsoku/>
        <w:wordWrap/>
        <w:overflowPunct/>
        <w:topLinePunct w:val="0"/>
        <w:autoSpaceDE/>
        <w:autoSpaceDN/>
        <w:bidi w:val="0"/>
        <w:snapToGrid w:val="0"/>
        <w:spacing w:line="312" w:lineRule="auto"/>
        <w:ind w:firstLine="480"/>
        <w:textAlignment w:val="auto"/>
        <w:rPr>
          <w:rFonts w:hint="eastAsia" w:ascii="宋体" w:hAnsi="宋体" w:eastAsia="宋体" w:cs="宋体"/>
          <w:lang w:eastAsia="zh-CN"/>
        </w:rPr>
      </w:pPr>
      <w:r>
        <w:rPr>
          <w:rFonts w:hint="eastAsia" w:ascii="宋体" w:hAnsi="宋体" w:eastAsia="宋体" w:cs="宋体"/>
        </w:rPr>
        <w:t>30.3与采购人、采购代理机构、其他供应商恶意串通的</w:t>
      </w:r>
      <w:r>
        <w:rPr>
          <w:rFonts w:hint="eastAsia" w:ascii="宋体" w:hAnsi="宋体" w:eastAsia="宋体" w:cs="宋体"/>
          <w:lang w:eastAsia="zh-CN"/>
        </w:rPr>
        <w:t>；</w:t>
      </w:r>
    </w:p>
    <w:p w14:paraId="7501D390">
      <w:pPr>
        <w:keepNext w:val="0"/>
        <w:keepLines w:val="0"/>
        <w:pageBreakBefore w:val="0"/>
        <w:kinsoku/>
        <w:wordWrap/>
        <w:overflowPunct/>
        <w:topLinePunct w:val="0"/>
        <w:autoSpaceDE/>
        <w:autoSpaceDN/>
        <w:bidi w:val="0"/>
        <w:snapToGrid w:val="0"/>
        <w:spacing w:line="312" w:lineRule="auto"/>
        <w:ind w:firstLine="480"/>
        <w:textAlignment w:val="auto"/>
        <w:rPr>
          <w:rFonts w:hint="eastAsia" w:ascii="宋体" w:hAnsi="宋体" w:eastAsia="宋体" w:cs="宋体"/>
          <w:lang w:eastAsia="zh-CN"/>
        </w:rPr>
      </w:pPr>
      <w:r>
        <w:rPr>
          <w:rFonts w:hint="eastAsia" w:ascii="宋体" w:hAnsi="宋体" w:eastAsia="宋体" w:cs="宋体"/>
        </w:rPr>
        <w:t>30.4向采购人、采购代理机构行贿或者提供其他不正当利益的</w:t>
      </w:r>
      <w:r>
        <w:rPr>
          <w:rFonts w:hint="eastAsia" w:ascii="宋体" w:hAnsi="宋体" w:eastAsia="宋体" w:cs="宋体"/>
          <w:lang w:eastAsia="zh-CN"/>
        </w:rPr>
        <w:t>；</w:t>
      </w:r>
    </w:p>
    <w:p w14:paraId="2E1AEA2C">
      <w:pPr>
        <w:keepNext w:val="0"/>
        <w:keepLines w:val="0"/>
        <w:pageBreakBefore w:val="0"/>
        <w:kinsoku/>
        <w:wordWrap/>
        <w:overflowPunct/>
        <w:topLinePunct w:val="0"/>
        <w:autoSpaceDE/>
        <w:autoSpaceDN/>
        <w:bidi w:val="0"/>
        <w:snapToGrid w:val="0"/>
        <w:spacing w:line="312" w:lineRule="auto"/>
        <w:ind w:firstLine="480"/>
        <w:textAlignment w:val="auto"/>
        <w:rPr>
          <w:rFonts w:hint="eastAsia" w:ascii="宋体" w:hAnsi="宋体" w:eastAsia="宋体" w:cs="宋体"/>
          <w:lang w:eastAsia="zh-CN"/>
        </w:rPr>
      </w:pPr>
      <w:r>
        <w:rPr>
          <w:rFonts w:hint="eastAsia" w:ascii="宋体" w:hAnsi="宋体" w:eastAsia="宋体" w:cs="宋体"/>
        </w:rPr>
        <w:t>30.5在磋商过程中与采购人进行协商磋商、不按照磋商文件和成交供应商的磋商响应文件订立合同</w:t>
      </w:r>
      <w:r>
        <w:rPr>
          <w:rFonts w:hint="eastAsia" w:ascii="宋体" w:hAnsi="宋体" w:cs="宋体"/>
          <w:lang w:eastAsia="zh-CN"/>
        </w:rPr>
        <w:t>，</w:t>
      </w:r>
      <w:r>
        <w:rPr>
          <w:rFonts w:hint="eastAsia" w:ascii="宋体" w:hAnsi="宋体" w:eastAsia="宋体" w:cs="宋体"/>
        </w:rPr>
        <w:t>或者与采购人另行订立背离合同实质性内容的协议的</w:t>
      </w:r>
      <w:r>
        <w:rPr>
          <w:rFonts w:hint="eastAsia" w:ascii="宋体" w:hAnsi="宋体" w:eastAsia="宋体" w:cs="宋体"/>
          <w:lang w:eastAsia="zh-CN"/>
        </w:rPr>
        <w:t>；</w:t>
      </w:r>
    </w:p>
    <w:p w14:paraId="135F4EA3">
      <w:pPr>
        <w:keepNext w:val="0"/>
        <w:keepLines w:val="0"/>
        <w:pageBreakBefore w:val="0"/>
        <w:kinsoku/>
        <w:wordWrap/>
        <w:overflowPunct/>
        <w:topLinePunct w:val="0"/>
        <w:autoSpaceDE/>
        <w:autoSpaceDN/>
        <w:bidi w:val="0"/>
        <w:snapToGrid w:val="0"/>
        <w:spacing w:line="312" w:lineRule="auto"/>
        <w:ind w:firstLine="480"/>
        <w:textAlignment w:val="auto"/>
        <w:rPr>
          <w:rFonts w:hint="eastAsia" w:ascii="宋体" w:hAnsi="宋体" w:eastAsia="宋体" w:cs="宋体"/>
          <w:b/>
          <w:color w:val="000000"/>
          <w:lang w:eastAsia="zh-CN"/>
        </w:rPr>
      </w:pPr>
      <w:r>
        <w:rPr>
          <w:rFonts w:hint="eastAsia" w:ascii="宋体" w:hAnsi="宋体" w:eastAsia="宋体" w:cs="宋体"/>
          <w:color w:val="000000"/>
        </w:rPr>
        <w:t>30.6拒绝</w:t>
      </w:r>
      <w:r>
        <w:rPr>
          <w:rFonts w:hint="eastAsia" w:ascii="宋体" w:hAnsi="宋体" w:eastAsia="宋体" w:cs="宋体"/>
        </w:rPr>
        <w:t>有关部门监督检查或者提供虚假情况的</w:t>
      </w:r>
      <w:bookmarkStart w:id="630" w:name="_Toc356371442"/>
      <w:bookmarkStart w:id="631" w:name="_Toc366144042"/>
      <w:r>
        <w:rPr>
          <w:rFonts w:hint="eastAsia" w:ascii="宋体" w:hAnsi="宋体" w:eastAsia="宋体" w:cs="宋体"/>
          <w:lang w:eastAsia="zh-CN"/>
        </w:rPr>
        <w:t>。</w:t>
      </w:r>
    </w:p>
    <w:p w14:paraId="04FF8A80">
      <w:pPr>
        <w:pStyle w:val="2"/>
        <w:keepNext w:val="0"/>
        <w:keepLines w:val="0"/>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rPr>
      </w:pPr>
      <w:bookmarkStart w:id="632" w:name="_Toc21495"/>
      <w:bookmarkStart w:id="633" w:name="_Toc19533"/>
      <w:bookmarkStart w:id="634" w:name="_Toc32408"/>
      <w:bookmarkStart w:id="635" w:name="_Toc30402"/>
      <w:bookmarkStart w:id="636" w:name="_Toc24705"/>
      <w:bookmarkStart w:id="637" w:name="_Toc16607"/>
      <w:bookmarkStart w:id="638" w:name="_Toc12857"/>
      <w:bookmarkStart w:id="639" w:name="_Toc11456"/>
      <w:bookmarkStart w:id="640" w:name="_Toc22546"/>
      <w:bookmarkStart w:id="641" w:name="_Toc25674"/>
      <w:bookmarkStart w:id="642" w:name="_Toc25928"/>
      <w:bookmarkStart w:id="643" w:name="_Toc31117"/>
      <w:bookmarkStart w:id="644" w:name="_Toc7617"/>
      <w:bookmarkStart w:id="645" w:name="_Toc5668"/>
      <w:bookmarkStart w:id="646" w:name="_Toc26738"/>
      <w:bookmarkStart w:id="647" w:name="_Toc27766"/>
      <w:bookmarkStart w:id="648" w:name="_Toc22519"/>
      <w:bookmarkStart w:id="649" w:name="_Toc29343"/>
      <w:bookmarkStart w:id="650" w:name="_Toc29090"/>
      <w:bookmarkStart w:id="651" w:name="_Toc9566"/>
      <w:bookmarkStart w:id="652" w:name="_Toc10243"/>
      <w:bookmarkStart w:id="653" w:name="_Toc22345"/>
      <w:bookmarkStart w:id="654" w:name="_Toc23450"/>
      <w:bookmarkStart w:id="655" w:name="_Toc11086"/>
      <w:bookmarkStart w:id="656" w:name="_Toc17532"/>
      <w:bookmarkStart w:id="657" w:name="_Toc9263"/>
      <w:bookmarkStart w:id="658" w:name="_Toc8943"/>
      <w:bookmarkStart w:id="659" w:name="_Toc22501"/>
      <w:bookmarkStart w:id="660" w:name="_Toc25686"/>
      <w:bookmarkStart w:id="661" w:name="_Toc29689"/>
      <w:bookmarkStart w:id="662" w:name="_Toc20782"/>
      <w:bookmarkStart w:id="663" w:name="_Toc26190"/>
      <w:bookmarkStart w:id="664" w:name="_Toc25883"/>
      <w:bookmarkStart w:id="665" w:name="_Toc18472"/>
      <w:bookmarkStart w:id="666" w:name="_Toc3582"/>
      <w:bookmarkStart w:id="667" w:name="_Toc23367"/>
      <w:bookmarkStart w:id="668" w:name="_Toc11102"/>
      <w:bookmarkStart w:id="669" w:name="_Toc8570"/>
      <w:bookmarkStart w:id="670" w:name="_Toc23468"/>
      <w:bookmarkStart w:id="671" w:name="_Toc23051"/>
      <w:bookmarkStart w:id="672" w:name="_Toc27582"/>
      <w:bookmarkStart w:id="673" w:name="_Toc27206"/>
      <w:bookmarkStart w:id="674" w:name="_Toc26121"/>
      <w:bookmarkStart w:id="675" w:name="_Toc24196"/>
      <w:bookmarkStart w:id="676" w:name="_Toc2501"/>
      <w:bookmarkStart w:id="677" w:name="_Toc26522"/>
      <w:bookmarkStart w:id="678" w:name="_Toc20217"/>
      <w:bookmarkStart w:id="679" w:name="_Toc2010"/>
      <w:bookmarkStart w:id="680" w:name="_Toc32254"/>
      <w:bookmarkStart w:id="681" w:name="_Toc84"/>
      <w:bookmarkStart w:id="682" w:name="_Toc15513"/>
      <w:bookmarkStart w:id="683" w:name="_Toc31011"/>
      <w:bookmarkStart w:id="684" w:name="_Toc8958"/>
      <w:bookmarkStart w:id="685" w:name="_Toc12991"/>
      <w:bookmarkStart w:id="686" w:name="_Toc18234"/>
      <w:bookmarkStart w:id="687" w:name="_Toc22953"/>
      <w:bookmarkStart w:id="688" w:name="_Toc10184"/>
      <w:bookmarkStart w:id="689" w:name="_Toc3748"/>
      <w:bookmarkStart w:id="690" w:name="_Toc22223"/>
      <w:bookmarkStart w:id="691" w:name="_Toc20598"/>
      <w:bookmarkStart w:id="692" w:name="_Toc11060"/>
      <w:bookmarkStart w:id="693" w:name="_Toc26773"/>
      <w:bookmarkStart w:id="694" w:name="_Toc30533"/>
      <w:bookmarkStart w:id="695" w:name="_Toc6276"/>
      <w:bookmarkStart w:id="696" w:name="_Toc8256"/>
      <w:bookmarkStart w:id="697" w:name="_Toc11576"/>
      <w:bookmarkStart w:id="698" w:name="_Toc24148"/>
      <w:bookmarkStart w:id="699" w:name="_Toc5733"/>
      <w:bookmarkStart w:id="700" w:name="_Toc2512"/>
      <w:r>
        <w:rPr>
          <w:rFonts w:hint="eastAsia" w:ascii="宋体" w:hAnsi="宋体" w:eastAsia="宋体" w:cs="宋体"/>
          <w:b/>
          <w:bCs w:val="0"/>
          <w:sz w:val="28"/>
          <w:szCs w:val="28"/>
        </w:rPr>
        <w:t>十</w:t>
      </w:r>
      <w:r>
        <w:rPr>
          <w:rFonts w:hint="eastAsia" w:ascii="宋体" w:hAnsi="宋体" w:eastAsia="宋体" w:cs="宋体"/>
          <w:b/>
          <w:bCs w:val="0"/>
          <w:sz w:val="28"/>
          <w:szCs w:val="28"/>
          <w:lang w:val="en-US" w:eastAsia="zh-CN"/>
        </w:rPr>
        <w:t>一</w:t>
      </w:r>
      <w:r>
        <w:rPr>
          <w:rFonts w:hint="eastAsia" w:ascii="宋体" w:hAnsi="宋体" w:eastAsia="宋体" w:cs="宋体"/>
          <w:b/>
          <w:bCs w:val="0"/>
          <w:sz w:val="28"/>
          <w:szCs w:val="28"/>
        </w:rPr>
        <w:t>、诚信管理</w:t>
      </w:r>
      <w:bookmarkEnd w:id="632"/>
      <w:bookmarkEnd w:id="633"/>
      <w:bookmarkEnd w:id="634"/>
      <w:bookmarkEnd w:id="635"/>
      <w:bookmarkEnd w:id="636"/>
      <w:bookmarkEnd w:id="637"/>
      <w:bookmarkEnd w:id="638"/>
      <w:bookmarkEnd w:id="639"/>
      <w:bookmarkEnd w:id="640"/>
      <w:bookmarkEnd w:id="641"/>
    </w:p>
    <w:p w14:paraId="2C13EC7E">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b/>
          <w:bCs/>
        </w:rPr>
      </w:pPr>
      <w:r>
        <w:rPr>
          <w:rFonts w:hint="eastAsia" w:ascii="宋体" w:hAnsi="宋体" w:eastAsia="宋体" w:cs="宋体"/>
          <w:b/>
          <w:bCs/>
          <w:color w:val="000000"/>
        </w:rPr>
        <w:t>31.供应商有下列情形之一的，依据《关于印发浙江省政府供应商注册及诚信管理暂行办</w:t>
      </w:r>
      <w:r>
        <w:rPr>
          <w:rFonts w:hint="eastAsia" w:ascii="宋体" w:hAnsi="宋体" w:cs="宋体"/>
          <w:b/>
          <w:bCs/>
          <w:color w:val="000000"/>
          <w:lang w:eastAsia="zh-CN"/>
        </w:rPr>
        <w:t>法的</w:t>
      </w:r>
      <w:r>
        <w:rPr>
          <w:rFonts w:hint="eastAsia" w:ascii="宋体" w:hAnsi="宋体" w:eastAsia="宋体" w:cs="宋体"/>
          <w:b/>
          <w:bCs/>
          <w:color w:val="000000"/>
        </w:rPr>
        <w:t>通知》[浙财采监字〔2009〕28号]文件第三十八条和第三十九条的规定记录不良行为、黑名单及处罚</w:t>
      </w:r>
      <w:r>
        <w:rPr>
          <w:rFonts w:hint="eastAsia" w:ascii="宋体" w:hAnsi="宋体" w:eastAsia="宋体" w:cs="宋体"/>
          <w:b/>
          <w:bCs/>
        </w:rPr>
        <w:t>。</w:t>
      </w:r>
    </w:p>
    <w:p w14:paraId="5DDA801E">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color w:val="000000"/>
        </w:rPr>
      </w:pPr>
      <w:r>
        <w:rPr>
          <w:rFonts w:hint="eastAsia" w:ascii="宋体" w:hAnsi="宋体" w:eastAsia="宋体" w:cs="宋体"/>
        </w:rPr>
        <w:t>31.1</w:t>
      </w:r>
      <w:r>
        <w:rPr>
          <w:rFonts w:hint="eastAsia" w:ascii="宋体" w:hAnsi="宋体" w:eastAsia="宋体" w:cs="宋体"/>
          <w:color w:val="000000"/>
        </w:rPr>
        <w:t>第三十八条 注册供应商有下列情形之一的，</w:t>
      </w:r>
      <w:r>
        <w:rPr>
          <w:rFonts w:hint="eastAsia" w:ascii="宋体" w:hAnsi="宋体" w:eastAsia="宋体" w:cs="宋体"/>
          <w:color w:val="000000"/>
          <w:lang w:eastAsia="zh-CN"/>
        </w:rPr>
        <w:t>采购人</w:t>
      </w:r>
      <w:r>
        <w:rPr>
          <w:rFonts w:hint="eastAsia" w:ascii="宋体" w:hAnsi="宋体" w:eastAsia="宋体" w:cs="宋体"/>
          <w:color w:val="000000"/>
        </w:rPr>
        <w:t>或采购代理机构应按不良行为记入该注册供应商诚信档案中：</w:t>
      </w:r>
    </w:p>
    <w:p w14:paraId="3A194F23">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（一）开标后擅自撤回采购</w:t>
      </w:r>
      <w:r>
        <w:rPr>
          <w:rFonts w:hint="eastAsia" w:ascii="宋体" w:hAnsi="宋体" w:cs="宋体"/>
          <w:lang w:eastAsia="zh-CN"/>
        </w:rPr>
        <w:t>响应文件</w:t>
      </w:r>
      <w:r>
        <w:rPr>
          <w:rFonts w:hint="eastAsia" w:ascii="宋体" w:hAnsi="宋体" w:eastAsia="宋体" w:cs="宋体"/>
        </w:rPr>
        <w:t>，或扰乱开标现场，影响采购活动继续进行的；</w:t>
      </w:r>
    </w:p>
    <w:p w14:paraId="5C729B65">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（二）</w:t>
      </w:r>
      <w:r>
        <w:rPr>
          <w:rFonts w:hint="eastAsia" w:ascii="宋体" w:hAnsi="宋体" w:cs="宋体"/>
          <w:lang w:eastAsia="zh-CN"/>
        </w:rPr>
        <w:t>中标、成交</w:t>
      </w:r>
      <w:r>
        <w:rPr>
          <w:rFonts w:hint="eastAsia" w:ascii="宋体" w:hAnsi="宋体" w:eastAsia="宋体" w:cs="宋体"/>
        </w:rPr>
        <w:t>后无正当理由拒绝签订</w:t>
      </w:r>
      <w:r>
        <w:rPr>
          <w:rFonts w:hint="eastAsia" w:ascii="宋体" w:hAnsi="宋体" w:eastAsia="宋体" w:cs="宋体"/>
          <w:lang w:eastAsia="zh-CN"/>
        </w:rPr>
        <w:t>采购</w:t>
      </w:r>
      <w:r>
        <w:rPr>
          <w:rFonts w:hint="eastAsia" w:ascii="宋体" w:hAnsi="宋体" w:eastAsia="宋体" w:cs="宋体"/>
        </w:rPr>
        <w:t>合同，或者与</w:t>
      </w:r>
      <w:r>
        <w:rPr>
          <w:rFonts w:hint="eastAsia" w:ascii="宋体" w:hAnsi="宋体" w:eastAsia="宋体" w:cs="宋体"/>
          <w:lang w:eastAsia="zh-CN"/>
        </w:rPr>
        <w:t>采购人</w:t>
      </w:r>
      <w:r>
        <w:rPr>
          <w:rFonts w:hint="eastAsia" w:ascii="宋体" w:hAnsi="宋体" w:eastAsia="宋体" w:cs="宋体"/>
        </w:rPr>
        <w:t>另行订立背离合同实质内容的协议的；</w:t>
      </w:r>
    </w:p>
    <w:p w14:paraId="4322EACB">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（三）无正当理由拒绝履行合同和有关承诺，或擅自变更、中止（终止）</w:t>
      </w:r>
      <w:r>
        <w:rPr>
          <w:rFonts w:hint="eastAsia" w:ascii="宋体" w:hAnsi="宋体" w:eastAsia="宋体" w:cs="宋体"/>
          <w:lang w:eastAsia="zh-CN"/>
        </w:rPr>
        <w:t>采购</w:t>
      </w:r>
      <w:r>
        <w:rPr>
          <w:rFonts w:hint="eastAsia" w:ascii="宋体" w:hAnsi="宋体" w:eastAsia="宋体" w:cs="宋体"/>
        </w:rPr>
        <w:t>合同的；</w:t>
      </w:r>
    </w:p>
    <w:p w14:paraId="613F6960">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四</w:t>
      </w:r>
      <w:r>
        <w:rPr>
          <w:rFonts w:hint="eastAsia" w:ascii="宋体" w:hAnsi="宋体" w:eastAsia="宋体" w:cs="宋体"/>
        </w:rPr>
        <w:t>）</w:t>
      </w:r>
      <w:r>
        <w:rPr>
          <w:rFonts w:hint="eastAsia" w:ascii="宋体" w:hAnsi="宋体" w:cs="宋体"/>
          <w:lang w:eastAsia="zh-CN"/>
        </w:rPr>
        <w:t>中标、成交</w:t>
      </w:r>
      <w:r>
        <w:rPr>
          <w:rFonts w:hint="eastAsia" w:ascii="宋体" w:hAnsi="宋体" w:eastAsia="宋体" w:cs="宋体"/>
        </w:rPr>
        <w:t>后，将</w:t>
      </w:r>
      <w:r>
        <w:rPr>
          <w:rFonts w:hint="eastAsia" w:ascii="宋体" w:hAnsi="宋体" w:eastAsia="宋体" w:cs="宋体"/>
          <w:lang w:eastAsia="zh-CN"/>
        </w:rPr>
        <w:t>采购</w:t>
      </w:r>
      <w:r>
        <w:rPr>
          <w:rFonts w:hint="eastAsia" w:ascii="宋体" w:hAnsi="宋体" w:eastAsia="宋体" w:cs="宋体"/>
        </w:rPr>
        <w:t>合同转包或擅自分包给其他供应商的；</w:t>
      </w:r>
    </w:p>
    <w:p w14:paraId="01C38E16">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五</w:t>
      </w:r>
      <w:r>
        <w:rPr>
          <w:rFonts w:hint="eastAsia" w:ascii="宋体" w:hAnsi="宋体" w:eastAsia="宋体" w:cs="宋体"/>
        </w:rPr>
        <w:t>）提供假冒伪劣产品或走私物品的；</w:t>
      </w:r>
    </w:p>
    <w:p w14:paraId="419ABEA8">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六</w:t>
      </w:r>
      <w:r>
        <w:rPr>
          <w:rFonts w:hint="eastAsia" w:ascii="宋体" w:hAnsi="宋体" w:eastAsia="宋体" w:cs="宋体"/>
        </w:rPr>
        <w:t>）擅自降低产品质量等次和售后服务，或以次充好、偷工减料的；</w:t>
      </w:r>
    </w:p>
    <w:p w14:paraId="3F0376B9">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七</w:t>
      </w:r>
      <w:r>
        <w:rPr>
          <w:rFonts w:hint="eastAsia" w:ascii="宋体" w:hAnsi="宋体" w:eastAsia="宋体" w:cs="宋体"/>
        </w:rPr>
        <w:t>）实际提供的有关产品性能指标和技术服务能力明显低于采购响应文件或询标、谈判时的承诺；</w:t>
      </w:r>
    </w:p>
    <w:p w14:paraId="0B3DAD8F">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八</w:t>
      </w:r>
      <w:r>
        <w:rPr>
          <w:rFonts w:hint="eastAsia" w:ascii="宋体" w:hAnsi="宋体" w:eastAsia="宋体" w:cs="宋体"/>
        </w:rPr>
        <w:t>）在供应商库中发布的产品服务信息或在政府采购网上宣传的信息与实际明显不符，或故意误导采购人的；</w:t>
      </w:r>
    </w:p>
    <w:p w14:paraId="1633052F">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九</w:t>
      </w:r>
      <w:r>
        <w:rPr>
          <w:rFonts w:hint="eastAsia" w:ascii="宋体" w:hAnsi="宋体" w:eastAsia="宋体" w:cs="宋体"/>
        </w:rPr>
        <w:t>）不按规定或不及时变更供应商库中的有关信息的；</w:t>
      </w:r>
    </w:p>
    <w:p w14:paraId="24B00346">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（十）1年内在全省被质疑或投诉累计分别在20和10次以上且60%以上被驳回的，或恶意举报给采购人或采购代理机构造成损害的；</w:t>
      </w:r>
    </w:p>
    <w:p w14:paraId="24132626">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（十</w:t>
      </w:r>
      <w:r>
        <w:rPr>
          <w:rFonts w:hint="eastAsia" w:ascii="宋体" w:hAnsi="宋体" w:eastAsia="宋体" w:cs="宋体"/>
          <w:lang w:val="en-US" w:eastAsia="zh-CN"/>
        </w:rPr>
        <w:t>一</w:t>
      </w:r>
      <w:r>
        <w:rPr>
          <w:rFonts w:hint="eastAsia" w:ascii="宋体" w:hAnsi="宋体" w:eastAsia="宋体" w:cs="宋体"/>
        </w:rPr>
        <w:t>）各级财政部门认定</w:t>
      </w:r>
      <w:r>
        <w:rPr>
          <w:rFonts w:hint="eastAsia" w:ascii="宋体" w:hAnsi="宋体" w:cs="宋体"/>
          <w:lang w:eastAsia="zh-CN"/>
        </w:rPr>
        <w:t>的其他</w:t>
      </w:r>
      <w:r>
        <w:rPr>
          <w:rFonts w:hint="eastAsia" w:ascii="宋体" w:hAnsi="宋体" w:eastAsia="宋体" w:cs="宋体"/>
        </w:rPr>
        <w:t>有违诚实信用的行为。</w:t>
      </w:r>
    </w:p>
    <w:p w14:paraId="692BD499">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31.2第三十九条  注册供应商有下列情形之一的，</w:t>
      </w:r>
      <w:r>
        <w:rPr>
          <w:rFonts w:hint="eastAsia" w:ascii="宋体" w:hAnsi="宋体" w:eastAsia="宋体" w:cs="宋体"/>
          <w:lang w:eastAsia="zh-CN"/>
        </w:rPr>
        <w:t>采购人</w:t>
      </w:r>
      <w:r>
        <w:rPr>
          <w:rFonts w:hint="eastAsia" w:ascii="宋体" w:hAnsi="宋体" w:eastAsia="宋体" w:cs="宋体"/>
        </w:rPr>
        <w:t>或采购代理机构应向同级主管部门书面报告，并提请主管部门将其列入“黑名单”或者依法作出处罚；各级主管部门在依法处罚的同时，应将该情况按不良行为记入该供应商诚信档案中，同时将该供应商列入“黑名单”公开曝光：</w:t>
      </w:r>
    </w:p>
    <w:p w14:paraId="126FAC4E">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（一）提供虚假材料谋取</w:t>
      </w:r>
      <w:r>
        <w:rPr>
          <w:rFonts w:hint="eastAsia" w:ascii="宋体" w:hAnsi="宋体" w:cs="宋体"/>
          <w:lang w:eastAsia="zh-CN"/>
        </w:rPr>
        <w:t>中标、成交</w:t>
      </w:r>
      <w:r>
        <w:rPr>
          <w:rFonts w:hint="eastAsia" w:ascii="宋体" w:hAnsi="宋体" w:eastAsia="宋体" w:cs="宋体"/>
        </w:rPr>
        <w:t>的；</w:t>
      </w:r>
    </w:p>
    <w:p w14:paraId="7B04E199">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（二）采取不正当手段诋毁、排挤其他供应商的；</w:t>
      </w:r>
    </w:p>
    <w:p w14:paraId="7FC663FB">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（三）与</w:t>
      </w:r>
      <w:r>
        <w:rPr>
          <w:rFonts w:hint="eastAsia" w:ascii="宋体" w:hAnsi="宋体" w:eastAsia="宋体" w:cs="宋体"/>
          <w:lang w:eastAsia="zh-CN"/>
        </w:rPr>
        <w:t>采购人</w:t>
      </w:r>
      <w:r>
        <w:rPr>
          <w:rFonts w:hint="eastAsia" w:ascii="宋体" w:hAnsi="宋体" w:eastAsia="宋体" w:cs="宋体"/>
        </w:rPr>
        <w:t>、其他供应商或者采购代理机构恶意串通的；</w:t>
      </w:r>
    </w:p>
    <w:p w14:paraId="4939FCF0">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（四）向</w:t>
      </w:r>
      <w:r>
        <w:rPr>
          <w:rFonts w:hint="eastAsia" w:ascii="宋体" w:hAnsi="宋体" w:eastAsia="宋体" w:cs="宋体"/>
          <w:lang w:eastAsia="zh-CN"/>
        </w:rPr>
        <w:t>采购人</w:t>
      </w:r>
      <w:r>
        <w:rPr>
          <w:rFonts w:hint="eastAsia" w:ascii="宋体" w:hAnsi="宋体" w:eastAsia="宋体" w:cs="宋体"/>
        </w:rPr>
        <w:t>、采购代理机构行贿或提供其他不正当利益，或因此被其他国家机关立案查实的；</w:t>
      </w:r>
    </w:p>
    <w:p w14:paraId="4FFEFA6F">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（五）在招标采购过程中与</w:t>
      </w:r>
      <w:r>
        <w:rPr>
          <w:rFonts w:hint="eastAsia" w:ascii="宋体" w:hAnsi="宋体" w:eastAsia="宋体" w:cs="宋体"/>
          <w:lang w:eastAsia="zh-CN"/>
        </w:rPr>
        <w:t>采购人</w:t>
      </w:r>
      <w:r>
        <w:rPr>
          <w:rFonts w:hint="eastAsia" w:ascii="宋体" w:hAnsi="宋体" w:eastAsia="宋体" w:cs="宋体"/>
        </w:rPr>
        <w:t>进行协商谈判的；</w:t>
      </w:r>
    </w:p>
    <w:p w14:paraId="3233F190">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（六）哄抬、操纵</w:t>
      </w:r>
      <w:r>
        <w:rPr>
          <w:rFonts w:hint="eastAsia" w:ascii="宋体" w:hAnsi="宋体" w:eastAsia="宋体" w:cs="宋体"/>
          <w:lang w:eastAsia="zh-CN"/>
        </w:rPr>
        <w:t>采购</w:t>
      </w:r>
      <w:r>
        <w:rPr>
          <w:rFonts w:hint="eastAsia" w:ascii="宋体" w:hAnsi="宋体" w:eastAsia="宋体" w:cs="宋体"/>
        </w:rPr>
        <w:t>报价，或</w:t>
      </w:r>
      <w:r>
        <w:rPr>
          <w:rFonts w:hint="eastAsia" w:ascii="宋体" w:hAnsi="宋体" w:eastAsia="宋体" w:cs="宋体"/>
          <w:lang w:eastAsia="zh-CN"/>
        </w:rPr>
        <w:t>采购</w:t>
      </w:r>
      <w:r>
        <w:rPr>
          <w:rFonts w:hint="eastAsia" w:ascii="宋体" w:hAnsi="宋体" w:eastAsia="宋体" w:cs="宋体"/>
        </w:rPr>
        <w:t>价格（包括产品及其配件、试剂、耗材等价格）明显高于市场平均价的；</w:t>
      </w:r>
    </w:p>
    <w:p w14:paraId="176C7F45">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（七）提供虚假材料骗取注册供应商资格的；</w:t>
      </w:r>
    </w:p>
    <w:p w14:paraId="701523AF">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（八）伪造《浙江省</w:t>
      </w:r>
      <w:r>
        <w:rPr>
          <w:rFonts w:hint="eastAsia" w:ascii="宋体" w:hAnsi="宋体" w:eastAsia="宋体" w:cs="宋体"/>
          <w:lang w:eastAsia="zh-CN"/>
        </w:rPr>
        <w:t>采购</w:t>
      </w:r>
      <w:r>
        <w:rPr>
          <w:rFonts w:hint="eastAsia" w:ascii="宋体" w:hAnsi="宋体" w:eastAsia="宋体" w:cs="宋体"/>
        </w:rPr>
        <w:t>注册供应商信息登记表》的；</w:t>
      </w:r>
    </w:p>
    <w:p w14:paraId="6E682968">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（九）销售或发布</w:t>
      </w:r>
      <w:r>
        <w:rPr>
          <w:rFonts w:hint="eastAsia" w:ascii="宋体" w:hAnsi="宋体" w:cs="宋体"/>
          <w:lang w:eastAsia="zh-CN"/>
        </w:rPr>
        <w:t>法律法规</w:t>
      </w:r>
      <w:r>
        <w:rPr>
          <w:rFonts w:hint="eastAsia" w:ascii="宋体" w:hAnsi="宋体" w:eastAsia="宋体" w:cs="宋体"/>
        </w:rPr>
        <w:t>禁止销售的商品、服务和其他违法信息的；</w:t>
      </w:r>
    </w:p>
    <w:p w14:paraId="26684C97">
      <w:pPr>
        <w:keepNext w:val="0"/>
        <w:keepLines w:val="0"/>
        <w:pageBreakBefore w:val="0"/>
        <w:kinsoku/>
        <w:wordWrap/>
        <w:overflowPunct/>
        <w:topLinePunct w:val="0"/>
        <w:autoSpaceDE/>
        <w:autoSpaceDN/>
        <w:bidi w:val="0"/>
        <w:adjustRightInd w:val="0"/>
        <w:snapToGrid w:val="0"/>
        <w:spacing w:line="312" w:lineRule="auto"/>
        <w:ind w:firstLine="480"/>
        <w:textAlignment w:val="auto"/>
        <w:rPr>
          <w:rFonts w:hint="eastAsia" w:ascii="宋体" w:hAnsi="宋体" w:eastAsia="宋体" w:cs="宋体"/>
        </w:rPr>
      </w:pPr>
      <w:r>
        <w:rPr>
          <w:rFonts w:hint="eastAsia" w:ascii="宋体" w:hAnsi="宋体" w:eastAsia="宋体" w:cs="宋体"/>
        </w:rPr>
        <w:t>（十）</w:t>
      </w:r>
      <w:r>
        <w:rPr>
          <w:rFonts w:hint="eastAsia" w:ascii="宋体" w:hAnsi="宋体" w:cs="宋体"/>
          <w:lang w:eastAsia="zh-CN"/>
        </w:rPr>
        <w:t>其他违反法律法规</w:t>
      </w:r>
      <w:r>
        <w:rPr>
          <w:rFonts w:hint="eastAsia" w:ascii="宋体" w:hAnsi="宋体" w:eastAsia="宋体" w:cs="宋体"/>
        </w:rPr>
        <w:t>和</w:t>
      </w:r>
      <w:r>
        <w:rPr>
          <w:rFonts w:hint="eastAsia" w:ascii="宋体" w:hAnsi="宋体" w:eastAsia="宋体" w:cs="宋体"/>
          <w:lang w:eastAsia="zh-CN"/>
        </w:rPr>
        <w:t>采购</w:t>
      </w:r>
      <w:r>
        <w:rPr>
          <w:rFonts w:hint="eastAsia" w:ascii="宋体" w:hAnsi="宋体" w:eastAsia="宋体" w:cs="宋体"/>
        </w:rPr>
        <w:t>管理有关规定的行为的。</w:t>
      </w:r>
    </w:p>
    <w:p w14:paraId="59889CEF">
      <w:pPr>
        <w:pStyle w:val="2"/>
        <w:keepNext w:val="0"/>
        <w:keepLines w:val="0"/>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rPr>
      </w:pPr>
      <w:bookmarkStart w:id="701" w:name="_Toc12027"/>
      <w:bookmarkStart w:id="702" w:name="_Toc2122"/>
      <w:bookmarkStart w:id="703" w:name="_Toc28047"/>
      <w:bookmarkStart w:id="704" w:name="_Toc12985"/>
      <w:bookmarkStart w:id="705" w:name="_Toc2553"/>
      <w:bookmarkStart w:id="706" w:name="_Toc28363"/>
      <w:bookmarkStart w:id="707" w:name="_Toc258"/>
      <w:bookmarkStart w:id="708" w:name="_Toc4361"/>
      <w:bookmarkStart w:id="709" w:name="_Toc20938"/>
      <w:bookmarkStart w:id="710" w:name="_Toc4192"/>
      <w:bookmarkStart w:id="711" w:name="_Toc28202"/>
      <w:bookmarkStart w:id="712" w:name="_Toc11602"/>
      <w:bookmarkStart w:id="713" w:name="_Toc10514"/>
      <w:bookmarkStart w:id="714" w:name="_Toc4255"/>
      <w:bookmarkStart w:id="715" w:name="_Toc14464"/>
      <w:bookmarkStart w:id="716" w:name="_Toc19882"/>
      <w:bookmarkStart w:id="717" w:name="_Toc11460"/>
      <w:bookmarkStart w:id="718" w:name="_Toc26974"/>
      <w:bookmarkStart w:id="719" w:name="_Toc32111"/>
      <w:bookmarkStart w:id="720" w:name="_Toc19742"/>
      <w:bookmarkStart w:id="721" w:name="_Toc24570"/>
      <w:bookmarkStart w:id="722" w:name="_Toc9052"/>
      <w:bookmarkStart w:id="723" w:name="_Toc23605"/>
      <w:bookmarkStart w:id="724" w:name="_Toc5501"/>
      <w:bookmarkStart w:id="725" w:name="_Toc1308"/>
      <w:bookmarkStart w:id="726" w:name="_Toc3233"/>
      <w:bookmarkStart w:id="727" w:name="_Toc4752"/>
      <w:bookmarkStart w:id="728" w:name="_Toc6943"/>
      <w:bookmarkStart w:id="729" w:name="_Toc29527"/>
      <w:bookmarkStart w:id="730" w:name="_Toc22155"/>
      <w:bookmarkStart w:id="731" w:name="_Toc6927"/>
      <w:bookmarkStart w:id="732" w:name="_Toc22764"/>
      <w:bookmarkStart w:id="733" w:name="_Toc20351"/>
      <w:bookmarkStart w:id="734" w:name="_Toc26105"/>
      <w:bookmarkStart w:id="735" w:name="_Toc2982"/>
      <w:bookmarkStart w:id="736" w:name="_Toc13095"/>
      <w:bookmarkStart w:id="737" w:name="_Toc27317"/>
      <w:bookmarkStart w:id="738" w:name="_Toc22286"/>
      <w:r>
        <w:rPr>
          <w:rFonts w:hint="eastAsia" w:ascii="宋体" w:hAnsi="宋体" w:eastAsia="宋体" w:cs="宋体"/>
          <w:b/>
          <w:bCs w:val="0"/>
          <w:sz w:val="28"/>
          <w:szCs w:val="28"/>
        </w:rPr>
        <w:t>十</w:t>
      </w:r>
      <w:r>
        <w:rPr>
          <w:rFonts w:hint="eastAsia" w:ascii="宋体" w:hAnsi="宋体" w:eastAsia="宋体" w:cs="宋体"/>
          <w:b/>
          <w:bCs w:val="0"/>
          <w:sz w:val="28"/>
          <w:szCs w:val="28"/>
          <w:lang w:val="en-US" w:eastAsia="zh-CN"/>
        </w:rPr>
        <w:t>二</w:t>
      </w:r>
      <w:r>
        <w:rPr>
          <w:rFonts w:hint="eastAsia" w:ascii="宋体" w:hAnsi="宋体" w:eastAsia="宋体" w:cs="宋体"/>
          <w:b/>
          <w:bCs w:val="0"/>
          <w:sz w:val="28"/>
          <w:szCs w:val="28"/>
        </w:rPr>
        <w:t>、质疑与投诉</w:t>
      </w:r>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p>
    <w:p w14:paraId="7851BD5A">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bookmarkStart w:id="739" w:name="_Toc14839"/>
      <w:bookmarkStart w:id="740" w:name="_Toc15818"/>
      <w:bookmarkStart w:id="741" w:name="_Toc361434900"/>
      <w:bookmarkStart w:id="742" w:name="_Toc361437150"/>
      <w:bookmarkStart w:id="743" w:name="_Toc361434465"/>
      <w:bookmarkStart w:id="744" w:name="_Toc22748"/>
      <w:bookmarkStart w:id="745" w:name="_Toc2882"/>
      <w:bookmarkStart w:id="746" w:name="_Toc15164"/>
      <w:bookmarkStart w:id="747" w:name="_Toc361434564"/>
      <w:bookmarkStart w:id="748" w:name="_Toc16162"/>
      <w:bookmarkStart w:id="749" w:name="_Toc12599"/>
      <w:bookmarkStart w:id="750" w:name="_Toc452528604"/>
      <w:bookmarkStart w:id="751" w:name="_Toc361434804"/>
      <w:r>
        <w:rPr>
          <w:rFonts w:hint="eastAsia" w:ascii="宋体" w:hAnsi="宋体" w:eastAsia="宋体" w:cs="宋体"/>
        </w:rPr>
        <w:t>32.质疑提出</w:t>
      </w:r>
    </w:p>
    <w:p w14:paraId="794AE1FD">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32.1参照《中华人民共和国政府采购法》《中华人民共和国政府采购法实施条例》《政府采购质疑和投诉办法》（财政部令第94号）等有关法律法规规定。</w:t>
      </w:r>
    </w:p>
    <w:p w14:paraId="766B101C">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32.2供应商提交的质疑函与投诉书应参照财政部《</w:t>
      </w:r>
      <w:r>
        <w:rPr>
          <w:rFonts w:hint="eastAsia" w:ascii="宋体" w:hAnsi="宋体" w:eastAsia="宋体" w:cs="宋体"/>
        </w:rPr>
        <w:fldChar w:fldCharType="begin"/>
      </w:r>
      <w:r>
        <w:rPr>
          <w:rFonts w:hint="eastAsia" w:ascii="宋体" w:hAnsi="宋体" w:eastAsia="宋体" w:cs="宋体"/>
        </w:rPr>
        <w:instrText xml:space="preserve"> HYPERLINK "http://www.caigou2003.com/" \t "http://www.zjzfcg.gov.cn/news/2018-02-09/_blank" </w:instrText>
      </w:r>
      <w:r>
        <w:rPr>
          <w:rFonts w:hint="eastAsia" w:ascii="宋体" w:hAnsi="宋体" w:eastAsia="宋体" w:cs="宋体"/>
        </w:rPr>
        <w:fldChar w:fldCharType="separate"/>
      </w:r>
      <w:r>
        <w:rPr>
          <w:rFonts w:hint="eastAsia" w:ascii="宋体" w:hAnsi="宋体" w:eastAsia="宋体" w:cs="宋体"/>
        </w:rPr>
        <w:t>政府采购</w:t>
      </w:r>
      <w:r>
        <w:rPr>
          <w:rFonts w:hint="eastAsia" w:ascii="宋体" w:hAnsi="宋体" w:eastAsia="宋体" w:cs="宋体"/>
        </w:rPr>
        <w:fldChar w:fldCharType="end"/>
      </w:r>
      <w:r>
        <w:rPr>
          <w:rFonts w:hint="eastAsia" w:ascii="宋体" w:hAnsi="宋体" w:eastAsia="宋体" w:cs="宋体"/>
        </w:rPr>
        <w:t>供应商质疑函范本》《</w:t>
      </w:r>
      <w:r>
        <w:rPr>
          <w:rFonts w:hint="eastAsia" w:ascii="宋体" w:hAnsi="宋体" w:eastAsia="宋体" w:cs="宋体"/>
        </w:rPr>
        <w:fldChar w:fldCharType="begin"/>
      </w:r>
      <w:r>
        <w:rPr>
          <w:rFonts w:hint="eastAsia" w:ascii="宋体" w:hAnsi="宋体" w:eastAsia="宋体" w:cs="宋体"/>
        </w:rPr>
        <w:instrText xml:space="preserve"> HYPERLINK "http://www.caigou2003.com/" \t "http://www.zjzfcg.gov.cn/news/2018-02-09/_blank" </w:instrText>
      </w:r>
      <w:r>
        <w:rPr>
          <w:rFonts w:hint="eastAsia" w:ascii="宋体" w:hAnsi="宋体" w:eastAsia="宋体" w:cs="宋体"/>
        </w:rPr>
        <w:fldChar w:fldCharType="separate"/>
      </w:r>
      <w:r>
        <w:rPr>
          <w:rFonts w:hint="eastAsia" w:ascii="宋体" w:hAnsi="宋体" w:eastAsia="宋体" w:cs="宋体"/>
        </w:rPr>
        <w:t>政府采购</w:t>
      </w:r>
      <w:r>
        <w:rPr>
          <w:rFonts w:hint="eastAsia" w:ascii="宋体" w:hAnsi="宋体" w:eastAsia="宋体" w:cs="宋体"/>
        </w:rPr>
        <w:fldChar w:fldCharType="end"/>
      </w:r>
      <w:r>
        <w:rPr>
          <w:rFonts w:hint="eastAsia" w:ascii="宋体" w:hAnsi="宋体" w:eastAsia="宋体" w:cs="宋体"/>
        </w:rPr>
        <w:t>供应商投诉书范本》要求。</w:t>
      </w:r>
    </w:p>
    <w:p w14:paraId="2C447FF1">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32.3供应商认为</w:t>
      </w:r>
      <w:r>
        <w:rPr>
          <w:rFonts w:hint="eastAsia" w:ascii="宋体" w:hAnsi="宋体" w:cs="宋体"/>
          <w:lang w:eastAsia="zh-CN"/>
        </w:rPr>
        <w:t>磋商公告</w:t>
      </w:r>
      <w:r>
        <w:rPr>
          <w:rFonts w:hint="eastAsia" w:ascii="宋体" w:hAnsi="宋体" w:eastAsia="宋体" w:cs="宋体"/>
        </w:rPr>
        <w:t>、</w:t>
      </w:r>
      <w:r>
        <w:rPr>
          <w:rFonts w:hint="eastAsia" w:ascii="宋体" w:hAnsi="宋体" w:cs="宋体"/>
          <w:lang w:eastAsia="zh-CN"/>
        </w:rPr>
        <w:t>磋商文件</w:t>
      </w:r>
      <w:r>
        <w:rPr>
          <w:rFonts w:hint="eastAsia" w:ascii="宋体" w:hAnsi="宋体" w:eastAsia="宋体" w:cs="宋体"/>
        </w:rPr>
        <w:t>、采购过程和成交结果使自己的权益受到损害的，可以在知道或者应知其权益受到损害之日起7个工作日内，以书面形式向采购人、采购代理机构提出质疑。供应商在法定质疑期内一次性提出针对同一采购程序环节的质疑。</w:t>
      </w:r>
    </w:p>
    <w:p w14:paraId="75C71698">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32.4质疑提出起算日期：</w:t>
      </w:r>
    </w:p>
    <w:p w14:paraId="6EF2D526">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32.4.1对</w:t>
      </w:r>
      <w:r>
        <w:rPr>
          <w:rFonts w:hint="eastAsia" w:ascii="宋体" w:hAnsi="宋体" w:cs="宋体"/>
          <w:lang w:eastAsia="zh-CN"/>
        </w:rPr>
        <w:t>磋商公告</w:t>
      </w:r>
      <w:r>
        <w:rPr>
          <w:rFonts w:hint="eastAsia" w:ascii="宋体" w:hAnsi="宋体" w:eastAsia="宋体" w:cs="宋体"/>
        </w:rPr>
        <w:t>和</w:t>
      </w:r>
      <w:r>
        <w:rPr>
          <w:rFonts w:hint="eastAsia" w:ascii="宋体" w:hAnsi="宋体" w:cs="宋体"/>
          <w:lang w:eastAsia="zh-CN"/>
        </w:rPr>
        <w:t>磋商文件</w:t>
      </w:r>
      <w:r>
        <w:rPr>
          <w:rFonts w:hint="eastAsia" w:ascii="宋体" w:hAnsi="宋体" w:eastAsia="宋体" w:cs="宋体"/>
        </w:rPr>
        <w:t>提出质疑的，自公告发布后的第4个工作日开始计算，且</w:t>
      </w:r>
      <w:r>
        <w:rPr>
          <w:rFonts w:hint="eastAsia" w:ascii="宋体" w:hAnsi="宋体" w:cs="宋体"/>
          <w:lang w:eastAsia="zh-CN"/>
        </w:rPr>
        <w:t>应当在</w:t>
      </w:r>
      <w:r>
        <w:rPr>
          <w:rFonts w:hint="eastAsia" w:ascii="宋体" w:hAnsi="宋体" w:eastAsia="宋体" w:cs="宋体"/>
        </w:rPr>
        <w:t>磋商截止前24小时前提出，否则，被质疑人可不予受理。</w:t>
      </w:r>
    </w:p>
    <w:p w14:paraId="0A7EE880">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32.4.2对磋商开启有异议的，应当在开启现场提出，采购人当场作出答复。</w:t>
      </w:r>
    </w:p>
    <w:p w14:paraId="41D83630">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32.4.3对磋商过程提出质疑的，质疑期限自各采购程序环节结束之日起计算。</w:t>
      </w:r>
    </w:p>
    <w:p w14:paraId="2C68EC4A">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32.4.4对采购结果提出质疑的，质疑期限自采购结果公告（包括公示、预公告、结果变更公告等）之日起计算。</w:t>
      </w:r>
    </w:p>
    <w:p w14:paraId="5264829E">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32.4.5供应商逾期提出质疑的，采购人或采购代理机构均不予受理和答复。</w:t>
      </w:r>
    </w:p>
    <w:p w14:paraId="024BA7D9">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32.5采购人拒绝受理未参加本项目报名或已报名但未提交响应文件的供应商对</w:t>
      </w:r>
      <w:r>
        <w:rPr>
          <w:rFonts w:hint="eastAsia" w:ascii="宋体" w:hAnsi="宋体" w:cs="宋体"/>
          <w:lang w:eastAsia="zh-CN"/>
        </w:rPr>
        <w:t>磋商公告</w:t>
      </w:r>
      <w:r>
        <w:rPr>
          <w:rFonts w:hint="eastAsia" w:ascii="宋体" w:hAnsi="宋体" w:eastAsia="宋体" w:cs="宋体"/>
        </w:rPr>
        <w:t>、磋商文件、评审过程、评审结果的质疑。</w:t>
      </w:r>
    </w:p>
    <w:p w14:paraId="1FDBAEC4">
      <w:pPr>
        <w:keepNext w:val="0"/>
        <w:keepLines w:val="0"/>
        <w:pageBreakBefore w:val="0"/>
        <w:kinsoku/>
        <w:wordWrap/>
        <w:overflowPunct/>
        <w:topLinePunct w:val="0"/>
        <w:autoSpaceDE/>
        <w:autoSpaceDN/>
        <w:bidi w:val="0"/>
        <w:spacing w:line="312" w:lineRule="auto"/>
        <w:ind w:firstLine="480"/>
        <w:textAlignment w:val="auto"/>
        <w:outlineLvl w:val="0"/>
        <w:rPr>
          <w:rFonts w:hint="eastAsia" w:ascii="宋体" w:hAnsi="宋体" w:eastAsia="宋体" w:cs="宋体"/>
        </w:rPr>
      </w:pPr>
      <w:bookmarkStart w:id="752" w:name="_Toc12713"/>
      <w:bookmarkStart w:id="753" w:name="_Toc2206"/>
      <w:bookmarkStart w:id="754" w:name="_Toc22637"/>
      <w:bookmarkStart w:id="755" w:name="_Toc30645"/>
      <w:bookmarkStart w:id="756" w:name="_Toc16171"/>
      <w:bookmarkStart w:id="757" w:name="_Toc22115"/>
      <w:bookmarkStart w:id="758" w:name="_Toc8808"/>
      <w:bookmarkStart w:id="759" w:name="_Toc16348"/>
      <w:bookmarkStart w:id="760" w:name="_Toc2125"/>
      <w:bookmarkStart w:id="761" w:name="_Toc9601"/>
      <w:bookmarkStart w:id="762" w:name="_Toc3282"/>
      <w:bookmarkStart w:id="763" w:name="_Toc22747"/>
      <w:bookmarkStart w:id="764" w:name="_Toc29234"/>
      <w:bookmarkStart w:id="765" w:name="_Toc1147"/>
      <w:bookmarkStart w:id="766" w:name="_Toc21631"/>
      <w:bookmarkStart w:id="767" w:name="_Toc18631"/>
      <w:bookmarkStart w:id="768" w:name="_Toc15125"/>
      <w:bookmarkStart w:id="769" w:name="_Toc6451"/>
      <w:bookmarkStart w:id="770" w:name="_Toc12432"/>
      <w:bookmarkStart w:id="771" w:name="_Toc7307"/>
      <w:bookmarkStart w:id="772" w:name="_Toc10037"/>
      <w:bookmarkStart w:id="773" w:name="_Toc7995"/>
      <w:bookmarkStart w:id="774" w:name="_Toc10349"/>
      <w:bookmarkStart w:id="775" w:name="_Toc31124"/>
      <w:bookmarkStart w:id="776" w:name="_Toc9705"/>
      <w:r>
        <w:rPr>
          <w:rFonts w:hint="eastAsia" w:ascii="宋体" w:hAnsi="宋体" w:eastAsia="宋体" w:cs="宋体"/>
        </w:rPr>
        <w:t>32.5.1质疑处理</w:t>
      </w:r>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p>
    <w:p w14:paraId="4321F46D">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采购人应当在收到供应商的书面质疑后7个工作日内作出答复，并以书面形式通知质疑供应商和其他与质疑处理结果有利害关系的</w:t>
      </w:r>
      <w:r>
        <w:rPr>
          <w:rFonts w:hint="eastAsia" w:ascii="宋体" w:hAnsi="宋体" w:eastAsia="宋体" w:cs="宋体"/>
          <w:lang w:eastAsia="zh-CN"/>
        </w:rPr>
        <w:t>采购</w:t>
      </w:r>
      <w:r>
        <w:rPr>
          <w:rFonts w:hint="eastAsia" w:ascii="宋体" w:hAnsi="宋体" w:eastAsia="宋体" w:cs="宋体"/>
        </w:rPr>
        <w:t>当事人，但答复的内容不得涉及商业秘密。</w:t>
      </w:r>
    </w:p>
    <w:p w14:paraId="34E0CDC7">
      <w:pPr>
        <w:keepNext w:val="0"/>
        <w:keepLines w:val="0"/>
        <w:pageBreakBefore w:val="0"/>
        <w:kinsoku/>
        <w:wordWrap/>
        <w:overflowPunct/>
        <w:topLinePunct w:val="0"/>
        <w:autoSpaceDE/>
        <w:autoSpaceDN/>
        <w:bidi w:val="0"/>
        <w:spacing w:line="312" w:lineRule="auto"/>
        <w:ind w:firstLine="480"/>
        <w:textAlignment w:val="auto"/>
        <w:outlineLvl w:val="0"/>
        <w:rPr>
          <w:rFonts w:hint="eastAsia" w:ascii="宋体" w:hAnsi="宋体" w:eastAsia="宋体" w:cs="宋体"/>
        </w:rPr>
      </w:pPr>
      <w:bookmarkStart w:id="777" w:name="_Toc9765"/>
      <w:bookmarkStart w:id="778" w:name="_Toc28766"/>
      <w:bookmarkStart w:id="779" w:name="_Toc2234"/>
      <w:bookmarkStart w:id="780" w:name="_Toc4438"/>
      <w:bookmarkStart w:id="781" w:name="_Toc19686"/>
      <w:bookmarkStart w:id="782" w:name="_Toc370"/>
      <w:bookmarkStart w:id="783" w:name="_Toc14489"/>
      <w:bookmarkStart w:id="784" w:name="_Toc13266"/>
      <w:bookmarkStart w:id="785" w:name="_Toc17828"/>
      <w:bookmarkStart w:id="786" w:name="_Toc5605"/>
      <w:bookmarkStart w:id="787" w:name="_Toc22108"/>
      <w:bookmarkStart w:id="788" w:name="_Toc24708"/>
      <w:bookmarkStart w:id="789" w:name="_Toc23088"/>
      <w:bookmarkStart w:id="790" w:name="_Toc4847"/>
      <w:bookmarkStart w:id="791" w:name="_Toc9888"/>
      <w:bookmarkStart w:id="792" w:name="_Toc2396"/>
      <w:bookmarkStart w:id="793" w:name="_Toc6472"/>
      <w:bookmarkStart w:id="794" w:name="_Toc26090"/>
      <w:bookmarkStart w:id="795" w:name="_Toc10485"/>
      <w:bookmarkStart w:id="796" w:name="_Toc1453"/>
      <w:bookmarkStart w:id="797" w:name="_Toc24767"/>
      <w:bookmarkStart w:id="798" w:name="_Toc14274"/>
      <w:bookmarkStart w:id="799" w:name="_Toc7453"/>
      <w:bookmarkStart w:id="800" w:name="_Toc1051"/>
      <w:bookmarkStart w:id="801" w:name="_Toc14897"/>
      <w:r>
        <w:rPr>
          <w:rFonts w:hint="eastAsia" w:ascii="宋体" w:hAnsi="宋体" w:eastAsia="宋体" w:cs="宋体"/>
        </w:rPr>
        <w:t>32.5.2投诉</w:t>
      </w:r>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p>
    <w:p w14:paraId="48DA1816">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质疑供应商对采购人未在规定时间内作出答复的，可以在答复期满后15个工作日内向</w:t>
      </w:r>
      <w:r>
        <w:rPr>
          <w:rFonts w:hint="eastAsia" w:ascii="宋体" w:hAnsi="宋体" w:cs="宋体"/>
          <w:color w:val="auto"/>
          <w:sz w:val="24"/>
          <w:szCs w:val="24"/>
          <w:lang w:val="zh-CN" w:eastAsia="zh-CN"/>
        </w:rPr>
        <w:t>龙游县小南海镇公共资源交易监督管理办公室</w:t>
      </w:r>
      <w:r>
        <w:rPr>
          <w:rFonts w:hint="eastAsia" w:ascii="宋体" w:hAnsi="宋体" w:eastAsia="宋体" w:cs="宋体"/>
        </w:rPr>
        <w:t>投诉。若对质疑答复不满意的，应当自答复的次日起15个工作日内向</w:t>
      </w:r>
      <w:r>
        <w:rPr>
          <w:rFonts w:hint="eastAsia" w:ascii="宋体" w:hAnsi="宋体" w:cs="宋体"/>
          <w:color w:val="auto"/>
          <w:sz w:val="24"/>
          <w:szCs w:val="24"/>
          <w:lang w:val="zh-CN" w:eastAsia="zh-CN"/>
        </w:rPr>
        <w:t>龙游县小南海镇公共资源交易监督管理办公室</w:t>
      </w:r>
      <w:r>
        <w:rPr>
          <w:rFonts w:hint="eastAsia" w:ascii="宋体" w:hAnsi="宋体" w:eastAsia="宋体" w:cs="宋体"/>
        </w:rPr>
        <w:t>投诉。</w:t>
      </w:r>
      <w:bookmarkEnd w:id="739"/>
      <w:bookmarkEnd w:id="740"/>
      <w:bookmarkEnd w:id="741"/>
      <w:bookmarkEnd w:id="742"/>
      <w:bookmarkEnd w:id="743"/>
      <w:bookmarkEnd w:id="744"/>
      <w:bookmarkEnd w:id="745"/>
      <w:bookmarkEnd w:id="746"/>
      <w:bookmarkEnd w:id="747"/>
      <w:bookmarkEnd w:id="748"/>
      <w:bookmarkEnd w:id="749"/>
      <w:bookmarkEnd w:id="750"/>
      <w:bookmarkEnd w:id="751"/>
    </w:p>
    <w:p w14:paraId="38A0E0DD">
      <w:pPr>
        <w:pStyle w:val="2"/>
        <w:keepNext w:val="0"/>
        <w:keepLines w:val="0"/>
        <w:pageBreakBefore w:val="0"/>
        <w:kinsoku/>
        <w:wordWrap/>
        <w:overflowPunct/>
        <w:topLinePunct w:val="0"/>
        <w:autoSpaceDE/>
        <w:autoSpaceDN/>
        <w:bidi w:val="0"/>
        <w:spacing w:beforeLines="0" w:afterLines="0" w:line="312" w:lineRule="auto"/>
        <w:ind w:firstLine="0" w:firstLineChars="0"/>
        <w:jc w:val="center"/>
        <w:textAlignment w:val="auto"/>
        <w:outlineLvl w:val="1"/>
        <w:rPr>
          <w:rFonts w:hint="eastAsia" w:ascii="宋体" w:hAnsi="宋体" w:eastAsia="宋体" w:cs="宋体"/>
          <w:b/>
          <w:bCs w:val="0"/>
          <w:sz w:val="28"/>
          <w:szCs w:val="28"/>
        </w:rPr>
      </w:pPr>
      <w:bookmarkStart w:id="802" w:name="_Toc1554"/>
      <w:bookmarkStart w:id="803" w:name="_Toc7898"/>
      <w:bookmarkStart w:id="804" w:name="_Toc15103"/>
      <w:bookmarkStart w:id="805" w:name="_Toc12238"/>
      <w:bookmarkStart w:id="806" w:name="_Toc9184"/>
      <w:bookmarkStart w:id="807" w:name="_Toc698"/>
      <w:bookmarkStart w:id="808" w:name="_Toc30697"/>
      <w:bookmarkStart w:id="809" w:name="_Toc20408"/>
      <w:bookmarkStart w:id="810" w:name="_Toc2258"/>
      <w:bookmarkStart w:id="811" w:name="_Toc8600"/>
      <w:bookmarkStart w:id="812" w:name="_Toc31588"/>
      <w:bookmarkStart w:id="813" w:name="_Toc1021"/>
      <w:bookmarkStart w:id="814" w:name="_Toc19218"/>
      <w:bookmarkStart w:id="815" w:name="_Toc31005"/>
      <w:bookmarkStart w:id="816" w:name="_Toc29372"/>
      <w:bookmarkStart w:id="817" w:name="_Toc21460"/>
      <w:bookmarkStart w:id="818" w:name="_Toc9553"/>
      <w:bookmarkStart w:id="819" w:name="_Toc16194"/>
      <w:bookmarkStart w:id="820" w:name="_Toc13443"/>
      <w:bookmarkStart w:id="821" w:name="_Toc10871"/>
      <w:bookmarkStart w:id="822" w:name="_Toc20829"/>
      <w:bookmarkStart w:id="823" w:name="_Toc2910"/>
      <w:bookmarkStart w:id="824" w:name="_Toc28991"/>
      <w:bookmarkStart w:id="825" w:name="_Toc10330"/>
      <w:bookmarkStart w:id="826" w:name="_Toc13002"/>
      <w:bookmarkStart w:id="827" w:name="_Toc5262"/>
      <w:bookmarkStart w:id="828" w:name="_Toc27659"/>
      <w:bookmarkStart w:id="829" w:name="_Toc27383"/>
      <w:bookmarkStart w:id="830" w:name="_Toc24844"/>
      <w:bookmarkStart w:id="831" w:name="_Toc14250"/>
      <w:bookmarkStart w:id="832" w:name="_Toc14241"/>
      <w:bookmarkStart w:id="833" w:name="_Toc6571"/>
      <w:bookmarkStart w:id="834" w:name="_Toc17392"/>
      <w:bookmarkStart w:id="835" w:name="_Toc25765"/>
      <w:bookmarkStart w:id="836" w:name="_Toc31465"/>
      <w:r>
        <w:rPr>
          <w:rFonts w:hint="eastAsia" w:ascii="宋体" w:hAnsi="宋体" w:eastAsia="宋体" w:cs="宋体"/>
          <w:b/>
          <w:bCs w:val="0"/>
          <w:sz w:val="28"/>
          <w:szCs w:val="28"/>
        </w:rPr>
        <w:t>十</w:t>
      </w:r>
      <w:r>
        <w:rPr>
          <w:rFonts w:hint="eastAsia" w:ascii="宋体" w:hAnsi="宋体" w:eastAsia="宋体" w:cs="宋体"/>
          <w:b/>
          <w:bCs w:val="0"/>
          <w:sz w:val="28"/>
          <w:szCs w:val="28"/>
          <w:lang w:val="en-US" w:eastAsia="zh-CN"/>
        </w:rPr>
        <w:t>三</w:t>
      </w:r>
      <w:r>
        <w:rPr>
          <w:rFonts w:hint="eastAsia" w:ascii="宋体" w:hAnsi="宋体" w:eastAsia="宋体" w:cs="宋体"/>
          <w:b/>
          <w:bCs w:val="0"/>
          <w:sz w:val="28"/>
          <w:szCs w:val="28"/>
        </w:rPr>
        <w:t>、其他</w:t>
      </w:r>
      <w:bookmarkEnd w:id="734"/>
      <w:bookmarkEnd w:id="735"/>
      <w:bookmarkEnd w:id="736"/>
      <w:bookmarkEnd w:id="737"/>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p>
    <w:p w14:paraId="67DDF92B">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rPr>
        <w:t>33.解释权：本磋商文件是依据《</w:t>
      </w:r>
      <w:r>
        <w:rPr>
          <w:rFonts w:hint="eastAsia" w:ascii="宋体" w:hAnsi="宋体" w:cs="宋体"/>
          <w:lang w:eastAsia="zh-CN"/>
        </w:rPr>
        <w:t>中华人民共和国政府采购法</w:t>
      </w:r>
      <w:r>
        <w:rPr>
          <w:rFonts w:hint="eastAsia" w:ascii="宋体" w:hAnsi="宋体" w:eastAsia="宋体" w:cs="宋体"/>
        </w:rPr>
        <w:t>》及有关规定编制的，解释权属采购人。</w:t>
      </w:r>
    </w:p>
    <w:p w14:paraId="3DFC4480">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color w:val="auto"/>
        </w:rPr>
      </w:pPr>
      <w:r>
        <w:rPr>
          <w:rFonts w:hint="eastAsia" w:ascii="宋体" w:hAnsi="宋体" w:eastAsia="宋体" w:cs="宋体"/>
        </w:rPr>
        <w:t>34</w:t>
      </w:r>
      <w:r>
        <w:rPr>
          <w:rFonts w:hint="eastAsia" w:ascii="宋体" w:hAnsi="宋体" w:eastAsia="宋体" w:cs="宋体"/>
          <w:color w:val="auto"/>
        </w:rPr>
        <w:t>.联系方式：所有与采购有关的函电请按下面联系，其他任何方式或信息来源均无效。</w:t>
      </w:r>
    </w:p>
    <w:p w14:paraId="621784A0">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color w:val="auto"/>
        </w:rPr>
      </w:pPr>
      <w:r>
        <w:rPr>
          <w:rFonts w:hint="eastAsia" w:ascii="宋体" w:hAnsi="宋体" w:eastAsia="宋体" w:cs="宋体"/>
          <w:color w:val="auto"/>
        </w:rPr>
        <w:t>通讯地址：</w:t>
      </w:r>
      <w:r>
        <w:rPr>
          <w:rFonts w:hint="eastAsia" w:ascii="宋体" w:hAnsi="宋体" w:cs="宋体"/>
          <w:color w:val="auto"/>
          <w:lang w:eastAsia="zh-CN"/>
        </w:rPr>
        <w:t>浙江新诚信工程咨询有限公司</w:t>
      </w:r>
      <w:r>
        <w:rPr>
          <w:rFonts w:hint="eastAsia" w:ascii="宋体" w:hAnsi="宋体" w:eastAsia="宋体" w:cs="宋体"/>
          <w:color w:val="auto"/>
        </w:rPr>
        <w:t>（</w:t>
      </w:r>
      <w:r>
        <w:rPr>
          <w:rFonts w:hint="eastAsia" w:ascii="宋体" w:hAnsi="宋体" w:cs="宋体"/>
          <w:bCs w:val="0"/>
          <w:color w:val="auto"/>
          <w:sz w:val="24"/>
          <w:szCs w:val="24"/>
          <w:lang w:val="zh-CN" w:eastAsia="zh-CN"/>
        </w:rPr>
        <w:t>龙游县龙洲街道环河步行街242号313室</w:t>
      </w:r>
      <w:r>
        <w:rPr>
          <w:rFonts w:hint="eastAsia" w:ascii="宋体" w:hAnsi="宋体" w:eastAsia="宋体" w:cs="宋体"/>
          <w:color w:val="auto"/>
        </w:rPr>
        <w:t>）</w:t>
      </w:r>
    </w:p>
    <w:p w14:paraId="09B0F247">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color w:val="auto"/>
          <w:lang w:val="en-US" w:eastAsia="zh-CN"/>
        </w:rPr>
      </w:pPr>
      <w:r>
        <w:rPr>
          <w:rFonts w:hint="eastAsia" w:ascii="宋体" w:hAnsi="宋体" w:eastAsia="宋体" w:cs="宋体"/>
          <w:color w:val="auto"/>
        </w:rPr>
        <w:t>联系人：</w:t>
      </w:r>
      <w:r>
        <w:rPr>
          <w:rFonts w:hint="eastAsia" w:ascii="宋体" w:hAnsi="宋体" w:cs="宋体"/>
          <w:color w:val="auto"/>
          <w:lang w:val="en-US" w:eastAsia="zh-CN"/>
        </w:rPr>
        <w:t>唐女士</w:t>
      </w:r>
    </w:p>
    <w:p w14:paraId="7B32575B">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color w:val="auto"/>
          <w:lang w:val="en-US"/>
        </w:rPr>
      </w:pPr>
      <w:r>
        <w:rPr>
          <w:rFonts w:hint="eastAsia" w:ascii="宋体" w:hAnsi="宋体" w:eastAsia="宋体" w:cs="宋体"/>
          <w:color w:val="auto"/>
          <w:lang w:val="zh-CN"/>
        </w:rPr>
        <w:t>项目联系方式</w:t>
      </w:r>
      <w:r>
        <w:rPr>
          <w:rFonts w:hint="eastAsia" w:ascii="宋体" w:hAnsi="宋体" w:eastAsia="宋体" w:cs="宋体"/>
          <w:color w:val="auto"/>
        </w:rPr>
        <w:t>：</w:t>
      </w:r>
      <w:r>
        <w:rPr>
          <w:rFonts w:hint="eastAsia" w:ascii="宋体" w:hAnsi="宋体" w:cs="宋体"/>
          <w:color w:val="auto"/>
          <w:lang w:eastAsia="zh-CN"/>
        </w:rPr>
        <w:t>13357013858</w:t>
      </w:r>
    </w:p>
    <w:p w14:paraId="493FE904">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color w:val="auto"/>
          <w:lang w:val="en-US" w:eastAsia="zh-CN"/>
        </w:rPr>
      </w:pPr>
      <w:r>
        <w:rPr>
          <w:rFonts w:hint="eastAsia" w:ascii="宋体" w:hAnsi="宋体" w:eastAsia="宋体" w:cs="宋体"/>
          <w:color w:val="auto"/>
        </w:rPr>
        <w:t>公告网址：</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"http://zfcg.czt.zj.gov.cn/（浙江省政府采购网）" </w:instrText>
      </w:r>
      <w:r>
        <w:rPr>
          <w:rFonts w:hint="eastAsia" w:ascii="宋体" w:hAnsi="宋体" w:eastAsia="宋体" w:cs="宋体"/>
          <w:color w:val="auto"/>
        </w:rPr>
        <w:fldChar w:fldCharType="separate"/>
      </w:r>
      <w:r>
        <w:rPr>
          <w:rFonts w:hint="eastAsia" w:ascii="宋体" w:hAnsi="宋体" w:eastAsia="宋体" w:cs="宋体"/>
          <w:color w:val="auto"/>
          <w:lang w:eastAsia="zh-CN"/>
        </w:rPr>
        <w:t>http://zfcg.czt.zj.gov.cn/</w:t>
      </w:r>
      <w:r>
        <w:rPr>
          <w:rFonts w:hint="eastAsia" w:ascii="宋体" w:hAnsi="宋体" w:eastAsia="宋体" w:cs="宋体"/>
          <w:color w:val="auto"/>
        </w:rPr>
        <w:t>（浙江省政府采购网）</w:t>
      </w:r>
      <w:r>
        <w:rPr>
          <w:rFonts w:hint="eastAsia" w:ascii="宋体" w:hAnsi="宋体" w:eastAsia="宋体" w:cs="宋体"/>
          <w:color w:val="auto"/>
        </w:rPr>
        <w:fldChar w:fldCharType="end"/>
      </w:r>
      <w:bookmarkStart w:id="837" w:name="_Toc16090"/>
      <w:bookmarkStart w:id="838" w:name="_Toc14759"/>
      <w:bookmarkStart w:id="839" w:name="_Toc23727"/>
      <w:bookmarkStart w:id="840" w:name="_Toc19672"/>
      <w:bookmarkStart w:id="841" w:name="_Toc29766"/>
      <w:bookmarkStart w:id="842" w:name="_Toc28721"/>
      <w:bookmarkStart w:id="843" w:name="_Toc16725"/>
      <w:bookmarkStart w:id="844" w:name="_Toc23706"/>
      <w:bookmarkStart w:id="845" w:name="_Toc21939"/>
    </w:p>
    <w:p w14:paraId="046E4502">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lang w:val="en-US" w:eastAsia="zh-CN"/>
        </w:rPr>
        <w:t>35.</w:t>
      </w:r>
      <w:bookmarkStart w:id="846" w:name="_Toc16017"/>
      <w:bookmarkStart w:id="847" w:name="_Toc7125"/>
      <w:bookmarkStart w:id="848" w:name="_Toc14263"/>
      <w:bookmarkStart w:id="849" w:name="_Toc19671"/>
      <w:bookmarkStart w:id="850" w:name="_Toc26493"/>
      <w:bookmarkStart w:id="851" w:name="_Toc11923"/>
      <w:bookmarkStart w:id="852" w:name="_Toc32145"/>
      <w:bookmarkStart w:id="853" w:name="_Toc13953"/>
      <w:bookmarkStart w:id="854" w:name="_Toc19830"/>
      <w:bookmarkStart w:id="855" w:name="_Toc6566"/>
      <w:bookmarkStart w:id="856" w:name="_Toc23325"/>
      <w:bookmarkStart w:id="857" w:name="_Toc23326"/>
      <w:bookmarkStart w:id="858" w:name="_Toc22127"/>
      <w:bookmarkStart w:id="859" w:name="_Toc863"/>
      <w:bookmarkStart w:id="860" w:name="_Toc13198"/>
      <w:bookmarkStart w:id="861" w:name="_Toc13038"/>
      <w:bookmarkStart w:id="862" w:name="_Toc17188"/>
      <w:bookmarkStart w:id="863" w:name="_Toc8086"/>
      <w:bookmarkStart w:id="864" w:name="_Toc13452"/>
      <w:bookmarkStart w:id="865" w:name="_Toc9334"/>
      <w:bookmarkStart w:id="866" w:name="_Toc29008"/>
      <w:r>
        <w:rPr>
          <w:rFonts w:hint="eastAsia" w:ascii="宋体" w:hAnsi="宋体" w:eastAsia="宋体" w:cs="宋体"/>
        </w:rPr>
        <w:t>落实政府采购政府需满足的要求</w:t>
      </w:r>
    </w:p>
    <w:p w14:paraId="5D2368B7">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lang w:val="en-US" w:eastAsia="zh-CN"/>
        </w:rPr>
        <w:t>3</w:t>
      </w:r>
      <w:r>
        <w:rPr>
          <w:rFonts w:hint="eastAsia" w:ascii="宋体" w:hAnsi="宋体" w:eastAsia="宋体" w:cs="宋体"/>
        </w:rPr>
        <w:t>5.1小微企业</w:t>
      </w:r>
    </w:p>
    <w:p w14:paraId="3AD60815">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eastAsia="宋体" w:cs="宋体"/>
        </w:rPr>
      </w:pPr>
      <w:r>
        <w:rPr>
          <w:rFonts w:hint="eastAsia" w:ascii="宋体" w:hAnsi="宋体" w:eastAsia="宋体" w:cs="宋体"/>
          <w:lang w:val="en-US" w:eastAsia="zh-CN"/>
        </w:rPr>
        <w:t>3</w:t>
      </w:r>
      <w:r>
        <w:rPr>
          <w:rFonts w:hint="eastAsia" w:ascii="宋体" w:hAnsi="宋体" w:eastAsia="宋体" w:cs="宋体"/>
        </w:rPr>
        <w:t>5.1.1可享受中小企业扶持政策的条件</w:t>
      </w:r>
    </w:p>
    <w:p w14:paraId="4426116B">
      <w:pPr>
        <w:keepNext w:val="0"/>
        <w:keepLines w:val="0"/>
        <w:pageBreakBefore w:val="0"/>
        <w:kinsoku/>
        <w:wordWrap/>
        <w:overflowPunct/>
        <w:topLinePunct w:val="0"/>
        <w:autoSpaceDE/>
        <w:autoSpaceDN/>
        <w:bidi w:val="0"/>
        <w:spacing w:line="312" w:lineRule="auto"/>
        <w:ind w:firstLine="480"/>
        <w:textAlignment w:val="auto"/>
        <w:rPr>
          <w:rFonts w:hint="eastAsia" w:ascii="宋体" w:hAnsi="宋体" w:cs="宋体"/>
          <w:highlight w:val="none"/>
        </w:rPr>
      </w:pPr>
      <w:r>
        <w:rPr>
          <w:rFonts w:hint="eastAsia" w:ascii="宋体" w:hAnsi="宋体" w:eastAsia="宋体" w:cs="宋体"/>
        </w:rPr>
        <w:t>依照财政部工业和信息化部《政府采购促进中小企业发展管理办法》（财库(2020）46号)规定，中型、小型和微型企业参加政府采购活动的须提供《中小企业声明函》（格式见附件14），否则不得享受相关中小</w:t>
      </w:r>
      <w:r>
        <w:rPr>
          <w:rFonts w:hint="eastAsia" w:ascii="宋体" w:hAnsi="宋体" w:cs="宋体"/>
          <w:highlight w:val="none"/>
        </w:rPr>
        <w:t>企业扶持政策。</w:t>
      </w:r>
    </w:p>
    <w:p w14:paraId="2522ABB8">
      <w:pPr>
        <w:spacing w:line="288" w:lineRule="auto"/>
        <w:ind w:firstLine="480"/>
        <w:rPr>
          <w:rFonts w:hint="eastAsia" w:ascii="宋体" w:hAnsi="宋体" w:cs="宋体"/>
          <w:highlight w:val="none"/>
        </w:rPr>
      </w:pPr>
      <w:r>
        <w:rPr>
          <w:rFonts w:hint="eastAsia" w:ascii="宋体" w:hAnsi="宋体" w:cs="宋体"/>
          <w:highlight w:val="none"/>
        </w:rPr>
        <w:t>(1)在货物采购项目中，货物应当由中小企业制造，不对其中涉及的服务的承接商作出要求。货物由中小企业生产且使用该中小企业商号或者注册商标供应商提供的货物既有中小企业制造货物，也有大型企业制造货物的，不享受本办法规定的中小企业扶持政策。</w:t>
      </w:r>
    </w:p>
    <w:p w14:paraId="3387F17C">
      <w:pPr>
        <w:spacing w:line="288" w:lineRule="auto"/>
        <w:ind w:firstLine="480"/>
        <w:rPr>
          <w:rFonts w:hint="eastAsia" w:ascii="宋体" w:hAnsi="宋体" w:cs="宋体"/>
          <w:highlight w:val="none"/>
        </w:rPr>
      </w:pPr>
      <w:r>
        <w:rPr>
          <w:rFonts w:hint="eastAsia" w:ascii="宋体" w:hAnsi="宋体" w:cs="宋体"/>
          <w:highlight w:val="none"/>
        </w:rPr>
        <w:t>(2)在工程采购项目中，工程应当由中小企业承建，不对其中涉及的货物的制造商和服务的承接商作出要求。</w:t>
      </w:r>
    </w:p>
    <w:p w14:paraId="42D1B446">
      <w:pPr>
        <w:spacing w:line="288" w:lineRule="auto"/>
        <w:ind w:firstLine="480"/>
        <w:rPr>
          <w:rFonts w:hint="eastAsia" w:ascii="宋体" w:hAnsi="宋体" w:cs="宋体"/>
          <w:highlight w:val="none"/>
        </w:rPr>
      </w:pPr>
      <w:r>
        <w:rPr>
          <w:rFonts w:hint="eastAsia" w:ascii="宋体" w:hAnsi="宋体" w:cs="宋体"/>
          <w:highlight w:val="none"/>
        </w:rPr>
        <w:t>(3)在服务采购项目中，服务的承接商应当为中小企业，不对其中涉及的货物的制造商作出要求。</w:t>
      </w:r>
    </w:p>
    <w:p w14:paraId="0B8751F2">
      <w:pPr>
        <w:spacing w:line="288" w:lineRule="auto"/>
        <w:ind w:firstLine="480"/>
        <w:rPr>
          <w:rFonts w:hint="eastAsia" w:ascii="宋体" w:hAnsi="宋体" w:cs="宋体"/>
          <w:highlight w:val="none"/>
        </w:rPr>
      </w:pPr>
      <w:r>
        <w:rPr>
          <w:rFonts w:hint="eastAsia" w:ascii="宋体" w:hAnsi="宋体" w:cs="宋体"/>
          <w:color w:val="000000"/>
          <w:highlight w:val="none"/>
          <w:lang w:val="en-US" w:eastAsia="zh-CN"/>
        </w:rPr>
        <w:t>3</w:t>
      </w:r>
      <w:r>
        <w:rPr>
          <w:rFonts w:hint="eastAsia" w:ascii="宋体" w:hAnsi="宋体" w:cs="宋体"/>
          <w:color w:val="000000"/>
          <w:highlight w:val="none"/>
        </w:rPr>
        <w:t>5.1.2</w:t>
      </w:r>
      <w:r>
        <w:rPr>
          <w:rFonts w:hint="eastAsia" w:ascii="宋体" w:hAnsi="宋体" w:cs="宋体"/>
          <w:highlight w:val="none"/>
        </w:rPr>
        <w:t>中小企业划型标准</w:t>
      </w:r>
    </w:p>
    <w:p w14:paraId="7BBF1547">
      <w:pPr>
        <w:spacing w:line="288" w:lineRule="auto"/>
        <w:ind w:firstLine="480"/>
        <w:rPr>
          <w:rFonts w:hint="eastAsia" w:ascii="宋体" w:hAnsi="宋体" w:cs="宋体"/>
          <w:highlight w:val="none"/>
        </w:rPr>
      </w:pPr>
      <w:r>
        <w:rPr>
          <w:rFonts w:hint="eastAsia" w:ascii="宋体" w:hAnsi="宋体" w:cs="宋体"/>
          <w:highlight w:val="none"/>
        </w:rPr>
        <w:t>中小企业，是指在中华人民共和国境内依法设立，依据《关于印发中小企业划型标准规定的通知》（工信部联企业(2011）300号)确定的中型企业、小型企业和微型企业，但与大企业的负责人为同一人，或者与大企业存在直接控股、管理关系的除外。</w:t>
      </w:r>
    </w:p>
    <w:p w14:paraId="6C0DCDEF">
      <w:pPr>
        <w:spacing w:line="288" w:lineRule="auto"/>
        <w:ind w:firstLine="480"/>
        <w:rPr>
          <w:rFonts w:hint="eastAsia" w:ascii="宋体" w:hAnsi="宋体" w:cs="宋体"/>
          <w:highlight w:val="none"/>
        </w:rPr>
      </w:pPr>
      <w:r>
        <w:rPr>
          <w:rFonts w:hint="eastAsia" w:ascii="宋体" w:hAnsi="宋体" w:cs="宋体"/>
          <w:highlight w:val="none"/>
        </w:rPr>
        <w:t>符合中小企业划分标准的个体工商户，在政府采购活动中视同中小企业。</w:t>
      </w:r>
    </w:p>
    <w:p w14:paraId="740D979B">
      <w:pPr>
        <w:spacing w:line="288" w:lineRule="auto"/>
        <w:ind w:firstLine="480"/>
        <w:rPr>
          <w:rFonts w:hint="eastAsia" w:ascii="宋体" w:hAnsi="宋体" w:cs="宋体"/>
          <w:highlight w:val="none"/>
        </w:rPr>
      </w:pPr>
      <w:r>
        <w:rPr>
          <w:rFonts w:hint="eastAsia" w:ascii="宋体" w:hAnsi="宋体" w:cs="宋体"/>
          <w:color w:val="000000"/>
          <w:highlight w:val="none"/>
          <w:lang w:val="en-US" w:eastAsia="zh-CN"/>
        </w:rPr>
        <w:t>3</w:t>
      </w:r>
      <w:r>
        <w:rPr>
          <w:rFonts w:hint="eastAsia" w:ascii="宋体" w:hAnsi="宋体" w:cs="宋体"/>
          <w:color w:val="000000"/>
          <w:highlight w:val="none"/>
        </w:rPr>
        <w:t>5.1.3</w:t>
      </w:r>
      <w:r>
        <w:rPr>
          <w:rFonts w:hint="eastAsia" w:ascii="宋体" w:hAnsi="宋体" w:cs="宋体"/>
          <w:highlight w:val="none"/>
        </w:rPr>
        <w:t>中小企业行业划分标准和对应所属行业</w:t>
      </w:r>
    </w:p>
    <w:p w14:paraId="0A9F804B">
      <w:pPr>
        <w:spacing w:line="288" w:lineRule="auto"/>
        <w:ind w:firstLine="480"/>
        <w:rPr>
          <w:rFonts w:hint="eastAsia" w:ascii="宋体" w:hAnsi="宋体" w:cs="宋体"/>
          <w:highlight w:val="none"/>
        </w:rPr>
      </w:pPr>
      <w:r>
        <w:rPr>
          <w:rFonts w:hint="eastAsia" w:ascii="宋体" w:hAnsi="宋体" w:cs="宋体"/>
          <w:highlight w:val="none"/>
        </w:rPr>
        <w:t>详见供应商须知前附表。</w:t>
      </w:r>
    </w:p>
    <w:p w14:paraId="6A8F4C72">
      <w:pPr>
        <w:spacing w:line="288" w:lineRule="auto"/>
        <w:ind w:firstLine="480"/>
        <w:rPr>
          <w:rFonts w:hint="eastAsia" w:ascii="宋体" w:hAnsi="宋体" w:cs="宋体"/>
          <w:highlight w:val="none"/>
        </w:rPr>
      </w:pPr>
      <w:r>
        <w:rPr>
          <w:rFonts w:hint="eastAsia" w:ascii="宋体" w:hAnsi="宋体" w:cs="宋体"/>
          <w:color w:val="000000"/>
          <w:highlight w:val="none"/>
          <w:lang w:val="en-US" w:eastAsia="zh-CN"/>
        </w:rPr>
        <w:t>3</w:t>
      </w:r>
      <w:r>
        <w:rPr>
          <w:rFonts w:hint="eastAsia" w:ascii="宋体" w:hAnsi="宋体" w:cs="宋体"/>
          <w:color w:val="000000"/>
          <w:highlight w:val="none"/>
        </w:rPr>
        <w:t>5.1.4</w:t>
      </w:r>
      <w:r>
        <w:rPr>
          <w:rFonts w:hint="eastAsia" w:ascii="宋体" w:hAnsi="宋体" w:cs="宋体"/>
          <w:highlight w:val="none"/>
        </w:rPr>
        <w:t>不可享受中小企业扶持政策的情形</w:t>
      </w:r>
    </w:p>
    <w:p w14:paraId="342191ED">
      <w:pPr>
        <w:spacing w:line="288" w:lineRule="auto"/>
        <w:ind w:firstLine="480"/>
        <w:rPr>
          <w:rFonts w:hint="eastAsia" w:ascii="宋体" w:hAnsi="宋体" w:cs="宋体"/>
          <w:highlight w:val="none"/>
        </w:rPr>
      </w:pPr>
      <w:r>
        <w:rPr>
          <w:rFonts w:hint="eastAsia" w:ascii="宋体" w:hAnsi="宋体" w:cs="宋体"/>
          <w:highlight w:val="none"/>
        </w:rPr>
        <w:t>1)监狱企业、残疾人福利性单位属于小型微型企业的，不重复享受小微企业优惠政策。</w:t>
      </w:r>
    </w:p>
    <w:p w14:paraId="6464A125">
      <w:pPr>
        <w:spacing w:line="288" w:lineRule="auto"/>
        <w:ind w:firstLine="480"/>
        <w:rPr>
          <w:rFonts w:hint="eastAsia" w:ascii="宋体" w:hAnsi="宋体" w:cs="宋体"/>
          <w:highlight w:val="none"/>
        </w:rPr>
      </w:pPr>
      <w:r>
        <w:rPr>
          <w:rFonts w:hint="eastAsia" w:ascii="宋体" w:hAnsi="宋体" w:cs="宋体"/>
          <w:highlight w:val="none"/>
        </w:rPr>
        <w:t>2)事业单位和社会组织不属于企业。参加货物采购项目，其提供的货物属于中小企业制造的，可以享受该办法规定的中小企业扶持政策。参加工程、服务采购项目不享受小微企业扶持政策。</w:t>
      </w:r>
    </w:p>
    <w:p w14:paraId="2290FB29">
      <w:pPr>
        <w:spacing w:line="288" w:lineRule="auto"/>
        <w:ind w:firstLine="480"/>
        <w:rPr>
          <w:rFonts w:hint="eastAsia" w:ascii="宋体" w:hAnsi="宋体" w:cs="宋体"/>
          <w:highlight w:val="none"/>
        </w:rPr>
      </w:pPr>
      <w:r>
        <w:rPr>
          <w:rFonts w:hint="eastAsia" w:ascii="宋体" w:hAnsi="宋体" w:cs="宋体"/>
          <w:highlight w:val="none"/>
          <w:lang w:val="en-US" w:eastAsia="zh-CN"/>
        </w:rPr>
        <w:t>3</w:t>
      </w:r>
      <w:r>
        <w:rPr>
          <w:rFonts w:hint="eastAsia" w:ascii="宋体" w:hAnsi="宋体" w:cs="宋体"/>
          <w:highlight w:val="none"/>
        </w:rPr>
        <w:t>5.2监狱企业</w:t>
      </w:r>
    </w:p>
    <w:p w14:paraId="52B78A8F">
      <w:pPr>
        <w:spacing w:line="288" w:lineRule="auto"/>
        <w:ind w:firstLine="480"/>
        <w:rPr>
          <w:rFonts w:hint="eastAsia" w:ascii="宋体" w:hAnsi="宋体" w:cs="宋体"/>
          <w:highlight w:val="none"/>
        </w:rPr>
      </w:pPr>
      <w:bookmarkStart w:id="867" w:name="_Toc29052"/>
      <w:bookmarkStart w:id="868" w:name="_Toc32444"/>
      <w:bookmarkStart w:id="869" w:name="_Toc6174"/>
      <w:bookmarkStart w:id="870" w:name="_Toc31884"/>
      <w:bookmarkStart w:id="871" w:name="_Toc16766"/>
      <w:r>
        <w:rPr>
          <w:rFonts w:hint="eastAsia" w:ascii="宋体" w:hAnsi="宋体" w:cs="宋体"/>
          <w:highlight w:val="none"/>
        </w:rPr>
        <w:t>（1）根据财政部、司法部《关于政府采购支持监狱企业发展有关问题的通知》(财库〔2014〕68号)文件精神,监狱企业视同小微企业。</w:t>
      </w:r>
    </w:p>
    <w:p w14:paraId="042D8A12">
      <w:pPr>
        <w:spacing w:line="288" w:lineRule="auto"/>
        <w:ind w:firstLine="480"/>
        <w:rPr>
          <w:rFonts w:hint="eastAsia" w:ascii="宋体" w:hAnsi="宋体" w:cs="宋体"/>
          <w:highlight w:val="none"/>
        </w:rPr>
      </w:pPr>
      <w:r>
        <w:rPr>
          <w:rFonts w:hint="eastAsia" w:ascii="宋体" w:hAnsi="宋体" w:cs="宋体"/>
          <w:highlight w:val="none"/>
        </w:rPr>
        <w:t>（2）监狱企业应当提供《监狱企业声明函》及由省级以上监狱管理局、戒毒管理局(含新疆生产建设兵团)出具的属于监狱企业的证明文件,否则不予认可。</w:t>
      </w:r>
    </w:p>
    <w:p w14:paraId="65E18FC8">
      <w:pPr>
        <w:spacing w:line="288" w:lineRule="auto"/>
        <w:ind w:firstLine="480"/>
        <w:rPr>
          <w:rFonts w:hint="eastAsia" w:ascii="宋体" w:hAnsi="宋体" w:cs="宋体"/>
          <w:highlight w:val="none"/>
        </w:rPr>
      </w:pPr>
      <w:r>
        <w:rPr>
          <w:rFonts w:hint="eastAsia" w:ascii="宋体" w:hAnsi="宋体" w:cs="宋体"/>
          <w:highlight w:val="none"/>
          <w:lang w:val="en-US" w:eastAsia="zh-CN"/>
        </w:rPr>
        <w:t>3</w:t>
      </w:r>
      <w:r>
        <w:rPr>
          <w:rFonts w:hint="eastAsia" w:ascii="宋体" w:hAnsi="宋体" w:cs="宋体"/>
          <w:highlight w:val="none"/>
        </w:rPr>
        <w:t>5.3 残疾人福利性单位</w:t>
      </w:r>
    </w:p>
    <w:p w14:paraId="711C6910">
      <w:pPr>
        <w:spacing w:line="288" w:lineRule="auto"/>
        <w:ind w:firstLine="480"/>
        <w:rPr>
          <w:rFonts w:hint="eastAsia" w:ascii="宋体" w:hAnsi="宋体" w:cs="宋体"/>
          <w:highlight w:val="none"/>
        </w:rPr>
      </w:pPr>
      <w:r>
        <w:rPr>
          <w:rFonts w:hint="eastAsia" w:ascii="宋体" w:hAnsi="宋体" w:cs="宋体"/>
          <w:highlight w:val="none"/>
        </w:rPr>
        <w:t>（1）根据财政部 民政部 中国残疾人联合会《关于促进残疾人就业政府采购政策的通知》(财库〔2017〕141号)文件精神,残疾人福利性单位视同小微企业。</w:t>
      </w:r>
    </w:p>
    <w:p w14:paraId="5E52A086">
      <w:pPr>
        <w:spacing w:line="288" w:lineRule="auto"/>
        <w:ind w:firstLine="480"/>
        <w:rPr>
          <w:rFonts w:hint="eastAsia" w:ascii="宋体" w:hAnsi="宋体" w:cs="宋体"/>
          <w:highlight w:val="none"/>
        </w:rPr>
      </w:pPr>
      <w:r>
        <w:rPr>
          <w:rFonts w:hint="eastAsia" w:ascii="宋体" w:hAnsi="宋体" w:cs="宋体"/>
          <w:highlight w:val="none"/>
        </w:rPr>
        <w:t>（2）残疾人福利性单位应当提供《残疾人福利性单位声明函》,否则不予认可。</w:t>
      </w:r>
    </w:p>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p w14:paraId="6B2D0EA6">
      <w:pPr>
        <w:pStyle w:val="2"/>
        <w:numPr>
          <w:ilvl w:val="-1"/>
          <w:numId w:val="0"/>
        </w:numPr>
        <w:spacing w:before="0" w:beforeLines="0" w:after="0" w:afterLines="0"/>
        <w:ind w:firstLine="0" w:firstLineChars="0"/>
        <w:jc w:val="center"/>
        <w:rPr>
          <w:rFonts w:hint="eastAsia" w:ascii="宋体" w:hAnsi="宋体" w:cs="宋体"/>
          <w:lang w:val="en-US" w:eastAsia="zh-CN"/>
        </w:rPr>
      </w:pPr>
      <w:bookmarkStart w:id="872" w:name="_Toc19802"/>
    </w:p>
    <w:p w14:paraId="707A5F4A">
      <w:pPr>
        <w:rPr>
          <w:rFonts w:hint="eastAsia" w:ascii="宋体" w:hAnsi="宋体" w:cs="宋体"/>
          <w:lang w:val="en-US" w:eastAsia="zh-CN"/>
        </w:rPr>
      </w:pPr>
    </w:p>
    <w:p w14:paraId="172ADCA6">
      <w:pPr>
        <w:pStyle w:val="4"/>
        <w:numPr>
          <w:ilvl w:val="2"/>
          <w:numId w:val="0"/>
        </w:numPr>
        <w:ind w:leftChars="200"/>
        <w:rPr>
          <w:rFonts w:hint="eastAsia"/>
          <w:lang w:val="en-US" w:eastAsia="zh-CN"/>
        </w:rPr>
      </w:pPr>
    </w:p>
    <w:p w14:paraId="470CACE0">
      <w:pPr>
        <w:rPr>
          <w:rFonts w:hint="eastAsia"/>
          <w:lang w:val="en-US" w:eastAsia="zh-CN"/>
        </w:rPr>
      </w:pPr>
    </w:p>
    <w:p w14:paraId="6083A446">
      <w:pPr>
        <w:rPr>
          <w:rFonts w:hint="eastAsia"/>
          <w:lang w:val="en-US" w:eastAsia="zh-CN"/>
        </w:rPr>
      </w:pPr>
    </w:p>
    <w:p w14:paraId="569C9D6A">
      <w:pPr>
        <w:rPr>
          <w:rFonts w:hint="eastAsia"/>
          <w:lang w:val="en-US" w:eastAsia="zh-CN"/>
        </w:rPr>
      </w:pPr>
    </w:p>
    <w:p w14:paraId="0DB09881">
      <w:pPr>
        <w:rPr>
          <w:rFonts w:hint="eastAsia"/>
          <w:lang w:val="en-US" w:eastAsia="zh-CN"/>
        </w:rPr>
      </w:pPr>
    </w:p>
    <w:p w14:paraId="1A41D09F">
      <w:pPr>
        <w:rPr>
          <w:rFonts w:hint="eastAsia"/>
          <w:lang w:val="en-US" w:eastAsia="zh-CN"/>
        </w:rPr>
      </w:pPr>
    </w:p>
    <w:p w14:paraId="56B4D8F9">
      <w:pPr>
        <w:rPr>
          <w:rFonts w:hint="eastAsia"/>
          <w:lang w:val="en-US" w:eastAsia="zh-CN"/>
        </w:rPr>
      </w:pPr>
    </w:p>
    <w:p w14:paraId="2AC97E1C">
      <w:pPr>
        <w:rPr>
          <w:rFonts w:hint="eastAsia"/>
          <w:lang w:val="en-US" w:eastAsia="zh-CN"/>
        </w:rPr>
      </w:pPr>
    </w:p>
    <w:p w14:paraId="2C54C8F4">
      <w:pPr>
        <w:rPr>
          <w:rFonts w:hint="eastAsia"/>
          <w:lang w:val="en-US" w:eastAsia="zh-CN"/>
        </w:rPr>
      </w:pPr>
    </w:p>
    <w:p w14:paraId="47AAACB6">
      <w:pPr>
        <w:rPr>
          <w:rFonts w:hint="eastAsia"/>
          <w:lang w:val="en-US" w:eastAsia="zh-CN"/>
        </w:rPr>
      </w:pPr>
    </w:p>
    <w:p w14:paraId="0736AF8F">
      <w:pPr>
        <w:rPr>
          <w:rFonts w:hint="eastAsia"/>
          <w:lang w:val="en-US" w:eastAsia="zh-CN"/>
        </w:rPr>
      </w:pPr>
    </w:p>
    <w:p w14:paraId="06CB9C77">
      <w:pPr>
        <w:rPr>
          <w:rFonts w:hint="eastAsia"/>
          <w:lang w:val="en-US" w:eastAsia="zh-CN"/>
        </w:rPr>
      </w:pPr>
    </w:p>
    <w:p w14:paraId="40D76167">
      <w:pPr>
        <w:rPr>
          <w:rFonts w:hint="eastAsia"/>
          <w:lang w:val="en-US" w:eastAsia="zh-CN"/>
        </w:rPr>
      </w:pPr>
    </w:p>
    <w:p w14:paraId="287BDDEF">
      <w:pPr>
        <w:rPr>
          <w:rFonts w:hint="eastAsia"/>
          <w:lang w:val="en-US" w:eastAsia="zh-CN"/>
        </w:rPr>
      </w:pPr>
    </w:p>
    <w:p w14:paraId="115311F2">
      <w:pPr>
        <w:rPr>
          <w:rFonts w:hint="eastAsia"/>
          <w:lang w:val="en-US" w:eastAsia="zh-CN"/>
        </w:rPr>
      </w:pPr>
    </w:p>
    <w:p w14:paraId="27CB279D">
      <w:pPr>
        <w:pStyle w:val="4"/>
        <w:numPr>
          <w:ilvl w:val="2"/>
          <w:numId w:val="0"/>
        </w:numPr>
        <w:rPr>
          <w:rFonts w:hint="eastAsia"/>
          <w:lang w:val="en-US" w:eastAsia="zh-CN"/>
        </w:rPr>
      </w:pPr>
    </w:p>
    <w:p w14:paraId="5924F87A">
      <w:pPr>
        <w:rPr>
          <w:rFonts w:hint="eastAsia"/>
          <w:lang w:val="en-US" w:eastAsia="zh-CN"/>
        </w:rPr>
      </w:pPr>
    </w:p>
    <w:p w14:paraId="4C5C599B">
      <w:pPr>
        <w:rPr>
          <w:rFonts w:hint="eastAsia"/>
          <w:lang w:val="en-US" w:eastAsia="zh-CN"/>
        </w:rPr>
      </w:pPr>
    </w:p>
    <w:p w14:paraId="3A1F6041">
      <w:pPr>
        <w:rPr>
          <w:rFonts w:hint="eastAsia"/>
          <w:lang w:val="en-US" w:eastAsia="zh-CN"/>
        </w:rPr>
      </w:pPr>
    </w:p>
    <w:p w14:paraId="41BC4B35">
      <w:pPr>
        <w:rPr>
          <w:rFonts w:hint="eastAsia"/>
          <w:lang w:val="en-US" w:eastAsia="zh-CN"/>
        </w:rPr>
      </w:pPr>
    </w:p>
    <w:p w14:paraId="598FE485">
      <w:pPr>
        <w:pStyle w:val="2"/>
        <w:numPr>
          <w:ilvl w:val="-1"/>
          <w:numId w:val="0"/>
        </w:numPr>
        <w:spacing w:before="0" w:beforeLines="0" w:after="0" w:afterLines="0"/>
        <w:ind w:firstLine="0" w:firstLineChars="0"/>
        <w:jc w:val="both"/>
        <w:rPr>
          <w:rFonts w:hint="eastAsia" w:ascii="宋体" w:hAnsi="宋体" w:cs="宋体"/>
          <w:lang w:val="en-US" w:eastAsia="zh-CN"/>
        </w:rPr>
      </w:pPr>
      <w:bookmarkStart w:id="1718" w:name="_GoBack"/>
      <w:bookmarkEnd w:id="1718"/>
    </w:p>
    <w:p w14:paraId="371C3D89">
      <w:pPr>
        <w:pStyle w:val="2"/>
        <w:numPr>
          <w:ilvl w:val="-1"/>
          <w:numId w:val="0"/>
        </w:numPr>
        <w:spacing w:before="0" w:beforeLines="0" w:after="0" w:afterLines="0"/>
        <w:ind w:firstLine="0" w:firstLineChars="0"/>
        <w:jc w:val="center"/>
        <w:rPr>
          <w:rFonts w:hint="eastAsia" w:ascii="宋体" w:hAnsi="宋体" w:eastAsia="宋体" w:cs="宋体"/>
          <w:b/>
          <w:bCs/>
          <w:snapToGrid/>
          <w:kern w:val="0"/>
          <w:sz w:val="24"/>
          <w:szCs w:val="24"/>
          <w:lang w:val="en-US" w:eastAsia="zh-CN" w:bidi="ar"/>
        </w:rPr>
      </w:pPr>
      <w:r>
        <w:rPr>
          <w:rFonts w:hint="eastAsia" w:ascii="宋体" w:hAnsi="宋体" w:cs="宋体"/>
          <w:lang w:val="en-US" w:eastAsia="zh-CN"/>
        </w:rPr>
        <w:t xml:space="preserve">第三章  </w:t>
      </w:r>
      <w:r>
        <w:rPr>
          <w:rFonts w:hint="eastAsia" w:ascii="宋体" w:hAnsi="宋体" w:cs="宋体"/>
        </w:rPr>
        <w:t>采购内容及要求</w:t>
      </w:r>
      <w:bookmarkEnd w:id="837"/>
      <w:bookmarkEnd w:id="838"/>
      <w:bookmarkEnd w:id="839"/>
      <w:bookmarkEnd w:id="840"/>
      <w:bookmarkEnd w:id="841"/>
      <w:bookmarkEnd w:id="842"/>
      <w:bookmarkEnd w:id="843"/>
      <w:bookmarkEnd w:id="844"/>
      <w:bookmarkEnd w:id="845"/>
      <w:bookmarkEnd w:id="872"/>
      <w:bookmarkStart w:id="873" w:name="_Toc18200"/>
      <w:bookmarkStart w:id="874" w:name="_Toc29886"/>
      <w:bookmarkStart w:id="875" w:name="_Toc4820"/>
      <w:bookmarkStart w:id="876" w:name="_Toc839"/>
      <w:bookmarkStart w:id="877" w:name="_Toc25889"/>
      <w:bookmarkStart w:id="878" w:name="_Toc30089"/>
      <w:bookmarkStart w:id="879" w:name="_Toc21546"/>
      <w:bookmarkStart w:id="880" w:name="_Toc1244"/>
      <w:bookmarkStart w:id="881" w:name="_Toc19496"/>
    </w:p>
    <w:p w14:paraId="6798FCC6">
      <w:pPr>
        <w:keepNext w:val="0"/>
        <w:keepLines w:val="0"/>
        <w:pageBreakBefore w:val="0"/>
        <w:widowControl w:val="0"/>
        <w:kinsoku/>
        <w:wordWrap/>
        <w:overflowPunct/>
        <w:topLinePunct w:val="0"/>
        <w:autoSpaceDE/>
        <w:autoSpaceDN/>
        <w:bidi w:val="0"/>
        <w:adjustRightInd/>
        <w:snapToGrid/>
        <w:spacing w:line="480" w:lineRule="auto"/>
        <w:ind w:left="0"/>
        <w:textAlignment w:val="auto"/>
        <w:rPr>
          <w:rFonts w:hint="eastAsia" w:ascii="宋体" w:hAnsi="宋体" w:eastAsia="宋体" w:cs="宋体"/>
          <w:b/>
          <w:bCs/>
          <w:spacing w:val="-4"/>
          <w:sz w:val="24"/>
          <w:szCs w:val="24"/>
          <w:lang w:val="en-US" w:eastAsia="zh-CN"/>
        </w:rPr>
      </w:pPr>
      <w:bookmarkStart w:id="882" w:name="_二期网络工程项目改造需求"/>
      <w:bookmarkEnd w:id="882"/>
      <w:bookmarkStart w:id="883" w:name="_Toc29539"/>
      <w:bookmarkStart w:id="884" w:name="_Toc19703"/>
      <w:bookmarkStart w:id="885" w:name="_Toc11194"/>
      <w:r>
        <w:rPr>
          <w:rFonts w:hint="eastAsia" w:ascii="宋体" w:hAnsi="宋体" w:eastAsia="宋体" w:cs="宋体"/>
          <w:b/>
          <w:bCs/>
          <w:spacing w:val="-4"/>
          <w:sz w:val="24"/>
          <w:szCs w:val="24"/>
          <w:lang w:val="en-US" w:eastAsia="zh-CN"/>
        </w:rPr>
        <w:t>一、项目概况</w:t>
      </w:r>
    </w:p>
    <w:p w14:paraId="1AAA646B">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480" w:firstLineChars="20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本项目招标范围包含小南海镇</w:t>
      </w:r>
      <w:r>
        <w:rPr>
          <w:rFonts w:hint="eastAsia" w:ascii="宋体" w:hAnsi="宋体" w:cs="宋体"/>
          <w:b w:val="0"/>
          <w:bCs w:val="0"/>
          <w:i w:val="0"/>
          <w:iCs w:val="0"/>
          <w:color w:val="000000"/>
          <w:kern w:val="0"/>
          <w:sz w:val="24"/>
          <w:szCs w:val="24"/>
          <w:u w:val="none"/>
          <w:lang w:val="en-US" w:eastAsia="zh-CN" w:bidi="ar"/>
        </w:rPr>
        <w:t>周红坂村</w:t>
      </w:r>
      <w:r>
        <w:rPr>
          <w:rFonts w:hint="eastAsia" w:ascii="宋体" w:hAnsi="宋体" w:eastAsia="宋体" w:cs="宋体"/>
          <w:b w:val="0"/>
          <w:bCs w:val="0"/>
          <w:i w:val="0"/>
          <w:iCs w:val="0"/>
          <w:color w:val="000000"/>
          <w:kern w:val="0"/>
          <w:sz w:val="24"/>
          <w:szCs w:val="24"/>
          <w:u w:val="none"/>
          <w:lang w:val="en-US" w:eastAsia="zh-CN" w:bidi="ar"/>
        </w:rPr>
        <w:t>老年活动中心及厨房的功能布局设计、广告展陈设计、平面设计、立体效果设计、</w:t>
      </w:r>
      <w:r>
        <w:rPr>
          <w:rFonts w:hint="eastAsia" w:ascii="宋体" w:hAnsi="宋体" w:cs="宋体"/>
          <w:b w:val="0"/>
          <w:bCs w:val="0"/>
          <w:i w:val="0"/>
          <w:iCs w:val="0"/>
          <w:color w:val="000000"/>
          <w:kern w:val="0"/>
          <w:sz w:val="24"/>
          <w:szCs w:val="24"/>
          <w:u w:val="none"/>
          <w:lang w:val="en-US" w:eastAsia="zh-CN" w:bidi="ar"/>
        </w:rPr>
        <w:t>现场施工、</w:t>
      </w:r>
      <w:r>
        <w:rPr>
          <w:rFonts w:hint="eastAsia" w:ascii="宋体" w:hAnsi="宋体" w:eastAsia="宋体" w:cs="宋体"/>
          <w:b w:val="0"/>
          <w:bCs w:val="0"/>
          <w:i w:val="0"/>
          <w:iCs w:val="0"/>
          <w:color w:val="000000"/>
          <w:kern w:val="0"/>
          <w:sz w:val="24"/>
          <w:szCs w:val="24"/>
          <w:u w:val="none"/>
          <w:lang w:val="en-US" w:eastAsia="zh-CN" w:bidi="ar"/>
        </w:rPr>
        <w:t>装饰装修、展览布展、电器设备、</w:t>
      </w:r>
      <w:r>
        <w:rPr>
          <w:rFonts w:hint="eastAsia" w:ascii="宋体" w:hAnsi="宋体" w:cs="宋体"/>
          <w:b w:val="0"/>
          <w:bCs w:val="0"/>
          <w:i w:val="0"/>
          <w:iCs w:val="0"/>
          <w:color w:val="000000"/>
          <w:kern w:val="0"/>
          <w:sz w:val="24"/>
          <w:szCs w:val="24"/>
          <w:u w:val="none"/>
          <w:lang w:val="en-US" w:eastAsia="zh-CN" w:bidi="ar"/>
        </w:rPr>
        <w:t>厨房设备采购以及</w:t>
      </w:r>
      <w:r>
        <w:rPr>
          <w:rFonts w:hint="eastAsia" w:ascii="宋体" w:hAnsi="宋体" w:eastAsia="宋体" w:cs="宋体"/>
          <w:b w:val="0"/>
          <w:bCs w:val="0"/>
          <w:i w:val="0"/>
          <w:iCs w:val="0"/>
          <w:color w:val="000000"/>
          <w:kern w:val="0"/>
          <w:sz w:val="24"/>
          <w:szCs w:val="24"/>
          <w:u w:val="none"/>
          <w:lang w:val="en-US" w:eastAsia="zh-CN" w:bidi="ar"/>
        </w:rPr>
        <w:t>定制家具等采购及安装等。</w:t>
      </w:r>
    </w:p>
    <w:p w14:paraId="4251F2C4">
      <w:pPr>
        <w:keepNext w:val="0"/>
        <w:keepLines w:val="0"/>
        <w:pageBreakBefore w:val="0"/>
        <w:widowControl w:val="0"/>
        <w:kinsoku/>
        <w:wordWrap/>
        <w:overflowPunct/>
        <w:topLinePunct w:val="0"/>
        <w:autoSpaceDE/>
        <w:autoSpaceDN/>
        <w:bidi w:val="0"/>
        <w:adjustRightInd/>
        <w:snapToGrid/>
        <w:spacing w:line="480" w:lineRule="auto"/>
        <w:ind w:left="0"/>
        <w:textAlignment w:val="auto"/>
        <w:rPr>
          <w:rFonts w:ascii="宋体" w:hAnsi="宋体" w:eastAsia="宋体" w:cs="宋体"/>
          <w:sz w:val="24"/>
          <w:szCs w:val="24"/>
        </w:rPr>
      </w:pPr>
      <w:r>
        <w:rPr>
          <w:rFonts w:hint="eastAsia" w:ascii="宋体" w:hAnsi="宋体" w:cs="宋体"/>
          <w:b/>
          <w:bCs/>
          <w:spacing w:val="-4"/>
          <w:sz w:val="24"/>
          <w:szCs w:val="24"/>
          <w:lang w:val="en-US" w:eastAsia="zh-CN"/>
        </w:rPr>
        <w:t>二、</w:t>
      </w:r>
      <w:r>
        <w:rPr>
          <w:rFonts w:ascii="宋体" w:hAnsi="宋体" w:eastAsia="宋体" w:cs="宋体"/>
          <w:b/>
          <w:bCs/>
          <w:spacing w:val="-4"/>
          <w:sz w:val="24"/>
          <w:szCs w:val="24"/>
        </w:rPr>
        <w:t>采购需求清单</w:t>
      </w:r>
    </w:p>
    <w:bookmarkEnd w:id="883"/>
    <w:bookmarkEnd w:id="884"/>
    <w:tbl>
      <w:tblPr>
        <w:tblStyle w:val="38"/>
        <w:tblW w:w="98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022"/>
        <w:gridCol w:w="6396"/>
        <w:gridCol w:w="738"/>
        <w:gridCol w:w="715"/>
      </w:tblGrid>
      <w:tr w14:paraId="3B0D9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PrEx>
        <w:trPr>
          <w:trHeight w:val="600" w:hRule="atLeast"/>
          <w:jc w:val="center"/>
        </w:trPr>
        <w:tc>
          <w:tcPr>
            <w:tcW w:w="2022" w:type="dxa"/>
            <w:shd w:val="clear" w:color="auto" w:fill="auto"/>
            <w:vAlign w:val="center"/>
          </w:tcPr>
          <w:p w14:paraId="0188DCA8">
            <w:pPr>
              <w:keepNext w:val="0"/>
              <w:keepLines w:val="0"/>
              <w:widowControl/>
              <w:suppressLineNumbers w:val="0"/>
              <w:spacing w:before="0" w:beforeAutospacing="0" w:after="0" w:afterAutospacing="0"/>
              <w:ind w:left="0" w:leftChars="0" w:right="0" w:firstLine="0" w:firstLineChars="0"/>
              <w:jc w:val="both"/>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名称</w:t>
            </w:r>
          </w:p>
        </w:tc>
        <w:tc>
          <w:tcPr>
            <w:tcW w:w="6396" w:type="dxa"/>
            <w:shd w:val="clear" w:color="auto" w:fill="auto"/>
            <w:vAlign w:val="center"/>
          </w:tcPr>
          <w:p w14:paraId="717FCE4A">
            <w:pPr>
              <w:keepNext w:val="0"/>
              <w:keepLines w:val="0"/>
              <w:widowControl/>
              <w:suppressLineNumbers w:val="0"/>
              <w:spacing w:before="0" w:beforeAutospacing="0" w:after="0" w:afterAutospacing="0"/>
              <w:ind w:left="0" w:leftChars="0" w:right="0" w:firstLine="0" w:firstLineChars="0"/>
              <w:jc w:val="both"/>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技术要求</w:t>
            </w:r>
          </w:p>
        </w:tc>
        <w:tc>
          <w:tcPr>
            <w:tcW w:w="738" w:type="dxa"/>
            <w:shd w:val="clear" w:color="auto" w:fill="auto"/>
            <w:vAlign w:val="center"/>
          </w:tcPr>
          <w:p w14:paraId="2778C716">
            <w:pPr>
              <w:keepNext w:val="0"/>
              <w:keepLines w:val="0"/>
              <w:widowControl/>
              <w:suppressLineNumbers w:val="0"/>
              <w:spacing w:before="0" w:beforeAutospacing="0" w:after="0" w:afterAutospacing="0"/>
              <w:ind w:left="0" w:leftChars="0" w:right="0" w:firstLine="0" w:firstLineChars="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数量</w:t>
            </w:r>
          </w:p>
        </w:tc>
        <w:tc>
          <w:tcPr>
            <w:tcW w:w="715" w:type="dxa"/>
            <w:shd w:val="clear" w:color="auto" w:fill="auto"/>
            <w:vAlign w:val="center"/>
          </w:tcPr>
          <w:p w14:paraId="050F7754">
            <w:pPr>
              <w:keepNext w:val="0"/>
              <w:keepLines w:val="0"/>
              <w:widowControl/>
              <w:suppressLineNumbers w:val="0"/>
              <w:spacing w:before="0" w:beforeAutospacing="0" w:after="0" w:afterAutospacing="0"/>
              <w:ind w:left="0" w:leftChars="0" w:right="0" w:firstLine="0" w:firstLineChars="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单位</w:t>
            </w:r>
          </w:p>
        </w:tc>
      </w:tr>
      <w:tr w14:paraId="6A087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9871" w:type="dxa"/>
            <w:gridSpan w:val="4"/>
            <w:shd w:val="clear" w:color="auto" w:fill="auto"/>
            <w:vAlign w:val="center"/>
          </w:tcPr>
          <w:p w14:paraId="136276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厨房整体</w:t>
            </w:r>
          </w:p>
        </w:tc>
      </w:tr>
      <w:tr w14:paraId="6D5C8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2022" w:type="dxa"/>
            <w:shd w:val="clear" w:color="auto" w:fill="auto"/>
            <w:vAlign w:val="center"/>
          </w:tcPr>
          <w:p w14:paraId="318D42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整体吊顶</w:t>
            </w:r>
          </w:p>
        </w:tc>
        <w:tc>
          <w:tcPr>
            <w:tcW w:w="6396" w:type="dxa"/>
            <w:shd w:val="clear" w:color="auto" w:fill="auto"/>
            <w:vAlign w:val="center"/>
          </w:tcPr>
          <w:p w14:paraId="6DA512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∅8丝杆；M8膨胀螺栓固定；50主龙@900；系列轻钢龙骨吊顶</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6；明装600mm*600mm,1.2mm厚铝扣板；与墙面接缝处应使用专用收口条收边</w:t>
            </w:r>
          </w:p>
        </w:tc>
        <w:tc>
          <w:tcPr>
            <w:tcW w:w="738" w:type="dxa"/>
            <w:shd w:val="clear" w:color="auto" w:fill="auto"/>
            <w:vAlign w:val="center"/>
          </w:tcPr>
          <w:p w14:paraId="146F5A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13044E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3E5D6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22" w:type="dxa"/>
            <w:shd w:val="clear" w:color="auto" w:fill="auto"/>
            <w:vAlign w:val="center"/>
          </w:tcPr>
          <w:p w14:paraId="5512CE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厨房灯具</w:t>
            </w:r>
          </w:p>
        </w:tc>
        <w:tc>
          <w:tcPr>
            <w:tcW w:w="6396" w:type="dxa"/>
            <w:shd w:val="clear" w:color="auto" w:fill="auto"/>
            <w:vAlign w:val="center"/>
          </w:tcPr>
          <w:p w14:paraId="775BFB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600mm*600mm厨房直发光LED平板灯，无频闪暗角;PC材质，产品单只功率98w；照明白光6500K</w:t>
            </w:r>
          </w:p>
        </w:tc>
        <w:tc>
          <w:tcPr>
            <w:tcW w:w="738" w:type="dxa"/>
            <w:shd w:val="clear" w:color="auto" w:fill="auto"/>
            <w:vAlign w:val="center"/>
          </w:tcPr>
          <w:p w14:paraId="231318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771948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3790D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2022" w:type="dxa"/>
            <w:shd w:val="clear" w:color="auto" w:fill="auto"/>
            <w:vAlign w:val="center"/>
          </w:tcPr>
          <w:p w14:paraId="7BBA5FE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整体水电</w:t>
            </w:r>
          </w:p>
        </w:tc>
        <w:tc>
          <w:tcPr>
            <w:tcW w:w="6396" w:type="dxa"/>
            <w:shd w:val="clear" w:color="auto" w:fill="auto"/>
            <w:vAlign w:val="center"/>
          </w:tcPr>
          <w:p w14:paraId="4FB6A1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所有室内水电改造（含开关面板）；设备备用电插座以及备用电源，厨房内水路管道及排污管道铺设;照明线路国标2.5㎡（三根单线）铜芯线；空调国标4㎡（三根单线）铜芯线;厨房设备线路根据设备供应商指导铺设相应规格线路</w:t>
            </w:r>
          </w:p>
        </w:tc>
        <w:tc>
          <w:tcPr>
            <w:tcW w:w="738" w:type="dxa"/>
            <w:shd w:val="clear" w:color="auto" w:fill="auto"/>
            <w:vAlign w:val="center"/>
          </w:tcPr>
          <w:p w14:paraId="7C818E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0E347DE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03645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2022" w:type="dxa"/>
            <w:shd w:val="clear" w:color="auto" w:fill="auto"/>
            <w:vAlign w:val="center"/>
          </w:tcPr>
          <w:p w14:paraId="0F686DF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整体地砖</w:t>
            </w:r>
          </w:p>
        </w:tc>
        <w:tc>
          <w:tcPr>
            <w:tcW w:w="6396" w:type="dxa"/>
            <w:shd w:val="clear" w:color="auto" w:fill="auto"/>
            <w:vAlign w:val="center"/>
          </w:tcPr>
          <w:p w14:paraId="2EA3D5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地砖规格：800mm*800mm；超过部分按找平层计算（含人工、含地砖及加工），地砖铺贴；砖在铺贴30分钟左右（视气候及水泥凝结程度）要及时将产品表面的水泥浆擦洗干净，避免表面藏污时间过长，难以清理；待地砖整体铺贴完成并清理干净后，美缝剂收缝。</w:t>
            </w:r>
          </w:p>
        </w:tc>
        <w:tc>
          <w:tcPr>
            <w:tcW w:w="738" w:type="dxa"/>
            <w:shd w:val="clear" w:color="auto" w:fill="auto"/>
            <w:vAlign w:val="center"/>
          </w:tcPr>
          <w:p w14:paraId="4DCFBB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6BB77A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2FE1E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8" w:hRule="atLeast"/>
          <w:jc w:val="center"/>
        </w:trPr>
        <w:tc>
          <w:tcPr>
            <w:tcW w:w="2022" w:type="dxa"/>
            <w:shd w:val="clear" w:color="auto" w:fill="auto"/>
            <w:vAlign w:val="center"/>
          </w:tcPr>
          <w:p w14:paraId="6BA058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整体墙砖</w:t>
            </w:r>
          </w:p>
        </w:tc>
        <w:tc>
          <w:tcPr>
            <w:tcW w:w="6396" w:type="dxa"/>
            <w:shd w:val="clear" w:color="auto" w:fill="auto"/>
            <w:vAlign w:val="center"/>
          </w:tcPr>
          <w:p w14:paraId="462222D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地砖规格：400mm*800mm；1：2.5水泥砂浆（含人工、含砖），墙砖铺贴；</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砖在铺贴30分钟左右（视气候及水泥凝结程度）要及时将产品表面的水泥浆擦洗干净，避免表面藏污时间过长，难以清理；待墙砖整体铺贴完成并清理干净后，美缝剂收缝。</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注：墙砖铺贴前因铲除铲除旧墙油漆、附着物，清理、除糙、补缝</w:t>
            </w:r>
          </w:p>
        </w:tc>
        <w:tc>
          <w:tcPr>
            <w:tcW w:w="738" w:type="dxa"/>
            <w:shd w:val="clear" w:color="auto" w:fill="auto"/>
            <w:vAlign w:val="center"/>
          </w:tcPr>
          <w:p w14:paraId="6F6765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5BB470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0B8AA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22" w:type="dxa"/>
            <w:shd w:val="clear" w:color="auto" w:fill="auto"/>
            <w:vAlign w:val="center"/>
          </w:tcPr>
          <w:p w14:paraId="1EA371C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防水处理(指明部位）</w:t>
            </w:r>
          </w:p>
        </w:tc>
        <w:tc>
          <w:tcPr>
            <w:tcW w:w="6396" w:type="dxa"/>
            <w:shd w:val="clear" w:color="auto" w:fill="auto"/>
            <w:vAlign w:val="center"/>
          </w:tcPr>
          <w:p w14:paraId="6F7AC3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高强防水、防腐密封涂料，涂三遍，按投影面积＋周长×0.3计算;洗手池处涂刷到1200mm高度</w:t>
            </w:r>
          </w:p>
        </w:tc>
        <w:tc>
          <w:tcPr>
            <w:tcW w:w="738" w:type="dxa"/>
            <w:shd w:val="clear" w:color="auto" w:fill="auto"/>
            <w:vAlign w:val="center"/>
          </w:tcPr>
          <w:p w14:paraId="73DC06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3513EF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01FD7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2022" w:type="dxa"/>
            <w:shd w:val="clear" w:color="auto" w:fill="auto"/>
            <w:vAlign w:val="center"/>
          </w:tcPr>
          <w:p w14:paraId="4EE330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墙体拆除</w:t>
            </w:r>
          </w:p>
        </w:tc>
        <w:tc>
          <w:tcPr>
            <w:tcW w:w="6396" w:type="dxa"/>
            <w:shd w:val="clear" w:color="auto" w:fill="auto"/>
            <w:vAlign w:val="center"/>
          </w:tcPr>
          <w:p w14:paraId="5BBFCE9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原墙面拆除与开洞、装袋</w:t>
            </w:r>
          </w:p>
        </w:tc>
        <w:tc>
          <w:tcPr>
            <w:tcW w:w="738" w:type="dxa"/>
            <w:shd w:val="clear" w:color="auto" w:fill="auto"/>
            <w:vAlign w:val="center"/>
          </w:tcPr>
          <w:p w14:paraId="3E3CB0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5CDF91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4039A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2022" w:type="dxa"/>
            <w:shd w:val="clear" w:color="auto" w:fill="auto"/>
            <w:vAlign w:val="center"/>
          </w:tcPr>
          <w:p w14:paraId="17DEE9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新建墙体</w:t>
            </w:r>
          </w:p>
        </w:tc>
        <w:tc>
          <w:tcPr>
            <w:tcW w:w="6396" w:type="dxa"/>
            <w:shd w:val="clear" w:color="auto" w:fill="auto"/>
            <w:vAlign w:val="center"/>
          </w:tcPr>
          <w:p w14:paraId="4C54D46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轻质砖、双面1：2.5水泥砂浆抹灰批荡，不含批灰、墙面涂料</w:t>
            </w:r>
          </w:p>
        </w:tc>
        <w:tc>
          <w:tcPr>
            <w:tcW w:w="738" w:type="dxa"/>
            <w:shd w:val="clear" w:color="auto" w:fill="auto"/>
            <w:vAlign w:val="center"/>
          </w:tcPr>
          <w:p w14:paraId="0AAD2F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64F3FB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4A7EA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2022" w:type="dxa"/>
            <w:shd w:val="clear" w:color="auto" w:fill="auto"/>
            <w:vAlign w:val="center"/>
          </w:tcPr>
          <w:p w14:paraId="3D67CC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厨房室内门</w:t>
            </w:r>
          </w:p>
        </w:tc>
        <w:tc>
          <w:tcPr>
            <w:tcW w:w="6396" w:type="dxa"/>
            <w:shd w:val="clear" w:color="auto" w:fill="auto"/>
            <w:vAlign w:val="center"/>
          </w:tcPr>
          <w:p w14:paraId="66F6AF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定制钛镁铝合金平开门；玻璃材质双层中空钢化玻璃；五金配件含执手、合页、门吸；门框颜色为黑色</w:t>
            </w:r>
          </w:p>
        </w:tc>
        <w:tc>
          <w:tcPr>
            <w:tcW w:w="738" w:type="dxa"/>
            <w:shd w:val="clear" w:color="auto" w:fill="auto"/>
            <w:vAlign w:val="center"/>
          </w:tcPr>
          <w:p w14:paraId="736619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2</w:t>
            </w:r>
          </w:p>
        </w:tc>
        <w:tc>
          <w:tcPr>
            <w:tcW w:w="715" w:type="dxa"/>
            <w:shd w:val="clear" w:color="auto" w:fill="auto"/>
            <w:vAlign w:val="center"/>
          </w:tcPr>
          <w:p w14:paraId="19224F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樘</w:t>
            </w:r>
          </w:p>
        </w:tc>
      </w:tr>
      <w:tr w14:paraId="2F412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2022" w:type="dxa"/>
            <w:shd w:val="clear" w:color="auto" w:fill="auto"/>
            <w:vAlign w:val="center"/>
          </w:tcPr>
          <w:p w14:paraId="773FE6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厨房门</w:t>
            </w:r>
          </w:p>
        </w:tc>
        <w:tc>
          <w:tcPr>
            <w:tcW w:w="6396" w:type="dxa"/>
            <w:shd w:val="clear" w:color="auto" w:fill="auto"/>
            <w:vAlign w:val="center"/>
          </w:tcPr>
          <w:p w14:paraId="2E0FDA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定制厨房304不锈钢防盗门；门扇厚度70mm；标配锁具；双层不锈钢下档</w:t>
            </w:r>
          </w:p>
        </w:tc>
        <w:tc>
          <w:tcPr>
            <w:tcW w:w="738" w:type="dxa"/>
            <w:shd w:val="clear" w:color="auto" w:fill="auto"/>
            <w:vAlign w:val="center"/>
          </w:tcPr>
          <w:p w14:paraId="5B264D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2E7040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樘</w:t>
            </w:r>
          </w:p>
        </w:tc>
      </w:tr>
      <w:tr w14:paraId="2632E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022" w:type="dxa"/>
            <w:shd w:val="clear" w:color="auto" w:fill="auto"/>
            <w:vAlign w:val="center"/>
          </w:tcPr>
          <w:p w14:paraId="4CFB57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铝合金隔断</w:t>
            </w:r>
          </w:p>
        </w:tc>
        <w:tc>
          <w:tcPr>
            <w:tcW w:w="6396" w:type="dxa"/>
            <w:shd w:val="clear" w:color="auto" w:fill="auto"/>
            <w:vAlign w:val="center"/>
          </w:tcPr>
          <w:p w14:paraId="793328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定制航空铝隔断，黑色边框；3C钢化玻璃；与地面接缝处配挡水基石</w:t>
            </w:r>
          </w:p>
        </w:tc>
        <w:tc>
          <w:tcPr>
            <w:tcW w:w="738" w:type="dxa"/>
            <w:shd w:val="clear" w:color="auto" w:fill="auto"/>
            <w:vAlign w:val="center"/>
          </w:tcPr>
          <w:p w14:paraId="71C902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6C815D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2113D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022" w:type="dxa"/>
            <w:shd w:val="clear" w:color="auto" w:fill="auto"/>
            <w:vAlign w:val="center"/>
          </w:tcPr>
          <w:p w14:paraId="1E0BCC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定制百叶帘</w:t>
            </w:r>
          </w:p>
        </w:tc>
        <w:tc>
          <w:tcPr>
            <w:tcW w:w="6396" w:type="dxa"/>
            <w:shd w:val="clear" w:color="auto" w:fill="auto"/>
            <w:vAlign w:val="center"/>
          </w:tcPr>
          <w:p w14:paraId="1C53FF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环保铝合金材质，0.21mm加厚叶片，烤漆叶片；四合一省力拉珠系统，多层环保烤漆，防水防霉。</w:t>
            </w:r>
          </w:p>
        </w:tc>
        <w:tc>
          <w:tcPr>
            <w:tcW w:w="738" w:type="dxa"/>
            <w:shd w:val="clear" w:color="auto" w:fill="auto"/>
            <w:vAlign w:val="center"/>
          </w:tcPr>
          <w:p w14:paraId="563AC2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44D63F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0C009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22" w:type="dxa"/>
            <w:shd w:val="clear" w:color="auto" w:fill="auto"/>
            <w:vAlign w:val="center"/>
          </w:tcPr>
          <w:p w14:paraId="356FAE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户外雨棚</w:t>
            </w:r>
          </w:p>
        </w:tc>
        <w:tc>
          <w:tcPr>
            <w:tcW w:w="6396" w:type="dxa"/>
            <w:shd w:val="clear" w:color="auto" w:fill="auto"/>
            <w:vAlign w:val="center"/>
          </w:tcPr>
          <w:p w14:paraId="20D5BC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定制户外雨棚;支架材质ADC-12铝合金，棚板材质：PC耐力板耐120度高温</w:t>
            </w:r>
          </w:p>
        </w:tc>
        <w:tc>
          <w:tcPr>
            <w:tcW w:w="738" w:type="dxa"/>
            <w:shd w:val="clear" w:color="auto" w:fill="auto"/>
            <w:vAlign w:val="center"/>
          </w:tcPr>
          <w:p w14:paraId="280C261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1DDC8B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5E550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871" w:type="dxa"/>
            <w:gridSpan w:val="4"/>
            <w:shd w:val="clear" w:color="auto" w:fill="auto"/>
            <w:vAlign w:val="center"/>
          </w:tcPr>
          <w:p w14:paraId="2865D5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厨房一更室</w:t>
            </w:r>
          </w:p>
        </w:tc>
      </w:tr>
      <w:tr w14:paraId="6F187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2022" w:type="dxa"/>
            <w:shd w:val="clear" w:color="auto" w:fill="auto"/>
            <w:noWrap/>
            <w:vAlign w:val="center"/>
          </w:tcPr>
          <w:p w14:paraId="7FA67C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更衣柜</w:t>
            </w:r>
          </w:p>
        </w:tc>
        <w:tc>
          <w:tcPr>
            <w:tcW w:w="6396" w:type="dxa"/>
            <w:shd w:val="clear" w:color="auto" w:fill="auto"/>
            <w:vAlign w:val="center"/>
          </w:tcPr>
          <w:p w14:paraId="13B149D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全钢柜体；加厚冷轧钢板；无磷静电喷塑，健康环保；多重分区，满足收纳；安全锁具，防丢防盗；规格：380mm*450mm*1850mm</w:t>
            </w:r>
          </w:p>
        </w:tc>
        <w:tc>
          <w:tcPr>
            <w:tcW w:w="738" w:type="dxa"/>
            <w:shd w:val="clear" w:color="auto" w:fill="auto"/>
            <w:noWrap/>
            <w:vAlign w:val="center"/>
          </w:tcPr>
          <w:p w14:paraId="596EE5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2</w:t>
            </w:r>
          </w:p>
        </w:tc>
        <w:tc>
          <w:tcPr>
            <w:tcW w:w="715" w:type="dxa"/>
            <w:shd w:val="clear" w:color="auto" w:fill="auto"/>
            <w:noWrap/>
            <w:vAlign w:val="center"/>
          </w:tcPr>
          <w:p w14:paraId="376E33E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组</w:t>
            </w:r>
          </w:p>
        </w:tc>
      </w:tr>
      <w:tr w14:paraId="2C97A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2022" w:type="dxa"/>
            <w:shd w:val="clear" w:color="auto" w:fill="auto"/>
            <w:vAlign w:val="center"/>
          </w:tcPr>
          <w:p w14:paraId="46B405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烘手器</w:t>
            </w:r>
          </w:p>
        </w:tc>
        <w:tc>
          <w:tcPr>
            <w:tcW w:w="6396" w:type="dxa"/>
            <w:shd w:val="clear" w:color="auto" w:fill="auto"/>
            <w:vAlign w:val="center"/>
          </w:tcPr>
          <w:p w14:paraId="6A87C3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2000W大功率，感应秒出风；免打孔安装ipx4防水认证；专利减震结构，减少噪音；一键调节冷热，多场景使用</w:t>
            </w:r>
          </w:p>
        </w:tc>
        <w:tc>
          <w:tcPr>
            <w:tcW w:w="738" w:type="dxa"/>
            <w:shd w:val="clear" w:color="auto" w:fill="auto"/>
            <w:noWrap/>
            <w:vAlign w:val="center"/>
          </w:tcPr>
          <w:p w14:paraId="6CE8635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37F1A9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714F9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2022" w:type="dxa"/>
            <w:shd w:val="clear" w:color="auto" w:fill="auto"/>
            <w:vAlign w:val="center"/>
          </w:tcPr>
          <w:p w14:paraId="203C86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酒精喷雾机</w:t>
            </w:r>
          </w:p>
        </w:tc>
        <w:tc>
          <w:tcPr>
            <w:tcW w:w="6396" w:type="dxa"/>
            <w:shd w:val="clear" w:color="auto" w:fill="auto"/>
            <w:vAlign w:val="center"/>
          </w:tcPr>
          <w:p w14:paraId="013951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智能感应，定量喷淋，健康免接触；5秒净手，2000毫升大容量；酒精/次氯酸可用；带门控线</w:t>
            </w:r>
          </w:p>
        </w:tc>
        <w:tc>
          <w:tcPr>
            <w:tcW w:w="738" w:type="dxa"/>
            <w:shd w:val="clear" w:color="auto" w:fill="auto"/>
            <w:noWrap/>
            <w:vAlign w:val="center"/>
          </w:tcPr>
          <w:p w14:paraId="20BF17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1B402A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00CDC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2022" w:type="dxa"/>
            <w:shd w:val="clear" w:color="auto" w:fill="auto"/>
            <w:vAlign w:val="center"/>
          </w:tcPr>
          <w:p w14:paraId="4FD1C7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洗手台（陶瓷）</w:t>
            </w:r>
          </w:p>
        </w:tc>
        <w:tc>
          <w:tcPr>
            <w:tcW w:w="6396" w:type="dxa"/>
            <w:shd w:val="clear" w:color="auto" w:fill="auto"/>
            <w:vAlign w:val="center"/>
          </w:tcPr>
          <w:p w14:paraId="5C1FD3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高温烧制；智洁釉面；吸收率底；三层釉面；抗菌洁易；无污染材质；带感应式水龙头</w:t>
            </w:r>
          </w:p>
        </w:tc>
        <w:tc>
          <w:tcPr>
            <w:tcW w:w="738" w:type="dxa"/>
            <w:shd w:val="clear" w:color="auto" w:fill="auto"/>
            <w:noWrap/>
            <w:vAlign w:val="center"/>
          </w:tcPr>
          <w:p w14:paraId="00BCDA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710D58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4005F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022" w:type="dxa"/>
            <w:shd w:val="clear" w:color="auto" w:fill="auto"/>
            <w:vAlign w:val="center"/>
          </w:tcPr>
          <w:p w14:paraId="0F3795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消毒灯</w:t>
            </w:r>
          </w:p>
        </w:tc>
        <w:tc>
          <w:tcPr>
            <w:tcW w:w="6396" w:type="dxa"/>
            <w:shd w:val="clear" w:color="auto" w:fill="auto"/>
            <w:vAlign w:val="center"/>
          </w:tcPr>
          <w:p w14:paraId="15BB5B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145uw/cm²紫外线强度；紫外线+臭氧，双重杀菌</w:t>
            </w:r>
          </w:p>
        </w:tc>
        <w:tc>
          <w:tcPr>
            <w:tcW w:w="738" w:type="dxa"/>
            <w:shd w:val="clear" w:color="auto" w:fill="auto"/>
            <w:noWrap/>
            <w:vAlign w:val="center"/>
          </w:tcPr>
          <w:p w14:paraId="75A579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6982FB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622AC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871" w:type="dxa"/>
            <w:gridSpan w:val="4"/>
            <w:shd w:val="clear" w:color="auto" w:fill="auto"/>
            <w:vAlign w:val="center"/>
          </w:tcPr>
          <w:p w14:paraId="4A9C56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厨房操作间</w:t>
            </w:r>
          </w:p>
        </w:tc>
      </w:tr>
      <w:tr w14:paraId="3EA34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022" w:type="dxa"/>
            <w:shd w:val="clear" w:color="auto" w:fill="auto"/>
            <w:noWrap/>
            <w:vAlign w:val="center"/>
          </w:tcPr>
          <w:p w14:paraId="16E696C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四眼煲仔炉</w:t>
            </w:r>
          </w:p>
        </w:tc>
        <w:tc>
          <w:tcPr>
            <w:tcW w:w="6396" w:type="dxa"/>
            <w:shd w:val="clear" w:color="auto" w:fill="auto"/>
            <w:vAlign w:val="center"/>
          </w:tcPr>
          <w:p w14:paraId="435197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主体不锈钢材质，炉盘加厚铸铁；一炉一控，无极调火；熄火保护，规格：650mm*750mm*800mm</w:t>
            </w:r>
          </w:p>
        </w:tc>
        <w:tc>
          <w:tcPr>
            <w:tcW w:w="738" w:type="dxa"/>
            <w:shd w:val="clear" w:color="auto" w:fill="auto"/>
            <w:noWrap/>
            <w:vAlign w:val="center"/>
          </w:tcPr>
          <w:p w14:paraId="40386C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2EEB47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101BE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22" w:type="dxa"/>
            <w:shd w:val="clear" w:color="auto" w:fill="auto"/>
            <w:noWrap/>
            <w:vAlign w:val="center"/>
          </w:tcPr>
          <w:p w14:paraId="057128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调料台</w:t>
            </w:r>
          </w:p>
        </w:tc>
        <w:tc>
          <w:tcPr>
            <w:tcW w:w="6396" w:type="dxa"/>
            <w:shd w:val="clear" w:color="auto" w:fill="auto"/>
            <w:vAlign w:val="center"/>
          </w:tcPr>
          <w:p w14:paraId="3B39B15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采用304不锈钢板制做，台面δ1.0mm；配可调平脚，脚Φ38*0.8mm，规格；800mm*800mm</w:t>
            </w:r>
          </w:p>
        </w:tc>
        <w:tc>
          <w:tcPr>
            <w:tcW w:w="738" w:type="dxa"/>
            <w:shd w:val="clear" w:color="auto" w:fill="auto"/>
            <w:noWrap/>
            <w:vAlign w:val="center"/>
          </w:tcPr>
          <w:p w14:paraId="54AA10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2</w:t>
            </w:r>
          </w:p>
        </w:tc>
        <w:tc>
          <w:tcPr>
            <w:tcW w:w="715" w:type="dxa"/>
            <w:shd w:val="clear" w:color="auto" w:fill="auto"/>
            <w:noWrap/>
            <w:vAlign w:val="center"/>
          </w:tcPr>
          <w:p w14:paraId="305979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16956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2022" w:type="dxa"/>
            <w:shd w:val="clear" w:color="auto" w:fill="auto"/>
            <w:noWrap/>
            <w:vAlign w:val="center"/>
          </w:tcPr>
          <w:p w14:paraId="533B19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二炒一温灶</w:t>
            </w:r>
          </w:p>
        </w:tc>
        <w:tc>
          <w:tcPr>
            <w:tcW w:w="6396" w:type="dxa"/>
            <w:shd w:val="clear" w:color="auto" w:fill="auto"/>
            <w:vAlign w:val="center"/>
          </w:tcPr>
          <w:p w14:paraId="413710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双眼节能炒灶【静音炉芯】 规 格 ；1300mm*800mm*800mm</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说明；采用加厚炉头，不锈钢放射体，路芯为静音。</w:t>
            </w:r>
          </w:p>
        </w:tc>
        <w:tc>
          <w:tcPr>
            <w:tcW w:w="738" w:type="dxa"/>
            <w:shd w:val="clear" w:color="auto" w:fill="auto"/>
            <w:noWrap/>
            <w:vAlign w:val="center"/>
          </w:tcPr>
          <w:p w14:paraId="5D58F7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03548E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5F209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2022" w:type="dxa"/>
            <w:shd w:val="clear" w:color="auto" w:fill="auto"/>
            <w:noWrap/>
            <w:vAlign w:val="center"/>
          </w:tcPr>
          <w:p w14:paraId="3CD39F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9千瓦开水器</w:t>
            </w:r>
          </w:p>
        </w:tc>
        <w:tc>
          <w:tcPr>
            <w:tcW w:w="6396" w:type="dxa"/>
            <w:shd w:val="clear" w:color="auto" w:fill="auto"/>
            <w:vAlign w:val="center"/>
          </w:tcPr>
          <w:p w14:paraId="16AFB0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功率；380V9KW</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说明，1.可以定时开机，关机，微电脑控制。2 第一次开机后，5 分钟既有开水饮用。3.步进煮开，连续供水。4.水不开，不出水，无混合水。5.出水温度，可自由设定【30- 100 度】。内置三级净水过滤装置。连续出水量为约 40 瓶</w:t>
            </w:r>
          </w:p>
        </w:tc>
        <w:tc>
          <w:tcPr>
            <w:tcW w:w="738" w:type="dxa"/>
            <w:shd w:val="clear" w:color="auto" w:fill="auto"/>
            <w:noWrap/>
            <w:vAlign w:val="center"/>
          </w:tcPr>
          <w:p w14:paraId="0FA812F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2AAC20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38595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022" w:type="dxa"/>
            <w:shd w:val="clear" w:color="auto" w:fill="auto"/>
            <w:noWrap/>
            <w:vAlign w:val="center"/>
          </w:tcPr>
          <w:p w14:paraId="44CF13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蒸饭柜</w:t>
            </w:r>
          </w:p>
        </w:tc>
        <w:tc>
          <w:tcPr>
            <w:tcW w:w="6396" w:type="dxa"/>
            <w:shd w:val="clear" w:color="auto" w:fill="auto"/>
            <w:vAlign w:val="center"/>
          </w:tcPr>
          <w:p w14:paraId="203701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 xml:space="preserve"> 24 盘整机采用不锈钢加厚钢板1.0制作。托盘采用不锈钢蒸饭箱订做成横推托盘款式。门把手为开关式把手。蒸饭箱电压功率为 380V12KW*2 （电脑版智能定时控温）。规格；1450*545*1480</w:t>
            </w:r>
          </w:p>
        </w:tc>
        <w:tc>
          <w:tcPr>
            <w:tcW w:w="738" w:type="dxa"/>
            <w:shd w:val="clear" w:color="auto" w:fill="auto"/>
            <w:noWrap/>
            <w:vAlign w:val="center"/>
          </w:tcPr>
          <w:p w14:paraId="450269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2CCD9CD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4D507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2022" w:type="dxa"/>
            <w:shd w:val="clear" w:color="auto" w:fill="auto"/>
            <w:noWrap/>
            <w:vAlign w:val="center"/>
          </w:tcPr>
          <w:p w14:paraId="349A38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平板工作台</w:t>
            </w:r>
          </w:p>
        </w:tc>
        <w:tc>
          <w:tcPr>
            <w:tcW w:w="6396" w:type="dxa"/>
            <w:shd w:val="clear" w:color="auto" w:fill="auto"/>
            <w:vAlign w:val="center"/>
          </w:tcPr>
          <w:p w14:paraId="5C0C4B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说明；采用不锈钢板制造，面板厚度 1.0mm 不锈钢可调节脚</w:t>
            </w:r>
          </w:p>
        </w:tc>
        <w:tc>
          <w:tcPr>
            <w:tcW w:w="738" w:type="dxa"/>
            <w:shd w:val="clear" w:color="auto" w:fill="auto"/>
            <w:noWrap/>
            <w:vAlign w:val="center"/>
          </w:tcPr>
          <w:p w14:paraId="5F8FD0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2</w:t>
            </w:r>
          </w:p>
        </w:tc>
        <w:tc>
          <w:tcPr>
            <w:tcW w:w="715" w:type="dxa"/>
            <w:shd w:val="clear" w:color="auto" w:fill="auto"/>
            <w:noWrap/>
            <w:vAlign w:val="center"/>
          </w:tcPr>
          <w:p w14:paraId="37D086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张</w:t>
            </w:r>
          </w:p>
        </w:tc>
      </w:tr>
      <w:tr w14:paraId="696E4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2022" w:type="dxa"/>
            <w:shd w:val="clear" w:color="auto" w:fill="auto"/>
            <w:noWrap/>
            <w:vAlign w:val="center"/>
          </w:tcPr>
          <w:p w14:paraId="22BC33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四门冰箱（双温）</w:t>
            </w:r>
          </w:p>
        </w:tc>
        <w:tc>
          <w:tcPr>
            <w:tcW w:w="6396" w:type="dxa"/>
            <w:shd w:val="clear" w:color="auto" w:fill="auto"/>
            <w:vAlign w:val="center"/>
          </w:tcPr>
          <w:p w14:paraId="345DBF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 xml:space="preserve"> BCD-850B温度；冷冻≤-12/冷藏0-10℃容量；900L,规格；1200mm*750mm*1960mm说明；采用全钢全铜制造，自动回归门，数字显示温控器，</w:t>
            </w:r>
          </w:p>
        </w:tc>
        <w:tc>
          <w:tcPr>
            <w:tcW w:w="738" w:type="dxa"/>
            <w:shd w:val="clear" w:color="auto" w:fill="auto"/>
            <w:noWrap/>
            <w:vAlign w:val="center"/>
          </w:tcPr>
          <w:p w14:paraId="31ADF9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73DEA2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2FB46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022" w:type="dxa"/>
            <w:shd w:val="clear" w:color="auto" w:fill="auto"/>
            <w:noWrap/>
            <w:vAlign w:val="center"/>
          </w:tcPr>
          <w:p w14:paraId="333B7B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打荷台</w:t>
            </w:r>
          </w:p>
        </w:tc>
        <w:tc>
          <w:tcPr>
            <w:tcW w:w="6396" w:type="dxa"/>
            <w:shd w:val="clear" w:color="auto" w:fill="auto"/>
            <w:vAlign w:val="center"/>
          </w:tcPr>
          <w:p w14:paraId="433EAF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说明；采用304不锈钢板制造，台面δ1.0mm 单向双层双移门，下衬10.0mm密度板减噪，侧板δ1.0mm ，门面δ1.0mm ；底板，层板δ0.8mm；重力脚Φ50mm*150mm不锈钢重力脚。规格；1800mm*800mm*800mm</w:t>
            </w:r>
          </w:p>
        </w:tc>
        <w:tc>
          <w:tcPr>
            <w:tcW w:w="738" w:type="dxa"/>
            <w:shd w:val="clear" w:color="auto" w:fill="auto"/>
            <w:noWrap/>
            <w:vAlign w:val="center"/>
          </w:tcPr>
          <w:p w14:paraId="334862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2</w:t>
            </w:r>
          </w:p>
        </w:tc>
        <w:tc>
          <w:tcPr>
            <w:tcW w:w="715" w:type="dxa"/>
            <w:shd w:val="clear" w:color="auto" w:fill="auto"/>
            <w:noWrap/>
            <w:vAlign w:val="center"/>
          </w:tcPr>
          <w:p w14:paraId="49A727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张</w:t>
            </w:r>
          </w:p>
        </w:tc>
      </w:tr>
      <w:tr w14:paraId="6E6C7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2022" w:type="dxa"/>
            <w:shd w:val="clear" w:color="auto" w:fill="auto"/>
            <w:noWrap/>
            <w:vAlign w:val="center"/>
          </w:tcPr>
          <w:p w14:paraId="64EF39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双手池</w:t>
            </w:r>
          </w:p>
        </w:tc>
        <w:tc>
          <w:tcPr>
            <w:tcW w:w="6396" w:type="dxa"/>
            <w:shd w:val="clear" w:color="auto" w:fill="auto"/>
            <w:vAlign w:val="center"/>
          </w:tcPr>
          <w:p w14:paraId="2E2AC7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说明；采用304不锈钢板制造，台面=1.0mm,水斗=1.0mm，配置Φ38mm不锈钢可调节脚，配不锈钢下水漏斗尺寸；1200mm*700mm*800mm</w:t>
            </w:r>
          </w:p>
        </w:tc>
        <w:tc>
          <w:tcPr>
            <w:tcW w:w="738" w:type="dxa"/>
            <w:shd w:val="clear" w:color="auto" w:fill="auto"/>
            <w:noWrap/>
            <w:vAlign w:val="center"/>
          </w:tcPr>
          <w:p w14:paraId="647773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34706E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6FC27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22" w:type="dxa"/>
            <w:shd w:val="clear" w:color="auto" w:fill="auto"/>
            <w:noWrap/>
            <w:vAlign w:val="center"/>
          </w:tcPr>
          <w:p w14:paraId="7C0AB3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三水池</w:t>
            </w:r>
          </w:p>
        </w:tc>
        <w:tc>
          <w:tcPr>
            <w:tcW w:w="6396" w:type="dxa"/>
            <w:shd w:val="clear" w:color="auto" w:fill="auto"/>
            <w:vAlign w:val="center"/>
          </w:tcPr>
          <w:p w14:paraId="753DC21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说明；采用304不锈钢板制造，台面=1.0mm,水斗=1.0mm，配置Φ38mm不锈钢可调节脚，配不锈钢下水漏斗尺寸；1800mm*700mm*800mm</w:t>
            </w:r>
          </w:p>
        </w:tc>
        <w:tc>
          <w:tcPr>
            <w:tcW w:w="738" w:type="dxa"/>
            <w:shd w:val="clear" w:color="auto" w:fill="auto"/>
            <w:noWrap/>
            <w:vAlign w:val="center"/>
          </w:tcPr>
          <w:p w14:paraId="019E31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39A9D5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0AE56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022" w:type="dxa"/>
            <w:shd w:val="clear" w:color="auto" w:fill="auto"/>
            <w:noWrap/>
            <w:vAlign w:val="center"/>
          </w:tcPr>
          <w:p w14:paraId="57F6C6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油水分离器</w:t>
            </w:r>
          </w:p>
        </w:tc>
        <w:tc>
          <w:tcPr>
            <w:tcW w:w="6396" w:type="dxa"/>
            <w:shd w:val="clear" w:color="auto" w:fill="auto"/>
            <w:vAlign w:val="center"/>
          </w:tcPr>
          <w:p w14:paraId="0D7CCF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304不锈钢材质，板材厚度1.0mm</w:t>
            </w:r>
          </w:p>
        </w:tc>
        <w:tc>
          <w:tcPr>
            <w:tcW w:w="738" w:type="dxa"/>
            <w:shd w:val="clear" w:color="auto" w:fill="auto"/>
            <w:noWrap/>
            <w:vAlign w:val="center"/>
          </w:tcPr>
          <w:p w14:paraId="5B09E7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2</w:t>
            </w:r>
          </w:p>
        </w:tc>
        <w:tc>
          <w:tcPr>
            <w:tcW w:w="715" w:type="dxa"/>
            <w:shd w:val="clear" w:color="auto" w:fill="auto"/>
            <w:noWrap/>
            <w:vAlign w:val="center"/>
          </w:tcPr>
          <w:p w14:paraId="278C42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50D38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2022" w:type="dxa"/>
            <w:shd w:val="clear" w:color="auto" w:fill="auto"/>
            <w:noWrap/>
            <w:vAlign w:val="center"/>
          </w:tcPr>
          <w:p w14:paraId="32CD09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食品留样柜</w:t>
            </w:r>
          </w:p>
        </w:tc>
        <w:tc>
          <w:tcPr>
            <w:tcW w:w="6396" w:type="dxa"/>
            <w:shd w:val="clear" w:color="auto" w:fill="auto"/>
            <w:vAlign w:val="center"/>
          </w:tcPr>
          <w:p w14:paraId="7307E0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容量400L；壁内直冷，工作电压220V，外部尺寸650mm*580mm*1900mm；五层可用，温度0-10°范围可调</w:t>
            </w:r>
          </w:p>
        </w:tc>
        <w:tc>
          <w:tcPr>
            <w:tcW w:w="738" w:type="dxa"/>
            <w:shd w:val="clear" w:color="auto" w:fill="auto"/>
            <w:noWrap/>
            <w:vAlign w:val="center"/>
          </w:tcPr>
          <w:p w14:paraId="30810B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745EED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06CBB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871" w:type="dxa"/>
            <w:gridSpan w:val="4"/>
            <w:shd w:val="clear" w:color="auto" w:fill="auto"/>
            <w:vAlign w:val="center"/>
          </w:tcPr>
          <w:p w14:paraId="4BB4CB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厨房操作间配套设施</w:t>
            </w:r>
          </w:p>
        </w:tc>
      </w:tr>
      <w:tr w14:paraId="664D9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022" w:type="dxa"/>
            <w:shd w:val="clear" w:color="auto" w:fill="auto"/>
            <w:noWrap/>
            <w:vAlign w:val="center"/>
          </w:tcPr>
          <w:p w14:paraId="34E241E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不锈钢油烟机</w:t>
            </w:r>
          </w:p>
        </w:tc>
        <w:tc>
          <w:tcPr>
            <w:tcW w:w="6396" w:type="dxa"/>
            <w:shd w:val="clear" w:color="auto" w:fill="auto"/>
            <w:vAlign w:val="center"/>
          </w:tcPr>
          <w:p w14:paraId="162528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说明；采用304不锈钢材料，不锈钢厚度δ</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=1.0mm</w:t>
            </w:r>
          </w:p>
        </w:tc>
        <w:tc>
          <w:tcPr>
            <w:tcW w:w="738" w:type="dxa"/>
            <w:shd w:val="clear" w:color="auto" w:fill="auto"/>
            <w:noWrap/>
            <w:vAlign w:val="center"/>
          </w:tcPr>
          <w:p w14:paraId="712D64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3</w:t>
            </w:r>
          </w:p>
        </w:tc>
        <w:tc>
          <w:tcPr>
            <w:tcW w:w="715" w:type="dxa"/>
            <w:shd w:val="clear" w:color="auto" w:fill="auto"/>
            <w:noWrap/>
            <w:vAlign w:val="center"/>
          </w:tcPr>
          <w:p w14:paraId="3C8049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0F4E8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2022" w:type="dxa"/>
            <w:shd w:val="clear" w:color="auto" w:fill="auto"/>
            <w:noWrap/>
            <w:vAlign w:val="center"/>
          </w:tcPr>
          <w:p w14:paraId="61E6799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管道300型</w:t>
            </w:r>
          </w:p>
        </w:tc>
        <w:tc>
          <w:tcPr>
            <w:tcW w:w="6396" w:type="dxa"/>
            <w:shd w:val="clear" w:color="auto" w:fill="auto"/>
            <w:vAlign w:val="center"/>
          </w:tcPr>
          <w:p w14:paraId="7765536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说明；采用201不锈钢材料，直径300mm</w:t>
            </w:r>
          </w:p>
        </w:tc>
        <w:tc>
          <w:tcPr>
            <w:tcW w:w="738" w:type="dxa"/>
            <w:shd w:val="clear" w:color="auto" w:fill="auto"/>
            <w:noWrap/>
            <w:vAlign w:val="center"/>
          </w:tcPr>
          <w:p w14:paraId="445506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2A197A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1180F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2022" w:type="dxa"/>
            <w:shd w:val="clear" w:color="auto" w:fill="auto"/>
            <w:noWrap/>
            <w:vAlign w:val="center"/>
          </w:tcPr>
          <w:p w14:paraId="2A8A7D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弯头</w:t>
            </w:r>
          </w:p>
        </w:tc>
        <w:tc>
          <w:tcPr>
            <w:tcW w:w="6396" w:type="dxa"/>
            <w:shd w:val="clear" w:color="auto" w:fill="auto"/>
            <w:vAlign w:val="center"/>
          </w:tcPr>
          <w:p w14:paraId="767B6A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说明；采用201不锈钢材料，直径300mm</w:t>
            </w:r>
          </w:p>
        </w:tc>
        <w:tc>
          <w:tcPr>
            <w:tcW w:w="738" w:type="dxa"/>
            <w:shd w:val="clear" w:color="auto" w:fill="auto"/>
            <w:noWrap/>
            <w:vAlign w:val="center"/>
          </w:tcPr>
          <w:p w14:paraId="6453F33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735044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007F6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22" w:type="dxa"/>
            <w:shd w:val="clear" w:color="auto" w:fill="auto"/>
            <w:noWrap/>
            <w:vAlign w:val="center"/>
          </w:tcPr>
          <w:p w14:paraId="4917CF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离心机2.2千瓦</w:t>
            </w:r>
          </w:p>
        </w:tc>
        <w:tc>
          <w:tcPr>
            <w:tcW w:w="6396" w:type="dxa"/>
            <w:shd w:val="clear" w:color="auto" w:fill="auto"/>
            <w:noWrap/>
            <w:vAlign w:val="center"/>
          </w:tcPr>
          <w:p w14:paraId="280C28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说明；采用不锈钢材料</w:t>
            </w:r>
          </w:p>
        </w:tc>
        <w:tc>
          <w:tcPr>
            <w:tcW w:w="738" w:type="dxa"/>
            <w:shd w:val="clear" w:color="auto" w:fill="auto"/>
            <w:noWrap/>
            <w:vAlign w:val="center"/>
          </w:tcPr>
          <w:p w14:paraId="6648CB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34452C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6EFD5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22" w:type="dxa"/>
            <w:shd w:val="clear" w:color="auto" w:fill="auto"/>
            <w:noWrap/>
            <w:vAlign w:val="center"/>
          </w:tcPr>
          <w:p w14:paraId="7E95F4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打油烟机洞</w:t>
            </w:r>
          </w:p>
        </w:tc>
        <w:tc>
          <w:tcPr>
            <w:tcW w:w="6396" w:type="dxa"/>
            <w:shd w:val="clear" w:color="auto" w:fill="auto"/>
            <w:noWrap/>
            <w:vAlign w:val="center"/>
          </w:tcPr>
          <w:p w14:paraId="24E650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人工钻孔、缝隙闭合、原件铺设</w:t>
            </w:r>
          </w:p>
        </w:tc>
        <w:tc>
          <w:tcPr>
            <w:tcW w:w="738" w:type="dxa"/>
            <w:shd w:val="clear" w:color="auto" w:fill="auto"/>
            <w:noWrap/>
            <w:vAlign w:val="center"/>
          </w:tcPr>
          <w:p w14:paraId="566358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003330E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5E325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2022" w:type="dxa"/>
            <w:shd w:val="clear" w:color="auto" w:fill="auto"/>
            <w:noWrap/>
            <w:vAlign w:val="center"/>
          </w:tcPr>
          <w:p w14:paraId="66690A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挖地沟铺管道</w:t>
            </w:r>
          </w:p>
        </w:tc>
        <w:tc>
          <w:tcPr>
            <w:tcW w:w="6396" w:type="dxa"/>
            <w:shd w:val="clear" w:color="auto" w:fill="auto"/>
            <w:noWrap/>
            <w:vAlign w:val="center"/>
          </w:tcPr>
          <w:p w14:paraId="049FF70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人工开挖铺设管道、混泥土回填、不锈钢过滤板</w:t>
            </w:r>
          </w:p>
        </w:tc>
        <w:tc>
          <w:tcPr>
            <w:tcW w:w="738" w:type="dxa"/>
            <w:shd w:val="clear" w:color="auto" w:fill="auto"/>
            <w:noWrap/>
            <w:vAlign w:val="center"/>
          </w:tcPr>
          <w:p w14:paraId="724540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43F53B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2D04C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2022" w:type="dxa"/>
            <w:shd w:val="clear" w:color="auto" w:fill="auto"/>
            <w:noWrap/>
            <w:vAlign w:val="center"/>
          </w:tcPr>
          <w:p w14:paraId="1B1086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地沟板</w:t>
            </w:r>
          </w:p>
        </w:tc>
        <w:tc>
          <w:tcPr>
            <w:tcW w:w="6396" w:type="dxa"/>
            <w:shd w:val="clear" w:color="auto" w:fill="auto"/>
            <w:vAlign w:val="center"/>
          </w:tcPr>
          <w:p w14:paraId="40CFC6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说明；采用不锈钢板制造，厚度2.0mm,规格：580mm*300mm</w:t>
            </w:r>
          </w:p>
        </w:tc>
        <w:tc>
          <w:tcPr>
            <w:tcW w:w="738" w:type="dxa"/>
            <w:shd w:val="clear" w:color="auto" w:fill="auto"/>
            <w:noWrap/>
            <w:vAlign w:val="center"/>
          </w:tcPr>
          <w:p w14:paraId="5EE4BBE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68A3EC6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61F2E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 w:hRule="atLeast"/>
          <w:jc w:val="center"/>
        </w:trPr>
        <w:tc>
          <w:tcPr>
            <w:tcW w:w="2022" w:type="dxa"/>
            <w:shd w:val="clear" w:color="auto" w:fill="auto"/>
            <w:noWrap/>
            <w:vAlign w:val="center"/>
          </w:tcPr>
          <w:p w14:paraId="239AD05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净化器</w:t>
            </w:r>
          </w:p>
        </w:tc>
        <w:tc>
          <w:tcPr>
            <w:tcW w:w="6396" w:type="dxa"/>
            <w:shd w:val="clear" w:color="auto" w:fill="auto"/>
            <w:noWrap/>
            <w:vAlign w:val="center"/>
          </w:tcPr>
          <w:p w14:paraId="41340FF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说明；采用不锈钢材料,6000风量</w:t>
            </w:r>
          </w:p>
        </w:tc>
        <w:tc>
          <w:tcPr>
            <w:tcW w:w="738" w:type="dxa"/>
            <w:shd w:val="clear" w:color="auto" w:fill="auto"/>
            <w:noWrap/>
            <w:vAlign w:val="center"/>
          </w:tcPr>
          <w:p w14:paraId="18E88A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1D547D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0E206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871" w:type="dxa"/>
            <w:gridSpan w:val="4"/>
            <w:shd w:val="clear" w:color="auto" w:fill="auto"/>
            <w:vAlign w:val="center"/>
          </w:tcPr>
          <w:p w14:paraId="16E470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厨房备二更室</w:t>
            </w:r>
          </w:p>
        </w:tc>
      </w:tr>
      <w:tr w14:paraId="50679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2022" w:type="dxa"/>
            <w:shd w:val="clear" w:color="auto" w:fill="auto"/>
            <w:vAlign w:val="center"/>
          </w:tcPr>
          <w:p w14:paraId="61685F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烘手器</w:t>
            </w:r>
          </w:p>
        </w:tc>
        <w:tc>
          <w:tcPr>
            <w:tcW w:w="6396" w:type="dxa"/>
            <w:shd w:val="clear" w:color="auto" w:fill="auto"/>
            <w:vAlign w:val="center"/>
          </w:tcPr>
          <w:p w14:paraId="3F9EC8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2000W大功率，感应秒出风；免打孔安装ipx4防水认证；专利减震结构，减少噪音；一键调节冷热，多场景使用</w:t>
            </w:r>
          </w:p>
        </w:tc>
        <w:tc>
          <w:tcPr>
            <w:tcW w:w="738" w:type="dxa"/>
            <w:shd w:val="clear" w:color="auto" w:fill="auto"/>
            <w:noWrap/>
            <w:vAlign w:val="center"/>
          </w:tcPr>
          <w:p w14:paraId="7C7E18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79E1DB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7D4B2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2022" w:type="dxa"/>
            <w:shd w:val="clear" w:color="auto" w:fill="auto"/>
            <w:vAlign w:val="center"/>
          </w:tcPr>
          <w:p w14:paraId="0171CD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酒精喷雾机</w:t>
            </w:r>
          </w:p>
        </w:tc>
        <w:tc>
          <w:tcPr>
            <w:tcW w:w="6396" w:type="dxa"/>
            <w:shd w:val="clear" w:color="auto" w:fill="auto"/>
            <w:vAlign w:val="center"/>
          </w:tcPr>
          <w:p w14:paraId="39294F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智能感应，定量喷淋，健康免接触；5秒净手，2000毫升大容量；酒精/次氯酸可用；带门控线</w:t>
            </w:r>
          </w:p>
        </w:tc>
        <w:tc>
          <w:tcPr>
            <w:tcW w:w="738" w:type="dxa"/>
            <w:shd w:val="clear" w:color="auto" w:fill="auto"/>
            <w:noWrap/>
            <w:vAlign w:val="center"/>
          </w:tcPr>
          <w:p w14:paraId="5AE9437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21DCC1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5B1B7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2022" w:type="dxa"/>
            <w:shd w:val="clear" w:color="auto" w:fill="auto"/>
            <w:vAlign w:val="center"/>
          </w:tcPr>
          <w:p w14:paraId="58A6B8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洗手台（陶瓷）</w:t>
            </w:r>
          </w:p>
        </w:tc>
        <w:tc>
          <w:tcPr>
            <w:tcW w:w="6396" w:type="dxa"/>
            <w:shd w:val="clear" w:color="auto" w:fill="auto"/>
            <w:vAlign w:val="center"/>
          </w:tcPr>
          <w:p w14:paraId="453CEE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高温烧制；智洁釉面；吸收率底；三层釉面；抗菌洁易；无污染材质；带感应式水龙头</w:t>
            </w:r>
          </w:p>
        </w:tc>
        <w:tc>
          <w:tcPr>
            <w:tcW w:w="738" w:type="dxa"/>
            <w:shd w:val="clear" w:color="auto" w:fill="auto"/>
            <w:noWrap/>
            <w:vAlign w:val="center"/>
          </w:tcPr>
          <w:p w14:paraId="1E5715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62757A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77DB7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2022" w:type="dxa"/>
            <w:shd w:val="clear" w:color="auto" w:fill="auto"/>
            <w:vAlign w:val="center"/>
          </w:tcPr>
          <w:p w14:paraId="7BFA46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衣服挂钩</w:t>
            </w:r>
          </w:p>
        </w:tc>
        <w:tc>
          <w:tcPr>
            <w:tcW w:w="6396" w:type="dxa"/>
            <w:shd w:val="clear" w:color="auto" w:fill="auto"/>
            <w:vAlign w:val="center"/>
          </w:tcPr>
          <w:p w14:paraId="39842A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金属免打孔挂钩</w:t>
            </w:r>
          </w:p>
        </w:tc>
        <w:tc>
          <w:tcPr>
            <w:tcW w:w="738" w:type="dxa"/>
            <w:shd w:val="clear" w:color="auto" w:fill="auto"/>
            <w:noWrap/>
            <w:vAlign w:val="center"/>
          </w:tcPr>
          <w:p w14:paraId="0CC2FF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6E1716F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5AB20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022" w:type="dxa"/>
            <w:shd w:val="clear" w:color="auto" w:fill="auto"/>
            <w:vAlign w:val="center"/>
          </w:tcPr>
          <w:p w14:paraId="3F280F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消毒灯</w:t>
            </w:r>
          </w:p>
        </w:tc>
        <w:tc>
          <w:tcPr>
            <w:tcW w:w="6396" w:type="dxa"/>
            <w:shd w:val="clear" w:color="auto" w:fill="auto"/>
            <w:vAlign w:val="center"/>
          </w:tcPr>
          <w:p w14:paraId="5CFF9B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145uw/cm²紫外线强度；紫外线+臭氧，双重杀菌</w:t>
            </w:r>
          </w:p>
        </w:tc>
        <w:tc>
          <w:tcPr>
            <w:tcW w:w="738" w:type="dxa"/>
            <w:shd w:val="clear" w:color="auto" w:fill="auto"/>
            <w:noWrap/>
            <w:vAlign w:val="center"/>
          </w:tcPr>
          <w:p w14:paraId="314534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041ADDC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7C5AE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71" w:type="dxa"/>
            <w:gridSpan w:val="4"/>
            <w:shd w:val="clear" w:color="auto" w:fill="auto"/>
            <w:vAlign w:val="center"/>
          </w:tcPr>
          <w:p w14:paraId="2518855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厨房备餐间</w:t>
            </w:r>
          </w:p>
        </w:tc>
      </w:tr>
      <w:tr w14:paraId="2B12C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2022" w:type="dxa"/>
            <w:shd w:val="clear" w:color="auto" w:fill="auto"/>
            <w:vAlign w:val="center"/>
          </w:tcPr>
          <w:p w14:paraId="0DC383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空调</w:t>
            </w:r>
          </w:p>
        </w:tc>
        <w:tc>
          <w:tcPr>
            <w:tcW w:w="6396" w:type="dxa"/>
            <w:shd w:val="clear" w:color="auto" w:fill="auto"/>
            <w:noWrap/>
            <w:vAlign w:val="center"/>
          </w:tcPr>
          <w:p w14:paraId="37E35B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制冷量：</w:t>
            </w:r>
            <w:r>
              <w:rPr>
                <w:rFonts w:hint="eastAsia" w:ascii="宋体" w:hAnsi="宋体" w:cs="宋体"/>
                <w:b w:val="0"/>
                <w:bCs w:val="0"/>
                <w:i w:val="0"/>
                <w:iCs w:val="0"/>
                <w:color w:val="000000"/>
                <w:kern w:val="0"/>
                <w:sz w:val="22"/>
                <w:szCs w:val="22"/>
                <w:u w:val="none"/>
                <w:lang w:val="en-US" w:eastAsia="zh-CN" w:bidi="ar"/>
              </w:rPr>
              <w:t>1.5</w:t>
            </w:r>
            <w:r>
              <w:rPr>
                <w:rFonts w:hint="eastAsia" w:ascii="宋体" w:hAnsi="宋体" w:eastAsia="宋体" w:cs="宋体"/>
                <w:b w:val="0"/>
                <w:bCs w:val="0"/>
                <w:i w:val="0"/>
                <w:iCs w:val="0"/>
                <w:color w:val="000000"/>
                <w:kern w:val="0"/>
                <w:sz w:val="22"/>
                <w:szCs w:val="22"/>
                <w:u w:val="none"/>
                <w:lang w:val="en-US" w:eastAsia="zh-CN" w:bidi="ar"/>
              </w:rPr>
              <w:t>匹；能效：一级；推荐品牌 美的、格力、奥克斯</w:t>
            </w:r>
            <w:r>
              <w:rPr>
                <w:rFonts w:hint="eastAsia" w:ascii="宋体" w:hAnsi="宋体" w:cs="宋体"/>
                <w:b w:val="0"/>
                <w:bCs w:val="0"/>
                <w:i w:val="0"/>
                <w:iCs w:val="0"/>
                <w:color w:val="000000"/>
                <w:kern w:val="0"/>
                <w:sz w:val="22"/>
                <w:szCs w:val="22"/>
                <w:u w:val="none"/>
                <w:lang w:val="en-US" w:eastAsia="zh-CN" w:bidi="ar"/>
              </w:rPr>
              <w:t>等不低于以上品牌</w:t>
            </w:r>
          </w:p>
        </w:tc>
        <w:tc>
          <w:tcPr>
            <w:tcW w:w="738" w:type="dxa"/>
            <w:shd w:val="clear" w:color="auto" w:fill="auto"/>
            <w:noWrap/>
            <w:vAlign w:val="center"/>
          </w:tcPr>
          <w:p w14:paraId="2B713E5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6BF8B7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52487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2022" w:type="dxa"/>
            <w:shd w:val="clear" w:color="auto" w:fill="auto"/>
            <w:vAlign w:val="center"/>
          </w:tcPr>
          <w:p w14:paraId="538E1F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传菜口</w:t>
            </w:r>
          </w:p>
        </w:tc>
        <w:tc>
          <w:tcPr>
            <w:tcW w:w="6396" w:type="dxa"/>
            <w:shd w:val="clear" w:color="auto" w:fill="auto"/>
            <w:noWrap/>
            <w:vAlign w:val="center"/>
          </w:tcPr>
          <w:p w14:paraId="478FE03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定制窗口；开启方式：上下推拉；铝合金边框，钢化玻璃；防寒保暖，防污防水</w:t>
            </w:r>
          </w:p>
        </w:tc>
        <w:tc>
          <w:tcPr>
            <w:tcW w:w="738" w:type="dxa"/>
            <w:shd w:val="clear" w:color="auto" w:fill="auto"/>
            <w:noWrap/>
            <w:vAlign w:val="center"/>
          </w:tcPr>
          <w:p w14:paraId="0D6041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6CBC85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1D60C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2022" w:type="dxa"/>
            <w:shd w:val="clear" w:color="auto" w:fill="auto"/>
            <w:vAlign w:val="center"/>
          </w:tcPr>
          <w:p w14:paraId="7B8E0D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消毒柜</w:t>
            </w:r>
          </w:p>
        </w:tc>
        <w:tc>
          <w:tcPr>
            <w:tcW w:w="6396" w:type="dxa"/>
            <w:shd w:val="clear" w:color="auto" w:fill="auto"/>
            <w:vAlign w:val="center"/>
          </w:tcPr>
          <w:p w14:paraId="6721BF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柜体不锈钢材质；uv紫外线+臭氧杀菌；热风循环；单层承重20kg；适用80-120人</w:t>
            </w:r>
          </w:p>
        </w:tc>
        <w:tc>
          <w:tcPr>
            <w:tcW w:w="738" w:type="dxa"/>
            <w:shd w:val="clear" w:color="auto" w:fill="auto"/>
            <w:noWrap/>
            <w:vAlign w:val="center"/>
          </w:tcPr>
          <w:p w14:paraId="69CDD3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46EEF1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7298C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2022" w:type="dxa"/>
            <w:shd w:val="clear" w:color="auto" w:fill="auto"/>
            <w:vAlign w:val="center"/>
          </w:tcPr>
          <w:p w14:paraId="56C785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打饭台</w:t>
            </w:r>
          </w:p>
        </w:tc>
        <w:tc>
          <w:tcPr>
            <w:tcW w:w="6396" w:type="dxa"/>
            <w:shd w:val="clear" w:color="auto" w:fill="auto"/>
            <w:noWrap/>
            <w:vAlign w:val="center"/>
          </w:tcPr>
          <w:p w14:paraId="606DDF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304不锈钢加热管；温度30-110℃可调；规格：700mm*700mm</w:t>
            </w:r>
          </w:p>
        </w:tc>
        <w:tc>
          <w:tcPr>
            <w:tcW w:w="738" w:type="dxa"/>
            <w:shd w:val="clear" w:color="auto" w:fill="auto"/>
            <w:noWrap/>
            <w:vAlign w:val="center"/>
          </w:tcPr>
          <w:p w14:paraId="31CD44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473EFC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0C96E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022" w:type="dxa"/>
            <w:shd w:val="clear" w:color="auto" w:fill="auto"/>
            <w:vAlign w:val="center"/>
          </w:tcPr>
          <w:p w14:paraId="3CE432C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打菜台</w:t>
            </w:r>
          </w:p>
        </w:tc>
        <w:tc>
          <w:tcPr>
            <w:tcW w:w="6396" w:type="dxa"/>
            <w:shd w:val="clear" w:color="auto" w:fill="auto"/>
            <w:noWrap/>
            <w:vAlign w:val="center"/>
          </w:tcPr>
          <w:p w14:paraId="70D47F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采用304不锈钢板制造；长度1470mm</w:t>
            </w:r>
          </w:p>
        </w:tc>
        <w:tc>
          <w:tcPr>
            <w:tcW w:w="738" w:type="dxa"/>
            <w:shd w:val="clear" w:color="auto" w:fill="auto"/>
            <w:noWrap/>
            <w:vAlign w:val="center"/>
          </w:tcPr>
          <w:p w14:paraId="59AF49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372C4BB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51268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2022" w:type="dxa"/>
            <w:shd w:val="clear" w:color="auto" w:fill="auto"/>
            <w:vAlign w:val="center"/>
          </w:tcPr>
          <w:p w14:paraId="2320F3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灭蚊灯</w:t>
            </w:r>
          </w:p>
        </w:tc>
        <w:tc>
          <w:tcPr>
            <w:tcW w:w="6396" w:type="dxa"/>
            <w:shd w:val="clear" w:color="auto" w:fill="auto"/>
            <w:noWrap/>
            <w:vAlign w:val="center"/>
          </w:tcPr>
          <w:p w14:paraId="33BB25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仿生灭蚊；三维放声；变频光波</w:t>
            </w:r>
          </w:p>
        </w:tc>
        <w:tc>
          <w:tcPr>
            <w:tcW w:w="738" w:type="dxa"/>
            <w:shd w:val="clear" w:color="auto" w:fill="auto"/>
            <w:noWrap/>
            <w:vAlign w:val="center"/>
          </w:tcPr>
          <w:p w14:paraId="1CD573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70613A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26C6C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022" w:type="dxa"/>
            <w:shd w:val="clear" w:color="auto" w:fill="auto"/>
            <w:vAlign w:val="center"/>
          </w:tcPr>
          <w:p w14:paraId="5A7188F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紫外线灯</w:t>
            </w:r>
          </w:p>
        </w:tc>
        <w:tc>
          <w:tcPr>
            <w:tcW w:w="6396" w:type="dxa"/>
            <w:shd w:val="clear" w:color="auto" w:fill="auto"/>
            <w:vAlign w:val="center"/>
          </w:tcPr>
          <w:p w14:paraId="25F92F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高温烧制；智洁釉面；吸收率底；三层釉面；抗菌洁易；无污染材质；带感应式水龙头</w:t>
            </w:r>
          </w:p>
        </w:tc>
        <w:tc>
          <w:tcPr>
            <w:tcW w:w="738" w:type="dxa"/>
            <w:shd w:val="clear" w:color="auto" w:fill="auto"/>
            <w:noWrap/>
            <w:vAlign w:val="center"/>
          </w:tcPr>
          <w:p w14:paraId="2EBD8B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1B378D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5B556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871" w:type="dxa"/>
            <w:gridSpan w:val="4"/>
            <w:shd w:val="clear" w:color="auto" w:fill="auto"/>
            <w:vAlign w:val="center"/>
          </w:tcPr>
          <w:p w14:paraId="4893F8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老年活动中心整体</w:t>
            </w:r>
          </w:p>
        </w:tc>
      </w:tr>
      <w:tr w14:paraId="73F0D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22" w:type="dxa"/>
            <w:shd w:val="clear" w:color="auto" w:fill="auto"/>
            <w:vAlign w:val="center"/>
          </w:tcPr>
          <w:p w14:paraId="0498BB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钢架隔层</w:t>
            </w:r>
          </w:p>
        </w:tc>
        <w:tc>
          <w:tcPr>
            <w:tcW w:w="6396" w:type="dxa"/>
            <w:shd w:val="clear" w:color="auto" w:fill="auto"/>
            <w:vAlign w:val="center"/>
          </w:tcPr>
          <w:p w14:paraId="3340AB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支架材质：钢材；产品工艺：焊接拼装；产品造型：按需求定制；其配件包含立柱、主梁、跨梁、次梁、层板、楼梯、护栏，可根据现场实际情况增加或者减少配置</w:t>
            </w:r>
          </w:p>
        </w:tc>
        <w:tc>
          <w:tcPr>
            <w:tcW w:w="738" w:type="dxa"/>
            <w:shd w:val="clear" w:color="auto" w:fill="auto"/>
            <w:noWrap/>
            <w:vAlign w:val="center"/>
          </w:tcPr>
          <w:p w14:paraId="549C46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6BD564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1D2A1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2022" w:type="dxa"/>
            <w:shd w:val="clear" w:color="auto" w:fill="auto"/>
            <w:vAlign w:val="center"/>
          </w:tcPr>
          <w:p w14:paraId="407EB8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整体电路</w:t>
            </w:r>
          </w:p>
        </w:tc>
        <w:tc>
          <w:tcPr>
            <w:tcW w:w="6396" w:type="dxa"/>
            <w:shd w:val="clear" w:color="auto" w:fill="auto"/>
            <w:vAlign w:val="center"/>
          </w:tcPr>
          <w:p w14:paraId="733D8E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所有室内电路改造（含开关面板）；设备备用电插座以及备用电源;照明线路国标2.5㎡（三根单线）铜芯线；空调国标4㎡（三根单线）铜芯线;</w:t>
            </w:r>
          </w:p>
        </w:tc>
        <w:tc>
          <w:tcPr>
            <w:tcW w:w="738" w:type="dxa"/>
            <w:shd w:val="clear" w:color="auto" w:fill="auto"/>
            <w:noWrap/>
            <w:vAlign w:val="center"/>
          </w:tcPr>
          <w:p w14:paraId="26E105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4AA439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44A51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2022" w:type="dxa"/>
            <w:shd w:val="clear" w:color="auto" w:fill="auto"/>
            <w:vAlign w:val="center"/>
          </w:tcPr>
          <w:p w14:paraId="62DF63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室内灯具</w:t>
            </w:r>
          </w:p>
        </w:tc>
        <w:tc>
          <w:tcPr>
            <w:tcW w:w="6396" w:type="dxa"/>
            <w:shd w:val="clear" w:color="auto" w:fill="auto"/>
            <w:vAlign w:val="center"/>
          </w:tcPr>
          <w:p w14:paraId="345265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导轨宽3.5CM，导轨高，含直连接头，轨道长度按现场实际尺寸采购；COB光源，发光均匀柔和；三色可调；高散热铝灯体；Ra95高显色，70lm/W</w:t>
            </w:r>
          </w:p>
        </w:tc>
        <w:tc>
          <w:tcPr>
            <w:tcW w:w="738" w:type="dxa"/>
            <w:shd w:val="clear" w:color="auto" w:fill="auto"/>
            <w:noWrap/>
            <w:vAlign w:val="center"/>
          </w:tcPr>
          <w:p w14:paraId="3BBB40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26C5AA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0A3F2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2022" w:type="dxa"/>
            <w:shd w:val="clear" w:color="auto" w:fill="auto"/>
            <w:vAlign w:val="center"/>
          </w:tcPr>
          <w:p w14:paraId="6C1972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吊装风扇</w:t>
            </w:r>
          </w:p>
        </w:tc>
        <w:tc>
          <w:tcPr>
            <w:tcW w:w="6396" w:type="dxa"/>
            <w:shd w:val="clear" w:color="auto" w:fill="auto"/>
            <w:vAlign w:val="center"/>
          </w:tcPr>
          <w:p w14:paraId="1F9EF1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黑色吊装风扇；全铜线圈，270㎡风量；转速400rmp</w:t>
            </w:r>
          </w:p>
        </w:tc>
        <w:tc>
          <w:tcPr>
            <w:tcW w:w="738" w:type="dxa"/>
            <w:shd w:val="clear" w:color="auto" w:fill="auto"/>
            <w:vAlign w:val="center"/>
          </w:tcPr>
          <w:p w14:paraId="08294E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3</w:t>
            </w:r>
          </w:p>
        </w:tc>
        <w:tc>
          <w:tcPr>
            <w:tcW w:w="715" w:type="dxa"/>
            <w:shd w:val="clear" w:color="auto" w:fill="auto"/>
            <w:vAlign w:val="center"/>
          </w:tcPr>
          <w:p w14:paraId="290911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069C3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2022" w:type="dxa"/>
            <w:shd w:val="clear" w:color="auto" w:fill="auto"/>
            <w:vAlign w:val="center"/>
          </w:tcPr>
          <w:p w14:paraId="1F6A424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室内整体油漆</w:t>
            </w:r>
          </w:p>
        </w:tc>
        <w:tc>
          <w:tcPr>
            <w:tcW w:w="6396" w:type="dxa"/>
            <w:shd w:val="clear" w:color="auto" w:fill="auto"/>
            <w:vAlign w:val="center"/>
          </w:tcPr>
          <w:p w14:paraId="2E90D5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破损墙面修补，油漆涂刷</w:t>
            </w:r>
          </w:p>
        </w:tc>
        <w:tc>
          <w:tcPr>
            <w:tcW w:w="738" w:type="dxa"/>
            <w:shd w:val="clear" w:color="auto" w:fill="auto"/>
            <w:noWrap/>
            <w:vAlign w:val="center"/>
          </w:tcPr>
          <w:p w14:paraId="0F6CE0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4C5D6D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3A97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022" w:type="dxa"/>
            <w:shd w:val="clear" w:color="auto" w:fill="auto"/>
            <w:vAlign w:val="center"/>
          </w:tcPr>
          <w:p w14:paraId="3118B7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新建残疾人坡道及楼梯</w:t>
            </w:r>
          </w:p>
        </w:tc>
        <w:tc>
          <w:tcPr>
            <w:tcW w:w="6396" w:type="dxa"/>
            <w:shd w:val="clear" w:color="auto" w:fill="auto"/>
            <w:vAlign w:val="center"/>
          </w:tcPr>
          <w:p w14:paraId="64318B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轻质砖砌筑，1：2.5水泥砂浆抹灰批荡，内部填充泥土活陶粒，填充层整体夯实，表面水泥浇筑，铝合金栏杆安装</w:t>
            </w:r>
          </w:p>
        </w:tc>
        <w:tc>
          <w:tcPr>
            <w:tcW w:w="738" w:type="dxa"/>
            <w:shd w:val="clear" w:color="auto" w:fill="auto"/>
            <w:noWrap/>
            <w:vAlign w:val="center"/>
          </w:tcPr>
          <w:p w14:paraId="7B31B0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noWrap/>
            <w:vAlign w:val="center"/>
          </w:tcPr>
          <w:p w14:paraId="28154C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0ECEA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9871" w:type="dxa"/>
            <w:gridSpan w:val="4"/>
            <w:shd w:val="clear" w:color="auto" w:fill="auto"/>
            <w:vAlign w:val="center"/>
          </w:tcPr>
          <w:p w14:paraId="3FB1BB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老年活动中心一楼</w:t>
            </w:r>
          </w:p>
        </w:tc>
      </w:tr>
      <w:tr w14:paraId="08C55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2022" w:type="dxa"/>
            <w:shd w:val="clear" w:color="auto" w:fill="auto"/>
            <w:vAlign w:val="center"/>
          </w:tcPr>
          <w:p w14:paraId="130491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电动麻将机</w:t>
            </w:r>
          </w:p>
        </w:tc>
        <w:tc>
          <w:tcPr>
            <w:tcW w:w="6396" w:type="dxa"/>
            <w:shd w:val="clear" w:color="auto" w:fill="auto"/>
            <w:vAlign w:val="center"/>
          </w:tcPr>
          <w:p w14:paraId="3FC92E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低音盘电机；汽车级专利底板；一体化注塑洗桶牌；EVA全新科技感外框；整机全铜线束，3C认证电源；功率320W</w:t>
            </w:r>
          </w:p>
        </w:tc>
        <w:tc>
          <w:tcPr>
            <w:tcW w:w="738" w:type="dxa"/>
            <w:shd w:val="clear" w:color="auto" w:fill="auto"/>
            <w:vAlign w:val="center"/>
          </w:tcPr>
          <w:p w14:paraId="7D311D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5EE22B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台</w:t>
            </w:r>
          </w:p>
        </w:tc>
      </w:tr>
      <w:tr w14:paraId="4A082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2022" w:type="dxa"/>
            <w:shd w:val="clear" w:color="auto" w:fill="auto"/>
            <w:vAlign w:val="center"/>
          </w:tcPr>
          <w:p w14:paraId="23F893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棋牌桌</w:t>
            </w:r>
          </w:p>
        </w:tc>
        <w:tc>
          <w:tcPr>
            <w:tcW w:w="6396" w:type="dxa"/>
            <w:shd w:val="clear" w:color="auto" w:fill="auto"/>
            <w:vAlign w:val="center"/>
          </w:tcPr>
          <w:p w14:paraId="61F608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一桌四椅</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桌子：橡胶木材料，环保板材；全实木框架+桌面，加粗稳固桌腿好，美观耐用；桌面倒角处理，预防老人磕碰受伤</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椅子：橡胶木材料，环保板材；坐垫+靠背采用高回弹海绵，柔软舒适；弧形舒适靠背，贴合背部环节肌肉压力</w:t>
            </w:r>
          </w:p>
        </w:tc>
        <w:tc>
          <w:tcPr>
            <w:tcW w:w="738" w:type="dxa"/>
            <w:shd w:val="clear" w:color="auto" w:fill="auto"/>
            <w:vAlign w:val="center"/>
          </w:tcPr>
          <w:p w14:paraId="112C9D3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178809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台</w:t>
            </w:r>
          </w:p>
        </w:tc>
      </w:tr>
      <w:tr w14:paraId="724D5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22" w:type="dxa"/>
            <w:shd w:val="clear" w:color="auto" w:fill="auto"/>
            <w:vAlign w:val="center"/>
          </w:tcPr>
          <w:p w14:paraId="095F0D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空调</w:t>
            </w:r>
          </w:p>
        </w:tc>
        <w:tc>
          <w:tcPr>
            <w:tcW w:w="6396" w:type="dxa"/>
            <w:shd w:val="clear" w:color="auto" w:fill="auto"/>
            <w:noWrap/>
            <w:vAlign w:val="center"/>
          </w:tcPr>
          <w:p w14:paraId="2F8DE5C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default"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制冷量：3匹；能效：一级；推荐品牌 美的、格力、奥克斯</w:t>
            </w:r>
            <w:r>
              <w:rPr>
                <w:rFonts w:hint="eastAsia" w:ascii="宋体" w:hAnsi="宋体" w:cs="宋体"/>
                <w:b w:val="0"/>
                <w:bCs w:val="0"/>
                <w:i w:val="0"/>
                <w:iCs w:val="0"/>
                <w:color w:val="000000"/>
                <w:kern w:val="0"/>
                <w:sz w:val="22"/>
                <w:szCs w:val="22"/>
                <w:u w:val="none"/>
                <w:lang w:val="en-US" w:eastAsia="zh-CN" w:bidi="ar"/>
              </w:rPr>
              <w:t>等不低于以上品牌</w:t>
            </w:r>
          </w:p>
        </w:tc>
        <w:tc>
          <w:tcPr>
            <w:tcW w:w="738" w:type="dxa"/>
            <w:shd w:val="clear" w:color="auto" w:fill="auto"/>
            <w:vAlign w:val="center"/>
          </w:tcPr>
          <w:p w14:paraId="10F0FF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5F5820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台</w:t>
            </w:r>
          </w:p>
        </w:tc>
      </w:tr>
      <w:tr w14:paraId="2E93E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2022" w:type="dxa"/>
            <w:shd w:val="clear" w:color="auto" w:fill="auto"/>
            <w:vAlign w:val="center"/>
          </w:tcPr>
          <w:p w14:paraId="44FB50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躺椅</w:t>
            </w:r>
          </w:p>
        </w:tc>
        <w:tc>
          <w:tcPr>
            <w:tcW w:w="6396" w:type="dxa"/>
            <w:shd w:val="clear" w:color="auto" w:fill="auto"/>
            <w:vAlign w:val="center"/>
          </w:tcPr>
          <w:p w14:paraId="40805C5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精选天然楠竹，冬暖夏凉，环保健康；可折叠收纳；不占空间；金属卡扣，安全稳固；双面环保清漆饰面，防潮防霉，无异味；170°可调节，可坐可躺</w:t>
            </w:r>
          </w:p>
        </w:tc>
        <w:tc>
          <w:tcPr>
            <w:tcW w:w="738" w:type="dxa"/>
            <w:shd w:val="clear" w:color="auto" w:fill="auto"/>
            <w:vAlign w:val="center"/>
          </w:tcPr>
          <w:p w14:paraId="67155F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3</w:t>
            </w:r>
          </w:p>
        </w:tc>
        <w:tc>
          <w:tcPr>
            <w:tcW w:w="715" w:type="dxa"/>
            <w:shd w:val="clear" w:color="auto" w:fill="auto"/>
            <w:vAlign w:val="center"/>
          </w:tcPr>
          <w:p w14:paraId="293259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default"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张</w:t>
            </w:r>
          </w:p>
        </w:tc>
      </w:tr>
      <w:tr w14:paraId="587C2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0" w:hRule="atLeast"/>
          <w:jc w:val="center"/>
        </w:trPr>
        <w:tc>
          <w:tcPr>
            <w:tcW w:w="2022" w:type="dxa"/>
            <w:shd w:val="clear" w:color="auto" w:fill="auto"/>
            <w:vAlign w:val="center"/>
          </w:tcPr>
          <w:p w14:paraId="29D7ED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85寸电视机</w:t>
            </w:r>
          </w:p>
        </w:tc>
        <w:tc>
          <w:tcPr>
            <w:tcW w:w="6396" w:type="dxa"/>
            <w:shd w:val="clear" w:color="auto" w:fill="auto"/>
            <w:vAlign w:val="center"/>
          </w:tcPr>
          <w:p w14:paraId="7780482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规格：不含底座尺寸 (长*高*厚）1892mm×1089mm×81mm；分区数 ：352分区Mini LED；亮度：1300nits峰值亮度；刷新率：原生4K 120Hz HSR 240Hz；色域：95％DCI-P3；认证：杜比视界 杜比视界IQ 帧绮映画认证；播放蓝光片源：支持；声道：2.1声道；音效处理：杜比全景声；内存：4GB+64GB；蓝牙：蓝牙5.4；游戏接口：HDMI2.1 支持VRR和ALLM；游戏认证：FreeSync Premium认证 腾讯云游戏四星认证；WIFI：双频WIFI6；语音：AI远场语音</w:t>
            </w:r>
          </w:p>
        </w:tc>
        <w:tc>
          <w:tcPr>
            <w:tcW w:w="738" w:type="dxa"/>
            <w:shd w:val="clear" w:color="auto" w:fill="auto"/>
            <w:vAlign w:val="center"/>
          </w:tcPr>
          <w:p w14:paraId="3156A96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6415E9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台</w:t>
            </w:r>
          </w:p>
        </w:tc>
      </w:tr>
      <w:tr w14:paraId="691FC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2022" w:type="dxa"/>
            <w:shd w:val="clear" w:color="auto" w:fill="auto"/>
            <w:vAlign w:val="center"/>
          </w:tcPr>
          <w:p w14:paraId="10B584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阅读柜</w:t>
            </w:r>
          </w:p>
        </w:tc>
        <w:tc>
          <w:tcPr>
            <w:tcW w:w="6396" w:type="dxa"/>
            <w:shd w:val="clear" w:color="auto" w:fill="auto"/>
            <w:vAlign w:val="center"/>
          </w:tcPr>
          <w:p w14:paraId="797EB9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 xml:space="preserve">木工造型，18mm厚免漆板制作；环保等级E0级板材，甲醛释放量≤0.5mg/100g；封边与板材同色；合页带缓冲阻尼          </w:t>
            </w:r>
          </w:p>
        </w:tc>
        <w:tc>
          <w:tcPr>
            <w:tcW w:w="738" w:type="dxa"/>
            <w:shd w:val="clear" w:color="auto" w:fill="auto"/>
            <w:vAlign w:val="center"/>
          </w:tcPr>
          <w:p w14:paraId="6EDA20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75BA91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张</w:t>
            </w:r>
          </w:p>
        </w:tc>
      </w:tr>
      <w:tr w14:paraId="3115A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2022" w:type="dxa"/>
            <w:shd w:val="clear" w:color="auto" w:fill="auto"/>
            <w:vAlign w:val="center"/>
          </w:tcPr>
          <w:p w14:paraId="59F202C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沙发</w:t>
            </w:r>
          </w:p>
        </w:tc>
        <w:tc>
          <w:tcPr>
            <w:tcW w:w="6396" w:type="dxa"/>
            <w:shd w:val="clear" w:color="auto" w:fill="auto"/>
            <w:vAlign w:val="center"/>
          </w:tcPr>
          <w:p w14:paraId="304F0C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猫爪皮面料；防污防水耐刮，久用不易破裂；加黑高脚椅，强承重放心入座</w:t>
            </w:r>
          </w:p>
        </w:tc>
        <w:tc>
          <w:tcPr>
            <w:tcW w:w="738" w:type="dxa"/>
            <w:shd w:val="clear" w:color="auto" w:fill="auto"/>
            <w:vAlign w:val="center"/>
          </w:tcPr>
          <w:p w14:paraId="22DAD6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764406A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张</w:t>
            </w:r>
          </w:p>
        </w:tc>
      </w:tr>
      <w:tr w14:paraId="58858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2022" w:type="dxa"/>
            <w:shd w:val="clear" w:color="auto" w:fill="auto"/>
            <w:vAlign w:val="center"/>
          </w:tcPr>
          <w:p w14:paraId="779E68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水吧台</w:t>
            </w:r>
          </w:p>
        </w:tc>
        <w:tc>
          <w:tcPr>
            <w:tcW w:w="6396" w:type="dxa"/>
            <w:shd w:val="clear" w:color="auto" w:fill="auto"/>
            <w:vAlign w:val="center"/>
          </w:tcPr>
          <w:p w14:paraId="3975D1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木工造型，18mm厚免漆板制作；环保等级E0级板材，甲醛释放量≤0.5mg/100g；封边与板材同色；合页带缓冲阻尼,大理石台面，含水槽</w:t>
            </w:r>
          </w:p>
        </w:tc>
        <w:tc>
          <w:tcPr>
            <w:tcW w:w="738" w:type="dxa"/>
            <w:shd w:val="clear" w:color="auto" w:fill="auto"/>
            <w:vAlign w:val="center"/>
          </w:tcPr>
          <w:p w14:paraId="6DB611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4DC071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张</w:t>
            </w:r>
          </w:p>
        </w:tc>
      </w:tr>
      <w:tr w14:paraId="55156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022" w:type="dxa"/>
            <w:shd w:val="clear" w:color="auto" w:fill="auto"/>
            <w:vAlign w:val="center"/>
          </w:tcPr>
          <w:p w14:paraId="3DA100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饮水机</w:t>
            </w:r>
          </w:p>
        </w:tc>
        <w:tc>
          <w:tcPr>
            <w:tcW w:w="6396" w:type="dxa"/>
            <w:shd w:val="clear" w:color="auto" w:fill="auto"/>
            <w:vAlign w:val="center"/>
          </w:tcPr>
          <w:p w14:paraId="442AE5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下置水桶立式饮水机，推杯取水；冰温热三用独立出水口；电子制冷内胆，高效降温；加厚钢化玻璃门耐磨耐震</w:t>
            </w:r>
          </w:p>
        </w:tc>
        <w:tc>
          <w:tcPr>
            <w:tcW w:w="738" w:type="dxa"/>
            <w:shd w:val="clear" w:color="auto" w:fill="auto"/>
            <w:vAlign w:val="center"/>
          </w:tcPr>
          <w:p w14:paraId="3878F6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1492D1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台</w:t>
            </w:r>
          </w:p>
        </w:tc>
      </w:tr>
      <w:tr w14:paraId="797D9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2022" w:type="dxa"/>
            <w:shd w:val="clear" w:color="auto" w:fill="auto"/>
            <w:vAlign w:val="center"/>
          </w:tcPr>
          <w:p w14:paraId="6D790F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室内整体广告</w:t>
            </w:r>
          </w:p>
        </w:tc>
        <w:tc>
          <w:tcPr>
            <w:tcW w:w="6396" w:type="dxa"/>
            <w:shd w:val="clear" w:color="auto" w:fill="auto"/>
            <w:vAlign w:val="center"/>
          </w:tcPr>
          <w:p w14:paraId="4FCCF50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default" w:ascii="宋体" w:hAnsi="宋体" w:eastAsia="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现场定制，由供应商深化设计</w:t>
            </w:r>
          </w:p>
        </w:tc>
        <w:tc>
          <w:tcPr>
            <w:tcW w:w="738" w:type="dxa"/>
            <w:shd w:val="clear" w:color="auto" w:fill="auto"/>
            <w:vAlign w:val="center"/>
          </w:tcPr>
          <w:p w14:paraId="3CEA09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586F47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项</w:t>
            </w:r>
          </w:p>
        </w:tc>
      </w:tr>
      <w:tr w14:paraId="087DA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871" w:type="dxa"/>
            <w:gridSpan w:val="4"/>
            <w:shd w:val="clear" w:color="auto" w:fill="auto"/>
            <w:vAlign w:val="center"/>
          </w:tcPr>
          <w:p w14:paraId="4963991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老年活动中心一楼</w:t>
            </w:r>
          </w:p>
        </w:tc>
      </w:tr>
      <w:tr w14:paraId="1A675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2022" w:type="dxa"/>
            <w:shd w:val="clear" w:color="auto" w:fill="auto"/>
            <w:vAlign w:val="center"/>
          </w:tcPr>
          <w:p w14:paraId="4FDF0E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整体吊顶</w:t>
            </w:r>
          </w:p>
        </w:tc>
        <w:tc>
          <w:tcPr>
            <w:tcW w:w="6396" w:type="dxa"/>
            <w:shd w:val="clear" w:color="auto" w:fill="auto"/>
            <w:vAlign w:val="center"/>
          </w:tcPr>
          <w:p w14:paraId="536BB8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∅8丝杆；M8膨胀螺栓固定；50主龙@900；系列轻钢龙骨吊顶</w:t>
            </w:r>
            <w:r>
              <w:rPr>
                <w:rFonts w:hint="eastAsia" w:ascii="宋体" w:hAnsi="宋体" w:eastAsia="宋体" w:cs="宋体"/>
                <w:b w:val="0"/>
                <w:bCs w:val="0"/>
                <w:i w:val="0"/>
                <w:iCs w:val="0"/>
                <w:color w:val="000000"/>
                <w:kern w:val="0"/>
                <w:sz w:val="22"/>
                <w:szCs w:val="22"/>
                <w:u w:val="none"/>
                <w:lang w:val="en-US" w:eastAsia="zh-CN" w:bidi="ar"/>
              </w:rPr>
              <w:br w:type="textWrapping"/>
            </w:r>
            <w:r>
              <w:rPr>
                <w:rFonts w:hint="eastAsia" w:ascii="宋体" w:hAnsi="宋体" w:eastAsia="宋体" w:cs="宋体"/>
                <w:b w:val="0"/>
                <w:bCs w:val="0"/>
                <w:i w:val="0"/>
                <w:iCs w:val="0"/>
                <w:color w:val="000000"/>
                <w:kern w:val="0"/>
                <w:sz w:val="22"/>
                <w:szCs w:val="22"/>
                <w:u w:val="none"/>
                <w:lang w:val="en-US" w:eastAsia="zh-CN" w:bidi="ar"/>
              </w:rPr>
              <w:t>6；明装杉木板吊顶；与墙面接缝处应使用专用收口条收边</w:t>
            </w:r>
          </w:p>
        </w:tc>
        <w:tc>
          <w:tcPr>
            <w:tcW w:w="738" w:type="dxa"/>
            <w:shd w:val="clear" w:color="auto" w:fill="auto"/>
            <w:vAlign w:val="center"/>
          </w:tcPr>
          <w:p w14:paraId="5170F2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1D4157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default" w:ascii="宋体" w:hAnsi="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29D15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2022" w:type="dxa"/>
            <w:shd w:val="clear" w:color="auto" w:fill="auto"/>
            <w:vAlign w:val="center"/>
          </w:tcPr>
          <w:p w14:paraId="140E499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二楼整体电路及灯具</w:t>
            </w:r>
          </w:p>
        </w:tc>
        <w:tc>
          <w:tcPr>
            <w:tcW w:w="6396" w:type="dxa"/>
            <w:shd w:val="clear" w:color="auto" w:fill="auto"/>
            <w:vAlign w:val="center"/>
          </w:tcPr>
          <w:p w14:paraId="250D94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所有室内电路改造（含开关面板）；设备备用电插座以及备用电源;照明线路国标2.5㎡（三根单线）铜芯线；空调国标4㎡（三根单线）铜芯线;</w:t>
            </w:r>
          </w:p>
        </w:tc>
        <w:tc>
          <w:tcPr>
            <w:tcW w:w="738" w:type="dxa"/>
            <w:shd w:val="clear" w:color="auto" w:fill="auto"/>
            <w:vAlign w:val="center"/>
          </w:tcPr>
          <w:p w14:paraId="4DA6171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118498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0E3E9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2022" w:type="dxa"/>
            <w:shd w:val="clear" w:color="auto" w:fill="auto"/>
            <w:vAlign w:val="center"/>
          </w:tcPr>
          <w:p w14:paraId="6DAE84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地面基层板</w:t>
            </w:r>
          </w:p>
        </w:tc>
        <w:tc>
          <w:tcPr>
            <w:tcW w:w="6396" w:type="dxa"/>
            <w:shd w:val="clear" w:color="auto" w:fill="auto"/>
            <w:vAlign w:val="center"/>
          </w:tcPr>
          <w:p w14:paraId="35BF92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纤维基层板，A级阻燃；铺设前将顶面焊缝打磨平整，与墙面接缝处注入中性硅酮密封胶或弹性腻子灌缝</w:t>
            </w:r>
          </w:p>
        </w:tc>
        <w:tc>
          <w:tcPr>
            <w:tcW w:w="738" w:type="dxa"/>
            <w:shd w:val="clear" w:color="auto" w:fill="auto"/>
            <w:vAlign w:val="center"/>
          </w:tcPr>
          <w:p w14:paraId="631ECC3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7276755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2D486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2022" w:type="dxa"/>
            <w:shd w:val="clear" w:color="auto" w:fill="auto"/>
            <w:vAlign w:val="center"/>
          </w:tcPr>
          <w:p w14:paraId="1A5638C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地板铺设</w:t>
            </w:r>
          </w:p>
        </w:tc>
        <w:tc>
          <w:tcPr>
            <w:tcW w:w="6396" w:type="dxa"/>
            <w:shd w:val="clear" w:color="auto" w:fill="auto"/>
            <w:vAlign w:val="center"/>
          </w:tcPr>
          <w:p w14:paraId="0E2B7E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基层清理并地板专用隔音棉找平；实木复合地板铺设</w:t>
            </w:r>
          </w:p>
        </w:tc>
        <w:tc>
          <w:tcPr>
            <w:tcW w:w="738" w:type="dxa"/>
            <w:shd w:val="clear" w:color="auto" w:fill="auto"/>
            <w:vAlign w:val="center"/>
          </w:tcPr>
          <w:p w14:paraId="1ED76A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63A942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r w14:paraId="5B2AD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2022" w:type="dxa"/>
            <w:shd w:val="clear" w:color="auto" w:fill="auto"/>
            <w:vAlign w:val="center"/>
          </w:tcPr>
          <w:p w14:paraId="508213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踢脚线（地板同色）</w:t>
            </w:r>
          </w:p>
        </w:tc>
        <w:tc>
          <w:tcPr>
            <w:tcW w:w="6396" w:type="dxa"/>
            <w:shd w:val="clear" w:color="auto" w:fill="auto"/>
            <w:vAlign w:val="center"/>
          </w:tcPr>
          <w:p w14:paraId="1F4A65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both"/>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地板同色踢脚线安装</w:t>
            </w:r>
          </w:p>
        </w:tc>
        <w:tc>
          <w:tcPr>
            <w:tcW w:w="738" w:type="dxa"/>
            <w:shd w:val="clear" w:color="auto" w:fill="auto"/>
            <w:vAlign w:val="center"/>
          </w:tcPr>
          <w:p w14:paraId="3624FF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w:t>
            </w:r>
          </w:p>
        </w:tc>
        <w:tc>
          <w:tcPr>
            <w:tcW w:w="715" w:type="dxa"/>
            <w:shd w:val="clear" w:color="auto" w:fill="auto"/>
            <w:vAlign w:val="center"/>
          </w:tcPr>
          <w:p w14:paraId="3D8731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center"/>
              <w:rPr>
                <w:rFonts w:hint="eastAsia" w:ascii="宋体" w:hAnsi="宋体" w:cs="宋体"/>
                <w:b w:val="0"/>
                <w:bCs w:val="0"/>
                <w:i w:val="0"/>
                <w:iCs w:val="0"/>
                <w:color w:val="000000"/>
                <w:kern w:val="0"/>
                <w:sz w:val="22"/>
                <w:szCs w:val="22"/>
                <w:u w:val="none"/>
                <w:lang w:val="en-US" w:eastAsia="zh-CN" w:bidi="ar"/>
              </w:rPr>
            </w:pPr>
            <w:r>
              <w:rPr>
                <w:rFonts w:hint="eastAsia" w:ascii="宋体" w:hAnsi="宋体" w:cs="宋体"/>
                <w:b w:val="0"/>
                <w:bCs w:val="0"/>
                <w:i w:val="0"/>
                <w:iCs w:val="0"/>
                <w:color w:val="000000"/>
                <w:kern w:val="0"/>
                <w:sz w:val="22"/>
                <w:szCs w:val="22"/>
                <w:u w:val="none"/>
                <w:lang w:val="en-US" w:eastAsia="zh-CN" w:bidi="ar"/>
              </w:rPr>
              <w:t>批</w:t>
            </w:r>
          </w:p>
        </w:tc>
      </w:tr>
    </w:tbl>
    <w:p w14:paraId="5BA890D2">
      <w:pPr>
        <w:widowControl/>
        <w:spacing w:line="312" w:lineRule="auto"/>
        <w:ind w:firstLine="480" w:firstLineChars="200"/>
        <w:outlineLvl w:val="9"/>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注：</w:t>
      </w:r>
    </w:p>
    <w:p w14:paraId="3CB73B19">
      <w:pPr>
        <w:widowControl/>
        <w:spacing w:line="312" w:lineRule="auto"/>
        <w:ind w:firstLine="480" w:firstLineChars="0"/>
        <w:outlineLvl w:val="9"/>
        <w:rPr>
          <w:rFonts w:hint="eastAsia"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color w:val="auto"/>
          <w:sz w:val="24"/>
          <w:szCs w:val="24"/>
          <w:highlight w:val="none"/>
        </w:rPr>
        <w:t>以上</w:t>
      </w:r>
      <w:r>
        <w:rPr>
          <w:rFonts w:hint="eastAsia" w:ascii="宋体" w:hAnsi="宋体" w:eastAsia="宋体" w:cs="宋体"/>
          <w:b w:val="0"/>
          <w:color w:val="auto"/>
          <w:sz w:val="24"/>
          <w:szCs w:val="24"/>
          <w:highlight w:val="none"/>
          <w:lang w:val="en-US" w:eastAsia="zh-CN"/>
        </w:rPr>
        <w:t>清单中，</w:t>
      </w:r>
      <w:r>
        <w:rPr>
          <w:rFonts w:hint="eastAsia" w:ascii="宋体" w:hAnsi="宋体" w:eastAsia="宋体" w:cs="宋体"/>
          <w:b w:val="0"/>
          <w:color w:val="auto"/>
          <w:sz w:val="24"/>
          <w:szCs w:val="24"/>
          <w:highlight w:val="none"/>
          <w:lang w:val="zh-CN"/>
        </w:rPr>
        <w:t>为了方便起见，可能会采取按某种品牌货物的规格和型号予以表述，但并不因此限制或者拒绝投标人以其他能满足本项目技术需求且性能与所明确品牌相当的货物参加投标。本项目不另外增加辅料和人工费用，投标人需谨慎勘察施工现场。</w:t>
      </w:r>
    </w:p>
    <w:p w14:paraId="543147F8">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、商务要求</w:t>
      </w:r>
    </w:p>
    <w:p w14:paraId="7E29FFAF">
      <w:pPr>
        <w:keepNext w:val="0"/>
        <w:keepLines w:val="0"/>
        <w:pageBreakBefore w:val="0"/>
        <w:widowControl/>
        <w:kinsoku/>
        <w:wordWrap/>
        <w:overflowPunct/>
        <w:topLinePunct w:val="0"/>
        <w:autoSpaceDE/>
        <w:autoSpaceDN/>
        <w:bidi w:val="0"/>
        <w:spacing w:line="312" w:lineRule="auto"/>
        <w:ind w:firstLine="480"/>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供货期限：</w:t>
      </w:r>
      <w:bookmarkStart w:id="886" w:name="_Toc24814"/>
      <w:r>
        <w:rPr>
          <w:rFonts w:hint="eastAsia" w:ascii="宋体" w:hAnsi="宋体" w:cs="宋体"/>
          <w:b w:val="0"/>
          <w:bCs w:val="0"/>
          <w:color w:val="auto"/>
          <w:sz w:val="24"/>
          <w:szCs w:val="24"/>
          <w:highlight w:val="none"/>
          <w:lang w:val="en-US" w:eastAsia="zh-CN"/>
        </w:rPr>
        <w:t>合同签订后30日历天内完成设计及布展施工、安装、调试（含深化设计及布展施工图设计调整）</w:t>
      </w:r>
      <w:r>
        <w:rPr>
          <w:rFonts w:hint="eastAsia" w:ascii="宋体" w:hAnsi="宋体" w:eastAsia="宋体" w:cs="宋体"/>
          <w:b w:val="0"/>
          <w:bCs w:val="0"/>
          <w:color w:val="auto"/>
          <w:sz w:val="24"/>
          <w:szCs w:val="24"/>
          <w:highlight w:val="none"/>
          <w:lang w:val="en-US" w:eastAsia="zh-CN"/>
        </w:rPr>
        <w:t>。</w:t>
      </w:r>
    </w:p>
    <w:p w14:paraId="7DF2477B">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zh-CN" w:eastAsia="zh-CN"/>
        </w:rPr>
        <w:t>质保期</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一</w:t>
      </w:r>
      <w:r>
        <w:rPr>
          <w:rFonts w:hint="eastAsia" w:ascii="宋体" w:hAnsi="宋体" w:eastAsia="宋体" w:cs="宋体"/>
          <w:b w:val="0"/>
          <w:bCs w:val="0"/>
          <w:color w:val="auto"/>
          <w:sz w:val="24"/>
          <w:szCs w:val="24"/>
          <w:highlight w:val="none"/>
          <w:lang w:val="zh-CN" w:eastAsia="zh-CN"/>
        </w:rPr>
        <w:t>年</w:t>
      </w:r>
      <w:r>
        <w:rPr>
          <w:rFonts w:hint="eastAsia" w:ascii="宋体" w:hAnsi="宋体" w:eastAsia="宋体" w:cs="宋体"/>
          <w:b w:val="0"/>
          <w:bCs w:val="0"/>
          <w:color w:val="auto"/>
          <w:sz w:val="24"/>
          <w:szCs w:val="24"/>
          <w:highlight w:val="none"/>
          <w:lang w:eastAsia="zh-CN"/>
        </w:rPr>
        <w:t>（自验收合格之日起计算）。</w:t>
      </w:r>
    </w:p>
    <w:p w14:paraId="055F27FA">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、售后服务要求</w:t>
      </w:r>
      <w:bookmarkEnd w:id="886"/>
    </w:p>
    <w:p w14:paraId="5B84BBDC">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设备安装调试完毕验收前，供应商应对采购人进行现场培训，培训内容包括设备的技术原理、操作、数据处理、基本维护等；</w:t>
      </w:r>
    </w:p>
    <w:p w14:paraId="0C8674A7">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其他售后服务按国家有关规定执行，国家没有规定的按厂商规定执行。国家规定标准低于厂商标准的按厂商标准执行。</w:t>
      </w:r>
    </w:p>
    <w:p w14:paraId="72325547">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发生紧急事故需抢修的，</w:t>
      </w:r>
      <w:r>
        <w:rPr>
          <w:rFonts w:hint="eastAsia" w:ascii="宋体" w:hAnsi="宋体" w:cs="宋体"/>
          <w:color w:val="auto"/>
          <w:sz w:val="24"/>
          <w:szCs w:val="24"/>
          <w:highlight w:val="none"/>
          <w:lang w:eastAsia="zh-CN"/>
        </w:rPr>
        <w:t>成交供应商</w:t>
      </w:r>
      <w:r>
        <w:rPr>
          <w:rFonts w:hint="eastAsia" w:ascii="宋体" w:hAnsi="宋体" w:eastAsia="宋体" w:cs="宋体"/>
          <w:color w:val="auto"/>
          <w:sz w:val="24"/>
          <w:szCs w:val="24"/>
          <w:highlight w:val="none"/>
        </w:rPr>
        <w:t>在接到事故通知后，应当立即到达事故现场抢修。</w:t>
      </w:r>
    </w:p>
    <w:p w14:paraId="4F1B0239">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对于涉及结构安全的质量问题，应当及时采取安全防范措施，同时向采购人报告。</w:t>
      </w:r>
    </w:p>
    <w:p w14:paraId="6E1FCE36">
      <w:pPr>
        <w:keepNext w:val="0"/>
        <w:keepLines w:val="0"/>
        <w:pageBreakBefore w:val="0"/>
        <w:widowControl/>
        <w:kinsoku/>
        <w:wordWrap/>
        <w:overflowPunct/>
        <w:topLinePunct w:val="0"/>
        <w:autoSpaceDE/>
        <w:autoSpaceDN/>
        <w:bidi w:val="0"/>
        <w:spacing w:line="312" w:lineRule="auto"/>
        <w:ind w:firstLine="480"/>
        <w:textAlignment w:val="auto"/>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产品质量保证：本次采购的商品必须符合国家技术规格和质量标准的原厂商出厂原装合格产品，全新从未使用过，保存完好，不得使用非原装产品（包括所有模块、部件、线缆等）。如发生所供商品与投标时承诺的不符，采购人有权拒收或退货，由此产生的一切责任和后果由投标人承担。</w:t>
      </w:r>
    </w:p>
    <w:p w14:paraId="3D157CC4">
      <w:pPr>
        <w:keepNext w:val="0"/>
        <w:keepLines w:val="0"/>
        <w:pageBreakBefore w:val="0"/>
        <w:widowControl/>
        <w:kinsoku/>
        <w:wordWrap/>
        <w:overflowPunct/>
        <w:topLinePunct w:val="0"/>
        <w:autoSpaceDE/>
        <w:autoSpaceDN/>
        <w:bidi w:val="0"/>
        <w:spacing w:line="312" w:lineRule="auto"/>
        <w:ind w:firstLine="48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6）</w:t>
      </w:r>
      <w:r>
        <w:rPr>
          <w:rFonts w:hint="eastAsia" w:ascii="宋体" w:hAnsi="宋体" w:cs="宋体"/>
          <w:color w:val="auto"/>
          <w:kern w:val="2"/>
          <w:sz w:val="24"/>
          <w:szCs w:val="24"/>
          <w:highlight w:val="none"/>
          <w:lang w:val="en-US" w:eastAsia="zh-CN" w:bidi="ar-SA"/>
        </w:rPr>
        <w:t>成交供应商</w:t>
      </w:r>
      <w:r>
        <w:rPr>
          <w:rFonts w:hint="eastAsia" w:ascii="宋体" w:hAnsi="宋体" w:eastAsia="宋体" w:cs="宋体"/>
          <w:color w:val="auto"/>
          <w:kern w:val="2"/>
          <w:sz w:val="24"/>
          <w:szCs w:val="24"/>
          <w:highlight w:val="none"/>
          <w:lang w:val="en-US" w:eastAsia="zh-CN" w:bidi="ar-SA"/>
        </w:rPr>
        <w:t>应具备完善的售后服务保证体系。出现设备故障的由</w:t>
      </w:r>
      <w:r>
        <w:rPr>
          <w:rFonts w:hint="eastAsia" w:ascii="宋体" w:hAnsi="宋体" w:cs="宋体"/>
          <w:color w:val="auto"/>
          <w:kern w:val="2"/>
          <w:sz w:val="24"/>
          <w:szCs w:val="24"/>
          <w:highlight w:val="none"/>
          <w:lang w:val="en-US" w:eastAsia="zh-CN" w:bidi="ar-SA"/>
        </w:rPr>
        <w:t>成交供应商</w:t>
      </w:r>
      <w:r>
        <w:rPr>
          <w:rFonts w:hint="eastAsia" w:ascii="宋体" w:hAnsi="宋体" w:eastAsia="宋体" w:cs="宋体"/>
          <w:color w:val="auto"/>
          <w:kern w:val="2"/>
          <w:sz w:val="24"/>
          <w:szCs w:val="24"/>
          <w:highlight w:val="none"/>
          <w:lang w:val="en-US" w:eastAsia="zh-CN" w:bidi="ar-SA"/>
        </w:rPr>
        <w:t>负责到现场维修调试，须在2小时内给予响应，在12小时内上门服务，并在24小时内修复。若无法按规定时间修复的须根据采购人要求更换，发生的费用均由</w:t>
      </w:r>
      <w:r>
        <w:rPr>
          <w:rFonts w:hint="eastAsia" w:ascii="宋体" w:hAnsi="宋体" w:cs="宋体"/>
          <w:color w:val="auto"/>
          <w:kern w:val="2"/>
          <w:sz w:val="24"/>
          <w:szCs w:val="24"/>
          <w:highlight w:val="none"/>
          <w:lang w:val="en-US" w:eastAsia="zh-CN" w:bidi="ar-SA"/>
        </w:rPr>
        <w:t>成交供应商</w:t>
      </w:r>
      <w:r>
        <w:rPr>
          <w:rFonts w:hint="eastAsia" w:ascii="宋体" w:hAnsi="宋体" w:eastAsia="宋体" w:cs="宋体"/>
          <w:color w:val="auto"/>
          <w:kern w:val="2"/>
          <w:sz w:val="24"/>
          <w:szCs w:val="24"/>
          <w:highlight w:val="none"/>
          <w:lang w:val="en-US" w:eastAsia="zh-CN" w:bidi="ar-SA"/>
        </w:rPr>
        <w:t>承担，造成其他损失的，将由</w:t>
      </w:r>
      <w:r>
        <w:rPr>
          <w:rFonts w:hint="eastAsia" w:ascii="宋体" w:hAnsi="宋体" w:cs="宋体"/>
          <w:color w:val="auto"/>
          <w:kern w:val="2"/>
          <w:sz w:val="24"/>
          <w:szCs w:val="24"/>
          <w:highlight w:val="none"/>
          <w:lang w:val="en-US" w:eastAsia="zh-CN" w:bidi="ar-SA"/>
        </w:rPr>
        <w:t>成交供应商</w:t>
      </w:r>
      <w:r>
        <w:rPr>
          <w:rFonts w:hint="eastAsia" w:ascii="宋体" w:hAnsi="宋体" w:eastAsia="宋体" w:cs="宋体"/>
          <w:color w:val="auto"/>
          <w:kern w:val="2"/>
          <w:sz w:val="24"/>
          <w:szCs w:val="24"/>
          <w:highlight w:val="none"/>
          <w:lang w:val="en-US" w:eastAsia="zh-CN" w:bidi="ar-SA"/>
        </w:rPr>
        <w:t>独立承担。</w:t>
      </w:r>
      <w:r>
        <w:rPr>
          <w:rFonts w:hint="eastAsia" w:ascii="宋体" w:hAnsi="宋体" w:eastAsia="宋体" w:cs="宋体"/>
          <w:color w:val="auto"/>
          <w:sz w:val="24"/>
          <w:szCs w:val="24"/>
          <w:highlight w:val="none"/>
        </w:rPr>
        <w:t xml:space="preserve"> </w:t>
      </w:r>
    </w:p>
    <w:p w14:paraId="3643FA09">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bookmarkStart w:id="887" w:name="_Toc5458"/>
      <w:r>
        <w:rPr>
          <w:rFonts w:hint="eastAsia" w:ascii="宋体" w:hAnsi="宋体" w:eastAsia="宋体" w:cs="宋体"/>
          <w:color w:val="auto"/>
          <w:sz w:val="24"/>
          <w:szCs w:val="24"/>
          <w:highlight w:val="none"/>
          <w:lang w:val="en-US" w:eastAsia="zh-CN"/>
        </w:rPr>
        <w:t>4、</w:t>
      </w:r>
      <w:bookmarkEnd w:id="887"/>
      <w:r>
        <w:rPr>
          <w:rFonts w:hint="eastAsia" w:ascii="宋体" w:hAnsi="宋体" w:eastAsia="宋体" w:cs="宋体"/>
          <w:color w:val="auto"/>
          <w:sz w:val="24"/>
          <w:szCs w:val="24"/>
          <w:highlight w:val="none"/>
          <w:lang w:val="en-US" w:eastAsia="zh-CN"/>
        </w:rPr>
        <w:t>支付方式</w:t>
      </w:r>
    </w:p>
    <w:p w14:paraId="77585081">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双方约定的合同款（进度款）支付的方式和时间：提供设计方案并通过采购人验收后 7 日内支付合同价的 30%；节点全部竣工，由采购人（或第三方）验收合格后，支付剩余款项。采购人应自收到供应商开具的发票后 15 日内将上述相关款项支付到合同约定的供应商账户。</w:t>
      </w:r>
    </w:p>
    <w:p w14:paraId="52010C37">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四、其他要求</w:t>
      </w:r>
    </w:p>
    <w:p w14:paraId="744DD876">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1、施工用水、电由供应商自行解决。</w:t>
      </w:r>
    </w:p>
    <w:p w14:paraId="42C23FAC">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2、本项目须配备专职质量安全员。</w:t>
      </w:r>
    </w:p>
    <w:p w14:paraId="5BC9585E">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3、项目实施过程中，为完成项目所需要办理的各项手续均由供应商自行解决，采购人予以配合。</w:t>
      </w:r>
    </w:p>
    <w:p w14:paraId="19EC0D5D">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4、在项目实施布展过程中若出现质量、进度等问题，在采购人三次书面通知后仍未能采取有效措 施的，采购人有权单方终止合同，并保留索赔的权利。</w:t>
      </w:r>
      <w:r>
        <w:rPr>
          <w:rFonts w:hint="eastAsia" w:ascii="宋体" w:hAnsi="宋体"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en-US" w:eastAsia="zh-CN"/>
        </w:rPr>
        <w:t>项目负责人未能按规定到位，采购人可视情节作相应处理，直至将</w:t>
      </w:r>
      <w:r>
        <w:rPr>
          <w:rFonts w:hint="eastAsia" w:ascii="宋体" w:hAnsi="宋体"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en-US" w:eastAsia="zh-CN"/>
        </w:rPr>
        <w:t>清退出场。</w:t>
      </w:r>
    </w:p>
    <w:p w14:paraId="33D10467">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5、在项目实施布展过程中，</w:t>
      </w:r>
      <w:r>
        <w:rPr>
          <w:rFonts w:hint="eastAsia" w:ascii="宋体" w:hAnsi="宋体"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en-US" w:eastAsia="zh-CN"/>
        </w:rPr>
        <w:t>应做好环境保护工作，防止建筑垃圾、噪声等污染情况发生。 如有垃圾运输途中沿路抛弃的行为，一经发现，除负责清理外，</w:t>
      </w:r>
      <w:r>
        <w:rPr>
          <w:rFonts w:hint="eastAsia" w:ascii="宋体" w:hAnsi="宋体"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en-US" w:eastAsia="zh-CN"/>
        </w:rPr>
        <w:t>还应承担相应责任；</w:t>
      </w:r>
      <w:r>
        <w:rPr>
          <w:rFonts w:hint="eastAsia" w:ascii="宋体" w:hAnsi="宋体"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en-US" w:eastAsia="zh-CN"/>
        </w:rPr>
        <w:t>应做好安全工作，防止交通事故；安全用电，杜绝用电事故；如因</w:t>
      </w:r>
      <w:r>
        <w:rPr>
          <w:rFonts w:hint="eastAsia" w:ascii="宋体" w:hAnsi="宋体"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en-US" w:eastAsia="zh-CN"/>
        </w:rPr>
        <w:t>原因发生安全生产事故则由</w:t>
      </w:r>
      <w:r>
        <w:rPr>
          <w:rFonts w:hint="eastAsia" w:ascii="宋体" w:hAnsi="宋体"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en-US" w:eastAsia="zh-CN"/>
        </w:rPr>
        <w:t>负全责，并积极配合做好周围居民的解释工作。</w:t>
      </w:r>
    </w:p>
    <w:p w14:paraId="290E81C5">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r>
        <w:rPr>
          <w:rFonts w:hint="eastAsia" w:ascii="宋体" w:hAnsi="宋体"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en-US" w:eastAsia="zh-CN"/>
        </w:rPr>
        <w:t>采购材料、设备</w:t>
      </w:r>
    </w:p>
    <w:p w14:paraId="1C6FBE05">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en-US" w:eastAsia="zh-CN"/>
        </w:rPr>
        <w:t>采购材料、设备：材料由采购人（或监理）看样确认后由</w:t>
      </w:r>
      <w:r>
        <w:rPr>
          <w:rFonts w:hint="eastAsia" w:ascii="宋体" w:hAnsi="宋体" w:cs="宋体"/>
          <w:color w:val="auto"/>
          <w:sz w:val="24"/>
          <w:szCs w:val="24"/>
          <w:highlight w:val="none"/>
          <w:lang w:val="en-US" w:eastAsia="zh-CN"/>
        </w:rPr>
        <w:t>成交供应商</w:t>
      </w:r>
      <w:r>
        <w:rPr>
          <w:rFonts w:hint="eastAsia" w:ascii="宋体" w:hAnsi="宋体" w:eastAsia="宋体" w:cs="宋体"/>
          <w:color w:val="auto"/>
          <w:sz w:val="24"/>
          <w:szCs w:val="24"/>
          <w:highlight w:val="none"/>
          <w:lang w:val="en-US" w:eastAsia="zh-CN"/>
        </w:rPr>
        <w:t>自行采购，以符合设计和规范要求为原则。</w:t>
      </w:r>
    </w:p>
    <w:p w14:paraId="7A08E311">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7、特殊要求：主材料必须按照采购人的要求采购，并经采购人签字认可方可使用。若所购主材料 质量不能达到采购人要求，采购人有权改正主要材料，直至符合采购人要求为止。采购人认为需经其同意后方可使用的其他材料，必须经采购人认可后方可使用。</w:t>
      </w:r>
    </w:p>
    <w:p w14:paraId="26D84E42">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应承担的违约责任：承担返工损失和工期、质量的违约责任 。</w:t>
      </w:r>
    </w:p>
    <w:p w14:paraId="56600E76">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所有材料必须有质保书和合格证，经认证许可，并且符合施工规范要求。</w:t>
      </w:r>
    </w:p>
    <w:p w14:paraId="0A5DBE3D">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p>
    <w:p w14:paraId="0E431E40">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p>
    <w:p w14:paraId="080F660D">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p>
    <w:p w14:paraId="51C9F187">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p>
    <w:p w14:paraId="18EC9458">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p>
    <w:p w14:paraId="39450520">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p>
    <w:p w14:paraId="7BC21DE5">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p>
    <w:p w14:paraId="4C5F7797">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p>
    <w:p w14:paraId="493C007F">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p>
    <w:p w14:paraId="7292FDBA">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p>
    <w:p w14:paraId="45F2E6FA">
      <w:pPr>
        <w:rPr>
          <w:rFonts w:hint="eastAsia" w:ascii="宋体" w:hAnsi="宋体" w:eastAsia="宋体" w:cs="宋体"/>
          <w:lang w:val="en-US" w:eastAsia="zh-CN"/>
        </w:rPr>
      </w:pPr>
    </w:p>
    <w:p w14:paraId="2AD1BB71">
      <w:pPr>
        <w:rPr>
          <w:rFonts w:hint="eastAsia" w:ascii="宋体" w:hAnsi="宋体" w:eastAsia="宋体" w:cs="宋体"/>
          <w:lang w:val="en-US" w:eastAsia="zh-CN"/>
        </w:rPr>
      </w:pPr>
    </w:p>
    <w:p w14:paraId="6B04E1CF">
      <w:pPr>
        <w:rPr>
          <w:rFonts w:hint="eastAsia" w:ascii="宋体" w:hAnsi="宋体" w:eastAsia="宋体" w:cs="宋体"/>
          <w:lang w:val="en-US" w:eastAsia="zh-CN"/>
        </w:rPr>
      </w:pPr>
    </w:p>
    <w:p w14:paraId="5573258B">
      <w:pPr>
        <w:rPr>
          <w:rFonts w:hint="eastAsia" w:ascii="宋体" w:hAnsi="宋体" w:eastAsia="宋体" w:cs="宋体"/>
          <w:lang w:val="en-US" w:eastAsia="zh-CN"/>
        </w:rPr>
      </w:pPr>
    </w:p>
    <w:p w14:paraId="1B0FF6CC">
      <w:pPr>
        <w:rPr>
          <w:rFonts w:hint="eastAsia" w:ascii="宋体" w:hAnsi="宋体" w:eastAsia="宋体" w:cs="宋体"/>
          <w:lang w:val="en-US" w:eastAsia="zh-CN"/>
        </w:rPr>
      </w:pPr>
    </w:p>
    <w:p w14:paraId="74F936B5">
      <w:pPr>
        <w:rPr>
          <w:rFonts w:hint="eastAsia" w:ascii="宋体" w:hAnsi="宋体" w:eastAsia="宋体" w:cs="宋体"/>
          <w:lang w:val="en-US" w:eastAsia="zh-CN"/>
        </w:rPr>
      </w:pPr>
    </w:p>
    <w:p w14:paraId="7BACF2B8">
      <w:pPr>
        <w:rPr>
          <w:rFonts w:hint="eastAsia" w:ascii="宋体" w:hAnsi="宋体" w:eastAsia="宋体" w:cs="宋体"/>
          <w:lang w:val="en-US" w:eastAsia="zh-CN"/>
        </w:rPr>
      </w:pPr>
    </w:p>
    <w:p w14:paraId="1E2D6CCA">
      <w:pPr>
        <w:rPr>
          <w:rFonts w:hint="eastAsia" w:ascii="宋体" w:hAnsi="宋体" w:eastAsia="宋体" w:cs="宋体"/>
          <w:lang w:val="en-US" w:eastAsia="zh-CN"/>
        </w:rPr>
      </w:pPr>
    </w:p>
    <w:p w14:paraId="15ADDDD0">
      <w:pPr>
        <w:rPr>
          <w:rFonts w:hint="eastAsia" w:ascii="宋体" w:hAnsi="宋体" w:eastAsia="宋体" w:cs="宋体"/>
          <w:lang w:val="en-US" w:eastAsia="zh-CN"/>
        </w:rPr>
      </w:pPr>
    </w:p>
    <w:p w14:paraId="7AC724D3">
      <w:pPr>
        <w:rPr>
          <w:rFonts w:hint="eastAsia" w:ascii="宋体" w:hAnsi="宋体" w:eastAsia="宋体" w:cs="宋体"/>
          <w:lang w:val="en-US" w:eastAsia="zh-CN"/>
        </w:rPr>
      </w:pPr>
    </w:p>
    <w:p w14:paraId="36B34C1D">
      <w:pPr>
        <w:ind w:left="0" w:leftChars="0" w:firstLine="0" w:firstLineChars="0"/>
        <w:rPr>
          <w:rFonts w:hint="eastAsia" w:ascii="宋体" w:hAnsi="宋体" w:eastAsia="宋体" w:cs="宋体"/>
          <w:lang w:val="en-US" w:eastAsia="zh-CN"/>
        </w:rPr>
      </w:pPr>
    </w:p>
    <w:p w14:paraId="623554DD">
      <w:pPr>
        <w:pStyle w:val="2"/>
        <w:numPr>
          <w:ilvl w:val="-1"/>
          <w:numId w:val="0"/>
        </w:numPr>
        <w:spacing w:before="0" w:beforeLines="0" w:after="0" w:afterLines="0"/>
        <w:ind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第四章 磋商原则和磋商方法</w:t>
      </w:r>
      <w:bookmarkEnd w:id="873"/>
      <w:bookmarkEnd w:id="874"/>
      <w:bookmarkEnd w:id="875"/>
      <w:bookmarkEnd w:id="876"/>
      <w:bookmarkEnd w:id="877"/>
      <w:bookmarkEnd w:id="878"/>
      <w:bookmarkEnd w:id="879"/>
      <w:bookmarkEnd w:id="880"/>
      <w:bookmarkEnd w:id="881"/>
      <w:bookmarkEnd w:id="885"/>
    </w:p>
    <w:p w14:paraId="07B77069">
      <w:pPr>
        <w:pageBreakBefore w:val="0"/>
        <w:kinsoku/>
        <w:wordWrap/>
        <w:overflowPunct/>
        <w:topLinePunct w:val="0"/>
        <w:autoSpaceDE/>
        <w:autoSpaceDN/>
        <w:bidi w:val="0"/>
        <w:adjustRightInd w:val="0"/>
        <w:snapToGrid w:val="0"/>
        <w:spacing w:line="300" w:lineRule="auto"/>
        <w:ind w:firstLine="0" w:firstLineChars="0"/>
        <w:jc w:val="center"/>
        <w:textAlignment w:val="auto"/>
        <w:outlineLvl w:val="1"/>
        <w:rPr>
          <w:rFonts w:hint="eastAsia" w:ascii="宋体" w:hAnsi="宋体" w:eastAsia="宋体" w:cs="宋体"/>
          <w:b/>
          <w:bCs w:val="0"/>
          <w:sz w:val="24"/>
          <w:szCs w:val="24"/>
          <w:lang w:val="zh-CN"/>
        </w:rPr>
      </w:pPr>
      <w:bookmarkStart w:id="888" w:name="_Toc11555"/>
      <w:bookmarkStart w:id="889" w:name="_Toc18639"/>
      <w:bookmarkStart w:id="890" w:name="_Toc25417"/>
      <w:bookmarkStart w:id="891" w:name="_Toc13062"/>
      <w:bookmarkStart w:id="892" w:name="_Toc15536"/>
      <w:bookmarkStart w:id="893" w:name="_Toc23128"/>
      <w:bookmarkStart w:id="894" w:name="_Toc6662"/>
      <w:bookmarkStart w:id="895" w:name="_Toc6360"/>
      <w:bookmarkStart w:id="896" w:name="_Toc10641"/>
      <w:bookmarkStart w:id="897" w:name="_Toc13508"/>
      <w:bookmarkStart w:id="898" w:name="_Toc19384"/>
      <w:bookmarkStart w:id="899" w:name="_Toc7519"/>
      <w:bookmarkStart w:id="900" w:name="_Toc7413"/>
      <w:bookmarkStart w:id="901" w:name="_Toc21815"/>
      <w:bookmarkStart w:id="902" w:name="_Toc15240"/>
    </w:p>
    <w:p w14:paraId="57CC1A3C">
      <w:pPr>
        <w:pageBreakBefore w:val="0"/>
        <w:kinsoku/>
        <w:wordWrap/>
        <w:overflowPunct/>
        <w:topLinePunct w:val="0"/>
        <w:autoSpaceDE/>
        <w:autoSpaceDN/>
        <w:bidi w:val="0"/>
        <w:adjustRightInd w:val="0"/>
        <w:snapToGrid w:val="0"/>
        <w:spacing w:line="300" w:lineRule="auto"/>
        <w:ind w:firstLine="0" w:firstLineChars="0"/>
        <w:jc w:val="center"/>
        <w:textAlignment w:val="auto"/>
        <w:outlineLvl w:val="1"/>
        <w:rPr>
          <w:rFonts w:hint="eastAsia" w:ascii="宋体" w:hAnsi="宋体" w:eastAsia="宋体" w:cs="宋体"/>
          <w:b/>
          <w:bCs w:val="0"/>
          <w:sz w:val="24"/>
          <w:szCs w:val="24"/>
          <w:lang w:val="zh-CN"/>
        </w:rPr>
      </w:pPr>
      <w:r>
        <w:rPr>
          <w:rFonts w:hint="eastAsia" w:ascii="宋体" w:hAnsi="宋体" w:eastAsia="宋体" w:cs="宋体"/>
          <w:b/>
          <w:bCs w:val="0"/>
          <w:sz w:val="24"/>
          <w:szCs w:val="24"/>
          <w:lang w:val="zh-CN"/>
        </w:rPr>
        <w:t>一、磋商原则</w:t>
      </w:r>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p>
    <w:p w14:paraId="6FB7FF1B">
      <w:pPr>
        <w:keepNext/>
        <w:keepLines/>
        <w:pageBreakBefore w:val="0"/>
        <w:kinsoku/>
        <w:wordWrap/>
        <w:overflowPunct/>
        <w:topLinePunct w:val="0"/>
        <w:autoSpaceDE/>
        <w:autoSpaceDN/>
        <w:bidi w:val="0"/>
        <w:spacing w:line="300" w:lineRule="auto"/>
        <w:ind w:firstLine="602"/>
        <w:textAlignment w:val="auto"/>
        <w:rPr>
          <w:rFonts w:ascii="宋体" w:hAnsi="宋体"/>
          <w:sz w:val="24"/>
          <w:szCs w:val="24"/>
        </w:rPr>
      </w:pPr>
      <w:r>
        <w:rPr>
          <w:rFonts w:hint="eastAsia" w:ascii="宋体" w:hAnsi="宋体"/>
          <w:sz w:val="24"/>
          <w:szCs w:val="24"/>
        </w:rPr>
        <w:t>1.本次竞争性磋商本着公平、公正、科学、择优的原则，邀请各报价方参加报价。</w:t>
      </w:r>
    </w:p>
    <w:p w14:paraId="16249CDB">
      <w:pPr>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rPr>
      </w:pPr>
      <w:r>
        <w:rPr>
          <w:rFonts w:hint="eastAsia" w:ascii="宋体" w:hAnsi="宋体"/>
          <w:sz w:val="24"/>
          <w:szCs w:val="24"/>
        </w:rPr>
        <w:t>2.磋商小组将严格按照竞争性磋商文件的要求，对供应商的响应性文件进行认真评审；磋商小组对响应性文件的评审仅依据响应性文件本身，而不依据响应性文件以外的任何因素。</w:t>
      </w:r>
    </w:p>
    <w:p w14:paraId="6E32D412">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b/>
          <w:sz w:val="24"/>
          <w:szCs w:val="24"/>
        </w:rPr>
      </w:pPr>
      <w:r>
        <w:rPr>
          <w:rFonts w:hint="eastAsia" w:ascii="宋体" w:hAnsi="宋体"/>
          <w:sz w:val="24"/>
          <w:szCs w:val="24"/>
        </w:rPr>
        <w:t>3.磋商小组按照统一的磋商原则和磋商方法，用同一标准对所有响应性文件进行评审。</w:t>
      </w:r>
    </w:p>
    <w:p w14:paraId="4E68B58F">
      <w:pPr>
        <w:pageBreakBefore w:val="0"/>
        <w:kinsoku/>
        <w:wordWrap/>
        <w:overflowPunct/>
        <w:topLinePunct w:val="0"/>
        <w:autoSpaceDE/>
        <w:autoSpaceDN/>
        <w:bidi w:val="0"/>
        <w:adjustRightInd w:val="0"/>
        <w:snapToGrid w:val="0"/>
        <w:spacing w:line="300" w:lineRule="auto"/>
        <w:ind w:firstLine="0" w:firstLineChars="0"/>
        <w:jc w:val="center"/>
        <w:textAlignment w:val="auto"/>
        <w:outlineLvl w:val="1"/>
        <w:rPr>
          <w:rFonts w:hint="eastAsia" w:ascii="宋体" w:hAnsi="宋体" w:cs="宋体"/>
          <w:b/>
          <w:bCs w:val="0"/>
          <w:sz w:val="24"/>
          <w:szCs w:val="24"/>
          <w:lang w:val="zh-CN"/>
        </w:rPr>
      </w:pPr>
      <w:bookmarkStart w:id="903" w:name="_Toc3665"/>
      <w:bookmarkStart w:id="904" w:name="_Toc13116"/>
      <w:bookmarkStart w:id="905" w:name="_Toc13360"/>
      <w:bookmarkStart w:id="906" w:name="_Toc27664"/>
      <w:bookmarkStart w:id="907" w:name="_Toc31198"/>
      <w:bookmarkStart w:id="908" w:name="_Toc14055"/>
      <w:bookmarkStart w:id="909" w:name="_Toc3832"/>
      <w:bookmarkStart w:id="910" w:name="_Toc5226"/>
      <w:bookmarkStart w:id="911" w:name="_Toc14220"/>
      <w:bookmarkStart w:id="912" w:name="_Toc3697"/>
      <w:bookmarkStart w:id="913" w:name="_Toc2049"/>
      <w:bookmarkStart w:id="914" w:name="_Toc27272"/>
      <w:bookmarkStart w:id="915" w:name="_Toc31918"/>
      <w:bookmarkStart w:id="916" w:name="_Toc18233"/>
      <w:bookmarkStart w:id="917" w:name="_Toc5379"/>
      <w:r>
        <w:rPr>
          <w:rFonts w:hint="eastAsia" w:ascii="宋体" w:hAnsi="宋体" w:cs="宋体"/>
          <w:b/>
          <w:bCs w:val="0"/>
          <w:sz w:val="24"/>
          <w:szCs w:val="24"/>
          <w:lang w:val="zh-CN"/>
        </w:rPr>
        <w:t>二、磋商程序</w:t>
      </w:r>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p>
    <w:p w14:paraId="164E9648">
      <w:pPr>
        <w:pageBreakBefore w:val="0"/>
        <w:tabs>
          <w:tab w:val="left" w:pos="-1080"/>
          <w:tab w:val="left" w:pos="180"/>
          <w:tab w:val="left" w:pos="1080"/>
          <w:tab w:val="left" w:pos="2379"/>
        </w:tabs>
        <w:kinsoku/>
        <w:wordWrap/>
        <w:overflowPunct/>
        <w:topLinePunct w:val="0"/>
        <w:autoSpaceDE/>
        <w:autoSpaceDN/>
        <w:bidi w:val="0"/>
        <w:snapToGrid w:val="0"/>
        <w:spacing w:line="300" w:lineRule="auto"/>
        <w:ind w:firstLine="602"/>
        <w:textAlignment w:val="auto"/>
        <w:rPr>
          <w:rFonts w:ascii="宋体" w:hAnsi="宋体"/>
          <w:sz w:val="24"/>
          <w:szCs w:val="24"/>
        </w:rPr>
      </w:pPr>
      <w:r>
        <w:rPr>
          <w:rFonts w:hint="eastAsia" w:ascii="宋体" w:hAnsi="宋体"/>
          <w:sz w:val="24"/>
          <w:szCs w:val="24"/>
        </w:rPr>
        <w:t>1.初步评审</w:t>
      </w:r>
      <w:r>
        <w:rPr>
          <w:rFonts w:hint="eastAsia" w:ascii="宋体" w:hAnsi="宋体"/>
          <w:sz w:val="24"/>
          <w:szCs w:val="24"/>
        </w:rPr>
        <w:tab/>
      </w:r>
    </w:p>
    <w:p w14:paraId="576FF2EA">
      <w:pPr>
        <w:pStyle w:val="68"/>
        <w:pageBreakBefore w:val="0"/>
        <w:tabs>
          <w:tab w:val="left" w:pos="-1080"/>
          <w:tab w:val="left" w:pos="180"/>
          <w:tab w:val="left" w:pos="1080"/>
          <w:tab w:val="left" w:pos="1418"/>
        </w:tabs>
        <w:kinsoku/>
        <w:wordWrap/>
        <w:overflowPunct/>
        <w:topLinePunct w:val="0"/>
        <w:autoSpaceDE/>
        <w:autoSpaceDN/>
        <w:bidi w:val="0"/>
        <w:snapToGrid w:val="0"/>
        <w:spacing w:line="300" w:lineRule="auto"/>
        <w:ind w:firstLine="602"/>
        <w:textAlignment w:val="auto"/>
        <w:rPr>
          <w:rFonts w:ascii="宋体" w:hAnsi="宋体"/>
          <w:sz w:val="24"/>
          <w:szCs w:val="24"/>
        </w:rPr>
      </w:pPr>
      <w:r>
        <w:rPr>
          <w:rFonts w:hint="eastAsia" w:ascii="宋体" w:hAnsi="宋体"/>
          <w:sz w:val="24"/>
          <w:szCs w:val="24"/>
        </w:rPr>
        <w:t>（1）磋商小组对各响应性文件进行资格性和符合性检查</w:t>
      </w:r>
    </w:p>
    <w:p w14:paraId="6FD96F7C">
      <w:pPr>
        <w:pageBreakBefore w:val="0"/>
        <w:kinsoku/>
        <w:wordWrap/>
        <w:overflowPunct/>
        <w:topLinePunct w:val="0"/>
        <w:autoSpaceDE/>
        <w:autoSpaceDN/>
        <w:bidi w:val="0"/>
        <w:adjustRightInd w:val="0"/>
        <w:snapToGrid w:val="0"/>
        <w:spacing w:line="300" w:lineRule="auto"/>
        <w:ind w:firstLine="602"/>
        <w:textAlignment w:val="auto"/>
        <w:rPr>
          <w:rFonts w:ascii="宋体" w:hAnsi="宋体"/>
          <w:sz w:val="24"/>
          <w:szCs w:val="24"/>
        </w:rPr>
      </w:pPr>
      <w:r>
        <w:rPr>
          <w:rFonts w:hint="eastAsia" w:ascii="宋体" w:hAnsi="宋体"/>
          <w:sz w:val="24"/>
          <w:szCs w:val="24"/>
        </w:rPr>
        <w:t xml:space="preserve"> 磋商小组将依据法律法规和竞争性磋商文件的规定，对磋商响应性文件中的资格证明、同类项目的业绩等方面进行资格性审查；符合性评审即文件应实质上响应竞争性磋商文件的要求，与竞争性磋商文件的所有条款、条件和规定相符，无显著差异或保留；</w:t>
      </w:r>
      <w:r>
        <w:rPr>
          <w:rFonts w:hint="eastAsia" w:ascii="宋体" w:hAnsi="宋体"/>
          <w:sz w:val="24"/>
          <w:szCs w:val="24"/>
          <w:lang w:eastAsia="zh-CN"/>
        </w:rPr>
        <w:t>磋商响应文件</w:t>
      </w:r>
      <w:r>
        <w:rPr>
          <w:rFonts w:hint="eastAsia" w:ascii="宋体" w:hAnsi="宋体"/>
          <w:sz w:val="24"/>
          <w:szCs w:val="24"/>
        </w:rPr>
        <w:t>是否有大的缺项、漏项。如果供应商对竞争性磋商文件中的主要条款做出变更，应在磋商文件中有文字说明其原因和理由。</w:t>
      </w:r>
    </w:p>
    <w:p w14:paraId="70FDD66F">
      <w:pPr>
        <w:pageBreakBefore w:val="0"/>
        <w:kinsoku/>
        <w:wordWrap/>
        <w:overflowPunct/>
        <w:topLinePunct w:val="0"/>
        <w:autoSpaceDE/>
        <w:autoSpaceDN/>
        <w:bidi w:val="0"/>
        <w:adjustRightInd w:val="0"/>
        <w:snapToGrid w:val="0"/>
        <w:spacing w:line="300" w:lineRule="auto"/>
        <w:ind w:firstLine="602"/>
        <w:textAlignment w:val="auto"/>
        <w:rPr>
          <w:rFonts w:ascii="宋体" w:hAnsi="宋体"/>
          <w:sz w:val="24"/>
          <w:szCs w:val="24"/>
        </w:rPr>
      </w:pPr>
      <w:r>
        <w:rPr>
          <w:rFonts w:hint="eastAsia" w:ascii="宋体" w:hAnsi="宋体"/>
          <w:sz w:val="24"/>
          <w:szCs w:val="24"/>
        </w:rPr>
        <w:t>报价有算术错误的，竞争性磋商小组按以下原则对报价进行修正，修正的价格经供应商书面确认后具有约束力。供应商不接受修正价格的，其响应文件被否决。</w:t>
      </w:r>
    </w:p>
    <w:p w14:paraId="214A7F00">
      <w:pPr>
        <w:pageBreakBefore w:val="0"/>
        <w:kinsoku/>
        <w:wordWrap/>
        <w:overflowPunct/>
        <w:topLinePunct w:val="0"/>
        <w:autoSpaceDE/>
        <w:autoSpaceDN/>
        <w:bidi w:val="0"/>
        <w:adjustRightInd w:val="0"/>
        <w:snapToGrid w:val="0"/>
        <w:spacing w:line="300" w:lineRule="auto"/>
        <w:ind w:firstLine="602"/>
        <w:textAlignment w:val="auto"/>
        <w:rPr>
          <w:rFonts w:ascii="宋体" w:hAnsi="宋体"/>
          <w:sz w:val="24"/>
          <w:szCs w:val="24"/>
        </w:rPr>
      </w:pPr>
      <w:r>
        <w:rPr>
          <w:rFonts w:hint="eastAsia" w:ascii="宋体" w:hAnsi="宋体"/>
          <w:sz w:val="24"/>
          <w:szCs w:val="24"/>
        </w:rPr>
        <w:t>A.磋商文件中的大写金额与小写金额不一致的，以大写金额为准；</w:t>
      </w:r>
    </w:p>
    <w:p w14:paraId="3F1E6134">
      <w:pPr>
        <w:pageBreakBefore w:val="0"/>
        <w:kinsoku/>
        <w:wordWrap/>
        <w:overflowPunct/>
        <w:topLinePunct w:val="0"/>
        <w:autoSpaceDE/>
        <w:autoSpaceDN/>
        <w:bidi w:val="0"/>
        <w:adjustRightInd w:val="0"/>
        <w:snapToGrid w:val="0"/>
        <w:spacing w:line="300" w:lineRule="auto"/>
        <w:ind w:firstLine="602"/>
        <w:textAlignment w:val="auto"/>
        <w:rPr>
          <w:rFonts w:ascii="宋体" w:hAnsi="宋体"/>
          <w:color w:val="000000"/>
          <w:sz w:val="24"/>
          <w:szCs w:val="24"/>
        </w:rPr>
      </w:pPr>
      <w:r>
        <w:rPr>
          <w:rFonts w:hint="eastAsia" w:ascii="宋体" w:hAnsi="宋体"/>
          <w:color w:val="000000"/>
          <w:sz w:val="24"/>
          <w:szCs w:val="24"/>
        </w:rPr>
        <w:t>B.总价金额与依据单价计算出的结果不一致的，以单价金额为准修正总价，但单价金额小数点有明显错误的除外；</w:t>
      </w:r>
    </w:p>
    <w:p w14:paraId="7945B63B">
      <w:pPr>
        <w:pStyle w:val="68"/>
        <w:pageBreakBefore w:val="0"/>
        <w:tabs>
          <w:tab w:val="left" w:pos="-1080"/>
          <w:tab w:val="left" w:pos="142"/>
          <w:tab w:val="left" w:pos="1080"/>
          <w:tab w:val="left" w:pos="1418"/>
        </w:tabs>
        <w:kinsoku/>
        <w:wordWrap/>
        <w:overflowPunct/>
        <w:topLinePunct w:val="0"/>
        <w:autoSpaceDE/>
        <w:autoSpaceDN/>
        <w:bidi w:val="0"/>
        <w:snapToGrid w:val="0"/>
        <w:spacing w:line="300" w:lineRule="auto"/>
        <w:ind w:firstLine="602"/>
        <w:textAlignment w:val="auto"/>
        <w:rPr>
          <w:rFonts w:ascii="宋体" w:hAnsi="宋体"/>
          <w:sz w:val="24"/>
          <w:szCs w:val="24"/>
        </w:rPr>
      </w:pPr>
      <w:r>
        <w:rPr>
          <w:rFonts w:hint="eastAsia" w:ascii="宋体" w:hAnsi="宋体"/>
          <w:sz w:val="24"/>
          <w:szCs w:val="24"/>
        </w:rPr>
        <w:t>（2）磋商小组将确定不具备投标资格和未实质性响应的响应文件为无效，报价方不能通过修改或撤销不符之处而使其响应文件改为有效。磋商小组将对具有实质性响应的文件进行磋商、评审、打分。</w:t>
      </w:r>
    </w:p>
    <w:p w14:paraId="2DF739B2">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lang w:val="zh-CN"/>
        </w:rPr>
      </w:pPr>
      <w:r>
        <w:rPr>
          <w:rFonts w:hint="eastAsia" w:ascii="宋体" w:hAnsi="宋体"/>
          <w:sz w:val="24"/>
          <w:szCs w:val="24"/>
        </w:rPr>
        <w:t>2.</w:t>
      </w:r>
      <w:r>
        <w:rPr>
          <w:rFonts w:hint="eastAsia" w:ascii="宋体" w:hAnsi="宋体"/>
          <w:sz w:val="24"/>
          <w:szCs w:val="24"/>
          <w:lang w:val="zh-CN"/>
        </w:rPr>
        <w:t>响应文件符合性审查</w:t>
      </w:r>
    </w:p>
    <w:p w14:paraId="71846B7C">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lang w:val="zh-CN"/>
        </w:rPr>
      </w:pPr>
      <w:r>
        <w:rPr>
          <w:rFonts w:hint="eastAsia" w:ascii="宋体" w:hAnsi="宋体"/>
          <w:sz w:val="24"/>
          <w:szCs w:val="24"/>
          <w:lang w:val="zh-CN"/>
        </w:rPr>
        <w:t>（</w:t>
      </w:r>
      <w:r>
        <w:rPr>
          <w:rFonts w:hint="eastAsia" w:ascii="宋体" w:hAnsi="宋体"/>
          <w:sz w:val="24"/>
          <w:szCs w:val="24"/>
        </w:rPr>
        <w:t>1）</w:t>
      </w:r>
      <w:r>
        <w:rPr>
          <w:rFonts w:hint="eastAsia" w:ascii="宋体" w:hAnsi="宋体"/>
          <w:sz w:val="24"/>
          <w:szCs w:val="24"/>
          <w:lang w:val="zh-CN"/>
        </w:rPr>
        <w:t>磋商小组应当对符合资格的供应商的响应文件进行符合性审查，以确定其是否满足磋商文件的实质性要求。</w:t>
      </w:r>
    </w:p>
    <w:p w14:paraId="1BD7BDF9">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lang w:val="zh-CN"/>
        </w:rPr>
      </w:pPr>
      <w:r>
        <w:rPr>
          <w:rFonts w:hint="eastAsia" w:ascii="宋体" w:hAnsi="宋体"/>
          <w:sz w:val="24"/>
          <w:szCs w:val="24"/>
          <w:lang w:val="zh-CN"/>
        </w:rPr>
        <w:t>（</w:t>
      </w:r>
      <w:r>
        <w:rPr>
          <w:rFonts w:hint="eastAsia" w:ascii="宋体" w:hAnsi="宋体"/>
          <w:sz w:val="24"/>
          <w:szCs w:val="24"/>
        </w:rPr>
        <w:t>2）</w:t>
      </w:r>
      <w:r>
        <w:rPr>
          <w:rFonts w:hint="eastAsia" w:ascii="宋体" w:hAnsi="宋体"/>
          <w:sz w:val="24"/>
          <w:szCs w:val="24"/>
          <w:lang w:val="zh-CN"/>
        </w:rPr>
        <w:t>在资格性和符合性审查同时，对属于不合格供应商或者磋商无效的供应商，磋商小组必须提出不合格或者磋商无效的事实依据，并出具不合格或者磋商无效说明，供应商签字确认。供应商签字确认后磋商小组全体成员签字。供应商拒绝签字确认的不影响磋商小组做出的不合格或无效磋商裁定。</w:t>
      </w:r>
    </w:p>
    <w:p w14:paraId="49474A12">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lang w:val="zh-CN"/>
        </w:rPr>
      </w:pPr>
      <w:r>
        <w:rPr>
          <w:rFonts w:hint="eastAsia" w:ascii="宋体" w:hAnsi="宋体"/>
          <w:sz w:val="24"/>
          <w:szCs w:val="24"/>
          <w:lang w:val="zh-CN"/>
        </w:rPr>
        <w:t>（</w:t>
      </w:r>
      <w:r>
        <w:rPr>
          <w:rFonts w:hint="eastAsia" w:ascii="宋体" w:hAnsi="宋体"/>
          <w:sz w:val="24"/>
          <w:szCs w:val="24"/>
        </w:rPr>
        <w:t>3</w:t>
      </w:r>
      <w:r>
        <w:rPr>
          <w:rFonts w:hint="eastAsia" w:ascii="宋体" w:hAnsi="宋体"/>
          <w:sz w:val="24"/>
          <w:szCs w:val="24"/>
          <w:lang w:val="zh-CN"/>
        </w:rPr>
        <w:t>）如果确定供应商无资格履行合同，其磋商将被拒绝。</w:t>
      </w:r>
    </w:p>
    <w:p w14:paraId="15B0F100">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lang w:val="zh-CN"/>
        </w:rPr>
      </w:pPr>
      <w:r>
        <w:rPr>
          <w:rFonts w:hint="eastAsia" w:ascii="宋体" w:hAnsi="宋体"/>
          <w:sz w:val="24"/>
          <w:szCs w:val="24"/>
          <w:lang w:val="zh-CN"/>
        </w:rPr>
        <w:t>（</w:t>
      </w:r>
      <w:r>
        <w:rPr>
          <w:rFonts w:hint="eastAsia" w:ascii="宋体" w:hAnsi="宋体"/>
          <w:sz w:val="24"/>
          <w:szCs w:val="24"/>
        </w:rPr>
        <w:t>4）</w:t>
      </w:r>
      <w:r>
        <w:rPr>
          <w:rFonts w:hint="eastAsia" w:ascii="宋体" w:hAnsi="宋体"/>
          <w:sz w:val="24"/>
          <w:szCs w:val="24"/>
          <w:lang w:val="zh-CN"/>
        </w:rPr>
        <w:t>资格审查和符合性审查不符合的响应文件将不再进行后续资信、技术评审。</w:t>
      </w:r>
    </w:p>
    <w:p w14:paraId="6BE37A0D">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lang w:val="zh-CN"/>
        </w:rPr>
      </w:pPr>
      <w:r>
        <w:rPr>
          <w:rFonts w:hint="eastAsia" w:ascii="宋体" w:hAnsi="宋体"/>
          <w:sz w:val="24"/>
          <w:szCs w:val="24"/>
          <w:lang w:val="zh-CN"/>
        </w:rPr>
        <w:t>3.响应文件资信、技术评审</w:t>
      </w:r>
    </w:p>
    <w:p w14:paraId="0B083B78">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lang w:val="zh-CN"/>
        </w:rPr>
      </w:pPr>
      <w:r>
        <w:rPr>
          <w:rFonts w:hint="eastAsia" w:ascii="宋体" w:hAnsi="宋体"/>
          <w:sz w:val="24"/>
          <w:szCs w:val="24"/>
        </w:rPr>
        <w:t>（1）</w:t>
      </w:r>
      <w:r>
        <w:rPr>
          <w:rFonts w:hint="eastAsia" w:ascii="宋体" w:hAnsi="宋体"/>
          <w:sz w:val="24"/>
          <w:szCs w:val="24"/>
          <w:lang w:val="zh-CN"/>
        </w:rPr>
        <w:t>按照磋商文件要求，审查供应商所投服务承诺及要求，对资信</w:t>
      </w:r>
      <w:r>
        <w:rPr>
          <w:rFonts w:hint="eastAsia" w:ascii="宋体" w:hAnsi="宋体"/>
          <w:sz w:val="24"/>
          <w:szCs w:val="24"/>
          <w:lang w:val="en-US" w:eastAsia="zh-CN"/>
        </w:rPr>
        <w:t>商务</w:t>
      </w:r>
      <w:r>
        <w:rPr>
          <w:rFonts w:hint="eastAsia" w:ascii="宋体" w:hAnsi="宋体"/>
          <w:sz w:val="24"/>
          <w:szCs w:val="24"/>
          <w:lang w:val="zh-CN"/>
        </w:rPr>
        <w:t>技术部分进行评价和比较，并记录实质性响应、技术偏离等事项。</w:t>
      </w:r>
    </w:p>
    <w:p w14:paraId="0E5020C1">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lang w:val="zh-CN"/>
        </w:rPr>
      </w:pPr>
      <w:r>
        <w:rPr>
          <w:rFonts w:hint="eastAsia" w:ascii="宋体" w:hAnsi="宋体"/>
          <w:sz w:val="24"/>
          <w:szCs w:val="24"/>
        </w:rPr>
        <w:t>（2）</w:t>
      </w:r>
      <w:r>
        <w:rPr>
          <w:rFonts w:hint="eastAsia" w:ascii="宋体" w:hAnsi="宋体"/>
          <w:sz w:val="24"/>
          <w:szCs w:val="24"/>
          <w:lang w:val="zh-CN"/>
        </w:rPr>
        <w:t>磋商小组认为供应商的响应文件如有疑问的，将对供应商进行询标，供应商要向磋商小组澄清有关问题，并最终以书面形式进行答复；供应商代表未到场或者拒绝澄清或者澄清</w:t>
      </w:r>
      <w:r>
        <w:rPr>
          <w:rFonts w:hint="eastAsia" w:ascii="宋体" w:hAnsi="宋体"/>
          <w:spacing w:val="-6"/>
          <w:sz w:val="24"/>
          <w:szCs w:val="24"/>
          <w:lang w:val="zh-CN"/>
        </w:rPr>
        <w:t>的内容改变了响应文件的实质性内容的，磋商小组有权对该响应文件作出不利于供应商的评判。</w:t>
      </w:r>
    </w:p>
    <w:p w14:paraId="65F3ADA3">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lang w:val="zh-CN"/>
        </w:rPr>
      </w:pPr>
      <w:r>
        <w:rPr>
          <w:rFonts w:hint="eastAsia" w:ascii="宋体" w:hAnsi="宋体"/>
          <w:sz w:val="24"/>
          <w:szCs w:val="24"/>
          <w:lang w:val="zh-CN"/>
        </w:rPr>
        <w:t>（</w:t>
      </w:r>
      <w:r>
        <w:rPr>
          <w:rFonts w:hint="eastAsia" w:ascii="宋体" w:hAnsi="宋体"/>
          <w:sz w:val="24"/>
          <w:szCs w:val="24"/>
        </w:rPr>
        <w:t>3）</w:t>
      </w:r>
      <w:r>
        <w:rPr>
          <w:rFonts w:hint="eastAsia" w:ascii="宋体" w:hAnsi="宋体"/>
          <w:sz w:val="24"/>
          <w:szCs w:val="24"/>
          <w:lang w:val="zh-CN"/>
        </w:rPr>
        <w:t>在评审过程中，磋商小组认为供应商的报价明显低于其他通过符合性审查供应商的报价，有可能影响产品质量或者不能诚信履约的，应当要求其在评审现场合理的时间内提供书面说明，必要时递交相关证明材料；供应商不能证明其报价合理性的，磋商小组应当将其作为磋商无效处理。</w:t>
      </w:r>
    </w:p>
    <w:p w14:paraId="5E35F1AD">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rPr>
      </w:pPr>
      <w:r>
        <w:rPr>
          <w:rFonts w:hint="eastAsia" w:ascii="宋体" w:hAnsi="宋体"/>
          <w:sz w:val="24"/>
          <w:szCs w:val="24"/>
        </w:rPr>
        <w:t>4.磋商报价</w:t>
      </w:r>
    </w:p>
    <w:p w14:paraId="3A44717F">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color w:val="000000"/>
          <w:sz w:val="24"/>
          <w:szCs w:val="24"/>
        </w:rPr>
      </w:pPr>
      <w:r>
        <w:rPr>
          <w:rFonts w:hint="eastAsia" w:ascii="宋体" w:hAnsi="宋体"/>
          <w:sz w:val="24"/>
          <w:szCs w:val="24"/>
        </w:rPr>
        <w:t>（1）磋商小组所有成员采用集中与每个供应商就</w:t>
      </w:r>
      <w:r>
        <w:rPr>
          <w:rFonts w:hint="eastAsia" w:ascii="宋体" w:hAnsi="宋体"/>
          <w:sz w:val="24"/>
          <w:szCs w:val="24"/>
          <w:lang w:val="zh-CN"/>
        </w:rPr>
        <w:t>小南海镇周红坂村老年活动中心及厨房改造采购项目</w:t>
      </w:r>
      <w:r>
        <w:rPr>
          <w:rFonts w:hint="eastAsia" w:ascii="宋体" w:hAnsi="宋体"/>
          <w:sz w:val="24"/>
          <w:szCs w:val="24"/>
        </w:rPr>
        <w:t>进行磋商，以递交竞争性磋商响应性文件的时间先后决定磋商顺序。磋商时先</w:t>
      </w:r>
      <w:r>
        <w:rPr>
          <w:rFonts w:hint="eastAsia" w:ascii="宋体" w:hAnsi="宋体"/>
          <w:color w:val="000000"/>
          <w:sz w:val="24"/>
          <w:szCs w:val="24"/>
        </w:rPr>
        <w:t>听取由供应商拟派的项目负责人就</w:t>
      </w:r>
      <w:r>
        <w:rPr>
          <w:rFonts w:hint="eastAsia" w:ascii="宋体" w:hAnsi="宋体"/>
          <w:sz w:val="24"/>
          <w:szCs w:val="24"/>
          <w:lang w:val="zh-CN"/>
        </w:rPr>
        <w:t>本项目</w:t>
      </w:r>
      <w:r>
        <w:rPr>
          <w:rFonts w:hint="eastAsia" w:ascii="宋体" w:hAnsi="宋体"/>
          <w:color w:val="000000"/>
          <w:sz w:val="24"/>
          <w:szCs w:val="24"/>
        </w:rPr>
        <w:t>重点内容及报价进行磋商，磋商过程中由磋商小组成员提出相关问题，并由供应商拟派项目负责人进行回复与承诺。</w:t>
      </w:r>
    </w:p>
    <w:p w14:paraId="7C6F0937">
      <w:pPr>
        <w:pStyle w:val="68"/>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sz w:val="24"/>
          <w:szCs w:val="24"/>
        </w:rPr>
      </w:pPr>
      <w:r>
        <w:rPr>
          <w:rFonts w:hint="eastAsia" w:ascii="宋体" w:hAnsi="宋体"/>
          <w:sz w:val="24"/>
          <w:szCs w:val="24"/>
        </w:rPr>
        <w:t>（2）在磋商中，磋商的任何一方不得透露与磋商有关的信息，为明确本次采购项目的各项技术要求，各供应商应接受磋商小组可能多次的询问、质疑和磋商，如供应商不接受磋商小组的询问、质疑和磋商，其磋商无效。</w:t>
      </w:r>
    </w:p>
    <w:p w14:paraId="0C4E5BB9">
      <w:pPr>
        <w:pStyle w:val="68"/>
        <w:pageBreakBefore w:val="0"/>
        <w:tabs>
          <w:tab w:val="left" w:pos="-1080"/>
          <w:tab w:val="left" w:pos="180"/>
          <w:tab w:val="left" w:pos="1080"/>
        </w:tabs>
        <w:kinsoku/>
        <w:wordWrap/>
        <w:overflowPunct/>
        <w:topLinePunct w:val="0"/>
        <w:autoSpaceDE/>
        <w:autoSpaceDN/>
        <w:bidi w:val="0"/>
        <w:spacing w:line="300" w:lineRule="auto"/>
        <w:ind w:firstLine="602"/>
        <w:textAlignment w:val="auto"/>
        <w:rPr>
          <w:rFonts w:hint="eastAsia" w:ascii="宋体" w:hAnsi="宋体" w:cs="宋体"/>
          <w:kern w:val="2"/>
          <w:sz w:val="24"/>
          <w:szCs w:val="24"/>
        </w:rPr>
      </w:pPr>
      <w:r>
        <w:rPr>
          <w:rFonts w:hint="eastAsia" w:ascii="宋体" w:hAnsi="宋体"/>
          <w:sz w:val="24"/>
          <w:szCs w:val="24"/>
        </w:rPr>
        <w:t>（3）</w:t>
      </w:r>
      <w:r>
        <w:rPr>
          <w:rFonts w:hint="eastAsia" w:ascii="宋体" w:hAnsi="宋体" w:cs="宋体"/>
          <w:kern w:val="2"/>
          <w:sz w:val="24"/>
          <w:szCs w:val="24"/>
        </w:rPr>
        <w:t>磋商文件能够详细列明采购标的的技术、服务要求的，磋商结束后，</w:t>
      </w:r>
      <w:r>
        <w:rPr>
          <w:rFonts w:hint="eastAsia" w:ascii="宋体" w:hAnsi="宋体"/>
          <w:sz w:val="24"/>
          <w:szCs w:val="24"/>
        </w:rPr>
        <w:t>磋商小组要求所有参加磋商的供应商在规定的时间内进行最终报价</w:t>
      </w:r>
      <w:r>
        <w:rPr>
          <w:rFonts w:hint="eastAsia" w:ascii="宋体" w:hAnsi="宋体"/>
          <w:sz w:val="24"/>
          <w:szCs w:val="24"/>
          <w:lang w:eastAsia="zh-CN"/>
        </w:rPr>
        <w:t>，</w:t>
      </w:r>
      <w:r>
        <w:rPr>
          <w:rFonts w:hint="eastAsia" w:ascii="宋体" w:hAnsi="宋体"/>
          <w:sz w:val="24"/>
          <w:szCs w:val="24"/>
        </w:rPr>
        <w:t>所有供应商派代表到场现场开标，评审及合同签署中应以</w:t>
      </w:r>
      <w:r>
        <w:rPr>
          <w:rFonts w:hint="eastAsia" w:ascii="宋体" w:hAnsi="宋体"/>
          <w:sz w:val="24"/>
          <w:szCs w:val="24"/>
          <w:lang w:eastAsia="zh-CN"/>
        </w:rPr>
        <w:t>最终报价表</w:t>
      </w:r>
      <w:r>
        <w:rPr>
          <w:rFonts w:hint="eastAsia" w:ascii="宋体" w:hAnsi="宋体"/>
          <w:sz w:val="24"/>
          <w:szCs w:val="24"/>
        </w:rPr>
        <w:t>为准，最终报价表</w:t>
      </w:r>
      <w:r>
        <w:rPr>
          <w:rFonts w:hint="eastAsia" w:ascii="宋体" w:hAnsi="宋体"/>
          <w:bCs w:val="0"/>
          <w:sz w:val="24"/>
          <w:szCs w:val="24"/>
        </w:rPr>
        <w:t>是供应商响应文件的有效组</w:t>
      </w:r>
      <w:r>
        <w:rPr>
          <w:rFonts w:hint="eastAsia" w:ascii="宋体" w:hAnsi="宋体"/>
          <w:sz w:val="24"/>
          <w:szCs w:val="24"/>
        </w:rPr>
        <w:t>成部分。（注：供应商需提前准备空白并签署盖章的</w:t>
      </w:r>
      <w:r>
        <w:rPr>
          <w:rFonts w:hint="eastAsia" w:ascii="宋体" w:hAnsi="宋体"/>
          <w:sz w:val="24"/>
          <w:szCs w:val="24"/>
          <w:lang w:eastAsia="zh-CN"/>
        </w:rPr>
        <w:t>最终报价表</w:t>
      </w:r>
      <w:r>
        <w:rPr>
          <w:rFonts w:hint="eastAsia" w:ascii="宋体" w:hAnsi="宋体"/>
          <w:sz w:val="24"/>
          <w:szCs w:val="24"/>
        </w:rPr>
        <w:t>，以便最终报价时填写，</w:t>
      </w:r>
      <w:r>
        <w:rPr>
          <w:rFonts w:hint="eastAsia" w:ascii="宋体" w:hAnsi="宋体"/>
          <w:sz w:val="24"/>
          <w:szCs w:val="24"/>
          <w:lang w:eastAsia="zh-CN"/>
        </w:rPr>
        <w:t>最终报价表</w:t>
      </w:r>
      <w:r>
        <w:rPr>
          <w:rFonts w:hint="eastAsia" w:ascii="宋体" w:hAnsi="宋体"/>
          <w:sz w:val="24"/>
          <w:szCs w:val="24"/>
        </w:rPr>
        <w:t>格式见附件）</w:t>
      </w:r>
      <w:r>
        <w:rPr>
          <w:rFonts w:hint="eastAsia" w:ascii="宋体" w:hAnsi="宋体" w:cs="宋体"/>
          <w:kern w:val="2"/>
          <w:sz w:val="24"/>
          <w:szCs w:val="24"/>
        </w:rPr>
        <w:t>提交最后报价的供应商不得少于3家。</w:t>
      </w:r>
    </w:p>
    <w:p w14:paraId="4A584171">
      <w:pPr>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bCs/>
          <w:color w:val="000000"/>
          <w:kern w:val="0"/>
          <w:sz w:val="24"/>
          <w:szCs w:val="24"/>
        </w:rPr>
      </w:pPr>
      <w:r>
        <w:rPr>
          <w:rFonts w:hint="eastAsia" w:ascii="宋体" w:hAnsi="宋体"/>
          <w:bCs/>
          <w:color w:val="000000"/>
          <w:kern w:val="0"/>
          <w:sz w:val="24"/>
          <w:szCs w:val="24"/>
        </w:rPr>
        <w:t>5.磋商报价计分</w:t>
      </w:r>
    </w:p>
    <w:p w14:paraId="1B6CBB25">
      <w:pPr>
        <w:pageBreakBefore w:val="0"/>
        <w:tabs>
          <w:tab w:val="left" w:pos="-1080"/>
          <w:tab w:val="left" w:pos="180"/>
          <w:tab w:val="left" w:pos="1080"/>
        </w:tabs>
        <w:kinsoku/>
        <w:wordWrap/>
        <w:overflowPunct/>
        <w:topLinePunct w:val="0"/>
        <w:autoSpaceDE/>
        <w:autoSpaceDN/>
        <w:bidi w:val="0"/>
        <w:snapToGrid w:val="0"/>
        <w:spacing w:line="300" w:lineRule="auto"/>
        <w:ind w:firstLine="602"/>
        <w:textAlignment w:val="auto"/>
        <w:rPr>
          <w:rFonts w:ascii="宋体" w:hAnsi="宋体"/>
          <w:bCs/>
          <w:color w:val="000000"/>
          <w:kern w:val="0"/>
          <w:sz w:val="24"/>
          <w:szCs w:val="24"/>
        </w:rPr>
      </w:pPr>
      <w:r>
        <w:rPr>
          <w:rFonts w:hint="eastAsia" w:ascii="宋体" w:hAnsi="宋体"/>
          <w:color w:val="000000"/>
          <w:sz w:val="24"/>
          <w:szCs w:val="24"/>
        </w:rPr>
        <w:t>（1）本评标办法采用</w:t>
      </w:r>
      <w:r>
        <w:rPr>
          <w:rFonts w:hint="eastAsia" w:ascii="宋体" w:hAnsi="宋体"/>
          <w:color w:val="000000"/>
          <w:sz w:val="24"/>
          <w:szCs w:val="24"/>
          <w:lang w:eastAsia="zh-CN"/>
        </w:rPr>
        <w:t>综合评分法</w:t>
      </w:r>
      <w:r>
        <w:rPr>
          <w:rFonts w:hint="eastAsia" w:ascii="宋体" w:hAnsi="宋体"/>
          <w:color w:val="000000"/>
          <w:sz w:val="24"/>
          <w:szCs w:val="24"/>
        </w:rPr>
        <w:t>，由资信商务技术分和报价分合计组成，其中资信商务技术分</w:t>
      </w:r>
      <w:r>
        <w:rPr>
          <w:rFonts w:hint="eastAsia" w:ascii="宋体" w:hAnsi="宋体"/>
          <w:color w:val="000000"/>
          <w:sz w:val="24"/>
          <w:szCs w:val="24"/>
          <w:lang w:val="en-US" w:eastAsia="zh-CN"/>
        </w:rPr>
        <w:t>70</w:t>
      </w:r>
      <w:r>
        <w:rPr>
          <w:rFonts w:hint="eastAsia" w:ascii="宋体" w:hAnsi="宋体"/>
          <w:color w:val="000000"/>
          <w:sz w:val="24"/>
          <w:szCs w:val="24"/>
        </w:rPr>
        <w:t>分、报价分</w:t>
      </w:r>
      <w:r>
        <w:rPr>
          <w:rFonts w:hint="eastAsia" w:ascii="宋体" w:hAnsi="宋体"/>
          <w:color w:val="000000"/>
          <w:sz w:val="24"/>
          <w:szCs w:val="24"/>
          <w:lang w:val="en-US" w:eastAsia="zh-CN"/>
        </w:rPr>
        <w:t>共30</w:t>
      </w:r>
      <w:r>
        <w:rPr>
          <w:rFonts w:hint="eastAsia" w:ascii="宋体" w:hAnsi="宋体"/>
          <w:color w:val="000000"/>
          <w:sz w:val="24"/>
          <w:szCs w:val="24"/>
        </w:rPr>
        <w:t>分；满分为100分。</w:t>
      </w:r>
    </w:p>
    <w:p w14:paraId="30519A70">
      <w:pPr>
        <w:pageBreakBefore w:val="0"/>
        <w:kinsoku/>
        <w:wordWrap/>
        <w:overflowPunct/>
        <w:topLinePunct w:val="0"/>
        <w:autoSpaceDE/>
        <w:autoSpaceDN/>
        <w:bidi w:val="0"/>
        <w:adjustRightInd w:val="0"/>
        <w:snapToGrid w:val="0"/>
        <w:spacing w:line="300" w:lineRule="auto"/>
        <w:ind w:firstLine="602"/>
        <w:textAlignment w:val="auto"/>
        <w:rPr>
          <w:rFonts w:ascii="宋体" w:hAnsi="宋体"/>
          <w:sz w:val="24"/>
          <w:szCs w:val="24"/>
        </w:rPr>
      </w:pPr>
      <w:r>
        <w:rPr>
          <w:rFonts w:hint="eastAsia" w:ascii="宋体" w:hAnsi="宋体"/>
          <w:sz w:val="24"/>
          <w:szCs w:val="24"/>
        </w:rPr>
        <w:t>（2）经初步评审合格的响应文件，竞争性磋商小组根据竞争性磋商文件确定的评审标准和方法，对其资信、技术部分</w:t>
      </w:r>
      <w:r>
        <w:rPr>
          <w:rFonts w:hint="eastAsia" w:ascii="宋体" w:hAnsi="宋体"/>
          <w:sz w:val="24"/>
          <w:szCs w:val="24"/>
          <w:lang w:eastAsia="zh-CN"/>
        </w:rPr>
        <w:t>做</w:t>
      </w:r>
      <w:r>
        <w:rPr>
          <w:rFonts w:hint="eastAsia" w:ascii="宋体" w:hAnsi="宋体"/>
          <w:sz w:val="24"/>
          <w:szCs w:val="24"/>
        </w:rPr>
        <w:t>进一步评审、比较、打分。</w:t>
      </w:r>
    </w:p>
    <w:p w14:paraId="07FF874E">
      <w:pPr>
        <w:pageBreakBefore w:val="0"/>
        <w:kinsoku/>
        <w:wordWrap/>
        <w:overflowPunct/>
        <w:topLinePunct w:val="0"/>
        <w:autoSpaceDE/>
        <w:autoSpaceDN/>
        <w:bidi w:val="0"/>
        <w:adjustRightInd w:val="0"/>
        <w:snapToGrid w:val="0"/>
        <w:spacing w:line="300" w:lineRule="auto"/>
        <w:ind w:firstLine="602"/>
        <w:textAlignment w:val="auto"/>
        <w:rPr>
          <w:rFonts w:hint="eastAsia" w:ascii="宋体" w:hAnsi="宋体"/>
          <w:sz w:val="24"/>
          <w:szCs w:val="24"/>
        </w:rPr>
      </w:pPr>
      <w:r>
        <w:rPr>
          <w:rFonts w:hint="eastAsia" w:ascii="宋体" w:hAnsi="宋体"/>
          <w:sz w:val="24"/>
          <w:szCs w:val="24"/>
        </w:rPr>
        <w:t>（3）磋商小组成员首先分别对每个供应商磋商响应文件中资信</w:t>
      </w:r>
      <w:r>
        <w:rPr>
          <w:rFonts w:hint="eastAsia" w:ascii="宋体" w:hAnsi="宋体"/>
          <w:sz w:val="24"/>
          <w:szCs w:val="24"/>
          <w:lang w:val="en-US" w:eastAsia="zh-CN"/>
        </w:rPr>
        <w:t>商务</w:t>
      </w:r>
      <w:r>
        <w:rPr>
          <w:rFonts w:hint="eastAsia" w:ascii="宋体" w:hAnsi="宋体"/>
          <w:sz w:val="24"/>
          <w:szCs w:val="24"/>
        </w:rPr>
        <w:t>技术部分进行评审打分，然后计算出算术平均值（保留2位小数），即为供应商的资信商务技术得分，后计算最终报价，计算公式：</w:t>
      </w:r>
      <w:r>
        <w:rPr>
          <w:rFonts w:hint="eastAsia" w:ascii="宋体" w:hAnsi="宋体" w:cs="宋体"/>
          <w:sz w:val="24"/>
          <w:szCs w:val="24"/>
          <w:lang w:val="en-US" w:eastAsia="zh-CN"/>
        </w:rPr>
        <w:t>磋商</w:t>
      </w:r>
      <w:r>
        <w:rPr>
          <w:rFonts w:hint="eastAsia" w:ascii="宋体" w:hAnsi="宋体" w:eastAsia="宋体" w:cs="宋体"/>
          <w:sz w:val="24"/>
          <w:szCs w:val="24"/>
        </w:rPr>
        <w:t>报价得分=</w:t>
      </w:r>
      <w:r>
        <w:rPr>
          <w:rFonts w:hint="eastAsia" w:ascii="宋体" w:hAnsi="宋体" w:cs="宋体"/>
          <w:sz w:val="24"/>
          <w:szCs w:val="24"/>
          <w:lang w:eastAsia="zh-CN"/>
        </w:rPr>
        <w:t>（</w:t>
      </w:r>
      <w:r>
        <w:rPr>
          <w:rFonts w:hint="eastAsia" w:ascii="宋体" w:hAnsi="宋体" w:eastAsia="宋体" w:cs="宋体"/>
          <w:sz w:val="24"/>
          <w:szCs w:val="24"/>
        </w:rPr>
        <w:t>评标基准价／供应商最终报价</w:t>
      </w:r>
      <w:r>
        <w:rPr>
          <w:rFonts w:hint="eastAsia" w:ascii="宋体" w:hAnsi="宋体" w:eastAsia="宋体" w:cs="宋体"/>
          <w:sz w:val="24"/>
          <w:szCs w:val="24"/>
          <w:lang w:eastAsia="zh-CN"/>
        </w:rPr>
        <w:t>）</w:t>
      </w:r>
      <w:r>
        <w:rPr>
          <w:rFonts w:hint="eastAsia" w:ascii="宋体" w:hAnsi="宋体" w:eastAsia="宋体" w:cs="宋体"/>
          <w:sz w:val="24"/>
          <w:szCs w:val="24"/>
        </w:rPr>
        <w:t>×价格权值[</w:t>
      </w:r>
      <w:r>
        <w:rPr>
          <w:rFonts w:hint="eastAsia" w:ascii="宋体" w:hAnsi="宋体" w:cs="宋体"/>
          <w:sz w:val="24"/>
          <w:szCs w:val="24"/>
          <w:lang w:val="en-US" w:eastAsia="zh-CN"/>
        </w:rPr>
        <w:t>30</w:t>
      </w:r>
      <w:r>
        <w:rPr>
          <w:rFonts w:hint="eastAsia" w:ascii="宋体" w:hAnsi="宋体" w:eastAsia="宋体" w:cs="宋体"/>
          <w:sz w:val="24"/>
          <w:szCs w:val="24"/>
        </w:rPr>
        <w:t>%]×100，</w:t>
      </w:r>
      <w:r>
        <w:rPr>
          <w:rFonts w:hint="eastAsia" w:ascii="宋体" w:hAnsi="宋体"/>
          <w:sz w:val="24"/>
          <w:szCs w:val="24"/>
        </w:rPr>
        <w:t>综合得分=资信</w:t>
      </w:r>
      <w:r>
        <w:rPr>
          <w:rFonts w:hint="eastAsia" w:ascii="宋体" w:hAnsi="宋体"/>
          <w:sz w:val="24"/>
          <w:szCs w:val="24"/>
          <w:lang w:val="en-US" w:eastAsia="zh-CN"/>
        </w:rPr>
        <w:t>商务</w:t>
      </w:r>
      <w:r>
        <w:rPr>
          <w:rFonts w:hint="eastAsia" w:ascii="宋体" w:hAnsi="宋体"/>
          <w:sz w:val="24"/>
          <w:szCs w:val="24"/>
        </w:rPr>
        <w:t>技术分+</w:t>
      </w:r>
      <w:r>
        <w:rPr>
          <w:rFonts w:hint="eastAsia" w:ascii="宋体" w:hAnsi="宋体"/>
          <w:sz w:val="24"/>
          <w:szCs w:val="24"/>
          <w:lang w:eastAsia="zh-CN"/>
        </w:rPr>
        <w:t>报价</w:t>
      </w:r>
      <w:r>
        <w:rPr>
          <w:rFonts w:hint="eastAsia" w:ascii="宋体" w:hAnsi="宋体"/>
          <w:sz w:val="24"/>
          <w:szCs w:val="24"/>
        </w:rPr>
        <w:t>分，以综合得分由高到低进行排序后推荐前一名为成交候选人；采购人原则上应确定排名第一位的成交候选人作为成交供应商。(</w:t>
      </w:r>
      <w:r>
        <w:rPr>
          <w:rFonts w:hint="eastAsia" w:ascii="宋体" w:hAnsi="宋体"/>
          <w:kern w:val="0"/>
          <w:sz w:val="24"/>
          <w:szCs w:val="24"/>
        </w:rPr>
        <w:t>得分相同的，按</w:t>
      </w:r>
      <w:r>
        <w:rPr>
          <w:rFonts w:hint="eastAsia" w:ascii="宋体" w:hAnsi="宋体"/>
          <w:kern w:val="0"/>
          <w:sz w:val="24"/>
          <w:szCs w:val="24"/>
          <w:lang w:eastAsia="zh-CN"/>
        </w:rPr>
        <w:t>磋商报价</w:t>
      </w:r>
      <w:r>
        <w:rPr>
          <w:rFonts w:hint="eastAsia" w:ascii="宋体" w:hAnsi="宋体"/>
          <w:kern w:val="0"/>
          <w:sz w:val="24"/>
          <w:szCs w:val="24"/>
        </w:rPr>
        <w:t>由低到高顺序排列。</w:t>
      </w:r>
      <w:r>
        <w:rPr>
          <w:rFonts w:hint="eastAsia" w:ascii="宋体" w:hAnsi="宋体"/>
          <w:kern w:val="0"/>
          <w:sz w:val="24"/>
          <w:szCs w:val="24"/>
          <w:lang w:val="en-US" w:eastAsia="zh-CN"/>
        </w:rPr>
        <w:t>综合</w:t>
      </w:r>
      <w:r>
        <w:rPr>
          <w:rFonts w:hint="eastAsia" w:ascii="宋体" w:hAnsi="宋体"/>
          <w:kern w:val="0"/>
          <w:sz w:val="24"/>
          <w:szCs w:val="24"/>
        </w:rPr>
        <w:t>得分且</w:t>
      </w:r>
      <w:r>
        <w:rPr>
          <w:rFonts w:hint="eastAsia" w:ascii="宋体" w:hAnsi="宋体"/>
          <w:kern w:val="0"/>
          <w:sz w:val="24"/>
          <w:szCs w:val="24"/>
          <w:lang w:eastAsia="zh-CN"/>
        </w:rPr>
        <w:t>磋商报价</w:t>
      </w:r>
      <w:r>
        <w:rPr>
          <w:rFonts w:hint="eastAsia" w:ascii="宋体" w:hAnsi="宋体"/>
          <w:kern w:val="0"/>
          <w:sz w:val="24"/>
          <w:szCs w:val="24"/>
        </w:rPr>
        <w:t>相同的。依据供应商的磋商响应文件满足磋商文件全部实质性要求前提下，按照评审因素的量化指标评审得分最高的供应商为排名；确定成交候选人</w:t>
      </w:r>
      <w:r>
        <w:rPr>
          <w:rFonts w:hint="eastAsia" w:ascii="宋体" w:hAnsi="宋体"/>
          <w:sz w:val="24"/>
          <w:szCs w:val="24"/>
        </w:rPr>
        <w:t>)，并提交评审结果。</w:t>
      </w:r>
    </w:p>
    <w:p w14:paraId="18AB5E1E">
      <w:pPr>
        <w:pageBreakBefore w:val="0"/>
        <w:kinsoku/>
        <w:wordWrap/>
        <w:overflowPunct/>
        <w:topLinePunct w:val="0"/>
        <w:autoSpaceDE/>
        <w:autoSpaceDN/>
        <w:bidi w:val="0"/>
        <w:adjustRightInd w:val="0"/>
        <w:snapToGrid w:val="0"/>
        <w:spacing w:line="300" w:lineRule="auto"/>
        <w:ind w:firstLine="0" w:firstLineChars="0"/>
        <w:jc w:val="center"/>
        <w:textAlignment w:val="auto"/>
        <w:outlineLvl w:val="1"/>
        <w:rPr>
          <w:rFonts w:hint="eastAsia" w:ascii="宋体" w:hAnsi="宋体" w:cs="宋体"/>
          <w:b/>
          <w:bCs w:val="0"/>
          <w:sz w:val="24"/>
          <w:szCs w:val="24"/>
          <w:lang w:val="zh-CN" w:eastAsia="zh-CN"/>
        </w:rPr>
      </w:pPr>
      <w:bookmarkStart w:id="918" w:name="_Toc21814"/>
      <w:r>
        <w:rPr>
          <w:rFonts w:hint="eastAsia" w:ascii="宋体" w:hAnsi="宋体" w:cs="宋体"/>
          <w:b/>
          <w:bCs w:val="0"/>
          <w:sz w:val="24"/>
          <w:szCs w:val="24"/>
          <w:lang w:val="zh-CN"/>
        </w:rPr>
        <w:t>三、注意事项</w:t>
      </w:r>
      <w:bookmarkEnd w:id="918"/>
    </w:p>
    <w:p w14:paraId="0812FB88">
      <w:pPr>
        <w:pStyle w:val="3"/>
        <w:pageBreakBefore w:val="0"/>
        <w:kinsoku/>
        <w:wordWrap/>
        <w:overflowPunct/>
        <w:topLinePunct w:val="0"/>
        <w:autoSpaceDE/>
        <w:autoSpaceDN/>
        <w:bidi w:val="0"/>
        <w:spacing w:beforeLines="0" w:afterLines="0" w:line="300" w:lineRule="auto"/>
        <w:ind w:firstLine="480" w:firstLineChars="200"/>
        <w:jc w:val="both"/>
        <w:textAlignment w:val="auto"/>
        <w:rPr>
          <w:rFonts w:ascii="宋体" w:hAnsi="宋体" w:cs="宋体"/>
          <w:bCs w:val="0"/>
          <w:sz w:val="24"/>
          <w:szCs w:val="24"/>
        </w:rPr>
      </w:pPr>
      <w:bookmarkStart w:id="919" w:name="_Toc14071"/>
      <w:bookmarkStart w:id="920" w:name="_Toc23058"/>
      <w:bookmarkStart w:id="921" w:name="_Toc4226"/>
      <w:bookmarkStart w:id="922" w:name="_Toc15531"/>
      <w:bookmarkStart w:id="923" w:name="_Toc7885"/>
      <w:bookmarkStart w:id="924" w:name="_Toc2652"/>
      <w:bookmarkStart w:id="925" w:name="_Toc21454"/>
      <w:bookmarkStart w:id="926" w:name="_Toc8609"/>
      <w:bookmarkStart w:id="927" w:name="_Toc11295"/>
      <w:bookmarkStart w:id="928" w:name="_Toc24833"/>
      <w:bookmarkStart w:id="929" w:name="_Toc13405"/>
      <w:bookmarkStart w:id="930" w:name="_Toc9597"/>
      <w:bookmarkStart w:id="931" w:name="_Toc2228"/>
      <w:bookmarkStart w:id="932" w:name="_Toc2068"/>
      <w:bookmarkStart w:id="933" w:name="_Toc20451"/>
      <w:bookmarkStart w:id="934" w:name="_Toc27645"/>
      <w:bookmarkStart w:id="935" w:name="_Toc13986"/>
      <w:bookmarkStart w:id="936" w:name="_Toc23876"/>
      <w:r>
        <w:rPr>
          <w:rFonts w:hint="eastAsia" w:ascii="宋体" w:hAnsi="宋体" w:cs="宋体"/>
          <w:bCs w:val="0"/>
          <w:sz w:val="24"/>
          <w:szCs w:val="24"/>
        </w:rPr>
        <w:t>6.</w:t>
      </w:r>
      <w:r>
        <w:rPr>
          <w:rFonts w:hint="eastAsia" w:ascii="宋体" w:hAnsi="宋体" w:cs="宋体"/>
          <w:bCs w:val="0"/>
          <w:sz w:val="24"/>
          <w:szCs w:val="24"/>
          <w:lang w:eastAsia="zh-CN"/>
        </w:rPr>
        <w:t>磋商小组</w:t>
      </w:r>
      <w:r>
        <w:rPr>
          <w:rFonts w:hint="eastAsia" w:ascii="宋体" w:hAnsi="宋体" w:cs="宋体"/>
          <w:bCs w:val="0"/>
          <w:sz w:val="24"/>
          <w:szCs w:val="24"/>
        </w:rPr>
        <w:t>认为供应商的报价明显低于其他通过符合性审查供应商的报价，有可能影响产品质量或者不能诚信履约的；</w:t>
      </w:r>
      <w:r>
        <w:rPr>
          <w:rFonts w:hint="eastAsia" w:ascii="宋体" w:hAnsi="宋体" w:cs="宋体"/>
          <w:bCs w:val="0"/>
          <w:sz w:val="24"/>
          <w:szCs w:val="24"/>
          <w:lang w:eastAsia="zh-CN"/>
        </w:rPr>
        <w:t>磋商小组</w:t>
      </w:r>
      <w:r>
        <w:rPr>
          <w:rFonts w:hint="eastAsia" w:ascii="宋体" w:hAnsi="宋体" w:cs="宋体"/>
          <w:bCs w:val="0"/>
          <w:sz w:val="24"/>
          <w:szCs w:val="24"/>
        </w:rPr>
        <w:t>可要求该供应商书面说明并提供相关证明材料。该供应商不能合理说明原因并提供证明材料的，</w:t>
      </w:r>
      <w:r>
        <w:rPr>
          <w:rFonts w:hint="eastAsia" w:ascii="宋体" w:hAnsi="宋体" w:cs="宋体"/>
          <w:bCs w:val="0"/>
          <w:sz w:val="24"/>
          <w:szCs w:val="24"/>
          <w:lang w:eastAsia="zh-CN"/>
        </w:rPr>
        <w:t>磋商小组</w:t>
      </w:r>
      <w:r>
        <w:rPr>
          <w:rFonts w:hint="eastAsia" w:ascii="宋体" w:hAnsi="宋体" w:cs="宋体"/>
          <w:bCs w:val="0"/>
          <w:sz w:val="24"/>
          <w:szCs w:val="24"/>
        </w:rPr>
        <w:t>应将该供应商的采购响应文件作无效处理，同时采购组织机构应将该情况报同级财政部门，并视情将其列入不良供应商名单。</w:t>
      </w:r>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p>
    <w:p w14:paraId="6F73F3A3">
      <w:pPr>
        <w:pageBreakBefore w:val="0"/>
        <w:kinsoku/>
        <w:wordWrap/>
        <w:overflowPunct/>
        <w:topLinePunct w:val="0"/>
        <w:autoSpaceDE/>
        <w:autoSpaceDN/>
        <w:bidi w:val="0"/>
        <w:adjustRightInd w:val="0"/>
        <w:snapToGrid w:val="0"/>
        <w:spacing w:line="300" w:lineRule="auto"/>
        <w:ind w:firstLine="0" w:firstLineChars="0"/>
        <w:jc w:val="center"/>
        <w:textAlignment w:val="auto"/>
        <w:rPr>
          <w:rFonts w:hint="eastAsia" w:ascii="宋体" w:hAnsi="宋体" w:cs="宋体"/>
          <w:b/>
          <w:bCs w:val="0"/>
          <w:sz w:val="24"/>
          <w:szCs w:val="24"/>
          <w:lang w:val="zh-CN"/>
        </w:rPr>
      </w:pPr>
      <w:bookmarkStart w:id="937" w:name="_Toc8319"/>
      <w:bookmarkStart w:id="938" w:name="_Toc2416"/>
      <w:bookmarkStart w:id="939" w:name="_Toc10817"/>
      <w:bookmarkStart w:id="940" w:name="_Toc24186"/>
      <w:bookmarkStart w:id="941" w:name="_Toc9903"/>
      <w:bookmarkStart w:id="942" w:name="_Toc31504"/>
      <w:bookmarkStart w:id="943" w:name="_Toc2573"/>
      <w:bookmarkStart w:id="944" w:name="_Toc27148"/>
      <w:bookmarkStart w:id="945" w:name="_Toc16831"/>
      <w:bookmarkStart w:id="946" w:name="_Toc31868"/>
      <w:bookmarkStart w:id="947" w:name="_Toc30273"/>
      <w:bookmarkStart w:id="948" w:name="_Toc17178"/>
      <w:bookmarkStart w:id="949" w:name="_Toc30244"/>
      <w:bookmarkStart w:id="950" w:name="_Toc6635"/>
      <w:r>
        <w:rPr>
          <w:rFonts w:hint="eastAsia" w:ascii="宋体" w:hAnsi="宋体" w:cs="宋体"/>
          <w:b/>
          <w:bCs w:val="0"/>
          <w:sz w:val="24"/>
          <w:szCs w:val="24"/>
          <w:lang w:val="zh-CN"/>
        </w:rPr>
        <w:t>四、评分细则</w:t>
      </w:r>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p>
    <w:tbl>
      <w:tblPr>
        <w:tblStyle w:val="38"/>
        <w:tblW w:w="10205"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08"/>
        <w:gridCol w:w="1330"/>
        <w:gridCol w:w="6881"/>
        <w:gridCol w:w="1086"/>
      </w:tblGrid>
      <w:tr w14:paraId="0531F93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08" w:type="dxa"/>
            <w:tcBorders>
              <w:top w:val="single" w:color="auto" w:sz="4" w:space="0"/>
              <w:left w:val="single" w:color="auto" w:sz="4" w:space="0"/>
            </w:tcBorders>
            <w:vAlign w:val="center"/>
          </w:tcPr>
          <w:p w14:paraId="52076AD3">
            <w:pPr>
              <w:keepNext w:val="0"/>
              <w:keepLines w:val="0"/>
              <w:widowControl/>
              <w:suppressLineNumbers w:val="0"/>
              <w:spacing w:before="0" w:beforeAutospacing="0" w:after="0" w:afterAutospacing="0" w:line="240" w:lineRule="auto"/>
              <w:ind w:left="0" w:right="119" w:firstLine="0" w:firstLineChars="0"/>
              <w:jc w:val="center"/>
              <w:rPr>
                <w:rFonts w:hint="default"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评分内容</w:t>
            </w:r>
          </w:p>
        </w:tc>
        <w:tc>
          <w:tcPr>
            <w:tcW w:w="1330" w:type="dxa"/>
            <w:tcBorders>
              <w:top w:val="single" w:color="auto" w:sz="4" w:space="0"/>
            </w:tcBorders>
            <w:vAlign w:val="center"/>
          </w:tcPr>
          <w:p w14:paraId="6DC484AD">
            <w:pPr>
              <w:keepNext w:val="0"/>
              <w:keepLines w:val="0"/>
              <w:widowControl/>
              <w:suppressLineNumbers w:val="0"/>
              <w:spacing w:before="0" w:beforeAutospacing="0" w:after="0" w:afterAutospacing="0" w:line="240" w:lineRule="auto"/>
              <w:ind w:left="0" w:right="119" w:firstLine="0" w:firstLineChars="0"/>
              <w:jc w:val="center"/>
              <w:rPr>
                <w:rFonts w:hint="default"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细则</w:t>
            </w:r>
          </w:p>
        </w:tc>
        <w:tc>
          <w:tcPr>
            <w:tcW w:w="6881" w:type="dxa"/>
            <w:tcBorders>
              <w:top w:val="single" w:color="auto" w:sz="4" w:space="0"/>
            </w:tcBorders>
            <w:vAlign w:val="center"/>
          </w:tcPr>
          <w:p w14:paraId="64384279">
            <w:pPr>
              <w:keepNext w:val="0"/>
              <w:keepLines w:val="0"/>
              <w:widowControl/>
              <w:suppressLineNumbers w:val="0"/>
              <w:spacing w:before="0" w:beforeAutospacing="0" w:after="0" w:afterAutospacing="0" w:line="240" w:lineRule="auto"/>
              <w:ind w:left="0" w:right="119" w:firstLine="0" w:firstLineChars="0"/>
              <w:jc w:val="center"/>
              <w:rPr>
                <w:rFonts w:hint="default"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细则内容</w:t>
            </w:r>
          </w:p>
        </w:tc>
        <w:tc>
          <w:tcPr>
            <w:tcW w:w="1086" w:type="dxa"/>
            <w:tcBorders>
              <w:top w:val="single" w:color="auto" w:sz="4" w:space="0"/>
              <w:right w:val="single" w:color="auto" w:sz="4" w:space="0"/>
            </w:tcBorders>
            <w:vAlign w:val="center"/>
          </w:tcPr>
          <w:p w14:paraId="626F354B">
            <w:pPr>
              <w:keepNext w:val="0"/>
              <w:keepLines w:val="0"/>
              <w:widowControl/>
              <w:suppressLineNumbers w:val="0"/>
              <w:spacing w:before="0" w:beforeAutospacing="0" w:after="0" w:afterAutospacing="0" w:line="240" w:lineRule="auto"/>
              <w:ind w:left="0" w:right="119" w:firstLine="0" w:firstLineChars="0"/>
              <w:jc w:val="center"/>
              <w:rPr>
                <w:rFonts w:hint="default"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分值</w:t>
            </w:r>
          </w:p>
        </w:tc>
      </w:tr>
      <w:tr w14:paraId="20A7C81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1238" w:hRule="atLeast"/>
          <w:jc w:val="center"/>
        </w:trPr>
        <w:tc>
          <w:tcPr>
            <w:tcW w:w="908" w:type="dxa"/>
            <w:tcBorders>
              <w:left w:val="single" w:color="auto" w:sz="4" w:space="0"/>
            </w:tcBorders>
            <w:vAlign w:val="center"/>
          </w:tcPr>
          <w:p w14:paraId="77CD7BAA">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商务报价</w:t>
            </w:r>
          </w:p>
          <w:p w14:paraId="1B53D207">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30分</w:t>
            </w:r>
          </w:p>
        </w:tc>
        <w:tc>
          <w:tcPr>
            <w:tcW w:w="1330" w:type="dxa"/>
            <w:vAlign w:val="center"/>
          </w:tcPr>
          <w:p w14:paraId="45D7FA9C">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报价分</w:t>
            </w:r>
          </w:p>
        </w:tc>
        <w:tc>
          <w:tcPr>
            <w:tcW w:w="6881" w:type="dxa"/>
            <w:vAlign w:val="center"/>
          </w:tcPr>
          <w:p w14:paraId="5AB5F2D3">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eastAsia="zh-CN"/>
              </w:rPr>
            </w:pPr>
            <w:bookmarkStart w:id="951" w:name="OLE_LINK1"/>
            <w:r>
              <w:rPr>
                <w:rFonts w:hint="eastAsia" w:asciiTheme="minorEastAsia" w:hAnsiTheme="minorEastAsia" w:eastAsiaTheme="minorEastAsia" w:cstheme="minorEastAsia"/>
                <w:color w:val="auto"/>
                <w:highlight w:val="none"/>
                <w:lang w:eastAsia="zh-CN"/>
              </w:rPr>
              <w:t>本项目最高限价：人民币</w:t>
            </w:r>
            <w:r>
              <w:rPr>
                <w:rFonts w:hint="eastAsia" w:asciiTheme="minorEastAsia" w:hAnsiTheme="minorEastAsia" w:eastAsiaTheme="minorEastAsia" w:cstheme="minorEastAsia"/>
                <w:color w:val="auto"/>
                <w:highlight w:val="none"/>
                <w:lang w:val="en-US" w:eastAsia="zh-CN"/>
              </w:rPr>
              <w:t>28.3万元</w:t>
            </w:r>
            <w:r>
              <w:rPr>
                <w:rFonts w:hint="eastAsia" w:asciiTheme="minorEastAsia" w:hAnsiTheme="minorEastAsia" w:eastAsiaTheme="minorEastAsia" w:cstheme="minorEastAsia"/>
                <w:color w:val="auto"/>
                <w:highlight w:val="none"/>
                <w:lang w:eastAsia="zh-CN"/>
              </w:rPr>
              <w:t>，</w:t>
            </w:r>
            <w:r>
              <w:rPr>
                <w:rFonts w:hint="eastAsia" w:asciiTheme="minorEastAsia" w:hAnsiTheme="minorEastAsia" w:eastAsiaTheme="minorEastAsia" w:cstheme="minorEastAsia"/>
                <w:color w:val="auto"/>
                <w:highlight w:val="none"/>
                <w:lang w:val="en-US" w:eastAsia="zh-CN"/>
              </w:rPr>
              <w:t>磋商</w:t>
            </w:r>
            <w:r>
              <w:rPr>
                <w:rFonts w:hint="eastAsia" w:asciiTheme="minorEastAsia" w:hAnsiTheme="minorEastAsia" w:eastAsiaTheme="minorEastAsia" w:cstheme="minorEastAsia"/>
                <w:color w:val="auto"/>
                <w:highlight w:val="none"/>
                <w:lang w:eastAsia="zh-CN"/>
              </w:rPr>
              <w:t>基准价为满足评标要求且</w:t>
            </w:r>
            <w:r>
              <w:rPr>
                <w:rFonts w:hint="eastAsia" w:asciiTheme="minorEastAsia" w:hAnsiTheme="minorEastAsia" w:eastAsiaTheme="minorEastAsia" w:cstheme="minorEastAsia"/>
                <w:color w:val="auto"/>
                <w:highlight w:val="none"/>
                <w:lang w:val="en-US" w:eastAsia="zh-CN"/>
              </w:rPr>
              <w:t>磋商</w:t>
            </w:r>
            <w:r>
              <w:rPr>
                <w:rFonts w:hint="eastAsia" w:asciiTheme="minorEastAsia" w:hAnsiTheme="minorEastAsia" w:eastAsiaTheme="minorEastAsia" w:cstheme="minorEastAsia"/>
                <w:color w:val="auto"/>
                <w:highlight w:val="none"/>
                <w:lang w:eastAsia="zh-CN"/>
              </w:rPr>
              <w:t>价格最低的投标报价，报价得分=(</w:t>
            </w:r>
            <w:r>
              <w:rPr>
                <w:rFonts w:hint="eastAsia" w:asciiTheme="minorEastAsia" w:hAnsiTheme="minorEastAsia" w:eastAsiaTheme="minorEastAsia" w:cstheme="minorEastAsia"/>
                <w:color w:val="auto"/>
                <w:highlight w:val="none"/>
                <w:lang w:val="en-US" w:eastAsia="zh-CN"/>
              </w:rPr>
              <w:t>磋商</w:t>
            </w:r>
            <w:r>
              <w:rPr>
                <w:rFonts w:hint="eastAsia" w:asciiTheme="minorEastAsia" w:hAnsiTheme="minorEastAsia" w:eastAsiaTheme="minorEastAsia" w:cstheme="minorEastAsia"/>
                <w:color w:val="auto"/>
                <w:highlight w:val="none"/>
                <w:lang w:eastAsia="zh-CN"/>
              </w:rPr>
              <w:t>基准价／</w:t>
            </w:r>
            <w:r>
              <w:rPr>
                <w:rFonts w:hint="eastAsia" w:asciiTheme="minorEastAsia" w:hAnsiTheme="minorEastAsia" w:eastAsiaTheme="minorEastAsia" w:cstheme="minorEastAsia"/>
                <w:color w:val="auto"/>
                <w:highlight w:val="none"/>
                <w:lang w:val="en-US" w:eastAsia="zh-CN"/>
              </w:rPr>
              <w:t>磋商</w:t>
            </w:r>
            <w:r>
              <w:rPr>
                <w:rFonts w:hint="eastAsia" w:asciiTheme="minorEastAsia" w:hAnsiTheme="minorEastAsia" w:eastAsiaTheme="minorEastAsia" w:cstheme="minorEastAsia"/>
                <w:color w:val="auto"/>
                <w:highlight w:val="none"/>
                <w:lang w:eastAsia="zh-CN"/>
              </w:rPr>
              <w:t>报价)×30，四舍五入，保留两位小数。报价高于最高限价的，作</w:t>
            </w:r>
            <w:r>
              <w:rPr>
                <w:rFonts w:hint="eastAsia" w:asciiTheme="minorEastAsia" w:hAnsiTheme="minorEastAsia" w:eastAsiaTheme="minorEastAsia" w:cstheme="minorEastAsia"/>
                <w:color w:val="auto"/>
                <w:highlight w:val="none"/>
                <w:lang w:val="en-US" w:eastAsia="zh-CN"/>
              </w:rPr>
              <w:t>磋商</w:t>
            </w:r>
            <w:r>
              <w:rPr>
                <w:rFonts w:hint="eastAsia" w:asciiTheme="minorEastAsia" w:hAnsiTheme="minorEastAsia" w:eastAsiaTheme="minorEastAsia" w:cstheme="minorEastAsia"/>
                <w:color w:val="auto"/>
                <w:highlight w:val="none"/>
                <w:lang w:eastAsia="zh-CN"/>
              </w:rPr>
              <w:t>无效处理。</w:t>
            </w:r>
          </w:p>
          <w:p w14:paraId="31775757">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eastAsia="zh-CN"/>
              </w:rPr>
              <w:t>注：对于小型和微型企业（监狱或戒毒企业、残疾人福利性单位）的报价给予</w:t>
            </w:r>
            <w:r>
              <w:rPr>
                <w:rFonts w:hint="eastAsia" w:asciiTheme="minorEastAsia" w:hAnsiTheme="minorEastAsia" w:eastAsiaTheme="minorEastAsia" w:cstheme="minorEastAsia"/>
                <w:color w:val="auto"/>
                <w:highlight w:val="none"/>
                <w:lang w:val="en-US" w:eastAsia="zh-CN"/>
              </w:rPr>
              <w:t>10</w:t>
            </w:r>
            <w:r>
              <w:rPr>
                <w:rFonts w:hint="eastAsia" w:asciiTheme="minorEastAsia" w:hAnsiTheme="minorEastAsia" w:eastAsiaTheme="minorEastAsia" w:cstheme="minorEastAsia"/>
                <w:color w:val="auto"/>
                <w:highlight w:val="none"/>
                <w:lang w:eastAsia="zh-CN"/>
              </w:rPr>
              <w:t>%的扣除，用扣除后的价格参与评审。小型和微型企业应提供《中小企业声明函》；监狱或戒毒企业应提供监狱或戒毒企业声明函；残疾人福利性单位应提供残疾人福利性单位声明函。以上材料未提供不享受报价优惠）。</w:t>
            </w:r>
            <w:bookmarkEnd w:id="951"/>
          </w:p>
        </w:tc>
        <w:tc>
          <w:tcPr>
            <w:tcW w:w="1086" w:type="dxa"/>
            <w:tcBorders>
              <w:right w:val="single" w:color="auto" w:sz="4" w:space="0"/>
            </w:tcBorders>
            <w:vAlign w:val="center"/>
          </w:tcPr>
          <w:p w14:paraId="604C6EBD">
            <w:pPr>
              <w:keepNext w:val="0"/>
              <w:keepLines w:val="0"/>
              <w:widowControl/>
              <w:suppressLineNumbers w:val="0"/>
              <w:spacing w:before="0" w:beforeAutospacing="0" w:after="0" w:afterAutospacing="0" w:line="240" w:lineRule="auto"/>
              <w:ind w:left="0" w:right="119" w:firstLine="0" w:firstLineChars="0"/>
              <w:jc w:val="both"/>
              <w:rPr>
                <w:rFonts w:hint="eastAsia" w:asciiTheme="minorEastAsia" w:hAnsiTheme="minorEastAsia" w:eastAsiaTheme="minorEastAsia" w:cstheme="minorEastAsia"/>
                <w:color w:val="auto"/>
                <w:highlight w:val="none"/>
              </w:rPr>
            </w:pPr>
            <w:bookmarkStart w:id="952" w:name="OLE_LINK3"/>
            <w:r>
              <w:rPr>
                <w:rFonts w:hint="eastAsia" w:asciiTheme="minorEastAsia" w:hAnsiTheme="minorEastAsia" w:eastAsiaTheme="minorEastAsia" w:cstheme="minorEastAsia"/>
                <w:color w:val="auto"/>
                <w:highlight w:val="none"/>
                <w:lang w:val="en-US" w:eastAsia="zh-CN"/>
              </w:rPr>
              <w:t>0-30分</w:t>
            </w:r>
            <w:bookmarkEnd w:id="952"/>
          </w:p>
        </w:tc>
      </w:tr>
      <w:tr w14:paraId="6801E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8" w:type="dxa"/>
            <w:vMerge w:val="restart"/>
            <w:vAlign w:val="center"/>
          </w:tcPr>
          <w:p w14:paraId="5E6BDCFA">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 xml:space="preserve">资信分  </w:t>
            </w:r>
          </w:p>
          <w:p w14:paraId="6BA21815">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8分</w:t>
            </w:r>
          </w:p>
        </w:tc>
        <w:tc>
          <w:tcPr>
            <w:tcW w:w="1330" w:type="dxa"/>
            <w:vAlign w:val="center"/>
          </w:tcPr>
          <w:p w14:paraId="31879088">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rPr>
              <w:t>业绩</w:t>
            </w:r>
          </w:p>
        </w:tc>
        <w:tc>
          <w:tcPr>
            <w:tcW w:w="6881" w:type="dxa"/>
            <w:vAlign w:val="center"/>
          </w:tcPr>
          <w:p w14:paraId="68B22240">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供应商具有</w:t>
            </w:r>
            <w:r>
              <w:rPr>
                <w:rFonts w:hint="eastAsia" w:asciiTheme="minorEastAsia" w:hAnsiTheme="minorEastAsia" w:eastAsiaTheme="minorEastAsia" w:cstheme="minorEastAsia"/>
                <w:color w:val="auto"/>
                <w:highlight w:val="none"/>
              </w:rPr>
              <w:t>202</w:t>
            </w:r>
            <w:r>
              <w:rPr>
                <w:rFonts w:hint="eastAsia" w:asciiTheme="minorEastAsia" w:hAnsiTheme="minorEastAsia" w:eastAsiaTheme="minorEastAsia" w:cstheme="minorEastAsia"/>
                <w:color w:val="auto"/>
                <w:highlight w:val="none"/>
                <w:lang w:val="en-US" w:eastAsia="zh-CN"/>
              </w:rPr>
              <w:t>1</w:t>
            </w:r>
            <w:r>
              <w:rPr>
                <w:rFonts w:hint="eastAsia" w:asciiTheme="minorEastAsia" w:hAnsiTheme="minorEastAsia" w:eastAsiaTheme="minorEastAsia" w:cstheme="minorEastAsia"/>
                <w:color w:val="auto"/>
                <w:highlight w:val="none"/>
              </w:rPr>
              <w:t>年1月</w:t>
            </w:r>
            <w:r>
              <w:rPr>
                <w:rFonts w:hint="eastAsia" w:asciiTheme="minorEastAsia" w:hAnsiTheme="minorEastAsia" w:eastAsiaTheme="minorEastAsia" w:cstheme="minorEastAsia"/>
                <w:color w:val="auto"/>
                <w:highlight w:val="none"/>
                <w:lang w:val="en-US" w:eastAsia="zh-CN"/>
              </w:rPr>
              <w:t>1日至今承担过</w:t>
            </w:r>
            <w:r>
              <w:rPr>
                <w:rFonts w:hint="eastAsia" w:asciiTheme="minorEastAsia" w:hAnsiTheme="minorEastAsia" w:eastAsiaTheme="minorEastAsia" w:cstheme="minorEastAsia"/>
                <w:color w:val="auto"/>
                <w:highlight w:val="none"/>
              </w:rPr>
              <w:t>类似项目</w:t>
            </w:r>
            <w:r>
              <w:rPr>
                <w:rFonts w:hint="eastAsia" w:asciiTheme="minorEastAsia" w:hAnsiTheme="minorEastAsia" w:eastAsiaTheme="minorEastAsia" w:cstheme="minorEastAsia"/>
                <w:color w:val="auto"/>
                <w:highlight w:val="none"/>
                <w:lang w:val="en-US" w:eastAsia="zh-CN"/>
              </w:rPr>
              <w:t>业绩的</w:t>
            </w:r>
            <w:r>
              <w:rPr>
                <w:rFonts w:hint="eastAsia" w:asciiTheme="minorEastAsia" w:hAnsiTheme="minorEastAsia" w:eastAsiaTheme="minorEastAsia" w:cstheme="minorEastAsia"/>
                <w:color w:val="auto"/>
                <w:highlight w:val="none"/>
              </w:rPr>
              <w:t>（以合同签订时间为准），每个得1分，最高得</w:t>
            </w:r>
            <w:r>
              <w:rPr>
                <w:rFonts w:hint="eastAsia" w:asciiTheme="minorEastAsia" w:hAnsiTheme="minorEastAsia" w:eastAsiaTheme="minorEastAsia" w:cstheme="minorEastAsia"/>
                <w:color w:val="auto"/>
                <w:highlight w:val="none"/>
                <w:lang w:val="en-US" w:eastAsia="zh-CN"/>
              </w:rPr>
              <w:t>3</w:t>
            </w:r>
            <w:r>
              <w:rPr>
                <w:rFonts w:hint="eastAsia" w:asciiTheme="minorEastAsia" w:hAnsiTheme="minorEastAsia" w:eastAsiaTheme="minorEastAsia" w:cstheme="minorEastAsia"/>
                <w:color w:val="auto"/>
                <w:highlight w:val="none"/>
              </w:rPr>
              <w:t>分。</w:t>
            </w:r>
          </w:p>
          <w:p w14:paraId="6F13906D">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注：须提供</w:t>
            </w:r>
            <w:r>
              <w:rPr>
                <w:rFonts w:hint="eastAsia" w:asciiTheme="minorEastAsia" w:hAnsiTheme="minorEastAsia" w:eastAsiaTheme="minorEastAsia" w:cstheme="minorEastAsia"/>
                <w:color w:val="auto"/>
                <w:highlight w:val="none"/>
              </w:rPr>
              <w:t>合同</w:t>
            </w:r>
            <w:r>
              <w:rPr>
                <w:rFonts w:hint="eastAsia" w:asciiTheme="minorEastAsia" w:hAnsiTheme="minorEastAsia" w:eastAsiaTheme="minorEastAsia" w:cstheme="minorEastAsia"/>
                <w:color w:val="auto"/>
                <w:highlight w:val="none"/>
                <w:lang w:val="en-US" w:eastAsia="zh-CN"/>
              </w:rPr>
              <w:t>和</w:t>
            </w:r>
            <w:r>
              <w:rPr>
                <w:rFonts w:hint="eastAsia" w:asciiTheme="minorEastAsia" w:hAnsiTheme="minorEastAsia" w:eastAsiaTheme="minorEastAsia" w:cstheme="minorEastAsia"/>
                <w:color w:val="auto"/>
                <w:highlight w:val="none"/>
              </w:rPr>
              <w:t>中标（成交）通知书</w:t>
            </w:r>
            <w:r>
              <w:rPr>
                <w:rFonts w:hint="eastAsia" w:asciiTheme="minorEastAsia" w:hAnsiTheme="minorEastAsia" w:eastAsiaTheme="minorEastAsia" w:cstheme="minorEastAsia"/>
                <w:color w:val="auto"/>
                <w:highlight w:val="none"/>
                <w:lang w:val="en-US" w:eastAsia="zh-CN"/>
              </w:rPr>
              <w:t>扫描件并加盖公章</w:t>
            </w:r>
            <w:r>
              <w:rPr>
                <w:rFonts w:hint="eastAsia" w:asciiTheme="minorEastAsia" w:hAnsiTheme="minorEastAsia" w:eastAsiaTheme="minorEastAsia" w:cstheme="minorEastAsia"/>
                <w:color w:val="auto"/>
                <w:highlight w:val="none"/>
              </w:rPr>
              <w:t>，否则不得分。</w:t>
            </w:r>
          </w:p>
        </w:tc>
        <w:tc>
          <w:tcPr>
            <w:tcW w:w="1086" w:type="dxa"/>
            <w:vAlign w:val="center"/>
          </w:tcPr>
          <w:p w14:paraId="3531507A">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0-3分</w:t>
            </w:r>
          </w:p>
        </w:tc>
      </w:tr>
      <w:tr w14:paraId="08557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908" w:type="dxa"/>
            <w:vMerge w:val="continue"/>
            <w:vAlign w:val="center"/>
          </w:tcPr>
          <w:p w14:paraId="5B8DF657">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p>
        </w:tc>
        <w:tc>
          <w:tcPr>
            <w:tcW w:w="1330" w:type="dxa"/>
            <w:vAlign w:val="center"/>
          </w:tcPr>
          <w:p w14:paraId="67CD5EA3">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拟派项目团队人员情况</w:t>
            </w:r>
          </w:p>
        </w:tc>
        <w:tc>
          <w:tcPr>
            <w:tcW w:w="6881" w:type="dxa"/>
            <w:vAlign w:val="center"/>
          </w:tcPr>
          <w:p w14:paraId="38E2A309">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根据供应商拟派的项目服务团队人员配备情况、专业技术服务能力，人员配备合理、充足等方面进行评分(0-5分）。</w:t>
            </w:r>
          </w:p>
        </w:tc>
        <w:tc>
          <w:tcPr>
            <w:tcW w:w="1086" w:type="dxa"/>
            <w:vAlign w:val="center"/>
          </w:tcPr>
          <w:p w14:paraId="7B55283A">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0-5分</w:t>
            </w:r>
          </w:p>
        </w:tc>
      </w:tr>
      <w:tr w14:paraId="671EF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908" w:type="dxa"/>
            <w:vMerge w:val="restart"/>
            <w:vAlign w:val="center"/>
          </w:tcPr>
          <w:p w14:paraId="02A01D55">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技术分</w:t>
            </w:r>
          </w:p>
          <w:p w14:paraId="6FD38FD2">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62</w:t>
            </w:r>
            <w:r>
              <w:rPr>
                <w:rFonts w:hint="eastAsia" w:asciiTheme="minorEastAsia" w:hAnsiTheme="minorEastAsia" w:eastAsiaTheme="minorEastAsia" w:cstheme="minorEastAsia"/>
                <w:color w:val="auto"/>
                <w:highlight w:val="none"/>
              </w:rPr>
              <w:t>分</w:t>
            </w:r>
          </w:p>
        </w:tc>
        <w:tc>
          <w:tcPr>
            <w:tcW w:w="1330" w:type="dxa"/>
            <w:vAlign w:val="center"/>
          </w:tcPr>
          <w:p w14:paraId="05508D3A">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宋体" w:hAnsi="宋体" w:eastAsia="宋体" w:cs="宋体"/>
                <w:bCs/>
                <w:color w:val="auto"/>
                <w:sz w:val="24"/>
                <w:szCs w:val="24"/>
                <w:highlight w:val="none"/>
              </w:rPr>
              <w:t>设计方案</w:t>
            </w:r>
          </w:p>
        </w:tc>
        <w:tc>
          <w:tcPr>
            <w:tcW w:w="6881" w:type="dxa"/>
            <w:vAlign w:val="center"/>
          </w:tcPr>
          <w:p w14:paraId="6490D571">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根据</w:t>
            </w:r>
            <w:r>
              <w:rPr>
                <w:rFonts w:hint="eastAsia" w:ascii="宋体" w:hAnsi="宋体" w:eastAsia="宋体" w:cs="宋体"/>
                <w:bCs/>
                <w:color w:val="auto"/>
                <w:sz w:val="24"/>
                <w:szCs w:val="24"/>
                <w:highlight w:val="none"/>
                <w:lang w:val="en-US" w:eastAsia="zh-CN"/>
              </w:rPr>
              <w:t>供应商</w:t>
            </w:r>
            <w:r>
              <w:rPr>
                <w:rFonts w:hint="eastAsia" w:ascii="宋体" w:hAnsi="宋体" w:eastAsia="宋体" w:cs="宋体"/>
                <w:bCs/>
                <w:color w:val="auto"/>
                <w:sz w:val="24"/>
                <w:szCs w:val="24"/>
                <w:highlight w:val="none"/>
              </w:rPr>
              <w:t>提供的设计方案</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设计方案充分体现对本项目需求和建设目标的满足，主次分明、内容全面、视觉提升与色系统一度、文化特色突出</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符合项目实际情况</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由评委进行打分</w:t>
            </w:r>
            <w:r>
              <w:rPr>
                <w:rFonts w:hint="eastAsia" w:ascii="宋体" w:hAnsi="宋体" w:cs="宋体"/>
                <w:bCs/>
                <w:color w:val="auto"/>
                <w:sz w:val="24"/>
                <w:szCs w:val="24"/>
                <w:highlight w:val="none"/>
                <w:lang w:eastAsia="zh-CN"/>
              </w:rPr>
              <w:t>：</w:t>
            </w:r>
          </w:p>
          <w:p w14:paraId="4951DAB6">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val="en-US" w:eastAsia="zh-CN"/>
              </w:rPr>
              <w:t>1.</w:t>
            </w:r>
            <w:r>
              <w:rPr>
                <w:rFonts w:hint="eastAsia" w:ascii="宋体" w:hAnsi="宋体" w:cs="宋体"/>
                <w:bCs/>
                <w:color w:val="auto"/>
                <w:sz w:val="24"/>
                <w:szCs w:val="24"/>
                <w:highlight w:val="none"/>
                <w:lang w:eastAsia="zh-CN"/>
              </w:rPr>
              <w:t>方案</w:t>
            </w:r>
            <w:r>
              <w:rPr>
                <w:rFonts w:hint="eastAsia" w:ascii="宋体" w:hAnsi="宋体" w:cs="宋体"/>
                <w:bCs/>
                <w:color w:val="auto"/>
                <w:sz w:val="24"/>
                <w:szCs w:val="24"/>
                <w:highlight w:val="none"/>
                <w:lang w:val="en-US" w:eastAsia="zh-CN"/>
              </w:rPr>
              <w:t>完整全面</w:t>
            </w:r>
            <w:r>
              <w:rPr>
                <w:rFonts w:hint="eastAsia" w:ascii="宋体" w:hAnsi="宋体" w:cs="宋体"/>
                <w:bCs/>
                <w:color w:val="auto"/>
                <w:sz w:val="24"/>
                <w:szCs w:val="24"/>
                <w:highlight w:val="none"/>
                <w:lang w:eastAsia="zh-CN"/>
              </w:rPr>
              <w:t>、科学合理、可行性强的得</w:t>
            </w:r>
            <w:r>
              <w:rPr>
                <w:rFonts w:hint="eastAsia" w:ascii="宋体" w:hAnsi="宋体" w:cs="宋体"/>
                <w:bCs/>
                <w:color w:val="auto"/>
                <w:sz w:val="24"/>
                <w:szCs w:val="24"/>
                <w:highlight w:val="none"/>
                <w:lang w:val="en-US" w:eastAsia="zh-CN"/>
              </w:rPr>
              <w:t>6.1-8</w:t>
            </w:r>
            <w:r>
              <w:rPr>
                <w:rFonts w:hint="eastAsia" w:ascii="宋体" w:hAnsi="宋体" w:cs="宋体"/>
                <w:bCs/>
                <w:color w:val="auto"/>
                <w:sz w:val="24"/>
                <w:szCs w:val="24"/>
                <w:highlight w:val="none"/>
                <w:lang w:eastAsia="zh-CN"/>
              </w:rPr>
              <w:t>分；</w:t>
            </w:r>
          </w:p>
          <w:p w14:paraId="7652AF5B">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val="en-US" w:eastAsia="zh-CN"/>
              </w:rPr>
              <w:t>2.</w:t>
            </w:r>
            <w:r>
              <w:rPr>
                <w:rFonts w:hint="eastAsia" w:ascii="宋体" w:hAnsi="宋体" w:cs="宋体"/>
                <w:bCs/>
                <w:color w:val="auto"/>
                <w:sz w:val="24"/>
                <w:szCs w:val="24"/>
                <w:highlight w:val="none"/>
                <w:lang w:eastAsia="zh-CN"/>
              </w:rPr>
              <w:t>方案</w:t>
            </w:r>
            <w:r>
              <w:rPr>
                <w:rFonts w:hint="eastAsia" w:ascii="宋体" w:hAnsi="宋体" w:cs="宋体"/>
                <w:bCs/>
                <w:color w:val="auto"/>
                <w:sz w:val="24"/>
                <w:szCs w:val="24"/>
                <w:highlight w:val="none"/>
                <w:lang w:val="en-US" w:eastAsia="zh-CN"/>
              </w:rPr>
              <w:t>相对详细</w:t>
            </w:r>
            <w:r>
              <w:rPr>
                <w:rFonts w:hint="eastAsia" w:ascii="宋体" w:hAnsi="宋体" w:cs="宋体"/>
                <w:bCs/>
                <w:color w:val="auto"/>
                <w:sz w:val="24"/>
                <w:szCs w:val="24"/>
                <w:highlight w:val="none"/>
                <w:lang w:eastAsia="zh-CN"/>
              </w:rPr>
              <w:t>，具有一定可行性的得</w:t>
            </w:r>
            <w:r>
              <w:rPr>
                <w:rFonts w:hint="eastAsia" w:ascii="宋体" w:hAnsi="宋体" w:cs="宋体"/>
                <w:bCs/>
                <w:color w:val="auto"/>
                <w:sz w:val="24"/>
                <w:szCs w:val="24"/>
                <w:highlight w:val="none"/>
                <w:lang w:val="en-US" w:eastAsia="zh-CN"/>
              </w:rPr>
              <w:t>3.1-6</w:t>
            </w:r>
            <w:r>
              <w:rPr>
                <w:rFonts w:hint="eastAsia" w:ascii="宋体" w:hAnsi="宋体" w:cs="宋体"/>
                <w:bCs/>
                <w:color w:val="auto"/>
                <w:sz w:val="24"/>
                <w:szCs w:val="24"/>
                <w:highlight w:val="none"/>
                <w:lang w:eastAsia="zh-CN"/>
              </w:rPr>
              <w:t>分；</w:t>
            </w:r>
          </w:p>
          <w:p w14:paraId="114D7744">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val="en-US" w:eastAsia="zh-CN"/>
              </w:rPr>
              <w:t>3.</w:t>
            </w:r>
            <w:r>
              <w:rPr>
                <w:rFonts w:hint="eastAsia" w:ascii="宋体" w:hAnsi="宋体" w:cs="宋体"/>
                <w:bCs/>
                <w:color w:val="auto"/>
                <w:sz w:val="24"/>
                <w:szCs w:val="24"/>
                <w:highlight w:val="none"/>
                <w:lang w:eastAsia="zh-CN"/>
              </w:rPr>
              <w:t>方案较简略、存在欠缺、可行性较差的得</w:t>
            </w:r>
            <w:r>
              <w:rPr>
                <w:rFonts w:hint="eastAsia" w:ascii="宋体" w:hAnsi="宋体" w:cs="宋体"/>
                <w:bCs/>
                <w:color w:val="auto"/>
                <w:sz w:val="24"/>
                <w:szCs w:val="24"/>
                <w:highlight w:val="none"/>
                <w:lang w:val="en-US" w:eastAsia="zh-CN"/>
              </w:rPr>
              <w:t>1-3</w:t>
            </w:r>
            <w:r>
              <w:rPr>
                <w:rFonts w:hint="eastAsia" w:ascii="宋体" w:hAnsi="宋体" w:cs="宋体"/>
                <w:bCs/>
                <w:color w:val="auto"/>
                <w:sz w:val="24"/>
                <w:szCs w:val="24"/>
                <w:highlight w:val="none"/>
                <w:lang w:eastAsia="zh-CN"/>
              </w:rPr>
              <w:t>分；</w:t>
            </w:r>
          </w:p>
          <w:p w14:paraId="1205CA20">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firstLine="0" w:firstLineChars="0"/>
              <w:rPr>
                <w:rFonts w:hint="eastAsia" w:asciiTheme="minorEastAsia" w:hAnsiTheme="minorEastAsia" w:eastAsiaTheme="minorEastAsia" w:cstheme="minorEastAsia"/>
                <w:color w:val="auto"/>
                <w:highlight w:val="none"/>
                <w:lang w:val="en-US" w:eastAsia="zh-CN"/>
              </w:rPr>
            </w:pPr>
            <w:r>
              <w:rPr>
                <w:rFonts w:hint="eastAsia" w:ascii="宋体" w:hAnsi="宋体" w:cs="宋体"/>
                <w:bCs/>
                <w:color w:val="auto"/>
                <w:sz w:val="24"/>
                <w:szCs w:val="24"/>
                <w:highlight w:val="none"/>
                <w:lang w:val="en-US" w:eastAsia="zh-CN"/>
              </w:rPr>
              <w:t>4.</w:t>
            </w:r>
            <w:r>
              <w:rPr>
                <w:rFonts w:hint="eastAsia" w:ascii="宋体" w:hAnsi="宋体" w:cs="宋体"/>
                <w:bCs/>
                <w:color w:val="auto"/>
                <w:sz w:val="24"/>
                <w:szCs w:val="24"/>
                <w:highlight w:val="none"/>
                <w:lang w:eastAsia="zh-CN"/>
              </w:rPr>
              <w:t>无相关内容不得分。</w:t>
            </w:r>
          </w:p>
        </w:tc>
        <w:tc>
          <w:tcPr>
            <w:tcW w:w="1086" w:type="dxa"/>
            <w:vAlign w:val="center"/>
          </w:tcPr>
          <w:p w14:paraId="10941E1D">
            <w:pPr>
              <w:keepNext w:val="0"/>
              <w:keepLines w:val="0"/>
              <w:pageBreakBefore w:val="0"/>
              <w:suppressLineNumbers w:val="0"/>
              <w:kinsoku/>
              <w:wordWrap/>
              <w:overflowPunct/>
              <w:topLinePunct w:val="0"/>
              <w:bidi w:val="0"/>
              <w:snapToGrid w:val="0"/>
              <w:spacing w:before="0" w:beforeAutospacing="0" w:after="0" w:afterAutospacing="0" w:line="264" w:lineRule="auto"/>
              <w:ind w:left="0" w:leftChars="0" w:right="0"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宋体" w:hAnsi="宋体" w:eastAsia="宋体" w:cs="宋体"/>
                <w:bCs/>
                <w:color w:val="auto"/>
                <w:kern w:val="0"/>
                <w:sz w:val="24"/>
                <w:szCs w:val="24"/>
                <w:highlight w:val="none"/>
                <w:lang w:val="en-US" w:eastAsia="zh-CN" w:bidi="ar-SA"/>
              </w:rPr>
              <w:t>0-8分</w:t>
            </w:r>
          </w:p>
        </w:tc>
      </w:tr>
      <w:tr w14:paraId="71593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08" w:type="dxa"/>
            <w:vMerge w:val="continue"/>
            <w:vAlign w:val="center"/>
          </w:tcPr>
          <w:p w14:paraId="36DC3C97">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p>
        </w:tc>
        <w:tc>
          <w:tcPr>
            <w:tcW w:w="1330" w:type="dxa"/>
            <w:vAlign w:val="center"/>
          </w:tcPr>
          <w:p w14:paraId="057B2A08">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项目实施方案</w:t>
            </w:r>
          </w:p>
        </w:tc>
        <w:tc>
          <w:tcPr>
            <w:tcW w:w="6881" w:type="dxa"/>
            <w:vAlign w:val="center"/>
          </w:tcPr>
          <w:p w14:paraId="3FAEF4CD">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根据供应商针对本项目实施方案的清晰和完整性、专业性、合理性</w:t>
            </w:r>
            <w:r>
              <w:rPr>
                <w:rFonts w:hint="eastAsia" w:asciiTheme="minorEastAsia" w:hAnsiTheme="minorEastAsia" w:eastAsiaTheme="minorEastAsia" w:cstheme="minorEastAsia"/>
                <w:color w:val="auto"/>
                <w:highlight w:val="none"/>
              </w:rPr>
              <w:t>等</w:t>
            </w:r>
            <w:r>
              <w:rPr>
                <w:rFonts w:hint="eastAsia" w:asciiTheme="minorEastAsia" w:hAnsiTheme="minorEastAsia" w:eastAsiaTheme="minorEastAsia" w:cstheme="minorEastAsia"/>
                <w:color w:val="auto"/>
                <w:highlight w:val="none"/>
                <w:lang w:val="en-US" w:eastAsia="zh-CN"/>
              </w:rPr>
              <w:t>内容，由评审专家进行打分：</w:t>
            </w:r>
          </w:p>
          <w:p w14:paraId="372C9650">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1.方案目标明确，内容完善、合理，可执行性强的，得5.1-8分；</w:t>
            </w:r>
          </w:p>
          <w:p w14:paraId="68E09718">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2.方案目标基本明确，内容完善、合理，可执行性较强的，得3.1-5分；</w:t>
            </w:r>
          </w:p>
          <w:p w14:paraId="66A92312">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3.方案目标不明确，内容不够完善、合理，可执行性差的，得1-3分；</w:t>
            </w:r>
          </w:p>
          <w:p w14:paraId="03C8F191">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4.不符合项目需求或未提供不得分。</w:t>
            </w:r>
          </w:p>
        </w:tc>
        <w:tc>
          <w:tcPr>
            <w:tcW w:w="1086" w:type="dxa"/>
            <w:vAlign w:val="center"/>
          </w:tcPr>
          <w:p w14:paraId="43A8CD8E">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0-8分</w:t>
            </w:r>
          </w:p>
        </w:tc>
      </w:tr>
      <w:tr w14:paraId="15A93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908" w:type="dxa"/>
            <w:vMerge w:val="continue"/>
            <w:vAlign w:val="center"/>
          </w:tcPr>
          <w:p w14:paraId="78ABDFF4">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p>
        </w:tc>
        <w:tc>
          <w:tcPr>
            <w:tcW w:w="1330" w:type="dxa"/>
            <w:vAlign w:val="center"/>
          </w:tcPr>
          <w:p w14:paraId="155058A2">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图纸</w:t>
            </w:r>
          </w:p>
        </w:tc>
        <w:tc>
          <w:tcPr>
            <w:tcW w:w="6881" w:type="dxa"/>
            <w:vAlign w:val="center"/>
          </w:tcPr>
          <w:p w14:paraId="39219255">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cs="宋体"/>
                <w:bCs/>
                <w:color w:val="auto"/>
                <w:sz w:val="24"/>
                <w:szCs w:val="24"/>
                <w:highlight w:val="none"/>
                <w:lang w:eastAsia="zh-CN"/>
              </w:rPr>
            </w:pPr>
            <w:r>
              <w:rPr>
                <w:rFonts w:hint="eastAsia" w:ascii="宋体" w:hAnsi="宋体" w:eastAsia="宋体" w:cs="宋体"/>
                <w:bCs/>
                <w:color w:val="auto"/>
                <w:sz w:val="24"/>
                <w:szCs w:val="24"/>
                <w:highlight w:val="none"/>
              </w:rPr>
              <w:t>根据投标人提供的平面图</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布展图、施工图的合理性、可行性</w:t>
            </w:r>
            <w:r>
              <w:rPr>
                <w:rFonts w:hint="eastAsia" w:ascii="宋体" w:hAnsi="宋体" w:cs="宋体"/>
                <w:bCs/>
                <w:color w:val="auto"/>
                <w:sz w:val="24"/>
                <w:szCs w:val="24"/>
                <w:highlight w:val="none"/>
                <w:lang w:val="en-US" w:eastAsia="zh-CN"/>
              </w:rPr>
              <w:t>等</w:t>
            </w:r>
            <w:r>
              <w:rPr>
                <w:rFonts w:hint="eastAsia" w:ascii="宋体" w:hAnsi="宋体" w:eastAsia="宋体" w:cs="宋体"/>
                <w:bCs/>
                <w:color w:val="auto"/>
                <w:sz w:val="24"/>
                <w:szCs w:val="24"/>
                <w:highlight w:val="none"/>
              </w:rPr>
              <w:t>进行打分</w:t>
            </w:r>
            <w:r>
              <w:rPr>
                <w:rFonts w:hint="eastAsia" w:ascii="宋体" w:hAnsi="宋体" w:cs="宋体"/>
                <w:bCs/>
                <w:color w:val="auto"/>
                <w:sz w:val="24"/>
                <w:szCs w:val="24"/>
                <w:highlight w:val="none"/>
                <w:lang w:eastAsia="zh-CN"/>
              </w:rPr>
              <w:t>：</w:t>
            </w:r>
          </w:p>
          <w:p w14:paraId="2A24256C">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1.图纸完整全面</w:t>
            </w:r>
            <w:r>
              <w:rPr>
                <w:rFonts w:hint="eastAsia" w:ascii="宋体" w:hAnsi="宋体" w:eastAsia="宋体" w:cs="宋体"/>
                <w:bCs/>
                <w:color w:val="auto"/>
                <w:sz w:val="24"/>
                <w:szCs w:val="24"/>
                <w:highlight w:val="none"/>
                <w:lang w:eastAsia="zh-CN"/>
              </w:rPr>
              <w:t>、科学合理、可行性强的得</w:t>
            </w:r>
            <w:r>
              <w:rPr>
                <w:rFonts w:hint="eastAsia" w:ascii="宋体" w:hAnsi="宋体" w:eastAsia="宋体" w:cs="宋体"/>
                <w:bCs/>
                <w:color w:val="auto"/>
                <w:sz w:val="24"/>
                <w:szCs w:val="24"/>
                <w:highlight w:val="none"/>
                <w:lang w:val="en-US" w:eastAsia="zh-CN"/>
              </w:rPr>
              <w:t>4.1-6</w:t>
            </w:r>
            <w:r>
              <w:rPr>
                <w:rFonts w:hint="eastAsia" w:ascii="宋体" w:hAnsi="宋体" w:eastAsia="宋体" w:cs="宋体"/>
                <w:bCs/>
                <w:color w:val="auto"/>
                <w:sz w:val="24"/>
                <w:szCs w:val="24"/>
                <w:highlight w:val="none"/>
                <w:lang w:eastAsia="zh-CN"/>
              </w:rPr>
              <w:t>分；</w:t>
            </w:r>
          </w:p>
          <w:p w14:paraId="7AC85450">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2.图纸相对详细</w:t>
            </w:r>
            <w:r>
              <w:rPr>
                <w:rFonts w:hint="eastAsia" w:ascii="宋体" w:hAnsi="宋体" w:eastAsia="宋体" w:cs="宋体"/>
                <w:bCs/>
                <w:color w:val="auto"/>
                <w:sz w:val="24"/>
                <w:szCs w:val="24"/>
                <w:highlight w:val="none"/>
                <w:lang w:eastAsia="zh-CN"/>
              </w:rPr>
              <w:t>，具有一定可行性的得</w:t>
            </w:r>
            <w:r>
              <w:rPr>
                <w:rFonts w:hint="eastAsia" w:ascii="宋体" w:hAnsi="宋体" w:eastAsia="宋体" w:cs="宋体"/>
                <w:bCs/>
                <w:color w:val="auto"/>
                <w:sz w:val="24"/>
                <w:szCs w:val="24"/>
                <w:highlight w:val="none"/>
                <w:lang w:val="en-US" w:eastAsia="zh-CN"/>
              </w:rPr>
              <w:t>2.1-4</w:t>
            </w:r>
            <w:r>
              <w:rPr>
                <w:rFonts w:hint="eastAsia" w:ascii="宋体" w:hAnsi="宋体" w:eastAsia="宋体" w:cs="宋体"/>
                <w:bCs/>
                <w:color w:val="auto"/>
                <w:sz w:val="24"/>
                <w:szCs w:val="24"/>
                <w:highlight w:val="none"/>
                <w:lang w:eastAsia="zh-CN"/>
              </w:rPr>
              <w:t>分；</w:t>
            </w:r>
          </w:p>
          <w:p w14:paraId="216F9279">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3.图纸</w:t>
            </w:r>
            <w:r>
              <w:rPr>
                <w:rFonts w:hint="eastAsia" w:ascii="宋体" w:hAnsi="宋体" w:eastAsia="宋体" w:cs="宋体"/>
                <w:bCs/>
                <w:color w:val="auto"/>
                <w:sz w:val="24"/>
                <w:szCs w:val="24"/>
                <w:highlight w:val="none"/>
                <w:lang w:eastAsia="zh-CN"/>
              </w:rPr>
              <w:t>较简略、存在欠缺、可行性较差的得</w:t>
            </w:r>
            <w:r>
              <w:rPr>
                <w:rFonts w:hint="eastAsia" w:ascii="宋体" w:hAnsi="宋体" w:eastAsia="宋体" w:cs="宋体"/>
                <w:bCs/>
                <w:color w:val="auto"/>
                <w:sz w:val="24"/>
                <w:szCs w:val="24"/>
                <w:highlight w:val="none"/>
                <w:lang w:val="en-US" w:eastAsia="zh-CN"/>
              </w:rPr>
              <w:t>1-2</w:t>
            </w:r>
            <w:r>
              <w:rPr>
                <w:rFonts w:hint="eastAsia" w:ascii="宋体" w:hAnsi="宋体" w:eastAsia="宋体" w:cs="宋体"/>
                <w:bCs/>
                <w:color w:val="auto"/>
                <w:sz w:val="24"/>
                <w:szCs w:val="24"/>
                <w:highlight w:val="none"/>
                <w:lang w:eastAsia="zh-CN"/>
              </w:rPr>
              <w:t>分；</w:t>
            </w:r>
          </w:p>
          <w:p w14:paraId="3A261801">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firstLine="0" w:firstLineChars="0"/>
              <w:rPr>
                <w:rFonts w:hint="eastAsia" w:asciiTheme="minorEastAsia" w:hAnsiTheme="minorEastAsia" w:eastAsiaTheme="minorEastAsia" w:cstheme="minorEastAsia"/>
                <w:color w:val="auto"/>
                <w:highlight w:val="none"/>
                <w:lang w:eastAsia="zh-CN"/>
              </w:rPr>
            </w:pP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lang w:eastAsia="zh-CN"/>
              </w:rPr>
              <w:t>未提供相关</w:t>
            </w:r>
            <w:r>
              <w:rPr>
                <w:rFonts w:hint="eastAsia" w:ascii="宋体" w:hAnsi="宋体" w:eastAsia="宋体" w:cs="宋体"/>
                <w:bCs/>
                <w:color w:val="auto"/>
                <w:sz w:val="24"/>
                <w:szCs w:val="24"/>
                <w:highlight w:val="none"/>
                <w:lang w:val="en-US" w:eastAsia="zh-CN"/>
              </w:rPr>
              <w:t>图纸</w:t>
            </w:r>
            <w:r>
              <w:rPr>
                <w:rFonts w:hint="eastAsia" w:ascii="宋体" w:hAnsi="宋体" w:eastAsia="宋体" w:cs="宋体"/>
                <w:bCs/>
                <w:color w:val="auto"/>
                <w:sz w:val="24"/>
                <w:szCs w:val="24"/>
                <w:highlight w:val="none"/>
                <w:lang w:eastAsia="zh-CN"/>
              </w:rPr>
              <w:t>的不得分。</w:t>
            </w:r>
          </w:p>
        </w:tc>
        <w:tc>
          <w:tcPr>
            <w:tcW w:w="1086" w:type="dxa"/>
            <w:vAlign w:val="center"/>
          </w:tcPr>
          <w:p w14:paraId="49727E61">
            <w:pPr>
              <w:keepNext w:val="0"/>
              <w:keepLines w:val="0"/>
              <w:pageBreakBefore w:val="0"/>
              <w:suppressLineNumbers w:val="0"/>
              <w:kinsoku/>
              <w:wordWrap/>
              <w:overflowPunct/>
              <w:topLinePunct w:val="0"/>
              <w:bidi w:val="0"/>
              <w:snapToGrid w:val="0"/>
              <w:spacing w:before="0" w:beforeAutospacing="0" w:after="0" w:afterAutospacing="0" w:line="264" w:lineRule="auto"/>
              <w:ind w:left="0" w:leftChars="0" w:right="0" w:firstLine="0" w:firstLineChars="0"/>
              <w:jc w:val="center"/>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0-6分</w:t>
            </w:r>
          </w:p>
        </w:tc>
      </w:tr>
      <w:tr w14:paraId="0E63B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908" w:type="dxa"/>
            <w:vMerge w:val="continue"/>
            <w:vAlign w:val="center"/>
          </w:tcPr>
          <w:p w14:paraId="3EB03AA5">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p>
        </w:tc>
        <w:tc>
          <w:tcPr>
            <w:tcW w:w="1330" w:type="dxa"/>
            <w:vAlign w:val="center"/>
          </w:tcPr>
          <w:p w14:paraId="70347895">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安全文明施工保障措施</w:t>
            </w:r>
          </w:p>
        </w:tc>
        <w:tc>
          <w:tcPr>
            <w:tcW w:w="6881" w:type="dxa"/>
            <w:vAlign w:val="center"/>
          </w:tcPr>
          <w:p w14:paraId="451E513B">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根据安全管理目标、安全管理体系、文明施工是否合理、全面、可执行性等进行综合评分：</w:t>
            </w:r>
          </w:p>
          <w:p w14:paraId="067062B3">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1.措施全面有效，严谨合理，可行性好的得5.1-8分；</w:t>
            </w:r>
          </w:p>
          <w:p w14:paraId="0DF07D34">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2.措施基本全面、合理，可行性较好的得3.1-5分；</w:t>
            </w:r>
          </w:p>
          <w:p w14:paraId="26C8CD57">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3.措施可行性较差，内容不全的得1-3分；</w:t>
            </w:r>
          </w:p>
          <w:p w14:paraId="254B01D6">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4.</w:t>
            </w:r>
            <w:r>
              <w:rPr>
                <w:rFonts w:hint="eastAsia" w:asciiTheme="minorEastAsia" w:hAnsiTheme="minorEastAsia" w:eastAsiaTheme="minorEastAsia" w:cstheme="minorEastAsia"/>
                <w:color w:val="auto"/>
                <w:highlight w:val="none"/>
              </w:rPr>
              <w:t>未提供相关描述不得分。</w:t>
            </w:r>
          </w:p>
        </w:tc>
        <w:tc>
          <w:tcPr>
            <w:tcW w:w="1086" w:type="dxa"/>
            <w:vAlign w:val="center"/>
          </w:tcPr>
          <w:p w14:paraId="7B6608A0">
            <w:pPr>
              <w:keepNext w:val="0"/>
              <w:keepLines w:val="0"/>
              <w:pageBreakBefore w:val="0"/>
              <w:suppressLineNumbers w:val="0"/>
              <w:kinsoku/>
              <w:wordWrap/>
              <w:overflowPunct/>
              <w:topLinePunct w:val="0"/>
              <w:bidi w:val="0"/>
              <w:snapToGrid w:val="0"/>
              <w:spacing w:before="0" w:beforeAutospacing="0" w:after="0" w:afterAutospacing="0" w:line="264" w:lineRule="auto"/>
              <w:ind w:left="0" w:leftChars="0" w:right="0" w:firstLine="0" w:firstLineChars="0"/>
              <w:jc w:val="center"/>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0-8分</w:t>
            </w:r>
          </w:p>
        </w:tc>
      </w:tr>
      <w:tr w14:paraId="3AD40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908" w:type="dxa"/>
            <w:vMerge w:val="continue"/>
            <w:vAlign w:val="center"/>
          </w:tcPr>
          <w:p w14:paraId="6119B7F7">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p>
        </w:tc>
        <w:tc>
          <w:tcPr>
            <w:tcW w:w="1330" w:type="dxa"/>
            <w:vAlign w:val="center"/>
          </w:tcPr>
          <w:p w14:paraId="189E6DC5">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rPr>
              <w:t>质量保证</w:t>
            </w:r>
            <w:r>
              <w:rPr>
                <w:rFonts w:hint="eastAsia" w:asciiTheme="minorEastAsia" w:hAnsiTheme="minorEastAsia" w:eastAsiaTheme="minorEastAsia" w:cstheme="minorEastAsia"/>
                <w:color w:val="auto"/>
                <w:highlight w:val="none"/>
                <w:lang w:val="en-US" w:eastAsia="zh-CN"/>
              </w:rPr>
              <w:t>措施</w:t>
            </w:r>
          </w:p>
        </w:tc>
        <w:tc>
          <w:tcPr>
            <w:tcW w:w="6881" w:type="dxa"/>
            <w:vAlign w:val="center"/>
          </w:tcPr>
          <w:p w14:paraId="04796C42">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针对本项目的服务质量保证措施进行综合评分：</w:t>
            </w:r>
          </w:p>
          <w:p w14:paraId="19CA5808">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1.措施全面有效，严谨合理，可行性好的得5.1-8分；</w:t>
            </w:r>
          </w:p>
          <w:p w14:paraId="69DCB59E">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2.措施基本全面、合理，可行性较好的得3.1-5分；</w:t>
            </w:r>
          </w:p>
          <w:p w14:paraId="4C97974D">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3.措施可行性较差，内容不全的得1-3分；</w:t>
            </w:r>
          </w:p>
          <w:p w14:paraId="0B301CA8">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4.未提供相关描述不得分。</w:t>
            </w:r>
          </w:p>
        </w:tc>
        <w:tc>
          <w:tcPr>
            <w:tcW w:w="1086" w:type="dxa"/>
            <w:vAlign w:val="center"/>
          </w:tcPr>
          <w:p w14:paraId="2686F0BA">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0-8分</w:t>
            </w:r>
          </w:p>
        </w:tc>
      </w:tr>
      <w:tr w14:paraId="22B76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908" w:type="dxa"/>
            <w:vMerge w:val="continue"/>
            <w:vAlign w:val="center"/>
          </w:tcPr>
          <w:p w14:paraId="2A6A65B8">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p>
        </w:tc>
        <w:tc>
          <w:tcPr>
            <w:tcW w:w="1330" w:type="dxa"/>
            <w:vAlign w:val="center"/>
          </w:tcPr>
          <w:p w14:paraId="46762C90">
            <w:pPr>
              <w:keepNext w:val="0"/>
              <w:keepLines w:val="0"/>
              <w:widowControl/>
              <w:suppressLineNumbers w:val="0"/>
              <w:spacing w:before="0" w:beforeAutospacing="0" w:after="0" w:afterAutospacing="0" w:line="240" w:lineRule="auto"/>
              <w:ind w:left="0" w:right="119" w:firstLine="0" w:firstLineChars="0"/>
              <w:jc w:val="center"/>
              <w:rPr>
                <w:rFonts w:hint="default"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技术参数完整性</w:t>
            </w:r>
          </w:p>
        </w:tc>
        <w:tc>
          <w:tcPr>
            <w:tcW w:w="6881" w:type="dxa"/>
            <w:vAlign w:val="center"/>
          </w:tcPr>
          <w:p w14:paraId="0C5845D0">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根据</w:t>
            </w:r>
            <w:r>
              <w:rPr>
                <w:rFonts w:hint="eastAsia" w:ascii="宋体" w:hAnsi="宋体" w:eastAsia="宋体" w:cs="宋体"/>
                <w:bCs/>
                <w:color w:val="auto"/>
                <w:sz w:val="24"/>
                <w:szCs w:val="24"/>
                <w:highlight w:val="none"/>
                <w:lang w:val="en-US" w:eastAsia="zh-CN"/>
              </w:rPr>
              <w:t>供应商</w:t>
            </w:r>
            <w:r>
              <w:rPr>
                <w:rFonts w:hint="eastAsia" w:ascii="宋体" w:hAnsi="宋体" w:cs="宋体"/>
                <w:bCs/>
                <w:color w:val="auto"/>
                <w:sz w:val="24"/>
                <w:szCs w:val="24"/>
                <w:highlight w:val="none"/>
                <w:lang w:val="en-US" w:eastAsia="zh-CN"/>
              </w:rPr>
              <w:t>针对本项目提供的</w:t>
            </w:r>
            <w:r>
              <w:rPr>
                <w:rFonts w:hint="eastAsia" w:ascii="宋体" w:hAnsi="宋体" w:eastAsia="宋体" w:cs="宋体"/>
                <w:bCs/>
                <w:color w:val="auto"/>
                <w:sz w:val="24"/>
                <w:szCs w:val="24"/>
                <w:highlight w:val="none"/>
              </w:rPr>
              <w:t>采购清单组成的完整性、合理性、可行性</w:t>
            </w:r>
            <w:r>
              <w:rPr>
                <w:rFonts w:hint="eastAsia" w:ascii="宋体" w:hAnsi="宋体" w:cs="宋体"/>
                <w:bCs/>
                <w:color w:val="auto"/>
                <w:sz w:val="24"/>
                <w:szCs w:val="24"/>
                <w:highlight w:val="none"/>
                <w:lang w:val="en-US" w:eastAsia="zh-CN"/>
              </w:rPr>
              <w:t>等</w:t>
            </w:r>
            <w:r>
              <w:rPr>
                <w:rFonts w:hint="eastAsia" w:ascii="宋体" w:hAnsi="宋体" w:eastAsia="宋体" w:cs="宋体"/>
                <w:bCs/>
                <w:color w:val="auto"/>
                <w:sz w:val="24"/>
                <w:szCs w:val="24"/>
                <w:highlight w:val="none"/>
              </w:rPr>
              <w:t>进行打分</w:t>
            </w:r>
            <w:r>
              <w:rPr>
                <w:rFonts w:hint="eastAsia" w:ascii="宋体" w:hAnsi="宋体" w:cs="宋体"/>
                <w:bCs/>
                <w:color w:val="auto"/>
                <w:sz w:val="24"/>
                <w:szCs w:val="24"/>
                <w:highlight w:val="none"/>
                <w:lang w:eastAsia="zh-CN"/>
              </w:rPr>
              <w:t>：</w:t>
            </w:r>
          </w:p>
          <w:p w14:paraId="037312FC">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rPr>
              <w:t>采购清单</w:t>
            </w:r>
            <w:r>
              <w:rPr>
                <w:rFonts w:hint="eastAsia" w:ascii="宋体" w:hAnsi="宋体" w:cs="宋体"/>
                <w:bCs/>
                <w:color w:val="auto"/>
                <w:sz w:val="24"/>
                <w:szCs w:val="24"/>
                <w:highlight w:val="none"/>
                <w:lang w:val="en-US" w:eastAsia="zh-CN"/>
              </w:rPr>
              <w:t>完整全面</w:t>
            </w:r>
            <w:r>
              <w:rPr>
                <w:rFonts w:hint="eastAsia" w:ascii="宋体" w:hAnsi="宋体" w:cs="宋体"/>
                <w:bCs/>
                <w:color w:val="auto"/>
                <w:sz w:val="24"/>
                <w:szCs w:val="24"/>
                <w:highlight w:val="none"/>
                <w:lang w:eastAsia="zh-CN"/>
              </w:rPr>
              <w:t>、科学合理、可行性强的得</w:t>
            </w:r>
            <w:r>
              <w:rPr>
                <w:rFonts w:hint="eastAsia" w:ascii="宋体" w:hAnsi="宋体" w:cs="宋体"/>
                <w:bCs/>
                <w:color w:val="auto"/>
                <w:sz w:val="24"/>
                <w:szCs w:val="24"/>
                <w:highlight w:val="none"/>
                <w:lang w:val="en-US" w:eastAsia="zh-CN"/>
              </w:rPr>
              <w:t>3.1-6</w:t>
            </w:r>
            <w:r>
              <w:rPr>
                <w:rFonts w:hint="eastAsia" w:ascii="宋体" w:hAnsi="宋体" w:cs="宋体"/>
                <w:bCs/>
                <w:color w:val="auto"/>
                <w:sz w:val="24"/>
                <w:szCs w:val="24"/>
                <w:highlight w:val="none"/>
                <w:lang w:eastAsia="zh-CN"/>
              </w:rPr>
              <w:t>分；</w:t>
            </w:r>
          </w:p>
          <w:p w14:paraId="73ABEC23">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采购清单</w:t>
            </w:r>
            <w:r>
              <w:rPr>
                <w:rFonts w:hint="eastAsia" w:ascii="宋体" w:hAnsi="宋体" w:cs="宋体"/>
                <w:bCs/>
                <w:color w:val="auto"/>
                <w:sz w:val="24"/>
                <w:szCs w:val="24"/>
                <w:highlight w:val="none"/>
                <w:lang w:val="en-US" w:eastAsia="zh-CN"/>
              </w:rPr>
              <w:t>相对详细</w:t>
            </w:r>
            <w:r>
              <w:rPr>
                <w:rFonts w:hint="eastAsia" w:ascii="宋体" w:hAnsi="宋体" w:cs="宋体"/>
                <w:bCs/>
                <w:color w:val="auto"/>
                <w:sz w:val="24"/>
                <w:szCs w:val="24"/>
                <w:highlight w:val="none"/>
                <w:lang w:eastAsia="zh-CN"/>
              </w:rPr>
              <w:t>，具有一定可行性的得</w:t>
            </w:r>
            <w:r>
              <w:rPr>
                <w:rFonts w:hint="eastAsia" w:ascii="宋体" w:hAnsi="宋体" w:cs="宋体"/>
                <w:bCs/>
                <w:color w:val="auto"/>
                <w:sz w:val="24"/>
                <w:szCs w:val="24"/>
                <w:highlight w:val="none"/>
                <w:lang w:val="en-US" w:eastAsia="zh-CN"/>
              </w:rPr>
              <w:t>2.1-4</w:t>
            </w:r>
            <w:r>
              <w:rPr>
                <w:rFonts w:hint="eastAsia" w:ascii="宋体" w:hAnsi="宋体" w:cs="宋体"/>
                <w:bCs/>
                <w:color w:val="auto"/>
                <w:sz w:val="24"/>
                <w:szCs w:val="24"/>
                <w:highlight w:val="none"/>
                <w:lang w:eastAsia="zh-CN"/>
              </w:rPr>
              <w:t>分；</w:t>
            </w:r>
          </w:p>
          <w:p w14:paraId="18D40A93">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采购清单</w:t>
            </w:r>
            <w:r>
              <w:rPr>
                <w:rFonts w:hint="eastAsia" w:ascii="宋体" w:hAnsi="宋体" w:cs="宋体"/>
                <w:bCs/>
                <w:color w:val="auto"/>
                <w:sz w:val="24"/>
                <w:szCs w:val="24"/>
                <w:highlight w:val="none"/>
                <w:lang w:eastAsia="zh-CN"/>
              </w:rPr>
              <w:t>较简略、存在缺</w:t>
            </w:r>
            <w:r>
              <w:rPr>
                <w:rFonts w:hint="eastAsia" w:ascii="宋体" w:hAnsi="宋体" w:cs="宋体"/>
                <w:bCs/>
                <w:color w:val="auto"/>
                <w:sz w:val="24"/>
                <w:szCs w:val="24"/>
                <w:highlight w:val="none"/>
                <w:lang w:val="en-US" w:eastAsia="zh-CN"/>
              </w:rPr>
              <w:t>失</w:t>
            </w:r>
            <w:r>
              <w:rPr>
                <w:rFonts w:hint="eastAsia" w:ascii="宋体" w:hAnsi="宋体" w:cs="宋体"/>
                <w:bCs/>
                <w:color w:val="auto"/>
                <w:sz w:val="24"/>
                <w:szCs w:val="24"/>
                <w:highlight w:val="none"/>
                <w:lang w:eastAsia="zh-CN"/>
              </w:rPr>
              <w:t>、可行性较差的得</w:t>
            </w:r>
            <w:r>
              <w:rPr>
                <w:rFonts w:hint="eastAsia" w:ascii="宋体" w:hAnsi="宋体" w:cs="宋体"/>
                <w:bCs/>
                <w:color w:val="auto"/>
                <w:sz w:val="24"/>
                <w:szCs w:val="24"/>
                <w:highlight w:val="none"/>
                <w:lang w:val="en-US" w:eastAsia="zh-CN"/>
              </w:rPr>
              <w:t>1-2</w:t>
            </w:r>
            <w:r>
              <w:rPr>
                <w:rFonts w:hint="eastAsia" w:ascii="宋体" w:hAnsi="宋体" w:cs="宋体"/>
                <w:bCs/>
                <w:color w:val="auto"/>
                <w:sz w:val="24"/>
                <w:szCs w:val="24"/>
                <w:highlight w:val="none"/>
                <w:lang w:eastAsia="zh-CN"/>
              </w:rPr>
              <w:t>分；</w:t>
            </w:r>
          </w:p>
          <w:p w14:paraId="68B7CAC9">
            <w:pPr>
              <w:pStyle w:val="57"/>
              <w:keepNext w:val="0"/>
              <w:keepLines w:val="0"/>
              <w:pageBreakBefore w:val="0"/>
              <w:suppressLineNumbers w:val="0"/>
              <w:kinsoku/>
              <w:wordWrap/>
              <w:overflowPunct/>
              <w:topLinePunct w:val="0"/>
              <w:bidi w:val="0"/>
              <w:snapToGrid w:val="0"/>
              <w:spacing w:before="0" w:beforeAutospacing="0" w:after="0" w:afterAutospacing="0" w:line="264" w:lineRule="auto"/>
              <w:ind w:left="0" w:right="0" w:firstLine="0" w:firstLineChars="0"/>
              <w:rPr>
                <w:rFonts w:hint="eastAsia" w:asciiTheme="minorEastAsia" w:hAnsiTheme="minorEastAsia" w:eastAsiaTheme="minorEastAsia" w:cstheme="minorEastAsia"/>
                <w:color w:val="auto"/>
                <w:highlight w:val="none"/>
                <w:lang w:eastAsia="zh-CN"/>
              </w:rPr>
            </w:pP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未提供相关采购清单的不得分。</w:t>
            </w:r>
          </w:p>
        </w:tc>
        <w:tc>
          <w:tcPr>
            <w:tcW w:w="1086" w:type="dxa"/>
            <w:vAlign w:val="center"/>
          </w:tcPr>
          <w:p w14:paraId="69BD6E10">
            <w:pPr>
              <w:keepNext w:val="0"/>
              <w:keepLines w:val="0"/>
              <w:pageBreakBefore w:val="0"/>
              <w:suppressLineNumbers w:val="0"/>
              <w:kinsoku/>
              <w:wordWrap/>
              <w:overflowPunct/>
              <w:topLinePunct w:val="0"/>
              <w:bidi w:val="0"/>
              <w:snapToGrid w:val="0"/>
              <w:spacing w:before="0" w:beforeAutospacing="0" w:after="0" w:afterAutospacing="0" w:line="264" w:lineRule="auto"/>
              <w:ind w:left="0" w:leftChars="0" w:right="0" w:firstLine="0" w:firstLineChars="0"/>
              <w:jc w:val="center"/>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0-6分</w:t>
            </w:r>
          </w:p>
        </w:tc>
      </w:tr>
      <w:tr w14:paraId="5665E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908" w:type="dxa"/>
            <w:vMerge w:val="continue"/>
            <w:vAlign w:val="center"/>
          </w:tcPr>
          <w:p w14:paraId="74C5373E">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p>
        </w:tc>
        <w:tc>
          <w:tcPr>
            <w:tcW w:w="1330" w:type="dxa"/>
            <w:vAlign w:val="center"/>
          </w:tcPr>
          <w:p w14:paraId="502BDE72">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应急保障措施</w:t>
            </w:r>
          </w:p>
        </w:tc>
        <w:tc>
          <w:tcPr>
            <w:tcW w:w="6881" w:type="dxa"/>
            <w:vAlign w:val="center"/>
          </w:tcPr>
          <w:p w14:paraId="210BFB60">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rPr>
              <w:t>突发</w:t>
            </w:r>
            <w:r>
              <w:rPr>
                <w:rFonts w:hint="eastAsia" w:asciiTheme="minorEastAsia" w:hAnsiTheme="minorEastAsia" w:eastAsiaTheme="minorEastAsia" w:cstheme="minorEastAsia"/>
                <w:color w:val="auto"/>
                <w:highlight w:val="none"/>
                <w:lang w:eastAsia="zh-CN"/>
              </w:rPr>
              <w:t>状况</w:t>
            </w:r>
            <w:r>
              <w:rPr>
                <w:rFonts w:hint="eastAsia" w:asciiTheme="minorEastAsia" w:hAnsiTheme="minorEastAsia" w:eastAsiaTheme="minorEastAsia" w:cstheme="minorEastAsia"/>
                <w:color w:val="auto"/>
                <w:highlight w:val="none"/>
              </w:rPr>
              <w:t>的应急措施</w:t>
            </w:r>
            <w:r>
              <w:rPr>
                <w:rFonts w:hint="eastAsia" w:asciiTheme="minorEastAsia" w:hAnsiTheme="minorEastAsia" w:eastAsiaTheme="minorEastAsia" w:cstheme="minorEastAsia"/>
                <w:color w:val="auto"/>
                <w:highlight w:val="none"/>
                <w:lang w:val="en-US" w:eastAsia="zh-CN"/>
              </w:rPr>
              <w:t>进行综合评分：</w:t>
            </w:r>
          </w:p>
          <w:p w14:paraId="1E483EB7">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1.措施全面有效，严谨合理，可行性好的得5.1-8分；</w:t>
            </w:r>
          </w:p>
          <w:p w14:paraId="22C726B0">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2.措施基本全面、合理，可行性较好的得3.1-5分；</w:t>
            </w:r>
          </w:p>
          <w:p w14:paraId="6508FA91">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3.措施可行性较差，内容不全的得1-3分；</w:t>
            </w:r>
          </w:p>
          <w:p w14:paraId="151AE4E4">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4.</w:t>
            </w:r>
            <w:r>
              <w:rPr>
                <w:rFonts w:hint="eastAsia" w:asciiTheme="minorEastAsia" w:hAnsiTheme="minorEastAsia" w:eastAsiaTheme="minorEastAsia" w:cstheme="minorEastAsia"/>
                <w:color w:val="auto"/>
                <w:highlight w:val="none"/>
              </w:rPr>
              <w:t>未提供相关描述不得分。</w:t>
            </w:r>
          </w:p>
        </w:tc>
        <w:tc>
          <w:tcPr>
            <w:tcW w:w="1086" w:type="dxa"/>
            <w:vAlign w:val="center"/>
          </w:tcPr>
          <w:p w14:paraId="57F9B8F1">
            <w:pPr>
              <w:keepNext w:val="0"/>
              <w:keepLines w:val="0"/>
              <w:pageBreakBefore w:val="0"/>
              <w:suppressLineNumbers w:val="0"/>
              <w:kinsoku/>
              <w:wordWrap/>
              <w:overflowPunct/>
              <w:topLinePunct w:val="0"/>
              <w:bidi w:val="0"/>
              <w:snapToGrid w:val="0"/>
              <w:spacing w:before="0" w:beforeAutospacing="0" w:after="0" w:afterAutospacing="0" w:line="264" w:lineRule="auto"/>
              <w:ind w:left="0" w:leftChars="0" w:right="0" w:firstLine="0" w:firstLineChars="0"/>
              <w:jc w:val="center"/>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0-8分</w:t>
            </w:r>
          </w:p>
        </w:tc>
      </w:tr>
      <w:tr w14:paraId="58E6E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908" w:type="dxa"/>
            <w:vMerge w:val="continue"/>
            <w:vAlign w:val="center"/>
          </w:tcPr>
          <w:p w14:paraId="596133CA">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p>
        </w:tc>
        <w:tc>
          <w:tcPr>
            <w:tcW w:w="1330" w:type="dxa"/>
            <w:vAlign w:val="center"/>
          </w:tcPr>
          <w:p w14:paraId="0D0A793F">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宋体" w:hAnsi="宋体" w:eastAsia="宋体" w:cs="宋体"/>
                <w:bCs/>
                <w:color w:val="auto"/>
                <w:sz w:val="24"/>
                <w:szCs w:val="24"/>
                <w:lang w:val="zh-CN" w:eastAsia="zh-CN"/>
              </w:rPr>
              <w:t>质保期承诺</w:t>
            </w:r>
          </w:p>
        </w:tc>
        <w:tc>
          <w:tcPr>
            <w:tcW w:w="6881" w:type="dxa"/>
            <w:vAlign w:val="center"/>
          </w:tcPr>
          <w:p w14:paraId="15B55EA2">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宋体" w:hAnsi="宋体" w:eastAsia="宋体" w:cs="宋体"/>
                <w:bCs/>
                <w:color w:val="auto"/>
                <w:sz w:val="24"/>
                <w:szCs w:val="24"/>
                <w:highlight w:val="none"/>
                <w:lang w:val="zh-CN" w:eastAsia="zh-CN"/>
              </w:rPr>
              <w:t>在满足招标文件质保年限要求的基础上，每延长1年得</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zh-CN" w:eastAsia="zh-CN"/>
              </w:rPr>
              <w:t>分，最高得</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zh-CN" w:eastAsia="zh-CN"/>
              </w:rPr>
              <w:t>分。</w:t>
            </w:r>
          </w:p>
        </w:tc>
        <w:tc>
          <w:tcPr>
            <w:tcW w:w="1086" w:type="dxa"/>
            <w:vAlign w:val="center"/>
          </w:tcPr>
          <w:p w14:paraId="75585026">
            <w:pPr>
              <w:keepNext w:val="0"/>
              <w:keepLines w:val="0"/>
              <w:pageBreakBefore w:val="0"/>
              <w:suppressLineNumbers w:val="0"/>
              <w:kinsoku/>
              <w:wordWrap/>
              <w:overflowPunct/>
              <w:topLinePunct w:val="0"/>
              <w:bidi w:val="0"/>
              <w:snapToGrid w:val="0"/>
              <w:spacing w:before="0" w:beforeAutospacing="0" w:after="0" w:afterAutospacing="0" w:line="264" w:lineRule="auto"/>
              <w:ind w:left="0" w:leftChars="0" w:right="0" w:firstLine="0" w:firstLineChars="0"/>
              <w:jc w:val="center"/>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0-2分</w:t>
            </w:r>
          </w:p>
        </w:tc>
      </w:tr>
      <w:tr w14:paraId="7AD99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908" w:type="dxa"/>
            <w:vMerge w:val="continue"/>
            <w:vAlign w:val="center"/>
          </w:tcPr>
          <w:p w14:paraId="6BAAF67D">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p>
        </w:tc>
        <w:tc>
          <w:tcPr>
            <w:tcW w:w="1330" w:type="dxa"/>
            <w:vAlign w:val="center"/>
          </w:tcPr>
          <w:p w14:paraId="52760417">
            <w:pPr>
              <w:keepNext w:val="0"/>
              <w:keepLines w:val="0"/>
              <w:widowControl/>
              <w:suppressLineNumbers w:val="0"/>
              <w:spacing w:before="0" w:beforeAutospacing="0" w:after="0" w:afterAutospacing="0" w:line="240" w:lineRule="auto"/>
              <w:ind w:left="0" w:right="119"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rPr>
              <w:t>售后服务方案</w:t>
            </w:r>
          </w:p>
        </w:tc>
        <w:tc>
          <w:tcPr>
            <w:tcW w:w="6881" w:type="dxa"/>
            <w:vAlign w:val="center"/>
          </w:tcPr>
          <w:p w14:paraId="101A7BF0">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rPr>
              <w:t>根据售后服务承诺、保修内容、服务响应、备品备件的满足程度以及对采购需求响应情况等内容由评审专家</w:t>
            </w:r>
            <w:r>
              <w:rPr>
                <w:rFonts w:hint="eastAsia" w:asciiTheme="minorEastAsia" w:hAnsiTheme="minorEastAsia" w:eastAsiaTheme="minorEastAsia" w:cstheme="minorEastAsia"/>
                <w:color w:val="auto"/>
                <w:highlight w:val="none"/>
                <w:lang w:val="en-US" w:eastAsia="zh-CN"/>
              </w:rPr>
              <w:t>进行</w:t>
            </w:r>
            <w:r>
              <w:rPr>
                <w:rFonts w:hint="eastAsia" w:asciiTheme="minorEastAsia" w:hAnsiTheme="minorEastAsia" w:eastAsiaTheme="minorEastAsia" w:cstheme="minorEastAsia"/>
                <w:color w:val="auto"/>
                <w:highlight w:val="none"/>
              </w:rPr>
              <w:t>打分</w:t>
            </w:r>
            <w:r>
              <w:rPr>
                <w:rFonts w:hint="eastAsia" w:asciiTheme="minorEastAsia" w:hAnsiTheme="minorEastAsia" w:eastAsiaTheme="minorEastAsia" w:cstheme="minorEastAsia"/>
                <w:color w:val="auto"/>
                <w:highlight w:val="none"/>
                <w:lang w:eastAsia="zh-CN"/>
              </w:rPr>
              <w:t>：</w:t>
            </w:r>
          </w:p>
          <w:p w14:paraId="6A811B72">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1.方案目标明确，内容完善、合理，可执行性强的，得5.1-8分；</w:t>
            </w:r>
          </w:p>
          <w:p w14:paraId="4DACE00B">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2.方案目标基本明确，内容完善、合理，可执行性较强的，得3.1-5分；</w:t>
            </w:r>
          </w:p>
          <w:p w14:paraId="1CF74A95">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3.方案目标不明确，内容不够完善、合理，可执行性差的，得1-3分；</w:t>
            </w:r>
          </w:p>
          <w:p w14:paraId="3AEB0A1D">
            <w:pPr>
              <w:keepNext w:val="0"/>
              <w:keepLines w:val="0"/>
              <w:widowControl/>
              <w:suppressLineNumbers w:val="0"/>
              <w:spacing w:before="0" w:beforeAutospacing="0" w:after="0" w:afterAutospacing="0" w:line="240" w:lineRule="auto"/>
              <w:ind w:left="0" w:right="119" w:firstLine="0" w:firstLineChars="0"/>
              <w:jc w:val="left"/>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4.不符合项目需求或未提供不得分。</w:t>
            </w:r>
          </w:p>
        </w:tc>
        <w:tc>
          <w:tcPr>
            <w:tcW w:w="1086" w:type="dxa"/>
            <w:vAlign w:val="center"/>
          </w:tcPr>
          <w:p w14:paraId="1BD77FE5">
            <w:pPr>
              <w:keepNext w:val="0"/>
              <w:keepLines w:val="0"/>
              <w:pageBreakBefore w:val="0"/>
              <w:suppressLineNumbers w:val="0"/>
              <w:kinsoku/>
              <w:wordWrap/>
              <w:overflowPunct/>
              <w:topLinePunct w:val="0"/>
              <w:bidi w:val="0"/>
              <w:snapToGrid w:val="0"/>
              <w:spacing w:before="0" w:beforeAutospacing="0" w:after="0" w:afterAutospacing="0" w:line="264" w:lineRule="auto"/>
              <w:ind w:left="0" w:leftChars="0" w:right="0" w:firstLine="0" w:firstLineChars="0"/>
              <w:jc w:val="center"/>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0-8分</w:t>
            </w:r>
          </w:p>
        </w:tc>
      </w:tr>
    </w:tbl>
    <w:p w14:paraId="05D5CACC">
      <w:pPr>
        <w:keepNext w:val="0"/>
        <w:keepLines w:val="0"/>
        <w:pageBreakBefore w:val="0"/>
        <w:widowControl w:val="0"/>
        <w:kinsoku/>
        <w:wordWrap/>
        <w:overflowPunct/>
        <w:topLinePunct w:val="0"/>
        <w:autoSpaceDE/>
        <w:autoSpaceDN/>
        <w:bidi w:val="0"/>
        <w:adjustRightInd w:val="0"/>
        <w:snapToGrid w:val="0"/>
        <w:spacing w:line="300" w:lineRule="auto"/>
        <w:ind w:firstLine="0" w:firstLineChars="0"/>
        <w:jc w:val="center"/>
        <w:textAlignment w:val="auto"/>
        <w:rPr>
          <w:rFonts w:hint="default"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五、开评标程序</w:t>
      </w:r>
    </w:p>
    <w:p w14:paraId="06DF5B48">
      <w:pPr>
        <w:keepNext w:val="0"/>
        <w:keepLines w:val="0"/>
        <w:pageBreakBefore w:val="0"/>
        <w:widowControl w:val="0"/>
        <w:kinsoku/>
        <w:wordWrap/>
        <w:overflowPunct/>
        <w:topLinePunct w:val="0"/>
        <w:autoSpaceDE/>
        <w:autoSpaceDN/>
        <w:bidi w:val="0"/>
        <w:adjustRightInd/>
        <w:snapToGrid/>
        <w:spacing w:line="300" w:lineRule="auto"/>
        <w:ind w:firstLine="480"/>
        <w:textAlignment w:val="auto"/>
        <w:rPr>
          <w:rFonts w:ascii="宋体" w:hAnsi="宋体"/>
        </w:rPr>
      </w:pPr>
      <w:r>
        <w:rPr>
          <w:rFonts w:hint="eastAsia" w:ascii="宋体" w:hAnsi="宋体"/>
        </w:rPr>
        <w:t>7.主持人宣布投标截止时间，截止时间以国家授时中心标准时间为准，宣布招标会议开始。</w:t>
      </w:r>
    </w:p>
    <w:p w14:paraId="57A2C8B9">
      <w:pPr>
        <w:keepNext w:val="0"/>
        <w:keepLines w:val="0"/>
        <w:pageBreakBefore w:val="0"/>
        <w:widowControl w:val="0"/>
        <w:kinsoku/>
        <w:wordWrap/>
        <w:overflowPunct/>
        <w:topLinePunct w:val="0"/>
        <w:autoSpaceDE/>
        <w:autoSpaceDN/>
        <w:bidi w:val="0"/>
        <w:adjustRightInd/>
        <w:snapToGrid/>
        <w:spacing w:line="300" w:lineRule="auto"/>
        <w:ind w:firstLine="480"/>
        <w:textAlignment w:val="auto"/>
        <w:rPr>
          <w:rFonts w:ascii="宋体" w:hAnsi="宋体"/>
        </w:rPr>
      </w:pPr>
      <w:r>
        <w:rPr>
          <w:rFonts w:hint="eastAsia" w:ascii="宋体" w:hAnsi="宋体"/>
        </w:rPr>
        <w:t>8.工作人员确认供应商法定代表人或授权委托代理人资格及到场等情况。</w:t>
      </w:r>
    </w:p>
    <w:p w14:paraId="68112C5A">
      <w:pPr>
        <w:keepNext w:val="0"/>
        <w:keepLines w:val="0"/>
        <w:pageBreakBefore w:val="0"/>
        <w:widowControl w:val="0"/>
        <w:kinsoku/>
        <w:wordWrap/>
        <w:overflowPunct/>
        <w:topLinePunct w:val="0"/>
        <w:autoSpaceDE/>
        <w:autoSpaceDN/>
        <w:bidi w:val="0"/>
        <w:adjustRightInd/>
        <w:snapToGrid/>
        <w:spacing w:line="300" w:lineRule="auto"/>
        <w:ind w:firstLine="480"/>
        <w:textAlignment w:val="auto"/>
        <w:rPr>
          <w:rFonts w:ascii="宋体" w:hAnsi="宋体"/>
        </w:rPr>
      </w:pPr>
      <w:r>
        <w:rPr>
          <w:rFonts w:hint="eastAsia" w:ascii="宋体" w:hAnsi="宋体"/>
        </w:rPr>
        <w:t>9.工作人员检查各供应商的标函密封、标记情况。</w:t>
      </w:r>
    </w:p>
    <w:p w14:paraId="077B4E9F">
      <w:pPr>
        <w:keepNext w:val="0"/>
        <w:keepLines w:val="0"/>
        <w:pageBreakBefore w:val="0"/>
        <w:widowControl w:val="0"/>
        <w:kinsoku/>
        <w:wordWrap/>
        <w:overflowPunct/>
        <w:topLinePunct w:val="0"/>
        <w:autoSpaceDE/>
        <w:autoSpaceDN/>
        <w:bidi w:val="0"/>
        <w:adjustRightInd/>
        <w:snapToGrid/>
        <w:spacing w:line="300" w:lineRule="auto"/>
        <w:ind w:firstLine="480"/>
        <w:textAlignment w:val="auto"/>
        <w:rPr>
          <w:rFonts w:ascii="宋体" w:hAnsi="宋体"/>
        </w:rPr>
      </w:pPr>
      <w:r>
        <w:rPr>
          <w:rFonts w:hint="eastAsia" w:ascii="宋体" w:hAnsi="宋体"/>
        </w:rPr>
        <w:t>10.启封各供应商的磋商响应文件，送</w:t>
      </w:r>
      <w:r>
        <w:rPr>
          <w:rFonts w:hint="eastAsia" w:ascii="宋体" w:hAnsi="宋体"/>
          <w:lang w:eastAsia="zh-CN"/>
        </w:rPr>
        <w:t>磋商小组</w:t>
      </w:r>
      <w:r>
        <w:rPr>
          <w:rFonts w:hint="eastAsia" w:ascii="宋体" w:hAnsi="宋体"/>
        </w:rPr>
        <w:t>进行独立评审。如有疑问，可对供应商进行询标，供应商要向</w:t>
      </w:r>
      <w:r>
        <w:rPr>
          <w:rFonts w:hint="eastAsia" w:ascii="宋体" w:hAnsi="宋体"/>
          <w:lang w:eastAsia="zh-CN"/>
        </w:rPr>
        <w:t>磋商小组</w:t>
      </w:r>
      <w:r>
        <w:rPr>
          <w:rFonts w:hint="eastAsia" w:ascii="宋体" w:hAnsi="宋体"/>
        </w:rPr>
        <w:t>澄清有关问题，并最终以书面形式进行答复。评委对各供应商打资信及技术分。</w:t>
      </w:r>
    </w:p>
    <w:p w14:paraId="154AC3DB">
      <w:pPr>
        <w:keepNext w:val="0"/>
        <w:keepLines w:val="0"/>
        <w:pageBreakBefore w:val="0"/>
        <w:widowControl w:val="0"/>
        <w:kinsoku/>
        <w:wordWrap/>
        <w:overflowPunct/>
        <w:topLinePunct w:val="0"/>
        <w:autoSpaceDE/>
        <w:autoSpaceDN/>
        <w:bidi w:val="0"/>
        <w:adjustRightInd/>
        <w:snapToGrid/>
        <w:spacing w:line="300" w:lineRule="auto"/>
        <w:ind w:firstLine="480"/>
        <w:textAlignment w:val="auto"/>
        <w:rPr>
          <w:rFonts w:ascii="宋体" w:hAnsi="宋体"/>
        </w:rPr>
      </w:pPr>
      <w:r>
        <w:rPr>
          <w:rFonts w:hint="eastAsia" w:ascii="宋体" w:hAnsi="宋体"/>
        </w:rPr>
        <w:t>11.磋商小组所有成员采用集中与单一供应商就</w:t>
      </w:r>
      <w:r>
        <w:rPr>
          <w:rFonts w:hint="eastAsia" w:ascii="宋体" w:hAnsi="宋体"/>
          <w:lang w:val="zh-CN"/>
        </w:rPr>
        <w:t>本项目</w:t>
      </w:r>
      <w:r>
        <w:rPr>
          <w:rFonts w:hint="eastAsia" w:ascii="宋体" w:hAnsi="宋体"/>
          <w:color w:val="000000"/>
        </w:rPr>
        <w:t>重点内容及报价</w:t>
      </w:r>
      <w:r>
        <w:rPr>
          <w:rFonts w:hint="eastAsia" w:ascii="宋体" w:hAnsi="宋体"/>
        </w:rPr>
        <w:t>进行磋商，以递交竞争性磋商响应性文件的时间先后决定磋商顺序。磋商过程中，不公布</w:t>
      </w:r>
      <w:r>
        <w:rPr>
          <w:rFonts w:hint="eastAsia" w:ascii="宋体" w:hAnsi="宋体"/>
          <w:lang w:eastAsia="zh-CN"/>
        </w:rPr>
        <w:t>资信商务技术评分</w:t>
      </w:r>
      <w:r>
        <w:rPr>
          <w:rFonts w:hint="eastAsia" w:ascii="宋体" w:hAnsi="宋体"/>
        </w:rPr>
        <w:t>分值，只公布资信技术部分未通过的原因，所有供应商首次报价和磋商中报价均不公开。</w:t>
      </w:r>
    </w:p>
    <w:p w14:paraId="0C601521">
      <w:pPr>
        <w:keepNext w:val="0"/>
        <w:keepLines w:val="0"/>
        <w:pageBreakBefore w:val="0"/>
        <w:widowControl w:val="0"/>
        <w:kinsoku/>
        <w:wordWrap/>
        <w:overflowPunct/>
        <w:topLinePunct w:val="0"/>
        <w:autoSpaceDE/>
        <w:autoSpaceDN/>
        <w:bidi w:val="0"/>
        <w:adjustRightInd/>
        <w:snapToGrid/>
        <w:spacing w:line="300" w:lineRule="auto"/>
        <w:ind w:firstLine="480"/>
        <w:textAlignment w:val="auto"/>
        <w:rPr>
          <w:rFonts w:ascii="宋体" w:hAnsi="宋体"/>
        </w:rPr>
      </w:pPr>
      <w:r>
        <w:rPr>
          <w:rFonts w:hint="eastAsia" w:ascii="宋体" w:hAnsi="宋体"/>
        </w:rPr>
        <w:t>12.磋商结束、供应商提交</w:t>
      </w:r>
      <w:r>
        <w:rPr>
          <w:rFonts w:hint="eastAsia" w:ascii="宋体" w:hAnsi="宋体"/>
          <w:lang w:eastAsia="zh-CN"/>
        </w:rPr>
        <w:t>最终报价表</w:t>
      </w:r>
      <w:r>
        <w:rPr>
          <w:rFonts w:hint="eastAsia" w:ascii="宋体" w:hAnsi="宋体"/>
        </w:rPr>
        <w:t>后，在</w:t>
      </w:r>
      <w:r>
        <w:rPr>
          <w:rFonts w:hint="eastAsia" w:ascii="宋体" w:hAnsi="宋体"/>
          <w:lang w:val="en-US" w:eastAsia="zh-CN"/>
        </w:rPr>
        <w:t>会议室</w:t>
      </w:r>
      <w:r>
        <w:rPr>
          <w:rFonts w:hint="eastAsia" w:ascii="宋体" w:hAnsi="宋体"/>
        </w:rPr>
        <w:t>现场公布</w:t>
      </w:r>
      <w:r>
        <w:rPr>
          <w:rFonts w:hint="eastAsia" w:ascii="宋体" w:hAnsi="宋体"/>
          <w:lang w:eastAsia="zh-CN"/>
        </w:rPr>
        <w:t>资信商务技术评分</w:t>
      </w:r>
      <w:r>
        <w:rPr>
          <w:rFonts w:hint="eastAsia" w:ascii="宋体" w:hAnsi="宋体"/>
        </w:rPr>
        <w:t>分值；当众公布各供应商的最终报价，并送</w:t>
      </w:r>
      <w:r>
        <w:rPr>
          <w:rFonts w:hint="eastAsia" w:ascii="宋体" w:hAnsi="宋体"/>
          <w:lang w:eastAsia="zh-CN"/>
        </w:rPr>
        <w:t>磋商小组</w:t>
      </w:r>
      <w:r>
        <w:rPr>
          <w:rFonts w:hint="eastAsia" w:ascii="宋体" w:hAnsi="宋体"/>
        </w:rPr>
        <w:t>进行审查。如有疑问，可对供应商进行询标，供应商要向</w:t>
      </w:r>
      <w:r>
        <w:rPr>
          <w:rFonts w:hint="eastAsia" w:ascii="宋体" w:hAnsi="宋体"/>
          <w:lang w:eastAsia="zh-CN"/>
        </w:rPr>
        <w:t>磋商小组</w:t>
      </w:r>
      <w:r>
        <w:rPr>
          <w:rFonts w:hint="eastAsia" w:ascii="宋体" w:hAnsi="宋体"/>
        </w:rPr>
        <w:t>澄清有关问题，并最终以书面形式进行答复。</w:t>
      </w:r>
    </w:p>
    <w:p w14:paraId="49424486">
      <w:pPr>
        <w:keepNext w:val="0"/>
        <w:keepLines w:val="0"/>
        <w:pageBreakBefore w:val="0"/>
        <w:widowControl w:val="0"/>
        <w:kinsoku/>
        <w:wordWrap/>
        <w:overflowPunct/>
        <w:topLinePunct w:val="0"/>
        <w:autoSpaceDE/>
        <w:autoSpaceDN/>
        <w:bidi w:val="0"/>
        <w:adjustRightInd/>
        <w:snapToGrid/>
        <w:spacing w:line="300" w:lineRule="auto"/>
        <w:ind w:firstLine="480"/>
        <w:textAlignment w:val="auto"/>
        <w:rPr>
          <w:rFonts w:ascii="宋体" w:hAnsi="宋体"/>
        </w:rPr>
      </w:pPr>
      <w:r>
        <w:rPr>
          <w:rFonts w:hint="eastAsia" w:ascii="宋体" w:hAnsi="宋体"/>
        </w:rPr>
        <w:t>13.最后计算出各供应商的磋商报价得分，在现场监督人员的监督下，进行复核，然后加计总分后当场公布各供应商的各项得分及总分，</w:t>
      </w:r>
      <w:r>
        <w:rPr>
          <w:rFonts w:hint="eastAsia" w:ascii="宋体" w:hAnsi="宋体"/>
          <w:lang w:eastAsia="zh-CN"/>
        </w:rPr>
        <w:t>磋商小组</w:t>
      </w:r>
      <w:r>
        <w:rPr>
          <w:rFonts w:hint="eastAsia" w:ascii="宋体" w:hAnsi="宋体"/>
        </w:rPr>
        <w:t>按评标办法和细则规定推荐成交候选人。</w:t>
      </w:r>
    </w:p>
    <w:p w14:paraId="5503094D">
      <w:pPr>
        <w:keepNext w:val="0"/>
        <w:keepLines w:val="0"/>
        <w:pageBreakBefore w:val="0"/>
        <w:widowControl w:val="0"/>
        <w:kinsoku/>
        <w:wordWrap/>
        <w:overflowPunct/>
        <w:topLinePunct w:val="0"/>
        <w:autoSpaceDE/>
        <w:autoSpaceDN/>
        <w:bidi w:val="0"/>
        <w:adjustRightInd/>
        <w:snapToGrid/>
        <w:spacing w:before="0" w:after="0" w:line="300" w:lineRule="auto"/>
        <w:ind w:firstLine="480"/>
        <w:textAlignment w:val="auto"/>
        <w:rPr>
          <w:rFonts w:hint="eastAsia" w:ascii="宋体" w:hAnsi="宋体" w:cs="宋体"/>
        </w:rPr>
      </w:pPr>
      <w:r>
        <w:rPr>
          <w:rFonts w:hint="eastAsia" w:ascii="宋体" w:hAnsi="宋体"/>
        </w:rPr>
        <w:t xml:space="preserve">14.开标会结束。      </w:t>
      </w:r>
      <w:bookmarkStart w:id="953" w:name="_Toc2931"/>
      <w:bookmarkStart w:id="954" w:name="_Toc18488"/>
      <w:bookmarkStart w:id="955" w:name="_Toc4069"/>
      <w:bookmarkStart w:id="956" w:name="_Toc30970"/>
      <w:bookmarkStart w:id="957" w:name="_Toc14776"/>
      <w:bookmarkStart w:id="958" w:name="_Toc30439"/>
      <w:bookmarkStart w:id="959" w:name="_Toc3133"/>
      <w:bookmarkStart w:id="960" w:name="_Toc29197"/>
      <w:bookmarkStart w:id="961" w:name="_Toc13537"/>
    </w:p>
    <w:p w14:paraId="054D6672">
      <w:pPr>
        <w:pStyle w:val="2"/>
        <w:spacing w:before="312" w:after="312" w:line="312" w:lineRule="auto"/>
        <w:ind w:firstLine="0" w:firstLineChars="0"/>
        <w:jc w:val="center"/>
        <w:rPr>
          <w:rFonts w:hint="eastAsia" w:ascii="宋体" w:hAnsi="宋体" w:cs="宋体"/>
        </w:rPr>
      </w:pPr>
      <w:bookmarkStart w:id="962" w:name="_Toc17422"/>
    </w:p>
    <w:p w14:paraId="2E706FBA">
      <w:pPr>
        <w:pStyle w:val="2"/>
        <w:spacing w:before="312" w:after="312" w:line="312" w:lineRule="auto"/>
        <w:ind w:firstLine="0" w:firstLineChars="0"/>
        <w:jc w:val="center"/>
        <w:rPr>
          <w:rFonts w:hint="eastAsia" w:ascii="宋体" w:hAnsi="宋体" w:cs="宋体"/>
        </w:rPr>
      </w:pPr>
    </w:p>
    <w:p w14:paraId="1F61BF57">
      <w:pPr>
        <w:pStyle w:val="2"/>
        <w:spacing w:before="312" w:after="312" w:line="312" w:lineRule="auto"/>
        <w:ind w:firstLine="0" w:firstLineChars="0"/>
        <w:jc w:val="center"/>
        <w:rPr>
          <w:rFonts w:hint="eastAsia" w:ascii="宋体" w:hAnsi="宋体" w:cs="宋体"/>
        </w:rPr>
      </w:pPr>
    </w:p>
    <w:p w14:paraId="606AD8F1">
      <w:pPr>
        <w:pStyle w:val="2"/>
        <w:spacing w:before="312" w:after="312" w:line="312" w:lineRule="auto"/>
        <w:ind w:firstLine="0" w:firstLineChars="0"/>
        <w:jc w:val="center"/>
        <w:rPr>
          <w:rFonts w:hint="eastAsia" w:ascii="宋体" w:hAnsi="宋体" w:cs="宋体"/>
        </w:rPr>
      </w:pPr>
    </w:p>
    <w:p w14:paraId="226AEA34">
      <w:pPr>
        <w:pStyle w:val="2"/>
        <w:spacing w:before="312" w:after="312" w:line="312" w:lineRule="auto"/>
        <w:ind w:firstLine="0" w:firstLineChars="0"/>
        <w:jc w:val="center"/>
        <w:rPr>
          <w:rFonts w:hint="eastAsia" w:ascii="宋体" w:hAnsi="宋体" w:cs="宋体"/>
        </w:rPr>
      </w:pPr>
    </w:p>
    <w:p w14:paraId="04CFA49C">
      <w:pPr>
        <w:pStyle w:val="2"/>
        <w:spacing w:before="312" w:after="312" w:line="312" w:lineRule="auto"/>
        <w:ind w:firstLine="0" w:firstLineChars="0"/>
        <w:jc w:val="center"/>
        <w:rPr>
          <w:rFonts w:hint="eastAsia" w:ascii="宋体" w:hAnsi="宋体" w:cs="宋体"/>
        </w:rPr>
      </w:pPr>
    </w:p>
    <w:p w14:paraId="05C96B26">
      <w:pPr>
        <w:rPr>
          <w:rFonts w:hint="eastAsia" w:ascii="宋体" w:hAnsi="宋体" w:cs="宋体"/>
        </w:rPr>
      </w:pPr>
    </w:p>
    <w:p w14:paraId="63447986">
      <w:pPr>
        <w:rPr>
          <w:rFonts w:hint="eastAsia" w:ascii="宋体" w:hAnsi="宋体" w:cs="宋体"/>
        </w:rPr>
      </w:pPr>
    </w:p>
    <w:p w14:paraId="248D7E2B">
      <w:pPr>
        <w:rPr>
          <w:rFonts w:hint="eastAsia" w:ascii="宋体" w:hAnsi="宋体" w:cs="宋体"/>
        </w:rPr>
      </w:pPr>
    </w:p>
    <w:p w14:paraId="2A229042">
      <w:pPr>
        <w:pStyle w:val="2"/>
        <w:spacing w:before="312" w:after="312" w:line="312" w:lineRule="auto"/>
        <w:ind w:firstLine="0" w:firstLineChars="0"/>
        <w:jc w:val="both"/>
        <w:rPr>
          <w:rFonts w:hint="eastAsia" w:ascii="宋体" w:hAnsi="宋体" w:cs="宋体"/>
        </w:rPr>
      </w:pPr>
    </w:p>
    <w:p w14:paraId="3218AEDD">
      <w:pPr>
        <w:pStyle w:val="2"/>
        <w:spacing w:before="312" w:after="312" w:line="312" w:lineRule="auto"/>
        <w:ind w:firstLine="0" w:firstLineChars="0"/>
        <w:jc w:val="center"/>
        <w:rPr>
          <w:rFonts w:ascii="宋体" w:hAnsi="宋体"/>
          <w:color w:val="000000"/>
        </w:rPr>
      </w:pPr>
      <w:r>
        <w:rPr>
          <w:rFonts w:hint="eastAsia" w:ascii="宋体" w:hAnsi="宋体" w:cs="宋体"/>
        </w:rPr>
        <w:t>第五章 合同主要条款</w:t>
      </w:r>
      <w:bookmarkEnd w:id="953"/>
      <w:bookmarkEnd w:id="954"/>
      <w:bookmarkEnd w:id="955"/>
      <w:bookmarkEnd w:id="956"/>
      <w:bookmarkEnd w:id="957"/>
      <w:bookmarkEnd w:id="958"/>
      <w:bookmarkEnd w:id="959"/>
      <w:bookmarkEnd w:id="960"/>
      <w:bookmarkEnd w:id="961"/>
      <w:r>
        <w:rPr>
          <w:rStyle w:val="112"/>
          <w:rFonts w:ascii="新宋体" w:hAnsi="新宋体" w:eastAsia="新宋体" w:cs="新宋体"/>
          <w:sz w:val="36"/>
          <w:szCs w:val="36"/>
        </w:rPr>
        <w:t>及格式</w:t>
      </w:r>
      <w:bookmarkEnd w:id="962"/>
    </w:p>
    <w:p w14:paraId="5DB87A26">
      <w:pPr>
        <w:ind w:firstLine="0" w:firstLineChars="0"/>
        <w:jc w:val="both"/>
        <w:rPr>
          <w:rFonts w:hint="eastAsia" w:ascii="宋体" w:hAnsi="宋体" w:cs="宋体"/>
          <w:b/>
          <w:bCs/>
          <w:color w:val="000000"/>
          <w:kern w:val="0"/>
          <w:sz w:val="72"/>
          <w:szCs w:val="72"/>
        </w:rPr>
      </w:pPr>
      <w:bookmarkStart w:id="963" w:name="_Toc20918"/>
      <w:bookmarkStart w:id="964" w:name="_Toc10223"/>
      <w:bookmarkStart w:id="965" w:name="_Toc30991"/>
      <w:bookmarkStart w:id="966" w:name="_Toc22009"/>
      <w:bookmarkStart w:id="967" w:name="_Toc2753"/>
      <w:bookmarkStart w:id="968" w:name="_Toc21505"/>
      <w:bookmarkStart w:id="969" w:name="_Toc2988"/>
      <w:bookmarkStart w:id="970" w:name="_Toc9121"/>
      <w:bookmarkStart w:id="971" w:name="_Toc8199"/>
      <w:bookmarkStart w:id="972" w:name="_Toc81372965"/>
      <w:bookmarkStart w:id="973" w:name="_Toc10"/>
      <w:bookmarkStart w:id="974" w:name="_Toc84325982"/>
      <w:bookmarkStart w:id="975" w:name="_Toc81372788"/>
      <w:bookmarkStart w:id="976" w:name="_Toc28792"/>
      <w:bookmarkStart w:id="977" w:name="_Toc9086"/>
      <w:bookmarkStart w:id="978" w:name="_Toc11132"/>
      <w:bookmarkStart w:id="979" w:name="_Toc30463"/>
      <w:bookmarkStart w:id="980" w:name="_Toc5494"/>
      <w:bookmarkStart w:id="981" w:name="_Toc31326"/>
      <w:bookmarkStart w:id="982" w:name="_Toc3667"/>
      <w:bookmarkStart w:id="983" w:name="_Toc18785"/>
      <w:bookmarkStart w:id="984" w:name="_Toc796"/>
      <w:bookmarkStart w:id="985" w:name="_Toc31703"/>
      <w:bookmarkStart w:id="986" w:name="_Toc7612"/>
      <w:bookmarkStart w:id="987" w:name="_Toc16627"/>
      <w:bookmarkStart w:id="988" w:name="_Toc2375"/>
      <w:bookmarkStart w:id="989" w:name="_Toc7371"/>
      <w:bookmarkStart w:id="990" w:name="_Toc13804"/>
      <w:bookmarkStart w:id="991" w:name="_Toc13985"/>
      <w:bookmarkStart w:id="992" w:name="_Toc9100"/>
      <w:bookmarkStart w:id="993" w:name="_Toc7230"/>
      <w:bookmarkStart w:id="994" w:name="_Toc20309"/>
      <w:bookmarkStart w:id="995" w:name="_Toc18095"/>
      <w:bookmarkStart w:id="996" w:name="_Toc6502"/>
      <w:bookmarkStart w:id="997" w:name="_Toc517"/>
      <w:bookmarkStart w:id="998" w:name="_Toc18678"/>
      <w:bookmarkStart w:id="999" w:name="_Toc31476"/>
      <w:bookmarkStart w:id="1000" w:name="_Toc25530"/>
      <w:bookmarkStart w:id="1001" w:name="_Toc1159"/>
      <w:bookmarkStart w:id="1002" w:name="_Toc24158"/>
      <w:bookmarkStart w:id="1003" w:name="_Toc27155"/>
      <w:bookmarkStart w:id="1004" w:name="_Toc25691"/>
      <w:bookmarkStart w:id="1005" w:name="_Toc27813"/>
      <w:bookmarkStart w:id="1006" w:name="_Toc80157776"/>
      <w:bookmarkStart w:id="1007" w:name="_Toc5891"/>
      <w:bookmarkStart w:id="1008" w:name="_Toc10196"/>
      <w:bookmarkStart w:id="1009" w:name="_Toc19009"/>
      <w:bookmarkStart w:id="1010" w:name="_Toc14724"/>
      <w:bookmarkStart w:id="1011" w:name="_Toc32471"/>
      <w:bookmarkStart w:id="1012" w:name="_Toc20014"/>
      <w:bookmarkStart w:id="1013" w:name="_Toc5287"/>
      <w:bookmarkStart w:id="1014" w:name="_Toc28685"/>
      <w:bookmarkStart w:id="1015" w:name="_Toc6249"/>
    </w:p>
    <w:p w14:paraId="4234D823">
      <w:pPr>
        <w:jc w:val="center"/>
        <w:rPr>
          <w:rFonts w:hint="eastAsia" w:ascii="宋体" w:hAnsi="宋体" w:cs="宋体"/>
          <w:b/>
          <w:bCs/>
          <w:color w:val="000000"/>
          <w:kern w:val="0"/>
          <w:sz w:val="72"/>
          <w:szCs w:val="72"/>
        </w:rPr>
      </w:pPr>
    </w:p>
    <w:p w14:paraId="61BF5533">
      <w:pPr>
        <w:jc w:val="center"/>
        <w:rPr>
          <w:rFonts w:hint="eastAsia" w:ascii="宋体" w:hAnsi="宋体" w:cs="宋体"/>
          <w:b/>
          <w:bCs/>
          <w:color w:val="000000"/>
          <w:kern w:val="0"/>
          <w:sz w:val="72"/>
          <w:szCs w:val="72"/>
        </w:rPr>
      </w:pPr>
    </w:p>
    <w:p w14:paraId="5FBF7C8D">
      <w:pPr>
        <w:pStyle w:val="2"/>
        <w:ind w:firstLine="0" w:firstLineChars="0"/>
        <w:jc w:val="center"/>
        <w:outlineLvl w:val="1"/>
        <w:rPr>
          <w:rFonts w:hint="eastAsia"/>
          <w:sz w:val="72"/>
          <w:szCs w:val="72"/>
        </w:rPr>
      </w:pPr>
      <w:bookmarkStart w:id="1016" w:name="_Toc4313"/>
      <w:r>
        <w:rPr>
          <w:rFonts w:hint="eastAsia"/>
          <w:sz w:val="72"/>
          <w:szCs w:val="72"/>
        </w:rPr>
        <w:t>采 购 合 同</w:t>
      </w:r>
      <w:bookmarkEnd w:id="1016"/>
    </w:p>
    <w:p w14:paraId="6FE2EBCE">
      <w:pPr>
        <w:rPr>
          <w:rFonts w:hint="eastAsia" w:ascii="宋体" w:hAnsi="宋体" w:cs="宋体"/>
          <w:color w:val="000000"/>
          <w:sz w:val="24"/>
        </w:rPr>
      </w:pPr>
      <w:r>
        <w:rPr>
          <w:rFonts w:hint="eastAsia" w:ascii="宋体" w:hAnsi="宋体" w:cs="宋体"/>
          <w:b/>
          <w:color w:val="000000"/>
          <w:sz w:val="24"/>
        </w:rPr>
        <w:t xml:space="preserve"> </w:t>
      </w:r>
    </w:p>
    <w:p w14:paraId="00AFA4A2">
      <w:pPr>
        <w:rPr>
          <w:rFonts w:hint="eastAsia" w:ascii="宋体" w:hAnsi="宋体" w:cs="宋体"/>
          <w:color w:val="000000"/>
          <w:sz w:val="24"/>
        </w:rPr>
      </w:pPr>
      <w:r>
        <w:rPr>
          <w:rFonts w:hint="eastAsia" w:ascii="宋体" w:hAnsi="宋体" w:cs="宋体"/>
          <w:b/>
          <w:color w:val="000000"/>
          <w:sz w:val="24"/>
        </w:rPr>
        <w:t xml:space="preserve">               </w:t>
      </w:r>
    </w:p>
    <w:p w14:paraId="1A1565F9">
      <w:pPr>
        <w:rPr>
          <w:rFonts w:hint="eastAsia" w:ascii="宋体" w:hAnsi="宋体" w:cs="宋体"/>
          <w:color w:val="000000"/>
          <w:sz w:val="24"/>
        </w:rPr>
      </w:pPr>
      <w:r>
        <w:rPr>
          <w:rFonts w:hint="eastAsia" w:ascii="宋体" w:hAnsi="宋体" w:cs="宋体"/>
          <w:b/>
          <w:color w:val="000000"/>
          <w:sz w:val="24"/>
        </w:rPr>
        <w:t xml:space="preserve">                                            合同编号：</w:t>
      </w:r>
      <w:r>
        <w:rPr>
          <w:rFonts w:hint="eastAsia" w:ascii="宋体" w:hAnsi="宋体" w:cs="宋体"/>
          <w:b/>
          <w:color w:val="000000"/>
          <w:sz w:val="24"/>
          <w:u w:val="single"/>
        </w:rPr>
        <w:t xml:space="preserve">             </w:t>
      </w:r>
    </w:p>
    <w:p w14:paraId="46FA2657">
      <w:pPr>
        <w:rPr>
          <w:rFonts w:hint="eastAsia" w:ascii="宋体" w:hAnsi="宋体" w:cs="宋体"/>
          <w:color w:val="000000"/>
          <w:sz w:val="24"/>
        </w:rPr>
      </w:pPr>
    </w:p>
    <w:p w14:paraId="0A5050E7">
      <w:pPr>
        <w:rPr>
          <w:rFonts w:hint="eastAsia" w:ascii="宋体" w:hAnsi="宋体" w:cs="宋体"/>
          <w:color w:val="000000"/>
          <w:sz w:val="24"/>
        </w:rPr>
      </w:pPr>
    </w:p>
    <w:p w14:paraId="2D568E80">
      <w:pPr>
        <w:ind w:firstLine="960" w:firstLineChars="400"/>
        <w:rPr>
          <w:rFonts w:hint="eastAsia" w:ascii="宋体" w:hAnsi="宋体" w:cs="宋体"/>
          <w:color w:val="000000"/>
          <w:sz w:val="24"/>
        </w:rPr>
      </w:pPr>
      <w:r>
        <w:rPr>
          <w:rFonts w:hint="eastAsia" w:ascii="宋体" w:hAnsi="宋体" w:cs="宋体"/>
          <w:color w:val="000000"/>
          <w:sz w:val="24"/>
        </w:rPr>
        <w:t>项目名称：</w:t>
      </w:r>
      <w:r>
        <w:rPr>
          <w:rFonts w:hint="eastAsia" w:ascii="宋体" w:hAnsi="宋体" w:cs="宋体"/>
          <w:color w:val="000000"/>
          <w:sz w:val="24"/>
          <w:u w:val="single"/>
        </w:rPr>
        <w:t xml:space="preserve">                                         </w:t>
      </w:r>
    </w:p>
    <w:p w14:paraId="06FBE590">
      <w:pPr>
        <w:snapToGrid w:val="0"/>
        <w:spacing w:before="119" w:line="272" w:lineRule="atLeast"/>
        <w:ind w:left="958"/>
        <w:rPr>
          <w:rFonts w:hint="eastAsia" w:ascii="宋体" w:hAnsi="宋体" w:cs="宋体"/>
          <w:color w:val="000000"/>
          <w:sz w:val="24"/>
        </w:rPr>
      </w:pPr>
      <w:r>
        <w:rPr>
          <w:rFonts w:hint="eastAsia" w:ascii="宋体" w:hAnsi="宋体" w:cs="宋体"/>
          <w:color w:val="000000"/>
          <w:sz w:val="24"/>
        </w:rPr>
        <w:t xml:space="preserve"> </w:t>
      </w:r>
    </w:p>
    <w:p w14:paraId="63B6FBCD">
      <w:pPr>
        <w:snapToGrid w:val="0"/>
        <w:spacing w:before="119" w:line="272" w:lineRule="atLeast"/>
        <w:ind w:left="958"/>
        <w:rPr>
          <w:rFonts w:hint="eastAsia" w:ascii="宋体" w:hAnsi="宋体" w:cs="宋体"/>
          <w:color w:val="000000"/>
          <w:sz w:val="24"/>
        </w:rPr>
      </w:pPr>
    </w:p>
    <w:p w14:paraId="5AE1B638">
      <w:pPr>
        <w:snapToGrid w:val="0"/>
        <w:spacing w:before="119" w:line="272" w:lineRule="atLeast"/>
        <w:rPr>
          <w:rFonts w:hint="eastAsia" w:ascii="宋体" w:hAnsi="宋体" w:cs="宋体"/>
          <w:color w:val="000000"/>
          <w:sz w:val="24"/>
        </w:rPr>
      </w:pPr>
    </w:p>
    <w:p w14:paraId="2A9A466A">
      <w:pPr>
        <w:snapToGrid w:val="0"/>
        <w:spacing w:before="119" w:line="272" w:lineRule="atLeast"/>
        <w:rPr>
          <w:rFonts w:hint="eastAsia" w:ascii="宋体" w:hAnsi="宋体" w:cs="宋体"/>
          <w:color w:val="000000"/>
          <w:sz w:val="24"/>
        </w:rPr>
      </w:pPr>
    </w:p>
    <w:p w14:paraId="0064A4D3">
      <w:pPr>
        <w:snapToGrid w:val="0"/>
        <w:spacing w:before="119" w:line="272" w:lineRule="atLeast"/>
        <w:ind w:firstLine="960" w:firstLineChars="400"/>
        <w:rPr>
          <w:rFonts w:hint="eastAsia" w:ascii="宋体" w:hAnsi="宋体" w:cs="宋体"/>
          <w:color w:val="000000"/>
          <w:sz w:val="24"/>
        </w:rPr>
      </w:pPr>
      <w:r>
        <w:rPr>
          <w:rFonts w:hint="eastAsia" w:ascii="宋体" w:hAnsi="宋体" w:cs="宋体"/>
          <w:color w:val="000000"/>
          <w:sz w:val="24"/>
        </w:rPr>
        <w:t>采购人：</w:t>
      </w:r>
      <w:r>
        <w:rPr>
          <w:rFonts w:hint="eastAsia" w:ascii="宋体" w:hAnsi="宋体" w:cs="宋体"/>
          <w:color w:val="000000"/>
          <w:sz w:val="24"/>
          <w:u w:val="single"/>
        </w:rPr>
        <w:t xml:space="preserve">                              </w:t>
      </w:r>
      <w:r>
        <w:rPr>
          <w:rFonts w:hint="eastAsia" w:ascii="宋体" w:hAnsi="宋体" w:cs="宋体"/>
          <w:color w:val="000000"/>
          <w:sz w:val="24"/>
          <w:u w:val="single"/>
          <w:lang w:val="en-US" w:eastAsia="zh-CN"/>
        </w:rPr>
        <w:t xml:space="preserve">    </w:t>
      </w:r>
      <w:r>
        <w:rPr>
          <w:rFonts w:hint="eastAsia" w:ascii="宋体" w:hAnsi="宋体" w:cs="宋体"/>
          <w:color w:val="000000"/>
          <w:sz w:val="24"/>
          <w:u w:val="single"/>
        </w:rPr>
        <w:t xml:space="preserve">    </w:t>
      </w:r>
      <w:r>
        <w:rPr>
          <w:rFonts w:hint="eastAsia" w:ascii="宋体" w:hAnsi="宋体" w:cs="宋体"/>
          <w:color w:val="000000"/>
          <w:sz w:val="24"/>
        </w:rPr>
        <w:t>（以下称甲方）　</w:t>
      </w:r>
    </w:p>
    <w:p w14:paraId="55F53A75">
      <w:pPr>
        <w:snapToGrid w:val="0"/>
        <w:spacing w:before="119" w:line="272" w:lineRule="atLeast"/>
        <w:ind w:left="958"/>
        <w:rPr>
          <w:rFonts w:hint="eastAsia" w:ascii="宋体" w:hAnsi="宋体" w:cs="宋体"/>
          <w:color w:val="000000"/>
          <w:sz w:val="24"/>
        </w:rPr>
      </w:pPr>
      <w:r>
        <w:rPr>
          <w:rFonts w:hint="eastAsia" w:ascii="宋体" w:hAnsi="宋体" w:cs="宋体"/>
          <w:color w:val="000000"/>
          <w:sz w:val="24"/>
        </w:rPr>
        <w:t xml:space="preserve">　　   　  　  </w:t>
      </w:r>
    </w:p>
    <w:p w14:paraId="2EF54B33">
      <w:pPr>
        <w:snapToGrid w:val="0"/>
        <w:spacing w:before="119" w:line="272" w:lineRule="atLeast"/>
        <w:ind w:firstLine="960" w:firstLineChars="400"/>
        <w:rPr>
          <w:rFonts w:hint="eastAsia" w:ascii="宋体" w:hAnsi="宋体" w:cs="宋体"/>
          <w:color w:val="000000"/>
          <w:sz w:val="24"/>
        </w:rPr>
      </w:pPr>
      <w:r>
        <w:rPr>
          <w:rFonts w:hint="eastAsia" w:ascii="宋体" w:hAnsi="宋体" w:cs="宋体"/>
          <w:color w:val="000000"/>
          <w:sz w:val="24"/>
          <w:lang w:val="en-US" w:eastAsia="zh-CN"/>
        </w:rPr>
        <w:t>成交供应商</w:t>
      </w:r>
      <w:r>
        <w:rPr>
          <w:rFonts w:hint="eastAsia" w:ascii="宋体" w:hAnsi="宋体" w:cs="宋体"/>
          <w:color w:val="000000"/>
          <w:sz w:val="24"/>
        </w:rPr>
        <w:t>：</w:t>
      </w:r>
      <w:r>
        <w:rPr>
          <w:rFonts w:hint="eastAsia" w:ascii="宋体" w:hAnsi="宋体" w:cs="宋体"/>
          <w:color w:val="000000"/>
          <w:sz w:val="24"/>
          <w:u w:val="single"/>
        </w:rPr>
        <w:t xml:space="preserve">                                  </w:t>
      </w:r>
      <w:r>
        <w:rPr>
          <w:rFonts w:hint="eastAsia" w:ascii="宋体" w:hAnsi="宋体" w:cs="宋体"/>
          <w:color w:val="000000"/>
          <w:sz w:val="24"/>
        </w:rPr>
        <w:t>（以下称乙方）　</w:t>
      </w:r>
    </w:p>
    <w:p w14:paraId="2F22FD16">
      <w:pPr>
        <w:snapToGrid w:val="0"/>
        <w:spacing w:before="119" w:line="272" w:lineRule="atLeast"/>
        <w:ind w:left="958"/>
        <w:rPr>
          <w:rFonts w:hint="eastAsia" w:ascii="宋体" w:hAnsi="宋体" w:cs="宋体"/>
          <w:color w:val="000000"/>
          <w:sz w:val="24"/>
        </w:rPr>
      </w:pPr>
      <w:r>
        <w:rPr>
          <w:rFonts w:hint="eastAsia" w:ascii="宋体" w:hAnsi="宋体" w:cs="宋体"/>
          <w:color w:val="000000"/>
          <w:sz w:val="24"/>
        </w:rPr>
        <w:t xml:space="preserve">　　  　     </w:t>
      </w:r>
    </w:p>
    <w:p w14:paraId="5BAB3419">
      <w:pPr>
        <w:snapToGrid w:val="0"/>
        <w:spacing w:before="119" w:line="272" w:lineRule="atLeast"/>
        <w:ind w:left="958"/>
        <w:jc w:val="center"/>
        <w:rPr>
          <w:rFonts w:hint="eastAsia" w:ascii="宋体" w:hAnsi="宋体" w:cs="宋体"/>
          <w:color w:val="000000"/>
          <w:sz w:val="24"/>
        </w:rPr>
      </w:pPr>
    </w:p>
    <w:p w14:paraId="6ADD94E7">
      <w:pPr>
        <w:rPr>
          <w:rFonts w:hint="eastAsia" w:ascii="宋体" w:hAnsi="宋体" w:cs="宋体"/>
          <w:color w:val="000000"/>
          <w:sz w:val="24"/>
        </w:rPr>
      </w:pPr>
    </w:p>
    <w:p w14:paraId="649A59DC">
      <w:pPr>
        <w:rPr>
          <w:rFonts w:hint="eastAsia"/>
        </w:rPr>
      </w:pPr>
    </w:p>
    <w:p w14:paraId="7595CDCB">
      <w:pPr>
        <w:pStyle w:val="15"/>
        <w:rPr>
          <w:rFonts w:hint="eastAsia"/>
        </w:rPr>
      </w:pPr>
    </w:p>
    <w:p w14:paraId="49C4E9C3">
      <w:pPr>
        <w:snapToGrid w:val="0"/>
        <w:spacing w:before="119" w:line="272" w:lineRule="atLeast"/>
        <w:ind w:left="958"/>
        <w:jc w:val="center"/>
        <w:rPr>
          <w:rFonts w:hint="eastAsia" w:ascii="宋体" w:hAnsi="宋体" w:cs="宋体"/>
          <w:color w:val="000000"/>
          <w:sz w:val="24"/>
        </w:rPr>
      </w:pPr>
    </w:p>
    <w:p w14:paraId="6A53C103">
      <w:pPr>
        <w:snapToGrid w:val="0"/>
        <w:spacing w:before="119" w:line="272" w:lineRule="atLeast"/>
        <w:ind w:firstLine="1200" w:firstLineChars="500"/>
        <w:rPr>
          <w:rFonts w:hint="eastAsia" w:ascii="宋体" w:hAnsi="宋体" w:cs="宋体"/>
          <w:color w:val="000000"/>
          <w:sz w:val="24"/>
        </w:rPr>
      </w:pPr>
      <w:r>
        <w:rPr>
          <w:rFonts w:hint="eastAsia" w:ascii="宋体" w:hAnsi="宋体" w:cs="宋体"/>
          <w:color w:val="000000"/>
          <w:sz w:val="24"/>
        </w:rPr>
        <w:t>签署地点：</w:t>
      </w:r>
      <w:r>
        <w:rPr>
          <w:rFonts w:hint="eastAsia" w:ascii="宋体" w:hAnsi="宋体" w:cs="宋体"/>
          <w:color w:val="000000"/>
          <w:sz w:val="24"/>
          <w:u w:val="single"/>
        </w:rPr>
        <w:t xml:space="preserve">                                         </w:t>
      </w:r>
    </w:p>
    <w:p w14:paraId="56BCA29D">
      <w:pPr>
        <w:snapToGrid w:val="0"/>
        <w:spacing w:before="119" w:line="272" w:lineRule="atLeast"/>
        <w:ind w:left="958"/>
        <w:rPr>
          <w:rFonts w:hint="eastAsia" w:ascii="宋体" w:hAnsi="宋体" w:cs="宋体"/>
          <w:color w:val="000000"/>
          <w:sz w:val="24"/>
        </w:rPr>
      </w:pPr>
    </w:p>
    <w:p w14:paraId="24AA52D1">
      <w:pPr>
        <w:snapToGrid w:val="0"/>
        <w:spacing w:before="119" w:line="272" w:lineRule="atLeast"/>
        <w:ind w:firstLine="1200" w:firstLineChars="500"/>
        <w:rPr>
          <w:rFonts w:hint="eastAsia" w:ascii="华文仿宋" w:hAnsi="华文仿宋" w:eastAsia="华文仿宋"/>
          <w:b/>
          <w:bCs/>
          <w:spacing w:val="-20"/>
          <w:sz w:val="24"/>
        </w:rPr>
      </w:pPr>
      <w:r>
        <w:rPr>
          <w:rFonts w:hint="eastAsia" w:ascii="宋体" w:hAnsi="宋体" w:cs="宋体"/>
          <w:color w:val="000000"/>
          <w:sz w:val="24"/>
        </w:rPr>
        <w:t>签署日期：</w:t>
      </w:r>
      <w:r>
        <w:rPr>
          <w:rFonts w:hint="eastAsia" w:ascii="宋体" w:hAnsi="宋体" w:cs="宋体"/>
          <w:color w:val="000000"/>
          <w:sz w:val="24"/>
          <w:u w:val="single"/>
        </w:rPr>
        <w:t xml:space="preserve">                                         </w:t>
      </w:r>
    </w:p>
    <w:p w14:paraId="2AB3FAB3">
      <w:pPr>
        <w:spacing w:line="360" w:lineRule="auto"/>
        <w:ind w:firstLine="0" w:firstLineChars="0"/>
        <w:jc w:val="center"/>
        <w:rPr>
          <w:rFonts w:hint="eastAsia" w:ascii="宋体" w:hAnsi="宋体"/>
          <w:color w:val="auto"/>
          <w:highlight w:val="none"/>
        </w:rPr>
      </w:pPr>
      <w:bookmarkStart w:id="1017" w:name="_Toc7362"/>
      <w:bookmarkStart w:id="1018" w:name="_Toc25587"/>
      <w:bookmarkStart w:id="1019" w:name="_Toc21341"/>
      <w:bookmarkStart w:id="1020" w:name="_Toc25709"/>
      <w:bookmarkStart w:id="1021" w:name="_Toc21693"/>
      <w:bookmarkStart w:id="1022" w:name="_Toc9940"/>
      <w:bookmarkStart w:id="1023" w:name="_Toc26290"/>
      <w:bookmarkStart w:id="1024" w:name="_Toc26263"/>
      <w:bookmarkStart w:id="1025" w:name="_Toc27736"/>
      <w:r>
        <w:rPr>
          <w:rFonts w:hint="eastAsia" w:ascii="宋体" w:hAnsi="宋体" w:cs="宋体"/>
          <w:b/>
          <w:bCs/>
          <w:color w:val="auto"/>
          <w:sz w:val="28"/>
          <w:szCs w:val="28"/>
          <w:highlight w:val="none"/>
          <w:lang w:eastAsia="zh-CN"/>
        </w:rPr>
        <w:t>小南海镇周红坂村老年活动中心及厨房改造采购项目采购</w:t>
      </w:r>
      <w:r>
        <w:rPr>
          <w:rFonts w:hint="eastAsia" w:ascii="宋体" w:hAnsi="宋体" w:cs="宋体"/>
          <w:b/>
          <w:bCs/>
          <w:color w:val="auto"/>
          <w:sz w:val="28"/>
          <w:szCs w:val="28"/>
          <w:highlight w:val="none"/>
          <w:lang w:val="en-US" w:eastAsia="zh-CN"/>
        </w:rPr>
        <w:t>合同</w:t>
      </w:r>
    </w:p>
    <w:p w14:paraId="1D1BFD36">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default" w:ascii="宋体" w:hAnsi="宋体" w:eastAsia="宋体" w:cs="宋体"/>
          <w:color w:val="auto"/>
          <w:szCs w:val="20"/>
          <w:lang w:val="en-US" w:eastAsia="zh-CN"/>
        </w:rPr>
      </w:pPr>
      <w:r>
        <w:rPr>
          <w:rFonts w:hint="eastAsia" w:ascii="宋体" w:hAnsi="宋体" w:eastAsia="宋体" w:cs="宋体"/>
          <w:color w:val="auto"/>
          <w:szCs w:val="20"/>
          <w:lang w:val="en-US" w:eastAsia="zh-CN"/>
        </w:rPr>
        <w:t>项目名称：</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p>
    <w:p w14:paraId="2F719F57">
      <w:pPr>
        <w:keepNext w:val="0"/>
        <w:keepLines w:val="0"/>
        <w:pageBreakBefore w:val="0"/>
        <w:widowControl w:val="0"/>
        <w:kinsoku/>
        <w:wordWrap/>
        <w:overflowPunct/>
        <w:topLinePunct w:val="0"/>
        <w:autoSpaceDE/>
        <w:autoSpaceDN/>
        <w:bidi w:val="0"/>
        <w:adjustRightInd/>
        <w:snapToGrid/>
        <w:spacing w:line="312" w:lineRule="auto"/>
        <w:ind w:left="0" w:leftChars="0" w:right="0" w:rightChars="0" w:firstLine="480" w:firstLineChars="200"/>
        <w:textAlignment w:val="auto"/>
        <w:rPr>
          <w:rFonts w:hint="eastAsia" w:ascii="宋体" w:hAnsi="宋体" w:eastAsia="宋体" w:cs="宋体"/>
          <w:color w:val="auto"/>
          <w:szCs w:val="20"/>
        </w:rPr>
      </w:pPr>
      <w:r>
        <w:rPr>
          <w:rFonts w:hint="eastAsia" w:ascii="宋体" w:hAnsi="宋体" w:eastAsia="宋体" w:cs="宋体"/>
          <w:color w:val="auto"/>
          <w:szCs w:val="20"/>
          <w:lang w:val="en-US" w:eastAsia="zh-CN"/>
        </w:rPr>
        <w:t>项目</w:t>
      </w:r>
      <w:r>
        <w:rPr>
          <w:rFonts w:hint="eastAsia" w:ascii="宋体" w:hAnsi="宋体" w:eastAsia="宋体" w:cs="宋体"/>
          <w:color w:val="auto"/>
          <w:szCs w:val="20"/>
        </w:rPr>
        <w:t>编号：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Cs w:val="20"/>
        </w:rPr>
        <w:t xml:space="preserve">   </w:t>
      </w:r>
    </w:p>
    <w:p w14:paraId="55AB0481">
      <w:pPr>
        <w:keepNext w:val="0"/>
        <w:keepLines w:val="0"/>
        <w:pageBreakBefore w:val="0"/>
        <w:widowControl w:val="0"/>
        <w:kinsoku/>
        <w:wordWrap/>
        <w:overflowPunct/>
        <w:topLinePunct w:val="0"/>
        <w:autoSpaceDE/>
        <w:autoSpaceDN/>
        <w:bidi w:val="0"/>
        <w:adjustRightInd/>
        <w:snapToGrid/>
        <w:spacing w:line="312"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（以下称甲方）　</w:t>
      </w:r>
    </w:p>
    <w:p w14:paraId="0FB1AE9D">
      <w:pPr>
        <w:keepNext w:val="0"/>
        <w:keepLines w:val="0"/>
        <w:pageBreakBefore w:val="0"/>
        <w:widowControl w:val="0"/>
        <w:kinsoku/>
        <w:wordWrap/>
        <w:overflowPunct/>
        <w:topLinePunct w:val="0"/>
        <w:autoSpaceDE/>
        <w:autoSpaceDN/>
        <w:bidi w:val="0"/>
        <w:adjustRightInd/>
        <w:snapToGrid/>
        <w:spacing w:line="312"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000000"/>
          <w:sz w:val="24"/>
          <w:szCs w:val="24"/>
          <w:lang w:val="en-US" w:eastAsia="zh-CN"/>
        </w:rPr>
        <w:t>成交供应商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（以下称乙方）　</w:t>
      </w:r>
    </w:p>
    <w:p w14:paraId="50AD5405">
      <w:pPr>
        <w:keepNext w:val="0"/>
        <w:keepLines w:val="0"/>
        <w:pageBreakBefore w:val="0"/>
        <w:kinsoku/>
        <w:wordWrap/>
        <w:overflowPunct/>
        <w:topLinePunct w:val="0"/>
        <w:bidi w:val="0"/>
        <w:spacing w:line="312" w:lineRule="auto"/>
        <w:ind w:left="0" w:leftChars="0" w:right="0" w:rightChars="0" w:firstLine="480" w:firstLineChars="200"/>
        <w:textAlignment w:val="auto"/>
        <w:rPr>
          <w:rFonts w:hint="eastAsia" w:ascii="宋体" w:hAnsi="宋体" w:eastAsia="宋体" w:cs="宋体"/>
          <w:color w:val="auto"/>
          <w:sz w:val="24"/>
          <w:szCs w:val="24"/>
        </w:rPr>
      </w:pP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年</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月</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日</w:t>
      </w:r>
      <w:r>
        <w:rPr>
          <w:rFonts w:hint="eastAsia" w:ascii="宋体" w:hAnsi="宋体" w:eastAsia="宋体" w:cs="宋体"/>
          <w:sz w:val="24"/>
          <w:szCs w:val="24"/>
        </w:rPr>
        <w:t>，</w:t>
      </w:r>
      <w:r>
        <w:rPr>
          <w:rFonts w:hint="eastAsia" w:ascii="宋体" w:hAnsi="宋体" w:eastAsia="宋体" w:cs="宋体"/>
          <w:color w:val="auto"/>
          <w:sz w:val="24"/>
          <w:szCs w:val="24"/>
          <w:u w:val="single"/>
        </w:rPr>
        <w:t xml:space="preserve">   （采购人）   </w:t>
      </w:r>
      <w:r>
        <w:rPr>
          <w:rFonts w:hint="eastAsia" w:ascii="宋体" w:hAnsi="宋体" w:eastAsia="宋体" w:cs="宋体"/>
          <w:color w:val="auto"/>
          <w:sz w:val="24"/>
          <w:szCs w:val="24"/>
        </w:rPr>
        <w:t>以</w:t>
      </w:r>
      <w:r>
        <w:rPr>
          <w:rFonts w:hint="eastAsia" w:ascii="宋体" w:hAnsi="宋体" w:eastAsia="宋体" w:cs="宋体"/>
          <w:color w:val="auto"/>
          <w:sz w:val="24"/>
          <w:szCs w:val="24"/>
          <w:u w:val="single"/>
        </w:rPr>
        <w:t xml:space="preserve">   （采购方式）  </w:t>
      </w:r>
      <w:r>
        <w:rPr>
          <w:rFonts w:hint="eastAsia" w:ascii="宋体" w:hAnsi="宋体" w:eastAsia="宋体" w:cs="宋体"/>
          <w:color w:val="auto"/>
          <w:sz w:val="24"/>
          <w:szCs w:val="24"/>
        </w:rPr>
        <w:t>对</w:t>
      </w:r>
      <w:r>
        <w:rPr>
          <w:rFonts w:hint="eastAsia" w:ascii="宋体" w:hAnsi="宋体" w:eastAsia="宋体" w:cs="宋体"/>
          <w:color w:val="auto"/>
          <w:sz w:val="24"/>
          <w:szCs w:val="24"/>
          <w:u w:val="single"/>
        </w:rPr>
        <w:t xml:space="preserve">  （项目名称）    </w:t>
      </w:r>
      <w:r>
        <w:rPr>
          <w:rFonts w:hint="eastAsia" w:ascii="宋体" w:hAnsi="宋体" w:eastAsia="宋体" w:cs="宋体"/>
          <w:color w:val="auto"/>
          <w:sz w:val="24"/>
          <w:szCs w:val="24"/>
        </w:rPr>
        <w:t>项目进行了采购。经</w:t>
      </w:r>
      <w:r>
        <w:rPr>
          <w:rFonts w:hint="eastAsia" w:ascii="宋体" w:hAnsi="宋体" w:eastAsia="宋体" w:cs="宋体"/>
          <w:color w:val="auto"/>
          <w:sz w:val="24"/>
          <w:szCs w:val="24"/>
          <w:u w:val="single"/>
        </w:rPr>
        <w:t xml:space="preserve">   （相关评定主体名称）   </w:t>
      </w:r>
      <w:r>
        <w:rPr>
          <w:rFonts w:hint="eastAsia" w:ascii="宋体" w:hAnsi="宋体" w:eastAsia="宋体" w:cs="宋体"/>
          <w:color w:val="auto"/>
          <w:sz w:val="24"/>
          <w:szCs w:val="24"/>
        </w:rPr>
        <w:t>评定，</w:t>
      </w:r>
      <w:r>
        <w:rPr>
          <w:rFonts w:hint="eastAsia" w:ascii="宋体" w:hAnsi="宋体" w:eastAsia="宋体" w:cs="宋体"/>
          <w:color w:val="auto"/>
          <w:sz w:val="24"/>
          <w:szCs w:val="24"/>
          <w:u w:val="single"/>
        </w:rPr>
        <w:t xml:space="preserve">   （中标或者成交供应商名称） </w:t>
      </w:r>
      <w:r>
        <w:rPr>
          <w:rFonts w:hint="eastAsia" w:ascii="宋体" w:hAnsi="宋体" w:eastAsia="宋体" w:cs="宋体"/>
          <w:color w:val="auto"/>
          <w:sz w:val="24"/>
          <w:szCs w:val="24"/>
        </w:rPr>
        <w:t>为该项目中标或者成交供应商。现于中标或者成交通知书发出之日起</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0日内，按照</w:t>
      </w:r>
      <w:r>
        <w:rPr>
          <w:rFonts w:hint="eastAsia" w:ascii="宋体" w:hAnsi="宋体" w:cs="宋体"/>
          <w:color w:val="auto"/>
          <w:sz w:val="24"/>
          <w:szCs w:val="24"/>
          <w:lang w:eastAsia="zh-CN"/>
        </w:rPr>
        <w:t>磋商文件</w:t>
      </w:r>
      <w:r>
        <w:rPr>
          <w:rFonts w:hint="eastAsia" w:ascii="宋体" w:hAnsi="宋体" w:eastAsia="宋体" w:cs="宋体"/>
          <w:color w:val="auto"/>
          <w:sz w:val="24"/>
          <w:szCs w:val="24"/>
        </w:rPr>
        <w:t>确定的事项签订本合同。</w:t>
      </w:r>
    </w:p>
    <w:p w14:paraId="716D2FDE">
      <w:pPr>
        <w:keepNext w:val="0"/>
        <w:keepLines w:val="0"/>
        <w:pageBreakBefore w:val="0"/>
        <w:kinsoku/>
        <w:wordWrap/>
        <w:overflowPunct/>
        <w:topLinePunct w:val="0"/>
        <w:bidi w:val="0"/>
        <w:spacing w:line="312" w:lineRule="auto"/>
        <w:ind w:left="0" w:leftChars="0" w:right="0" w:righ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szCs w:val="24"/>
          <w:u w:val="single"/>
        </w:rPr>
        <w:t xml:space="preserve">   （采购人）   </w:t>
      </w:r>
      <w:r>
        <w:rPr>
          <w:rFonts w:hint="eastAsia" w:ascii="宋体" w:hAnsi="宋体" w:eastAsia="宋体" w:cs="宋体"/>
          <w:color w:val="auto"/>
          <w:sz w:val="24"/>
          <w:szCs w:val="24"/>
          <w:lang w:val="zh-CN"/>
        </w:rPr>
        <w:t>(以下简称：甲方)和</w:t>
      </w:r>
      <w:r>
        <w:rPr>
          <w:rFonts w:hint="eastAsia" w:ascii="宋体" w:hAnsi="宋体" w:eastAsia="宋体" w:cs="宋体"/>
          <w:color w:val="auto"/>
          <w:sz w:val="24"/>
          <w:szCs w:val="24"/>
          <w:u w:val="single"/>
        </w:rPr>
        <w:t xml:space="preserve">   </w:t>
      </w:r>
      <w:r>
        <w:rPr>
          <w:rFonts w:hint="eastAsia" w:ascii="宋体" w:hAnsi="宋体" w:cs="宋体"/>
          <w:color w:val="auto"/>
          <w:sz w:val="24"/>
          <w:szCs w:val="24"/>
          <w:u w:val="single"/>
          <w:lang w:eastAsia="zh-CN"/>
        </w:rPr>
        <w:t>（</w:t>
      </w:r>
      <w:r>
        <w:rPr>
          <w:rFonts w:hint="eastAsia" w:ascii="宋体" w:hAnsi="宋体" w:eastAsia="宋体" w:cs="宋体"/>
          <w:color w:val="auto"/>
          <w:sz w:val="24"/>
          <w:szCs w:val="24"/>
          <w:u w:val="single"/>
        </w:rPr>
        <w:t xml:space="preserve">或者成交供应商名称）   </w:t>
      </w:r>
      <w:r>
        <w:rPr>
          <w:rFonts w:hint="eastAsia" w:ascii="宋体" w:hAnsi="宋体" w:eastAsia="宋体" w:cs="宋体"/>
          <w:color w:val="auto"/>
          <w:sz w:val="24"/>
          <w:szCs w:val="24"/>
          <w:lang w:val="zh-CN"/>
        </w:rPr>
        <w:t>(以下简称：乙方)协商一致，约定以下合同</w:t>
      </w:r>
      <w:r>
        <w:rPr>
          <w:rFonts w:hint="eastAsia" w:ascii="宋体" w:hAnsi="宋体" w:eastAsia="宋体" w:cs="宋体"/>
          <w:color w:val="auto"/>
          <w:sz w:val="24"/>
          <w:szCs w:val="24"/>
        </w:rPr>
        <w:t>条款，以兹共同遵守、全面履行。</w:t>
      </w:r>
    </w:p>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7"/>
    <w:bookmarkEnd w:id="1018"/>
    <w:bookmarkEnd w:id="1019"/>
    <w:bookmarkEnd w:id="1020"/>
    <w:bookmarkEnd w:id="1021"/>
    <w:bookmarkEnd w:id="1022"/>
    <w:bookmarkEnd w:id="1023"/>
    <w:bookmarkEnd w:id="1024"/>
    <w:bookmarkEnd w:id="1025"/>
    <w:p w14:paraId="70B3871B">
      <w:pPr>
        <w:numPr>
          <w:ilvl w:val="0"/>
          <w:numId w:val="7"/>
        </w:numPr>
        <w:snapToGrid w:val="0"/>
        <w:spacing w:line="312" w:lineRule="auto"/>
        <w:ind w:left="-2" w:leftChars="0" w:firstLine="482" w:firstLineChars="0"/>
        <w:outlineLvl w:val="1"/>
        <w:rPr>
          <w:rFonts w:hint="eastAsia" w:ascii="宋体" w:hAnsi="宋体" w:eastAsia="宋体" w:cs="宋体"/>
          <w:b/>
          <w:szCs w:val="22"/>
        </w:rPr>
      </w:pPr>
      <w:bookmarkStart w:id="1026" w:name="_Toc27886"/>
      <w:bookmarkStart w:id="1027" w:name="_Toc13999"/>
      <w:bookmarkStart w:id="1028" w:name="_Toc14192"/>
      <w:bookmarkStart w:id="1029" w:name="_Toc30082"/>
      <w:bookmarkStart w:id="1030" w:name="_Toc2608"/>
      <w:bookmarkStart w:id="1031" w:name="_Toc23183"/>
      <w:bookmarkStart w:id="1032" w:name="_Toc402"/>
      <w:bookmarkStart w:id="1033" w:name="_Toc3002"/>
      <w:bookmarkStart w:id="1034" w:name="_Toc27623"/>
      <w:bookmarkStart w:id="1035" w:name="_Toc6490"/>
      <w:bookmarkStart w:id="1036" w:name="_Toc3319_WPSOffice_Level2"/>
      <w:bookmarkStart w:id="1037" w:name="_Toc16404"/>
      <w:bookmarkStart w:id="1038" w:name="_Toc8807_WPSOffice_Level2"/>
      <w:bookmarkStart w:id="1039" w:name="_Toc21749"/>
      <w:bookmarkStart w:id="1040" w:name="_Toc5516"/>
      <w:bookmarkStart w:id="1041" w:name="_Toc14560"/>
      <w:bookmarkStart w:id="1042" w:name="_Toc572_WPSOffice_Level2"/>
      <w:bookmarkStart w:id="1043" w:name="_Toc21838"/>
      <w:bookmarkStart w:id="1044" w:name="_Toc16967"/>
      <w:bookmarkStart w:id="1045" w:name="_Toc3968"/>
      <w:bookmarkStart w:id="1046" w:name="_Toc12927"/>
      <w:bookmarkStart w:id="1047" w:name="_Toc24043"/>
      <w:bookmarkStart w:id="1048" w:name="_Toc16693_WPSOffice_Level2"/>
      <w:bookmarkStart w:id="1049" w:name="_Toc4770"/>
      <w:bookmarkStart w:id="1050" w:name="_Toc31525"/>
      <w:bookmarkStart w:id="1051" w:name="_Toc25993_WPSOffice_Level2"/>
      <w:bookmarkStart w:id="1052" w:name="_Toc31641"/>
      <w:bookmarkStart w:id="1053" w:name="_Toc3692"/>
      <w:bookmarkStart w:id="1054" w:name="_Toc11473"/>
      <w:bookmarkStart w:id="1055" w:name="_Toc16619"/>
      <w:bookmarkStart w:id="1056" w:name="_Toc24039"/>
      <w:bookmarkStart w:id="1057" w:name="_Toc10706"/>
      <w:bookmarkStart w:id="1058" w:name="_Toc2703"/>
      <w:bookmarkStart w:id="1059" w:name="_Toc32502"/>
      <w:bookmarkStart w:id="1060" w:name="_Toc13314"/>
      <w:bookmarkStart w:id="1061" w:name="_Toc10576"/>
      <w:bookmarkStart w:id="1062" w:name="_Toc7970"/>
      <w:bookmarkStart w:id="1063" w:name="_Toc15045"/>
      <w:bookmarkStart w:id="1064" w:name="_Toc27585"/>
      <w:bookmarkStart w:id="1065" w:name="_Toc28837_WPSOffice_Level2"/>
      <w:bookmarkStart w:id="1066" w:name="_Toc25584"/>
      <w:bookmarkStart w:id="1067" w:name="_Toc9353"/>
      <w:bookmarkStart w:id="1068" w:name="_Toc116"/>
      <w:bookmarkStart w:id="1069" w:name="_Toc7749"/>
      <w:bookmarkStart w:id="1070" w:name="_Toc22605"/>
      <w:bookmarkStart w:id="1071" w:name="_Toc9443"/>
      <w:bookmarkStart w:id="1072" w:name="_Toc1407"/>
      <w:bookmarkStart w:id="1073" w:name="_Toc25303_WPSOffice_Level2"/>
      <w:bookmarkStart w:id="1074" w:name="_Toc9339"/>
      <w:bookmarkStart w:id="1075" w:name="_Toc6568"/>
      <w:bookmarkStart w:id="1076" w:name="_Toc16896"/>
      <w:bookmarkStart w:id="1077" w:name="_Toc20976"/>
      <w:bookmarkStart w:id="1078" w:name="_Toc30271"/>
      <w:bookmarkStart w:id="1079" w:name="_Toc20694"/>
      <w:bookmarkStart w:id="1080" w:name="_Toc15028"/>
      <w:bookmarkStart w:id="1081" w:name="_Toc12141"/>
      <w:bookmarkStart w:id="1082" w:name="_Toc279"/>
      <w:bookmarkStart w:id="1083" w:name="_Toc21045"/>
      <w:bookmarkStart w:id="1084" w:name="_Toc46"/>
      <w:r>
        <w:rPr>
          <w:rFonts w:hint="eastAsia" w:ascii="宋体" w:hAnsi="宋体" w:eastAsia="宋体" w:cs="宋体"/>
          <w:b/>
          <w:szCs w:val="22"/>
        </w:rPr>
        <w:t>合同文件组成</w:t>
      </w:r>
      <w:bookmarkEnd w:id="1026"/>
      <w:bookmarkEnd w:id="1027"/>
      <w:bookmarkEnd w:id="1028"/>
      <w:bookmarkEnd w:id="1029"/>
      <w:bookmarkEnd w:id="1030"/>
      <w:bookmarkEnd w:id="1031"/>
      <w:bookmarkEnd w:id="1032"/>
      <w:bookmarkEnd w:id="1033"/>
      <w:bookmarkEnd w:id="1034"/>
    </w:p>
    <w:p w14:paraId="53EE8648">
      <w:pPr>
        <w:pStyle w:val="31"/>
        <w:keepNext w:val="0"/>
        <w:keepLines w:val="0"/>
        <w:pageBreakBefore w:val="0"/>
        <w:widowControl w:val="0"/>
        <w:kinsoku/>
        <w:wordWrap/>
        <w:overflowPunct/>
        <w:topLinePunct w:val="0"/>
        <w:autoSpaceDE/>
        <w:autoSpaceDN/>
        <w:bidi w:val="0"/>
        <w:adjustRightInd/>
        <w:snapToGrid/>
        <w:spacing w:before="0" w:beforeAutospacing="0" w:after="0" w:afterAutospacing="0" w:line="312" w:lineRule="auto"/>
        <w:ind w:firstLine="480" w:firstLineChars="200"/>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1.本合同及附件</w:t>
      </w:r>
    </w:p>
    <w:p w14:paraId="16A81C49">
      <w:pPr>
        <w:pStyle w:val="31"/>
        <w:keepNext w:val="0"/>
        <w:keepLines w:val="0"/>
        <w:pageBreakBefore w:val="0"/>
        <w:widowControl w:val="0"/>
        <w:kinsoku/>
        <w:wordWrap/>
        <w:overflowPunct/>
        <w:topLinePunct w:val="0"/>
        <w:autoSpaceDE/>
        <w:autoSpaceDN/>
        <w:bidi w:val="0"/>
        <w:adjustRightInd/>
        <w:snapToGrid/>
        <w:spacing w:before="0" w:beforeAutospacing="0" w:after="0" w:afterAutospacing="0" w:line="312" w:lineRule="auto"/>
        <w:ind w:firstLine="480" w:firstLineChars="200"/>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2.</w:t>
      </w:r>
      <w:r>
        <w:rPr>
          <w:rFonts w:hint="eastAsia" w:cs="宋体"/>
          <w:color w:val="auto"/>
          <w:kern w:val="2"/>
          <w:sz w:val="24"/>
          <w:szCs w:val="20"/>
          <w:lang w:val="en-US" w:eastAsia="zh-CN" w:bidi="ar-SA"/>
        </w:rPr>
        <w:t>成交</w:t>
      </w:r>
      <w:r>
        <w:rPr>
          <w:rFonts w:hint="eastAsia" w:ascii="宋体" w:hAnsi="宋体" w:eastAsia="宋体" w:cs="宋体"/>
          <w:color w:val="auto"/>
          <w:kern w:val="2"/>
          <w:sz w:val="24"/>
          <w:szCs w:val="20"/>
          <w:lang w:val="en-US" w:eastAsia="zh-CN" w:bidi="ar-SA"/>
        </w:rPr>
        <w:t>通知书</w:t>
      </w:r>
    </w:p>
    <w:p w14:paraId="74182E09">
      <w:pPr>
        <w:pStyle w:val="31"/>
        <w:keepNext w:val="0"/>
        <w:keepLines w:val="0"/>
        <w:pageBreakBefore w:val="0"/>
        <w:widowControl w:val="0"/>
        <w:kinsoku/>
        <w:wordWrap/>
        <w:overflowPunct/>
        <w:topLinePunct w:val="0"/>
        <w:autoSpaceDE/>
        <w:autoSpaceDN/>
        <w:bidi w:val="0"/>
        <w:adjustRightInd/>
        <w:snapToGrid/>
        <w:spacing w:before="0" w:beforeAutospacing="0" w:after="0" w:afterAutospacing="0" w:line="312" w:lineRule="auto"/>
        <w:ind w:firstLine="480" w:firstLineChars="200"/>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3.</w:t>
      </w:r>
      <w:r>
        <w:rPr>
          <w:rFonts w:hint="eastAsia" w:cs="宋体"/>
          <w:color w:val="auto"/>
          <w:kern w:val="2"/>
          <w:sz w:val="24"/>
          <w:szCs w:val="20"/>
          <w:lang w:val="en-US" w:eastAsia="zh-CN" w:bidi="ar-SA"/>
        </w:rPr>
        <w:t>磋商响应</w:t>
      </w:r>
      <w:r>
        <w:rPr>
          <w:rFonts w:hint="eastAsia" w:ascii="宋体" w:hAnsi="宋体" w:eastAsia="宋体" w:cs="宋体"/>
          <w:color w:val="auto"/>
          <w:kern w:val="2"/>
          <w:sz w:val="24"/>
          <w:szCs w:val="20"/>
          <w:lang w:val="en-US" w:eastAsia="zh-CN" w:bidi="ar-SA"/>
        </w:rPr>
        <w:t>文件及其附件</w:t>
      </w:r>
    </w:p>
    <w:p w14:paraId="07047A0E">
      <w:pPr>
        <w:pStyle w:val="31"/>
        <w:keepNext w:val="0"/>
        <w:keepLines w:val="0"/>
        <w:pageBreakBefore w:val="0"/>
        <w:widowControl w:val="0"/>
        <w:kinsoku/>
        <w:wordWrap/>
        <w:overflowPunct/>
        <w:topLinePunct w:val="0"/>
        <w:autoSpaceDE/>
        <w:autoSpaceDN/>
        <w:bidi w:val="0"/>
        <w:adjustRightInd/>
        <w:snapToGrid/>
        <w:spacing w:before="0" w:beforeAutospacing="0" w:after="0" w:afterAutospacing="0" w:line="312" w:lineRule="auto"/>
        <w:ind w:firstLine="480" w:firstLineChars="200"/>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4.</w:t>
      </w:r>
      <w:r>
        <w:rPr>
          <w:rFonts w:hint="eastAsia" w:cs="宋体"/>
          <w:color w:val="auto"/>
          <w:kern w:val="2"/>
          <w:sz w:val="24"/>
          <w:szCs w:val="20"/>
          <w:lang w:val="en-US" w:eastAsia="zh-CN" w:bidi="ar-SA"/>
        </w:rPr>
        <w:t>磋商</w:t>
      </w:r>
      <w:r>
        <w:rPr>
          <w:rFonts w:hint="eastAsia" w:ascii="宋体" w:hAnsi="宋体" w:eastAsia="宋体" w:cs="宋体"/>
          <w:color w:val="auto"/>
          <w:kern w:val="2"/>
          <w:sz w:val="24"/>
          <w:szCs w:val="20"/>
          <w:lang w:val="en-US" w:eastAsia="zh-CN" w:bidi="ar-SA"/>
        </w:rPr>
        <w:t>文件</w:t>
      </w:r>
    </w:p>
    <w:p w14:paraId="3A4B0DEF">
      <w:pPr>
        <w:pStyle w:val="31"/>
        <w:keepNext w:val="0"/>
        <w:keepLines w:val="0"/>
        <w:pageBreakBefore w:val="0"/>
        <w:widowControl w:val="0"/>
        <w:kinsoku/>
        <w:wordWrap/>
        <w:overflowPunct/>
        <w:topLinePunct w:val="0"/>
        <w:autoSpaceDE/>
        <w:autoSpaceDN/>
        <w:bidi w:val="0"/>
        <w:adjustRightInd/>
        <w:snapToGrid/>
        <w:spacing w:before="0" w:beforeAutospacing="0" w:after="0" w:afterAutospacing="0" w:line="312" w:lineRule="auto"/>
        <w:ind w:firstLine="480" w:firstLineChars="200"/>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5.其他合同文件</w:t>
      </w:r>
    </w:p>
    <w:p w14:paraId="15E7FCFD">
      <w:pPr>
        <w:pStyle w:val="31"/>
        <w:keepNext w:val="0"/>
        <w:keepLines w:val="0"/>
        <w:pageBreakBefore w:val="0"/>
        <w:widowControl w:val="0"/>
        <w:kinsoku/>
        <w:wordWrap/>
        <w:overflowPunct/>
        <w:topLinePunct w:val="0"/>
        <w:autoSpaceDE/>
        <w:autoSpaceDN/>
        <w:bidi w:val="0"/>
        <w:adjustRightInd/>
        <w:snapToGrid/>
        <w:spacing w:before="0" w:beforeAutospacing="0" w:after="0" w:afterAutospacing="0" w:line="312" w:lineRule="auto"/>
        <w:ind w:left="0" w:firstLine="480" w:firstLineChars="200"/>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6.在合同订立及履行过程中形成的与本合同有关的文件均构成合同文件组成部分。</w:t>
      </w:r>
    </w:p>
    <w:p w14:paraId="727D599F">
      <w:pPr>
        <w:pStyle w:val="31"/>
        <w:keepNext w:val="0"/>
        <w:keepLines w:val="0"/>
        <w:pageBreakBefore w:val="0"/>
        <w:widowControl w:val="0"/>
        <w:kinsoku/>
        <w:wordWrap/>
        <w:overflowPunct/>
        <w:topLinePunct w:val="0"/>
        <w:autoSpaceDE/>
        <w:autoSpaceDN/>
        <w:bidi w:val="0"/>
        <w:adjustRightInd/>
        <w:snapToGrid/>
        <w:spacing w:before="0" w:beforeAutospacing="0" w:after="0" w:afterAutospacing="0" w:line="312" w:lineRule="auto"/>
        <w:ind w:left="0" w:firstLine="480" w:firstLineChars="200"/>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注：上述各项合同文件包括合同当事人就该项合同文件所</w:t>
      </w:r>
      <w:r>
        <w:rPr>
          <w:rFonts w:hint="eastAsia" w:cs="宋体"/>
          <w:color w:val="auto"/>
          <w:kern w:val="2"/>
          <w:sz w:val="24"/>
          <w:szCs w:val="20"/>
          <w:lang w:val="en-US" w:eastAsia="zh-CN" w:bidi="ar-SA"/>
        </w:rPr>
        <w:t>做出</w:t>
      </w:r>
      <w:r>
        <w:rPr>
          <w:rFonts w:hint="eastAsia" w:ascii="宋体" w:hAnsi="宋体" w:eastAsia="宋体" w:cs="宋体"/>
          <w:color w:val="auto"/>
          <w:kern w:val="2"/>
          <w:sz w:val="24"/>
          <w:szCs w:val="20"/>
          <w:lang w:val="en-US" w:eastAsia="zh-CN" w:bidi="ar-SA"/>
        </w:rPr>
        <w:t>的补充和修改，属于同</w:t>
      </w:r>
      <w:r>
        <w:rPr>
          <w:rFonts w:hint="eastAsia" w:cs="宋体"/>
          <w:color w:val="auto"/>
          <w:kern w:val="2"/>
          <w:sz w:val="24"/>
          <w:szCs w:val="20"/>
          <w:lang w:val="en-US" w:eastAsia="zh-CN" w:bidi="ar-SA"/>
        </w:rPr>
        <w:t>一项</w:t>
      </w:r>
      <w:r>
        <w:rPr>
          <w:rFonts w:hint="eastAsia" w:ascii="宋体" w:hAnsi="宋体" w:eastAsia="宋体" w:cs="宋体"/>
          <w:color w:val="auto"/>
          <w:kern w:val="2"/>
          <w:sz w:val="24"/>
          <w:szCs w:val="20"/>
          <w:lang w:val="en-US" w:eastAsia="zh-CN" w:bidi="ar-SA"/>
        </w:rPr>
        <w:t>内容的文件，以最新签署的为准。</w:t>
      </w:r>
    </w:p>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p w14:paraId="12609E1A">
      <w:pPr>
        <w:keepNext w:val="0"/>
        <w:keepLines w:val="0"/>
        <w:pageBreakBefore w:val="0"/>
        <w:numPr>
          <w:ilvl w:val="0"/>
          <w:numId w:val="7"/>
        </w:numPr>
        <w:kinsoku/>
        <w:wordWrap/>
        <w:overflowPunct/>
        <w:topLinePunct w:val="0"/>
        <w:bidi w:val="0"/>
        <w:snapToGrid w:val="0"/>
        <w:spacing w:line="312" w:lineRule="auto"/>
        <w:ind w:left="0" w:leftChars="0" w:firstLine="482" w:firstLineChars="200"/>
        <w:outlineLvl w:val="1"/>
        <w:rPr>
          <w:rFonts w:hint="eastAsia" w:ascii="宋体" w:hAnsi="宋体" w:eastAsia="宋体" w:cs="宋体"/>
          <w:b/>
          <w:szCs w:val="22"/>
        </w:rPr>
      </w:pPr>
      <w:bookmarkStart w:id="1085" w:name="_Toc7550"/>
      <w:bookmarkStart w:id="1086" w:name="_Toc5324"/>
      <w:bookmarkStart w:id="1087" w:name="_Toc10636"/>
      <w:bookmarkStart w:id="1088" w:name="_Toc4550"/>
      <w:bookmarkStart w:id="1089" w:name="_Toc11747"/>
      <w:bookmarkStart w:id="1090" w:name="_Toc112"/>
      <w:bookmarkStart w:id="1091" w:name="_Toc25620"/>
      <w:bookmarkStart w:id="1092" w:name="_Toc8464"/>
      <w:bookmarkStart w:id="1093" w:name="_Toc17666"/>
      <w:bookmarkStart w:id="1094" w:name="_Toc2298"/>
      <w:bookmarkStart w:id="1095" w:name="_Toc28758"/>
      <w:r>
        <w:rPr>
          <w:rFonts w:hint="eastAsia" w:ascii="宋体" w:hAnsi="宋体" w:eastAsia="宋体" w:cs="宋体"/>
          <w:b/>
          <w:szCs w:val="22"/>
        </w:rPr>
        <w:t>合同金额</w:t>
      </w:r>
      <w:bookmarkEnd w:id="1085"/>
      <w:bookmarkEnd w:id="1086"/>
      <w:bookmarkEnd w:id="1087"/>
    </w:p>
    <w:p w14:paraId="3CE41ADA">
      <w:pPr>
        <w:keepNext w:val="0"/>
        <w:keepLines w:val="0"/>
        <w:pageBreakBefore w:val="0"/>
        <w:widowControl w:val="0"/>
        <w:tabs>
          <w:tab w:val="left" w:pos="5925"/>
        </w:tabs>
        <w:kinsoku/>
        <w:wordWrap/>
        <w:overflowPunct/>
        <w:topLinePunct w:val="0"/>
        <w:autoSpaceDE/>
        <w:autoSpaceDN/>
        <w:bidi w:val="0"/>
        <w:snapToGrid w:val="0"/>
        <w:spacing w:line="312" w:lineRule="auto"/>
        <w:ind w:firstLine="480" w:firstLineChars="200"/>
        <w:textAlignment w:val="auto"/>
        <w:rPr>
          <w:rFonts w:hint="eastAsia" w:ascii="宋体" w:hAnsi="宋体" w:eastAsia="宋体" w:cs="宋体"/>
          <w:b w:val="0"/>
          <w:bCs w:val="0"/>
          <w:caps w:val="0"/>
          <w:kern w:val="2"/>
          <w:sz w:val="24"/>
          <w:szCs w:val="24"/>
          <w:highlight w:val="none"/>
          <w:lang w:val="en-US" w:eastAsia="zh-CN" w:bidi="ar-SA"/>
        </w:rPr>
      </w:pPr>
      <w:r>
        <w:rPr>
          <w:rFonts w:hint="eastAsia" w:ascii="宋体" w:hAnsi="宋体" w:eastAsia="宋体" w:cs="宋体"/>
          <w:b w:val="0"/>
          <w:bCs w:val="0"/>
          <w:caps w:val="0"/>
          <w:kern w:val="2"/>
          <w:sz w:val="24"/>
          <w:szCs w:val="24"/>
          <w:highlight w:val="none"/>
          <w:lang w:val="en-US" w:eastAsia="zh-CN" w:bidi="ar-SA"/>
        </w:rPr>
        <w:t>1.合同金额：人民币大写：</w:t>
      </w:r>
      <w:r>
        <w:rPr>
          <w:rFonts w:hint="eastAsia" w:ascii="宋体" w:hAnsi="宋体" w:eastAsia="宋体" w:cs="宋体"/>
          <w:b w:val="0"/>
          <w:bCs w:val="0"/>
          <w:caps w:val="0"/>
          <w:kern w:val="2"/>
          <w:sz w:val="24"/>
          <w:szCs w:val="24"/>
          <w:highlight w:val="none"/>
          <w:u w:val="single"/>
          <w:lang w:val="en-US" w:eastAsia="zh-CN" w:bidi="ar-SA"/>
        </w:rPr>
        <w:t xml:space="preserve">         </w:t>
      </w:r>
      <w:r>
        <w:rPr>
          <w:rFonts w:hint="eastAsia" w:ascii="宋体" w:hAnsi="宋体" w:eastAsia="宋体" w:cs="宋体"/>
          <w:b w:val="0"/>
          <w:bCs w:val="0"/>
          <w:caps w:val="0"/>
          <w:kern w:val="2"/>
          <w:sz w:val="24"/>
          <w:szCs w:val="24"/>
          <w:highlight w:val="none"/>
          <w:lang w:val="en-US" w:eastAsia="zh-CN" w:bidi="ar-SA"/>
        </w:rPr>
        <w:t>整，小写¥：</w:t>
      </w:r>
      <w:r>
        <w:rPr>
          <w:rFonts w:hint="eastAsia" w:ascii="宋体" w:hAnsi="宋体" w:eastAsia="宋体" w:cs="宋体"/>
          <w:b w:val="0"/>
          <w:bCs w:val="0"/>
          <w:caps w:val="0"/>
          <w:kern w:val="2"/>
          <w:sz w:val="24"/>
          <w:szCs w:val="24"/>
          <w:highlight w:val="none"/>
          <w:u w:val="single"/>
          <w:lang w:val="en-US" w:eastAsia="zh-CN" w:bidi="ar-SA"/>
        </w:rPr>
        <w:t xml:space="preserve">      </w:t>
      </w:r>
      <w:r>
        <w:rPr>
          <w:rFonts w:hint="eastAsia" w:ascii="宋体" w:hAnsi="宋体" w:eastAsia="宋体" w:cs="宋体"/>
          <w:b w:val="0"/>
          <w:bCs w:val="0"/>
          <w:caps w:val="0"/>
          <w:kern w:val="2"/>
          <w:sz w:val="24"/>
          <w:szCs w:val="24"/>
          <w:highlight w:val="none"/>
          <w:lang w:val="en-US" w:eastAsia="zh-CN" w:bidi="ar-SA"/>
        </w:rPr>
        <w:t>元；</w:t>
      </w:r>
      <w:r>
        <w:rPr>
          <w:rFonts w:hint="eastAsia" w:ascii="宋体" w:hAnsi="宋体" w:cs="宋体"/>
          <w:b w:val="0"/>
          <w:bCs w:val="0"/>
          <w:color w:val="auto"/>
          <w:sz w:val="24"/>
          <w:szCs w:val="24"/>
          <w:highlight w:val="none"/>
          <w:lang w:val="en-US" w:eastAsia="zh-CN"/>
        </w:rPr>
        <w:t>清单详见合同附件</w:t>
      </w:r>
      <w:r>
        <w:rPr>
          <w:rFonts w:hint="eastAsia" w:ascii="宋体" w:hAnsi="宋体" w:eastAsia="宋体" w:cs="宋体"/>
          <w:b w:val="0"/>
          <w:bCs w:val="0"/>
          <w:color w:val="auto"/>
          <w:sz w:val="24"/>
          <w:szCs w:val="24"/>
          <w:highlight w:val="none"/>
          <w:lang w:val="en-US" w:eastAsia="zh-CN"/>
        </w:rPr>
        <w:t>。</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8"/>
        <w:gridCol w:w="2992"/>
        <w:gridCol w:w="1075"/>
        <w:gridCol w:w="1000"/>
        <w:gridCol w:w="1478"/>
        <w:gridCol w:w="1301"/>
      </w:tblGrid>
      <w:tr w14:paraId="20414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988" w:type="dxa"/>
            <w:noWrap w:val="0"/>
            <w:vAlign w:val="center"/>
          </w:tcPr>
          <w:p w14:paraId="3B24318A">
            <w:pPr>
              <w:keepNext w:val="0"/>
              <w:keepLines w:val="0"/>
              <w:suppressLineNumbers w:val="0"/>
              <w:snapToGrid w:val="0"/>
              <w:spacing w:before="0" w:beforeAutospacing="0" w:after="0" w:afterAutospacing="0" w:line="36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采购产品名称</w:t>
            </w:r>
          </w:p>
        </w:tc>
        <w:tc>
          <w:tcPr>
            <w:tcW w:w="2992" w:type="dxa"/>
            <w:noWrap w:val="0"/>
            <w:vAlign w:val="center"/>
          </w:tcPr>
          <w:p w14:paraId="3C33B3B7">
            <w:pPr>
              <w:keepNext w:val="0"/>
              <w:keepLines w:val="0"/>
              <w:suppressLineNumbers w:val="0"/>
              <w:snapToGrid w:val="0"/>
              <w:spacing w:before="0" w:beforeAutospacing="0" w:after="0" w:afterAutospacing="0" w:line="36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型号规格和主要配置</w:t>
            </w:r>
          </w:p>
        </w:tc>
        <w:tc>
          <w:tcPr>
            <w:tcW w:w="1075" w:type="dxa"/>
            <w:noWrap w:val="0"/>
            <w:vAlign w:val="center"/>
          </w:tcPr>
          <w:p w14:paraId="68733919">
            <w:pPr>
              <w:keepNext w:val="0"/>
              <w:keepLines w:val="0"/>
              <w:suppressLineNumbers w:val="0"/>
              <w:snapToGrid w:val="0"/>
              <w:spacing w:before="0" w:beforeAutospacing="0" w:after="0" w:afterAutospacing="0" w:line="36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000" w:type="dxa"/>
            <w:noWrap w:val="0"/>
            <w:vAlign w:val="center"/>
          </w:tcPr>
          <w:p w14:paraId="43202DF0">
            <w:pPr>
              <w:keepNext w:val="0"/>
              <w:keepLines w:val="0"/>
              <w:suppressLineNumbers w:val="0"/>
              <w:snapToGrid w:val="0"/>
              <w:spacing w:before="0" w:beforeAutospacing="0" w:after="0" w:afterAutospacing="0" w:line="360" w:lineRule="auto"/>
              <w:ind w:left="0" w:leftChars="0" w:right="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单位</w:t>
            </w:r>
          </w:p>
        </w:tc>
        <w:tc>
          <w:tcPr>
            <w:tcW w:w="1478" w:type="dxa"/>
            <w:noWrap w:val="0"/>
            <w:vAlign w:val="center"/>
          </w:tcPr>
          <w:p w14:paraId="2E7D827E">
            <w:pPr>
              <w:keepNext w:val="0"/>
              <w:keepLines w:val="0"/>
              <w:suppressLineNumbers w:val="0"/>
              <w:snapToGrid w:val="0"/>
              <w:spacing w:before="0" w:beforeAutospacing="0" w:after="0" w:afterAutospacing="0" w:line="360" w:lineRule="auto"/>
              <w:ind w:left="0" w:leftChars="0" w:right="0" w:righ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单价（元）</w:t>
            </w:r>
          </w:p>
        </w:tc>
        <w:tc>
          <w:tcPr>
            <w:tcW w:w="1301" w:type="dxa"/>
            <w:noWrap w:val="0"/>
            <w:vAlign w:val="center"/>
          </w:tcPr>
          <w:p w14:paraId="41B818EF">
            <w:pPr>
              <w:keepNext w:val="0"/>
              <w:keepLines w:val="0"/>
              <w:suppressLineNumbers w:val="0"/>
              <w:snapToGrid w:val="0"/>
              <w:spacing w:before="0" w:beforeAutospacing="0" w:after="0" w:afterAutospacing="0" w:line="36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总价（元）</w:t>
            </w:r>
          </w:p>
        </w:tc>
      </w:tr>
      <w:tr w14:paraId="3DA52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jc w:val="center"/>
        </w:trPr>
        <w:tc>
          <w:tcPr>
            <w:tcW w:w="1988" w:type="dxa"/>
            <w:noWrap w:val="0"/>
            <w:vAlign w:val="center"/>
          </w:tcPr>
          <w:p w14:paraId="7E1FF576">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2992" w:type="dxa"/>
            <w:noWrap w:val="0"/>
            <w:vAlign w:val="center"/>
          </w:tcPr>
          <w:p w14:paraId="1518EE62">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075" w:type="dxa"/>
            <w:noWrap w:val="0"/>
            <w:vAlign w:val="center"/>
          </w:tcPr>
          <w:p w14:paraId="366CD095">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000" w:type="dxa"/>
            <w:noWrap w:val="0"/>
            <w:vAlign w:val="center"/>
          </w:tcPr>
          <w:p w14:paraId="15D6EF5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478" w:type="dxa"/>
            <w:noWrap w:val="0"/>
            <w:vAlign w:val="center"/>
          </w:tcPr>
          <w:p w14:paraId="62A7ECB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301" w:type="dxa"/>
            <w:noWrap w:val="0"/>
            <w:vAlign w:val="center"/>
          </w:tcPr>
          <w:p w14:paraId="3D6DC4A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r>
      <w:tr w14:paraId="7A33F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jc w:val="center"/>
        </w:trPr>
        <w:tc>
          <w:tcPr>
            <w:tcW w:w="1988" w:type="dxa"/>
            <w:noWrap w:val="0"/>
            <w:vAlign w:val="center"/>
          </w:tcPr>
          <w:p w14:paraId="23675FEA">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2992" w:type="dxa"/>
            <w:noWrap w:val="0"/>
            <w:vAlign w:val="center"/>
          </w:tcPr>
          <w:p w14:paraId="4BB4F06A">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075" w:type="dxa"/>
            <w:noWrap w:val="0"/>
            <w:vAlign w:val="center"/>
          </w:tcPr>
          <w:p w14:paraId="0E09B2B6">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000" w:type="dxa"/>
            <w:noWrap w:val="0"/>
            <w:vAlign w:val="center"/>
          </w:tcPr>
          <w:p w14:paraId="7565F60C">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478" w:type="dxa"/>
            <w:noWrap w:val="0"/>
            <w:vAlign w:val="center"/>
          </w:tcPr>
          <w:p w14:paraId="52E4BCE8">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301" w:type="dxa"/>
            <w:noWrap w:val="0"/>
            <w:vAlign w:val="center"/>
          </w:tcPr>
          <w:p w14:paraId="652DD140">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r>
      <w:tr w14:paraId="237A6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jc w:val="center"/>
        </w:trPr>
        <w:tc>
          <w:tcPr>
            <w:tcW w:w="1988" w:type="dxa"/>
            <w:noWrap w:val="0"/>
            <w:vAlign w:val="center"/>
          </w:tcPr>
          <w:p w14:paraId="10D9D364">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2992" w:type="dxa"/>
            <w:noWrap w:val="0"/>
            <w:vAlign w:val="center"/>
          </w:tcPr>
          <w:p w14:paraId="3E980EB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075" w:type="dxa"/>
            <w:noWrap w:val="0"/>
            <w:vAlign w:val="center"/>
          </w:tcPr>
          <w:p w14:paraId="4FF745C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000" w:type="dxa"/>
            <w:noWrap w:val="0"/>
            <w:vAlign w:val="center"/>
          </w:tcPr>
          <w:p w14:paraId="123C9A81">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478" w:type="dxa"/>
            <w:noWrap w:val="0"/>
            <w:vAlign w:val="center"/>
          </w:tcPr>
          <w:p w14:paraId="26E072D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301" w:type="dxa"/>
            <w:noWrap w:val="0"/>
            <w:vAlign w:val="center"/>
          </w:tcPr>
          <w:p w14:paraId="03F91718">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r>
      <w:tr w14:paraId="78223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jc w:val="center"/>
        </w:trPr>
        <w:tc>
          <w:tcPr>
            <w:tcW w:w="1988" w:type="dxa"/>
            <w:noWrap w:val="0"/>
            <w:vAlign w:val="center"/>
          </w:tcPr>
          <w:p w14:paraId="22B040A9">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lang w:val="en-US" w:eastAsia="zh-CN"/>
              </w:rPr>
            </w:pPr>
            <w:bookmarkStart w:id="1096" w:name="_Toc22734"/>
            <w:bookmarkStart w:id="1097" w:name="_Toc457974243"/>
            <w:bookmarkStart w:id="1098" w:name="_Toc23224"/>
            <w:bookmarkStart w:id="1099" w:name="_Toc17081"/>
          </w:p>
        </w:tc>
        <w:tc>
          <w:tcPr>
            <w:tcW w:w="2992" w:type="dxa"/>
            <w:noWrap w:val="0"/>
            <w:vAlign w:val="center"/>
          </w:tcPr>
          <w:p w14:paraId="6C4A2FAC">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075" w:type="dxa"/>
            <w:noWrap w:val="0"/>
            <w:vAlign w:val="center"/>
          </w:tcPr>
          <w:p w14:paraId="166B4F15">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000" w:type="dxa"/>
            <w:noWrap w:val="0"/>
            <w:vAlign w:val="center"/>
          </w:tcPr>
          <w:p w14:paraId="7444428E">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478" w:type="dxa"/>
            <w:noWrap w:val="0"/>
            <w:vAlign w:val="center"/>
          </w:tcPr>
          <w:p w14:paraId="1245A5E8">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301" w:type="dxa"/>
            <w:noWrap w:val="0"/>
            <w:vAlign w:val="center"/>
          </w:tcPr>
          <w:p w14:paraId="629BB808">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r>
    </w:tbl>
    <w:p w14:paraId="4C8557B0">
      <w:pPr>
        <w:keepNext w:val="0"/>
        <w:keepLines w:val="0"/>
        <w:pageBreakBefore w:val="0"/>
        <w:numPr>
          <w:ilvl w:val="0"/>
          <w:numId w:val="7"/>
        </w:numPr>
        <w:kinsoku/>
        <w:wordWrap/>
        <w:overflowPunct/>
        <w:topLinePunct w:val="0"/>
        <w:bidi w:val="0"/>
        <w:snapToGrid w:val="0"/>
        <w:spacing w:line="312" w:lineRule="auto"/>
        <w:ind w:left="0" w:leftChars="0" w:firstLine="482" w:firstLineChars="200"/>
        <w:outlineLvl w:val="1"/>
        <w:rPr>
          <w:rFonts w:hint="eastAsia" w:ascii="宋体" w:hAnsi="宋体" w:eastAsia="宋体" w:cs="宋体"/>
          <w:b/>
          <w:szCs w:val="22"/>
          <w:lang w:val="en-US" w:eastAsia="zh-CN"/>
        </w:rPr>
      </w:pPr>
      <w:r>
        <w:rPr>
          <w:rFonts w:hint="eastAsia" w:ascii="宋体" w:hAnsi="宋体" w:cs="宋体"/>
          <w:b/>
          <w:szCs w:val="22"/>
          <w:lang w:val="en-US" w:eastAsia="zh-CN"/>
        </w:rPr>
        <w:t>供货期</w:t>
      </w:r>
      <w:bookmarkEnd w:id="1096"/>
    </w:p>
    <w:p w14:paraId="0C2CE224">
      <w:pPr>
        <w:pStyle w:val="31"/>
        <w:keepNext w:val="0"/>
        <w:keepLines w:val="0"/>
        <w:pageBreakBefore w:val="0"/>
        <w:shd w:val="clear" w:color="auto" w:fill="FFFFFF"/>
        <w:kinsoku/>
        <w:wordWrap/>
        <w:overflowPunct/>
        <w:topLinePunct w:val="0"/>
        <w:bidi w:val="0"/>
        <w:spacing w:before="0" w:beforeAutospacing="0" w:after="0" w:afterAutospacing="0" w:line="312" w:lineRule="auto"/>
        <w:ind w:left="0" w:firstLine="480" w:firstLineChars="200"/>
        <w:rPr>
          <w:rFonts w:hint="eastAsia" w:ascii="宋体" w:hAnsi="宋体" w:eastAsia="宋体" w:cs="宋体"/>
          <w:bCs w:val="0"/>
          <w:kern w:val="2"/>
          <w:sz w:val="24"/>
          <w:szCs w:val="22"/>
          <w:lang w:val="en-US" w:eastAsia="zh-CN" w:bidi="ar-SA"/>
        </w:rPr>
      </w:pPr>
      <w:r>
        <w:rPr>
          <w:rFonts w:hint="eastAsia" w:cs="宋体"/>
          <w:lang w:eastAsia="zh-CN"/>
        </w:rPr>
        <w:t>合同签订后30日历天内完成设计及布展施工、安装、调试（含深化设计及布展施工图设计调整）。</w:t>
      </w:r>
      <w:r>
        <w:rPr>
          <w:rFonts w:hint="eastAsia" w:ascii="宋体" w:hAnsi="宋体" w:eastAsia="宋体" w:cs="宋体"/>
          <w:szCs w:val="22"/>
        </w:rPr>
        <w:t xml:space="preserve"> </w:t>
      </w:r>
    </w:p>
    <w:p w14:paraId="176ACC3C">
      <w:pPr>
        <w:pStyle w:val="21"/>
        <w:keepNext w:val="0"/>
        <w:keepLines w:val="0"/>
        <w:pageBreakBefore w:val="0"/>
        <w:numPr>
          <w:ilvl w:val="0"/>
          <w:numId w:val="7"/>
        </w:numPr>
        <w:kinsoku/>
        <w:wordWrap/>
        <w:overflowPunct/>
        <w:topLinePunct w:val="0"/>
        <w:bidi w:val="0"/>
        <w:adjustRightInd w:val="0"/>
        <w:snapToGrid w:val="0"/>
        <w:spacing w:line="312" w:lineRule="auto"/>
        <w:ind w:left="0" w:leftChars="0" w:firstLine="482" w:firstLineChars="200"/>
        <w:outlineLvl w:val="1"/>
        <w:rPr>
          <w:rFonts w:hint="eastAsia" w:ascii="宋体" w:hAnsi="宋体" w:eastAsia="宋体" w:cs="宋体"/>
          <w:b/>
          <w:bCs/>
          <w:szCs w:val="22"/>
        </w:rPr>
      </w:pPr>
      <w:bookmarkStart w:id="1100" w:name="_Toc11664"/>
      <w:r>
        <w:rPr>
          <w:rFonts w:hint="eastAsia" w:ascii="宋体" w:hAnsi="宋体" w:eastAsia="宋体" w:cs="宋体"/>
          <w:b/>
          <w:bCs/>
          <w:szCs w:val="22"/>
        </w:rPr>
        <w:t>款项支付</w:t>
      </w:r>
      <w:bookmarkEnd w:id="1100"/>
    </w:p>
    <w:p w14:paraId="4CB99B2D">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9"/>
        <w:rPr>
          <w:rFonts w:hint="eastAsia" w:ascii="宋体" w:hAnsi="宋体" w:eastAsia="宋体" w:cs="宋体"/>
          <w:color w:val="auto"/>
          <w:sz w:val="24"/>
          <w:szCs w:val="24"/>
          <w:highlight w:val="none"/>
          <w:lang w:val="en-US" w:eastAsia="zh-CN"/>
        </w:rPr>
      </w:pPr>
      <w:bookmarkStart w:id="1101" w:name="_Toc4647"/>
      <w:r>
        <w:rPr>
          <w:rFonts w:hint="eastAsia" w:ascii="宋体" w:hAnsi="宋体" w:eastAsia="宋体" w:cs="宋体"/>
          <w:color w:val="auto"/>
          <w:sz w:val="24"/>
          <w:szCs w:val="24"/>
          <w:highlight w:val="none"/>
          <w:lang w:val="en-US" w:eastAsia="zh-CN"/>
        </w:rPr>
        <w:t>双方约定的合同款（进度款）支付的方式和时间：提供设计方案并通过甲方验收后 7 日内支付合同价的 30%；节点全部竣工，由甲方（或第三方）验收合格后，支付剩余款项。甲方应自收到乙方开具的发票后 15 日内将上述相关款项支付到合同约定的乙方账户。</w:t>
      </w:r>
    </w:p>
    <w:p w14:paraId="2ED91AAF">
      <w:pPr>
        <w:pStyle w:val="21"/>
        <w:keepNext w:val="0"/>
        <w:keepLines w:val="0"/>
        <w:pageBreakBefore w:val="0"/>
        <w:numPr>
          <w:ilvl w:val="0"/>
          <w:numId w:val="7"/>
        </w:numPr>
        <w:kinsoku/>
        <w:wordWrap/>
        <w:overflowPunct/>
        <w:topLinePunct w:val="0"/>
        <w:bidi w:val="0"/>
        <w:adjustRightInd w:val="0"/>
        <w:snapToGrid w:val="0"/>
        <w:spacing w:line="312" w:lineRule="auto"/>
        <w:ind w:left="0" w:leftChars="0" w:firstLine="482" w:firstLineChars="200"/>
        <w:outlineLvl w:val="1"/>
        <w:rPr>
          <w:rFonts w:hint="eastAsia" w:ascii="宋体" w:hAnsi="宋体" w:eastAsia="宋体" w:cs="宋体"/>
          <w:b/>
          <w:bCs/>
          <w:szCs w:val="22"/>
        </w:rPr>
      </w:pPr>
      <w:r>
        <w:rPr>
          <w:rFonts w:hint="eastAsia" w:ascii="宋体" w:hAnsi="宋体" w:eastAsia="宋体" w:cs="宋体"/>
          <w:b/>
          <w:bCs/>
          <w:szCs w:val="22"/>
        </w:rPr>
        <w:t>技术资料</w:t>
      </w:r>
      <w:bookmarkEnd w:id="1101"/>
    </w:p>
    <w:p w14:paraId="113978F9">
      <w:pPr>
        <w:pStyle w:val="15"/>
        <w:keepNext w:val="0"/>
        <w:keepLines w:val="0"/>
        <w:pageBreakBefore w:val="0"/>
        <w:widowControl w:val="0"/>
        <w:kinsoku/>
        <w:wordWrap/>
        <w:overflowPunct/>
        <w:topLinePunct w:val="0"/>
        <w:autoSpaceDE/>
        <w:autoSpaceDN/>
        <w:bidi w:val="0"/>
        <w:adjustRightInd/>
        <w:snapToGrid/>
        <w:spacing w:line="312" w:lineRule="auto"/>
        <w:ind w:left="0" w:firstLine="480" w:firstLineChars="200"/>
        <w:textAlignment w:val="auto"/>
        <w:rPr>
          <w:rFonts w:hint="eastAsia" w:ascii="宋体" w:hAnsi="宋体" w:eastAsia="宋体" w:cs="宋体"/>
          <w:bCs w:val="0"/>
          <w:kern w:val="2"/>
          <w:sz w:val="24"/>
          <w:szCs w:val="22"/>
          <w:lang w:val="en-US" w:eastAsia="zh-CN" w:bidi="ar-SA"/>
        </w:rPr>
      </w:pPr>
      <w:r>
        <w:rPr>
          <w:rFonts w:hint="eastAsia" w:ascii="宋体" w:hAnsi="宋体" w:eastAsia="宋体" w:cs="宋体"/>
          <w:bCs w:val="0"/>
          <w:kern w:val="2"/>
          <w:sz w:val="24"/>
          <w:szCs w:val="22"/>
          <w:lang w:val="en-US" w:eastAsia="zh-CN" w:bidi="ar-SA"/>
        </w:rPr>
        <w:t>1.乙方应按</w:t>
      </w:r>
      <w:r>
        <w:rPr>
          <w:rFonts w:hint="eastAsia" w:ascii="宋体" w:hAnsi="宋体" w:cs="宋体"/>
          <w:bCs w:val="0"/>
          <w:kern w:val="2"/>
          <w:sz w:val="24"/>
          <w:szCs w:val="22"/>
          <w:lang w:val="en-US" w:eastAsia="zh-CN" w:bidi="ar-SA"/>
        </w:rPr>
        <w:t>磋商文件</w:t>
      </w:r>
      <w:r>
        <w:rPr>
          <w:rFonts w:hint="eastAsia" w:ascii="宋体" w:hAnsi="宋体" w:eastAsia="宋体" w:cs="宋体"/>
          <w:bCs w:val="0"/>
          <w:kern w:val="2"/>
          <w:sz w:val="24"/>
          <w:szCs w:val="22"/>
          <w:lang w:val="en-US" w:eastAsia="zh-CN" w:bidi="ar-SA"/>
        </w:rPr>
        <w:t>规定的时间向甲方提供有关技术资料。</w:t>
      </w:r>
    </w:p>
    <w:p w14:paraId="61BF2BF3">
      <w:pPr>
        <w:pStyle w:val="15"/>
        <w:keepNext w:val="0"/>
        <w:keepLines w:val="0"/>
        <w:pageBreakBefore w:val="0"/>
        <w:widowControl w:val="0"/>
        <w:kinsoku/>
        <w:wordWrap/>
        <w:overflowPunct/>
        <w:topLinePunct w:val="0"/>
        <w:autoSpaceDE/>
        <w:autoSpaceDN/>
        <w:bidi w:val="0"/>
        <w:adjustRightInd/>
        <w:snapToGrid/>
        <w:spacing w:line="312" w:lineRule="auto"/>
        <w:ind w:left="0" w:firstLine="480" w:firstLineChars="200"/>
        <w:textAlignment w:val="auto"/>
        <w:rPr>
          <w:rFonts w:hint="eastAsia" w:ascii="宋体" w:hAnsi="宋体" w:eastAsia="宋体" w:cs="宋体"/>
          <w:bCs w:val="0"/>
          <w:kern w:val="2"/>
          <w:sz w:val="24"/>
          <w:szCs w:val="22"/>
          <w:lang w:val="en-US" w:eastAsia="zh-CN" w:bidi="ar-SA"/>
        </w:rPr>
      </w:pPr>
      <w:r>
        <w:rPr>
          <w:rFonts w:hint="eastAsia" w:ascii="宋体" w:hAnsi="宋体" w:eastAsia="宋体" w:cs="宋体"/>
          <w:bCs w:val="0"/>
          <w:kern w:val="2"/>
          <w:sz w:val="24"/>
          <w:szCs w:val="22"/>
          <w:lang w:val="en-US" w:eastAsia="zh-CN" w:bidi="ar-SA"/>
        </w:rPr>
        <w:t>2.没有甲方事先书面同意，乙方不得将由甲方提供的有关合同或任何合同条文、规格、计划、图 纸、样品或资料提供</w:t>
      </w:r>
      <w:r>
        <w:rPr>
          <w:rFonts w:hint="eastAsia" w:ascii="宋体" w:hAnsi="宋体" w:cs="宋体"/>
          <w:bCs w:val="0"/>
          <w:kern w:val="2"/>
          <w:sz w:val="24"/>
          <w:szCs w:val="22"/>
          <w:lang w:val="en-US" w:eastAsia="zh-CN" w:bidi="ar-SA"/>
        </w:rPr>
        <w:t>给予</w:t>
      </w:r>
      <w:r>
        <w:rPr>
          <w:rFonts w:hint="eastAsia" w:ascii="宋体" w:hAnsi="宋体" w:eastAsia="宋体" w:cs="宋体"/>
          <w:bCs w:val="0"/>
          <w:kern w:val="2"/>
          <w:sz w:val="24"/>
          <w:szCs w:val="22"/>
          <w:lang w:val="en-US" w:eastAsia="zh-CN" w:bidi="ar-SA"/>
        </w:rPr>
        <w:t>履行本合同无关的任何其他人。即使向履行本合同有关的人员提供， 也应注意保密并限于履行合同的必需范围。</w:t>
      </w:r>
    </w:p>
    <w:p w14:paraId="3C10F86C">
      <w:pPr>
        <w:pStyle w:val="21"/>
        <w:keepNext w:val="0"/>
        <w:keepLines w:val="0"/>
        <w:pageBreakBefore w:val="0"/>
        <w:numPr>
          <w:ilvl w:val="0"/>
          <w:numId w:val="7"/>
        </w:numPr>
        <w:kinsoku/>
        <w:wordWrap/>
        <w:overflowPunct/>
        <w:topLinePunct w:val="0"/>
        <w:bidi w:val="0"/>
        <w:adjustRightInd w:val="0"/>
        <w:snapToGrid w:val="0"/>
        <w:spacing w:line="312" w:lineRule="auto"/>
        <w:ind w:left="0" w:leftChars="0" w:firstLine="482" w:firstLineChars="200"/>
        <w:outlineLvl w:val="1"/>
        <w:rPr>
          <w:rFonts w:hint="eastAsia" w:ascii="宋体" w:hAnsi="宋体" w:eastAsia="宋体" w:cs="宋体"/>
          <w:b/>
          <w:bCs/>
          <w:szCs w:val="22"/>
        </w:rPr>
      </w:pPr>
      <w:bookmarkStart w:id="1102" w:name="_Toc5884"/>
      <w:r>
        <w:rPr>
          <w:rFonts w:hint="eastAsia" w:ascii="宋体" w:hAnsi="宋体" w:eastAsia="宋体" w:cs="宋体"/>
          <w:b/>
          <w:bCs/>
          <w:szCs w:val="22"/>
        </w:rPr>
        <w:t>履约保证金</w:t>
      </w:r>
      <w:bookmarkEnd w:id="1097"/>
      <w:bookmarkEnd w:id="1098"/>
      <w:bookmarkEnd w:id="1099"/>
      <w:bookmarkEnd w:id="1102"/>
    </w:p>
    <w:p w14:paraId="73E1CD8D">
      <w:pPr>
        <w:keepNext w:val="0"/>
        <w:keepLines w:val="0"/>
        <w:pageBreakBefore w:val="0"/>
        <w:widowControl/>
        <w:numPr>
          <w:ilvl w:val="0"/>
          <w:numId w:val="0"/>
        </w:numPr>
        <w:shd w:val="clear" w:color="auto" w:fill="FFFFFF"/>
        <w:tabs>
          <w:tab w:val="left" w:pos="0"/>
        </w:tabs>
        <w:kinsoku/>
        <w:wordWrap/>
        <w:overflowPunct/>
        <w:topLinePunct w:val="0"/>
        <w:bidi w:val="0"/>
        <w:snapToGrid w:val="0"/>
        <w:spacing w:line="312" w:lineRule="auto"/>
        <w:ind w:left="0" w:leftChars="0" w:firstLine="480" w:firstLineChars="200"/>
        <w:outlineLvl w:val="1"/>
        <w:rPr>
          <w:rFonts w:hint="eastAsia" w:ascii="宋体" w:hAnsi="宋体" w:eastAsia="宋体" w:cs="宋体"/>
          <w:b/>
          <w:bCs/>
          <w:szCs w:val="22"/>
        </w:rPr>
      </w:pPr>
      <w:bookmarkStart w:id="1103" w:name="_Toc7971"/>
      <w:bookmarkStart w:id="1104" w:name="_Toc18278"/>
      <w:bookmarkStart w:id="1105" w:name="_Toc23773"/>
      <w:r>
        <w:rPr>
          <w:rFonts w:hint="eastAsia" w:ascii="宋体" w:hAnsi="宋体" w:eastAsia="宋体" w:cs="宋体"/>
          <w:lang w:val="en-US" w:eastAsia="zh-CN"/>
        </w:rPr>
        <w:t>不收取。</w:t>
      </w:r>
      <w:bookmarkEnd w:id="1103"/>
    </w:p>
    <w:bookmarkEnd w:id="1104"/>
    <w:bookmarkEnd w:id="1105"/>
    <w:p w14:paraId="09B24FD2">
      <w:pPr>
        <w:pStyle w:val="21"/>
        <w:keepNext w:val="0"/>
        <w:keepLines w:val="0"/>
        <w:pageBreakBefore w:val="0"/>
        <w:numPr>
          <w:ilvl w:val="0"/>
          <w:numId w:val="7"/>
        </w:numPr>
        <w:kinsoku/>
        <w:wordWrap/>
        <w:overflowPunct/>
        <w:topLinePunct w:val="0"/>
        <w:bidi w:val="0"/>
        <w:adjustRightInd w:val="0"/>
        <w:snapToGrid w:val="0"/>
        <w:spacing w:line="312" w:lineRule="auto"/>
        <w:ind w:left="0" w:leftChars="0" w:firstLine="482" w:firstLineChars="200"/>
        <w:outlineLvl w:val="1"/>
        <w:rPr>
          <w:rFonts w:hint="eastAsia" w:ascii="宋体" w:hAnsi="宋体" w:eastAsia="宋体" w:cs="宋体"/>
          <w:b/>
          <w:bCs/>
          <w:szCs w:val="22"/>
        </w:rPr>
      </w:pPr>
      <w:bookmarkStart w:id="1106" w:name="_Toc30573"/>
      <w:r>
        <w:rPr>
          <w:rFonts w:hint="eastAsia" w:ascii="宋体" w:hAnsi="宋体" w:eastAsia="宋体" w:cs="宋体"/>
          <w:b/>
          <w:bCs/>
          <w:szCs w:val="22"/>
        </w:rPr>
        <w:t>知识产权</w:t>
      </w:r>
      <w:bookmarkEnd w:id="1106"/>
    </w:p>
    <w:p w14:paraId="436EAAC7">
      <w:pPr>
        <w:pStyle w:val="15"/>
        <w:keepNext w:val="0"/>
        <w:keepLines w:val="0"/>
        <w:pageBreakBefore w:val="0"/>
        <w:widowControl w:val="0"/>
        <w:kinsoku/>
        <w:wordWrap/>
        <w:overflowPunct/>
        <w:topLinePunct w:val="0"/>
        <w:autoSpaceDE/>
        <w:autoSpaceDN/>
        <w:bidi w:val="0"/>
        <w:adjustRightInd/>
        <w:snapToGrid/>
        <w:spacing w:line="312" w:lineRule="auto"/>
        <w:ind w:left="0" w:firstLine="480" w:firstLineChars="200"/>
        <w:textAlignment w:val="auto"/>
        <w:rPr>
          <w:rFonts w:hint="eastAsia" w:ascii="宋体" w:hAnsi="宋体" w:eastAsia="宋体" w:cs="宋体"/>
          <w:bCs w:val="0"/>
          <w:kern w:val="2"/>
          <w:sz w:val="24"/>
          <w:szCs w:val="22"/>
          <w:lang w:val="en-US" w:eastAsia="zh-CN" w:bidi="ar-SA"/>
        </w:rPr>
      </w:pPr>
      <w:r>
        <w:rPr>
          <w:rFonts w:hint="eastAsia" w:ascii="宋体" w:hAnsi="宋体" w:eastAsia="宋体" w:cs="宋体"/>
          <w:bCs w:val="0"/>
          <w:kern w:val="2"/>
          <w:sz w:val="24"/>
          <w:szCs w:val="22"/>
          <w:lang w:val="en-US" w:eastAsia="zh-CN" w:bidi="ar-SA"/>
        </w:rPr>
        <w:t>1.乙方应保证提供服务过程中不会侵犯任何第三方的知识产权。</w:t>
      </w:r>
    </w:p>
    <w:p w14:paraId="78E176A1">
      <w:pPr>
        <w:pStyle w:val="15"/>
        <w:keepNext w:val="0"/>
        <w:keepLines w:val="0"/>
        <w:pageBreakBefore w:val="0"/>
        <w:widowControl w:val="0"/>
        <w:kinsoku/>
        <w:wordWrap/>
        <w:overflowPunct/>
        <w:topLinePunct w:val="0"/>
        <w:autoSpaceDE/>
        <w:autoSpaceDN/>
        <w:bidi w:val="0"/>
        <w:adjustRightInd/>
        <w:snapToGrid/>
        <w:spacing w:line="312" w:lineRule="auto"/>
        <w:ind w:left="0" w:firstLine="480" w:firstLineChars="200"/>
        <w:textAlignment w:val="auto"/>
        <w:rPr>
          <w:rFonts w:hint="eastAsia" w:ascii="宋体" w:hAnsi="宋体" w:eastAsia="宋体" w:cs="宋体"/>
          <w:bCs w:val="0"/>
          <w:kern w:val="2"/>
          <w:sz w:val="24"/>
          <w:szCs w:val="22"/>
          <w:lang w:val="en-US" w:eastAsia="zh-CN" w:bidi="ar-SA"/>
        </w:rPr>
      </w:pPr>
      <w:r>
        <w:rPr>
          <w:rFonts w:hint="eastAsia" w:ascii="宋体" w:hAnsi="宋体" w:eastAsia="宋体" w:cs="宋体"/>
          <w:bCs w:val="0"/>
          <w:kern w:val="2"/>
          <w:sz w:val="24"/>
          <w:szCs w:val="22"/>
          <w:lang w:val="en-US" w:eastAsia="zh-CN" w:bidi="ar-SA"/>
        </w:rPr>
        <w:t>2.本项目所有成果的版权属甲方所有，乙方不得以任何形式向第三方提供，否则，按国家法律和 有关规定追究乙方的一切责任。</w:t>
      </w:r>
    </w:p>
    <w:p w14:paraId="4A22BA7C">
      <w:pPr>
        <w:pStyle w:val="15"/>
        <w:keepNext w:val="0"/>
        <w:keepLines w:val="0"/>
        <w:pageBreakBefore w:val="0"/>
        <w:widowControl w:val="0"/>
        <w:kinsoku/>
        <w:wordWrap/>
        <w:overflowPunct/>
        <w:topLinePunct w:val="0"/>
        <w:autoSpaceDE/>
        <w:autoSpaceDN/>
        <w:bidi w:val="0"/>
        <w:adjustRightInd/>
        <w:snapToGrid/>
        <w:spacing w:line="312" w:lineRule="auto"/>
        <w:ind w:left="0" w:firstLine="480" w:firstLineChars="200"/>
        <w:textAlignment w:val="auto"/>
        <w:rPr>
          <w:rFonts w:hint="eastAsia" w:ascii="宋体" w:hAnsi="宋体" w:eastAsia="宋体" w:cs="宋体"/>
          <w:bCs w:val="0"/>
          <w:kern w:val="2"/>
          <w:sz w:val="24"/>
          <w:szCs w:val="22"/>
          <w:lang w:val="en-US" w:eastAsia="zh-CN" w:bidi="ar-SA"/>
        </w:rPr>
      </w:pPr>
      <w:r>
        <w:rPr>
          <w:rFonts w:hint="eastAsia" w:ascii="宋体" w:hAnsi="宋体" w:eastAsia="宋体" w:cs="宋体"/>
          <w:bCs w:val="0"/>
          <w:kern w:val="2"/>
          <w:sz w:val="24"/>
          <w:szCs w:val="22"/>
          <w:lang w:val="en-US" w:eastAsia="zh-CN" w:bidi="ar-SA"/>
        </w:rPr>
        <w:t>3.本项目作业过程中提供的或涉及的所有数据属甲方拥有，乙方无权在技术要求规定之外自行处置数据，不得自行删除、复制、修改、转移数据，不得以任何形式向第三方提供。</w:t>
      </w:r>
    </w:p>
    <w:p w14:paraId="407FC7C5">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rPr>
      </w:pPr>
      <w:bookmarkStart w:id="1107" w:name="_Toc15936"/>
      <w:bookmarkStart w:id="1108" w:name="_Toc27072"/>
      <w:r>
        <w:rPr>
          <w:rFonts w:hint="eastAsia" w:ascii="宋体" w:hAnsi="宋体" w:eastAsia="宋体" w:cs="宋体"/>
          <w:b/>
          <w:bCs/>
          <w:szCs w:val="22"/>
        </w:rPr>
        <w:t>转包或分包</w:t>
      </w:r>
      <w:bookmarkEnd w:id="1107"/>
    </w:p>
    <w:p w14:paraId="425CFF0C">
      <w:pPr>
        <w:pStyle w:val="15"/>
        <w:keepNext w:val="0"/>
        <w:keepLines w:val="0"/>
        <w:pageBreakBefore w:val="0"/>
        <w:widowControl w:val="0"/>
        <w:kinsoku/>
        <w:wordWrap/>
        <w:overflowPunct/>
        <w:topLinePunct w:val="0"/>
        <w:autoSpaceDE/>
        <w:autoSpaceDN/>
        <w:bidi w:val="0"/>
        <w:adjustRightInd/>
        <w:snapToGrid/>
        <w:spacing w:line="312" w:lineRule="auto"/>
        <w:ind w:left="0" w:firstLine="480" w:firstLineChars="200"/>
        <w:textAlignment w:val="auto"/>
        <w:rPr>
          <w:rFonts w:hint="eastAsia" w:ascii="宋体" w:hAnsi="宋体" w:eastAsia="宋体" w:cs="宋体"/>
          <w:bCs w:val="0"/>
          <w:kern w:val="2"/>
          <w:sz w:val="24"/>
          <w:szCs w:val="22"/>
          <w:lang w:val="en-US" w:eastAsia="zh-CN" w:bidi="ar-SA"/>
        </w:rPr>
      </w:pPr>
      <w:r>
        <w:rPr>
          <w:rFonts w:hint="eastAsia" w:ascii="宋体" w:hAnsi="宋体" w:eastAsia="宋体" w:cs="宋体"/>
          <w:bCs w:val="0"/>
          <w:kern w:val="2"/>
          <w:sz w:val="24"/>
          <w:szCs w:val="22"/>
          <w:lang w:val="en-US" w:eastAsia="zh-CN" w:bidi="ar-SA"/>
        </w:rPr>
        <w:t>1.本合同范围的服务，应由乙方直接提供，不得转让他人提供；</w:t>
      </w:r>
    </w:p>
    <w:p w14:paraId="426034CC">
      <w:pPr>
        <w:pStyle w:val="15"/>
        <w:keepNext w:val="0"/>
        <w:keepLines w:val="0"/>
        <w:pageBreakBefore w:val="0"/>
        <w:widowControl w:val="0"/>
        <w:kinsoku/>
        <w:wordWrap/>
        <w:overflowPunct/>
        <w:topLinePunct w:val="0"/>
        <w:autoSpaceDE/>
        <w:autoSpaceDN/>
        <w:bidi w:val="0"/>
        <w:adjustRightInd/>
        <w:snapToGrid/>
        <w:spacing w:line="312" w:lineRule="auto"/>
        <w:ind w:left="0" w:firstLine="480" w:firstLineChars="200"/>
        <w:textAlignment w:val="auto"/>
        <w:rPr>
          <w:rFonts w:hint="eastAsia" w:ascii="宋体" w:hAnsi="宋体" w:eastAsia="宋体" w:cs="宋体"/>
          <w:bCs w:val="0"/>
          <w:kern w:val="2"/>
          <w:sz w:val="24"/>
          <w:szCs w:val="22"/>
          <w:lang w:val="en-US" w:eastAsia="zh-CN" w:bidi="ar-SA"/>
        </w:rPr>
      </w:pPr>
      <w:r>
        <w:rPr>
          <w:rFonts w:hint="eastAsia" w:ascii="宋体" w:hAnsi="宋体" w:eastAsia="宋体" w:cs="宋体"/>
          <w:bCs w:val="0"/>
          <w:kern w:val="2"/>
          <w:sz w:val="24"/>
          <w:szCs w:val="22"/>
          <w:lang w:val="en-US" w:eastAsia="zh-CN" w:bidi="ar-SA"/>
        </w:rPr>
        <w:t>2.除非得到甲方的书面同意，乙方不得部分分包给他人提供。甲方有绝对权力阻止分包。</w:t>
      </w:r>
    </w:p>
    <w:p w14:paraId="1FFC62BD">
      <w:pPr>
        <w:pStyle w:val="15"/>
        <w:keepNext w:val="0"/>
        <w:keepLines w:val="0"/>
        <w:pageBreakBefore w:val="0"/>
        <w:widowControl w:val="0"/>
        <w:kinsoku/>
        <w:wordWrap/>
        <w:overflowPunct/>
        <w:topLinePunct w:val="0"/>
        <w:autoSpaceDE/>
        <w:autoSpaceDN/>
        <w:bidi w:val="0"/>
        <w:adjustRightInd/>
        <w:snapToGrid/>
        <w:spacing w:line="312" w:lineRule="auto"/>
        <w:ind w:left="0" w:firstLine="480" w:firstLineChars="200"/>
        <w:textAlignment w:val="auto"/>
        <w:rPr>
          <w:rFonts w:hint="eastAsia" w:ascii="宋体" w:hAnsi="宋体" w:eastAsia="宋体" w:cs="宋体"/>
          <w:bCs w:val="0"/>
          <w:kern w:val="2"/>
          <w:sz w:val="24"/>
          <w:szCs w:val="22"/>
          <w:lang w:val="en-US" w:eastAsia="zh-CN" w:bidi="ar-SA"/>
        </w:rPr>
      </w:pPr>
      <w:r>
        <w:rPr>
          <w:rFonts w:hint="eastAsia" w:ascii="宋体" w:hAnsi="宋体" w:eastAsia="宋体" w:cs="宋体"/>
          <w:bCs w:val="0"/>
          <w:kern w:val="2"/>
          <w:sz w:val="24"/>
          <w:szCs w:val="22"/>
          <w:lang w:val="en-US" w:eastAsia="zh-CN" w:bidi="ar-SA"/>
        </w:rPr>
        <w:t xml:space="preserve">3.如有转让和未经甲方同意的分包行为，甲方有权给予终止合同。 </w:t>
      </w:r>
    </w:p>
    <w:bookmarkEnd w:id="1088"/>
    <w:bookmarkEnd w:id="1089"/>
    <w:bookmarkEnd w:id="1090"/>
    <w:bookmarkEnd w:id="1091"/>
    <w:bookmarkEnd w:id="1092"/>
    <w:bookmarkEnd w:id="1093"/>
    <w:bookmarkEnd w:id="1094"/>
    <w:bookmarkEnd w:id="1095"/>
    <w:bookmarkEnd w:id="1108"/>
    <w:p w14:paraId="220DD1E2">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09" w:name="_Toc274"/>
      <w:bookmarkStart w:id="1110" w:name="_Toc3711"/>
      <w:bookmarkStart w:id="1111" w:name="_Toc6416"/>
      <w:r>
        <w:rPr>
          <w:rFonts w:hint="eastAsia" w:ascii="宋体" w:hAnsi="宋体" w:eastAsia="宋体" w:cs="宋体"/>
          <w:b/>
          <w:bCs/>
          <w:szCs w:val="22"/>
          <w:lang w:val="en-US" w:eastAsia="zh-CN"/>
        </w:rPr>
        <w:t>质保期</w:t>
      </w:r>
      <w:bookmarkEnd w:id="1109"/>
      <w:bookmarkEnd w:id="1110"/>
      <w:bookmarkEnd w:id="1111"/>
    </w:p>
    <w:p w14:paraId="5894BE59">
      <w:pPr>
        <w:pStyle w:val="73"/>
        <w:spacing w:beforeLines="0" w:line="312" w:lineRule="auto"/>
        <w:ind w:firstLine="480" w:firstLineChars="200"/>
        <w:rPr>
          <w:rStyle w:val="126"/>
          <w:rFonts w:ascii="宋体" w:hAnsi="宋体" w:eastAsia="宋体" w:cs="宋体"/>
          <w:color w:val="auto"/>
          <w:szCs w:val="24"/>
          <w:highlight w:val="none"/>
        </w:rPr>
      </w:pPr>
      <w:r>
        <w:rPr>
          <w:rStyle w:val="126"/>
          <w:rFonts w:hint="eastAsia" w:ascii="宋体" w:hAnsi="宋体" w:eastAsia="宋体" w:cs="宋体"/>
          <w:color w:val="auto"/>
          <w:szCs w:val="24"/>
          <w:highlight w:val="none"/>
          <w:lang w:val="en-US" w:eastAsia="zh-CN"/>
        </w:rPr>
        <w:t>1.质保期：</w:t>
      </w:r>
      <w:r>
        <w:rPr>
          <w:rStyle w:val="126"/>
          <w:rFonts w:hint="eastAsia" w:ascii="宋体" w:hAnsi="宋体" w:eastAsia="宋体" w:cs="宋体"/>
          <w:color w:val="auto"/>
          <w:szCs w:val="24"/>
          <w:highlight w:val="none"/>
          <w:u w:val="single"/>
          <w:lang w:val="en-US" w:eastAsia="zh-CN"/>
        </w:rPr>
        <w:t xml:space="preserve">    </w:t>
      </w:r>
      <w:r>
        <w:rPr>
          <w:rStyle w:val="126"/>
          <w:rFonts w:hint="eastAsia" w:ascii="宋体" w:hAnsi="宋体" w:eastAsia="宋体" w:cs="宋体"/>
          <w:color w:val="auto"/>
          <w:szCs w:val="24"/>
          <w:highlight w:val="none"/>
          <w:lang w:val="en-US" w:eastAsia="zh-CN"/>
        </w:rPr>
        <w:t>年</w:t>
      </w:r>
      <w:r>
        <w:rPr>
          <w:rStyle w:val="126"/>
          <w:rFonts w:hint="eastAsia" w:ascii="宋体" w:hAnsi="宋体" w:eastAsia="宋体" w:cs="宋体"/>
          <w:color w:val="auto"/>
          <w:szCs w:val="24"/>
          <w:highlight w:val="none"/>
        </w:rPr>
        <w:t>。如厂家提供的质保期超过上述要求的，按厂家的质保期执行。自项目整体验收合格之日起计，质保期内，与质保和维修相关的所有费用均由</w:t>
      </w:r>
      <w:r>
        <w:rPr>
          <w:rStyle w:val="126"/>
          <w:rFonts w:hint="eastAsia" w:ascii="宋体" w:hAnsi="宋体" w:eastAsia="宋体" w:cs="宋体"/>
          <w:color w:val="auto"/>
          <w:szCs w:val="24"/>
          <w:highlight w:val="none"/>
          <w:lang w:eastAsia="zh-CN"/>
        </w:rPr>
        <w:t>供应商</w:t>
      </w:r>
      <w:r>
        <w:rPr>
          <w:rStyle w:val="126"/>
          <w:rFonts w:hint="eastAsia" w:ascii="宋体" w:hAnsi="宋体" w:eastAsia="宋体" w:cs="宋体"/>
          <w:color w:val="auto"/>
          <w:szCs w:val="24"/>
          <w:highlight w:val="none"/>
        </w:rPr>
        <w:t>承担。</w:t>
      </w:r>
    </w:p>
    <w:p w14:paraId="4EE80952">
      <w:pPr>
        <w:pStyle w:val="73"/>
        <w:spacing w:beforeLines="0" w:line="312" w:lineRule="auto"/>
        <w:ind w:firstLine="480" w:firstLineChars="200"/>
        <w:rPr>
          <w:rStyle w:val="126"/>
          <w:rFonts w:ascii="宋体" w:hAnsi="宋体" w:eastAsia="宋体" w:cs="宋体"/>
          <w:color w:val="auto"/>
          <w:szCs w:val="24"/>
          <w:highlight w:val="none"/>
        </w:rPr>
      </w:pPr>
      <w:r>
        <w:rPr>
          <w:rStyle w:val="126"/>
          <w:rFonts w:hint="eastAsia" w:ascii="宋体" w:hAnsi="宋体" w:eastAsia="宋体" w:cs="宋体"/>
          <w:color w:val="auto"/>
          <w:szCs w:val="24"/>
          <w:highlight w:val="none"/>
          <w:lang w:val="en-US" w:eastAsia="zh-CN"/>
        </w:rPr>
        <w:t>2.</w:t>
      </w:r>
      <w:r>
        <w:rPr>
          <w:rStyle w:val="126"/>
          <w:rFonts w:hint="eastAsia" w:ascii="宋体" w:hAnsi="宋体" w:eastAsia="宋体" w:cs="宋体"/>
          <w:color w:val="auto"/>
          <w:szCs w:val="24"/>
          <w:highlight w:val="none"/>
        </w:rPr>
        <w:t>国家主管部门或者行业标准对货物本身有更高要求的，从其规定并在合同中约定，</w:t>
      </w:r>
      <w:r>
        <w:rPr>
          <w:rStyle w:val="126"/>
          <w:rFonts w:hint="eastAsia" w:ascii="宋体" w:hAnsi="宋体" w:eastAsia="宋体" w:cs="宋体"/>
          <w:color w:val="auto"/>
          <w:szCs w:val="24"/>
          <w:highlight w:val="none"/>
          <w:lang w:val="en-US" w:eastAsia="zh-CN"/>
        </w:rPr>
        <w:t>乙方</w:t>
      </w:r>
      <w:r>
        <w:rPr>
          <w:rStyle w:val="126"/>
          <w:rFonts w:hint="eastAsia" w:ascii="宋体" w:hAnsi="宋体" w:eastAsia="宋体" w:cs="宋体"/>
          <w:color w:val="auto"/>
          <w:szCs w:val="24"/>
          <w:highlight w:val="none"/>
        </w:rPr>
        <w:t>亦可</w:t>
      </w:r>
      <w:r>
        <w:rPr>
          <w:rStyle w:val="126"/>
          <w:rFonts w:hint="eastAsia" w:ascii="宋体" w:hAnsi="宋体" w:eastAsia="宋体" w:cs="宋体"/>
          <w:color w:val="auto"/>
          <w:szCs w:val="24"/>
          <w:highlight w:val="none"/>
          <w:lang w:eastAsia="zh-CN"/>
        </w:rPr>
        <w:t>提供</w:t>
      </w:r>
      <w:r>
        <w:rPr>
          <w:rStyle w:val="126"/>
          <w:rFonts w:hint="eastAsia" w:ascii="宋体" w:hAnsi="宋体" w:eastAsia="宋体" w:cs="宋体"/>
          <w:color w:val="auto"/>
          <w:szCs w:val="24"/>
          <w:highlight w:val="none"/>
        </w:rPr>
        <w:t>更长的质保期。</w:t>
      </w:r>
    </w:p>
    <w:p w14:paraId="22A1C321">
      <w:pPr>
        <w:pStyle w:val="73"/>
        <w:spacing w:beforeLines="0" w:line="312" w:lineRule="auto"/>
        <w:ind w:firstLine="480" w:firstLineChars="200"/>
        <w:rPr>
          <w:rStyle w:val="126"/>
          <w:rFonts w:ascii="宋体" w:hAnsi="宋体" w:eastAsia="宋体" w:cs="宋体"/>
          <w:color w:val="auto"/>
          <w:szCs w:val="24"/>
          <w:highlight w:val="none"/>
        </w:rPr>
      </w:pPr>
      <w:r>
        <w:rPr>
          <w:rStyle w:val="126"/>
          <w:rFonts w:hint="eastAsia" w:ascii="宋体" w:hAnsi="宋体" w:eastAsia="宋体" w:cs="宋体"/>
          <w:color w:val="auto"/>
          <w:szCs w:val="24"/>
          <w:highlight w:val="none"/>
          <w:lang w:val="en-US" w:eastAsia="zh-CN"/>
        </w:rPr>
        <w:t>3.</w:t>
      </w:r>
      <w:r>
        <w:rPr>
          <w:rStyle w:val="126"/>
          <w:rFonts w:hint="eastAsia" w:ascii="宋体" w:hAnsi="宋体" w:eastAsia="宋体" w:cs="宋体"/>
          <w:color w:val="auto"/>
          <w:szCs w:val="24"/>
          <w:highlight w:val="none"/>
        </w:rPr>
        <w:t>质量保证期内，如果证实货物是有缺陷的，包括潜在的缺陷或者使用不符合要求的材料等，</w:t>
      </w:r>
      <w:r>
        <w:rPr>
          <w:rStyle w:val="126"/>
          <w:rFonts w:hint="eastAsia" w:ascii="宋体" w:hAnsi="宋体" w:eastAsia="宋体" w:cs="宋体"/>
          <w:color w:val="auto"/>
          <w:szCs w:val="24"/>
          <w:highlight w:val="none"/>
          <w:lang w:eastAsia="zh-CN"/>
        </w:rPr>
        <w:t>供应商</w:t>
      </w:r>
      <w:r>
        <w:rPr>
          <w:rStyle w:val="126"/>
          <w:rFonts w:hint="eastAsia" w:ascii="宋体" w:hAnsi="宋体" w:eastAsia="宋体" w:cs="宋体"/>
          <w:color w:val="auto"/>
          <w:szCs w:val="24"/>
          <w:highlight w:val="none"/>
        </w:rPr>
        <w:t>应立即免费维修或者更换有缺陷的货物或者部件，保证达到合同规定的技术以及性能要求。如果</w:t>
      </w:r>
      <w:r>
        <w:rPr>
          <w:rStyle w:val="126"/>
          <w:rFonts w:hint="eastAsia" w:ascii="宋体" w:hAnsi="宋体" w:eastAsia="宋体" w:cs="宋体"/>
          <w:color w:val="auto"/>
          <w:szCs w:val="24"/>
          <w:highlight w:val="none"/>
          <w:lang w:eastAsia="zh-CN"/>
        </w:rPr>
        <w:t>供应商</w:t>
      </w:r>
      <w:r>
        <w:rPr>
          <w:rStyle w:val="126"/>
          <w:rFonts w:hint="eastAsia" w:ascii="宋体" w:hAnsi="宋体" w:eastAsia="宋体" w:cs="宋体"/>
          <w:color w:val="auto"/>
          <w:szCs w:val="24"/>
          <w:highlight w:val="none"/>
        </w:rPr>
        <w:t>在收到通知后5天内没有弥补缺陷，</w:t>
      </w:r>
      <w:r>
        <w:rPr>
          <w:rStyle w:val="126"/>
          <w:rFonts w:hint="eastAsia" w:ascii="宋体" w:hAnsi="宋体" w:eastAsia="宋体" w:cs="宋体"/>
          <w:color w:val="auto"/>
          <w:szCs w:val="24"/>
          <w:highlight w:val="none"/>
          <w:lang w:eastAsia="zh-CN"/>
        </w:rPr>
        <w:t>甲方</w:t>
      </w:r>
      <w:r>
        <w:rPr>
          <w:rStyle w:val="126"/>
          <w:rFonts w:hint="eastAsia" w:ascii="宋体" w:hAnsi="宋体" w:eastAsia="宋体" w:cs="宋体"/>
          <w:color w:val="auto"/>
          <w:szCs w:val="24"/>
          <w:highlight w:val="none"/>
        </w:rPr>
        <w:t>可自行采取必要的补救措施，但风险和费用由</w:t>
      </w:r>
      <w:r>
        <w:rPr>
          <w:rStyle w:val="126"/>
          <w:rFonts w:hint="eastAsia" w:ascii="宋体" w:hAnsi="宋体" w:eastAsia="宋体" w:cs="宋体"/>
          <w:color w:val="auto"/>
          <w:szCs w:val="24"/>
          <w:highlight w:val="none"/>
          <w:lang w:eastAsia="zh-CN"/>
        </w:rPr>
        <w:t>乙方</w:t>
      </w:r>
      <w:r>
        <w:rPr>
          <w:rStyle w:val="126"/>
          <w:rFonts w:hint="eastAsia" w:ascii="宋体" w:hAnsi="宋体" w:eastAsia="宋体" w:cs="宋体"/>
          <w:color w:val="auto"/>
          <w:szCs w:val="24"/>
          <w:highlight w:val="none"/>
        </w:rPr>
        <w:t>承担，</w:t>
      </w:r>
      <w:r>
        <w:rPr>
          <w:rStyle w:val="126"/>
          <w:rFonts w:hint="eastAsia" w:ascii="宋体" w:hAnsi="宋体" w:eastAsia="宋体" w:cs="宋体"/>
          <w:color w:val="auto"/>
          <w:szCs w:val="24"/>
          <w:highlight w:val="none"/>
          <w:lang w:eastAsia="zh-CN"/>
        </w:rPr>
        <w:t>甲方</w:t>
      </w:r>
      <w:r>
        <w:rPr>
          <w:rStyle w:val="126"/>
          <w:rFonts w:hint="eastAsia" w:ascii="宋体" w:hAnsi="宋体" w:eastAsia="宋体" w:cs="宋体"/>
          <w:color w:val="auto"/>
          <w:szCs w:val="24"/>
          <w:highlight w:val="none"/>
        </w:rPr>
        <w:t>同时保留通过法律途径进行索赔的权利。</w:t>
      </w:r>
    </w:p>
    <w:p w14:paraId="2BB01ED7">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12" w:name="_Toc17407"/>
      <w:bookmarkStart w:id="1113" w:name="_Toc21243"/>
      <w:bookmarkStart w:id="1114" w:name="_Toc22513"/>
      <w:r>
        <w:rPr>
          <w:rFonts w:hint="eastAsia" w:ascii="宋体" w:hAnsi="宋体" w:eastAsia="宋体" w:cs="宋体"/>
          <w:b/>
          <w:bCs/>
          <w:szCs w:val="22"/>
          <w:lang w:val="en-US" w:eastAsia="zh-CN"/>
        </w:rPr>
        <w:t>税费</w:t>
      </w:r>
      <w:bookmarkEnd w:id="1112"/>
      <w:bookmarkEnd w:id="1113"/>
      <w:bookmarkEnd w:id="1114"/>
    </w:p>
    <w:p w14:paraId="67278540">
      <w:pPr>
        <w:pStyle w:val="15"/>
        <w:keepNext w:val="0"/>
        <w:keepLines w:val="0"/>
        <w:pageBreakBefore w:val="0"/>
        <w:widowControl w:val="0"/>
        <w:kinsoku/>
        <w:wordWrap/>
        <w:overflowPunct/>
        <w:topLinePunct w:val="0"/>
        <w:autoSpaceDE/>
        <w:autoSpaceDN/>
        <w:bidi w:val="0"/>
        <w:adjustRightInd/>
        <w:snapToGrid/>
        <w:spacing w:beforeLines="0" w:line="312"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本合同执行中相关的一切税费均由乙方负担。</w:t>
      </w:r>
    </w:p>
    <w:p w14:paraId="6209D3BC">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15" w:name="_Toc32260"/>
      <w:bookmarkStart w:id="1116" w:name="_Toc15783"/>
      <w:bookmarkStart w:id="1117" w:name="_Toc939"/>
      <w:r>
        <w:rPr>
          <w:rFonts w:hint="eastAsia" w:ascii="宋体" w:hAnsi="宋体" w:eastAsia="宋体" w:cs="宋体"/>
          <w:b/>
          <w:bCs/>
          <w:szCs w:val="22"/>
          <w:lang w:val="en-US" w:eastAsia="zh-CN"/>
        </w:rPr>
        <w:t>辅助服务</w:t>
      </w:r>
      <w:bookmarkEnd w:id="1115"/>
    </w:p>
    <w:p w14:paraId="6573097D">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1、乙方应提交所提供货物的技术文件，包括相应的每一套设备的中文技术文件，例如：产品目录、图纸、操作手册、使用说明、维护手册和/或服务指南。这些文件应包装好随同货物一起发运。</w:t>
      </w:r>
    </w:p>
    <w:p w14:paraId="128644BA">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2、乙方还应提供下列服务：</w:t>
      </w:r>
    </w:p>
    <w:p w14:paraId="5217B3D4">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（1）货物的现场指导安装、调试、启动监督及技术支持；</w:t>
      </w:r>
    </w:p>
    <w:p w14:paraId="09A9C934">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（2）在厂家和/或项目现场就货物的指导安装、启动、运营、维护对采购人操作人员进行培训。辅助服务的费用包含在合同价中，甲方不再另行支付。</w:t>
      </w:r>
    </w:p>
    <w:p w14:paraId="25670929">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（3）乙方指导工程相关交叉工作面施工，满足使用要求并通过验收。</w:t>
      </w:r>
    </w:p>
    <w:p w14:paraId="13DA948A">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18" w:name="_Toc5352"/>
      <w:r>
        <w:rPr>
          <w:rFonts w:hint="eastAsia" w:ascii="宋体" w:hAnsi="宋体" w:eastAsia="宋体" w:cs="宋体"/>
          <w:b/>
          <w:bCs/>
          <w:szCs w:val="22"/>
          <w:lang w:val="en-US" w:eastAsia="zh-CN"/>
        </w:rPr>
        <w:t>质量保证</w:t>
      </w:r>
      <w:bookmarkEnd w:id="1118"/>
    </w:p>
    <w:p w14:paraId="0EA0B4C9">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1、乙方应保证所供货物是全新的、未使用过的，并完全符合合同规定的质量、规格和性能的要求。乙方应保证其货物在正确安装、正常使用和保养条件下，在其使用寿命期内应具有满意的性能。在货物最终交付验收后不少于三年的质量保证期内，乙方应对由于设计、工艺或材料的缺陷而产生的故障负责。</w:t>
      </w:r>
    </w:p>
    <w:p w14:paraId="0E81D475">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2、在质量保证期内，如果货物的质量或规格与合同不符，或证实货物是有缺陷的，包括潜在的缺陷或使用不符合要求的材料等，甲方可以根据本合同第十二条规定以书面形式向乙方提出补救措施或索赔。</w:t>
      </w:r>
    </w:p>
    <w:p w14:paraId="3AA5B4E9">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3、乙方在约定的时间内未能弥补缺陷，甲方可采取必要的补救措施，但其风险和费用将由乙方承担，甲方根据合同规定对乙方行使的其他权利不受影响。</w:t>
      </w:r>
    </w:p>
    <w:p w14:paraId="08589900">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19" w:name="_Toc22866"/>
      <w:r>
        <w:rPr>
          <w:rFonts w:hint="eastAsia" w:ascii="宋体" w:hAnsi="宋体" w:eastAsia="宋体" w:cs="宋体"/>
          <w:b/>
          <w:bCs/>
          <w:szCs w:val="22"/>
          <w:lang w:val="en-US" w:eastAsia="zh-CN"/>
        </w:rPr>
        <w:t>质量保证及售后服务</w:t>
      </w:r>
      <w:bookmarkEnd w:id="1116"/>
      <w:bookmarkEnd w:id="1117"/>
      <w:bookmarkEnd w:id="1119"/>
    </w:p>
    <w:p w14:paraId="18CE31D1">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1.乙方所投产品必须为全新的、符合国家有关质量标准的产品；产品的保修期自验收合格之日起</w:t>
      </w:r>
      <w:r>
        <w:rPr>
          <w:rStyle w:val="126"/>
          <w:rFonts w:hint="eastAsia" w:ascii="宋体" w:hAnsi="宋体" w:eastAsia="宋体" w:cs="宋体"/>
          <w:color w:val="auto"/>
          <w:szCs w:val="24"/>
          <w:highlight w:val="none"/>
          <w:u w:val="single"/>
          <w:lang w:val="en-US" w:eastAsia="zh-CN"/>
        </w:rPr>
        <w:t xml:space="preserve">   </w:t>
      </w:r>
      <w:r>
        <w:rPr>
          <w:rStyle w:val="126"/>
          <w:rFonts w:hint="eastAsia" w:ascii="宋体" w:hAnsi="宋体" w:eastAsia="宋体" w:cs="宋体"/>
          <w:color w:val="auto"/>
          <w:szCs w:val="24"/>
          <w:highlight w:val="none"/>
          <w:lang w:val="en-US" w:eastAsia="zh-CN"/>
        </w:rPr>
        <w:t>年，质保期间，乙方应免费负责维护；质保期后长期提供良好的技术支持。</w:t>
      </w:r>
    </w:p>
    <w:p w14:paraId="3003AFED">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2.质量保证期自甲方（或其被委托人）在验收报告上签署“验收合格”之日起计算；质量保证期内免费维修更换配件；乙方须提供详细的售后服务承诺及准确有效的服务机构联系方式。</w:t>
      </w:r>
    </w:p>
    <w:p w14:paraId="316E0DA4">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3.乙方能提供24小时全天候召修服务，质量保证期内提供免费上门维护、升级服务，如设备出现故障，供货单位在接到电话后，立即响应，1小时以内到现场处理，4小时内修复，现场不能修复的，必须采取无偿提供采购物品的备用件或整机等措施，保证用户单位的正常使用。</w:t>
      </w:r>
    </w:p>
    <w:p w14:paraId="035FB415">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4.备品备件及耗材要求：该产品所需要的所有配件，乙方应常年备货。乙方在免费保修期内免费提供保证产品正常运行的全部备件及维护。</w:t>
      </w:r>
    </w:p>
    <w:p w14:paraId="4C0E05F7">
      <w:pPr>
        <w:pStyle w:val="73"/>
        <w:spacing w:beforeLines="0" w:line="312" w:lineRule="auto"/>
        <w:ind w:firstLine="480" w:firstLineChars="200"/>
        <w:rPr>
          <w:rStyle w:val="126"/>
          <w:rFonts w:hint="eastAsia" w:ascii="宋体" w:hAnsi="宋体" w:eastAsia="宋体" w:cs="宋体"/>
          <w:color w:val="auto"/>
          <w:szCs w:val="24"/>
          <w:highlight w:val="none"/>
          <w:lang w:val="en-US" w:eastAsia="zh-CN"/>
        </w:rPr>
      </w:pPr>
      <w:r>
        <w:rPr>
          <w:rStyle w:val="126"/>
          <w:rFonts w:hint="eastAsia" w:ascii="宋体" w:hAnsi="宋体" w:eastAsia="宋体" w:cs="宋体"/>
          <w:color w:val="auto"/>
          <w:szCs w:val="24"/>
          <w:highlight w:val="none"/>
          <w:lang w:val="en-US" w:eastAsia="zh-CN"/>
        </w:rPr>
        <w:t>5.在乙方承诺的质保期内，因产品制造质量不良而产生损坏或不能正常工作，乙方应免费给予维修、更换和正常保养。在质量保证期满以后，应该保证提供备件和保养服务。</w:t>
      </w:r>
    </w:p>
    <w:p w14:paraId="03D8F5E4">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20" w:name="_Toc4676"/>
      <w:bookmarkStart w:id="1121" w:name="_Toc17284"/>
      <w:bookmarkStart w:id="1122" w:name="_Toc22273"/>
      <w:r>
        <w:rPr>
          <w:rFonts w:hint="eastAsia" w:ascii="宋体" w:hAnsi="宋体" w:eastAsia="宋体" w:cs="宋体"/>
          <w:b/>
          <w:bCs/>
          <w:szCs w:val="22"/>
          <w:lang w:val="en-US" w:eastAsia="zh-CN"/>
        </w:rPr>
        <w:t>验收</w:t>
      </w:r>
      <w:bookmarkEnd w:id="1120"/>
      <w:bookmarkEnd w:id="1121"/>
      <w:bookmarkEnd w:id="1122"/>
    </w:p>
    <w:p w14:paraId="02B0B03D">
      <w:pPr>
        <w:keepNext w:val="0"/>
        <w:keepLines w:val="0"/>
        <w:pageBreakBefore w:val="0"/>
        <w:widowControl w:val="0"/>
        <w:tabs>
          <w:tab w:val="left" w:pos="5925"/>
        </w:tabs>
        <w:kinsoku/>
        <w:wordWrap/>
        <w:overflowPunct/>
        <w:topLinePunct w:val="0"/>
        <w:autoSpaceDE/>
        <w:autoSpaceDN/>
        <w:bidi w:val="0"/>
        <w:snapToGrid w:val="0"/>
        <w:spacing w:line="312" w:lineRule="auto"/>
        <w:ind w:firstLine="480" w:firstLineChars="200"/>
        <w:textAlignment w:val="auto"/>
        <w:rPr>
          <w:rFonts w:hint="eastAsia" w:ascii="宋体" w:hAnsi="宋体" w:eastAsia="宋体" w:cs="宋体"/>
          <w:b w:val="0"/>
          <w:bCs w:val="0"/>
          <w:color w:val="auto"/>
          <w:sz w:val="24"/>
          <w:highlight w:val="none"/>
          <w:lang w:val="en-US" w:eastAsia="zh-CN"/>
        </w:rPr>
      </w:pPr>
      <w:bookmarkStart w:id="1123" w:name="_Toc30776"/>
      <w:bookmarkStart w:id="1124" w:name="_Toc17518"/>
      <w:r>
        <w:rPr>
          <w:rFonts w:hint="eastAsia" w:ascii="宋体" w:hAnsi="宋体" w:eastAsia="宋体" w:cs="宋体"/>
          <w:b w:val="0"/>
          <w:bCs w:val="0"/>
          <w:color w:val="auto"/>
          <w:sz w:val="24"/>
          <w:highlight w:val="none"/>
          <w:lang w:val="en-US" w:eastAsia="zh-CN"/>
        </w:rPr>
        <w:t>1</w:t>
      </w:r>
      <w:r>
        <w:rPr>
          <w:rFonts w:hint="eastAsia" w:ascii="宋体" w:hAnsi="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CN"/>
        </w:rPr>
        <w:t>乙方送货至指定地点后，由甲方根据货物的技术规格要求和质量标准，对货物进行检查验收，并通过相关质检部门的验收。</w:t>
      </w:r>
    </w:p>
    <w:p w14:paraId="3DDFBCA9">
      <w:pPr>
        <w:keepNext w:val="0"/>
        <w:keepLines w:val="0"/>
        <w:pageBreakBefore w:val="0"/>
        <w:widowControl w:val="0"/>
        <w:tabs>
          <w:tab w:val="left" w:pos="5925"/>
        </w:tabs>
        <w:kinsoku/>
        <w:wordWrap/>
        <w:overflowPunct/>
        <w:topLinePunct w:val="0"/>
        <w:autoSpaceDE/>
        <w:autoSpaceDN/>
        <w:bidi w:val="0"/>
        <w:snapToGrid w:val="0"/>
        <w:spacing w:line="312" w:lineRule="auto"/>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2</w:t>
      </w:r>
      <w:r>
        <w:rPr>
          <w:rFonts w:hint="eastAsia" w:ascii="宋体" w:hAnsi="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CN"/>
        </w:rPr>
        <w:t>货物的数量不足或表面瑕疵，甲方应在验收时当面提出；对质量问题有异议的应在安装调试后10个工作日内提出。</w:t>
      </w:r>
    </w:p>
    <w:p w14:paraId="0C553202">
      <w:pPr>
        <w:keepNext w:val="0"/>
        <w:keepLines w:val="0"/>
        <w:pageBreakBefore w:val="0"/>
        <w:widowControl w:val="0"/>
        <w:tabs>
          <w:tab w:val="left" w:pos="5925"/>
        </w:tabs>
        <w:kinsoku/>
        <w:wordWrap/>
        <w:overflowPunct/>
        <w:topLinePunct w:val="0"/>
        <w:autoSpaceDE/>
        <w:autoSpaceDN/>
        <w:bidi w:val="0"/>
        <w:snapToGrid w:val="0"/>
        <w:spacing w:line="312" w:lineRule="auto"/>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3</w:t>
      </w:r>
      <w:r>
        <w:rPr>
          <w:rFonts w:hint="eastAsia" w:ascii="宋体" w:hAnsi="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CN"/>
        </w:rPr>
        <w:t>在验收过程中发现数量不足或有质量、技术等问题，乙方应负责按照甲方的要求采取补足、更换或退货等处理措施，并承担由此发生的一切费用和损失。</w:t>
      </w:r>
    </w:p>
    <w:p w14:paraId="6B1A0A92">
      <w:pPr>
        <w:keepNext w:val="0"/>
        <w:keepLines w:val="0"/>
        <w:pageBreakBefore w:val="0"/>
        <w:widowControl w:val="0"/>
        <w:tabs>
          <w:tab w:val="left" w:pos="5925"/>
        </w:tabs>
        <w:kinsoku/>
        <w:wordWrap/>
        <w:overflowPunct/>
        <w:topLinePunct w:val="0"/>
        <w:autoSpaceDE/>
        <w:autoSpaceDN/>
        <w:bidi w:val="0"/>
        <w:snapToGrid w:val="0"/>
        <w:spacing w:line="312" w:lineRule="auto"/>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4</w:t>
      </w:r>
      <w:r>
        <w:rPr>
          <w:rFonts w:hint="eastAsia" w:ascii="宋体" w:hAnsi="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CN"/>
        </w:rPr>
        <w:t>甲方在乙方按合同规定交货和安装、调试后，无正当理由而拖延接收、验收或拒绝接收、验收的，应承担由此而造成的乙方直接损失。</w:t>
      </w:r>
    </w:p>
    <w:p w14:paraId="1EA6F597">
      <w:pPr>
        <w:keepNext w:val="0"/>
        <w:keepLines w:val="0"/>
        <w:pageBreakBefore w:val="0"/>
        <w:widowControl w:val="0"/>
        <w:tabs>
          <w:tab w:val="left" w:pos="5925"/>
        </w:tabs>
        <w:kinsoku/>
        <w:wordWrap/>
        <w:overflowPunct/>
        <w:topLinePunct w:val="0"/>
        <w:autoSpaceDE/>
        <w:autoSpaceDN/>
        <w:bidi w:val="0"/>
        <w:snapToGrid w:val="0"/>
        <w:spacing w:line="312" w:lineRule="auto"/>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5</w:t>
      </w:r>
      <w:r>
        <w:rPr>
          <w:rFonts w:hint="eastAsia" w:ascii="宋体" w:hAnsi="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CN"/>
        </w:rPr>
        <w:t>甲方组织相关人员对本项目进行验收（验收标准按</w:t>
      </w:r>
      <w:r>
        <w:rPr>
          <w:rFonts w:hint="eastAsia" w:ascii="宋体" w:hAnsi="宋体" w:cs="宋体"/>
          <w:b w:val="0"/>
          <w:bCs w:val="0"/>
          <w:color w:val="auto"/>
          <w:sz w:val="24"/>
          <w:highlight w:val="none"/>
          <w:lang w:val="en-US" w:eastAsia="zh-CN"/>
        </w:rPr>
        <w:t>磋商文件</w:t>
      </w:r>
      <w:r>
        <w:rPr>
          <w:rFonts w:hint="eastAsia" w:ascii="宋体" w:hAnsi="宋体" w:eastAsia="宋体" w:cs="宋体"/>
          <w:b w:val="0"/>
          <w:bCs w:val="0"/>
          <w:color w:val="auto"/>
          <w:sz w:val="24"/>
          <w:highlight w:val="none"/>
          <w:lang w:val="en-US" w:eastAsia="zh-CN"/>
        </w:rPr>
        <w:t>，现行国家标准、现行行业标准执行）。第一次验收在项目安装调试合格后30日历天内完成，如验收不能通过，乙方负责整改至合格；</w:t>
      </w:r>
    </w:p>
    <w:p w14:paraId="5C0AAC23">
      <w:pPr>
        <w:keepNext w:val="0"/>
        <w:keepLines w:val="0"/>
        <w:pageBreakBefore w:val="0"/>
        <w:widowControl w:val="0"/>
        <w:tabs>
          <w:tab w:val="left" w:pos="5925"/>
        </w:tabs>
        <w:kinsoku/>
        <w:wordWrap/>
        <w:overflowPunct/>
        <w:topLinePunct w:val="0"/>
        <w:autoSpaceDE/>
        <w:autoSpaceDN/>
        <w:bidi w:val="0"/>
        <w:snapToGrid w:val="0"/>
        <w:spacing w:line="312" w:lineRule="auto"/>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6</w:t>
      </w:r>
      <w:r>
        <w:rPr>
          <w:rFonts w:hint="eastAsia" w:ascii="宋体" w:hAnsi="宋体" w:eastAsia="宋体" w:cs="宋体"/>
          <w:b w:val="0"/>
          <w:bCs w:val="0"/>
          <w:color w:val="auto"/>
          <w:sz w:val="24"/>
          <w:highlight w:val="none"/>
          <w:lang w:val="en-US" w:eastAsia="zh-CN"/>
        </w:rPr>
        <w:t>、采购人对</w:t>
      </w:r>
      <w:r>
        <w:rPr>
          <w:rFonts w:hint="eastAsia" w:ascii="宋体" w:hAnsi="宋体" w:cs="宋体"/>
          <w:b w:val="0"/>
          <w:bCs w:val="0"/>
          <w:color w:val="auto"/>
          <w:sz w:val="24"/>
          <w:highlight w:val="none"/>
          <w:lang w:val="en-US" w:eastAsia="zh-CN"/>
        </w:rPr>
        <w:t>乙方</w:t>
      </w:r>
      <w:r>
        <w:rPr>
          <w:rFonts w:hint="eastAsia" w:ascii="宋体" w:hAnsi="宋体" w:eastAsia="宋体" w:cs="宋体"/>
          <w:b w:val="0"/>
          <w:bCs w:val="0"/>
          <w:color w:val="auto"/>
          <w:sz w:val="24"/>
          <w:highlight w:val="none"/>
          <w:lang w:val="en-US" w:eastAsia="zh-CN"/>
        </w:rPr>
        <w:t>提交的货物依据</w:t>
      </w:r>
      <w:r>
        <w:rPr>
          <w:rFonts w:hint="eastAsia" w:ascii="宋体" w:hAnsi="宋体" w:cs="宋体"/>
          <w:b w:val="0"/>
          <w:bCs w:val="0"/>
          <w:color w:val="auto"/>
          <w:sz w:val="24"/>
          <w:highlight w:val="none"/>
          <w:lang w:val="en-US" w:eastAsia="zh-CN"/>
        </w:rPr>
        <w:t>磋商文件</w:t>
      </w:r>
      <w:r>
        <w:rPr>
          <w:rFonts w:hint="eastAsia" w:ascii="宋体" w:hAnsi="宋体" w:eastAsia="宋体" w:cs="宋体"/>
          <w:b w:val="0"/>
          <w:bCs w:val="0"/>
          <w:color w:val="auto"/>
          <w:sz w:val="24"/>
          <w:highlight w:val="none"/>
          <w:lang w:val="en-US" w:eastAsia="zh-CN"/>
        </w:rPr>
        <w:t>上的技术规格要求和国家有关质量标准进行现场初步验收，外观、说明书符合</w:t>
      </w:r>
      <w:r>
        <w:rPr>
          <w:rFonts w:hint="eastAsia" w:ascii="宋体" w:hAnsi="宋体" w:cs="宋体"/>
          <w:b w:val="0"/>
          <w:bCs w:val="0"/>
          <w:color w:val="auto"/>
          <w:sz w:val="24"/>
          <w:highlight w:val="none"/>
          <w:lang w:val="en-US" w:eastAsia="zh-CN"/>
        </w:rPr>
        <w:t>磋商文件</w:t>
      </w:r>
      <w:r>
        <w:rPr>
          <w:rFonts w:hint="eastAsia" w:ascii="宋体" w:hAnsi="宋体" w:eastAsia="宋体" w:cs="宋体"/>
          <w:b w:val="0"/>
          <w:bCs w:val="0"/>
          <w:color w:val="auto"/>
          <w:sz w:val="24"/>
          <w:highlight w:val="none"/>
          <w:lang w:val="en-US" w:eastAsia="zh-CN"/>
        </w:rPr>
        <w:t>技术要求的，给予签收，初步验收不合格的不予签收。</w:t>
      </w:r>
    </w:p>
    <w:p w14:paraId="6F32D428">
      <w:pPr>
        <w:keepNext w:val="0"/>
        <w:keepLines w:val="0"/>
        <w:pageBreakBefore w:val="0"/>
        <w:widowControl w:val="0"/>
        <w:tabs>
          <w:tab w:val="left" w:pos="5925"/>
        </w:tabs>
        <w:kinsoku/>
        <w:wordWrap/>
        <w:overflowPunct/>
        <w:topLinePunct w:val="0"/>
        <w:autoSpaceDE/>
        <w:autoSpaceDN/>
        <w:bidi w:val="0"/>
        <w:snapToGrid w:val="0"/>
        <w:spacing w:line="312" w:lineRule="auto"/>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7</w:t>
      </w:r>
      <w:r>
        <w:rPr>
          <w:rFonts w:hint="eastAsia" w:ascii="宋体" w:hAnsi="宋体" w:eastAsia="宋体" w:cs="宋体"/>
          <w:b w:val="0"/>
          <w:bCs w:val="0"/>
          <w:color w:val="auto"/>
          <w:sz w:val="24"/>
          <w:highlight w:val="none"/>
          <w:lang w:val="en-US" w:eastAsia="zh-CN"/>
        </w:rPr>
        <w:t>、乙方交货前应对产品作出全面检查和对验收文件进行整理，并列出清单，作为甲方收货验收和使用的技术条件依据，检验的结果应随货物交甲方。</w:t>
      </w:r>
    </w:p>
    <w:p w14:paraId="6C02531C">
      <w:pPr>
        <w:keepNext w:val="0"/>
        <w:keepLines w:val="0"/>
        <w:pageBreakBefore w:val="0"/>
        <w:widowControl w:val="0"/>
        <w:tabs>
          <w:tab w:val="left" w:pos="5925"/>
        </w:tabs>
        <w:kinsoku/>
        <w:wordWrap/>
        <w:overflowPunct/>
        <w:topLinePunct w:val="0"/>
        <w:autoSpaceDE/>
        <w:autoSpaceDN/>
        <w:bidi w:val="0"/>
        <w:snapToGrid w:val="0"/>
        <w:spacing w:line="312" w:lineRule="auto"/>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8</w:t>
      </w:r>
      <w:r>
        <w:rPr>
          <w:rFonts w:hint="eastAsia" w:ascii="宋体" w:hAnsi="宋体" w:eastAsia="宋体" w:cs="宋体"/>
          <w:b w:val="0"/>
          <w:bCs w:val="0"/>
          <w:color w:val="auto"/>
          <w:sz w:val="24"/>
          <w:highlight w:val="none"/>
          <w:lang w:val="en-US" w:eastAsia="zh-CN"/>
        </w:rPr>
        <w:t>、乙方需承担供货时发生的一切费用；验收标准顺序应按符合先国家、后地方、再行业标准执行。</w:t>
      </w:r>
    </w:p>
    <w:p w14:paraId="4EA74BDD">
      <w:pPr>
        <w:keepNext w:val="0"/>
        <w:keepLines w:val="0"/>
        <w:pageBreakBefore w:val="0"/>
        <w:widowControl w:val="0"/>
        <w:tabs>
          <w:tab w:val="left" w:pos="5925"/>
        </w:tabs>
        <w:kinsoku/>
        <w:wordWrap/>
        <w:overflowPunct/>
        <w:topLinePunct w:val="0"/>
        <w:autoSpaceDE/>
        <w:autoSpaceDN/>
        <w:bidi w:val="0"/>
        <w:snapToGrid w:val="0"/>
        <w:spacing w:line="312" w:lineRule="auto"/>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4、验收时乙方必须在现场，验收完毕后须</w:t>
      </w:r>
      <w:r>
        <w:rPr>
          <w:rFonts w:hint="eastAsia" w:ascii="宋体" w:hAnsi="宋体" w:cs="宋体"/>
          <w:b w:val="0"/>
          <w:bCs w:val="0"/>
          <w:color w:val="auto"/>
          <w:sz w:val="24"/>
          <w:highlight w:val="none"/>
          <w:lang w:val="en-US" w:eastAsia="zh-CN"/>
        </w:rPr>
        <w:t>做出</w:t>
      </w:r>
      <w:r>
        <w:rPr>
          <w:rFonts w:hint="eastAsia" w:ascii="宋体" w:hAnsi="宋体" w:eastAsia="宋体" w:cs="宋体"/>
          <w:b w:val="0"/>
          <w:bCs w:val="0"/>
          <w:color w:val="auto"/>
          <w:sz w:val="24"/>
          <w:highlight w:val="none"/>
          <w:lang w:val="en-US" w:eastAsia="zh-CN"/>
        </w:rPr>
        <w:t>验收结果报告。</w:t>
      </w:r>
    </w:p>
    <w:p w14:paraId="2C9B669E">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25" w:name="_Toc9866"/>
      <w:r>
        <w:rPr>
          <w:rFonts w:hint="eastAsia" w:ascii="宋体" w:hAnsi="宋体" w:eastAsia="宋体" w:cs="宋体"/>
          <w:b/>
          <w:bCs/>
          <w:szCs w:val="22"/>
          <w:lang w:val="en-US" w:eastAsia="zh-CN"/>
        </w:rPr>
        <w:t>货物包装、发运及运输</w:t>
      </w:r>
      <w:bookmarkEnd w:id="1123"/>
      <w:bookmarkEnd w:id="1124"/>
      <w:bookmarkEnd w:id="1125"/>
    </w:p>
    <w:p w14:paraId="7AB9D15E">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1.乙方应在货物发运前对其进行满足运输距离、防潮、防震、防锈和防破损装卸等要求包装，以保证货物安全运达甲方指定地点。</w:t>
      </w:r>
    </w:p>
    <w:p w14:paraId="53958C16">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outlineLvl w:val="2"/>
        <w:rPr>
          <w:rFonts w:hint="eastAsia" w:ascii="宋体" w:hAnsi="宋体" w:eastAsia="宋体" w:cs="宋体"/>
          <w:color w:val="auto"/>
          <w:sz w:val="24"/>
          <w:szCs w:val="24"/>
          <w:highlight w:val="none"/>
        </w:rPr>
      </w:pPr>
      <w:bookmarkStart w:id="1126" w:name="_Toc23567"/>
      <w:r>
        <w:rPr>
          <w:rFonts w:hint="eastAsia" w:ascii="宋体" w:hAnsi="宋体" w:eastAsia="宋体" w:cs="宋体"/>
          <w:color w:val="auto"/>
          <w:sz w:val="24"/>
          <w:szCs w:val="24"/>
          <w:highlight w:val="none"/>
        </w:rPr>
        <w:t>2.使用说明书、质量检验证明书以及清单一并附于货物内。</w:t>
      </w:r>
      <w:bookmarkEnd w:id="1126"/>
    </w:p>
    <w:p w14:paraId="6347BC6E">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3.乙方在货物发运手续办理完毕后24小时内或货到甲方48小时前通知甲方，以准备接货。</w:t>
      </w:r>
    </w:p>
    <w:p w14:paraId="4110EB66">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outlineLvl w:val="2"/>
        <w:rPr>
          <w:rFonts w:hint="eastAsia" w:ascii="宋体" w:hAnsi="宋体" w:eastAsia="宋体" w:cs="宋体"/>
          <w:color w:val="auto"/>
          <w:sz w:val="24"/>
          <w:szCs w:val="24"/>
          <w:highlight w:val="none"/>
        </w:rPr>
      </w:pPr>
      <w:bookmarkStart w:id="1127" w:name="_Toc15585"/>
      <w:r>
        <w:rPr>
          <w:rFonts w:hint="eastAsia" w:ascii="宋体" w:hAnsi="宋体" w:eastAsia="宋体" w:cs="宋体"/>
          <w:color w:val="auto"/>
          <w:sz w:val="24"/>
          <w:szCs w:val="24"/>
          <w:highlight w:val="none"/>
        </w:rPr>
        <w:t>4.货物在交付甲方前发生的风险均由乙方负责。</w:t>
      </w:r>
      <w:bookmarkEnd w:id="1127"/>
    </w:p>
    <w:p w14:paraId="4E9E8463">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5.货物在规定的交付期限内由乙方送达甲方指定的地点视为交付，乙方同时需通知甲方货物已送达。</w:t>
      </w:r>
    </w:p>
    <w:p w14:paraId="3772654D">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28" w:name="_Toc5439"/>
      <w:bookmarkStart w:id="1129" w:name="_Toc32363"/>
      <w:bookmarkStart w:id="1130" w:name="_Toc212"/>
      <w:r>
        <w:rPr>
          <w:rFonts w:hint="eastAsia" w:ascii="宋体" w:hAnsi="宋体" w:eastAsia="宋体" w:cs="宋体"/>
          <w:b/>
          <w:bCs/>
          <w:szCs w:val="22"/>
          <w:lang w:val="en-US" w:eastAsia="zh-CN"/>
        </w:rPr>
        <w:t>违约责任</w:t>
      </w:r>
      <w:bookmarkEnd w:id="1128"/>
      <w:bookmarkEnd w:id="1129"/>
      <w:bookmarkEnd w:id="1130"/>
    </w:p>
    <w:p w14:paraId="1372BCF5">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1.甲方无正当理由拒收货物的，甲方向乙方偿付拒收货款总值的</w:t>
      </w:r>
      <w:r>
        <w:rPr>
          <w:rFonts w:hint="eastAsia" w:ascii="宋体" w:hAnsi="宋体" w:cs="宋体"/>
          <w:color w:val="auto"/>
          <w:sz w:val="24"/>
          <w:szCs w:val="24"/>
          <w:highlight w:val="none"/>
          <w:lang w:eastAsia="zh-CN"/>
        </w:rPr>
        <w:t>5%</w:t>
      </w:r>
      <w:r>
        <w:rPr>
          <w:rFonts w:hint="eastAsia" w:ascii="宋体" w:hAnsi="宋体" w:eastAsia="宋体" w:cs="宋体"/>
          <w:color w:val="auto"/>
          <w:sz w:val="24"/>
          <w:szCs w:val="24"/>
          <w:highlight w:val="none"/>
        </w:rPr>
        <w:t>违约金。</w:t>
      </w:r>
    </w:p>
    <w:p w14:paraId="79A2FF38">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2.甲方无故逾期验收和办理货款支付手续的,甲方应按逾期付款总额每日万分之五向乙方支付违约金。</w:t>
      </w:r>
    </w:p>
    <w:p w14:paraId="3799CE80">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14:paraId="11438A8E">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03CF3D93">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31" w:name="_Toc17901"/>
      <w:bookmarkStart w:id="1132" w:name="_Toc1494"/>
      <w:bookmarkStart w:id="1133" w:name="_Toc28499"/>
      <w:r>
        <w:rPr>
          <w:rFonts w:hint="eastAsia" w:ascii="宋体" w:hAnsi="宋体" w:eastAsia="宋体" w:cs="宋体"/>
          <w:b/>
          <w:bCs/>
          <w:szCs w:val="22"/>
          <w:lang w:val="en-US" w:eastAsia="zh-CN"/>
        </w:rPr>
        <w:t>不可抗力事件处理</w:t>
      </w:r>
      <w:bookmarkEnd w:id="1131"/>
      <w:bookmarkEnd w:id="1132"/>
      <w:bookmarkEnd w:id="1133"/>
    </w:p>
    <w:p w14:paraId="1F3F3C59">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1.在合同有效期内，任何一方因不可抗力事件导致不能履行合同，则合同履行期可延长，其延长期与不可抗力影响期相同。</w:t>
      </w:r>
    </w:p>
    <w:p w14:paraId="70D63DE7">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2.不可抗力事件发生后，应立即通知对方，并寄送有关权威机构出具的证明。</w:t>
      </w:r>
    </w:p>
    <w:p w14:paraId="30250BF5">
      <w:pPr>
        <w:keepNext w:val="0"/>
        <w:keepLines w:val="0"/>
        <w:pageBreakBefore w:val="0"/>
        <w:widowControl w:val="0"/>
        <w:kinsoku/>
        <w:wordWrap/>
        <w:overflowPunct/>
        <w:topLinePunct w:val="0"/>
        <w:autoSpaceDE/>
        <w:autoSpaceDN/>
        <w:bidi w:val="0"/>
        <w:adjustRightInd/>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3.不可抗力事件延续120天以上，双方应通过友好协商，确定是否继续履行合同。</w:t>
      </w:r>
    </w:p>
    <w:p w14:paraId="3CE185CC">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34" w:name="_Toc21866"/>
      <w:bookmarkStart w:id="1135" w:name="_Toc28101"/>
      <w:bookmarkStart w:id="1136" w:name="_Toc18540"/>
      <w:r>
        <w:rPr>
          <w:rFonts w:hint="eastAsia" w:ascii="宋体" w:hAnsi="宋体" w:eastAsia="宋体" w:cs="宋体"/>
          <w:b/>
          <w:bCs/>
          <w:szCs w:val="22"/>
          <w:lang w:val="en-US" w:eastAsia="zh-CN"/>
        </w:rPr>
        <w:t>诉讼</w:t>
      </w:r>
      <w:bookmarkEnd w:id="1134"/>
      <w:bookmarkEnd w:id="1135"/>
      <w:bookmarkEnd w:id="1136"/>
    </w:p>
    <w:p w14:paraId="5478FE14">
      <w:pPr>
        <w:keepNext w:val="0"/>
        <w:keepLines w:val="0"/>
        <w:pageBreakBefore w:val="0"/>
        <w:kinsoku/>
        <w:wordWrap/>
        <w:overflowPunct/>
        <w:topLinePunct w:val="0"/>
        <w:autoSpaceDE/>
        <w:autoSpaceDN/>
        <w:bidi w:val="0"/>
        <w:snapToGrid/>
        <w:spacing w:beforeLines="0"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双方在执行合同中所发生的一切争议，应通过协商解决。如协商不成，可向甲方所在地法院起诉。</w:t>
      </w:r>
    </w:p>
    <w:p w14:paraId="4AA3A7AE">
      <w:pPr>
        <w:keepNext w:val="0"/>
        <w:keepLines w:val="0"/>
        <w:pageBreakBefore w:val="0"/>
        <w:numPr>
          <w:ilvl w:val="0"/>
          <w:numId w:val="7"/>
        </w:numPr>
        <w:shd w:val="clear" w:color="auto" w:fill="FFFFFF"/>
        <w:kinsoku/>
        <w:wordWrap/>
        <w:overflowPunct/>
        <w:topLinePunct w:val="0"/>
        <w:bidi w:val="0"/>
        <w:snapToGrid w:val="0"/>
        <w:spacing w:line="312" w:lineRule="auto"/>
        <w:ind w:left="0" w:leftChars="0" w:firstLine="482" w:firstLineChars="200"/>
        <w:outlineLvl w:val="1"/>
        <w:rPr>
          <w:rFonts w:hint="eastAsia" w:ascii="宋体" w:hAnsi="宋体" w:eastAsia="宋体" w:cs="宋体"/>
          <w:b/>
          <w:bCs/>
          <w:szCs w:val="22"/>
          <w:lang w:val="en-US" w:eastAsia="zh-CN"/>
        </w:rPr>
      </w:pPr>
      <w:bookmarkStart w:id="1137" w:name="_Toc32585"/>
      <w:bookmarkStart w:id="1138" w:name="_Toc20825"/>
      <w:bookmarkStart w:id="1139" w:name="_Toc5397"/>
      <w:r>
        <w:rPr>
          <w:rFonts w:hint="eastAsia" w:ascii="宋体" w:hAnsi="宋体" w:eastAsia="宋体" w:cs="宋体"/>
          <w:b/>
          <w:bCs/>
          <w:szCs w:val="22"/>
          <w:lang w:val="en-US" w:eastAsia="zh-CN"/>
        </w:rPr>
        <w:t>合同生效</w:t>
      </w:r>
      <w:r>
        <w:rPr>
          <w:rFonts w:hint="eastAsia" w:ascii="宋体" w:hAnsi="宋体" w:cs="宋体"/>
          <w:b/>
          <w:bCs/>
          <w:szCs w:val="22"/>
          <w:lang w:val="en-US" w:eastAsia="zh-CN"/>
        </w:rPr>
        <w:t>及其他</w:t>
      </w:r>
      <w:bookmarkEnd w:id="1137"/>
      <w:bookmarkEnd w:id="1138"/>
      <w:bookmarkEnd w:id="1139"/>
    </w:p>
    <w:p w14:paraId="358DD279">
      <w:pPr>
        <w:keepNext w:val="0"/>
        <w:keepLines w:val="0"/>
        <w:widowControl w:val="0"/>
        <w:suppressLineNumbers w:val="0"/>
        <w:spacing w:before="0" w:beforeLines="0" w:beforeAutospacing="0" w:after="0" w:afterLines="0" w:afterAutospacing="0" w:line="312" w:lineRule="auto"/>
        <w:ind w:left="0" w:right="0" w:firstLine="480" w:firstLineChars="200"/>
        <w:jc w:val="both"/>
        <w:rPr>
          <w:rFonts w:hint="eastAsia" w:ascii="宋体" w:hAnsi="宋体" w:eastAsia="宋体" w:cs="Times New Roman"/>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1.合同经双方法定代表人签字或授权代表签字并加盖单位公章后生效。</w:t>
      </w:r>
    </w:p>
    <w:p w14:paraId="1D0655DC">
      <w:pPr>
        <w:keepNext w:val="0"/>
        <w:keepLines w:val="0"/>
        <w:widowControl w:val="0"/>
        <w:suppressLineNumbers w:val="0"/>
        <w:spacing w:before="0" w:beforeLines="0" w:beforeAutospacing="0" w:after="0" w:afterLines="0" w:afterAutospacing="0" w:line="312" w:lineRule="auto"/>
        <w:ind w:left="0" w:right="0" w:firstLine="480" w:firstLineChars="200"/>
        <w:jc w:val="both"/>
        <w:outlineLvl w:val="2"/>
        <w:rPr>
          <w:rFonts w:hint="eastAsia" w:ascii="宋体" w:hAnsi="宋体" w:eastAsia="宋体" w:cs="Times New Roman"/>
          <w:color w:val="auto"/>
          <w:kern w:val="2"/>
          <w:sz w:val="24"/>
          <w:szCs w:val="24"/>
          <w:highlight w:val="none"/>
        </w:rPr>
      </w:pPr>
      <w:bookmarkStart w:id="1140" w:name="_Toc27590"/>
      <w:r>
        <w:rPr>
          <w:rFonts w:hint="eastAsia" w:ascii="宋体" w:hAnsi="宋体" w:eastAsia="宋体" w:cs="宋体"/>
          <w:color w:val="auto"/>
          <w:kern w:val="2"/>
          <w:sz w:val="24"/>
          <w:szCs w:val="24"/>
          <w:highlight w:val="none"/>
          <w:lang w:val="en-US" w:eastAsia="zh-CN" w:bidi="ar"/>
        </w:rPr>
        <w:t>2.本合同未尽事宜，遵照《</w:t>
      </w:r>
      <w:r>
        <w:rPr>
          <w:rFonts w:hint="eastAsia" w:ascii="宋体" w:hAnsi="宋体" w:cs="宋体"/>
          <w:color w:val="auto"/>
          <w:kern w:val="2"/>
          <w:sz w:val="24"/>
          <w:szCs w:val="24"/>
          <w:highlight w:val="none"/>
          <w:lang w:val="en-US" w:eastAsia="zh-CN" w:bidi="ar"/>
        </w:rPr>
        <w:t>中华人民共和国民法典</w:t>
      </w:r>
      <w:r>
        <w:rPr>
          <w:rFonts w:hint="eastAsia" w:ascii="宋体" w:hAnsi="宋体" w:eastAsia="宋体" w:cs="宋体"/>
          <w:color w:val="auto"/>
          <w:kern w:val="2"/>
          <w:sz w:val="24"/>
          <w:szCs w:val="24"/>
          <w:highlight w:val="none"/>
          <w:lang w:val="en-US" w:eastAsia="zh-CN" w:bidi="ar"/>
        </w:rPr>
        <w:t>》有关条文执行。</w:t>
      </w:r>
      <w:bookmarkEnd w:id="1140"/>
    </w:p>
    <w:p w14:paraId="5D0470B5">
      <w:pPr>
        <w:spacing w:line="288" w:lineRule="auto"/>
        <w:ind w:firstLine="480"/>
        <w:rPr>
          <w:rFonts w:hint="eastAsia" w:ascii="宋体" w:hAnsi="宋体" w:cs="宋体"/>
          <w:highlight w:val="none"/>
        </w:rPr>
      </w:pPr>
      <w:r>
        <w:rPr>
          <w:rFonts w:hint="eastAsia" w:ascii="宋体" w:hAnsi="宋体" w:cs="宋体"/>
          <w:highlight w:val="none"/>
        </w:rPr>
        <w:t>3.本合同一式柒份，具有同等法律效力，甲乙双方各执叁份，</w:t>
      </w:r>
      <w:r>
        <w:rPr>
          <w:rFonts w:hint="eastAsia" w:ascii="宋体" w:hAnsi="宋体" w:cs="宋体"/>
          <w:highlight w:val="none"/>
          <w:lang w:eastAsia="zh-CN"/>
        </w:rPr>
        <w:t>浙江新诚信工程咨询有限公司</w:t>
      </w:r>
      <w:r>
        <w:rPr>
          <w:rFonts w:hint="eastAsia" w:ascii="宋体" w:hAnsi="宋体" w:cs="宋体"/>
          <w:highlight w:val="none"/>
        </w:rPr>
        <w:t>留存</w:t>
      </w:r>
      <w:r>
        <w:rPr>
          <w:rFonts w:hint="eastAsia" w:ascii="宋体" w:hAnsi="宋体" w:cs="宋体"/>
          <w:highlight w:val="none"/>
          <w:lang w:val="en-US" w:eastAsia="zh-CN"/>
        </w:rPr>
        <w:t>壹</w:t>
      </w:r>
      <w:r>
        <w:rPr>
          <w:rFonts w:hint="eastAsia" w:ascii="宋体" w:hAnsi="宋体" w:cs="宋体"/>
          <w:highlight w:val="none"/>
        </w:rPr>
        <w:t>份。</w:t>
      </w:r>
    </w:p>
    <w:tbl>
      <w:tblPr>
        <w:tblStyle w:val="38"/>
        <w:tblW w:w="5000" w:type="pct"/>
        <w:jc w:val="center"/>
        <w:tblLayout w:type="autofit"/>
        <w:tblCellMar>
          <w:top w:w="0" w:type="dxa"/>
          <w:left w:w="108" w:type="dxa"/>
          <w:bottom w:w="0" w:type="dxa"/>
          <w:right w:w="108" w:type="dxa"/>
        </w:tblCellMar>
      </w:tblPr>
      <w:tblGrid>
        <w:gridCol w:w="4981"/>
        <w:gridCol w:w="4981"/>
      </w:tblGrid>
      <w:tr w14:paraId="1EA39BBB">
        <w:tblPrEx>
          <w:tblCellMar>
            <w:top w:w="0" w:type="dxa"/>
            <w:left w:w="108" w:type="dxa"/>
            <w:bottom w:w="0" w:type="dxa"/>
            <w:right w:w="108" w:type="dxa"/>
          </w:tblCellMar>
        </w:tblPrEx>
        <w:trPr>
          <w:trHeight w:val="593" w:hRule="exact"/>
          <w:jc w:val="center"/>
        </w:trPr>
        <w:tc>
          <w:tcPr>
            <w:tcW w:w="2500" w:type="pct"/>
            <w:noWrap w:val="0"/>
            <w:vAlign w:val="center"/>
          </w:tcPr>
          <w:p w14:paraId="5284DD75">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甲方（盖章）：</w:t>
            </w:r>
          </w:p>
        </w:tc>
        <w:tc>
          <w:tcPr>
            <w:tcW w:w="2500" w:type="pct"/>
            <w:noWrap w:val="0"/>
            <w:vAlign w:val="center"/>
          </w:tcPr>
          <w:p w14:paraId="41CE0606">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乙方（盖章）：</w:t>
            </w:r>
          </w:p>
        </w:tc>
      </w:tr>
      <w:tr w14:paraId="70E3A911">
        <w:tblPrEx>
          <w:tblCellMar>
            <w:top w:w="0" w:type="dxa"/>
            <w:left w:w="108" w:type="dxa"/>
            <w:bottom w:w="0" w:type="dxa"/>
            <w:right w:w="108" w:type="dxa"/>
          </w:tblCellMar>
        </w:tblPrEx>
        <w:trPr>
          <w:trHeight w:val="1130" w:hRule="exact"/>
          <w:jc w:val="center"/>
        </w:trPr>
        <w:tc>
          <w:tcPr>
            <w:tcW w:w="2500" w:type="pct"/>
            <w:noWrap w:val="0"/>
            <w:vAlign w:val="center"/>
          </w:tcPr>
          <w:p w14:paraId="761D466C">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法定代表人或其</w:t>
            </w:r>
          </w:p>
          <w:p w14:paraId="12081EB9">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授权委托人（签字）：</w:t>
            </w:r>
          </w:p>
        </w:tc>
        <w:tc>
          <w:tcPr>
            <w:tcW w:w="2500" w:type="pct"/>
            <w:noWrap w:val="0"/>
            <w:vAlign w:val="center"/>
          </w:tcPr>
          <w:p w14:paraId="7247533B">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法定代表人或其</w:t>
            </w:r>
          </w:p>
          <w:p w14:paraId="61F1E531">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授权委托人（签字）：</w:t>
            </w:r>
          </w:p>
        </w:tc>
      </w:tr>
      <w:tr w14:paraId="660E3AC8">
        <w:tblPrEx>
          <w:tblCellMar>
            <w:top w:w="0" w:type="dxa"/>
            <w:left w:w="108" w:type="dxa"/>
            <w:bottom w:w="0" w:type="dxa"/>
            <w:right w:w="108" w:type="dxa"/>
          </w:tblCellMar>
        </w:tblPrEx>
        <w:trPr>
          <w:trHeight w:val="555" w:hRule="exact"/>
          <w:jc w:val="center"/>
        </w:trPr>
        <w:tc>
          <w:tcPr>
            <w:tcW w:w="2500" w:type="pct"/>
            <w:noWrap w:val="0"/>
            <w:vAlign w:val="center"/>
          </w:tcPr>
          <w:p w14:paraId="41F76B94">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地址：</w:t>
            </w:r>
          </w:p>
        </w:tc>
        <w:tc>
          <w:tcPr>
            <w:tcW w:w="2500" w:type="pct"/>
            <w:noWrap w:val="0"/>
            <w:vAlign w:val="center"/>
          </w:tcPr>
          <w:p w14:paraId="200993AA">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地址：</w:t>
            </w:r>
          </w:p>
          <w:p w14:paraId="23F3C111">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p>
        </w:tc>
      </w:tr>
      <w:tr w14:paraId="1D5CD474">
        <w:tblPrEx>
          <w:tblCellMar>
            <w:top w:w="0" w:type="dxa"/>
            <w:left w:w="108" w:type="dxa"/>
            <w:bottom w:w="0" w:type="dxa"/>
            <w:right w:w="108" w:type="dxa"/>
          </w:tblCellMar>
        </w:tblPrEx>
        <w:trPr>
          <w:trHeight w:val="580" w:hRule="exact"/>
          <w:jc w:val="center"/>
        </w:trPr>
        <w:tc>
          <w:tcPr>
            <w:tcW w:w="2500" w:type="pct"/>
            <w:noWrap w:val="0"/>
            <w:vAlign w:val="center"/>
          </w:tcPr>
          <w:p w14:paraId="35B43238">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电话：</w:t>
            </w:r>
          </w:p>
        </w:tc>
        <w:tc>
          <w:tcPr>
            <w:tcW w:w="2500" w:type="pct"/>
            <w:noWrap w:val="0"/>
            <w:vAlign w:val="center"/>
          </w:tcPr>
          <w:p w14:paraId="275D2BCF">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电话：</w:t>
            </w:r>
          </w:p>
        </w:tc>
      </w:tr>
      <w:tr w14:paraId="1A888ED2">
        <w:tblPrEx>
          <w:tblCellMar>
            <w:top w:w="0" w:type="dxa"/>
            <w:left w:w="108" w:type="dxa"/>
            <w:bottom w:w="0" w:type="dxa"/>
            <w:right w:w="108" w:type="dxa"/>
          </w:tblCellMar>
        </w:tblPrEx>
        <w:trPr>
          <w:trHeight w:val="584" w:hRule="exact"/>
          <w:jc w:val="center"/>
        </w:trPr>
        <w:tc>
          <w:tcPr>
            <w:tcW w:w="2500" w:type="pct"/>
            <w:noWrap w:val="0"/>
            <w:vAlign w:val="center"/>
          </w:tcPr>
          <w:p w14:paraId="7D2F2CEA">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开户银行：</w:t>
            </w:r>
          </w:p>
        </w:tc>
        <w:tc>
          <w:tcPr>
            <w:tcW w:w="2500" w:type="pct"/>
            <w:noWrap w:val="0"/>
            <w:vAlign w:val="center"/>
          </w:tcPr>
          <w:p w14:paraId="5426109B">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开户银行：</w:t>
            </w:r>
          </w:p>
        </w:tc>
      </w:tr>
      <w:tr w14:paraId="4CD8CCB8">
        <w:tblPrEx>
          <w:tblCellMar>
            <w:top w:w="0" w:type="dxa"/>
            <w:left w:w="108" w:type="dxa"/>
            <w:bottom w:w="0" w:type="dxa"/>
            <w:right w:w="108" w:type="dxa"/>
          </w:tblCellMar>
        </w:tblPrEx>
        <w:trPr>
          <w:trHeight w:val="580" w:hRule="exact"/>
          <w:jc w:val="center"/>
        </w:trPr>
        <w:tc>
          <w:tcPr>
            <w:tcW w:w="2500" w:type="pct"/>
            <w:noWrap w:val="0"/>
            <w:vAlign w:val="center"/>
          </w:tcPr>
          <w:p w14:paraId="5FC680C5">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账号：</w:t>
            </w:r>
          </w:p>
        </w:tc>
        <w:tc>
          <w:tcPr>
            <w:tcW w:w="2500" w:type="pct"/>
            <w:noWrap w:val="0"/>
            <w:vAlign w:val="center"/>
          </w:tcPr>
          <w:p w14:paraId="33E22821">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账号：</w:t>
            </w:r>
          </w:p>
        </w:tc>
      </w:tr>
      <w:tr w14:paraId="11A4BFFA">
        <w:tblPrEx>
          <w:tblCellMar>
            <w:top w:w="0" w:type="dxa"/>
            <w:left w:w="108" w:type="dxa"/>
            <w:bottom w:w="0" w:type="dxa"/>
            <w:right w:w="108" w:type="dxa"/>
          </w:tblCellMar>
        </w:tblPrEx>
        <w:trPr>
          <w:trHeight w:val="680" w:hRule="exact"/>
          <w:jc w:val="center"/>
        </w:trPr>
        <w:tc>
          <w:tcPr>
            <w:tcW w:w="2500" w:type="pct"/>
            <w:noWrap w:val="0"/>
            <w:vAlign w:val="center"/>
          </w:tcPr>
          <w:p w14:paraId="323962E6">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签字地点：</w:t>
            </w:r>
          </w:p>
        </w:tc>
        <w:tc>
          <w:tcPr>
            <w:tcW w:w="2500" w:type="pct"/>
            <w:noWrap w:val="0"/>
            <w:vAlign w:val="center"/>
          </w:tcPr>
          <w:p w14:paraId="0E4A52F7">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签字日期：    年   月  日</w:t>
            </w:r>
          </w:p>
        </w:tc>
      </w:tr>
      <w:tr w14:paraId="72027721">
        <w:tblPrEx>
          <w:tblCellMar>
            <w:top w:w="0" w:type="dxa"/>
            <w:left w:w="108" w:type="dxa"/>
            <w:bottom w:w="0" w:type="dxa"/>
            <w:right w:w="108" w:type="dxa"/>
          </w:tblCellMar>
        </w:tblPrEx>
        <w:trPr>
          <w:trHeight w:val="680" w:hRule="exact"/>
          <w:jc w:val="center"/>
        </w:trPr>
        <w:tc>
          <w:tcPr>
            <w:tcW w:w="5000" w:type="pct"/>
            <w:gridSpan w:val="2"/>
            <w:noWrap w:val="0"/>
            <w:vAlign w:val="center"/>
          </w:tcPr>
          <w:p w14:paraId="4A550388">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鉴证方（盖章）：</w:t>
            </w:r>
          </w:p>
        </w:tc>
      </w:tr>
      <w:tr w14:paraId="70CC692D">
        <w:tblPrEx>
          <w:tblCellMar>
            <w:top w:w="0" w:type="dxa"/>
            <w:left w:w="108" w:type="dxa"/>
            <w:bottom w:w="0" w:type="dxa"/>
            <w:right w:w="108" w:type="dxa"/>
          </w:tblCellMar>
        </w:tblPrEx>
        <w:trPr>
          <w:trHeight w:val="680" w:hRule="exact"/>
          <w:jc w:val="center"/>
        </w:trPr>
        <w:tc>
          <w:tcPr>
            <w:tcW w:w="5000" w:type="pct"/>
            <w:gridSpan w:val="2"/>
            <w:noWrap w:val="0"/>
            <w:vAlign w:val="center"/>
          </w:tcPr>
          <w:p w14:paraId="3A55E6EB">
            <w:pPr>
              <w:keepNext w:val="0"/>
              <w:keepLines w:val="0"/>
              <w:widowControl/>
              <w:suppressLineNumbers w:val="0"/>
              <w:adjustRightInd w:val="0"/>
              <w:snapToGrid w:val="0"/>
              <w:spacing w:before="0" w:beforeAutospacing="0" w:after="0" w:afterAutospacing="0" w:line="240" w:lineRule="auto"/>
              <w:ind w:left="0" w:right="0" w:firstLine="431"/>
              <w:jc w:val="left"/>
              <w:rPr>
                <w:rFonts w:hint="eastAsia" w:ascii="宋体" w:hAnsi="宋体" w:cs="宋体"/>
                <w:w w:val="90"/>
                <w:highlight w:val="none"/>
              </w:rPr>
            </w:pPr>
            <w:r>
              <w:rPr>
                <w:rFonts w:hint="eastAsia" w:ascii="宋体" w:hAnsi="宋体" w:cs="宋体"/>
                <w:w w:val="90"/>
                <w:highlight w:val="none"/>
              </w:rPr>
              <w:t xml:space="preserve">合同鉴证日期：    </w:t>
            </w:r>
            <w:r>
              <w:rPr>
                <w:rFonts w:hint="eastAsia" w:ascii="宋体" w:hAnsi="宋体" w:cs="宋体"/>
                <w:w w:val="90"/>
                <w:highlight w:val="none"/>
                <w:lang w:val="zh-CN"/>
              </w:rPr>
              <w:t>年</w:t>
            </w:r>
            <w:r>
              <w:rPr>
                <w:rFonts w:hint="eastAsia" w:ascii="宋体" w:hAnsi="宋体" w:cs="宋体"/>
                <w:w w:val="90"/>
                <w:highlight w:val="none"/>
              </w:rPr>
              <w:t xml:space="preserve">  </w:t>
            </w:r>
            <w:r>
              <w:rPr>
                <w:rFonts w:hint="eastAsia" w:ascii="宋体" w:hAnsi="宋体" w:cs="宋体"/>
                <w:w w:val="90"/>
                <w:highlight w:val="none"/>
                <w:lang w:val="zh-CN"/>
              </w:rPr>
              <w:t>月</w:t>
            </w:r>
            <w:r>
              <w:rPr>
                <w:rFonts w:hint="eastAsia" w:ascii="宋体" w:hAnsi="宋体" w:cs="宋体"/>
                <w:w w:val="90"/>
                <w:highlight w:val="none"/>
              </w:rPr>
              <w:t xml:space="preserve">  </w:t>
            </w:r>
            <w:r>
              <w:rPr>
                <w:rFonts w:hint="eastAsia" w:ascii="宋体" w:hAnsi="宋体" w:cs="宋体"/>
                <w:w w:val="90"/>
                <w:highlight w:val="none"/>
                <w:lang w:val="zh-CN"/>
              </w:rPr>
              <w:t>日</w:t>
            </w:r>
          </w:p>
        </w:tc>
      </w:tr>
    </w:tbl>
    <w:p w14:paraId="55B1950A">
      <w:pPr>
        <w:rPr>
          <w:rFonts w:hint="eastAsia"/>
        </w:rPr>
      </w:pPr>
    </w:p>
    <w:p w14:paraId="73C96212">
      <w:pPr>
        <w:pStyle w:val="2"/>
        <w:spacing w:before="312" w:after="312"/>
        <w:ind w:firstLine="0" w:firstLineChars="0"/>
        <w:jc w:val="center"/>
        <w:outlineLvl w:val="9"/>
        <w:rPr>
          <w:rFonts w:hint="eastAsia" w:ascii="宋体" w:hAnsi="宋体" w:cs="宋体"/>
        </w:rPr>
      </w:pPr>
    </w:p>
    <w:p w14:paraId="393075E0">
      <w:pPr>
        <w:ind w:left="0" w:leftChars="0" w:firstLine="0" w:firstLineChars="0"/>
        <w:rPr>
          <w:rFonts w:hint="eastAsia"/>
        </w:rPr>
      </w:pPr>
    </w:p>
    <w:p w14:paraId="55E3153A">
      <w:pPr>
        <w:pStyle w:val="2"/>
        <w:spacing w:before="312" w:after="312"/>
        <w:ind w:firstLine="0" w:firstLineChars="0"/>
        <w:jc w:val="center"/>
        <w:rPr>
          <w:rFonts w:ascii="宋体" w:hAnsi="宋体" w:cs="宋体"/>
          <w:szCs w:val="21"/>
        </w:rPr>
      </w:pPr>
      <w:bookmarkStart w:id="1141" w:name="_Toc18976"/>
      <w:r>
        <w:rPr>
          <w:rFonts w:hint="eastAsia" w:ascii="宋体" w:hAnsi="宋体" w:cs="宋体"/>
        </w:rPr>
        <w:t xml:space="preserve">第六章  </w:t>
      </w:r>
      <w:r>
        <w:rPr>
          <w:rFonts w:hint="eastAsia" w:ascii="宋体" w:hAnsi="宋体" w:cs="宋体"/>
          <w:lang w:eastAsia="zh-CN"/>
        </w:rPr>
        <w:t>磋商响应文件</w:t>
      </w:r>
      <w:r>
        <w:rPr>
          <w:rFonts w:hint="eastAsia" w:ascii="宋体" w:hAnsi="宋体" w:cs="宋体"/>
        </w:rPr>
        <w:t>格式</w:t>
      </w:r>
      <w:bookmarkEnd w:id="1076"/>
      <w:bookmarkEnd w:id="1077"/>
      <w:bookmarkEnd w:id="1078"/>
      <w:bookmarkEnd w:id="1079"/>
      <w:bookmarkEnd w:id="1080"/>
      <w:bookmarkEnd w:id="1081"/>
      <w:bookmarkEnd w:id="1082"/>
      <w:bookmarkEnd w:id="1083"/>
      <w:bookmarkEnd w:id="1084"/>
      <w:bookmarkEnd w:id="1141"/>
    </w:p>
    <w:p w14:paraId="084979E5">
      <w:pPr>
        <w:spacing w:line="360" w:lineRule="auto"/>
        <w:ind w:firstLine="480"/>
        <w:rPr>
          <w:rFonts w:ascii="宋体" w:hAnsi="宋体"/>
          <w:b/>
        </w:rPr>
      </w:pPr>
      <w:r>
        <w:rPr>
          <w:rFonts w:hint="eastAsia" w:ascii="宋体" w:hAnsi="宋体"/>
          <w:bCs/>
        </w:rPr>
        <w:t>本附件所有格式仅供制作</w:t>
      </w:r>
      <w:r>
        <w:rPr>
          <w:rFonts w:hint="eastAsia" w:ascii="宋体" w:hAnsi="宋体"/>
          <w:bCs/>
          <w:lang w:eastAsia="zh-CN"/>
        </w:rPr>
        <w:t>磋商响应文件</w:t>
      </w:r>
      <w:r>
        <w:rPr>
          <w:rFonts w:hint="eastAsia" w:ascii="宋体" w:hAnsi="宋体"/>
          <w:bCs/>
        </w:rPr>
        <w:t>时参考，供应商应根据行业特点，结合本项目的相关要求，对有关内容、表格可进行补充或修改，但不得对实质性内容做出变动。</w:t>
      </w:r>
    </w:p>
    <w:p w14:paraId="54201749">
      <w:pPr>
        <w:ind w:firstLine="0" w:firstLineChars="0"/>
        <w:rPr>
          <w:rFonts w:ascii="宋体" w:hAnsi="宋体"/>
          <w:b/>
          <w:sz w:val="48"/>
          <w:szCs w:val="48"/>
        </w:rPr>
      </w:pPr>
    </w:p>
    <w:p w14:paraId="67C01FFB">
      <w:pPr>
        <w:spacing w:line="240" w:lineRule="auto"/>
        <w:ind w:firstLine="0" w:firstLineChars="0"/>
        <w:jc w:val="center"/>
        <w:rPr>
          <w:rFonts w:ascii="宋体" w:hAnsi="宋体"/>
          <w:b/>
          <w:color w:val="000000"/>
          <w:sz w:val="44"/>
          <w:szCs w:val="44"/>
        </w:rPr>
      </w:pPr>
    </w:p>
    <w:p w14:paraId="20E39D22">
      <w:pPr>
        <w:spacing w:line="240" w:lineRule="auto"/>
        <w:ind w:firstLine="0" w:firstLineChars="0"/>
        <w:jc w:val="center"/>
        <w:rPr>
          <w:rFonts w:ascii="宋体" w:hAnsi="宋体"/>
          <w:b/>
          <w:color w:val="000000"/>
          <w:sz w:val="44"/>
          <w:szCs w:val="44"/>
        </w:rPr>
      </w:pPr>
    </w:p>
    <w:p w14:paraId="00D229A4">
      <w:pPr>
        <w:spacing w:line="240" w:lineRule="auto"/>
        <w:ind w:firstLine="0" w:firstLineChars="0"/>
        <w:jc w:val="center"/>
        <w:rPr>
          <w:rFonts w:ascii="宋体" w:hAnsi="宋体"/>
          <w:b/>
          <w:color w:val="000000"/>
          <w:sz w:val="44"/>
          <w:szCs w:val="44"/>
        </w:rPr>
      </w:pPr>
    </w:p>
    <w:p w14:paraId="3A6198B4">
      <w:pPr>
        <w:spacing w:line="240" w:lineRule="auto"/>
        <w:ind w:firstLine="0" w:firstLineChars="0"/>
        <w:jc w:val="center"/>
        <w:rPr>
          <w:rFonts w:ascii="宋体" w:hAnsi="宋体"/>
          <w:b/>
          <w:color w:val="000000"/>
          <w:sz w:val="44"/>
          <w:szCs w:val="44"/>
        </w:rPr>
      </w:pPr>
    </w:p>
    <w:p w14:paraId="0800138B">
      <w:pPr>
        <w:ind w:firstLine="0" w:firstLineChars="0"/>
        <w:rPr>
          <w:rFonts w:ascii="宋体" w:hAnsi="宋体"/>
          <w:b/>
          <w:sz w:val="28"/>
          <w:szCs w:val="28"/>
        </w:rPr>
      </w:pPr>
    </w:p>
    <w:p w14:paraId="438835A6">
      <w:pPr>
        <w:ind w:firstLine="562"/>
        <w:rPr>
          <w:rFonts w:ascii="宋体" w:hAnsi="宋体"/>
          <w:b/>
          <w:sz w:val="28"/>
          <w:szCs w:val="28"/>
        </w:rPr>
      </w:pPr>
    </w:p>
    <w:p w14:paraId="04419AA5">
      <w:pPr>
        <w:ind w:firstLine="562"/>
        <w:rPr>
          <w:rFonts w:ascii="宋体" w:hAnsi="宋体"/>
          <w:b/>
          <w:sz w:val="28"/>
          <w:szCs w:val="28"/>
        </w:rPr>
      </w:pPr>
    </w:p>
    <w:p w14:paraId="28623868">
      <w:pPr>
        <w:ind w:firstLine="562"/>
        <w:rPr>
          <w:rFonts w:ascii="宋体" w:hAnsi="宋体"/>
          <w:b/>
          <w:sz w:val="28"/>
          <w:szCs w:val="28"/>
        </w:rPr>
      </w:pPr>
    </w:p>
    <w:p w14:paraId="5901CEF4">
      <w:pPr>
        <w:ind w:firstLine="562"/>
        <w:rPr>
          <w:rFonts w:ascii="宋体" w:hAnsi="宋体"/>
          <w:b/>
          <w:sz w:val="28"/>
          <w:szCs w:val="28"/>
        </w:rPr>
      </w:pPr>
    </w:p>
    <w:p w14:paraId="7B11EE45">
      <w:pPr>
        <w:ind w:firstLine="562"/>
        <w:rPr>
          <w:rFonts w:ascii="宋体" w:hAnsi="宋体"/>
          <w:b/>
          <w:sz w:val="28"/>
          <w:szCs w:val="28"/>
        </w:rPr>
      </w:pPr>
    </w:p>
    <w:p w14:paraId="306D122F">
      <w:pPr>
        <w:ind w:firstLine="562"/>
        <w:rPr>
          <w:rFonts w:ascii="宋体" w:hAnsi="宋体"/>
          <w:b/>
          <w:sz w:val="28"/>
          <w:szCs w:val="28"/>
        </w:rPr>
      </w:pPr>
    </w:p>
    <w:p w14:paraId="47101E3F">
      <w:pPr>
        <w:ind w:firstLine="562"/>
        <w:rPr>
          <w:rFonts w:ascii="宋体" w:hAnsi="宋体"/>
          <w:b/>
          <w:sz w:val="28"/>
          <w:szCs w:val="28"/>
        </w:rPr>
      </w:pPr>
    </w:p>
    <w:p w14:paraId="58BE96C5">
      <w:pPr>
        <w:ind w:firstLine="562"/>
        <w:rPr>
          <w:rFonts w:ascii="宋体" w:hAnsi="宋体"/>
          <w:b/>
          <w:sz w:val="28"/>
          <w:szCs w:val="28"/>
        </w:rPr>
      </w:pPr>
    </w:p>
    <w:p w14:paraId="6FA8FF56">
      <w:pPr>
        <w:ind w:firstLine="562"/>
        <w:rPr>
          <w:rFonts w:ascii="宋体" w:hAnsi="宋体"/>
          <w:b/>
          <w:sz w:val="28"/>
          <w:szCs w:val="28"/>
        </w:rPr>
      </w:pPr>
    </w:p>
    <w:p w14:paraId="419DBD6C">
      <w:pPr>
        <w:ind w:firstLine="562"/>
        <w:rPr>
          <w:rFonts w:ascii="宋体" w:hAnsi="宋体"/>
          <w:b/>
          <w:sz w:val="28"/>
          <w:szCs w:val="28"/>
        </w:rPr>
      </w:pPr>
    </w:p>
    <w:p w14:paraId="30467519">
      <w:pPr>
        <w:ind w:firstLine="562"/>
        <w:rPr>
          <w:rFonts w:ascii="宋体" w:hAnsi="宋体"/>
          <w:b/>
          <w:sz w:val="28"/>
          <w:szCs w:val="28"/>
        </w:rPr>
      </w:pPr>
    </w:p>
    <w:p w14:paraId="5301214D">
      <w:pPr>
        <w:ind w:firstLine="562"/>
        <w:rPr>
          <w:rFonts w:ascii="宋体" w:hAnsi="宋体"/>
          <w:b/>
          <w:sz w:val="28"/>
          <w:szCs w:val="28"/>
        </w:rPr>
      </w:pPr>
    </w:p>
    <w:p w14:paraId="3F3E459C">
      <w:pPr>
        <w:pStyle w:val="15"/>
        <w:ind w:firstLine="562"/>
        <w:rPr>
          <w:rFonts w:ascii="宋体" w:hAnsi="宋体"/>
          <w:b/>
          <w:sz w:val="28"/>
          <w:szCs w:val="28"/>
        </w:rPr>
      </w:pPr>
    </w:p>
    <w:p w14:paraId="07317582">
      <w:pPr>
        <w:pStyle w:val="15"/>
        <w:ind w:firstLine="562"/>
        <w:rPr>
          <w:rFonts w:ascii="宋体" w:hAnsi="宋体"/>
          <w:b/>
          <w:sz w:val="28"/>
          <w:szCs w:val="28"/>
        </w:rPr>
      </w:pPr>
    </w:p>
    <w:p w14:paraId="5CAC10CD">
      <w:pPr>
        <w:ind w:firstLine="562"/>
        <w:rPr>
          <w:rFonts w:ascii="宋体" w:hAnsi="宋体"/>
          <w:b/>
          <w:sz w:val="28"/>
          <w:szCs w:val="28"/>
        </w:rPr>
      </w:pPr>
    </w:p>
    <w:p w14:paraId="6DF86FA4">
      <w:pPr>
        <w:ind w:firstLine="562"/>
        <w:rPr>
          <w:rFonts w:ascii="宋体" w:hAnsi="宋体"/>
          <w:b/>
          <w:sz w:val="28"/>
          <w:szCs w:val="28"/>
        </w:rPr>
      </w:pPr>
    </w:p>
    <w:p w14:paraId="5C30BFBA">
      <w:pPr>
        <w:ind w:firstLine="562"/>
        <w:rPr>
          <w:rFonts w:ascii="宋体" w:hAnsi="宋体"/>
          <w:b/>
          <w:sz w:val="28"/>
          <w:szCs w:val="28"/>
        </w:rPr>
      </w:pPr>
    </w:p>
    <w:p w14:paraId="3D2461F4">
      <w:pPr>
        <w:snapToGrid w:val="0"/>
        <w:spacing w:line="240" w:lineRule="auto"/>
        <w:ind w:firstLine="0" w:firstLineChars="0"/>
        <w:jc w:val="center"/>
        <w:outlineLvl w:val="9"/>
        <w:rPr>
          <w:rFonts w:hint="eastAsia" w:ascii="宋体" w:hAnsi="宋体"/>
          <w:b/>
          <w:sz w:val="44"/>
          <w:szCs w:val="44"/>
          <w:lang w:val="zh-CN"/>
        </w:rPr>
      </w:pPr>
      <w:bookmarkStart w:id="1142" w:name="_Toc25957"/>
      <w:bookmarkStart w:id="1143" w:name="_Toc357410801"/>
      <w:bookmarkStart w:id="1144" w:name="_Toc19917"/>
      <w:bookmarkStart w:id="1145" w:name="_Toc15679"/>
      <w:bookmarkStart w:id="1146" w:name="_Toc31325"/>
      <w:bookmarkStart w:id="1147" w:name="_Toc1808"/>
      <w:bookmarkStart w:id="1148" w:name="_Toc11642"/>
      <w:bookmarkStart w:id="1149" w:name="_Toc29993"/>
      <w:bookmarkStart w:id="1150" w:name="_Toc19968"/>
      <w:bookmarkStart w:id="1151" w:name="_Toc30805"/>
      <w:bookmarkStart w:id="1152" w:name="_Toc32551"/>
      <w:bookmarkStart w:id="1153" w:name="_Toc27545"/>
      <w:bookmarkStart w:id="1154" w:name="_Toc15968"/>
      <w:bookmarkStart w:id="1155" w:name="_Toc6362"/>
      <w:bookmarkStart w:id="1156" w:name="_Toc6841"/>
      <w:bookmarkStart w:id="1157" w:name="_Toc12808"/>
      <w:bookmarkStart w:id="1158" w:name="_Toc7152"/>
      <w:bookmarkStart w:id="1159" w:name="_Toc18463"/>
      <w:bookmarkStart w:id="1160" w:name="_Toc12668"/>
      <w:bookmarkStart w:id="1161" w:name="_Toc14622"/>
      <w:bookmarkStart w:id="1162" w:name="_Toc24199"/>
      <w:bookmarkStart w:id="1163" w:name="_Toc21200"/>
      <w:bookmarkStart w:id="1164" w:name="_Toc13808"/>
      <w:bookmarkStart w:id="1165" w:name="_Toc16449"/>
      <w:bookmarkStart w:id="1166" w:name="_Toc30522"/>
      <w:bookmarkStart w:id="1167" w:name="_Toc22770"/>
      <w:bookmarkStart w:id="1168" w:name="_Toc21629"/>
      <w:bookmarkStart w:id="1169" w:name="_Toc20665"/>
      <w:bookmarkStart w:id="1170" w:name="_Toc26288"/>
      <w:bookmarkStart w:id="1171" w:name="_Toc15303"/>
      <w:bookmarkStart w:id="1172" w:name="_Toc24839"/>
      <w:bookmarkStart w:id="1173" w:name="_Toc29722"/>
      <w:bookmarkStart w:id="1174" w:name="_Toc17772"/>
      <w:bookmarkStart w:id="1175" w:name="_Toc27832"/>
      <w:bookmarkStart w:id="1176" w:name="_Toc19700"/>
      <w:bookmarkStart w:id="1177" w:name="_Toc30831"/>
      <w:bookmarkStart w:id="1178" w:name="_Toc31904"/>
      <w:bookmarkStart w:id="1179" w:name="_Toc739"/>
      <w:bookmarkStart w:id="1180" w:name="_Toc10024"/>
      <w:bookmarkStart w:id="1181" w:name="_Toc13079"/>
      <w:bookmarkStart w:id="1182" w:name="_Toc13035"/>
      <w:bookmarkStart w:id="1183" w:name="_Toc374"/>
      <w:bookmarkStart w:id="1184" w:name="_Toc5069"/>
      <w:bookmarkStart w:id="1185" w:name="_Toc4434"/>
      <w:bookmarkStart w:id="1186" w:name="_Toc324"/>
    </w:p>
    <w:p w14:paraId="425FE818">
      <w:pPr>
        <w:snapToGrid w:val="0"/>
        <w:spacing w:line="240" w:lineRule="auto"/>
        <w:ind w:firstLine="0" w:firstLineChars="0"/>
        <w:jc w:val="center"/>
        <w:outlineLvl w:val="9"/>
        <w:rPr>
          <w:rFonts w:hint="eastAsia" w:ascii="宋体" w:hAnsi="宋体"/>
          <w:b/>
          <w:bCs/>
          <w:sz w:val="48"/>
          <w:szCs w:val="48"/>
        </w:rPr>
      </w:pPr>
      <w:r>
        <w:rPr>
          <w:rFonts w:hint="eastAsia" w:ascii="宋体" w:hAnsi="宋体"/>
          <w:b/>
          <w:sz w:val="44"/>
          <w:szCs w:val="44"/>
          <w:lang w:val="zh-CN"/>
        </w:rPr>
        <w:t>小南海镇周红坂村老年活动中心及厨房改造采购项目</w:t>
      </w:r>
    </w:p>
    <w:p w14:paraId="6632DAB8">
      <w:pPr>
        <w:snapToGrid w:val="0"/>
        <w:spacing w:line="240" w:lineRule="auto"/>
        <w:ind w:firstLine="0" w:firstLineChars="0"/>
        <w:jc w:val="center"/>
        <w:outlineLvl w:val="9"/>
        <w:rPr>
          <w:rFonts w:hint="eastAsia" w:ascii="宋体" w:hAnsi="宋体"/>
          <w:b/>
          <w:bCs/>
          <w:sz w:val="48"/>
          <w:szCs w:val="48"/>
        </w:rPr>
      </w:pPr>
    </w:p>
    <w:p w14:paraId="23BC15EF">
      <w:pPr>
        <w:snapToGrid w:val="0"/>
        <w:spacing w:line="240" w:lineRule="auto"/>
        <w:ind w:firstLine="0" w:firstLineChars="0"/>
        <w:jc w:val="center"/>
        <w:outlineLvl w:val="1"/>
        <w:rPr>
          <w:rFonts w:ascii="宋体" w:hAnsi="宋体"/>
          <w:b/>
          <w:bCs w:val="0"/>
          <w:spacing w:val="-11"/>
          <w:sz w:val="44"/>
          <w:szCs w:val="44"/>
        </w:rPr>
      </w:pPr>
      <w:bookmarkStart w:id="1187" w:name="_Toc26612"/>
      <w:r>
        <w:rPr>
          <w:rFonts w:hint="eastAsia" w:ascii="宋体" w:hAnsi="宋体"/>
          <w:b/>
          <w:bCs/>
          <w:sz w:val="48"/>
          <w:szCs w:val="48"/>
        </w:rPr>
        <w:t>磋商响应文件</w:t>
      </w:r>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7"/>
      <w:bookmarkStart w:id="1188" w:name="_Toc357410802"/>
    </w:p>
    <w:p w14:paraId="232BB3E3"/>
    <w:p w14:paraId="736EE1BB">
      <w:pPr>
        <w:pStyle w:val="15"/>
        <w:spacing w:line="720" w:lineRule="auto"/>
        <w:ind w:firstLine="0" w:firstLineChars="0"/>
        <w:jc w:val="both"/>
        <w:outlineLvl w:val="9"/>
        <w:rPr>
          <w:rFonts w:hint="eastAsia" w:ascii="宋体" w:hAnsi="宋体"/>
          <w:b/>
          <w:bCs w:val="0"/>
          <w:spacing w:val="-11"/>
          <w:sz w:val="44"/>
          <w:szCs w:val="44"/>
          <w:lang w:eastAsia="zh-CN"/>
        </w:rPr>
      </w:pPr>
      <w:bookmarkStart w:id="1189" w:name="_Toc9156"/>
      <w:bookmarkStart w:id="1190" w:name="_Toc32099"/>
      <w:bookmarkStart w:id="1191" w:name="_Toc29982"/>
      <w:bookmarkStart w:id="1192" w:name="_Toc69"/>
      <w:bookmarkStart w:id="1193" w:name="_Toc14194"/>
      <w:bookmarkStart w:id="1194" w:name="_Toc7991"/>
      <w:bookmarkStart w:id="1195" w:name="_Toc5930"/>
      <w:bookmarkStart w:id="1196" w:name="_Toc1628"/>
      <w:bookmarkStart w:id="1197" w:name="_Toc18341"/>
      <w:bookmarkStart w:id="1198" w:name="_Toc13741"/>
      <w:bookmarkStart w:id="1199" w:name="_Toc6101"/>
      <w:bookmarkStart w:id="1200" w:name="_Toc7539"/>
      <w:bookmarkStart w:id="1201" w:name="_Toc1037"/>
      <w:bookmarkStart w:id="1202" w:name="_Toc28757"/>
      <w:bookmarkStart w:id="1203" w:name="_Toc14986"/>
      <w:bookmarkStart w:id="1204" w:name="_Toc21795"/>
      <w:bookmarkStart w:id="1205" w:name="_Toc28080"/>
      <w:bookmarkStart w:id="1206" w:name="_Toc23825"/>
      <w:bookmarkStart w:id="1207" w:name="_Toc32577"/>
      <w:bookmarkStart w:id="1208" w:name="_Toc7820"/>
      <w:bookmarkStart w:id="1209" w:name="_Toc25626"/>
      <w:bookmarkStart w:id="1210" w:name="_Toc14095"/>
      <w:bookmarkStart w:id="1211" w:name="_Toc22628"/>
      <w:bookmarkStart w:id="1212" w:name="_Toc14327"/>
      <w:bookmarkStart w:id="1213" w:name="_Toc4641"/>
      <w:bookmarkStart w:id="1214" w:name="_Toc21157"/>
      <w:bookmarkStart w:id="1215" w:name="_Toc1735"/>
      <w:bookmarkStart w:id="1216" w:name="_Toc3280"/>
      <w:bookmarkStart w:id="1217" w:name="_Toc15283"/>
      <w:bookmarkStart w:id="1218" w:name="_Toc13724"/>
      <w:bookmarkStart w:id="1219" w:name="_Toc3017"/>
      <w:bookmarkStart w:id="1220" w:name="_Toc17677"/>
    </w:p>
    <w:p w14:paraId="31CF10F7">
      <w:pPr>
        <w:pStyle w:val="15"/>
        <w:spacing w:line="720" w:lineRule="auto"/>
        <w:ind w:firstLine="0" w:firstLineChars="0"/>
        <w:jc w:val="center"/>
        <w:outlineLvl w:val="0"/>
        <w:rPr>
          <w:rFonts w:ascii="宋体" w:hAnsi="宋体"/>
          <w:b/>
          <w:sz w:val="44"/>
          <w:szCs w:val="44"/>
        </w:rPr>
      </w:pPr>
      <w:bookmarkStart w:id="1221" w:name="_Toc25552"/>
      <w:r>
        <w:rPr>
          <w:rFonts w:hint="eastAsia" w:ascii="宋体" w:hAnsi="宋体"/>
          <w:b/>
          <w:bCs w:val="0"/>
          <w:spacing w:val="-11"/>
          <w:sz w:val="44"/>
          <w:szCs w:val="44"/>
          <w:lang w:eastAsia="zh-CN"/>
        </w:rPr>
        <w:t>资格部分、</w:t>
      </w:r>
      <w:r>
        <w:rPr>
          <w:rFonts w:hint="eastAsia" w:ascii="宋体" w:hAnsi="宋体"/>
          <w:b/>
          <w:sz w:val="44"/>
          <w:szCs w:val="44"/>
          <w:lang w:eastAsia="zh-CN"/>
        </w:rPr>
        <w:t>资信商务技术部分、</w:t>
      </w:r>
      <w:r>
        <w:rPr>
          <w:rFonts w:hint="eastAsia" w:ascii="宋体" w:hAnsi="宋体"/>
          <w:b/>
          <w:sz w:val="44"/>
          <w:szCs w:val="44"/>
        </w:rPr>
        <w:t>报价</w:t>
      </w:r>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r>
        <w:rPr>
          <w:rFonts w:hint="eastAsia" w:ascii="宋体" w:hAnsi="宋体"/>
          <w:b/>
          <w:sz w:val="44"/>
          <w:szCs w:val="44"/>
          <w:lang w:eastAsia="zh-CN"/>
        </w:rPr>
        <w:t>部分</w:t>
      </w:r>
      <w:bookmarkEnd w:id="1221"/>
    </w:p>
    <w:p w14:paraId="474451D1">
      <w:pPr>
        <w:ind w:firstLine="0" w:firstLineChars="0"/>
        <w:jc w:val="center"/>
        <w:rPr>
          <w:rFonts w:ascii="宋体" w:hAnsi="宋体"/>
          <w:b/>
          <w:szCs w:val="21"/>
        </w:rPr>
      </w:pPr>
    </w:p>
    <w:p w14:paraId="6CAB39CA">
      <w:pPr>
        <w:ind w:firstLine="0" w:firstLineChars="0"/>
        <w:jc w:val="center"/>
        <w:rPr>
          <w:rFonts w:ascii="宋体" w:hAnsi="宋体"/>
          <w:b/>
          <w:szCs w:val="21"/>
        </w:rPr>
      </w:pPr>
    </w:p>
    <w:bookmarkEnd w:id="1188"/>
    <w:p w14:paraId="717955D5">
      <w:pPr>
        <w:pStyle w:val="3"/>
        <w:spacing w:before="156" w:after="156"/>
        <w:jc w:val="both"/>
        <w:outlineLvl w:val="9"/>
      </w:pPr>
      <w:bookmarkStart w:id="1222" w:name="_Toc357410803"/>
    </w:p>
    <w:p w14:paraId="6DAE4BF0"/>
    <w:p w14:paraId="74F7A22E"/>
    <w:p w14:paraId="6606DA86">
      <w:pPr>
        <w:ind w:firstLine="0" w:firstLineChars="0"/>
        <w:jc w:val="center"/>
        <w:rPr>
          <w:rFonts w:ascii="宋体" w:hAnsi="宋体"/>
          <w:b/>
          <w:sz w:val="28"/>
          <w:szCs w:val="28"/>
        </w:rPr>
      </w:pPr>
    </w:p>
    <w:p w14:paraId="365F9D33">
      <w:pPr>
        <w:snapToGrid w:val="0"/>
        <w:spacing w:line="400" w:lineRule="exact"/>
        <w:ind w:firstLine="843" w:firstLineChars="300"/>
        <w:outlineLvl w:val="0"/>
        <w:rPr>
          <w:rFonts w:ascii="宋体" w:hAnsi="宋体"/>
          <w:b/>
          <w:sz w:val="28"/>
          <w:szCs w:val="28"/>
          <w:u w:val="single"/>
        </w:rPr>
      </w:pPr>
      <w:bookmarkStart w:id="1223" w:name="_Toc4635"/>
      <w:bookmarkStart w:id="1224" w:name="_Toc1813"/>
      <w:bookmarkStart w:id="1225" w:name="_Toc30164"/>
      <w:bookmarkStart w:id="1226" w:name="_Toc8025"/>
      <w:bookmarkStart w:id="1227" w:name="_Toc4691"/>
      <w:bookmarkStart w:id="1228" w:name="_Toc3476"/>
      <w:bookmarkStart w:id="1229" w:name="_Toc24755"/>
      <w:bookmarkStart w:id="1230" w:name="_Toc3820"/>
      <w:bookmarkStart w:id="1231" w:name="_Toc18811"/>
      <w:bookmarkStart w:id="1232" w:name="_Toc25893"/>
      <w:bookmarkStart w:id="1233" w:name="_Toc5647"/>
      <w:bookmarkStart w:id="1234" w:name="_Toc17416"/>
      <w:bookmarkStart w:id="1235" w:name="_Toc753"/>
      <w:bookmarkStart w:id="1236" w:name="_Toc23763"/>
      <w:bookmarkStart w:id="1237" w:name="_Toc6199"/>
      <w:bookmarkStart w:id="1238" w:name="_Toc22525"/>
      <w:bookmarkStart w:id="1239" w:name="_Toc18580"/>
      <w:bookmarkStart w:id="1240" w:name="_Toc27856"/>
      <w:bookmarkStart w:id="1241" w:name="_Toc9155"/>
      <w:bookmarkStart w:id="1242" w:name="_Toc4932"/>
      <w:bookmarkStart w:id="1243" w:name="_Toc10078"/>
      <w:bookmarkStart w:id="1244" w:name="_Toc23563"/>
      <w:bookmarkStart w:id="1245" w:name="_Toc9623"/>
      <w:bookmarkStart w:id="1246" w:name="_Toc11029"/>
      <w:bookmarkStart w:id="1247" w:name="_Toc2660"/>
      <w:bookmarkStart w:id="1248" w:name="_Toc21688"/>
      <w:bookmarkStart w:id="1249" w:name="_Toc30410"/>
      <w:bookmarkStart w:id="1250" w:name="_Toc20025"/>
      <w:bookmarkStart w:id="1251" w:name="_Toc5730"/>
      <w:bookmarkStart w:id="1252" w:name="_Toc433"/>
      <w:bookmarkStart w:id="1253" w:name="_Toc24071"/>
      <w:bookmarkStart w:id="1254" w:name="_Toc988"/>
      <w:bookmarkStart w:id="1255" w:name="_Toc12090"/>
      <w:bookmarkStart w:id="1256" w:name="_Toc2964"/>
      <w:bookmarkStart w:id="1257" w:name="_Toc29834"/>
      <w:bookmarkStart w:id="1258" w:name="_Toc32564"/>
      <w:bookmarkStart w:id="1259" w:name="_Toc26337"/>
      <w:bookmarkStart w:id="1260" w:name="_Toc32662"/>
      <w:bookmarkStart w:id="1261" w:name="_Toc24615"/>
      <w:bookmarkStart w:id="1262" w:name="_Toc23068"/>
      <w:bookmarkStart w:id="1263" w:name="_Toc22506"/>
      <w:bookmarkStart w:id="1264" w:name="_Toc32132"/>
      <w:bookmarkStart w:id="1265" w:name="_Toc15157"/>
      <w:bookmarkStart w:id="1266" w:name="_Toc14465"/>
      <w:bookmarkStart w:id="1267" w:name="_Toc29038"/>
      <w:r>
        <w:rPr>
          <w:rFonts w:hint="eastAsia" w:ascii="宋体" w:hAnsi="宋体"/>
          <w:b/>
          <w:sz w:val="28"/>
          <w:szCs w:val="28"/>
        </w:rPr>
        <w:t>项目编号：</w:t>
      </w:r>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r>
        <w:rPr>
          <w:rFonts w:hint="eastAsia" w:ascii="宋体" w:hAnsi="宋体"/>
          <w:b/>
          <w:sz w:val="28"/>
          <w:szCs w:val="28"/>
          <w:u w:val="single"/>
        </w:rPr>
        <w:t xml:space="preserve">                                               </w:t>
      </w:r>
    </w:p>
    <w:p w14:paraId="2A2B5497">
      <w:pPr>
        <w:snapToGrid w:val="0"/>
        <w:spacing w:line="400" w:lineRule="exact"/>
        <w:ind w:firstLine="843" w:firstLineChars="300"/>
        <w:rPr>
          <w:rFonts w:ascii="宋体" w:hAnsi="宋体"/>
          <w:b/>
          <w:sz w:val="28"/>
          <w:szCs w:val="28"/>
        </w:rPr>
      </w:pPr>
      <w:bookmarkStart w:id="1268" w:name="_Toc357410804"/>
    </w:p>
    <w:p w14:paraId="1E0386F2">
      <w:pPr>
        <w:snapToGrid w:val="0"/>
        <w:spacing w:line="400" w:lineRule="exact"/>
        <w:ind w:firstLine="843" w:firstLineChars="300"/>
        <w:outlineLvl w:val="0"/>
        <w:rPr>
          <w:rFonts w:ascii="宋体" w:hAnsi="宋体"/>
          <w:b/>
          <w:sz w:val="28"/>
          <w:szCs w:val="28"/>
          <w:u w:val="single"/>
        </w:rPr>
      </w:pPr>
      <w:bookmarkStart w:id="1269" w:name="_Toc22113"/>
      <w:bookmarkStart w:id="1270" w:name="_Toc1515"/>
      <w:bookmarkStart w:id="1271" w:name="_Toc1524"/>
      <w:bookmarkStart w:id="1272" w:name="_Toc29466"/>
      <w:bookmarkStart w:id="1273" w:name="_Toc30137"/>
      <w:bookmarkStart w:id="1274" w:name="_Toc28384"/>
      <w:bookmarkStart w:id="1275" w:name="_Toc17675"/>
      <w:bookmarkStart w:id="1276" w:name="_Toc28210"/>
      <w:bookmarkStart w:id="1277" w:name="_Toc6716"/>
      <w:bookmarkStart w:id="1278" w:name="_Toc25649"/>
      <w:bookmarkStart w:id="1279" w:name="_Toc2901"/>
      <w:bookmarkStart w:id="1280" w:name="_Toc8537"/>
      <w:bookmarkStart w:id="1281" w:name="_Toc8331"/>
      <w:bookmarkStart w:id="1282" w:name="_Toc13940"/>
      <w:bookmarkStart w:id="1283" w:name="_Toc5746"/>
      <w:bookmarkStart w:id="1284" w:name="_Toc12188"/>
      <w:bookmarkStart w:id="1285" w:name="_Toc11591"/>
      <w:bookmarkStart w:id="1286" w:name="_Toc25826"/>
      <w:bookmarkStart w:id="1287" w:name="_Toc22593"/>
      <w:bookmarkStart w:id="1288" w:name="_Toc20230"/>
      <w:bookmarkStart w:id="1289" w:name="_Toc30056"/>
      <w:bookmarkStart w:id="1290" w:name="_Toc16028"/>
      <w:bookmarkStart w:id="1291" w:name="_Toc10375"/>
      <w:bookmarkStart w:id="1292" w:name="_Toc20381"/>
      <w:bookmarkStart w:id="1293" w:name="_Toc20659"/>
      <w:bookmarkStart w:id="1294" w:name="_Toc23036"/>
      <w:bookmarkStart w:id="1295" w:name="_Toc23866"/>
      <w:bookmarkStart w:id="1296" w:name="_Toc3296"/>
      <w:bookmarkStart w:id="1297" w:name="_Toc17846"/>
      <w:bookmarkStart w:id="1298" w:name="_Toc26306"/>
      <w:bookmarkStart w:id="1299" w:name="_Toc28230"/>
      <w:bookmarkStart w:id="1300" w:name="_Toc22488"/>
      <w:bookmarkStart w:id="1301" w:name="_Toc16342"/>
      <w:bookmarkStart w:id="1302" w:name="_Toc28393"/>
      <w:bookmarkStart w:id="1303" w:name="_Toc22503"/>
      <w:bookmarkStart w:id="1304" w:name="_Toc14058"/>
      <w:bookmarkStart w:id="1305" w:name="_Toc8872"/>
      <w:bookmarkStart w:id="1306" w:name="_Toc7263"/>
      <w:bookmarkStart w:id="1307" w:name="_Toc30532"/>
      <w:bookmarkStart w:id="1308" w:name="_Toc10364"/>
      <w:bookmarkStart w:id="1309" w:name="_Toc4067"/>
      <w:bookmarkStart w:id="1310" w:name="_Toc29921"/>
      <w:bookmarkStart w:id="1311" w:name="_Toc25430"/>
      <w:bookmarkStart w:id="1312" w:name="_Toc27211"/>
      <w:bookmarkStart w:id="1313" w:name="_Toc9391"/>
      <w:r>
        <w:rPr>
          <w:rFonts w:hint="eastAsia" w:ascii="宋体" w:hAnsi="宋体"/>
          <w:b/>
          <w:sz w:val="28"/>
          <w:szCs w:val="28"/>
        </w:rPr>
        <w:t>供应商名称：</w:t>
      </w:r>
      <w:r>
        <w:rPr>
          <w:rFonts w:hint="eastAsia" w:ascii="宋体" w:hAnsi="宋体"/>
          <w:b/>
          <w:sz w:val="28"/>
          <w:szCs w:val="28"/>
          <w:u w:val="single"/>
        </w:rPr>
        <w:t xml:space="preserve">                              （盖单位公章）</w:t>
      </w:r>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p>
    <w:p w14:paraId="27E7A0EA">
      <w:pPr>
        <w:snapToGrid w:val="0"/>
        <w:spacing w:line="400" w:lineRule="exact"/>
        <w:ind w:firstLine="843" w:firstLineChars="300"/>
        <w:rPr>
          <w:rFonts w:ascii="宋体" w:hAnsi="宋体"/>
          <w:b/>
          <w:sz w:val="28"/>
          <w:szCs w:val="28"/>
          <w:u w:val="single"/>
        </w:rPr>
      </w:pPr>
      <w:bookmarkStart w:id="1314" w:name="_Toc357410805"/>
    </w:p>
    <w:p w14:paraId="6D7336DB">
      <w:pPr>
        <w:snapToGrid w:val="0"/>
        <w:spacing w:line="400" w:lineRule="exact"/>
        <w:ind w:firstLine="843" w:firstLineChars="300"/>
        <w:outlineLvl w:val="0"/>
        <w:rPr>
          <w:rFonts w:ascii="宋体" w:hAnsi="宋体"/>
          <w:b/>
          <w:sz w:val="28"/>
          <w:szCs w:val="28"/>
          <w:u w:val="single"/>
        </w:rPr>
      </w:pPr>
      <w:bookmarkStart w:id="1315" w:name="_Toc24426"/>
      <w:bookmarkStart w:id="1316" w:name="_Toc5533"/>
      <w:bookmarkStart w:id="1317" w:name="_Toc19335"/>
      <w:bookmarkStart w:id="1318" w:name="_Toc28946"/>
      <w:bookmarkStart w:id="1319" w:name="_Toc28597"/>
      <w:bookmarkStart w:id="1320" w:name="_Toc15104"/>
      <w:bookmarkStart w:id="1321" w:name="_Toc20607"/>
      <w:bookmarkStart w:id="1322" w:name="_Toc4503"/>
      <w:bookmarkStart w:id="1323" w:name="_Toc13577"/>
      <w:bookmarkStart w:id="1324" w:name="_Toc18001"/>
      <w:bookmarkStart w:id="1325" w:name="_Toc32187"/>
      <w:bookmarkStart w:id="1326" w:name="_Toc27133"/>
      <w:bookmarkStart w:id="1327" w:name="_Toc23335"/>
      <w:bookmarkStart w:id="1328" w:name="_Toc31987"/>
      <w:bookmarkStart w:id="1329" w:name="_Toc3062"/>
      <w:bookmarkStart w:id="1330" w:name="_Toc868"/>
      <w:bookmarkStart w:id="1331" w:name="_Toc11368"/>
      <w:bookmarkStart w:id="1332" w:name="_Toc1386"/>
      <w:bookmarkStart w:id="1333" w:name="_Toc11671"/>
      <w:bookmarkStart w:id="1334" w:name="_Toc20728"/>
      <w:bookmarkStart w:id="1335" w:name="_Toc5957"/>
      <w:bookmarkStart w:id="1336" w:name="_Toc18156"/>
      <w:bookmarkStart w:id="1337" w:name="_Toc15718"/>
      <w:bookmarkStart w:id="1338" w:name="_Toc22640"/>
      <w:bookmarkStart w:id="1339" w:name="_Toc12741"/>
      <w:bookmarkStart w:id="1340" w:name="_Toc1664"/>
      <w:bookmarkStart w:id="1341" w:name="_Toc3189"/>
      <w:bookmarkStart w:id="1342" w:name="_Toc29992"/>
      <w:bookmarkStart w:id="1343" w:name="_Toc13416"/>
      <w:bookmarkStart w:id="1344" w:name="_Toc26968"/>
      <w:bookmarkStart w:id="1345" w:name="_Toc6602"/>
      <w:bookmarkStart w:id="1346" w:name="_Toc3929"/>
      <w:bookmarkStart w:id="1347" w:name="_Toc20723"/>
      <w:bookmarkStart w:id="1348" w:name="_Toc13235"/>
      <w:bookmarkStart w:id="1349" w:name="_Toc29545"/>
      <w:bookmarkStart w:id="1350" w:name="_Toc27216"/>
      <w:bookmarkStart w:id="1351" w:name="_Toc25342"/>
      <w:bookmarkStart w:id="1352" w:name="_Toc6549"/>
      <w:bookmarkStart w:id="1353" w:name="_Toc32348"/>
      <w:bookmarkStart w:id="1354" w:name="_Toc5621"/>
      <w:bookmarkStart w:id="1355" w:name="_Toc16593"/>
      <w:bookmarkStart w:id="1356" w:name="_Toc27319"/>
      <w:bookmarkStart w:id="1357" w:name="_Toc5268"/>
      <w:bookmarkStart w:id="1358" w:name="_Toc15570"/>
      <w:r>
        <w:rPr>
          <w:rFonts w:hint="eastAsia" w:ascii="宋体" w:hAnsi="宋体"/>
          <w:b/>
          <w:color w:val="000000"/>
          <w:sz w:val="28"/>
          <w:szCs w:val="28"/>
        </w:rPr>
        <w:t>法定代表人或其授权代表（签字或盖章）：</w:t>
      </w:r>
      <w:r>
        <w:rPr>
          <w:rFonts w:hint="eastAsia" w:ascii="宋体" w:hAnsi="宋体"/>
          <w:b/>
          <w:color w:val="000000"/>
          <w:w w:val="90"/>
          <w:sz w:val="28"/>
          <w:szCs w:val="28"/>
          <w:u w:val="none"/>
        </w:rPr>
        <w:t>________________________</w:t>
      </w:r>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p>
    <w:p w14:paraId="3634A9D6">
      <w:pPr>
        <w:snapToGrid w:val="0"/>
        <w:spacing w:line="400" w:lineRule="exact"/>
        <w:ind w:firstLine="843" w:firstLineChars="300"/>
        <w:rPr>
          <w:rFonts w:ascii="宋体" w:hAnsi="宋体"/>
          <w:b/>
          <w:sz w:val="28"/>
          <w:szCs w:val="28"/>
        </w:rPr>
      </w:pPr>
    </w:p>
    <w:p w14:paraId="7FC73611">
      <w:pPr>
        <w:snapToGrid w:val="0"/>
        <w:spacing w:line="400" w:lineRule="exact"/>
        <w:ind w:firstLine="843" w:firstLineChars="300"/>
        <w:outlineLvl w:val="0"/>
        <w:rPr>
          <w:rFonts w:ascii="宋体" w:hAnsi="宋体"/>
          <w:b/>
          <w:sz w:val="28"/>
          <w:szCs w:val="28"/>
          <w:u w:val="single"/>
        </w:rPr>
      </w:pPr>
      <w:bookmarkStart w:id="1359" w:name="_Toc14887"/>
      <w:bookmarkStart w:id="1360" w:name="_Toc9670"/>
      <w:bookmarkStart w:id="1361" w:name="_Toc2989"/>
      <w:bookmarkStart w:id="1362" w:name="_Toc16651"/>
      <w:bookmarkStart w:id="1363" w:name="_Toc4774"/>
      <w:bookmarkStart w:id="1364" w:name="_Toc4078"/>
      <w:bookmarkStart w:id="1365" w:name="_Toc701"/>
      <w:bookmarkStart w:id="1366" w:name="_Toc18174"/>
      <w:bookmarkStart w:id="1367" w:name="_Toc6349"/>
      <w:bookmarkStart w:id="1368" w:name="_Toc21064"/>
      <w:bookmarkStart w:id="1369" w:name="_Toc14135"/>
      <w:bookmarkStart w:id="1370" w:name="_Toc6565"/>
      <w:bookmarkStart w:id="1371" w:name="_Toc5758"/>
      <w:bookmarkStart w:id="1372" w:name="_Toc27702"/>
      <w:bookmarkStart w:id="1373" w:name="_Toc1028"/>
      <w:bookmarkStart w:id="1374" w:name="_Toc12999"/>
      <w:bookmarkStart w:id="1375" w:name="_Toc17786"/>
      <w:bookmarkStart w:id="1376" w:name="_Toc19195"/>
      <w:bookmarkStart w:id="1377" w:name="_Toc13600"/>
      <w:bookmarkStart w:id="1378" w:name="_Toc8224"/>
      <w:bookmarkStart w:id="1379" w:name="_Toc11952"/>
      <w:bookmarkStart w:id="1380" w:name="_Toc23084"/>
      <w:bookmarkStart w:id="1381" w:name="_Toc28097"/>
      <w:bookmarkStart w:id="1382" w:name="_Toc13688"/>
      <w:bookmarkStart w:id="1383" w:name="_Toc15987"/>
      <w:bookmarkStart w:id="1384" w:name="_Toc18087"/>
      <w:bookmarkStart w:id="1385" w:name="_Toc15728"/>
      <w:bookmarkStart w:id="1386" w:name="_Toc2032"/>
      <w:bookmarkStart w:id="1387" w:name="_Toc281"/>
      <w:bookmarkStart w:id="1388" w:name="_Toc1966"/>
      <w:bookmarkStart w:id="1389" w:name="_Toc28360"/>
      <w:bookmarkStart w:id="1390" w:name="_Toc13763"/>
      <w:bookmarkStart w:id="1391" w:name="_Toc9819"/>
      <w:r>
        <w:rPr>
          <w:rFonts w:hint="eastAsia" w:ascii="宋体" w:hAnsi="宋体"/>
          <w:b/>
          <w:sz w:val="28"/>
          <w:szCs w:val="28"/>
        </w:rPr>
        <w:t>供应商地址：</w:t>
      </w:r>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r>
        <w:rPr>
          <w:rFonts w:hint="eastAsia" w:ascii="宋体" w:hAnsi="宋体"/>
          <w:b/>
          <w:sz w:val="28"/>
          <w:szCs w:val="28"/>
          <w:u w:val="single"/>
        </w:rPr>
        <w:t xml:space="preserve">                              </w:t>
      </w:r>
      <w:bookmarkEnd w:id="1347"/>
      <w:bookmarkEnd w:id="1348"/>
      <w:bookmarkEnd w:id="1349"/>
      <w:bookmarkEnd w:id="1350"/>
      <w:bookmarkEnd w:id="1351"/>
      <w:bookmarkEnd w:id="1352"/>
      <w:bookmarkEnd w:id="1353"/>
      <w:bookmarkEnd w:id="1354"/>
      <w:bookmarkEnd w:id="1355"/>
      <w:bookmarkEnd w:id="1356"/>
      <w:bookmarkEnd w:id="1357"/>
      <w:bookmarkEnd w:id="1358"/>
      <w:r>
        <w:rPr>
          <w:rFonts w:hint="eastAsia" w:ascii="宋体" w:hAnsi="宋体"/>
          <w:b/>
          <w:sz w:val="28"/>
          <w:szCs w:val="28"/>
          <w:u w:val="single"/>
        </w:rPr>
        <w:t xml:space="preserve">            </w:t>
      </w:r>
    </w:p>
    <w:p w14:paraId="75B8972E">
      <w:pPr>
        <w:snapToGrid w:val="0"/>
        <w:spacing w:line="400" w:lineRule="exact"/>
        <w:ind w:firstLine="0" w:firstLineChars="0"/>
        <w:rPr>
          <w:rFonts w:ascii="宋体" w:hAnsi="宋体"/>
          <w:b/>
          <w:sz w:val="28"/>
          <w:szCs w:val="28"/>
          <w:u w:val="single"/>
        </w:rPr>
      </w:pPr>
    </w:p>
    <w:p w14:paraId="56E99355">
      <w:pPr>
        <w:spacing w:line="400" w:lineRule="exact"/>
        <w:ind w:firstLine="0" w:firstLineChars="0"/>
        <w:jc w:val="center"/>
        <w:rPr>
          <w:rFonts w:ascii="宋体" w:hAnsi="宋体"/>
          <w:b/>
          <w:sz w:val="28"/>
          <w:szCs w:val="28"/>
        </w:rPr>
      </w:pPr>
    </w:p>
    <w:p w14:paraId="52EDDD61">
      <w:pPr>
        <w:snapToGrid w:val="0"/>
        <w:spacing w:line="400" w:lineRule="exact"/>
        <w:ind w:firstLine="3092" w:firstLineChars="1100"/>
        <w:outlineLvl w:val="0"/>
        <w:rPr>
          <w:rFonts w:ascii="宋体" w:hAnsi="宋体"/>
          <w:b/>
          <w:sz w:val="28"/>
          <w:szCs w:val="28"/>
        </w:rPr>
      </w:pPr>
      <w:bookmarkStart w:id="1392" w:name="_Toc6986"/>
      <w:bookmarkStart w:id="1393" w:name="_Toc15058"/>
      <w:bookmarkStart w:id="1394" w:name="_Toc8744"/>
      <w:bookmarkStart w:id="1395" w:name="_Toc19534"/>
      <w:bookmarkStart w:id="1396" w:name="_Toc9801"/>
      <w:bookmarkStart w:id="1397" w:name="_Toc28563"/>
      <w:bookmarkStart w:id="1398" w:name="_Toc10056"/>
      <w:bookmarkStart w:id="1399" w:name="_Toc5966"/>
      <w:bookmarkStart w:id="1400" w:name="_Toc30283"/>
      <w:bookmarkStart w:id="1401" w:name="_Toc10696"/>
      <w:bookmarkStart w:id="1402" w:name="_Toc22474"/>
      <w:bookmarkStart w:id="1403" w:name="_Toc26447"/>
      <w:bookmarkStart w:id="1404" w:name="_Toc32038"/>
      <w:bookmarkStart w:id="1405" w:name="_Toc11315"/>
      <w:bookmarkStart w:id="1406" w:name="_Toc22173"/>
      <w:bookmarkStart w:id="1407" w:name="_Toc19800"/>
      <w:bookmarkStart w:id="1408" w:name="_Toc15552"/>
      <w:bookmarkStart w:id="1409" w:name="_Toc26302"/>
      <w:bookmarkStart w:id="1410" w:name="_Toc4124"/>
      <w:bookmarkStart w:id="1411" w:name="_Toc2845"/>
      <w:bookmarkStart w:id="1412" w:name="_Toc16586"/>
      <w:bookmarkStart w:id="1413" w:name="_Toc22490"/>
      <w:bookmarkStart w:id="1414" w:name="_Toc9271"/>
      <w:bookmarkStart w:id="1415" w:name="_Toc3654"/>
      <w:bookmarkStart w:id="1416" w:name="_Toc31138"/>
      <w:bookmarkStart w:id="1417" w:name="_Toc14572"/>
      <w:bookmarkStart w:id="1418" w:name="_Toc5528"/>
      <w:bookmarkStart w:id="1419" w:name="_Toc24169"/>
      <w:bookmarkStart w:id="1420" w:name="_Toc23472"/>
      <w:bookmarkStart w:id="1421" w:name="_Toc20627"/>
      <w:bookmarkStart w:id="1422" w:name="_Toc2780"/>
      <w:bookmarkStart w:id="1423" w:name="_Toc22247"/>
      <w:bookmarkStart w:id="1424" w:name="_Toc8770"/>
      <w:bookmarkStart w:id="1425" w:name="_Toc16862"/>
      <w:bookmarkStart w:id="1426" w:name="_Toc24375"/>
      <w:bookmarkStart w:id="1427" w:name="_Toc19033"/>
      <w:bookmarkStart w:id="1428" w:name="_Toc19972"/>
      <w:bookmarkStart w:id="1429" w:name="_Toc10805"/>
      <w:bookmarkStart w:id="1430" w:name="_Toc21687"/>
      <w:bookmarkStart w:id="1431" w:name="_Toc8436"/>
      <w:bookmarkStart w:id="1432" w:name="_Toc5603"/>
      <w:bookmarkStart w:id="1433" w:name="_Toc290"/>
      <w:bookmarkStart w:id="1434" w:name="_Toc5590"/>
      <w:bookmarkStart w:id="1435" w:name="_Toc1460"/>
      <w:bookmarkStart w:id="1436" w:name="_Toc3656"/>
      <w:r>
        <w:rPr>
          <w:rFonts w:hint="eastAsia" w:ascii="宋体" w:hAnsi="宋体"/>
          <w:b/>
          <w:sz w:val="28"/>
          <w:szCs w:val="28"/>
        </w:rPr>
        <w:t>日期：    年   月   日</w:t>
      </w:r>
      <w:bookmarkEnd w:id="1314"/>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p>
    <w:p w14:paraId="701F5727">
      <w:pPr>
        <w:spacing w:line="400" w:lineRule="exact"/>
        <w:ind w:firstLine="0" w:firstLineChars="0"/>
        <w:jc w:val="center"/>
        <w:rPr>
          <w:rFonts w:ascii="宋体" w:hAnsi="宋体"/>
          <w:b/>
          <w:sz w:val="28"/>
          <w:szCs w:val="28"/>
        </w:rPr>
        <w:sectPr>
          <w:headerReference r:id="rId5" w:type="default"/>
          <w:footerReference r:id="rId6" w:type="default"/>
          <w:pgSz w:w="11906" w:h="16838"/>
          <w:pgMar w:top="1440" w:right="1080" w:bottom="1440" w:left="1080" w:header="737" w:footer="964" w:gutter="0"/>
          <w:pgBorders>
            <w:top w:val="thinThickSmallGap" w:color="auto" w:sz="12" w:space="10"/>
            <w:left w:val="none" w:sz="0" w:space="0"/>
            <w:bottom w:val="thinThickSmallGap" w:color="auto" w:sz="12" w:space="10"/>
            <w:right w:val="none" w:sz="0" w:space="0"/>
          </w:pgBorders>
          <w:pgNumType w:fmt="decimal"/>
          <w:cols w:space="720" w:num="1"/>
          <w:docGrid w:type="lines" w:linePitch="312" w:charSpace="0"/>
        </w:sectPr>
      </w:pPr>
    </w:p>
    <w:p w14:paraId="68A74314">
      <w:pPr>
        <w:ind w:firstLine="0" w:firstLineChars="0"/>
        <w:jc w:val="center"/>
        <w:rPr>
          <w:rFonts w:hint="eastAsia" w:ascii="Times New Roman" w:hAnsi="Times New Roman" w:eastAsia="宋体"/>
          <w:b/>
          <w:bCs/>
          <w:color w:val="auto"/>
          <w:sz w:val="30"/>
          <w:szCs w:val="30"/>
          <w:lang w:val="en-GB"/>
        </w:rPr>
      </w:pPr>
      <w:bookmarkStart w:id="1437" w:name="_Toc13650"/>
      <w:bookmarkStart w:id="1438" w:name="_Toc20801"/>
      <w:bookmarkStart w:id="1439" w:name="_Toc23003"/>
      <w:bookmarkStart w:id="1440" w:name="_Toc1715"/>
      <w:bookmarkStart w:id="1441" w:name="_Toc20463"/>
      <w:bookmarkStart w:id="1442" w:name="_Toc25263"/>
      <w:bookmarkStart w:id="1443" w:name="_Toc16036"/>
      <w:bookmarkStart w:id="1444" w:name="_Toc27249"/>
      <w:bookmarkStart w:id="1445" w:name="_Toc17622"/>
      <w:bookmarkStart w:id="1446" w:name="_Toc15554"/>
      <w:bookmarkStart w:id="1447" w:name="_Toc28989"/>
      <w:bookmarkStart w:id="1448" w:name="_Toc15879"/>
      <w:bookmarkStart w:id="1449" w:name="_Toc29720"/>
      <w:bookmarkStart w:id="1450" w:name="_Toc10187"/>
      <w:bookmarkStart w:id="1451" w:name="_Toc32420"/>
      <w:bookmarkStart w:id="1452" w:name="_Toc18896"/>
      <w:bookmarkStart w:id="1453" w:name="_Toc25871"/>
      <w:bookmarkStart w:id="1454" w:name="_Toc7483"/>
      <w:bookmarkStart w:id="1455" w:name="_Toc20535"/>
      <w:bookmarkStart w:id="1456" w:name="_Toc15729"/>
      <w:bookmarkStart w:id="1457" w:name="_Toc26650"/>
      <w:bookmarkStart w:id="1458" w:name="_Toc12364"/>
      <w:bookmarkStart w:id="1459" w:name="_Toc26036"/>
      <w:bookmarkStart w:id="1460" w:name="_Toc21750"/>
      <w:bookmarkStart w:id="1461" w:name="_Toc11932"/>
      <w:bookmarkStart w:id="1462" w:name="_Toc27711"/>
      <w:bookmarkStart w:id="1463" w:name="_Toc18641"/>
      <w:bookmarkStart w:id="1464" w:name="_Toc716"/>
      <w:bookmarkStart w:id="1465" w:name="_Toc19275"/>
      <w:bookmarkStart w:id="1466" w:name="_Toc12431"/>
      <w:bookmarkStart w:id="1467" w:name="_Toc3666"/>
      <w:bookmarkStart w:id="1468" w:name="_Toc3046"/>
      <w:bookmarkStart w:id="1469" w:name="_Toc19002"/>
      <w:bookmarkStart w:id="1470" w:name="_Toc16548"/>
      <w:bookmarkStart w:id="1471" w:name="_Toc17361"/>
      <w:bookmarkStart w:id="1472" w:name="_Toc6538"/>
      <w:bookmarkStart w:id="1473" w:name="_Toc31976"/>
      <w:bookmarkStart w:id="1474" w:name="_Toc16307"/>
      <w:bookmarkStart w:id="1475" w:name="_Toc8266"/>
      <w:bookmarkStart w:id="1476" w:name="_Toc101321802"/>
      <w:r>
        <w:rPr>
          <w:rFonts w:hint="eastAsia" w:ascii="Times New Roman" w:hAnsi="Times New Roman" w:eastAsia="宋体"/>
          <w:b/>
          <w:bCs/>
          <w:color w:val="auto"/>
          <w:sz w:val="30"/>
          <w:szCs w:val="30"/>
          <w:lang w:val="en-US" w:eastAsia="zh-CN"/>
        </w:rPr>
        <w:t>自</w:t>
      </w:r>
      <w:r>
        <w:rPr>
          <w:rFonts w:hint="eastAsia" w:ascii="Times New Roman" w:hAnsi="Times New Roman" w:eastAsia="宋体"/>
          <w:b/>
          <w:bCs/>
          <w:color w:val="auto"/>
          <w:sz w:val="30"/>
          <w:szCs w:val="30"/>
          <w:lang w:val="en-GB"/>
        </w:rPr>
        <w:t>评分对应表</w:t>
      </w:r>
    </w:p>
    <w:p w14:paraId="34A45035">
      <w:pPr>
        <w:spacing w:line="580" w:lineRule="exact"/>
        <w:rPr>
          <w:rFonts w:ascii="宋体" w:hAnsi="宋体" w:cs="宋体"/>
          <w:color w:val="auto"/>
          <w:sz w:val="24"/>
          <w:u w:val="single"/>
        </w:rPr>
      </w:pPr>
      <w:r>
        <w:rPr>
          <w:rFonts w:hint="eastAsia" w:ascii="宋体" w:hAnsi="宋体" w:cs="宋体"/>
          <w:color w:val="auto"/>
          <w:sz w:val="24"/>
          <w:lang w:eastAsia="zh-CN"/>
        </w:rPr>
        <w:t>供应商</w:t>
      </w:r>
      <w:r>
        <w:rPr>
          <w:rFonts w:hint="eastAsia" w:ascii="宋体" w:hAnsi="宋体" w:cs="宋体"/>
          <w:color w:val="auto"/>
          <w:sz w:val="24"/>
        </w:rPr>
        <w:t>全称（公章）：</w:t>
      </w:r>
      <w:r>
        <w:rPr>
          <w:rFonts w:hint="eastAsia" w:ascii="宋体" w:hAnsi="宋体" w:cs="宋体"/>
          <w:color w:val="auto"/>
          <w:sz w:val="24"/>
          <w:u w:val="single"/>
        </w:rPr>
        <w:t xml:space="preserve">           </w:t>
      </w:r>
      <w:r>
        <w:rPr>
          <w:rFonts w:hint="eastAsia" w:ascii="宋体" w:hAnsi="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cs="宋体"/>
          <w:color w:val="auto"/>
          <w:sz w:val="24"/>
        </w:rPr>
        <w:t>标项：</w:t>
      </w:r>
      <w:r>
        <w:rPr>
          <w:rFonts w:hint="eastAsia" w:ascii="宋体" w:hAnsi="宋体" w:cs="宋体"/>
          <w:color w:val="auto"/>
          <w:sz w:val="24"/>
          <w:u w:val="single"/>
        </w:rPr>
        <w:t xml:space="preserve">          </w:t>
      </w:r>
    </w:p>
    <w:tbl>
      <w:tblPr>
        <w:tblStyle w:val="38"/>
        <w:tblW w:w="961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303"/>
        <w:gridCol w:w="3977"/>
        <w:gridCol w:w="2336"/>
      </w:tblGrid>
      <w:tr w14:paraId="6631A8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3303" w:type="dxa"/>
            <w:tcBorders>
              <w:top w:val="single" w:color="auto" w:sz="4" w:space="0"/>
              <w:left w:val="single" w:color="auto" w:sz="4" w:space="0"/>
              <w:bottom w:val="single" w:color="auto" w:sz="4" w:space="0"/>
              <w:right w:val="single" w:color="auto" w:sz="4" w:space="0"/>
            </w:tcBorders>
            <w:vAlign w:val="center"/>
          </w:tcPr>
          <w:p w14:paraId="69DA5A5F">
            <w:pPr>
              <w:keepNext w:val="0"/>
              <w:keepLines w:val="0"/>
              <w:suppressLineNumbers w:val="0"/>
              <w:spacing w:before="0" w:beforeAutospacing="0" w:after="0" w:afterAutospacing="0" w:line="580" w:lineRule="exact"/>
              <w:ind w:left="0" w:leftChars="0" w:right="0" w:firstLine="0" w:firstLineChars="0"/>
              <w:jc w:val="center"/>
              <w:rPr>
                <w:rFonts w:hint="default" w:ascii="宋体" w:hAnsi="宋体" w:cs="宋体"/>
                <w:color w:val="auto"/>
                <w:sz w:val="24"/>
              </w:rPr>
            </w:pPr>
            <w:r>
              <w:rPr>
                <w:rFonts w:hint="eastAsia" w:ascii="宋体" w:hAnsi="宋体" w:cs="宋体"/>
                <w:color w:val="auto"/>
                <w:sz w:val="24"/>
              </w:rPr>
              <w:t>评分项目</w:t>
            </w:r>
          </w:p>
        </w:tc>
        <w:tc>
          <w:tcPr>
            <w:tcW w:w="3977" w:type="dxa"/>
            <w:tcBorders>
              <w:top w:val="single" w:color="auto" w:sz="4" w:space="0"/>
              <w:left w:val="nil"/>
              <w:bottom w:val="single" w:color="auto" w:sz="4" w:space="0"/>
              <w:right w:val="single" w:color="auto" w:sz="4" w:space="0"/>
            </w:tcBorders>
            <w:vAlign w:val="center"/>
          </w:tcPr>
          <w:p w14:paraId="52992053">
            <w:pPr>
              <w:keepNext w:val="0"/>
              <w:keepLines w:val="0"/>
              <w:suppressLineNumbers w:val="0"/>
              <w:spacing w:before="0" w:beforeAutospacing="0" w:after="0" w:afterAutospacing="0" w:line="580" w:lineRule="exact"/>
              <w:ind w:left="0" w:leftChars="0" w:right="0" w:firstLine="0" w:firstLineChars="0"/>
              <w:jc w:val="center"/>
              <w:rPr>
                <w:rFonts w:hint="eastAsia" w:ascii="宋体" w:hAnsi="宋体" w:eastAsia="宋体" w:cs="宋体"/>
                <w:color w:val="auto"/>
                <w:sz w:val="24"/>
              </w:rPr>
            </w:pPr>
            <w:r>
              <w:rPr>
                <w:rFonts w:hint="eastAsia" w:ascii="宋体" w:hAnsi="宋体" w:cs="宋体"/>
                <w:color w:val="auto"/>
                <w:sz w:val="24"/>
                <w:lang w:val="en-US" w:eastAsia="zh-CN"/>
              </w:rPr>
              <w:t>响应</w:t>
            </w:r>
            <w:r>
              <w:rPr>
                <w:rFonts w:hint="eastAsia" w:ascii="宋体" w:hAnsi="宋体" w:eastAsia="宋体" w:cs="宋体"/>
                <w:color w:val="auto"/>
                <w:sz w:val="24"/>
              </w:rPr>
              <w:t>文件页码</w:t>
            </w:r>
          </w:p>
        </w:tc>
        <w:tc>
          <w:tcPr>
            <w:tcW w:w="2336" w:type="dxa"/>
            <w:tcBorders>
              <w:top w:val="single" w:color="auto" w:sz="4" w:space="0"/>
              <w:left w:val="nil"/>
              <w:bottom w:val="single" w:color="auto" w:sz="4" w:space="0"/>
              <w:right w:val="single" w:color="auto" w:sz="4" w:space="0"/>
            </w:tcBorders>
            <w:vAlign w:val="center"/>
          </w:tcPr>
          <w:p w14:paraId="66926046">
            <w:pPr>
              <w:keepNext w:val="0"/>
              <w:keepLines w:val="0"/>
              <w:suppressLineNumbers w:val="0"/>
              <w:spacing w:before="0" w:beforeAutospacing="0" w:after="0" w:afterAutospacing="0" w:line="580" w:lineRule="exact"/>
              <w:ind w:left="0" w:leftChars="0" w:right="0" w:firstLine="0" w:firstLine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自评分</w:t>
            </w:r>
          </w:p>
        </w:tc>
      </w:tr>
      <w:tr w14:paraId="53EE80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303" w:type="dxa"/>
            <w:tcBorders>
              <w:top w:val="single" w:color="auto" w:sz="4" w:space="0"/>
              <w:left w:val="single" w:color="auto" w:sz="4" w:space="0"/>
              <w:bottom w:val="single" w:color="auto" w:sz="4" w:space="0"/>
              <w:right w:val="single" w:color="auto" w:sz="4" w:space="0"/>
            </w:tcBorders>
          </w:tcPr>
          <w:p w14:paraId="2AA6DF95">
            <w:pPr>
              <w:keepNext w:val="0"/>
              <w:keepLines w:val="0"/>
              <w:suppressLineNumbers w:val="0"/>
              <w:spacing w:before="0" w:beforeAutospacing="0" w:after="0" w:afterAutospacing="0" w:line="580" w:lineRule="exact"/>
              <w:ind w:left="0" w:leftChars="0" w:right="0" w:firstLine="0" w:firstLineChars="0"/>
              <w:jc w:val="center"/>
              <w:rPr>
                <w:rFonts w:hint="default" w:ascii="宋体" w:hAnsi="宋体" w:cs="宋体"/>
                <w:color w:val="auto"/>
                <w:sz w:val="24"/>
              </w:rPr>
            </w:pPr>
            <w:r>
              <w:rPr>
                <w:rFonts w:hint="eastAsia" w:ascii="宋体" w:hAnsi="宋体" w:cs="宋体"/>
                <w:color w:val="auto"/>
                <w:sz w:val="24"/>
              </w:rPr>
              <w:t>对应评</w:t>
            </w:r>
            <w:r>
              <w:rPr>
                <w:rFonts w:hint="eastAsia" w:ascii="宋体" w:hAnsi="宋体" w:cs="宋体"/>
                <w:color w:val="auto"/>
                <w:sz w:val="24"/>
                <w:lang w:eastAsia="zh-CN"/>
              </w:rPr>
              <w:t>标</w:t>
            </w:r>
            <w:r>
              <w:rPr>
                <w:rFonts w:hint="eastAsia" w:ascii="宋体" w:hAnsi="宋体" w:cs="宋体"/>
                <w:color w:val="auto"/>
                <w:sz w:val="24"/>
              </w:rPr>
              <w:t>办法及评分标准（</w:t>
            </w:r>
            <w:r>
              <w:rPr>
                <w:rFonts w:hint="eastAsia" w:ascii="宋体" w:hAnsi="宋体" w:cs="宋体"/>
                <w:color w:val="auto"/>
                <w:sz w:val="24"/>
                <w:lang w:val="en-US" w:eastAsia="zh-CN"/>
              </w:rPr>
              <w:t>商务技术及</w:t>
            </w:r>
            <w:r>
              <w:rPr>
                <w:rFonts w:hint="eastAsia" w:ascii="宋体" w:hAnsi="宋体" w:cs="宋体"/>
                <w:color w:val="auto"/>
                <w:sz w:val="24"/>
              </w:rPr>
              <w:t>报价除外）</w:t>
            </w:r>
          </w:p>
        </w:tc>
        <w:tc>
          <w:tcPr>
            <w:tcW w:w="3977" w:type="dxa"/>
            <w:tcBorders>
              <w:top w:val="single" w:color="auto" w:sz="4" w:space="0"/>
              <w:left w:val="nil"/>
              <w:bottom w:val="single" w:color="auto" w:sz="4" w:space="0"/>
              <w:right w:val="single" w:color="auto" w:sz="4" w:space="0"/>
            </w:tcBorders>
          </w:tcPr>
          <w:p w14:paraId="1042CF9E">
            <w:pPr>
              <w:keepNext w:val="0"/>
              <w:keepLines w:val="0"/>
              <w:suppressLineNumbers w:val="0"/>
              <w:spacing w:before="0" w:beforeAutospacing="0" w:after="0" w:afterAutospacing="0" w:line="580" w:lineRule="exact"/>
              <w:ind w:left="0" w:right="0"/>
              <w:jc w:val="center"/>
              <w:rPr>
                <w:rFonts w:hint="default" w:ascii="宋体" w:hAnsi="宋体" w:cs="宋体"/>
                <w:color w:val="auto"/>
                <w:sz w:val="24"/>
              </w:rPr>
            </w:pPr>
          </w:p>
        </w:tc>
        <w:tc>
          <w:tcPr>
            <w:tcW w:w="2336" w:type="dxa"/>
            <w:tcBorders>
              <w:top w:val="single" w:color="auto" w:sz="4" w:space="0"/>
              <w:left w:val="nil"/>
              <w:bottom w:val="single" w:color="auto" w:sz="4" w:space="0"/>
              <w:right w:val="single" w:color="auto" w:sz="4" w:space="0"/>
            </w:tcBorders>
          </w:tcPr>
          <w:p w14:paraId="1CC83C3C">
            <w:pPr>
              <w:keepNext w:val="0"/>
              <w:keepLines w:val="0"/>
              <w:suppressLineNumbers w:val="0"/>
              <w:spacing w:before="0" w:beforeAutospacing="0" w:after="0" w:afterAutospacing="0" w:line="580" w:lineRule="exact"/>
              <w:ind w:left="0" w:right="0"/>
              <w:jc w:val="center"/>
              <w:rPr>
                <w:rFonts w:hint="default" w:ascii="宋体" w:hAnsi="宋体" w:cs="宋体"/>
                <w:color w:val="auto"/>
                <w:sz w:val="24"/>
              </w:rPr>
            </w:pPr>
          </w:p>
        </w:tc>
      </w:tr>
      <w:tr w14:paraId="430487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303" w:type="dxa"/>
            <w:tcBorders>
              <w:top w:val="single" w:color="auto" w:sz="4" w:space="0"/>
              <w:left w:val="single" w:color="auto" w:sz="4" w:space="0"/>
              <w:bottom w:val="single" w:color="auto" w:sz="4" w:space="0"/>
              <w:right w:val="single" w:color="auto" w:sz="4" w:space="0"/>
            </w:tcBorders>
          </w:tcPr>
          <w:p w14:paraId="5DCFFCB7">
            <w:pPr>
              <w:keepNext w:val="0"/>
              <w:keepLines w:val="0"/>
              <w:suppressLineNumbers w:val="0"/>
              <w:spacing w:before="0" w:beforeAutospacing="0" w:after="0" w:afterAutospacing="0" w:line="580" w:lineRule="exact"/>
              <w:ind w:left="0" w:right="0"/>
              <w:rPr>
                <w:rFonts w:hint="default" w:ascii="宋体" w:hAnsi="宋体" w:cs="宋体"/>
                <w:color w:val="auto"/>
                <w:sz w:val="24"/>
              </w:rPr>
            </w:pPr>
            <w:r>
              <w:rPr>
                <w:rFonts w:hint="eastAsia" w:ascii="宋体" w:hAnsi="宋体" w:cs="宋体"/>
                <w:color w:val="auto"/>
                <w:sz w:val="24"/>
              </w:rPr>
              <w:t>……</w:t>
            </w:r>
          </w:p>
        </w:tc>
        <w:tc>
          <w:tcPr>
            <w:tcW w:w="3977" w:type="dxa"/>
            <w:tcBorders>
              <w:top w:val="single" w:color="auto" w:sz="4" w:space="0"/>
              <w:left w:val="nil"/>
              <w:bottom w:val="single" w:color="auto" w:sz="4" w:space="0"/>
              <w:right w:val="single" w:color="auto" w:sz="4" w:space="0"/>
            </w:tcBorders>
          </w:tcPr>
          <w:p w14:paraId="655E39C2">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2336" w:type="dxa"/>
            <w:tcBorders>
              <w:top w:val="single" w:color="auto" w:sz="4" w:space="0"/>
              <w:left w:val="nil"/>
              <w:bottom w:val="single" w:color="auto" w:sz="4" w:space="0"/>
              <w:right w:val="single" w:color="auto" w:sz="4" w:space="0"/>
            </w:tcBorders>
          </w:tcPr>
          <w:p w14:paraId="676EE00B">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r>
      <w:tr w14:paraId="3A6E59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303" w:type="dxa"/>
            <w:tcBorders>
              <w:top w:val="single" w:color="auto" w:sz="4" w:space="0"/>
              <w:left w:val="single" w:color="auto" w:sz="4" w:space="0"/>
              <w:bottom w:val="single" w:color="auto" w:sz="4" w:space="0"/>
              <w:right w:val="single" w:color="auto" w:sz="4" w:space="0"/>
            </w:tcBorders>
          </w:tcPr>
          <w:p w14:paraId="41621415">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3977" w:type="dxa"/>
            <w:tcBorders>
              <w:top w:val="single" w:color="auto" w:sz="4" w:space="0"/>
              <w:left w:val="nil"/>
              <w:bottom w:val="single" w:color="auto" w:sz="4" w:space="0"/>
              <w:right w:val="single" w:color="auto" w:sz="4" w:space="0"/>
            </w:tcBorders>
          </w:tcPr>
          <w:p w14:paraId="6BA2BE20">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2336" w:type="dxa"/>
            <w:tcBorders>
              <w:top w:val="single" w:color="auto" w:sz="4" w:space="0"/>
              <w:left w:val="nil"/>
              <w:bottom w:val="single" w:color="auto" w:sz="4" w:space="0"/>
              <w:right w:val="single" w:color="auto" w:sz="4" w:space="0"/>
            </w:tcBorders>
          </w:tcPr>
          <w:p w14:paraId="6D7CADCC">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r>
      <w:tr w14:paraId="179B65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303" w:type="dxa"/>
            <w:tcBorders>
              <w:top w:val="single" w:color="auto" w:sz="4" w:space="0"/>
              <w:left w:val="single" w:color="auto" w:sz="4" w:space="0"/>
              <w:bottom w:val="single" w:color="auto" w:sz="4" w:space="0"/>
              <w:right w:val="single" w:color="auto" w:sz="4" w:space="0"/>
            </w:tcBorders>
          </w:tcPr>
          <w:p w14:paraId="03BEACF6">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3977" w:type="dxa"/>
            <w:tcBorders>
              <w:top w:val="single" w:color="auto" w:sz="4" w:space="0"/>
              <w:left w:val="nil"/>
              <w:bottom w:val="single" w:color="auto" w:sz="4" w:space="0"/>
              <w:right w:val="single" w:color="auto" w:sz="4" w:space="0"/>
            </w:tcBorders>
          </w:tcPr>
          <w:p w14:paraId="29507394">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2336" w:type="dxa"/>
            <w:tcBorders>
              <w:top w:val="single" w:color="auto" w:sz="4" w:space="0"/>
              <w:left w:val="nil"/>
              <w:bottom w:val="single" w:color="auto" w:sz="4" w:space="0"/>
              <w:right w:val="single" w:color="auto" w:sz="4" w:space="0"/>
            </w:tcBorders>
          </w:tcPr>
          <w:p w14:paraId="501872A7">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r>
      <w:tr w14:paraId="62117B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303" w:type="dxa"/>
            <w:tcBorders>
              <w:top w:val="single" w:color="auto" w:sz="4" w:space="0"/>
              <w:left w:val="single" w:color="auto" w:sz="4" w:space="0"/>
              <w:bottom w:val="single" w:color="auto" w:sz="4" w:space="0"/>
              <w:right w:val="single" w:color="auto" w:sz="4" w:space="0"/>
            </w:tcBorders>
          </w:tcPr>
          <w:p w14:paraId="1C678290">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3977" w:type="dxa"/>
            <w:tcBorders>
              <w:top w:val="single" w:color="auto" w:sz="4" w:space="0"/>
              <w:left w:val="nil"/>
              <w:bottom w:val="single" w:color="auto" w:sz="4" w:space="0"/>
              <w:right w:val="single" w:color="auto" w:sz="4" w:space="0"/>
            </w:tcBorders>
          </w:tcPr>
          <w:p w14:paraId="5A3BE974">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2336" w:type="dxa"/>
            <w:tcBorders>
              <w:top w:val="single" w:color="auto" w:sz="4" w:space="0"/>
              <w:left w:val="nil"/>
              <w:bottom w:val="single" w:color="auto" w:sz="4" w:space="0"/>
              <w:right w:val="single" w:color="auto" w:sz="4" w:space="0"/>
            </w:tcBorders>
          </w:tcPr>
          <w:p w14:paraId="3A1DADF7">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r>
      <w:tr w14:paraId="0AE9E1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303" w:type="dxa"/>
            <w:tcBorders>
              <w:top w:val="single" w:color="auto" w:sz="4" w:space="0"/>
              <w:left w:val="single" w:color="auto" w:sz="4" w:space="0"/>
              <w:bottom w:val="single" w:color="auto" w:sz="4" w:space="0"/>
              <w:right w:val="single" w:color="auto" w:sz="4" w:space="0"/>
            </w:tcBorders>
          </w:tcPr>
          <w:p w14:paraId="7FEEEE0D">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3977" w:type="dxa"/>
            <w:tcBorders>
              <w:top w:val="single" w:color="auto" w:sz="4" w:space="0"/>
              <w:left w:val="nil"/>
              <w:bottom w:val="single" w:color="auto" w:sz="4" w:space="0"/>
              <w:right w:val="single" w:color="auto" w:sz="4" w:space="0"/>
            </w:tcBorders>
          </w:tcPr>
          <w:p w14:paraId="28DDFC6A">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2336" w:type="dxa"/>
            <w:tcBorders>
              <w:top w:val="single" w:color="auto" w:sz="4" w:space="0"/>
              <w:left w:val="nil"/>
              <w:bottom w:val="single" w:color="auto" w:sz="4" w:space="0"/>
              <w:right w:val="single" w:color="auto" w:sz="4" w:space="0"/>
            </w:tcBorders>
          </w:tcPr>
          <w:p w14:paraId="4DAAF143">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r>
      <w:tr w14:paraId="77FF88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303" w:type="dxa"/>
            <w:tcBorders>
              <w:top w:val="single" w:color="auto" w:sz="4" w:space="0"/>
              <w:left w:val="single" w:color="auto" w:sz="4" w:space="0"/>
              <w:bottom w:val="single" w:color="auto" w:sz="4" w:space="0"/>
              <w:right w:val="single" w:color="auto" w:sz="4" w:space="0"/>
            </w:tcBorders>
          </w:tcPr>
          <w:p w14:paraId="5498C873">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3977" w:type="dxa"/>
            <w:tcBorders>
              <w:top w:val="single" w:color="auto" w:sz="4" w:space="0"/>
              <w:left w:val="nil"/>
              <w:bottom w:val="single" w:color="auto" w:sz="4" w:space="0"/>
              <w:right w:val="single" w:color="auto" w:sz="4" w:space="0"/>
            </w:tcBorders>
          </w:tcPr>
          <w:p w14:paraId="3AC99B25">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2336" w:type="dxa"/>
            <w:tcBorders>
              <w:top w:val="single" w:color="auto" w:sz="4" w:space="0"/>
              <w:left w:val="nil"/>
              <w:bottom w:val="single" w:color="auto" w:sz="4" w:space="0"/>
              <w:right w:val="single" w:color="auto" w:sz="4" w:space="0"/>
            </w:tcBorders>
          </w:tcPr>
          <w:p w14:paraId="5A2DDB24">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r>
      <w:tr w14:paraId="7A453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303" w:type="dxa"/>
            <w:tcBorders>
              <w:top w:val="single" w:color="auto" w:sz="4" w:space="0"/>
              <w:left w:val="single" w:color="auto" w:sz="4" w:space="0"/>
              <w:bottom w:val="single" w:color="auto" w:sz="4" w:space="0"/>
              <w:right w:val="single" w:color="auto" w:sz="4" w:space="0"/>
            </w:tcBorders>
          </w:tcPr>
          <w:p w14:paraId="5C5D8487">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3977" w:type="dxa"/>
            <w:tcBorders>
              <w:top w:val="single" w:color="auto" w:sz="4" w:space="0"/>
              <w:left w:val="nil"/>
              <w:bottom w:val="single" w:color="auto" w:sz="4" w:space="0"/>
              <w:right w:val="single" w:color="auto" w:sz="4" w:space="0"/>
            </w:tcBorders>
          </w:tcPr>
          <w:p w14:paraId="78C2E064">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2336" w:type="dxa"/>
            <w:tcBorders>
              <w:top w:val="single" w:color="auto" w:sz="4" w:space="0"/>
              <w:left w:val="nil"/>
              <w:bottom w:val="single" w:color="auto" w:sz="4" w:space="0"/>
              <w:right w:val="single" w:color="auto" w:sz="4" w:space="0"/>
            </w:tcBorders>
          </w:tcPr>
          <w:p w14:paraId="17E73B91">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r>
      <w:tr w14:paraId="6ADFCB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303" w:type="dxa"/>
            <w:tcBorders>
              <w:top w:val="single" w:color="auto" w:sz="4" w:space="0"/>
              <w:left w:val="single" w:color="auto" w:sz="4" w:space="0"/>
              <w:bottom w:val="single" w:color="auto" w:sz="4" w:space="0"/>
              <w:right w:val="single" w:color="auto" w:sz="4" w:space="0"/>
            </w:tcBorders>
          </w:tcPr>
          <w:p w14:paraId="78F706E7">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3977" w:type="dxa"/>
            <w:tcBorders>
              <w:top w:val="single" w:color="auto" w:sz="4" w:space="0"/>
              <w:left w:val="nil"/>
              <w:bottom w:val="single" w:color="auto" w:sz="4" w:space="0"/>
              <w:right w:val="single" w:color="auto" w:sz="4" w:space="0"/>
            </w:tcBorders>
          </w:tcPr>
          <w:p w14:paraId="3864519B">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c>
          <w:tcPr>
            <w:tcW w:w="2336" w:type="dxa"/>
            <w:tcBorders>
              <w:top w:val="single" w:color="auto" w:sz="4" w:space="0"/>
              <w:left w:val="nil"/>
              <w:bottom w:val="single" w:color="auto" w:sz="4" w:space="0"/>
              <w:right w:val="single" w:color="auto" w:sz="4" w:space="0"/>
            </w:tcBorders>
          </w:tcPr>
          <w:p w14:paraId="310D1DFE">
            <w:pPr>
              <w:keepNext w:val="0"/>
              <w:keepLines w:val="0"/>
              <w:suppressLineNumbers w:val="0"/>
              <w:spacing w:before="0" w:beforeAutospacing="0" w:after="0" w:afterAutospacing="0" w:line="580" w:lineRule="exact"/>
              <w:ind w:left="0" w:right="0"/>
              <w:rPr>
                <w:rFonts w:hint="default" w:ascii="宋体" w:hAnsi="宋体" w:cs="宋体"/>
                <w:color w:val="auto"/>
                <w:sz w:val="24"/>
              </w:rPr>
            </w:pPr>
          </w:p>
        </w:tc>
      </w:tr>
    </w:tbl>
    <w:p w14:paraId="27335D89">
      <w:pPr>
        <w:snapToGrid w:val="0"/>
        <w:spacing w:before="120" w:beforeLines="50" w:after="50" w:line="360" w:lineRule="auto"/>
        <w:rPr>
          <w:rFonts w:ascii="宋体" w:hAnsi="宋体" w:cs="宋体"/>
          <w:color w:val="auto"/>
          <w:sz w:val="24"/>
        </w:rPr>
      </w:pPr>
    </w:p>
    <w:p w14:paraId="73109DB1">
      <w:pPr>
        <w:snapToGrid w:val="0"/>
        <w:spacing w:before="120" w:beforeLines="50" w:after="50" w:line="360" w:lineRule="auto"/>
        <w:rPr>
          <w:rFonts w:ascii="宋体" w:hAnsi="宋体" w:cs="宋体"/>
          <w:color w:val="auto"/>
          <w:sz w:val="24"/>
        </w:rPr>
      </w:pPr>
    </w:p>
    <w:p w14:paraId="083C2BEB">
      <w:pPr>
        <w:snapToGrid w:val="0"/>
        <w:spacing w:line="480" w:lineRule="exact"/>
        <w:ind w:firstLine="4560" w:firstLineChars="1900"/>
        <w:rPr>
          <w:rFonts w:ascii="宋体" w:hAnsi="宋体"/>
          <w:lang w:val="zh-CN"/>
        </w:rPr>
      </w:pPr>
      <w:r>
        <w:rPr>
          <w:rFonts w:hint="eastAsia" w:ascii="宋体" w:hAnsi="宋体"/>
          <w:lang w:val="zh-CN"/>
        </w:rPr>
        <w:t>供应商名称（盖章）：</w:t>
      </w:r>
    </w:p>
    <w:p w14:paraId="3C7620BF">
      <w:pPr>
        <w:snapToGrid w:val="0"/>
        <w:spacing w:line="480" w:lineRule="exact"/>
        <w:ind w:firstLine="4560" w:firstLineChars="1900"/>
        <w:rPr>
          <w:rFonts w:ascii="宋体" w:hAnsi="宋体"/>
        </w:rPr>
      </w:pPr>
      <w:r>
        <w:rPr>
          <w:rFonts w:hint="eastAsia" w:ascii="宋体" w:hAnsi="宋体"/>
          <w:lang w:val="zh-CN"/>
        </w:rPr>
        <w:t>法定代表人或授权委托人（签字或盖章）：</w:t>
      </w:r>
    </w:p>
    <w:p w14:paraId="7FF944B4">
      <w:pPr>
        <w:snapToGrid w:val="0"/>
        <w:spacing w:line="480" w:lineRule="exact"/>
        <w:ind w:firstLine="4560" w:firstLineChars="1900"/>
        <w:rPr>
          <w:rFonts w:ascii="宋体" w:hAnsi="宋体"/>
          <w:lang w:val="zh-CN"/>
        </w:rPr>
      </w:pPr>
      <w:r>
        <w:rPr>
          <w:rFonts w:hint="eastAsia" w:ascii="宋体" w:hAnsi="宋体"/>
          <w:lang w:val="zh-CN"/>
        </w:rPr>
        <w:t>日期：     年   月   日</w:t>
      </w:r>
    </w:p>
    <w:p w14:paraId="257114DC">
      <w:pPr>
        <w:ind w:firstLine="0" w:firstLineChars="0"/>
        <w:jc w:val="left"/>
        <w:outlineLvl w:val="9"/>
        <w:rPr>
          <w:rFonts w:hint="eastAsia" w:ascii="宋体" w:hAnsi="宋体" w:cs="宋体"/>
          <w:b/>
          <w:bCs/>
        </w:rPr>
      </w:pPr>
    </w:p>
    <w:p w14:paraId="71E171D9">
      <w:pPr>
        <w:ind w:firstLine="0" w:firstLineChars="0"/>
        <w:jc w:val="left"/>
        <w:outlineLvl w:val="9"/>
        <w:rPr>
          <w:rFonts w:hint="eastAsia" w:ascii="宋体" w:hAnsi="宋体" w:cs="宋体"/>
          <w:b/>
          <w:bCs/>
        </w:rPr>
      </w:pPr>
    </w:p>
    <w:p w14:paraId="65EBA709">
      <w:pPr>
        <w:ind w:firstLine="0" w:firstLineChars="0"/>
        <w:jc w:val="left"/>
        <w:outlineLvl w:val="9"/>
        <w:rPr>
          <w:rFonts w:hint="eastAsia" w:ascii="宋体" w:hAnsi="宋体" w:cs="宋体"/>
          <w:b/>
          <w:bCs/>
        </w:rPr>
      </w:pPr>
    </w:p>
    <w:p w14:paraId="32215690">
      <w:pPr>
        <w:ind w:firstLine="0" w:firstLineChars="0"/>
        <w:jc w:val="left"/>
        <w:outlineLvl w:val="9"/>
        <w:rPr>
          <w:rFonts w:hint="eastAsia" w:ascii="宋体" w:hAnsi="宋体" w:cs="宋体"/>
          <w:b/>
          <w:bCs/>
        </w:rPr>
      </w:pPr>
    </w:p>
    <w:p w14:paraId="5CF7251E">
      <w:pPr>
        <w:ind w:firstLine="0" w:firstLineChars="0"/>
        <w:jc w:val="left"/>
        <w:outlineLvl w:val="9"/>
        <w:rPr>
          <w:rFonts w:hint="eastAsia" w:ascii="宋体" w:hAnsi="宋体" w:cs="宋体"/>
          <w:b/>
          <w:bCs/>
        </w:rPr>
      </w:pPr>
    </w:p>
    <w:p w14:paraId="00F5F29C">
      <w:pPr>
        <w:ind w:firstLine="0" w:firstLineChars="0"/>
        <w:jc w:val="left"/>
        <w:outlineLvl w:val="1"/>
        <w:rPr>
          <w:rFonts w:ascii="宋体" w:hAnsi="宋体" w:cs="宋体"/>
          <w:b/>
          <w:bCs/>
        </w:rPr>
      </w:pPr>
      <w:bookmarkStart w:id="1477" w:name="_Toc19951"/>
      <w:bookmarkStart w:id="1478" w:name="_Toc31813"/>
      <w:r>
        <w:rPr>
          <w:rFonts w:hint="eastAsia" w:ascii="宋体" w:hAnsi="宋体" w:cs="宋体"/>
          <w:b/>
          <w:bCs/>
        </w:rPr>
        <w:t>附件</w:t>
      </w:r>
      <w:r>
        <w:rPr>
          <w:rFonts w:ascii="宋体" w:hAnsi="宋体" w:cs="宋体"/>
          <w:b/>
          <w:bCs/>
        </w:rPr>
        <w:t>1</w:t>
      </w:r>
      <w:bookmarkEnd w:id="1437"/>
      <w:bookmarkEnd w:id="1438"/>
      <w:bookmarkEnd w:id="1439"/>
      <w:bookmarkEnd w:id="1477"/>
      <w:bookmarkEnd w:id="1478"/>
    </w:p>
    <w:p w14:paraId="650A95E1">
      <w:pPr>
        <w:adjustRightInd/>
        <w:ind w:firstLine="0" w:firstLineChars="0"/>
        <w:jc w:val="center"/>
        <w:textAlignment w:val="auto"/>
        <w:outlineLvl w:val="1"/>
        <w:rPr>
          <w:rFonts w:hint="eastAsia" w:ascii="宋体" w:hAnsi="宋体" w:eastAsia="宋体" w:cs="宋体"/>
          <w:b/>
          <w:sz w:val="32"/>
          <w:szCs w:val="32"/>
        </w:rPr>
      </w:pPr>
      <w:bookmarkStart w:id="1479" w:name="_Toc2674"/>
      <w:r>
        <w:rPr>
          <w:rFonts w:hint="eastAsia" w:ascii="宋体" w:hAnsi="宋体" w:eastAsia="宋体" w:cs="宋体"/>
          <w:b/>
          <w:sz w:val="32"/>
          <w:szCs w:val="32"/>
        </w:rPr>
        <w:t>供应商基本情况表</w:t>
      </w:r>
      <w:bookmarkEnd w:id="1479"/>
    </w:p>
    <w:tbl>
      <w:tblPr>
        <w:tblStyle w:val="38"/>
        <w:tblpPr w:leftFromText="180" w:rightFromText="180" w:vertAnchor="text" w:horzAnchor="page" w:tblpXSpec="center" w:tblpY="504"/>
        <w:tblOverlap w:val="never"/>
        <w:tblW w:w="9735"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57"/>
        <w:gridCol w:w="2708"/>
        <w:gridCol w:w="1735"/>
        <w:gridCol w:w="3135"/>
      </w:tblGrid>
      <w:tr w14:paraId="184C87D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735" w:type="dxa"/>
            <w:gridSpan w:val="4"/>
            <w:tcBorders>
              <w:top w:val="thinThickSmallGap" w:color="auto" w:sz="12" w:space="0"/>
            </w:tcBorders>
            <w:noWrap/>
            <w:vAlign w:val="center"/>
          </w:tcPr>
          <w:p w14:paraId="2A7985BD">
            <w:pPr>
              <w:keepNext w:val="0"/>
              <w:keepLines w:val="0"/>
              <w:suppressLineNumbers w:val="0"/>
              <w:snapToGrid w:val="0"/>
              <w:spacing w:before="93" w:beforeAutospacing="0" w:after="93" w:afterAutospacing="0" w:line="400" w:lineRule="exact"/>
              <w:ind w:left="0" w:right="0" w:firstLine="0" w:firstLineChars="0"/>
              <w:jc w:val="center"/>
              <w:rPr>
                <w:rFonts w:hint="default" w:ascii="宋体" w:cs="宋体"/>
              </w:rPr>
            </w:pPr>
            <w:r>
              <w:rPr>
                <w:rFonts w:hint="eastAsia" w:ascii="宋体" w:hAnsi="宋体" w:cs="宋体"/>
                <w:lang w:val="en-US" w:eastAsia="zh-CN"/>
              </w:rPr>
              <w:t>供应商</w:t>
            </w:r>
            <w:r>
              <w:rPr>
                <w:rFonts w:hint="eastAsia" w:ascii="宋体" w:hAnsi="宋体" w:cs="宋体"/>
              </w:rPr>
              <w:t>信息</w:t>
            </w:r>
          </w:p>
        </w:tc>
      </w:tr>
      <w:tr w14:paraId="629A9D5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47F12F6B">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企业名称</w:t>
            </w:r>
          </w:p>
        </w:tc>
        <w:tc>
          <w:tcPr>
            <w:tcW w:w="7578" w:type="dxa"/>
            <w:gridSpan w:val="3"/>
            <w:noWrap/>
            <w:vAlign w:val="center"/>
          </w:tcPr>
          <w:p w14:paraId="79401565">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797CAF7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0BD2F17F">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性质</w:t>
            </w:r>
          </w:p>
        </w:tc>
        <w:tc>
          <w:tcPr>
            <w:tcW w:w="7578" w:type="dxa"/>
            <w:gridSpan w:val="3"/>
            <w:noWrap/>
            <w:vAlign w:val="center"/>
          </w:tcPr>
          <w:p w14:paraId="56AF5A11">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单位□</w:t>
            </w:r>
            <w:r>
              <w:rPr>
                <w:rFonts w:hint="eastAsia" w:ascii="宋体" w:hAnsi="宋体" w:cs="宋体"/>
                <w:lang w:val="en-US" w:eastAsia="zh-CN"/>
              </w:rPr>
              <w:t xml:space="preserve">                                </w:t>
            </w:r>
            <w:r>
              <w:rPr>
                <w:rFonts w:hint="eastAsia" w:ascii="宋体" w:hAnsi="宋体" w:cs="宋体"/>
              </w:rPr>
              <w:t>个人□</w:t>
            </w:r>
          </w:p>
        </w:tc>
      </w:tr>
      <w:tr w14:paraId="18708C8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0C6D4579">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统一社会信用代码</w:t>
            </w:r>
          </w:p>
        </w:tc>
        <w:tc>
          <w:tcPr>
            <w:tcW w:w="2708" w:type="dxa"/>
            <w:noWrap/>
            <w:vAlign w:val="center"/>
          </w:tcPr>
          <w:p w14:paraId="733B2CEF">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c>
          <w:tcPr>
            <w:tcW w:w="1735" w:type="dxa"/>
            <w:noWrap/>
            <w:vAlign w:val="center"/>
          </w:tcPr>
          <w:p w14:paraId="2623B1E9">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注册资金</w:t>
            </w:r>
          </w:p>
        </w:tc>
        <w:tc>
          <w:tcPr>
            <w:tcW w:w="3135" w:type="dxa"/>
            <w:noWrap/>
            <w:vAlign w:val="center"/>
          </w:tcPr>
          <w:p w14:paraId="7E954D6C">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4BBE9DB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75B093A1">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法定代表人</w:t>
            </w:r>
          </w:p>
        </w:tc>
        <w:tc>
          <w:tcPr>
            <w:tcW w:w="2708" w:type="dxa"/>
            <w:noWrap/>
            <w:vAlign w:val="center"/>
          </w:tcPr>
          <w:p w14:paraId="1384BFEE">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c>
          <w:tcPr>
            <w:tcW w:w="1735" w:type="dxa"/>
            <w:noWrap/>
            <w:vAlign w:val="center"/>
          </w:tcPr>
          <w:p w14:paraId="480CDADD">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身份证号码</w:t>
            </w:r>
          </w:p>
        </w:tc>
        <w:tc>
          <w:tcPr>
            <w:tcW w:w="3135" w:type="dxa"/>
            <w:noWrap/>
            <w:vAlign w:val="center"/>
          </w:tcPr>
          <w:p w14:paraId="10E883A5">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055828E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05F43C69">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通信地址</w:t>
            </w:r>
          </w:p>
        </w:tc>
        <w:tc>
          <w:tcPr>
            <w:tcW w:w="2708" w:type="dxa"/>
            <w:noWrap/>
            <w:vAlign w:val="center"/>
          </w:tcPr>
          <w:p w14:paraId="43CDBEEC">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c>
          <w:tcPr>
            <w:tcW w:w="1735" w:type="dxa"/>
            <w:noWrap/>
            <w:vAlign w:val="center"/>
          </w:tcPr>
          <w:p w14:paraId="166FE721">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邮政编码</w:t>
            </w:r>
          </w:p>
        </w:tc>
        <w:tc>
          <w:tcPr>
            <w:tcW w:w="3135" w:type="dxa"/>
            <w:noWrap/>
            <w:vAlign w:val="center"/>
          </w:tcPr>
          <w:p w14:paraId="54C64EBB">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44DCD4F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58D5B71B">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公司电话</w:t>
            </w:r>
          </w:p>
        </w:tc>
        <w:tc>
          <w:tcPr>
            <w:tcW w:w="2708" w:type="dxa"/>
            <w:noWrap/>
            <w:vAlign w:val="center"/>
          </w:tcPr>
          <w:p w14:paraId="7EF6796A">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c>
          <w:tcPr>
            <w:tcW w:w="1735" w:type="dxa"/>
            <w:noWrap/>
            <w:vAlign w:val="center"/>
          </w:tcPr>
          <w:p w14:paraId="7D408DF4">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传真</w:t>
            </w:r>
          </w:p>
        </w:tc>
        <w:tc>
          <w:tcPr>
            <w:tcW w:w="3135" w:type="dxa"/>
            <w:noWrap/>
            <w:vAlign w:val="center"/>
          </w:tcPr>
          <w:p w14:paraId="3CDB0C11">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28C5FDA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27D5FE54">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公司网址</w:t>
            </w:r>
          </w:p>
        </w:tc>
        <w:tc>
          <w:tcPr>
            <w:tcW w:w="2708" w:type="dxa"/>
            <w:noWrap/>
            <w:vAlign w:val="center"/>
          </w:tcPr>
          <w:p w14:paraId="34DF7E9B">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c>
          <w:tcPr>
            <w:tcW w:w="1735" w:type="dxa"/>
            <w:noWrap/>
            <w:vAlign w:val="center"/>
          </w:tcPr>
          <w:p w14:paraId="79FB2150">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电子邮箱</w:t>
            </w:r>
          </w:p>
        </w:tc>
        <w:tc>
          <w:tcPr>
            <w:tcW w:w="3135" w:type="dxa"/>
            <w:noWrap/>
            <w:vAlign w:val="center"/>
          </w:tcPr>
          <w:p w14:paraId="3645F70D">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4B28F94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4520020A">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开户银行及账号</w:t>
            </w:r>
          </w:p>
        </w:tc>
        <w:tc>
          <w:tcPr>
            <w:tcW w:w="7578" w:type="dxa"/>
            <w:gridSpan w:val="3"/>
            <w:noWrap/>
            <w:vAlign w:val="center"/>
          </w:tcPr>
          <w:p w14:paraId="070F8CF9">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2994C02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678DB110">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企业资质</w:t>
            </w:r>
          </w:p>
        </w:tc>
        <w:tc>
          <w:tcPr>
            <w:tcW w:w="7578" w:type="dxa"/>
            <w:gridSpan w:val="3"/>
            <w:noWrap/>
            <w:vAlign w:val="center"/>
          </w:tcPr>
          <w:p w14:paraId="4A79B31D">
            <w:pPr>
              <w:keepNext w:val="0"/>
              <w:keepLines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napToGrid w:val="0"/>
              <w:spacing w:before="156" w:beforeAutospacing="0" w:after="156" w:afterAutospacing="0" w:line="400" w:lineRule="exact"/>
              <w:ind w:left="0" w:right="0" w:firstLine="0" w:firstLineChars="0"/>
              <w:jc w:val="left"/>
              <w:rPr>
                <w:rFonts w:hint="default" w:ascii="宋体" w:cs="宋体"/>
                <w:b/>
              </w:rPr>
            </w:pPr>
          </w:p>
        </w:tc>
      </w:tr>
      <w:tr w14:paraId="21CE5CC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2157" w:type="dxa"/>
            <w:noWrap/>
            <w:vAlign w:val="center"/>
          </w:tcPr>
          <w:p w14:paraId="563B3011">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权威认证</w:t>
            </w:r>
          </w:p>
        </w:tc>
        <w:tc>
          <w:tcPr>
            <w:tcW w:w="7578" w:type="dxa"/>
            <w:gridSpan w:val="3"/>
            <w:noWrap/>
            <w:vAlign w:val="center"/>
          </w:tcPr>
          <w:p w14:paraId="5A42F2B6">
            <w:pPr>
              <w:keepNext w:val="0"/>
              <w:keepLines w:val="0"/>
              <w:suppressLineNumbers w:val="0"/>
              <w:snapToGrid w:val="0"/>
              <w:spacing w:before="156" w:beforeAutospacing="0" w:after="156" w:afterAutospacing="0" w:line="400" w:lineRule="exact"/>
              <w:ind w:left="0" w:right="0" w:firstLine="0" w:firstLineChars="0"/>
              <w:rPr>
                <w:rFonts w:hint="default" w:ascii="宋体" w:cs="宋体"/>
              </w:rPr>
            </w:pPr>
          </w:p>
        </w:tc>
      </w:tr>
      <w:tr w14:paraId="1B56562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783D9250">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企业获奖（如有）</w:t>
            </w:r>
          </w:p>
        </w:tc>
        <w:tc>
          <w:tcPr>
            <w:tcW w:w="7578" w:type="dxa"/>
            <w:gridSpan w:val="3"/>
            <w:noWrap/>
            <w:vAlign w:val="center"/>
          </w:tcPr>
          <w:p w14:paraId="5FB47372">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39EF6B6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157" w:type="dxa"/>
            <w:noWrap/>
            <w:vAlign w:val="center"/>
          </w:tcPr>
          <w:p w14:paraId="7BC7E1F8">
            <w:pPr>
              <w:keepNext w:val="0"/>
              <w:keepLines w:val="0"/>
              <w:suppressLineNumbers w:val="0"/>
              <w:snapToGrid w:val="0"/>
              <w:spacing w:before="93" w:beforeAutospacing="0" w:after="93" w:afterAutospacing="0" w:line="400" w:lineRule="exact"/>
              <w:ind w:left="0" w:right="0" w:firstLine="0" w:firstLineChars="0"/>
              <w:jc w:val="left"/>
              <w:rPr>
                <w:rFonts w:hint="default" w:ascii="宋体" w:cs="宋体"/>
              </w:rPr>
            </w:pPr>
            <w:r>
              <w:rPr>
                <w:rFonts w:hint="eastAsia" w:ascii="宋体" w:hAnsi="宋体" w:cs="宋体"/>
              </w:rPr>
              <w:t>备注</w:t>
            </w:r>
          </w:p>
        </w:tc>
        <w:tc>
          <w:tcPr>
            <w:tcW w:w="7578" w:type="dxa"/>
            <w:gridSpan w:val="3"/>
            <w:noWrap/>
            <w:vAlign w:val="center"/>
          </w:tcPr>
          <w:p w14:paraId="7BA731BC">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33E20F6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735" w:type="dxa"/>
            <w:gridSpan w:val="4"/>
            <w:noWrap/>
            <w:vAlign w:val="center"/>
          </w:tcPr>
          <w:p w14:paraId="45555BE3">
            <w:pPr>
              <w:keepNext w:val="0"/>
              <w:keepLines w:val="0"/>
              <w:suppressLineNumbers w:val="0"/>
              <w:snapToGrid w:val="0"/>
              <w:spacing w:before="93" w:beforeAutospacing="0" w:after="93" w:afterAutospacing="0" w:line="400" w:lineRule="exact"/>
              <w:ind w:left="0" w:right="0" w:firstLine="0" w:firstLineChars="0"/>
              <w:jc w:val="center"/>
              <w:rPr>
                <w:rFonts w:hint="default" w:ascii="宋体" w:cs="宋体"/>
              </w:rPr>
            </w:pPr>
            <w:r>
              <w:rPr>
                <w:rFonts w:hint="eastAsia" w:ascii="宋体" w:hAnsi="宋体" w:cs="宋体"/>
                <w:lang w:eastAsia="zh-CN"/>
              </w:rPr>
              <w:t>供应商</w:t>
            </w:r>
            <w:r>
              <w:rPr>
                <w:rFonts w:hint="eastAsia" w:ascii="宋体" w:hAnsi="宋体" w:cs="宋体"/>
              </w:rPr>
              <w:t>联系人信息</w:t>
            </w:r>
          </w:p>
        </w:tc>
      </w:tr>
      <w:tr w14:paraId="7A1FE65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50892A93">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姓名</w:t>
            </w:r>
          </w:p>
        </w:tc>
        <w:tc>
          <w:tcPr>
            <w:tcW w:w="2708" w:type="dxa"/>
            <w:noWrap/>
            <w:vAlign w:val="center"/>
          </w:tcPr>
          <w:p w14:paraId="2A3740F6">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c>
          <w:tcPr>
            <w:tcW w:w="1735" w:type="dxa"/>
            <w:noWrap/>
            <w:vAlign w:val="center"/>
          </w:tcPr>
          <w:p w14:paraId="2B5D08F7">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手机</w:t>
            </w:r>
          </w:p>
        </w:tc>
        <w:tc>
          <w:tcPr>
            <w:tcW w:w="3135" w:type="dxa"/>
            <w:noWrap/>
            <w:vAlign w:val="center"/>
          </w:tcPr>
          <w:p w14:paraId="0A8E33F8">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241CB84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noWrap/>
            <w:vAlign w:val="center"/>
          </w:tcPr>
          <w:p w14:paraId="47D3DC26">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固定电话</w:t>
            </w:r>
          </w:p>
        </w:tc>
        <w:tc>
          <w:tcPr>
            <w:tcW w:w="2708" w:type="dxa"/>
            <w:noWrap/>
            <w:vAlign w:val="center"/>
          </w:tcPr>
          <w:p w14:paraId="3386FE39">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c>
          <w:tcPr>
            <w:tcW w:w="1735" w:type="dxa"/>
            <w:noWrap/>
            <w:vAlign w:val="center"/>
          </w:tcPr>
          <w:p w14:paraId="426EF20B">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电子邮箱</w:t>
            </w:r>
          </w:p>
        </w:tc>
        <w:tc>
          <w:tcPr>
            <w:tcW w:w="3135" w:type="dxa"/>
            <w:noWrap/>
            <w:vAlign w:val="center"/>
          </w:tcPr>
          <w:p w14:paraId="41E7C92E">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p>
        </w:tc>
      </w:tr>
      <w:tr w14:paraId="72F53C7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735" w:type="dxa"/>
            <w:gridSpan w:val="4"/>
            <w:tcBorders>
              <w:bottom w:val="thinThickSmallGap" w:color="auto" w:sz="12" w:space="0"/>
            </w:tcBorders>
            <w:noWrap/>
            <w:vAlign w:val="center"/>
          </w:tcPr>
          <w:p w14:paraId="58D12231">
            <w:pPr>
              <w:keepNext w:val="0"/>
              <w:keepLines w:val="0"/>
              <w:suppressLineNumbers w:val="0"/>
              <w:snapToGrid w:val="0"/>
              <w:spacing w:before="93" w:beforeAutospacing="0" w:after="93" w:afterAutospacing="0" w:line="400" w:lineRule="exact"/>
              <w:ind w:left="0" w:right="0" w:firstLine="0" w:firstLineChars="0"/>
              <w:rPr>
                <w:rFonts w:hint="default" w:ascii="宋体" w:cs="宋体"/>
              </w:rPr>
            </w:pPr>
            <w:r>
              <w:rPr>
                <w:rFonts w:hint="eastAsia" w:ascii="宋体" w:hAnsi="宋体" w:cs="宋体"/>
              </w:rPr>
              <w:t>企业简介：（可另附页或企业对外宣传手册）</w:t>
            </w:r>
          </w:p>
        </w:tc>
      </w:tr>
    </w:tbl>
    <w:p w14:paraId="4B3BBBB3">
      <w:pPr>
        <w:ind w:firstLine="0" w:firstLineChars="0"/>
        <w:jc w:val="center"/>
        <w:rPr>
          <w:rFonts w:hint="eastAsia"/>
          <w:b/>
          <w:bCs/>
          <w:sz w:val="30"/>
          <w:szCs w:val="30"/>
        </w:rPr>
      </w:pPr>
    </w:p>
    <w:p w14:paraId="7CC2A62F">
      <w:pPr>
        <w:snapToGrid w:val="0"/>
        <w:spacing w:line="480" w:lineRule="exact"/>
        <w:ind w:firstLine="3840" w:firstLineChars="1600"/>
        <w:rPr>
          <w:rFonts w:ascii="宋体" w:hAnsi="宋体"/>
          <w:lang w:val="zh-CN"/>
        </w:rPr>
      </w:pPr>
      <w:bookmarkStart w:id="1480" w:name="_Toc14816"/>
      <w:bookmarkStart w:id="1481" w:name="_Toc24391"/>
      <w:bookmarkStart w:id="1482" w:name="_Toc13190"/>
      <w:bookmarkStart w:id="1483" w:name="_Toc11280"/>
      <w:bookmarkStart w:id="1484" w:name="_Toc7082"/>
      <w:bookmarkStart w:id="1485" w:name="_Toc2533"/>
      <w:bookmarkStart w:id="1486" w:name="_Toc11875"/>
      <w:bookmarkStart w:id="1487" w:name="_Toc24787"/>
      <w:bookmarkStart w:id="1488" w:name="_Toc32311"/>
      <w:bookmarkStart w:id="1489" w:name="_Toc54"/>
      <w:bookmarkStart w:id="1490" w:name="_Toc28874"/>
      <w:bookmarkStart w:id="1491" w:name="_Toc18350"/>
      <w:bookmarkStart w:id="1492" w:name="_Toc6689"/>
      <w:bookmarkStart w:id="1493" w:name="_Toc11824"/>
      <w:bookmarkStart w:id="1494" w:name="_Toc28692"/>
      <w:bookmarkStart w:id="1495" w:name="_Toc2572"/>
      <w:bookmarkStart w:id="1496" w:name="_Toc675"/>
      <w:bookmarkStart w:id="1497" w:name="_Toc27191"/>
      <w:r>
        <w:rPr>
          <w:rFonts w:hint="eastAsia" w:ascii="宋体" w:hAnsi="宋体"/>
          <w:lang w:val="zh-CN"/>
        </w:rPr>
        <w:t>供应商名称（盖章）：</w:t>
      </w:r>
    </w:p>
    <w:p w14:paraId="5B94FF8D">
      <w:pPr>
        <w:snapToGrid w:val="0"/>
        <w:spacing w:line="480" w:lineRule="exact"/>
        <w:ind w:firstLine="3840" w:firstLineChars="1600"/>
        <w:rPr>
          <w:rFonts w:ascii="宋体" w:hAnsi="宋体"/>
        </w:rPr>
      </w:pPr>
      <w:r>
        <w:rPr>
          <w:rFonts w:hint="eastAsia" w:ascii="宋体" w:hAnsi="宋体"/>
          <w:lang w:val="zh-CN"/>
        </w:rPr>
        <w:t>法定代表人或授权委托人（签字或盖章）：</w:t>
      </w:r>
    </w:p>
    <w:p w14:paraId="5194E2BF">
      <w:pPr>
        <w:snapToGrid w:val="0"/>
        <w:spacing w:line="480" w:lineRule="exact"/>
        <w:ind w:firstLine="3840" w:firstLineChars="1600"/>
        <w:sectPr>
          <w:pgSz w:w="11906" w:h="16838"/>
          <w:pgMar w:top="1440" w:right="1080" w:bottom="1440" w:left="1080" w:header="737" w:footer="964" w:gutter="0"/>
          <w:pgBorders>
            <w:top w:val="thinThickSmallGap" w:color="auto" w:sz="12" w:space="10"/>
            <w:left w:val="none" w:sz="0" w:space="0"/>
            <w:bottom w:val="thinThickSmallGap" w:color="auto" w:sz="12" w:space="10"/>
            <w:right w:val="none" w:sz="0" w:space="0"/>
          </w:pgBorders>
          <w:pgNumType w:fmt="decimal"/>
          <w:cols w:space="720" w:num="1"/>
          <w:docGrid w:type="lines" w:linePitch="312" w:charSpace="0"/>
        </w:sectPr>
      </w:pPr>
      <w:r>
        <w:rPr>
          <w:rFonts w:hint="eastAsia" w:ascii="宋体" w:hAnsi="宋体"/>
          <w:lang w:val="zh-CN"/>
        </w:rPr>
        <w:t>日期：     年   月   日</w:t>
      </w:r>
    </w:p>
    <w:p w14:paraId="26E57A32">
      <w:pPr>
        <w:ind w:firstLine="0" w:firstLineChars="0"/>
        <w:jc w:val="left"/>
        <w:outlineLvl w:val="1"/>
        <w:rPr>
          <w:rFonts w:hint="eastAsia" w:ascii="宋体" w:hAnsi="宋体" w:eastAsia="宋体" w:cs="宋体"/>
          <w:b/>
          <w:bCs/>
          <w:sz w:val="30"/>
          <w:szCs w:val="30"/>
          <w:lang w:val="en-US" w:eastAsia="zh-CN"/>
        </w:rPr>
      </w:pPr>
      <w:bookmarkStart w:id="1498" w:name="_Toc18837"/>
      <w:bookmarkStart w:id="1499" w:name="_Toc31713"/>
      <w:bookmarkStart w:id="1500" w:name="_Toc3740"/>
      <w:bookmarkStart w:id="1501" w:name="_Toc11117"/>
      <w:r>
        <w:rPr>
          <w:rFonts w:hint="eastAsia" w:ascii="宋体" w:hAnsi="宋体" w:cs="宋体"/>
          <w:b/>
          <w:bCs/>
        </w:rPr>
        <w:t>附件</w:t>
      </w:r>
      <w:r>
        <w:rPr>
          <w:rFonts w:hint="eastAsia" w:ascii="宋体" w:hAnsi="宋体" w:cs="宋体"/>
          <w:b/>
          <w:bCs/>
          <w:lang w:val="en-US" w:eastAsia="zh-CN"/>
        </w:rPr>
        <w:t>2</w:t>
      </w:r>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p>
    <w:p w14:paraId="411FDA01">
      <w:pPr>
        <w:adjustRightInd w:val="0"/>
        <w:ind w:firstLine="0" w:firstLineChars="0"/>
        <w:jc w:val="center"/>
        <w:textAlignment w:val="baseline"/>
        <w:rPr>
          <w:rFonts w:hint="eastAsia" w:ascii="宋体" w:hAnsi="宋体" w:eastAsia="宋体" w:cs="宋体"/>
          <w:b/>
          <w:sz w:val="32"/>
          <w:szCs w:val="32"/>
        </w:rPr>
      </w:pPr>
      <w:bookmarkStart w:id="1502" w:name="_Toc30725"/>
      <w:r>
        <w:rPr>
          <w:rFonts w:hint="eastAsia" w:ascii="宋体" w:hAnsi="宋体" w:eastAsia="宋体" w:cs="宋体"/>
          <w:b/>
          <w:sz w:val="32"/>
          <w:szCs w:val="32"/>
        </w:rPr>
        <w:t>符合参加</w:t>
      </w:r>
      <w:r>
        <w:rPr>
          <w:rFonts w:hint="eastAsia" w:ascii="宋体" w:hAnsi="宋体" w:cs="宋体"/>
          <w:b/>
          <w:sz w:val="32"/>
          <w:szCs w:val="32"/>
          <w:lang w:eastAsia="zh-CN"/>
        </w:rPr>
        <w:t>采购</w:t>
      </w:r>
      <w:r>
        <w:rPr>
          <w:rFonts w:hint="eastAsia" w:ascii="宋体" w:hAnsi="宋体" w:eastAsia="宋体" w:cs="宋体"/>
          <w:b/>
          <w:sz w:val="32"/>
          <w:szCs w:val="32"/>
        </w:rPr>
        <w:t>活动应当具备的一般条件的承诺函</w:t>
      </w:r>
      <w:bookmarkEnd w:id="1502"/>
    </w:p>
    <w:p w14:paraId="45F6F0E4">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rPr>
      </w:pPr>
      <w:r>
        <w:rPr>
          <w:rFonts w:hint="eastAsia" w:ascii="宋体" w:hAnsi="宋体" w:eastAsia="宋体" w:cs="宋体"/>
        </w:rPr>
        <w:t>致：</w:t>
      </w:r>
      <w:r>
        <w:rPr>
          <w:rFonts w:hint="eastAsia" w:ascii="宋体" w:hAnsi="宋体" w:cs="宋体"/>
          <w:u w:val="single"/>
          <w:lang w:eastAsia="zh-CN"/>
        </w:rPr>
        <w:t>（</w:t>
      </w:r>
      <w:r>
        <w:rPr>
          <w:rFonts w:hint="eastAsia" w:ascii="宋体" w:hAnsi="宋体" w:cs="宋体"/>
          <w:u w:val="single"/>
          <w:lang w:val="en-US" w:eastAsia="zh-CN"/>
        </w:rPr>
        <w:t>采购人</w:t>
      </w:r>
      <w:r>
        <w:rPr>
          <w:rFonts w:hint="eastAsia" w:ascii="宋体" w:hAnsi="宋体" w:cs="宋体"/>
          <w:u w:val="single"/>
          <w:lang w:eastAsia="zh-CN"/>
        </w:rPr>
        <w:t>）</w:t>
      </w:r>
      <w:r>
        <w:rPr>
          <w:rFonts w:hint="eastAsia" w:ascii="宋体" w:hAnsi="宋体" w:eastAsia="宋体" w:cs="宋体"/>
        </w:rPr>
        <w:t>：</w:t>
      </w:r>
    </w:p>
    <w:p w14:paraId="5474B72D">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rPr>
          <w:i w:val="0"/>
          <w:iCs w:val="0"/>
          <w:caps w:val="0"/>
          <w:color w:val="000000"/>
          <w:spacing w:val="0"/>
        </w:rPr>
      </w:pPr>
      <w:r>
        <w:rPr>
          <w:i w:val="0"/>
          <w:iCs w:val="0"/>
          <w:caps w:val="0"/>
          <w:color w:val="000000"/>
          <w:spacing w:val="0"/>
        </w:rPr>
        <w:t>我方参加</w:t>
      </w:r>
      <w:r>
        <w:rPr>
          <w:i w:val="0"/>
          <w:iCs w:val="0"/>
          <w:caps w:val="0"/>
          <w:color w:val="000000"/>
          <w:spacing w:val="0"/>
          <w:u w:val="single"/>
        </w:rPr>
        <w:t>项目</w:t>
      </w:r>
      <w:r>
        <w:rPr>
          <w:rFonts w:hint="eastAsia"/>
          <w:i w:val="0"/>
          <w:iCs w:val="0"/>
          <w:caps w:val="0"/>
          <w:color w:val="000000"/>
          <w:spacing w:val="0"/>
          <w:u w:val="single"/>
          <w:lang w:val="en-US" w:eastAsia="zh-CN"/>
        </w:rPr>
        <w:t>名称</w:t>
      </w:r>
      <w:r>
        <w:rPr>
          <w:i w:val="0"/>
          <w:iCs w:val="0"/>
          <w:caps w:val="0"/>
          <w:color w:val="000000"/>
          <w:spacing w:val="0"/>
          <w:u w:val="single"/>
        </w:rPr>
        <w:t>（项目编号)</w:t>
      </w:r>
      <w:r>
        <w:rPr>
          <w:rFonts w:hint="eastAsia"/>
          <w:i w:val="0"/>
          <w:iCs w:val="0"/>
          <w:caps w:val="0"/>
          <w:color w:val="000000"/>
          <w:spacing w:val="0"/>
          <w:lang w:eastAsia="zh-CN"/>
        </w:rPr>
        <w:t>采购</w:t>
      </w:r>
      <w:r>
        <w:rPr>
          <w:i w:val="0"/>
          <w:iCs w:val="0"/>
          <w:caps w:val="0"/>
          <w:color w:val="000000"/>
          <w:spacing w:val="0"/>
        </w:rPr>
        <w:t>活动，郑重承诺：</w:t>
      </w:r>
    </w:p>
    <w:p w14:paraId="00841182">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outlineLvl w:val="1"/>
        <w:rPr>
          <w:rFonts w:hint="eastAsia" w:ascii="宋体" w:hAnsi="宋体" w:eastAsia="宋体" w:cs="宋体"/>
          <w:i w:val="0"/>
          <w:iCs w:val="0"/>
          <w:caps w:val="0"/>
          <w:color w:val="000000"/>
          <w:spacing w:val="0"/>
        </w:rPr>
      </w:pPr>
      <w:bookmarkStart w:id="1503" w:name="_Toc41"/>
      <w:bookmarkStart w:id="1504" w:name="_Toc10787"/>
      <w:bookmarkStart w:id="1505" w:name="_Toc26842"/>
      <w:bookmarkStart w:id="1506" w:name="_Toc11593"/>
      <w:bookmarkStart w:id="1507" w:name="_Toc21843"/>
      <w:r>
        <w:rPr>
          <w:rFonts w:hint="eastAsia" w:ascii="宋体" w:hAnsi="宋体" w:eastAsia="宋体" w:cs="宋体"/>
          <w:i w:val="0"/>
          <w:iCs w:val="0"/>
          <w:caps w:val="0"/>
          <w:color w:val="000000"/>
          <w:spacing w:val="0"/>
        </w:rPr>
        <w:t>一、具备《中华人民共和国政府采购法》第二十二条规定的条件：</w:t>
      </w:r>
      <w:bookmarkEnd w:id="1503"/>
      <w:bookmarkEnd w:id="1504"/>
      <w:bookmarkEnd w:id="1505"/>
      <w:bookmarkEnd w:id="1506"/>
      <w:bookmarkEnd w:id="1507"/>
    </w:p>
    <w:p w14:paraId="6AF89651">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rPr>
          <w:rFonts w:hint="eastAsia" w:ascii="宋体" w:hAnsi="宋体" w:eastAsia="宋体" w:cs="宋体"/>
          <w:i w:val="0"/>
          <w:iCs w:val="0"/>
          <w:caps w:val="0"/>
          <w:color w:val="000000"/>
          <w:spacing w:val="0"/>
        </w:rPr>
      </w:pPr>
      <w:r>
        <w:rPr>
          <w:rFonts w:hint="eastAsia" w:ascii="宋体" w:hAnsi="宋体" w:eastAsia="宋体" w:cs="宋体"/>
          <w:i w:val="0"/>
          <w:iCs w:val="0"/>
          <w:caps w:val="0"/>
          <w:color w:val="000000"/>
          <w:spacing w:val="0"/>
        </w:rPr>
        <w:t>1</w:t>
      </w:r>
      <w:r>
        <w:rPr>
          <w:rFonts w:hint="eastAsia" w:ascii="宋体" w:hAnsi="宋体" w:eastAsia="宋体" w:cs="宋体"/>
          <w:i w:val="0"/>
          <w:iCs w:val="0"/>
          <w:caps w:val="0"/>
          <w:color w:val="000000"/>
          <w:spacing w:val="0"/>
          <w:lang w:eastAsia="zh-CN"/>
        </w:rPr>
        <w:t>.</w:t>
      </w:r>
      <w:r>
        <w:rPr>
          <w:rFonts w:hint="eastAsia" w:ascii="宋体" w:hAnsi="宋体" w:eastAsia="宋体" w:cs="宋体"/>
          <w:i w:val="0"/>
          <w:iCs w:val="0"/>
          <w:caps w:val="0"/>
          <w:color w:val="000000"/>
          <w:spacing w:val="0"/>
        </w:rPr>
        <w:t>具有独立承担民事</w:t>
      </w:r>
      <w:r>
        <w:rPr>
          <w:rFonts w:hint="eastAsia" w:ascii="宋体" w:hAnsi="宋体" w:eastAsia="宋体" w:cs="宋体"/>
          <w:i w:val="0"/>
          <w:iCs w:val="0"/>
          <w:caps w:val="0"/>
          <w:color w:val="000000"/>
          <w:spacing w:val="0"/>
          <w:lang w:val="en-US" w:eastAsia="zh-CN"/>
        </w:rPr>
        <w:t>责</w:t>
      </w:r>
      <w:r>
        <w:rPr>
          <w:rFonts w:hint="eastAsia" w:ascii="宋体" w:hAnsi="宋体" w:eastAsia="宋体" w:cs="宋体"/>
          <w:i w:val="0"/>
          <w:iCs w:val="0"/>
          <w:caps w:val="0"/>
          <w:color w:val="000000"/>
          <w:spacing w:val="0"/>
        </w:rPr>
        <w:t>任的能力；</w:t>
      </w:r>
    </w:p>
    <w:p w14:paraId="011EB8A4">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rPr>
          <w:rFonts w:hint="eastAsia" w:ascii="宋体" w:hAnsi="宋体" w:eastAsia="宋体" w:cs="宋体"/>
          <w:i w:val="0"/>
          <w:iCs w:val="0"/>
          <w:caps w:val="0"/>
          <w:color w:val="000000"/>
          <w:spacing w:val="0"/>
        </w:rPr>
      </w:pPr>
      <w:r>
        <w:rPr>
          <w:rFonts w:hint="eastAsia" w:ascii="宋体" w:hAnsi="宋体" w:eastAsia="宋体" w:cs="宋体"/>
          <w:i w:val="0"/>
          <w:iCs w:val="0"/>
          <w:caps w:val="0"/>
          <w:color w:val="000000"/>
          <w:spacing w:val="0"/>
        </w:rPr>
        <w:t>2.具有良好的商业信誉和健全的财务会计制度；</w:t>
      </w:r>
    </w:p>
    <w:p w14:paraId="505EA667">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rPr>
          <w:rFonts w:hint="eastAsia" w:ascii="宋体" w:hAnsi="宋体" w:eastAsia="宋体" w:cs="宋体"/>
          <w:i w:val="0"/>
          <w:iCs w:val="0"/>
          <w:caps w:val="0"/>
          <w:color w:val="000000"/>
          <w:spacing w:val="0"/>
        </w:rPr>
      </w:pPr>
      <w:r>
        <w:rPr>
          <w:rFonts w:hint="eastAsia" w:ascii="宋体" w:hAnsi="宋体" w:eastAsia="宋体" w:cs="宋体"/>
          <w:i w:val="0"/>
          <w:iCs w:val="0"/>
          <w:caps w:val="0"/>
          <w:color w:val="000000"/>
          <w:spacing w:val="0"/>
        </w:rPr>
        <w:t>3</w:t>
      </w:r>
      <w:r>
        <w:rPr>
          <w:rFonts w:hint="eastAsia" w:ascii="宋体" w:hAnsi="宋体" w:eastAsia="宋体" w:cs="宋体"/>
          <w:i w:val="0"/>
          <w:iCs w:val="0"/>
          <w:caps w:val="0"/>
          <w:color w:val="000000"/>
          <w:spacing w:val="0"/>
          <w:lang w:eastAsia="zh-CN"/>
        </w:rPr>
        <w:t>.</w:t>
      </w:r>
      <w:r>
        <w:rPr>
          <w:rFonts w:hint="eastAsia" w:ascii="宋体" w:hAnsi="宋体" w:eastAsia="宋体" w:cs="宋体"/>
          <w:i w:val="0"/>
          <w:iCs w:val="0"/>
          <w:caps w:val="0"/>
          <w:color w:val="000000"/>
          <w:spacing w:val="0"/>
        </w:rPr>
        <w:t>具有履行合同所必需的设备和专业技术能力；</w:t>
      </w:r>
    </w:p>
    <w:p w14:paraId="4149CC0B">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rPr>
          <w:rFonts w:hint="eastAsia" w:ascii="宋体" w:hAnsi="宋体" w:eastAsia="宋体" w:cs="宋体"/>
          <w:i w:val="0"/>
          <w:iCs w:val="0"/>
          <w:caps w:val="0"/>
          <w:color w:val="000000"/>
          <w:spacing w:val="0"/>
        </w:rPr>
      </w:pPr>
      <w:r>
        <w:rPr>
          <w:rFonts w:hint="eastAsia" w:ascii="宋体" w:hAnsi="宋体" w:eastAsia="宋体" w:cs="宋体"/>
          <w:i w:val="0"/>
          <w:iCs w:val="0"/>
          <w:caps w:val="0"/>
          <w:color w:val="000000"/>
          <w:spacing w:val="0"/>
        </w:rPr>
        <w:t>4.有依法缴纳税收和社会保障资金的良好记录；</w:t>
      </w:r>
    </w:p>
    <w:p w14:paraId="5266A991">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rPr>
          <w:rFonts w:hint="eastAsia" w:ascii="宋体" w:hAnsi="宋体" w:eastAsia="宋体" w:cs="宋体"/>
          <w:i w:val="0"/>
          <w:iCs w:val="0"/>
          <w:caps w:val="0"/>
          <w:color w:val="000000"/>
          <w:spacing w:val="0"/>
        </w:rPr>
      </w:pPr>
      <w:r>
        <w:rPr>
          <w:rFonts w:hint="eastAsia" w:ascii="宋体" w:hAnsi="宋体" w:eastAsia="宋体" w:cs="宋体"/>
          <w:i w:val="0"/>
          <w:iCs w:val="0"/>
          <w:caps w:val="0"/>
          <w:color w:val="000000"/>
          <w:spacing w:val="0"/>
        </w:rPr>
        <w:t>5.参加</w:t>
      </w:r>
      <w:r>
        <w:rPr>
          <w:rFonts w:hint="eastAsia" w:ascii="宋体" w:hAnsi="宋体" w:cs="宋体"/>
          <w:i w:val="0"/>
          <w:iCs w:val="0"/>
          <w:caps w:val="0"/>
          <w:color w:val="000000"/>
          <w:spacing w:val="0"/>
          <w:lang w:eastAsia="zh-CN"/>
        </w:rPr>
        <w:t>采购</w:t>
      </w:r>
      <w:r>
        <w:rPr>
          <w:rFonts w:hint="eastAsia" w:ascii="宋体" w:hAnsi="宋体" w:eastAsia="宋体" w:cs="宋体"/>
          <w:i w:val="0"/>
          <w:iCs w:val="0"/>
          <w:caps w:val="0"/>
          <w:color w:val="000000"/>
          <w:spacing w:val="0"/>
        </w:rPr>
        <w:t>活动前三年内，在经营活动中没有重大违法记录；</w:t>
      </w:r>
    </w:p>
    <w:p w14:paraId="00C82722">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rPr>
          <w:rFonts w:hint="eastAsia" w:ascii="宋体" w:hAnsi="宋体" w:eastAsia="宋体" w:cs="宋体"/>
          <w:i w:val="0"/>
          <w:iCs w:val="0"/>
          <w:caps w:val="0"/>
          <w:color w:val="000000"/>
          <w:spacing w:val="0"/>
        </w:rPr>
      </w:pPr>
      <w:r>
        <w:rPr>
          <w:rFonts w:hint="eastAsia" w:ascii="宋体" w:hAnsi="宋体" w:eastAsia="宋体" w:cs="宋体"/>
          <w:i w:val="0"/>
          <w:iCs w:val="0"/>
          <w:caps w:val="0"/>
          <w:color w:val="000000"/>
          <w:spacing w:val="0"/>
        </w:rPr>
        <w:t>6</w:t>
      </w:r>
      <w:r>
        <w:rPr>
          <w:rFonts w:hint="eastAsia" w:ascii="宋体" w:hAnsi="宋体" w:eastAsia="宋体" w:cs="宋体"/>
          <w:i w:val="0"/>
          <w:iCs w:val="0"/>
          <w:caps w:val="0"/>
          <w:color w:val="000000"/>
          <w:spacing w:val="0"/>
          <w:lang w:eastAsia="zh-CN"/>
        </w:rPr>
        <w:t>.</w:t>
      </w:r>
      <w:r>
        <w:rPr>
          <w:rFonts w:hint="eastAsia" w:ascii="宋体" w:hAnsi="宋体" w:eastAsia="宋体" w:cs="宋体"/>
          <w:i w:val="0"/>
          <w:iCs w:val="0"/>
          <w:caps w:val="0"/>
          <w:color w:val="000000"/>
          <w:spacing w:val="0"/>
        </w:rPr>
        <w:t>具有法律、行政法规规定的其他条件。</w:t>
      </w:r>
    </w:p>
    <w:p w14:paraId="0B71F330">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rPr>
          <w:rFonts w:hint="eastAsia" w:ascii="宋体" w:hAnsi="宋体" w:eastAsia="宋体" w:cs="宋体"/>
          <w:i w:val="0"/>
          <w:iCs w:val="0"/>
          <w:caps w:val="0"/>
          <w:color w:val="000000"/>
          <w:spacing w:val="0"/>
        </w:rPr>
      </w:pPr>
      <w:r>
        <w:rPr>
          <w:rFonts w:hint="eastAsia" w:ascii="宋体" w:hAnsi="宋体" w:eastAsia="宋体" w:cs="宋体"/>
          <w:i w:val="0"/>
          <w:iCs w:val="0"/>
          <w:caps w:val="0"/>
          <w:color w:val="000000"/>
          <w:spacing w:val="0"/>
        </w:rPr>
        <w:t>二、未被“信用中国”（www.creditchina.gov.cn)、中国政府采购网（www.ccgp.gov.cn）列入失信被执行人、重大税收违法案件当事人名单、</w:t>
      </w:r>
      <w:r>
        <w:rPr>
          <w:rFonts w:hint="eastAsia" w:ascii="宋体" w:hAnsi="宋体" w:cs="宋体"/>
          <w:i w:val="0"/>
          <w:iCs w:val="0"/>
          <w:caps w:val="0"/>
          <w:color w:val="000000"/>
          <w:spacing w:val="0"/>
          <w:lang w:eastAsia="zh-CN"/>
        </w:rPr>
        <w:t>采购</w:t>
      </w:r>
      <w:r>
        <w:rPr>
          <w:rFonts w:hint="eastAsia" w:ascii="宋体" w:hAnsi="宋体" w:eastAsia="宋体" w:cs="宋体"/>
          <w:i w:val="0"/>
          <w:iCs w:val="0"/>
          <w:caps w:val="0"/>
          <w:color w:val="000000"/>
          <w:spacing w:val="0"/>
        </w:rPr>
        <w:t>严重违法失信行为记录名单。</w:t>
      </w:r>
    </w:p>
    <w:p w14:paraId="4DCBF91C">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outlineLvl w:val="1"/>
        <w:rPr>
          <w:rFonts w:hint="eastAsia" w:ascii="宋体" w:hAnsi="宋体" w:eastAsia="宋体" w:cs="宋体"/>
          <w:i w:val="0"/>
          <w:iCs w:val="0"/>
          <w:caps w:val="0"/>
          <w:color w:val="000000"/>
          <w:spacing w:val="0"/>
        </w:rPr>
      </w:pPr>
      <w:bookmarkStart w:id="1508" w:name="_Toc19826"/>
      <w:bookmarkStart w:id="1509" w:name="_Toc30150"/>
      <w:bookmarkStart w:id="1510" w:name="_Toc28085"/>
      <w:bookmarkStart w:id="1511" w:name="_Toc5546"/>
      <w:bookmarkStart w:id="1512" w:name="_Toc31870"/>
      <w:r>
        <w:rPr>
          <w:rFonts w:hint="eastAsia" w:ascii="宋体" w:hAnsi="宋体" w:eastAsia="宋体" w:cs="宋体"/>
          <w:i w:val="0"/>
          <w:iCs w:val="0"/>
          <w:caps w:val="0"/>
          <w:color w:val="000000"/>
          <w:spacing w:val="0"/>
        </w:rPr>
        <w:t>三、没有下列情形：</w:t>
      </w:r>
      <w:bookmarkEnd w:id="1508"/>
      <w:bookmarkEnd w:id="1509"/>
      <w:bookmarkEnd w:id="1510"/>
      <w:bookmarkEnd w:id="1511"/>
      <w:bookmarkEnd w:id="1512"/>
    </w:p>
    <w:p w14:paraId="0C3B063C">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rPr>
          <w:rFonts w:hint="eastAsia" w:ascii="宋体" w:hAnsi="宋体" w:eastAsia="宋体" w:cs="宋体"/>
          <w:i w:val="0"/>
          <w:iCs w:val="0"/>
          <w:caps w:val="0"/>
          <w:color w:val="000000"/>
          <w:spacing w:val="0"/>
        </w:rPr>
      </w:pPr>
      <w:r>
        <w:rPr>
          <w:rFonts w:hint="eastAsia" w:ascii="宋体" w:hAnsi="宋体" w:eastAsia="宋体" w:cs="宋体"/>
          <w:i w:val="0"/>
          <w:iCs w:val="0"/>
          <w:caps w:val="0"/>
          <w:color w:val="000000"/>
          <w:spacing w:val="0"/>
          <w:lang w:val="en-US" w:eastAsia="zh-CN"/>
        </w:rPr>
        <w:t>1</w:t>
      </w:r>
      <w:r>
        <w:rPr>
          <w:rFonts w:hint="eastAsia" w:ascii="宋体" w:hAnsi="宋体" w:eastAsia="宋体" w:cs="宋体"/>
          <w:i w:val="0"/>
          <w:iCs w:val="0"/>
          <w:caps w:val="0"/>
          <w:color w:val="000000"/>
          <w:spacing w:val="0"/>
        </w:rPr>
        <w:t>.单位负责人为同一人或者存在直接控股、管理关系的不同供应商参加同一合同项下的</w:t>
      </w:r>
      <w:r>
        <w:rPr>
          <w:rFonts w:hint="eastAsia" w:ascii="宋体" w:hAnsi="宋体" w:cs="宋体"/>
          <w:i w:val="0"/>
          <w:iCs w:val="0"/>
          <w:caps w:val="0"/>
          <w:color w:val="000000"/>
          <w:spacing w:val="0"/>
          <w:lang w:eastAsia="zh-CN"/>
        </w:rPr>
        <w:t>采购</w:t>
      </w:r>
      <w:r>
        <w:rPr>
          <w:rFonts w:hint="eastAsia" w:ascii="宋体" w:hAnsi="宋体" w:eastAsia="宋体" w:cs="宋体"/>
          <w:i w:val="0"/>
          <w:iCs w:val="0"/>
          <w:caps w:val="0"/>
          <w:color w:val="000000"/>
          <w:spacing w:val="0"/>
        </w:rPr>
        <w:t>活动的；</w:t>
      </w:r>
    </w:p>
    <w:p w14:paraId="7E125DE7">
      <w:pPr>
        <w:pStyle w:val="30"/>
        <w:keepNext w:val="0"/>
        <w:keepLines w:val="0"/>
        <w:pageBreakBefore w:val="0"/>
        <w:widowControl/>
        <w:suppressLineNumbers w:val="0"/>
        <w:kinsoku/>
        <w:wordWrap/>
        <w:overflowPunct/>
        <w:topLinePunct w:val="0"/>
        <w:autoSpaceDE/>
        <w:autoSpaceDN/>
        <w:bidi w:val="0"/>
        <w:adjustRightInd/>
        <w:snapToGrid/>
        <w:spacing w:line="360" w:lineRule="auto"/>
        <w:ind w:left="0" w:firstLine="0"/>
        <w:textAlignment w:val="auto"/>
        <w:rPr>
          <w:rFonts w:hint="eastAsia" w:hAnsi="宋体"/>
          <w:sz w:val="28"/>
          <w:szCs w:val="28"/>
        </w:rPr>
      </w:pPr>
      <w:r>
        <w:rPr>
          <w:rFonts w:hint="eastAsia" w:ascii="宋体" w:hAnsi="宋体" w:eastAsia="宋体" w:cs="宋体"/>
          <w:i w:val="0"/>
          <w:iCs w:val="0"/>
          <w:caps w:val="0"/>
          <w:color w:val="000000"/>
          <w:spacing w:val="0"/>
        </w:rPr>
        <w:t>我方对上述承诺的内</w:t>
      </w:r>
      <w:r>
        <w:rPr>
          <w:rFonts w:hint="eastAsia" w:ascii="宋体" w:hAnsi="宋体" w:cs="宋体"/>
          <w:i w:val="0"/>
          <w:iCs w:val="0"/>
          <w:caps w:val="0"/>
          <w:color w:val="000000"/>
          <w:spacing w:val="0"/>
          <w:lang w:eastAsia="zh-CN"/>
        </w:rPr>
        <w:t>容和</w:t>
      </w:r>
      <w:r>
        <w:rPr>
          <w:rFonts w:hint="eastAsia" w:ascii="宋体" w:hAnsi="宋体" w:eastAsia="宋体" w:cs="宋体"/>
          <w:i w:val="0"/>
          <w:iCs w:val="0"/>
          <w:caps w:val="0"/>
          <w:color w:val="000000"/>
          <w:spacing w:val="0"/>
        </w:rPr>
        <w:t>事项真实性负责，如有虚假，由我方承担相关法律责任。</w:t>
      </w:r>
    </w:p>
    <w:p w14:paraId="33C6809B">
      <w:pPr>
        <w:ind w:firstLine="4320" w:firstLineChars="1800"/>
        <w:rPr>
          <w:rFonts w:hint="eastAsia"/>
        </w:rPr>
      </w:pPr>
    </w:p>
    <w:p w14:paraId="6641DE1B">
      <w:pPr>
        <w:snapToGrid w:val="0"/>
        <w:spacing w:line="480" w:lineRule="exact"/>
        <w:ind w:firstLine="3840" w:firstLineChars="1600"/>
        <w:rPr>
          <w:rFonts w:ascii="宋体" w:hAnsi="宋体"/>
          <w:lang w:val="zh-CN"/>
        </w:rPr>
      </w:pPr>
      <w:r>
        <w:rPr>
          <w:rFonts w:hint="eastAsia" w:ascii="宋体" w:hAnsi="宋体"/>
          <w:lang w:val="zh-CN"/>
        </w:rPr>
        <w:t>供应商名称（盖章）：</w:t>
      </w:r>
    </w:p>
    <w:p w14:paraId="4C32849A">
      <w:pPr>
        <w:snapToGrid w:val="0"/>
        <w:spacing w:line="480" w:lineRule="exact"/>
        <w:ind w:firstLine="3840" w:firstLineChars="1600"/>
        <w:rPr>
          <w:rFonts w:ascii="宋体" w:hAnsi="宋体"/>
        </w:rPr>
      </w:pPr>
      <w:r>
        <w:rPr>
          <w:rFonts w:hint="eastAsia" w:ascii="宋体" w:hAnsi="宋体"/>
          <w:lang w:val="zh-CN"/>
        </w:rPr>
        <w:t>法定代表人或授权委托人（签字或盖章）：</w:t>
      </w:r>
    </w:p>
    <w:p w14:paraId="2BE28343">
      <w:pPr>
        <w:snapToGrid w:val="0"/>
        <w:spacing w:line="480" w:lineRule="exact"/>
        <w:ind w:firstLine="3840" w:firstLineChars="1600"/>
        <w:sectPr>
          <w:headerReference r:id="rId7" w:type="default"/>
          <w:pgSz w:w="11906" w:h="16838"/>
          <w:pgMar w:top="1440" w:right="1080" w:bottom="1440" w:left="1080" w:header="737" w:footer="964" w:gutter="0"/>
          <w:pgBorders>
            <w:top w:val="thinThickSmallGap" w:color="auto" w:sz="12" w:space="10"/>
            <w:left w:val="none" w:sz="0" w:space="0"/>
            <w:bottom w:val="thinThickSmallGap" w:color="auto" w:sz="12" w:space="10"/>
            <w:right w:val="none" w:sz="0" w:space="0"/>
          </w:pgBorders>
          <w:pgNumType w:fmt="decimal"/>
          <w:cols w:space="720" w:num="1"/>
          <w:docGrid w:type="lines" w:linePitch="312" w:charSpace="0"/>
        </w:sectPr>
      </w:pPr>
      <w:r>
        <w:rPr>
          <w:rFonts w:hint="eastAsia" w:ascii="宋体" w:hAnsi="宋体"/>
          <w:lang w:val="zh-CN"/>
        </w:rPr>
        <w:t>日期：     年   月   日</w:t>
      </w:r>
    </w:p>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p w14:paraId="034248AC">
      <w:pPr>
        <w:ind w:firstLine="0" w:firstLineChars="0"/>
        <w:jc w:val="left"/>
        <w:outlineLvl w:val="1"/>
        <w:rPr>
          <w:rFonts w:hint="eastAsia" w:ascii="宋体" w:hAnsi="宋体" w:eastAsia="宋体" w:cs="宋体"/>
          <w:b/>
          <w:bCs/>
          <w:highlight w:val="none"/>
          <w:lang w:eastAsia="zh-CN" w:bidi="ar"/>
        </w:rPr>
      </w:pPr>
      <w:bookmarkStart w:id="1513" w:name="_Toc32677"/>
      <w:bookmarkStart w:id="1514" w:name="_Toc13987"/>
      <w:bookmarkStart w:id="1515" w:name="_Toc20905"/>
      <w:bookmarkStart w:id="1516" w:name="_Toc26662"/>
      <w:bookmarkStart w:id="1517" w:name="_Toc13336"/>
      <w:bookmarkStart w:id="1518" w:name="_Toc11648"/>
      <w:bookmarkStart w:id="1519" w:name="_Toc2372"/>
      <w:bookmarkStart w:id="1520" w:name="_Toc26238"/>
      <w:bookmarkStart w:id="1521" w:name="_Toc15649"/>
      <w:bookmarkStart w:id="1522" w:name="_Toc10635"/>
      <w:bookmarkStart w:id="1523" w:name="_Toc24267"/>
      <w:bookmarkStart w:id="1524" w:name="_Toc27046"/>
      <w:bookmarkStart w:id="1525" w:name="_Toc21522"/>
      <w:bookmarkStart w:id="1526" w:name="_Toc10883"/>
      <w:bookmarkStart w:id="1527" w:name="_Toc2824"/>
      <w:bookmarkStart w:id="1528" w:name="_Toc27986"/>
      <w:bookmarkStart w:id="1529" w:name="_Toc20874"/>
      <w:bookmarkStart w:id="1530" w:name="_Toc10018"/>
      <w:bookmarkStart w:id="1531" w:name="_Toc4013"/>
      <w:bookmarkStart w:id="1532" w:name="_Toc10833"/>
      <w:bookmarkStart w:id="1533" w:name="_Toc26140"/>
      <w:bookmarkStart w:id="1534" w:name="_Toc16358"/>
      <w:bookmarkStart w:id="1535" w:name="_Toc21274"/>
      <w:bookmarkStart w:id="1536" w:name="_Toc26694"/>
      <w:bookmarkStart w:id="1537" w:name="_Toc26747"/>
      <w:bookmarkStart w:id="1538" w:name="_Toc23247"/>
      <w:bookmarkStart w:id="1539" w:name="_Toc30127"/>
      <w:bookmarkStart w:id="1540" w:name="_Toc10028"/>
      <w:bookmarkStart w:id="1541" w:name="_Toc16284"/>
      <w:bookmarkStart w:id="1542" w:name="_Toc16564"/>
      <w:bookmarkStart w:id="1543" w:name="_Toc23362"/>
      <w:bookmarkStart w:id="1544" w:name="_Toc30800"/>
      <w:bookmarkStart w:id="1545" w:name="_Toc31820"/>
      <w:bookmarkStart w:id="1546" w:name="_Toc4943"/>
      <w:r>
        <w:rPr>
          <w:rFonts w:hint="eastAsia" w:ascii="宋体" w:hAnsi="宋体" w:cs="宋体"/>
          <w:b/>
          <w:bCs/>
          <w:highlight w:val="none"/>
          <w:lang w:bidi="ar"/>
        </w:rPr>
        <w:t>附件</w:t>
      </w:r>
      <w:r>
        <w:rPr>
          <w:rFonts w:hint="eastAsia" w:ascii="宋体" w:hAnsi="宋体" w:cs="宋体"/>
          <w:b/>
          <w:bCs/>
          <w:highlight w:val="none"/>
          <w:lang w:val="en-US" w:eastAsia="zh-CN" w:bidi="ar"/>
        </w:rPr>
        <w:t>3</w:t>
      </w:r>
      <w:bookmarkEnd w:id="1513"/>
    </w:p>
    <w:p w14:paraId="60B42CCB">
      <w:pPr>
        <w:adjustRightInd w:val="0"/>
        <w:snapToGrid w:val="0"/>
        <w:ind w:firstLine="0" w:firstLineChars="0"/>
        <w:jc w:val="center"/>
        <w:textAlignment w:val="baseline"/>
        <w:rPr>
          <w:rFonts w:ascii="宋体" w:hAnsi="宋体"/>
          <w:sz w:val="32"/>
          <w:szCs w:val="32"/>
        </w:rPr>
      </w:pPr>
      <w:r>
        <w:rPr>
          <w:rFonts w:hint="eastAsia" w:ascii="宋体" w:hAnsi="宋体"/>
          <w:b/>
          <w:sz w:val="32"/>
          <w:szCs w:val="32"/>
        </w:rPr>
        <w:t>磋 商 函</w:t>
      </w:r>
    </w:p>
    <w:p w14:paraId="16AED3E2">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致：</w:t>
      </w:r>
      <w:r>
        <w:rPr>
          <w:rFonts w:hint="eastAsia" w:ascii="宋体" w:hAnsi="宋体"/>
          <w:u w:val="single"/>
        </w:rPr>
        <w:t xml:space="preserve">                </w:t>
      </w:r>
      <w:r>
        <w:rPr>
          <w:rFonts w:hint="eastAsia" w:ascii="宋体" w:hAnsi="宋体"/>
        </w:rPr>
        <w:t>：</w:t>
      </w:r>
    </w:p>
    <w:p w14:paraId="3B42C3BF">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__________________(供应商全称)系中华人民共和国合法企业，现授权_________ (授权委托人姓名</w:t>
      </w:r>
      <w:r>
        <w:rPr>
          <w:rFonts w:hint="eastAsia" w:ascii="宋体" w:hAnsi="宋体"/>
          <w:u w:val="single"/>
        </w:rPr>
        <w:t>)          (</w:t>
      </w:r>
      <w:r>
        <w:rPr>
          <w:rFonts w:hint="eastAsia" w:ascii="宋体" w:hAnsi="宋体"/>
        </w:rPr>
        <w:t>职务、职称)为全权代表，参加贵方组织的</w:t>
      </w:r>
      <w:r>
        <w:rPr>
          <w:rFonts w:hint="eastAsia" w:ascii="宋体" w:hAnsi="宋体"/>
          <w:u w:val="single"/>
        </w:rPr>
        <w:t xml:space="preserve">                （</w:t>
      </w:r>
      <w:r>
        <w:rPr>
          <w:rFonts w:hint="eastAsia" w:ascii="宋体" w:hAnsi="宋体"/>
        </w:rPr>
        <w:t>采购项目名称)采购的有关活动，并对此项目进行磋商。为便于贵方公正、择优地确定</w:t>
      </w:r>
      <w:r>
        <w:rPr>
          <w:rFonts w:hint="eastAsia" w:ascii="宋体" w:hAnsi="宋体"/>
          <w:lang w:eastAsia="zh-CN"/>
        </w:rPr>
        <w:t>乙方</w:t>
      </w:r>
      <w:r>
        <w:rPr>
          <w:rFonts w:hint="eastAsia" w:ascii="宋体" w:hAnsi="宋体"/>
        </w:rPr>
        <w:t>，我方就本次磋商有关事项郑重承诺如下：</w:t>
      </w:r>
    </w:p>
    <w:p w14:paraId="6CEA7F45">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1.我方向贵方提交的所有磋商响应文件、资料都是准确的和真实的。</w:t>
      </w:r>
    </w:p>
    <w:p w14:paraId="0FDB9766">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2.我方承诺已经具备《中华人民共和国政府采购法》中规定的参加</w:t>
      </w:r>
      <w:r>
        <w:rPr>
          <w:rFonts w:hint="eastAsia" w:ascii="宋体" w:hAnsi="宋体"/>
          <w:lang w:eastAsia="zh-CN"/>
        </w:rPr>
        <w:t>采购</w:t>
      </w:r>
      <w:r>
        <w:rPr>
          <w:rFonts w:hint="eastAsia" w:ascii="宋体" w:hAnsi="宋体"/>
        </w:rPr>
        <w:t>活动的供应商应当具备的条件：</w:t>
      </w:r>
    </w:p>
    <w:p w14:paraId="27FBD837">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（1）具有独立承担民事责任的能力；</w:t>
      </w:r>
    </w:p>
    <w:p w14:paraId="56431922">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（2）遵守国家法律、行政法规，具有良好的信誉和商业道德；</w:t>
      </w:r>
    </w:p>
    <w:p w14:paraId="357E6008">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（3）具有履行合同的能力和良好</w:t>
      </w:r>
      <w:r>
        <w:rPr>
          <w:rFonts w:hint="eastAsia" w:ascii="宋体" w:hAnsi="宋体"/>
          <w:lang w:eastAsia="zh-CN"/>
        </w:rPr>
        <w:t>的</w:t>
      </w:r>
      <w:r>
        <w:rPr>
          <w:rFonts w:hint="eastAsia" w:ascii="宋体" w:hAnsi="宋体"/>
        </w:rPr>
        <w:t>履行合同记录；</w:t>
      </w:r>
    </w:p>
    <w:p w14:paraId="699E7831">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（4）具有良好的资金、财务状况及依法缴纳税收和社会保障资金的记录；</w:t>
      </w:r>
    </w:p>
    <w:p w14:paraId="5EC36AF0">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（5）前三年内没有违反</w:t>
      </w:r>
      <w:r>
        <w:rPr>
          <w:rFonts w:hint="eastAsia" w:ascii="宋体" w:hAnsi="宋体"/>
          <w:lang w:eastAsia="zh-CN"/>
        </w:rPr>
        <w:t>采购</w:t>
      </w:r>
      <w:r>
        <w:rPr>
          <w:rFonts w:hint="eastAsia" w:ascii="宋体" w:hAnsi="宋体"/>
        </w:rPr>
        <w:t>法规、政策的记录；</w:t>
      </w:r>
    </w:p>
    <w:p w14:paraId="74D421F3">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（6）没有发生重大经济纠纷、经济犯罪和走私犯罪记录；</w:t>
      </w:r>
    </w:p>
    <w:p w14:paraId="6E1BE5D4">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3.提供供应商须知规定的全部磋商响应文件，包括：</w:t>
      </w:r>
    </w:p>
    <w:p w14:paraId="0E2E6304">
      <w:pPr>
        <w:keepNext w:val="0"/>
        <w:keepLines w:val="0"/>
        <w:pageBreakBefore w:val="0"/>
        <w:widowControl w:val="0"/>
        <w:kinsoku/>
        <w:wordWrap/>
        <w:overflowPunct/>
        <w:topLinePunct w:val="0"/>
        <w:autoSpaceDE/>
        <w:autoSpaceDN/>
        <w:bidi w:val="0"/>
        <w:adjustRightInd/>
        <w:spacing w:line="312" w:lineRule="auto"/>
        <w:ind w:firstLine="480"/>
        <w:textAlignment w:val="auto"/>
        <w:rPr>
          <w:rFonts w:hint="eastAsia" w:ascii="宋体" w:hAnsi="宋体" w:eastAsia="宋体"/>
          <w:color w:val="000000"/>
          <w:lang w:eastAsia="zh-CN"/>
        </w:rPr>
      </w:pPr>
      <w:r>
        <w:rPr>
          <w:rFonts w:hint="eastAsia" w:ascii="宋体" w:hAnsi="宋体"/>
          <w:color w:val="000000"/>
          <w:lang w:eastAsia="zh-CN"/>
        </w:rPr>
        <w:t>磋商响应文件</w:t>
      </w:r>
    </w:p>
    <w:p w14:paraId="353CD55D">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供应商须知要求的供应商提交的全部文件；</w:t>
      </w:r>
    </w:p>
    <w:p w14:paraId="531088CB">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4.如成交，我方将保证忠实地执行双方所签订的合同，并承担合同规定的责任和义务。</w:t>
      </w:r>
    </w:p>
    <w:p w14:paraId="0E4E8857">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5.</w:t>
      </w:r>
      <w:r>
        <w:rPr>
          <w:rFonts w:hint="eastAsia" w:ascii="宋体" w:hAnsi="宋体"/>
          <w:lang w:val="en-US" w:eastAsia="zh-CN"/>
        </w:rPr>
        <w:t>供货期限</w:t>
      </w:r>
      <w:r>
        <w:rPr>
          <w:rFonts w:hint="eastAsia" w:ascii="宋体" w:hAnsi="宋体"/>
        </w:rPr>
        <w:t>：</w:t>
      </w:r>
      <w:r>
        <w:rPr>
          <w:rFonts w:hint="eastAsia" w:ascii="宋体" w:hAnsi="宋体"/>
          <w:u w:val="single"/>
        </w:rPr>
        <w:t xml:space="preserve">                                    </w:t>
      </w:r>
      <w:r>
        <w:rPr>
          <w:rFonts w:hint="eastAsia" w:ascii="宋体" w:hAnsi="宋体"/>
        </w:rPr>
        <w:t xml:space="preserve"> 。</w:t>
      </w:r>
    </w:p>
    <w:p w14:paraId="645DF99B">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6.保证遵守磋商文件中的其他有关条款。</w:t>
      </w:r>
    </w:p>
    <w:p w14:paraId="4E11899D">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color w:val="000000"/>
        </w:rPr>
      </w:pPr>
      <w:r>
        <w:rPr>
          <w:rFonts w:hint="eastAsia" w:ascii="宋体" w:hAnsi="宋体"/>
        </w:rPr>
        <w:t>7.我方的磋商响应有效期</w:t>
      </w:r>
      <w:r>
        <w:rPr>
          <w:rFonts w:hint="eastAsia" w:ascii="宋体" w:hAnsi="宋体"/>
          <w:lang w:eastAsia="zh-CN"/>
        </w:rPr>
        <w:t>自</w:t>
      </w:r>
      <w:r>
        <w:rPr>
          <w:rFonts w:hint="eastAsia" w:ascii="宋体" w:hAnsi="宋体"/>
        </w:rPr>
        <w:t>开标日</w:t>
      </w:r>
      <w:r>
        <w:rPr>
          <w:rFonts w:hint="eastAsia" w:ascii="宋体" w:hAnsi="宋体"/>
          <w:color w:val="000000"/>
        </w:rPr>
        <w:t>起90天内有效。</w:t>
      </w:r>
    </w:p>
    <w:p w14:paraId="4A5B5A3A">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8.我方在磋商响应之前已经与贵方进行了充分的沟通，完全理解并接受磋商文件的各项规定和要求，对磋商文件的合理性、合法性不再有异议。</w:t>
      </w:r>
    </w:p>
    <w:p w14:paraId="69483E02">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9.我方愿意向贵方提供真实完整的任何与该项磋商响应有关的数据、情况和技术资料。若贵方需要，我方愿意提供我方</w:t>
      </w:r>
      <w:r>
        <w:rPr>
          <w:rFonts w:hint="eastAsia" w:ascii="宋体" w:hAnsi="宋体"/>
          <w:lang w:eastAsia="zh-CN"/>
        </w:rPr>
        <w:t>做出</w:t>
      </w:r>
      <w:r>
        <w:rPr>
          <w:rFonts w:hint="eastAsia" w:ascii="宋体" w:hAnsi="宋体"/>
        </w:rPr>
        <w:t>的一切承诺的证明材料。</w:t>
      </w:r>
    </w:p>
    <w:p w14:paraId="2B8B35A2">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10.我方已详细审核全部磋商文件，包括磋商文件的澄清或修改文件（如有的话）、参考资料及有关附件，已经了解我方对于磋商文件、采购过程、采购结果有依法进行询问、质疑、投诉的权利及相关渠道和要求。</w:t>
      </w:r>
    </w:p>
    <w:p w14:paraId="2E9DC47F">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11.我方将严格遵守《中华人民共和国政府采购法》第七十七条规定：供应商有下列情形之一的，处以采购金额5‰以上10‰以下的罚款，列入不良行为记录名单，在一至三年内禁止参加</w:t>
      </w:r>
      <w:r>
        <w:rPr>
          <w:rFonts w:hint="eastAsia" w:ascii="宋体" w:hAnsi="宋体"/>
          <w:lang w:eastAsia="zh-CN"/>
        </w:rPr>
        <w:t>采购</w:t>
      </w:r>
      <w:r>
        <w:rPr>
          <w:rFonts w:hint="eastAsia" w:ascii="宋体" w:hAnsi="宋体"/>
        </w:rPr>
        <w:t>活动；有违法所得的，并处没收违法所得；情节严重的，由工商行政管理机关吊销营业执照；构成犯罪的，依法追究刑事责任：</w:t>
      </w:r>
    </w:p>
    <w:p w14:paraId="687E91EB">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（一）提供虚假材料谋取</w:t>
      </w:r>
      <w:r>
        <w:rPr>
          <w:rFonts w:hint="eastAsia" w:ascii="宋体" w:hAnsi="宋体"/>
          <w:lang w:eastAsia="zh-CN"/>
        </w:rPr>
        <w:t>中标、成交</w:t>
      </w:r>
      <w:r>
        <w:rPr>
          <w:rFonts w:hint="eastAsia" w:ascii="宋体" w:hAnsi="宋体"/>
        </w:rPr>
        <w:t>的；</w:t>
      </w:r>
    </w:p>
    <w:p w14:paraId="00AD8D69">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（二）采取不正当手段诋毁、排挤其他供应商的；</w:t>
      </w:r>
    </w:p>
    <w:p w14:paraId="4B9F4069">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（三）与采购人、</w:t>
      </w:r>
      <w:r>
        <w:rPr>
          <w:rFonts w:hint="eastAsia" w:ascii="宋体" w:hAnsi="宋体"/>
          <w:lang w:eastAsia="zh-CN"/>
        </w:rPr>
        <w:t>其他</w:t>
      </w:r>
      <w:r>
        <w:rPr>
          <w:rFonts w:hint="eastAsia" w:ascii="宋体" w:hAnsi="宋体"/>
        </w:rPr>
        <w:t>供应商或者采购代理机构恶意串通的；</w:t>
      </w:r>
    </w:p>
    <w:p w14:paraId="77F40D98">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（四）向采购人、采购代理机构行贿或者提供其他不正当利益的；</w:t>
      </w:r>
    </w:p>
    <w:p w14:paraId="1C1AD2FE">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（五）在磋商采购过程中与采购人进行协商磋商的；</w:t>
      </w:r>
    </w:p>
    <w:p w14:paraId="56B98687">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（六）拒绝有关部门监督检查或提供虚假情况的。</w:t>
      </w:r>
    </w:p>
    <w:p w14:paraId="2EA0A49B">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r>
        <w:rPr>
          <w:rFonts w:hint="eastAsia" w:ascii="宋体" w:hAnsi="宋体"/>
        </w:rPr>
        <w:t>12.如</w:t>
      </w:r>
      <w:r>
        <w:rPr>
          <w:rFonts w:hint="eastAsia" w:ascii="宋体" w:hAnsi="宋体"/>
          <w:lang w:eastAsia="zh-CN"/>
        </w:rPr>
        <w:t>成交</w:t>
      </w:r>
      <w:r>
        <w:rPr>
          <w:rFonts w:hint="eastAsia" w:ascii="宋体" w:hAnsi="宋体"/>
        </w:rPr>
        <w:t>，本磋商响应文件至本项目合同履行完毕止均保持有效，本供应商将按“</w:t>
      </w:r>
      <w:r>
        <w:rPr>
          <w:rFonts w:hint="eastAsia" w:ascii="宋体" w:hAnsi="宋体"/>
          <w:lang w:eastAsia="zh-CN"/>
        </w:rPr>
        <w:t>磋商文件</w:t>
      </w:r>
      <w:r>
        <w:rPr>
          <w:rFonts w:hint="eastAsia" w:ascii="宋体" w:hAnsi="宋体"/>
        </w:rPr>
        <w:t>”及</w:t>
      </w:r>
      <w:r>
        <w:rPr>
          <w:rFonts w:hint="eastAsia" w:ascii="宋体" w:hAnsi="宋体"/>
          <w:lang w:eastAsia="zh-CN"/>
        </w:rPr>
        <w:t>采购法律法规</w:t>
      </w:r>
      <w:r>
        <w:rPr>
          <w:rFonts w:hint="eastAsia" w:ascii="宋体" w:hAnsi="宋体"/>
        </w:rPr>
        <w:t>的规定履行合同责任和义务。</w:t>
      </w:r>
    </w:p>
    <w:p w14:paraId="5EA46C34">
      <w:pPr>
        <w:keepNext w:val="0"/>
        <w:keepLines w:val="0"/>
        <w:pageBreakBefore w:val="0"/>
        <w:widowControl w:val="0"/>
        <w:kinsoku/>
        <w:wordWrap/>
        <w:overflowPunct/>
        <w:topLinePunct w:val="0"/>
        <w:autoSpaceDE/>
        <w:autoSpaceDN/>
        <w:bidi w:val="0"/>
        <w:adjustRightInd/>
        <w:spacing w:line="312" w:lineRule="auto"/>
        <w:ind w:firstLine="960" w:firstLineChars="400"/>
        <w:textAlignment w:val="auto"/>
        <w:rPr>
          <w:rFonts w:ascii="宋体" w:hAnsi="宋体"/>
        </w:rPr>
      </w:pPr>
      <w:r>
        <w:rPr>
          <w:rFonts w:hint="eastAsia" w:ascii="宋体" w:hAnsi="宋体"/>
        </w:rPr>
        <w:t>与本磋商响应有关的一切正式往来信函请寄：</w:t>
      </w:r>
    </w:p>
    <w:p w14:paraId="2ACE931C">
      <w:pPr>
        <w:keepNext w:val="0"/>
        <w:keepLines w:val="0"/>
        <w:pageBreakBefore w:val="0"/>
        <w:widowControl w:val="0"/>
        <w:kinsoku/>
        <w:wordWrap/>
        <w:overflowPunct/>
        <w:topLinePunct w:val="0"/>
        <w:autoSpaceDE/>
        <w:autoSpaceDN/>
        <w:bidi w:val="0"/>
        <w:adjustRightInd/>
        <w:spacing w:line="312" w:lineRule="auto"/>
        <w:ind w:firstLine="960" w:firstLineChars="400"/>
        <w:textAlignment w:val="auto"/>
        <w:rPr>
          <w:rFonts w:ascii="宋体" w:hAnsi="宋体"/>
        </w:rPr>
      </w:pPr>
      <w:r>
        <w:rPr>
          <w:rFonts w:hint="eastAsia" w:ascii="宋体" w:hAnsi="宋体"/>
        </w:rPr>
        <w:t>地址：______________________________     邮编：____________</w:t>
      </w:r>
    </w:p>
    <w:p w14:paraId="0C08F396">
      <w:pPr>
        <w:keepNext w:val="0"/>
        <w:keepLines w:val="0"/>
        <w:pageBreakBefore w:val="0"/>
        <w:widowControl w:val="0"/>
        <w:kinsoku/>
        <w:wordWrap/>
        <w:overflowPunct/>
        <w:topLinePunct w:val="0"/>
        <w:autoSpaceDE/>
        <w:autoSpaceDN/>
        <w:bidi w:val="0"/>
        <w:adjustRightInd/>
        <w:spacing w:line="312" w:lineRule="auto"/>
        <w:ind w:firstLine="960" w:firstLineChars="400"/>
        <w:textAlignment w:val="auto"/>
        <w:rPr>
          <w:rFonts w:ascii="宋体" w:hAnsi="宋体"/>
          <w:b/>
          <w:bCs/>
          <w:kern w:val="0"/>
          <w:szCs w:val="21"/>
        </w:rPr>
      </w:pPr>
      <w:r>
        <w:rPr>
          <w:rFonts w:hint="eastAsia" w:ascii="宋体" w:hAnsi="宋体"/>
        </w:rPr>
        <w:t>电话：______________________________     传真：_________</w:t>
      </w:r>
      <w:r>
        <w:rPr>
          <w:rFonts w:hint="eastAsia" w:ascii="宋体" w:hAnsi="宋体"/>
          <w:szCs w:val="21"/>
        </w:rPr>
        <w:t>___</w:t>
      </w:r>
    </w:p>
    <w:p w14:paraId="531EAC0A">
      <w:pPr>
        <w:keepNext w:val="0"/>
        <w:keepLines w:val="0"/>
        <w:pageBreakBefore w:val="0"/>
        <w:widowControl w:val="0"/>
        <w:kinsoku/>
        <w:wordWrap/>
        <w:overflowPunct/>
        <w:topLinePunct w:val="0"/>
        <w:autoSpaceDE/>
        <w:autoSpaceDN/>
        <w:bidi w:val="0"/>
        <w:adjustRightInd/>
        <w:spacing w:line="312" w:lineRule="auto"/>
        <w:ind w:firstLine="480"/>
        <w:textAlignment w:val="auto"/>
        <w:rPr>
          <w:rFonts w:ascii="宋体" w:hAnsi="宋体"/>
        </w:rPr>
      </w:pPr>
    </w:p>
    <w:p w14:paraId="6AB0566E">
      <w:pPr>
        <w:keepNext w:val="0"/>
        <w:keepLines w:val="0"/>
        <w:pageBreakBefore w:val="0"/>
        <w:widowControl w:val="0"/>
        <w:kinsoku/>
        <w:wordWrap/>
        <w:overflowPunct/>
        <w:topLinePunct w:val="0"/>
        <w:autoSpaceDE/>
        <w:autoSpaceDN/>
        <w:bidi w:val="0"/>
        <w:adjustRightInd/>
        <w:snapToGrid w:val="0"/>
        <w:spacing w:line="312" w:lineRule="auto"/>
        <w:ind w:firstLine="3840" w:firstLineChars="1600"/>
        <w:textAlignment w:val="auto"/>
        <w:rPr>
          <w:rFonts w:ascii="宋体" w:hAnsi="宋体"/>
          <w:lang w:val="zh-CN"/>
        </w:rPr>
      </w:pPr>
      <w:r>
        <w:rPr>
          <w:rFonts w:hint="eastAsia" w:ascii="宋体" w:hAnsi="宋体"/>
          <w:lang w:val="zh-CN"/>
        </w:rPr>
        <w:t>供应商名称（盖章）：</w:t>
      </w:r>
    </w:p>
    <w:p w14:paraId="651F1934">
      <w:pPr>
        <w:keepNext w:val="0"/>
        <w:keepLines w:val="0"/>
        <w:pageBreakBefore w:val="0"/>
        <w:widowControl w:val="0"/>
        <w:kinsoku/>
        <w:wordWrap/>
        <w:overflowPunct/>
        <w:topLinePunct w:val="0"/>
        <w:autoSpaceDE/>
        <w:autoSpaceDN/>
        <w:bidi w:val="0"/>
        <w:adjustRightInd/>
        <w:snapToGrid w:val="0"/>
        <w:spacing w:line="312" w:lineRule="auto"/>
        <w:ind w:firstLine="3840" w:firstLineChars="1600"/>
        <w:textAlignment w:val="auto"/>
        <w:rPr>
          <w:rFonts w:ascii="宋体" w:hAnsi="宋体"/>
        </w:rPr>
      </w:pPr>
      <w:r>
        <w:rPr>
          <w:rFonts w:hint="eastAsia" w:ascii="宋体" w:hAnsi="宋体"/>
          <w:lang w:val="zh-CN"/>
        </w:rPr>
        <w:t>法定代表人或授权委托人（签字或盖章）：</w:t>
      </w:r>
    </w:p>
    <w:p w14:paraId="33AA859A">
      <w:pPr>
        <w:keepNext w:val="0"/>
        <w:keepLines w:val="0"/>
        <w:pageBreakBefore w:val="0"/>
        <w:widowControl w:val="0"/>
        <w:kinsoku/>
        <w:wordWrap/>
        <w:overflowPunct/>
        <w:topLinePunct w:val="0"/>
        <w:autoSpaceDE/>
        <w:autoSpaceDN/>
        <w:bidi w:val="0"/>
        <w:adjustRightInd/>
        <w:snapToGrid w:val="0"/>
        <w:spacing w:line="312" w:lineRule="auto"/>
        <w:ind w:firstLine="3840" w:firstLineChars="1600"/>
        <w:textAlignment w:val="auto"/>
        <w:sectPr>
          <w:pgSz w:w="11906" w:h="16838"/>
          <w:pgMar w:top="1440" w:right="1080" w:bottom="1440" w:left="1080" w:header="737" w:footer="964" w:gutter="0"/>
          <w:pgBorders>
            <w:top w:val="thinThickSmallGap" w:color="auto" w:sz="12" w:space="10"/>
            <w:left w:val="none" w:sz="0" w:space="0"/>
            <w:bottom w:val="thinThickSmallGap" w:color="auto" w:sz="12" w:space="10"/>
            <w:right w:val="none" w:sz="0" w:space="0"/>
          </w:pgBorders>
          <w:pgNumType w:fmt="decimal"/>
          <w:cols w:space="720" w:num="1"/>
          <w:docGrid w:type="lines" w:linePitch="312" w:charSpace="0"/>
        </w:sectPr>
      </w:pPr>
      <w:r>
        <w:rPr>
          <w:rFonts w:hint="eastAsia" w:ascii="宋体" w:hAnsi="宋体"/>
          <w:lang w:val="zh-CN"/>
        </w:rPr>
        <w:t>日期：     年   月   日</w:t>
      </w:r>
    </w:p>
    <w:p w14:paraId="7DBDCA6A">
      <w:pPr>
        <w:spacing w:line="360" w:lineRule="auto"/>
        <w:ind w:firstLine="0" w:firstLineChars="0"/>
        <w:jc w:val="left"/>
        <w:outlineLvl w:val="0"/>
        <w:rPr>
          <w:rFonts w:hint="default" w:ascii="宋体" w:hAnsi="宋体" w:eastAsia="宋体"/>
          <w:b/>
          <w:sz w:val="30"/>
          <w:szCs w:val="30"/>
          <w:lang w:val="en-US" w:eastAsia="zh-CN"/>
        </w:rPr>
      </w:pPr>
      <w:bookmarkStart w:id="1547" w:name="_Toc5756"/>
      <w:r>
        <w:rPr>
          <w:rStyle w:val="116"/>
          <w:rFonts w:hint="eastAsia" w:ascii="宋体" w:hAnsi="宋体" w:eastAsia="宋体" w:cs="宋体"/>
          <w:szCs w:val="28"/>
          <w:lang w:val="zh-CN"/>
        </w:rPr>
        <w:t>附件</w:t>
      </w:r>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r>
        <w:rPr>
          <w:rStyle w:val="116"/>
          <w:rFonts w:hint="eastAsia" w:ascii="宋体" w:hAnsi="宋体" w:cs="宋体"/>
          <w:szCs w:val="28"/>
          <w:lang w:val="en-US" w:eastAsia="zh-CN"/>
        </w:rPr>
        <w:t>4</w:t>
      </w:r>
      <w:bookmarkEnd w:id="1547"/>
    </w:p>
    <w:p w14:paraId="01F8AF56">
      <w:pPr>
        <w:pStyle w:val="3"/>
        <w:numPr>
          <w:ilvl w:val="1"/>
          <w:numId w:val="0"/>
        </w:numPr>
        <w:spacing w:before="156" w:after="156"/>
        <w:ind w:leftChars="0"/>
        <w:jc w:val="center"/>
        <w:rPr>
          <w:rFonts w:hint="eastAsia" w:ascii="Times New Roman" w:hAnsi="Times New Roman" w:cs="宋体"/>
          <w:b/>
          <w:szCs w:val="30"/>
          <w:lang w:val="en-GB"/>
        </w:rPr>
      </w:pPr>
      <w:bookmarkStart w:id="1548" w:name="_Toc10964"/>
      <w:bookmarkStart w:id="1549" w:name="_Toc16942"/>
      <w:bookmarkStart w:id="1550" w:name="_Toc24272"/>
      <w:bookmarkStart w:id="1551" w:name="_Toc11205"/>
      <w:bookmarkStart w:id="1552" w:name="_Toc22110"/>
      <w:bookmarkStart w:id="1553" w:name="_Toc27670"/>
      <w:bookmarkStart w:id="1554" w:name="_Toc13710"/>
      <w:bookmarkStart w:id="1555" w:name="_Toc27843"/>
      <w:bookmarkStart w:id="1556" w:name="_Toc30503"/>
      <w:bookmarkStart w:id="1557" w:name="_Toc8666"/>
      <w:bookmarkStart w:id="1558" w:name="_Toc1093"/>
      <w:bookmarkStart w:id="1559" w:name="_Toc1477"/>
      <w:bookmarkStart w:id="1560" w:name="_Toc6889"/>
      <w:bookmarkStart w:id="1561" w:name="_Toc25982"/>
      <w:bookmarkStart w:id="1562" w:name="_Toc21652"/>
      <w:bookmarkStart w:id="1563" w:name="_Toc17669"/>
      <w:bookmarkStart w:id="1564" w:name="_Toc20078"/>
      <w:bookmarkStart w:id="1565" w:name="_Toc31861"/>
      <w:bookmarkStart w:id="1566" w:name="_Toc4350"/>
      <w:bookmarkStart w:id="1567" w:name="_Toc28549"/>
      <w:bookmarkStart w:id="1568" w:name="_Toc32680"/>
      <w:bookmarkStart w:id="1569" w:name="_Toc22257"/>
      <w:bookmarkStart w:id="1570" w:name="_Toc12286"/>
      <w:bookmarkStart w:id="1571" w:name="_Toc14716"/>
      <w:bookmarkStart w:id="1572" w:name="_Toc22518"/>
      <w:bookmarkStart w:id="1573" w:name="_Toc17718"/>
      <w:r>
        <w:rPr>
          <w:rFonts w:hint="eastAsia" w:ascii="Times New Roman" w:hAnsi="Times New Roman" w:cs="宋体"/>
          <w:b/>
          <w:szCs w:val="30"/>
          <w:lang w:val="en-GB"/>
        </w:rPr>
        <w:t>（一）法定代表人身份证明</w:t>
      </w:r>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p>
    <w:p w14:paraId="279C2DCF">
      <w:pPr>
        <w:spacing w:line="440" w:lineRule="exact"/>
        <w:ind w:firstLine="400"/>
        <w:rPr>
          <w:rFonts w:ascii="宋体" w:cs="宋体"/>
          <w:sz w:val="20"/>
          <w:szCs w:val="20"/>
        </w:rPr>
      </w:pPr>
    </w:p>
    <w:p w14:paraId="631E670F">
      <w:pPr>
        <w:spacing w:line="440" w:lineRule="exact"/>
        <w:ind w:firstLine="480"/>
        <w:rPr>
          <w:rFonts w:ascii="宋体" w:cs="宋体"/>
          <w:szCs w:val="21"/>
        </w:rPr>
      </w:pPr>
    </w:p>
    <w:p w14:paraId="774925A8">
      <w:pPr>
        <w:spacing w:line="440" w:lineRule="exact"/>
        <w:ind w:firstLine="480"/>
        <w:rPr>
          <w:rFonts w:ascii="宋体" w:cs="宋体"/>
          <w:szCs w:val="21"/>
        </w:rPr>
      </w:pPr>
      <w:r>
        <w:rPr>
          <w:rFonts w:hint="eastAsia" w:ascii="宋体" w:hAnsi="宋体" w:cs="宋体"/>
          <w:szCs w:val="21"/>
          <w:lang w:eastAsia="zh-CN"/>
        </w:rPr>
        <w:t>供应商</w:t>
      </w:r>
      <w:r>
        <w:rPr>
          <w:rFonts w:hint="eastAsia" w:ascii="宋体" w:hAnsi="宋体" w:cs="宋体"/>
          <w:szCs w:val="21"/>
        </w:rPr>
        <w:t>名称：</w:t>
      </w:r>
      <w:r>
        <w:rPr>
          <w:rFonts w:ascii="宋体" w:hAnsi="宋体" w:cs="宋体"/>
          <w:szCs w:val="21"/>
          <w:u w:val="single"/>
        </w:rPr>
        <w:t xml:space="preserve">                            </w:t>
      </w:r>
      <w:r>
        <w:rPr>
          <w:rFonts w:ascii="宋体" w:hAnsi="宋体" w:cs="宋体"/>
          <w:szCs w:val="21"/>
        </w:rPr>
        <w:t xml:space="preserve"> </w:t>
      </w:r>
    </w:p>
    <w:p w14:paraId="24E4A9A7">
      <w:pPr>
        <w:spacing w:line="440" w:lineRule="exact"/>
        <w:ind w:firstLine="480"/>
        <w:rPr>
          <w:rFonts w:ascii="宋体" w:cs="宋体"/>
          <w:szCs w:val="21"/>
        </w:rPr>
      </w:pPr>
      <w:r>
        <w:rPr>
          <w:rFonts w:hint="eastAsia" w:ascii="宋体" w:hAnsi="宋体" w:cs="宋体"/>
          <w:szCs w:val="21"/>
        </w:rPr>
        <w:t>单位性质：</w:t>
      </w:r>
      <w:r>
        <w:rPr>
          <w:rFonts w:ascii="宋体" w:hAnsi="宋体" w:cs="宋体"/>
          <w:szCs w:val="21"/>
          <w:u w:val="single"/>
        </w:rPr>
        <w:t xml:space="preserve">                               </w:t>
      </w:r>
      <w:r>
        <w:rPr>
          <w:rFonts w:ascii="宋体" w:hAnsi="宋体" w:cs="宋体"/>
          <w:szCs w:val="21"/>
        </w:rPr>
        <w:t xml:space="preserve"> </w:t>
      </w:r>
    </w:p>
    <w:p w14:paraId="5EF953CE">
      <w:pPr>
        <w:spacing w:line="440" w:lineRule="exact"/>
        <w:ind w:firstLine="480"/>
        <w:rPr>
          <w:rFonts w:ascii="宋体" w:cs="宋体"/>
          <w:szCs w:val="21"/>
        </w:rPr>
      </w:pPr>
      <w:r>
        <w:rPr>
          <w:rFonts w:hint="eastAsia" w:ascii="宋体" w:hAnsi="宋体" w:cs="宋体"/>
          <w:szCs w:val="21"/>
        </w:rPr>
        <w:t>地址：</w:t>
      </w:r>
      <w:r>
        <w:rPr>
          <w:rFonts w:ascii="宋体" w:hAnsi="宋体" w:cs="宋体"/>
          <w:szCs w:val="21"/>
          <w:u w:val="single"/>
        </w:rPr>
        <w:t xml:space="preserve">                                   </w:t>
      </w:r>
    </w:p>
    <w:p w14:paraId="6A1BDF4E">
      <w:pPr>
        <w:spacing w:line="440" w:lineRule="exact"/>
        <w:ind w:firstLine="480"/>
        <w:rPr>
          <w:rFonts w:ascii="宋体" w:cs="宋体"/>
          <w:szCs w:val="21"/>
        </w:rPr>
      </w:pPr>
      <w:r>
        <w:rPr>
          <w:rFonts w:hint="eastAsia" w:ascii="宋体" w:hAnsi="宋体" w:cs="宋体"/>
          <w:szCs w:val="21"/>
        </w:rPr>
        <w:t>成立时间：</w:t>
      </w:r>
      <w:r>
        <w:rPr>
          <w:rFonts w:ascii="宋体" w:hAnsi="宋体" w:cs="宋体"/>
          <w:szCs w:val="21"/>
          <w:u w:val="single"/>
        </w:rPr>
        <w:t xml:space="preserve">          </w:t>
      </w:r>
      <w:r>
        <w:rPr>
          <w:rFonts w:hint="eastAsia" w:ascii="宋体" w:hAnsi="宋体" w:cs="宋体"/>
          <w:szCs w:val="21"/>
        </w:rPr>
        <w:t>年</w:t>
      </w:r>
      <w:r>
        <w:rPr>
          <w:rFonts w:ascii="宋体" w:hAnsi="宋体" w:cs="宋体"/>
          <w:szCs w:val="21"/>
          <w:u w:val="single"/>
        </w:rPr>
        <w:t xml:space="preserve">        </w:t>
      </w:r>
      <w:r>
        <w:rPr>
          <w:rFonts w:hint="eastAsia" w:ascii="宋体" w:hAnsi="宋体" w:cs="宋体"/>
          <w:szCs w:val="21"/>
        </w:rPr>
        <w:t>月</w:t>
      </w:r>
      <w:r>
        <w:rPr>
          <w:rFonts w:ascii="宋体" w:hAnsi="宋体" w:cs="宋体"/>
          <w:szCs w:val="21"/>
          <w:u w:val="single"/>
        </w:rPr>
        <w:t xml:space="preserve">        </w:t>
      </w:r>
      <w:r>
        <w:rPr>
          <w:rFonts w:hint="eastAsia" w:ascii="宋体" w:hAnsi="宋体" w:cs="宋体"/>
          <w:szCs w:val="21"/>
        </w:rPr>
        <w:t>日</w:t>
      </w:r>
    </w:p>
    <w:p w14:paraId="540BB354">
      <w:pPr>
        <w:spacing w:line="440" w:lineRule="exact"/>
        <w:ind w:firstLine="480"/>
        <w:rPr>
          <w:rFonts w:ascii="宋体" w:cs="宋体"/>
          <w:szCs w:val="21"/>
        </w:rPr>
      </w:pPr>
      <w:r>
        <w:rPr>
          <w:rFonts w:hint="eastAsia" w:ascii="宋体" w:hAnsi="宋体" w:cs="宋体"/>
          <w:szCs w:val="21"/>
        </w:rPr>
        <w:t>经营期限：</w:t>
      </w:r>
      <w:r>
        <w:rPr>
          <w:rFonts w:ascii="宋体" w:hAnsi="宋体" w:cs="宋体"/>
          <w:szCs w:val="21"/>
          <w:u w:val="single"/>
        </w:rPr>
        <w:t xml:space="preserve">                               </w:t>
      </w:r>
    </w:p>
    <w:p w14:paraId="579D85B6">
      <w:pPr>
        <w:spacing w:line="440" w:lineRule="exact"/>
        <w:ind w:firstLine="480"/>
        <w:rPr>
          <w:rFonts w:ascii="宋体" w:cs="宋体"/>
          <w:szCs w:val="21"/>
        </w:rPr>
      </w:pPr>
      <w:r>
        <w:rPr>
          <w:rFonts w:hint="eastAsia" w:ascii="宋体" w:hAnsi="宋体" w:cs="宋体"/>
          <w:szCs w:val="21"/>
        </w:rPr>
        <w:t>姓名：</w:t>
      </w:r>
      <w:r>
        <w:rPr>
          <w:rFonts w:ascii="宋体" w:hAnsi="宋体" w:cs="宋体"/>
          <w:szCs w:val="21"/>
          <w:u w:val="single"/>
        </w:rPr>
        <w:t xml:space="preserve">         </w:t>
      </w:r>
      <w:r>
        <w:rPr>
          <w:rFonts w:ascii="宋体" w:hAnsi="宋体" w:cs="宋体"/>
          <w:szCs w:val="21"/>
        </w:rPr>
        <w:t xml:space="preserve"> </w:t>
      </w:r>
      <w:r>
        <w:rPr>
          <w:rFonts w:hint="eastAsia" w:ascii="宋体" w:hAnsi="宋体" w:cs="宋体"/>
          <w:szCs w:val="21"/>
        </w:rPr>
        <w:t>性别：</w:t>
      </w:r>
      <w:r>
        <w:rPr>
          <w:rFonts w:ascii="宋体" w:hAnsi="宋体" w:cs="宋体"/>
          <w:szCs w:val="21"/>
          <w:u w:val="single"/>
        </w:rPr>
        <w:t xml:space="preserve">         </w:t>
      </w:r>
      <w:r>
        <w:rPr>
          <w:rFonts w:hint="eastAsia" w:ascii="宋体" w:hAnsi="宋体" w:cs="宋体"/>
          <w:szCs w:val="21"/>
        </w:rPr>
        <w:t>年龄：</w:t>
      </w:r>
      <w:r>
        <w:rPr>
          <w:rFonts w:ascii="宋体" w:hAnsi="宋体" w:cs="宋体"/>
          <w:szCs w:val="21"/>
          <w:u w:val="single"/>
        </w:rPr>
        <w:t xml:space="preserve">        </w:t>
      </w:r>
      <w:r>
        <w:rPr>
          <w:rFonts w:hint="eastAsia" w:ascii="宋体" w:hAnsi="宋体" w:cs="宋体"/>
          <w:szCs w:val="21"/>
        </w:rPr>
        <w:t>职务：</w:t>
      </w:r>
      <w:r>
        <w:rPr>
          <w:rFonts w:ascii="宋体" w:hAnsi="宋体" w:cs="宋体"/>
          <w:szCs w:val="21"/>
          <w:u w:val="single"/>
        </w:rPr>
        <w:t xml:space="preserve">        </w:t>
      </w:r>
    </w:p>
    <w:p w14:paraId="22783298">
      <w:pPr>
        <w:spacing w:line="440" w:lineRule="exact"/>
        <w:ind w:firstLine="480"/>
        <w:rPr>
          <w:rFonts w:ascii="宋体" w:cs="宋体"/>
          <w:szCs w:val="21"/>
        </w:rPr>
      </w:pPr>
      <w:r>
        <w:rPr>
          <w:rFonts w:hint="eastAsia" w:ascii="宋体" w:hAnsi="宋体" w:cs="宋体"/>
          <w:szCs w:val="21"/>
        </w:rPr>
        <w:t>系</w:t>
      </w:r>
      <w:r>
        <w:rPr>
          <w:rFonts w:ascii="宋体" w:hAnsi="宋体" w:cs="宋体"/>
          <w:szCs w:val="21"/>
          <w:u w:val="single"/>
        </w:rPr>
        <w:t xml:space="preserve">                             </w:t>
      </w:r>
      <w:r>
        <w:rPr>
          <w:rFonts w:ascii="宋体" w:hAnsi="宋体" w:cs="宋体"/>
          <w:szCs w:val="21"/>
        </w:rPr>
        <w:t xml:space="preserve"> </w:t>
      </w:r>
      <w:r>
        <w:rPr>
          <w:rFonts w:hint="eastAsia" w:ascii="宋体" w:hAnsi="宋体" w:cs="宋体"/>
          <w:szCs w:val="21"/>
        </w:rPr>
        <w:t>（</w:t>
      </w:r>
      <w:r>
        <w:rPr>
          <w:rFonts w:hint="eastAsia" w:ascii="宋体" w:hAnsi="宋体" w:cs="宋体"/>
          <w:szCs w:val="21"/>
          <w:lang w:eastAsia="zh-CN"/>
        </w:rPr>
        <w:t>供应商</w:t>
      </w:r>
      <w:r>
        <w:rPr>
          <w:rFonts w:hint="eastAsia" w:ascii="宋体" w:hAnsi="宋体" w:cs="宋体"/>
          <w:szCs w:val="21"/>
        </w:rPr>
        <w:t>名称）的法定代表人。</w:t>
      </w:r>
    </w:p>
    <w:p w14:paraId="4A0831A4">
      <w:pPr>
        <w:spacing w:line="440" w:lineRule="exact"/>
        <w:ind w:firstLine="480"/>
        <w:rPr>
          <w:rFonts w:ascii="宋体" w:cs="宋体"/>
          <w:szCs w:val="21"/>
        </w:rPr>
      </w:pPr>
      <w:r>
        <w:rPr>
          <w:rFonts w:hint="eastAsia" w:ascii="宋体" w:hAnsi="宋体" w:cs="宋体"/>
          <w:szCs w:val="21"/>
        </w:rPr>
        <w:t>特此证明。</w:t>
      </w:r>
    </w:p>
    <w:p w14:paraId="32EE966A">
      <w:pPr>
        <w:spacing w:line="440" w:lineRule="exact"/>
        <w:ind w:firstLine="480"/>
        <w:rPr>
          <w:rFonts w:ascii="宋体" w:cs="宋体"/>
          <w:szCs w:val="21"/>
        </w:rPr>
      </w:pPr>
    </w:p>
    <w:p w14:paraId="5113321D">
      <w:pPr>
        <w:spacing w:line="440" w:lineRule="exact"/>
        <w:ind w:firstLine="480"/>
        <w:rPr>
          <w:rFonts w:ascii="宋体" w:cs="宋体"/>
          <w:szCs w:val="21"/>
        </w:rPr>
      </w:pPr>
    </w:p>
    <w:p w14:paraId="43306C11">
      <w:pPr>
        <w:spacing w:line="440" w:lineRule="exact"/>
        <w:ind w:firstLine="480"/>
        <w:rPr>
          <w:rFonts w:ascii="宋体" w:cs="宋体"/>
          <w:szCs w:val="21"/>
        </w:rPr>
      </w:pPr>
      <w:r>
        <w:rPr>
          <w:rFonts w:ascii="宋体" w:hAnsi="宋体" w:cs="宋体"/>
          <w:szCs w:val="21"/>
        </w:rPr>
        <w:t xml:space="preserve">                          </w:t>
      </w:r>
      <w:r>
        <w:rPr>
          <w:rFonts w:hint="eastAsia" w:ascii="宋体" w:hAnsi="宋体" w:cs="宋体"/>
          <w:szCs w:val="21"/>
          <w:lang w:eastAsia="zh-CN"/>
        </w:rPr>
        <w:t>供应商</w:t>
      </w:r>
      <w:r>
        <w:rPr>
          <w:rFonts w:hint="eastAsia" w:ascii="宋体" w:hAnsi="宋体" w:cs="宋体"/>
          <w:szCs w:val="21"/>
        </w:rPr>
        <w:t>：</w:t>
      </w:r>
      <w:r>
        <w:rPr>
          <w:rFonts w:ascii="宋体" w:hAnsi="宋体" w:cs="宋体"/>
          <w:szCs w:val="21"/>
          <w:u w:val="single"/>
        </w:rPr>
        <w:t xml:space="preserve">                 </w:t>
      </w:r>
      <w:r>
        <w:rPr>
          <w:rFonts w:hint="eastAsia" w:ascii="宋体" w:hAnsi="宋体" w:cs="宋体"/>
          <w:szCs w:val="21"/>
        </w:rPr>
        <w:t>（盖单位章）</w:t>
      </w:r>
    </w:p>
    <w:p w14:paraId="7AD3410F">
      <w:pPr>
        <w:ind w:firstLine="0" w:firstLineChars="0"/>
        <w:jc w:val="center"/>
        <w:outlineLvl w:val="0"/>
        <w:rPr>
          <w:rFonts w:ascii="宋体" w:cs="宋体"/>
          <w:szCs w:val="21"/>
        </w:rPr>
      </w:pPr>
      <w:r>
        <w:rPr>
          <w:rFonts w:ascii="宋体" w:hAnsi="宋体" w:cs="宋体"/>
          <w:szCs w:val="21"/>
        </w:rPr>
        <w:t xml:space="preserve">               </w:t>
      </w:r>
      <w:r>
        <w:rPr>
          <w:rFonts w:ascii="宋体" w:hAnsi="宋体" w:cs="宋体"/>
          <w:szCs w:val="21"/>
          <w:u w:val="single"/>
        </w:rPr>
        <w:t xml:space="preserve">       </w:t>
      </w:r>
      <w:bookmarkStart w:id="1574" w:name="_Toc10861"/>
      <w:bookmarkStart w:id="1575" w:name="_Toc24982"/>
      <w:bookmarkStart w:id="1576" w:name="_Toc10004"/>
      <w:bookmarkStart w:id="1577" w:name="_Toc29970"/>
      <w:bookmarkStart w:id="1578" w:name="_Toc28078"/>
      <w:bookmarkStart w:id="1579" w:name="_Toc31160"/>
      <w:bookmarkStart w:id="1580" w:name="_Toc20713"/>
      <w:bookmarkStart w:id="1581" w:name="_Toc2147"/>
      <w:bookmarkStart w:id="1582" w:name="_Toc21833"/>
      <w:bookmarkStart w:id="1583" w:name="_Toc22714"/>
      <w:bookmarkStart w:id="1584" w:name="_Toc19015"/>
      <w:bookmarkStart w:id="1585" w:name="_Toc21947"/>
      <w:bookmarkStart w:id="1586" w:name="_Toc29931"/>
      <w:bookmarkStart w:id="1587" w:name="_Toc29612"/>
      <w:bookmarkStart w:id="1588" w:name="_Toc22795"/>
      <w:bookmarkStart w:id="1589" w:name="_Toc6606"/>
      <w:bookmarkStart w:id="1590" w:name="_Toc12460"/>
      <w:bookmarkStart w:id="1591" w:name="_Toc6331"/>
      <w:bookmarkStart w:id="1592" w:name="_Toc28444"/>
      <w:bookmarkStart w:id="1593" w:name="_Toc9135"/>
      <w:bookmarkStart w:id="1594" w:name="_Toc11204"/>
      <w:bookmarkStart w:id="1595" w:name="_Toc13566"/>
      <w:r>
        <w:rPr>
          <w:rFonts w:hint="eastAsia" w:ascii="宋体" w:hAnsi="宋体" w:cs="宋体"/>
          <w:szCs w:val="21"/>
        </w:rPr>
        <w:t>年</w:t>
      </w:r>
      <w:r>
        <w:rPr>
          <w:rFonts w:ascii="宋体" w:hAnsi="宋体" w:cs="宋体"/>
          <w:szCs w:val="21"/>
          <w:u w:val="single"/>
        </w:rPr>
        <w:t xml:space="preserve">       </w:t>
      </w:r>
      <w:r>
        <w:rPr>
          <w:rFonts w:hint="eastAsia" w:ascii="宋体" w:hAnsi="宋体" w:cs="宋体"/>
          <w:szCs w:val="21"/>
        </w:rPr>
        <w:t>月</w:t>
      </w:r>
      <w:r>
        <w:rPr>
          <w:rFonts w:ascii="宋体" w:hAnsi="宋体" w:cs="宋体"/>
          <w:szCs w:val="21"/>
          <w:u w:val="single"/>
        </w:rPr>
        <w:t xml:space="preserve">       </w:t>
      </w:r>
      <w:r>
        <w:rPr>
          <w:rFonts w:hint="eastAsia" w:ascii="宋体" w:hAnsi="宋体" w:cs="宋体"/>
          <w:szCs w:val="21"/>
        </w:rPr>
        <w:t>日</w:t>
      </w:r>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r>
        <w:rPr>
          <w:rFonts w:ascii="宋体" w:hAnsi="宋体" w:cs="宋体"/>
          <w:szCs w:val="21"/>
        </w:rPr>
        <w:t xml:space="preserve">      </w:t>
      </w:r>
    </w:p>
    <w:p w14:paraId="7CA1EDD7">
      <w:pPr>
        <w:ind w:firstLine="0" w:firstLineChars="0"/>
        <w:jc w:val="center"/>
        <w:rPr>
          <w:rFonts w:ascii="宋体" w:cs="宋体"/>
          <w:szCs w:val="21"/>
        </w:rPr>
      </w:pPr>
    </w:p>
    <w:p w14:paraId="4A01C308">
      <w:pPr>
        <w:ind w:firstLine="0" w:firstLineChars="0"/>
        <w:jc w:val="center"/>
        <w:rPr>
          <w:rFonts w:ascii="宋体" w:cs="宋体"/>
          <w:szCs w:val="21"/>
        </w:rPr>
      </w:pPr>
    </w:p>
    <w:p w14:paraId="18416718">
      <w:pPr>
        <w:pStyle w:val="51"/>
        <w:ind w:firstLine="420"/>
        <w:rPr>
          <w:rFonts w:hAnsi="宋体" w:cs="宋体"/>
          <w:szCs w:val="21"/>
        </w:rPr>
      </w:pPr>
    </w:p>
    <w:p w14:paraId="722E4E54">
      <w:pPr>
        <w:ind w:firstLine="0" w:firstLineChars="0"/>
        <w:jc w:val="center"/>
        <w:rPr>
          <w:rFonts w:ascii="宋体" w:cs="宋体"/>
          <w:szCs w:val="21"/>
        </w:rPr>
      </w:pPr>
    </w:p>
    <w:p w14:paraId="372FC4C9">
      <w:pPr>
        <w:ind w:firstLine="0" w:firstLineChars="0"/>
        <w:jc w:val="center"/>
        <w:rPr>
          <w:rFonts w:ascii="宋体" w:cs="宋体"/>
          <w:szCs w:val="21"/>
        </w:rPr>
      </w:pPr>
    </w:p>
    <w:p w14:paraId="051A5525">
      <w:pPr>
        <w:ind w:firstLine="0" w:firstLineChars="0"/>
        <w:jc w:val="center"/>
        <w:rPr>
          <w:rFonts w:ascii="宋体" w:cs="宋体"/>
          <w:szCs w:val="21"/>
        </w:rPr>
      </w:pPr>
    </w:p>
    <w:p w14:paraId="7C8DD491">
      <w:pPr>
        <w:pStyle w:val="15"/>
        <w:ind w:firstLine="480"/>
        <w:rPr>
          <w:rFonts w:ascii="宋体" w:cs="宋体"/>
          <w:szCs w:val="21"/>
        </w:rPr>
      </w:pPr>
    </w:p>
    <w:p w14:paraId="5595E13A">
      <w:pPr>
        <w:rPr>
          <w:rFonts w:ascii="宋体" w:cs="宋体"/>
          <w:szCs w:val="21"/>
        </w:rPr>
      </w:pPr>
    </w:p>
    <w:p w14:paraId="6F674F3F"/>
    <w:p w14:paraId="310D852A">
      <w:pPr>
        <w:ind w:firstLine="240"/>
        <w:rPr>
          <w:rFonts w:ascii="宋体" w:cs="宋体"/>
          <w:szCs w:val="21"/>
        </w:rPr>
      </w:pPr>
    </w:p>
    <w:p w14:paraId="075F2007">
      <w:pPr>
        <w:pStyle w:val="28"/>
        <w:rPr>
          <w:rFonts w:ascii="宋体" w:cs="宋体"/>
        </w:rPr>
      </w:pPr>
    </w:p>
    <w:p w14:paraId="6BF078D5">
      <w:pPr>
        <w:ind w:firstLine="0" w:firstLineChars="0"/>
        <w:jc w:val="both"/>
        <w:rPr>
          <w:rFonts w:ascii="宋体" w:cs="宋体"/>
          <w:szCs w:val="21"/>
        </w:rPr>
      </w:pPr>
    </w:p>
    <w:p w14:paraId="7D33AE53">
      <w:pPr>
        <w:pStyle w:val="35"/>
      </w:pPr>
    </w:p>
    <w:p w14:paraId="411E680D">
      <w:pPr>
        <w:ind w:firstLine="0" w:firstLineChars="0"/>
        <w:jc w:val="center"/>
        <w:outlineLvl w:val="0"/>
        <w:rPr>
          <w:b/>
          <w:bCs/>
          <w:sz w:val="30"/>
          <w:szCs w:val="30"/>
        </w:rPr>
      </w:pPr>
      <w:bookmarkStart w:id="1596" w:name="_Toc16952"/>
      <w:bookmarkStart w:id="1597" w:name="_Toc5856"/>
      <w:bookmarkStart w:id="1598" w:name="_Toc17137"/>
      <w:bookmarkStart w:id="1599" w:name="_Toc19046"/>
      <w:bookmarkStart w:id="1600" w:name="_Toc15429"/>
      <w:bookmarkStart w:id="1601" w:name="_Toc28463"/>
      <w:bookmarkStart w:id="1602" w:name="_Toc13567"/>
      <w:bookmarkStart w:id="1603" w:name="_Toc19975"/>
      <w:bookmarkStart w:id="1604" w:name="_Toc27105"/>
      <w:bookmarkStart w:id="1605" w:name="_Toc3849"/>
      <w:bookmarkStart w:id="1606" w:name="_Toc31057"/>
      <w:bookmarkStart w:id="1607" w:name="_Toc14511"/>
      <w:bookmarkStart w:id="1608" w:name="_Toc27519"/>
      <w:bookmarkStart w:id="1609" w:name="_Toc24368"/>
      <w:bookmarkStart w:id="1610" w:name="_Toc28171"/>
      <w:bookmarkStart w:id="1611" w:name="_Toc9115"/>
      <w:bookmarkStart w:id="1612" w:name="_Toc5660"/>
      <w:bookmarkStart w:id="1613" w:name="_Toc27464"/>
      <w:bookmarkStart w:id="1614" w:name="_Toc15138"/>
      <w:bookmarkStart w:id="1615" w:name="_Toc10731"/>
      <w:bookmarkStart w:id="1616" w:name="_Toc28688"/>
      <w:bookmarkStart w:id="1617" w:name="_Toc28764"/>
      <w:bookmarkStart w:id="1618" w:name="_Toc23747"/>
      <w:bookmarkStart w:id="1619" w:name="_Toc6047"/>
      <w:r>
        <w:rPr>
          <w:rFonts w:hint="eastAsia"/>
          <w:b/>
          <w:bCs/>
          <w:sz w:val="30"/>
          <w:szCs w:val="30"/>
          <w:lang w:val="en-GB"/>
        </w:rPr>
        <w:t>（二）授权委托书</w:t>
      </w:r>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p>
    <w:p w14:paraId="59C321DA">
      <w:pPr>
        <w:snapToGrid w:val="0"/>
        <w:ind w:firstLine="482"/>
        <w:jc w:val="center"/>
        <w:rPr>
          <w:rFonts w:ascii="宋体" w:cs="宋体"/>
          <w:b/>
        </w:rPr>
      </w:pPr>
    </w:p>
    <w:p w14:paraId="2E1C1F70">
      <w:pPr>
        <w:ind w:firstLine="480"/>
        <w:rPr>
          <w:rFonts w:ascii="宋体" w:cs="宋体"/>
          <w:lang w:val="zh-CN"/>
        </w:rPr>
      </w:pPr>
      <w:r>
        <w:rPr>
          <w:rFonts w:hint="eastAsia" w:ascii="宋体" w:hAnsi="宋体" w:cs="宋体"/>
          <w:lang w:val="zh-CN"/>
        </w:rPr>
        <w:t>本人</w:t>
      </w:r>
      <w:r>
        <w:rPr>
          <w:rFonts w:ascii="宋体" w:hAnsi="宋体" w:cs="宋体"/>
          <w:lang w:val="zh-CN"/>
        </w:rPr>
        <w:t xml:space="preserve"> </w:t>
      </w:r>
      <w:r>
        <w:rPr>
          <w:rFonts w:ascii="宋体" w:hAnsi="宋体" w:cs="宋体"/>
          <w:u w:val="single"/>
          <w:lang w:val="zh-CN"/>
        </w:rPr>
        <w:t xml:space="preserve">      </w:t>
      </w:r>
      <w:r>
        <w:rPr>
          <w:rFonts w:hint="eastAsia" w:ascii="宋体" w:hAnsi="宋体" w:cs="宋体"/>
          <w:u w:val="single"/>
          <w:lang w:val="zh-CN"/>
        </w:rPr>
        <w:t>（姓名）</w:t>
      </w:r>
      <w:r>
        <w:rPr>
          <w:rFonts w:ascii="宋体" w:hAnsi="宋体" w:cs="宋体"/>
          <w:u w:val="single"/>
          <w:lang w:val="zh-CN"/>
        </w:rPr>
        <w:t xml:space="preserve">  </w:t>
      </w:r>
      <w:r>
        <w:rPr>
          <w:rFonts w:hint="eastAsia" w:ascii="宋体" w:hAnsi="宋体" w:cs="宋体"/>
          <w:lang w:val="zh-CN"/>
        </w:rPr>
        <w:t>系</w:t>
      </w:r>
      <w:r>
        <w:rPr>
          <w:rFonts w:ascii="宋体" w:hAnsi="宋体" w:cs="宋体"/>
          <w:u w:val="single"/>
          <w:lang w:val="zh-CN"/>
        </w:rPr>
        <w:t xml:space="preserve">        </w:t>
      </w:r>
      <w:r>
        <w:rPr>
          <w:rFonts w:hint="eastAsia" w:ascii="宋体" w:hAnsi="宋体" w:cs="宋体"/>
          <w:u w:val="single"/>
          <w:lang w:val="zh-CN"/>
        </w:rPr>
        <w:t>（供应商名称）</w:t>
      </w:r>
      <w:r>
        <w:rPr>
          <w:rFonts w:ascii="宋体" w:hAnsi="宋体" w:cs="宋体"/>
          <w:u w:val="single"/>
          <w:lang w:val="zh-CN"/>
        </w:rPr>
        <w:t xml:space="preserve">      </w:t>
      </w:r>
      <w:r>
        <w:rPr>
          <w:rFonts w:hint="eastAsia" w:ascii="宋体" w:hAnsi="宋体" w:cs="宋体"/>
          <w:lang w:val="zh-CN"/>
        </w:rPr>
        <w:t>的法定代表人，现授权</w:t>
      </w:r>
    </w:p>
    <w:p w14:paraId="3D182166">
      <w:pPr>
        <w:ind w:firstLine="0" w:firstLineChars="0"/>
        <w:rPr>
          <w:rFonts w:ascii="宋体" w:cs="宋体"/>
          <w:lang w:val="zh-CN"/>
        </w:rPr>
      </w:pPr>
      <w:r>
        <w:rPr>
          <w:rFonts w:ascii="宋体" w:hAnsi="宋体" w:cs="宋体"/>
          <w:u w:val="single"/>
          <w:lang w:val="zh-CN"/>
        </w:rPr>
        <w:t xml:space="preserve">      </w:t>
      </w:r>
      <w:r>
        <w:rPr>
          <w:rFonts w:hint="eastAsia" w:ascii="宋体" w:hAnsi="宋体" w:cs="宋体"/>
          <w:u w:val="single"/>
          <w:lang w:val="zh-CN"/>
        </w:rPr>
        <w:t>（姓名）</w:t>
      </w:r>
      <w:r>
        <w:rPr>
          <w:rFonts w:ascii="宋体" w:hAnsi="宋体" w:cs="宋体"/>
          <w:u w:val="single"/>
          <w:lang w:val="zh-CN"/>
        </w:rPr>
        <w:t xml:space="preserve">  </w:t>
      </w:r>
      <w:r>
        <w:rPr>
          <w:rFonts w:hint="eastAsia" w:ascii="宋体" w:hAnsi="宋体" w:cs="宋体"/>
          <w:u w:val="single"/>
          <w:lang w:val="zh-CN"/>
        </w:rPr>
        <w:t>（</w:t>
      </w:r>
      <w:r>
        <w:rPr>
          <w:rFonts w:ascii="宋体" w:hAnsi="宋体" w:cs="宋体"/>
          <w:u w:val="single"/>
          <w:lang w:val="zh-CN"/>
        </w:rPr>
        <w:t xml:space="preserve">   </w:t>
      </w:r>
      <w:r>
        <w:rPr>
          <w:rFonts w:hint="eastAsia" w:ascii="宋体" w:hAnsi="宋体" w:cs="宋体"/>
          <w:u w:val="single"/>
          <w:lang w:val="zh-CN"/>
        </w:rPr>
        <w:t>身份证号码</w:t>
      </w:r>
      <w:r>
        <w:rPr>
          <w:rFonts w:ascii="宋体" w:hAnsi="宋体" w:cs="宋体"/>
          <w:u w:val="single"/>
          <w:lang w:val="zh-CN"/>
        </w:rPr>
        <w:t xml:space="preserve">   </w:t>
      </w:r>
      <w:r>
        <w:rPr>
          <w:rFonts w:hint="eastAsia" w:ascii="宋体" w:hAnsi="宋体" w:cs="宋体"/>
          <w:u w:val="single"/>
          <w:lang w:val="zh-CN"/>
        </w:rPr>
        <w:t>）</w:t>
      </w:r>
      <w:r>
        <w:rPr>
          <w:rFonts w:hint="eastAsia" w:ascii="宋体" w:hAnsi="宋体" w:cs="宋体"/>
          <w:lang w:val="zh-CN"/>
        </w:rPr>
        <w:t>为我方代理人。授权代理人根据授权对象</w:t>
      </w:r>
    </w:p>
    <w:p w14:paraId="4F6C6C12">
      <w:pPr>
        <w:ind w:firstLine="0" w:firstLineChars="0"/>
        <w:rPr>
          <w:rFonts w:ascii="宋体" w:cs="宋体"/>
          <w:lang w:val="zh-CN"/>
        </w:rPr>
      </w:pPr>
      <w:r>
        <w:rPr>
          <w:rFonts w:ascii="宋体" w:hAnsi="宋体" w:cs="宋体"/>
          <w:u w:val="single"/>
          <w:lang w:val="zh-CN"/>
        </w:rPr>
        <w:t xml:space="preserve">      </w:t>
      </w:r>
      <w:r>
        <w:rPr>
          <w:rFonts w:hint="eastAsia" w:ascii="宋体" w:hAnsi="宋体" w:cs="宋体"/>
          <w:u w:val="single"/>
          <w:lang w:val="zh-CN"/>
        </w:rPr>
        <w:t>（项目名称）</w:t>
      </w:r>
      <w:r>
        <w:rPr>
          <w:rFonts w:ascii="宋体" w:hAnsi="宋体" w:cs="宋体"/>
          <w:u w:val="single"/>
          <w:lang w:val="zh-CN"/>
        </w:rPr>
        <w:t xml:space="preserve">  </w:t>
      </w:r>
      <w:r>
        <w:rPr>
          <w:rFonts w:hint="eastAsia" w:ascii="宋体" w:hAnsi="宋体" w:cs="宋体"/>
          <w:u w:val="single"/>
          <w:lang w:val="zh-CN"/>
        </w:rPr>
        <w:t>投</w:t>
      </w:r>
      <w:r>
        <w:rPr>
          <w:rFonts w:hint="eastAsia" w:ascii="宋体" w:hAnsi="宋体" w:cs="宋体"/>
          <w:lang w:val="zh-CN"/>
        </w:rPr>
        <w:t>标，以我方名义签署、澄清、说明、补正、提交、撤回、修改相应文件，签订合同和处理有关事宜，其法律后果由我方承担。</w:t>
      </w:r>
    </w:p>
    <w:p w14:paraId="1626033A">
      <w:pPr>
        <w:ind w:firstLine="480"/>
        <w:rPr>
          <w:rFonts w:ascii="宋体" w:cs="宋体"/>
          <w:lang w:val="zh-CN"/>
        </w:rPr>
      </w:pPr>
    </w:p>
    <w:p w14:paraId="16E05A68">
      <w:pPr>
        <w:ind w:firstLine="480"/>
        <w:rPr>
          <w:rFonts w:ascii="宋体" w:cs="宋体"/>
          <w:lang w:val="zh-CN"/>
        </w:rPr>
      </w:pPr>
      <w:r>
        <w:rPr>
          <w:rFonts w:hint="eastAsia" w:ascii="宋体" w:hAnsi="宋体" w:cs="宋体"/>
          <w:lang w:val="zh-CN"/>
        </w:rPr>
        <w:t>委托期限：</w:t>
      </w:r>
      <w:r>
        <w:rPr>
          <w:rFonts w:hint="eastAsia" w:ascii="宋体" w:hAnsi="宋体" w:cs="宋体"/>
          <w:lang w:val="en-US" w:eastAsia="zh-CN"/>
        </w:rPr>
        <w:t>自</w:t>
      </w:r>
      <w:r>
        <w:rPr>
          <w:rFonts w:hint="eastAsia" w:ascii="宋体" w:hAnsi="宋体" w:cs="宋体"/>
          <w:lang w:val="zh-CN"/>
        </w:rPr>
        <w:t>2025年</w:t>
      </w:r>
      <w:r>
        <w:rPr>
          <w:rFonts w:ascii="宋体" w:hAnsi="宋体" w:cs="宋体"/>
          <w:lang w:val="zh-CN"/>
        </w:rPr>
        <w:t xml:space="preserve">  </w:t>
      </w:r>
      <w:r>
        <w:rPr>
          <w:rFonts w:hint="eastAsia" w:ascii="宋体" w:hAnsi="宋体" w:cs="宋体"/>
          <w:lang w:val="zh-CN"/>
        </w:rPr>
        <w:t>月</w:t>
      </w:r>
      <w:r>
        <w:rPr>
          <w:rFonts w:ascii="宋体" w:hAnsi="宋体" w:cs="宋体"/>
          <w:lang w:val="zh-CN"/>
        </w:rPr>
        <w:t xml:space="preserve">  </w:t>
      </w:r>
      <w:r>
        <w:rPr>
          <w:rFonts w:hint="eastAsia" w:ascii="宋体" w:hAnsi="宋体" w:cs="宋体"/>
          <w:lang w:val="zh-CN"/>
        </w:rPr>
        <w:t>日</w:t>
      </w:r>
      <w:r>
        <w:rPr>
          <w:rFonts w:ascii="宋体" w:hAnsi="宋体" w:cs="宋体"/>
          <w:lang w:val="zh-CN"/>
        </w:rPr>
        <w:t>—</w:t>
      </w:r>
      <w:r>
        <w:rPr>
          <w:rFonts w:hint="eastAsia" w:ascii="宋体" w:hAnsi="宋体" w:cs="宋体"/>
          <w:lang w:val="zh-CN"/>
        </w:rPr>
        <w:t>2025年</w:t>
      </w:r>
      <w:r>
        <w:rPr>
          <w:rFonts w:ascii="宋体" w:hAnsi="宋体" w:cs="宋体"/>
          <w:lang w:val="zh-CN"/>
        </w:rPr>
        <w:t xml:space="preserve">  </w:t>
      </w:r>
      <w:r>
        <w:rPr>
          <w:rFonts w:hint="eastAsia" w:ascii="宋体" w:hAnsi="宋体" w:cs="宋体"/>
          <w:lang w:val="zh-CN"/>
        </w:rPr>
        <w:t>月</w:t>
      </w:r>
      <w:r>
        <w:rPr>
          <w:rFonts w:ascii="宋体" w:hAnsi="宋体" w:cs="宋体"/>
          <w:lang w:val="zh-CN"/>
        </w:rPr>
        <w:t xml:space="preserve">  </w:t>
      </w:r>
      <w:r>
        <w:rPr>
          <w:rFonts w:hint="eastAsia" w:ascii="宋体" w:hAnsi="宋体" w:cs="宋体"/>
          <w:lang w:val="zh-CN"/>
        </w:rPr>
        <w:t>日止。</w:t>
      </w:r>
    </w:p>
    <w:p w14:paraId="0AD1DE7E">
      <w:pPr>
        <w:ind w:firstLine="480"/>
        <w:rPr>
          <w:rFonts w:ascii="宋体" w:cs="宋体"/>
          <w:lang w:val="zh-CN"/>
        </w:rPr>
      </w:pPr>
      <w:r>
        <w:rPr>
          <w:rFonts w:hint="eastAsia" w:ascii="宋体" w:hAnsi="宋体" w:cs="宋体"/>
          <w:lang w:val="zh-CN"/>
        </w:rPr>
        <w:t>授权代理人无转委托权。</w:t>
      </w:r>
    </w:p>
    <w:p w14:paraId="65452709">
      <w:pPr>
        <w:snapToGrid w:val="0"/>
        <w:spacing w:line="312" w:lineRule="auto"/>
        <w:ind w:firstLine="0" w:firstLineChars="0"/>
        <w:rPr>
          <w:rFonts w:ascii="宋体" w:cs="宋体"/>
          <w:lang w:val="zh-CN"/>
        </w:rPr>
      </w:pPr>
    </w:p>
    <w:p w14:paraId="13A95A57">
      <w:pPr>
        <w:snapToGrid w:val="0"/>
        <w:spacing w:line="312" w:lineRule="auto"/>
        <w:ind w:firstLine="480"/>
        <w:rPr>
          <w:rFonts w:ascii="宋体" w:cs="宋体"/>
          <w:lang w:val="zh-CN"/>
        </w:rPr>
      </w:pPr>
    </w:p>
    <w:p w14:paraId="6C4C4951">
      <w:pPr>
        <w:adjustRightInd w:val="0"/>
        <w:snapToGrid w:val="0"/>
        <w:spacing w:line="360" w:lineRule="auto"/>
        <w:ind w:firstLine="4080" w:firstLineChars="1700"/>
        <w:textAlignment w:val="baseline"/>
        <w:rPr>
          <w:rFonts w:ascii="宋体" w:cs="宋体"/>
        </w:rPr>
      </w:pPr>
      <w:r>
        <w:rPr>
          <w:rFonts w:hint="eastAsia" w:ascii="宋体" w:hAnsi="宋体" w:cs="宋体"/>
          <w:lang w:eastAsia="zh-CN"/>
        </w:rPr>
        <w:t>供应商</w:t>
      </w:r>
      <w:r>
        <w:rPr>
          <w:rFonts w:hint="eastAsia" w:ascii="宋体" w:hAnsi="宋体" w:cs="宋体"/>
        </w:rPr>
        <w:t>名称（盖章）</w:t>
      </w:r>
      <w:r>
        <w:rPr>
          <w:rFonts w:hint="eastAsia" w:ascii="宋体" w:hAnsi="宋体" w:cs="宋体"/>
          <w:lang w:eastAsia="zh-CN"/>
        </w:rPr>
        <w:t>：</w:t>
      </w:r>
    </w:p>
    <w:p w14:paraId="31932396">
      <w:pPr>
        <w:adjustRightInd w:val="0"/>
        <w:snapToGrid w:val="0"/>
        <w:spacing w:line="360" w:lineRule="auto"/>
        <w:ind w:firstLine="4080" w:firstLineChars="1700"/>
        <w:textAlignment w:val="baseline"/>
        <w:rPr>
          <w:rFonts w:ascii="宋体" w:cs="宋体"/>
          <w:u w:val="single"/>
        </w:rPr>
      </w:pPr>
      <w:r>
        <w:rPr>
          <w:rFonts w:hint="eastAsia" w:ascii="宋体" w:hAnsi="宋体" w:cs="宋体"/>
        </w:rPr>
        <w:t>法定代表人（签字或盖章）</w:t>
      </w:r>
      <w:r>
        <w:rPr>
          <w:rFonts w:hint="eastAsia" w:ascii="宋体" w:hAnsi="宋体" w:cs="宋体"/>
          <w:lang w:eastAsia="zh-CN"/>
        </w:rPr>
        <w:t>：</w:t>
      </w:r>
    </w:p>
    <w:p w14:paraId="54AB9376">
      <w:pPr>
        <w:adjustRightInd w:val="0"/>
        <w:snapToGrid w:val="0"/>
        <w:spacing w:line="360" w:lineRule="auto"/>
        <w:ind w:firstLine="4080" w:firstLineChars="1700"/>
        <w:textAlignment w:val="baseline"/>
        <w:rPr>
          <w:rFonts w:ascii="宋体" w:cs="宋体"/>
          <w:u w:val="single"/>
        </w:rPr>
      </w:pPr>
      <w:r>
        <w:rPr>
          <w:rFonts w:hint="eastAsia" w:ascii="宋体" w:hAnsi="宋体" w:cs="宋体"/>
        </w:rPr>
        <w:t>法定代表人移动电话</w:t>
      </w:r>
      <w:r>
        <w:rPr>
          <w:rFonts w:hint="eastAsia" w:ascii="宋体" w:hAnsi="宋体" w:cs="宋体"/>
          <w:lang w:eastAsia="zh-CN"/>
        </w:rPr>
        <w:t>：</w:t>
      </w:r>
    </w:p>
    <w:p w14:paraId="66DC3AB8">
      <w:pPr>
        <w:adjustRightInd w:val="0"/>
        <w:snapToGrid w:val="0"/>
        <w:spacing w:line="360" w:lineRule="auto"/>
        <w:ind w:firstLine="4080" w:firstLineChars="1700"/>
        <w:textAlignment w:val="baseline"/>
        <w:rPr>
          <w:rFonts w:ascii="宋体" w:cs="宋体"/>
          <w:lang w:val="zh-CN"/>
        </w:rPr>
      </w:pPr>
      <w:r>
        <w:rPr>
          <w:rFonts w:hint="eastAsia" w:ascii="宋体" w:hAnsi="宋体" w:cs="宋体"/>
        </w:rPr>
        <w:t>授权代理人移动电话</w:t>
      </w:r>
      <w:r>
        <w:rPr>
          <w:rFonts w:hint="eastAsia" w:ascii="宋体" w:hAnsi="宋体" w:cs="宋体"/>
          <w:lang w:eastAsia="zh-CN"/>
        </w:rPr>
        <w:t>：</w:t>
      </w:r>
    </w:p>
    <w:p w14:paraId="44A0A2E5">
      <w:pPr>
        <w:ind w:right="440" w:firstLine="4080" w:firstLineChars="1700"/>
        <w:rPr>
          <w:rFonts w:ascii="宋体" w:cs="宋体"/>
          <w:b/>
          <w:bCs/>
        </w:rPr>
      </w:pPr>
      <w:r>
        <w:rPr>
          <w:rFonts w:hint="eastAsia" w:ascii="宋体" w:hAnsi="宋体" w:cs="宋体"/>
          <w:bCs/>
        </w:rPr>
        <w:t>授权委托日期：</w:t>
      </w:r>
      <w:r>
        <w:rPr>
          <w:rFonts w:hint="eastAsia" w:ascii="宋体" w:hAnsi="宋体" w:cs="宋体"/>
          <w:bCs/>
          <w:lang w:val="en-US" w:eastAsia="zh-CN"/>
        </w:rPr>
        <w:t>2025</w:t>
      </w:r>
      <w:r>
        <w:rPr>
          <w:rFonts w:hint="eastAsia" w:ascii="宋体" w:hAnsi="宋体" w:cs="宋体"/>
          <w:bCs/>
        </w:rPr>
        <w:t>年</w:t>
      </w:r>
      <w:r>
        <w:rPr>
          <w:rFonts w:ascii="宋体" w:hAnsi="宋体" w:cs="宋体"/>
          <w:bCs/>
        </w:rPr>
        <w:t xml:space="preserve"> </w:t>
      </w:r>
      <w:r>
        <w:rPr>
          <w:rFonts w:hint="eastAsia" w:ascii="宋体" w:hAnsi="宋体" w:cs="宋体"/>
          <w:bCs/>
        </w:rPr>
        <w:t>月</w:t>
      </w:r>
      <w:r>
        <w:rPr>
          <w:rFonts w:ascii="宋体" w:hAnsi="宋体" w:cs="宋体"/>
          <w:bCs/>
        </w:rPr>
        <w:t xml:space="preserve">  </w:t>
      </w:r>
      <w:r>
        <w:rPr>
          <w:rFonts w:hint="eastAsia" w:ascii="宋体" w:hAnsi="宋体" w:cs="宋体"/>
          <w:bCs/>
        </w:rPr>
        <w:t>日</w:t>
      </w:r>
    </w:p>
    <w:p w14:paraId="5F0A2669">
      <w:pPr>
        <w:spacing w:line="360" w:lineRule="exact"/>
        <w:ind w:left="2699" w:firstLine="480"/>
        <w:rPr>
          <w:rFonts w:ascii="宋体" w:cs="宋体"/>
          <w:kern w:val="0"/>
        </w:rPr>
      </w:pPr>
    </w:p>
    <w:tbl>
      <w:tblPr>
        <w:tblStyle w:val="38"/>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6"/>
      </w:tblGrid>
      <w:tr w14:paraId="145A7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atLeast"/>
        </w:trPr>
        <w:tc>
          <w:tcPr>
            <w:tcW w:w="9356" w:type="dxa"/>
          </w:tcPr>
          <w:p w14:paraId="7C7C2D55">
            <w:pPr>
              <w:keepNext w:val="0"/>
              <w:keepLines w:val="0"/>
              <w:suppressLineNumbers w:val="0"/>
              <w:adjustRightInd w:val="0"/>
              <w:snapToGrid w:val="0"/>
              <w:spacing w:before="0" w:beforeAutospacing="0" w:after="0" w:afterAutospacing="0" w:line="360" w:lineRule="exact"/>
              <w:ind w:left="0" w:right="0" w:firstLine="480"/>
              <w:jc w:val="center"/>
              <w:rPr>
                <w:rFonts w:hint="default" w:ascii="宋体" w:cs="宋体"/>
                <w:kern w:val="0"/>
              </w:rPr>
            </w:pPr>
          </w:p>
          <w:p w14:paraId="45B07278">
            <w:pPr>
              <w:keepNext w:val="0"/>
              <w:keepLines w:val="0"/>
              <w:suppressLineNumbers w:val="0"/>
              <w:adjustRightInd w:val="0"/>
              <w:snapToGrid w:val="0"/>
              <w:spacing w:before="0" w:beforeAutospacing="0" w:after="0" w:afterAutospacing="0" w:line="360" w:lineRule="exact"/>
              <w:ind w:left="0" w:right="0" w:firstLine="480"/>
              <w:jc w:val="center"/>
              <w:rPr>
                <w:rFonts w:hint="default" w:ascii="宋体" w:cs="宋体"/>
                <w:kern w:val="0"/>
              </w:rPr>
            </w:pPr>
          </w:p>
          <w:p w14:paraId="79E9DD33">
            <w:pPr>
              <w:keepNext w:val="0"/>
              <w:keepLines w:val="0"/>
              <w:suppressLineNumbers w:val="0"/>
              <w:adjustRightInd w:val="0"/>
              <w:snapToGrid w:val="0"/>
              <w:spacing w:before="0" w:beforeAutospacing="0" w:after="0" w:afterAutospacing="0" w:line="360" w:lineRule="exact"/>
              <w:ind w:left="0" w:right="0" w:firstLine="480"/>
              <w:jc w:val="center"/>
              <w:rPr>
                <w:rFonts w:hint="default" w:ascii="宋体" w:cs="宋体"/>
                <w:kern w:val="0"/>
              </w:rPr>
            </w:pPr>
            <w:r>
              <w:rPr>
                <w:rFonts w:hint="eastAsia" w:ascii="宋体" w:hAnsi="宋体" w:cs="宋体"/>
                <w:kern w:val="0"/>
              </w:rPr>
              <w:t>粘贴法人授权代表身份证复印影印件</w:t>
            </w:r>
          </w:p>
          <w:p w14:paraId="65B10079">
            <w:pPr>
              <w:keepNext w:val="0"/>
              <w:keepLines w:val="0"/>
              <w:suppressLineNumbers w:val="0"/>
              <w:adjustRightInd w:val="0"/>
              <w:snapToGrid w:val="0"/>
              <w:spacing w:before="0" w:beforeAutospacing="0" w:after="0" w:afterAutospacing="0" w:line="360" w:lineRule="exact"/>
              <w:ind w:left="0" w:right="0" w:firstLine="480"/>
              <w:jc w:val="center"/>
              <w:rPr>
                <w:rFonts w:hint="default" w:ascii="宋体" w:cs="宋体"/>
                <w:kern w:val="0"/>
              </w:rPr>
            </w:pPr>
          </w:p>
          <w:p w14:paraId="67CF7856">
            <w:pPr>
              <w:keepNext w:val="0"/>
              <w:keepLines w:val="0"/>
              <w:suppressLineNumbers w:val="0"/>
              <w:adjustRightInd w:val="0"/>
              <w:snapToGrid w:val="0"/>
              <w:spacing w:before="0" w:beforeAutospacing="0" w:after="0" w:afterAutospacing="0" w:line="360" w:lineRule="exact"/>
              <w:ind w:left="0" w:right="0" w:firstLine="480"/>
              <w:jc w:val="center"/>
              <w:rPr>
                <w:rFonts w:hint="default" w:ascii="宋体" w:cs="宋体"/>
                <w:kern w:val="0"/>
              </w:rPr>
            </w:pPr>
          </w:p>
        </w:tc>
      </w:tr>
    </w:tbl>
    <w:p w14:paraId="5DB1F1C4">
      <w:pPr>
        <w:adjustRightInd w:val="0"/>
        <w:snapToGrid w:val="0"/>
        <w:spacing w:line="360" w:lineRule="exact"/>
        <w:ind w:firstLine="480"/>
        <w:jc w:val="center"/>
        <w:rPr>
          <w:rFonts w:ascii="宋体" w:cs="宋体"/>
          <w:kern w:val="0"/>
          <w:lang w:val="zh-CN"/>
        </w:rPr>
      </w:pPr>
    </w:p>
    <w:p w14:paraId="6F068D93">
      <w:pPr>
        <w:adjustRightInd w:val="0"/>
        <w:snapToGrid w:val="0"/>
        <w:spacing w:line="360" w:lineRule="exact"/>
        <w:ind w:firstLine="480"/>
        <w:jc w:val="center"/>
        <w:rPr>
          <w:rFonts w:ascii="宋体" w:cs="宋体"/>
          <w:kern w:val="0"/>
          <w:lang w:val="zh-CN"/>
        </w:rPr>
      </w:pPr>
    </w:p>
    <w:tbl>
      <w:tblPr>
        <w:tblStyle w:val="38"/>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6"/>
      </w:tblGrid>
      <w:tr w14:paraId="333D1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9" w:hRule="atLeast"/>
        </w:trPr>
        <w:tc>
          <w:tcPr>
            <w:tcW w:w="9356" w:type="dxa"/>
          </w:tcPr>
          <w:p w14:paraId="635B7FD5">
            <w:pPr>
              <w:keepNext w:val="0"/>
              <w:keepLines w:val="0"/>
              <w:suppressLineNumbers w:val="0"/>
              <w:adjustRightInd w:val="0"/>
              <w:snapToGrid w:val="0"/>
              <w:spacing w:before="0" w:beforeAutospacing="0" w:after="0" w:afterAutospacing="0" w:line="360" w:lineRule="exact"/>
              <w:ind w:left="0" w:right="0" w:firstLine="480"/>
              <w:jc w:val="center"/>
              <w:rPr>
                <w:rFonts w:hint="default" w:ascii="宋体" w:cs="宋体"/>
                <w:kern w:val="0"/>
              </w:rPr>
            </w:pPr>
          </w:p>
          <w:p w14:paraId="5B4E3066">
            <w:pPr>
              <w:keepNext w:val="0"/>
              <w:keepLines w:val="0"/>
              <w:suppressLineNumbers w:val="0"/>
              <w:adjustRightInd w:val="0"/>
              <w:snapToGrid w:val="0"/>
              <w:spacing w:before="0" w:beforeAutospacing="0" w:after="0" w:afterAutospacing="0" w:line="360" w:lineRule="exact"/>
              <w:ind w:left="0" w:right="0" w:firstLine="480"/>
              <w:jc w:val="center"/>
              <w:rPr>
                <w:rFonts w:hint="default" w:ascii="宋体" w:cs="宋体"/>
                <w:kern w:val="0"/>
              </w:rPr>
            </w:pPr>
          </w:p>
          <w:p w14:paraId="2433338A">
            <w:pPr>
              <w:keepNext w:val="0"/>
              <w:keepLines w:val="0"/>
              <w:suppressLineNumbers w:val="0"/>
              <w:adjustRightInd w:val="0"/>
              <w:snapToGrid w:val="0"/>
              <w:spacing w:before="0" w:beforeAutospacing="0" w:after="0" w:afterAutospacing="0" w:line="360" w:lineRule="exact"/>
              <w:ind w:left="0" w:right="0" w:firstLine="480"/>
              <w:jc w:val="center"/>
              <w:rPr>
                <w:rFonts w:hint="default" w:ascii="宋体" w:cs="宋体"/>
                <w:kern w:val="0"/>
              </w:rPr>
            </w:pPr>
            <w:r>
              <w:rPr>
                <w:rFonts w:hint="eastAsia" w:ascii="宋体" w:hAnsi="宋体" w:cs="宋体"/>
                <w:kern w:val="0"/>
              </w:rPr>
              <w:t>粘贴法人身份证复印影印件</w:t>
            </w:r>
          </w:p>
          <w:p w14:paraId="5E833AD0">
            <w:pPr>
              <w:keepNext w:val="0"/>
              <w:keepLines w:val="0"/>
              <w:suppressLineNumbers w:val="0"/>
              <w:adjustRightInd w:val="0"/>
              <w:snapToGrid w:val="0"/>
              <w:spacing w:before="0" w:beforeAutospacing="0" w:after="0" w:afterAutospacing="0" w:line="360" w:lineRule="exact"/>
              <w:ind w:left="0" w:right="0" w:firstLine="480"/>
              <w:jc w:val="center"/>
              <w:rPr>
                <w:rFonts w:hint="default" w:ascii="宋体" w:cs="宋体"/>
                <w:kern w:val="0"/>
              </w:rPr>
            </w:pPr>
          </w:p>
          <w:p w14:paraId="22175400">
            <w:pPr>
              <w:keepNext w:val="0"/>
              <w:keepLines w:val="0"/>
              <w:suppressLineNumbers w:val="0"/>
              <w:adjustRightInd w:val="0"/>
              <w:snapToGrid w:val="0"/>
              <w:spacing w:before="0" w:beforeAutospacing="0" w:after="0" w:afterAutospacing="0" w:line="360" w:lineRule="exact"/>
              <w:ind w:left="0" w:right="0" w:firstLine="480"/>
              <w:jc w:val="center"/>
              <w:rPr>
                <w:rFonts w:hint="default" w:ascii="宋体" w:cs="宋体"/>
                <w:kern w:val="0"/>
              </w:rPr>
            </w:pPr>
          </w:p>
        </w:tc>
      </w:tr>
    </w:tbl>
    <w:p w14:paraId="18940EB3">
      <w:pPr>
        <w:pStyle w:val="15"/>
        <w:ind w:firstLine="480"/>
        <w:sectPr>
          <w:headerReference r:id="rId9" w:type="first"/>
          <w:headerReference r:id="rId8" w:type="even"/>
          <w:pgSz w:w="11906" w:h="16838"/>
          <w:pgMar w:top="1440" w:right="1080" w:bottom="1440" w:left="1080" w:header="737" w:footer="964" w:gutter="0"/>
          <w:pgBorders>
            <w:top w:val="thinThickSmallGap" w:color="auto" w:sz="12" w:space="10"/>
            <w:left w:val="none" w:sz="0" w:space="0"/>
            <w:bottom w:val="thinThickSmallGap" w:color="auto" w:sz="12" w:space="10"/>
            <w:right w:val="none" w:sz="0" w:space="0"/>
          </w:pgBorders>
          <w:pgNumType w:fmt="decimal"/>
          <w:cols w:space="720" w:num="1"/>
          <w:docGrid w:type="lines" w:linePitch="312" w:charSpace="0"/>
        </w:sectPr>
      </w:pPr>
    </w:p>
    <w:p w14:paraId="543D8A82">
      <w:pPr>
        <w:spacing w:line="360" w:lineRule="auto"/>
        <w:ind w:firstLine="0" w:firstLineChars="0"/>
        <w:jc w:val="left"/>
        <w:outlineLvl w:val="0"/>
        <w:rPr>
          <w:rStyle w:val="116"/>
          <w:rFonts w:hint="default" w:ascii="宋体" w:hAnsi="宋体" w:eastAsia="宋体" w:cs="宋体"/>
          <w:szCs w:val="28"/>
          <w:lang w:val="en-US" w:eastAsia="zh-CN"/>
        </w:rPr>
      </w:pPr>
      <w:bookmarkStart w:id="1620" w:name="_Toc8238"/>
      <w:bookmarkStart w:id="1621" w:name="_Toc23667"/>
      <w:bookmarkStart w:id="1622" w:name="_Toc14714"/>
      <w:bookmarkStart w:id="1623" w:name="_Toc13151"/>
      <w:bookmarkStart w:id="1624" w:name="_Toc21945"/>
      <w:bookmarkStart w:id="1625" w:name="_Toc20287"/>
      <w:bookmarkStart w:id="1626" w:name="_Toc11386"/>
      <w:bookmarkStart w:id="1627" w:name="_Toc29247"/>
      <w:bookmarkStart w:id="1628" w:name="_Toc3028"/>
      <w:bookmarkStart w:id="1629" w:name="_Toc21240"/>
      <w:bookmarkStart w:id="1630" w:name="_Toc5251"/>
      <w:bookmarkStart w:id="1631" w:name="_Toc2445"/>
      <w:bookmarkStart w:id="1632" w:name="_Toc30521"/>
      <w:bookmarkStart w:id="1633" w:name="_Toc19741"/>
      <w:bookmarkStart w:id="1634" w:name="_Toc14614"/>
      <w:bookmarkStart w:id="1635" w:name="_Toc11990"/>
      <w:bookmarkStart w:id="1636" w:name="_Toc15933"/>
      <w:bookmarkStart w:id="1637" w:name="_Toc7311"/>
      <w:bookmarkStart w:id="1638" w:name="_Toc20026"/>
      <w:bookmarkStart w:id="1639" w:name="_Toc10287"/>
      <w:bookmarkStart w:id="1640" w:name="_Toc19749"/>
      <w:bookmarkStart w:id="1641" w:name="_Toc5348"/>
      <w:bookmarkStart w:id="1642" w:name="_Toc29325"/>
      <w:bookmarkStart w:id="1643" w:name="_Toc12479"/>
      <w:r>
        <w:rPr>
          <w:rStyle w:val="116"/>
          <w:rFonts w:hint="eastAsia" w:ascii="宋体" w:hAnsi="宋体" w:eastAsia="宋体" w:cs="宋体"/>
          <w:szCs w:val="28"/>
          <w:lang w:val="zh-CN"/>
        </w:rPr>
        <w:t>附件</w:t>
      </w:r>
      <w:bookmarkEnd w:id="1537"/>
      <w:bookmarkEnd w:id="1538"/>
      <w:bookmarkEnd w:id="1539"/>
      <w:bookmarkEnd w:id="1540"/>
      <w:bookmarkEnd w:id="1541"/>
      <w:bookmarkEnd w:id="1542"/>
      <w:bookmarkEnd w:id="1543"/>
      <w:bookmarkEnd w:id="1544"/>
      <w:bookmarkEnd w:id="1545"/>
      <w:bookmarkEnd w:id="1546"/>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r>
        <w:rPr>
          <w:rStyle w:val="116"/>
          <w:rFonts w:hint="eastAsia" w:ascii="宋体" w:hAnsi="宋体" w:cs="宋体"/>
          <w:szCs w:val="28"/>
          <w:lang w:val="en-US" w:eastAsia="zh-CN"/>
        </w:rPr>
        <w:t>5</w:t>
      </w:r>
      <w:bookmarkEnd w:id="1642"/>
    </w:p>
    <w:bookmarkEnd w:id="1476"/>
    <w:bookmarkEnd w:id="1643"/>
    <w:p w14:paraId="1BFED4F3">
      <w:pPr>
        <w:spacing w:line="420" w:lineRule="auto"/>
        <w:ind w:firstLine="0" w:firstLineChars="0"/>
        <w:jc w:val="center"/>
        <w:rPr>
          <w:rFonts w:ascii="宋体" w:hAnsi="宋体"/>
          <w:b/>
          <w:bCs/>
          <w:sz w:val="30"/>
          <w:szCs w:val="30"/>
        </w:rPr>
      </w:pPr>
      <w:bookmarkStart w:id="1644" w:name="_Toc28427"/>
      <w:bookmarkStart w:id="1645" w:name="_Toc13480"/>
      <w:r>
        <w:rPr>
          <w:rFonts w:hint="eastAsia" w:ascii="宋体" w:hAnsi="宋体"/>
          <w:b/>
          <w:bCs/>
          <w:sz w:val="30"/>
          <w:szCs w:val="30"/>
          <w:lang w:val="en-US" w:eastAsia="zh-CN"/>
        </w:rPr>
        <w:t>类似</w:t>
      </w:r>
      <w:r>
        <w:rPr>
          <w:rFonts w:hint="eastAsia" w:ascii="宋体" w:hAnsi="宋体"/>
          <w:b/>
          <w:bCs/>
          <w:sz w:val="30"/>
          <w:szCs w:val="30"/>
        </w:rPr>
        <w:t>业绩一览表</w:t>
      </w:r>
    </w:p>
    <w:p w14:paraId="27F7F353">
      <w:pPr>
        <w:pStyle w:val="21"/>
        <w:adjustRightInd w:val="0"/>
        <w:snapToGrid w:val="0"/>
        <w:spacing w:line="360" w:lineRule="auto"/>
        <w:ind w:left="178" w:firstLine="480"/>
        <w:jc w:val="left"/>
      </w:pPr>
      <w:r>
        <w:rPr>
          <w:rFonts w:hint="eastAsia"/>
        </w:rPr>
        <w:t>项目名称：</w:t>
      </w:r>
    </w:p>
    <w:p w14:paraId="492D9358">
      <w:pPr>
        <w:pStyle w:val="21"/>
        <w:adjustRightInd w:val="0"/>
        <w:snapToGrid w:val="0"/>
        <w:spacing w:line="360" w:lineRule="auto"/>
        <w:ind w:left="178" w:firstLine="480"/>
        <w:jc w:val="left"/>
        <w:rPr>
          <w:rFonts w:hAnsi="宋体"/>
          <w:b/>
          <w:sz w:val="28"/>
          <w:szCs w:val="28"/>
        </w:rPr>
      </w:pPr>
      <w:r>
        <w:rPr>
          <w:rFonts w:hint="eastAsia"/>
          <w:lang w:eastAsia="zh-CN"/>
        </w:rPr>
        <w:t>项目编号</w:t>
      </w:r>
      <w:r>
        <w:rPr>
          <w:rFonts w:hint="eastAsia"/>
        </w:rPr>
        <w:t>：</w:t>
      </w:r>
    </w:p>
    <w:tbl>
      <w:tblPr>
        <w:tblStyle w:val="38"/>
        <w:tblW w:w="9975" w:type="dxa"/>
        <w:tblInd w:w="0" w:type="dxa"/>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04"/>
        <w:gridCol w:w="1638"/>
        <w:gridCol w:w="2420"/>
        <w:gridCol w:w="1975"/>
        <w:gridCol w:w="2138"/>
      </w:tblGrid>
      <w:tr w14:paraId="1A52CAA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1804" w:type="dxa"/>
            <w:vMerge w:val="restart"/>
            <w:tcBorders>
              <w:top w:val="thinThickSmallGap" w:color="auto" w:sz="12" w:space="0"/>
            </w:tcBorders>
            <w:vAlign w:val="center"/>
          </w:tcPr>
          <w:p w14:paraId="3C762DCA">
            <w:pPr>
              <w:keepNext w:val="0"/>
              <w:keepLines w:val="0"/>
              <w:suppressLineNumbers w:val="0"/>
              <w:snapToGrid w:val="0"/>
              <w:spacing w:before="0" w:beforeAutospacing="0" w:after="0" w:afterAutospacing="0" w:line="320" w:lineRule="exact"/>
              <w:ind w:left="0" w:right="0" w:firstLine="0" w:firstLineChars="0"/>
              <w:jc w:val="center"/>
              <w:rPr>
                <w:rFonts w:hint="default" w:ascii="宋体" w:cs="宋体"/>
              </w:rPr>
            </w:pPr>
            <w:r>
              <w:rPr>
                <w:rFonts w:hint="eastAsia" w:ascii="宋体" w:hAnsi="宋体" w:cs="宋体"/>
                <w:lang w:eastAsia="zh-CN"/>
              </w:rPr>
              <w:t>采购人</w:t>
            </w:r>
            <w:r>
              <w:rPr>
                <w:rFonts w:hint="eastAsia" w:ascii="宋体" w:hAnsi="宋体" w:cs="宋体"/>
              </w:rPr>
              <w:t>名称</w:t>
            </w:r>
          </w:p>
        </w:tc>
        <w:tc>
          <w:tcPr>
            <w:tcW w:w="1638" w:type="dxa"/>
            <w:vMerge w:val="restart"/>
            <w:tcBorders>
              <w:top w:val="thinThickSmallGap" w:color="auto" w:sz="12" w:space="0"/>
            </w:tcBorders>
            <w:vAlign w:val="center"/>
          </w:tcPr>
          <w:p w14:paraId="008569E7">
            <w:pPr>
              <w:keepNext w:val="0"/>
              <w:keepLines w:val="0"/>
              <w:suppressLineNumbers w:val="0"/>
              <w:snapToGrid w:val="0"/>
              <w:spacing w:before="0" w:beforeAutospacing="0" w:after="0" w:afterAutospacing="0" w:line="320" w:lineRule="exact"/>
              <w:ind w:left="0" w:right="0" w:firstLine="0" w:firstLineChars="0"/>
              <w:jc w:val="center"/>
              <w:rPr>
                <w:rFonts w:hint="default" w:ascii="宋体" w:cs="宋体"/>
              </w:rPr>
            </w:pPr>
            <w:r>
              <w:rPr>
                <w:rFonts w:hint="eastAsia" w:ascii="宋体" w:hAnsi="宋体" w:cs="宋体"/>
              </w:rPr>
              <w:t>项目名称</w:t>
            </w:r>
          </w:p>
        </w:tc>
        <w:tc>
          <w:tcPr>
            <w:tcW w:w="2420" w:type="dxa"/>
            <w:vMerge w:val="restart"/>
            <w:tcBorders>
              <w:top w:val="thinThickSmallGap" w:color="auto" w:sz="12" w:space="0"/>
            </w:tcBorders>
            <w:vAlign w:val="center"/>
          </w:tcPr>
          <w:p w14:paraId="52567AD9">
            <w:pPr>
              <w:keepNext w:val="0"/>
              <w:keepLines w:val="0"/>
              <w:suppressLineNumbers w:val="0"/>
              <w:snapToGrid w:val="0"/>
              <w:spacing w:before="0" w:beforeAutospacing="0" w:after="0" w:afterAutospacing="0" w:line="320" w:lineRule="exact"/>
              <w:ind w:left="0" w:right="0" w:firstLine="0" w:firstLineChars="0"/>
              <w:jc w:val="center"/>
              <w:rPr>
                <w:rFonts w:hint="default" w:ascii="宋体" w:eastAsia="宋体" w:cs="宋体"/>
                <w:lang w:val="en-US" w:eastAsia="zh-CN"/>
              </w:rPr>
            </w:pPr>
            <w:r>
              <w:rPr>
                <w:rFonts w:hint="eastAsia" w:ascii="宋体" w:hAnsi="宋体" w:cs="宋体"/>
                <w:lang w:val="en-US" w:eastAsia="zh-CN"/>
              </w:rPr>
              <w:t>供货期限</w:t>
            </w:r>
          </w:p>
        </w:tc>
        <w:tc>
          <w:tcPr>
            <w:tcW w:w="1975" w:type="dxa"/>
            <w:vMerge w:val="restart"/>
            <w:tcBorders>
              <w:top w:val="thinThickSmallGap" w:color="auto" w:sz="12" w:space="0"/>
            </w:tcBorders>
            <w:vAlign w:val="center"/>
          </w:tcPr>
          <w:p w14:paraId="02D196B0">
            <w:pPr>
              <w:keepNext w:val="0"/>
              <w:keepLines w:val="0"/>
              <w:suppressLineNumbers w:val="0"/>
              <w:snapToGrid w:val="0"/>
              <w:spacing w:before="0" w:beforeAutospacing="0" w:after="0" w:afterAutospacing="0" w:line="320" w:lineRule="exact"/>
              <w:ind w:left="0" w:right="0" w:firstLine="0" w:firstLineChars="0"/>
              <w:jc w:val="center"/>
              <w:rPr>
                <w:rFonts w:hint="default" w:ascii="宋体" w:cs="宋体"/>
              </w:rPr>
            </w:pPr>
            <w:r>
              <w:rPr>
                <w:rFonts w:hint="eastAsia" w:ascii="宋体" w:hAnsi="宋体" w:cs="宋体"/>
              </w:rPr>
              <w:t>项目</w:t>
            </w:r>
            <w:r>
              <w:rPr>
                <w:rFonts w:hint="eastAsia" w:ascii="宋体" w:hAnsi="宋体" w:cs="宋体"/>
                <w:lang w:val="en-US" w:eastAsia="zh-CN"/>
              </w:rPr>
              <w:t>预算</w:t>
            </w:r>
            <w:r>
              <w:rPr>
                <w:rFonts w:hint="eastAsia" w:ascii="宋体" w:hAnsi="宋体" w:cs="宋体"/>
              </w:rPr>
              <w:t>金额</w:t>
            </w:r>
          </w:p>
          <w:p w14:paraId="1A202778">
            <w:pPr>
              <w:keepNext w:val="0"/>
              <w:keepLines w:val="0"/>
              <w:suppressLineNumbers w:val="0"/>
              <w:snapToGrid w:val="0"/>
              <w:spacing w:before="0" w:beforeAutospacing="0" w:after="0" w:afterAutospacing="0" w:line="320" w:lineRule="exact"/>
              <w:ind w:left="0" w:right="0" w:firstLine="0" w:firstLineChars="0"/>
              <w:jc w:val="center"/>
              <w:rPr>
                <w:rFonts w:hint="default" w:ascii="宋体" w:cs="宋体"/>
              </w:rPr>
            </w:pPr>
            <w:r>
              <w:rPr>
                <w:rFonts w:hint="eastAsia" w:ascii="宋体" w:hAnsi="宋体" w:cs="宋体"/>
              </w:rPr>
              <w:t>（万元）</w:t>
            </w:r>
          </w:p>
        </w:tc>
        <w:tc>
          <w:tcPr>
            <w:tcW w:w="2138" w:type="dxa"/>
            <w:vMerge w:val="restart"/>
            <w:tcBorders>
              <w:top w:val="thinThickSmallGap" w:color="auto" w:sz="12" w:space="0"/>
            </w:tcBorders>
            <w:vAlign w:val="center"/>
          </w:tcPr>
          <w:p w14:paraId="0E75190C">
            <w:pPr>
              <w:keepNext w:val="0"/>
              <w:keepLines w:val="0"/>
              <w:suppressLineNumbers w:val="0"/>
              <w:snapToGrid w:val="0"/>
              <w:spacing w:before="0" w:beforeAutospacing="0" w:after="0" w:afterAutospacing="0" w:line="320" w:lineRule="exact"/>
              <w:ind w:left="0" w:right="0" w:firstLine="0" w:firstLineChars="0"/>
              <w:jc w:val="center"/>
              <w:rPr>
                <w:rFonts w:hint="default" w:ascii="宋体" w:cs="宋体"/>
              </w:rPr>
            </w:pPr>
            <w:r>
              <w:rPr>
                <w:rFonts w:hint="eastAsia" w:ascii="宋体" w:hAnsi="宋体" w:cs="宋体"/>
                <w:lang w:eastAsia="zh-CN"/>
              </w:rPr>
              <w:t>采购人</w:t>
            </w:r>
            <w:r>
              <w:rPr>
                <w:rFonts w:hint="eastAsia" w:ascii="宋体" w:hAnsi="宋体" w:cs="宋体"/>
              </w:rPr>
              <w:t>联系人及</w:t>
            </w:r>
          </w:p>
          <w:p w14:paraId="627DF7A5">
            <w:pPr>
              <w:keepNext w:val="0"/>
              <w:keepLines w:val="0"/>
              <w:suppressLineNumbers w:val="0"/>
              <w:snapToGrid w:val="0"/>
              <w:spacing w:before="0" w:beforeAutospacing="0" w:after="0" w:afterAutospacing="0" w:line="320" w:lineRule="exact"/>
              <w:ind w:left="0" w:right="0" w:firstLine="0" w:firstLineChars="0"/>
              <w:jc w:val="center"/>
              <w:rPr>
                <w:rFonts w:hint="default" w:ascii="宋体" w:cs="宋体"/>
              </w:rPr>
            </w:pPr>
            <w:r>
              <w:rPr>
                <w:rFonts w:hint="eastAsia" w:ascii="宋体" w:hAnsi="宋体" w:cs="宋体"/>
              </w:rPr>
              <w:t>联系电话</w:t>
            </w:r>
          </w:p>
        </w:tc>
      </w:tr>
      <w:tr w14:paraId="783952E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1804" w:type="dxa"/>
            <w:vMerge w:val="continue"/>
            <w:vAlign w:val="center"/>
          </w:tcPr>
          <w:p w14:paraId="41842C2E">
            <w:pPr>
              <w:keepNext w:val="0"/>
              <w:keepLines w:val="0"/>
              <w:widowControl/>
              <w:suppressLineNumbers w:val="0"/>
              <w:spacing w:before="0" w:beforeAutospacing="0" w:after="0" w:afterAutospacing="0" w:line="320" w:lineRule="exact"/>
              <w:ind w:left="0" w:right="0" w:firstLine="0" w:firstLineChars="0"/>
              <w:jc w:val="left"/>
              <w:rPr>
                <w:rFonts w:hint="default" w:ascii="宋体" w:cs="宋体"/>
              </w:rPr>
            </w:pPr>
          </w:p>
        </w:tc>
        <w:tc>
          <w:tcPr>
            <w:tcW w:w="1638" w:type="dxa"/>
            <w:vMerge w:val="continue"/>
            <w:vAlign w:val="center"/>
          </w:tcPr>
          <w:p w14:paraId="18D7E32C">
            <w:pPr>
              <w:keepNext w:val="0"/>
              <w:keepLines w:val="0"/>
              <w:widowControl/>
              <w:suppressLineNumbers w:val="0"/>
              <w:spacing w:before="0" w:beforeAutospacing="0" w:after="0" w:afterAutospacing="0" w:line="320" w:lineRule="exact"/>
              <w:ind w:left="0" w:right="0" w:firstLine="0" w:firstLineChars="0"/>
              <w:jc w:val="left"/>
              <w:rPr>
                <w:rFonts w:hint="default" w:ascii="宋体" w:cs="宋体"/>
              </w:rPr>
            </w:pPr>
          </w:p>
        </w:tc>
        <w:tc>
          <w:tcPr>
            <w:tcW w:w="2420" w:type="dxa"/>
            <w:vMerge w:val="continue"/>
            <w:vAlign w:val="center"/>
          </w:tcPr>
          <w:p w14:paraId="1660091D">
            <w:pPr>
              <w:keepNext w:val="0"/>
              <w:keepLines w:val="0"/>
              <w:widowControl/>
              <w:suppressLineNumbers w:val="0"/>
              <w:spacing w:before="0" w:beforeAutospacing="0" w:after="0" w:afterAutospacing="0" w:line="320" w:lineRule="exact"/>
              <w:ind w:left="0" w:right="0" w:firstLine="0" w:firstLineChars="0"/>
              <w:jc w:val="left"/>
              <w:rPr>
                <w:rFonts w:hint="default" w:ascii="宋体" w:cs="宋体"/>
              </w:rPr>
            </w:pPr>
          </w:p>
        </w:tc>
        <w:tc>
          <w:tcPr>
            <w:tcW w:w="1975" w:type="dxa"/>
            <w:vMerge w:val="continue"/>
            <w:vAlign w:val="center"/>
          </w:tcPr>
          <w:p w14:paraId="5809C0F1">
            <w:pPr>
              <w:keepNext w:val="0"/>
              <w:keepLines w:val="0"/>
              <w:widowControl/>
              <w:suppressLineNumbers w:val="0"/>
              <w:spacing w:before="0" w:beforeAutospacing="0" w:after="0" w:afterAutospacing="0" w:line="320" w:lineRule="exact"/>
              <w:ind w:left="0" w:right="0" w:firstLine="0" w:firstLineChars="0"/>
              <w:jc w:val="left"/>
              <w:rPr>
                <w:rFonts w:hint="default" w:ascii="宋体" w:cs="宋体"/>
              </w:rPr>
            </w:pPr>
          </w:p>
        </w:tc>
        <w:tc>
          <w:tcPr>
            <w:tcW w:w="2138" w:type="dxa"/>
            <w:vMerge w:val="continue"/>
            <w:vAlign w:val="center"/>
          </w:tcPr>
          <w:p w14:paraId="120BB18B">
            <w:pPr>
              <w:keepNext w:val="0"/>
              <w:keepLines w:val="0"/>
              <w:widowControl/>
              <w:suppressLineNumbers w:val="0"/>
              <w:spacing w:before="0" w:beforeAutospacing="0" w:after="0" w:afterAutospacing="0" w:line="320" w:lineRule="exact"/>
              <w:ind w:left="0" w:right="0" w:firstLine="0" w:firstLineChars="0"/>
              <w:jc w:val="left"/>
              <w:rPr>
                <w:rFonts w:hint="default" w:ascii="宋体" w:cs="宋体"/>
              </w:rPr>
            </w:pPr>
          </w:p>
        </w:tc>
      </w:tr>
      <w:tr w14:paraId="578337B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804" w:type="dxa"/>
          </w:tcPr>
          <w:p w14:paraId="4DE0A3A9">
            <w:pPr>
              <w:keepNext w:val="0"/>
              <w:keepLines w:val="0"/>
              <w:suppressLineNumbers w:val="0"/>
              <w:snapToGrid w:val="0"/>
              <w:spacing w:before="0" w:beforeAutospacing="0" w:after="0" w:afterAutospacing="0" w:line="320" w:lineRule="exact"/>
              <w:ind w:left="0" w:right="0" w:firstLine="0" w:firstLineChars="0"/>
              <w:jc w:val="left"/>
              <w:rPr>
                <w:rFonts w:hint="default" w:ascii="宋体" w:cs="宋体"/>
              </w:rPr>
            </w:pPr>
          </w:p>
        </w:tc>
        <w:tc>
          <w:tcPr>
            <w:tcW w:w="1638" w:type="dxa"/>
          </w:tcPr>
          <w:p w14:paraId="639C1873">
            <w:pPr>
              <w:keepNext w:val="0"/>
              <w:keepLines w:val="0"/>
              <w:suppressLineNumbers w:val="0"/>
              <w:snapToGrid w:val="0"/>
              <w:spacing w:before="0" w:beforeAutospacing="0" w:after="0" w:afterAutospacing="0" w:line="320" w:lineRule="exact"/>
              <w:ind w:left="0" w:right="0" w:firstLine="0" w:firstLineChars="0"/>
              <w:jc w:val="left"/>
              <w:rPr>
                <w:rFonts w:hint="default" w:ascii="宋体" w:cs="宋体"/>
              </w:rPr>
            </w:pPr>
          </w:p>
        </w:tc>
        <w:tc>
          <w:tcPr>
            <w:tcW w:w="2420" w:type="dxa"/>
          </w:tcPr>
          <w:p w14:paraId="2B14569F">
            <w:pPr>
              <w:keepNext w:val="0"/>
              <w:keepLines w:val="0"/>
              <w:suppressLineNumbers w:val="0"/>
              <w:snapToGrid w:val="0"/>
              <w:spacing w:before="0" w:beforeAutospacing="0" w:after="0" w:afterAutospacing="0" w:line="320" w:lineRule="exact"/>
              <w:ind w:left="0" w:right="0" w:firstLine="0" w:firstLineChars="0"/>
              <w:jc w:val="left"/>
              <w:rPr>
                <w:rFonts w:hint="default" w:ascii="宋体" w:cs="宋体"/>
              </w:rPr>
            </w:pPr>
          </w:p>
        </w:tc>
        <w:tc>
          <w:tcPr>
            <w:tcW w:w="1975" w:type="dxa"/>
          </w:tcPr>
          <w:p w14:paraId="361B8C4D">
            <w:pPr>
              <w:keepNext w:val="0"/>
              <w:keepLines w:val="0"/>
              <w:suppressLineNumbers w:val="0"/>
              <w:snapToGrid w:val="0"/>
              <w:spacing w:before="0" w:beforeAutospacing="0" w:after="0" w:afterAutospacing="0" w:line="320" w:lineRule="exact"/>
              <w:ind w:left="0" w:right="0" w:firstLine="0" w:firstLineChars="0"/>
              <w:jc w:val="left"/>
              <w:rPr>
                <w:rFonts w:hint="default" w:ascii="宋体" w:cs="宋体"/>
              </w:rPr>
            </w:pPr>
          </w:p>
        </w:tc>
        <w:tc>
          <w:tcPr>
            <w:tcW w:w="2138" w:type="dxa"/>
          </w:tcPr>
          <w:p w14:paraId="01A2662E">
            <w:pPr>
              <w:keepNext w:val="0"/>
              <w:keepLines w:val="0"/>
              <w:suppressLineNumbers w:val="0"/>
              <w:snapToGrid w:val="0"/>
              <w:spacing w:before="0" w:beforeAutospacing="0" w:after="0" w:afterAutospacing="0" w:line="320" w:lineRule="exact"/>
              <w:ind w:left="0" w:right="0" w:firstLine="0" w:firstLineChars="0"/>
              <w:jc w:val="left"/>
              <w:rPr>
                <w:rFonts w:hint="default" w:ascii="宋体" w:cs="宋体"/>
              </w:rPr>
            </w:pPr>
          </w:p>
        </w:tc>
      </w:tr>
      <w:tr w14:paraId="711B2F3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804" w:type="dxa"/>
          </w:tcPr>
          <w:p w14:paraId="1398DB74">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638" w:type="dxa"/>
          </w:tcPr>
          <w:p w14:paraId="653B10AC">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420" w:type="dxa"/>
          </w:tcPr>
          <w:p w14:paraId="4FD248B5">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975" w:type="dxa"/>
          </w:tcPr>
          <w:p w14:paraId="7CF44FA5">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138" w:type="dxa"/>
          </w:tcPr>
          <w:p w14:paraId="1C60ED03">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r>
      <w:tr w14:paraId="472A66F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804" w:type="dxa"/>
          </w:tcPr>
          <w:p w14:paraId="5676B150">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638" w:type="dxa"/>
          </w:tcPr>
          <w:p w14:paraId="25845F39">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420" w:type="dxa"/>
          </w:tcPr>
          <w:p w14:paraId="5C88168C">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975" w:type="dxa"/>
          </w:tcPr>
          <w:p w14:paraId="258B3708">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138" w:type="dxa"/>
          </w:tcPr>
          <w:p w14:paraId="2DC30A4F">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r>
      <w:tr w14:paraId="3B07430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804" w:type="dxa"/>
          </w:tcPr>
          <w:p w14:paraId="04D6A3E3">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638" w:type="dxa"/>
          </w:tcPr>
          <w:p w14:paraId="6C0DED2A">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420" w:type="dxa"/>
          </w:tcPr>
          <w:p w14:paraId="364F98D6">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975" w:type="dxa"/>
          </w:tcPr>
          <w:p w14:paraId="682DC657">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138" w:type="dxa"/>
          </w:tcPr>
          <w:p w14:paraId="5A420EF6">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r>
      <w:tr w14:paraId="5AD9EDD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804" w:type="dxa"/>
          </w:tcPr>
          <w:p w14:paraId="2D44A445">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638" w:type="dxa"/>
          </w:tcPr>
          <w:p w14:paraId="4425797D">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420" w:type="dxa"/>
          </w:tcPr>
          <w:p w14:paraId="6A4DF5E9">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975" w:type="dxa"/>
          </w:tcPr>
          <w:p w14:paraId="0A6ADBE8">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138" w:type="dxa"/>
          </w:tcPr>
          <w:p w14:paraId="5D18C846">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r>
      <w:tr w14:paraId="1AF7D8F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804" w:type="dxa"/>
          </w:tcPr>
          <w:p w14:paraId="59B05CBA">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638" w:type="dxa"/>
          </w:tcPr>
          <w:p w14:paraId="0654A666">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420" w:type="dxa"/>
          </w:tcPr>
          <w:p w14:paraId="5E608333">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975" w:type="dxa"/>
          </w:tcPr>
          <w:p w14:paraId="02BBC1CF">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138" w:type="dxa"/>
          </w:tcPr>
          <w:p w14:paraId="28FC02F7">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r>
      <w:tr w14:paraId="11182A7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804" w:type="dxa"/>
            <w:tcBorders>
              <w:bottom w:val="thinThickSmallGap" w:color="auto" w:sz="12" w:space="0"/>
            </w:tcBorders>
          </w:tcPr>
          <w:p w14:paraId="2BFEF6DD">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638" w:type="dxa"/>
            <w:tcBorders>
              <w:bottom w:val="thinThickSmallGap" w:color="auto" w:sz="12" w:space="0"/>
            </w:tcBorders>
          </w:tcPr>
          <w:p w14:paraId="57738AFC">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420" w:type="dxa"/>
            <w:tcBorders>
              <w:bottom w:val="thinThickSmallGap" w:color="auto" w:sz="12" w:space="0"/>
            </w:tcBorders>
          </w:tcPr>
          <w:p w14:paraId="00EACBFD">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1975" w:type="dxa"/>
            <w:tcBorders>
              <w:bottom w:val="thinThickSmallGap" w:color="auto" w:sz="12" w:space="0"/>
            </w:tcBorders>
          </w:tcPr>
          <w:p w14:paraId="65280320">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c>
          <w:tcPr>
            <w:tcW w:w="2138" w:type="dxa"/>
            <w:tcBorders>
              <w:bottom w:val="thinThickSmallGap" w:color="auto" w:sz="12" w:space="0"/>
            </w:tcBorders>
          </w:tcPr>
          <w:p w14:paraId="0D4925FA">
            <w:pPr>
              <w:keepNext w:val="0"/>
              <w:keepLines w:val="0"/>
              <w:suppressLineNumbers w:val="0"/>
              <w:snapToGrid w:val="0"/>
              <w:spacing w:before="0" w:beforeAutospacing="0" w:after="0" w:afterAutospacing="0" w:line="400" w:lineRule="exact"/>
              <w:ind w:left="0" w:right="0" w:firstLine="0" w:firstLineChars="0"/>
              <w:jc w:val="left"/>
              <w:rPr>
                <w:rFonts w:hint="default" w:ascii="宋体" w:cs="宋体"/>
              </w:rPr>
            </w:pPr>
          </w:p>
        </w:tc>
      </w:tr>
    </w:tbl>
    <w:p w14:paraId="00689B01">
      <w:pPr>
        <w:pStyle w:val="32"/>
        <w:ind w:firstLine="0" w:firstLineChars="0"/>
        <w:jc w:val="both"/>
        <w:outlineLvl w:val="9"/>
      </w:pPr>
    </w:p>
    <w:bookmarkEnd w:id="1644"/>
    <w:bookmarkEnd w:id="1645"/>
    <w:p w14:paraId="11D7A3DC">
      <w:pPr>
        <w:autoSpaceDE w:val="0"/>
        <w:autoSpaceDN w:val="0"/>
        <w:adjustRightInd w:val="0"/>
        <w:snapToGrid w:val="0"/>
        <w:spacing w:after="156" w:afterLines="50"/>
        <w:ind w:firstLine="0" w:firstLineChars="0"/>
        <w:jc w:val="center"/>
        <w:rPr>
          <w:rFonts w:ascii="宋体" w:hAnsi="宋体"/>
          <w:b/>
          <w:sz w:val="30"/>
          <w:szCs w:val="30"/>
          <w:lang w:val="zh-CN"/>
        </w:rPr>
      </w:pPr>
    </w:p>
    <w:p w14:paraId="4022F133">
      <w:pPr>
        <w:snapToGrid w:val="0"/>
        <w:spacing w:line="480" w:lineRule="exact"/>
        <w:ind w:firstLine="3840" w:firstLineChars="1600"/>
        <w:rPr>
          <w:rFonts w:ascii="宋体" w:hAnsi="宋体"/>
          <w:lang w:val="zh-CN"/>
        </w:rPr>
      </w:pPr>
      <w:r>
        <w:rPr>
          <w:rFonts w:hint="eastAsia" w:ascii="宋体" w:hAnsi="宋体"/>
          <w:lang w:val="zh-CN"/>
        </w:rPr>
        <w:t>供应商名称（盖章）：</w:t>
      </w:r>
    </w:p>
    <w:p w14:paraId="09CA0DC9">
      <w:pPr>
        <w:snapToGrid w:val="0"/>
        <w:spacing w:line="480" w:lineRule="exact"/>
        <w:ind w:firstLine="3840" w:firstLineChars="1600"/>
        <w:rPr>
          <w:rFonts w:ascii="宋体" w:hAnsi="宋体"/>
        </w:rPr>
      </w:pPr>
      <w:r>
        <w:rPr>
          <w:rFonts w:hint="eastAsia" w:ascii="宋体" w:hAnsi="宋体"/>
          <w:lang w:val="zh-CN"/>
        </w:rPr>
        <w:t>法定代表人或授权委托人（签字或盖章）：</w:t>
      </w:r>
    </w:p>
    <w:p w14:paraId="4A949D3B">
      <w:pPr>
        <w:snapToGrid w:val="0"/>
        <w:spacing w:line="480" w:lineRule="exact"/>
        <w:ind w:firstLine="3840" w:firstLineChars="1600"/>
        <w:rPr>
          <w:lang w:val="zh-CN"/>
        </w:rPr>
        <w:sectPr>
          <w:pgSz w:w="11906" w:h="16838"/>
          <w:pgMar w:top="1440" w:right="1080" w:bottom="1440" w:left="1080" w:header="737" w:footer="964" w:gutter="0"/>
          <w:pgBorders>
            <w:top w:val="thinThickSmallGap" w:color="auto" w:sz="12" w:space="10"/>
            <w:left w:val="none" w:sz="0" w:space="0"/>
            <w:bottom w:val="thinThickSmallGap" w:color="auto" w:sz="12" w:space="10"/>
            <w:right w:val="none" w:sz="0" w:space="0"/>
          </w:pgBorders>
          <w:pgNumType w:fmt="decimal"/>
          <w:cols w:space="720" w:num="1"/>
          <w:docGrid w:type="lines" w:linePitch="312" w:charSpace="0"/>
        </w:sectPr>
      </w:pPr>
      <w:r>
        <w:rPr>
          <w:rFonts w:hint="eastAsia" w:ascii="宋体" w:hAnsi="宋体"/>
          <w:lang w:val="zh-CN"/>
        </w:rPr>
        <w:t>日期：     年   月   日</w:t>
      </w:r>
    </w:p>
    <w:p w14:paraId="5070F9C9">
      <w:pPr>
        <w:ind w:left="0" w:leftChars="0" w:firstLine="0" w:firstLineChars="0"/>
        <w:rPr>
          <w:rFonts w:hint="eastAsia" w:ascii="宋体" w:hAnsi="宋体" w:eastAsia="宋体" w:cs="宋体"/>
          <w:b/>
          <w:bCs/>
          <w:highlight w:val="none"/>
          <w:lang w:val="en-US" w:eastAsia="zh-CN"/>
        </w:rPr>
      </w:pPr>
      <w:r>
        <w:rPr>
          <w:highlight w:val="none"/>
          <w:lang w:bidi="ar"/>
        </w:rPr>
        <w:t xml:space="preserve"> </w:t>
      </w:r>
      <w:r>
        <w:rPr>
          <w:rFonts w:hint="eastAsia" w:ascii="宋体" w:hAnsi="宋体" w:cs="宋体"/>
          <w:b/>
          <w:bCs/>
          <w:highlight w:val="none"/>
          <w:lang w:bidi="ar"/>
        </w:rPr>
        <w:t>附件</w:t>
      </w:r>
      <w:r>
        <w:rPr>
          <w:rFonts w:hint="eastAsia" w:ascii="宋体" w:hAnsi="宋体" w:cs="宋体"/>
          <w:b/>
          <w:bCs/>
          <w:highlight w:val="none"/>
          <w:lang w:val="en-US" w:eastAsia="zh-CN" w:bidi="ar"/>
        </w:rPr>
        <w:t>6</w:t>
      </w:r>
    </w:p>
    <w:p w14:paraId="7DFC9294">
      <w:pPr>
        <w:pStyle w:val="31"/>
        <w:keepNext w:val="0"/>
        <w:keepLines w:val="0"/>
        <w:widowControl w:val="0"/>
        <w:suppressLineNumbers w:val="0"/>
        <w:spacing w:before="0" w:beforeAutospacing="0" w:after="0" w:afterAutospacing="0" w:line="360" w:lineRule="auto"/>
        <w:ind w:left="0" w:leftChars="0" w:right="0" w:firstLine="0" w:firstLineChars="0"/>
        <w:jc w:val="center"/>
        <w:outlineLvl w:val="0"/>
        <w:rPr>
          <w:rFonts w:hint="eastAsia" w:ascii="宋体" w:hAnsi="宋体" w:eastAsia="宋体" w:cs="宋体"/>
          <w:b/>
          <w:bCs/>
          <w:color w:val="auto"/>
          <w:kern w:val="0"/>
          <w:sz w:val="30"/>
          <w:szCs w:val="30"/>
          <w:highlight w:val="none"/>
        </w:rPr>
      </w:pPr>
      <w:bookmarkStart w:id="1646" w:name="_Toc1726"/>
      <w:r>
        <w:rPr>
          <w:rFonts w:hint="eastAsia" w:ascii="宋体" w:hAnsi="宋体" w:eastAsia="宋体" w:cs="宋体"/>
          <w:b/>
          <w:bCs/>
          <w:color w:val="auto"/>
          <w:kern w:val="0"/>
          <w:sz w:val="30"/>
          <w:szCs w:val="30"/>
          <w:highlight w:val="none"/>
          <w:lang w:val="en-US" w:eastAsia="zh-CN" w:bidi="ar"/>
        </w:rPr>
        <w:t>拟投入</w:t>
      </w:r>
      <w:r>
        <w:rPr>
          <w:rFonts w:hint="eastAsia" w:cs="宋体"/>
          <w:b/>
          <w:bCs/>
          <w:color w:val="auto"/>
          <w:kern w:val="0"/>
          <w:sz w:val="30"/>
          <w:szCs w:val="30"/>
          <w:highlight w:val="none"/>
          <w:lang w:val="en-US" w:eastAsia="zh-CN" w:bidi="ar"/>
        </w:rPr>
        <w:t>项目组</w:t>
      </w:r>
      <w:r>
        <w:rPr>
          <w:rFonts w:hint="eastAsia" w:ascii="宋体" w:hAnsi="宋体" w:eastAsia="宋体" w:cs="宋体"/>
          <w:b/>
          <w:bCs/>
          <w:color w:val="auto"/>
          <w:kern w:val="0"/>
          <w:sz w:val="30"/>
          <w:szCs w:val="30"/>
          <w:highlight w:val="none"/>
          <w:lang w:val="en-US" w:eastAsia="zh-CN" w:bidi="ar"/>
        </w:rPr>
        <w:t>人员一览表</w:t>
      </w:r>
      <w:bookmarkEnd w:id="1646"/>
    </w:p>
    <w:p w14:paraId="034377A9">
      <w:pPr>
        <w:ind w:firstLine="480"/>
        <w:rPr>
          <w:rFonts w:cs="宋体"/>
          <w:color w:val="auto"/>
          <w:highlight w:val="none"/>
        </w:rPr>
      </w:pPr>
      <w:r>
        <w:rPr>
          <w:rFonts w:hint="eastAsia" w:ascii="宋体" w:hAnsi="宋体" w:cs="宋体"/>
          <w:color w:val="auto"/>
          <w:highlight w:val="none"/>
          <w:lang w:bidi="ar"/>
        </w:rPr>
        <w:t>项目名称：</w:t>
      </w:r>
    </w:p>
    <w:p w14:paraId="2EC51022">
      <w:pPr>
        <w:ind w:firstLine="480"/>
        <w:rPr>
          <w:rFonts w:hint="eastAsia"/>
          <w:color w:val="auto"/>
          <w:highlight w:val="none"/>
          <w:lang w:eastAsia="zh-CN"/>
        </w:rPr>
      </w:pPr>
      <w:r>
        <w:rPr>
          <w:rFonts w:hint="eastAsia" w:ascii="宋体" w:hAnsi="宋体" w:cs="宋体"/>
          <w:color w:val="auto"/>
          <w:highlight w:val="none"/>
          <w:lang w:bidi="ar"/>
        </w:rPr>
        <w:t>项目编号：</w:t>
      </w:r>
    </w:p>
    <w:tbl>
      <w:tblPr>
        <w:tblStyle w:val="38"/>
        <w:tblW w:w="996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1423"/>
        <w:gridCol w:w="1365"/>
        <w:gridCol w:w="2040"/>
        <w:gridCol w:w="1620"/>
        <w:gridCol w:w="1875"/>
        <w:gridCol w:w="1640"/>
      </w:tblGrid>
      <w:tr w14:paraId="3D47C9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85" w:hRule="atLeast"/>
          <w:jc w:val="center"/>
        </w:trPr>
        <w:tc>
          <w:tcPr>
            <w:tcW w:w="14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1E4AC">
            <w:pPr>
              <w:keepNext w:val="0"/>
              <w:keepLines w:val="0"/>
              <w:suppressLineNumbers w:val="0"/>
              <w:spacing w:before="0" w:beforeAutospacing="0" w:after="0" w:afterAutospacing="0"/>
              <w:ind w:left="0" w:leftChars="0" w:right="0" w:firstLine="0" w:firstLineChars="0"/>
              <w:jc w:val="center"/>
              <w:rPr>
                <w:rFonts w:hint="eastAsia" w:ascii="宋体" w:hAnsi="宋体" w:cs="宋体"/>
                <w:color w:val="auto"/>
                <w:highlight w:val="none"/>
                <w:lang w:bidi="ar"/>
              </w:rPr>
            </w:pPr>
            <w:r>
              <w:rPr>
                <w:rFonts w:hint="eastAsia" w:ascii="宋体" w:hAnsi="宋体" w:cs="宋体"/>
                <w:color w:val="auto"/>
                <w:highlight w:val="none"/>
                <w:lang w:val="en-US" w:eastAsia="zh-CN" w:bidi="ar"/>
              </w:rPr>
              <w:t>姓名</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EBA52">
            <w:pPr>
              <w:keepNext w:val="0"/>
              <w:keepLines w:val="0"/>
              <w:suppressLineNumbers w:val="0"/>
              <w:spacing w:before="0" w:beforeAutospacing="0" w:after="0" w:afterAutospacing="0"/>
              <w:ind w:left="0" w:leftChars="0" w:right="0" w:firstLine="0" w:firstLineChars="0"/>
              <w:jc w:val="center"/>
              <w:rPr>
                <w:rFonts w:hint="eastAsia" w:ascii="宋体" w:hAnsi="宋体" w:cs="宋体"/>
                <w:color w:val="auto"/>
                <w:highlight w:val="none"/>
                <w:lang w:bidi="ar"/>
              </w:rPr>
            </w:pPr>
            <w:r>
              <w:rPr>
                <w:rFonts w:hint="eastAsia" w:ascii="宋体" w:hAnsi="宋体" w:cs="宋体"/>
                <w:color w:val="auto"/>
                <w:highlight w:val="none"/>
                <w:lang w:val="en-US" w:eastAsia="zh-CN" w:bidi="ar"/>
              </w:rPr>
              <w:t>职务</w:t>
            </w: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B299E">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color w:val="auto"/>
                <w:highlight w:val="none"/>
                <w:lang w:val="en-US" w:eastAsia="zh-CN" w:bidi="ar"/>
              </w:rPr>
            </w:pPr>
            <w:r>
              <w:rPr>
                <w:rFonts w:hint="eastAsia" w:ascii="宋体" w:hAnsi="宋体" w:eastAsia="宋体" w:cs="宋体"/>
                <w:color w:val="auto"/>
                <w:highlight w:val="none"/>
                <w:lang w:val="en-US" w:eastAsia="zh-CN" w:bidi="ar"/>
              </w:rPr>
              <w:t>职称或资格</w:t>
            </w: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50064">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color w:val="auto"/>
                <w:highlight w:val="none"/>
                <w:lang w:val="en-US" w:eastAsia="zh-CN" w:bidi="ar"/>
              </w:rPr>
            </w:pPr>
            <w:r>
              <w:rPr>
                <w:rFonts w:hint="eastAsia" w:ascii="宋体" w:hAnsi="宋体" w:eastAsia="宋体" w:cs="宋体"/>
                <w:color w:val="auto"/>
                <w:highlight w:val="none"/>
                <w:lang w:val="en-US" w:eastAsia="zh-CN" w:bidi="ar"/>
              </w:rPr>
              <w:t>证书名称</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A4ED1">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color w:val="auto"/>
                <w:highlight w:val="none"/>
                <w:lang w:val="en-US" w:eastAsia="zh-CN" w:bidi="ar"/>
              </w:rPr>
            </w:pPr>
            <w:r>
              <w:rPr>
                <w:rFonts w:hint="eastAsia" w:ascii="宋体" w:hAnsi="宋体" w:eastAsia="宋体" w:cs="宋体"/>
                <w:color w:val="auto"/>
                <w:highlight w:val="none"/>
                <w:lang w:val="en-US" w:eastAsia="zh-CN" w:bidi="ar"/>
              </w:rPr>
              <w:t>专业</w:t>
            </w:r>
          </w:p>
        </w:tc>
        <w:tc>
          <w:tcPr>
            <w:tcW w:w="1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64BD3">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color w:val="auto"/>
                <w:highlight w:val="none"/>
                <w:lang w:val="en-US" w:eastAsia="zh-CN" w:bidi="ar"/>
              </w:rPr>
            </w:pPr>
            <w:r>
              <w:rPr>
                <w:rFonts w:hint="eastAsia" w:ascii="宋体" w:hAnsi="宋体" w:eastAsia="宋体" w:cs="宋体"/>
                <w:color w:val="auto"/>
                <w:highlight w:val="none"/>
                <w:lang w:val="en-US" w:eastAsia="zh-CN" w:bidi="ar"/>
              </w:rPr>
              <w:t>证号/类别</w:t>
            </w:r>
          </w:p>
        </w:tc>
      </w:tr>
      <w:tr w14:paraId="074243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93" w:hRule="atLeast"/>
          <w:jc w:val="center"/>
        </w:trPr>
        <w:tc>
          <w:tcPr>
            <w:tcW w:w="14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62C4E">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EFD93">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AF99D">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A51D4">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40122">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6C538">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r>
      <w:tr w14:paraId="0BC6A5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08" w:hRule="atLeast"/>
          <w:jc w:val="center"/>
        </w:trPr>
        <w:tc>
          <w:tcPr>
            <w:tcW w:w="14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5F962">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4B94A">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29CA8">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FB688">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F25CB">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3EEAF">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r>
      <w:tr w14:paraId="1BBBE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08" w:hRule="atLeast"/>
          <w:jc w:val="center"/>
        </w:trPr>
        <w:tc>
          <w:tcPr>
            <w:tcW w:w="14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B107C">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14239">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1197E">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F9E7D">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8B405">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26CE8">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r>
      <w:tr w14:paraId="1BAC7C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08" w:hRule="atLeast"/>
          <w:jc w:val="center"/>
        </w:trPr>
        <w:tc>
          <w:tcPr>
            <w:tcW w:w="14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7F58B">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3C87C">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36052">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A8ED0">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59887">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c>
          <w:tcPr>
            <w:tcW w:w="1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D8210">
            <w:pPr>
              <w:keepNext w:val="0"/>
              <w:keepLines w:val="0"/>
              <w:widowControl w:val="0"/>
              <w:suppressLineNumbers w:val="0"/>
              <w:adjustRightInd w:val="0"/>
              <w:snapToGrid w:val="0"/>
              <w:spacing w:before="0" w:beforeAutospacing="0" w:after="0" w:afterAutospacing="0" w:line="312" w:lineRule="auto"/>
              <w:ind w:left="0" w:right="0" w:firstLine="420" w:firstLineChars="200"/>
              <w:jc w:val="both"/>
              <w:rPr>
                <w:rFonts w:hint="eastAsia" w:ascii="宋体" w:hAnsi="宋体" w:eastAsia="宋体" w:cs="宋体"/>
                <w:color w:val="auto"/>
                <w:kern w:val="2"/>
                <w:sz w:val="21"/>
                <w:szCs w:val="21"/>
                <w:highlight w:val="none"/>
              </w:rPr>
            </w:pPr>
          </w:p>
        </w:tc>
      </w:tr>
    </w:tbl>
    <w:p w14:paraId="1530BEEC">
      <w:pPr>
        <w:adjustRightInd w:val="0"/>
        <w:snapToGrid w:val="0"/>
        <w:spacing w:line="360" w:lineRule="auto"/>
        <w:ind w:firstLine="4080" w:firstLineChars="1700"/>
        <w:textAlignment w:val="baseline"/>
        <w:rPr>
          <w:rFonts w:hint="eastAsia" w:ascii="宋体" w:hAnsi="宋体" w:cs="宋体"/>
          <w:highlight w:val="none"/>
          <w:lang w:bidi="ar"/>
        </w:rPr>
      </w:pPr>
    </w:p>
    <w:p w14:paraId="412DAFFF">
      <w:pPr>
        <w:adjustRightInd w:val="0"/>
        <w:snapToGrid w:val="0"/>
        <w:spacing w:line="360" w:lineRule="auto"/>
        <w:ind w:firstLine="4080" w:firstLineChars="1700"/>
        <w:textAlignment w:val="baseline"/>
        <w:rPr>
          <w:rFonts w:hint="eastAsia" w:ascii="宋体" w:hAnsi="宋体" w:cs="宋体"/>
          <w:highlight w:val="none"/>
          <w:lang w:bidi="ar"/>
        </w:rPr>
      </w:pPr>
    </w:p>
    <w:p w14:paraId="25AA28E4">
      <w:pPr>
        <w:adjustRightInd w:val="0"/>
        <w:snapToGrid w:val="0"/>
        <w:spacing w:line="360" w:lineRule="auto"/>
        <w:ind w:firstLine="4080" w:firstLineChars="1700"/>
        <w:textAlignment w:val="baseline"/>
        <w:rPr>
          <w:rFonts w:hint="eastAsia" w:ascii="宋体" w:hAnsi="宋体" w:cs="宋体"/>
          <w:highlight w:val="none"/>
        </w:rPr>
      </w:pPr>
      <w:r>
        <w:rPr>
          <w:rFonts w:hint="eastAsia" w:ascii="宋体" w:hAnsi="宋体" w:cs="宋体"/>
          <w:highlight w:val="none"/>
          <w:lang w:bidi="ar"/>
        </w:rPr>
        <w:t>供应商名称（盖章）:</w:t>
      </w:r>
    </w:p>
    <w:p w14:paraId="0DB722E4">
      <w:pPr>
        <w:adjustRightInd w:val="0"/>
        <w:snapToGrid w:val="0"/>
        <w:spacing w:line="360" w:lineRule="auto"/>
        <w:ind w:firstLine="4080" w:firstLineChars="1700"/>
        <w:textAlignment w:val="baseline"/>
        <w:rPr>
          <w:rFonts w:hint="eastAsia" w:ascii="宋体" w:hAnsi="宋体" w:cs="宋体"/>
          <w:highlight w:val="none"/>
        </w:rPr>
      </w:pPr>
      <w:r>
        <w:rPr>
          <w:rFonts w:hint="eastAsia" w:ascii="宋体" w:hAnsi="宋体" w:cs="宋体"/>
          <w:highlight w:val="none"/>
          <w:lang w:bidi="ar"/>
        </w:rPr>
        <w:t>法定代表人或授权代理人（签字或盖章）:</w:t>
      </w:r>
    </w:p>
    <w:p w14:paraId="4EFAD8C7">
      <w:pPr>
        <w:widowControl/>
        <w:adjustRightInd w:val="0"/>
        <w:snapToGrid w:val="0"/>
        <w:spacing w:line="360" w:lineRule="auto"/>
        <w:ind w:firstLine="4080" w:firstLineChars="1700"/>
        <w:rPr>
          <w:rFonts w:hint="eastAsia" w:ascii="宋体" w:hAnsi="宋体" w:cs="宋体"/>
          <w:highlight w:val="none"/>
        </w:rPr>
      </w:pPr>
      <w:r>
        <w:rPr>
          <w:rFonts w:hint="eastAsia" w:ascii="宋体" w:hAnsi="宋体" w:cs="宋体"/>
          <w:highlight w:val="none"/>
          <w:lang w:bidi="ar"/>
        </w:rPr>
        <w:t>日期:</w:t>
      </w:r>
      <w:r>
        <w:rPr>
          <w:rFonts w:hint="eastAsia" w:ascii="宋体" w:hAnsi="宋体" w:cs="宋体"/>
          <w:highlight w:val="none"/>
          <w:lang w:eastAsia="zh-CN" w:bidi="ar"/>
        </w:rPr>
        <w:t>2025</w:t>
      </w:r>
      <w:r>
        <w:rPr>
          <w:rFonts w:hint="eastAsia" w:ascii="宋体" w:hAnsi="宋体" w:cs="宋体"/>
          <w:highlight w:val="none"/>
          <w:lang w:bidi="ar"/>
        </w:rPr>
        <w:t>年   月   日</w:t>
      </w:r>
    </w:p>
    <w:p w14:paraId="64CB49F0">
      <w:pPr>
        <w:ind w:left="0" w:leftChars="0" w:firstLine="0" w:firstLineChars="0"/>
        <w:rPr>
          <w:rFonts w:hint="eastAsia" w:ascii="宋体" w:hAnsi="宋体" w:cs="宋体"/>
          <w:b/>
          <w:bCs/>
          <w:highlight w:val="none"/>
          <w:lang w:bidi="ar"/>
        </w:rPr>
      </w:pPr>
    </w:p>
    <w:p w14:paraId="4876624A">
      <w:pPr>
        <w:ind w:left="0" w:leftChars="0" w:firstLine="0" w:firstLineChars="0"/>
        <w:rPr>
          <w:rFonts w:hint="eastAsia" w:ascii="宋体" w:hAnsi="宋体" w:cs="宋体"/>
          <w:b/>
          <w:bCs/>
          <w:highlight w:val="none"/>
          <w:lang w:bidi="ar"/>
        </w:rPr>
      </w:pPr>
    </w:p>
    <w:p w14:paraId="6D27356C">
      <w:pPr>
        <w:ind w:left="0" w:leftChars="0" w:firstLine="0" w:firstLineChars="0"/>
        <w:rPr>
          <w:rFonts w:hint="eastAsia" w:ascii="宋体" w:hAnsi="宋体" w:cs="宋体"/>
          <w:b/>
          <w:bCs/>
          <w:highlight w:val="none"/>
          <w:lang w:bidi="ar"/>
        </w:rPr>
      </w:pPr>
    </w:p>
    <w:p w14:paraId="54F3C5C0">
      <w:pPr>
        <w:ind w:left="0" w:leftChars="0" w:firstLine="0" w:firstLineChars="0"/>
        <w:rPr>
          <w:rFonts w:hint="eastAsia" w:ascii="宋体" w:hAnsi="宋体" w:cs="宋体"/>
          <w:b/>
          <w:bCs/>
          <w:highlight w:val="none"/>
          <w:lang w:bidi="ar"/>
        </w:rPr>
      </w:pPr>
    </w:p>
    <w:p w14:paraId="752763A9">
      <w:pPr>
        <w:ind w:left="0" w:leftChars="0" w:firstLine="0" w:firstLineChars="0"/>
        <w:rPr>
          <w:rFonts w:hint="eastAsia" w:ascii="宋体" w:hAnsi="宋体" w:cs="宋体"/>
          <w:b/>
          <w:bCs/>
          <w:highlight w:val="none"/>
          <w:lang w:bidi="ar"/>
        </w:rPr>
      </w:pPr>
    </w:p>
    <w:p w14:paraId="492E8E00">
      <w:pPr>
        <w:ind w:left="0" w:leftChars="0" w:firstLine="0" w:firstLineChars="0"/>
        <w:rPr>
          <w:rFonts w:hint="eastAsia" w:ascii="宋体" w:hAnsi="宋体" w:cs="宋体"/>
          <w:b/>
          <w:bCs/>
          <w:highlight w:val="none"/>
          <w:lang w:bidi="ar"/>
        </w:rPr>
      </w:pPr>
    </w:p>
    <w:p w14:paraId="577BB6B5">
      <w:pPr>
        <w:pStyle w:val="4"/>
        <w:numPr>
          <w:ilvl w:val="2"/>
          <w:numId w:val="0"/>
        </w:numPr>
        <w:ind w:leftChars="200"/>
        <w:rPr>
          <w:rFonts w:hint="eastAsia"/>
        </w:rPr>
      </w:pPr>
    </w:p>
    <w:p w14:paraId="61C797FB">
      <w:pPr>
        <w:ind w:left="0" w:leftChars="0" w:firstLine="0" w:firstLineChars="0"/>
        <w:rPr>
          <w:rFonts w:hint="eastAsia"/>
        </w:rPr>
      </w:pPr>
    </w:p>
    <w:p w14:paraId="4CB8CC76">
      <w:pPr>
        <w:ind w:left="0" w:leftChars="0" w:firstLine="0" w:firstLineChars="0"/>
        <w:rPr>
          <w:rFonts w:hint="eastAsia" w:ascii="宋体" w:hAnsi="宋体" w:cs="宋体"/>
          <w:b/>
          <w:bCs/>
          <w:highlight w:val="none"/>
          <w:lang w:bidi="ar"/>
        </w:rPr>
      </w:pPr>
    </w:p>
    <w:p w14:paraId="25246F28">
      <w:pPr>
        <w:ind w:left="0" w:leftChars="0" w:firstLine="0" w:firstLineChars="0"/>
        <w:rPr>
          <w:rFonts w:hint="eastAsia" w:ascii="宋体" w:hAnsi="宋体" w:eastAsia="宋体" w:cs="宋体"/>
          <w:b/>
          <w:bCs/>
          <w:highlight w:val="none"/>
          <w:lang w:val="en-US" w:eastAsia="zh-CN"/>
        </w:rPr>
      </w:pPr>
      <w:r>
        <w:rPr>
          <w:rFonts w:hint="eastAsia" w:ascii="宋体" w:hAnsi="宋体" w:cs="宋体"/>
          <w:b/>
          <w:bCs/>
          <w:highlight w:val="none"/>
          <w:lang w:bidi="ar"/>
        </w:rPr>
        <w:t>附件</w:t>
      </w:r>
      <w:r>
        <w:rPr>
          <w:rFonts w:hint="eastAsia" w:ascii="宋体" w:hAnsi="宋体" w:cs="宋体"/>
          <w:b/>
          <w:bCs/>
          <w:highlight w:val="none"/>
          <w:lang w:val="en-US" w:eastAsia="zh-CN" w:bidi="ar"/>
        </w:rPr>
        <w:t>7</w:t>
      </w:r>
    </w:p>
    <w:p w14:paraId="321D0502">
      <w:pPr>
        <w:snapToGrid w:val="0"/>
        <w:spacing w:before="72" w:after="72" w:line="360" w:lineRule="exact"/>
        <w:ind w:firstLine="301" w:firstLineChars="100"/>
        <w:jc w:val="center"/>
        <w:rPr>
          <w:rFonts w:hint="eastAsia" w:ascii="宋体" w:hAnsi="宋体" w:cs="宋体"/>
          <w:b/>
          <w:bCs/>
          <w:kern w:val="2"/>
          <w:sz w:val="30"/>
          <w:szCs w:val="30"/>
          <w:lang w:val="en-US" w:eastAsia="zh-CN" w:bidi="ar-SA"/>
        </w:rPr>
      </w:pPr>
      <w:r>
        <w:rPr>
          <w:rFonts w:hint="eastAsia" w:ascii="宋体" w:hAnsi="宋体" w:cs="宋体"/>
          <w:b/>
          <w:bCs/>
          <w:kern w:val="2"/>
          <w:sz w:val="30"/>
          <w:szCs w:val="30"/>
          <w:lang w:val="en-US" w:eastAsia="zh-CN" w:bidi="ar-SA"/>
        </w:rPr>
        <w:t>产品配置清单</w:t>
      </w:r>
    </w:p>
    <w:p w14:paraId="509D6FCD">
      <w:pPr>
        <w:snapToGrid w:val="0"/>
        <w:spacing w:before="72" w:after="72" w:line="360" w:lineRule="exact"/>
        <w:ind w:firstLine="240" w:firstLineChars="100"/>
        <w:rPr>
          <w:rFonts w:hint="eastAsia" w:ascii="宋体" w:hAnsi="宋体" w:eastAsia="宋体" w:cs="宋体"/>
        </w:rPr>
      </w:pPr>
      <w:r>
        <w:rPr>
          <w:rFonts w:hint="eastAsia" w:ascii="宋体" w:hAnsi="宋体" w:eastAsia="宋体" w:cs="宋体"/>
          <w:lang w:bidi="ar"/>
        </w:rPr>
        <w:t xml:space="preserve">项目名称：                                             </w:t>
      </w:r>
    </w:p>
    <w:p w14:paraId="23E3499A">
      <w:pPr>
        <w:snapToGrid w:val="0"/>
        <w:spacing w:before="72" w:after="72" w:line="360" w:lineRule="exact"/>
        <w:ind w:firstLine="240" w:firstLineChars="100"/>
        <w:rPr>
          <w:rFonts w:hint="eastAsia" w:ascii="宋体" w:hAnsi="宋体" w:eastAsia="宋体" w:cs="宋体"/>
        </w:rPr>
      </w:pPr>
      <w:r>
        <w:rPr>
          <w:rFonts w:hint="eastAsia" w:ascii="宋体" w:hAnsi="宋体" w:eastAsia="宋体" w:cs="宋体"/>
          <w:lang w:bidi="ar"/>
        </w:rPr>
        <w:t>项目编号：</w:t>
      </w:r>
    </w:p>
    <w:tbl>
      <w:tblPr>
        <w:tblStyle w:val="38"/>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175"/>
        <w:gridCol w:w="1281"/>
      </w:tblGrid>
      <w:tr w14:paraId="0D491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2F67E749">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序号</w:t>
            </w:r>
          </w:p>
        </w:tc>
        <w:tc>
          <w:tcPr>
            <w:tcW w:w="1369" w:type="dxa"/>
            <w:tcBorders>
              <w:top w:val="single" w:color="auto" w:sz="4" w:space="0"/>
              <w:left w:val="nil"/>
              <w:bottom w:val="single" w:color="auto" w:sz="4" w:space="0"/>
              <w:right w:val="single" w:color="auto" w:sz="4" w:space="0"/>
            </w:tcBorders>
            <w:shd w:val="clear" w:color="auto" w:fill="auto"/>
            <w:vAlign w:val="center"/>
          </w:tcPr>
          <w:p w14:paraId="748BEF31">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名称</w:t>
            </w:r>
          </w:p>
        </w:tc>
        <w:tc>
          <w:tcPr>
            <w:tcW w:w="1114" w:type="dxa"/>
            <w:tcBorders>
              <w:top w:val="single" w:color="auto" w:sz="4" w:space="0"/>
              <w:left w:val="nil"/>
              <w:bottom w:val="single" w:color="auto" w:sz="4" w:space="0"/>
              <w:right w:val="single" w:color="auto" w:sz="4" w:space="0"/>
            </w:tcBorders>
            <w:shd w:val="clear" w:color="auto" w:fill="auto"/>
            <w:vAlign w:val="center"/>
          </w:tcPr>
          <w:p w14:paraId="55FD2343">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品牌（如果有）</w:t>
            </w:r>
          </w:p>
        </w:tc>
        <w:tc>
          <w:tcPr>
            <w:tcW w:w="1260" w:type="dxa"/>
            <w:tcBorders>
              <w:top w:val="single" w:color="auto" w:sz="4" w:space="0"/>
              <w:left w:val="nil"/>
              <w:bottom w:val="single" w:color="auto" w:sz="4" w:space="0"/>
              <w:right w:val="single" w:color="auto" w:sz="4" w:space="0"/>
            </w:tcBorders>
            <w:shd w:val="clear" w:color="auto" w:fill="auto"/>
            <w:vAlign w:val="center"/>
          </w:tcPr>
          <w:p w14:paraId="349D19E9">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型号（如果有）</w:t>
            </w:r>
          </w:p>
        </w:tc>
        <w:tc>
          <w:tcPr>
            <w:tcW w:w="2775" w:type="dxa"/>
            <w:tcBorders>
              <w:top w:val="single" w:color="auto" w:sz="4" w:space="0"/>
              <w:left w:val="nil"/>
              <w:bottom w:val="single" w:color="auto" w:sz="4" w:space="0"/>
              <w:right w:val="single" w:color="auto" w:sz="4" w:space="0"/>
            </w:tcBorders>
            <w:shd w:val="clear" w:color="auto" w:fill="auto"/>
            <w:vAlign w:val="center"/>
          </w:tcPr>
          <w:p w14:paraId="7D9ABFAA">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规格配置详细说明</w:t>
            </w:r>
          </w:p>
        </w:tc>
        <w:tc>
          <w:tcPr>
            <w:tcW w:w="1175" w:type="dxa"/>
            <w:tcBorders>
              <w:top w:val="single" w:color="auto" w:sz="4" w:space="0"/>
              <w:left w:val="nil"/>
              <w:bottom w:val="single" w:color="auto" w:sz="4" w:space="0"/>
              <w:right w:val="single" w:color="auto" w:sz="4" w:space="0"/>
            </w:tcBorders>
            <w:shd w:val="clear" w:color="auto" w:fill="auto"/>
            <w:vAlign w:val="center"/>
          </w:tcPr>
          <w:p w14:paraId="7A0AE603">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数量</w:t>
            </w:r>
          </w:p>
        </w:tc>
        <w:tc>
          <w:tcPr>
            <w:tcW w:w="1281" w:type="dxa"/>
            <w:tcBorders>
              <w:top w:val="single" w:color="auto" w:sz="4" w:space="0"/>
              <w:left w:val="nil"/>
              <w:bottom w:val="single" w:color="auto" w:sz="4" w:space="0"/>
              <w:right w:val="single" w:color="auto" w:sz="4" w:space="0"/>
            </w:tcBorders>
            <w:shd w:val="clear" w:color="auto" w:fill="auto"/>
            <w:vAlign w:val="center"/>
          </w:tcPr>
          <w:p w14:paraId="210D394A">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eastAsia" w:ascii="宋体" w:hAnsi="宋体" w:eastAsia="宋体" w:cs="宋体"/>
                <w:color w:val="auto"/>
                <w:highlight w:val="none"/>
                <w:lang w:eastAsia="zh-CN" w:bidi="ar"/>
              </w:rPr>
            </w:pPr>
            <w:r>
              <w:rPr>
                <w:rFonts w:hint="eastAsia" w:ascii="宋体" w:hAnsi="宋体" w:cs="宋体"/>
                <w:color w:val="auto"/>
                <w:highlight w:val="none"/>
                <w:lang w:val="en-US" w:eastAsia="zh-CN" w:bidi="ar"/>
              </w:rPr>
              <w:t>单位</w:t>
            </w:r>
          </w:p>
        </w:tc>
      </w:tr>
      <w:tr w14:paraId="3A61E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736E5AC2">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1</w:t>
            </w:r>
          </w:p>
        </w:tc>
        <w:tc>
          <w:tcPr>
            <w:tcW w:w="1369" w:type="dxa"/>
            <w:tcBorders>
              <w:top w:val="single" w:color="auto" w:sz="4" w:space="0"/>
              <w:left w:val="nil"/>
              <w:bottom w:val="single" w:color="auto" w:sz="4" w:space="0"/>
              <w:right w:val="single" w:color="auto" w:sz="4" w:space="0"/>
            </w:tcBorders>
            <w:shd w:val="clear" w:color="auto" w:fill="auto"/>
            <w:vAlign w:val="center"/>
          </w:tcPr>
          <w:p w14:paraId="18A075D1">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p>
        </w:tc>
        <w:tc>
          <w:tcPr>
            <w:tcW w:w="1114" w:type="dxa"/>
            <w:tcBorders>
              <w:top w:val="single" w:color="auto" w:sz="4" w:space="0"/>
              <w:left w:val="nil"/>
              <w:bottom w:val="single" w:color="auto" w:sz="4" w:space="0"/>
              <w:right w:val="single" w:color="auto" w:sz="4" w:space="0"/>
            </w:tcBorders>
            <w:shd w:val="clear" w:color="auto" w:fill="auto"/>
            <w:vAlign w:val="center"/>
          </w:tcPr>
          <w:p w14:paraId="4C16D8FF">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60" w:type="dxa"/>
            <w:tcBorders>
              <w:top w:val="single" w:color="auto" w:sz="4" w:space="0"/>
              <w:left w:val="nil"/>
              <w:bottom w:val="single" w:color="auto" w:sz="4" w:space="0"/>
              <w:right w:val="single" w:color="auto" w:sz="4" w:space="0"/>
            </w:tcBorders>
            <w:shd w:val="clear" w:color="auto" w:fill="auto"/>
            <w:vAlign w:val="center"/>
          </w:tcPr>
          <w:p w14:paraId="074D56C9">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2775" w:type="dxa"/>
            <w:tcBorders>
              <w:top w:val="single" w:color="auto" w:sz="4" w:space="0"/>
              <w:left w:val="nil"/>
              <w:bottom w:val="single" w:color="auto" w:sz="4" w:space="0"/>
              <w:right w:val="single" w:color="auto" w:sz="4" w:space="0"/>
            </w:tcBorders>
            <w:shd w:val="clear" w:color="auto" w:fill="auto"/>
            <w:vAlign w:val="center"/>
          </w:tcPr>
          <w:p w14:paraId="03609F1C">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175" w:type="dxa"/>
            <w:tcBorders>
              <w:top w:val="single" w:color="auto" w:sz="4" w:space="0"/>
              <w:left w:val="nil"/>
              <w:bottom w:val="single" w:color="auto" w:sz="4" w:space="0"/>
              <w:right w:val="single" w:color="auto" w:sz="4" w:space="0"/>
            </w:tcBorders>
            <w:shd w:val="clear" w:color="auto" w:fill="auto"/>
            <w:vAlign w:val="center"/>
          </w:tcPr>
          <w:p w14:paraId="45D04C7A">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81" w:type="dxa"/>
            <w:tcBorders>
              <w:top w:val="single" w:color="auto" w:sz="4" w:space="0"/>
              <w:left w:val="nil"/>
              <w:bottom w:val="single" w:color="auto" w:sz="4" w:space="0"/>
              <w:right w:val="single" w:color="auto" w:sz="4" w:space="0"/>
            </w:tcBorders>
            <w:shd w:val="clear" w:color="auto" w:fill="auto"/>
            <w:vAlign w:val="center"/>
          </w:tcPr>
          <w:p w14:paraId="75369BF7">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r>
      <w:tr w14:paraId="456AE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7E429E8E">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2</w:t>
            </w:r>
          </w:p>
        </w:tc>
        <w:tc>
          <w:tcPr>
            <w:tcW w:w="1369" w:type="dxa"/>
            <w:tcBorders>
              <w:top w:val="single" w:color="auto" w:sz="4" w:space="0"/>
              <w:left w:val="nil"/>
              <w:bottom w:val="single" w:color="auto" w:sz="4" w:space="0"/>
              <w:right w:val="single" w:color="auto" w:sz="4" w:space="0"/>
            </w:tcBorders>
            <w:shd w:val="clear" w:color="auto" w:fill="auto"/>
            <w:vAlign w:val="center"/>
          </w:tcPr>
          <w:p w14:paraId="3FF566D8">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p>
        </w:tc>
        <w:tc>
          <w:tcPr>
            <w:tcW w:w="1114" w:type="dxa"/>
            <w:tcBorders>
              <w:top w:val="single" w:color="auto" w:sz="4" w:space="0"/>
              <w:left w:val="nil"/>
              <w:bottom w:val="single" w:color="auto" w:sz="4" w:space="0"/>
              <w:right w:val="single" w:color="auto" w:sz="4" w:space="0"/>
            </w:tcBorders>
            <w:shd w:val="clear" w:color="auto" w:fill="auto"/>
            <w:vAlign w:val="center"/>
          </w:tcPr>
          <w:p w14:paraId="74961110">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60" w:type="dxa"/>
            <w:tcBorders>
              <w:top w:val="single" w:color="auto" w:sz="4" w:space="0"/>
              <w:left w:val="nil"/>
              <w:bottom w:val="single" w:color="auto" w:sz="4" w:space="0"/>
              <w:right w:val="single" w:color="auto" w:sz="4" w:space="0"/>
            </w:tcBorders>
            <w:shd w:val="clear" w:color="auto" w:fill="auto"/>
            <w:vAlign w:val="center"/>
          </w:tcPr>
          <w:p w14:paraId="276F0183">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2775" w:type="dxa"/>
            <w:tcBorders>
              <w:top w:val="single" w:color="auto" w:sz="4" w:space="0"/>
              <w:left w:val="nil"/>
              <w:bottom w:val="single" w:color="auto" w:sz="4" w:space="0"/>
              <w:right w:val="single" w:color="auto" w:sz="4" w:space="0"/>
            </w:tcBorders>
            <w:shd w:val="clear" w:color="auto" w:fill="auto"/>
            <w:vAlign w:val="center"/>
          </w:tcPr>
          <w:p w14:paraId="0A37022C">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175" w:type="dxa"/>
            <w:tcBorders>
              <w:top w:val="single" w:color="auto" w:sz="4" w:space="0"/>
              <w:left w:val="nil"/>
              <w:bottom w:val="single" w:color="auto" w:sz="4" w:space="0"/>
              <w:right w:val="single" w:color="auto" w:sz="4" w:space="0"/>
            </w:tcBorders>
            <w:shd w:val="clear" w:color="auto" w:fill="auto"/>
            <w:vAlign w:val="center"/>
          </w:tcPr>
          <w:p w14:paraId="5E8B9823">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81" w:type="dxa"/>
            <w:tcBorders>
              <w:top w:val="single" w:color="auto" w:sz="4" w:space="0"/>
              <w:left w:val="nil"/>
              <w:bottom w:val="single" w:color="auto" w:sz="4" w:space="0"/>
              <w:right w:val="single" w:color="auto" w:sz="4" w:space="0"/>
            </w:tcBorders>
            <w:shd w:val="clear" w:color="auto" w:fill="auto"/>
            <w:vAlign w:val="center"/>
          </w:tcPr>
          <w:p w14:paraId="02AC264C">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r>
      <w:tr w14:paraId="57B0C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16F36925">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3</w:t>
            </w:r>
          </w:p>
        </w:tc>
        <w:tc>
          <w:tcPr>
            <w:tcW w:w="1369" w:type="dxa"/>
            <w:tcBorders>
              <w:top w:val="single" w:color="auto" w:sz="4" w:space="0"/>
              <w:left w:val="nil"/>
              <w:bottom w:val="single" w:color="auto" w:sz="4" w:space="0"/>
              <w:right w:val="single" w:color="auto" w:sz="4" w:space="0"/>
            </w:tcBorders>
            <w:shd w:val="clear" w:color="auto" w:fill="auto"/>
            <w:vAlign w:val="center"/>
          </w:tcPr>
          <w:p w14:paraId="7937C3FB">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p>
        </w:tc>
        <w:tc>
          <w:tcPr>
            <w:tcW w:w="1114" w:type="dxa"/>
            <w:tcBorders>
              <w:top w:val="single" w:color="auto" w:sz="4" w:space="0"/>
              <w:left w:val="nil"/>
              <w:bottom w:val="single" w:color="auto" w:sz="4" w:space="0"/>
              <w:right w:val="single" w:color="auto" w:sz="4" w:space="0"/>
            </w:tcBorders>
            <w:shd w:val="clear" w:color="auto" w:fill="auto"/>
            <w:vAlign w:val="center"/>
          </w:tcPr>
          <w:p w14:paraId="153D70E7">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60" w:type="dxa"/>
            <w:tcBorders>
              <w:top w:val="single" w:color="auto" w:sz="4" w:space="0"/>
              <w:left w:val="nil"/>
              <w:bottom w:val="single" w:color="auto" w:sz="4" w:space="0"/>
              <w:right w:val="single" w:color="auto" w:sz="4" w:space="0"/>
            </w:tcBorders>
            <w:shd w:val="clear" w:color="auto" w:fill="auto"/>
            <w:vAlign w:val="center"/>
          </w:tcPr>
          <w:p w14:paraId="39D276B4">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2775" w:type="dxa"/>
            <w:tcBorders>
              <w:top w:val="single" w:color="auto" w:sz="4" w:space="0"/>
              <w:left w:val="nil"/>
              <w:bottom w:val="single" w:color="auto" w:sz="4" w:space="0"/>
              <w:right w:val="single" w:color="auto" w:sz="4" w:space="0"/>
            </w:tcBorders>
            <w:shd w:val="clear" w:color="auto" w:fill="auto"/>
            <w:vAlign w:val="center"/>
          </w:tcPr>
          <w:p w14:paraId="02CF33CF">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175" w:type="dxa"/>
            <w:tcBorders>
              <w:top w:val="single" w:color="auto" w:sz="4" w:space="0"/>
              <w:left w:val="nil"/>
              <w:bottom w:val="single" w:color="auto" w:sz="4" w:space="0"/>
              <w:right w:val="single" w:color="auto" w:sz="4" w:space="0"/>
            </w:tcBorders>
            <w:shd w:val="clear" w:color="auto" w:fill="auto"/>
            <w:vAlign w:val="center"/>
          </w:tcPr>
          <w:p w14:paraId="733D7CE0">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81" w:type="dxa"/>
            <w:tcBorders>
              <w:top w:val="single" w:color="auto" w:sz="4" w:space="0"/>
              <w:left w:val="nil"/>
              <w:bottom w:val="single" w:color="auto" w:sz="4" w:space="0"/>
              <w:right w:val="single" w:color="auto" w:sz="4" w:space="0"/>
            </w:tcBorders>
            <w:shd w:val="clear" w:color="auto" w:fill="auto"/>
            <w:vAlign w:val="center"/>
          </w:tcPr>
          <w:p w14:paraId="65C5584B">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r>
      <w:tr w14:paraId="216E6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729AD17D">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4</w:t>
            </w:r>
          </w:p>
        </w:tc>
        <w:tc>
          <w:tcPr>
            <w:tcW w:w="1369" w:type="dxa"/>
            <w:tcBorders>
              <w:top w:val="single" w:color="auto" w:sz="4" w:space="0"/>
              <w:left w:val="nil"/>
              <w:bottom w:val="single" w:color="auto" w:sz="4" w:space="0"/>
              <w:right w:val="single" w:color="auto" w:sz="4" w:space="0"/>
            </w:tcBorders>
            <w:shd w:val="clear" w:color="auto" w:fill="auto"/>
            <w:vAlign w:val="center"/>
          </w:tcPr>
          <w:p w14:paraId="797BD844">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p>
        </w:tc>
        <w:tc>
          <w:tcPr>
            <w:tcW w:w="1114" w:type="dxa"/>
            <w:tcBorders>
              <w:top w:val="single" w:color="auto" w:sz="4" w:space="0"/>
              <w:left w:val="nil"/>
              <w:bottom w:val="single" w:color="auto" w:sz="4" w:space="0"/>
              <w:right w:val="single" w:color="auto" w:sz="4" w:space="0"/>
            </w:tcBorders>
            <w:shd w:val="clear" w:color="auto" w:fill="auto"/>
            <w:vAlign w:val="center"/>
          </w:tcPr>
          <w:p w14:paraId="66FA712E">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60" w:type="dxa"/>
            <w:tcBorders>
              <w:top w:val="single" w:color="auto" w:sz="4" w:space="0"/>
              <w:left w:val="nil"/>
              <w:bottom w:val="single" w:color="auto" w:sz="4" w:space="0"/>
              <w:right w:val="single" w:color="auto" w:sz="4" w:space="0"/>
            </w:tcBorders>
            <w:shd w:val="clear" w:color="auto" w:fill="auto"/>
            <w:vAlign w:val="center"/>
          </w:tcPr>
          <w:p w14:paraId="18796433">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2775" w:type="dxa"/>
            <w:tcBorders>
              <w:top w:val="single" w:color="auto" w:sz="4" w:space="0"/>
              <w:left w:val="nil"/>
              <w:bottom w:val="single" w:color="auto" w:sz="4" w:space="0"/>
              <w:right w:val="single" w:color="auto" w:sz="4" w:space="0"/>
            </w:tcBorders>
            <w:shd w:val="clear" w:color="auto" w:fill="auto"/>
            <w:vAlign w:val="center"/>
          </w:tcPr>
          <w:p w14:paraId="72F8CA1A">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175" w:type="dxa"/>
            <w:tcBorders>
              <w:top w:val="single" w:color="auto" w:sz="4" w:space="0"/>
              <w:left w:val="nil"/>
              <w:bottom w:val="single" w:color="auto" w:sz="4" w:space="0"/>
              <w:right w:val="single" w:color="auto" w:sz="4" w:space="0"/>
            </w:tcBorders>
            <w:shd w:val="clear" w:color="auto" w:fill="auto"/>
            <w:vAlign w:val="center"/>
          </w:tcPr>
          <w:p w14:paraId="7EEC1D40">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81" w:type="dxa"/>
            <w:tcBorders>
              <w:top w:val="single" w:color="auto" w:sz="4" w:space="0"/>
              <w:left w:val="nil"/>
              <w:bottom w:val="single" w:color="auto" w:sz="4" w:space="0"/>
              <w:right w:val="single" w:color="auto" w:sz="4" w:space="0"/>
            </w:tcBorders>
            <w:shd w:val="clear" w:color="auto" w:fill="auto"/>
            <w:vAlign w:val="center"/>
          </w:tcPr>
          <w:p w14:paraId="63DF8137">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r>
      <w:tr w14:paraId="25E0A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45864526">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5</w:t>
            </w:r>
          </w:p>
        </w:tc>
        <w:tc>
          <w:tcPr>
            <w:tcW w:w="1369" w:type="dxa"/>
            <w:tcBorders>
              <w:top w:val="single" w:color="auto" w:sz="4" w:space="0"/>
              <w:left w:val="nil"/>
              <w:bottom w:val="single" w:color="auto" w:sz="4" w:space="0"/>
              <w:right w:val="single" w:color="auto" w:sz="4" w:space="0"/>
            </w:tcBorders>
            <w:shd w:val="clear" w:color="auto" w:fill="auto"/>
            <w:vAlign w:val="center"/>
          </w:tcPr>
          <w:p w14:paraId="2B4DCDA4">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p>
        </w:tc>
        <w:tc>
          <w:tcPr>
            <w:tcW w:w="1114" w:type="dxa"/>
            <w:tcBorders>
              <w:top w:val="single" w:color="auto" w:sz="4" w:space="0"/>
              <w:left w:val="nil"/>
              <w:bottom w:val="single" w:color="auto" w:sz="4" w:space="0"/>
              <w:right w:val="single" w:color="auto" w:sz="4" w:space="0"/>
            </w:tcBorders>
            <w:shd w:val="clear" w:color="auto" w:fill="auto"/>
            <w:vAlign w:val="center"/>
          </w:tcPr>
          <w:p w14:paraId="0D14086B">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60" w:type="dxa"/>
            <w:tcBorders>
              <w:top w:val="single" w:color="auto" w:sz="4" w:space="0"/>
              <w:left w:val="nil"/>
              <w:bottom w:val="single" w:color="auto" w:sz="4" w:space="0"/>
              <w:right w:val="single" w:color="auto" w:sz="4" w:space="0"/>
            </w:tcBorders>
            <w:shd w:val="clear" w:color="auto" w:fill="auto"/>
            <w:vAlign w:val="center"/>
          </w:tcPr>
          <w:p w14:paraId="797D5B26">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2775" w:type="dxa"/>
            <w:tcBorders>
              <w:top w:val="single" w:color="auto" w:sz="4" w:space="0"/>
              <w:left w:val="nil"/>
              <w:bottom w:val="single" w:color="auto" w:sz="4" w:space="0"/>
              <w:right w:val="single" w:color="auto" w:sz="4" w:space="0"/>
            </w:tcBorders>
            <w:shd w:val="clear" w:color="auto" w:fill="auto"/>
            <w:vAlign w:val="center"/>
          </w:tcPr>
          <w:p w14:paraId="7B37CC3C">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175" w:type="dxa"/>
            <w:tcBorders>
              <w:top w:val="single" w:color="auto" w:sz="4" w:space="0"/>
              <w:left w:val="nil"/>
              <w:bottom w:val="single" w:color="auto" w:sz="4" w:space="0"/>
              <w:right w:val="single" w:color="auto" w:sz="4" w:space="0"/>
            </w:tcBorders>
            <w:shd w:val="clear" w:color="auto" w:fill="auto"/>
            <w:vAlign w:val="center"/>
          </w:tcPr>
          <w:p w14:paraId="4C5F67BE">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81" w:type="dxa"/>
            <w:tcBorders>
              <w:top w:val="single" w:color="auto" w:sz="4" w:space="0"/>
              <w:left w:val="nil"/>
              <w:bottom w:val="single" w:color="auto" w:sz="4" w:space="0"/>
              <w:right w:val="single" w:color="auto" w:sz="4" w:space="0"/>
            </w:tcBorders>
            <w:shd w:val="clear" w:color="auto" w:fill="auto"/>
            <w:vAlign w:val="center"/>
          </w:tcPr>
          <w:p w14:paraId="077E07F1">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r>
      <w:tr w14:paraId="1B1E8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0A031952">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6</w:t>
            </w:r>
          </w:p>
        </w:tc>
        <w:tc>
          <w:tcPr>
            <w:tcW w:w="1369" w:type="dxa"/>
            <w:tcBorders>
              <w:top w:val="single" w:color="auto" w:sz="4" w:space="0"/>
              <w:left w:val="nil"/>
              <w:bottom w:val="single" w:color="auto" w:sz="4" w:space="0"/>
              <w:right w:val="single" w:color="auto" w:sz="4" w:space="0"/>
            </w:tcBorders>
            <w:shd w:val="clear" w:color="auto" w:fill="auto"/>
            <w:vAlign w:val="center"/>
          </w:tcPr>
          <w:p w14:paraId="0E0CDFAF">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p>
        </w:tc>
        <w:tc>
          <w:tcPr>
            <w:tcW w:w="1114" w:type="dxa"/>
            <w:tcBorders>
              <w:top w:val="single" w:color="auto" w:sz="4" w:space="0"/>
              <w:left w:val="nil"/>
              <w:bottom w:val="single" w:color="auto" w:sz="4" w:space="0"/>
              <w:right w:val="single" w:color="auto" w:sz="4" w:space="0"/>
            </w:tcBorders>
            <w:shd w:val="clear" w:color="auto" w:fill="auto"/>
            <w:vAlign w:val="center"/>
          </w:tcPr>
          <w:p w14:paraId="7B8469D6">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60" w:type="dxa"/>
            <w:tcBorders>
              <w:top w:val="single" w:color="auto" w:sz="4" w:space="0"/>
              <w:left w:val="nil"/>
              <w:bottom w:val="single" w:color="auto" w:sz="4" w:space="0"/>
              <w:right w:val="single" w:color="auto" w:sz="4" w:space="0"/>
            </w:tcBorders>
            <w:shd w:val="clear" w:color="auto" w:fill="auto"/>
            <w:vAlign w:val="center"/>
          </w:tcPr>
          <w:p w14:paraId="5C304D40">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2775" w:type="dxa"/>
            <w:tcBorders>
              <w:top w:val="single" w:color="auto" w:sz="4" w:space="0"/>
              <w:left w:val="nil"/>
              <w:bottom w:val="single" w:color="auto" w:sz="4" w:space="0"/>
              <w:right w:val="single" w:color="auto" w:sz="4" w:space="0"/>
            </w:tcBorders>
            <w:shd w:val="clear" w:color="auto" w:fill="auto"/>
            <w:vAlign w:val="center"/>
          </w:tcPr>
          <w:p w14:paraId="66BD10F3">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175" w:type="dxa"/>
            <w:tcBorders>
              <w:top w:val="single" w:color="auto" w:sz="4" w:space="0"/>
              <w:left w:val="nil"/>
              <w:bottom w:val="single" w:color="auto" w:sz="4" w:space="0"/>
              <w:right w:val="single" w:color="auto" w:sz="4" w:space="0"/>
            </w:tcBorders>
            <w:shd w:val="clear" w:color="auto" w:fill="auto"/>
            <w:vAlign w:val="center"/>
          </w:tcPr>
          <w:p w14:paraId="71CCC7D2">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81" w:type="dxa"/>
            <w:tcBorders>
              <w:top w:val="single" w:color="auto" w:sz="4" w:space="0"/>
              <w:left w:val="nil"/>
              <w:bottom w:val="single" w:color="auto" w:sz="4" w:space="0"/>
              <w:right w:val="single" w:color="auto" w:sz="4" w:space="0"/>
            </w:tcBorders>
            <w:shd w:val="clear" w:color="auto" w:fill="auto"/>
            <w:vAlign w:val="center"/>
          </w:tcPr>
          <w:p w14:paraId="7E0D32C6">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r>
      <w:tr w14:paraId="216CB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53183C17">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r>
              <w:rPr>
                <w:rFonts w:hint="eastAsia" w:ascii="宋体" w:hAnsi="宋体" w:cs="宋体"/>
                <w:color w:val="auto"/>
                <w:highlight w:val="none"/>
                <w:lang w:bidi="ar"/>
              </w:rPr>
              <w:t>……</w:t>
            </w:r>
          </w:p>
        </w:tc>
        <w:tc>
          <w:tcPr>
            <w:tcW w:w="1369" w:type="dxa"/>
            <w:tcBorders>
              <w:top w:val="single" w:color="auto" w:sz="4" w:space="0"/>
              <w:left w:val="nil"/>
              <w:bottom w:val="single" w:color="auto" w:sz="4" w:space="0"/>
              <w:right w:val="single" w:color="auto" w:sz="4" w:space="0"/>
            </w:tcBorders>
            <w:shd w:val="clear" w:color="auto" w:fill="auto"/>
            <w:vAlign w:val="center"/>
          </w:tcPr>
          <w:p w14:paraId="32445193">
            <w:pPr>
              <w:keepNext w:val="0"/>
              <w:keepLines w:val="0"/>
              <w:widowControl/>
              <w:suppressLineNumbers w:val="0"/>
              <w:shd w:val="clear"/>
              <w:snapToGrid w:val="0"/>
              <w:spacing w:before="0" w:beforeAutospacing="0" w:after="0" w:afterAutospacing="0" w:line="240" w:lineRule="auto"/>
              <w:ind w:left="0" w:right="0" w:firstLine="0" w:firstLineChars="0"/>
              <w:jc w:val="center"/>
              <w:rPr>
                <w:rFonts w:hint="default" w:ascii="宋体" w:hAnsi="宋体" w:cs="宋体"/>
                <w:color w:val="auto"/>
                <w:highlight w:val="none"/>
                <w:lang w:bidi="ar"/>
              </w:rPr>
            </w:pPr>
          </w:p>
        </w:tc>
        <w:tc>
          <w:tcPr>
            <w:tcW w:w="1114" w:type="dxa"/>
            <w:tcBorders>
              <w:top w:val="single" w:color="auto" w:sz="4" w:space="0"/>
              <w:left w:val="nil"/>
              <w:bottom w:val="single" w:color="auto" w:sz="4" w:space="0"/>
              <w:right w:val="single" w:color="auto" w:sz="4" w:space="0"/>
            </w:tcBorders>
            <w:shd w:val="clear" w:color="auto" w:fill="auto"/>
            <w:vAlign w:val="center"/>
          </w:tcPr>
          <w:p w14:paraId="7A9D9DE6">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60" w:type="dxa"/>
            <w:tcBorders>
              <w:top w:val="single" w:color="auto" w:sz="4" w:space="0"/>
              <w:left w:val="nil"/>
              <w:bottom w:val="single" w:color="auto" w:sz="4" w:space="0"/>
              <w:right w:val="single" w:color="auto" w:sz="4" w:space="0"/>
            </w:tcBorders>
            <w:shd w:val="clear" w:color="auto" w:fill="auto"/>
            <w:vAlign w:val="center"/>
          </w:tcPr>
          <w:p w14:paraId="5ABBF11E">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2775" w:type="dxa"/>
            <w:tcBorders>
              <w:top w:val="single" w:color="auto" w:sz="4" w:space="0"/>
              <w:left w:val="nil"/>
              <w:bottom w:val="single" w:color="auto" w:sz="4" w:space="0"/>
              <w:right w:val="single" w:color="auto" w:sz="4" w:space="0"/>
            </w:tcBorders>
            <w:shd w:val="clear" w:color="auto" w:fill="auto"/>
            <w:vAlign w:val="center"/>
          </w:tcPr>
          <w:p w14:paraId="4CDDCEE6">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175" w:type="dxa"/>
            <w:tcBorders>
              <w:top w:val="single" w:color="auto" w:sz="4" w:space="0"/>
              <w:left w:val="nil"/>
              <w:bottom w:val="single" w:color="auto" w:sz="4" w:space="0"/>
              <w:right w:val="single" w:color="auto" w:sz="4" w:space="0"/>
            </w:tcBorders>
            <w:shd w:val="clear" w:color="auto" w:fill="auto"/>
            <w:vAlign w:val="center"/>
          </w:tcPr>
          <w:p w14:paraId="62FAFF98">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c>
          <w:tcPr>
            <w:tcW w:w="1281" w:type="dxa"/>
            <w:tcBorders>
              <w:top w:val="single" w:color="auto" w:sz="4" w:space="0"/>
              <w:left w:val="nil"/>
              <w:bottom w:val="single" w:color="auto" w:sz="4" w:space="0"/>
              <w:right w:val="single" w:color="auto" w:sz="4" w:space="0"/>
            </w:tcBorders>
            <w:shd w:val="clear" w:color="auto" w:fill="auto"/>
            <w:vAlign w:val="center"/>
          </w:tcPr>
          <w:p w14:paraId="56ED4314">
            <w:pPr>
              <w:keepNext w:val="0"/>
              <w:keepLines w:val="0"/>
              <w:widowControl/>
              <w:suppressLineNumbers w:val="0"/>
              <w:shd w:val="clear"/>
              <w:snapToGrid w:val="0"/>
              <w:spacing w:before="0" w:beforeAutospacing="0" w:after="0" w:afterAutospacing="0" w:line="240" w:lineRule="auto"/>
              <w:ind w:left="0" w:right="0" w:firstLine="480"/>
              <w:rPr>
                <w:rFonts w:hint="default" w:ascii="宋体" w:hAnsi="宋体" w:cs="宋体"/>
                <w:color w:val="auto"/>
                <w:highlight w:val="none"/>
                <w:lang w:bidi="ar"/>
              </w:rPr>
            </w:pPr>
          </w:p>
        </w:tc>
      </w:tr>
    </w:tbl>
    <w:p w14:paraId="1661BDF6">
      <w:pPr>
        <w:pStyle w:val="31"/>
        <w:widowControl w:val="0"/>
        <w:spacing w:before="0" w:beforeAutospacing="0" w:after="0" w:afterAutospacing="0"/>
        <w:ind w:firstLine="0" w:firstLineChars="0"/>
        <w:rPr>
          <w:rFonts w:hint="eastAsia" w:ascii="宋体" w:hAnsi="宋体" w:eastAsia="宋体" w:cs="宋体"/>
          <w:b/>
          <w:bCs/>
          <w:kern w:val="2"/>
        </w:rPr>
      </w:pPr>
      <w:r>
        <w:rPr>
          <w:rFonts w:hint="eastAsia" w:ascii="宋体" w:hAnsi="宋体" w:eastAsia="宋体" w:cs="宋体"/>
          <w:b/>
          <w:bCs/>
          <w:kern w:val="2"/>
          <w:lang w:bidi="ar"/>
        </w:rPr>
        <w:t xml:space="preserve"> </w:t>
      </w:r>
    </w:p>
    <w:p w14:paraId="5F8A694B">
      <w:pPr>
        <w:pStyle w:val="31"/>
        <w:widowControl w:val="0"/>
        <w:spacing w:before="0" w:beforeAutospacing="0" w:after="0" w:afterAutospacing="0" w:line="300" w:lineRule="auto"/>
        <w:ind w:firstLine="480"/>
        <w:jc w:val="both"/>
        <w:rPr>
          <w:rFonts w:hint="eastAsia" w:ascii="宋体" w:hAnsi="宋体" w:cs="宋体"/>
          <w:highlight w:val="none"/>
          <w:lang w:bidi="ar"/>
        </w:rPr>
      </w:pPr>
      <w:r>
        <w:rPr>
          <w:rFonts w:hint="eastAsia" w:ascii="宋体" w:hAnsi="宋体" w:eastAsia="宋体" w:cs="宋体"/>
          <w:kern w:val="2"/>
          <w:lang w:bidi="ar"/>
        </w:rPr>
        <w:t xml:space="preserve"> </w:t>
      </w:r>
    </w:p>
    <w:p w14:paraId="514FB719">
      <w:pPr>
        <w:adjustRightInd w:val="0"/>
        <w:snapToGrid w:val="0"/>
        <w:spacing w:line="360" w:lineRule="auto"/>
        <w:ind w:firstLine="4080" w:firstLineChars="1700"/>
        <w:textAlignment w:val="baseline"/>
        <w:rPr>
          <w:rFonts w:hint="eastAsia" w:ascii="宋体" w:hAnsi="宋体" w:cs="宋体"/>
          <w:highlight w:val="none"/>
        </w:rPr>
      </w:pPr>
      <w:r>
        <w:rPr>
          <w:rFonts w:hint="eastAsia" w:ascii="宋体" w:hAnsi="宋体" w:cs="宋体"/>
          <w:highlight w:val="none"/>
          <w:lang w:bidi="ar"/>
        </w:rPr>
        <w:t>供应商名称（盖章）:</w:t>
      </w:r>
    </w:p>
    <w:p w14:paraId="3C6F93BD">
      <w:pPr>
        <w:adjustRightInd w:val="0"/>
        <w:snapToGrid w:val="0"/>
        <w:spacing w:line="360" w:lineRule="auto"/>
        <w:ind w:firstLine="4080" w:firstLineChars="1700"/>
        <w:textAlignment w:val="baseline"/>
        <w:rPr>
          <w:rFonts w:hint="eastAsia" w:ascii="宋体" w:hAnsi="宋体" w:cs="宋体"/>
          <w:highlight w:val="none"/>
        </w:rPr>
      </w:pPr>
      <w:r>
        <w:rPr>
          <w:rFonts w:hint="eastAsia" w:ascii="宋体" w:hAnsi="宋体" w:cs="宋体"/>
          <w:highlight w:val="none"/>
          <w:lang w:bidi="ar"/>
        </w:rPr>
        <w:t>法定代表人或授权代理人（签字或盖章）:</w:t>
      </w:r>
    </w:p>
    <w:p w14:paraId="359C40BE">
      <w:pPr>
        <w:widowControl/>
        <w:adjustRightInd w:val="0"/>
        <w:snapToGrid w:val="0"/>
        <w:spacing w:line="360" w:lineRule="auto"/>
        <w:ind w:firstLine="4080" w:firstLineChars="1700"/>
        <w:rPr>
          <w:rFonts w:hint="eastAsia" w:ascii="宋体" w:hAnsi="宋体" w:cs="宋体"/>
          <w:highlight w:val="none"/>
        </w:rPr>
      </w:pPr>
      <w:r>
        <w:rPr>
          <w:rFonts w:hint="eastAsia" w:ascii="宋体" w:hAnsi="宋体" w:cs="宋体"/>
          <w:highlight w:val="none"/>
          <w:lang w:bidi="ar"/>
        </w:rPr>
        <w:t>日期:</w:t>
      </w:r>
      <w:r>
        <w:rPr>
          <w:rFonts w:hint="eastAsia" w:ascii="宋体" w:hAnsi="宋体" w:cs="宋体"/>
          <w:highlight w:val="none"/>
          <w:lang w:eastAsia="zh-CN" w:bidi="ar"/>
        </w:rPr>
        <w:t>2025</w:t>
      </w:r>
      <w:r>
        <w:rPr>
          <w:rFonts w:hint="eastAsia" w:ascii="宋体" w:hAnsi="宋体" w:cs="宋体"/>
          <w:highlight w:val="none"/>
          <w:lang w:bidi="ar"/>
        </w:rPr>
        <w:t>年   月   日</w:t>
      </w:r>
    </w:p>
    <w:p w14:paraId="38CEFEC8">
      <w:pPr>
        <w:ind w:firstLine="480"/>
        <w:rPr>
          <w:rFonts w:ascii="华文中宋" w:hAnsi="华文中宋" w:eastAsia="华文中宋" w:cs="微软雅黑"/>
          <w:highlight w:val="none"/>
        </w:rPr>
      </w:pPr>
    </w:p>
    <w:p w14:paraId="7813F0B9">
      <w:pPr>
        <w:ind w:firstLine="480"/>
        <w:rPr>
          <w:rFonts w:ascii="华文中宋" w:hAnsi="华文中宋" w:eastAsia="华文中宋" w:cs="微软雅黑"/>
          <w:highlight w:val="none"/>
        </w:rPr>
      </w:pPr>
    </w:p>
    <w:p w14:paraId="0ED7C747">
      <w:pPr>
        <w:ind w:firstLine="480"/>
        <w:rPr>
          <w:rFonts w:ascii="华文中宋" w:hAnsi="华文中宋" w:eastAsia="华文中宋" w:cs="微软雅黑"/>
          <w:highlight w:val="none"/>
        </w:rPr>
      </w:pPr>
    </w:p>
    <w:p w14:paraId="6765600D">
      <w:pPr>
        <w:ind w:firstLine="480"/>
        <w:rPr>
          <w:rFonts w:ascii="华文中宋" w:hAnsi="华文中宋" w:eastAsia="华文中宋" w:cs="微软雅黑"/>
          <w:highlight w:val="none"/>
        </w:rPr>
      </w:pPr>
    </w:p>
    <w:p w14:paraId="3EA43F51">
      <w:pPr>
        <w:ind w:firstLine="480"/>
        <w:rPr>
          <w:rFonts w:ascii="华文中宋" w:hAnsi="华文中宋" w:eastAsia="华文中宋" w:cs="微软雅黑"/>
          <w:highlight w:val="none"/>
        </w:rPr>
      </w:pPr>
    </w:p>
    <w:p w14:paraId="735A0676">
      <w:pPr>
        <w:ind w:firstLine="480"/>
        <w:rPr>
          <w:rFonts w:ascii="华文中宋" w:hAnsi="华文中宋" w:eastAsia="华文中宋" w:cs="微软雅黑"/>
          <w:highlight w:val="none"/>
        </w:rPr>
      </w:pPr>
    </w:p>
    <w:p w14:paraId="79452A3A">
      <w:pPr>
        <w:ind w:firstLine="480"/>
        <w:rPr>
          <w:rFonts w:ascii="华文中宋" w:hAnsi="华文中宋" w:eastAsia="华文中宋" w:cs="微软雅黑"/>
          <w:highlight w:val="none"/>
        </w:rPr>
      </w:pPr>
    </w:p>
    <w:p w14:paraId="277207AE">
      <w:pPr>
        <w:ind w:firstLine="480"/>
        <w:rPr>
          <w:rFonts w:ascii="华文中宋" w:hAnsi="华文中宋" w:eastAsia="华文中宋" w:cs="微软雅黑"/>
          <w:highlight w:val="none"/>
        </w:rPr>
      </w:pPr>
    </w:p>
    <w:p w14:paraId="0909EB53">
      <w:pPr>
        <w:pStyle w:val="4"/>
        <w:numPr>
          <w:ilvl w:val="2"/>
          <w:numId w:val="0"/>
        </w:numPr>
        <w:ind w:leftChars="200"/>
      </w:pPr>
    </w:p>
    <w:p w14:paraId="0D67BDA7"/>
    <w:p w14:paraId="38A2A457">
      <w:pPr>
        <w:ind w:left="0" w:leftChars="0" w:firstLine="0" w:firstLineChars="0"/>
        <w:rPr>
          <w:rFonts w:ascii="华文中宋" w:hAnsi="华文中宋" w:eastAsia="华文中宋" w:cs="微软雅黑"/>
          <w:highlight w:val="none"/>
        </w:rPr>
      </w:pPr>
    </w:p>
    <w:p w14:paraId="3C3E8321">
      <w:pPr>
        <w:ind w:firstLine="0" w:firstLineChars="0"/>
        <w:outlineLvl w:val="2"/>
        <w:rPr>
          <w:rFonts w:hint="eastAsia" w:ascii="宋体" w:hAnsi="宋体" w:eastAsia="宋体" w:cs="宋体"/>
          <w:b/>
          <w:bCs/>
          <w:highlight w:val="none"/>
          <w:lang w:val="en-US" w:eastAsia="zh-CN" w:bidi="ar"/>
        </w:rPr>
      </w:pPr>
      <w:r>
        <w:rPr>
          <w:rFonts w:hint="eastAsia" w:ascii="宋体" w:hAnsi="宋体" w:eastAsia="宋体" w:cs="宋体"/>
          <w:b/>
          <w:bCs/>
          <w:highlight w:val="none"/>
          <w:lang w:bidi="ar"/>
        </w:rPr>
        <w:t>附件</w:t>
      </w:r>
      <w:r>
        <w:rPr>
          <w:rFonts w:hint="eastAsia" w:ascii="宋体" w:hAnsi="宋体" w:cs="宋体"/>
          <w:b/>
          <w:bCs/>
          <w:highlight w:val="none"/>
          <w:lang w:val="en-US" w:eastAsia="zh-CN" w:bidi="ar"/>
        </w:rPr>
        <w:t>8</w:t>
      </w:r>
    </w:p>
    <w:p w14:paraId="27B6B914">
      <w:pPr>
        <w:snapToGrid w:val="0"/>
        <w:spacing w:before="50" w:line="400" w:lineRule="exact"/>
        <w:ind w:left="0" w:leftChars="0" w:firstLine="0" w:firstLineChars="0"/>
        <w:jc w:val="center"/>
        <w:rPr>
          <w:rFonts w:hint="eastAsia" w:ascii="宋体" w:hAnsi="宋体" w:cs="宋体"/>
          <w:b/>
          <w:bCs/>
          <w:highlight w:val="none"/>
          <w:lang w:val="en-US" w:eastAsia="zh-CN" w:bidi="ar"/>
        </w:rPr>
      </w:pPr>
      <w:r>
        <w:rPr>
          <w:rFonts w:hint="eastAsia" w:ascii="宋体" w:hAnsi="宋体" w:cs="宋体"/>
          <w:b/>
          <w:bCs/>
          <w:sz w:val="36"/>
          <w:szCs w:val="36"/>
          <w:highlight w:val="none"/>
          <w:lang w:val="en-US" w:eastAsia="zh-CN" w:bidi="ar"/>
        </w:rPr>
        <w:t>技术</w:t>
      </w:r>
      <w:r>
        <w:rPr>
          <w:rFonts w:hint="eastAsia" w:ascii="宋体" w:hAnsi="宋体" w:cs="宋体"/>
          <w:b/>
          <w:bCs/>
          <w:sz w:val="36"/>
          <w:szCs w:val="36"/>
          <w:highlight w:val="none"/>
          <w:lang w:bidi="ar"/>
        </w:rPr>
        <w:t>响应表</w:t>
      </w:r>
    </w:p>
    <w:p w14:paraId="126CBA05">
      <w:pPr>
        <w:widowControl/>
        <w:shd w:val="clear"/>
        <w:spacing w:line="440" w:lineRule="exact"/>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项目名称：                                  </w:t>
      </w:r>
    </w:p>
    <w:p w14:paraId="0BDE8BD1">
      <w:pPr>
        <w:widowControl/>
        <w:shd w:val="clear"/>
        <w:spacing w:line="440" w:lineRule="exact"/>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4"/>
          <w:szCs w:val="24"/>
          <w:highlight w:val="none"/>
        </w:rPr>
        <w:t>项目编号：</w:t>
      </w:r>
      <w:r>
        <w:rPr>
          <w:rFonts w:hint="eastAsia" w:ascii="宋体" w:hAnsi="宋体" w:eastAsia="宋体" w:cs="宋体"/>
          <w:color w:val="auto"/>
          <w:sz w:val="21"/>
          <w:szCs w:val="21"/>
          <w:highlight w:val="none"/>
        </w:rPr>
        <w:t xml:space="preserve">    </w:t>
      </w:r>
    </w:p>
    <w:p w14:paraId="153C23EE">
      <w:pPr>
        <w:shd w:val="clear"/>
        <w:snapToGrid w:val="0"/>
        <w:spacing w:line="8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5"/>
        <w:gridCol w:w="1231"/>
        <w:gridCol w:w="1382"/>
        <w:gridCol w:w="1950"/>
        <w:gridCol w:w="2228"/>
        <w:gridCol w:w="1900"/>
      </w:tblGrid>
      <w:tr w14:paraId="0D744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8" w:hRule="atLeast"/>
          <w:jc w:val="center"/>
        </w:trPr>
        <w:tc>
          <w:tcPr>
            <w:tcW w:w="585" w:type="dxa"/>
            <w:tcBorders>
              <w:top w:val="single" w:color="000000" w:sz="4" w:space="0"/>
              <w:left w:val="single" w:color="000000" w:sz="4" w:space="0"/>
              <w:bottom w:val="single" w:color="000000" w:sz="4" w:space="0"/>
              <w:right w:val="single" w:color="000000" w:sz="4" w:space="0"/>
            </w:tcBorders>
            <w:noWrap w:val="0"/>
            <w:vAlign w:val="center"/>
          </w:tcPr>
          <w:p w14:paraId="095885AE">
            <w:pPr>
              <w:keepNext w:val="0"/>
              <w:keepLines w:val="0"/>
              <w:suppressLineNumbers w:val="0"/>
              <w:shd w:val="clear"/>
              <w:spacing w:before="0" w:beforeAutospacing="0" w:after="0" w:afterAutospacing="0"/>
              <w:ind w:left="0" w:right="0" w:firstLine="0" w:firstLine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231" w:type="dxa"/>
            <w:tcBorders>
              <w:top w:val="single" w:color="000000" w:sz="4" w:space="0"/>
              <w:left w:val="single" w:color="auto" w:sz="4" w:space="0"/>
              <w:bottom w:val="single" w:color="000000" w:sz="4" w:space="0"/>
              <w:right w:val="single" w:color="000000" w:sz="4" w:space="0"/>
            </w:tcBorders>
            <w:noWrap w:val="0"/>
            <w:vAlign w:val="center"/>
          </w:tcPr>
          <w:p w14:paraId="00F6C9E8">
            <w:pPr>
              <w:keepNext w:val="0"/>
              <w:keepLines w:val="0"/>
              <w:suppressLineNumbers w:val="0"/>
              <w:shd w:val="clear"/>
              <w:spacing w:before="0" w:beforeAutospacing="0" w:after="0" w:afterAutospacing="0"/>
              <w:ind w:left="0" w:right="0" w:firstLine="0" w:firstLineChars="0"/>
              <w:jc w:val="center"/>
              <w:rPr>
                <w:rFonts w:hint="eastAsia" w:ascii="宋体" w:hAnsi="宋体" w:eastAsia="宋体" w:cs="宋体"/>
                <w:color w:val="auto"/>
                <w:sz w:val="24"/>
                <w:szCs w:val="24"/>
                <w:highlight w:val="none"/>
              </w:rPr>
            </w:pPr>
            <w:r>
              <w:rPr>
                <w:rFonts w:hint="eastAsia"/>
                <w:b w:val="0"/>
                <w:bCs/>
                <w:color w:val="auto"/>
                <w:highlight w:val="none"/>
              </w:rPr>
              <w:t>产品名称</w:t>
            </w:r>
          </w:p>
        </w:tc>
        <w:tc>
          <w:tcPr>
            <w:tcW w:w="1382" w:type="dxa"/>
            <w:tcBorders>
              <w:top w:val="single" w:color="000000" w:sz="4" w:space="0"/>
              <w:left w:val="single" w:color="auto" w:sz="4" w:space="0"/>
              <w:bottom w:val="single" w:color="000000" w:sz="4" w:space="0"/>
              <w:right w:val="single" w:color="000000" w:sz="4" w:space="0"/>
            </w:tcBorders>
            <w:noWrap w:val="0"/>
            <w:vAlign w:val="center"/>
          </w:tcPr>
          <w:p w14:paraId="53578980">
            <w:pPr>
              <w:keepNext w:val="0"/>
              <w:keepLines w:val="0"/>
              <w:suppressLineNumbers w:val="0"/>
              <w:shd w:val="clear"/>
              <w:spacing w:before="0" w:beforeAutospacing="0" w:after="0" w:afterAutospacing="0"/>
              <w:ind w:left="0" w:right="0" w:firstLine="0" w:firstLine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品牌型号</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如有</w:t>
            </w:r>
            <w:r>
              <w:rPr>
                <w:rFonts w:hint="eastAsia" w:ascii="宋体" w:hAnsi="宋体" w:cs="宋体"/>
                <w:color w:val="auto"/>
                <w:sz w:val="24"/>
                <w:szCs w:val="24"/>
                <w:highlight w:val="none"/>
                <w:lang w:eastAsia="zh-CN"/>
              </w:rPr>
              <w:t>）</w:t>
            </w:r>
          </w:p>
        </w:tc>
        <w:tc>
          <w:tcPr>
            <w:tcW w:w="1950" w:type="dxa"/>
            <w:tcBorders>
              <w:top w:val="single" w:color="000000" w:sz="4" w:space="0"/>
              <w:left w:val="single" w:color="auto" w:sz="4" w:space="0"/>
              <w:bottom w:val="single" w:color="000000" w:sz="4" w:space="0"/>
              <w:right w:val="single" w:color="000000" w:sz="4" w:space="0"/>
            </w:tcBorders>
            <w:noWrap w:val="0"/>
            <w:vAlign w:val="center"/>
          </w:tcPr>
          <w:p w14:paraId="14D54FDC">
            <w:pPr>
              <w:keepNext w:val="0"/>
              <w:keepLines w:val="0"/>
              <w:suppressLineNumbers w:val="0"/>
              <w:shd w:val="clear"/>
              <w:snapToGrid w:val="0"/>
              <w:spacing w:before="0" w:beforeAutospacing="0" w:after="0" w:afterAutospacing="0"/>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采购文件要求</w:t>
            </w:r>
          </w:p>
        </w:tc>
        <w:tc>
          <w:tcPr>
            <w:tcW w:w="2228" w:type="dxa"/>
            <w:tcBorders>
              <w:top w:val="single" w:color="000000" w:sz="4" w:space="0"/>
              <w:left w:val="single" w:color="auto" w:sz="4" w:space="0"/>
              <w:bottom w:val="single" w:color="000000" w:sz="4" w:space="0"/>
              <w:right w:val="single" w:color="000000" w:sz="4" w:space="0"/>
            </w:tcBorders>
            <w:noWrap w:val="0"/>
            <w:vAlign w:val="center"/>
          </w:tcPr>
          <w:p w14:paraId="375674EE">
            <w:pPr>
              <w:keepNext w:val="0"/>
              <w:keepLines w:val="0"/>
              <w:suppressLineNumbers w:val="0"/>
              <w:shd w:val="clear"/>
              <w:snapToGrid w:val="0"/>
              <w:spacing w:before="0" w:beforeAutospacing="0" w:after="0" w:afterAutospacing="0"/>
              <w:ind w:left="0" w:right="0" w:firstLine="0" w:firstLineChars="0"/>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响应内容</w:t>
            </w:r>
          </w:p>
        </w:tc>
        <w:tc>
          <w:tcPr>
            <w:tcW w:w="1900" w:type="dxa"/>
            <w:tcBorders>
              <w:top w:val="single" w:color="000000" w:sz="4" w:space="0"/>
              <w:left w:val="single" w:color="auto" w:sz="4" w:space="0"/>
              <w:bottom w:val="single" w:color="000000" w:sz="4" w:space="0"/>
              <w:right w:val="single" w:color="000000" w:sz="4" w:space="0"/>
            </w:tcBorders>
            <w:noWrap w:val="0"/>
            <w:vAlign w:val="center"/>
          </w:tcPr>
          <w:p w14:paraId="7DD034C2">
            <w:pPr>
              <w:keepNext w:val="0"/>
              <w:keepLines w:val="0"/>
              <w:suppressLineNumbers w:val="0"/>
              <w:shd w:val="clear"/>
              <w:spacing w:before="0" w:beforeAutospacing="0" w:after="0" w:afterAutospacing="0"/>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偏离情况</w:t>
            </w:r>
          </w:p>
        </w:tc>
      </w:tr>
      <w:tr w14:paraId="507D5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4" w:hRule="atLeast"/>
          <w:jc w:val="center"/>
        </w:trPr>
        <w:tc>
          <w:tcPr>
            <w:tcW w:w="585" w:type="dxa"/>
            <w:tcBorders>
              <w:top w:val="single" w:color="auto" w:sz="4" w:space="0"/>
              <w:left w:val="single" w:color="000000" w:sz="4" w:space="0"/>
              <w:bottom w:val="single" w:color="000000" w:sz="4" w:space="0"/>
              <w:right w:val="single" w:color="000000" w:sz="4" w:space="0"/>
            </w:tcBorders>
            <w:noWrap w:val="0"/>
            <w:vAlign w:val="center"/>
          </w:tcPr>
          <w:p w14:paraId="0D27F527">
            <w:pPr>
              <w:keepNext w:val="0"/>
              <w:keepLines w:val="0"/>
              <w:suppressLineNumbers w:val="0"/>
              <w:shd w:val="clear"/>
              <w:spacing w:before="0" w:beforeAutospacing="0" w:after="0" w:afterAutospacing="0"/>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231" w:type="dxa"/>
            <w:tcBorders>
              <w:top w:val="single" w:color="auto" w:sz="4" w:space="0"/>
              <w:left w:val="single" w:color="auto" w:sz="4" w:space="0"/>
              <w:bottom w:val="single" w:color="000000" w:sz="4" w:space="0"/>
              <w:right w:val="single" w:color="000000" w:sz="4" w:space="0"/>
            </w:tcBorders>
            <w:noWrap w:val="0"/>
            <w:vAlign w:val="center"/>
          </w:tcPr>
          <w:p w14:paraId="2DBA9A5E">
            <w:pPr>
              <w:keepNext w:val="0"/>
              <w:keepLines w:val="0"/>
              <w:suppressLineNumbers w:val="0"/>
              <w:shd w:val="clear"/>
              <w:spacing w:before="0" w:beforeAutospacing="0" w:after="0" w:afterAutospacing="0"/>
              <w:ind w:left="0" w:right="0" w:firstLine="0" w:firstLineChars="0"/>
              <w:jc w:val="both"/>
              <w:rPr>
                <w:rFonts w:hint="eastAsia" w:ascii="宋体" w:hAnsi="宋体" w:eastAsia="宋体" w:cs="宋体"/>
                <w:color w:val="auto"/>
                <w:sz w:val="24"/>
                <w:szCs w:val="24"/>
                <w:highlight w:val="none"/>
              </w:rPr>
            </w:pPr>
          </w:p>
        </w:tc>
        <w:tc>
          <w:tcPr>
            <w:tcW w:w="1382" w:type="dxa"/>
            <w:tcBorders>
              <w:top w:val="single" w:color="auto" w:sz="4" w:space="0"/>
              <w:left w:val="single" w:color="auto" w:sz="4" w:space="0"/>
              <w:bottom w:val="single" w:color="000000" w:sz="4" w:space="0"/>
              <w:right w:val="single" w:color="000000" w:sz="4" w:space="0"/>
            </w:tcBorders>
            <w:noWrap w:val="0"/>
            <w:vAlign w:val="center"/>
          </w:tcPr>
          <w:p w14:paraId="125B99CC">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1950" w:type="dxa"/>
            <w:tcBorders>
              <w:top w:val="single" w:color="auto" w:sz="4" w:space="0"/>
              <w:left w:val="single" w:color="auto" w:sz="4" w:space="0"/>
              <w:bottom w:val="single" w:color="000000" w:sz="4" w:space="0"/>
              <w:right w:val="single" w:color="000000" w:sz="4" w:space="0"/>
            </w:tcBorders>
            <w:noWrap w:val="0"/>
            <w:vAlign w:val="center"/>
          </w:tcPr>
          <w:p w14:paraId="62218AAF">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2228" w:type="dxa"/>
            <w:tcBorders>
              <w:top w:val="single" w:color="auto" w:sz="4" w:space="0"/>
              <w:left w:val="single" w:color="auto" w:sz="4" w:space="0"/>
              <w:bottom w:val="single" w:color="000000" w:sz="4" w:space="0"/>
              <w:right w:val="single" w:color="000000" w:sz="4" w:space="0"/>
            </w:tcBorders>
            <w:noWrap w:val="0"/>
            <w:vAlign w:val="center"/>
          </w:tcPr>
          <w:p w14:paraId="6DFEEC7A">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1900" w:type="dxa"/>
            <w:tcBorders>
              <w:top w:val="single" w:color="auto" w:sz="4" w:space="0"/>
              <w:left w:val="single" w:color="auto" w:sz="4" w:space="0"/>
              <w:bottom w:val="single" w:color="000000" w:sz="4" w:space="0"/>
              <w:right w:val="single" w:color="000000" w:sz="4" w:space="0"/>
            </w:tcBorders>
            <w:noWrap w:val="0"/>
            <w:vAlign w:val="center"/>
          </w:tcPr>
          <w:p w14:paraId="007B1B22">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r>
      <w:tr w14:paraId="76A00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4" w:hRule="atLeast"/>
          <w:jc w:val="center"/>
        </w:trPr>
        <w:tc>
          <w:tcPr>
            <w:tcW w:w="585" w:type="dxa"/>
            <w:tcBorders>
              <w:top w:val="single" w:color="auto" w:sz="4" w:space="0"/>
              <w:left w:val="single" w:color="000000" w:sz="4" w:space="0"/>
              <w:bottom w:val="single" w:color="auto" w:sz="4" w:space="0"/>
              <w:right w:val="single" w:color="000000" w:sz="4" w:space="0"/>
            </w:tcBorders>
            <w:noWrap w:val="0"/>
            <w:vAlign w:val="center"/>
          </w:tcPr>
          <w:p w14:paraId="453D2F17">
            <w:pPr>
              <w:keepNext w:val="0"/>
              <w:keepLines w:val="0"/>
              <w:suppressLineNumbers w:val="0"/>
              <w:shd w:val="clear"/>
              <w:spacing w:before="0" w:beforeAutospacing="0" w:after="0" w:afterAutospacing="0"/>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2</w:t>
            </w:r>
          </w:p>
        </w:tc>
        <w:tc>
          <w:tcPr>
            <w:tcW w:w="1231" w:type="dxa"/>
            <w:tcBorders>
              <w:top w:val="single" w:color="auto" w:sz="4" w:space="0"/>
              <w:left w:val="single" w:color="auto" w:sz="4" w:space="0"/>
              <w:bottom w:val="single" w:color="auto" w:sz="4" w:space="0"/>
              <w:right w:val="single" w:color="000000" w:sz="4" w:space="0"/>
            </w:tcBorders>
            <w:noWrap w:val="0"/>
            <w:vAlign w:val="center"/>
          </w:tcPr>
          <w:p w14:paraId="0327BC6E">
            <w:pPr>
              <w:keepNext w:val="0"/>
              <w:keepLines w:val="0"/>
              <w:suppressLineNumbers w:val="0"/>
              <w:shd w:val="clear"/>
              <w:spacing w:before="0" w:beforeAutospacing="0" w:after="0" w:afterAutospacing="0"/>
              <w:ind w:left="0" w:right="0" w:firstLine="0" w:firstLineChars="0"/>
              <w:jc w:val="both"/>
              <w:rPr>
                <w:rFonts w:hint="eastAsia" w:ascii="宋体" w:hAnsi="宋体" w:eastAsia="宋体" w:cs="宋体"/>
                <w:color w:val="auto"/>
                <w:sz w:val="24"/>
                <w:szCs w:val="24"/>
                <w:highlight w:val="none"/>
              </w:rPr>
            </w:pPr>
          </w:p>
        </w:tc>
        <w:tc>
          <w:tcPr>
            <w:tcW w:w="1382" w:type="dxa"/>
            <w:tcBorders>
              <w:top w:val="single" w:color="auto" w:sz="4" w:space="0"/>
              <w:left w:val="single" w:color="auto" w:sz="4" w:space="0"/>
              <w:bottom w:val="single" w:color="auto" w:sz="4" w:space="0"/>
              <w:right w:val="single" w:color="000000" w:sz="4" w:space="0"/>
            </w:tcBorders>
            <w:noWrap w:val="0"/>
            <w:vAlign w:val="center"/>
          </w:tcPr>
          <w:p w14:paraId="60632BE6">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1950" w:type="dxa"/>
            <w:tcBorders>
              <w:top w:val="single" w:color="auto" w:sz="4" w:space="0"/>
              <w:left w:val="single" w:color="auto" w:sz="4" w:space="0"/>
              <w:bottom w:val="single" w:color="auto" w:sz="4" w:space="0"/>
              <w:right w:val="single" w:color="000000" w:sz="4" w:space="0"/>
            </w:tcBorders>
            <w:noWrap w:val="0"/>
            <w:vAlign w:val="center"/>
          </w:tcPr>
          <w:p w14:paraId="4F53C443">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2228" w:type="dxa"/>
            <w:tcBorders>
              <w:top w:val="single" w:color="auto" w:sz="4" w:space="0"/>
              <w:left w:val="single" w:color="auto" w:sz="4" w:space="0"/>
              <w:bottom w:val="single" w:color="auto" w:sz="4" w:space="0"/>
              <w:right w:val="single" w:color="000000" w:sz="4" w:space="0"/>
            </w:tcBorders>
            <w:noWrap w:val="0"/>
            <w:vAlign w:val="center"/>
          </w:tcPr>
          <w:p w14:paraId="3CC1657A">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1900" w:type="dxa"/>
            <w:tcBorders>
              <w:top w:val="single" w:color="auto" w:sz="4" w:space="0"/>
              <w:left w:val="single" w:color="auto" w:sz="4" w:space="0"/>
              <w:bottom w:val="single" w:color="auto" w:sz="4" w:space="0"/>
              <w:right w:val="single" w:color="000000" w:sz="4" w:space="0"/>
            </w:tcBorders>
            <w:noWrap w:val="0"/>
            <w:vAlign w:val="center"/>
          </w:tcPr>
          <w:p w14:paraId="6B4FB786">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r>
      <w:tr w14:paraId="7FD7B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4" w:hRule="atLeast"/>
          <w:jc w:val="center"/>
        </w:trPr>
        <w:tc>
          <w:tcPr>
            <w:tcW w:w="585" w:type="dxa"/>
            <w:tcBorders>
              <w:top w:val="single" w:color="auto" w:sz="4" w:space="0"/>
              <w:left w:val="single" w:color="000000" w:sz="4" w:space="0"/>
              <w:bottom w:val="single" w:color="auto" w:sz="4" w:space="0"/>
              <w:right w:val="single" w:color="000000" w:sz="4" w:space="0"/>
            </w:tcBorders>
            <w:noWrap w:val="0"/>
            <w:vAlign w:val="center"/>
          </w:tcPr>
          <w:p w14:paraId="5331A6FE">
            <w:pPr>
              <w:keepNext w:val="0"/>
              <w:keepLines w:val="0"/>
              <w:suppressLineNumbers w:val="0"/>
              <w:shd w:val="clear"/>
              <w:spacing w:before="0" w:beforeAutospacing="0" w:after="0" w:afterAutospacing="0"/>
              <w:ind w:left="0" w:right="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231" w:type="dxa"/>
            <w:tcBorders>
              <w:top w:val="single" w:color="auto" w:sz="4" w:space="0"/>
              <w:left w:val="single" w:color="auto" w:sz="4" w:space="0"/>
              <w:bottom w:val="single" w:color="auto" w:sz="4" w:space="0"/>
              <w:right w:val="single" w:color="000000" w:sz="4" w:space="0"/>
            </w:tcBorders>
            <w:noWrap w:val="0"/>
            <w:vAlign w:val="center"/>
          </w:tcPr>
          <w:p w14:paraId="6D687ECE">
            <w:pPr>
              <w:keepNext w:val="0"/>
              <w:keepLines w:val="0"/>
              <w:suppressLineNumbers w:val="0"/>
              <w:shd w:val="clear"/>
              <w:spacing w:before="0" w:beforeAutospacing="0" w:after="0" w:afterAutospacing="0"/>
              <w:ind w:left="0" w:right="0" w:firstLine="0" w:firstLineChars="0"/>
              <w:jc w:val="both"/>
              <w:rPr>
                <w:rFonts w:hint="eastAsia" w:ascii="宋体" w:hAnsi="宋体" w:eastAsia="宋体" w:cs="宋体"/>
                <w:color w:val="auto"/>
                <w:sz w:val="24"/>
                <w:szCs w:val="24"/>
                <w:highlight w:val="none"/>
              </w:rPr>
            </w:pPr>
          </w:p>
        </w:tc>
        <w:tc>
          <w:tcPr>
            <w:tcW w:w="1382" w:type="dxa"/>
            <w:tcBorders>
              <w:top w:val="single" w:color="auto" w:sz="4" w:space="0"/>
              <w:left w:val="single" w:color="auto" w:sz="4" w:space="0"/>
              <w:bottom w:val="single" w:color="auto" w:sz="4" w:space="0"/>
              <w:right w:val="single" w:color="000000" w:sz="4" w:space="0"/>
            </w:tcBorders>
            <w:noWrap w:val="0"/>
            <w:vAlign w:val="center"/>
          </w:tcPr>
          <w:p w14:paraId="528AF61A">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1950" w:type="dxa"/>
            <w:tcBorders>
              <w:top w:val="single" w:color="auto" w:sz="4" w:space="0"/>
              <w:left w:val="single" w:color="auto" w:sz="4" w:space="0"/>
              <w:bottom w:val="single" w:color="auto" w:sz="4" w:space="0"/>
              <w:right w:val="single" w:color="000000" w:sz="4" w:space="0"/>
            </w:tcBorders>
            <w:noWrap w:val="0"/>
            <w:vAlign w:val="center"/>
          </w:tcPr>
          <w:p w14:paraId="6DA1F9CF">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2228" w:type="dxa"/>
            <w:tcBorders>
              <w:top w:val="single" w:color="auto" w:sz="4" w:space="0"/>
              <w:left w:val="single" w:color="auto" w:sz="4" w:space="0"/>
              <w:bottom w:val="single" w:color="auto" w:sz="4" w:space="0"/>
              <w:right w:val="single" w:color="000000" w:sz="4" w:space="0"/>
            </w:tcBorders>
            <w:noWrap w:val="0"/>
            <w:vAlign w:val="center"/>
          </w:tcPr>
          <w:p w14:paraId="7E51EAFB">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1900" w:type="dxa"/>
            <w:tcBorders>
              <w:top w:val="single" w:color="auto" w:sz="4" w:space="0"/>
              <w:left w:val="single" w:color="auto" w:sz="4" w:space="0"/>
              <w:bottom w:val="single" w:color="auto" w:sz="4" w:space="0"/>
              <w:right w:val="single" w:color="000000" w:sz="4" w:space="0"/>
            </w:tcBorders>
            <w:noWrap w:val="0"/>
            <w:vAlign w:val="center"/>
          </w:tcPr>
          <w:p w14:paraId="18ECDBF5">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r>
      <w:tr w14:paraId="77BD9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4" w:hRule="atLeast"/>
          <w:jc w:val="center"/>
        </w:trPr>
        <w:tc>
          <w:tcPr>
            <w:tcW w:w="585" w:type="dxa"/>
            <w:tcBorders>
              <w:top w:val="single" w:color="auto" w:sz="4" w:space="0"/>
              <w:left w:val="single" w:color="000000" w:sz="4" w:space="0"/>
              <w:bottom w:val="single" w:color="000000" w:sz="4" w:space="0"/>
              <w:right w:val="single" w:color="000000" w:sz="4" w:space="0"/>
            </w:tcBorders>
            <w:noWrap w:val="0"/>
            <w:vAlign w:val="center"/>
          </w:tcPr>
          <w:p w14:paraId="5788C2D8">
            <w:pPr>
              <w:keepNext w:val="0"/>
              <w:keepLines w:val="0"/>
              <w:suppressLineNumbers w:val="0"/>
              <w:shd w:val="clear"/>
              <w:spacing w:before="0" w:beforeAutospacing="0" w:after="0" w:afterAutospacing="0"/>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231" w:type="dxa"/>
            <w:tcBorders>
              <w:top w:val="single" w:color="auto" w:sz="4" w:space="0"/>
              <w:left w:val="single" w:color="auto" w:sz="4" w:space="0"/>
              <w:bottom w:val="single" w:color="000000" w:sz="4" w:space="0"/>
              <w:right w:val="single" w:color="000000" w:sz="4" w:space="0"/>
            </w:tcBorders>
            <w:noWrap w:val="0"/>
            <w:vAlign w:val="center"/>
          </w:tcPr>
          <w:p w14:paraId="4B7A773F">
            <w:pPr>
              <w:keepNext w:val="0"/>
              <w:keepLines w:val="0"/>
              <w:suppressLineNumbers w:val="0"/>
              <w:shd w:val="clear"/>
              <w:spacing w:before="0" w:beforeAutospacing="0" w:after="0" w:afterAutospacing="0"/>
              <w:ind w:left="0" w:right="0" w:firstLine="0" w:firstLineChars="0"/>
              <w:jc w:val="both"/>
              <w:rPr>
                <w:rFonts w:hint="eastAsia" w:ascii="宋体" w:hAnsi="宋体" w:eastAsia="宋体" w:cs="宋体"/>
                <w:color w:val="auto"/>
                <w:sz w:val="24"/>
                <w:szCs w:val="24"/>
                <w:highlight w:val="none"/>
              </w:rPr>
            </w:pPr>
          </w:p>
        </w:tc>
        <w:tc>
          <w:tcPr>
            <w:tcW w:w="1382" w:type="dxa"/>
            <w:tcBorders>
              <w:top w:val="single" w:color="auto" w:sz="4" w:space="0"/>
              <w:left w:val="single" w:color="auto" w:sz="4" w:space="0"/>
              <w:bottom w:val="single" w:color="000000" w:sz="4" w:space="0"/>
              <w:right w:val="single" w:color="000000" w:sz="4" w:space="0"/>
            </w:tcBorders>
            <w:noWrap w:val="0"/>
            <w:vAlign w:val="center"/>
          </w:tcPr>
          <w:p w14:paraId="59966DA9">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1950" w:type="dxa"/>
            <w:tcBorders>
              <w:top w:val="single" w:color="auto" w:sz="4" w:space="0"/>
              <w:left w:val="single" w:color="auto" w:sz="4" w:space="0"/>
              <w:bottom w:val="single" w:color="000000" w:sz="4" w:space="0"/>
              <w:right w:val="single" w:color="000000" w:sz="4" w:space="0"/>
            </w:tcBorders>
            <w:noWrap w:val="0"/>
            <w:vAlign w:val="center"/>
          </w:tcPr>
          <w:p w14:paraId="34CA7A5D">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2228" w:type="dxa"/>
            <w:tcBorders>
              <w:top w:val="single" w:color="auto" w:sz="4" w:space="0"/>
              <w:left w:val="single" w:color="auto" w:sz="4" w:space="0"/>
              <w:bottom w:val="single" w:color="000000" w:sz="4" w:space="0"/>
              <w:right w:val="single" w:color="000000" w:sz="4" w:space="0"/>
            </w:tcBorders>
            <w:noWrap w:val="0"/>
            <w:vAlign w:val="center"/>
          </w:tcPr>
          <w:p w14:paraId="3C46D59E">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c>
          <w:tcPr>
            <w:tcW w:w="1900" w:type="dxa"/>
            <w:tcBorders>
              <w:top w:val="single" w:color="auto" w:sz="4" w:space="0"/>
              <w:left w:val="single" w:color="auto" w:sz="4" w:space="0"/>
              <w:bottom w:val="single" w:color="000000" w:sz="4" w:space="0"/>
              <w:right w:val="single" w:color="000000" w:sz="4" w:space="0"/>
            </w:tcBorders>
            <w:noWrap w:val="0"/>
            <w:vAlign w:val="center"/>
          </w:tcPr>
          <w:p w14:paraId="584E86FA">
            <w:pPr>
              <w:keepNext w:val="0"/>
              <w:keepLines w:val="0"/>
              <w:suppressLineNumbers w:val="0"/>
              <w:shd w:val="clear"/>
              <w:spacing w:before="0" w:beforeAutospacing="0" w:after="0" w:afterAutospacing="0"/>
              <w:ind w:left="0" w:right="0"/>
              <w:jc w:val="both"/>
              <w:rPr>
                <w:rFonts w:hint="eastAsia" w:ascii="宋体" w:hAnsi="宋体" w:eastAsia="宋体" w:cs="宋体"/>
                <w:color w:val="auto"/>
                <w:sz w:val="24"/>
                <w:szCs w:val="24"/>
                <w:highlight w:val="none"/>
              </w:rPr>
            </w:pPr>
          </w:p>
        </w:tc>
      </w:tr>
    </w:tbl>
    <w:p w14:paraId="01D57A52">
      <w:pPr>
        <w:shd w:val="clear"/>
        <w:spacing w:line="520" w:lineRule="exact"/>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（本表请根据实际自行制作）</w:t>
      </w:r>
    </w:p>
    <w:p w14:paraId="5E77016C">
      <w:pPr>
        <w:shd w:val="clear"/>
        <w:snapToGrid w:val="0"/>
        <w:spacing w:line="520" w:lineRule="exact"/>
        <w:ind w:firstLine="480" w:firstLineChars="200"/>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w:t>
      </w:r>
    </w:p>
    <w:p w14:paraId="70C92A14">
      <w:pPr>
        <w:shd w:val="clear"/>
        <w:snapToGrid w:val="0"/>
        <w:spacing w:line="312" w:lineRule="auto"/>
        <w:ind w:firstLine="480" w:firstLineChars="200"/>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供应商</w:t>
      </w:r>
      <w:r>
        <w:rPr>
          <w:rFonts w:hint="eastAsia" w:ascii="宋体" w:hAnsi="宋体" w:eastAsia="宋体" w:cs="宋体"/>
          <w:bCs/>
          <w:color w:val="auto"/>
          <w:sz w:val="24"/>
          <w:szCs w:val="24"/>
          <w:highlight w:val="none"/>
        </w:rPr>
        <w:t>应根据投标设备的性能指标、对照</w:t>
      </w:r>
      <w:r>
        <w:rPr>
          <w:rFonts w:hint="eastAsia" w:ascii="宋体" w:hAnsi="宋体" w:cs="宋体"/>
          <w:bCs/>
          <w:color w:val="auto"/>
          <w:sz w:val="24"/>
          <w:szCs w:val="24"/>
          <w:highlight w:val="none"/>
          <w:lang w:eastAsia="zh-CN"/>
        </w:rPr>
        <w:t>招标文件</w:t>
      </w:r>
      <w:r>
        <w:rPr>
          <w:rFonts w:hint="eastAsia" w:ascii="宋体" w:hAnsi="宋体" w:eastAsia="宋体" w:cs="宋体"/>
          <w:bCs/>
          <w:color w:val="auto"/>
          <w:sz w:val="24"/>
          <w:szCs w:val="24"/>
          <w:highlight w:val="none"/>
        </w:rPr>
        <w:t>要求在“偏离情况”栏注明“正偏离”、“负偏离”或“无偏离”。</w:t>
      </w:r>
    </w:p>
    <w:p w14:paraId="65A12BC0">
      <w:pPr>
        <w:widowControl/>
        <w:shd w:val="clear"/>
        <w:spacing w:line="312" w:lineRule="auto"/>
        <w:ind w:firstLine="480"/>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详细的产品清单及货物简要说明（注明品牌型号及具体参数）；</w:t>
      </w:r>
    </w:p>
    <w:p w14:paraId="4D105C45">
      <w:pPr>
        <w:shd w:val="clear"/>
        <w:spacing w:line="312" w:lineRule="auto"/>
        <w:ind w:firstLine="480" w:firstLineChars="200"/>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提供能详细描述投标产品主要技术参数、性能的证明材料</w:t>
      </w:r>
      <w:r>
        <w:rPr>
          <w:rFonts w:hint="eastAsia" w:ascii="宋体" w:hAnsi="宋体" w:eastAsia="宋体" w:cs="宋体"/>
          <w:bCs/>
          <w:color w:val="auto"/>
          <w:kern w:val="0"/>
          <w:sz w:val="24"/>
          <w:szCs w:val="24"/>
          <w:highlight w:val="none"/>
        </w:rPr>
        <w:t>。</w:t>
      </w:r>
    </w:p>
    <w:p w14:paraId="6618DD4B">
      <w:pPr>
        <w:snapToGrid w:val="0"/>
        <w:spacing w:before="50" w:line="400" w:lineRule="exact"/>
        <w:ind w:firstLine="723"/>
        <w:jc w:val="center"/>
        <w:rPr>
          <w:rFonts w:hint="eastAsia" w:ascii="宋体" w:hAnsi="宋体" w:cs="宋体"/>
          <w:b/>
          <w:bCs/>
          <w:highlight w:val="none"/>
          <w:lang w:val="en-US" w:eastAsia="zh-CN" w:bidi="ar"/>
        </w:rPr>
      </w:pPr>
    </w:p>
    <w:p w14:paraId="55C052D5">
      <w:pPr>
        <w:pStyle w:val="31"/>
        <w:widowControl w:val="0"/>
        <w:spacing w:before="0" w:beforeAutospacing="0" w:after="0" w:afterAutospacing="0" w:line="300" w:lineRule="auto"/>
        <w:ind w:firstLine="480"/>
        <w:jc w:val="both"/>
        <w:rPr>
          <w:rFonts w:hint="eastAsia" w:ascii="宋体" w:hAnsi="宋体" w:cs="宋体"/>
          <w:highlight w:val="none"/>
          <w:lang w:bidi="ar"/>
        </w:rPr>
      </w:pPr>
    </w:p>
    <w:p w14:paraId="295605A6">
      <w:pPr>
        <w:adjustRightInd w:val="0"/>
        <w:snapToGrid w:val="0"/>
        <w:spacing w:line="360" w:lineRule="auto"/>
        <w:ind w:firstLine="4080" w:firstLineChars="1700"/>
        <w:textAlignment w:val="baseline"/>
        <w:rPr>
          <w:rFonts w:hint="eastAsia" w:ascii="宋体" w:hAnsi="宋体" w:cs="宋体"/>
          <w:highlight w:val="none"/>
        </w:rPr>
      </w:pPr>
      <w:r>
        <w:rPr>
          <w:rFonts w:hint="eastAsia" w:ascii="宋体" w:hAnsi="宋体" w:cs="宋体"/>
          <w:highlight w:val="none"/>
          <w:lang w:bidi="ar"/>
        </w:rPr>
        <w:t>供应商名称（盖章）:</w:t>
      </w:r>
    </w:p>
    <w:p w14:paraId="519E77B5">
      <w:pPr>
        <w:adjustRightInd w:val="0"/>
        <w:snapToGrid w:val="0"/>
        <w:spacing w:line="360" w:lineRule="auto"/>
        <w:ind w:firstLine="4080" w:firstLineChars="1700"/>
        <w:textAlignment w:val="baseline"/>
        <w:rPr>
          <w:rFonts w:hint="eastAsia" w:ascii="宋体" w:hAnsi="宋体" w:cs="宋体"/>
          <w:highlight w:val="none"/>
        </w:rPr>
      </w:pPr>
      <w:r>
        <w:rPr>
          <w:rFonts w:hint="eastAsia" w:ascii="宋体" w:hAnsi="宋体" w:cs="宋体"/>
          <w:highlight w:val="none"/>
          <w:lang w:bidi="ar"/>
        </w:rPr>
        <w:t>法定代表人或授权代理人（签字或盖章）:</w:t>
      </w:r>
    </w:p>
    <w:p w14:paraId="0FC791C9">
      <w:pPr>
        <w:widowControl/>
        <w:adjustRightInd w:val="0"/>
        <w:snapToGrid w:val="0"/>
        <w:spacing w:line="360" w:lineRule="auto"/>
        <w:ind w:firstLine="4080" w:firstLineChars="1700"/>
        <w:rPr>
          <w:rFonts w:hint="eastAsia" w:ascii="宋体" w:hAnsi="宋体" w:cs="宋体"/>
          <w:highlight w:val="none"/>
        </w:rPr>
      </w:pPr>
      <w:r>
        <w:rPr>
          <w:rFonts w:hint="eastAsia" w:ascii="宋体" w:hAnsi="宋体" w:cs="宋体"/>
          <w:highlight w:val="none"/>
          <w:lang w:bidi="ar"/>
        </w:rPr>
        <w:t>日期:</w:t>
      </w:r>
      <w:r>
        <w:rPr>
          <w:rFonts w:hint="eastAsia" w:ascii="宋体" w:hAnsi="宋体" w:cs="宋体"/>
          <w:highlight w:val="none"/>
          <w:lang w:eastAsia="zh-CN" w:bidi="ar"/>
        </w:rPr>
        <w:t>2025</w:t>
      </w:r>
      <w:r>
        <w:rPr>
          <w:rFonts w:hint="eastAsia" w:ascii="宋体" w:hAnsi="宋体" w:cs="宋体"/>
          <w:highlight w:val="none"/>
          <w:lang w:bidi="ar"/>
        </w:rPr>
        <w:t>年   月   日</w:t>
      </w:r>
    </w:p>
    <w:p w14:paraId="15DD0516">
      <w:pPr>
        <w:pStyle w:val="3"/>
        <w:keepNext w:val="0"/>
        <w:keepLines w:val="0"/>
        <w:autoSpaceDE w:val="0"/>
        <w:spacing w:before="156" w:after="156"/>
        <w:ind w:firstLine="602" w:firstLineChars="200"/>
        <w:jc w:val="both"/>
        <w:outlineLvl w:val="9"/>
        <w:rPr>
          <w:rFonts w:hint="eastAsia" w:ascii="宋体" w:hAnsi="宋体" w:cs="宋体"/>
          <w:b/>
          <w:bCs w:val="0"/>
          <w:highlight w:val="none"/>
          <w:lang w:bidi="ar"/>
        </w:rPr>
      </w:pPr>
    </w:p>
    <w:p w14:paraId="5BFA4D77">
      <w:pPr>
        <w:pStyle w:val="3"/>
        <w:keepNext w:val="0"/>
        <w:keepLines w:val="0"/>
        <w:autoSpaceDE w:val="0"/>
        <w:spacing w:before="156" w:after="156"/>
        <w:ind w:firstLine="602" w:firstLineChars="200"/>
        <w:jc w:val="both"/>
        <w:outlineLvl w:val="9"/>
        <w:rPr>
          <w:rFonts w:hint="eastAsia" w:ascii="宋体" w:hAnsi="宋体" w:cs="宋体"/>
          <w:b/>
          <w:bCs w:val="0"/>
          <w:highlight w:val="none"/>
          <w:lang w:bidi="ar"/>
        </w:rPr>
      </w:pPr>
    </w:p>
    <w:p w14:paraId="1DBAF458">
      <w:pPr>
        <w:pStyle w:val="3"/>
        <w:keepNext w:val="0"/>
        <w:keepLines w:val="0"/>
        <w:autoSpaceDE w:val="0"/>
        <w:spacing w:before="156" w:after="156"/>
        <w:ind w:firstLine="602" w:firstLineChars="200"/>
        <w:jc w:val="both"/>
        <w:outlineLvl w:val="9"/>
        <w:rPr>
          <w:rFonts w:hint="eastAsia" w:ascii="宋体" w:hAnsi="宋体" w:cs="宋体"/>
          <w:b/>
          <w:bCs w:val="0"/>
          <w:highlight w:val="none"/>
          <w:lang w:bidi="ar"/>
        </w:rPr>
      </w:pPr>
    </w:p>
    <w:p w14:paraId="00B8A5BC">
      <w:pPr>
        <w:rPr>
          <w:rFonts w:hint="eastAsia" w:ascii="宋体" w:hAnsi="宋体" w:cs="宋体"/>
          <w:b/>
          <w:bCs w:val="0"/>
          <w:highlight w:val="none"/>
          <w:lang w:bidi="ar"/>
        </w:rPr>
      </w:pPr>
    </w:p>
    <w:p w14:paraId="4B5CE76F">
      <w:pPr>
        <w:pStyle w:val="4"/>
        <w:numPr>
          <w:ilvl w:val="2"/>
          <w:numId w:val="0"/>
        </w:numPr>
        <w:ind w:leftChars="200"/>
        <w:rPr>
          <w:rFonts w:hint="eastAsia"/>
        </w:rPr>
      </w:pPr>
    </w:p>
    <w:p w14:paraId="2513451F">
      <w:pPr>
        <w:tabs>
          <w:tab w:val="left" w:pos="1175"/>
        </w:tabs>
        <w:ind w:firstLine="0" w:firstLineChars="0"/>
        <w:outlineLvl w:val="9"/>
        <w:rPr>
          <w:rFonts w:hint="eastAsia" w:ascii="宋体" w:hAnsi="宋体" w:cs="宋体"/>
          <w:b/>
          <w:bCs/>
          <w:highlight w:val="none"/>
          <w:lang w:eastAsia="zh-CN" w:bidi="ar"/>
        </w:rPr>
      </w:pPr>
    </w:p>
    <w:p w14:paraId="0F2B0ED8">
      <w:pPr>
        <w:ind w:firstLine="0" w:firstLineChars="0"/>
        <w:outlineLvl w:val="2"/>
        <w:rPr>
          <w:rFonts w:hint="eastAsia" w:ascii="宋体" w:hAnsi="宋体" w:eastAsia="宋体" w:cs="宋体"/>
          <w:b/>
          <w:bCs/>
          <w:highlight w:val="none"/>
          <w:lang w:val="en-US" w:eastAsia="zh-CN" w:bidi="ar"/>
        </w:rPr>
      </w:pPr>
      <w:r>
        <w:rPr>
          <w:rFonts w:hint="eastAsia" w:ascii="宋体" w:hAnsi="宋体" w:eastAsia="宋体" w:cs="宋体"/>
          <w:b/>
          <w:bCs/>
          <w:highlight w:val="none"/>
          <w:lang w:bidi="ar"/>
        </w:rPr>
        <w:t>附件</w:t>
      </w:r>
      <w:r>
        <w:rPr>
          <w:rFonts w:hint="eastAsia" w:ascii="宋体" w:hAnsi="宋体" w:cs="宋体"/>
          <w:b/>
          <w:bCs/>
          <w:highlight w:val="none"/>
          <w:lang w:val="en-US" w:eastAsia="zh-CN" w:bidi="ar"/>
        </w:rPr>
        <w:t>9</w:t>
      </w:r>
    </w:p>
    <w:p w14:paraId="5BD0DA25">
      <w:pPr>
        <w:snapToGrid w:val="0"/>
        <w:spacing w:before="50" w:line="400" w:lineRule="exact"/>
        <w:ind w:firstLine="723"/>
        <w:jc w:val="center"/>
        <w:rPr>
          <w:rFonts w:hint="eastAsia" w:ascii="宋体"/>
          <w:b/>
          <w:bCs/>
          <w:sz w:val="36"/>
          <w:szCs w:val="36"/>
          <w:highlight w:val="none"/>
        </w:rPr>
      </w:pPr>
      <w:r>
        <w:rPr>
          <w:rFonts w:hint="eastAsia" w:ascii="宋体" w:hAnsi="宋体" w:cs="宋体"/>
          <w:b/>
          <w:bCs/>
          <w:sz w:val="36"/>
          <w:szCs w:val="36"/>
          <w:highlight w:val="none"/>
          <w:lang w:bidi="ar"/>
        </w:rPr>
        <w:t>商务响应表</w:t>
      </w:r>
    </w:p>
    <w:p w14:paraId="6745B7A4">
      <w:pPr>
        <w:pStyle w:val="3"/>
        <w:keepNext w:val="0"/>
        <w:keepLines w:val="0"/>
        <w:autoSpaceDE w:val="0"/>
        <w:spacing w:before="156" w:after="156"/>
        <w:ind w:firstLine="480" w:firstLineChars="200"/>
        <w:jc w:val="both"/>
        <w:rPr>
          <w:rFonts w:hint="eastAsia" w:ascii="宋体" w:hAnsi="宋体"/>
          <w:b w:val="0"/>
          <w:bCs w:val="0"/>
          <w:sz w:val="24"/>
          <w:szCs w:val="24"/>
          <w:highlight w:val="none"/>
        </w:rPr>
      </w:pPr>
      <w:bookmarkStart w:id="1647" w:name="_Toc4334"/>
      <w:r>
        <w:rPr>
          <w:rFonts w:hint="eastAsia" w:ascii="宋体" w:hAnsi="宋体" w:cs="宋体"/>
          <w:b w:val="0"/>
          <w:bCs w:val="0"/>
          <w:sz w:val="24"/>
          <w:szCs w:val="24"/>
          <w:highlight w:val="none"/>
        </w:rPr>
        <w:t>项目名称：</w:t>
      </w:r>
      <w:bookmarkEnd w:id="1647"/>
    </w:p>
    <w:p w14:paraId="289DAEC4">
      <w:pPr>
        <w:pStyle w:val="31"/>
        <w:widowControl w:val="0"/>
        <w:autoSpaceDE w:val="0"/>
        <w:spacing w:before="156" w:beforeLines="50" w:beforeAutospacing="0" w:after="156" w:afterLines="50" w:afterAutospacing="0" w:line="240" w:lineRule="auto"/>
        <w:ind w:firstLine="480"/>
        <w:jc w:val="both"/>
        <w:outlineLvl w:val="1"/>
        <w:rPr>
          <w:rFonts w:ascii="华文中宋" w:hAnsi="华文中宋" w:eastAsia="华文中宋" w:cs="华文中宋"/>
          <w:b/>
          <w:kern w:val="2"/>
          <w:sz w:val="28"/>
          <w:szCs w:val="28"/>
          <w:highlight w:val="none"/>
        </w:rPr>
      </w:pPr>
      <w:bookmarkStart w:id="1648" w:name="_Toc9247"/>
      <w:r>
        <w:rPr>
          <w:rFonts w:hint="eastAsia" w:cs="宋体"/>
          <w:kern w:val="2"/>
          <w:highlight w:val="none"/>
          <w:lang w:bidi="ar"/>
        </w:rPr>
        <w:t>项目编号：</w:t>
      </w:r>
      <w:bookmarkEnd w:id="1648"/>
    </w:p>
    <w:tbl>
      <w:tblPr>
        <w:tblStyle w:val="38"/>
        <w:tblW w:w="954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666"/>
        <w:gridCol w:w="5244"/>
        <w:gridCol w:w="2630"/>
      </w:tblGrid>
      <w:tr w14:paraId="4ED11FF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42" w:hRule="atLeast"/>
          <w:jc w:val="center"/>
        </w:trPr>
        <w:tc>
          <w:tcPr>
            <w:tcW w:w="1666" w:type="dxa"/>
            <w:tcBorders>
              <w:top w:val="single" w:color="auto" w:sz="4" w:space="0"/>
              <w:left w:val="single" w:color="auto" w:sz="4" w:space="0"/>
              <w:bottom w:val="single" w:color="auto" w:sz="4" w:space="0"/>
              <w:right w:val="single" w:color="auto" w:sz="4" w:space="0"/>
            </w:tcBorders>
            <w:noWrap w:val="0"/>
            <w:vAlign w:val="center"/>
          </w:tcPr>
          <w:p w14:paraId="36193D2E">
            <w:pPr>
              <w:keepNext w:val="0"/>
              <w:keepLines w:val="0"/>
              <w:suppressLineNumbers w:val="0"/>
              <w:snapToGrid w:val="0"/>
              <w:spacing w:before="156" w:beforeLines="50" w:beforeAutospacing="0" w:after="0" w:afterAutospacing="0" w:line="320" w:lineRule="exact"/>
              <w:ind w:left="0" w:right="0" w:firstLine="0" w:firstLineChars="0"/>
              <w:jc w:val="center"/>
              <w:rPr>
                <w:rFonts w:hint="eastAsia" w:ascii="宋体" w:cs="宋体"/>
                <w:highlight w:val="none"/>
              </w:rPr>
            </w:pPr>
            <w:r>
              <w:rPr>
                <w:rFonts w:hint="eastAsia" w:ascii="宋体" w:hAnsi="宋体" w:cs="宋体"/>
                <w:highlight w:val="none"/>
                <w:lang w:bidi="ar"/>
              </w:rPr>
              <w:t>项目内容</w:t>
            </w:r>
          </w:p>
        </w:tc>
        <w:tc>
          <w:tcPr>
            <w:tcW w:w="5244" w:type="dxa"/>
            <w:tcBorders>
              <w:top w:val="single" w:color="auto" w:sz="4" w:space="0"/>
              <w:left w:val="nil"/>
              <w:bottom w:val="single" w:color="auto" w:sz="4" w:space="0"/>
              <w:right w:val="single" w:color="auto" w:sz="4" w:space="0"/>
            </w:tcBorders>
            <w:noWrap w:val="0"/>
            <w:vAlign w:val="center"/>
          </w:tcPr>
          <w:p w14:paraId="63701148">
            <w:pPr>
              <w:keepNext w:val="0"/>
              <w:keepLines w:val="0"/>
              <w:suppressLineNumbers w:val="0"/>
              <w:snapToGrid w:val="0"/>
              <w:spacing w:before="156" w:beforeLines="50" w:beforeAutospacing="0" w:after="0" w:afterAutospacing="0" w:line="320" w:lineRule="exact"/>
              <w:ind w:left="0" w:right="0" w:firstLine="0" w:firstLineChars="0"/>
              <w:jc w:val="center"/>
              <w:rPr>
                <w:rFonts w:hint="eastAsia" w:ascii="宋体" w:cs="宋体"/>
                <w:highlight w:val="none"/>
              </w:rPr>
            </w:pPr>
            <w:r>
              <w:rPr>
                <w:rFonts w:hint="eastAsia" w:ascii="宋体" w:hAnsi="宋体" w:cs="宋体"/>
                <w:highlight w:val="none"/>
                <w:lang w:bidi="ar"/>
              </w:rPr>
              <w:t>磋商文件要求</w:t>
            </w:r>
          </w:p>
        </w:tc>
        <w:tc>
          <w:tcPr>
            <w:tcW w:w="2630" w:type="dxa"/>
            <w:tcBorders>
              <w:top w:val="single" w:color="auto" w:sz="4" w:space="0"/>
              <w:left w:val="nil"/>
              <w:bottom w:val="single" w:color="auto" w:sz="4" w:space="0"/>
              <w:right w:val="single" w:color="auto" w:sz="4" w:space="0"/>
            </w:tcBorders>
            <w:noWrap w:val="0"/>
            <w:vAlign w:val="center"/>
          </w:tcPr>
          <w:p w14:paraId="610D67DC">
            <w:pPr>
              <w:keepNext w:val="0"/>
              <w:keepLines w:val="0"/>
              <w:suppressLineNumbers w:val="0"/>
              <w:snapToGrid w:val="0"/>
              <w:spacing w:before="156" w:beforeLines="50" w:beforeAutospacing="0" w:after="0" w:afterAutospacing="0" w:line="320" w:lineRule="exact"/>
              <w:ind w:left="0" w:right="0" w:firstLine="0" w:firstLineChars="0"/>
              <w:jc w:val="center"/>
              <w:rPr>
                <w:rFonts w:hint="eastAsia" w:ascii="宋体" w:cs="宋体"/>
                <w:highlight w:val="none"/>
              </w:rPr>
            </w:pPr>
            <w:r>
              <w:rPr>
                <w:rFonts w:hint="eastAsia" w:ascii="宋体" w:hAnsi="宋体" w:cs="宋体"/>
                <w:highlight w:val="none"/>
                <w:lang w:bidi="ar"/>
              </w:rPr>
              <w:t>供应商的承诺或说明</w:t>
            </w:r>
          </w:p>
        </w:tc>
      </w:tr>
      <w:tr w14:paraId="7206509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20" w:hRule="atLeast"/>
          <w:jc w:val="center"/>
        </w:trPr>
        <w:tc>
          <w:tcPr>
            <w:tcW w:w="1666" w:type="dxa"/>
            <w:tcBorders>
              <w:top w:val="single" w:color="auto" w:sz="4" w:space="0"/>
              <w:left w:val="single" w:color="auto" w:sz="4" w:space="0"/>
              <w:bottom w:val="single" w:color="auto" w:sz="4" w:space="0"/>
              <w:right w:val="single" w:color="auto" w:sz="4" w:space="0"/>
            </w:tcBorders>
            <w:noWrap w:val="0"/>
            <w:vAlign w:val="center"/>
          </w:tcPr>
          <w:p w14:paraId="2D89FD3F">
            <w:pPr>
              <w:keepNext w:val="0"/>
              <w:keepLines w:val="0"/>
              <w:suppressLineNumbers w:val="0"/>
              <w:spacing w:before="0" w:beforeAutospacing="0" w:after="0" w:afterAutospacing="0"/>
              <w:ind w:left="0" w:right="0" w:firstLine="0" w:firstLineChars="0"/>
              <w:jc w:val="center"/>
              <w:rPr>
                <w:rFonts w:hint="eastAsia" w:ascii="宋体" w:hAnsi="宋体" w:cs="宋体"/>
                <w:highlight w:val="none"/>
              </w:rPr>
            </w:pPr>
            <w:r>
              <w:rPr>
                <w:rFonts w:hint="eastAsia" w:ascii="宋体" w:hAnsi="宋体" w:cs="宋体"/>
                <w:highlight w:val="none"/>
                <w:lang w:eastAsia="zh-CN" w:bidi="ar"/>
              </w:rPr>
              <w:t>供货期</w:t>
            </w:r>
          </w:p>
        </w:tc>
        <w:tc>
          <w:tcPr>
            <w:tcW w:w="5244" w:type="dxa"/>
            <w:tcBorders>
              <w:top w:val="single" w:color="auto" w:sz="4" w:space="0"/>
              <w:left w:val="nil"/>
              <w:bottom w:val="single" w:color="auto" w:sz="4" w:space="0"/>
              <w:right w:val="single" w:color="auto" w:sz="4" w:space="0"/>
            </w:tcBorders>
            <w:noWrap w:val="0"/>
            <w:vAlign w:val="center"/>
          </w:tcPr>
          <w:p w14:paraId="1F6FF40B">
            <w:pPr>
              <w:keepNext w:val="0"/>
              <w:keepLines w:val="0"/>
              <w:suppressLineNumbers w:val="0"/>
              <w:spacing w:before="0" w:beforeAutospacing="0" w:after="0" w:afterAutospacing="0"/>
              <w:ind w:left="0" w:right="0" w:firstLine="480"/>
              <w:rPr>
                <w:rFonts w:hint="eastAsia" w:ascii="宋体" w:hAnsi="宋体" w:cs="宋体"/>
                <w:highlight w:val="none"/>
              </w:rPr>
            </w:pPr>
          </w:p>
        </w:tc>
        <w:tc>
          <w:tcPr>
            <w:tcW w:w="2630" w:type="dxa"/>
            <w:tcBorders>
              <w:top w:val="single" w:color="auto" w:sz="4" w:space="0"/>
              <w:left w:val="nil"/>
              <w:bottom w:val="single" w:color="auto" w:sz="4" w:space="0"/>
              <w:right w:val="single" w:color="auto" w:sz="4" w:space="0"/>
            </w:tcBorders>
            <w:noWrap w:val="0"/>
            <w:vAlign w:val="top"/>
          </w:tcPr>
          <w:p w14:paraId="1DCF605A">
            <w:pPr>
              <w:keepNext w:val="0"/>
              <w:keepLines w:val="0"/>
              <w:suppressLineNumbers w:val="0"/>
              <w:snapToGrid w:val="0"/>
              <w:spacing w:before="156" w:beforeLines="50" w:beforeAutospacing="0" w:after="0" w:afterAutospacing="0" w:line="400" w:lineRule="exact"/>
              <w:ind w:left="0" w:right="0" w:firstLine="480"/>
              <w:rPr>
                <w:rFonts w:hint="eastAsia" w:ascii="宋体" w:cs="宋体"/>
                <w:highlight w:val="none"/>
              </w:rPr>
            </w:pPr>
          </w:p>
        </w:tc>
      </w:tr>
      <w:tr w14:paraId="3B2C58A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1666" w:type="dxa"/>
            <w:tcBorders>
              <w:top w:val="single" w:color="auto" w:sz="4" w:space="0"/>
              <w:left w:val="single" w:color="auto" w:sz="4" w:space="0"/>
              <w:bottom w:val="single" w:color="auto" w:sz="4" w:space="0"/>
              <w:right w:val="single" w:color="auto" w:sz="4" w:space="0"/>
            </w:tcBorders>
            <w:noWrap w:val="0"/>
            <w:vAlign w:val="center"/>
          </w:tcPr>
          <w:p w14:paraId="4CDDA973">
            <w:pPr>
              <w:keepNext w:val="0"/>
              <w:keepLines w:val="0"/>
              <w:suppressLineNumbers w:val="0"/>
              <w:spacing w:before="0" w:beforeAutospacing="0" w:after="0" w:afterAutospacing="0"/>
              <w:ind w:left="0" w:right="0" w:firstLine="0" w:firstLineChars="0"/>
              <w:jc w:val="center"/>
              <w:rPr>
                <w:rFonts w:hint="eastAsia" w:ascii="宋体" w:hAnsi="宋体" w:cs="宋体"/>
                <w:highlight w:val="none"/>
              </w:rPr>
            </w:pPr>
            <w:r>
              <w:rPr>
                <w:rFonts w:hint="eastAsia" w:ascii="宋体" w:hAnsi="宋体" w:cs="宋体"/>
                <w:highlight w:val="none"/>
                <w:lang w:bidi="ar"/>
              </w:rPr>
              <w:t>付款方式</w:t>
            </w:r>
          </w:p>
        </w:tc>
        <w:tc>
          <w:tcPr>
            <w:tcW w:w="5244" w:type="dxa"/>
            <w:tcBorders>
              <w:top w:val="single" w:color="auto" w:sz="4" w:space="0"/>
              <w:left w:val="nil"/>
              <w:bottom w:val="single" w:color="auto" w:sz="4" w:space="0"/>
              <w:right w:val="single" w:color="auto" w:sz="4" w:space="0"/>
            </w:tcBorders>
            <w:noWrap w:val="0"/>
            <w:vAlign w:val="top"/>
          </w:tcPr>
          <w:p w14:paraId="3DD59604">
            <w:pPr>
              <w:pStyle w:val="134"/>
              <w:keepNext w:val="0"/>
              <w:keepLines w:val="0"/>
              <w:suppressLineNumbers w:val="0"/>
              <w:spacing w:before="120" w:beforeAutospacing="0" w:after="156" w:afterAutospacing="0" w:line="460" w:lineRule="exact"/>
              <w:ind w:left="480" w:leftChars="200" w:right="0" w:firstLine="480"/>
              <w:rPr>
                <w:rFonts w:hint="eastAsia" w:ascii="宋体" w:hAnsi="宋体" w:cs="宋体"/>
                <w:highlight w:val="none"/>
                <w:lang w:bidi="ar"/>
              </w:rPr>
            </w:pPr>
          </w:p>
        </w:tc>
        <w:tc>
          <w:tcPr>
            <w:tcW w:w="2630" w:type="dxa"/>
            <w:tcBorders>
              <w:top w:val="single" w:color="auto" w:sz="4" w:space="0"/>
              <w:left w:val="nil"/>
              <w:bottom w:val="single" w:color="auto" w:sz="4" w:space="0"/>
              <w:right w:val="single" w:color="auto" w:sz="4" w:space="0"/>
            </w:tcBorders>
            <w:noWrap w:val="0"/>
            <w:vAlign w:val="top"/>
          </w:tcPr>
          <w:p w14:paraId="235345E4">
            <w:pPr>
              <w:keepNext w:val="0"/>
              <w:keepLines w:val="0"/>
              <w:suppressLineNumbers w:val="0"/>
              <w:snapToGrid w:val="0"/>
              <w:spacing w:before="156" w:beforeLines="50" w:beforeAutospacing="0" w:after="0" w:afterAutospacing="0" w:line="400" w:lineRule="exact"/>
              <w:ind w:left="0" w:right="0" w:firstLine="480"/>
              <w:rPr>
                <w:rFonts w:hint="eastAsia" w:ascii="宋体" w:cs="宋体"/>
                <w:highlight w:val="none"/>
              </w:rPr>
            </w:pPr>
          </w:p>
        </w:tc>
      </w:tr>
      <w:tr w14:paraId="70382BF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1666" w:type="dxa"/>
            <w:tcBorders>
              <w:top w:val="single" w:color="auto" w:sz="4" w:space="0"/>
              <w:left w:val="single" w:color="auto" w:sz="4" w:space="0"/>
              <w:bottom w:val="single" w:color="auto" w:sz="4" w:space="0"/>
              <w:right w:val="single" w:color="auto" w:sz="4" w:space="0"/>
            </w:tcBorders>
            <w:noWrap w:val="0"/>
            <w:vAlign w:val="center"/>
          </w:tcPr>
          <w:p w14:paraId="4EE63D9D">
            <w:pPr>
              <w:keepNext w:val="0"/>
              <w:keepLines w:val="0"/>
              <w:suppressLineNumbers w:val="0"/>
              <w:spacing w:before="0" w:beforeAutospacing="0" w:after="0" w:afterAutospacing="0"/>
              <w:ind w:left="0" w:right="0" w:firstLine="0" w:firstLineChars="0"/>
              <w:jc w:val="center"/>
              <w:rPr>
                <w:rFonts w:hint="eastAsia" w:ascii="宋体" w:hAnsi="宋体" w:cs="宋体"/>
                <w:highlight w:val="none"/>
              </w:rPr>
            </w:pPr>
            <w:r>
              <w:rPr>
                <w:rFonts w:hint="eastAsia" w:ascii="宋体" w:hAnsi="宋体" w:cs="宋体"/>
                <w:highlight w:val="none"/>
                <w:lang w:bidi="ar"/>
              </w:rPr>
              <w:t>……</w:t>
            </w:r>
          </w:p>
        </w:tc>
        <w:tc>
          <w:tcPr>
            <w:tcW w:w="5244" w:type="dxa"/>
            <w:tcBorders>
              <w:top w:val="single" w:color="auto" w:sz="4" w:space="0"/>
              <w:left w:val="nil"/>
              <w:bottom w:val="single" w:color="auto" w:sz="4" w:space="0"/>
              <w:right w:val="single" w:color="auto" w:sz="4" w:space="0"/>
            </w:tcBorders>
            <w:noWrap w:val="0"/>
            <w:vAlign w:val="top"/>
          </w:tcPr>
          <w:p w14:paraId="14491767">
            <w:pPr>
              <w:pStyle w:val="134"/>
              <w:keepNext w:val="0"/>
              <w:keepLines w:val="0"/>
              <w:suppressLineNumbers w:val="0"/>
              <w:spacing w:before="120" w:beforeAutospacing="0" w:after="156" w:afterAutospacing="0" w:line="460" w:lineRule="exact"/>
              <w:ind w:left="480" w:leftChars="200" w:right="0" w:firstLine="480"/>
              <w:rPr>
                <w:rFonts w:hint="eastAsia" w:ascii="宋体" w:hAnsi="宋体" w:cs="宋体"/>
                <w:highlight w:val="none"/>
                <w:lang w:bidi="ar"/>
              </w:rPr>
            </w:pPr>
          </w:p>
        </w:tc>
        <w:tc>
          <w:tcPr>
            <w:tcW w:w="2630" w:type="dxa"/>
            <w:tcBorders>
              <w:top w:val="single" w:color="auto" w:sz="4" w:space="0"/>
              <w:left w:val="nil"/>
              <w:bottom w:val="single" w:color="auto" w:sz="4" w:space="0"/>
              <w:right w:val="single" w:color="auto" w:sz="4" w:space="0"/>
            </w:tcBorders>
            <w:noWrap w:val="0"/>
            <w:vAlign w:val="top"/>
          </w:tcPr>
          <w:p w14:paraId="6B29F867">
            <w:pPr>
              <w:keepNext w:val="0"/>
              <w:keepLines w:val="0"/>
              <w:suppressLineNumbers w:val="0"/>
              <w:snapToGrid w:val="0"/>
              <w:spacing w:before="156" w:beforeLines="50" w:beforeAutospacing="0" w:after="0" w:afterAutospacing="0" w:line="400" w:lineRule="exact"/>
              <w:ind w:left="0" w:right="0" w:firstLine="480"/>
              <w:rPr>
                <w:rFonts w:hint="eastAsia" w:ascii="宋体" w:cs="宋体"/>
                <w:highlight w:val="none"/>
              </w:rPr>
            </w:pPr>
          </w:p>
        </w:tc>
      </w:tr>
      <w:tr w14:paraId="66EC7B6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1666" w:type="dxa"/>
            <w:tcBorders>
              <w:top w:val="single" w:color="auto" w:sz="4" w:space="0"/>
              <w:left w:val="single" w:color="auto" w:sz="4" w:space="0"/>
              <w:bottom w:val="single" w:color="auto" w:sz="4" w:space="0"/>
              <w:right w:val="single" w:color="auto" w:sz="4" w:space="0"/>
            </w:tcBorders>
            <w:noWrap w:val="0"/>
            <w:vAlign w:val="center"/>
          </w:tcPr>
          <w:p w14:paraId="7C948BA7">
            <w:pPr>
              <w:keepNext w:val="0"/>
              <w:keepLines w:val="0"/>
              <w:suppressLineNumbers w:val="0"/>
              <w:spacing w:before="0" w:beforeAutospacing="0" w:after="0" w:afterAutospacing="0"/>
              <w:ind w:left="0" w:right="0" w:firstLine="0" w:firstLineChars="0"/>
              <w:jc w:val="center"/>
              <w:rPr>
                <w:rFonts w:hint="eastAsia" w:ascii="宋体" w:hAnsi="宋体" w:cs="宋体"/>
                <w:highlight w:val="none"/>
              </w:rPr>
            </w:pPr>
          </w:p>
        </w:tc>
        <w:tc>
          <w:tcPr>
            <w:tcW w:w="5244" w:type="dxa"/>
            <w:tcBorders>
              <w:top w:val="single" w:color="auto" w:sz="4" w:space="0"/>
              <w:left w:val="nil"/>
              <w:bottom w:val="single" w:color="auto" w:sz="4" w:space="0"/>
              <w:right w:val="single" w:color="auto" w:sz="4" w:space="0"/>
            </w:tcBorders>
            <w:noWrap w:val="0"/>
            <w:vAlign w:val="top"/>
          </w:tcPr>
          <w:p w14:paraId="40E4A50C">
            <w:pPr>
              <w:pStyle w:val="134"/>
              <w:keepNext w:val="0"/>
              <w:keepLines w:val="0"/>
              <w:suppressLineNumbers w:val="0"/>
              <w:spacing w:before="120" w:beforeAutospacing="0" w:after="156" w:afterAutospacing="0" w:line="460" w:lineRule="exact"/>
              <w:ind w:left="480" w:leftChars="200" w:right="0" w:firstLine="480"/>
              <w:rPr>
                <w:rFonts w:hint="eastAsia" w:ascii="宋体" w:hAnsi="宋体"/>
                <w:highlight w:val="none"/>
                <w:lang w:bidi="ar"/>
              </w:rPr>
            </w:pPr>
          </w:p>
        </w:tc>
        <w:tc>
          <w:tcPr>
            <w:tcW w:w="2630" w:type="dxa"/>
            <w:tcBorders>
              <w:top w:val="single" w:color="auto" w:sz="4" w:space="0"/>
              <w:left w:val="nil"/>
              <w:bottom w:val="single" w:color="auto" w:sz="4" w:space="0"/>
              <w:right w:val="single" w:color="auto" w:sz="4" w:space="0"/>
            </w:tcBorders>
            <w:noWrap w:val="0"/>
            <w:vAlign w:val="top"/>
          </w:tcPr>
          <w:p w14:paraId="3B8CF588">
            <w:pPr>
              <w:keepNext w:val="0"/>
              <w:keepLines w:val="0"/>
              <w:suppressLineNumbers w:val="0"/>
              <w:snapToGrid w:val="0"/>
              <w:spacing w:before="156" w:beforeLines="50" w:beforeAutospacing="0" w:after="0" w:afterAutospacing="0" w:line="400" w:lineRule="exact"/>
              <w:ind w:left="0" w:right="0" w:firstLine="480"/>
              <w:rPr>
                <w:rFonts w:hint="eastAsia" w:ascii="宋体" w:cs="宋体"/>
                <w:highlight w:val="none"/>
              </w:rPr>
            </w:pPr>
          </w:p>
        </w:tc>
      </w:tr>
      <w:tr w14:paraId="48274E8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1666" w:type="dxa"/>
            <w:tcBorders>
              <w:top w:val="single" w:color="auto" w:sz="4" w:space="0"/>
              <w:left w:val="single" w:color="auto" w:sz="4" w:space="0"/>
              <w:bottom w:val="single" w:color="auto" w:sz="4" w:space="0"/>
              <w:right w:val="single" w:color="auto" w:sz="4" w:space="0"/>
            </w:tcBorders>
            <w:noWrap w:val="0"/>
            <w:vAlign w:val="top"/>
          </w:tcPr>
          <w:p w14:paraId="74E03167">
            <w:pPr>
              <w:keepNext w:val="0"/>
              <w:keepLines w:val="0"/>
              <w:suppressLineNumbers w:val="0"/>
              <w:spacing w:before="0" w:beforeAutospacing="0" w:after="0" w:afterAutospacing="0"/>
              <w:ind w:left="0" w:right="0" w:firstLine="0" w:firstLineChars="0"/>
              <w:jc w:val="center"/>
              <w:rPr>
                <w:rFonts w:hint="eastAsia" w:ascii="宋体" w:hAnsi="宋体" w:cs="宋体"/>
                <w:highlight w:val="none"/>
              </w:rPr>
            </w:pPr>
          </w:p>
        </w:tc>
        <w:tc>
          <w:tcPr>
            <w:tcW w:w="5244" w:type="dxa"/>
            <w:tcBorders>
              <w:top w:val="single" w:color="auto" w:sz="4" w:space="0"/>
              <w:left w:val="nil"/>
              <w:bottom w:val="single" w:color="auto" w:sz="4" w:space="0"/>
              <w:right w:val="single" w:color="auto" w:sz="4" w:space="0"/>
            </w:tcBorders>
            <w:noWrap w:val="0"/>
            <w:vAlign w:val="top"/>
          </w:tcPr>
          <w:p w14:paraId="0D36545A">
            <w:pPr>
              <w:pStyle w:val="134"/>
              <w:keepNext w:val="0"/>
              <w:keepLines w:val="0"/>
              <w:suppressLineNumbers w:val="0"/>
              <w:spacing w:before="120" w:beforeAutospacing="0" w:after="156" w:afterAutospacing="0" w:line="460" w:lineRule="exact"/>
              <w:ind w:left="480" w:leftChars="200" w:right="0" w:firstLine="480"/>
              <w:rPr>
                <w:rFonts w:hint="eastAsia" w:ascii="宋体" w:hAnsi="宋体"/>
                <w:highlight w:val="none"/>
                <w:lang w:bidi="ar"/>
              </w:rPr>
            </w:pPr>
          </w:p>
        </w:tc>
        <w:tc>
          <w:tcPr>
            <w:tcW w:w="2630" w:type="dxa"/>
            <w:tcBorders>
              <w:top w:val="single" w:color="auto" w:sz="4" w:space="0"/>
              <w:left w:val="nil"/>
              <w:bottom w:val="single" w:color="auto" w:sz="4" w:space="0"/>
              <w:right w:val="single" w:color="auto" w:sz="4" w:space="0"/>
            </w:tcBorders>
            <w:noWrap w:val="0"/>
            <w:vAlign w:val="top"/>
          </w:tcPr>
          <w:p w14:paraId="73C821F9">
            <w:pPr>
              <w:keepNext w:val="0"/>
              <w:keepLines w:val="0"/>
              <w:suppressLineNumbers w:val="0"/>
              <w:snapToGrid w:val="0"/>
              <w:spacing w:before="156" w:beforeLines="50" w:beforeAutospacing="0" w:after="0" w:afterAutospacing="0" w:line="400" w:lineRule="exact"/>
              <w:ind w:left="0" w:right="0" w:firstLine="480"/>
              <w:rPr>
                <w:rFonts w:hint="eastAsia" w:ascii="宋体" w:cs="宋体"/>
                <w:highlight w:val="none"/>
              </w:rPr>
            </w:pPr>
          </w:p>
        </w:tc>
      </w:tr>
    </w:tbl>
    <w:p w14:paraId="4974BF97">
      <w:pPr>
        <w:pStyle w:val="31"/>
        <w:widowControl w:val="0"/>
        <w:spacing w:before="0" w:beforeAutospacing="0" w:after="0" w:afterAutospacing="0" w:line="300" w:lineRule="auto"/>
        <w:ind w:firstLine="480"/>
        <w:rPr>
          <w:rFonts w:hint="eastAsia" w:cs="宋体"/>
          <w:kern w:val="2"/>
          <w:highlight w:val="none"/>
        </w:rPr>
      </w:pPr>
      <w:r>
        <w:rPr>
          <w:rFonts w:hint="eastAsia" w:cs="宋体"/>
          <w:kern w:val="2"/>
          <w:highlight w:val="none"/>
          <w:lang w:bidi="ar"/>
        </w:rPr>
        <w:t xml:space="preserve"> </w:t>
      </w:r>
    </w:p>
    <w:p w14:paraId="5C1EA5E9">
      <w:pPr>
        <w:snapToGrid w:val="0"/>
        <w:spacing w:line="480" w:lineRule="exact"/>
        <w:ind w:firstLine="0" w:firstLineChars="0"/>
        <w:jc w:val="left"/>
        <w:rPr>
          <w:rFonts w:hint="eastAsia" w:ascii="宋体" w:hAnsi="宋体" w:cs="宋体"/>
          <w:highlight w:val="none"/>
        </w:rPr>
      </w:pPr>
      <w:r>
        <w:rPr>
          <w:rFonts w:hint="eastAsia" w:ascii="宋体" w:hAnsi="宋体" w:cs="宋体"/>
          <w:highlight w:val="none"/>
          <w:lang w:bidi="ar"/>
        </w:rPr>
        <w:t xml:space="preserve"> </w:t>
      </w:r>
    </w:p>
    <w:p w14:paraId="2552E85B">
      <w:pPr>
        <w:adjustRightInd w:val="0"/>
        <w:snapToGrid w:val="0"/>
        <w:spacing w:line="360" w:lineRule="auto"/>
        <w:ind w:firstLine="4080" w:firstLineChars="1700"/>
        <w:jc w:val="left"/>
        <w:textAlignment w:val="baseline"/>
        <w:rPr>
          <w:rFonts w:hint="eastAsia" w:ascii="宋体" w:hAnsi="宋体" w:cs="宋体"/>
          <w:highlight w:val="none"/>
        </w:rPr>
      </w:pPr>
      <w:r>
        <w:rPr>
          <w:rFonts w:hint="eastAsia" w:ascii="宋体" w:hAnsi="宋体" w:cs="宋体"/>
          <w:highlight w:val="none"/>
          <w:lang w:bidi="ar"/>
        </w:rPr>
        <w:t>供应商名称（盖章）:</w:t>
      </w:r>
    </w:p>
    <w:p w14:paraId="2EC6A6EC">
      <w:pPr>
        <w:adjustRightInd w:val="0"/>
        <w:snapToGrid w:val="0"/>
        <w:spacing w:line="360" w:lineRule="auto"/>
        <w:ind w:firstLine="4080" w:firstLineChars="1700"/>
        <w:jc w:val="left"/>
        <w:textAlignment w:val="baseline"/>
        <w:rPr>
          <w:rFonts w:hint="eastAsia" w:ascii="宋体" w:hAnsi="宋体" w:cs="宋体"/>
          <w:highlight w:val="none"/>
          <w:u w:val="single"/>
        </w:rPr>
      </w:pPr>
      <w:r>
        <w:rPr>
          <w:rFonts w:hint="eastAsia" w:ascii="宋体" w:hAnsi="宋体" w:cs="宋体"/>
          <w:highlight w:val="none"/>
          <w:lang w:bidi="ar"/>
        </w:rPr>
        <w:t>法定代表人或授权代理人（签字或盖章）:</w:t>
      </w:r>
    </w:p>
    <w:p w14:paraId="5B655AC2">
      <w:pPr>
        <w:widowControl/>
        <w:adjustRightInd w:val="0"/>
        <w:snapToGrid w:val="0"/>
        <w:spacing w:line="360" w:lineRule="auto"/>
        <w:ind w:firstLine="4080" w:firstLineChars="1700"/>
        <w:rPr>
          <w:rFonts w:hint="eastAsia" w:ascii="宋体" w:hAnsi="宋体" w:cs="宋体"/>
          <w:highlight w:val="none"/>
        </w:rPr>
      </w:pPr>
      <w:r>
        <w:rPr>
          <w:rFonts w:hint="eastAsia" w:ascii="宋体" w:hAnsi="宋体" w:cs="宋体"/>
          <w:highlight w:val="none"/>
          <w:lang w:bidi="ar"/>
        </w:rPr>
        <w:t>日期:</w:t>
      </w:r>
      <w:r>
        <w:rPr>
          <w:rFonts w:hint="eastAsia" w:ascii="宋体" w:hAnsi="宋体" w:cs="宋体"/>
          <w:highlight w:val="none"/>
          <w:lang w:eastAsia="zh-CN" w:bidi="ar"/>
        </w:rPr>
        <w:t>2025</w:t>
      </w:r>
      <w:r>
        <w:rPr>
          <w:rFonts w:hint="eastAsia" w:ascii="宋体" w:hAnsi="宋体" w:cs="宋体"/>
          <w:highlight w:val="none"/>
          <w:lang w:bidi="ar"/>
        </w:rPr>
        <w:t>年   月   日</w:t>
      </w:r>
    </w:p>
    <w:p w14:paraId="147260A3">
      <w:pPr>
        <w:spacing w:line="400" w:lineRule="exact"/>
        <w:ind w:firstLine="0" w:firstLineChars="0"/>
        <w:jc w:val="left"/>
        <w:outlineLvl w:val="9"/>
        <w:rPr>
          <w:rFonts w:hint="eastAsia" w:ascii="宋体" w:hAnsi="宋体" w:cs="宋体"/>
          <w:b/>
          <w:highlight w:val="none"/>
        </w:rPr>
      </w:pPr>
    </w:p>
    <w:p w14:paraId="2D26A289">
      <w:pPr>
        <w:spacing w:line="400" w:lineRule="exact"/>
        <w:ind w:firstLine="0" w:firstLineChars="0"/>
        <w:jc w:val="left"/>
        <w:outlineLvl w:val="9"/>
        <w:rPr>
          <w:rFonts w:hint="eastAsia" w:ascii="宋体" w:hAnsi="宋体" w:cs="宋体"/>
          <w:b/>
          <w:highlight w:val="none"/>
        </w:rPr>
      </w:pPr>
    </w:p>
    <w:p w14:paraId="5D5C7A87">
      <w:pPr>
        <w:spacing w:line="400" w:lineRule="exact"/>
        <w:ind w:firstLine="0" w:firstLineChars="0"/>
        <w:jc w:val="left"/>
        <w:outlineLvl w:val="9"/>
        <w:rPr>
          <w:rFonts w:hint="eastAsia" w:ascii="宋体" w:hAnsi="宋体" w:cs="宋体"/>
          <w:b/>
          <w:highlight w:val="none"/>
        </w:rPr>
      </w:pPr>
    </w:p>
    <w:p w14:paraId="52E423CD">
      <w:pPr>
        <w:spacing w:line="400" w:lineRule="exact"/>
        <w:ind w:firstLine="0" w:firstLineChars="0"/>
        <w:jc w:val="left"/>
        <w:outlineLvl w:val="9"/>
        <w:rPr>
          <w:rFonts w:hint="eastAsia" w:ascii="宋体" w:hAnsi="宋体" w:cs="宋体"/>
          <w:b/>
          <w:highlight w:val="none"/>
        </w:rPr>
      </w:pPr>
    </w:p>
    <w:p w14:paraId="057084ED">
      <w:pPr>
        <w:spacing w:line="400" w:lineRule="exact"/>
        <w:ind w:firstLine="0" w:firstLineChars="0"/>
        <w:jc w:val="left"/>
        <w:outlineLvl w:val="9"/>
        <w:rPr>
          <w:rFonts w:hint="eastAsia" w:ascii="宋体" w:hAnsi="宋体" w:cs="宋体"/>
          <w:b/>
          <w:highlight w:val="none"/>
        </w:rPr>
      </w:pPr>
    </w:p>
    <w:p w14:paraId="1D11B20A">
      <w:pPr>
        <w:spacing w:line="400" w:lineRule="exact"/>
        <w:ind w:firstLine="0" w:firstLineChars="0"/>
        <w:jc w:val="left"/>
        <w:outlineLvl w:val="9"/>
        <w:rPr>
          <w:rFonts w:hint="eastAsia" w:ascii="宋体" w:hAnsi="宋体" w:cs="宋体"/>
          <w:b/>
          <w:highlight w:val="none"/>
        </w:rPr>
      </w:pPr>
    </w:p>
    <w:p w14:paraId="33518DC0">
      <w:pPr>
        <w:spacing w:line="400" w:lineRule="exact"/>
        <w:ind w:firstLine="0" w:firstLineChars="0"/>
        <w:jc w:val="left"/>
        <w:outlineLvl w:val="9"/>
        <w:rPr>
          <w:rFonts w:hint="eastAsia" w:ascii="宋体" w:hAnsi="宋体" w:cs="宋体"/>
          <w:b/>
          <w:highlight w:val="none"/>
        </w:rPr>
      </w:pPr>
    </w:p>
    <w:p w14:paraId="139F0ABC">
      <w:pPr>
        <w:spacing w:line="400" w:lineRule="exact"/>
        <w:ind w:firstLine="0" w:firstLineChars="0"/>
        <w:jc w:val="left"/>
        <w:outlineLvl w:val="9"/>
        <w:rPr>
          <w:rFonts w:hint="eastAsia" w:ascii="宋体" w:hAnsi="宋体" w:cs="宋体"/>
          <w:b/>
          <w:highlight w:val="none"/>
        </w:rPr>
      </w:pPr>
    </w:p>
    <w:p w14:paraId="36BE0B07">
      <w:pPr>
        <w:pStyle w:val="4"/>
        <w:numPr>
          <w:ilvl w:val="2"/>
          <w:numId w:val="0"/>
        </w:numPr>
        <w:ind w:leftChars="200"/>
        <w:rPr>
          <w:rFonts w:hint="eastAsia"/>
        </w:rPr>
      </w:pPr>
    </w:p>
    <w:p w14:paraId="5D0E1F41">
      <w:pPr>
        <w:rPr>
          <w:rFonts w:hint="eastAsia"/>
        </w:rPr>
      </w:pPr>
    </w:p>
    <w:p w14:paraId="7FF52E91">
      <w:pPr>
        <w:ind w:firstLine="0" w:firstLineChars="0"/>
        <w:outlineLvl w:val="9"/>
        <w:rPr>
          <w:rFonts w:hint="eastAsia" w:ascii="宋体" w:hAnsi="宋体" w:eastAsia="宋体" w:cs="宋体"/>
          <w:b/>
          <w:bCs/>
          <w:highlight w:val="none"/>
          <w:lang w:bidi="ar"/>
        </w:rPr>
      </w:pPr>
    </w:p>
    <w:p w14:paraId="26E8D9FB">
      <w:pPr>
        <w:ind w:firstLine="0" w:firstLineChars="0"/>
        <w:outlineLvl w:val="2"/>
        <w:rPr>
          <w:rFonts w:hint="default" w:ascii="宋体" w:hAnsi="宋体" w:eastAsia="宋体" w:cs="宋体"/>
          <w:b/>
          <w:bCs/>
          <w:highlight w:val="none"/>
          <w:lang w:val="en-US" w:eastAsia="zh-CN" w:bidi="ar"/>
        </w:rPr>
      </w:pPr>
      <w:r>
        <w:rPr>
          <w:rFonts w:hint="eastAsia" w:ascii="宋体" w:hAnsi="宋体" w:eastAsia="宋体" w:cs="宋体"/>
          <w:b/>
          <w:bCs/>
          <w:highlight w:val="none"/>
          <w:lang w:bidi="ar"/>
        </w:rPr>
        <w:t>附件</w:t>
      </w:r>
      <w:r>
        <w:rPr>
          <w:rFonts w:hint="eastAsia" w:ascii="宋体" w:hAnsi="宋体" w:cs="宋体"/>
          <w:b/>
          <w:bCs/>
          <w:highlight w:val="none"/>
          <w:lang w:val="en-US" w:eastAsia="zh-CN" w:bidi="ar"/>
        </w:rPr>
        <w:t>10</w:t>
      </w:r>
    </w:p>
    <w:p w14:paraId="77B1AB66">
      <w:pPr>
        <w:tabs>
          <w:tab w:val="left" w:pos="900"/>
        </w:tabs>
        <w:spacing w:line="360" w:lineRule="auto"/>
        <w:ind w:firstLine="0" w:firstLineChars="0"/>
        <w:jc w:val="center"/>
        <w:rPr>
          <w:rFonts w:hint="eastAsia" w:ascii="宋体" w:hAnsi="宋体" w:cs="宋体"/>
          <w:b/>
          <w:color w:val="000000"/>
          <w:spacing w:val="-4"/>
          <w:sz w:val="32"/>
          <w:szCs w:val="32"/>
          <w:highlight w:val="none"/>
        </w:rPr>
      </w:pPr>
      <w:r>
        <w:rPr>
          <w:rFonts w:hint="eastAsia" w:ascii="宋体" w:hAnsi="宋体" w:cs="宋体"/>
          <w:b/>
          <w:color w:val="000000"/>
          <w:spacing w:val="-4"/>
          <w:sz w:val="32"/>
          <w:szCs w:val="32"/>
          <w:highlight w:val="none"/>
        </w:rPr>
        <w:t>首次报价表</w:t>
      </w:r>
    </w:p>
    <w:p w14:paraId="14FB6DF5">
      <w:pPr>
        <w:tabs>
          <w:tab w:val="left" w:pos="900"/>
        </w:tabs>
        <w:spacing w:line="360" w:lineRule="auto"/>
        <w:ind w:firstLine="464"/>
        <w:rPr>
          <w:rFonts w:hint="eastAsia" w:ascii="宋体" w:hAnsi="宋体" w:cs="宋体"/>
          <w:color w:val="000000"/>
          <w:spacing w:val="-4"/>
          <w:highlight w:val="none"/>
          <w:u w:val="single"/>
        </w:rPr>
      </w:pPr>
      <w:r>
        <w:rPr>
          <w:rFonts w:hint="eastAsia" w:ascii="宋体" w:hAnsi="宋体" w:cs="宋体"/>
          <w:color w:val="000000"/>
          <w:spacing w:val="-4"/>
          <w:highlight w:val="none"/>
        </w:rPr>
        <w:t xml:space="preserve">                                                             货币形式：</w:t>
      </w:r>
      <w:r>
        <w:rPr>
          <w:rFonts w:hint="eastAsia" w:ascii="宋体" w:hAnsi="宋体" w:cs="宋体"/>
          <w:color w:val="000000"/>
          <w:spacing w:val="-4"/>
          <w:highlight w:val="none"/>
          <w:u w:val="single"/>
        </w:rPr>
        <w:t>人民币/元</w:t>
      </w:r>
      <w:r>
        <w:rPr>
          <w:rFonts w:hint="eastAsia" w:ascii="宋体" w:hAnsi="宋体" w:cs="宋体"/>
          <w:color w:val="000000"/>
          <w:spacing w:val="-4"/>
          <w:highlight w:val="none"/>
        </w:rPr>
        <w:t xml:space="preserve">                              </w:t>
      </w: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33"/>
        <w:gridCol w:w="6973"/>
      </w:tblGrid>
      <w:tr w14:paraId="2CF715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0" w:hRule="atLeast"/>
          <w:jc w:val="center"/>
        </w:trPr>
        <w:tc>
          <w:tcPr>
            <w:tcW w:w="2733" w:type="dxa"/>
            <w:noWrap w:val="0"/>
            <w:vAlign w:val="center"/>
          </w:tcPr>
          <w:p w14:paraId="5CE60F6F">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rPr>
            </w:pPr>
            <w:bookmarkStart w:id="1649" w:name="_Toc21436"/>
            <w:bookmarkStart w:id="1650" w:name="_Toc20079"/>
            <w:bookmarkStart w:id="1651" w:name="_Toc27964"/>
            <w:bookmarkStart w:id="1652" w:name="_Toc14900"/>
            <w:bookmarkStart w:id="1653" w:name="_Toc22904"/>
            <w:bookmarkStart w:id="1654" w:name="_Toc13879"/>
            <w:bookmarkStart w:id="1655" w:name="_Toc19159"/>
            <w:bookmarkStart w:id="1656" w:name="_Toc1063"/>
            <w:bookmarkStart w:id="1657" w:name="_Toc9583"/>
          </w:p>
          <w:p w14:paraId="25595A9A">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rPr>
            </w:pPr>
            <w:r>
              <w:rPr>
                <w:rFonts w:hint="eastAsia" w:ascii="宋体" w:hAnsi="宋体" w:eastAsia="宋体" w:cs="宋体"/>
                <w:highlight w:val="none"/>
              </w:rPr>
              <w:t>项目编号</w:t>
            </w:r>
          </w:p>
        </w:tc>
        <w:tc>
          <w:tcPr>
            <w:tcW w:w="6973" w:type="dxa"/>
            <w:noWrap w:val="0"/>
            <w:vAlign w:val="top"/>
          </w:tcPr>
          <w:p w14:paraId="2ED85F4D">
            <w:pPr>
              <w:keepNext w:val="0"/>
              <w:keepLines w:val="0"/>
              <w:suppressLineNumbers w:val="0"/>
              <w:adjustRightInd w:val="0"/>
              <w:snapToGrid w:val="0"/>
              <w:spacing w:before="0" w:beforeAutospacing="0" w:after="0" w:afterAutospacing="0" w:line="312" w:lineRule="auto"/>
              <w:ind w:left="0" w:right="0" w:firstLine="480"/>
              <w:rPr>
                <w:rFonts w:hint="eastAsia" w:ascii="宋体" w:hAnsi="宋体" w:cs="宋体"/>
                <w:highlight w:val="none"/>
              </w:rPr>
            </w:pPr>
          </w:p>
          <w:p w14:paraId="1E6427F6">
            <w:pPr>
              <w:keepNext w:val="0"/>
              <w:keepLines w:val="0"/>
              <w:suppressLineNumbers w:val="0"/>
              <w:adjustRightInd w:val="0"/>
              <w:snapToGrid w:val="0"/>
              <w:spacing w:before="0" w:beforeAutospacing="0" w:after="0" w:afterAutospacing="0" w:line="312" w:lineRule="auto"/>
              <w:ind w:left="0" w:right="0" w:firstLine="480"/>
              <w:rPr>
                <w:rFonts w:hint="eastAsia" w:ascii="宋体" w:hAnsi="宋体" w:cs="宋体"/>
                <w:highlight w:val="none"/>
              </w:rPr>
            </w:pPr>
          </w:p>
        </w:tc>
      </w:tr>
      <w:tr w14:paraId="47154C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0" w:hRule="atLeast"/>
          <w:jc w:val="center"/>
        </w:trPr>
        <w:tc>
          <w:tcPr>
            <w:tcW w:w="2733" w:type="dxa"/>
            <w:noWrap w:val="0"/>
            <w:vAlign w:val="center"/>
          </w:tcPr>
          <w:p w14:paraId="4FA3C90F">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rPr>
            </w:pPr>
          </w:p>
          <w:p w14:paraId="73D1850F">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rPr>
            </w:pPr>
            <w:r>
              <w:rPr>
                <w:rFonts w:hint="eastAsia" w:ascii="宋体" w:hAnsi="宋体" w:eastAsia="宋体" w:cs="宋体"/>
                <w:highlight w:val="none"/>
              </w:rPr>
              <w:t>项目名称</w:t>
            </w:r>
          </w:p>
        </w:tc>
        <w:tc>
          <w:tcPr>
            <w:tcW w:w="6973" w:type="dxa"/>
            <w:noWrap w:val="0"/>
            <w:vAlign w:val="top"/>
          </w:tcPr>
          <w:p w14:paraId="2EB83A9C">
            <w:pPr>
              <w:keepNext w:val="0"/>
              <w:keepLines w:val="0"/>
              <w:suppressLineNumbers w:val="0"/>
              <w:adjustRightInd w:val="0"/>
              <w:snapToGrid w:val="0"/>
              <w:spacing w:before="0" w:beforeAutospacing="0" w:after="0" w:afterAutospacing="0" w:line="312" w:lineRule="auto"/>
              <w:ind w:left="0" w:right="0" w:firstLine="480"/>
              <w:rPr>
                <w:rFonts w:hint="eastAsia" w:ascii="宋体" w:hAnsi="宋体" w:cs="宋体"/>
                <w:highlight w:val="none"/>
              </w:rPr>
            </w:pPr>
          </w:p>
        </w:tc>
      </w:tr>
      <w:tr w14:paraId="6B3068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3" w:hRule="atLeast"/>
          <w:jc w:val="center"/>
        </w:trPr>
        <w:tc>
          <w:tcPr>
            <w:tcW w:w="2733" w:type="dxa"/>
            <w:noWrap w:val="0"/>
            <w:vAlign w:val="center"/>
          </w:tcPr>
          <w:p w14:paraId="47D06684">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rPr>
            </w:pPr>
            <w:r>
              <w:rPr>
                <w:rFonts w:hint="eastAsia" w:ascii="宋体" w:hAnsi="宋体" w:cs="宋体"/>
                <w:highlight w:val="none"/>
                <w:lang w:eastAsia="zh-CN"/>
              </w:rPr>
              <w:t>供货期</w:t>
            </w:r>
          </w:p>
        </w:tc>
        <w:tc>
          <w:tcPr>
            <w:tcW w:w="6973" w:type="dxa"/>
            <w:noWrap w:val="0"/>
            <w:vAlign w:val="top"/>
          </w:tcPr>
          <w:p w14:paraId="0C9E04D5">
            <w:pPr>
              <w:keepNext w:val="0"/>
              <w:keepLines w:val="0"/>
              <w:suppressLineNumbers w:val="0"/>
              <w:adjustRightInd w:val="0"/>
              <w:snapToGrid w:val="0"/>
              <w:spacing w:before="0" w:beforeAutospacing="0" w:after="0" w:afterAutospacing="0" w:line="312" w:lineRule="auto"/>
              <w:ind w:left="0" w:right="0" w:firstLine="480"/>
              <w:rPr>
                <w:rFonts w:hint="eastAsia" w:ascii="宋体" w:hAnsi="宋体" w:cs="宋体"/>
                <w:highlight w:val="none"/>
              </w:rPr>
            </w:pPr>
          </w:p>
        </w:tc>
      </w:tr>
      <w:tr w14:paraId="7EB3D4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1" w:hRule="atLeast"/>
          <w:jc w:val="center"/>
        </w:trPr>
        <w:tc>
          <w:tcPr>
            <w:tcW w:w="2733" w:type="dxa"/>
            <w:noWrap w:val="0"/>
            <w:vAlign w:val="center"/>
          </w:tcPr>
          <w:p w14:paraId="635DF7D0">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lang w:eastAsia="zh-CN"/>
              </w:rPr>
            </w:pPr>
            <w:r>
              <w:rPr>
                <w:rFonts w:hint="eastAsia" w:ascii="宋体" w:hAnsi="宋体" w:eastAsia="宋体" w:cs="宋体"/>
                <w:highlight w:val="none"/>
                <w:lang w:eastAsia="zh-CN"/>
              </w:rPr>
              <w:t>磋商报价</w:t>
            </w:r>
          </w:p>
        </w:tc>
        <w:tc>
          <w:tcPr>
            <w:tcW w:w="6973" w:type="dxa"/>
            <w:noWrap w:val="0"/>
            <w:vAlign w:val="center"/>
          </w:tcPr>
          <w:p w14:paraId="63549B82">
            <w:pPr>
              <w:keepNext w:val="0"/>
              <w:keepLines w:val="0"/>
              <w:suppressLineNumbers w:val="0"/>
              <w:adjustRightInd w:val="0"/>
              <w:snapToGrid w:val="0"/>
              <w:spacing w:before="0" w:beforeAutospacing="0" w:after="0" w:afterAutospacing="0" w:line="312" w:lineRule="auto"/>
              <w:ind w:left="0" w:right="0" w:firstLine="0" w:firstLineChars="0"/>
              <w:jc w:val="left"/>
              <w:rPr>
                <w:rFonts w:hint="eastAsia" w:ascii="宋体" w:hAnsi="宋体" w:cs="宋体"/>
                <w:highlight w:val="none"/>
              </w:rPr>
            </w:pPr>
            <w:r>
              <w:rPr>
                <w:rFonts w:hint="eastAsia" w:ascii="宋体" w:hAnsi="宋体" w:cs="宋体"/>
                <w:highlight w:val="none"/>
              </w:rPr>
              <w:t>人民币大写</w:t>
            </w:r>
            <w:r>
              <w:rPr>
                <w:rFonts w:hint="eastAsia" w:ascii="宋体" w:hAnsi="宋体" w:cs="宋体"/>
                <w:color w:val="000000"/>
                <w:highlight w:val="none"/>
              </w:rPr>
              <w:t xml:space="preserve"> </w:t>
            </w:r>
            <w:r>
              <w:rPr>
                <w:rFonts w:hint="eastAsia" w:ascii="宋体" w:hAnsi="宋体" w:cs="宋体"/>
                <w:color w:val="000000"/>
                <w:highlight w:val="none"/>
                <w:u w:val="single"/>
              </w:rPr>
              <w:t xml:space="preserve">             </w:t>
            </w:r>
            <w:r>
              <w:rPr>
                <w:rFonts w:hint="eastAsia" w:ascii="宋体" w:hAnsi="宋体" w:cs="宋体"/>
                <w:color w:val="000000"/>
                <w:highlight w:val="none"/>
              </w:rPr>
              <w:t>元；小写¥：</w:t>
            </w:r>
            <w:r>
              <w:rPr>
                <w:rFonts w:hint="eastAsia" w:ascii="宋体" w:hAnsi="宋体" w:cs="宋体"/>
                <w:color w:val="000000"/>
                <w:highlight w:val="none"/>
                <w:u w:val="single"/>
              </w:rPr>
              <w:t xml:space="preserve">        </w:t>
            </w:r>
            <w:r>
              <w:rPr>
                <w:rFonts w:hint="eastAsia" w:ascii="宋体" w:hAnsi="宋体" w:cs="宋体"/>
                <w:color w:val="000000"/>
                <w:highlight w:val="none"/>
              </w:rPr>
              <w:t>元；</w:t>
            </w:r>
          </w:p>
        </w:tc>
      </w:tr>
    </w:tbl>
    <w:p w14:paraId="493D49B4">
      <w:pPr>
        <w:spacing w:line="480" w:lineRule="exact"/>
        <w:ind w:firstLine="480"/>
        <w:rPr>
          <w:rFonts w:hint="eastAsia" w:ascii="宋体" w:hAnsi="宋体"/>
          <w:highlight w:val="none"/>
          <w:lang w:val="zh-CN"/>
        </w:rPr>
      </w:pPr>
      <w:r>
        <w:rPr>
          <w:rFonts w:hint="eastAsia" w:ascii="宋体" w:hAnsi="宋体"/>
          <w:highlight w:val="none"/>
          <w:lang w:val="zh-CN"/>
        </w:rPr>
        <w:t>注：</w:t>
      </w:r>
    </w:p>
    <w:p w14:paraId="450E40E5">
      <w:pPr>
        <w:spacing w:line="480" w:lineRule="exact"/>
        <w:ind w:firstLine="480"/>
        <w:rPr>
          <w:rFonts w:hint="eastAsia" w:ascii="宋体" w:hAnsi="宋体"/>
          <w:highlight w:val="none"/>
          <w:lang w:val="zh-CN"/>
        </w:rPr>
      </w:pPr>
      <w:r>
        <w:rPr>
          <w:rFonts w:hint="eastAsia" w:ascii="宋体" w:hAnsi="宋体"/>
          <w:highlight w:val="none"/>
          <w:lang w:val="zh-CN"/>
        </w:rPr>
        <w:t>1.本表由供应商填写，供开标会参考所用。▲报价填写必须为印刷体打印，手写无效报价。</w:t>
      </w:r>
    </w:p>
    <w:p w14:paraId="2A06B746">
      <w:pPr>
        <w:spacing w:line="480" w:lineRule="exact"/>
        <w:ind w:firstLine="480"/>
        <w:rPr>
          <w:rFonts w:hint="eastAsia" w:ascii="宋体" w:hAnsi="宋体"/>
          <w:highlight w:val="none"/>
          <w:lang w:val="zh-CN"/>
        </w:rPr>
      </w:pPr>
      <w:r>
        <w:rPr>
          <w:rFonts w:hint="eastAsia" w:ascii="宋体" w:hAnsi="宋体"/>
          <w:highlight w:val="none"/>
        </w:rPr>
        <w:t>2</w:t>
      </w:r>
      <w:r>
        <w:rPr>
          <w:rFonts w:hint="eastAsia" w:ascii="宋体" w:hAnsi="宋体"/>
          <w:highlight w:val="none"/>
          <w:lang w:val="zh-CN"/>
        </w:rPr>
        <w:t>.本次报价仅做磋商参考，不做成交依据。</w:t>
      </w:r>
    </w:p>
    <w:p w14:paraId="41A592B5">
      <w:pPr>
        <w:spacing w:line="480" w:lineRule="exact"/>
        <w:ind w:firstLine="480"/>
        <w:rPr>
          <w:rFonts w:hint="eastAsia" w:ascii="宋体" w:hAnsi="宋体"/>
          <w:highlight w:val="none"/>
          <w:lang w:val="zh-CN"/>
        </w:rPr>
      </w:pPr>
      <w:r>
        <w:rPr>
          <w:rFonts w:hint="eastAsia" w:ascii="宋体" w:hAnsi="宋体"/>
          <w:highlight w:val="none"/>
        </w:rPr>
        <w:t>3</w:t>
      </w:r>
      <w:r>
        <w:rPr>
          <w:rFonts w:hint="eastAsia" w:ascii="宋体" w:hAnsi="宋体"/>
          <w:highlight w:val="none"/>
          <w:lang w:val="zh-CN"/>
        </w:rPr>
        <w:t>.大写的1到10写法如下:壹、贰、叁、肆、伍、陆、柒、捌、玖、拾。除此之外,大写的还有佰、仟、万、亿、兆、京、垓、秭、穰、沟、涧、正、载、极。</w:t>
      </w:r>
    </w:p>
    <w:p w14:paraId="2B998BD9">
      <w:pPr>
        <w:tabs>
          <w:tab w:val="left" w:pos="900"/>
        </w:tabs>
        <w:spacing w:line="360" w:lineRule="auto"/>
        <w:ind w:firstLine="0" w:firstLineChars="0"/>
        <w:rPr>
          <w:rStyle w:val="116"/>
          <w:rFonts w:hint="eastAsia" w:ascii="宋体" w:hAnsi="宋体" w:eastAsia="宋体" w:cs="宋体"/>
          <w:szCs w:val="28"/>
          <w:highlight w:val="none"/>
        </w:rPr>
      </w:pPr>
    </w:p>
    <w:p w14:paraId="6338B4A8">
      <w:pPr>
        <w:tabs>
          <w:tab w:val="left" w:pos="900"/>
        </w:tabs>
        <w:spacing w:line="360" w:lineRule="auto"/>
        <w:ind w:firstLine="0" w:firstLineChars="0"/>
        <w:rPr>
          <w:rStyle w:val="116"/>
          <w:rFonts w:hint="eastAsia" w:ascii="宋体" w:hAnsi="宋体" w:eastAsia="宋体" w:cs="宋体"/>
          <w:szCs w:val="28"/>
          <w:highlight w:val="none"/>
        </w:rPr>
      </w:pPr>
    </w:p>
    <w:bookmarkEnd w:id="1649"/>
    <w:bookmarkEnd w:id="1650"/>
    <w:bookmarkEnd w:id="1651"/>
    <w:bookmarkEnd w:id="1652"/>
    <w:bookmarkEnd w:id="1653"/>
    <w:bookmarkEnd w:id="1654"/>
    <w:bookmarkEnd w:id="1655"/>
    <w:bookmarkEnd w:id="1656"/>
    <w:bookmarkEnd w:id="1657"/>
    <w:p w14:paraId="20BB1C90">
      <w:pPr>
        <w:adjustRightInd w:val="0"/>
        <w:snapToGrid w:val="0"/>
        <w:spacing w:line="360" w:lineRule="auto"/>
        <w:ind w:firstLine="4080" w:firstLineChars="1700"/>
        <w:jc w:val="left"/>
        <w:textAlignment w:val="baseline"/>
        <w:rPr>
          <w:rFonts w:hint="eastAsia" w:ascii="宋体" w:hAnsi="宋体" w:cs="宋体"/>
          <w:highlight w:val="none"/>
        </w:rPr>
      </w:pPr>
      <w:r>
        <w:rPr>
          <w:rFonts w:hint="eastAsia" w:ascii="宋体" w:hAnsi="宋体" w:cs="宋体"/>
          <w:highlight w:val="none"/>
          <w:lang w:bidi="ar"/>
        </w:rPr>
        <w:t>供应商名称（盖章）:</w:t>
      </w:r>
    </w:p>
    <w:p w14:paraId="6C015A3B">
      <w:pPr>
        <w:adjustRightInd w:val="0"/>
        <w:snapToGrid w:val="0"/>
        <w:spacing w:line="360" w:lineRule="auto"/>
        <w:ind w:firstLine="4080" w:firstLineChars="1700"/>
        <w:jc w:val="left"/>
        <w:textAlignment w:val="baseline"/>
        <w:rPr>
          <w:rFonts w:hint="eastAsia" w:ascii="宋体" w:hAnsi="宋体" w:cs="宋体"/>
          <w:highlight w:val="none"/>
          <w:u w:val="single"/>
        </w:rPr>
      </w:pPr>
      <w:r>
        <w:rPr>
          <w:rFonts w:hint="eastAsia" w:ascii="宋体" w:hAnsi="宋体" w:cs="宋体"/>
          <w:highlight w:val="none"/>
          <w:lang w:bidi="ar"/>
        </w:rPr>
        <w:t>法定代表人或授权代理人（签字或盖章）:</w:t>
      </w:r>
    </w:p>
    <w:p w14:paraId="47A3FC00">
      <w:pPr>
        <w:widowControl/>
        <w:adjustRightInd w:val="0"/>
        <w:snapToGrid w:val="0"/>
        <w:spacing w:line="360" w:lineRule="auto"/>
        <w:ind w:firstLine="4080" w:firstLineChars="1700"/>
        <w:rPr>
          <w:rFonts w:hint="eastAsia" w:ascii="宋体" w:hAnsi="宋体" w:cs="宋体"/>
          <w:highlight w:val="none"/>
        </w:rPr>
      </w:pPr>
      <w:r>
        <w:rPr>
          <w:rFonts w:hint="eastAsia" w:ascii="宋体" w:hAnsi="宋体" w:cs="宋体"/>
          <w:highlight w:val="none"/>
          <w:lang w:bidi="ar"/>
        </w:rPr>
        <w:t>日期:</w:t>
      </w:r>
      <w:r>
        <w:rPr>
          <w:rFonts w:hint="eastAsia" w:ascii="宋体" w:hAnsi="宋体" w:cs="宋体"/>
          <w:highlight w:val="none"/>
          <w:lang w:eastAsia="zh-CN" w:bidi="ar"/>
        </w:rPr>
        <w:t>2025</w:t>
      </w:r>
      <w:r>
        <w:rPr>
          <w:rFonts w:hint="eastAsia" w:ascii="宋体" w:hAnsi="宋体" w:cs="宋体"/>
          <w:highlight w:val="none"/>
          <w:lang w:bidi="ar"/>
        </w:rPr>
        <w:t>年   月   日</w:t>
      </w:r>
    </w:p>
    <w:p w14:paraId="29FF4A8F">
      <w:pPr>
        <w:tabs>
          <w:tab w:val="left" w:pos="900"/>
        </w:tabs>
        <w:spacing w:line="360" w:lineRule="auto"/>
        <w:ind w:firstLine="0" w:firstLineChars="0"/>
        <w:outlineLvl w:val="9"/>
        <w:rPr>
          <w:rStyle w:val="116"/>
          <w:rFonts w:hint="eastAsia" w:ascii="宋体" w:hAnsi="宋体" w:eastAsia="宋体" w:cs="宋体"/>
          <w:szCs w:val="28"/>
        </w:rPr>
      </w:pPr>
    </w:p>
    <w:p w14:paraId="4F5E6AA0">
      <w:pPr>
        <w:tabs>
          <w:tab w:val="left" w:pos="900"/>
        </w:tabs>
        <w:spacing w:line="360" w:lineRule="auto"/>
        <w:ind w:firstLine="0" w:firstLineChars="0"/>
        <w:outlineLvl w:val="9"/>
        <w:rPr>
          <w:rStyle w:val="116"/>
          <w:rFonts w:hint="eastAsia" w:ascii="宋体" w:hAnsi="宋体" w:eastAsia="宋体" w:cs="宋体"/>
          <w:szCs w:val="28"/>
        </w:rPr>
      </w:pPr>
    </w:p>
    <w:p w14:paraId="54821DC0">
      <w:pPr>
        <w:tabs>
          <w:tab w:val="left" w:pos="900"/>
        </w:tabs>
        <w:spacing w:line="360" w:lineRule="auto"/>
        <w:ind w:firstLine="0" w:firstLineChars="0"/>
        <w:outlineLvl w:val="9"/>
        <w:rPr>
          <w:rStyle w:val="116"/>
          <w:rFonts w:hint="eastAsia" w:ascii="宋体" w:hAnsi="宋体" w:eastAsia="宋体" w:cs="宋体"/>
          <w:szCs w:val="28"/>
        </w:rPr>
      </w:pPr>
    </w:p>
    <w:p w14:paraId="471B0558">
      <w:pPr>
        <w:tabs>
          <w:tab w:val="left" w:pos="900"/>
        </w:tabs>
        <w:spacing w:line="360" w:lineRule="auto"/>
        <w:ind w:firstLine="0" w:firstLineChars="0"/>
        <w:outlineLvl w:val="9"/>
        <w:rPr>
          <w:rStyle w:val="116"/>
          <w:rFonts w:hint="eastAsia" w:ascii="宋体" w:hAnsi="宋体" w:eastAsia="宋体" w:cs="宋体"/>
          <w:szCs w:val="28"/>
        </w:rPr>
      </w:pPr>
    </w:p>
    <w:p w14:paraId="376527A1">
      <w:pPr>
        <w:tabs>
          <w:tab w:val="left" w:pos="900"/>
        </w:tabs>
        <w:spacing w:line="360" w:lineRule="auto"/>
        <w:ind w:firstLine="0" w:firstLineChars="0"/>
        <w:outlineLvl w:val="9"/>
        <w:rPr>
          <w:rStyle w:val="116"/>
          <w:rFonts w:hint="eastAsia" w:ascii="宋体" w:hAnsi="宋体" w:eastAsia="宋体" w:cs="宋体"/>
          <w:szCs w:val="28"/>
        </w:rPr>
      </w:pPr>
    </w:p>
    <w:p w14:paraId="3C7D77A0">
      <w:pPr>
        <w:tabs>
          <w:tab w:val="left" w:pos="900"/>
        </w:tabs>
        <w:spacing w:line="360" w:lineRule="auto"/>
        <w:ind w:firstLine="0" w:firstLineChars="0"/>
        <w:outlineLvl w:val="9"/>
        <w:rPr>
          <w:rStyle w:val="116"/>
          <w:rFonts w:hint="eastAsia" w:ascii="宋体" w:hAnsi="宋体" w:eastAsia="宋体" w:cs="宋体"/>
          <w:szCs w:val="28"/>
        </w:rPr>
      </w:pPr>
    </w:p>
    <w:p w14:paraId="56F129B6">
      <w:pPr>
        <w:pStyle w:val="4"/>
        <w:numPr>
          <w:ilvl w:val="2"/>
          <w:numId w:val="0"/>
        </w:numPr>
        <w:ind w:leftChars="200"/>
        <w:rPr>
          <w:rFonts w:hint="eastAsia"/>
        </w:rPr>
      </w:pPr>
    </w:p>
    <w:p w14:paraId="558D918C">
      <w:pPr>
        <w:rPr>
          <w:rFonts w:hint="eastAsia"/>
        </w:rPr>
      </w:pPr>
    </w:p>
    <w:p w14:paraId="5A4362C6">
      <w:pPr>
        <w:tabs>
          <w:tab w:val="left" w:pos="900"/>
        </w:tabs>
        <w:spacing w:line="360" w:lineRule="auto"/>
        <w:ind w:firstLine="0" w:firstLineChars="0"/>
        <w:outlineLvl w:val="9"/>
        <w:rPr>
          <w:rStyle w:val="116"/>
          <w:rFonts w:hint="eastAsia" w:ascii="宋体" w:hAnsi="宋体" w:eastAsia="宋体" w:cs="宋体"/>
          <w:szCs w:val="28"/>
        </w:rPr>
      </w:pPr>
    </w:p>
    <w:p w14:paraId="4A7C62AD">
      <w:pPr>
        <w:tabs>
          <w:tab w:val="left" w:pos="900"/>
        </w:tabs>
        <w:spacing w:line="360" w:lineRule="auto"/>
        <w:ind w:firstLine="0" w:firstLineChars="0"/>
        <w:outlineLvl w:val="0"/>
        <w:rPr>
          <w:rFonts w:hint="default" w:ascii="宋体" w:hAnsi="宋体" w:eastAsia="宋体"/>
          <w:b/>
          <w:color w:val="000000"/>
          <w:spacing w:val="-4"/>
          <w:sz w:val="32"/>
          <w:szCs w:val="32"/>
          <w:lang w:val="en-US" w:eastAsia="zh-CN"/>
        </w:rPr>
      </w:pPr>
      <w:bookmarkStart w:id="1658" w:name="_Toc17212"/>
      <w:r>
        <w:rPr>
          <w:rStyle w:val="116"/>
          <w:rFonts w:hint="eastAsia" w:ascii="宋体" w:hAnsi="宋体" w:eastAsia="宋体" w:cs="宋体"/>
          <w:szCs w:val="28"/>
        </w:rPr>
        <w:t>附件</w:t>
      </w:r>
      <w:r>
        <w:rPr>
          <w:rStyle w:val="116"/>
          <w:rFonts w:hint="eastAsia" w:ascii="宋体" w:hAnsi="宋体" w:cs="宋体"/>
          <w:szCs w:val="28"/>
          <w:lang w:val="en-US" w:eastAsia="zh-CN"/>
        </w:rPr>
        <w:t>1</w:t>
      </w:r>
      <w:bookmarkEnd w:id="1658"/>
      <w:r>
        <w:rPr>
          <w:rStyle w:val="116"/>
          <w:rFonts w:hint="eastAsia" w:ascii="宋体" w:hAnsi="宋体" w:cs="宋体"/>
          <w:szCs w:val="28"/>
          <w:lang w:val="en-US" w:eastAsia="zh-CN"/>
        </w:rPr>
        <w:t>1</w:t>
      </w:r>
    </w:p>
    <w:p w14:paraId="23400B13">
      <w:pPr>
        <w:ind w:firstLine="0" w:firstLineChars="0"/>
        <w:jc w:val="center"/>
        <w:outlineLvl w:val="0"/>
        <w:rPr>
          <w:rFonts w:hint="default" w:ascii="宋体" w:hAnsi="宋体" w:cs="宋体"/>
          <w:b/>
          <w:bCs/>
          <w:color w:val="auto"/>
          <w:highlight w:val="none"/>
          <w:lang w:val="en-US" w:eastAsia="zh-CN"/>
        </w:rPr>
      </w:pPr>
      <w:bookmarkStart w:id="1659" w:name="_Toc12483"/>
      <w:r>
        <w:rPr>
          <w:rFonts w:hint="eastAsia" w:ascii="宋体" w:hAnsi="宋体" w:eastAsia="宋体"/>
          <w:b/>
          <w:color w:val="auto"/>
          <w:spacing w:val="-4"/>
          <w:sz w:val="32"/>
          <w:szCs w:val="32"/>
          <w:highlight w:val="none"/>
          <w:lang w:val="en-US" w:eastAsia="zh-CN"/>
        </w:rPr>
        <w:t>清单报价明细表</w:t>
      </w:r>
      <w:bookmarkEnd w:id="1659"/>
    </w:p>
    <w:p w14:paraId="2F122E70">
      <w:pPr>
        <w:tabs>
          <w:tab w:val="left" w:pos="900"/>
        </w:tabs>
        <w:spacing w:line="360" w:lineRule="auto"/>
        <w:ind w:firstLine="0" w:firstLineChars="0"/>
        <w:jc w:val="center"/>
        <w:outlineLvl w:val="9"/>
        <w:rPr>
          <w:rFonts w:ascii="宋体" w:hAnsi="宋体"/>
          <w:color w:val="auto"/>
          <w:spacing w:val="-4"/>
          <w:highlight w:val="none"/>
        </w:rPr>
      </w:pPr>
    </w:p>
    <w:p w14:paraId="148A308F">
      <w:pPr>
        <w:pStyle w:val="21"/>
        <w:adjustRightInd w:val="0"/>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项目名称：</w:t>
      </w:r>
    </w:p>
    <w:p w14:paraId="634B1A6E">
      <w:pPr>
        <w:pStyle w:val="21"/>
        <w:adjustRightInd w:val="0"/>
        <w:snapToGrid w:val="0"/>
        <w:spacing w:line="360" w:lineRule="auto"/>
        <w:ind w:firstLine="420"/>
        <w:jc w:val="left"/>
        <w:rPr>
          <w:rFonts w:hint="eastAsia" w:ascii="宋体" w:hAnsi="宋体" w:eastAsia="宋体" w:cs="宋体"/>
          <w:color w:val="auto"/>
          <w:highlight w:val="none"/>
          <w:u w:val="single"/>
        </w:rPr>
      </w:pPr>
      <w:r>
        <w:rPr>
          <w:rFonts w:hint="eastAsia" w:ascii="宋体" w:hAnsi="宋体" w:eastAsia="宋体" w:cs="宋体"/>
          <w:color w:val="auto"/>
          <w:highlight w:val="none"/>
        </w:rPr>
        <w:t xml:space="preserve">项目编号：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（价格单位：元</w:t>
      </w:r>
      <w:r>
        <w:rPr>
          <w:rFonts w:hint="eastAsia" w:hAnsi="宋体" w:cs="宋体"/>
          <w:color w:val="auto"/>
          <w:highlight w:val="none"/>
          <w:lang w:val="en-US" w:eastAsia="zh-CN"/>
        </w:rPr>
        <w:t>/</w:t>
      </w:r>
      <w:r>
        <w:rPr>
          <w:rFonts w:hint="eastAsia" w:ascii="宋体" w:hAnsi="宋体" w:eastAsia="宋体" w:cs="宋体"/>
          <w:color w:val="auto"/>
          <w:highlight w:val="none"/>
        </w:rPr>
        <w:t>人民币）</w:t>
      </w:r>
    </w:p>
    <w:tbl>
      <w:tblPr>
        <w:tblStyle w:val="38"/>
        <w:tblW w:w="10378" w:type="dxa"/>
        <w:tblInd w:w="-17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860"/>
        <w:gridCol w:w="1290"/>
        <w:gridCol w:w="2056"/>
        <w:gridCol w:w="1087"/>
        <w:gridCol w:w="1366"/>
        <w:gridCol w:w="1243"/>
        <w:gridCol w:w="1726"/>
      </w:tblGrid>
      <w:tr w14:paraId="67C21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750" w:type="dxa"/>
            <w:vAlign w:val="center"/>
          </w:tcPr>
          <w:p w14:paraId="597D5C3F">
            <w:pPr>
              <w:keepNext w:val="0"/>
              <w:keepLines w:val="0"/>
              <w:suppressLineNumbers w:val="0"/>
              <w:spacing w:before="0" w:beforeAutospacing="0" w:after="0" w:afterAutospacing="0" w:line="360" w:lineRule="auto"/>
              <w:ind w:left="0" w:leftChars="0" w:right="0" w:firstLine="0" w:firstLineChars="0"/>
              <w:jc w:val="both"/>
              <w:rPr>
                <w:rFonts w:hint="default" w:ascii="宋体" w:hAnsi="宋体" w:cs="宋体"/>
                <w:b/>
                <w:color w:val="auto"/>
                <w:sz w:val="24"/>
                <w:highlight w:val="none"/>
              </w:rPr>
            </w:pPr>
            <w:r>
              <w:rPr>
                <w:rFonts w:hint="eastAsia" w:ascii="宋体" w:hAnsi="宋体" w:cs="宋体"/>
                <w:b/>
                <w:color w:val="auto"/>
                <w:sz w:val="24"/>
                <w:highlight w:val="none"/>
              </w:rPr>
              <w:t>序号</w:t>
            </w:r>
          </w:p>
        </w:tc>
        <w:tc>
          <w:tcPr>
            <w:tcW w:w="860" w:type="dxa"/>
            <w:vAlign w:val="center"/>
          </w:tcPr>
          <w:p w14:paraId="7197E4AB">
            <w:pPr>
              <w:keepNext w:val="0"/>
              <w:keepLines w:val="0"/>
              <w:suppressLineNumbers w:val="0"/>
              <w:spacing w:before="0" w:beforeAutospacing="0" w:after="0" w:afterAutospacing="0" w:line="360" w:lineRule="auto"/>
              <w:ind w:left="0" w:leftChars="0" w:right="0" w:firstLine="0" w:firstLineChars="0"/>
              <w:jc w:val="both"/>
              <w:rPr>
                <w:rFonts w:hint="default" w:ascii="宋体" w:hAnsi="宋体" w:cs="宋体"/>
                <w:b/>
                <w:color w:val="auto"/>
                <w:sz w:val="24"/>
                <w:highlight w:val="none"/>
              </w:rPr>
            </w:pPr>
            <w:r>
              <w:rPr>
                <w:rFonts w:hint="eastAsia" w:ascii="宋体" w:hAnsi="宋体" w:cs="宋体"/>
                <w:b/>
                <w:color w:val="auto"/>
                <w:sz w:val="24"/>
                <w:highlight w:val="none"/>
              </w:rPr>
              <w:t>名称</w:t>
            </w:r>
          </w:p>
        </w:tc>
        <w:tc>
          <w:tcPr>
            <w:tcW w:w="1290" w:type="dxa"/>
          </w:tcPr>
          <w:p w14:paraId="560BAC18">
            <w:pPr>
              <w:keepNext w:val="0"/>
              <w:keepLines w:val="0"/>
              <w:suppressLineNumbers w:val="0"/>
              <w:spacing w:before="0" w:beforeAutospacing="0" w:after="0" w:afterAutospacing="0" w:line="360" w:lineRule="auto"/>
              <w:ind w:left="0" w:leftChars="0" w:right="0" w:firstLine="0" w:firstLineChars="0"/>
              <w:jc w:val="both"/>
              <w:rPr>
                <w:rFonts w:hint="eastAsia" w:ascii="宋体" w:hAnsi="宋体" w:cs="宋体"/>
                <w:b/>
                <w:color w:val="auto"/>
                <w:sz w:val="24"/>
                <w:highlight w:val="none"/>
              </w:rPr>
            </w:pPr>
          </w:p>
          <w:p w14:paraId="143597E0">
            <w:pPr>
              <w:keepNext w:val="0"/>
              <w:keepLines w:val="0"/>
              <w:suppressLineNumbers w:val="0"/>
              <w:spacing w:before="0" w:beforeAutospacing="0" w:after="0" w:afterAutospacing="0" w:line="360" w:lineRule="auto"/>
              <w:ind w:left="0" w:leftChars="0" w:right="0" w:firstLine="0" w:firstLineChars="0"/>
              <w:jc w:val="both"/>
              <w:rPr>
                <w:rFonts w:hint="default" w:ascii="宋体" w:hAnsi="宋体" w:cs="宋体"/>
                <w:b/>
                <w:color w:val="auto"/>
                <w:sz w:val="24"/>
                <w:highlight w:val="none"/>
              </w:rPr>
            </w:pPr>
            <w:r>
              <w:rPr>
                <w:rFonts w:hint="eastAsia" w:ascii="宋体" w:hAnsi="宋体" w:cs="宋体"/>
                <w:b/>
                <w:color w:val="auto"/>
                <w:sz w:val="24"/>
                <w:highlight w:val="none"/>
              </w:rPr>
              <w:t>品牌</w:t>
            </w:r>
          </w:p>
        </w:tc>
        <w:tc>
          <w:tcPr>
            <w:tcW w:w="2056" w:type="dxa"/>
            <w:vAlign w:val="center"/>
          </w:tcPr>
          <w:p w14:paraId="12761464">
            <w:pPr>
              <w:keepNext w:val="0"/>
              <w:keepLines w:val="0"/>
              <w:suppressLineNumbers w:val="0"/>
              <w:spacing w:before="0" w:beforeAutospacing="0" w:after="0" w:afterAutospacing="0" w:line="360" w:lineRule="auto"/>
              <w:ind w:left="0" w:leftChars="0" w:right="0" w:firstLine="0" w:firstLineChars="0"/>
              <w:jc w:val="both"/>
              <w:rPr>
                <w:rFonts w:hint="default" w:ascii="宋体" w:hAnsi="宋体" w:cs="宋体"/>
                <w:b/>
                <w:color w:val="auto"/>
                <w:sz w:val="24"/>
                <w:highlight w:val="none"/>
              </w:rPr>
            </w:pPr>
            <w:r>
              <w:rPr>
                <w:rFonts w:hint="eastAsia" w:ascii="宋体" w:hAnsi="宋体" w:cs="宋体"/>
                <w:b/>
                <w:color w:val="auto"/>
                <w:sz w:val="24"/>
                <w:highlight w:val="none"/>
              </w:rPr>
              <w:t>规格型号</w:t>
            </w:r>
          </w:p>
        </w:tc>
        <w:tc>
          <w:tcPr>
            <w:tcW w:w="1087" w:type="dxa"/>
            <w:vAlign w:val="center"/>
          </w:tcPr>
          <w:p w14:paraId="56C0AADA">
            <w:pPr>
              <w:keepNext w:val="0"/>
              <w:keepLines w:val="0"/>
              <w:suppressLineNumbers w:val="0"/>
              <w:spacing w:before="0" w:beforeAutospacing="0" w:after="0" w:afterAutospacing="0" w:line="360" w:lineRule="auto"/>
              <w:ind w:left="0" w:leftChars="0" w:right="0" w:firstLine="0" w:firstLineChars="0"/>
              <w:jc w:val="both"/>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数量</w:t>
            </w:r>
            <w:r>
              <w:rPr>
                <w:rFonts w:hint="eastAsia" w:ascii="宋体" w:hAnsi="宋体" w:cs="宋体"/>
                <w:b/>
                <w:color w:val="auto"/>
                <w:sz w:val="24"/>
                <w:highlight w:val="none"/>
                <w:lang w:val="en-US" w:eastAsia="zh-CN"/>
              </w:rPr>
              <w:t>及单位</w:t>
            </w:r>
          </w:p>
        </w:tc>
        <w:tc>
          <w:tcPr>
            <w:tcW w:w="1366" w:type="dxa"/>
            <w:vAlign w:val="center"/>
          </w:tcPr>
          <w:p w14:paraId="3E061367">
            <w:pPr>
              <w:keepNext w:val="0"/>
              <w:keepLines w:val="0"/>
              <w:suppressLineNumbers w:val="0"/>
              <w:spacing w:before="0" w:beforeAutospacing="0" w:after="0" w:afterAutospacing="0" w:line="360" w:lineRule="auto"/>
              <w:ind w:left="0" w:leftChars="0" w:right="0" w:firstLine="0" w:firstLineChars="0"/>
              <w:jc w:val="both"/>
              <w:rPr>
                <w:rFonts w:hint="default" w:ascii="宋体" w:hAnsi="宋体" w:cs="宋体"/>
                <w:b/>
                <w:color w:val="auto"/>
                <w:sz w:val="24"/>
                <w:highlight w:val="none"/>
              </w:rPr>
            </w:pPr>
            <w:r>
              <w:rPr>
                <w:rFonts w:hint="eastAsia" w:ascii="宋体" w:hAnsi="宋体" w:cs="宋体"/>
                <w:b/>
                <w:color w:val="auto"/>
                <w:sz w:val="24"/>
                <w:highlight w:val="none"/>
              </w:rPr>
              <w:t>单价</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lang w:eastAsia="zh-CN"/>
              </w:rPr>
              <w:t>）</w:t>
            </w:r>
          </w:p>
        </w:tc>
        <w:tc>
          <w:tcPr>
            <w:tcW w:w="1243" w:type="dxa"/>
            <w:vAlign w:val="center"/>
          </w:tcPr>
          <w:p w14:paraId="0D1BCCD5">
            <w:pPr>
              <w:keepNext w:val="0"/>
              <w:keepLines w:val="0"/>
              <w:suppressLineNumbers w:val="0"/>
              <w:spacing w:before="0" w:beforeAutospacing="0" w:after="0" w:afterAutospacing="0" w:line="360" w:lineRule="auto"/>
              <w:ind w:left="0" w:leftChars="0" w:right="0" w:firstLine="0" w:firstLineChars="0"/>
              <w:jc w:val="both"/>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合计</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lang w:eastAsia="zh-CN"/>
              </w:rPr>
              <w:t>）</w:t>
            </w:r>
          </w:p>
        </w:tc>
        <w:tc>
          <w:tcPr>
            <w:tcW w:w="1726" w:type="dxa"/>
            <w:vAlign w:val="center"/>
          </w:tcPr>
          <w:p w14:paraId="49C925BA">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p>
          <w:p w14:paraId="79C39341">
            <w:pPr>
              <w:keepNext w:val="0"/>
              <w:keepLines w:val="0"/>
              <w:suppressLineNumbers w:val="0"/>
              <w:spacing w:before="0" w:beforeAutospacing="0" w:after="0" w:afterAutospacing="0" w:line="360" w:lineRule="auto"/>
              <w:ind w:left="0" w:leftChars="0" w:right="0" w:firstLine="0" w:firstLineChars="0"/>
              <w:jc w:val="both"/>
              <w:rPr>
                <w:rFonts w:hint="default" w:ascii="宋体" w:hAnsi="宋体" w:cs="宋体"/>
                <w:b/>
                <w:color w:val="auto"/>
                <w:sz w:val="24"/>
                <w:highlight w:val="none"/>
              </w:rPr>
            </w:pPr>
            <w:r>
              <w:rPr>
                <w:rFonts w:hint="eastAsia" w:ascii="宋体" w:hAnsi="宋体" w:cs="宋体"/>
                <w:b/>
                <w:color w:val="auto"/>
                <w:sz w:val="24"/>
                <w:highlight w:val="none"/>
              </w:rPr>
              <w:t>备注（如果有）</w:t>
            </w:r>
          </w:p>
          <w:p w14:paraId="6547C578">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p>
        </w:tc>
      </w:tr>
      <w:tr w14:paraId="5B7C8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50" w:type="dxa"/>
            <w:vAlign w:val="center"/>
          </w:tcPr>
          <w:p w14:paraId="21AB1142">
            <w:pPr>
              <w:keepNext w:val="0"/>
              <w:keepLines w:val="0"/>
              <w:suppressLineNumbers w:val="0"/>
              <w:spacing w:before="0" w:beforeAutospacing="0" w:after="0" w:afterAutospacing="0" w:line="360" w:lineRule="auto"/>
              <w:ind w:left="0" w:leftChars="0" w:right="0" w:firstLine="0" w:firstLineChars="0"/>
              <w:jc w:val="center"/>
              <w:rPr>
                <w:rFonts w:hint="default" w:ascii="宋体" w:hAnsi="宋体" w:cs="宋体"/>
                <w:color w:val="auto"/>
                <w:sz w:val="24"/>
                <w:highlight w:val="none"/>
              </w:rPr>
            </w:pPr>
            <w:r>
              <w:rPr>
                <w:rFonts w:hint="eastAsia" w:ascii="宋体" w:hAnsi="宋体" w:cs="宋体"/>
                <w:color w:val="auto"/>
                <w:sz w:val="24"/>
                <w:highlight w:val="none"/>
              </w:rPr>
              <w:t>1</w:t>
            </w:r>
          </w:p>
        </w:tc>
        <w:tc>
          <w:tcPr>
            <w:tcW w:w="860" w:type="dxa"/>
            <w:vAlign w:val="center"/>
          </w:tcPr>
          <w:p w14:paraId="121710F4">
            <w:pPr>
              <w:keepNext w:val="0"/>
              <w:keepLines w:val="0"/>
              <w:suppressLineNumbers w:val="0"/>
              <w:snapToGrid w:val="0"/>
              <w:spacing w:before="0" w:beforeAutospacing="0" w:after="0" w:afterAutospacing="0" w:line="360" w:lineRule="auto"/>
              <w:ind w:left="0" w:leftChars="0" w:right="0" w:firstLine="0" w:firstLineChars="0"/>
              <w:jc w:val="center"/>
              <w:rPr>
                <w:rFonts w:hint="default" w:ascii="宋体" w:hAnsi="宋体" w:cs="宋体"/>
                <w:color w:val="auto"/>
                <w:sz w:val="24"/>
                <w:highlight w:val="none"/>
              </w:rPr>
            </w:pPr>
            <w:r>
              <w:rPr>
                <w:rFonts w:hint="eastAsia" w:ascii="宋体" w:hAnsi="宋体" w:cs="宋体"/>
                <w:color w:val="auto"/>
                <w:sz w:val="24"/>
                <w:highlight w:val="none"/>
              </w:rPr>
              <w:t>X</w:t>
            </w:r>
            <w:r>
              <w:rPr>
                <w:rFonts w:hint="default" w:ascii="宋体" w:hAnsi="宋体" w:cs="宋体"/>
                <w:color w:val="auto"/>
                <w:sz w:val="24"/>
                <w:highlight w:val="none"/>
              </w:rPr>
              <w:t>X</w:t>
            </w:r>
          </w:p>
        </w:tc>
        <w:tc>
          <w:tcPr>
            <w:tcW w:w="1290" w:type="dxa"/>
            <w:vAlign w:val="center"/>
          </w:tcPr>
          <w:p w14:paraId="4441AA47">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2056" w:type="dxa"/>
            <w:vAlign w:val="center"/>
          </w:tcPr>
          <w:p w14:paraId="3C959D2C">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087" w:type="dxa"/>
            <w:vAlign w:val="center"/>
          </w:tcPr>
          <w:p w14:paraId="7116D89A">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366" w:type="dxa"/>
            <w:vAlign w:val="center"/>
          </w:tcPr>
          <w:p w14:paraId="4C856357">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243" w:type="dxa"/>
            <w:vAlign w:val="center"/>
          </w:tcPr>
          <w:p w14:paraId="50563AA3">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726" w:type="dxa"/>
            <w:vAlign w:val="center"/>
          </w:tcPr>
          <w:p w14:paraId="63CFEAD0">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14:paraId="15BE4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50" w:type="dxa"/>
            <w:vAlign w:val="center"/>
          </w:tcPr>
          <w:p w14:paraId="4D55A385">
            <w:pPr>
              <w:keepNext w:val="0"/>
              <w:keepLines w:val="0"/>
              <w:suppressLineNumbers w:val="0"/>
              <w:spacing w:before="0" w:beforeAutospacing="0" w:after="0" w:afterAutospacing="0" w:line="360" w:lineRule="auto"/>
              <w:ind w:left="0" w:leftChars="0" w:right="0" w:firstLine="0" w:firstLineChars="0"/>
              <w:jc w:val="center"/>
              <w:rPr>
                <w:rFonts w:hint="default" w:ascii="宋体" w:hAnsi="宋体" w:cs="宋体"/>
                <w:color w:val="auto"/>
                <w:sz w:val="24"/>
                <w:highlight w:val="none"/>
              </w:rPr>
            </w:pPr>
            <w:r>
              <w:rPr>
                <w:rFonts w:hint="eastAsia" w:ascii="宋体" w:hAnsi="宋体" w:cs="宋体"/>
                <w:color w:val="auto"/>
                <w:sz w:val="24"/>
                <w:highlight w:val="none"/>
              </w:rPr>
              <w:t>2</w:t>
            </w:r>
          </w:p>
        </w:tc>
        <w:tc>
          <w:tcPr>
            <w:tcW w:w="860" w:type="dxa"/>
            <w:vAlign w:val="center"/>
          </w:tcPr>
          <w:p w14:paraId="34575017">
            <w:pPr>
              <w:keepNext w:val="0"/>
              <w:keepLines w:val="0"/>
              <w:suppressLineNumbers w:val="0"/>
              <w:snapToGrid w:val="0"/>
              <w:spacing w:before="0" w:beforeAutospacing="0" w:after="0" w:afterAutospacing="0" w:line="360" w:lineRule="auto"/>
              <w:ind w:left="0" w:leftChars="0" w:right="0" w:firstLine="0" w:firstLineChars="0"/>
              <w:jc w:val="center"/>
              <w:rPr>
                <w:rFonts w:hint="default" w:ascii="宋体" w:hAnsi="宋体" w:cs="宋体"/>
                <w:color w:val="auto"/>
                <w:sz w:val="24"/>
                <w:highlight w:val="none"/>
              </w:rPr>
            </w:pPr>
            <w:r>
              <w:rPr>
                <w:rFonts w:hint="eastAsia" w:ascii="宋体" w:hAnsi="宋体" w:cs="宋体"/>
                <w:color w:val="auto"/>
                <w:sz w:val="24"/>
                <w:highlight w:val="none"/>
              </w:rPr>
              <w:t>X</w:t>
            </w:r>
            <w:r>
              <w:rPr>
                <w:rFonts w:hint="default" w:ascii="宋体" w:hAnsi="宋体" w:cs="宋体"/>
                <w:color w:val="auto"/>
                <w:sz w:val="24"/>
                <w:highlight w:val="none"/>
              </w:rPr>
              <w:t>X</w:t>
            </w:r>
          </w:p>
        </w:tc>
        <w:tc>
          <w:tcPr>
            <w:tcW w:w="1290" w:type="dxa"/>
            <w:vAlign w:val="center"/>
          </w:tcPr>
          <w:p w14:paraId="5C8A10FB">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2056" w:type="dxa"/>
            <w:vAlign w:val="center"/>
          </w:tcPr>
          <w:p w14:paraId="67262FFD">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087" w:type="dxa"/>
            <w:vAlign w:val="center"/>
          </w:tcPr>
          <w:p w14:paraId="5145D20A">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366" w:type="dxa"/>
            <w:vAlign w:val="center"/>
          </w:tcPr>
          <w:p w14:paraId="452104AD">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243" w:type="dxa"/>
            <w:vAlign w:val="center"/>
          </w:tcPr>
          <w:p w14:paraId="6354F068">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726" w:type="dxa"/>
            <w:vAlign w:val="center"/>
          </w:tcPr>
          <w:p w14:paraId="391F4096">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14:paraId="5EFF2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50" w:type="dxa"/>
            <w:vAlign w:val="center"/>
          </w:tcPr>
          <w:p w14:paraId="50B2826F">
            <w:pPr>
              <w:keepNext w:val="0"/>
              <w:keepLines w:val="0"/>
              <w:suppressLineNumbers w:val="0"/>
              <w:spacing w:before="0" w:beforeAutospacing="0" w:after="0" w:afterAutospacing="0" w:line="360" w:lineRule="auto"/>
              <w:ind w:left="0" w:leftChars="0" w:right="0" w:firstLine="0" w:firstLineChars="0"/>
              <w:jc w:val="both"/>
              <w:rPr>
                <w:rFonts w:hint="default" w:ascii="宋体" w:hAnsi="宋体" w:cs="宋体"/>
                <w:color w:val="auto"/>
                <w:sz w:val="24"/>
                <w:highlight w:val="none"/>
              </w:rPr>
            </w:pPr>
            <w:r>
              <w:rPr>
                <w:rFonts w:hint="eastAsia" w:ascii="宋体" w:hAnsi="宋体" w:cs="宋体"/>
                <w:color w:val="auto"/>
                <w:sz w:val="24"/>
                <w:highlight w:val="none"/>
                <w:lang w:eastAsia="zh-CN"/>
              </w:rPr>
              <w:t>……</w:t>
            </w:r>
          </w:p>
        </w:tc>
        <w:tc>
          <w:tcPr>
            <w:tcW w:w="860" w:type="dxa"/>
            <w:vAlign w:val="center"/>
          </w:tcPr>
          <w:p w14:paraId="43C0DE8B">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290" w:type="dxa"/>
            <w:vAlign w:val="center"/>
          </w:tcPr>
          <w:p w14:paraId="7F213D0F">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2056" w:type="dxa"/>
            <w:vAlign w:val="center"/>
          </w:tcPr>
          <w:p w14:paraId="53B64731">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087" w:type="dxa"/>
            <w:vAlign w:val="center"/>
          </w:tcPr>
          <w:p w14:paraId="345154EB">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366" w:type="dxa"/>
            <w:vAlign w:val="center"/>
          </w:tcPr>
          <w:p w14:paraId="1179FFF2">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243" w:type="dxa"/>
            <w:vAlign w:val="center"/>
          </w:tcPr>
          <w:p w14:paraId="0D658352">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726" w:type="dxa"/>
            <w:vAlign w:val="center"/>
          </w:tcPr>
          <w:p w14:paraId="3477FC65">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14:paraId="4F914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50" w:type="dxa"/>
            <w:vAlign w:val="center"/>
          </w:tcPr>
          <w:p w14:paraId="0F61AD67">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860" w:type="dxa"/>
            <w:vAlign w:val="center"/>
          </w:tcPr>
          <w:p w14:paraId="58D2F7E9">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290" w:type="dxa"/>
            <w:vAlign w:val="center"/>
          </w:tcPr>
          <w:p w14:paraId="250B0453">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2056" w:type="dxa"/>
            <w:vAlign w:val="center"/>
          </w:tcPr>
          <w:p w14:paraId="3391D668">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087" w:type="dxa"/>
            <w:vAlign w:val="center"/>
          </w:tcPr>
          <w:p w14:paraId="65C0250F">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366" w:type="dxa"/>
            <w:vAlign w:val="center"/>
          </w:tcPr>
          <w:p w14:paraId="6DBEE1E9">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243" w:type="dxa"/>
            <w:vAlign w:val="center"/>
          </w:tcPr>
          <w:p w14:paraId="31B5FB1F">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726" w:type="dxa"/>
            <w:vAlign w:val="center"/>
          </w:tcPr>
          <w:p w14:paraId="49B73500">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14:paraId="29F6C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50" w:type="dxa"/>
            <w:vAlign w:val="center"/>
          </w:tcPr>
          <w:p w14:paraId="11020689">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860" w:type="dxa"/>
            <w:vAlign w:val="center"/>
          </w:tcPr>
          <w:p w14:paraId="131EECD5">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290" w:type="dxa"/>
            <w:vAlign w:val="center"/>
          </w:tcPr>
          <w:p w14:paraId="187A7A88">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2056" w:type="dxa"/>
            <w:vAlign w:val="center"/>
          </w:tcPr>
          <w:p w14:paraId="6B661FBD">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087" w:type="dxa"/>
            <w:vAlign w:val="center"/>
          </w:tcPr>
          <w:p w14:paraId="307524E0">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366" w:type="dxa"/>
            <w:vAlign w:val="center"/>
          </w:tcPr>
          <w:p w14:paraId="75752BD4">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243" w:type="dxa"/>
            <w:vAlign w:val="center"/>
          </w:tcPr>
          <w:p w14:paraId="76FFC1DB">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726" w:type="dxa"/>
            <w:vAlign w:val="center"/>
          </w:tcPr>
          <w:p w14:paraId="39A19E8B">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14:paraId="3EF49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4956" w:type="dxa"/>
            <w:gridSpan w:val="4"/>
            <w:vAlign w:val="center"/>
          </w:tcPr>
          <w:p w14:paraId="44DA4A60">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投标报价（小写）</w:t>
            </w:r>
          </w:p>
        </w:tc>
        <w:tc>
          <w:tcPr>
            <w:tcW w:w="5422" w:type="dxa"/>
            <w:gridSpan w:val="4"/>
            <w:vAlign w:val="center"/>
          </w:tcPr>
          <w:p w14:paraId="3F704DF4">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14:paraId="16C27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4956" w:type="dxa"/>
            <w:gridSpan w:val="4"/>
            <w:vAlign w:val="center"/>
          </w:tcPr>
          <w:p w14:paraId="6B92A0FC">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投标报价（大写）</w:t>
            </w:r>
          </w:p>
        </w:tc>
        <w:tc>
          <w:tcPr>
            <w:tcW w:w="5422" w:type="dxa"/>
            <w:gridSpan w:val="4"/>
            <w:vAlign w:val="center"/>
          </w:tcPr>
          <w:p w14:paraId="764A2895">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bl>
    <w:p w14:paraId="0C684674">
      <w:pPr>
        <w:snapToGrid w:val="0"/>
        <w:spacing w:line="480" w:lineRule="exact"/>
        <w:ind w:firstLine="4560" w:firstLineChars="1900"/>
        <w:rPr>
          <w:rFonts w:ascii="宋体" w:hAnsi="宋体"/>
          <w:lang w:val="zh-CN"/>
        </w:rPr>
      </w:pPr>
      <w:r>
        <w:rPr>
          <w:rFonts w:hint="eastAsia" w:ascii="宋体" w:hAnsi="宋体"/>
          <w:lang w:val="zh-CN"/>
        </w:rPr>
        <w:t>供应商名称（盖章）：</w:t>
      </w:r>
    </w:p>
    <w:p w14:paraId="1CA4C9DE">
      <w:pPr>
        <w:snapToGrid w:val="0"/>
        <w:spacing w:line="480" w:lineRule="exact"/>
        <w:ind w:firstLine="4560" w:firstLineChars="1900"/>
        <w:rPr>
          <w:rFonts w:ascii="宋体" w:hAnsi="宋体"/>
        </w:rPr>
      </w:pPr>
      <w:r>
        <w:rPr>
          <w:rFonts w:hint="eastAsia" w:ascii="宋体" w:hAnsi="宋体"/>
          <w:lang w:val="zh-CN"/>
        </w:rPr>
        <w:t>法定代表人或授权委托人（签字或盖章）：</w:t>
      </w:r>
    </w:p>
    <w:p w14:paraId="524BE12F">
      <w:pPr>
        <w:tabs>
          <w:tab w:val="left" w:pos="900"/>
        </w:tabs>
        <w:spacing w:line="360" w:lineRule="auto"/>
        <w:ind w:firstLine="4560" w:firstLineChars="1900"/>
        <w:outlineLvl w:val="0"/>
        <w:rPr>
          <w:rFonts w:hint="eastAsia" w:ascii="宋体" w:hAnsi="宋体" w:eastAsia="宋体"/>
          <w:lang w:val="en-US" w:eastAsia="zh-CN"/>
        </w:rPr>
      </w:pPr>
      <w:bookmarkStart w:id="1660" w:name="_Toc18627"/>
      <w:r>
        <w:rPr>
          <w:rFonts w:hint="eastAsia" w:ascii="宋体" w:hAnsi="宋体"/>
          <w:lang w:val="zh-CN"/>
        </w:rPr>
        <w:t xml:space="preserve">日期：     年   月   </w:t>
      </w:r>
      <w:r>
        <w:rPr>
          <w:rFonts w:hint="eastAsia" w:ascii="宋体" w:hAnsi="宋体"/>
          <w:lang w:val="en-US" w:eastAsia="zh-CN"/>
        </w:rPr>
        <w:t>日</w:t>
      </w:r>
      <w:bookmarkEnd w:id="1660"/>
    </w:p>
    <w:p w14:paraId="19F20D9E">
      <w:pPr>
        <w:tabs>
          <w:tab w:val="left" w:pos="900"/>
        </w:tabs>
        <w:spacing w:line="360" w:lineRule="auto"/>
        <w:ind w:firstLine="0" w:firstLineChars="0"/>
        <w:outlineLvl w:val="9"/>
        <w:rPr>
          <w:rStyle w:val="116"/>
          <w:rFonts w:hint="eastAsia" w:ascii="宋体" w:hAnsi="宋体" w:eastAsia="宋体" w:cs="宋体"/>
          <w:szCs w:val="28"/>
        </w:rPr>
      </w:pPr>
    </w:p>
    <w:p w14:paraId="31439A2D">
      <w:pPr>
        <w:tabs>
          <w:tab w:val="left" w:pos="900"/>
        </w:tabs>
        <w:spacing w:line="360" w:lineRule="auto"/>
        <w:ind w:firstLine="0" w:firstLineChars="0"/>
        <w:outlineLvl w:val="9"/>
        <w:rPr>
          <w:rStyle w:val="116"/>
          <w:rFonts w:hint="eastAsia" w:ascii="宋体" w:hAnsi="宋体" w:eastAsia="宋体" w:cs="宋体"/>
          <w:szCs w:val="28"/>
        </w:rPr>
      </w:pPr>
    </w:p>
    <w:p w14:paraId="774D4BE4">
      <w:pPr>
        <w:tabs>
          <w:tab w:val="left" w:pos="900"/>
        </w:tabs>
        <w:spacing w:line="360" w:lineRule="auto"/>
        <w:ind w:firstLine="0" w:firstLineChars="0"/>
        <w:outlineLvl w:val="9"/>
        <w:rPr>
          <w:rStyle w:val="116"/>
          <w:rFonts w:hint="eastAsia" w:ascii="宋体" w:hAnsi="宋体" w:eastAsia="宋体" w:cs="宋体"/>
          <w:szCs w:val="28"/>
        </w:rPr>
      </w:pPr>
    </w:p>
    <w:p w14:paraId="6B900074">
      <w:pPr>
        <w:tabs>
          <w:tab w:val="left" w:pos="900"/>
        </w:tabs>
        <w:spacing w:line="360" w:lineRule="auto"/>
        <w:ind w:firstLine="0" w:firstLineChars="0"/>
        <w:outlineLvl w:val="9"/>
        <w:rPr>
          <w:rStyle w:val="116"/>
          <w:rFonts w:hint="eastAsia" w:ascii="宋体" w:hAnsi="宋体" w:eastAsia="宋体" w:cs="宋体"/>
          <w:szCs w:val="28"/>
        </w:rPr>
      </w:pPr>
    </w:p>
    <w:p w14:paraId="19158F16">
      <w:pPr>
        <w:tabs>
          <w:tab w:val="left" w:pos="900"/>
        </w:tabs>
        <w:spacing w:line="360" w:lineRule="auto"/>
        <w:ind w:firstLine="0" w:firstLineChars="0"/>
        <w:outlineLvl w:val="9"/>
        <w:rPr>
          <w:rStyle w:val="116"/>
          <w:rFonts w:hint="eastAsia" w:ascii="宋体" w:hAnsi="宋体" w:eastAsia="宋体" w:cs="宋体"/>
          <w:szCs w:val="28"/>
        </w:rPr>
      </w:pPr>
    </w:p>
    <w:p w14:paraId="281094CD">
      <w:pPr>
        <w:tabs>
          <w:tab w:val="left" w:pos="900"/>
        </w:tabs>
        <w:spacing w:line="360" w:lineRule="auto"/>
        <w:ind w:firstLine="0" w:firstLineChars="0"/>
        <w:outlineLvl w:val="9"/>
        <w:rPr>
          <w:rStyle w:val="116"/>
          <w:rFonts w:hint="eastAsia" w:ascii="宋体" w:hAnsi="宋体" w:eastAsia="宋体" w:cs="宋体"/>
          <w:szCs w:val="28"/>
        </w:rPr>
      </w:pPr>
    </w:p>
    <w:p w14:paraId="68331FD9">
      <w:pPr>
        <w:tabs>
          <w:tab w:val="left" w:pos="900"/>
        </w:tabs>
        <w:spacing w:line="360" w:lineRule="auto"/>
        <w:ind w:firstLine="0" w:firstLineChars="0"/>
        <w:outlineLvl w:val="9"/>
        <w:rPr>
          <w:rStyle w:val="116"/>
          <w:rFonts w:hint="eastAsia" w:ascii="宋体" w:hAnsi="宋体" w:eastAsia="宋体" w:cs="宋体"/>
          <w:szCs w:val="28"/>
        </w:rPr>
      </w:pPr>
    </w:p>
    <w:p w14:paraId="5ADE3DB9">
      <w:pPr>
        <w:pStyle w:val="4"/>
        <w:numPr>
          <w:ilvl w:val="2"/>
          <w:numId w:val="0"/>
        </w:numPr>
        <w:ind w:leftChars="200"/>
        <w:rPr>
          <w:rFonts w:hint="eastAsia"/>
        </w:rPr>
      </w:pPr>
    </w:p>
    <w:p w14:paraId="6F00127B">
      <w:pPr>
        <w:rPr>
          <w:rFonts w:hint="eastAsia"/>
        </w:rPr>
      </w:pPr>
    </w:p>
    <w:p w14:paraId="6E6DFB52">
      <w:pPr>
        <w:tabs>
          <w:tab w:val="left" w:pos="900"/>
        </w:tabs>
        <w:spacing w:line="360" w:lineRule="auto"/>
        <w:ind w:firstLine="0" w:firstLineChars="0"/>
        <w:outlineLvl w:val="9"/>
        <w:rPr>
          <w:rStyle w:val="116"/>
          <w:rFonts w:hint="eastAsia" w:ascii="宋体" w:hAnsi="宋体" w:eastAsia="宋体" w:cs="宋体"/>
          <w:szCs w:val="28"/>
        </w:rPr>
      </w:pPr>
    </w:p>
    <w:p w14:paraId="286629D2">
      <w:pPr>
        <w:tabs>
          <w:tab w:val="left" w:pos="900"/>
        </w:tabs>
        <w:spacing w:line="360" w:lineRule="auto"/>
        <w:ind w:firstLine="0" w:firstLineChars="0"/>
        <w:outlineLvl w:val="0"/>
        <w:rPr>
          <w:rFonts w:hint="default" w:ascii="宋体" w:hAnsi="宋体" w:eastAsia="宋体"/>
          <w:b/>
          <w:color w:val="000000"/>
          <w:spacing w:val="-4"/>
          <w:sz w:val="32"/>
          <w:szCs w:val="32"/>
          <w:lang w:val="en-US" w:eastAsia="zh-CN"/>
        </w:rPr>
      </w:pPr>
      <w:bookmarkStart w:id="1661" w:name="_Toc23416"/>
      <w:r>
        <w:rPr>
          <w:rStyle w:val="116"/>
          <w:rFonts w:hint="eastAsia" w:ascii="宋体" w:hAnsi="宋体" w:eastAsia="宋体" w:cs="宋体"/>
          <w:szCs w:val="28"/>
        </w:rPr>
        <w:t>附件</w:t>
      </w:r>
      <w:r>
        <w:rPr>
          <w:rStyle w:val="116"/>
          <w:rFonts w:hint="eastAsia" w:ascii="宋体" w:hAnsi="宋体" w:cs="宋体"/>
          <w:szCs w:val="28"/>
          <w:lang w:val="en-US" w:eastAsia="zh-CN"/>
        </w:rPr>
        <w:t>1</w:t>
      </w:r>
      <w:bookmarkEnd w:id="1661"/>
      <w:r>
        <w:rPr>
          <w:rStyle w:val="116"/>
          <w:rFonts w:hint="eastAsia" w:ascii="宋体" w:hAnsi="宋体" w:cs="宋体"/>
          <w:szCs w:val="28"/>
          <w:lang w:val="en-US" w:eastAsia="zh-CN"/>
        </w:rPr>
        <w:t>2</w:t>
      </w:r>
    </w:p>
    <w:p w14:paraId="0B23CFA7">
      <w:pPr>
        <w:spacing w:line="460" w:lineRule="exact"/>
        <w:ind w:firstLine="0" w:firstLineChars="0"/>
        <w:jc w:val="center"/>
        <w:rPr>
          <w:rFonts w:ascii="宋体" w:hAnsi="宋体"/>
          <w:b/>
          <w:color w:val="000000"/>
          <w:spacing w:val="-4"/>
          <w:sz w:val="32"/>
          <w:szCs w:val="32"/>
        </w:rPr>
      </w:pPr>
      <w:r>
        <w:rPr>
          <w:rFonts w:hint="eastAsia" w:ascii="宋体" w:hAnsi="宋体"/>
          <w:b/>
          <w:color w:val="000000"/>
          <w:spacing w:val="-4"/>
          <w:sz w:val="32"/>
          <w:szCs w:val="32"/>
          <w:lang w:val="en-US" w:eastAsia="zh-CN"/>
        </w:rPr>
        <w:t>最终</w:t>
      </w:r>
      <w:r>
        <w:rPr>
          <w:rFonts w:hint="eastAsia" w:ascii="宋体" w:hAnsi="宋体"/>
          <w:b/>
          <w:color w:val="000000"/>
          <w:spacing w:val="-4"/>
          <w:sz w:val="32"/>
          <w:szCs w:val="32"/>
        </w:rPr>
        <w:t>报价表</w:t>
      </w:r>
    </w:p>
    <w:p w14:paraId="10C5CC84">
      <w:pPr>
        <w:tabs>
          <w:tab w:val="left" w:pos="900"/>
        </w:tabs>
        <w:spacing w:line="360" w:lineRule="auto"/>
        <w:ind w:firstLine="464"/>
        <w:rPr>
          <w:rFonts w:hint="eastAsia" w:ascii="宋体" w:hAnsi="宋体"/>
          <w:color w:val="000000"/>
          <w:spacing w:val="-4"/>
        </w:rPr>
      </w:pPr>
      <w:r>
        <w:rPr>
          <w:rFonts w:hint="eastAsia" w:ascii="宋体" w:hAnsi="宋体"/>
          <w:color w:val="000000"/>
          <w:spacing w:val="-4"/>
        </w:rPr>
        <w:t xml:space="preserve">               </w:t>
      </w:r>
    </w:p>
    <w:p w14:paraId="2DBF06BB">
      <w:pPr>
        <w:tabs>
          <w:tab w:val="left" w:pos="900"/>
        </w:tabs>
        <w:spacing w:line="360" w:lineRule="auto"/>
        <w:ind w:firstLine="464"/>
        <w:rPr>
          <w:rFonts w:ascii="宋体" w:hAnsi="宋体"/>
          <w:color w:val="000000"/>
          <w:spacing w:val="-4"/>
          <w:u w:val="single"/>
        </w:rPr>
      </w:pPr>
      <w:r>
        <w:rPr>
          <w:rFonts w:hint="eastAsia" w:ascii="宋体" w:hAnsi="宋体"/>
          <w:color w:val="000000"/>
          <w:spacing w:val="-4"/>
        </w:rPr>
        <w:t xml:space="preserve">                                              </w:t>
      </w:r>
      <w:r>
        <w:rPr>
          <w:rFonts w:hint="eastAsia" w:ascii="宋体" w:hAnsi="宋体"/>
          <w:color w:val="auto"/>
          <w:spacing w:val="-4"/>
          <w:lang w:val="en-US" w:eastAsia="zh-CN"/>
        </w:rPr>
        <w:t xml:space="preserve">             </w:t>
      </w:r>
      <w:r>
        <w:rPr>
          <w:rFonts w:hint="eastAsia" w:ascii="宋体" w:hAnsi="宋体"/>
          <w:color w:val="auto"/>
          <w:spacing w:val="-4"/>
        </w:rPr>
        <w:t>货币形式：</w:t>
      </w:r>
      <w:r>
        <w:rPr>
          <w:rFonts w:hint="eastAsia" w:ascii="宋体" w:hAnsi="宋体"/>
          <w:color w:val="auto"/>
          <w:spacing w:val="-4"/>
          <w:u w:val="single"/>
        </w:rPr>
        <w:t>人民币/元</w:t>
      </w:r>
      <w:r>
        <w:rPr>
          <w:rFonts w:hint="eastAsia" w:ascii="宋体" w:hAnsi="宋体"/>
          <w:color w:val="000000"/>
          <w:spacing w:val="-4"/>
        </w:rPr>
        <w:t xml:space="preserve">  </w:t>
      </w: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33"/>
        <w:gridCol w:w="6973"/>
      </w:tblGrid>
      <w:tr w14:paraId="7F7A92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0" w:hRule="atLeast"/>
          <w:jc w:val="center"/>
        </w:trPr>
        <w:tc>
          <w:tcPr>
            <w:tcW w:w="2733" w:type="dxa"/>
            <w:noWrap w:val="0"/>
            <w:vAlign w:val="center"/>
          </w:tcPr>
          <w:p w14:paraId="2E03464B">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rPr>
            </w:pPr>
          </w:p>
          <w:p w14:paraId="13CEA581">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rPr>
            </w:pPr>
            <w:r>
              <w:rPr>
                <w:rFonts w:hint="eastAsia" w:ascii="宋体" w:hAnsi="宋体" w:eastAsia="宋体" w:cs="宋体"/>
                <w:highlight w:val="none"/>
              </w:rPr>
              <w:t>项目编号</w:t>
            </w:r>
          </w:p>
        </w:tc>
        <w:tc>
          <w:tcPr>
            <w:tcW w:w="6973" w:type="dxa"/>
            <w:noWrap w:val="0"/>
            <w:vAlign w:val="center"/>
          </w:tcPr>
          <w:p w14:paraId="27CE312A">
            <w:pPr>
              <w:keepNext w:val="0"/>
              <w:keepLines w:val="0"/>
              <w:suppressLineNumbers w:val="0"/>
              <w:adjustRightInd w:val="0"/>
              <w:snapToGrid w:val="0"/>
              <w:spacing w:before="0" w:beforeAutospacing="0" w:after="0" w:afterAutospacing="0" w:line="312" w:lineRule="auto"/>
              <w:ind w:left="0" w:right="0" w:firstLine="480"/>
              <w:jc w:val="center"/>
              <w:rPr>
                <w:rFonts w:hint="eastAsia" w:ascii="宋体" w:hAnsi="宋体" w:cs="宋体"/>
                <w:highlight w:val="none"/>
              </w:rPr>
            </w:pPr>
          </w:p>
          <w:p w14:paraId="0BF0A725">
            <w:pPr>
              <w:keepNext w:val="0"/>
              <w:keepLines w:val="0"/>
              <w:suppressLineNumbers w:val="0"/>
              <w:adjustRightInd w:val="0"/>
              <w:snapToGrid w:val="0"/>
              <w:spacing w:before="0" w:beforeAutospacing="0" w:after="0" w:afterAutospacing="0" w:line="312" w:lineRule="auto"/>
              <w:ind w:left="0" w:right="0" w:firstLine="480"/>
              <w:jc w:val="center"/>
              <w:rPr>
                <w:rFonts w:hint="eastAsia" w:ascii="宋体" w:hAnsi="宋体" w:cs="宋体"/>
                <w:highlight w:val="none"/>
              </w:rPr>
            </w:pPr>
          </w:p>
        </w:tc>
      </w:tr>
      <w:tr w14:paraId="634040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0" w:hRule="atLeast"/>
          <w:jc w:val="center"/>
        </w:trPr>
        <w:tc>
          <w:tcPr>
            <w:tcW w:w="2733" w:type="dxa"/>
            <w:noWrap w:val="0"/>
            <w:vAlign w:val="center"/>
          </w:tcPr>
          <w:p w14:paraId="3B5FFED2">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rPr>
            </w:pPr>
          </w:p>
          <w:p w14:paraId="629830C8">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rPr>
            </w:pPr>
            <w:r>
              <w:rPr>
                <w:rFonts w:hint="eastAsia" w:ascii="宋体" w:hAnsi="宋体" w:eastAsia="宋体" w:cs="宋体"/>
                <w:highlight w:val="none"/>
              </w:rPr>
              <w:t>项目名称</w:t>
            </w:r>
          </w:p>
        </w:tc>
        <w:tc>
          <w:tcPr>
            <w:tcW w:w="6973" w:type="dxa"/>
            <w:noWrap w:val="0"/>
            <w:vAlign w:val="center"/>
          </w:tcPr>
          <w:p w14:paraId="744EBE51">
            <w:pPr>
              <w:keepNext w:val="0"/>
              <w:keepLines w:val="0"/>
              <w:suppressLineNumbers w:val="0"/>
              <w:adjustRightInd w:val="0"/>
              <w:snapToGrid w:val="0"/>
              <w:spacing w:before="0" w:beforeAutospacing="0" w:after="0" w:afterAutospacing="0" w:line="312" w:lineRule="auto"/>
              <w:ind w:left="0" w:right="0" w:firstLine="480"/>
              <w:jc w:val="center"/>
              <w:rPr>
                <w:rFonts w:hint="eastAsia" w:ascii="宋体" w:hAnsi="宋体" w:cs="宋体"/>
                <w:highlight w:val="none"/>
              </w:rPr>
            </w:pPr>
          </w:p>
        </w:tc>
      </w:tr>
      <w:tr w14:paraId="2A7DBF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0" w:hRule="atLeast"/>
          <w:jc w:val="center"/>
        </w:trPr>
        <w:tc>
          <w:tcPr>
            <w:tcW w:w="2733" w:type="dxa"/>
            <w:noWrap w:val="0"/>
            <w:vAlign w:val="center"/>
          </w:tcPr>
          <w:p w14:paraId="6EB53E5A">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rPr>
            </w:pPr>
            <w:r>
              <w:rPr>
                <w:rFonts w:hint="eastAsia" w:ascii="宋体" w:hAnsi="宋体" w:cs="宋体"/>
                <w:highlight w:val="none"/>
                <w:lang w:eastAsia="zh-CN"/>
              </w:rPr>
              <w:t>供货期</w:t>
            </w:r>
          </w:p>
        </w:tc>
        <w:tc>
          <w:tcPr>
            <w:tcW w:w="6973" w:type="dxa"/>
            <w:noWrap w:val="0"/>
            <w:vAlign w:val="center"/>
          </w:tcPr>
          <w:p w14:paraId="7EBEF7BD">
            <w:pPr>
              <w:keepNext w:val="0"/>
              <w:keepLines w:val="0"/>
              <w:suppressLineNumbers w:val="0"/>
              <w:adjustRightInd w:val="0"/>
              <w:snapToGrid w:val="0"/>
              <w:spacing w:before="0" w:beforeAutospacing="0" w:after="0" w:afterAutospacing="0" w:line="312" w:lineRule="auto"/>
              <w:ind w:left="0" w:right="0" w:firstLine="480"/>
              <w:jc w:val="center"/>
              <w:rPr>
                <w:rFonts w:hint="eastAsia" w:ascii="宋体" w:hAnsi="宋体" w:cs="宋体"/>
                <w:highlight w:val="none"/>
              </w:rPr>
            </w:pPr>
          </w:p>
        </w:tc>
      </w:tr>
      <w:tr w14:paraId="419BD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1" w:hRule="atLeast"/>
          <w:jc w:val="center"/>
        </w:trPr>
        <w:tc>
          <w:tcPr>
            <w:tcW w:w="2733" w:type="dxa"/>
            <w:noWrap w:val="0"/>
            <w:vAlign w:val="center"/>
          </w:tcPr>
          <w:p w14:paraId="1EFA0AB2">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eastAsia="宋体" w:cs="宋体"/>
                <w:highlight w:val="none"/>
                <w:lang w:eastAsia="zh-CN"/>
              </w:rPr>
            </w:pPr>
            <w:r>
              <w:rPr>
                <w:rFonts w:hint="eastAsia" w:ascii="宋体" w:hAnsi="宋体" w:eastAsia="宋体" w:cs="宋体"/>
                <w:highlight w:val="none"/>
                <w:lang w:eastAsia="zh-CN"/>
              </w:rPr>
              <w:t>磋商报价</w:t>
            </w:r>
          </w:p>
        </w:tc>
        <w:tc>
          <w:tcPr>
            <w:tcW w:w="6973" w:type="dxa"/>
            <w:noWrap w:val="0"/>
            <w:vAlign w:val="center"/>
          </w:tcPr>
          <w:p w14:paraId="3F9FC3A1">
            <w:pPr>
              <w:keepNext w:val="0"/>
              <w:keepLines w:val="0"/>
              <w:suppressLineNumbers w:val="0"/>
              <w:adjustRightInd w:val="0"/>
              <w:snapToGrid w:val="0"/>
              <w:spacing w:before="0" w:beforeAutospacing="0" w:after="0" w:afterAutospacing="0" w:line="312" w:lineRule="auto"/>
              <w:ind w:left="0" w:right="0" w:firstLine="0" w:firstLineChars="0"/>
              <w:jc w:val="center"/>
              <w:rPr>
                <w:rFonts w:hint="eastAsia" w:ascii="宋体" w:hAnsi="宋体" w:cs="宋体"/>
                <w:highlight w:val="none"/>
              </w:rPr>
            </w:pPr>
            <w:r>
              <w:rPr>
                <w:rFonts w:hint="eastAsia" w:ascii="宋体" w:hAnsi="宋体" w:cs="宋体"/>
                <w:highlight w:val="none"/>
              </w:rPr>
              <w:t>人民币大写</w:t>
            </w:r>
            <w:r>
              <w:rPr>
                <w:rFonts w:hint="eastAsia" w:ascii="宋体" w:hAnsi="宋体" w:cs="宋体"/>
                <w:color w:val="000000"/>
                <w:highlight w:val="none"/>
              </w:rPr>
              <w:t xml:space="preserve"> </w:t>
            </w:r>
            <w:r>
              <w:rPr>
                <w:rFonts w:hint="eastAsia" w:ascii="宋体" w:hAnsi="宋体" w:cs="宋体"/>
                <w:color w:val="000000"/>
                <w:highlight w:val="none"/>
                <w:u w:val="single"/>
              </w:rPr>
              <w:t xml:space="preserve">             </w:t>
            </w:r>
            <w:r>
              <w:rPr>
                <w:rFonts w:hint="eastAsia" w:ascii="宋体" w:hAnsi="宋体" w:cs="宋体"/>
                <w:color w:val="000000"/>
                <w:highlight w:val="none"/>
              </w:rPr>
              <w:t>元；小写¥：</w:t>
            </w:r>
            <w:r>
              <w:rPr>
                <w:rFonts w:hint="eastAsia" w:ascii="宋体" w:hAnsi="宋体" w:cs="宋体"/>
                <w:color w:val="000000"/>
                <w:highlight w:val="none"/>
                <w:u w:val="single"/>
              </w:rPr>
              <w:t xml:space="preserve">        </w:t>
            </w:r>
            <w:r>
              <w:rPr>
                <w:rFonts w:hint="eastAsia" w:ascii="宋体" w:hAnsi="宋体" w:cs="宋体"/>
                <w:color w:val="000000"/>
                <w:highlight w:val="none"/>
              </w:rPr>
              <w:t>元；</w:t>
            </w:r>
          </w:p>
        </w:tc>
      </w:tr>
    </w:tbl>
    <w:p w14:paraId="0B7AC57F">
      <w:pPr>
        <w:tabs>
          <w:tab w:val="left" w:pos="900"/>
        </w:tabs>
        <w:spacing w:line="360" w:lineRule="auto"/>
        <w:ind w:firstLine="480" w:firstLineChars="200"/>
        <w:rPr>
          <w:rFonts w:ascii="宋体" w:hAnsi="宋体"/>
          <w:color w:val="000000"/>
          <w:szCs w:val="21"/>
        </w:rPr>
      </w:pPr>
      <w:r>
        <w:rPr>
          <w:rFonts w:hint="eastAsia" w:ascii="宋体" w:hAnsi="宋体"/>
          <w:color w:val="000000"/>
          <w:szCs w:val="21"/>
        </w:rPr>
        <w:t>注：</w:t>
      </w:r>
    </w:p>
    <w:p w14:paraId="38CC72AD">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ascii="宋体" w:hAnsi="宋体"/>
        </w:rPr>
      </w:pPr>
      <w:r>
        <w:rPr>
          <w:rFonts w:hint="eastAsia" w:ascii="宋体" w:hAnsi="宋体"/>
          <w:lang w:val="en-US" w:eastAsia="zh-CN"/>
        </w:rPr>
        <w:t>1.</w:t>
      </w:r>
      <w:r>
        <w:rPr>
          <w:rFonts w:hint="eastAsia" w:ascii="宋体" w:hAnsi="宋体"/>
        </w:rPr>
        <w:t>此表无需在制作</w:t>
      </w:r>
      <w:r>
        <w:rPr>
          <w:rFonts w:hint="eastAsia" w:ascii="宋体" w:hAnsi="宋体"/>
          <w:lang w:eastAsia="zh-CN"/>
        </w:rPr>
        <w:t>磋商响应文件</w:t>
      </w:r>
      <w:r>
        <w:rPr>
          <w:rFonts w:hint="eastAsia" w:ascii="宋体" w:hAnsi="宋体"/>
        </w:rPr>
        <w:t>时填写，但供应商须提前打印并签字加盖公章，</w:t>
      </w:r>
      <w:r>
        <w:rPr>
          <w:rFonts w:hint="eastAsia" w:ascii="宋体" w:hAnsi="宋体"/>
          <w:b/>
          <w:bCs/>
        </w:rPr>
        <w:t>作为磋商过程后最终报价时填写</w:t>
      </w:r>
      <w:r>
        <w:rPr>
          <w:rFonts w:hint="eastAsia" w:ascii="宋体" w:hAnsi="宋体"/>
        </w:rPr>
        <w:t>。</w:t>
      </w:r>
    </w:p>
    <w:p w14:paraId="43AABBA4">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ascii="宋体" w:hAnsi="宋体"/>
        </w:rPr>
      </w:pPr>
      <w:r>
        <w:rPr>
          <w:rFonts w:hint="eastAsia" w:ascii="宋体" w:hAnsi="宋体"/>
          <w:lang w:val="en-US" w:eastAsia="zh-CN"/>
        </w:rPr>
        <w:t>2.</w:t>
      </w:r>
      <w:r>
        <w:rPr>
          <w:rFonts w:hint="eastAsia" w:ascii="宋体" w:hAnsi="宋体"/>
        </w:rPr>
        <w:t>此表填写后需单独装入信封在规定时间递交工作人员。</w:t>
      </w:r>
    </w:p>
    <w:p w14:paraId="73198BDC">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ascii="宋体" w:hAnsi="宋体"/>
        </w:rPr>
      </w:pPr>
      <w:r>
        <w:rPr>
          <w:rFonts w:hint="eastAsia" w:ascii="宋体" w:hAnsi="宋体"/>
          <w:lang w:val="en-US" w:eastAsia="zh-CN"/>
        </w:rPr>
        <w:t>3.</w:t>
      </w:r>
      <w:r>
        <w:rPr>
          <w:rFonts w:hint="eastAsia" w:ascii="宋体" w:hAnsi="宋体"/>
        </w:rPr>
        <w:t>填写此表时不得改变表格的形式</w:t>
      </w:r>
      <w:r>
        <w:rPr>
          <w:rFonts w:hint="eastAsia" w:ascii="宋体" w:hAnsi="宋体"/>
          <w:szCs w:val="24"/>
        </w:rPr>
        <w:t>。</w:t>
      </w:r>
    </w:p>
    <w:p w14:paraId="7A807FD2">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lang w:val="en-US" w:eastAsia="zh-CN"/>
        </w:rPr>
      </w:pPr>
      <w:r>
        <w:rPr>
          <w:rFonts w:hint="eastAsia" w:ascii="宋体" w:hAnsi="宋体" w:cs="宋体"/>
          <w:b w:val="0"/>
          <w:bCs w:val="0"/>
          <w:sz w:val="24"/>
          <w:lang w:val="en-US" w:eastAsia="zh-CN"/>
        </w:rPr>
        <w:t>4.</w:t>
      </w:r>
      <w:r>
        <w:rPr>
          <w:rFonts w:hint="eastAsia" w:ascii="宋体" w:hAnsi="宋体" w:eastAsia="宋体" w:cs="宋体"/>
          <w:b w:val="0"/>
          <w:bCs w:val="0"/>
          <w:sz w:val="24"/>
          <w:lang w:eastAsia="zh-CN"/>
        </w:rPr>
        <w:t>大写的</w:t>
      </w:r>
      <w:r>
        <w:rPr>
          <w:rFonts w:hint="eastAsia" w:ascii="宋体" w:hAnsi="宋体" w:eastAsia="宋体" w:cs="宋体"/>
          <w:b w:val="0"/>
          <w:bCs w:val="0"/>
          <w:sz w:val="24"/>
          <w:lang w:val="en-US" w:eastAsia="zh-CN"/>
        </w:rPr>
        <w:t>1</w:t>
      </w:r>
      <w:r>
        <w:rPr>
          <w:rFonts w:hint="eastAsia" w:ascii="宋体" w:hAnsi="宋体" w:eastAsia="宋体" w:cs="宋体"/>
          <w:b w:val="0"/>
          <w:bCs w:val="0"/>
          <w:sz w:val="24"/>
          <w:lang w:eastAsia="zh-CN"/>
        </w:rPr>
        <w:t>到</w:t>
      </w:r>
      <w:r>
        <w:rPr>
          <w:rFonts w:hint="eastAsia" w:ascii="宋体" w:hAnsi="宋体" w:eastAsia="宋体" w:cs="宋体"/>
          <w:b w:val="0"/>
          <w:bCs w:val="0"/>
          <w:sz w:val="24"/>
          <w:lang w:val="en-US" w:eastAsia="zh-CN"/>
        </w:rPr>
        <w:t>10</w:t>
      </w:r>
      <w:r>
        <w:rPr>
          <w:rFonts w:hint="eastAsia" w:ascii="宋体" w:hAnsi="宋体" w:eastAsia="宋体" w:cs="宋体"/>
          <w:b w:val="0"/>
          <w:bCs w:val="0"/>
          <w:sz w:val="24"/>
          <w:lang w:eastAsia="zh-CN"/>
        </w:rPr>
        <w:t>写法如下</w:t>
      </w:r>
      <w:r>
        <w:rPr>
          <w:rFonts w:hint="eastAsia" w:ascii="宋体" w:hAnsi="宋体" w:cs="宋体"/>
          <w:b w:val="0"/>
          <w:bCs w:val="0"/>
          <w:sz w:val="24"/>
          <w:lang w:eastAsia="zh-CN"/>
        </w:rPr>
        <w:t>：</w:t>
      </w:r>
      <w:r>
        <w:rPr>
          <w:rFonts w:hint="eastAsia" w:ascii="宋体" w:hAnsi="宋体" w:eastAsia="宋体" w:cs="宋体"/>
          <w:b w:val="0"/>
          <w:bCs w:val="0"/>
          <w:sz w:val="24"/>
          <w:lang w:eastAsia="zh-CN"/>
        </w:rPr>
        <w:t>壹、贰、叁、肆、伍、陆、柒、捌、玖、拾。除此之外</w:t>
      </w:r>
      <w:r>
        <w:rPr>
          <w:rFonts w:hint="eastAsia" w:ascii="宋体" w:hAnsi="宋体" w:cs="宋体"/>
          <w:b w:val="0"/>
          <w:bCs w:val="0"/>
          <w:sz w:val="24"/>
          <w:lang w:eastAsia="zh-CN"/>
        </w:rPr>
        <w:t>，</w:t>
      </w:r>
      <w:r>
        <w:rPr>
          <w:rFonts w:hint="eastAsia" w:ascii="宋体" w:hAnsi="宋体" w:eastAsia="宋体" w:cs="宋体"/>
          <w:b w:val="0"/>
          <w:bCs w:val="0"/>
          <w:sz w:val="24"/>
          <w:lang w:eastAsia="zh-CN"/>
        </w:rPr>
        <w:t>大写的还有佰、仟、万、亿、兆、京、垓、秭、穰、沟、涧、正、载、极。</w:t>
      </w:r>
    </w:p>
    <w:p w14:paraId="4B8A2562">
      <w:pPr>
        <w:spacing w:line="360" w:lineRule="auto"/>
        <w:ind w:firstLine="240"/>
      </w:pPr>
    </w:p>
    <w:p w14:paraId="7D090AAB">
      <w:pPr>
        <w:pStyle w:val="50"/>
        <w:ind w:firstLine="0" w:firstLineChars="0"/>
      </w:pPr>
    </w:p>
    <w:p w14:paraId="1A00885B">
      <w:pPr>
        <w:snapToGrid w:val="0"/>
        <w:spacing w:line="480" w:lineRule="exact"/>
        <w:ind w:firstLine="4560" w:firstLineChars="1900"/>
        <w:rPr>
          <w:rFonts w:ascii="宋体" w:hAnsi="宋体"/>
          <w:lang w:val="zh-CN"/>
        </w:rPr>
      </w:pPr>
      <w:r>
        <w:rPr>
          <w:rFonts w:hint="eastAsia" w:ascii="宋体" w:hAnsi="宋体"/>
          <w:lang w:val="zh-CN"/>
        </w:rPr>
        <w:t>供应商名称（盖章）：</w:t>
      </w:r>
    </w:p>
    <w:p w14:paraId="7AC32B66">
      <w:pPr>
        <w:snapToGrid w:val="0"/>
        <w:spacing w:line="480" w:lineRule="exact"/>
        <w:ind w:firstLine="4560" w:firstLineChars="1900"/>
        <w:rPr>
          <w:rFonts w:ascii="宋体" w:hAnsi="宋体"/>
        </w:rPr>
      </w:pPr>
      <w:r>
        <w:rPr>
          <w:rFonts w:hint="eastAsia" w:ascii="宋体" w:hAnsi="宋体"/>
          <w:lang w:val="zh-CN"/>
        </w:rPr>
        <w:t>法定代表人或授权委托人（签字或盖章）：</w:t>
      </w:r>
    </w:p>
    <w:p w14:paraId="6503B203">
      <w:pPr>
        <w:snapToGrid w:val="0"/>
        <w:spacing w:line="480" w:lineRule="exact"/>
        <w:ind w:firstLine="4560" w:firstLineChars="1900"/>
        <w:rPr>
          <w:rFonts w:ascii="宋体" w:hAnsi="宋体"/>
          <w:lang w:val="zh-CN"/>
        </w:rPr>
      </w:pPr>
      <w:r>
        <w:rPr>
          <w:rFonts w:hint="eastAsia" w:ascii="宋体" w:hAnsi="宋体"/>
          <w:lang w:val="zh-CN"/>
        </w:rPr>
        <w:t>日期：     年   月   日</w:t>
      </w:r>
    </w:p>
    <w:p w14:paraId="24656F25">
      <w:pPr>
        <w:ind w:firstLine="0" w:firstLineChars="0"/>
      </w:pPr>
    </w:p>
    <w:p w14:paraId="4F9E1634">
      <w:pPr>
        <w:ind w:firstLine="0" w:firstLineChars="0"/>
      </w:pPr>
    </w:p>
    <w:p w14:paraId="28A8B22A">
      <w:pPr>
        <w:ind w:firstLine="0" w:firstLineChars="0"/>
        <w:outlineLvl w:val="9"/>
        <w:rPr>
          <w:rFonts w:hint="eastAsia" w:ascii="宋体" w:hAnsi="宋体" w:eastAsia="宋体" w:cs="宋体"/>
          <w:b/>
          <w:bCs/>
          <w:color w:val="auto"/>
          <w:lang w:eastAsia="zh-CN"/>
        </w:rPr>
      </w:pPr>
      <w:bookmarkStart w:id="1662" w:name="_Toc21296"/>
    </w:p>
    <w:p w14:paraId="292F57F5">
      <w:pPr>
        <w:pStyle w:val="4"/>
        <w:numPr>
          <w:ilvl w:val="2"/>
          <w:numId w:val="0"/>
        </w:numPr>
        <w:rPr>
          <w:rFonts w:hint="eastAsia"/>
          <w:lang w:eastAsia="zh-CN"/>
        </w:rPr>
      </w:pPr>
    </w:p>
    <w:p w14:paraId="13B0DD1A">
      <w:pPr>
        <w:rPr>
          <w:rFonts w:hint="eastAsia"/>
          <w:lang w:eastAsia="zh-CN"/>
        </w:rPr>
      </w:pPr>
    </w:p>
    <w:p w14:paraId="0D355A28">
      <w:pPr>
        <w:ind w:left="0" w:leftChars="0" w:firstLine="0" w:firstLineChars="0"/>
        <w:rPr>
          <w:rFonts w:hint="eastAsia"/>
          <w:lang w:eastAsia="zh-CN"/>
        </w:rPr>
      </w:pPr>
    </w:p>
    <w:bookmarkEnd w:id="1662"/>
    <w:p w14:paraId="04346794">
      <w:pPr>
        <w:spacing w:line="360" w:lineRule="auto"/>
        <w:ind w:firstLine="0" w:firstLineChars="0"/>
        <w:jc w:val="left"/>
        <w:outlineLvl w:val="0"/>
        <w:rPr>
          <w:rFonts w:hint="default" w:ascii="仿宋" w:hAnsi="仿宋" w:eastAsia="宋体" w:cs="仿宋"/>
          <w:b/>
          <w:sz w:val="30"/>
          <w:szCs w:val="30"/>
          <w:lang w:val="en-US" w:eastAsia="zh-CN"/>
        </w:rPr>
      </w:pPr>
      <w:bookmarkStart w:id="1663" w:name="_Toc9607"/>
      <w:bookmarkStart w:id="1664" w:name="_Toc16228"/>
      <w:bookmarkStart w:id="1665" w:name="_Toc30821"/>
      <w:bookmarkStart w:id="1666" w:name="_Toc11076"/>
      <w:bookmarkStart w:id="1667" w:name="_Toc26363"/>
      <w:bookmarkStart w:id="1668" w:name="_Toc13370"/>
      <w:bookmarkStart w:id="1669" w:name="_Toc2373"/>
      <w:bookmarkStart w:id="1670" w:name="_Toc31517"/>
      <w:bookmarkStart w:id="1671" w:name="_Toc26742"/>
      <w:bookmarkStart w:id="1672" w:name="_Toc7282"/>
      <w:bookmarkStart w:id="1673" w:name="_Toc13789"/>
      <w:bookmarkStart w:id="1674" w:name="_Toc14545"/>
      <w:bookmarkStart w:id="1675" w:name="_Toc17847"/>
      <w:bookmarkStart w:id="1676" w:name="_Toc2511"/>
      <w:bookmarkStart w:id="1677" w:name="_Toc12176"/>
      <w:bookmarkStart w:id="1678" w:name="_Toc8121"/>
      <w:bookmarkStart w:id="1679" w:name="_Toc1055"/>
      <w:bookmarkStart w:id="1680" w:name="_Toc4011"/>
      <w:bookmarkStart w:id="1681" w:name="_Toc28622"/>
      <w:bookmarkStart w:id="1682" w:name="_Toc29479"/>
      <w:bookmarkStart w:id="1683" w:name="_Toc30194"/>
      <w:bookmarkStart w:id="1684" w:name="_Toc1961"/>
      <w:bookmarkStart w:id="1685" w:name="_Toc25582"/>
      <w:bookmarkStart w:id="1686" w:name="_Toc2490"/>
      <w:bookmarkStart w:id="1687" w:name="_Toc7403"/>
      <w:bookmarkStart w:id="1688" w:name="_Toc21651"/>
      <w:bookmarkStart w:id="1689" w:name="_Toc10052"/>
      <w:bookmarkStart w:id="1690" w:name="_Toc8536"/>
      <w:bookmarkStart w:id="1691" w:name="_Toc25446"/>
      <w:bookmarkStart w:id="1692" w:name="_Toc6518"/>
      <w:bookmarkStart w:id="1693" w:name="_Toc23717"/>
      <w:bookmarkStart w:id="1694" w:name="_Toc4215"/>
      <w:bookmarkStart w:id="1695" w:name="_Toc13186"/>
      <w:bookmarkStart w:id="1696" w:name="_Toc32036"/>
      <w:bookmarkStart w:id="1697" w:name="_Toc5912"/>
      <w:bookmarkStart w:id="1698" w:name="_Toc27893"/>
      <w:bookmarkStart w:id="1699" w:name="_Toc28743"/>
      <w:bookmarkStart w:id="1700" w:name="_Toc14833"/>
      <w:bookmarkStart w:id="1701" w:name="_Toc2829"/>
      <w:bookmarkStart w:id="1702" w:name="_Toc6498"/>
      <w:bookmarkStart w:id="1703" w:name="_Toc5725"/>
      <w:bookmarkStart w:id="1704" w:name="_Toc4760"/>
      <w:bookmarkStart w:id="1705" w:name="_Toc25977"/>
      <w:bookmarkStart w:id="1706" w:name="_Toc24048"/>
      <w:r>
        <w:rPr>
          <w:rStyle w:val="116"/>
          <w:rFonts w:hint="eastAsia" w:ascii="宋体" w:hAnsi="宋体" w:eastAsia="宋体" w:cs="宋体"/>
          <w:szCs w:val="28"/>
        </w:rPr>
        <w:t>附件</w:t>
      </w:r>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r>
        <w:rPr>
          <w:rStyle w:val="116"/>
          <w:rFonts w:hint="eastAsia" w:ascii="宋体" w:hAnsi="宋体" w:cs="宋体"/>
          <w:szCs w:val="28"/>
          <w:lang w:val="en-US" w:eastAsia="zh-CN"/>
        </w:rPr>
        <w:t>1</w:t>
      </w:r>
      <w:bookmarkEnd w:id="1706"/>
      <w:r>
        <w:rPr>
          <w:rStyle w:val="116"/>
          <w:rFonts w:hint="eastAsia" w:ascii="宋体" w:hAnsi="宋体" w:cs="宋体"/>
          <w:szCs w:val="28"/>
          <w:lang w:val="en-US" w:eastAsia="zh-CN"/>
        </w:rPr>
        <w:t>3</w:t>
      </w:r>
    </w:p>
    <w:p w14:paraId="17D12AEE">
      <w:pPr>
        <w:snapToGrid w:val="0"/>
        <w:spacing w:line="420" w:lineRule="exact"/>
        <w:ind w:firstLine="0" w:firstLineChars="0"/>
        <w:jc w:val="center"/>
        <w:rPr>
          <w:rFonts w:hint="eastAsia" w:ascii="宋体" w:hAnsi="宋体" w:cs="宋体"/>
          <w:b/>
          <w:bCs/>
          <w:color w:val="auto"/>
          <w:kern w:val="0"/>
          <w:sz w:val="32"/>
          <w:szCs w:val="36"/>
          <w:highlight w:val="none"/>
        </w:rPr>
      </w:pPr>
      <w:r>
        <w:rPr>
          <w:rFonts w:hint="eastAsia" w:ascii="宋体" w:hAnsi="宋体" w:cs="宋体"/>
          <w:b/>
          <w:bCs/>
          <w:color w:val="auto"/>
          <w:kern w:val="0"/>
          <w:sz w:val="32"/>
          <w:szCs w:val="36"/>
          <w:highlight w:val="none"/>
        </w:rPr>
        <w:t>中小企业声明函（货物）</w:t>
      </w:r>
    </w:p>
    <w:p w14:paraId="7DD25EEF">
      <w:pPr>
        <w:snapToGrid w:val="0"/>
        <w:spacing w:line="420" w:lineRule="exact"/>
        <w:ind w:firstLine="440" w:firstLineChars="200"/>
        <w:rPr>
          <w:rFonts w:hint="eastAsia" w:ascii="宋体" w:hAnsi="宋体" w:cs="宋体"/>
          <w:color w:val="auto"/>
          <w:kern w:val="0"/>
          <w:sz w:val="22"/>
          <w:szCs w:val="20"/>
          <w:highlight w:val="none"/>
        </w:rPr>
      </w:pPr>
      <w:r>
        <w:rPr>
          <w:rFonts w:hint="eastAsia" w:ascii="宋体" w:hAnsi="宋体" w:cs="宋体"/>
          <w:color w:val="auto"/>
          <w:kern w:val="0"/>
          <w:sz w:val="22"/>
          <w:szCs w:val="20"/>
          <w:highlight w:val="none"/>
        </w:rPr>
        <w:t>本公司（联合体）郑重声明，根据《政府采购促进中小 企业发展管理办法》（财库﹝2020﹞46 号）的规定，本公司 （联合体）参加</w:t>
      </w:r>
      <w:r>
        <w:rPr>
          <w:rFonts w:hint="eastAsia" w:ascii="宋体" w:hAnsi="宋体" w:cs="宋体"/>
          <w:color w:val="auto"/>
          <w:kern w:val="0"/>
          <w:sz w:val="22"/>
          <w:szCs w:val="20"/>
          <w:highlight w:val="none"/>
          <w:u w:val="single"/>
        </w:rPr>
        <w:t>（单位名称）</w:t>
      </w:r>
      <w:r>
        <w:rPr>
          <w:rFonts w:hint="eastAsia" w:ascii="宋体" w:hAnsi="宋体" w:cs="宋体"/>
          <w:color w:val="auto"/>
          <w:kern w:val="0"/>
          <w:sz w:val="22"/>
          <w:szCs w:val="20"/>
          <w:highlight w:val="none"/>
        </w:rPr>
        <w:t>的</w:t>
      </w:r>
      <w:r>
        <w:rPr>
          <w:rFonts w:hint="eastAsia" w:ascii="宋体" w:hAnsi="宋体" w:cs="宋体"/>
          <w:color w:val="auto"/>
          <w:kern w:val="0"/>
          <w:sz w:val="22"/>
          <w:szCs w:val="20"/>
          <w:highlight w:val="none"/>
          <w:u w:val="single"/>
        </w:rPr>
        <w:t>（项目名称）</w:t>
      </w:r>
      <w:r>
        <w:rPr>
          <w:rFonts w:hint="eastAsia" w:ascii="宋体" w:hAnsi="宋体" w:cs="宋体"/>
          <w:color w:val="auto"/>
          <w:kern w:val="0"/>
          <w:sz w:val="22"/>
          <w:szCs w:val="20"/>
          <w:highlight w:val="none"/>
        </w:rPr>
        <w:t>采购活动，提 供的货物全部由符合政策要求的中小企业制造。相关企业 （含联合体中的中小企业、签订分包意向协议的中小企业） 的具体情况如下：</w:t>
      </w:r>
    </w:p>
    <w:p w14:paraId="3D10824F">
      <w:pPr>
        <w:snapToGrid w:val="0"/>
        <w:spacing w:line="420" w:lineRule="exact"/>
        <w:ind w:firstLine="440" w:firstLineChars="200"/>
        <w:rPr>
          <w:rFonts w:hint="eastAsia" w:ascii="宋体" w:hAnsi="宋体" w:cs="宋体"/>
          <w:color w:val="auto"/>
          <w:kern w:val="0"/>
          <w:sz w:val="22"/>
          <w:szCs w:val="20"/>
          <w:highlight w:val="none"/>
        </w:rPr>
      </w:pPr>
      <w:r>
        <w:rPr>
          <w:rFonts w:hint="eastAsia" w:ascii="宋体" w:hAnsi="宋体" w:cs="宋体"/>
          <w:color w:val="auto"/>
          <w:kern w:val="0"/>
          <w:sz w:val="22"/>
          <w:szCs w:val="20"/>
          <w:highlight w:val="none"/>
        </w:rPr>
        <w:t xml:space="preserve"> 1. </w:t>
      </w:r>
      <w:r>
        <w:rPr>
          <w:rFonts w:hint="eastAsia" w:ascii="宋体" w:hAnsi="宋体" w:cs="宋体"/>
          <w:color w:val="auto"/>
          <w:kern w:val="0"/>
          <w:sz w:val="22"/>
          <w:szCs w:val="20"/>
          <w:highlight w:val="none"/>
          <w:u w:val="single"/>
        </w:rPr>
        <w:t>（标的名称）</w:t>
      </w:r>
      <w:r>
        <w:rPr>
          <w:rFonts w:hint="eastAsia" w:ascii="宋体" w:hAnsi="宋体" w:cs="宋体"/>
          <w:color w:val="auto"/>
          <w:kern w:val="0"/>
          <w:sz w:val="22"/>
          <w:szCs w:val="20"/>
          <w:highlight w:val="none"/>
        </w:rPr>
        <w:t>，属于</w:t>
      </w:r>
      <w:r>
        <w:rPr>
          <w:rFonts w:hint="eastAsia" w:ascii="宋体" w:hAnsi="宋体" w:cs="宋体"/>
          <w:color w:val="auto"/>
          <w:kern w:val="0"/>
          <w:sz w:val="22"/>
          <w:szCs w:val="20"/>
          <w:highlight w:val="none"/>
          <w:u w:val="single"/>
        </w:rPr>
        <w:t>工业</w:t>
      </w:r>
      <w:r>
        <w:rPr>
          <w:rFonts w:hint="eastAsia" w:ascii="宋体" w:hAnsi="宋体" w:cs="宋体"/>
          <w:color w:val="auto"/>
          <w:kern w:val="0"/>
          <w:sz w:val="22"/>
          <w:szCs w:val="20"/>
          <w:highlight w:val="none"/>
        </w:rPr>
        <w:t>；制造商为</w:t>
      </w:r>
      <w:r>
        <w:rPr>
          <w:rFonts w:hint="eastAsia" w:ascii="宋体" w:hAnsi="宋体" w:cs="宋体"/>
          <w:color w:val="auto"/>
          <w:kern w:val="0"/>
          <w:sz w:val="22"/>
          <w:szCs w:val="20"/>
          <w:highlight w:val="none"/>
          <w:u w:val="single"/>
        </w:rPr>
        <w:t>（企业名称）</w:t>
      </w:r>
      <w:r>
        <w:rPr>
          <w:rFonts w:hint="eastAsia" w:ascii="宋体" w:hAnsi="宋体" w:cs="宋体"/>
          <w:color w:val="auto"/>
          <w:kern w:val="0"/>
          <w:sz w:val="22"/>
          <w:szCs w:val="20"/>
          <w:highlight w:val="none"/>
        </w:rPr>
        <w:t>，从业人员</w:t>
      </w:r>
      <w:r>
        <w:rPr>
          <w:rFonts w:hint="eastAsia" w:ascii="宋体" w:hAnsi="宋体" w:cs="宋体"/>
          <w:color w:val="auto"/>
          <w:kern w:val="0"/>
          <w:sz w:val="22"/>
          <w:szCs w:val="20"/>
          <w:highlight w:val="none"/>
          <w:u w:val="single"/>
        </w:rPr>
        <w:t xml:space="preserve">    </w:t>
      </w:r>
      <w:r>
        <w:rPr>
          <w:rFonts w:hint="eastAsia" w:ascii="宋体" w:hAnsi="宋体" w:cs="宋体"/>
          <w:color w:val="auto"/>
          <w:kern w:val="0"/>
          <w:sz w:val="22"/>
          <w:szCs w:val="20"/>
          <w:highlight w:val="none"/>
        </w:rPr>
        <w:t>人，营业收入为</w:t>
      </w:r>
      <w:r>
        <w:rPr>
          <w:rFonts w:hint="eastAsia" w:ascii="宋体" w:hAnsi="宋体" w:cs="宋体"/>
          <w:color w:val="auto"/>
          <w:kern w:val="0"/>
          <w:sz w:val="22"/>
          <w:szCs w:val="20"/>
          <w:highlight w:val="none"/>
          <w:u w:val="single"/>
        </w:rPr>
        <w:t xml:space="preserve">      </w:t>
      </w:r>
      <w:r>
        <w:rPr>
          <w:rFonts w:hint="eastAsia" w:ascii="宋体" w:hAnsi="宋体" w:cs="宋体"/>
          <w:color w:val="auto"/>
          <w:kern w:val="0"/>
          <w:sz w:val="22"/>
          <w:szCs w:val="20"/>
          <w:highlight w:val="none"/>
        </w:rPr>
        <w:t>万元，资产总额为</w:t>
      </w:r>
      <w:r>
        <w:rPr>
          <w:rFonts w:hint="eastAsia" w:ascii="宋体" w:hAnsi="宋体" w:cs="宋体"/>
          <w:color w:val="auto"/>
          <w:kern w:val="0"/>
          <w:sz w:val="22"/>
          <w:szCs w:val="20"/>
          <w:highlight w:val="none"/>
          <w:u w:val="single"/>
        </w:rPr>
        <w:t xml:space="preserve">      </w:t>
      </w:r>
      <w:r>
        <w:rPr>
          <w:rFonts w:hint="eastAsia" w:ascii="宋体" w:hAnsi="宋体" w:cs="宋体"/>
          <w:color w:val="auto"/>
          <w:kern w:val="0"/>
          <w:sz w:val="22"/>
          <w:szCs w:val="20"/>
          <w:highlight w:val="none"/>
        </w:rPr>
        <w:t>万元（注1），属于</w:t>
      </w:r>
      <w:r>
        <w:rPr>
          <w:rFonts w:hint="eastAsia" w:ascii="宋体" w:hAnsi="宋体" w:cs="宋体"/>
          <w:color w:val="auto"/>
          <w:kern w:val="0"/>
          <w:sz w:val="22"/>
          <w:szCs w:val="20"/>
          <w:highlight w:val="none"/>
          <w:u w:val="single"/>
        </w:rPr>
        <w:t>（中型企业、小型企业、微型企业）</w:t>
      </w:r>
      <w:r>
        <w:rPr>
          <w:rFonts w:hint="eastAsia" w:ascii="宋体" w:hAnsi="宋体" w:cs="宋体"/>
          <w:color w:val="auto"/>
          <w:kern w:val="0"/>
          <w:sz w:val="22"/>
          <w:szCs w:val="20"/>
          <w:highlight w:val="none"/>
        </w:rPr>
        <w:t>；</w:t>
      </w:r>
    </w:p>
    <w:p w14:paraId="789CBEA2">
      <w:pPr>
        <w:snapToGrid w:val="0"/>
        <w:spacing w:line="420" w:lineRule="exact"/>
        <w:ind w:firstLine="440" w:firstLineChars="200"/>
        <w:rPr>
          <w:rFonts w:hint="eastAsia" w:ascii="宋体" w:hAnsi="宋体" w:cs="宋体"/>
          <w:color w:val="auto"/>
          <w:kern w:val="0"/>
          <w:sz w:val="22"/>
          <w:szCs w:val="20"/>
          <w:highlight w:val="none"/>
        </w:rPr>
      </w:pPr>
      <w:r>
        <w:rPr>
          <w:rFonts w:hint="eastAsia" w:ascii="宋体" w:hAnsi="宋体" w:cs="宋体"/>
          <w:color w:val="auto"/>
          <w:kern w:val="0"/>
          <w:sz w:val="22"/>
          <w:szCs w:val="20"/>
          <w:highlight w:val="none"/>
        </w:rPr>
        <w:t xml:space="preserve">2. </w:t>
      </w:r>
      <w:r>
        <w:rPr>
          <w:rFonts w:hint="eastAsia" w:ascii="宋体" w:hAnsi="宋体" w:cs="宋体"/>
          <w:color w:val="auto"/>
          <w:kern w:val="0"/>
          <w:sz w:val="22"/>
          <w:szCs w:val="20"/>
          <w:highlight w:val="none"/>
          <w:u w:val="single"/>
        </w:rPr>
        <w:t>（标的名称）</w:t>
      </w:r>
      <w:r>
        <w:rPr>
          <w:rFonts w:hint="eastAsia" w:ascii="宋体" w:hAnsi="宋体" w:cs="宋体"/>
          <w:color w:val="auto"/>
          <w:kern w:val="0"/>
          <w:sz w:val="22"/>
          <w:szCs w:val="20"/>
          <w:highlight w:val="none"/>
        </w:rPr>
        <w:t>，属于</w:t>
      </w:r>
      <w:r>
        <w:rPr>
          <w:rFonts w:hint="eastAsia" w:ascii="宋体" w:hAnsi="宋体" w:cs="宋体"/>
          <w:color w:val="auto"/>
          <w:kern w:val="0"/>
          <w:sz w:val="22"/>
          <w:szCs w:val="20"/>
          <w:highlight w:val="none"/>
          <w:u w:val="single"/>
        </w:rPr>
        <w:t>工业</w:t>
      </w:r>
      <w:r>
        <w:rPr>
          <w:rFonts w:hint="eastAsia" w:ascii="宋体" w:hAnsi="宋体" w:cs="宋体"/>
          <w:color w:val="auto"/>
          <w:kern w:val="0"/>
          <w:sz w:val="22"/>
          <w:szCs w:val="20"/>
          <w:highlight w:val="none"/>
        </w:rPr>
        <w:t>；制造商为</w:t>
      </w:r>
      <w:r>
        <w:rPr>
          <w:rFonts w:hint="eastAsia" w:ascii="宋体" w:hAnsi="宋体" w:cs="宋体"/>
          <w:color w:val="auto"/>
          <w:kern w:val="0"/>
          <w:sz w:val="22"/>
          <w:szCs w:val="20"/>
          <w:highlight w:val="none"/>
          <w:u w:val="single"/>
        </w:rPr>
        <w:t>（企业名称）</w:t>
      </w:r>
      <w:r>
        <w:rPr>
          <w:rFonts w:hint="eastAsia" w:ascii="宋体" w:hAnsi="宋体" w:cs="宋体"/>
          <w:color w:val="auto"/>
          <w:kern w:val="0"/>
          <w:sz w:val="22"/>
          <w:szCs w:val="20"/>
          <w:highlight w:val="none"/>
        </w:rPr>
        <w:t>，从业人员</w:t>
      </w:r>
      <w:r>
        <w:rPr>
          <w:rFonts w:hint="eastAsia" w:ascii="宋体" w:hAnsi="宋体" w:cs="宋体"/>
          <w:color w:val="auto"/>
          <w:kern w:val="0"/>
          <w:sz w:val="22"/>
          <w:szCs w:val="20"/>
          <w:highlight w:val="none"/>
          <w:u w:val="single"/>
        </w:rPr>
        <w:t xml:space="preserve">    </w:t>
      </w:r>
      <w:r>
        <w:rPr>
          <w:rFonts w:hint="eastAsia" w:ascii="宋体" w:hAnsi="宋体" w:cs="宋体"/>
          <w:color w:val="auto"/>
          <w:kern w:val="0"/>
          <w:sz w:val="22"/>
          <w:szCs w:val="20"/>
          <w:highlight w:val="none"/>
        </w:rPr>
        <w:t>人，营业收入为</w:t>
      </w:r>
      <w:r>
        <w:rPr>
          <w:rFonts w:hint="eastAsia" w:ascii="宋体" w:hAnsi="宋体" w:cs="宋体"/>
          <w:color w:val="auto"/>
          <w:kern w:val="0"/>
          <w:sz w:val="22"/>
          <w:szCs w:val="20"/>
          <w:highlight w:val="none"/>
          <w:u w:val="single"/>
        </w:rPr>
        <w:t xml:space="preserve">      </w:t>
      </w:r>
      <w:r>
        <w:rPr>
          <w:rFonts w:hint="eastAsia" w:ascii="宋体" w:hAnsi="宋体" w:cs="宋体"/>
          <w:color w:val="auto"/>
          <w:kern w:val="0"/>
          <w:sz w:val="22"/>
          <w:szCs w:val="20"/>
          <w:highlight w:val="none"/>
        </w:rPr>
        <w:t>万元，资产总额为</w:t>
      </w:r>
      <w:r>
        <w:rPr>
          <w:rFonts w:hint="eastAsia" w:ascii="宋体" w:hAnsi="宋体" w:cs="宋体"/>
          <w:color w:val="auto"/>
          <w:kern w:val="0"/>
          <w:sz w:val="22"/>
          <w:szCs w:val="20"/>
          <w:highlight w:val="none"/>
          <w:u w:val="single"/>
        </w:rPr>
        <w:t xml:space="preserve">      </w:t>
      </w:r>
      <w:r>
        <w:rPr>
          <w:rFonts w:hint="eastAsia" w:ascii="宋体" w:hAnsi="宋体" w:cs="宋体"/>
          <w:color w:val="auto"/>
          <w:kern w:val="0"/>
          <w:sz w:val="22"/>
          <w:szCs w:val="20"/>
          <w:highlight w:val="none"/>
        </w:rPr>
        <w:t>万元，属于</w:t>
      </w:r>
      <w:r>
        <w:rPr>
          <w:rFonts w:hint="eastAsia" w:ascii="宋体" w:hAnsi="宋体" w:cs="宋体"/>
          <w:color w:val="auto"/>
          <w:kern w:val="0"/>
          <w:sz w:val="22"/>
          <w:szCs w:val="20"/>
          <w:highlight w:val="none"/>
          <w:u w:val="single"/>
        </w:rPr>
        <w:t>（中型企业、小型企业、微型企业）</w:t>
      </w:r>
      <w:r>
        <w:rPr>
          <w:rFonts w:hint="eastAsia" w:ascii="宋体" w:hAnsi="宋体" w:cs="宋体"/>
          <w:color w:val="auto"/>
          <w:kern w:val="0"/>
          <w:sz w:val="22"/>
          <w:szCs w:val="20"/>
          <w:highlight w:val="none"/>
        </w:rPr>
        <w:t>；</w:t>
      </w:r>
    </w:p>
    <w:p w14:paraId="02D15242">
      <w:pPr>
        <w:snapToGrid w:val="0"/>
        <w:spacing w:line="420" w:lineRule="exact"/>
        <w:ind w:firstLine="440" w:firstLineChars="200"/>
        <w:rPr>
          <w:rFonts w:hint="eastAsia" w:ascii="宋体" w:hAnsi="宋体" w:cs="宋体"/>
          <w:color w:val="auto"/>
          <w:kern w:val="0"/>
          <w:sz w:val="22"/>
          <w:szCs w:val="20"/>
          <w:highlight w:val="none"/>
        </w:rPr>
      </w:pPr>
      <w:r>
        <w:rPr>
          <w:rFonts w:hint="eastAsia" w:ascii="宋体" w:hAnsi="宋体" w:cs="宋体"/>
          <w:color w:val="auto"/>
          <w:kern w:val="0"/>
          <w:sz w:val="22"/>
          <w:szCs w:val="20"/>
          <w:highlight w:val="none"/>
        </w:rPr>
        <w:t xml:space="preserve"> …… </w:t>
      </w:r>
    </w:p>
    <w:p w14:paraId="4D24907B">
      <w:pPr>
        <w:snapToGrid w:val="0"/>
        <w:spacing w:line="420" w:lineRule="exact"/>
        <w:ind w:firstLine="440" w:firstLineChars="200"/>
        <w:rPr>
          <w:rFonts w:hint="eastAsia" w:ascii="宋体" w:hAnsi="宋体" w:cs="宋体"/>
          <w:color w:val="auto"/>
          <w:kern w:val="0"/>
          <w:sz w:val="22"/>
          <w:szCs w:val="20"/>
          <w:highlight w:val="none"/>
        </w:rPr>
      </w:pPr>
      <w:r>
        <w:rPr>
          <w:rFonts w:hint="eastAsia" w:ascii="宋体" w:hAnsi="宋体" w:cs="宋体"/>
          <w:color w:val="auto"/>
          <w:kern w:val="0"/>
          <w:sz w:val="22"/>
          <w:szCs w:val="20"/>
          <w:highlight w:val="none"/>
        </w:rPr>
        <w:t xml:space="preserve">以上企业，不属于大企业的分支机构，不存在控股股东为大企业的情形，也不存在与大企业的负责人为同一人的情形。 </w:t>
      </w:r>
    </w:p>
    <w:p w14:paraId="0BBDC044">
      <w:pPr>
        <w:snapToGrid w:val="0"/>
        <w:spacing w:line="420" w:lineRule="exact"/>
        <w:ind w:firstLine="440" w:firstLineChars="200"/>
        <w:rPr>
          <w:rFonts w:hint="eastAsia" w:ascii="宋体" w:hAnsi="宋体" w:cs="宋体"/>
          <w:color w:val="auto"/>
          <w:kern w:val="0"/>
          <w:sz w:val="22"/>
          <w:szCs w:val="20"/>
          <w:highlight w:val="none"/>
        </w:rPr>
      </w:pPr>
      <w:r>
        <w:rPr>
          <w:rFonts w:hint="eastAsia" w:ascii="宋体" w:hAnsi="宋体" w:cs="宋体"/>
          <w:color w:val="auto"/>
          <w:kern w:val="0"/>
          <w:sz w:val="22"/>
          <w:szCs w:val="20"/>
          <w:highlight w:val="none"/>
        </w:rPr>
        <w:t xml:space="preserve">本企业对上述声明内容的真实性负责。如有虚假，将依 法承担相应责任。 </w:t>
      </w:r>
    </w:p>
    <w:p w14:paraId="582F5624">
      <w:pPr>
        <w:snapToGrid w:val="0"/>
        <w:spacing w:line="420" w:lineRule="exact"/>
        <w:ind w:firstLine="3740" w:firstLineChars="1700"/>
        <w:rPr>
          <w:rFonts w:hint="eastAsia" w:ascii="宋体" w:hAnsi="宋体" w:cs="宋体"/>
          <w:color w:val="auto"/>
          <w:kern w:val="0"/>
          <w:sz w:val="22"/>
          <w:szCs w:val="20"/>
          <w:highlight w:val="none"/>
        </w:rPr>
      </w:pPr>
      <w:r>
        <w:rPr>
          <w:rFonts w:hint="eastAsia" w:ascii="宋体" w:hAnsi="宋体" w:cs="宋体"/>
          <w:color w:val="auto"/>
          <w:kern w:val="0"/>
          <w:sz w:val="22"/>
          <w:szCs w:val="20"/>
          <w:highlight w:val="none"/>
        </w:rPr>
        <w:t xml:space="preserve">企业名称（盖章）： </w:t>
      </w:r>
    </w:p>
    <w:p w14:paraId="6EB498AF">
      <w:pPr>
        <w:snapToGrid w:val="0"/>
        <w:spacing w:line="420" w:lineRule="exact"/>
        <w:ind w:firstLine="3740" w:firstLineChars="1700"/>
        <w:rPr>
          <w:rFonts w:hint="eastAsia" w:ascii="宋体" w:hAnsi="宋体" w:cs="宋体"/>
          <w:color w:val="auto"/>
          <w:kern w:val="0"/>
          <w:sz w:val="22"/>
          <w:szCs w:val="20"/>
          <w:highlight w:val="none"/>
        </w:rPr>
      </w:pPr>
      <w:r>
        <w:rPr>
          <w:rFonts w:hint="eastAsia" w:ascii="宋体" w:hAnsi="宋体" w:cs="宋体"/>
          <w:color w:val="auto"/>
          <w:kern w:val="0"/>
          <w:sz w:val="22"/>
          <w:szCs w:val="20"/>
          <w:highlight w:val="none"/>
        </w:rPr>
        <w:t>日 期：</w:t>
      </w:r>
    </w:p>
    <w:p w14:paraId="60028F52">
      <w:pPr>
        <w:pBdr>
          <w:bottom w:val="single" w:color="auto" w:sz="6" w:space="1"/>
        </w:pBdr>
        <w:snapToGrid w:val="0"/>
        <w:spacing w:line="420" w:lineRule="exact"/>
        <w:ind w:firstLine="464" w:firstLineChars="200"/>
        <w:rPr>
          <w:rFonts w:hint="eastAsia" w:ascii="宋体" w:hAnsi="宋体" w:cs="宋体"/>
          <w:color w:val="auto"/>
          <w:spacing w:val="6"/>
          <w:kern w:val="0"/>
          <w:sz w:val="22"/>
          <w:szCs w:val="22"/>
          <w:highlight w:val="none"/>
        </w:rPr>
      </w:pPr>
    </w:p>
    <w:p w14:paraId="5E7632AE">
      <w:pPr>
        <w:pBdr>
          <w:bottom w:val="single" w:color="auto" w:sz="6" w:space="1"/>
        </w:pBdr>
        <w:snapToGrid w:val="0"/>
        <w:spacing w:line="420" w:lineRule="exact"/>
        <w:ind w:firstLine="464" w:firstLineChars="200"/>
        <w:rPr>
          <w:rFonts w:hint="eastAsia" w:ascii="宋体" w:hAnsi="宋体" w:cs="宋体"/>
          <w:color w:val="auto"/>
          <w:kern w:val="0"/>
          <w:sz w:val="22"/>
          <w:szCs w:val="22"/>
          <w:highlight w:val="none"/>
        </w:rPr>
      </w:pPr>
      <w:r>
        <w:rPr>
          <w:rFonts w:hint="eastAsia" w:ascii="宋体" w:hAnsi="宋体" w:cs="宋体"/>
          <w:color w:val="auto"/>
          <w:spacing w:val="6"/>
          <w:kern w:val="0"/>
          <w:sz w:val="22"/>
          <w:szCs w:val="22"/>
          <w:highlight w:val="none"/>
        </w:rPr>
        <w:t>（注1）从业人员、营业收入、资产总额填报上一年度数据，无上一年度数据的新成立企业可不填</w:t>
      </w:r>
      <w:r>
        <w:rPr>
          <w:rFonts w:hint="eastAsia" w:ascii="宋体" w:hAnsi="宋体" w:cs="宋体"/>
          <w:color w:val="auto"/>
          <w:kern w:val="0"/>
          <w:sz w:val="22"/>
          <w:szCs w:val="22"/>
          <w:highlight w:val="none"/>
        </w:rPr>
        <w:t>报。</w:t>
      </w:r>
    </w:p>
    <w:p w14:paraId="7B809536">
      <w:pPr>
        <w:snapToGrid w:val="0"/>
        <w:spacing w:line="360" w:lineRule="auto"/>
        <w:ind w:firstLine="440" w:firstLineChars="200"/>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填写说明：</w:t>
      </w:r>
    </w:p>
    <w:p w14:paraId="64CC7C4A">
      <w:pPr>
        <w:snapToGrid w:val="0"/>
        <w:spacing w:line="360" w:lineRule="auto"/>
        <w:ind w:firstLine="440" w:firstLineChars="200"/>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w:t>
      </w:r>
      <w:r>
        <w:rPr>
          <w:rFonts w:hint="eastAsia" w:ascii="宋体" w:hAnsi="宋体" w:cs="宋体"/>
          <w:color w:val="auto"/>
          <w:kern w:val="0"/>
          <w:sz w:val="22"/>
          <w:szCs w:val="22"/>
          <w:highlight w:val="none"/>
          <w:lang w:eastAsia="zh-CN"/>
        </w:rPr>
        <w:t>供应商</w:t>
      </w:r>
      <w:r>
        <w:rPr>
          <w:rFonts w:hint="eastAsia" w:ascii="宋体" w:hAnsi="宋体" w:cs="宋体"/>
          <w:color w:val="auto"/>
          <w:kern w:val="0"/>
          <w:sz w:val="22"/>
          <w:szCs w:val="22"/>
          <w:highlight w:val="none"/>
        </w:rPr>
        <w:t>为中型、小型、微型企业的提供此函；</w:t>
      </w:r>
    </w:p>
    <w:p w14:paraId="08E1FF3D">
      <w:pPr>
        <w:snapToGrid w:val="0"/>
        <w:spacing w:line="360" w:lineRule="auto"/>
        <w:ind w:firstLine="440" w:firstLineChars="200"/>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2）中型企业不享受价格扣除，小型、微型企业的行业类别由评审专家结合</w:t>
      </w:r>
      <w:r>
        <w:rPr>
          <w:rFonts w:hint="eastAsia" w:ascii="宋体" w:hAnsi="宋体" w:cs="宋体"/>
          <w:color w:val="auto"/>
          <w:kern w:val="0"/>
          <w:sz w:val="22"/>
          <w:szCs w:val="22"/>
          <w:highlight w:val="none"/>
          <w:lang w:eastAsia="zh-CN"/>
        </w:rPr>
        <w:t>供应商</w:t>
      </w:r>
      <w:r>
        <w:rPr>
          <w:rFonts w:hint="eastAsia" w:ascii="宋体" w:hAnsi="宋体" w:cs="宋体"/>
          <w:color w:val="auto"/>
          <w:kern w:val="0"/>
          <w:sz w:val="22"/>
          <w:szCs w:val="22"/>
          <w:highlight w:val="none"/>
        </w:rPr>
        <w:t>出具的证明材料认定；经认定不符合小型、微型企业标准的，不享受价格扣除；</w:t>
      </w:r>
    </w:p>
    <w:p w14:paraId="5C650C20">
      <w:pPr>
        <w:snapToGrid w:val="0"/>
        <w:spacing w:line="360" w:lineRule="auto"/>
        <w:ind w:firstLine="440" w:firstLineChars="200"/>
        <w:rPr>
          <w:rFonts w:hint="eastAsia" w:ascii="宋体" w:hAnsi="宋体" w:cs="宋体"/>
          <w:b/>
          <w:color w:val="auto"/>
          <w:kern w:val="0"/>
          <w:sz w:val="22"/>
          <w:szCs w:val="22"/>
          <w:highlight w:val="none"/>
        </w:rPr>
      </w:pPr>
      <w:r>
        <w:rPr>
          <w:rFonts w:hint="eastAsia" w:ascii="宋体" w:hAnsi="宋体" w:cs="宋体"/>
          <w:color w:val="auto"/>
          <w:kern w:val="0"/>
          <w:sz w:val="22"/>
          <w:szCs w:val="22"/>
          <w:highlight w:val="none"/>
        </w:rPr>
        <w:t>3）注：小型、微型企业参加政府采购活动时，应提供：a）《中小企业声明函》；上述证明材料提供不齐全的，不能享受价格扣除。</w:t>
      </w:r>
    </w:p>
    <w:p w14:paraId="382C502F">
      <w:pPr>
        <w:spacing w:line="360" w:lineRule="auto"/>
        <w:ind w:firstLine="0" w:firstLineChars="0"/>
        <w:rPr>
          <w:rFonts w:hint="eastAsia" w:ascii="宋体" w:hAnsi="宋体" w:cs="宋体"/>
          <w:b/>
          <w:sz w:val="30"/>
          <w:szCs w:val="30"/>
          <w:highlight w:val="none"/>
          <w:lang w:val="zh-CN"/>
        </w:rPr>
      </w:pPr>
    </w:p>
    <w:p w14:paraId="6DEB70A9">
      <w:pPr>
        <w:spacing w:line="360" w:lineRule="auto"/>
        <w:ind w:firstLine="0" w:firstLineChars="0"/>
        <w:rPr>
          <w:rFonts w:hint="eastAsia" w:ascii="宋体" w:hAnsi="宋体" w:cs="宋体"/>
          <w:b/>
          <w:sz w:val="30"/>
          <w:szCs w:val="30"/>
          <w:highlight w:val="none"/>
          <w:lang w:val="zh-CN"/>
        </w:rPr>
      </w:pPr>
    </w:p>
    <w:p w14:paraId="433A3615">
      <w:pPr>
        <w:spacing w:line="360" w:lineRule="auto"/>
        <w:ind w:firstLine="0" w:firstLineChars="0"/>
        <w:jc w:val="both"/>
        <w:rPr>
          <w:rFonts w:hint="eastAsia" w:ascii="宋体" w:hAnsi="宋体" w:cs="宋体"/>
          <w:b/>
          <w:sz w:val="30"/>
          <w:szCs w:val="30"/>
          <w:highlight w:val="none"/>
          <w:lang w:val="zh-CN"/>
        </w:rPr>
      </w:pPr>
    </w:p>
    <w:p w14:paraId="1F43F141">
      <w:pPr>
        <w:pStyle w:val="4"/>
        <w:numPr>
          <w:ilvl w:val="2"/>
          <w:numId w:val="0"/>
        </w:numPr>
        <w:rPr>
          <w:rFonts w:hint="eastAsia" w:ascii="宋体" w:hAnsi="宋体" w:cs="宋体"/>
          <w:b/>
          <w:bCs/>
          <w:highlight w:val="none"/>
          <w:lang w:bidi="ar"/>
        </w:rPr>
      </w:pPr>
      <w:bookmarkStart w:id="1707" w:name="_Toc1713"/>
    </w:p>
    <w:p w14:paraId="462140FD">
      <w:pPr>
        <w:rPr>
          <w:rFonts w:hint="eastAsia"/>
        </w:rPr>
      </w:pPr>
    </w:p>
    <w:p w14:paraId="57823F6C">
      <w:pPr>
        <w:spacing w:line="360" w:lineRule="auto"/>
        <w:ind w:firstLine="0" w:firstLineChars="0"/>
        <w:outlineLvl w:val="0"/>
        <w:rPr>
          <w:rFonts w:hint="default" w:ascii="宋体" w:hAnsi="宋体" w:cs="宋体"/>
          <w:b/>
          <w:sz w:val="30"/>
          <w:szCs w:val="30"/>
          <w:highlight w:val="none"/>
          <w:lang w:val="en-US"/>
        </w:rPr>
      </w:pPr>
      <w:r>
        <w:rPr>
          <w:rFonts w:hint="eastAsia" w:ascii="宋体" w:hAnsi="宋体" w:cs="宋体"/>
          <w:b/>
          <w:bCs/>
          <w:highlight w:val="none"/>
          <w:lang w:bidi="ar"/>
        </w:rPr>
        <w:t>附件</w:t>
      </w:r>
      <w:r>
        <w:rPr>
          <w:rFonts w:hint="eastAsia" w:ascii="宋体" w:hAnsi="宋体" w:cs="宋体"/>
          <w:b/>
          <w:bCs/>
          <w:highlight w:val="none"/>
          <w:lang w:val="en-US" w:eastAsia="zh-CN" w:bidi="ar"/>
        </w:rPr>
        <w:t>1</w:t>
      </w:r>
      <w:bookmarkEnd w:id="1707"/>
      <w:r>
        <w:rPr>
          <w:rFonts w:hint="eastAsia" w:ascii="宋体" w:hAnsi="宋体" w:cs="宋体"/>
          <w:b/>
          <w:bCs/>
          <w:highlight w:val="none"/>
          <w:lang w:val="en-US" w:eastAsia="zh-CN" w:bidi="ar"/>
        </w:rPr>
        <w:t>4</w:t>
      </w:r>
    </w:p>
    <w:p w14:paraId="6408B161">
      <w:pPr>
        <w:spacing w:line="360" w:lineRule="auto"/>
        <w:ind w:firstLine="0" w:firstLineChars="0"/>
        <w:jc w:val="center"/>
        <w:rPr>
          <w:rFonts w:ascii="宋体" w:hAnsi="宋体" w:cs="宋体"/>
          <w:b/>
          <w:sz w:val="30"/>
          <w:szCs w:val="30"/>
          <w:highlight w:val="none"/>
          <w:lang w:val="zh-CN"/>
        </w:rPr>
      </w:pPr>
      <w:r>
        <w:rPr>
          <w:rFonts w:hint="eastAsia" w:ascii="宋体" w:hAnsi="宋体" w:cs="宋体"/>
          <w:b/>
          <w:sz w:val="30"/>
          <w:szCs w:val="30"/>
          <w:highlight w:val="none"/>
          <w:lang w:val="zh-CN"/>
        </w:rPr>
        <w:t>监狱企业声明函</w:t>
      </w:r>
    </w:p>
    <w:p w14:paraId="735F7494">
      <w:pPr>
        <w:spacing w:line="360" w:lineRule="auto"/>
        <w:ind w:firstLine="0" w:firstLineChars="0"/>
        <w:jc w:val="center"/>
        <w:rPr>
          <w:rFonts w:ascii="宋体" w:hAnsi="宋体" w:cs="宋体"/>
          <w:b/>
          <w:sz w:val="30"/>
          <w:szCs w:val="30"/>
          <w:highlight w:val="none"/>
          <w:lang w:val="zh-CN"/>
        </w:rPr>
      </w:pPr>
      <w:r>
        <w:rPr>
          <w:rFonts w:hint="eastAsia" w:ascii="宋体" w:hAnsi="宋体" w:cs="宋体"/>
          <w:b/>
          <w:sz w:val="30"/>
          <w:szCs w:val="30"/>
          <w:highlight w:val="none"/>
          <w:lang w:val="zh-CN"/>
        </w:rPr>
        <w:t>【非监狱企业不需提供】</w:t>
      </w:r>
    </w:p>
    <w:p w14:paraId="03B53E2E">
      <w:pPr>
        <w:widowControl/>
        <w:adjustRightInd w:val="0"/>
        <w:snapToGrid w:val="0"/>
        <w:ind w:firstLine="480"/>
        <w:jc w:val="left"/>
        <w:rPr>
          <w:rFonts w:ascii="宋体" w:hAnsi="宋体" w:cs="宋体"/>
          <w:szCs w:val="21"/>
          <w:highlight w:val="none"/>
        </w:rPr>
      </w:pPr>
      <w:r>
        <w:rPr>
          <w:rFonts w:hint="eastAsia" w:ascii="宋体" w:hAnsi="宋体" w:cs="宋体"/>
          <w:szCs w:val="21"/>
          <w:highlight w:val="none"/>
        </w:rPr>
        <w:t>本企业郑重声明，根据《关于政府采购支持监狱企业发展有关问题的通知》（</w:t>
      </w:r>
      <w:r>
        <w:rPr>
          <w:rFonts w:hint="eastAsia" w:ascii="宋体" w:hAnsi="宋体" w:cs="宋体"/>
          <w:highlight w:val="none"/>
        </w:rPr>
        <w:t>财库〔2014〕68</w:t>
      </w:r>
      <w:r>
        <w:rPr>
          <w:rFonts w:hint="eastAsia" w:ascii="宋体" w:hAnsi="宋体" w:cs="宋体"/>
          <w:szCs w:val="21"/>
          <w:highlight w:val="none"/>
        </w:rPr>
        <w:t>号）的规定，本企业为</w:t>
      </w:r>
      <w:r>
        <w:rPr>
          <w:rFonts w:hint="eastAsia" w:ascii="宋体" w:hAnsi="宋体" w:cs="宋体"/>
          <w:szCs w:val="21"/>
          <w:highlight w:val="none"/>
          <w:u w:val="single"/>
        </w:rPr>
        <w:t>监狱企业</w:t>
      </w:r>
      <w:r>
        <w:rPr>
          <w:rFonts w:hint="eastAsia" w:ascii="宋体" w:hAnsi="宋体" w:cs="宋体"/>
          <w:szCs w:val="21"/>
          <w:highlight w:val="none"/>
        </w:rPr>
        <w:t>。</w:t>
      </w:r>
    </w:p>
    <w:p w14:paraId="751E3E13">
      <w:pPr>
        <w:widowControl/>
        <w:adjustRightInd w:val="0"/>
        <w:snapToGrid w:val="0"/>
        <w:ind w:firstLine="480"/>
        <w:jc w:val="left"/>
        <w:rPr>
          <w:rFonts w:ascii="宋体" w:hAnsi="宋体" w:cs="宋体"/>
          <w:szCs w:val="21"/>
          <w:highlight w:val="none"/>
        </w:rPr>
      </w:pPr>
      <w:r>
        <w:rPr>
          <w:rFonts w:hint="eastAsia" w:ascii="宋体" w:hAnsi="宋体" w:cs="宋体"/>
          <w:szCs w:val="21"/>
          <w:highlight w:val="none"/>
        </w:rPr>
        <w:t>根据上述标准，我企业属于</w:t>
      </w:r>
      <w:r>
        <w:rPr>
          <w:rFonts w:hint="eastAsia" w:ascii="宋体" w:hAnsi="宋体" w:cs="宋体"/>
          <w:szCs w:val="21"/>
          <w:highlight w:val="none"/>
          <w:u w:val="single"/>
        </w:rPr>
        <w:t>监狱企业</w:t>
      </w:r>
      <w:r>
        <w:rPr>
          <w:rFonts w:hint="eastAsia" w:ascii="宋体" w:hAnsi="宋体" w:cs="宋体"/>
          <w:szCs w:val="21"/>
          <w:highlight w:val="none"/>
        </w:rPr>
        <w:t>的理由为：</w:t>
      </w:r>
    </w:p>
    <w:p w14:paraId="0CBC9B89">
      <w:pPr>
        <w:widowControl/>
        <w:adjustRightInd w:val="0"/>
        <w:snapToGrid w:val="0"/>
        <w:ind w:firstLine="480"/>
        <w:rPr>
          <w:rFonts w:ascii="宋体" w:hAnsi="宋体" w:cs="宋体"/>
          <w:szCs w:val="21"/>
          <w:highlight w:val="none"/>
        </w:rPr>
      </w:pPr>
      <w:r>
        <w:rPr>
          <w:rFonts w:hint="eastAsia" w:ascii="宋体" w:hAnsi="宋体" w:cs="宋体"/>
          <w:szCs w:val="21"/>
          <w:highlight w:val="none"/>
        </w:rPr>
        <w:t>本企业为参加（项目名称：</w:t>
      </w:r>
      <w:r>
        <w:rPr>
          <w:rFonts w:hint="eastAsia" w:ascii="宋体" w:hAnsi="宋体" w:cs="宋体"/>
          <w:szCs w:val="21"/>
          <w:highlight w:val="none"/>
          <w:u w:val="single"/>
        </w:rPr>
        <w:t xml:space="preserve">               </w:t>
      </w:r>
      <w:r>
        <w:rPr>
          <w:rFonts w:hint="eastAsia" w:ascii="宋体" w:hAnsi="宋体" w:cs="宋体"/>
          <w:szCs w:val="21"/>
          <w:highlight w:val="none"/>
        </w:rPr>
        <w:t>）（项目编号：</w:t>
      </w:r>
      <w:r>
        <w:rPr>
          <w:rFonts w:hint="eastAsia" w:ascii="宋体" w:hAnsi="宋体" w:cs="宋体"/>
          <w:szCs w:val="21"/>
          <w:highlight w:val="none"/>
          <w:u w:val="single"/>
        </w:rPr>
        <w:t xml:space="preserve">             </w:t>
      </w:r>
      <w:r>
        <w:rPr>
          <w:rFonts w:hint="eastAsia" w:ascii="宋体" w:hAnsi="宋体" w:cs="宋体"/>
          <w:szCs w:val="21"/>
          <w:highlight w:val="none"/>
        </w:rPr>
        <w:t>）采购活动提供本企业的产品。</w:t>
      </w:r>
    </w:p>
    <w:p w14:paraId="4B77E2AB">
      <w:pPr>
        <w:widowControl/>
        <w:adjustRightInd w:val="0"/>
        <w:snapToGrid w:val="0"/>
        <w:ind w:firstLine="480"/>
        <w:rPr>
          <w:rFonts w:ascii="宋体" w:hAnsi="宋体" w:cs="宋体"/>
          <w:szCs w:val="21"/>
          <w:highlight w:val="none"/>
        </w:rPr>
      </w:pPr>
      <w:r>
        <w:rPr>
          <w:rFonts w:hint="eastAsia" w:ascii="宋体" w:hAnsi="宋体" w:cs="宋体"/>
          <w:szCs w:val="21"/>
          <w:highlight w:val="none"/>
        </w:rPr>
        <w:t>本企业对上述声明的真实性负责。如有虚假，将依法承担相应责任。</w:t>
      </w:r>
    </w:p>
    <w:p w14:paraId="2B8ECEBF">
      <w:pPr>
        <w:adjustRightInd w:val="0"/>
        <w:snapToGrid w:val="0"/>
        <w:ind w:firstLine="480"/>
        <w:jc w:val="center"/>
        <w:rPr>
          <w:rFonts w:ascii="宋体" w:hAnsi="宋体" w:cs="宋体"/>
          <w:szCs w:val="21"/>
          <w:highlight w:val="none"/>
        </w:rPr>
      </w:pPr>
    </w:p>
    <w:p w14:paraId="0C260B29">
      <w:pPr>
        <w:adjustRightInd w:val="0"/>
        <w:snapToGrid w:val="0"/>
        <w:ind w:left="0" w:leftChars="0" w:firstLine="0" w:firstLineChars="0"/>
        <w:jc w:val="both"/>
        <w:rPr>
          <w:rFonts w:ascii="宋体" w:hAnsi="宋体" w:cs="宋体"/>
          <w:szCs w:val="21"/>
          <w:highlight w:val="none"/>
        </w:rPr>
      </w:pPr>
    </w:p>
    <w:p w14:paraId="37F00DB6">
      <w:pPr>
        <w:adjustRightInd w:val="0"/>
        <w:snapToGrid w:val="0"/>
        <w:ind w:firstLine="480"/>
        <w:jc w:val="center"/>
        <w:rPr>
          <w:rFonts w:ascii="宋体" w:hAnsi="宋体" w:cs="宋体"/>
          <w:szCs w:val="21"/>
          <w:highlight w:val="none"/>
        </w:rPr>
      </w:pPr>
    </w:p>
    <w:p w14:paraId="623865C7">
      <w:pPr>
        <w:adjustRightInd w:val="0"/>
        <w:snapToGrid w:val="0"/>
        <w:ind w:firstLine="480"/>
        <w:jc w:val="center"/>
        <w:rPr>
          <w:rFonts w:ascii="宋体" w:hAnsi="宋体" w:cs="宋体"/>
          <w:szCs w:val="21"/>
          <w:highlight w:val="none"/>
        </w:rPr>
      </w:pPr>
    </w:p>
    <w:p w14:paraId="26ED4CA6">
      <w:pPr>
        <w:adjustRightInd w:val="0"/>
        <w:snapToGrid w:val="0"/>
        <w:ind w:firstLine="480"/>
        <w:jc w:val="center"/>
        <w:rPr>
          <w:rFonts w:ascii="宋体" w:hAnsi="宋体" w:cs="宋体"/>
          <w:szCs w:val="21"/>
          <w:highlight w:val="none"/>
        </w:rPr>
      </w:pPr>
    </w:p>
    <w:p w14:paraId="12A6F16E">
      <w:pPr>
        <w:adjustRightInd w:val="0"/>
        <w:snapToGrid w:val="0"/>
        <w:ind w:firstLine="5040" w:firstLineChars="2100"/>
        <w:rPr>
          <w:rFonts w:ascii="宋体" w:hAnsi="宋体" w:cs="宋体"/>
          <w:szCs w:val="21"/>
          <w:highlight w:val="none"/>
          <w:u w:val="single"/>
        </w:rPr>
      </w:pPr>
      <w:r>
        <w:rPr>
          <w:rFonts w:hint="eastAsia" w:ascii="宋体" w:hAnsi="宋体" w:cs="宋体"/>
          <w:szCs w:val="21"/>
          <w:highlight w:val="none"/>
        </w:rPr>
        <w:t>供应商名称（盖章）：</w:t>
      </w:r>
      <w:r>
        <w:rPr>
          <w:rFonts w:hint="eastAsia" w:ascii="宋体" w:hAnsi="宋体" w:cs="宋体"/>
          <w:szCs w:val="21"/>
          <w:highlight w:val="none"/>
          <w:u w:val="single"/>
        </w:rPr>
        <w:t xml:space="preserve">                    </w:t>
      </w:r>
    </w:p>
    <w:p w14:paraId="6C7FC781">
      <w:pPr>
        <w:adjustRightInd w:val="0"/>
        <w:snapToGrid w:val="0"/>
        <w:ind w:firstLine="3600" w:firstLineChars="1500"/>
        <w:rPr>
          <w:rFonts w:ascii="宋体" w:hAnsi="宋体" w:cs="宋体"/>
          <w:szCs w:val="21"/>
          <w:highlight w:val="none"/>
        </w:rPr>
      </w:pPr>
    </w:p>
    <w:p w14:paraId="1F94E684">
      <w:pPr>
        <w:adjustRightInd w:val="0"/>
        <w:snapToGrid w:val="0"/>
        <w:ind w:firstLine="5040" w:firstLineChars="2100"/>
        <w:rPr>
          <w:rFonts w:ascii="宋体" w:hAnsi="宋体" w:cs="宋体"/>
          <w:szCs w:val="21"/>
          <w:highlight w:val="none"/>
        </w:rPr>
      </w:pPr>
      <w:r>
        <w:rPr>
          <w:rFonts w:hint="eastAsia" w:ascii="宋体" w:hAnsi="宋体" w:cs="宋体"/>
          <w:szCs w:val="21"/>
          <w:highlight w:val="none"/>
        </w:rPr>
        <w:t>日期：    年   月   日</w:t>
      </w:r>
    </w:p>
    <w:p w14:paraId="7922B597">
      <w:pPr>
        <w:widowControl/>
        <w:snapToGrid w:val="0"/>
        <w:ind w:firstLine="480"/>
        <w:rPr>
          <w:rFonts w:ascii="宋体" w:hAnsi="宋体" w:cs="宋体"/>
          <w:szCs w:val="21"/>
          <w:highlight w:val="none"/>
        </w:rPr>
      </w:pPr>
    </w:p>
    <w:p w14:paraId="7C5D919D">
      <w:pPr>
        <w:widowControl/>
        <w:snapToGrid w:val="0"/>
        <w:ind w:firstLine="480"/>
        <w:rPr>
          <w:rFonts w:ascii="宋体" w:hAnsi="宋体" w:cs="宋体"/>
          <w:szCs w:val="21"/>
          <w:highlight w:val="none"/>
        </w:rPr>
      </w:pPr>
    </w:p>
    <w:p w14:paraId="4E1BCA05">
      <w:pPr>
        <w:widowControl/>
        <w:snapToGrid w:val="0"/>
        <w:ind w:firstLine="480"/>
        <w:rPr>
          <w:rFonts w:ascii="宋体" w:hAnsi="宋体" w:cs="宋体"/>
          <w:szCs w:val="21"/>
          <w:highlight w:val="none"/>
        </w:rPr>
      </w:pPr>
    </w:p>
    <w:p w14:paraId="63607177">
      <w:pPr>
        <w:widowControl/>
        <w:snapToGrid w:val="0"/>
        <w:ind w:firstLine="480"/>
        <w:rPr>
          <w:rFonts w:ascii="宋体" w:hAnsi="宋体" w:cs="宋体"/>
          <w:szCs w:val="21"/>
          <w:highlight w:val="none"/>
        </w:rPr>
      </w:pPr>
      <w:r>
        <w:rPr>
          <w:rFonts w:hint="eastAsia" w:ascii="宋体" w:hAnsi="宋体" w:cs="宋体"/>
          <w:szCs w:val="21"/>
          <w:highlight w:val="none"/>
        </w:rPr>
        <w:t>供应商为监狱企业的提供此函。</w:t>
      </w:r>
    </w:p>
    <w:p w14:paraId="0A675569">
      <w:pPr>
        <w:widowControl/>
        <w:snapToGrid w:val="0"/>
        <w:ind w:firstLine="480"/>
        <w:rPr>
          <w:rFonts w:hint="default" w:ascii="宋体" w:hAnsi="宋体" w:cs="宋体"/>
          <w:b/>
          <w:sz w:val="30"/>
          <w:szCs w:val="30"/>
          <w:highlight w:val="none"/>
          <w:lang w:val="en-US"/>
        </w:rPr>
      </w:pPr>
      <w:r>
        <w:rPr>
          <w:rFonts w:hint="eastAsia" w:ascii="宋体" w:hAnsi="宋体" w:cs="宋体"/>
          <w:szCs w:val="21"/>
          <w:highlight w:val="none"/>
        </w:rPr>
        <w:t>监狱企业参加政府采购活动时，应当提供由省级以上监狱管理局、戒毒管理局（含新疆生产建设兵团）出具的属于监狱企业的证明文件。</w:t>
      </w:r>
      <w:r>
        <w:rPr>
          <w:rFonts w:hint="eastAsia" w:ascii="宋体" w:hAnsi="宋体" w:cs="宋体"/>
          <w:bCs/>
          <w:szCs w:val="21"/>
          <w:highlight w:val="none"/>
        </w:rPr>
        <w:br w:type="page"/>
      </w:r>
      <w:r>
        <w:rPr>
          <w:rFonts w:hint="eastAsia" w:ascii="宋体" w:hAnsi="宋体" w:cs="宋体"/>
          <w:b/>
          <w:bCs/>
          <w:highlight w:val="none"/>
          <w:lang w:bidi="ar"/>
        </w:rPr>
        <w:t>附件</w:t>
      </w:r>
      <w:r>
        <w:rPr>
          <w:rFonts w:hint="eastAsia" w:ascii="宋体" w:hAnsi="宋体" w:cs="宋体"/>
          <w:b/>
          <w:bCs/>
          <w:highlight w:val="none"/>
          <w:lang w:val="en-US" w:eastAsia="zh-CN" w:bidi="ar"/>
        </w:rPr>
        <w:t>15</w:t>
      </w:r>
    </w:p>
    <w:p w14:paraId="181F9C4D">
      <w:pPr>
        <w:adjustRightInd w:val="0"/>
        <w:snapToGrid w:val="0"/>
        <w:ind w:left="0" w:leftChars="0" w:firstLine="0" w:firstLineChars="0"/>
        <w:jc w:val="center"/>
        <w:textAlignment w:val="baseline"/>
        <w:outlineLvl w:val="0"/>
        <w:rPr>
          <w:rFonts w:ascii="宋体" w:hAnsi="宋体"/>
          <w:sz w:val="28"/>
          <w:szCs w:val="28"/>
          <w:highlight w:val="none"/>
        </w:rPr>
      </w:pPr>
      <w:bookmarkStart w:id="1708" w:name="_Toc7200"/>
      <w:r>
        <w:rPr>
          <w:rFonts w:hint="eastAsia" w:ascii="宋体" w:hAnsi="宋体"/>
          <w:b/>
          <w:bCs/>
          <w:sz w:val="28"/>
          <w:szCs w:val="28"/>
          <w:highlight w:val="none"/>
        </w:rPr>
        <w:t>残疾人福利性单位声明函</w:t>
      </w:r>
      <w:bookmarkEnd w:id="1708"/>
    </w:p>
    <w:p w14:paraId="5ECF1DA1">
      <w:pPr>
        <w:autoSpaceDE w:val="0"/>
        <w:autoSpaceDN w:val="0"/>
        <w:adjustRightInd w:val="0"/>
        <w:snapToGrid w:val="0"/>
        <w:spacing w:after="312" w:afterLines="100"/>
        <w:ind w:firstLine="560"/>
        <w:jc w:val="center"/>
        <w:outlineLvl w:val="0"/>
        <w:rPr>
          <w:rFonts w:ascii="宋体" w:hAnsi="宋体"/>
          <w:sz w:val="28"/>
          <w:szCs w:val="28"/>
          <w:highlight w:val="none"/>
        </w:rPr>
      </w:pPr>
      <w:bookmarkStart w:id="1709" w:name="_Toc11003"/>
      <w:bookmarkStart w:id="1710" w:name="_Toc5582"/>
      <w:bookmarkStart w:id="1711" w:name="_Toc30203"/>
      <w:bookmarkStart w:id="1712" w:name="_Toc2981"/>
      <w:bookmarkStart w:id="1713" w:name="_Toc27217"/>
      <w:bookmarkStart w:id="1714" w:name="_Toc4936"/>
      <w:bookmarkStart w:id="1715" w:name="_Toc30110"/>
      <w:bookmarkStart w:id="1716" w:name="_Toc3119"/>
      <w:bookmarkStart w:id="1717" w:name="_Toc28044"/>
      <w:r>
        <w:rPr>
          <w:rFonts w:hint="eastAsia" w:ascii="宋体" w:hAnsi="宋体"/>
          <w:sz w:val="28"/>
          <w:szCs w:val="28"/>
          <w:highlight w:val="none"/>
        </w:rPr>
        <w:t>【非残疾人福利性单位不需提供】</w:t>
      </w:r>
      <w:bookmarkEnd w:id="1709"/>
      <w:bookmarkEnd w:id="1710"/>
      <w:bookmarkEnd w:id="1711"/>
      <w:bookmarkEnd w:id="1712"/>
      <w:bookmarkEnd w:id="1713"/>
      <w:bookmarkEnd w:id="1714"/>
      <w:bookmarkEnd w:id="1715"/>
      <w:bookmarkEnd w:id="1716"/>
      <w:bookmarkEnd w:id="1717"/>
    </w:p>
    <w:p w14:paraId="1F863D80">
      <w:pPr>
        <w:snapToGrid w:val="0"/>
        <w:ind w:firstLine="480"/>
        <w:rPr>
          <w:rFonts w:ascii="宋体" w:hAnsi="宋体"/>
          <w:szCs w:val="21"/>
          <w:highlight w:val="none"/>
        </w:rPr>
      </w:pPr>
      <w:r>
        <w:rPr>
          <w:rFonts w:hint="eastAsia" w:ascii="宋体" w:hAnsi="宋体"/>
          <w:szCs w:val="21"/>
          <w:highlight w:val="none"/>
        </w:rPr>
        <w:t>本单位郑重声明，根据《财政部民政部中国残疾人联合会关于促进残疾人就业政府采购政策的通知》（财库</w:t>
      </w:r>
      <w:r>
        <w:rPr>
          <w:rFonts w:hint="eastAsia" w:ascii="宋体" w:hAnsi="宋体" w:cs="宋体"/>
          <w:highlight w:val="none"/>
        </w:rPr>
        <w:t>〔2017〕141号</w:t>
      </w:r>
      <w:r>
        <w:rPr>
          <w:rFonts w:hint="eastAsia" w:ascii="宋体" w:hAnsi="宋体"/>
          <w:szCs w:val="21"/>
          <w:highlight w:val="none"/>
        </w:rPr>
        <w:t>）的规定，本单位为符合条件的残疾人福利性单位，且本单位参加</w:t>
      </w:r>
      <w:r>
        <w:rPr>
          <w:rFonts w:hint="eastAsia" w:ascii="宋体" w:hAnsi="宋体"/>
          <w:szCs w:val="21"/>
          <w:highlight w:val="none"/>
          <w:u w:val="single"/>
        </w:rPr>
        <w:t>（采购人名称）</w:t>
      </w:r>
      <w:r>
        <w:rPr>
          <w:rFonts w:hint="eastAsia" w:ascii="宋体" w:hAnsi="宋体"/>
          <w:szCs w:val="21"/>
          <w:highlight w:val="none"/>
        </w:rPr>
        <w:t>单位的</w:t>
      </w:r>
      <w:r>
        <w:rPr>
          <w:rFonts w:hint="eastAsia" w:ascii="宋体" w:hAnsi="宋体"/>
          <w:szCs w:val="21"/>
          <w:highlight w:val="none"/>
          <w:u w:val="single"/>
        </w:rPr>
        <w:t>（项目名称）</w:t>
      </w:r>
      <w:r>
        <w:rPr>
          <w:rFonts w:hint="eastAsia" w:ascii="宋体" w:hAnsi="宋体"/>
          <w:szCs w:val="21"/>
          <w:highlight w:val="none"/>
        </w:rPr>
        <w:t>项目采购活动提供本单位制造的货物（由本单位承担工程/提供服务），或者提供其他残疾人福利性单位制造的货物（不包括使用非残疾人福利性单位注册商标的货物）。</w:t>
      </w:r>
    </w:p>
    <w:p w14:paraId="14468FC7">
      <w:pPr>
        <w:snapToGrid w:val="0"/>
        <w:ind w:firstLine="480"/>
        <w:rPr>
          <w:rFonts w:ascii="宋体" w:hAnsi="宋体"/>
          <w:szCs w:val="21"/>
          <w:highlight w:val="none"/>
        </w:rPr>
      </w:pPr>
      <w:r>
        <w:rPr>
          <w:rFonts w:hint="eastAsia" w:ascii="宋体" w:hAnsi="宋体"/>
          <w:szCs w:val="21"/>
          <w:highlight w:val="none"/>
        </w:rPr>
        <w:t>本单位对上述声明的真实性负责。如有虚假，将依法承担相应责任。</w:t>
      </w:r>
    </w:p>
    <w:p w14:paraId="52CF75E6">
      <w:pPr>
        <w:snapToGrid w:val="0"/>
        <w:ind w:firstLine="480"/>
        <w:rPr>
          <w:rFonts w:ascii="宋体" w:hAnsi="宋体"/>
          <w:szCs w:val="21"/>
          <w:highlight w:val="none"/>
        </w:rPr>
      </w:pPr>
      <w:r>
        <w:rPr>
          <w:rFonts w:hint="eastAsia" w:ascii="宋体" w:hAnsi="宋体"/>
          <w:szCs w:val="21"/>
          <w:highlight w:val="none"/>
        </w:rPr>
        <w:t xml:space="preserve"> </w:t>
      </w:r>
    </w:p>
    <w:p w14:paraId="285334DF">
      <w:pPr>
        <w:snapToGrid w:val="0"/>
        <w:ind w:firstLine="480"/>
        <w:rPr>
          <w:rFonts w:ascii="宋体" w:hAnsi="宋体"/>
          <w:szCs w:val="21"/>
          <w:highlight w:val="none"/>
        </w:rPr>
      </w:pPr>
      <w:r>
        <w:rPr>
          <w:rFonts w:hint="eastAsia" w:ascii="宋体" w:hAnsi="宋体"/>
          <w:szCs w:val="21"/>
          <w:highlight w:val="none"/>
        </w:rPr>
        <w:t xml:space="preserve"> </w:t>
      </w:r>
    </w:p>
    <w:p w14:paraId="342AC96E">
      <w:pPr>
        <w:adjustRightInd w:val="0"/>
        <w:snapToGrid w:val="0"/>
        <w:ind w:firstLine="480"/>
        <w:rPr>
          <w:rFonts w:ascii="宋体" w:hAnsi="宋体"/>
          <w:szCs w:val="21"/>
          <w:highlight w:val="none"/>
        </w:rPr>
      </w:pPr>
    </w:p>
    <w:p w14:paraId="5B1CBC42">
      <w:pPr>
        <w:adjustRightInd w:val="0"/>
        <w:snapToGrid w:val="0"/>
        <w:ind w:firstLine="480"/>
        <w:rPr>
          <w:rFonts w:ascii="宋体" w:hAnsi="宋体"/>
          <w:szCs w:val="21"/>
          <w:highlight w:val="none"/>
        </w:rPr>
      </w:pPr>
      <w:r>
        <w:rPr>
          <w:rFonts w:hint="eastAsia" w:ascii="宋体" w:hAnsi="宋体"/>
          <w:szCs w:val="21"/>
          <w:highlight w:val="none"/>
        </w:rPr>
        <w:t xml:space="preserve"> </w:t>
      </w:r>
    </w:p>
    <w:p w14:paraId="573F1A2A">
      <w:pPr>
        <w:adjustRightInd w:val="0"/>
        <w:snapToGrid w:val="0"/>
        <w:ind w:firstLine="480"/>
        <w:rPr>
          <w:rFonts w:ascii="宋体" w:hAnsi="宋体"/>
          <w:szCs w:val="21"/>
          <w:highlight w:val="none"/>
        </w:rPr>
      </w:pPr>
      <w:r>
        <w:rPr>
          <w:rFonts w:hint="eastAsia" w:ascii="宋体" w:hAnsi="宋体"/>
          <w:szCs w:val="21"/>
          <w:highlight w:val="none"/>
        </w:rPr>
        <w:t xml:space="preserve"> </w:t>
      </w:r>
    </w:p>
    <w:p w14:paraId="126BBD75">
      <w:pPr>
        <w:adjustRightInd w:val="0"/>
        <w:snapToGrid w:val="0"/>
        <w:ind w:firstLine="4080" w:firstLineChars="1700"/>
        <w:rPr>
          <w:rFonts w:ascii="宋体" w:hAnsi="宋体"/>
          <w:szCs w:val="21"/>
          <w:highlight w:val="none"/>
          <w:u w:val="single"/>
        </w:rPr>
      </w:pPr>
      <w:r>
        <w:rPr>
          <w:rFonts w:hint="eastAsia" w:ascii="宋体" w:hAnsi="宋体"/>
          <w:szCs w:val="21"/>
          <w:highlight w:val="none"/>
        </w:rPr>
        <w:t>供应商名称（盖章）：</w:t>
      </w:r>
      <w:r>
        <w:rPr>
          <w:rFonts w:hint="eastAsia" w:ascii="宋体" w:hAnsi="宋体"/>
          <w:szCs w:val="21"/>
          <w:highlight w:val="none"/>
          <w:u w:val="single"/>
        </w:rPr>
        <w:t xml:space="preserve">                    </w:t>
      </w:r>
    </w:p>
    <w:p w14:paraId="3DD51390">
      <w:pPr>
        <w:adjustRightInd w:val="0"/>
        <w:snapToGrid w:val="0"/>
        <w:ind w:firstLine="3600" w:firstLineChars="1500"/>
        <w:rPr>
          <w:rFonts w:ascii="宋体" w:hAnsi="宋体"/>
          <w:szCs w:val="21"/>
          <w:highlight w:val="none"/>
        </w:rPr>
      </w:pPr>
      <w:r>
        <w:rPr>
          <w:rFonts w:hint="eastAsia" w:ascii="宋体" w:hAnsi="宋体"/>
          <w:szCs w:val="21"/>
          <w:highlight w:val="none"/>
        </w:rPr>
        <w:t xml:space="preserve"> </w:t>
      </w:r>
    </w:p>
    <w:p w14:paraId="108BD9D9">
      <w:pPr>
        <w:adjustRightInd w:val="0"/>
        <w:snapToGrid w:val="0"/>
        <w:ind w:firstLine="4080" w:firstLineChars="1700"/>
        <w:rPr>
          <w:rFonts w:ascii="宋体" w:hAnsi="宋体"/>
          <w:szCs w:val="21"/>
          <w:highlight w:val="none"/>
        </w:rPr>
      </w:pPr>
      <w:r>
        <w:rPr>
          <w:rFonts w:hint="eastAsia" w:ascii="宋体" w:hAnsi="宋体"/>
          <w:szCs w:val="21"/>
          <w:highlight w:val="none"/>
        </w:rPr>
        <w:t>日期：    年   月  日</w:t>
      </w:r>
    </w:p>
    <w:p w14:paraId="4834F714">
      <w:pPr>
        <w:adjustRightInd w:val="0"/>
        <w:snapToGrid w:val="0"/>
        <w:ind w:firstLine="480"/>
        <w:rPr>
          <w:rFonts w:ascii="宋体" w:hAnsi="宋体"/>
          <w:szCs w:val="21"/>
          <w:highlight w:val="none"/>
        </w:rPr>
      </w:pPr>
      <w:r>
        <w:rPr>
          <w:rFonts w:hint="eastAsia" w:ascii="宋体" w:hAnsi="宋体"/>
          <w:szCs w:val="21"/>
          <w:highlight w:val="none"/>
        </w:rPr>
        <w:t xml:space="preserve"> </w:t>
      </w:r>
    </w:p>
    <w:p w14:paraId="04C8A792">
      <w:pPr>
        <w:adjustRightInd w:val="0"/>
        <w:snapToGrid w:val="0"/>
        <w:ind w:left="0" w:leftChars="0" w:firstLine="0" w:firstLineChars="0"/>
        <w:rPr>
          <w:rFonts w:ascii="宋体" w:hAnsi="宋体"/>
          <w:szCs w:val="21"/>
          <w:highlight w:val="none"/>
        </w:rPr>
      </w:pPr>
    </w:p>
    <w:p w14:paraId="4D27C413">
      <w:pPr>
        <w:adjustRightInd w:val="0"/>
        <w:snapToGrid w:val="0"/>
        <w:ind w:firstLine="480"/>
        <w:rPr>
          <w:rFonts w:ascii="宋体" w:hAnsi="宋体"/>
          <w:szCs w:val="21"/>
          <w:highlight w:val="none"/>
        </w:rPr>
      </w:pPr>
      <w:r>
        <w:rPr>
          <w:rFonts w:hint="eastAsia" w:ascii="宋体" w:hAnsi="宋体"/>
          <w:szCs w:val="21"/>
          <w:highlight w:val="none"/>
        </w:rPr>
        <w:t xml:space="preserve"> </w:t>
      </w:r>
    </w:p>
    <w:p w14:paraId="2BC460C5">
      <w:pPr>
        <w:adjustRightInd w:val="0"/>
        <w:snapToGrid w:val="0"/>
        <w:ind w:firstLine="480"/>
        <w:rPr>
          <w:rFonts w:ascii="宋体" w:hAnsi="宋体"/>
          <w:color w:val="FF0000"/>
          <w:szCs w:val="21"/>
          <w:highlight w:val="none"/>
        </w:rPr>
      </w:pPr>
      <w:r>
        <w:rPr>
          <w:rFonts w:hint="eastAsia" w:ascii="宋体" w:hAnsi="宋体"/>
          <w:szCs w:val="21"/>
          <w:highlight w:val="none"/>
        </w:rPr>
        <w:t>供应商为残疾人福利性单位的提供此函。</w:t>
      </w:r>
    </w:p>
    <w:p w14:paraId="031F2BF1">
      <w:pPr>
        <w:spacing w:before="100" w:beforeAutospacing="1" w:after="120"/>
        <w:ind w:firstLine="480"/>
        <w:rPr>
          <w:rFonts w:hint="eastAsia" w:ascii="宋体" w:hAnsi="宋体"/>
          <w:color w:val="FF0000"/>
          <w:szCs w:val="21"/>
          <w:highlight w:val="none"/>
        </w:rPr>
      </w:pPr>
      <w:r>
        <w:rPr>
          <w:rFonts w:hint="eastAsia" w:ascii="宋体" w:hAnsi="宋体"/>
          <w:color w:val="FF0000"/>
          <w:szCs w:val="21"/>
          <w:highlight w:val="none"/>
        </w:rPr>
        <w:t>备注：成交供应商为残疾人福利性单位的，应当随成交结果同时公告其《残疾人福利性单位声明函》，接受社会监督。</w:t>
      </w:r>
    </w:p>
    <w:bookmarkEnd w:id="595"/>
    <w:bookmarkEnd w:id="596"/>
    <w:bookmarkEnd w:id="597"/>
    <w:bookmarkEnd w:id="598"/>
    <w:bookmarkEnd w:id="599"/>
    <w:bookmarkEnd w:id="630"/>
    <w:bookmarkEnd w:id="63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38"/>
    <w:bookmarkEnd w:id="1185"/>
    <w:bookmarkEnd w:id="1186"/>
    <w:p w14:paraId="2DF8053E">
      <w:pPr>
        <w:ind w:left="0" w:leftChars="0" w:firstLine="0" w:firstLineChars="0"/>
        <w:rPr>
          <w:rFonts w:hint="eastAsia"/>
          <w:lang w:eastAsia="zh-CN"/>
        </w:rPr>
      </w:pPr>
    </w:p>
    <w:sectPr>
      <w:headerReference r:id="rId10" w:type="default"/>
      <w:pgSz w:w="11906" w:h="16838"/>
      <w:pgMar w:top="1440" w:right="1080" w:bottom="1440" w:left="1080" w:header="964" w:footer="907" w:gutter="0"/>
      <w:pgBorders>
        <w:top w:val="thinThickSmallGap" w:color="auto" w:sz="12" w:space="10"/>
        <w:left w:val="none" w:sz="0" w:space="0"/>
        <w:bottom w:val="thinThickSmallGap" w:color="auto" w:sz="12" w:space="10"/>
        <w:right w:val="none" w:sz="0" w:space="0"/>
      </w:pgBorders>
      <w:pgNumType w:fmt="decimal"/>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微软雅黑 Light">
    <w:panose1 w:val="020B0502040204020203"/>
    <w:charset w:val="86"/>
    <w:family w:val="swiss"/>
    <w:pitch w:val="default"/>
    <w:sig w:usb0="80000287" w:usb1="2ACF0010" w:usb2="00000016" w:usb3="00000000" w:csb0="0004001F" w:csb1="00000000"/>
  </w:font>
  <w:font w:name="Helvetica">
    <w:altName w:val="Arial"/>
    <w:panose1 w:val="020B0504020202030204"/>
    <w:charset w:val="00"/>
    <w:family w:val="swiss"/>
    <w:pitch w:val="default"/>
    <w:sig w:usb0="00000000" w:usb1="00000000" w:usb2="00000000" w:usb3="00000000" w:csb0="00000093" w:csb1="00000000"/>
  </w:font>
  <w:font w:name="Verdana">
    <w:panose1 w:val="020B0604030504040204"/>
    <w:charset w:val="00"/>
    <w:family w:val="swiss"/>
    <w:pitch w:val="default"/>
    <w:sig w:usb0="A00006FF" w:usb1="4000205B" w:usb2="00000010" w:usb3="00000000" w:csb0="2000019F" w:csb1="00000000"/>
  </w:font>
  <w:font w:name="ヒラギノ角ゴ Pro W3">
    <w:altName w:val="Yu Gothic"/>
    <w:panose1 w:val="00000000000000000000"/>
    <w:charset w:val="80"/>
    <w:family w:val="auto"/>
    <w:pitch w:val="default"/>
    <w:sig w:usb0="00000000" w:usb1="00000000" w:usb2="00000012" w:usb3="00000000" w:csb0="0002000D" w:csb1="00000000"/>
  </w:font>
  <w:font w:name="Yu Gothic">
    <w:panose1 w:val="020B0400000000000000"/>
    <w:charset w:val="80"/>
    <w:family w:val="auto"/>
    <w:pitch w:val="default"/>
    <w:sig w:usb0="E00002FF" w:usb1="2AC7FDFF" w:usb2="00000016" w:usb3="00000000" w:csb0="200200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PMingLiU_x0004_falt">
    <w:altName w:val="Microsoft JhengHei"/>
    <w:panose1 w:val="02010601000101010101"/>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华文仿宋">
    <w:altName w:val="仿宋"/>
    <w:panose1 w:val="02010600040101010101"/>
    <w:charset w:val="86"/>
    <w:family w:val="auto"/>
    <w:pitch w:val="default"/>
    <w:sig w:usb0="00000000" w:usb1="00000000" w:usb2="00000000" w:usb3="00000000" w:csb0="0004009F" w:csb1="DFD7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6C4DB">
    <w:pPr>
      <w:pStyle w:val="25"/>
      <w:ind w:left="0" w:leftChars="0" w:firstLine="0" w:firstLineChars="0"/>
      <w:rPr>
        <w:rFonts w:hint="default" w:ascii="宋体" w:hAnsi="宋体" w:eastAsia="宋体" w:cs="宋体"/>
        <w:b/>
        <w:bCs/>
        <w:lang w:val="en-US" w:eastAsia="zh-CN"/>
      </w:rPr>
    </w:pPr>
    <w:r>
      <w:rPr>
        <w:rFonts w:hint="eastAsia" w:ascii="宋体" w:hAnsi="宋体" w:eastAsia="宋体" w:cs="宋体"/>
        <w:b/>
        <w:bCs/>
      </w:rPr>
      <mc:AlternateContent>
        <mc:Choice Requires="wps">
          <w:drawing>
            <wp:anchor distT="0" distB="0" distL="114300" distR="114300" simplePos="0" relativeHeight="251659264" behindDoc="0" locked="0" layoutInCell="1" allowOverlap="1">
              <wp:simplePos x="0" y="0"/>
              <wp:positionH relativeFrom="margin">
                <wp:posOffset>2522855</wp:posOffset>
              </wp:positionH>
              <wp:positionV relativeFrom="paragraph">
                <wp:posOffset>6985</wp:posOffset>
              </wp:positionV>
              <wp:extent cx="1334135" cy="405130"/>
              <wp:effectExtent l="0" t="0" r="0" b="0"/>
              <wp:wrapNone/>
              <wp:docPr id="2" name="文本框 1029"/>
              <wp:cNvGraphicFramePr/>
              <a:graphic xmlns:a="http://schemas.openxmlformats.org/drawingml/2006/main">
                <a:graphicData uri="http://schemas.microsoft.com/office/word/2010/wordprocessingShape">
                  <wps:wsp>
                    <wps:cNvSpPr txBox="1"/>
                    <wps:spPr>
                      <a:xfrm>
                        <a:off x="0" y="0"/>
                        <a:ext cx="1334135" cy="405130"/>
                      </a:xfrm>
                      <a:prstGeom prst="rect">
                        <a:avLst/>
                      </a:prstGeom>
                      <a:noFill/>
                      <a:ln>
                        <a:noFill/>
                      </a:ln>
                    </wps:spPr>
                    <wps:txbx>
                      <w:txbxContent>
                        <w:p w14:paraId="16DD8AB0">
                          <w:pPr>
                            <w:pStyle w:val="25"/>
                            <w:rPr>
                              <w:rFonts w:hint="eastAsia" w:ascii="宋体" w:hAnsi="宋体"/>
                              <w:b/>
                              <w:bCs/>
                            </w:rPr>
                          </w:pPr>
                          <w:r>
                            <w:rPr>
                              <w:rFonts w:hint="eastAsia" w:ascii="宋体" w:hAnsi="宋体"/>
                              <w:b/>
                              <w:bCs/>
                            </w:rPr>
                            <w:t xml:space="preserve">第 </w:t>
                          </w:r>
                          <w:r>
                            <w:rPr>
                              <w:rFonts w:hint="eastAsia" w:ascii="宋体" w:hAnsi="宋体"/>
                              <w:b/>
                              <w:bCs/>
                            </w:rPr>
                            <w:fldChar w:fldCharType="begin"/>
                          </w:r>
                          <w:r>
                            <w:rPr>
                              <w:rFonts w:hint="eastAsia" w:ascii="宋体" w:hAnsi="宋体"/>
                              <w:b/>
                              <w:bCs/>
                            </w:rPr>
                            <w:instrText xml:space="preserve"> PAGE  \* MERGEFORMAT </w:instrText>
                          </w:r>
                          <w:r>
                            <w:rPr>
                              <w:rFonts w:hint="eastAsia" w:ascii="宋体" w:hAnsi="宋体"/>
                              <w:b/>
                              <w:bCs/>
                            </w:rPr>
                            <w:fldChar w:fldCharType="separate"/>
                          </w:r>
                          <w:r>
                            <w:rPr>
                              <w:rFonts w:hint="eastAsia" w:ascii="宋体" w:hAnsi="宋体"/>
                              <w:b/>
                              <w:bCs/>
                            </w:rPr>
                            <w:t>1</w:t>
                          </w:r>
                          <w:r>
                            <w:rPr>
                              <w:rFonts w:hint="eastAsia" w:ascii="宋体" w:hAnsi="宋体"/>
                              <w:b/>
                              <w:bCs/>
                            </w:rPr>
                            <w:fldChar w:fldCharType="end"/>
                          </w:r>
                          <w:r>
                            <w:rPr>
                              <w:rFonts w:hint="eastAsia" w:ascii="宋体" w:hAnsi="宋体"/>
                              <w:b/>
                              <w:bCs/>
                            </w:rPr>
                            <w:t xml:space="preserve"> 页 共 </w:t>
                          </w:r>
                          <w:r>
                            <w:rPr>
                              <w:rFonts w:hint="eastAsia" w:ascii="宋体" w:hAnsi="宋体"/>
                              <w:b/>
                              <w:bCs/>
                            </w:rPr>
                            <w:fldChar w:fldCharType="begin"/>
                          </w:r>
                          <w:r>
                            <w:rPr>
                              <w:rFonts w:hint="eastAsia" w:ascii="宋体" w:hAnsi="宋体"/>
                              <w:b/>
                              <w:bCs/>
                            </w:rPr>
                            <w:instrText xml:space="preserve"> NUMPAGES  \* MERGEFORMAT </w:instrText>
                          </w:r>
                          <w:r>
                            <w:rPr>
                              <w:rFonts w:hint="eastAsia" w:ascii="宋体" w:hAnsi="宋体"/>
                              <w:b/>
                              <w:bCs/>
                            </w:rPr>
                            <w:fldChar w:fldCharType="separate"/>
                          </w:r>
                          <w:r>
                            <w:rPr>
                              <w:rFonts w:hint="eastAsia" w:ascii="宋体" w:hAnsi="宋体"/>
                              <w:b/>
                              <w:bCs/>
                            </w:rPr>
                            <w:t>74</w:t>
                          </w:r>
                          <w:r>
                            <w:rPr>
                              <w:rFonts w:hint="eastAsia" w:ascii="宋体" w:hAnsi="宋体"/>
                              <w:b/>
                              <w:bCs/>
                            </w:rPr>
                            <w:fldChar w:fldCharType="end"/>
                          </w:r>
                          <w:r>
                            <w:rPr>
                              <w:rFonts w:hint="eastAsia" w:ascii="宋体" w:hAnsi="宋体"/>
                              <w:b/>
                              <w:bCs/>
                            </w:rPr>
                            <w:t xml:space="preserve"> 页</w:t>
                          </w:r>
                        </w:p>
                      </w:txbxContent>
                    </wps:txbx>
                    <wps:bodyPr wrap="square" lIns="0" tIns="0" rIns="0" bIns="0" upright="0">
                      <a:noAutofit/>
                    </wps:bodyPr>
                  </wps:wsp>
                </a:graphicData>
              </a:graphic>
            </wp:anchor>
          </w:drawing>
        </mc:Choice>
        <mc:Fallback>
          <w:pict>
            <v:shape id="文本框 1029" o:spid="_x0000_s1026" o:spt="202" type="#_x0000_t202" style="position:absolute;left:0pt;margin-left:198.65pt;margin-top:0.55pt;height:31.9pt;width:105.05pt;mso-position-horizontal-relative:margin;z-index:251659264;mso-width-relative:page;mso-height-relative:page;" filled="f" stroked="f" coordsize="21600,21600" o:gfxdata="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kOWt7dcAAAAIAQAADwAAAAAAAAABACAAAAAi&#10;AAAAZHJzL2Rvd25yZXYueG1sUEsBAhQAFAAAAAgAh07iQA/IDVvSAQAAnQMAAA4AAAAAAAAAAQAg&#10;AAAAJgEAAGRycy9lMm9Eb2MueG1sUEsFBgAAAAAGAAYAWQEAAGoFAAAAAA==&#10;">
              <v:fill on="f" focussize="0,0"/>
              <v:stroke on="f"/>
              <v:imagedata o:title=""/>
              <o:lock v:ext="edit" aspectratio="f"/>
              <v:textbox inset="0mm,0mm,0mm,0mm">
                <w:txbxContent>
                  <w:p w14:paraId="16DD8AB0">
                    <w:pPr>
                      <w:pStyle w:val="25"/>
                      <w:rPr>
                        <w:rFonts w:hint="eastAsia" w:ascii="宋体" w:hAnsi="宋体"/>
                        <w:b/>
                        <w:bCs/>
                      </w:rPr>
                    </w:pPr>
                    <w:r>
                      <w:rPr>
                        <w:rFonts w:hint="eastAsia" w:ascii="宋体" w:hAnsi="宋体"/>
                        <w:b/>
                        <w:bCs/>
                      </w:rPr>
                      <w:t xml:space="preserve">第 </w:t>
                    </w:r>
                    <w:r>
                      <w:rPr>
                        <w:rFonts w:hint="eastAsia" w:ascii="宋体" w:hAnsi="宋体"/>
                        <w:b/>
                        <w:bCs/>
                      </w:rPr>
                      <w:fldChar w:fldCharType="begin"/>
                    </w:r>
                    <w:r>
                      <w:rPr>
                        <w:rFonts w:hint="eastAsia" w:ascii="宋体" w:hAnsi="宋体"/>
                        <w:b/>
                        <w:bCs/>
                      </w:rPr>
                      <w:instrText xml:space="preserve"> PAGE  \* MERGEFORMAT </w:instrText>
                    </w:r>
                    <w:r>
                      <w:rPr>
                        <w:rFonts w:hint="eastAsia" w:ascii="宋体" w:hAnsi="宋体"/>
                        <w:b/>
                        <w:bCs/>
                      </w:rPr>
                      <w:fldChar w:fldCharType="separate"/>
                    </w:r>
                    <w:r>
                      <w:rPr>
                        <w:rFonts w:hint="eastAsia" w:ascii="宋体" w:hAnsi="宋体"/>
                        <w:b/>
                        <w:bCs/>
                      </w:rPr>
                      <w:t>1</w:t>
                    </w:r>
                    <w:r>
                      <w:rPr>
                        <w:rFonts w:hint="eastAsia" w:ascii="宋体" w:hAnsi="宋体"/>
                        <w:b/>
                        <w:bCs/>
                      </w:rPr>
                      <w:fldChar w:fldCharType="end"/>
                    </w:r>
                    <w:r>
                      <w:rPr>
                        <w:rFonts w:hint="eastAsia" w:ascii="宋体" w:hAnsi="宋体"/>
                        <w:b/>
                        <w:bCs/>
                      </w:rPr>
                      <w:t xml:space="preserve"> 页 共 </w:t>
                    </w:r>
                    <w:r>
                      <w:rPr>
                        <w:rFonts w:hint="eastAsia" w:ascii="宋体" w:hAnsi="宋体"/>
                        <w:b/>
                        <w:bCs/>
                      </w:rPr>
                      <w:fldChar w:fldCharType="begin"/>
                    </w:r>
                    <w:r>
                      <w:rPr>
                        <w:rFonts w:hint="eastAsia" w:ascii="宋体" w:hAnsi="宋体"/>
                        <w:b/>
                        <w:bCs/>
                      </w:rPr>
                      <w:instrText xml:space="preserve"> NUMPAGES  \* MERGEFORMAT </w:instrText>
                    </w:r>
                    <w:r>
                      <w:rPr>
                        <w:rFonts w:hint="eastAsia" w:ascii="宋体" w:hAnsi="宋体"/>
                        <w:b/>
                        <w:bCs/>
                      </w:rPr>
                      <w:fldChar w:fldCharType="separate"/>
                    </w:r>
                    <w:r>
                      <w:rPr>
                        <w:rFonts w:hint="eastAsia" w:ascii="宋体" w:hAnsi="宋体"/>
                        <w:b/>
                        <w:bCs/>
                      </w:rPr>
                      <w:t>74</w:t>
                    </w:r>
                    <w:r>
                      <w:rPr>
                        <w:rFonts w:hint="eastAsia" w:ascii="宋体" w:hAnsi="宋体"/>
                        <w:b/>
                        <w:bCs/>
                      </w:rPr>
                      <w:fldChar w:fldCharType="end"/>
                    </w:r>
                    <w:r>
                      <w:rPr>
                        <w:rFonts w:hint="eastAsia" w:ascii="宋体" w:hAnsi="宋体"/>
                        <w:b/>
                        <w:bCs/>
                      </w:rP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5EC7D2">
    <w:pPr>
      <w:pStyle w:val="26"/>
      <w:pBdr>
        <w:top w:val="none" w:color="auto" w:sz="0" w:space="0"/>
        <w:left w:val="none" w:color="auto" w:sz="0" w:space="0"/>
        <w:bottom w:val="none" w:color="auto" w:sz="0" w:space="1"/>
        <w:right w:val="none" w:color="auto" w:sz="0" w:space="0"/>
        <w:between w:val="none" w:color="auto" w:sz="0" w:space="0"/>
      </w:pBdr>
      <w:ind w:firstLine="0" w:firstLineChars="0"/>
      <w:jc w:val="left"/>
    </w:pPr>
    <w:r>
      <w:rPr>
        <w:rFonts w:hint="eastAsia" w:ascii="宋体" w:hAnsi="宋体" w:cs="宋体"/>
        <w:b/>
        <w:bCs/>
        <w:sz w:val="16"/>
        <w:szCs w:val="16"/>
        <w:lang w:eastAsia="zh-CN"/>
      </w:rPr>
      <w:t>小南海镇周红坂村老年活动中心及厨房改造采购项目</w:t>
    </w:r>
    <w:r>
      <w:rPr>
        <w:rFonts w:hint="eastAsia" w:ascii="宋体" w:hAnsi="宋体" w:cs="宋体"/>
        <w:b/>
        <w:bCs/>
        <w:sz w:val="16"/>
        <w:szCs w:val="16"/>
        <w:lang w:val="en-US" w:eastAsia="zh-CN"/>
      </w:rPr>
      <w:t xml:space="preserve">的竞争性磋商文件                                项目编号：LYCG2025XCX-008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BC36F">
    <w:pPr>
      <w:pStyle w:val="26"/>
      <w:pBdr>
        <w:top w:val="none" w:color="auto" w:sz="0" w:space="0"/>
        <w:left w:val="none" w:color="auto" w:sz="0" w:space="0"/>
        <w:bottom w:val="none" w:color="auto" w:sz="0" w:space="1"/>
        <w:right w:val="none" w:color="auto" w:sz="0" w:space="0"/>
        <w:between w:val="none" w:color="auto" w:sz="0" w:space="0"/>
      </w:pBdr>
      <w:ind w:firstLine="0" w:firstLineChars="0"/>
      <w:jc w:val="left"/>
    </w:pPr>
    <w:r>
      <w:rPr>
        <w:rFonts w:hint="eastAsia" w:ascii="宋体" w:hAnsi="宋体" w:cs="宋体"/>
        <w:b/>
        <w:bCs/>
        <w:sz w:val="16"/>
        <w:szCs w:val="16"/>
        <w:lang w:eastAsia="zh-CN"/>
      </w:rPr>
      <w:t>小南海镇周红坂村老年活动中心及厨房改造采购项目</w:t>
    </w:r>
    <w:r>
      <w:rPr>
        <w:rFonts w:hint="eastAsia" w:ascii="宋体" w:hAnsi="宋体" w:cs="宋体"/>
        <w:b/>
        <w:bCs/>
        <w:sz w:val="16"/>
        <w:szCs w:val="16"/>
        <w:lang w:val="en-US" w:eastAsia="zh-CN"/>
      </w:rPr>
      <w:t xml:space="preserve">的竞争性磋商文件                                      LYCG2025XCX-008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ABA919">
    <w:pPr>
      <w:pStyle w:val="26"/>
      <w:ind w:firstLine="36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D1BD46">
    <w:pPr>
      <w:pStyle w:val="26"/>
      <w:ind w:firstLine="361"/>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087E0">
    <w:pPr>
      <w:snapToGrid w:val="0"/>
      <w:spacing w:line="360" w:lineRule="auto"/>
      <w:ind w:right="240" w:rightChars="100" w:firstLine="0" w:firstLineChars="0"/>
      <w:jc w:val="left"/>
      <w:rPr>
        <w:rFonts w:hint="eastAsia"/>
      </w:rPr>
    </w:pPr>
    <w:r>
      <w:rPr>
        <w:rFonts w:hint="eastAsia" w:ascii="黑体" w:hAnsi="黑体" w:eastAsia="黑体" w:cs="黑体"/>
        <w:b/>
        <w:sz w:val="18"/>
        <w:szCs w:val="18"/>
        <w:lang w:val="zh-CN"/>
      </w:rPr>
      <w:t>小南海镇周红坂村老年活动中心及厨房改造采购项目的竞争性磋商文件</w:t>
    </w:r>
    <w:r>
      <w:rPr>
        <w:rFonts w:hint="eastAsia" w:ascii="黑体" w:hAnsi="黑体" w:eastAsia="黑体" w:cs="黑体"/>
        <w:b/>
        <w:sz w:val="18"/>
        <w:szCs w:val="18"/>
      </w:rPr>
      <w:t xml:space="preserve"> </w:t>
    </w:r>
    <w:r>
      <w:rPr>
        <w:rFonts w:hint="eastAsia" w:ascii="黑体" w:hAnsi="黑体" w:eastAsia="黑体" w:cs="黑体"/>
        <w:b/>
        <w:sz w:val="18"/>
        <w:szCs w:val="18"/>
        <w:lang w:val="en-US" w:eastAsia="zh-CN"/>
      </w:rPr>
      <w:t xml:space="preserve">                  </w:t>
    </w:r>
    <w:r>
      <w:rPr>
        <w:rFonts w:hint="eastAsia" w:ascii="黑体" w:hAnsi="黑体" w:eastAsia="黑体" w:cs="黑体"/>
        <w:b/>
        <w:sz w:val="18"/>
        <w:szCs w:val="18"/>
        <w:lang w:val="zh-CN"/>
      </w:rPr>
      <w:t>项目编号：LYCG2025XCX-008</w:t>
    </w:r>
    <w:r>
      <w:rPr>
        <w:rFonts w:hint="eastAsia" w:ascii="黑体" w:hAnsi="黑体" w:eastAsia="黑体" w:cs="黑体"/>
        <w:b/>
        <w:sz w:val="18"/>
        <w:szCs w:val="18"/>
      </w:rPr>
      <w:t xml:space="preserve">            </w:t>
    </w:r>
    <w:r>
      <w:rPr>
        <w:rFonts w:hint="eastAsia" w:ascii="黑体" w:hAnsi="黑体" w:eastAsia="黑体" w:cs="黑体"/>
        <w:b/>
        <w:sz w:val="18"/>
        <w:szCs w:val="18"/>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B42B29"/>
    <w:multiLevelType w:val="singleLevel"/>
    <w:tmpl w:val="DDB42B29"/>
    <w:lvl w:ilvl="0" w:tentative="0">
      <w:start w:val="2"/>
      <w:numFmt w:val="chineseCounting"/>
      <w:suff w:val="space"/>
      <w:lvlText w:val="第%1章"/>
      <w:lvlJc w:val="left"/>
      <w:rPr>
        <w:rFonts w:hint="eastAsia"/>
      </w:rPr>
    </w:lvl>
  </w:abstractNum>
  <w:abstractNum w:abstractNumId="1">
    <w:nsid w:val="00000002"/>
    <w:multiLevelType w:val="multilevel"/>
    <w:tmpl w:val="00000002"/>
    <w:lvl w:ilvl="0" w:tentative="0">
      <w:start w:val="1"/>
      <w:numFmt w:val="decimal"/>
      <w:suff w:val="space"/>
      <w:lvlText w:val="第%1章"/>
      <w:lvlJc w:val="left"/>
      <w:pPr>
        <w:ind w:left="4537" w:hanging="425"/>
      </w:pPr>
      <w:rPr>
        <w:rFonts w:hint="eastAsia"/>
      </w:rPr>
    </w:lvl>
    <w:lvl w:ilvl="1" w:tentative="0">
      <w:start w:val="1"/>
      <w:numFmt w:val="decimal"/>
      <w:suff w:val="space"/>
      <w:lvlText w:val="%1.%2."/>
      <w:lvlJc w:val="left"/>
      <w:pPr>
        <w:ind w:left="7274" w:hanging="5430"/>
      </w:pPr>
      <w:rPr>
        <w:rFonts w:hint="eastAsia"/>
        <w:color w:val="333333"/>
      </w:rPr>
    </w:lvl>
    <w:lvl w:ilvl="2" w:tentative="0">
      <w:start w:val="1"/>
      <w:numFmt w:val="decimal"/>
      <w:pStyle w:val="4"/>
      <w:suff w:val="space"/>
      <w:lvlText w:val="%1.%2.%3. "/>
      <w:lvlJc w:val="left"/>
      <w:pPr>
        <w:ind w:left="1400" w:hanging="1400"/>
      </w:pPr>
      <w:rPr>
        <w:rFonts w:hint="eastAsia"/>
        <w:color w:val="auto"/>
      </w:rPr>
    </w:lvl>
    <w:lvl w:ilvl="3" w:tentative="0">
      <w:start w:val="1"/>
      <w:numFmt w:val="decimal"/>
      <w:suff w:val="space"/>
      <w:lvlText w:val="%1.%2.%3.%4."/>
      <w:lvlJc w:val="left"/>
      <w:pPr>
        <w:ind w:left="1277" w:hanging="851"/>
      </w:pPr>
      <w:rPr>
        <w:rFonts w:hint="eastAsia" w:ascii="宋体" w:hAnsi="宋体" w:eastAsia="宋体"/>
      </w:rPr>
    </w:lvl>
    <w:lvl w:ilvl="4" w:tentative="0">
      <w:start w:val="1"/>
      <w:numFmt w:val="decimal"/>
      <w:lvlText w:val="%1.%2.%3.%4.%5."/>
      <w:lvlJc w:val="left"/>
      <w:pPr>
        <w:tabs>
          <w:tab w:val="left" w:pos="992"/>
        </w:tabs>
        <w:ind w:left="0" w:firstLine="0"/>
      </w:pPr>
      <w:rPr>
        <w:rFonts w:hint="eastAsia"/>
        <w:color w:val="auto"/>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0" w:firstLine="0"/>
      </w:pPr>
      <w:rPr>
        <w:rFonts w:hint="eastAsia"/>
      </w:rPr>
    </w:lvl>
    <w:lvl w:ilvl="8" w:tentative="0">
      <w:start w:val="1"/>
      <w:numFmt w:val="decimal"/>
      <w:lvlText w:val="%1.%2.%3.%4.%5.%6.%7.%8.%9."/>
      <w:lvlJc w:val="left"/>
      <w:pPr>
        <w:tabs>
          <w:tab w:val="left" w:pos="1559"/>
        </w:tabs>
        <w:ind w:left="0" w:firstLine="0"/>
      </w:pPr>
      <w:rPr>
        <w:rFonts w:hint="eastAsia"/>
      </w:rPr>
    </w:lvl>
  </w:abstractNum>
  <w:abstractNum w:abstractNumId="2">
    <w:nsid w:val="00000005"/>
    <w:multiLevelType w:val="multilevel"/>
    <w:tmpl w:val="00000005"/>
    <w:lvl w:ilvl="0" w:tentative="0">
      <w:start w:val="1"/>
      <w:numFmt w:val="decimal"/>
      <w:suff w:val="nothing"/>
      <w:lvlText w:val="%1."/>
      <w:lvlJc w:val="left"/>
      <w:pPr>
        <w:tabs>
          <w:tab w:val="left" w:pos="0"/>
        </w:tabs>
        <w:ind w:left="465" w:hanging="425"/>
      </w:pPr>
      <w:rPr>
        <w:rFonts w:hint="default" w:ascii="宋体" w:hAnsi="宋体" w:eastAsia="宋体" w:cs="宋体"/>
        <w:spacing w:val="28"/>
        <w:sz w:val="24"/>
        <w:szCs w:val="24"/>
      </w:rPr>
    </w:lvl>
    <w:lvl w:ilvl="1" w:tentative="0">
      <w:start w:val="1"/>
      <w:numFmt w:val="decimal"/>
      <w:lvlText w:val="%1.%2."/>
      <w:lvlJc w:val="left"/>
      <w:pPr>
        <w:ind w:left="-298" w:hanging="567"/>
      </w:pPr>
      <w:rPr>
        <w:rFonts w:hint="default"/>
      </w:rPr>
    </w:lvl>
    <w:lvl w:ilvl="2" w:tentative="0">
      <w:start w:val="1"/>
      <w:numFmt w:val="decimal"/>
      <w:lvlText w:val="%1.%2.%3."/>
      <w:lvlJc w:val="left"/>
      <w:pPr>
        <w:ind w:left="-156" w:hanging="709"/>
      </w:pPr>
      <w:rPr>
        <w:rFonts w:hint="default"/>
      </w:rPr>
    </w:lvl>
    <w:lvl w:ilvl="3" w:tentative="0">
      <w:start w:val="1"/>
      <w:numFmt w:val="decimal"/>
      <w:lvlText w:val="%1.%2.%3.%4."/>
      <w:lvlJc w:val="left"/>
      <w:pPr>
        <w:ind w:left="-15" w:hanging="850"/>
      </w:pPr>
      <w:rPr>
        <w:rFonts w:hint="default"/>
      </w:rPr>
    </w:lvl>
    <w:lvl w:ilvl="4" w:tentative="0">
      <w:start w:val="1"/>
      <w:numFmt w:val="decimal"/>
      <w:lvlText w:val="%1.%2.%3.%4.%5."/>
      <w:lvlJc w:val="left"/>
      <w:pPr>
        <w:ind w:left="126" w:hanging="991"/>
      </w:pPr>
      <w:rPr>
        <w:rFonts w:hint="default"/>
      </w:rPr>
    </w:lvl>
    <w:lvl w:ilvl="5" w:tentative="0">
      <w:start w:val="1"/>
      <w:numFmt w:val="decimal"/>
      <w:lvlText w:val="%1.%2.%3.%4.%5.%6."/>
      <w:lvlJc w:val="left"/>
      <w:pPr>
        <w:ind w:left="269" w:hanging="1134"/>
      </w:pPr>
      <w:rPr>
        <w:rFonts w:hint="default"/>
      </w:rPr>
    </w:lvl>
    <w:lvl w:ilvl="6" w:tentative="0">
      <w:start w:val="1"/>
      <w:numFmt w:val="decimal"/>
      <w:lvlText w:val="%1.%2.%3.%4.%5.%6.%7."/>
      <w:lvlJc w:val="left"/>
      <w:pPr>
        <w:ind w:left="410" w:hanging="1275"/>
      </w:pPr>
      <w:rPr>
        <w:rFonts w:hint="default"/>
      </w:rPr>
    </w:lvl>
    <w:lvl w:ilvl="7" w:tentative="0">
      <w:start w:val="1"/>
      <w:numFmt w:val="decimal"/>
      <w:lvlText w:val="%1.%2.%3.%4.%5.%6.%7.%8."/>
      <w:lvlJc w:val="left"/>
      <w:pPr>
        <w:ind w:left="553" w:hanging="1418"/>
      </w:pPr>
      <w:rPr>
        <w:rFonts w:hint="default"/>
      </w:rPr>
    </w:lvl>
    <w:lvl w:ilvl="8" w:tentative="0">
      <w:start w:val="1"/>
      <w:numFmt w:val="decimal"/>
      <w:lvlText w:val="%1.%2.%3.%4.%5.%6.%7.%8.%9."/>
      <w:lvlJc w:val="left"/>
      <w:pPr>
        <w:ind w:left="693" w:hanging="1558"/>
      </w:pPr>
      <w:rPr>
        <w:rFonts w:hint="default"/>
      </w:rPr>
    </w:lvl>
  </w:abstractNum>
  <w:abstractNum w:abstractNumId="3">
    <w:nsid w:val="00000009"/>
    <w:multiLevelType w:val="multilevel"/>
    <w:tmpl w:val="00000009"/>
    <w:lvl w:ilvl="0" w:tentative="0">
      <w:start w:val="1"/>
      <w:numFmt w:val="decimal"/>
      <w:lvlText w:val="第%1条"/>
      <w:lvlJc w:val="left"/>
      <w:pPr>
        <w:tabs>
          <w:tab w:val="left" w:pos="5117"/>
        </w:tabs>
        <w:ind w:left="5117" w:hanging="1418"/>
      </w:pPr>
      <w:rPr>
        <w:rFonts w:hint="eastAsia"/>
      </w:rPr>
    </w:lvl>
    <w:lvl w:ilvl="1" w:tentative="0">
      <w:start w:val="1"/>
      <w:numFmt w:val="decimal"/>
      <w:lvlText w:val="%1.%2"/>
      <w:lvlJc w:val="left"/>
      <w:pPr>
        <w:ind w:left="638" w:hanging="624"/>
      </w:pPr>
      <w:rPr>
        <w:rFonts w:hint="eastAsia" w:ascii="Times New Roman" w:hAnsi="Times New Roman" w:cs="Times New Roman"/>
        <w:b/>
        <w:bCs w:val="0"/>
        <w:i w:val="0"/>
        <w:iCs w:val="0"/>
        <w:caps w:val="0"/>
        <w:smallCaps w:val="0"/>
        <w:vanish w:val="0"/>
        <w:color w:val="000000"/>
        <w:spacing w:val="0"/>
        <w:kern w:val="0"/>
        <w:position w:val="0"/>
        <w:sz w:val="28"/>
        <w:szCs w:val="28"/>
        <w:u w:val="none"/>
        <w:vertAlign w:val="baseline"/>
      </w:rPr>
    </w:lvl>
    <w:lvl w:ilvl="2" w:tentative="0">
      <w:start w:val="1"/>
      <w:numFmt w:val="decimal"/>
      <w:lvlText w:val="%1.%2.%3"/>
      <w:lvlJc w:val="left"/>
      <w:pPr>
        <w:tabs>
          <w:tab w:val="left" w:pos="2837"/>
        </w:tabs>
        <w:ind w:left="2240" w:hanging="680"/>
      </w:pPr>
      <w:rPr>
        <w:rFonts w:hint="eastAsia" w:ascii="Times New Roman" w:hAnsi="Times New Roman" w:cs="Times New Roman"/>
        <w:b w:val="0"/>
        <w:bCs w:val="0"/>
        <w:i w:val="0"/>
        <w:iCs w:val="0"/>
        <w:caps w:val="0"/>
        <w:smallCaps w:val="0"/>
        <w:vanish w:val="0"/>
        <w:color w:val="auto"/>
        <w:spacing w:val="0"/>
        <w:kern w:val="0"/>
        <w:position w:val="0"/>
        <w:u w:val="none"/>
        <w:vertAlign w:val="baseline"/>
      </w:rPr>
    </w:lvl>
    <w:lvl w:ilvl="3" w:tentative="0">
      <w:start w:val="1"/>
      <w:numFmt w:val="lowerLetter"/>
      <w:pStyle w:val="5"/>
      <w:lvlText w:val="(%4)"/>
      <w:lvlJc w:val="left"/>
      <w:pPr>
        <w:ind w:left="5359" w:hanging="397"/>
      </w:pPr>
      <w:rPr>
        <w:rFonts w:hint="default" w:ascii="Times New Roman" w:hAnsi="Times New Roman" w:cs="Times New Roman"/>
      </w:rPr>
    </w:lvl>
    <w:lvl w:ilvl="4" w:tentative="0">
      <w:start w:val="1"/>
      <w:numFmt w:val="lowerRoman"/>
      <w:pStyle w:val="6"/>
      <w:lvlText w:val="(%5)"/>
      <w:lvlJc w:val="left"/>
      <w:pPr>
        <w:ind w:left="2297" w:hanging="312"/>
      </w:pPr>
      <w:rPr>
        <w:rFonts w:hint="eastAsia"/>
      </w:rPr>
    </w:lvl>
    <w:lvl w:ilvl="5" w:tentative="0">
      <w:start w:val="1"/>
      <w:numFmt w:val="decimal"/>
      <w:lvlText w:val="%1.%2.%3.%4.%5.%6"/>
      <w:lvlJc w:val="left"/>
      <w:pPr>
        <w:ind w:left="3274" w:hanging="1134"/>
      </w:pPr>
      <w:rPr>
        <w:rFonts w:hint="eastAsia"/>
      </w:rPr>
    </w:lvl>
    <w:lvl w:ilvl="6" w:tentative="0">
      <w:start w:val="1"/>
      <w:numFmt w:val="decimal"/>
      <w:lvlText w:val="%1.%2.%3.%4.%5.%6.%7"/>
      <w:lvlJc w:val="left"/>
      <w:pPr>
        <w:ind w:left="3841" w:hanging="1276"/>
      </w:pPr>
      <w:rPr>
        <w:rFonts w:hint="eastAsia"/>
      </w:rPr>
    </w:lvl>
    <w:lvl w:ilvl="7" w:tentative="0">
      <w:start w:val="1"/>
      <w:numFmt w:val="decimal"/>
      <w:lvlText w:val="%1.%2.%3.%4.%5.%6.%7.%8"/>
      <w:lvlJc w:val="left"/>
      <w:pPr>
        <w:ind w:left="4408" w:hanging="1418"/>
      </w:pPr>
      <w:rPr>
        <w:rFonts w:hint="eastAsia"/>
      </w:rPr>
    </w:lvl>
    <w:lvl w:ilvl="8" w:tentative="0">
      <w:start w:val="1"/>
      <w:numFmt w:val="decimal"/>
      <w:lvlText w:val="%1.%2.%3.%4.%5.%6.%7.%8.%9"/>
      <w:lvlJc w:val="left"/>
      <w:pPr>
        <w:ind w:left="5116" w:hanging="1700"/>
      </w:pPr>
      <w:rPr>
        <w:rFonts w:hint="eastAsia"/>
      </w:rPr>
    </w:lvl>
  </w:abstractNum>
  <w:abstractNum w:abstractNumId="4">
    <w:nsid w:val="0BADAADE"/>
    <w:multiLevelType w:val="multilevel"/>
    <w:tmpl w:val="0BADAADE"/>
    <w:lvl w:ilvl="0" w:tentative="0">
      <w:start w:val="1"/>
      <w:numFmt w:val="decimal"/>
      <w:suff w:val="nothing"/>
      <w:lvlText w:val="%1."/>
      <w:lvlJc w:val="left"/>
      <w:pPr>
        <w:tabs>
          <w:tab w:val="left" w:pos="0"/>
        </w:tabs>
        <w:ind w:left="905" w:hanging="425"/>
      </w:pPr>
      <w:rPr>
        <w:rFonts w:hint="default" w:ascii="宋体" w:hAnsi="宋体" w:eastAsia="宋体" w:cs="宋体"/>
        <w:spacing w:val="28"/>
        <w:sz w:val="24"/>
        <w:szCs w:val="24"/>
      </w:rPr>
    </w:lvl>
    <w:lvl w:ilvl="1" w:tentative="0">
      <w:start w:val="1"/>
      <w:numFmt w:val="decimal"/>
      <w:suff w:val="nothing"/>
      <w:lvlText w:val="%1.%2."/>
      <w:lvlJc w:val="left"/>
      <w:pPr>
        <w:tabs>
          <w:tab w:val="left" w:pos="0"/>
        </w:tabs>
        <w:ind w:left="1047" w:hanging="567"/>
      </w:pPr>
      <w:rPr>
        <w:rFonts w:hint="default" w:ascii="Arial" w:hAnsi="Arial"/>
        <w:spacing w:val="28"/>
      </w:rPr>
    </w:lvl>
    <w:lvl w:ilvl="2" w:tentative="0">
      <w:start w:val="1"/>
      <w:numFmt w:val="decimal"/>
      <w:lvlText w:val="%1.%2.%3."/>
      <w:lvlJc w:val="left"/>
      <w:pPr>
        <w:ind w:left="1189" w:hanging="709"/>
      </w:pPr>
      <w:rPr>
        <w:rFonts w:hint="default"/>
      </w:rPr>
    </w:lvl>
    <w:lvl w:ilvl="3" w:tentative="0">
      <w:start w:val="1"/>
      <w:numFmt w:val="decimal"/>
      <w:lvlText w:val="%1.%2.%3.%4."/>
      <w:lvlJc w:val="left"/>
      <w:pPr>
        <w:ind w:left="1330" w:hanging="850"/>
      </w:pPr>
      <w:rPr>
        <w:rFonts w:hint="default"/>
      </w:rPr>
    </w:lvl>
    <w:lvl w:ilvl="4" w:tentative="0">
      <w:start w:val="1"/>
      <w:numFmt w:val="decimal"/>
      <w:lvlText w:val="%1.%2.%3.%4.%5."/>
      <w:lvlJc w:val="left"/>
      <w:pPr>
        <w:ind w:left="1471" w:hanging="991"/>
      </w:pPr>
      <w:rPr>
        <w:rFonts w:hint="default"/>
      </w:rPr>
    </w:lvl>
    <w:lvl w:ilvl="5" w:tentative="0">
      <w:start w:val="1"/>
      <w:numFmt w:val="decimal"/>
      <w:lvlText w:val="%1.%2.%3.%4.%5.%6."/>
      <w:lvlJc w:val="left"/>
      <w:pPr>
        <w:ind w:left="1614" w:hanging="1134"/>
      </w:pPr>
      <w:rPr>
        <w:rFonts w:hint="default"/>
      </w:rPr>
    </w:lvl>
    <w:lvl w:ilvl="6" w:tentative="0">
      <w:start w:val="1"/>
      <w:numFmt w:val="decimal"/>
      <w:lvlText w:val="%1.%2.%3.%4.%5.%6.%7."/>
      <w:lvlJc w:val="left"/>
      <w:pPr>
        <w:ind w:left="1755" w:hanging="1275"/>
      </w:pPr>
      <w:rPr>
        <w:rFonts w:hint="default"/>
      </w:rPr>
    </w:lvl>
    <w:lvl w:ilvl="7" w:tentative="0">
      <w:start w:val="1"/>
      <w:numFmt w:val="decimal"/>
      <w:lvlText w:val="%1.%2.%3.%4.%5.%6.%7.%8."/>
      <w:lvlJc w:val="left"/>
      <w:pPr>
        <w:ind w:left="1898" w:hanging="1418"/>
      </w:pPr>
      <w:rPr>
        <w:rFonts w:hint="default"/>
      </w:rPr>
    </w:lvl>
    <w:lvl w:ilvl="8" w:tentative="0">
      <w:start w:val="1"/>
      <w:numFmt w:val="decimal"/>
      <w:lvlText w:val="%1.%2.%3.%4.%5.%6.%7.%8.%9."/>
      <w:lvlJc w:val="left"/>
      <w:pPr>
        <w:ind w:left="2038" w:hanging="1558"/>
      </w:pPr>
      <w:rPr>
        <w:rFonts w:hint="default"/>
      </w:rPr>
    </w:lvl>
  </w:abstractNum>
  <w:abstractNum w:abstractNumId="5">
    <w:nsid w:val="60ED6983"/>
    <w:multiLevelType w:val="singleLevel"/>
    <w:tmpl w:val="60ED6983"/>
    <w:lvl w:ilvl="0" w:tentative="0">
      <w:start w:val="1"/>
      <w:numFmt w:val="chineseCounting"/>
      <w:suff w:val="space"/>
      <w:lvlText w:val="第%1条"/>
      <w:lvlJc w:val="left"/>
      <w:pPr>
        <w:tabs>
          <w:tab w:val="left" w:pos="0"/>
        </w:tabs>
        <w:ind w:left="423" w:hanging="425"/>
      </w:pPr>
      <w:rPr>
        <w:rFonts w:hint="eastAsia" w:ascii="宋体" w:hAnsi="宋体" w:eastAsia="宋体" w:cs="宋体"/>
      </w:rPr>
    </w:lvl>
  </w:abstractNum>
  <w:abstractNum w:abstractNumId="6">
    <w:nsid w:val="621669EB"/>
    <w:multiLevelType w:val="multilevel"/>
    <w:tmpl w:val="621669EB"/>
    <w:lvl w:ilvl="0" w:tentative="0">
      <w:start w:val="1"/>
      <w:numFmt w:val="decimal"/>
      <w:suff w:val="nothing"/>
      <w:lvlText w:val="%1."/>
      <w:lvlJc w:val="left"/>
      <w:pPr>
        <w:tabs>
          <w:tab w:val="left" w:pos="0"/>
        </w:tabs>
        <w:ind w:left="425" w:hanging="425"/>
      </w:pPr>
      <w:rPr>
        <w:rFonts w:hint="default" w:ascii="宋体" w:hAnsi="宋体" w:eastAsia="宋体" w:cs="宋体"/>
        <w:sz w:val="24"/>
        <w:szCs w:val="24"/>
      </w:rPr>
    </w:lvl>
    <w:lvl w:ilvl="1" w:tentative="0">
      <w:start w:val="1"/>
      <w:numFmt w:val="decimal"/>
      <w:suff w:val="nothing"/>
      <w:lvlText w:val="%1.%2."/>
      <w:lvlJc w:val="left"/>
      <w:pPr>
        <w:tabs>
          <w:tab w:val="left" w:pos="0"/>
        </w:tabs>
        <w:ind w:left="850" w:hanging="453"/>
      </w:pPr>
      <w:rPr>
        <w:rFonts w:hint="default" w:ascii="宋体" w:hAnsi="宋体" w:eastAsia="宋体" w:cs="宋体"/>
        <w:sz w:val="22"/>
      </w:rPr>
    </w:lvl>
    <w:lvl w:ilvl="2" w:tentative="0">
      <w:start w:val="1"/>
      <w:numFmt w:val="decimal"/>
      <w:suff w:val="nothing"/>
      <w:lvlText w:val="%1.%2.%3."/>
      <w:lvlJc w:val="left"/>
      <w:pPr>
        <w:tabs>
          <w:tab w:val="left" w:pos="0"/>
        </w:tabs>
        <w:ind w:left="1508" w:hanging="708"/>
      </w:pPr>
      <w:rPr>
        <w:rFonts w:hint="default" w:ascii="宋体" w:hAnsi="宋体" w:eastAsia="宋体" w:cs="宋体"/>
        <w:sz w:val="24"/>
        <w:szCs w:val="24"/>
      </w:rPr>
    </w:lvl>
    <w:lvl w:ilvl="3" w:tentative="0">
      <w:start w:val="1"/>
      <w:numFmt w:val="decimal"/>
      <w:suff w:val="nothing"/>
      <w:lvlText w:val="%1.%2.%3.%4."/>
      <w:lvlJc w:val="left"/>
      <w:pPr>
        <w:tabs>
          <w:tab w:val="left" w:pos="0"/>
        </w:tabs>
        <w:ind w:left="2053" w:hanging="853"/>
      </w:pPr>
      <w:rPr>
        <w:rFonts w:hint="default" w:ascii="黑体" w:hAnsi="黑体" w:eastAsia="黑体" w:cs="黑体"/>
      </w:rPr>
    </w:lvl>
    <w:lvl w:ilvl="4" w:tentative="0">
      <w:start w:val="1"/>
      <w:numFmt w:val="decimal"/>
      <w:lvlText w:val="%1.%2.%3.%4.%5."/>
      <w:lvlJc w:val="left"/>
      <w:pPr>
        <w:tabs>
          <w:tab w:val="left" w:pos="0"/>
        </w:tabs>
        <w:ind w:left="2495" w:hanging="895"/>
      </w:pPr>
      <w:rPr>
        <w:rFonts w:hint="default"/>
      </w:rPr>
    </w:lvl>
    <w:lvl w:ilvl="5" w:tentative="0">
      <w:start w:val="1"/>
      <w:numFmt w:val="decimal"/>
      <w:lvlText w:val="%1.%2.%3.%4.%5.%6."/>
      <w:lvlJc w:val="left"/>
      <w:pPr>
        <w:tabs>
          <w:tab w:val="left" w:pos="0"/>
        </w:tabs>
        <w:ind w:left="3136" w:hanging="1136"/>
      </w:pPr>
      <w:rPr>
        <w:rFonts w:hint="default"/>
      </w:rPr>
    </w:lvl>
    <w:lvl w:ilvl="6" w:tentative="0">
      <w:start w:val="1"/>
      <w:numFmt w:val="decimal"/>
      <w:lvlText w:val="%1.%2.%3.%4.%5.%6.%7."/>
      <w:lvlJc w:val="left"/>
      <w:pPr>
        <w:tabs>
          <w:tab w:val="left" w:pos="0"/>
        </w:tabs>
        <w:ind w:left="3673" w:hanging="1273"/>
      </w:pPr>
      <w:rPr>
        <w:rFonts w:hint="default"/>
      </w:rPr>
    </w:lvl>
    <w:lvl w:ilvl="7" w:tentative="0">
      <w:start w:val="1"/>
      <w:numFmt w:val="decimal"/>
      <w:lvlText w:val="%1.%2.%3.%4.%5.%6.%7.%8."/>
      <w:lvlJc w:val="left"/>
      <w:pPr>
        <w:tabs>
          <w:tab w:val="left" w:pos="0"/>
        </w:tabs>
        <w:ind w:left="4218" w:hanging="1418"/>
      </w:pPr>
      <w:rPr>
        <w:rFonts w:hint="default"/>
      </w:rPr>
    </w:lvl>
    <w:lvl w:ilvl="8" w:tentative="0">
      <w:start w:val="1"/>
      <w:numFmt w:val="decimal"/>
      <w:lvlText w:val="%1.%2.%3.%4.%5.%6.%7.%8.%9."/>
      <w:lvlJc w:val="left"/>
      <w:pPr>
        <w:tabs>
          <w:tab w:val="left" w:pos="0"/>
        </w:tabs>
        <w:ind w:left="4648" w:hanging="1448"/>
      </w:pPr>
      <w:rPr>
        <w:rFonts w:hint="default"/>
      </w:rPr>
    </w:lvl>
  </w:abstractNum>
  <w:num w:numId="1">
    <w:abstractNumId w:val="1"/>
  </w:num>
  <w:num w:numId="2">
    <w:abstractNumId w:val="3"/>
  </w:num>
  <w:num w:numId="3">
    <w:abstractNumId w:val="2"/>
  </w:num>
  <w:num w:numId="4">
    <w:abstractNumId w:val="4"/>
  </w:num>
  <w:num w:numId="5">
    <w:abstractNumId w:val="0"/>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bordersDoNotSurroundHeader w:val="1"/>
  <w:bordersDoNotSurroundFooter w:val="1"/>
  <w:documentProtection w:enforcement="0"/>
  <w:defaultTabStop w:val="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NhZDBhZDQ5ZWM5NWUzMTM3YzBlMGYyYzM4ZDhlOTYifQ=="/>
  </w:docVars>
  <w:rsids>
    <w:rsidRoot w:val="00172A27"/>
    <w:rsid w:val="00071213"/>
    <w:rsid w:val="00093C72"/>
    <w:rsid w:val="00105735"/>
    <w:rsid w:val="0014406D"/>
    <w:rsid w:val="00145155"/>
    <w:rsid w:val="001D0C3C"/>
    <w:rsid w:val="00246D1E"/>
    <w:rsid w:val="004664BD"/>
    <w:rsid w:val="005A7208"/>
    <w:rsid w:val="00693B17"/>
    <w:rsid w:val="007402CA"/>
    <w:rsid w:val="007A148D"/>
    <w:rsid w:val="007A1658"/>
    <w:rsid w:val="007D6E67"/>
    <w:rsid w:val="007E132F"/>
    <w:rsid w:val="007F6C6F"/>
    <w:rsid w:val="00852625"/>
    <w:rsid w:val="00AF4D55"/>
    <w:rsid w:val="00BA3803"/>
    <w:rsid w:val="00C14B91"/>
    <w:rsid w:val="00C30AC0"/>
    <w:rsid w:val="00C34DAD"/>
    <w:rsid w:val="00C5386F"/>
    <w:rsid w:val="00CB77BE"/>
    <w:rsid w:val="00D3629E"/>
    <w:rsid w:val="00E15234"/>
    <w:rsid w:val="00E533EB"/>
    <w:rsid w:val="00F44F67"/>
    <w:rsid w:val="00F51708"/>
    <w:rsid w:val="010805F1"/>
    <w:rsid w:val="010C0502"/>
    <w:rsid w:val="010D37CA"/>
    <w:rsid w:val="01136D44"/>
    <w:rsid w:val="01137640"/>
    <w:rsid w:val="01176FE6"/>
    <w:rsid w:val="011A3B3E"/>
    <w:rsid w:val="012D2227"/>
    <w:rsid w:val="0136557F"/>
    <w:rsid w:val="01413308"/>
    <w:rsid w:val="015A3730"/>
    <w:rsid w:val="0167398B"/>
    <w:rsid w:val="016A347B"/>
    <w:rsid w:val="017B11E4"/>
    <w:rsid w:val="017D5318"/>
    <w:rsid w:val="018E53BB"/>
    <w:rsid w:val="01C10859"/>
    <w:rsid w:val="01C26E13"/>
    <w:rsid w:val="01D37057"/>
    <w:rsid w:val="01DB4BFD"/>
    <w:rsid w:val="01E07299"/>
    <w:rsid w:val="01F55DAA"/>
    <w:rsid w:val="01F6325B"/>
    <w:rsid w:val="01F86CD9"/>
    <w:rsid w:val="01FE6DF2"/>
    <w:rsid w:val="01FF3BC3"/>
    <w:rsid w:val="022341B6"/>
    <w:rsid w:val="0236335D"/>
    <w:rsid w:val="023A109F"/>
    <w:rsid w:val="024C2B81"/>
    <w:rsid w:val="02520FC1"/>
    <w:rsid w:val="02685C0C"/>
    <w:rsid w:val="026B74AB"/>
    <w:rsid w:val="0284231A"/>
    <w:rsid w:val="0299478B"/>
    <w:rsid w:val="029D33DC"/>
    <w:rsid w:val="02A7502B"/>
    <w:rsid w:val="02B4383B"/>
    <w:rsid w:val="02B524D4"/>
    <w:rsid w:val="02BF77F6"/>
    <w:rsid w:val="02C34EEE"/>
    <w:rsid w:val="02C46BBB"/>
    <w:rsid w:val="02F96C9D"/>
    <w:rsid w:val="02FF7BF3"/>
    <w:rsid w:val="030568CC"/>
    <w:rsid w:val="030B2A3C"/>
    <w:rsid w:val="03100052"/>
    <w:rsid w:val="0314051C"/>
    <w:rsid w:val="03200295"/>
    <w:rsid w:val="03266AD1"/>
    <w:rsid w:val="032F4ADE"/>
    <w:rsid w:val="03323B24"/>
    <w:rsid w:val="035A7749"/>
    <w:rsid w:val="037E3B5A"/>
    <w:rsid w:val="03866E32"/>
    <w:rsid w:val="038B3EE8"/>
    <w:rsid w:val="039667A9"/>
    <w:rsid w:val="03976088"/>
    <w:rsid w:val="039E11BA"/>
    <w:rsid w:val="03A52548"/>
    <w:rsid w:val="03B77A2E"/>
    <w:rsid w:val="03DB525E"/>
    <w:rsid w:val="03E13B52"/>
    <w:rsid w:val="03E5328D"/>
    <w:rsid w:val="03E6032D"/>
    <w:rsid w:val="041D2A27"/>
    <w:rsid w:val="042B1DDB"/>
    <w:rsid w:val="0430275A"/>
    <w:rsid w:val="043F0BEF"/>
    <w:rsid w:val="04405D6F"/>
    <w:rsid w:val="044665DA"/>
    <w:rsid w:val="045E663F"/>
    <w:rsid w:val="04610FA8"/>
    <w:rsid w:val="0476578F"/>
    <w:rsid w:val="047F0FFC"/>
    <w:rsid w:val="04874344"/>
    <w:rsid w:val="049031F8"/>
    <w:rsid w:val="049D12CA"/>
    <w:rsid w:val="049F343C"/>
    <w:rsid w:val="04CD61FB"/>
    <w:rsid w:val="04DC0AA0"/>
    <w:rsid w:val="04E54D34"/>
    <w:rsid w:val="04F512AE"/>
    <w:rsid w:val="04F80D9E"/>
    <w:rsid w:val="04F96FF0"/>
    <w:rsid w:val="04FA2D68"/>
    <w:rsid w:val="04FA68C4"/>
    <w:rsid w:val="04FE46FF"/>
    <w:rsid w:val="05032CAF"/>
    <w:rsid w:val="05241B93"/>
    <w:rsid w:val="052E656D"/>
    <w:rsid w:val="0563090D"/>
    <w:rsid w:val="056E06C9"/>
    <w:rsid w:val="05816FE5"/>
    <w:rsid w:val="05947C79"/>
    <w:rsid w:val="0599432F"/>
    <w:rsid w:val="05A15BA4"/>
    <w:rsid w:val="05A848E9"/>
    <w:rsid w:val="05B146DA"/>
    <w:rsid w:val="05B64EE1"/>
    <w:rsid w:val="05B8129E"/>
    <w:rsid w:val="05CA44E8"/>
    <w:rsid w:val="05DD06BF"/>
    <w:rsid w:val="05DE1D42"/>
    <w:rsid w:val="05E01F80"/>
    <w:rsid w:val="05EF1759"/>
    <w:rsid w:val="060769A0"/>
    <w:rsid w:val="06154247"/>
    <w:rsid w:val="061B2F96"/>
    <w:rsid w:val="062A5508"/>
    <w:rsid w:val="062F259D"/>
    <w:rsid w:val="063F2283"/>
    <w:rsid w:val="06400C4E"/>
    <w:rsid w:val="066B4501"/>
    <w:rsid w:val="067A4160"/>
    <w:rsid w:val="067B393C"/>
    <w:rsid w:val="067E4274"/>
    <w:rsid w:val="0683127D"/>
    <w:rsid w:val="06A27213"/>
    <w:rsid w:val="06B53645"/>
    <w:rsid w:val="06CE0008"/>
    <w:rsid w:val="06D959FD"/>
    <w:rsid w:val="06DF0467"/>
    <w:rsid w:val="06E67100"/>
    <w:rsid w:val="070457D8"/>
    <w:rsid w:val="070E198C"/>
    <w:rsid w:val="07183962"/>
    <w:rsid w:val="072F4F4B"/>
    <w:rsid w:val="0736472E"/>
    <w:rsid w:val="073E6F3C"/>
    <w:rsid w:val="075229E7"/>
    <w:rsid w:val="075B263E"/>
    <w:rsid w:val="07695F38"/>
    <w:rsid w:val="07727B34"/>
    <w:rsid w:val="0776134C"/>
    <w:rsid w:val="079B438E"/>
    <w:rsid w:val="07A31495"/>
    <w:rsid w:val="07A7609C"/>
    <w:rsid w:val="07AE0529"/>
    <w:rsid w:val="07B436A2"/>
    <w:rsid w:val="07B44CBC"/>
    <w:rsid w:val="07BB27EF"/>
    <w:rsid w:val="07C338E5"/>
    <w:rsid w:val="07CD4764"/>
    <w:rsid w:val="07D21D7A"/>
    <w:rsid w:val="07D96C64"/>
    <w:rsid w:val="07DE24CD"/>
    <w:rsid w:val="07F25C3B"/>
    <w:rsid w:val="07FE2B6F"/>
    <w:rsid w:val="08012DE3"/>
    <w:rsid w:val="0806458B"/>
    <w:rsid w:val="080D38E6"/>
    <w:rsid w:val="083D65AA"/>
    <w:rsid w:val="084522DC"/>
    <w:rsid w:val="0852282F"/>
    <w:rsid w:val="085441FA"/>
    <w:rsid w:val="08600E1B"/>
    <w:rsid w:val="08684C4F"/>
    <w:rsid w:val="08721333"/>
    <w:rsid w:val="08753B69"/>
    <w:rsid w:val="08777BCA"/>
    <w:rsid w:val="087924EA"/>
    <w:rsid w:val="08907D33"/>
    <w:rsid w:val="08993539"/>
    <w:rsid w:val="08A560A9"/>
    <w:rsid w:val="08AF2064"/>
    <w:rsid w:val="08B446C5"/>
    <w:rsid w:val="08BA4CE8"/>
    <w:rsid w:val="08C55CCF"/>
    <w:rsid w:val="08C6530F"/>
    <w:rsid w:val="08F0070A"/>
    <w:rsid w:val="08F558FB"/>
    <w:rsid w:val="08FC0E5C"/>
    <w:rsid w:val="090048DC"/>
    <w:rsid w:val="090412D1"/>
    <w:rsid w:val="091F0FEF"/>
    <w:rsid w:val="09271C52"/>
    <w:rsid w:val="092C7268"/>
    <w:rsid w:val="09306D58"/>
    <w:rsid w:val="09414834"/>
    <w:rsid w:val="09491BC8"/>
    <w:rsid w:val="094C24EB"/>
    <w:rsid w:val="094C607F"/>
    <w:rsid w:val="095A3DD5"/>
    <w:rsid w:val="095F13EB"/>
    <w:rsid w:val="09626C78"/>
    <w:rsid w:val="09646A02"/>
    <w:rsid w:val="09772BD9"/>
    <w:rsid w:val="09815AA0"/>
    <w:rsid w:val="09866978"/>
    <w:rsid w:val="098D703C"/>
    <w:rsid w:val="09954D8D"/>
    <w:rsid w:val="099D3C99"/>
    <w:rsid w:val="09A42C53"/>
    <w:rsid w:val="09B07664"/>
    <w:rsid w:val="09B74D83"/>
    <w:rsid w:val="09B94F9F"/>
    <w:rsid w:val="09BA6059"/>
    <w:rsid w:val="09BF286D"/>
    <w:rsid w:val="09E051CB"/>
    <w:rsid w:val="09E71B0D"/>
    <w:rsid w:val="0A1162CB"/>
    <w:rsid w:val="0A1812E5"/>
    <w:rsid w:val="0A222B45"/>
    <w:rsid w:val="0A287A2F"/>
    <w:rsid w:val="0A334D52"/>
    <w:rsid w:val="0A417EAB"/>
    <w:rsid w:val="0A4931A5"/>
    <w:rsid w:val="0A4E292F"/>
    <w:rsid w:val="0A6071C9"/>
    <w:rsid w:val="0A7416D6"/>
    <w:rsid w:val="0A79028B"/>
    <w:rsid w:val="0A7B6B00"/>
    <w:rsid w:val="0A7C73DE"/>
    <w:rsid w:val="0A870BFA"/>
    <w:rsid w:val="0A883515"/>
    <w:rsid w:val="0A8C4462"/>
    <w:rsid w:val="0A9B28F7"/>
    <w:rsid w:val="0AA66C44"/>
    <w:rsid w:val="0AA84FB8"/>
    <w:rsid w:val="0AAB0D8C"/>
    <w:rsid w:val="0AAE262A"/>
    <w:rsid w:val="0AAE2FD3"/>
    <w:rsid w:val="0ABF0569"/>
    <w:rsid w:val="0AC110ED"/>
    <w:rsid w:val="0AC97464"/>
    <w:rsid w:val="0ACA2D4B"/>
    <w:rsid w:val="0AD904A9"/>
    <w:rsid w:val="0AE55920"/>
    <w:rsid w:val="0AF076B7"/>
    <w:rsid w:val="0B064214"/>
    <w:rsid w:val="0B1D330C"/>
    <w:rsid w:val="0B1F7084"/>
    <w:rsid w:val="0B2775D7"/>
    <w:rsid w:val="0B277817"/>
    <w:rsid w:val="0B350656"/>
    <w:rsid w:val="0B372620"/>
    <w:rsid w:val="0B5273A7"/>
    <w:rsid w:val="0B5964AA"/>
    <w:rsid w:val="0B5F56D3"/>
    <w:rsid w:val="0B696551"/>
    <w:rsid w:val="0B7F5D75"/>
    <w:rsid w:val="0BAC112D"/>
    <w:rsid w:val="0BB7550F"/>
    <w:rsid w:val="0BBA4FFF"/>
    <w:rsid w:val="0BBC48D3"/>
    <w:rsid w:val="0BD7170D"/>
    <w:rsid w:val="0BE5207C"/>
    <w:rsid w:val="0C02009E"/>
    <w:rsid w:val="0C040028"/>
    <w:rsid w:val="0C1A5F83"/>
    <w:rsid w:val="0C2D3A23"/>
    <w:rsid w:val="0C321F45"/>
    <w:rsid w:val="0C366586"/>
    <w:rsid w:val="0C3758FA"/>
    <w:rsid w:val="0C3C77C2"/>
    <w:rsid w:val="0C4B6D63"/>
    <w:rsid w:val="0C637445"/>
    <w:rsid w:val="0C7A4281"/>
    <w:rsid w:val="0C917B0E"/>
    <w:rsid w:val="0CA24F56"/>
    <w:rsid w:val="0CA830A9"/>
    <w:rsid w:val="0CAA7290"/>
    <w:rsid w:val="0CC53C5B"/>
    <w:rsid w:val="0CCA74C4"/>
    <w:rsid w:val="0CCD6E01"/>
    <w:rsid w:val="0CD6163A"/>
    <w:rsid w:val="0CD875CA"/>
    <w:rsid w:val="0CDD09B3"/>
    <w:rsid w:val="0CEE4F60"/>
    <w:rsid w:val="0CFA68BB"/>
    <w:rsid w:val="0CFD1647"/>
    <w:rsid w:val="0D006A41"/>
    <w:rsid w:val="0D044784"/>
    <w:rsid w:val="0D215336"/>
    <w:rsid w:val="0D232C17"/>
    <w:rsid w:val="0D3112F1"/>
    <w:rsid w:val="0D35493D"/>
    <w:rsid w:val="0D5A0848"/>
    <w:rsid w:val="0D5C5417"/>
    <w:rsid w:val="0D6C3835"/>
    <w:rsid w:val="0D705975"/>
    <w:rsid w:val="0D7840AA"/>
    <w:rsid w:val="0D9C49BC"/>
    <w:rsid w:val="0D9F0B3B"/>
    <w:rsid w:val="0D9F44AC"/>
    <w:rsid w:val="0DA63DC7"/>
    <w:rsid w:val="0DA77735"/>
    <w:rsid w:val="0DC31E81"/>
    <w:rsid w:val="0DC74CC3"/>
    <w:rsid w:val="0DEB5944"/>
    <w:rsid w:val="0DEE39B4"/>
    <w:rsid w:val="0DEF71E2"/>
    <w:rsid w:val="0E04203D"/>
    <w:rsid w:val="0E0802A4"/>
    <w:rsid w:val="0E11167B"/>
    <w:rsid w:val="0E245572"/>
    <w:rsid w:val="0E4B7C54"/>
    <w:rsid w:val="0E4D5CB6"/>
    <w:rsid w:val="0E4E414E"/>
    <w:rsid w:val="0E4F4361"/>
    <w:rsid w:val="0E59242C"/>
    <w:rsid w:val="0E6878A6"/>
    <w:rsid w:val="0E6D695C"/>
    <w:rsid w:val="0E7A4242"/>
    <w:rsid w:val="0E811E04"/>
    <w:rsid w:val="0EBE0962"/>
    <w:rsid w:val="0EBF1938"/>
    <w:rsid w:val="0EC22051"/>
    <w:rsid w:val="0EEC54CF"/>
    <w:rsid w:val="0EF73E51"/>
    <w:rsid w:val="0EF80318"/>
    <w:rsid w:val="0F0D4A89"/>
    <w:rsid w:val="0F206587"/>
    <w:rsid w:val="0F3D5D2B"/>
    <w:rsid w:val="0F503CB0"/>
    <w:rsid w:val="0F683AC1"/>
    <w:rsid w:val="0F7F00F1"/>
    <w:rsid w:val="0F9A13CF"/>
    <w:rsid w:val="0FA364D6"/>
    <w:rsid w:val="0FB6788B"/>
    <w:rsid w:val="0FB8775E"/>
    <w:rsid w:val="0FB96F8C"/>
    <w:rsid w:val="0FC603E2"/>
    <w:rsid w:val="0FDD12BC"/>
    <w:rsid w:val="0FDD78C1"/>
    <w:rsid w:val="0FED7751"/>
    <w:rsid w:val="0FFC08DA"/>
    <w:rsid w:val="0FFF7484"/>
    <w:rsid w:val="10014FAA"/>
    <w:rsid w:val="10184D43"/>
    <w:rsid w:val="10207B26"/>
    <w:rsid w:val="10284C2D"/>
    <w:rsid w:val="102B2027"/>
    <w:rsid w:val="10352EA6"/>
    <w:rsid w:val="103B23E7"/>
    <w:rsid w:val="10482BD9"/>
    <w:rsid w:val="104906FF"/>
    <w:rsid w:val="1056229E"/>
    <w:rsid w:val="106D2640"/>
    <w:rsid w:val="10755FB8"/>
    <w:rsid w:val="10944070"/>
    <w:rsid w:val="10A67900"/>
    <w:rsid w:val="10AE7FBC"/>
    <w:rsid w:val="10B254EE"/>
    <w:rsid w:val="10BE1C3F"/>
    <w:rsid w:val="10BF3769"/>
    <w:rsid w:val="10C138F3"/>
    <w:rsid w:val="10CD30DE"/>
    <w:rsid w:val="10CE3500"/>
    <w:rsid w:val="10F26F99"/>
    <w:rsid w:val="10F863AD"/>
    <w:rsid w:val="1105353C"/>
    <w:rsid w:val="11073A7F"/>
    <w:rsid w:val="110A700B"/>
    <w:rsid w:val="11164A85"/>
    <w:rsid w:val="11195E41"/>
    <w:rsid w:val="111E1B8C"/>
    <w:rsid w:val="111F1247"/>
    <w:rsid w:val="11224C53"/>
    <w:rsid w:val="112F5B47"/>
    <w:rsid w:val="113106E6"/>
    <w:rsid w:val="114063F2"/>
    <w:rsid w:val="114A472F"/>
    <w:rsid w:val="114B7E5C"/>
    <w:rsid w:val="11544EAF"/>
    <w:rsid w:val="11553F80"/>
    <w:rsid w:val="116056D4"/>
    <w:rsid w:val="11641C95"/>
    <w:rsid w:val="11674BFA"/>
    <w:rsid w:val="11735051"/>
    <w:rsid w:val="11A33015"/>
    <w:rsid w:val="11AF6C09"/>
    <w:rsid w:val="11B00A36"/>
    <w:rsid w:val="11C97D4A"/>
    <w:rsid w:val="11D71176"/>
    <w:rsid w:val="11FE0A14"/>
    <w:rsid w:val="11FE6E0B"/>
    <w:rsid w:val="12017F94"/>
    <w:rsid w:val="12094AE8"/>
    <w:rsid w:val="121E62E8"/>
    <w:rsid w:val="12260CDB"/>
    <w:rsid w:val="12343ED2"/>
    <w:rsid w:val="12381244"/>
    <w:rsid w:val="12394ECF"/>
    <w:rsid w:val="124F64A1"/>
    <w:rsid w:val="1253770F"/>
    <w:rsid w:val="125E4936"/>
    <w:rsid w:val="126407FA"/>
    <w:rsid w:val="12955EAD"/>
    <w:rsid w:val="12A4173C"/>
    <w:rsid w:val="12A460C1"/>
    <w:rsid w:val="12A71ECD"/>
    <w:rsid w:val="12A915BD"/>
    <w:rsid w:val="12AD766B"/>
    <w:rsid w:val="12BB58E4"/>
    <w:rsid w:val="12C16C73"/>
    <w:rsid w:val="12C55CEB"/>
    <w:rsid w:val="12D442DB"/>
    <w:rsid w:val="12D6183D"/>
    <w:rsid w:val="12D65981"/>
    <w:rsid w:val="12D71423"/>
    <w:rsid w:val="12DC585B"/>
    <w:rsid w:val="12E50BB3"/>
    <w:rsid w:val="12EF1A32"/>
    <w:rsid w:val="131C19AF"/>
    <w:rsid w:val="132B4B1A"/>
    <w:rsid w:val="13425C0E"/>
    <w:rsid w:val="134277F0"/>
    <w:rsid w:val="13476E38"/>
    <w:rsid w:val="13607855"/>
    <w:rsid w:val="136F4921"/>
    <w:rsid w:val="137439B9"/>
    <w:rsid w:val="137D7AA1"/>
    <w:rsid w:val="13815438"/>
    <w:rsid w:val="13856EC8"/>
    <w:rsid w:val="13901C58"/>
    <w:rsid w:val="1391403E"/>
    <w:rsid w:val="13961581"/>
    <w:rsid w:val="139D148E"/>
    <w:rsid w:val="13B3480E"/>
    <w:rsid w:val="13B93E9B"/>
    <w:rsid w:val="13B97C0E"/>
    <w:rsid w:val="13BE7816"/>
    <w:rsid w:val="13C81BB0"/>
    <w:rsid w:val="13E84433"/>
    <w:rsid w:val="1408160C"/>
    <w:rsid w:val="14135862"/>
    <w:rsid w:val="141A488D"/>
    <w:rsid w:val="14221993"/>
    <w:rsid w:val="14346984"/>
    <w:rsid w:val="14575AE1"/>
    <w:rsid w:val="145C3ADA"/>
    <w:rsid w:val="1461070D"/>
    <w:rsid w:val="146435E6"/>
    <w:rsid w:val="146975C2"/>
    <w:rsid w:val="146B2BE1"/>
    <w:rsid w:val="1478409D"/>
    <w:rsid w:val="147E12BF"/>
    <w:rsid w:val="14952165"/>
    <w:rsid w:val="14B103A0"/>
    <w:rsid w:val="14B4569B"/>
    <w:rsid w:val="14C8078D"/>
    <w:rsid w:val="14D64C58"/>
    <w:rsid w:val="14DF1632"/>
    <w:rsid w:val="14EF1875"/>
    <w:rsid w:val="14F7697C"/>
    <w:rsid w:val="14FC3F92"/>
    <w:rsid w:val="15000D6C"/>
    <w:rsid w:val="1537321C"/>
    <w:rsid w:val="1548072A"/>
    <w:rsid w:val="15485429"/>
    <w:rsid w:val="154A7175"/>
    <w:rsid w:val="155418F7"/>
    <w:rsid w:val="15636A48"/>
    <w:rsid w:val="159B13C1"/>
    <w:rsid w:val="15A27412"/>
    <w:rsid w:val="15C50828"/>
    <w:rsid w:val="15DF7B3C"/>
    <w:rsid w:val="15E11B06"/>
    <w:rsid w:val="15F1161D"/>
    <w:rsid w:val="15F5735F"/>
    <w:rsid w:val="160B0931"/>
    <w:rsid w:val="16135A37"/>
    <w:rsid w:val="161A6908"/>
    <w:rsid w:val="16227A29"/>
    <w:rsid w:val="16254F36"/>
    <w:rsid w:val="162B4B2F"/>
    <w:rsid w:val="16343DB8"/>
    <w:rsid w:val="16575086"/>
    <w:rsid w:val="165822AD"/>
    <w:rsid w:val="1667171F"/>
    <w:rsid w:val="16687B01"/>
    <w:rsid w:val="1674297A"/>
    <w:rsid w:val="16773CB9"/>
    <w:rsid w:val="168129A1"/>
    <w:rsid w:val="16842491"/>
    <w:rsid w:val="168D16A5"/>
    <w:rsid w:val="16957B06"/>
    <w:rsid w:val="169C3C7F"/>
    <w:rsid w:val="169E17A5"/>
    <w:rsid w:val="16A161AD"/>
    <w:rsid w:val="16A50D85"/>
    <w:rsid w:val="16AD5DAE"/>
    <w:rsid w:val="16BB0CBF"/>
    <w:rsid w:val="16C240F4"/>
    <w:rsid w:val="16C254E6"/>
    <w:rsid w:val="16CA07EC"/>
    <w:rsid w:val="16CA453D"/>
    <w:rsid w:val="16DC051F"/>
    <w:rsid w:val="170610F8"/>
    <w:rsid w:val="170D4891"/>
    <w:rsid w:val="17154529"/>
    <w:rsid w:val="171E4694"/>
    <w:rsid w:val="171F481C"/>
    <w:rsid w:val="17345C65"/>
    <w:rsid w:val="1740285C"/>
    <w:rsid w:val="177469AA"/>
    <w:rsid w:val="177B16DD"/>
    <w:rsid w:val="178A289D"/>
    <w:rsid w:val="17A74689"/>
    <w:rsid w:val="17A821AF"/>
    <w:rsid w:val="17F43C6D"/>
    <w:rsid w:val="17FF44C5"/>
    <w:rsid w:val="1800023D"/>
    <w:rsid w:val="1805593D"/>
    <w:rsid w:val="18160762"/>
    <w:rsid w:val="182934BB"/>
    <w:rsid w:val="18326A7C"/>
    <w:rsid w:val="183A374F"/>
    <w:rsid w:val="184273A9"/>
    <w:rsid w:val="185E159D"/>
    <w:rsid w:val="18707171"/>
    <w:rsid w:val="1876405C"/>
    <w:rsid w:val="18805297"/>
    <w:rsid w:val="18826F82"/>
    <w:rsid w:val="188B4CDC"/>
    <w:rsid w:val="1890336F"/>
    <w:rsid w:val="18962D37"/>
    <w:rsid w:val="189B3AC2"/>
    <w:rsid w:val="18B232E6"/>
    <w:rsid w:val="18CC7AD3"/>
    <w:rsid w:val="18CE4886"/>
    <w:rsid w:val="18CE61F2"/>
    <w:rsid w:val="18DC4807"/>
    <w:rsid w:val="18DD19B3"/>
    <w:rsid w:val="18F11B74"/>
    <w:rsid w:val="193463F1"/>
    <w:rsid w:val="1942020C"/>
    <w:rsid w:val="194559EE"/>
    <w:rsid w:val="195B397D"/>
    <w:rsid w:val="196A0064"/>
    <w:rsid w:val="196F7429"/>
    <w:rsid w:val="197A28E2"/>
    <w:rsid w:val="197D39A0"/>
    <w:rsid w:val="19940241"/>
    <w:rsid w:val="19CC2AA0"/>
    <w:rsid w:val="19CC6629"/>
    <w:rsid w:val="19D21766"/>
    <w:rsid w:val="19D90D46"/>
    <w:rsid w:val="19DD3222"/>
    <w:rsid w:val="19ED6CCD"/>
    <w:rsid w:val="19F85670"/>
    <w:rsid w:val="19FB2E2A"/>
    <w:rsid w:val="19FC0182"/>
    <w:rsid w:val="1A0C3E6B"/>
    <w:rsid w:val="1A0D279E"/>
    <w:rsid w:val="1A141D7E"/>
    <w:rsid w:val="1A200723"/>
    <w:rsid w:val="1A252FCC"/>
    <w:rsid w:val="1A3D3083"/>
    <w:rsid w:val="1A484140"/>
    <w:rsid w:val="1A641850"/>
    <w:rsid w:val="1A6E76E0"/>
    <w:rsid w:val="1A8B1CC3"/>
    <w:rsid w:val="1A9829AF"/>
    <w:rsid w:val="1AB86BAD"/>
    <w:rsid w:val="1AC05CAC"/>
    <w:rsid w:val="1AC90F06"/>
    <w:rsid w:val="1AC9116B"/>
    <w:rsid w:val="1AD12A73"/>
    <w:rsid w:val="1ADC0AEE"/>
    <w:rsid w:val="1ADD6614"/>
    <w:rsid w:val="1AE17EB2"/>
    <w:rsid w:val="1AEE2FA0"/>
    <w:rsid w:val="1B020211"/>
    <w:rsid w:val="1B03607B"/>
    <w:rsid w:val="1B0E121B"/>
    <w:rsid w:val="1B26355A"/>
    <w:rsid w:val="1B2B737F"/>
    <w:rsid w:val="1B2D1349"/>
    <w:rsid w:val="1B3426D8"/>
    <w:rsid w:val="1B710103"/>
    <w:rsid w:val="1B76513B"/>
    <w:rsid w:val="1B794464"/>
    <w:rsid w:val="1B7A3E63"/>
    <w:rsid w:val="1B8151F1"/>
    <w:rsid w:val="1B8167F4"/>
    <w:rsid w:val="1BA12927"/>
    <w:rsid w:val="1BA15893"/>
    <w:rsid w:val="1BB7152E"/>
    <w:rsid w:val="1BC53330"/>
    <w:rsid w:val="1BC97744"/>
    <w:rsid w:val="1BCD6688"/>
    <w:rsid w:val="1BDE0896"/>
    <w:rsid w:val="1C112A19"/>
    <w:rsid w:val="1C197B20"/>
    <w:rsid w:val="1C3C0773"/>
    <w:rsid w:val="1C3D34D5"/>
    <w:rsid w:val="1C450915"/>
    <w:rsid w:val="1C47468D"/>
    <w:rsid w:val="1C51261C"/>
    <w:rsid w:val="1C546BAA"/>
    <w:rsid w:val="1C640D9B"/>
    <w:rsid w:val="1C651D66"/>
    <w:rsid w:val="1C7B2C32"/>
    <w:rsid w:val="1C7D2DCC"/>
    <w:rsid w:val="1C8C20A0"/>
    <w:rsid w:val="1C915908"/>
    <w:rsid w:val="1C931680"/>
    <w:rsid w:val="1C963371"/>
    <w:rsid w:val="1CAE3636"/>
    <w:rsid w:val="1CB87339"/>
    <w:rsid w:val="1CBC0BD7"/>
    <w:rsid w:val="1CBF11D3"/>
    <w:rsid w:val="1CD203FA"/>
    <w:rsid w:val="1CD419C1"/>
    <w:rsid w:val="1CD4427F"/>
    <w:rsid w:val="1CDB6B83"/>
    <w:rsid w:val="1CDE64F7"/>
    <w:rsid w:val="1CF069ED"/>
    <w:rsid w:val="1CF16909"/>
    <w:rsid w:val="1D0E6F20"/>
    <w:rsid w:val="1D190CB9"/>
    <w:rsid w:val="1D295B40"/>
    <w:rsid w:val="1D343BCB"/>
    <w:rsid w:val="1D3758A2"/>
    <w:rsid w:val="1D38456D"/>
    <w:rsid w:val="1D3C5874"/>
    <w:rsid w:val="1D3D4DA3"/>
    <w:rsid w:val="1D3F5364"/>
    <w:rsid w:val="1D4F618B"/>
    <w:rsid w:val="1D5410B5"/>
    <w:rsid w:val="1D5F5A06"/>
    <w:rsid w:val="1D686669"/>
    <w:rsid w:val="1D7E5E8C"/>
    <w:rsid w:val="1D9572F6"/>
    <w:rsid w:val="1DA17DCD"/>
    <w:rsid w:val="1DB573D4"/>
    <w:rsid w:val="1DBA2C3C"/>
    <w:rsid w:val="1DC93E21"/>
    <w:rsid w:val="1DD737EE"/>
    <w:rsid w:val="1DDE6DCB"/>
    <w:rsid w:val="1DE67372"/>
    <w:rsid w:val="1DF3687A"/>
    <w:rsid w:val="1E14572D"/>
    <w:rsid w:val="1E227571"/>
    <w:rsid w:val="1E51534F"/>
    <w:rsid w:val="1E5A2ED1"/>
    <w:rsid w:val="1E6257AE"/>
    <w:rsid w:val="1E6E5C11"/>
    <w:rsid w:val="1E70261F"/>
    <w:rsid w:val="1E8872C6"/>
    <w:rsid w:val="1E8B705A"/>
    <w:rsid w:val="1EA77665"/>
    <w:rsid w:val="1EAD31F5"/>
    <w:rsid w:val="1EC365DA"/>
    <w:rsid w:val="1EC91389"/>
    <w:rsid w:val="1EC93137"/>
    <w:rsid w:val="1EDA1BF1"/>
    <w:rsid w:val="1EE80B44"/>
    <w:rsid w:val="1EFB71AA"/>
    <w:rsid w:val="1F085043"/>
    <w:rsid w:val="1F183863"/>
    <w:rsid w:val="1F274302"/>
    <w:rsid w:val="1F376557"/>
    <w:rsid w:val="1F666BD8"/>
    <w:rsid w:val="1F770DE5"/>
    <w:rsid w:val="1F811E74"/>
    <w:rsid w:val="1F8A4FBC"/>
    <w:rsid w:val="1F8D0609"/>
    <w:rsid w:val="1F9C4138"/>
    <w:rsid w:val="1F9D6372"/>
    <w:rsid w:val="1FA85442"/>
    <w:rsid w:val="1FA94D17"/>
    <w:rsid w:val="1FB02549"/>
    <w:rsid w:val="1FC4516E"/>
    <w:rsid w:val="1FD5226C"/>
    <w:rsid w:val="1FD55EEA"/>
    <w:rsid w:val="1FDE0E64"/>
    <w:rsid w:val="1FE8712A"/>
    <w:rsid w:val="1FEE3EF7"/>
    <w:rsid w:val="1FF02946"/>
    <w:rsid w:val="1FF438D6"/>
    <w:rsid w:val="1FF67F41"/>
    <w:rsid w:val="1FFF6E7D"/>
    <w:rsid w:val="201B0752"/>
    <w:rsid w:val="201C229F"/>
    <w:rsid w:val="20207629"/>
    <w:rsid w:val="20231539"/>
    <w:rsid w:val="20251DD7"/>
    <w:rsid w:val="202C6073"/>
    <w:rsid w:val="20321899"/>
    <w:rsid w:val="20347977"/>
    <w:rsid w:val="20365699"/>
    <w:rsid w:val="20392E91"/>
    <w:rsid w:val="20482782"/>
    <w:rsid w:val="20634806"/>
    <w:rsid w:val="2063580D"/>
    <w:rsid w:val="206B5FD1"/>
    <w:rsid w:val="2081311F"/>
    <w:rsid w:val="208714FC"/>
    <w:rsid w:val="209A3FEE"/>
    <w:rsid w:val="209B1AB6"/>
    <w:rsid w:val="20A224E3"/>
    <w:rsid w:val="20A41EC8"/>
    <w:rsid w:val="20C0450A"/>
    <w:rsid w:val="20C31443"/>
    <w:rsid w:val="20D06E6A"/>
    <w:rsid w:val="20D544E0"/>
    <w:rsid w:val="20F54D49"/>
    <w:rsid w:val="21020B82"/>
    <w:rsid w:val="210E7F88"/>
    <w:rsid w:val="21132D8F"/>
    <w:rsid w:val="21244F9D"/>
    <w:rsid w:val="213571AA"/>
    <w:rsid w:val="214848ED"/>
    <w:rsid w:val="21676C37"/>
    <w:rsid w:val="217B1982"/>
    <w:rsid w:val="21815F4B"/>
    <w:rsid w:val="21843B03"/>
    <w:rsid w:val="21863561"/>
    <w:rsid w:val="218E2416"/>
    <w:rsid w:val="218E442B"/>
    <w:rsid w:val="219D6288"/>
    <w:rsid w:val="21A67760"/>
    <w:rsid w:val="21AB2FC8"/>
    <w:rsid w:val="21B005DE"/>
    <w:rsid w:val="21BF4CC5"/>
    <w:rsid w:val="21C5052E"/>
    <w:rsid w:val="21C83B7A"/>
    <w:rsid w:val="21CB366A"/>
    <w:rsid w:val="21CD73E2"/>
    <w:rsid w:val="21D472BF"/>
    <w:rsid w:val="21DB7603"/>
    <w:rsid w:val="21ED021A"/>
    <w:rsid w:val="21EF00AC"/>
    <w:rsid w:val="21F769B4"/>
    <w:rsid w:val="220628F4"/>
    <w:rsid w:val="220A5F40"/>
    <w:rsid w:val="221F0316"/>
    <w:rsid w:val="22342FBD"/>
    <w:rsid w:val="22396826"/>
    <w:rsid w:val="224A7974"/>
    <w:rsid w:val="225406A1"/>
    <w:rsid w:val="225C42C2"/>
    <w:rsid w:val="2265331F"/>
    <w:rsid w:val="22664DEC"/>
    <w:rsid w:val="22741E52"/>
    <w:rsid w:val="22813D29"/>
    <w:rsid w:val="228D6B72"/>
    <w:rsid w:val="228E4DC3"/>
    <w:rsid w:val="228F6446"/>
    <w:rsid w:val="22995058"/>
    <w:rsid w:val="22A140A3"/>
    <w:rsid w:val="22A4542C"/>
    <w:rsid w:val="22AE7535"/>
    <w:rsid w:val="22CB1EBB"/>
    <w:rsid w:val="22DB1C8D"/>
    <w:rsid w:val="22E372E3"/>
    <w:rsid w:val="22F26038"/>
    <w:rsid w:val="22FA68B7"/>
    <w:rsid w:val="22FD3746"/>
    <w:rsid w:val="2302130E"/>
    <w:rsid w:val="23033B66"/>
    <w:rsid w:val="230C3FDD"/>
    <w:rsid w:val="23117BD8"/>
    <w:rsid w:val="23284455"/>
    <w:rsid w:val="23343382"/>
    <w:rsid w:val="23366E19"/>
    <w:rsid w:val="23536A45"/>
    <w:rsid w:val="235A2EF8"/>
    <w:rsid w:val="235F050E"/>
    <w:rsid w:val="236901F0"/>
    <w:rsid w:val="236C6787"/>
    <w:rsid w:val="237044C9"/>
    <w:rsid w:val="237F295E"/>
    <w:rsid w:val="23836C18"/>
    <w:rsid w:val="238E494F"/>
    <w:rsid w:val="238F65A2"/>
    <w:rsid w:val="239A243B"/>
    <w:rsid w:val="239F21B0"/>
    <w:rsid w:val="23C12442"/>
    <w:rsid w:val="23C34A7A"/>
    <w:rsid w:val="23DC56BB"/>
    <w:rsid w:val="23DD39CC"/>
    <w:rsid w:val="23E40A13"/>
    <w:rsid w:val="23E629DD"/>
    <w:rsid w:val="23F83815"/>
    <w:rsid w:val="23FE7D27"/>
    <w:rsid w:val="24034DE3"/>
    <w:rsid w:val="241A739C"/>
    <w:rsid w:val="241F1A4B"/>
    <w:rsid w:val="242F6132"/>
    <w:rsid w:val="243E45C7"/>
    <w:rsid w:val="247D5FFB"/>
    <w:rsid w:val="247E2C16"/>
    <w:rsid w:val="248C70E1"/>
    <w:rsid w:val="248F097F"/>
    <w:rsid w:val="24945F95"/>
    <w:rsid w:val="24967F76"/>
    <w:rsid w:val="24A279DE"/>
    <w:rsid w:val="24A50FEC"/>
    <w:rsid w:val="24B10123"/>
    <w:rsid w:val="24B50D41"/>
    <w:rsid w:val="24C26FA6"/>
    <w:rsid w:val="24CF1A07"/>
    <w:rsid w:val="24D10F97"/>
    <w:rsid w:val="24E231A5"/>
    <w:rsid w:val="24F654C3"/>
    <w:rsid w:val="24F86524"/>
    <w:rsid w:val="25150073"/>
    <w:rsid w:val="251A689D"/>
    <w:rsid w:val="253634F0"/>
    <w:rsid w:val="25376063"/>
    <w:rsid w:val="25492600"/>
    <w:rsid w:val="25500501"/>
    <w:rsid w:val="25551A83"/>
    <w:rsid w:val="25624FED"/>
    <w:rsid w:val="25641E0C"/>
    <w:rsid w:val="2575691F"/>
    <w:rsid w:val="25857CF7"/>
    <w:rsid w:val="258B1155"/>
    <w:rsid w:val="258E6E89"/>
    <w:rsid w:val="25B61F3B"/>
    <w:rsid w:val="25CC175F"/>
    <w:rsid w:val="25DA71B4"/>
    <w:rsid w:val="25DD4100"/>
    <w:rsid w:val="25E1520A"/>
    <w:rsid w:val="25E76599"/>
    <w:rsid w:val="25F051B0"/>
    <w:rsid w:val="25F412DD"/>
    <w:rsid w:val="260E0D4B"/>
    <w:rsid w:val="261E2FC0"/>
    <w:rsid w:val="2623733E"/>
    <w:rsid w:val="262B728D"/>
    <w:rsid w:val="26424B34"/>
    <w:rsid w:val="26555BF8"/>
    <w:rsid w:val="266B24A0"/>
    <w:rsid w:val="2676689B"/>
    <w:rsid w:val="2685584E"/>
    <w:rsid w:val="2690510D"/>
    <w:rsid w:val="26916BE7"/>
    <w:rsid w:val="26927623"/>
    <w:rsid w:val="26951BEF"/>
    <w:rsid w:val="26B866BF"/>
    <w:rsid w:val="26C37DBA"/>
    <w:rsid w:val="26CD496D"/>
    <w:rsid w:val="26DE799C"/>
    <w:rsid w:val="26EB3E67"/>
    <w:rsid w:val="26FE3B9A"/>
    <w:rsid w:val="270A253F"/>
    <w:rsid w:val="27165388"/>
    <w:rsid w:val="27175F98"/>
    <w:rsid w:val="271D48AB"/>
    <w:rsid w:val="272F1FA5"/>
    <w:rsid w:val="274517C9"/>
    <w:rsid w:val="27602AA7"/>
    <w:rsid w:val="2762237B"/>
    <w:rsid w:val="276460F3"/>
    <w:rsid w:val="279E7A32"/>
    <w:rsid w:val="27A04C51"/>
    <w:rsid w:val="27A97FAA"/>
    <w:rsid w:val="27B30E28"/>
    <w:rsid w:val="27C13FD0"/>
    <w:rsid w:val="27D417C1"/>
    <w:rsid w:val="27D56FF1"/>
    <w:rsid w:val="27DA1D38"/>
    <w:rsid w:val="27EA6525"/>
    <w:rsid w:val="27FD29EE"/>
    <w:rsid w:val="280A60D5"/>
    <w:rsid w:val="28285372"/>
    <w:rsid w:val="28327F9F"/>
    <w:rsid w:val="28347D91"/>
    <w:rsid w:val="283F446A"/>
    <w:rsid w:val="284B72B3"/>
    <w:rsid w:val="28650375"/>
    <w:rsid w:val="28681C13"/>
    <w:rsid w:val="28697392"/>
    <w:rsid w:val="28A54C15"/>
    <w:rsid w:val="28A6273B"/>
    <w:rsid w:val="28BA7250"/>
    <w:rsid w:val="28BF5B5B"/>
    <w:rsid w:val="28C00ECC"/>
    <w:rsid w:val="28C57065"/>
    <w:rsid w:val="28CA642A"/>
    <w:rsid w:val="28D479CA"/>
    <w:rsid w:val="28EF2D30"/>
    <w:rsid w:val="291D0C4F"/>
    <w:rsid w:val="29226266"/>
    <w:rsid w:val="29257B04"/>
    <w:rsid w:val="292627E9"/>
    <w:rsid w:val="293724CF"/>
    <w:rsid w:val="2939710B"/>
    <w:rsid w:val="2946642F"/>
    <w:rsid w:val="297939AC"/>
    <w:rsid w:val="297B601E"/>
    <w:rsid w:val="298760C9"/>
    <w:rsid w:val="2996630C"/>
    <w:rsid w:val="299F53A8"/>
    <w:rsid w:val="29A547A1"/>
    <w:rsid w:val="29B82726"/>
    <w:rsid w:val="29CD0B67"/>
    <w:rsid w:val="29D15596"/>
    <w:rsid w:val="29D42EB3"/>
    <w:rsid w:val="29DC1755"/>
    <w:rsid w:val="29E11FD7"/>
    <w:rsid w:val="29E67293"/>
    <w:rsid w:val="29EC5063"/>
    <w:rsid w:val="2A007C29"/>
    <w:rsid w:val="2A092F82"/>
    <w:rsid w:val="2A094D30"/>
    <w:rsid w:val="2A104310"/>
    <w:rsid w:val="2A131E07"/>
    <w:rsid w:val="2A301011"/>
    <w:rsid w:val="2A314286"/>
    <w:rsid w:val="2A355B25"/>
    <w:rsid w:val="2A427B2F"/>
    <w:rsid w:val="2A473453"/>
    <w:rsid w:val="2A4B6A12"/>
    <w:rsid w:val="2A4F781B"/>
    <w:rsid w:val="2A556C33"/>
    <w:rsid w:val="2A567526"/>
    <w:rsid w:val="2A5F0DF4"/>
    <w:rsid w:val="2A792D41"/>
    <w:rsid w:val="2A794C6E"/>
    <w:rsid w:val="2A803E8E"/>
    <w:rsid w:val="2A81794A"/>
    <w:rsid w:val="2A952A67"/>
    <w:rsid w:val="2AA54483"/>
    <w:rsid w:val="2ACD2201"/>
    <w:rsid w:val="2ACF5F79"/>
    <w:rsid w:val="2AD5038A"/>
    <w:rsid w:val="2ADD2052"/>
    <w:rsid w:val="2ADD25F1"/>
    <w:rsid w:val="2AFB6D6E"/>
    <w:rsid w:val="2AFD2362"/>
    <w:rsid w:val="2AFD71FE"/>
    <w:rsid w:val="2B141B7C"/>
    <w:rsid w:val="2B1B08C2"/>
    <w:rsid w:val="2B2720CA"/>
    <w:rsid w:val="2B434271"/>
    <w:rsid w:val="2B4B6F96"/>
    <w:rsid w:val="2B762638"/>
    <w:rsid w:val="2B7755F5"/>
    <w:rsid w:val="2B7B47B0"/>
    <w:rsid w:val="2B844FB6"/>
    <w:rsid w:val="2B8E1990"/>
    <w:rsid w:val="2B9F3B9D"/>
    <w:rsid w:val="2BA50A88"/>
    <w:rsid w:val="2BB1742D"/>
    <w:rsid w:val="2BB32703"/>
    <w:rsid w:val="2BD31A99"/>
    <w:rsid w:val="2BD50743"/>
    <w:rsid w:val="2BE05501"/>
    <w:rsid w:val="2BFE4851"/>
    <w:rsid w:val="2BFF2943"/>
    <w:rsid w:val="2C0F23A5"/>
    <w:rsid w:val="2C100E94"/>
    <w:rsid w:val="2C153E60"/>
    <w:rsid w:val="2C274EA3"/>
    <w:rsid w:val="2C346626"/>
    <w:rsid w:val="2C387B4E"/>
    <w:rsid w:val="2C3E4D25"/>
    <w:rsid w:val="2C416A03"/>
    <w:rsid w:val="2C4E7372"/>
    <w:rsid w:val="2C5801F0"/>
    <w:rsid w:val="2C5D4204"/>
    <w:rsid w:val="2C6820E3"/>
    <w:rsid w:val="2C6A465C"/>
    <w:rsid w:val="2C7566AC"/>
    <w:rsid w:val="2C866B0B"/>
    <w:rsid w:val="2C8E3B73"/>
    <w:rsid w:val="2CAC6B00"/>
    <w:rsid w:val="2CB37986"/>
    <w:rsid w:val="2CBC220B"/>
    <w:rsid w:val="2CC7597A"/>
    <w:rsid w:val="2CD32D4A"/>
    <w:rsid w:val="2CD53706"/>
    <w:rsid w:val="2CF021D7"/>
    <w:rsid w:val="2CF54DD8"/>
    <w:rsid w:val="2D07221A"/>
    <w:rsid w:val="2D3576E1"/>
    <w:rsid w:val="2D360531"/>
    <w:rsid w:val="2D472A54"/>
    <w:rsid w:val="2D597F0B"/>
    <w:rsid w:val="2D5E35E4"/>
    <w:rsid w:val="2D614E83"/>
    <w:rsid w:val="2D621327"/>
    <w:rsid w:val="2D652BC5"/>
    <w:rsid w:val="2D6B7AAF"/>
    <w:rsid w:val="2D86130C"/>
    <w:rsid w:val="2D8E211C"/>
    <w:rsid w:val="2D937732"/>
    <w:rsid w:val="2D964B2C"/>
    <w:rsid w:val="2D980C6D"/>
    <w:rsid w:val="2DB9548A"/>
    <w:rsid w:val="2DBE7855"/>
    <w:rsid w:val="2DC07DFB"/>
    <w:rsid w:val="2DC378EB"/>
    <w:rsid w:val="2DD81875"/>
    <w:rsid w:val="2DE018D9"/>
    <w:rsid w:val="2DF61A6F"/>
    <w:rsid w:val="2E026666"/>
    <w:rsid w:val="2E0A72C8"/>
    <w:rsid w:val="2E0E6A94"/>
    <w:rsid w:val="2E1979ED"/>
    <w:rsid w:val="2E275695"/>
    <w:rsid w:val="2E2B09B5"/>
    <w:rsid w:val="2E465B48"/>
    <w:rsid w:val="2E500A96"/>
    <w:rsid w:val="2E584CA5"/>
    <w:rsid w:val="2E6A2182"/>
    <w:rsid w:val="2E7330BF"/>
    <w:rsid w:val="2E7B67B8"/>
    <w:rsid w:val="2E854C63"/>
    <w:rsid w:val="2E906AEA"/>
    <w:rsid w:val="2E941184"/>
    <w:rsid w:val="2E9A5C9D"/>
    <w:rsid w:val="2EA94D33"/>
    <w:rsid w:val="2EB060C2"/>
    <w:rsid w:val="2EBF6305"/>
    <w:rsid w:val="2ECE02F6"/>
    <w:rsid w:val="2EDF2503"/>
    <w:rsid w:val="2F004A06"/>
    <w:rsid w:val="2F051C71"/>
    <w:rsid w:val="2F1E302B"/>
    <w:rsid w:val="2F234AE5"/>
    <w:rsid w:val="2F287C43"/>
    <w:rsid w:val="2F337E9A"/>
    <w:rsid w:val="2F34284F"/>
    <w:rsid w:val="2F3F11F4"/>
    <w:rsid w:val="2F4610D8"/>
    <w:rsid w:val="2F5B510C"/>
    <w:rsid w:val="2F6741DD"/>
    <w:rsid w:val="2F6F1AD9"/>
    <w:rsid w:val="2F707965"/>
    <w:rsid w:val="2F805A94"/>
    <w:rsid w:val="2F8207D1"/>
    <w:rsid w:val="2F864075"/>
    <w:rsid w:val="2F866A13"/>
    <w:rsid w:val="2F911A4F"/>
    <w:rsid w:val="2F9B467C"/>
    <w:rsid w:val="2F9C03F4"/>
    <w:rsid w:val="2FA85262"/>
    <w:rsid w:val="2FAA7EAA"/>
    <w:rsid w:val="2FB27BEF"/>
    <w:rsid w:val="2FC35981"/>
    <w:rsid w:val="2FE04785"/>
    <w:rsid w:val="2FE222AB"/>
    <w:rsid w:val="2FEE6EA1"/>
    <w:rsid w:val="2FF124EE"/>
    <w:rsid w:val="2FF67AD2"/>
    <w:rsid w:val="2FF80CC3"/>
    <w:rsid w:val="2FFE4C0B"/>
    <w:rsid w:val="30045BF1"/>
    <w:rsid w:val="3011493E"/>
    <w:rsid w:val="301E79F3"/>
    <w:rsid w:val="302F1268"/>
    <w:rsid w:val="30314FE0"/>
    <w:rsid w:val="303F76FD"/>
    <w:rsid w:val="304545E8"/>
    <w:rsid w:val="30495115"/>
    <w:rsid w:val="305A357B"/>
    <w:rsid w:val="30647C47"/>
    <w:rsid w:val="30672CAF"/>
    <w:rsid w:val="30943EA7"/>
    <w:rsid w:val="309D08C8"/>
    <w:rsid w:val="30A55232"/>
    <w:rsid w:val="30B16C8D"/>
    <w:rsid w:val="30C37408"/>
    <w:rsid w:val="30C95219"/>
    <w:rsid w:val="30CC4D09"/>
    <w:rsid w:val="30EA77A0"/>
    <w:rsid w:val="30FE71F8"/>
    <w:rsid w:val="3102072B"/>
    <w:rsid w:val="312132A7"/>
    <w:rsid w:val="31220B00"/>
    <w:rsid w:val="31337F00"/>
    <w:rsid w:val="314D3E18"/>
    <w:rsid w:val="31615CE3"/>
    <w:rsid w:val="3166515D"/>
    <w:rsid w:val="317C228B"/>
    <w:rsid w:val="31876741"/>
    <w:rsid w:val="3192615F"/>
    <w:rsid w:val="319A1263"/>
    <w:rsid w:val="319E48F7"/>
    <w:rsid w:val="31A83080"/>
    <w:rsid w:val="31B17224"/>
    <w:rsid w:val="31D61173"/>
    <w:rsid w:val="31E00A6C"/>
    <w:rsid w:val="32026C34"/>
    <w:rsid w:val="321214AD"/>
    <w:rsid w:val="321331F9"/>
    <w:rsid w:val="3247245F"/>
    <w:rsid w:val="32543208"/>
    <w:rsid w:val="32544FB6"/>
    <w:rsid w:val="3259209E"/>
    <w:rsid w:val="326C2300"/>
    <w:rsid w:val="3276317E"/>
    <w:rsid w:val="32846BD4"/>
    <w:rsid w:val="328F4F0B"/>
    <w:rsid w:val="3291620A"/>
    <w:rsid w:val="32955C43"/>
    <w:rsid w:val="32AC0F0B"/>
    <w:rsid w:val="32AE0B6A"/>
    <w:rsid w:val="32C43EEA"/>
    <w:rsid w:val="32E53E60"/>
    <w:rsid w:val="32E77BD8"/>
    <w:rsid w:val="32EE540A"/>
    <w:rsid w:val="32FD2435"/>
    <w:rsid w:val="32FF3174"/>
    <w:rsid w:val="33042538"/>
    <w:rsid w:val="330E785B"/>
    <w:rsid w:val="331210F9"/>
    <w:rsid w:val="331C5AD4"/>
    <w:rsid w:val="331F3816"/>
    <w:rsid w:val="3321121B"/>
    <w:rsid w:val="33226E62"/>
    <w:rsid w:val="332843CF"/>
    <w:rsid w:val="332901F1"/>
    <w:rsid w:val="332C1A8F"/>
    <w:rsid w:val="332D1494"/>
    <w:rsid w:val="332D5F33"/>
    <w:rsid w:val="3364747B"/>
    <w:rsid w:val="336851BD"/>
    <w:rsid w:val="336F654B"/>
    <w:rsid w:val="33760873"/>
    <w:rsid w:val="337625B1"/>
    <w:rsid w:val="33820E0C"/>
    <w:rsid w:val="3388714A"/>
    <w:rsid w:val="338E62A6"/>
    <w:rsid w:val="3395038F"/>
    <w:rsid w:val="339715FE"/>
    <w:rsid w:val="33A7222A"/>
    <w:rsid w:val="33B84E80"/>
    <w:rsid w:val="33CF0D98"/>
    <w:rsid w:val="33D33597"/>
    <w:rsid w:val="33EF3C9C"/>
    <w:rsid w:val="340071A3"/>
    <w:rsid w:val="34012F1B"/>
    <w:rsid w:val="34086058"/>
    <w:rsid w:val="3454129D"/>
    <w:rsid w:val="345724F8"/>
    <w:rsid w:val="345746C6"/>
    <w:rsid w:val="346314E0"/>
    <w:rsid w:val="34640730"/>
    <w:rsid w:val="34757B91"/>
    <w:rsid w:val="34983880"/>
    <w:rsid w:val="349B6ECC"/>
    <w:rsid w:val="34A22009"/>
    <w:rsid w:val="34A55F9D"/>
    <w:rsid w:val="34BC6862"/>
    <w:rsid w:val="34C21CFF"/>
    <w:rsid w:val="34D20A0C"/>
    <w:rsid w:val="34E601E2"/>
    <w:rsid w:val="34EB1C02"/>
    <w:rsid w:val="34EC597A"/>
    <w:rsid w:val="34EC7728"/>
    <w:rsid w:val="34F0546A"/>
    <w:rsid w:val="34F27631"/>
    <w:rsid w:val="34FD777C"/>
    <w:rsid w:val="35022113"/>
    <w:rsid w:val="35043AE4"/>
    <w:rsid w:val="35062AA2"/>
    <w:rsid w:val="352447B8"/>
    <w:rsid w:val="3538296D"/>
    <w:rsid w:val="353F1F4D"/>
    <w:rsid w:val="35496928"/>
    <w:rsid w:val="354B1C79"/>
    <w:rsid w:val="35584DBD"/>
    <w:rsid w:val="35591954"/>
    <w:rsid w:val="35611EC4"/>
    <w:rsid w:val="35645510"/>
    <w:rsid w:val="356A2329"/>
    <w:rsid w:val="357065AB"/>
    <w:rsid w:val="35AC20A7"/>
    <w:rsid w:val="35B423F0"/>
    <w:rsid w:val="35BC534C"/>
    <w:rsid w:val="35BE7316"/>
    <w:rsid w:val="35BF6BEA"/>
    <w:rsid w:val="35D00DF7"/>
    <w:rsid w:val="35E6686D"/>
    <w:rsid w:val="35EA010B"/>
    <w:rsid w:val="35F078F2"/>
    <w:rsid w:val="35F204C7"/>
    <w:rsid w:val="35F221F7"/>
    <w:rsid w:val="35F42D38"/>
    <w:rsid w:val="35F76A1B"/>
    <w:rsid w:val="3618529B"/>
    <w:rsid w:val="36252EF1"/>
    <w:rsid w:val="36295031"/>
    <w:rsid w:val="36315D3A"/>
    <w:rsid w:val="363B212B"/>
    <w:rsid w:val="363B6426"/>
    <w:rsid w:val="363E0457"/>
    <w:rsid w:val="36407D2B"/>
    <w:rsid w:val="364315C9"/>
    <w:rsid w:val="36617DDC"/>
    <w:rsid w:val="36625C2A"/>
    <w:rsid w:val="36821714"/>
    <w:rsid w:val="369D6F2B"/>
    <w:rsid w:val="36A52284"/>
    <w:rsid w:val="36BA62F4"/>
    <w:rsid w:val="36C46BAE"/>
    <w:rsid w:val="36FA0940"/>
    <w:rsid w:val="36FF1994"/>
    <w:rsid w:val="37074CED"/>
    <w:rsid w:val="37181AD8"/>
    <w:rsid w:val="37270EEB"/>
    <w:rsid w:val="373D426B"/>
    <w:rsid w:val="373E2AFA"/>
    <w:rsid w:val="373F6160"/>
    <w:rsid w:val="373F7FE3"/>
    <w:rsid w:val="37573C7F"/>
    <w:rsid w:val="375F7072"/>
    <w:rsid w:val="37621F23"/>
    <w:rsid w:val="376C0036"/>
    <w:rsid w:val="377203B8"/>
    <w:rsid w:val="3781684D"/>
    <w:rsid w:val="37865C12"/>
    <w:rsid w:val="37895702"/>
    <w:rsid w:val="37920A5A"/>
    <w:rsid w:val="37976191"/>
    <w:rsid w:val="379A16BD"/>
    <w:rsid w:val="37AC4588"/>
    <w:rsid w:val="37B41CB5"/>
    <w:rsid w:val="37B87D95"/>
    <w:rsid w:val="37BF7375"/>
    <w:rsid w:val="37C624B2"/>
    <w:rsid w:val="37CF321E"/>
    <w:rsid w:val="37D306C9"/>
    <w:rsid w:val="37E312B6"/>
    <w:rsid w:val="381B101D"/>
    <w:rsid w:val="38221955"/>
    <w:rsid w:val="38305B7D"/>
    <w:rsid w:val="38741F0E"/>
    <w:rsid w:val="388440AF"/>
    <w:rsid w:val="38911C2B"/>
    <w:rsid w:val="38997BC6"/>
    <w:rsid w:val="38A071A7"/>
    <w:rsid w:val="38B16CBE"/>
    <w:rsid w:val="38B64561"/>
    <w:rsid w:val="38B90269"/>
    <w:rsid w:val="38C70CF9"/>
    <w:rsid w:val="38E248D3"/>
    <w:rsid w:val="38E5105E"/>
    <w:rsid w:val="38F17A02"/>
    <w:rsid w:val="39021BFB"/>
    <w:rsid w:val="390B715A"/>
    <w:rsid w:val="390C2146"/>
    <w:rsid w:val="391A3B64"/>
    <w:rsid w:val="392456E2"/>
    <w:rsid w:val="3927319D"/>
    <w:rsid w:val="393F42CA"/>
    <w:rsid w:val="394144E6"/>
    <w:rsid w:val="39781D2F"/>
    <w:rsid w:val="39817BDB"/>
    <w:rsid w:val="398D6777"/>
    <w:rsid w:val="39B301A7"/>
    <w:rsid w:val="39C8164D"/>
    <w:rsid w:val="39CE38A0"/>
    <w:rsid w:val="39DC7D6B"/>
    <w:rsid w:val="39E41315"/>
    <w:rsid w:val="39F028E9"/>
    <w:rsid w:val="39F56F2D"/>
    <w:rsid w:val="3A0461D9"/>
    <w:rsid w:val="3A051BD9"/>
    <w:rsid w:val="3A0904C9"/>
    <w:rsid w:val="3A0B12D9"/>
    <w:rsid w:val="3A0B686E"/>
    <w:rsid w:val="3A0D1616"/>
    <w:rsid w:val="3A0D233E"/>
    <w:rsid w:val="3A2E434D"/>
    <w:rsid w:val="3A3A7831"/>
    <w:rsid w:val="3A400359"/>
    <w:rsid w:val="3A555D6F"/>
    <w:rsid w:val="3A5A506A"/>
    <w:rsid w:val="3A625AF9"/>
    <w:rsid w:val="3A641913"/>
    <w:rsid w:val="3A684643"/>
    <w:rsid w:val="3A79380C"/>
    <w:rsid w:val="3A7C3613"/>
    <w:rsid w:val="3A816B64"/>
    <w:rsid w:val="3A8328DC"/>
    <w:rsid w:val="3A920D71"/>
    <w:rsid w:val="3A95616C"/>
    <w:rsid w:val="3A9B3CB1"/>
    <w:rsid w:val="3AB650BA"/>
    <w:rsid w:val="3AB961D9"/>
    <w:rsid w:val="3ABB3E24"/>
    <w:rsid w:val="3ABD174D"/>
    <w:rsid w:val="3ACF5B21"/>
    <w:rsid w:val="3ACF6188"/>
    <w:rsid w:val="3AD924FC"/>
    <w:rsid w:val="3AF86EB3"/>
    <w:rsid w:val="3AFB270A"/>
    <w:rsid w:val="3AFE0E69"/>
    <w:rsid w:val="3B060A97"/>
    <w:rsid w:val="3B0E4089"/>
    <w:rsid w:val="3B0F4170"/>
    <w:rsid w:val="3B2D45F6"/>
    <w:rsid w:val="3B305D8D"/>
    <w:rsid w:val="3B345984"/>
    <w:rsid w:val="3B3F2CA7"/>
    <w:rsid w:val="3B46460B"/>
    <w:rsid w:val="3B4E27F1"/>
    <w:rsid w:val="3B556027"/>
    <w:rsid w:val="3B9031CD"/>
    <w:rsid w:val="3B944458"/>
    <w:rsid w:val="3B9C1EA7"/>
    <w:rsid w:val="3BA96372"/>
    <w:rsid w:val="3BB23479"/>
    <w:rsid w:val="3BB80364"/>
    <w:rsid w:val="3BC14FB6"/>
    <w:rsid w:val="3BD038FF"/>
    <w:rsid w:val="3BF10DE2"/>
    <w:rsid w:val="3BF56EAB"/>
    <w:rsid w:val="3C0B6B50"/>
    <w:rsid w:val="3C12462C"/>
    <w:rsid w:val="3C2123AD"/>
    <w:rsid w:val="3C256697"/>
    <w:rsid w:val="3C277297"/>
    <w:rsid w:val="3C522566"/>
    <w:rsid w:val="3C5A766D"/>
    <w:rsid w:val="3C5C1637"/>
    <w:rsid w:val="3C601127"/>
    <w:rsid w:val="3C885C2D"/>
    <w:rsid w:val="3C8D7A42"/>
    <w:rsid w:val="3CA440E8"/>
    <w:rsid w:val="3CAE1226"/>
    <w:rsid w:val="3CB02484"/>
    <w:rsid w:val="3CC51593"/>
    <w:rsid w:val="3CC5466D"/>
    <w:rsid w:val="3CEC5B43"/>
    <w:rsid w:val="3D0521A2"/>
    <w:rsid w:val="3D0761C5"/>
    <w:rsid w:val="3D0C1F81"/>
    <w:rsid w:val="3D1837B0"/>
    <w:rsid w:val="3D2739F3"/>
    <w:rsid w:val="3D3E0D3C"/>
    <w:rsid w:val="3D436353"/>
    <w:rsid w:val="3D5D5666"/>
    <w:rsid w:val="3D6267D9"/>
    <w:rsid w:val="3D6A0A80"/>
    <w:rsid w:val="3D6D5956"/>
    <w:rsid w:val="3D6E33D0"/>
    <w:rsid w:val="3D8E0840"/>
    <w:rsid w:val="3D953A3C"/>
    <w:rsid w:val="3DAA0180"/>
    <w:rsid w:val="3DB17760"/>
    <w:rsid w:val="3DB42DAD"/>
    <w:rsid w:val="3DC65D7B"/>
    <w:rsid w:val="3DC74499"/>
    <w:rsid w:val="3DD27E02"/>
    <w:rsid w:val="3DE25B6C"/>
    <w:rsid w:val="3DF064DB"/>
    <w:rsid w:val="3E03620E"/>
    <w:rsid w:val="3E1C72D0"/>
    <w:rsid w:val="3E2D328B"/>
    <w:rsid w:val="3E3321A7"/>
    <w:rsid w:val="3E336859"/>
    <w:rsid w:val="3E3A575D"/>
    <w:rsid w:val="3E495BEB"/>
    <w:rsid w:val="3E4B7F93"/>
    <w:rsid w:val="3E500AE7"/>
    <w:rsid w:val="3E562DA8"/>
    <w:rsid w:val="3E772758"/>
    <w:rsid w:val="3E811967"/>
    <w:rsid w:val="3E8E020D"/>
    <w:rsid w:val="3E8E10D7"/>
    <w:rsid w:val="3EBF1A09"/>
    <w:rsid w:val="3EC2204A"/>
    <w:rsid w:val="3ECA5368"/>
    <w:rsid w:val="3ED951C1"/>
    <w:rsid w:val="3EE37A02"/>
    <w:rsid w:val="3EF1250A"/>
    <w:rsid w:val="3EF210C8"/>
    <w:rsid w:val="3F052628"/>
    <w:rsid w:val="3F185CE9"/>
    <w:rsid w:val="3F1F2AFF"/>
    <w:rsid w:val="3F3B725B"/>
    <w:rsid w:val="3F454604"/>
    <w:rsid w:val="3F4D0892"/>
    <w:rsid w:val="3F542A99"/>
    <w:rsid w:val="3F584337"/>
    <w:rsid w:val="3F6C1075"/>
    <w:rsid w:val="3F73699C"/>
    <w:rsid w:val="3F991D2D"/>
    <w:rsid w:val="3FA605EF"/>
    <w:rsid w:val="3FAA2A9A"/>
    <w:rsid w:val="3FAE21A9"/>
    <w:rsid w:val="3FB728E8"/>
    <w:rsid w:val="3FCC53DE"/>
    <w:rsid w:val="3FDA7B9A"/>
    <w:rsid w:val="3FDF05B5"/>
    <w:rsid w:val="3FEB6F5A"/>
    <w:rsid w:val="3FEC2CD2"/>
    <w:rsid w:val="3FF5523D"/>
    <w:rsid w:val="40132284"/>
    <w:rsid w:val="401E313B"/>
    <w:rsid w:val="402B4A0B"/>
    <w:rsid w:val="402C30CE"/>
    <w:rsid w:val="402F4312"/>
    <w:rsid w:val="40490DFC"/>
    <w:rsid w:val="40520D87"/>
    <w:rsid w:val="40646D0C"/>
    <w:rsid w:val="40652DEC"/>
    <w:rsid w:val="406C6A5B"/>
    <w:rsid w:val="406E36E7"/>
    <w:rsid w:val="40844CB8"/>
    <w:rsid w:val="40A67324"/>
    <w:rsid w:val="40C76942"/>
    <w:rsid w:val="40CD13D1"/>
    <w:rsid w:val="40ED6D01"/>
    <w:rsid w:val="41057DE0"/>
    <w:rsid w:val="410A340F"/>
    <w:rsid w:val="411615DD"/>
    <w:rsid w:val="411B68D8"/>
    <w:rsid w:val="41210759"/>
    <w:rsid w:val="41220FF0"/>
    <w:rsid w:val="41265D6F"/>
    <w:rsid w:val="4136036B"/>
    <w:rsid w:val="413A1437"/>
    <w:rsid w:val="414011DD"/>
    <w:rsid w:val="416061DE"/>
    <w:rsid w:val="41714917"/>
    <w:rsid w:val="41714ABE"/>
    <w:rsid w:val="417239FA"/>
    <w:rsid w:val="4185518C"/>
    <w:rsid w:val="419B6942"/>
    <w:rsid w:val="41A03D74"/>
    <w:rsid w:val="41AF3E0D"/>
    <w:rsid w:val="41B14C08"/>
    <w:rsid w:val="41DB6C24"/>
    <w:rsid w:val="41E225DE"/>
    <w:rsid w:val="41F45E6E"/>
    <w:rsid w:val="41FB2309"/>
    <w:rsid w:val="420936C7"/>
    <w:rsid w:val="423D7540"/>
    <w:rsid w:val="4258464E"/>
    <w:rsid w:val="425863FC"/>
    <w:rsid w:val="425E6B2B"/>
    <w:rsid w:val="426B0B13"/>
    <w:rsid w:val="427D5FB9"/>
    <w:rsid w:val="4283791D"/>
    <w:rsid w:val="428471F1"/>
    <w:rsid w:val="428C42F8"/>
    <w:rsid w:val="428D7969"/>
    <w:rsid w:val="42912AD5"/>
    <w:rsid w:val="42A03AB3"/>
    <w:rsid w:val="42AD06AB"/>
    <w:rsid w:val="42B75819"/>
    <w:rsid w:val="42B75BFA"/>
    <w:rsid w:val="42BA6AC5"/>
    <w:rsid w:val="42BC4BDD"/>
    <w:rsid w:val="42C73ED4"/>
    <w:rsid w:val="42E44134"/>
    <w:rsid w:val="42E93823"/>
    <w:rsid w:val="42F74E27"/>
    <w:rsid w:val="42FB31BC"/>
    <w:rsid w:val="430B09B1"/>
    <w:rsid w:val="43525542"/>
    <w:rsid w:val="435968D0"/>
    <w:rsid w:val="436E4F7B"/>
    <w:rsid w:val="437A441A"/>
    <w:rsid w:val="438356FB"/>
    <w:rsid w:val="439873F8"/>
    <w:rsid w:val="43993170"/>
    <w:rsid w:val="43B92000"/>
    <w:rsid w:val="43C53F65"/>
    <w:rsid w:val="43C81360"/>
    <w:rsid w:val="43CE16C3"/>
    <w:rsid w:val="43D85A47"/>
    <w:rsid w:val="43DA1EAE"/>
    <w:rsid w:val="43DD4E0B"/>
    <w:rsid w:val="43E33F16"/>
    <w:rsid w:val="43F2579F"/>
    <w:rsid w:val="440634A7"/>
    <w:rsid w:val="441427F7"/>
    <w:rsid w:val="441533B6"/>
    <w:rsid w:val="441A1D24"/>
    <w:rsid w:val="442003D6"/>
    <w:rsid w:val="44254A04"/>
    <w:rsid w:val="44314417"/>
    <w:rsid w:val="4431722A"/>
    <w:rsid w:val="44380293"/>
    <w:rsid w:val="44446C38"/>
    <w:rsid w:val="444A3B26"/>
    <w:rsid w:val="444C3D3F"/>
    <w:rsid w:val="444D151C"/>
    <w:rsid w:val="444E5D09"/>
    <w:rsid w:val="44574B66"/>
    <w:rsid w:val="44574C64"/>
    <w:rsid w:val="44652202"/>
    <w:rsid w:val="446E19C5"/>
    <w:rsid w:val="44722751"/>
    <w:rsid w:val="447755E0"/>
    <w:rsid w:val="447926CC"/>
    <w:rsid w:val="44872FC9"/>
    <w:rsid w:val="44973E88"/>
    <w:rsid w:val="44A92F3F"/>
    <w:rsid w:val="44B20F16"/>
    <w:rsid w:val="44B92936"/>
    <w:rsid w:val="44C47D79"/>
    <w:rsid w:val="44CB3942"/>
    <w:rsid w:val="44D07A51"/>
    <w:rsid w:val="44EE2822"/>
    <w:rsid w:val="4503689F"/>
    <w:rsid w:val="451413E5"/>
    <w:rsid w:val="452A22D2"/>
    <w:rsid w:val="452B429C"/>
    <w:rsid w:val="4561451C"/>
    <w:rsid w:val="456C368B"/>
    <w:rsid w:val="456F4189"/>
    <w:rsid w:val="45703A5D"/>
    <w:rsid w:val="458F615D"/>
    <w:rsid w:val="45924563"/>
    <w:rsid w:val="45927E77"/>
    <w:rsid w:val="45967968"/>
    <w:rsid w:val="45AF27D7"/>
    <w:rsid w:val="45B22572"/>
    <w:rsid w:val="45B64647"/>
    <w:rsid w:val="45C51FFB"/>
    <w:rsid w:val="45CC5137"/>
    <w:rsid w:val="45D53A12"/>
    <w:rsid w:val="45DB181E"/>
    <w:rsid w:val="45E22BAD"/>
    <w:rsid w:val="45E36925"/>
    <w:rsid w:val="45ED50AE"/>
    <w:rsid w:val="45F41845"/>
    <w:rsid w:val="45F8417E"/>
    <w:rsid w:val="45FB3C6E"/>
    <w:rsid w:val="461865CE"/>
    <w:rsid w:val="46192347"/>
    <w:rsid w:val="4622744D"/>
    <w:rsid w:val="46362EF9"/>
    <w:rsid w:val="464135B9"/>
    <w:rsid w:val="46651454"/>
    <w:rsid w:val="466A1160"/>
    <w:rsid w:val="467D28D5"/>
    <w:rsid w:val="467F0CF9"/>
    <w:rsid w:val="46845A12"/>
    <w:rsid w:val="46860BE4"/>
    <w:rsid w:val="46935C55"/>
    <w:rsid w:val="469D7A0C"/>
    <w:rsid w:val="46A66AE4"/>
    <w:rsid w:val="46B02CAB"/>
    <w:rsid w:val="46B07A99"/>
    <w:rsid w:val="46BA58D8"/>
    <w:rsid w:val="46C3376E"/>
    <w:rsid w:val="46DD752E"/>
    <w:rsid w:val="46E14C12"/>
    <w:rsid w:val="46E666CD"/>
    <w:rsid w:val="46E83167"/>
    <w:rsid w:val="46EA1BC3"/>
    <w:rsid w:val="46EB3CE3"/>
    <w:rsid w:val="470B1C8F"/>
    <w:rsid w:val="470E1780"/>
    <w:rsid w:val="471825FE"/>
    <w:rsid w:val="475278BE"/>
    <w:rsid w:val="47567456"/>
    <w:rsid w:val="47571378"/>
    <w:rsid w:val="47620709"/>
    <w:rsid w:val="476870E2"/>
    <w:rsid w:val="47705F96"/>
    <w:rsid w:val="4783201A"/>
    <w:rsid w:val="47897BD1"/>
    <w:rsid w:val="47953C4F"/>
    <w:rsid w:val="479E6FA7"/>
    <w:rsid w:val="47A60AB3"/>
    <w:rsid w:val="47B85598"/>
    <w:rsid w:val="47C167F2"/>
    <w:rsid w:val="47C63E08"/>
    <w:rsid w:val="47D06858"/>
    <w:rsid w:val="47E8402A"/>
    <w:rsid w:val="47F646ED"/>
    <w:rsid w:val="47F941DE"/>
    <w:rsid w:val="4812652E"/>
    <w:rsid w:val="4816408C"/>
    <w:rsid w:val="483671E0"/>
    <w:rsid w:val="483F42E6"/>
    <w:rsid w:val="484216E1"/>
    <w:rsid w:val="485476CA"/>
    <w:rsid w:val="48581F4C"/>
    <w:rsid w:val="48671147"/>
    <w:rsid w:val="488F68F0"/>
    <w:rsid w:val="48AD2F65"/>
    <w:rsid w:val="48C41A79"/>
    <w:rsid w:val="48CA4C16"/>
    <w:rsid w:val="48D01517"/>
    <w:rsid w:val="48D04F3E"/>
    <w:rsid w:val="48DC7D87"/>
    <w:rsid w:val="48E1539E"/>
    <w:rsid w:val="48F775B2"/>
    <w:rsid w:val="48FF5824"/>
    <w:rsid w:val="49383470"/>
    <w:rsid w:val="493C25D4"/>
    <w:rsid w:val="49425CA3"/>
    <w:rsid w:val="4950607F"/>
    <w:rsid w:val="495E69EE"/>
    <w:rsid w:val="496D09DF"/>
    <w:rsid w:val="498521CD"/>
    <w:rsid w:val="49865F45"/>
    <w:rsid w:val="498E6727"/>
    <w:rsid w:val="498F4DFA"/>
    <w:rsid w:val="49A73A62"/>
    <w:rsid w:val="49AB775A"/>
    <w:rsid w:val="49C5081B"/>
    <w:rsid w:val="49C95F6F"/>
    <w:rsid w:val="49CC7DFC"/>
    <w:rsid w:val="49D765D8"/>
    <w:rsid w:val="49E7203E"/>
    <w:rsid w:val="49F219FE"/>
    <w:rsid w:val="49F753CF"/>
    <w:rsid w:val="4A0A26D2"/>
    <w:rsid w:val="4A1C7C0D"/>
    <w:rsid w:val="4A203ECA"/>
    <w:rsid w:val="4A471230"/>
    <w:rsid w:val="4A4B0101"/>
    <w:rsid w:val="4A4F4589"/>
    <w:rsid w:val="4A6E0B49"/>
    <w:rsid w:val="4A911C8D"/>
    <w:rsid w:val="4A956670"/>
    <w:rsid w:val="4AA50588"/>
    <w:rsid w:val="4ACB4AB7"/>
    <w:rsid w:val="4ACE3700"/>
    <w:rsid w:val="4AE61FD9"/>
    <w:rsid w:val="4B0343DF"/>
    <w:rsid w:val="4B0C25C9"/>
    <w:rsid w:val="4B2D6177"/>
    <w:rsid w:val="4B3774F7"/>
    <w:rsid w:val="4B4065AF"/>
    <w:rsid w:val="4B49722A"/>
    <w:rsid w:val="4B505594"/>
    <w:rsid w:val="4B5F6A4E"/>
    <w:rsid w:val="4B6040B1"/>
    <w:rsid w:val="4B62209A"/>
    <w:rsid w:val="4B647BC0"/>
    <w:rsid w:val="4B83125E"/>
    <w:rsid w:val="4BA24D84"/>
    <w:rsid w:val="4BB7203F"/>
    <w:rsid w:val="4BCB40E3"/>
    <w:rsid w:val="4BD765A8"/>
    <w:rsid w:val="4BD765E4"/>
    <w:rsid w:val="4BE17463"/>
    <w:rsid w:val="4C0849DC"/>
    <w:rsid w:val="4C11583C"/>
    <w:rsid w:val="4C240357"/>
    <w:rsid w:val="4C254ACF"/>
    <w:rsid w:val="4C2A705C"/>
    <w:rsid w:val="4C3C28EB"/>
    <w:rsid w:val="4C6E4D65"/>
    <w:rsid w:val="4C7107E7"/>
    <w:rsid w:val="4C8147A2"/>
    <w:rsid w:val="4C82133E"/>
    <w:rsid w:val="4C887A3C"/>
    <w:rsid w:val="4C8F3363"/>
    <w:rsid w:val="4CAD36A2"/>
    <w:rsid w:val="4CB54D28"/>
    <w:rsid w:val="4CC065F7"/>
    <w:rsid w:val="4CCC3C6F"/>
    <w:rsid w:val="4CCF19B1"/>
    <w:rsid w:val="4CF907DC"/>
    <w:rsid w:val="4CFE521D"/>
    <w:rsid w:val="4D0553D3"/>
    <w:rsid w:val="4D0A2E03"/>
    <w:rsid w:val="4D243AAB"/>
    <w:rsid w:val="4D2609ED"/>
    <w:rsid w:val="4D2F39D8"/>
    <w:rsid w:val="4D422BEC"/>
    <w:rsid w:val="4D502AF2"/>
    <w:rsid w:val="4D73160D"/>
    <w:rsid w:val="4D8C1650"/>
    <w:rsid w:val="4DAB41CC"/>
    <w:rsid w:val="4DAB7D28"/>
    <w:rsid w:val="4DCC4AAA"/>
    <w:rsid w:val="4DD0778F"/>
    <w:rsid w:val="4DD077BB"/>
    <w:rsid w:val="4DD51C8D"/>
    <w:rsid w:val="4DD74FC1"/>
    <w:rsid w:val="4DDE7A3E"/>
    <w:rsid w:val="4DE82D2A"/>
    <w:rsid w:val="4DF711BF"/>
    <w:rsid w:val="4E0336C0"/>
    <w:rsid w:val="4E1242A9"/>
    <w:rsid w:val="4E175DFB"/>
    <w:rsid w:val="4E1D0882"/>
    <w:rsid w:val="4E244990"/>
    <w:rsid w:val="4E320449"/>
    <w:rsid w:val="4E33128A"/>
    <w:rsid w:val="4E4D5283"/>
    <w:rsid w:val="4E524648"/>
    <w:rsid w:val="4E5A52AA"/>
    <w:rsid w:val="4E5E4D9B"/>
    <w:rsid w:val="4E6E783B"/>
    <w:rsid w:val="4E830CA5"/>
    <w:rsid w:val="4E8A3DE2"/>
    <w:rsid w:val="4E8A5B90"/>
    <w:rsid w:val="4E915170"/>
    <w:rsid w:val="4E9B72EC"/>
    <w:rsid w:val="4EA53C12"/>
    <w:rsid w:val="4EA815FA"/>
    <w:rsid w:val="4EAB591A"/>
    <w:rsid w:val="4EC56BC8"/>
    <w:rsid w:val="4EC92B5C"/>
    <w:rsid w:val="4F006F9C"/>
    <w:rsid w:val="4F02606E"/>
    <w:rsid w:val="4F027E1C"/>
    <w:rsid w:val="4F05774D"/>
    <w:rsid w:val="4F165675"/>
    <w:rsid w:val="4F247D92"/>
    <w:rsid w:val="4F2A7373"/>
    <w:rsid w:val="4F530677"/>
    <w:rsid w:val="4F74239C"/>
    <w:rsid w:val="4F77611B"/>
    <w:rsid w:val="4F7800DE"/>
    <w:rsid w:val="4F7B6EAF"/>
    <w:rsid w:val="4FA115B8"/>
    <w:rsid w:val="4FBA6948"/>
    <w:rsid w:val="4FC31CD2"/>
    <w:rsid w:val="4FCE7A0A"/>
    <w:rsid w:val="4FD04B03"/>
    <w:rsid w:val="4FE70DC0"/>
    <w:rsid w:val="500205D5"/>
    <w:rsid w:val="50106916"/>
    <w:rsid w:val="501F67AB"/>
    <w:rsid w:val="50370C57"/>
    <w:rsid w:val="5038161B"/>
    <w:rsid w:val="50406E4E"/>
    <w:rsid w:val="50502E09"/>
    <w:rsid w:val="505E7C0C"/>
    <w:rsid w:val="50602D42"/>
    <w:rsid w:val="5066262C"/>
    <w:rsid w:val="50782C11"/>
    <w:rsid w:val="50896C7A"/>
    <w:rsid w:val="508C1050"/>
    <w:rsid w:val="5095081C"/>
    <w:rsid w:val="50AB003F"/>
    <w:rsid w:val="50BF6765"/>
    <w:rsid w:val="50C01D3C"/>
    <w:rsid w:val="50CD6207"/>
    <w:rsid w:val="50CE7637"/>
    <w:rsid w:val="50D15CF8"/>
    <w:rsid w:val="50DB6B76"/>
    <w:rsid w:val="50EA0B67"/>
    <w:rsid w:val="50EA5B3B"/>
    <w:rsid w:val="50EC2B32"/>
    <w:rsid w:val="50F04C42"/>
    <w:rsid w:val="51087240"/>
    <w:rsid w:val="51121655"/>
    <w:rsid w:val="512567E1"/>
    <w:rsid w:val="5128044E"/>
    <w:rsid w:val="51340038"/>
    <w:rsid w:val="51432A9D"/>
    <w:rsid w:val="51711289"/>
    <w:rsid w:val="517A7FEF"/>
    <w:rsid w:val="518865EC"/>
    <w:rsid w:val="518C58ED"/>
    <w:rsid w:val="51905BB3"/>
    <w:rsid w:val="519B2AC5"/>
    <w:rsid w:val="51A0391C"/>
    <w:rsid w:val="51A53A93"/>
    <w:rsid w:val="51A86C19"/>
    <w:rsid w:val="51AE56FE"/>
    <w:rsid w:val="51BA6964"/>
    <w:rsid w:val="51C25640"/>
    <w:rsid w:val="51C4760A"/>
    <w:rsid w:val="51DC2BA6"/>
    <w:rsid w:val="51F353CA"/>
    <w:rsid w:val="52075C20"/>
    <w:rsid w:val="5212481A"/>
    <w:rsid w:val="52161998"/>
    <w:rsid w:val="52197B0F"/>
    <w:rsid w:val="521E6C88"/>
    <w:rsid w:val="52234810"/>
    <w:rsid w:val="5224454D"/>
    <w:rsid w:val="522678BC"/>
    <w:rsid w:val="5248023B"/>
    <w:rsid w:val="5257047F"/>
    <w:rsid w:val="525766D1"/>
    <w:rsid w:val="525A3ACB"/>
    <w:rsid w:val="525B2C73"/>
    <w:rsid w:val="526D1A50"/>
    <w:rsid w:val="526E3F9D"/>
    <w:rsid w:val="528B0128"/>
    <w:rsid w:val="528F7C18"/>
    <w:rsid w:val="52911BE2"/>
    <w:rsid w:val="52A03BD4"/>
    <w:rsid w:val="52AF3E17"/>
    <w:rsid w:val="52BB785E"/>
    <w:rsid w:val="52CB42C1"/>
    <w:rsid w:val="52CC1AB7"/>
    <w:rsid w:val="52CF6267"/>
    <w:rsid w:val="52ED0DE3"/>
    <w:rsid w:val="52F45CCD"/>
    <w:rsid w:val="52F932E4"/>
    <w:rsid w:val="53023148"/>
    <w:rsid w:val="53034162"/>
    <w:rsid w:val="53114AD1"/>
    <w:rsid w:val="531363EC"/>
    <w:rsid w:val="53166804"/>
    <w:rsid w:val="53177C0E"/>
    <w:rsid w:val="53220A8C"/>
    <w:rsid w:val="5338205E"/>
    <w:rsid w:val="53542C10"/>
    <w:rsid w:val="535D555F"/>
    <w:rsid w:val="53656BCB"/>
    <w:rsid w:val="538D3BC8"/>
    <w:rsid w:val="53A5521A"/>
    <w:rsid w:val="53AA3AEE"/>
    <w:rsid w:val="53B07B19"/>
    <w:rsid w:val="53C5766A"/>
    <w:rsid w:val="53CB2ED2"/>
    <w:rsid w:val="53D55AFF"/>
    <w:rsid w:val="53E75832"/>
    <w:rsid w:val="53F21C9D"/>
    <w:rsid w:val="5408687A"/>
    <w:rsid w:val="54104D89"/>
    <w:rsid w:val="541219BC"/>
    <w:rsid w:val="54162536"/>
    <w:rsid w:val="54375B73"/>
    <w:rsid w:val="543E18F6"/>
    <w:rsid w:val="54494881"/>
    <w:rsid w:val="545804DE"/>
    <w:rsid w:val="546E7D01"/>
    <w:rsid w:val="54724797"/>
    <w:rsid w:val="547C7191"/>
    <w:rsid w:val="54864521"/>
    <w:rsid w:val="548A0C7D"/>
    <w:rsid w:val="549B522E"/>
    <w:rsid w:val="54A0435F"/>
    <w:rsid w:val="54AF6B6F"/>
    <w:rsid w:val="54C309F6"/>
    <w:rsid w:val="54DD7266"/>
    <w:rsid w:val="54DE6C35"/>
    <w:rsid w:val="54F2623D"/>
    <w:rsid w:val="550A2470"/>
    <w:rsid w:val="55110CEB"/>
    <w:rsid w:val="551D5F9C"/>
    <w:rsid w:val="55243733"/>
    <w:rsid w:val="552705DC"/>
    <w:rsid w:val="552A1D96"/>
    <w:rsid w:val="552B3724"/>
    <w:rsid w:val="55540CA5"/>
    <w:rsid w:val="555C7B5A"/>
    <w:rsid w:val="556E0BD7"/>
    <w:rsid w:val="55780E38"/>
    <w:rsid w:val="557E6979"/>
    <w:rsid w:val="558A2919"/>
    <w:rsid w:val="55A03EEB"/>
    <w:rsid w:val="55A54F38"/>
    <w:rsid w:val="55D6344D"/>
    <w:rsid w:val="55D818D6"/>
    <w:rsid w:val="56097CE2"/>
    <w:rsid w:val="563E571F"/>
    <w:rsid w:val="564766B7"/>
    <w:rsid w:val="56576C9F"/>
    <w:rsid w:val="56622056"/>
    <w:rsid w:val="56645843"/>
    <w:rsid w:val="5671159D"/>
    <w:rsid w:val="567535C9"/>
    <w:rsid w:val="56A45C5C"/>
    <w:rsid w:val="56A65531"/>
    <w:rsid w:val="56AE2637"/>
    <w:rsid w:val="56C11006"/>
    <w:rsid w:val="56D20724"/>
    <w:rsid w:val="56D73EF4"/>
    <w:rsid w:val="56DC71A4"/>
    <w:rsid w:val="56F444EE"/>
    <w:rsid w:val="56FC33A3"/>
    <w:rsid w:val="57071EFB"/>
    <w:rsid w:val="5737262D"/>
    <w:rsid w:val="573963A5"/>
    <w:rsid w:val="57515644"/>
    <w:rsid w:val="576073B8"/>
    <w:rsid w:val="576553EC"/>
    <w:rsid w:val="576F173F"/>
    <w:rsid w:val="578B2CBE"/>
    <w:rsid w:val="57911D3D"/>
    <w:rsid w:val="579420CB"/>
    <w:rsid w:val="57AF3A2D"/>
    <w:rsid w:val="57B217FC"/>
    <w:rsid w:val="57C15027"/>
    <w:rsid w:val="57E06965"/>
    <w:rsid w:val="57EA390C"/>
    <w:rsid w:val="57F65AD2"/>
    <w:rsid w:val="57FB2843"/>
    <w:rsid w:val="57FD3FEF"/>
    <w:rsid w:val="58005114"/>
    <w:rsid w:val="580C7B37"/>
    <w:rsid w:val="5822322A"/>
    <w:rsid w:val="58294405"/>
    <w:rsid w:val="584414FA"/>
    <w:rsid w:val="585039A6"/>
    <w:rsid w:val="585D2567"/>
    <w:rsid w:val="58680CEE"/>
    <w:rsid w:val="586B1A2F"/>
    <w:rsid w:val="587578B0"/>
    <w:rsid w:val="587A6F3C"/>
    <w:rsid w:val="587C29ED"/>
    <w:rsid w:val="58873140"/>
    <w:rsid w:val="589C4E3D"/>
    <w:rsid w:val="589F66DB"/>
    <w:rsid w:val="58B32187"/>
    <w:rsid w:val="58B42208"/>
    <w:rsid w:val="58C12AF6"/>
    <w:rsid w:val="58C20AB6"/>
    <w:rsid w:val="58C942E7"/>
    <w:rsid w:val="58D16870"/>
    <w:rsid w:val="58D853F1"/>
    <w:rsid w:val="58DC2FA9"/>
    <w:rsid w:val="58E46427"/>
    <w:rsid w:val="58E6430A"/>
    <w:rsid w:val="58E94E48"/>
    <w:rsid w:val="58ED10AE"/>
    <w:rsid w:val="58EE0FAF"/>
    <w:rsid w:val="58FC3B2E"/>
    <w:rsid w:val="58FF717A"/>
    <w:rsid w:val="590B0E34"/>
    <w:rsid w:val="592102E2"/>
    <w:rsid w:val="59433FB1"/>
    <w:rsid w:val="59457283"/>
    <w:rsid w:val="594D3F55"/>
    <w:rsid w:val="59605E6B"/>
    <w:rsid w:val="59617565"/>
    <w:rsid w:val="59617E35"/>
    <w:rsid w:val="59744518"/>
    <w:rsid w:val="5976568E"/>
    <w:rsid w:val="599B6EA3"/>
    <w:rsid w:val="59B6051E"/>
    <w:rsid w:val="59C503C4"/>
    <w:rsid w:val="59F214ED"/>
    <w:rsid w:val="59F8455A"/>
    <w:rsid w:val="59FE7432"/>
    <w:rsid w:val="5A0A5DD6"/>
    <w:rsid w:val="5A0E1D6B"/>
    <w:rsid w:val="5A13761A"/>
    <w:rsid w:val="5A2E3651"/>
    <w:rsid w:val="5A3362F8"/>
    <w:rsid w:val="5A3E0611"/>
    <w:rsid w:val="5A3E17E3"/>
    <w:rsid w:val="5A44578C"/>
    <w:rsid w:val="5A596455"/>
    <w:rsid w:val="5A5A6D5E"/>
    <w:rsid w:val="5A5D05FC"/>
    <w:rsid w:val="5A71375D"/>
    <w:rsid w:val="5A753DA0"/>
    <w:rsid w:val="5A89142B"/>
    <w:rsid w:val="5A9702EF"/>
    <w:rsid w:val="5A98025F"/>
    <w:rsid w:val="5AA004E9"/>
    <w:rsid w:val="5AA2724A"/>
    <w:rsid w:val="5AAB1367"/>
    <w:rsid w:val="5AB3646E"/>
    <w:rsid w:val="5ABA37AE"/>
    <w:rsid w:val="5AE3714B"/>
    <w:rsid w:val="5AED7BD2"/>
    <w:rsid w:val="5AF81503"/>
    <w:rsid w:val="5B101B12"/>
    <w:rsid w:val="5B3B4331"/>
    <w:rsid w:val="5B590DC3"/>
    <w:rsid w:val="5B595A32"/>
    <w:rsid w:val="5B5E287E"/>
    <w:rsid w:val="5B7E4CCE"/>
    <w:rsid w:val="5B8B700B"/>
    <w:rsid w:val="5BAC5F7F"/>
    <w:rsid w:val="5BB74794"/>
    <w:rsid w:val="5BC433D0"/>
    <w:rsid w:val="5BC95A66"/>
    <w:rsid w:val="5BCD355F"/>
    <w:rsid w:val="5BF705DC"/>
    <w:rsid w:val="5C1C07A4"/>
    <w:rsid w:val="5C246606"/>
    <w:rsid w:val="5C2B20C3"/>
    <w:rsid w:val="5C2B3F8B"/>
    <w:rsid w:val="5C2C79C1"/>
    <w:rsid w:val="5C2F7D76"/>
    <w:rsid w:val="5C431F37"/>
    <w:rsid w:val="5C4F4537"/>
    <w:rsid w:val="5C56031C"/>
    <w:rsid w:val="5C583771"/>
    <w:rsid w:val="5C626972"/>
    <w:rsid w:val="5C633279"/>
    <w:rsid w:val="5C693288"/>
    <w:rsid w:val="5C904CB9"/>
    <w:rsid w:val="5C922F53"/>
    <w:rsid w:val="5C9347A9"/>
    <w:rsid w:val="5C961BA3"/>
    <w:rsid w:val="5C9702B9"/>
    <w:rsid w:val="5C9A1106"/>
    <w:rsid w:val="5CB169DD"/>
    <w:rsid w:val="5CB309A7"/>
    <w:rsid w:val="5CB3755F"/>
    <w:rsid w:val="5CB73713"/>
    <w:rsid w:val="5CDA23D8"/>
    <w:rsid w:val="5CE861E2"/>
    <w:rsid w:val="5CEB5E28"/>
    <w:rsid w:val="5CFA45E8"/>
    <w:rsid w:val="5D042FB1"/>
    <w:rsid w:val="5D2B15A2"/>
    <w:rsid w:val="5D35760E"/>
    <w:rsid w:val="5D5932FD"/>
    <w:rsid w:val="5D5C2546"/>
    <w:rsid w:val="5D6F0D72"/>
    <w:rsid w:val="5D9D6ED7"/>
    <w:rsid w:val="5DA550B9"/>
    <w:rsid w:val="5DCA41FA"/>
    <w:rsid w:val="5DCF6A0F"/>
    <w:rsid w:val="5DD9761C"/>
    <w:rsid w:val="5DDE3B09"/>
    <w:rsid w:val="5DEF78BB"/>
    <w:rsid w:val="5DF3340F"/>
    <w:rsid w:val="5E1E62F4"/>
    <w:rsid w:val="5E2F0501"/>
    <w:rsid w:val="5E4E6BDA"/>
    <w:rsid w:val="5E684C2A"/>
    <w:rsid w:val="5E6F2A83"/>
    <w:rsid w:val="5E7D301B"/>
    <w:rsid w:val="5E802B0B"/>
    <w:rsid w:val="5EA54933"/>
    <w:rsid w:val="5EB22277"/>
    <w:rsid w:val="5EC46E9C"/>
    <w:rsid w:val="5ED510A9"/>
    <w:rsid w:val="5EE27322"/>
    <w:rsid w:val="5EEB4428"/>
    <w:rsid w:val="5EF54319"/>
    <w:rsid w:val="5EF808F3"/>
    <w:rsid w:val="5F221E14"/>
    <w:rsid w:val="5F2C67EF"/>
    <w:rsid w:val="5F337B7D"/>
    <w:rsid w:val="5F36141C"/>
    <w:rsid w:val="5F41673E"/>
    <w:rsid w:val="5F492E1F"/>
    <w:rsid w:val="5F516A6F"/>
    <w:rsid w:val="5F665894"/>
    <w:rsid w:val="5F944AC0"/>
    <w:rsid w:val="5FB707AE"/>
    <w:rsid w:val="5FD44968"/>
    <w:rsid w:val="5FDA449D"/>
    <w:rsid w:val="5FDE3F8D"/>
    <w:rsid w:val="5FEE3180"/>
    <w:rsid w:val="5FF92B75"/>
    <w:rsid w:val="60182735"/>
    <w:rsid w:val="602776E2"/>
    <w:rsid w:val="603327FA"/>
    <w:rsid w:val="6041169C"/>
    <w:rsid w:val="604275EE"/>
    <w:rsid w:val="604A1D31"/>
    <w:rsid w:val="60503921"/>
    <w:rsid w:val="60762418"/>
    <w:rsid w:val="609043B3"/>
    <w:rsid w:val="60A36672"/>
    <w:rsid w:val="60C7396B"/>
    <w:rsid w:val="60CA62C0"/>
    <w:rsid w:val="60CE558E"/>
    <w:rsid w:val="60D55390"/>
    <w:rsid w:val="60E17038"/>
    <w:rsid w:val="60E17A6A"/>
    <w:rsid w:val="60EF3399"/>
    <w:rsid w:val="60FB291D"/>
    <w:rsid w:val="60FB46CB"/>
    <w:rsid w:val="615D06B3"/>
    <w:rsid w:val="615D1D6D"/>
    <w:rsid w:val="61686204"/>
    <w:rsid w:val="6175447D"/>
    <w:rsid w:val="618E553F"/>
    <w:rsid w:val="61CB7F54"/>
    <w:rsid w:val="61D75138"/>
    <w:rsid w:val="61DA7E1C"/>
    <w:rsid w:val="61ED7675"/>
    <w:rsid w:val="61F1384C"/>
    <w:rsid w:val="61F77588"/>
    <w:rsid w:val="620121B5"/>
    <w:rsid w:val="62057AA6"/>
    <w:rsid w:val="620722A3"/>
    <w:rsid w:val="62144B45"/>
    <w:rsid w:val="624E61AE"/>
    <w:rsid w:val="6255051B"/>
    <w:rsid w:val="62691B04"/>
    <w:rsid w:val="6271733B"/>
    <w:rsid w:val="627568DC"/>
    <w:rsid w:val="627F270B"/>
    <w:rsid w:val="62887FEF"/>
    <w:rsid w:val="628920EB"/>
    <w:rsid w:val="62913539"/>
    <w:rsid w:val="62944DD7"/>
    <w:rsid w:val="62946B85"/>
    <w:rsid w:val="62B62F9F"/>
    <w:rsid w:val="62B84840"/>
    <w:rsid w:val="62CE1DCE"/>
    <w:rsid w:val="62F41A14"/>
    <w:rsid w:val="62F41A35"/>
    <w:rsid w:val="62FA10DE"/>
    <w:rsid w:val="63013544"/>
    <w:rsid w:val="630430DC"/>
    <w:rsid w:val="632C14B3"/>
    <w:rsid w:val="63351768"/>
    <w:rsid w:val="633A4F6F"/>
    <w:rsid w:val="633B042D"/>
    <w:rsid w:val="634738A3"/>
    <w:rsid w:val="6355290C"/>
    <w:rsid w:val="63783630"/>
    <w:rsid w:val="63957059"/>
    <w:rsid w:val="639860B9"/>
    <w:rsid w:val="639C3F43"/>
    <w:rsid w:val="639F7A23"/>
    <w:rsid w:val="63A252D2"/>
    <w:rsid w:val="63AE1EC8"/>
    <w:rsid w:val="63BA261B"/>
    <w:rsid w:val="63BF40D6"/>
    <w:rsid w:val="63BF5E84"/>
    <w:rsid w:val="63C43A85"/>
    <w:rsid w:val="63CA447C"/>
    <w:rsid w:val="63DC4DF7"/>
    <w:rsid w:val="63E10FFC"/>
    <w:rsid w:val="641066DF"/>
    <w:rsid w:val="6421269A"/>
    <w:rsid w:val="642F125B"/>
    <w:rsid w:val="647153D0"/>
    <w:rsid w:val="6472739A"/>
    <w:rsid w:val="64833457"/>
    <w:rsid w:val="64990483"/>
    <w:rsid w:val="64B10789"/>
    <w:rsid w:val="64CF7F2F"/>
    <w:rsid w:val="64EE1744"/>
    <w:rsid w:val="64F102BF"/>
    <w:rsid w:val="65080B3A"/>
    <w:rsid w:val="6524556B"/>
    <w:rsid w:val="6530009A"/>
    <w:rsid w:val="653308D7"/>
    <w:rsid w:val="6535184E"/>
    <w:rsid w:val="65377536"/>
    <w:rsid w:val="654C3747"/>
    <w:rsid w:val="654F3237"/>
    <w:rsid w:val="6578278E"/>
    <w:rsid w:val="65815AE7"/>
    <w:rsid w:val="65A834F4"/>
    <w:rsid w:val="65AD68DC"/>
    <w:rsid w:val="65B65064"/>
    <w:rsid w:val="65B92A25"/>
    <w:rsid w:val="65DB75C4"/>
    <w:rsid w:val="65E120E1"/>
    <w:rsid w:val="65ED4F2A"/>
    <w:rsid w:val="65FE1814"/>
    <w:rsid w:val="660D1128"/>
    <w:rsid w:val="66157FDD"/>
    <w:rsid w:val="66240220"/>
    <w:rsid w:val="662F5543"/>
    <w:rsid w:val="66424284"/>
    <w:rsid w:val="664D06D4"/>
    <w:rsid w:val="664D3720"/>
    <w:rsid w:val="666D1BC7"/>
    <w:rsid w:val="66772A46"/>
    <w:rsid w:val="667747F4"/>
    <w:rsid w:val="667A112A"/>
    <w:rsid w:val="66A55805"/>
    <w:rsid w:val="66B729FC"/>
    <w:rsid w:val="66BE0674"/>
    <w:rsid w:val="66E14363"/>
    <w:rsid w:val="66E856F1"/>
    <w:rsid w:val="66EC51E2"/>
    <w:rsid w:val="66F422E8"/>
    <w:rsid w:val="66FC0397"/>
    <w:rsid w:val="670342D9"/>
    <w:rsid w:val="67146463"/>
    <w:rsid w:val="6716400D"/>
    <w:rsid w:val="67196FE5"/>
    <w:rsid w:val="672704EA"/>
    <w:rsid w:val="67310E46"/>
    <w:rsid w:val="67346B89"/>
    <w:rsid w:val="67386FDB"/>
    <w:rsid w:val="67423054"/>
    <w:rsid w:val="674E7C4A"/>
    <w:rsid w:val="67566AFF"/>
    <w:rsid w:val="67626A2D"/>
    <w:rsid w:val="67694C5E"/>
    <w:rsid w:val="676D4DD7"/>
    <w:rsid w:val="67762CFD"/>
    <w:rsid w:val="677F7E04"/>
    <w:rsid w:val="678278F4"/>
    <w:rsid w:val="67862CC9"/>
    <w:rsid w:val="678A67A9"/>
    <w:rsid w:val="6795405C"/>
    <w:rsid w:val="679B2BC6"/>
    <w:rsid w:val="67A254F4"/>
    <w:rsid w:val="67AE693B"/>
    <w:rsid w:val="67B352D9"/>
    <w:rsid w:val="67C95F8E"/>
    <w:rsid w:val="67DB0DB2"/>
    <w:rsid w:val="67E1757F"/>
    <w:rsid w:val="67E57BB0"/>
    <w:rsid w:val="67F83953"/>
    <w:rsid w:val="681F15E7"/>
    <w:rsid w:val="682E7AFD"/>
    <w:rsid w:val="683F57E5"/>
    <w:rsid w:val="68517B9D"/>
    <w:rsid w:val="685E6B5F"/>
    <w:rsid w:val="686D4100"/>
    <w:rsid w:val="68872F66"/>
    <w:rsid w:val="68882CE8"/>
    <w:rsid w:val="68955405"/>
    <w:rsid w:val="689618A9"/>
    <w:rsid w:val="689D6067"/>
    <w:rsid w:val="689F6284"/>
    <w:rsid w:val="68BA38D3"/>
    <w:rsid w:val="68BC7338"/>
    <w:rsid w:val="68CC10D2"/>
    <w:rsid w:val="68E51EE8"/>
    <w:rsid w:val="68EA39A3"/>
    <w:rsid w:val="68EE5B8A"/>
    <w:rsid w:val="68F465CD"/>
    <w:rsid w:val="69034A64"/>
    <w:rsid w:val="69110F2F"/>
    <w:rsid w:val="69147BDC"/>
    <w:rsid w:val="69200DE4"/>
    <w:rsid w:val="693C6962"/>
    <w:rsid w:val="69454618"/>
    <w:rsid w:val="69493DE9"/>
    <w:rsid w:val="69526CD7"/>
    <w:rsid w:val="695928D6"/>
    <w:rsid w:val="695E06A9"/>
    <w:rsid w:val="696236D6"/>
    <w:rsid w:val="69643755"/>
    <w:rsid w:val="696574CD"/>
    <w:rsid w:val="69792935"/>
    <w:rsid w:val="697C7B8E"/>
    <w:rsid w:val="697E40EB"/>
    <w:rsid w:val="698C05B6"/>
    <w:rsid w:val="6990454A"/>
    <w:rsid w:val="69B064ED"/>
    <w:rsid w:val="69C1772D"/>
    <w:rsid w:val="69C50938"/>
    <w:rsid w:val="69C51347"/>
    <w:rsid w:val="69D41F5D"/>
    <w:rsid w:val="69D46F4B"/>
    <w:rsid w:val="69EC54F9"/>
    <w:rsid w:val="6A002D52"/>
    <w:rsid w:val="6A2007D0"/>
    <w:rsid w:val="6A2507B3"/>
    <w:rsid w:val="6A2922A9"/>
    <w:rsid w:val="6A3D5D54"/>
    <w:rsid w:val="6A425C68"/>
    <w:rsid w:val="6A486BD3"/>
    <w:rsid w:val="6A55599E"/>
    <w:rsid w:val="6A5C6501"/>
    <w:rsid w:val="6A635322"/>
    <w:rsid w:val="6A6C5D44"/>
    <w:rsid w:val="6A6F2D39"/>
    <w:rsid w:val="6A7A0D56"/>
    <w:rsid w:val="6A7A6FA8"/>
    <w:rsid w:val="6A856939"/>
    <w:rsid w:val="6AA80BCD"/>
    <w:rsid w:val="6AB06526"/>
    <w:rsid w:val="6AB75B07"/>
    <w:rsid w:val="6AC344AB"/>
    <w:rsid w:val="6AF24D91"/>
    <w:rsid w:val="6AFE1987"/>
    <w:rsid w:val="6B0F2BA4"/>
    <w:rsid w:val="6B1F7EEB"/>
    <w:rsid w:val="6B2920F3"/>
    <w:rsid w:val="6B3453A9"/>
    <w:rsid w:val="6B364C7D"/>
    <w:rsid w:val="6B4F5AA9"/>
    <w:rsid w:val="6B623CC4"/>
    <w:rsid w:val="6B64148A"/>
    <w:rsid w:val="6B6B1AF8"/>
    <w:rsid w:val="6B767770"/>
    <w:rsid w:val="6B79100E"/>
    <w:rsid w:val="6B814558"/>
    <w:rsid w:val="6B882FFF"/>
    <w:rsid w:val="6B9D2F4E"/>
    <w:rsid w:val="6BA77929"/>
    <w:rsid w:val="6BAF40B2"/>
    <w:rsid w:val="6BBA58AE"/>
    <w:rsid w:val="6BBD714D"/>
    <w:rsid w:val="6BBE265D"/>
    <w:rsid w:val="6BF3491C"/>
    <w:rsid w:val="6C3513D9"/>
    <w:rsid w:val="6C3D028D"/>
    <w:rsid w:val="6C506213"/>
    <w:rsid w:val="6C68355C"/>
    <w:rsid w:val="6C6A21DC"/>
    <w:rsid w:val="6C6B6BA9"/>
    <w:rsid w:val="6C852CE3"/>
    <w:rsid w:val="6C8B2DA7"/>
    <w:rsid w:val="6C904861"/>
    <w:rsid w:val="6C9A50B5"/>
    <w:rsid w:val="6C9F70F3"/>
    <w:rsid w:val="6CAB63EA"/>
    <w:rsid w:val="6CB95B66"/>
    <w:rsid w:val="6CBC0AB6"/>
    <w:rsid w:val="6CC0345F"/>
    <w:rsid w:val="6CC60283"/>
    <w:rsid w:val="6CCE7137"/>
    <w:rsid w:val="6CD80B0F"/>
    <w:rsid w:val="6CDC0C19"/>
    <w:rsid w:val="6CDE381E"/>
    <w:rsid w:val="6CE1330F"/>
    <w:rsid w:val="6CF50B68"/>
    <w:rsid w:val="6D0503B6"/>
    <w:rsid w:val="6D08089B"/>
    <w:rsid w:val="6D0B2D0D"/>
    <w:rsid w:val="6D1B0A73"/>
    <w:rsid w:val="6D5261F9"/>
    <w:rsid w:val="6D5540D1"/>
    <w:rsid w:val="6D5A2643"/>
    <w:rsid w:val="6D68395A"/>
    <w:rsid w:val="6DA46816"/>
    <w:rsid w:val="6DAC1227"/>
    <w:rsid w:val="6DAC20EC"/>
    <w:rsid w:val="6DB8406F"/>
    <w:rsid w:val="6DC25DEB"/>
    <w:rsid w:val="6DD537B5"/>
    <w:rsid w:val="6DE309C1"/>
    <w:rsid w:val="6DE54DB4"/>
    <w:rsid w:val="6DED1ACB"/>
    <w:rsid w:val="6DEE7A91"/>
    <w:rsid w:val="6DF227EA"/>
    <w:rsid w:val="6DF6676A"/>
    <w:rsid w:val="6E076EF0"/>
    <w:rsid w:val="6E2C16BB"/>
    <w:rsid w:val="6E461717"/>
    <w:rsid w:val="6E4A0A40"/>
    <w:rsid w:val="6E511DCE"/>
    <w:rsid w:val="6E58315D"/>
    <w:rsid w:val="6E662264"/>
    <w:rsid w:val="6E66587A"/>
    <w:rsid w:val="6E737F96"/>
    <w:rsid w:val="6E784EA5"/>
    <w:rsid w:val="6E7B48A4"/>
    <w:rsid w:val="6E7F3C61"/>
    <w:rsid w:val="6E934195"/>
    <w:rsid w:val="6E9374A3"/>
    <w:rsid w:val="6E9A19C7"/>
    <w:rsid w:val="6EA91A5B"/>
    <w:rsid w:val="6EAF4BC1"/>
    <w:rsid w:val="6EB16810"/>
    <w:rsid w:val="6EBD27B8"/>
    <w:rsid w:val="6ECB2D33"/>
    <w:rsid w:val="6ECD58F9"/>
    <w:rsid w:val="6EE21E54"/>
    <w:rsid w:val="6EE423D3"/>
    <w:rsid w:val="6EF05F86"/>
    <w:rsid w:val="6EF87986"/>
    <w:rsid w:val="6F1057E5"/>
    <w:rsid w:val="6F15104E"/>
    <w:rsid w:val="6F28705A"/>
    <w:rsid w:val="6F3816F9"/>
    <w:rsid w:val="6F475D90"/>
    <w:rsid w:val="6F4B2CC1"/>
    <w:rsid w:val="6F517D99"/>
    <w:rsid w:val="6F547DC8"/>
    <w:rsid w:val="6F5C4ECE"/>
    <w:rsid w:val="6F6128C1"/>
    <w:rsid w:val="6F795A80"/>
    <w:rsid w:val="6F8917A1"/>
    <w:rsid w:val="6F8B1310"/>
    <w:rsid w:val="6F8C1F27"/>
    <w:rsid w:val="6F9B59F7"/>
    <w:rsid w:val="6F9C149C"/>
    <w:rsid w:val="6FAF14A2"/>
    <w:rsid w:val="6FBB5750"/>
    <w:rsid w:val="6FC565D0"/>
    <w:rsid w:val="6FD1766A"/>
    <w:rsid w:val="6FE6710E"/>
    <w:rsid w:val="6FF43359"/>
    <w:rsid w:val="6FF47C38"/>
    <w:rsid w:val="6FF60E7F"/>
    <w:rsid w:val="70056392"/>
    <w:rsid w:val="70063A19"/>
    <w:rsid w:val="70107109"/>
    <w:rsid w:val="7043255C"/>
    <w:rsid w:val="70552753"/>
    <w:rsid w:val="7064403B"/>
    <w:rsid w:val="706C69B3"/>
    <w:rsid w:val="7076413D"/>
    <w:rsid w:val="707B5963"/>
    <w:rsid w:val="707F60AB"/>
    <w:rsid w:val="70877D29"/>
    <w:rsid w:val="70926274"/>
    <w:rsid w:val="70962660"/>
    <w:rsid w:val="70B00C3E"/>
    <w:rsid w:val="70B82875"/>
    <w:rsid w:val="70B84386"/>
    <w:rsid w:val="70C00B5C"/>
    <w:rsid w:val="70E150EF"/>
    <w:rsid w:val="70FF68A0"/>
    <w:rsid w:val="71120427"/>
    <w:rsid w:val="711523BF"/>
    <w:rsid w:val="71154596"/>
    <w:rsid w:val="711D2C54"/>
    <w:rsid w:val="71397275"/>
    <w:rsid w:val="713A123F"/>
    <w:rsid w:val="713E2ADE"/>
    <w:rsid w:val="713E488C"/>
    <w:rsid w:val="713F6856"/>
    <w:rsid w:val="714618DD"/>
    <w:rsid w:val="7157594D"/>
    <w:rsid w:val="718C2D82"/>
    <w:rsid w:val="71C04EF7"/>
    <w:rsid w:val="71CA5F55"/>
    <w:rsid w:val="71D7319F"/>
    <w:rsid w:val="71E614C0"/>
    <w:rsid w:val="71FE170B"/>
    <w:rsid w:val="720A6E64"/>
    <w:rsid w:val="720C6738"/>
    <w:rsid w:val="720F320B"/>
    <w:rsid w:val="722021E3"/>
    <w:rsid w:val="722A12B4"/>
    <w:rsid w:val="723B701D"/>
    <w:rsid w:val="72417044"/>
    <w:rsid w:val="72600832"/>
    <w:rsid w:val="7276525A"/>
    <w:rsid w:val="727D5888"/>
    <w:rsid w:val="72824C4C"/>
    <w:rsid w:val="728A0953"/>
    <w:rsid w:val="72974A35"/>
    <w:rsid w:val="729A01E8"/>
    <w:rsid w:val="72AC1CC9"/>
    <w:rsid w:val="72B33140"/>
    <w:rsid w:val="72B85E53"/>
    <w:rsid w:val="72DE2E02"/>
    <w:rsid w:val="73061A67"/>
    <w:rsid w:val="73114053"/>
    <w:rsid w:val="7320023C"/>
    <w:rsid w:val="73243F55"/>
    <w:rsid w:val="7327214A"/>
    <w:rsid w:val="733E5017"/>
    <w:rsid w:val="734700CA"/>
    <w:rsid w:val="734E2D80"/>
    <w:rsid w:val="7360663C"/>
    <w:rsid w:val="73631387"/>
    <w:rsid w:val="73651D98"/>
    <w:rsid w:val="736B3908"/>
    <w:rsid w:val="737427E7"/>
    <w:rsid w:val="737C78ED"/>
    <w:rsid w:val="73950743"/>
    <w:rsid w:val="73A0182E"/>
    <w:rsid w:val="740873D3"/>
    <w:rsid w:val="740B2A1F"/>
    <w:rsid w:val="74130AAA"/>
    <w:rsid w:val="7416564C"/>
    <w:rsid w:val="74485A21"/>
    <w:rsid w:val="74517600"/>
    <w:rsid w:val="746565D3"/>
    <w:rsid w:val="74700476"/>
    <w:rsid w:val="748C590E"/>
    <w:rsid w:val="7491561A"/>
    <w:rsid w:val="74A3232D"/>
    <w:rsid w:val="74A4534E"/>
    <w:rsid w:val="74AE06F9"/>
    <w:rsid w:val="74B131F9"/>
    <w:rsid w:val="74B51309"/>
    <w:rsid w:val="74BB4445"/>
    <w:rsid w:val="74C432FA"/>
    <w:rsid w:val="74DA51A1"/>
    <w:rsid w:val="74F6722B"/>
    <w:rsid w:val="750363F7"/>
    <w:rsid w:val="75054FDB"/>
    <w:rsid w:val="7510034A"/>
    <w:rsid w:val="75137DDD"/>
    <w:rsid w:val="752124FA"/>
    <w:rsid w:val="75287D2D"/>
    <w:rsid w:val="752B1F37"/>
    <w:rsid w:val="754461E9"/>
    <w:rsid w:val="75475CD9"/>
    <w:rsid w:val="7561323F"/>
    <w:rsid w:val="75667BB3"/>
    <w:rsid w:val="7568637B"/>
    <w:rsid w:val="756A0FF9"/>
    <w:rsid w:val="75894543"/>
    <w:rsid w:val="759A04FF"/>
    <w:rsid w:val="759B27F7"/>
    <w:rsid w:val="75B248A8"/>
    <w:rsid w:val="75BE41ED"/>
    <w:rsid w:val="75C17839"/>
    <w:rsid w:val="75D00F86"/>
    <w:rsid w:val="75DD762C"/>
    <w:rsid w:val="75E37197"/>
    <w:rsid w:val="75E8126A"/>
    <w:rsid w:val="761E4C8C"/>
    <w:rsid w:val="761E6A3A"/>
    <w:rsid w:val="76206C56"/>
    <w:rsid w:val="763C3364"/>
    <w:rsid w:val="763F37BF"/>
    <w:rsid w:val="766104F4"/>
    <w:rsid w:val="76683A56"/>
    <w:rsid w:val="76685F07"/>
    <w:rsid w:val="7677439C"/>
    <w:rsid w:val="769B34C2"/>
    <w:rsid w:val="76A5715B"/>
    <w:rsid w:val="76AD4842"/>
    <w:rsid w:val="76BC60EB"/>
    <w:rsid w:val="76BD26F7"/>
    <w:rsid w:val="76BE1FCB"/>
    <w:rsid w:val="76CC3B1E"/>
    <w:rsid w:val="76D37824"/>
    <w:rsid w:val="76FA1255"/>
    <w:rsid w:val="77071BC4"/>
    <w:rsid w:val="770A3175"/>
    <w:rsid w:val="77147E3D"/>
    <w:rsid w:val="771816DB"/>
    <w:rsid w:val="77302EC9"/>
    <w:rsid w:val="774424D0"/>
    <w:rsid w:val="77477CC6"/>
    <w:rsid w:val="77656090"/>
    <w:rsid w:val="7771703D"/>
    <w:rsid w:val="77866F8C"/>
    <w:rsid w:val="778F07A7"/>
    <w:rsid w:val="7798707D"/>
    <w:rsid w:val="77AB07A1"/>
    <w:rsid w:val="77CD3F4E"/>
    <w:rsid w:val="77D064FC"/>
    <w:rsid w:val="77D12AA5"/>
    <w:rsid w:val="77DE57E8"/>
    <w:rsid w:val="77EB261B"/>
    <w:rsid w:val="77ED2B68"/>
    <w:rsid w:val="77EF34B5"/>
    <w:rsid w:val="77F02658"/>
    <w:rsid w:val="78134BA5"/>
    <w:rsid w:val="781D021E"/>
    <w:rsid w:val="782513D5"/>
    <w:rsid w:val="782A202B"/>
    <w:rsid w:val="78432810"/>
    <w:rsid w:val="78520C1D"/>
    <w:rsid w:val="785A455E"/>
    <w:rsid w:val="785B21C7"/>
    <w:rsid w:val="78617FA8"/>
    <w:rsid w:val="786D1EFA"/>
    <w:rsid w:val="788B3F35"/>
    <w:rsid w:val="788D60F9"/>
    <w:rsid w:val="78AC47D1"/>
    <w:rsid w:val="78AF42C1"/>
    <w:rsid w:val="78B10039"/>
    <w:rsid w:val="78C64955"/>
    <w:rsid w:val="78CC0EE5"/>
    <w:rsid w:val="78D14237"/>
    <w:rsid w:val="78DA26BD"/>
    <w:rsid w:val="78E24696"/>
    <w:rsid w:val="78E62FB4"/>
    <w:rsid w:val="78EE303B"/>
    <w:rsid w:val="78EF290F"/>
    <w:rsid w:val="78EF5ED9"/>
    <w:rsid w:val="78F85C68"/>
    <w:rsid w:val="78FB46A2"/>
    <w:rsid w:val="79004B1D"/>
    <w:rsid w:val="79022643"/>
    <w:rsid w:val="7906346F"/>
    <w:rsid w:val="7915717A"/>
    <w:rsid w:val="7944368B"/>
    <w:rsid w:val="7955751A"/>
    <w:rsid w:val="796F747D"/>
    <w:rsid w:val="79907C4E"/>
    <w:rsid w:val="799139C7"/>
    <w:rsid w:val="79976821"/>
    <w:rsid w:val="79982FA7"/>
    <w:rsid w:val="79994CC3"/>
    <w:rsid w:val="79A90D10"/>
    <w:rsid w:val="79B41898"/>
    <w:rsid w:val="79C72734"/>
    <w:rsid w:val="79CE4E96"/>
    <w:rsid w:val="79D044EF"/>
    <w:rsid w:val="79DD6C0C"/>
    <w:rsid w:val="79DE26BC"/>
    <w:rsid w:val="79E1494E"/>
    <w:rsid w:val="79FF081E"/>
    <w:rsid w:val="7A240A53"/>
    <w:rsid w:val="7A2E5CC4"/>
    <w:rsid w:val="7A2F56B9"/>
    <w:rsid w:val="7A794B87"/>
    <w:rsid w:val="7A876BD9"/>
    <w:rsid w:val="7AAA11E4"/>
    <w:rsid w:val="7AB51D1A"/>
    <w:rsid w:val="7AB92158"/>
    <w:rsid w:val="7AB94F83"/>
    <w:rsid w:val="7ABE58A9"/>
    <w:rsid w:val="7AD32A1E"/>
    <w:rsid w:val="7AE2097E"/>
    <w:rsid w:val="7AEF0AB6"/>
    <w:rsid w:val="7AFE07D7"/>
    <w:rsid w:val="7B164183"/>
    <w:rsid w:val="7B1D7C08"/>
    <w:rsid w:val="7B370C49"/>
    <w:rsid w:val="7B6475E5"/>
    <w:rsid w:val="7B79516E"/>
    <w:rsid w:val="7B7A0BB6"/>
    <w:rsid w:val="7B7C3047"/>
    <w:rsid w:val="7B823FE2"/>
    <w:rsid w:val="7B8C08E9"/>
    <w:rsid w:val="7BA63705"/>
    <w:rsid w:val="7BAE260E"/>
    <w:rsid w:val="7BB2745E"/>
    <w:rsid w:val="7BBD4D71"/>
    <w:rsid w:val="7BC40083"/>
    <w:rsid w:val="7BC51F86"/>
    <w:rsid w:val="7BC6204D"/>
    <w:rsid w:val="7BCA42D3"/>
    <w:rsid w:val="7BD1454E"/>
    <w:rsid w:val="7BD25A4D"/>
    <w:rsid w:val="7BDB2785"/>
    <w:rsid w:val="7BDD1145"/>
    <w:rsid w:val="7BFA1CF7"/>
    <w:rsid w:val="7C070AEE"/>
    <w:rsid w:val="7C2E24D9"/>
    <w:rsid w:val="7C3C499C"/>
    <w:rsid w:val="7C460A98"/>
    <w:rsid w:val="7C4E3880"/>
    <w:rsid w:val="7C4F2043"/>
    <w:rsid w:val="7C556F2D"/>
    <w:rsid w:val="7C687E16"/>
    <w:rsid w:val="7C6D74B4"/>
    <w:rsid w:val="7C827F39"/>
    <w:rsid w:val="7C846CD6"/>
    <w:rsid w:val="7C8E41ED"/>
    <w:rsid w:val="7C9C4B5C"/>
    <w:rsid w:val="7CA67789"/>
    <w:rsid w:val="7CA67983"/>
    <w:rsid w:val="7CA80E11"/>
    <w:rsid w:val="7CB67090"/>
    <w:rsid w:val="7CC83BA3"/>
    <w:rsid w:val="7CD6629B"/>
    <w:rsid w:val="7CDB7433"/>
    <w:rsid w:val="7D1961AD"/>
    <w:rsid w:val="7D1B031A"/>
    <w:rsid w:val="7D276B1C"/>
    <w:rsid w:val="7D2C004B"/>
    <w:rsid w:val="7D2F2B3D"/>
    <w:rsid w:val="7D3354C1"/>
    <w:rsid w:val="7D4423A0"/>
    <w:rsid w:val="7D4551F4"/>
    <w:rsid w:val="7D462D04"/>
    <w:rsid w:val="7D562F5D"/>
    <w:rsid w:val="7D5A05F6"/>
    <w:rsid w:val="7D5B67C5"/>
    <w:rsid w:val="7D5D4F91"/>
    <w:rsid w:val="7D6023B4"/>
    <w:rsid w:val="7D690EE2"/>
    <w:rsid w:val="7D755AD9"/>
    <w:rsid w:val="7D7B29C4"/>
    <w:rsid w:val="7D8A63F4"/>
    <w:rsid w:val="7D913864"/>
    <w:rsid w:val="7D935CC6"/>
    <w:rsid w:val="7D9817C8"/>
    <w:rsid w:val="7DB25D11"/>
    <w:rsid w:val="7DC324CA"/>
    <w:rsid w:val="7DCE6F97"/>
    <w:rsid w:val="7DD65E4C"/>
    <w:rsid w:val="7DD810CD"/>
    <w:rsid w:val="7DDA593C"/>
    <w:rsid w:val="7DDC25D4"/>
    <w:rsid w:val="7DDE64D6"/>
    <w:rsid w:val="7DE64AF2"/>
    <w:rsid w:val="7DF02678"/>
    <w:rsid w:val="7E00368E"/>
    <w:rsid w:val="7E176B90"/>
    <w:rsid w:val="7E21356B"/>
    <w:rsid w:val="7E350DC4"/>
    <w:rsid w:val="7E3F2670"/>
    <w:rsid w:val="7E470AF8"/>
    <w:rsid w:val="7E4D4360"/>
    <w:rsid w:val="7E521976"/>
    <w:rsid w:val="7E543940"/>
    <w:rsid w:val="7E5E4C1D"/>
    <w:rsid w:val="7E6B2559"/>
    <w:rsid w:val="7E7E1EFC"/>
    <w:rsid w:val="7E95493E"/>
    <w:rsid w:val="7EB0669D"/>
    <w:rsid w:val="7EB75F5C"/>
    <w:rsid w:val="7ED92098"/>
    <w:rsid w:val="7EF5076D"/>
    <w:rsid w:val="7F044BBB"/>
    <w:rsid w:val="7F0D6840"/>
    <w:rsid w:val="7F164D3F"/>
    <w:rsid w:val="7F212436"/>
    <w:rsid w:val="7F2E23E3"/>
    <w:rsid w:val="7F346D5B"/>
    <w:rsid w:val="7F437511"/>
    <w:rsid w:val="7F473382"/>
    <w:rsid w:val="7F487904"/>
    <w:rsid w:val="7F532767"/>
    <w:rsid w:val="7F632E12"/>
    <w:rsid w:val="7FA91A6A"/>
    <w:rsid w:val="7FAF4BA7"/>
    <w:rsid w:val="7FB32706"/>
    <w:rsid w:val="7FBC5DE7"/>
    <w:rsid w:val="7FC06DB4"/>
    <w:rsid w:val="7FC93EBA"/>
    <w:rsid w:val="7FCE7723"/>
    <w:rsid w:val="7FCF6FF7"/>
    <w:rsid w:val="7FD30895"/>
    <w:rsid w:val="7FDC6F33"/>
    <w:rsid w:val="7FED16F0"/>
    <w:rsid w:val="7FF768D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9" w:semiHidden="0" w:name="heading 7"/>
    <w:lsdException w:qFormat="1" w:unhideWhenUsed="0" w:uiPriority="1" w:semiHidden="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qFormat="1"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500" w:lineRule="exact"/>
      <w:ind w:firstLine="360" w:firstLineChars="200"/>
      <w:jc w:val="both"/>
    </w:pPr>
    <w:rPr>
      <w:rFonts w:ascii="Times New Roman" w:hAnsi="Times New Roman" w:eastAsia="宋体" w:cs="宋体"/>
      <w:kern w:val="2"/>
      <w:sz w:val="24"/>
      <w:szCs w:val="24"/>
      <w:lang w:val="en-US" w:eastAsia="zh-CN" w:bidi="ar-SA"/>
    </w:rPr>
  </w:style>
  <w:style w:type="paragraph" w:styleId="2">
    <w:name w:val="heading 1"/>
    <w:basedOn w:val="1"/>
    <w:next w:val="1"/>
    <w:link w:val="114"/>
    <w:autoRedefine/>
    <w:qFormat/>
    <w:uiPriority w:val="0"/>
    <w:pPr>
      <w:tabs>
        <w:tab w:val="left" w:pos="480"/>
      </w:tabs>
      <w:spacing w:beforeLines="100" w:afterLines="100"/>
      <w:outlineLvl w:val="0"/>
    </w:pPr>
    <w:rPr>
      <w:b/>
      <w:sz w:val="36"/>
      <w:szCs w:val="20"/>
    </w:rPr>
  </w:style>
  <w:style w:type="paragraph" w:styleId="3">
    <w:name w:val="heading 2"/>
    <w:basedOn w:val="1"/>
    <w:next w:val="1"/>
    <w:link w:val="74"/>
    <w:autoRedefine/>
    <w:qFormat/>
    <w:uiPriority w:val="0"/>
    <w:pPr>
      <w:keepNext/>
      <w:keepLines/>
      <w:tabs>
        <w:tab w:val="left" w:pos="480"/>
      </w:tabs>
      <w:spacing w:beforeLines="50" w:afterLines="50"/>
      <w:jc w:val="center"/>
      <w:outlineLvl w:val="1"/>
    </w:pPr>
    <w:rPr>
      <w:rFonts w:ascii="Arial" w:hAnsi="Arial"/>
      <w:bCs/>
      <w:sz w:val="30"/>
      <w:szCs w:val="32"/>
    </w:rPr>
  </w:style>
  <w:style w:type="paragraph" w:styleId="4">
    <w:name w:val="heading 3"/>
    <w:basedOn w:val="1"/>
    <w:next w:val="1"/>
    <w:link w:val="116"/>
    <w:autoRedefine/>
    <w:qFormat/>
    <w:uiPriority w:val="0"/>
    <w:pPr>
      <w:keepNext/>
      <w:keepLines/>
      <w:numPr>
        <w:ilvl w:val="2"/>
        <w:numId w:val="1"/>
      </w:numPr>
      <w:tabs>
        <w:tab w:val="left" w:pos="2651"/>
      </w:tabs>
      <w:spacing w:line="240" w:lineRule="auto"/>
      <w:ind w:left="0" w:firstLine="480"/>
      <w:jc w:val="left"/>
      <w:outlineLvl w:val="2"/>
    </w:pPr>
    <w:rPr>
      <w:rFonts w:ascii="仿宋_GB2312" w:hAnsi="仿宋_GB2312"/>
      <w:b/>
      <w:bCs/>
      <w:kern w:val="0"/>
      <w:sz w:val="28"/>
      <w:szCs w:val="20"/>
    </w:rPr>
  </w:style>
  <w:style w:type="paragraph" w:styleId="5">
    <w:name w:val="heading 4"/>
    <w:basedOn w:val="1"/>
    <w:next w:val="1"/>
    <w:autoRedefine/>
    <w:qFormat/>
    <w:uiPriority w:val="0"/>
    <w:pPr>
      <w:keepNext/>
      <w:keepLines/>
      <w:numPr>
        <w:ilvl w:val="3"/>
        <w:numId w:val="2"/>
      </w:numPr>
      <w:spacing w:line="372" w:lineRule="auto"/>
      <w:ind w:firstLine="0" w:firstLineChars="0"/>
      <w:outlineLvl w:val="3"/>
    </w:pPr>
    <w:rPr>
      <w:rFonts w:ascii="Arial" w:hAnsi="Arial" w:eastAsia="黑体"/>
      <w:b/>
      <w:sz w:val="28"/>
    </w:rPr>
  </w:style>
  <w:style w:type="paragraph" w:styleId="6">
    <w:name w:val="heading 5"/>
    <w:basedOn w:val="1"/>
    <w:next w:val="1"/>
    <w:autoRedefine/>
    <w:qFormat/>
    <w:uiPriority w:val="0"/>
    <w:pPr>
      <w:keepNext/>
      <w:keepLines/>
      <w:numPr>
        <w:ilvl w:val="4"/>
        <w:numId w:val="2"/>
      </w:numPr>
      <w:spacing w:line="372" w:lineRule="auto"/>
      <w:ind w:firstLine="0" w:firstLineChars="0"/>
      <w:outlineLvl w:val="4"/>
    </w:pPr>
    <w:rPr>
      <w:b/>
      <w:sz w:val="28"/>
    </w:rPr>
  </w:style>
  <w:style w:type="paragraph" w:styleId="7">
    <w:name w:val="heading 6"/>
    <w:basedOn w:val="1"/>
    <w:next w:val="1"/>
    <w:autoRedefine/>
    <w:qFormat/>
    <w:uiPriority w:val="0"/>
    <w:pPr>
      <w:keepNext/>
      <w:keepLines/>
      <w:spacing w:before="240" w:after="64" w:line="320" w:lineRule="auto"/>
      <w:outlineLvl w:val="5"/>
    </w:pPr>
    <w:rPr>
      <w:rFonts w:ascii="Arial" w:hAnsi="Arial" w:eastAsia="黑体"/>
      <w:b/>
      <w:bCs/>
      <w:szCs w:val="32"/>
    </w:rPr>
  </w:style>
  <w:style w:type="paragraph" w:styleId="8">
    <w:name w:val="heading 7"/>
    <w:basedOn w:val="1"/>
    <w:next w:val="1"/>
    <w:autoRedefine/>
    <w:unhideWhenUsed/>
    <w:qFormat/>
    <w:uiPriority w:val="9"/>
    <w:pPr>
      <w:keepNext/>
      <w:keepLines/>
      <w:spacing w:before="240" w:after="64" w:line="320" w:lineRule="auto"/>
      <w:outlineLvl w:val="6"/>
    </w:pPr>
    <w:rPr>
      <w:b/>
      <w:bCs/>
      <w:sz w:val="24"/>
      <w:szCs w:val="24"/>
    </w:rPr>
  </w:style>
  <w:style w:type="paragraph" w:styleId="9">
    <w:name w:val="heading 8"/>
    <w:basedOn w:val="1"/>
    <w:next w:val="1"/>
    <w:autoRedefine/>
    <w:qFormat/>
    <w:uiPriority w:val="1"/>
    <w:pPr>
      <w:autoSpaceDE w:val="0"/>
      <w:autoSpaceDN w:val="0"/>
      <w:ind w:left="570"/>
      <w:jc w:val="left"/>
      <w:outlineLvl w:val="7"/>
    </w:pPr>
    <w:rPr>
      <w:rFonts w:ascii="宋体" w:hAnsi="宋体" w:eastAsia="宋体" w:cs="宋体"/>
      <w:kern w:val="0"/>
      <w:sz w:val="24"/>
      <w:szCs w:val="24"/>
      <w:lang w:eastAsia="en-US"/>
    </w:rPr>
  </w:style>
  <w:style w:type="character" w:default="1" w:styleId="40">
    <w:name w:val="Default Paragraph Font"/>
    <w:autoRedefine/>
    <w:semiHidden/>
    <w:unhideWhenUsed/>
    <w:qFormat/>
    <w:uiPriority w:val="1"/>
  </w:style>
  <w:style w:type="table" w:default="1" w:styleId="38">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10">
    <w:name w:val="Normal Indent"/>
    <w:basedOn w:val="1"/>
    <w:next w:val="1"/>
    <w:autoRedefine/>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Times New Roman" w:hAnsi="Times New Roman" w:eastAsia="宋体" w:cs="Times New Roman"/>
      <w:kern w:val="2"/>
      <w:sz w:val="21"/>
      <w:szCs w:val="21"/>
      <w:lang w:val="en-US" w:eastAsia="zh-CN" w:bidi="ar"/>
    </w:rPr>
  </w:style>
  <w:style w:type="paragraph" w:styleId="11">
    <w:name w:val="caption"/>
    <w:basedOn w:val="1"/>
    <w:next w:val="1"/>
    <w:autoRedefine/>
    <w:qFormat/>
    <w:uiPriority w:val="0"/>
    <w:rPr>
      <w:rFonts w:ascii="Arial" w:hAnsi="Arial" w:eastAsia="黑体" w:cs="Arial"/>
      <w:sz w:val="20"/>
      <w:szCs w:val="20"/>
    </w:rPr>
  </w:style>
  <w:style w:type="paragraph" w:styleId="12">
    <w:name w:val="toa heading"/>
    <w:basedOn w:val="1"/>
    <w:next w:val="1"/>
    <w:autoRedefine/>
    <w:qFormat/>
    <w:uiPriority w:val="99"/>
    <w:pPr>
      <w:spacing w:before="120"/>
    </w:pPr>
    <w:rPr>
      <w:rFonts w:ascii="Arial" w:hAnsi="Arial"/>
      <w:szCs w:val="20"/>
    </w:rPr>
  </w:style>
  <w:style w:type="paragraph" w:styleId="13">
    <w:name w:val="annotation text"/>
    <w:basedOn w:val="1"/>
    <w:link w:val="118"/>
    <w:autoRedefine/>
    <w:qFormat/>
    <w:uiPriority w:val="0"/>
    <w:pPr>
      <w:jc w:val="left"/>
    </w:pPr>
  </w:style>
  <w:style w:type="paragraph" w:styleId="14">
    <w:name w:val="Body Text 3"/>
    <w:basedOn w:val="1"/>
    <w:autoRedefine/>
    <w:qFormat/>
    <w:uiPriority w:val="0"/>
    <w:pPr>
      <w:snapToGrid w:val="0"/>
    </w:pPr>
  </w:style>
  <w:style w:type="paragraph" w:styleId="15">
    <w:name w:val="Body Text"/>
    <w:basedOn w:val="1"/>
    <w:next w:val="1"/>
    <w:link w:val="61"/>
    <w:autoRedefine/>
    <w:qFormat/>
    <w:uiPriority w:val="0"/>
    <w:pPr>
      <w:jc w:val="left"/>
    </w:pPr>
    <w:rPr>
      <w:bCs/>
    </w:rPr>
  </w:style>
  <w:style w:type="paragraph" w:styleId="16">
    <w:name w:val="Body Text Indent"/>
    <w:basedOn w:val="1"/>
    <w:next w:val="1"/>
    <w:link w:val="81"/>
    <w:autoRedefine/>
    <w:qFormat/>
    <w:uiPriority w:val="0"/>
    <w:pPr>
      <w:ind w:left="420" w:leftChars="200"/>
    </w:pPr>
  </w:style>
  <w:style w:type="paragraph" w:styleId="17">
    <w:name w:val="List 2"/>
    <w:basedOn w:val="1"/>
    <w:autoRedefine/>
    <w:qFormat/>
    <w:uiPriority w:val="99"/>
    <w:pPr>
      <w:ind w:left="100" w:leftChars="200" w:hanging="200" w:hangingChars="200"/>
      <w:contextualSpacing/>
    </w:pPr>
  </w:style>
  <w:style w:type="paragraph" w:styleId="18">
    <w:name w:val="Block Text"/>
    <w:basedOn w:val="1"/>
    <w:autoRedefine/>
    <w:qFormat/>
    <w:uiPriority w:val="0"/>
    <w:pPr>
      <w:keepNext w:val="0"/>
      <w:keepLines w:val="0"/>
      <w:widowControl w:val="0"/>
      <w:suppressLineNumbers w:val="0"/>
      <w:ind w:left="-359" w:leftChars="-171" w:right="-244" w:rightChars="-244" w:firstLine="501" w:firstLineChars="239"/>
      <w:jc w:val="both"/>
    </w:pPr>
    <w:rPr>
      <w:rFonts w:hint="default" w:ascii="仿宋_GB2312" w:hAnsi="宋体" w:eastAsia="仿宋_GB2312" w:cs="仿宋_GB2312"/>
      <w:kern w:val="2"/>
      <w:sz w:val="30"/>
      <w:szCs w:val="30"/>
      <w:lang w:val="en-US" w:eastAsia="zh-CN" w:bidi="ar"/>
    </w:rPr>
  </w:style>
  <w:style w:type="paragraph" w:styleId="19">
    <w:name w:val="toc 5"/>
    <w:basedOn w:val="1"/>
    <w:next w:val="1"/>
    <w:autoRedefine/>
    <w:qFormat/>
    <w:uiPriority w:val="0"/>
    <w:pPr>
      <w:ind w:left="1680" w:leftChars="800"/>
    </w:pPr>
  </w:style>
  <w:style w:type="paragraph" w:styleId="20">
    <w:name w:val="toc 3"/>
    <w:basedOn w:val="1"/>
    <w:next w:val="1"/>
    <w:autoRedefine/>
    <w:qFormat/>
    <w:uiPriority w:val="0"/>
    <w:pPr>
      <w:ind w:left="840" w:leftChars="400"/>
    </w:pPr>
  </w:style>
  <w:style w:type="paragraph" w:styleId="21">
    <w:name w:val="Plain Text"/>
    <w:basedOn w:val="1"/>
    <w:next w:val="1"/>
    <w:autoRedefine/>
    <w:qFormat/>
    <w:uiPriority w:val="0"/>
    <w:rPr>
      <w:rFonts w:ascii="宋体" w:hAnsi="Courier New"/>
      <w:szCs w:val="20"/>
    </w:rPr>
  </w:style>
  <w:style w:type="paragraph" w:styleId="22">
    <w:name w:val="Date"/>
    <w:basedOn w:val="1"/>
    <w:next w:val="1"/>
    <w:autoRedefine/>
    <w:qFormat/>
    <w:uiPriority w:val="0"/>
    <w:rPr>
      <w:rFonts w:ascii="楷体_GB2312" w:eastAsia="楷体_GB2312"/>
      <w:b/>
      <w:sz w:val="28"/>
    </w:rPr>
  </w:style>
  <w:style w:type="paragraph" w:styleId="23">
    <w:name w:val="Body Text Indent 2"/>
    <w:basedOn w:val="1"/>
    <w:autoRedefine/>
    <w:qFormat/>
    <w:uiPriority w:val="0"/>
    <w:pPr>
      <w:spacing w:line="432" w:lineRule="auto"/>
      <w:ind w:firstLine="480"/>
    </w:pPr>
    <w:rPr>
      <w:szCs w:val="21"/>
    </w:rPr>
  </w:style>
  <w:style w:type="paragraph" w:styleId="24">
    <w:name w:val="Balloon Text"/>
    <w:basedOn w:val="1"/>
    <w:link w:val="80"/>
    <w:autoRedefine/>
    <w:qFormat/>
    <w:uiPriority w:val="0"/>
    <w:pPr>
      <w:spacing w:line="240" w:lineRule="auto"/>
    </w:pPr>
    <w:rPr>
      <w:sz w:val="18"/>
      <w:szCs w:val="18"/>
    </w:rPr>
  </w:style>
  <w:style w:type="paragraph" w:styleId="25">
    <w:name w:val="footer"/>
    <w:basedOn w:val="1"/>
    <w:autoRedefine/>
    <w:qFormat/>
    <w:uiPriority w:val="0"/>
    <w:pPr>
      <w:tabs>
        <w:tab w:val="center" w:pos="4153"/>
        <w:tab w:val="right" w:pos="8306"/>
      </w:tabs>
      <w:snapToGrid w:val="0"/>
      <w:jc w:val="left"/>
    </w:pPr>
    <w:rPr>
      <w:sz w:val="18"/>
      <w:szCs w:val="18"/>
    </w:rPr>
  </w:style>
  <w:style w:type="paragraph" w:styleId="26">
    <w:name w:val="header"/>
    <w:basedOn w:val="1"/>
    <w:autoRedefine/>
    <w:qFormat/>
    <w:uiPriority w:val="0"/>
    <w:pPr>
      <w:pBdr>
        <w:bottom w:val="single" w:color="auto" w:sz="6" w:space="1"/>
      </w:pBdr>
      <w:tabs>
        <w:tab w:val="center" w:pos="4153"/>
        <w:tab w:val="right" w:pos="8306"/>
      </w:tabs>
      <w:snapToGrid w:val="0"/>
      <w:jc w:val="center"/>
    </w:pPr>
    <w:rPr>
      <w:b/>
      <w:sz w:val="18"/>
      <w:szCs w:val="18"/>
    </w:rPr>
  </w:style>
  <w:style w:type="paragraph" w:styleId="27">
    <w:name w:val="toc 1"/>
    <w:basedOn w:val="1"/>
    <w:next w:val="1"/>
    <w:autoRedefine/>
    <w:qFormat/>
    <w:uiPriority w:val="0"/>
    <w:pPr>
      <w:tabs>
        <w:tab w:val="right" w:leader="hyphen" w:pos="9628"/>
      </w:tabs>
      <w:spacing w:line="800" w:lineRule="exact"/>
      <w:jc w:val="left"/>
    </w:pPr>
    <w:rPr>
      <w:rFonts w:ascii="新宋体" w:hAnsi="新宋体" w:eastAsia="新宋体"/>
      <w:b/>
      <w:bCs/>
      <w:caps/>
      <w:sz w:val="28"/>
      <w:szCs w:val="28"/>
    </w:rPr>
  </w:style>
  <w:style w:type="paragraph" w:styleId="28">
    <w:name w:val="toc 6"/>
    <w:basedOn w:val="1"/>
    <w:next w:val="1"/>
    <w:autoRedefine/>
    <w:qFormat/>
    <w:uiPriority w:val="39"/>
    <w:pPr>
      <w:spacing w:line="240" w:lineRule="auto"/>
      <w:ind w:left="1050" w:firstLine="0" w:firstLineChars="0"/>
      <w:jc w:val="left"/>
    </w:pPr>
    <w:rPr>
      <w:szCs w:val="21"/>
    </w:rPr>
  </w:style>
  <w:style w:type="paragraph" w:styleId="29">
    <w:name w:val="toc 2"/>
    <w:basedOn w:val="1"/>
    <w:next w:val="1"/>
    <w:autoRedefine/>
    <w:qFormat/>
    <w:uiPriority w:val="0"/>
    <w:pPr>
      <w:tabs>
        <w:tab w:val="right" w:leader="hyphen" w:pos="9628"/>
      </w:tabs>
      <w:spacing w:line="800" w:lineRule="exact"/>
      <w:ind w:left="420" w:leftChars="200"/>
      <w:jc w:val="left"/>
    </w:pPr>
    <w:rPr>
      <w:rFonts w:ascii="宋体" w:hAnsi="宋体"/>
      <w:b/>
      <w:smallCaps/>
    </w:rPr>
  </w:style>
  <w:style w:type="paragraph" w:styleId="30">
    <w:name w:val="HTML Preformatted"/>
    <w:basedOn w:val="1"/>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style>
  <w:style w:type="paragraph" w:styleId="31">
    <w:name w:val="Normal (Web)"/>
    <w:basedOn w:val="1"/>
    <w:autoRedefine/>
    <w:qFormat/>
    <w:uiPriority w:val="0"/>
    <w:pPr>
      <w:widowControl/>
      <w:spacing w:before="100" w:beforeAutospacing="1" w:after="100" w:afterAutospacing="1"/>
      <w:jc w:val="left"/>
    </w:pPr>
    <w:rPr>
      <w:rFonts w:ascii="宋体" w:hAnsi="宋体"/>
      <w:kern w:val="0"/>
    </w:rPr>
  </w:style>
  <w:style w:type="paragraph" w:styleId="32">
    <w:name w:val="Title"/>
    <w:basedOn w:val="1"/>
    <w:next w:val="1"/>
    <w:autoRedefine/>
    <w:qFormat/>
    <w:uiPriority w:val="0"/>
    <w:pPr>
      <w:spacing w:before="240" w:after="60"/>
      <w:jc w:val="center"/>
      <w:outlineLvl w:val="0"/>
    </w:pPr>
    <w:rPr>
      <w:rFonts w:ascii="Arial" w:hAnsi="Arial" w:cs="Arial"/>
      <w:b/>
      <w:bCs/>
      <w:sz w:val="32"/>
      <w:szCs w:val="32"/>
    </w:rPr>
  </w:style>
  <w:style w:type="paragraph" w:styleId="33">
    <w:name w:val="annotation subject"/>
    <w:basedOn w:val="13"/>
    <w:next w:val="13"/>
    <w:link w:val="119"/>
    <w:autoRedefine/>
    <w:qFormat/>
    <w:uiPriority w:val="0"/>
    <w:rPr>
      <w:b/>
      <w:bCs/>
    </w:rPr>
  </w:style>
  <w:style w:type="paragraph" w:styleId="34">
    <w:name w:val="Body Text First Indent"/>
    <w:basedOn w:val="1"/>
    <w:next w:val="1"/>
    <w:autoRedefine/>
    <w:qFormat/>
    <w:uiPriority w:val="99"/>
    <w:pPr>
      <w:ind w:firstLine="420" w:firstLineChars="100"/>
    </w:pPr>
  </w:style>
  <w:style w:type="paragraph" w:styleId="35">
    <w:name w:val="Body Text First Indent 2"/>
    <w:basedOn w:val="16"/>
    <w:next w:val="36"/>
    <w:autoRedefine/>
    <w:qFormat/>
    <w:uiPriority w:val="0"/>
    <w:pPr>
      <w:snapToGrid w:val="0"/>
      <w:spacing w:after="120" w:line="240" w:lineRule="auto"/>
      <w:ind w:firstLine="420"/>
    </w:pPr>
    <w:rPr>
      <w:rFonts w:hint="eastAsia" w:ascii="宋体"/>
      <w:kern w:val="0"/>
      <w:sz w:val="21"/>
      <w:szCs w:val="21"/>
    </w:rPr>
  </w:style>
  <w:style w:type="paragraph" w:customStyle="1" w:styleId="36">
    <w:name w:val="文章正文"/>
    <w:basedOn w:val="1"/>
    <w:next w:val="37"/>
    <w:autoRedefine/>
    <w:qFormat/>
    <w:uiPriority w:val="0"/>
    <w:pPr>
      <w:spacing w:line="360" w:lineRule="auto"/>
      <w:ind w:firstLine="200"/>
    </w:pPr>
    <w:rPr>
      <w:rFonts w:ascii="Calibri" w:hAnsi="Calibri" w:cs="Times New Roman"/>
    </w:rPr>
  </w:style>
  <w:style w:type="paragraph" w:customStyle="1" w:styleId="37">
    <w:name w:val="公式样式 变量"/>
    <w:autoRedefine/>
    <w:qFormat/>
    <w:uiPriority w:val="0"/>
    <w:rPr>
      <w:rFonts w:ascii="Times New Roman" w:hAnsi="Times New Roman" w:eastAsia="宋体" w:cs="Times New Roman"/>
      <w:i/>
      <w:lang w:val="en-US" w:eastAsia="zh-CN" w:bidi="ar-SA"/>
    </w:rPr>
  </w:style>
  <w:style w:type="table" w:styleId="39">
    <w:name w:val="Table Grid"/>
    <w:basedOn w:val="3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1">
    <w:name w:val="Strong"/>
    <w:basedOn w:val="40"/>
    <w:autoRedefine/>
    <w:qFormat/>
    <w:uiPriority w:val="0"/>
    <w:rPr>
      <w:b/>
      <w:bCs/>
    </w:rPr>
  </w:style>
  <w:style w:type="character" w:styleId="42">
    <w:name w:val="page number"/>
    <w:basedOn w:val="40"/>
    <w:autoRedefine/>
    <w:qFormat/>
    <w:uiPriority w:val="99"/>
  </w:style>
  <w:style w:type="character" w:styleId="43">
    <w:name w:val="Emphasis"/>
    <w:basedOn w:val="40"/>
    <w:autoRedefine/>
    <w:qFormat/>
    <w:uiPriority w:val="0"/>
    <w:rPr>
      <w:i/>
    </w:rPr>
  </w:style>
  <w:style w:type="character" w:styleId="44">
    <w:name w:val="Hyperlink"/>
    <w:basedOn w:val="40"/>
    <w:autoRedefine/>
    <w:qFormat/>
    <w:uiPriority w:val="0"/>
    <w:rPr>
      <w:color w:val="0000FF"/>
      <w:u w:val="single"/>
    </w:rPr>
  </w:style>
  <w:style w:type="character" w:styleId="45">
    <w:name w:val="annotation reference"/>
    <w:basedOn w:val="40"/>
    <w:autoRedefine/>
    <w:qFormat/>
    <w:uiPriority w:val="0"/>
    <w:rPr>
      <w:sz w:val="21"/>
      <w:szCs w:val="21"/>
    </w:rPr>
  </w:style>
  <w:style w:type="paragraph" w:customStyle="1" w:styleId="46">
    <w:name w:val="Body Text First Indent1"/>
    <w:basedOn w:val="15"/>
    <w:next w:val="28"/>
    <w:autoRedefine/>
    <w:qFormat/>
    <w:uiPriority w:val="0"/>
    <w:pPr>
      <w:ind w:firstLine="420" w:firstLineChars="100"/>
    </w:pPr>
  </w:style>
  <w:style w:type="paragraph" w:customStyle="1" w:styleId="47">
    <w:name w:val="无间距1"/>
    <w:autoRedefine/>
    <w:qFormat/>
    <w:uiPriority w:val="1"/>
    <w:pPr>
      <w:widowControl w:val="0"/>
      <w:jc w:val="both"/>
    </w:pPr>
    <w:rPr>
      <w:rFonts w:ascii="Calibri" w:hAnsi="Calibri" w:eastAsia="微软雅黑 Light" w:cs="Times New Roman"/>
      <w:kern w:val="2"/>
      <w:sz w:val="24"/>
      <w:szCs w:val="22"/>
      <w:lang w:val="en-US" w:eastAsia="zh-CN" w:bidi="ar-SA"/>
    </w:rPr>
  </w:style>
  <w:style w:type="paragraph" w:customStyle="1" w:styleId="48">
    <w:name w:val="章正文"/>
    <w:basedOn w:val="1"/>
    <w:autoRedefine/>
    <w:qFormat/>
    <w:uiPriority w:val="0"/>
    <w:pPr>
      <w:spacing w:before="156" w:beforeLines="50" w:after="120" w:line="300" w:lineRule="auto"/>
      <w:ind w:firstLine="480"/>
    </w:pPr>
    <w:rPr>
      <w:rFonts w:ascii="Helvetica" w:hAnsi="Helvetica"/>
      <w:kern w:val="0"/>
    </w:rPr>
  </w:style>
  <w:style w:type="paragraph" w:customStyle="1" w:styleId="49">
    <w:name w:val="正文文本 31"/>
    <w:basedOn w:val="1"/>
    <w:autoRedefine/>
    <w:qFormat/>
    <w:uiPriority w:val="0"/>
    <w:rPr>
      <w:sz w:val="16"/>
      <w:szCs w:val="16"/>
    </w:rPr>
  </w:style>
  <w:style w:type="paragraph" w:customStyle="1" w:styleId="50">
    <w:name w:val="样式 表格正文 + 两端对齐"/>
    <w:basedOn w:val="1"/>
    <w:next w:val="51"/>
    <w:autoRedefine/>
    <w:qFormat/>
    <w:uiPriority w:val="0"/>
    <w:pPr>
      <w:spacing w:line="300" w:lineRule="auto"/>
      <w:ind w:firstLine="0"/>
    </w:pPr>
  </w:style>
  <w:style w:type="paragraph" w:customStyle="1" w:styleId="51">
    <w:name w:val="正文1"/>
    <w:basedOn w:val="20"/>
    <w:next w:val="52"/>
    <w:autoRedefine/>
    <w:qFormat/>
    <w:uiPriority w:val="0"/>
    <w:pPr>
      <w:widowControl/>
      <w:snapToGrid w:val="0"/>
      <w:ind w:firstLine="567"/>
    </w:pPr>
    <w:rPr>
      <w:rFonts w:ascii="楷体_GB2312" w:eastAsia="楷体_GB2312"/>
      <w:kern w:val="0"/>
      <w:sz w:val="28"/>
      <w:szCs w:val="20"/>
    </w:rPr>
  </w:style>
  <w:style w:type="paragraph" w:customStyle="1" w:styleId="52">
    <w:name w:val="自动更正"/>
    <w:next w:val="5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xl39"/>
    <w:basedOn w:val="1"/>
    <w:next w:val="54"/>
    <w:autoRedefine/>
    <w:qFormat/>
    <w:uiPriority w:val="0"/>
    <w:pPr>
      <w:widowControl/>
      <w:pBdr>
        <w:top w:val="single" w:color="auto" w:sz="4" w:space="0"/>
        <w:bottom w:val="single" w:color="auto" w:sz="4" w:space="0"/>
        <w:right w:val="single" w:color="auto" w:sz="4" w:space="0"/>
      </w:pBdr>
      <w:spacing w:before="100" w:after="100"/>
      <w:jc w:val="left"/>
      <w:textAlignment w:val="center"/>
    </w:pPr>
    <w:rPr>
      <w:kern w:val="0"/>
      <w:szCs w:val="20"/>
    </w:rPr>
  </w:style>
  <w:style w:type="paragraph" w:customStyle="1" w:styleId="54">
    <w:name w:val="分手多日，近况如何？"/>
    <w:next w:val="1"/>
    <w:autoRedefine/>
    <w:qFormat/>
    <w:uiPriority w:val="0"/>
    <w:pPr>
      <w:widowControl w:val="0"/>
      <w:jc w:val="both"/>
    </w:pPr>
    <w:rPr>
      <w:rFonts w:ascii="Times New Roman" w:hAnsi="Times New Roman" w:eastAsia="宋体" w:cs="Times New Roman"/>
      <w:sz w:val="21"/>
      <w:lang w:val="en-US" w:eastAsia="zh-CN" w:bidi="ar-SA"/>
    </w:rPr>
  </w:style>
  <w:style w:type="paragraph" w:customStyle="1" w:styleId="55">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56">
    <w:name w:val="DAS正文"/>
    <w:basedOn w:val="1"/>
    <w:autoRedefine/>
    <w:qFormat/>
    <w:uiPriority w:val="0"/>
    <w:pPr>
      <w:spacing w:line="360" w:lineRule="auto"/>
      <w:ind w:right="181" w:firstLine="480" w:firstLineChars="200"/>
    </w:pPr>
    <w:rPr>
      <w:rFonts w:ascii="Verdana" w:hAnsi="Verdana"/>
      <w:sz w:val="24"/>
    </w:rPr>
  </w:style>
  <w:style w:type="paragraph" w:customStyle="1" w:styleId="57">
    <w:name w:val="表格文字"/>
    <w:basedOn w:val="58"/>
    <w:next w:val="15"/>
    <w:autoRedefine/>
    <w:qFormat/>
    <w:uiPriority w:val="0"/>
    <w:pPr>
      <w:adjustRightInd w:val="0"/>
      <w:spacing w:line="420" w:lineRule="atLeast"/>
      <w:jc w:val="left"/>
      <w:textAlignment w:val="baseline"/>
    </w:pPr>
    <w:rPr>
      <w:kern w:val="0"/>
    </w:rPr>
  </w:style>
  <w:style w:type="paragraph" w:customStyle="1" w:styleId="58">
    <w:name w:val="表格"/>
    <w:basedOn w:val="1"/>
    <w:autoRedefine/>
    <w:qFormat/>
    <w:uiPriority w:val="0"/>
    <w:pPr>
      <w:adjustRightInd w:val="0"/>
      <w:spacing w:line="240" w:lineRule="auto"/>
      <w:ind w:firstLine="0" w:firstLineChars="0"/>
    </w:pPr>
    <w:rPr>
      <w:rFonts w:hint="eastAsia" w:ascii="宋体" w:hAnsi="宋体" w:cs="宋体"/>
      <w:bCs/>
    </w:rPr>
  </w:style>
  <w:style w:type="paragraph" w:styleId="59">
    <w:name w:val="No Spacing"/>
    <w:autoRedefine/>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60">
    <w:name w:val="标题 2 Char"/>
    <w:basedOn w:val="40"/>
    <w:link w:val="3"/>
    <w:autoRedefine/>
    <w:qFormat/>
    <w:uiPriority w:val="0"/>
    <w:rPr>
      <w:rFonts w:ascii="Arial" w:hAnsi="Arial" w:eastAsia="宋体" w:cs="宋体"/>
      <w:b/>
      <w:bCs/>
      <w:sz w:val="28"/>
      <w:szCs w:val="32"/>
    </w:rPr>
  </w:style>
  <w:style w:type="character" w:customStyle="1" w:styleId="61">
    <w:name w:val="正文文本 字符"/>
    <w:basedOn w:val="40"/>
    <w:link w:val="15"/>
    <w:autoRedefine/>
    <w:qFormat/>
    <w:uiPriority w:val="99"/>
    <w:rPr>
      <w:rFonts w:ascii="Calibri" w:hAnsi="Calibri" w:eastAsia="仿宋" w:cs="Times New Roman"/>
      <w:sz w:val="24"/>
    </w:rPr>
  </w:style>
  <w:style w:type="paragraph" w:customStyle="1" w:styleId="62">
    <w:name w:val="Char Char1 Char"/>
    <w:basedOn w:val="1"/>
    <w:autoRedefine/>
    <w:qFormat/>
    <w:uiPriority w:val="0"/>
  </w:style>
  <w:style w:type="character" w:customStyle="1" w:styleId="63">
    <w:name w:val="标题 3 Char"/>
    <w:autoRedefine/>
    <w:qFormat/>
    <w:uiPriority w:val="9"/>
    <w:rPr>
      <w:rFonts w:ascii="仿宋_GB2312" w:hAnsi="仿宋_GB2312" w:eastAsia="宋体" w:cs="宋体"/>
      <w:b/>
      <w:bCs/>
      <w:sz w:val="28"/>
      <w:szCs w:val="20"/>
    </w:rPr>
  </w:style>
  <w:style w:type="character" w:customStyle="1" w:styleId="64">
    <w:name w:val="标题 1 Char"/>
    <w:autoRedefine/>
    <w:qFormat/>
    <w:uiPriority w:val="99"/>
    <w:rPr>
      <w:rFonts w:ascii="Times New Roman" w:hAnsi="Times New Roman" w:eastAsia="宋体" w:cs="宋体"/>
      <w:b/>
      <w:sz w:val="36"/>
      <w:szCs w:val="20"/>
    </w:rPr>
  </w:style>
  <w:style w:type="paragraph" w:customStyle="1" w:styleId="65">
    <w:name w:val="普通(网站)1"/>
    <w:basedOn w:val="1"/>
    <w:autoRedefine/>
    <w:qFormat/>
    <w:uiPriority w:val="0"/>
    <w:pPr>
      <w:widowControl/>
      <w:spacing w:beforeAutospacing="1" w:afterAutospacing="1"/>
      <w:jc w:val="left"/>
    </w:pPr>
    <w:rPr>
      <w:rFonts w:ascii="宋体" w:hAnsi="宋体"/>
      <w:kern w:val="0"/>
      <w:szCs w:val="20"/>
    </w:rPr>
  </w:style>
  <w:style w:type="paragraph" w:customStyle="1" w:styleId="66">
    <w:name w:val="索引 11"/>
    <w:basedOn w:val="1"/>
    <w:next w:val="1"/>
    <w:autoRedefine/>
    <w:qFormat/>
    <w:uiPriority w:val="0"/>
    <w:pPr>
      <w:snapToGrid w:val="0"/>
    </w:pPr>
    <w:rPr>
      <w:szCs w:val="21"/>
    </w:rPr>
  </w:style>
  <w:style w:type="character" w:customStyle="1" w:styleId="67">
    <w:name w:val="large1"/>
    <w:autoRedefine/>
    <w:qFormat/>
    <w:uiPriority w:val="0"/>
    <w:rPr>
      <w:rFonts w:hint="eastAsia" w:ascii="宋体" w:hAnsi="宋体" w:eastAsia="宋体"/>
      <w:sz w:val="21"/>
      <w:szCs w:val="21"/>
    </w:rPr>
  </w:style>
  <w:style w:type="paragraph" w:customStyle="1" w:styleId="68">
    <w:name w:val="List Paragraph1"/>
    <w:basedOn w:val="1"/>
    <w:autoRedefine/>
    <w:qFormat/>
    <w:uiPriority w:val="0"/>
    <w:pPr>
      <w:widowControl/>
      <w:ind w:firstLine="420"/>
      <w:jc w:val="left"/>
    </w:pPr>
    <w:rPr>
      <w:rFonts w:ascii="Calibri" w:hAnsi="Calibri"/>
      <w:szCs w:val="22"/>
    </w:rPr>
  </w:style>
  <w:style w:type="paragraph" w:customStyle="1" w:styleId="69">
    <w:name w:val="Default"/>
    <w:next w:val="1"/>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70">
    <w:name w:val="无间隔1"/>
    <w:autoRedefine/>
    <w:qFormat/>
    <w:uiPriority w:val="1"/>
    <w:pPr>
      <w:widowControl w:val="0"/>
      <w:jc w:val="both"/>
    </w:pPr>
    <w:rPr>
      <w:rFonts w:ascii="Calibri" w:hAnsi="Calibri" w:eastAsia="宋体" w:cs="Times New Roman"/>
      <w:kern w:val="2"/>
      <w:sz w:val="21"/>
      <w:szCs w:val="22"/>
      <w:lang w:val="en-US" w:eastAsia="zh-CN" w:bidi="ar-SA"/>
    </w:rPr>
  </w:style>
  <w:style w:type="paragraph" w:customStyle="1" w:styleId="71">
    <w:name w:val="正文_17"/>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72">
    <w:name w:val="DG正文"/>
    <w:basedOn w:val="1"/>
    <w:autoRedefine/>
    <w:qFormat/>
    <w:uiPriority w:val="0"/>
    <w:pPr>
      <w:widowControl/>
      <w:spacing w:line="360" w:lineRule="auto"/>
      <w:ind w:right="142" w:firstLine="640"/>
      <w:jc w:val="left"/>
    </w:pPr>
    <w:rPr>
      <w:rFonts w:ascii="Calibri" w:hAnsi="Calibri" w:cs="Calibri"/>
    </w:rPr>
  </w:style>
  <w:style w:type="paragraph" w:customStyle="1" w:styleId="73">
    <w:name w:val="正文 A"/>
    <w:autoRedefine/>
    <w:qFormat/>
    <w:uiPriority w:val="0"/>
    <w:rPr>
      <w:rFonts w:ascii="Times New Roman" w:hAnsi="Times New Roman" w:eastAsia="ヒラギノ角ゴ Pro W3" w:cs="Times New Roman"/>
      <w:color w:val="000000"/>
      <w:sz w:val="24"/>
      <w:szCs w:val="22"/>
      <w:lang w:val="en-US" w:eastAsia="zh-CN" w:bidi="ar-SA"/>
    </w:rPr>
  </w:style>
  <w:style w:type="character" w:customStyle="1" w:styleId="74">
    <w:name w:val="标题 2 字符"/>
    <w:basedOn w:val="40"/>
    <w:link w:val="3"/>
    <w:autoRedefine/>
    <w:qFormat/>
    <w:uiPriority w:val="0"/>
    <w:rPr>
      <w:rFonts w:ascii="Arial" w:hAnsi="Arial" w:eastAsia="宋体"/>
      <w:bCs/>
      <w:kern w:val="2"/>
      <w:sz w:val="30"/>
      <w:szCs w:val="32"/>
      <w:lang w:val="en-US" w:eastAsia="zh-CN" w:bidi="ar-SA"/>
    </w:rPr>
  </w:style>
  <w:style w:type="paragraph" w:customStyle="1" w:styleId="75">
    <w:name w:val="Proposals body"/>
    <w:basedOn w:val="1"/>
    <w:next w:val="1"/>
    <w:autoRedefine/>
    <w:qFormat/>
    <w:uiPriority w:val="0"/>
    <w:pPr>
      <w:widowControl/>
      <w:spacing w:line="360" w:lineRule="auto"/>
      <w:jc w:val="left"/>
    </w:pPr>
    <w:rPr>
      <w:rFonts w:ascii="宋体" w:eastAsia="仿宋_GB2312"/>
      <w:snapToGrid w:val="0"/>
      <w:color w:val="000000"/>
      <w:kern w:val="0"/>
      <w:szCs w:val="20"/>
    </w:rPr>
  </w:style>
  <w:style w:type="paragraph" w:customStyle="1" w:styleId="76">
    <w:name w:val="列出段落1"/>
    <w:basedOn w:val="1"/>
    <w:autoRedefine/>
    <w:qFormat/>
    <w:uiPriority w:val="34"/>
    <w:pPr>
      <w:ind w:firstLine="420"/>
    </w:pPr>
  </w:style>
  <w:style w:type="paragraph" w:customStyle="1" w:styleId="77">
    <w:name w:val="L正文"/>
    <w:basedOn w:val="1"/>
    <w:autoRedefine/>
    <w:qFormat/>
    <w:uiPriority w:val="0"/>
    <w:pPr>
      <w:spacing w:afterLines="50" w:line="240" w:lineRule="auto"/>
      <w:ind w:left="160" w:leftChars="160"/>
    </w:pPr>
    <w:rPr>
      <w:rFonts w:cs="Times New Roman"/>
      <w:sz w:val="21"/>
    </w:rPr>
  </w:style>
  <w:style w:type="paragraph" w:customStyle="1" w:styleId="78">
    <w:name w:val="列出段落11"/>
    <w:basedOn w:val="1"/>
    <w:autoRedefine/>
    <w:qFormat/>
    <w:uiPriority w:val="34"/>
    <w:pPr>
      <w:spacing w:line="240" w:lineRule="auto"/>
      <w:ind w:firstLine="420"/>
    </w:pPr>
    <w:rPr>
      <w:sz w:val="21"/>
      <w:szCs w:val="21"/>
    </w:rPr>
  </w:style>
  <w:style w:type="paragraph" w:customStyle="1" w:styleId="79">
    <w:name w:val="Char"/>
    <w:basedOn w:val="1"/>
    <w:next w:val="1"/>
    <w:autoRedefine/>
    <w:qFormat/>
    <w:uiPriority w:val="0"/>
    <w:rPr>
      <w:rFonts w:ascii="Tahoma" w:hAnsi="Tahoma"/>
      <w:szCs w:val="20"/>
    </w:rPr>
  </w:style>
  <w:style w:type="character" w:customStyle="1" w:styleId="80">
    <w:name w:val="批注框文本 字符"/>
    <w:basedOn w:val="40"/>
    <w:link w:val="24"/>
    <w:autoRedefine/>
    <w:qFormat/>
    <w:uiPriority w:val="0"/>
    <w:rPr>
      <w:rFonts w:ascii="Times New Roman" w:hAnsi="Times New Roman" w:cs="宋体"/>
      <w:kern w:val="2"/>
      <w:sz w:val="18"/>
      <w:szCs w:val="18"/>
    </w:rPr>
  </w:style>
  <w:style w:type="character" w:customStyle="1" w:styleId="81">
    <w:name w:val="正文文本缩进 字符"/>
    <w:basedOn w:val="40"/>
    <w:link w:val="16"/>
    <w:autoRedefine/>
    <w:qFormat/>
    <w:uiPriority w:val="0"/>
    <w:rPr>
      <w:rFonts w:ascii="Times New Roman" w:hAnsi="Times New Roman" w:cs="宋体"/>
      <w:kern w:val="2"/>
      <w:sz w:val="24"/>
      <w:szCs w:val="24"/>
    </w:rPr>
  </w:style>
  <w:style w:type="character" w:customStyle="1" w:styleId="82">
    <w:name w:val="未命名4"/>
    <w:basedOn w:val="40"/>
    <w:autoRedefine/>
    <w:qFormat/>
    <w:uiPriority w:val="0"/>
  </w:style>
  <w:style w:type="paragraph" w:customStyle="1" w:styleId="83">
    <w:name w:val="reader-word-layer reader-word-s27-4"/>
    <w:basedOn w:val="1"/>
    <w:autoRedefine/>
    <w:qFormat/>
    <w:uiPriority w:val="99"/>
    <w:pPr>
      <w:widowControl/>
      <w:spacing w:before="100" w:beforeAutospacing="1" w:after="100" w:afterAutospacing="1" w:line="440" w:lineRule="exact"/>
      <w:ind w:firstLine="1040"/>
      <w:jc w:val="left"/>
    </w:pPr>
    <w:rPr>
      <w:rFonts w:ascii="宋体" w:hAnsi="宋体" w:eastAsia="微软雅黑"/>
      <w:kern w:val="0"/>
    </w:rPr>
  </w:style>
  <w:style w:type="character" w:customStyle="1" w:styleId="84">
    <w:name w:val="font81"/>
    <w:basedOn w:val="40"/>
    <w:autoRedefine/>
    <w:qFormat/>
    <w:uiPriority w:val="0"/>
    <w:rPr>
      <w:rFonts w:hint="default" w:ascii="Times New Roman" w:hAnsi="Times New Roman" w:cs="Times New Roman"/>
      <w:color w:val="000000"/>
      <w:sz w:val="24"/>
      <w:szCs w:val="24"/>
      <w:u w:val="none"/>
    </w:rPr>
  </w:style>
  <w:style w:type="paragraph" w:customStyle="1" w:styleId="85">
    <w:name w:val="WPSOffice手动目录 1"/>
    <w:autoRedefine/>
    <w:qFormat/>
    <w:uiPriority w:val="0"/>
    <w:rPr>
      <w:rFonts w:ascii="Times New Roman" w:hAnsi="Times New Roman" w:eastAsia="宋体" w:cs="Times New Roman"/>
      <w:lang w:val="en-US" w:eastAsia="zh-CN" w:bidi="ar-SA"/>
    </w:rPr>
  </w:style>
  <w:style w:type="paragraph" w:customStyle="1" w:styleId="86">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87">
    <w:name w:val="普通(网站)2"/>
    <w:basedOn w:val="1"/>
    <w:autoRedefine/>
    <w:qFormat/>
    <w:uiPriority w:val="0"/>
    <w:pPr>
      <w:widowControl/>
      <w:spacing w:before="100" w:beforeAutospacing="1" w:after="100" w:afterAutospacing="1"/>
      <w:jc w:val="left"/>
    </w:pPr>
    <w:rPr>
      <w:rFonts w:ascii="宋体" w:hAnsi="宋体"/>
      <w:kern w:val="0"/>
      <w:szCs w:val="20"/>
    </w:rPr>
  </w:style>
  <w:style w:type="paragraph" w:customStyle="1" w:styleId="88">
    <w:name w:val="保留正文"/>
    <w:basedOn w:val="15"/>
    <w:autoRedefine/>
    <w:qFormat/>
    <w:uiPriority w:val="0"/>
    <w:pPr>
      <w:keepNext/>
      <w:spacing w:after="160"/>
    </w:pPr>
    <w:rPr>
      <w:sz w:val="21"/>
    </w:rPr>
  </w:style>
  <w:style w:type="paragraph" w:customStyle="1" w:styleId="89">
    <w:name w:val="首行缩进"/>
    <w:basedOn w:val="1"/>
    <w:autoRedefine/>
    <w:qFormat/>
    <w:uiPriority w:val="0"/>
    <w:pPr>
      <w:spacing w:line="360" w:lineRule="auto"/>
      <w:ind w:firstLine="420"/>
    </w:pPr>
    <w:rPr>
      <w:rFonts w:ascii="宋体" w:hAnsi="宋体"/>
    </w:rPr>
  </w:style>
  <w:style w:type="character" w:customStyle="1" w:styleId="90">
    <w:name w:val="标题 3 Char1"/>
    <w:link w:val="4"/>
    <w:autoRedefine/>
    <w:qFormat/>
    <w:uiPriority w:val="9"/>
    <w:rPr>
      <w:rFonts w:ascii="仿宋_GB2312" w:hAnsi="仿宋_GB2312" w:eastAsia="仿宋" w:cs="Times New Roman"/>
      <w:b/>
      <w:bCs/>
      <w:sz w:val="24"/>
      <w:szCs w:val="20"/>
    </w:rPr>
  </w:style>
  <w:style w:type="paragraph" w:customStyle="1" w:styleId="91">
    <w:name w:val="BodyText1I"/>
    <w:basedOn w:val="92"/>
    <w:autoRedefine/>
    <w:qFormat/>
    <w:uiPriority w:val="0"/>
    <w:pPr>
      <w:spacing w:after="120"/>
      <w:ind w:firstLine="420"/>
    </w:pPr>
    <w:rPr>
      <w:rFonts w:ascii="仿宋_GB2312" w:hAnsi="Times New Roman" w:eastAsia="仿宋_GB2312"/>
      <w:sz w:val="28"/>
      <w:lang w:bidi="ar-SA"/>
    </w:rPr>
  </w:style>
  <w:style w:type="paragraph" w:customStyle="1" w:styleId="92">
    <w:name w:val="BodyText"/>
    <w:basedOn w:val="1"/>
    <w:autoRedefine/>
    <w:qFormat/>
    <w:uiPriority w:val="0"/>
    <w:pPr>
      <w:textAlignment w:val="baseline"/>
    </w:pPr>
    <w:rPr>
      <w:rFonts w:ascii="仿宋" w:hAnsi="仿宋" w:eastAsia="仿宋"/>
      <w:lang w:val="zh-CN" w:bidi="zh-CN"/>
    </w:rPr>
  </w:style>
  <w:style w:type="paragraph" w:customStyle="1" w:styleId="93">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94">
    <w:name w:val="font31"/>
    <w:basedOn w:val="40"/>
    <w:autoRedefine/>
    <w:qFormat/>
    <w:uiPriority w:val="0"/>
    <w:rPr>
      <w:rFonts w:hint="eastAsia" w:ascii="微软雅黑" w:hAnsi="微软雅黑" w:eastAsia="微软雅黑" w:cs="微软雅黑"/>
      <w:color w:val="000000"/>
      <w:sz w:val="22"/>
      <w:szCs w:val="22"/>
      <w:u w:val="none"/>
    </w:rPr>
  </w:style>
  <w:style w:type="character" w:customStyle="1" w:styleId="95">
    <w:name w:val="font71"/>
    <w:basedOn w:val="40"/>
    <w:autoRedefine/>
    <w:qFormat/>
    <w:uiPriority w:val="0"/>
    <w:rPr>
      <w:rFonts w:hint="eastAsia" w:ascii="微软雅黑" w:hAnsi="微软雅黑" w:eastAsia="微软雅黑" w:cs="微软雅黑"/>
      <w:color w:val="000000"/>
      <w:sz w:val="22"/>
      <w:szCs w:val="22"/>
      <w:u w:val="none"/>
      <w:vertAlign w:val="superscript"/>
    </w:rPr>
  </w:style>
  <w:style w:type="character" w:customStyle="1" w:styleId="96">
    <w:name w:val="font21"/>
    <w:basedOn w:val="40"/>
    <w:autoRedefine/>
    <w:qFormat/>
    <w:uiPriority w:val="0"/>
    <w:rPr>
      <w:rFonts w:hint="eastAsia" w:ascii="微软雅黑" w:hAnsi="微软雅黑" w:eastAsia="微软雅黑" w:cs="微软雅黑"/>
      <w:color w:val="000000"/>
      <w:sz w:val="22"/>
      <w:szCs w:val="22"/>
      <w:u w:val="none"/>
    </w:rPr>
  </w:style>
  <w:style w:type="character" w:customStyle="1" w:styleId="97">
    <w:name w:val="font61"/>
    <w:basedOn w:val="40"/>
    <w:autoRedefine/>
    <w:qFormat/>
    <w:uiPriority w:val="0"/>
    <w:rPr>
      <w:rFonts w:hint="eastAsia" w:ascii="微软雅黑" w:hAnsi="微软雅黑" w:eastAsia="微软雅黑" w:cs="微软雅黑"/>
      <w:color w:val="000000"/>
      <w:sz w:val="22"/>
      <w:szCs w:val="22"/>
      <w:u w:val="none"/>
      <w:vertAlign w:val="superscript"/>
    </w:rPr>
  </w:style>
  <w:style w:type="character" w:customStyle="1" w:styleId="98">
    <w:name w:val="font01"/>
    <w:basedOn w:val="40"/>
    <w:autoRedefine/>
    <w:qFormat/>
    <w:uiPriority w:val="0"/>
    <w:rPr>
      <w:rFonts w:hint="eastAsia" w:ascii="宋体" w:hAnsi="宋体" w:eastAsia="宋体" w:cs="宋体"/>
      <w:color w:val="000000"/>
      <w:sz w:val="22"/>
      <w:szCs w:val="22"/>
      <w:u w:val="none"/>
    </w:rPr>
  </w:style>
  <w:style w:type="paragraph" w:customStyle="1" w:styleId="99">
    <w:name w:val="p0"/>
    <w:basedOn w:val="1"/>
    <w:autoRedefine/>
    <w:qFormat/>
    <w:uiPriority w:val="0"/>
    <w:pPr>
      <w:widowControl/>
    </w:pPr>
    <w:rPr>
      <w:kern w:val="0"/>
      <w:szCs w:val="21"/>
    </w:rPr>
  </w:style>
  <w:style w:type="paragraph" w:customStyle="1" w:styleId="100">
    <w:name w:val="表头文字"/>
    <w:basedOn w:val="1"/>
    <w:autoRedefine/>
    <w:qFormat/>
    <w:uiPriority w:val="0"/>
    <w:pPr>
      <w:widowControl/>
      <w:jc w:val="left"/>
    </w:pPr>
    <w:rPr>
      <w:rFonts w:eastAsia="仿宋"/>
      <w:b/>
      <w:kern w:val="0"/>
      <w:szCs w:val="21"/>
    </w:rPr>
  </w:style>
  <w:style w:type="character" w:customStyle="1" w:styleId="101">
    <w:name w:val="font41"/>
    <w:basedOn w:val="40"/>
    <w:autoRedefine/>
    <w:qFormat/>
    <w:uiPriority w:val="0"/>
    <w:rPr>
      <w:rFonts w:hint="eastAsia" w:ascii="微软雅黑" w:hAnsi="微软雅黑" w:eastAsia="微软雅黑" w:cs="微软雅黑"/>
      <w:color w:val="000000"/>
      <w:sz w:val="20"/>
      <w:szCs w:val="20"/>
      <w:u w:val="none"/>
    </w:rPr>
  </w:style>
  <w:style w:type="character" w:customStyle="1" w:styleId="102">
    <w:name w:val="font111"/>
    <w:basedOn w:val="40"/>
    <w:autoRedefine/>
    <w:qFormat/>
    <w:uiPriority w:val="0"/>
    <w:rPr>
      <w:rFonts w:hint="eastAsia" w:ascii="微软雅黑" w:hAnsi="微软雅黑" w:eastAsia="微软雅黑" w:cs="微软雅黑"/>
      <w:color w:val="000000"/>
      <w:sz w:val="20"/>
      <w:szCs w:val="20"/>
      <w:u w:val="none"/>
      <w:vertAlign w:val="superscript"/>
    </w:rPr>
  </w:style>
  <w:style w:type="character" w:customStyle="1" w:styleId="103">
    <w:name w:val="font101"/>
    <w:basedOn w:val="40"/>
    <w:autoRedefine/>
    <w:qFormat/>
    <w:uiPriority w:val="0"/>
    <w:rPr>
      <w:rFonts w:hint="eastAsia" w:ascii="微软雅黑" w:hAnsi="微软雅黑" w:eastAsia="微软雅黑" w:cs="微软雅黑"/>
      <w:color w:val="000000"/>
      <w:sz w:val="20"/>
      <w:szCs w:val="20"/>
      <w:u w:val="none"/>
      <w:vertAlign w:val="superscript"/>
    </w:rPr>
  </w:style>
  <w:style w:type="character" w:customStyle="1" w:styleId="104">
    <w:name w:val="font122"/>
    <w:basedOn w:val="40"/>
    <w:autoRedefine/>
    <w:qFormat/>
    <w:uiPriority w:val="0"/>
    <w:rPr>
      <w:rFonts w:hint="eastAsia" w:ascii="宋体" w:hAnsi="宋体" w:eastAsia="宋体" w:cs="宋体"/>
      <w:b/>
      <w:bCs/>
      <w:color w:val="FF0000"/>
      <w:sz w:val="22"/>
      <w:szCs w:val="22"/>
      <w:u w:val="none"/>
    </w:rPr>
  </w:style>
  <w:style w:type="character" w:customStyle="1" w:styleId="105">
    <w:name w:val="font91"/>
    <w:basedOn w:val="40"/>
    <w:autoRedefine/>
    <w:qFormat/>
    <w:uiPriority w:val="0"/>
    <w:rPr>
      <w:rFonts w:hint="eastAsia" w:ascii="宋体" w:hAnsi="宋体" w:eastAsia="宋体" w:cs="宋体"/>
      <w:color w:val="000000"/>
      <w:sz w:val="22"/>
      <w:szCs w:val="22"/>
      <w:u w:val="none"/>
    </w:rPr>
  </w:style>
  <w:style w:type="character" w:customStyle="1" w:styleId="106">
    <w:name w:val="font51"/>
    <w:basedOn w:val="40"/>
    <w:autoRedefine/>
    <w:qFormat/>
    <w:uiPriority w:val="0"/>
    <w:rPr>
      <w:rFonts w:hint="eastAsia" w:ascii="微软雅黑" w:hAnsi="微软雅黑" w:eastAsia="微软雅黑" w:cs="微软雅黑"/>
      <w:color w:val="000000"/>
      <w:sz w:val="20"/>
      <w:szCs w:val="20"/>
      <w:u w:val="none"/>
      <w:vertAlign w:val="superscript"/>
    </w:rPr>
  </w:style>
  <w:style w:type="character" w:customStyle="1" w:styleId="107">
    <w:name w:val="font112"/>
    <w:basedOn w:val="40"/>
    <w:autoRedefine/>
    <w:qFormat/>
    <w:uiPriority w:val="0"/>
    <w:rPr>
      <w:rFonts w:hint="eastAsia" w:ascii="宋体" w:hAnsi="宋体" w:eastAsia="宋体" w:cs="宋体"/>
      <w:color w:val="000000"/>
      <w:sz w:val="24"/>
      <w:szCs w:val="24"/>
      <w:u w:val="none"/>
    </w:rPr>
  </w:style>
  <w:style w:type="paragraph" w:customStyle="1" w:styleId="108">
    <w:name w:val="样式1"/>
    <w:basedOn w:val="1"/>
    <w:autoRedefine/>
    <w:qFormat/>
    <w:uiPriority w:val="0"/>
    <w:pPr>
      <w:spacing w:line="360" w:lineRule="exact"/>
      <w:ind w:firstLine="200"/>
    </w:pPr>
    <w:rPr>
      <w:rFonts w:ascii="Arial" w:hAnsi="Arial"/>
    </w:rPr>
  </w:style>
  <w:style w:type="paragraph" w:customStyle="1" w:styleId="109">
    <w:name w:val="No Spacing_7e509324-65a2-4ed7-bf10-9eaa9c0383f4"/>
    <w:autoRedefine/>
    <w:qFormat/>
    <w:uiPriority w:val="1"/>
    <w:rPr>
      <w:rFonts w:ascii="Times New Roman" w:hAnsi="Times New Roman" w:eastAsia="宋体" w:cs="Times New Roman"/>
      <w:sz w:val="22"/>
      <w:szCs w:val="22"/>
      <w:lang w:val="en-US" w:eastAsia="en-US" w:bidi="en-US"/>
    </w:rPr>
  </w:style>
  <w:style w:type="paragraph" w:customStyle="1" w:styleId="110">
    <w:name w:val="_Style 1"/>
    <w:basedOn w:val="1"/>
    <w:autoRedefine/>
    <w:qFormat/>
    <w:uiPriority w:val="0"/>
    <w:pPr>
      <w:widowControl/>
      <w:jc w:val="left"/>
    </w:pPr>
    <w:rPr>
      <w:rFonts w:ascii="Calibri" w:hAnsi="Calibri"/>
      <w:sz w:val="28"/>
      <w:szCs w:val="28"/>
    </w:rPr>
  </w:style>
  <w:style w:type="paragraph" w:customStyle="1" w:styleId="111">
    <w:name w:val="Table Paragraph"/>
    <w:basedOn w:val="1"/>
    <w:autoRedefine/>
    <w:qFormat/>
    <w:uiPriority w:val="99"/>
    <w:rPr>
      <w:rFonts w:ascii="宋体" w:hAnsi="宋体"/>
      <w:lang w:val="zh-CN"/>
    </w:rPr>
  </w:style>
  <w:style w:type="character" w:customStyle="1" w:styleId="112">
    <w:name w:val="NormalCharacter"/>
    <w:autoRedefine/>
    <w:qFormat/>
    <w:uiPriority w:val="0"/>
  </w:style>
  <w:style w:type="paragraph" w:customStyle="1" w:styleId="113">
    <w:name w:val="标准正文"/>
    <w:basedOn w:val="1"/>
    <w:autoRedefine/>
    <w:qFormat/>
    <w:uiPriority w:val="0"/>
    <w:pPr>
      <w:spacing w:line="360" w:lineRule="auto"/>
      <w:ind w:firstLine="200"/>
    </w:pPr>
    <w:rPr>
      <w:szCs w:val="20"/>
    </w:rPr>
  </w:style>
  <w:style w:type="character" w:customStyle="1" w:styleId="114">
    <w:name w:val="标题 1 字符"/>
    <w:basedOn w:val="40"/>
    <w:link w:val="2"/>
    <w:autoRedefine/>
    <w:qFormat/>
    <w:uiPriority w:val="99"/>
    <w:rPr>
      <w:rFonts w:ascii="宋体" w:hAnsi="宋体" w:eastAsia="宋体" w:cs="宋体"/>
      <w:b/>
      <w:bCs/>
      <w:kern w:val="36"/>
      <w:sz w:val="48"/>
      <w:szCs w:val="48"/>
    </w:rPr>
  </w:style>
  <w:style w:type="paragraph" w:customStyle="1" w:styleId="115">
    <w:name w:val="正文文本缩进1"/>
    <w:basedOn w:val="1"/>
    <w:autoRedefine/>
    <w:qFormat/>
    <w:uiPriority w:val="0"/>
    <w:pPr>
      <w:spacing w:line="360" w:lineRule="auto"/>
      <w:ind w:firstLine="435"/>
    </w:pPr>
    <w:rPr>
      <w:sz w:val="28"/>
    </w:rPr>
  </w:style>
  <w:style w:type="character" w:customStyle="1" w:styleId="116">
    <w:name w:val="标题 3 字符"/>
    <w:link w:val="4"/>
    <w:autoRedefine/>
    <w:qFormat/>
    <w:uiPriority w:val="9"/>
    <w:rPr>
      <w:rFonts w:ascii="仿宋_GB2312" w:hAnsi="仿宋_GB2312" w:eastAsia="仿宋" w:cs="Times New Roman"/>
      <w:b/>
      <w:bCs/>
      <w:sz w:val="24"/>
      <w:szCs w:val="20"/>
    </w:rPr>
  </w:style>
  <w:style w:type="paragraph" w:customStyle="1" w:styleId="117">
    <w:name w:val="Revision"/>
    <w:autoRedefine/>
    <w:hidden/>
    <w:semiHidden/>
    <w:qFormat/>
    <w:uiPriority w:val="99"/>
    <w:rPr>
      <w:rFonts w:ascii="Times New Roman" w:hAnsi="Times New Roman" w:eastAsia="宋体" w:cs="宋体"/>
      <w:kern w:val="2"/>
      <w:sz w:val="24"/>
      <w:szCs w:val="24"/>
      <w:lang w:val="en-US" w:eastAsia="zh-CN" w:bidi="ar-SA"/>
    </w:rPr>
  </w:style>
  <w:style w:type="character" w:customStyle="1" w:styleId="118">
    <w:name w:val="批注文字 字符"/>
    <w:basedOn w:val="40"/>
    <w:link w:val="13"/>
    <w:autoRedefine/>
    <w:qFormat/>
    <w:uiPriority w:val="0"/>
    <w:rPr>
      <w:rFonts w:cs="宋体"/>
      <w:kern w:val="2"/>
      <w:sz w:val="24"/>
      <w:szCs w:val="24"/>
    </w:rPr>
  </w:style>
  <w:style w:type="character" w:customStyle="1" w:styleId="119">
    <w:name w:val="批注主题 字符"/>
    <w:basedOn w:val="118"/>
    <w:link w:val="33"/>
    <w:autoRedefine/>
    <w:qFormat/>
    <w:uiPriority w:val="0"/>
    <w:rPr>
      <w:rFonts w:cs="宋体"/>
      <w:b/>
      <w:bCs/>
      <w:kern w:val="2"/>
      <w:sz w:val="24"/>
      <w:szCs w:val="24"/>
    </w:rPr>
  </w:style>
  <w:style w:type="paragraph" w:customStyle="1" w:styleId="120">
    <w:name w:val="[Normal]"/>
    <w:autoRedefine/>
    <w:qFormat/>
    <w:uiPriority w:val="0"/>
    <w:rPr>
      <w:rFonts w:ascii="宋体" w:hAnsi="宋体" w:eastAsia="宋体" w:cs="Times New Roman"/>
      <w:sz w:val="24"/>
      <w:szCs w:val="22"/>
      <w:lang w:val="zh-CN" w:eastAsia="zh-CN" w:bidi="ar-SA"/>
    </w:rPr>
  </w:style>
  <w:style w:type="character" w:customStyle="1" w:styleId="121">
    <w:name w:val="font121"/>
    <w:autoRedefine/>
    <w:qFormat/>
    <w:uiPriority w:val="0"/>
    <w:rPr>
      <w:rFonts w:hint="default" w:ascii="Times New Roman" w:hAnsi="Times New Roman" w:eastAsia="宋体" w:cs="Times New Roman"/>
      <w:color w:val="000000"/>
      <w:sz w:val="22"/>
      <w:szCs w:val="22"/>
      <w:u w:val="none"/>
    </w:rPr>
  </w:style>
  <w:style w:type="paragraph" w:customStyle="1" w:styleId="122">
    <w:name w:val="Body text|21"/>
    <w:basedOn w:val="1"/>
    <w:link w:val="124"/>
    <w:autoRedefine/>
    <w:qFormat/>
    <w:uiPriority w:val="0"/>
    <w:pPr>
      <w:shd w:val="clear" w:color="auto" w:fill="FFFFFF"/>
      <w:spacing w:after="240" w:line="200" w:lineRule="exact"/>
      <w:jc w:val="distribute"/>
    </w:pPr>
    <w:rPr>
      <w:rFonts w:ascii="PMingLiU_x0004_falt" w:hAnsi="PMingLiU_x0004_falt" w:eastAsia="PMingLiU_x0004_falt"/>
      <w:b/>
      <w:kern w:val="0"/>
      <w:sz w:val="20"/>
      <w:szCs w:val="20"/>
    </w:rPr>
  </w:style>
  <w:style w:type="character" w:customStyle="1" w:styleId="123">
    <w:name w:val="Body text|2"/>
    <w:basedOn w:val="124"/>
    <w:autoRedefine/>
    <w:qFormat/>
    <w:uiPriority w:val="0"/>
    <w:rPr>
      <w:color w:val="000000"/>
      <w:spacing w:val="0"/>
      <w:w w:val="100"/>
      <w:position w:val="0"/>
      <w:lang w:val="zh-CN" w:eastAsia="zh-CN"/>
    </w:rPr>
  </w:style>
  <w:style w:type="character" w:customStyle="1" w:styleId="124">
    <w:name w:val="Body text|2_"/>
    <w:basedOn w:val="40"/>
    <w:link w:val="122"/>
    <w:autoRedefine/>
    <w:qFormat/>
    <w:uiPriority w:val="0"/>
    <w:rPr>
      <w:rFonts w:ascii="PMingLiU_x0004_falt" w:hAnsi="PMingLiU_x0004_falt" w:eastAsia="PMingLiU_x0004_falt"/>
      <w:b/>
      <w:kern w:val="0"/>
      <w:sz w:val="20"/>
      <w:szCs w:val="20"/>
    </w:rPr>
  </w:style>
  <w:style w:type="table" w:customStyle="1" w:styleId="125">
    <w:name w:val="Table Normal"/>
    <w:autoRedefine/>
    <w:semiHidden/>
    <w:unhideWhenUsed/>
    <w:qFormat/>
    <w:uiPriority w:val="0"/>
    <w:tblPr>
      <w:tblCellMar>
        <w:top w:w="0" w:type="dxa"/>
        <w:left w:w="0" w:type="dxa"/>
        <w:bottom w:w="0" w:type="dxa"/>
        <w:right w:w="0" w:type="dxa"/>
      </w:tblCellMar>
    </w:tblPr>
  </w:style>
  <w:style w:type="character" w:customStyle="1" w:styleId="126">
    <w:name w:val="无"/>
    <w:autoRedefine/>
    <w:qFormat/>
    <w:uiPriority w:val="0"/>
  </w:style>
  <w:style w:type="character" w:customStyle="1" w:styleId="127">
    <w:name w:val="15"/>
    <w:basedOn w:val="40"/>
    <w:autoRedefine/>
    <w:qFormat/>
    <w:uiPriority w:val="0"/>
    <w:rPr>
      <w:rFonts w:hint="eastAsia" w:ascii="宋体" w:hAnsi="宋体" w:eastAsia="宋体" w:cs="宋体"/>
      <w:b/>
      <w:bCs/>
      <w:kern w:val="2"/>
      <w:sz w:val="30"/>
      <w:szCs w:val="30"/>
    </w:rPr>
  </w:style>
  <w:style w:type="paragraph" w:customStyle="1" w:styleId="128">
    <w:name w:val="正文_0"/>
    <w:basedOn w:val="1"/>
    <w:autoRedefine/>
    <w:qFormat/>
    <w:uiPriority w:val="0"/>
    <w:pPr>
      <w:keepNext w:val="0"/>
      <w:keepLines w:val="0"/>
      <w:widowControl w:val="0"/>
      <w:suppressLineNumbers w:val="0"/>
      <w:spacing w:before="0" w:beforeAutospacing="0" w:after="0" w:afterAutospacing="0" w:line="240" w:lineRule="auto"/>
      <w:ind w:left="0" w:right="0" w:firstLine="0" w:firstLineChars="0"/>
      <w:jc w:val="both"/>
    </w:pPr>
    <w:rPr>
      <w:rFonts w:hint="default" w:ascii="Times New Roman" w:hAnsi="Times New Roman" w:eastAsia="宋体" w:cs="Times New Roman"/>
      <w:kern w:val="2"/>
      <w:sz w:val="21"/>
      <w:szCs w:val="21"/>
      <w:lang w:val="en-US" w:eastAsia="zh-CN" w:bidi="ar"/>
    </w:rPr>
  </w:style>
  <w:style w:type="character" w:customStyle="1" w:styleId="129">
    <w:name w:val="10"/>
    <w:basedOn w:val="40"/>
    <w:autoRedefine/>
    <w:qFormat/>
    <w:uiPriority w:val="0"/>
    <w:rPr>
      <w:rFonts w:hint="default" w:ascii="Times New Roman" w:hAnsi="Times New Roman" w:cs="Times New Roman"/>
    </w:rPr>
  </w:style>
  <w:style w:type="paragraph" w:customStyle="1" w:styleId="130">
    <w:name w:val="text-tag"/>
    <w:basedOn w:val="1"/>
    <w:autoRedefine/>
    <w:hidden/>
    <w:qFormat/>
    <w:uiPriority w:val="0"/>
    <w:pPr>
      <w:keepNext w:val="0"/>
      <w:keepLines w:val="0"/>
      <w:widowControl/>
      <w:suppressLineNumbers w:val="0"/>
      <w:spacing w:before="0" w:beforeAutospacing="1" w:after="0" w:afterAutospacing="1"/>
      <w:jc w:val="left"/>
    </w:pPr>
    <w:rPr>
      <w:rFonts w:hint="eastAsia" w:ascii="宋体" w:hAnsi="宋体" w:eastAsia="宋体" w:cs="宋体"/>
      <w:kern w:val="0"/>
      <w:sz w:val="24"/>
      <w:szCs w:val="24"/>
      <w:lang w:val="en-US" w:eastAsia="zh-CN" w:bidi="ar"/>
    </w:rPr>
  </w:style>
  <w:style w:type="paragraph" w:customStyle="1" w:styleId="131">
    <w:name w:val="纯文本1"/>
    <w:basedOn w:val="1"/>
    <w:autoRedefine/>
    <w:qFormat/>
    <w:uiPriority w:val="0"/>
    <w:pPr>
      <w:keepNext w:val="0"/>
      <w:keepLines w:val="0"/>
      <w:widowControl w:val="0"/>
      <w:suppressLineNumbers w:val="0"/>
      <w:spacing w:before="0" w:beforeAutospacing="0" w:after="0" w:afterAutospacing="0"/>
      <w:ind w:left="0" w:right="0"/>
      <w:jc w:val="both"/>
    </w:pPr>
    <w:rPr>
      <w:rFonts w:hint="eastAsia" w:ascii="宋体" w:hAnsi="Courier New" w:eastAsia="宋体" w:cs="Courier New"/>
      <w:kern w:val="0"/>
      <w:sz w:val="21"/>
      <w:szCs w:val="21"/>
      <w:lang w:val="en-US" w:eastAsia="zh-CN" w:bidi="ar"/>
    </w:rPr>
  </w:style>
  <w:style w:type="paragraph" w:customStyle="1" w:styleId="132">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133">
    <w:name w:val="Table Text"/>
    <w:basedOn w:val="1"/>
    <w:autoRedefine/>
    <w:semiHidden/>
    <w:qFormat/>
    <w:uiPriority w:val="0"/>
    <w:rPr>
      <w:rFonts w:ascii="宋体" w:hAnsi="宋体" w:eastAsia="宋体" w:cs="宋体"/>
      <w:sz w:val="30"/>
      <w:szCs w:val="30"/>
      <w:lang w:val="en-US" w:eastAsia="en-US" w:bidi="ar-SA"/>
    </w:rPr>
  </w:style>
  <w:style w:type="paragraph" w:customStyle="1" w:styleId="134">
    <w:name w:val="样式 列表编号 + 段后: 0.5 行"/>
    <w:autoRedefine/>
    <w:qFormat/>
    <w:uiPriority w:val="0"/>
    <w:pPr>
      <w:widowControl w:val="0"/>
      <w:spacing w:line="500" w:lineRule="exact"/>
      <w:ind w:left="360" w:hanging="360" w:firstLineChars="200"/>
      <w:jc w:val="both"/>
    </w:pPr>
    <w:rPr>
      <w:rFonts w:ascii="Times New Roman" w:hAnsi="Times New Roman" w:eastAsia="宋体" w:cs="Times New Roman"/>
      <w:kern w:val="2"/>
      <w:sz w:val="24"/>
      <w:szCs w:val="24"/>
      <w:lang w:val="en-US" w:eastAsia="zh-CN" w:bidi="ar-SA"/>
    </w:rPr>
  </w:style>
  <w:style w:type="paragraph" w:customStyle="1" w:styleId="135">
    <w:name w:val="正文首行缩进 21"/>
    <w:basedOn w:val="1"/>
    <w:qFormat/>
    <w:uiPriority w:val="0"/>
    <w:pPr>
      <w:spacing w:after="120"/>
      <w:ind w:left="420" w:leftChars="200" w:firstLine="420"/>
    </w:pPr>
    <w:rPr>
      <w:rFonts w:cs="宋体"/>
      <w:color w:val="000000"/>
      <w:szCs w:val="21"/>
    </w:rPr>
  </w:style>
  <w:style w:type="paragraph" w:styleId="136">
    <w:name w:val="List Paragraph"/>
    <w:basedOn w:val="1"/>
    <w:qFormat/>
    <w:uiPriority w:val="1"/>
    <w:pPr>
      <w:ind w:left="596" w:firstLine="480"/>
    </w:pPr>
    <w:rPr>
      <w:rFonts w:ascii="仿宋" w:hAnsi="仿宋" w:eastAsia="仿宋" w:cs="仿宋"/>
    </w:rPr>
  </w:style>
  <w:style w:type="character" w:customStyle="1" w:styleId="137">
    <w:name w:val="font11"/>
    <w:basedOn w:val="40"/>
    <w:autoRedefine/>
    <w:qFormat/>
    <w:uiPriority w:val="0"/>
    <w:rPr>
      <w:rFonts w:hint="eastAsia" w:ascii="宋体" w:hAnsi="宋体" w:eastAsia="宋体" w:cs="宋体"/>
      <w:color w:val="000000"/>
      <w:sz w:val="28"/>
      <w:szCs w:val="28"/>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58</Pages>
  <Words>14366</Words>
  <Characters>15430</Characters>
  <Lines>1</Lines>
  <Paragraphs>1</Paragraphs>
  <TotalTime>8</TotalTime>
  <ScaleCrop>false</ScaleCrop>
  <LinksUpToDate>false</LinksUpToDate>
  <CharactersWithSpaces>15647</CharactersWithSpaces>
  <Application>WPS Office_12.1.0.20754_F1E327BC-269C-435d-A152-05C5408002CA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2019-07-10T03:14:00Z</dcterms:created>
  <dc:creator>宇正-王</dc:creator>
  <cp:lastModifiedBy>ww</cp:lastModifiedBy>
  <cp:lastPrinted>2022-10-12T10:55:00Z</cp:lastPrinted>
  <dcterms:modified xsi:type="dcterms:W3CDTF">2025-03-31T13:25:47Z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ICV">
    <vt:lpwstr>4DA59E7719064CEC84BCB950E5BE9F4C_13</vt:lpwstr>
  </property>
  <property fmtid="{D5CDD505-2E9C-101B-9397-08002B2CF9AE}" pid="4" name="KSOTemplateDocerSaveRecord">
    <vt:lpwstr>eyJoZGlkIjoiODNlMjQ1ZDBmYzc3OGU4NDUwNjc1ZWE0NTU5MDIzZWEiLCJ1c2VySWQiOiIzNDA4ODI3NDYifQ==</vt:lpwstr>
  </property>
</Properties>
</file>